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52F79E" w14:textId="2AD2FF77" w:rsidR="00747654" w:rsidRDefault="00747654" w:rsidP="008E7C1B">
      <w:pPr>
        <w:spacing w:after="0" w:line="240" w:lineRule="auto"/>
        <w:jc w:val="both"/>
        <w:rPr>
          <w:rFonts w:ascii="Verdana" w:eastAsia="Calibri" w:hAnsi="Verdana" w:cs="Arial"/>
          <w:b/>
        </w:rPr>
      </w:pPr>
      <w:bookmarkStart w:id="0" w:name="_Hlk214366482"/>
      <w:bookmarkStart w:id="1" w:name="_Hlk143780582"/>
      <w:r w:rsidRPr="00747654">
        <w:rPr>
          <w:rFonts w:ascii="Verdana" w:eastAsia="Calibri" w:hAnsi="Verdana" w:cs="Arial"/>
          <w:b/>
        </w:rPr>
        <w:t>AGENCIA NACIONAL DE CONTRATACIÓN PÚBLICA – Conceptos – Alcance – Competencia Consultiv</w:t>
      </w:r>
      <w:r>
        <w:rPr>
          <w:rFonts w:ascii="Verdana" w:eastAsia="Calibri" w:hAnsi="Verdana" w:cs="Arial"/>
          <w:b/>
        </w:rPr>
        <w:t>a</w:t>
      </w:r>
    </w:p>
    <w:p w14:paraId="323E8918" w14:textId="77777777" w:rsidR="008E7C1B" w:rsidRDefault="008E7C1B" w:rsidP="008E7C1B">
      <w:pPr>
        <w:spacing w:after="0" w:line="240" w:lineRule="auto"/>
        <w:jc w:val="both"/>
        <w:rPr>
          <w:rFonts w:ascii="Verdana" w:eastAsiaTheme="minorEastAsia" w:hAnsi="Verdana" w:cs="Arial"/>
          <w:sz w:val="20"/>
          <w:szCs w:val="20"/>
          <w:lang w:eastAsia="es-CO"/>
        </w:rPr>
      </w:pPr>
    </w:p>
    <w:p w14:paraId="57E97498" w14:textId="6FCD4E37" w:rsidR="008E7C1B" w:rsidRPr="008E7C1B" w:rsidRDefault="008E7C1B" w:rsidP="008E7C1B">
      <w:pPr>
        <w:spacing w:after="0" w:line="240" w:lineRule="auto"/>
        <w:jc w:val="both"/>
        <w:rPr>
          <w:rFonts w:ascii="Verdana" w:eastAsiaTheme="minorEastAsia" w:hAnsi="Verdana" w:cs="Arial"/>
          <w:sz w:val="20"/>
          <w:szCs w:val="20"/>
          <w:lang w:eastAsia="es-CO"/>
        </w:rPr>
      </w:pPr>
      <w:r w:rsidRPr="008E7C1B">
        <w:rPr>
          <w:rFonts w:ascii="Verdana" w:eastAsiaTheme="minorEastAsia" w:hAnsi="Verdana" w:cs="Arial"/>
          <w:sz w:val="20"/>
          <w:szCs w:val="20"/>
          <w:lang w:eastAsia="es-CO"/>
        </w:rPr>
        <w:t>[…] el legislador extraordinario facultó a la Agencia para “Absolver consultas sobre la aplicación de normas de carácter general” y “difundir las normas, reglas, procedimientos, medios tecnológicos y mejores prácticas para las compras y la contratación pública”, de conformidad con el numeral 5 y 10 del artículo 3 del Decreto Ley 4170 de</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 xml:space="preserve">2011. </w:t>
      </w:r>
      <w:r w:rsidRPr="008E7C1B">
        <w:rPr>
          <w:rFonts w:ascii="Verdana" w:eastAsia="Calibri" w:hAnsi="Verdana" w:cs="Arial"/>
          <w:sz w:val="20"/>
          <w:szCs w:val="20"/>
          <w:lang w:val="es-ES" w:eastAsia="es-CO"/>
        </w:rPr>
        <w:t xml:space="preserve">Así las cosas, </w:t>
      </w:r>
      <w:r w:rsidRPr="008E7C1B">
        <w:rPr>
          <w:rFonts w:ascii="Verdana" w:eastAsiaTheme="minorEastAsia" w:hAnsi="Verdana" w:cs="Arial"/>
          <w:sz w:val="20"/>
          <w:szCs w:val="20"/>
          <w:lang w:eastAsia="es-CO"/>
        </w:rPr>
        <w:t xml:space="preserve">de acuerdo con lo establecido en los artículos 3.5 y 11.8 </w:t>
      </w:r>
      <w:r w:rsidRPr="008E7C1B">
        <w:rPr>
          <w:rFonts w:ascii="Verdana" w:eastAsiaTheme="minorEastAsia" w:hAnsi="Verdana" w:cs="Arial"/>
          <w:i/>
          <w:iCs/>
          <w:sz w:val="20"/>
          <w:szCs w:val="20"/>
          <w:lang w:eastAsia="es-CO"/>
        </w:rPr>
        <w:t>ibidem</w:t>
      </w:r>
      <w:r w:rsidRPr="008E7C1B">
        <w:rPr>
          <w:rFonts w:ascii="Verdana" w:eastAsiaTheme="minorEastAsia" w:hAnsi="Verdana" w:cs="Arial"/>
          <w:sz w:val="20"/>
          <w:szCs w:val="20"/>
          <w:lang w:eastAsia="es-CO"/>
        </w:rPr>
        <w:t>, la Agencia Nacional de Contratación Pública – Colombia Compra Eficiente</w:t>
      </w:r>
      <w:r w:rsidRPr="008E7C1B">
        <w:rPr>
          <w:rFonts w:ascii="Verdana" w:eastAsiaTheme="minorEastAsia" w:hAnsi="Verdana" w:cs="Arial"/>
          <w:sz w:val="20"/>
          <w:szCs w:val="20"/>
          <w:lang w:val="es-ES" w:eastAsia="es-CO"/>
        </w:rPr>
        <w:t xml:space="preserve"> </w:t>
      </w:r>
      <w:r w:rsidRPr="008E7C1B">
        <w:rPr>
          <w:rFonts w:ascii="Verdana" w:eastAsiaTheme="minorEastAsia" w:hAnsi="Verdana" w:cs="Arial"/>
          <w:sz w:val="20"/>
          <w:szCs w:val="20"/>
          <w:lang w:eastAsia="es-CO"/>
        </w:rPr>
        <w:t>resuelve</w:t>
      </w:r>
      <w:r w:rsidRPr="008E7C1B">
        <w:rPr>
          <w:rFonts w:ascii="Verdana" w:eastAsiaTheme="minorEastAsia" w:hAnsi="Verdana" w:cs="Arial"/>
          <w:spacing w:val="-16"/>
          <w:sz w:val="20"/>
          <w:szCs w:val="20"/>
          <w:lang w:eastAsia="es-CO"/>
        </w:rPr>
        <w:t xml:space="preserve"> </w:t>
      </w:r>
      <w:r w:rsidRPr="008E7C1B">
        <w:rPr>
          <w:rFonts w:ascii="Verdana" w:eastAsiaTheme="minorEastAsia" w:hAnsi="Verdana" w:cs="Arial"/>
          <w:sz w:val="20"/>
          <w:szCs w:val="20"/>
          <w:lang w:eastAsia="es-CO"/>
        </w:rPr>
        <w:t>las</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z w:val="20"/>
          <w:szCs w:val="20"/>
          <w:lang w:eastAsia="es-CO"/>
        </w:rPr>
        <w:t>consultas</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z w:val="20"/>
          <w:szCs w:val="20"/>
          <w:lang w:eastAsia="es-CO"/>
        </w:rPr>
        <w:t>sobre</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z w:val="20"/>
          <w:szCs w:val="20"/>
          <w:lang w:eastAsia="es-CO"/>
        </w:rPr>
        <w:t>los</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z w:val="20"/>
          <w:szCs w:val="20"/>
          <w:lang w:eastAsia="es-CO"/>
        </w:rPr>
        <w:t>asuntos</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z w:val="20"/>
          <w:szCs w:val="20"/>
          <w:lang w:eastAsia="es-CO"/>
        </w:rPr>
        <w:t>de</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z w:val="20"/>
          <w:szCs w:val="20"/>
          <w:lang w:eastAsia="es-CO"/>
        </w:rPr>
        <w:t>su</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z w:val="20"/>
          <w:szCs w:val="20"/>
          <w:lang w:eastAsia="es-CO"/>
        </w:rPr>
        <w:t>competencia,</w:t>
      </w:r>
      <w:r w:rsidRPr="008E7C1B">
        <w:rPr>
          <w:rFonts w:ascii="Verdana" w:eastAsiaTheme="minorEastAsia" w:hAnsi="Verdana" w:cs="Arial"/>
          <w:spacing w:val="-59"/>
          <w:sz w:val="20"/>
          <w:szCs w:val="20"/>
          <w:lang w:eastAsia="es-CO"/>
        </w:rPr>
        <w:t xml:space="preserve"> </w:t>
      </w:r>
      <w:r w:rsidRPr="008E7C1B">
        <w:rPr>
          <w:rFonts w:ascii="Verdana" w:eastAsiaTheme="minorEastAsia" w:hAnsi="Verdana" w:cs="Arial"/>
          <w:sz w:val="20"/>
          <w:szCs w:val="20"/>
          <w:lang w:eastAsia="es-CO"/>
        </w:rPr>
        <w:t>esto es, sobre las temáticas de la contratación estatal y compras públicas relacionadas en los</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 xml:space="preserve">artículos citados. </w:t>
      </w:r>
    </w:p>
    <w:p w14:paraId="77EBEB40" w14:textId="77777777" w:rsidR="008E7C1B" w:rsidRDefault="008E7C1B" w:rsidP="008E7C1B">
      <w:pPr>
        <w:spacing w:after="0" w:line="240" w:lineRule="auto"/>
        <w:jc w:val="both"/>
        <w:rPr>
          <w:rFonts w:ascii="Verdana" w:eastAsiaTheme="minorEastAsia" w:hAnsi="Verdana" w:cs="Arial"/>
          <w:sz w:val="20"/>
          <w:szCs w:val="20"/>
          <w:lang w:eastAsia="es-CO"/>
        </w:rPr>
      </w:pPr>
    </w:p>
    <w:p w14:paraId="322AC163" w14:textId="1B3FC16B" w:rsidR="008E7C1B" w:rsidRPr="008E7C1B" w:rsidRDefault="008E7C1B" w:rsidP="008E7C1B">
      <w:pPr>
        <w:spacing w:after="0" w:line="240" w:lineRule="auto"/>
        <w:jc w:val="both"/>
        <w:rPr>
          <w:rFonts w:ascii="Verdana" w:eastAsiaTheme="minorEastAsia" w:hAnsi="Verdana" w:cs="Arial"/>
          <w:sz w:val="20"/>
          <w:szCs w:val="20"/>
          <w:lang w:eastAsia="es-CO"/>
        </w:rPr>
      </w:pPr>
      <w:r w:rsidRPr="008E7C1B">
        <w:rPr>
          <w:rFonts w:ascii="Verdana" w:eastAsiaTheme="minorEastAsia" w:hAnsi="Verdana" w:cs="Arial"/>
          <w:sz w:val="20"/>
          <w:szCs w:val="20"/>
          <w:lang w:eastAsia="es-CO"/>
        </w:rPr>
        <w:t>En ese sentido, resolver consultas sobre casos particulares desborda las</w:t>
      </w:r>
      <w:r w:rsidRPr="008E7C1B">
        <w:rPr>
          <w:rFonts w:ascii="Verdana" w:eastAsiaTheme="minorEastAsia" w:hAnsi="Verdana" w:cs="Arial"/>
          <w:spacing w:val="-59"/>
          <w:sz w:val="20"/>
          <w:szCs w:val="20"/>
          <w:lang w:eastAsia="es-CO"/>
        </w:rPr>
        <w:t xml:space="preserve"> </w:t>
      </w:r>
      <w:r w:rsidRPr="008E7C1B">
        <w:rPr>
          <w:rFonts w:ascii="Verdana" w:eastAsiaTheme="minorEastAsia" w:hAnsi="Verdana" w:cs="Arial"/>
          <w:sz w:val="20"/>
          <w:szCs w:val="20"/>
          <w:lang w:eastAsia="es-CO"/>
        </w:rPr>
        <w:t>atribuciones</w:t>
      </w:r>
      <w:r w:rsidRPr="008E7C1B">
        <w:rPr>
          <w:rFonts w:ascii="Verdana" w:eastAsiaTheme="minorEastAsia" w:hAnsi="Verdana" w:cs="Arial"/>
          <w:spacing w:val="-11"/>
          <w:sz w:val="20"/>
          <w:szCs w:val="20"/>
          <w:lang w:eastAsia="es-CO"/>
        </w:rPr>
        <w:t xml:space="preserve"> </w:t>
      </w:r>
      <w:r w:rsidRPr="008E7C1B">
        <w:rPr>
          <w:rFonts w:ascii="Verdana" w:eastAsiaTheme="minorEastAsia" w:hAnsi="Verdana" w:cs="Arial"/>
          <w:sz w:val="20"/>
          <w:szCs w:val="20"/>
          <w:lang w:eastAsia="es-CO"/>
        </w:rPr>
        <w:t>asignadas</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por</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el</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legislador,</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que</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no</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concibió</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a</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Colombia</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Compra</w:t>
      </w:r>
      <w:r w:rsidRPr="008E7C1B">
        <w:rPr>
          <w:rFonts w:ascii="Verdana" w:eastAsiaTheme="minorEastAsia" w:hAnsi="Verdana" w:cs="Arial"/>
          <w:spacing w:val="-11"/>
          <w:sz w:val="20"/>
          <w:szCs w:val="20"/>
          <w:lang w:eastAsia="es-CO"/>
        </w:rPr>
        <w:t xml:space="preserve"> </w:t>
      </w:r>
      <w:r w:rsidRPr="008E7C1B">
        <w:rPr>
          <w:rFonts w:ascii="Verdana" w:eastAsiaTheme="minorEastAsia" w:hAnsi="Verdana" w:cs="Arial"/>
          <w:sz w:val="20"/>
          <w:szCs w:val="20"/>
          <w:lang w:eastAsia="es-CO"/>
        </w:rPr>
        <w:t>Eficiente</w:t>
      </w:r>
      <w:r w:rsidRPr="008E7C1B">
        <w:rPr>
          <w:rFonts w:ascii="Verdana" w:eastAsiaTheme="minorEastAsia" w:hAnsi="Verdana" w:cs="Arial"/>
          <w:spacing w:val="-8"/>
          <w:sz w:val="20"/>
          <w:szCs w:val="20"/>
          <w:lang w:eastAsia="es-CO"/>
        </w:rPr>
        <w:t xml:space="preserve"> </w:t>
      </w:r>
      <w:r w:rsidRPr="008E7C1B">
        <w:rPr>
          <w:rFonts w:ascii="Verdana" w:eastAsiaTheme="minorEastAsia" w:hAnsi="Verdana" w:cs="Arial"/>
          <w:sz w:val="20"/>
          <w:szCs w:val="20"/>
          <w:lang w:eastAsia="es-CO"/>
        </w:rPr>
        <w:t>como</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una autoridad para</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solucionar</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problemas</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jurídicos</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particulares,</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especialmente,</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cuando</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el</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conocimiento de estos últimos corresponde resolverlos a los partícipes del sistema de compra</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pública</w:t>
      </w:r>
      <w:r w:rsidRPr="008E7C1B">
        <w:rPr>
          <w:rFonts w:ascii="Verdana" w:eastAsiaTheme="minorEastAsia" w:hAnsi="Verdana" w:cs="Arial"/>
          <w:spacing w:val="-3"/>
          <w:sz w:val="20"/>
          <w:szCs w:val="20"/>
          <w:lang w:eastAsia="es-CO"/>
        </w:rPr>
        <w:t xml:space="preserve"> </w:t>
      </w:r>
      <w:r w:rsidRPr="008E7C1B">
        <w:rPr>
          <w:rFonts w:ascii="Verdana" w:eastAsiaTheme="minorEastAsia" w:hAnsi="Verdana" w:cs="Arial"/>
          <w:sz w:val="20"/>
          <w:szCs w:val="20"/>
          <w:lang w:eastAsia="es-CO"/>
        </w:rPr>
        <w:t>y,</w:t>
      </w:r>
      <w:r w:rsidRPr="008E7C1B">
        <w:rPr>
          <w:rFonts w:ascii="Verdana" w:eastAsiaTheme="minorEastAsia" w:hAnsi="Verdana" w:cs="Arial"/>
          <w:spacing w:val="-3"/>
          <w:sz w:val="20"/>
          <w:szCs w:val="20"/>
          <w:lang w:eastAsia="es-CO"/>
        </w:rPr>
        <w:t xml:space="preserve"> </w:t>
      </w:r>
      <w:r w:rsidRPr="008E7C1B">
        <w:rPr>
          <w:rFonts w:ascii="Verdana" w:eastAsiaTheme="minorEastAsia" w:hAnsi="Verdana" w:cs="Arial"/>
          <w:sz w:val="20"/>
          <w:szCs w:val="20"/>
          <w:lang w:eastAsia="es-CO"/>
        </w:rPr>
        <w:t>eventualmente,</w:t>
      </w:r>
      <w:r w:rsidRPr="008E7C1B">
        <w:rPr>
          <w:rFonts w:ascii="Verdana" w:eastAsiaTheme="minorEastAsia" w:hAnsi="Verdana" w:cs="Arial"/>
          <w:spacing w:val="-2"/>
          <w:sz w:val="20"/>
          <w:szCs w:val="20"/>
          <w:lang w:eastAsia="es-CO"/>
        </w:rPr>
        <w:t xml:space="preserve"> </w:t>
      </w:r>
      <w:r w:rsidRPr="008E7C1B">
        <w:rPr>
          <w:rFonts w:ascii="Verdana" w:eastAsiaTheme="minorEastAsia" w:hAnsi="Verdana" w:cs="Arial"/>
          <w:sz w:val="20"/>
          <w:szCs w:val="20"/>
          <w:lang w:eastAsia="es-CO"/>
        </w:rPr>
        <w:t>a</w:t>
      </w:r>
      <w:r w:rsidRPr="008E7C1B">
        <w:rPr>
          <w:rFonts w:ascii="Verdana" w:eastAsiaTheme="minorEastAsia" w:hAnsi="Verdana" w:cs="Arial"/>
          <w:spacing w:val="-3"/>
          <w:sz w:val="20"/>
          <w:szCs w:val="20"/>
          <w:lang w:eastAsia="es-CO"/>
        </w:rPr>
        <w:t xml:space="preserve"> </w:t>
      </w:r>
      <w:r w:rsidRPr="008E7C1B">
        <w:rPr>
          <w:rFonts w:ascii="Verdana" w:eastAsiaTheme="minorEastAsia" w:hAnsi="Verdana" w:cs="Arial"/>
          <w:sz w:val="20"/>
          <w:szCs w:val="20"/>
          <w:lang w:eastAsia="es-CO"/>
        </w:rPr>
        <w:t>las</w:t>
      </w:r>
      <w:r w:rsidRPr="008E7C1B">
        <w:rPr>
          <w:rFonts w:ascii="Verdana" w:eastAsiaTheme="minorEastAsia" w:hAnsi="Verdana" w:cs="Arial"/>
          <w:spacing w:val="-2"/>
          <w:sz w:val="20"/>
          <w:szCs w:val="20"/>
          <w:lang w:eastAsia="es-CO"/>
        </w:rPr>
        <w:t xml:space="preserve"> </w:t>
      </w:r>
      <w:r w:rsidRPr="008E7C1B">
        <w:rPr>
          <w:rFonts w:ascii="Verdana" w:eastAsiaTheme="minorEastAsia" w:hAnsi="Verdana" w:cs="Arial"/>
          <w:sz w:val="20"/>
          <w:szCs w:val="20"/>
          <w:lang w:eastAsia="es-CO"/>
        </w:rPr>
        <w:t>autoridades</w:t>
      </w:r>
      <w:r w:rsidRPr="008E7C1B">
        <w:rPr>
          <w:rFonts w:ascii="Verdana" w:eastAsiaTheme="minorEastAsia" w:hAnsi="Verdana" w:cs="Arial"/>
          <w:spacing w:val="-3"/>
          <w:sz w:val="20"/>
          <w:szCs w:val="20"/>
          <w:lang w:eastAsia="es-CO"/>
        </w:rPr>
        <w:t xml:space="preserve"> </w:t>
      </w:r>
      <w:r w:rsidRPr="008E7C1B">
        <w:rPr>
          <w:rFonts w:ascii="Verdana" w:eastAsiaTheme="minorEastAsia" w:hAnsi="Verdana" w:cs="Arial"/>
          <w:sz w:val="20"/>
          <w:szCs w:val="20"/>
          <w:lang w:eastAsia="es-CO"/>
        </w:rPr>
        <w:t>judiciales</w:t>
      </w:r>
      <w:r w:rsidRPr="008E7C1B">
        <w:rPr>
          <w:rFonts w:ascii="Verdana" w:eastAsiaTheme="minorEastAsia" w:hAnsi="Verdana" w:cs="Arial"/>
          <w:spacing w:val="-2"/>
          <w:sz w:val="20"/>
          <w:szCs w:val="20"/>
          <w:lang w:eastAsia="es-CO"/>
        </w:rPr>
        <w:t xml:space="preserve"> </w:t>
      </w:r>
      <w:r w:rsidRPr="008E7C1B">
        <w:rPr>
          <w:rFonts w:ascii="Verdana" w:eastAsiaTheme="minorEastAsia" w:hAnsi="Verdana" w:cs="Arial"/>
          <w:sz w:val="20"/>
          <w:szCs w:val="20"/>
          <w:lang w:eastAsia="es-CO"/>
        </w:rPr>
        <w:t>y</w:t>
      </w:r>
      <w:r w:rsidRPr="008E7C1B">
        <w:rPr>
          <w:rFonts w:ascii="Verdana" w:eastAsiaTheme="minorEastAsia" w:hAnsi="Verdana" w:cs="Arial"/>
          <w:spacing w:val="-3"/>
          <w:sz w:val="20"/>
          <w:szCs w:val="20"/>
          <w:lang w:eastAsia="es-CO"/>
        </w:rPr>
        <w:t xml:space="preserve"> </w:t>
      </w:r>
      <w:r w:rsidRPr="008E7C1B">
        <w:rPr>
          <w:rFonts w:ascii="Verdana" w:eastAsiaTheme="minorEastAsia" w:hAnsi="Verdana" w:cs="Arial"/>
          <w:sz w:val="20"/>
          <w:szCs w:val="20"/>
          <w:lang w:eastAsia="es-CO"/>
        </w:rPr>
        <w:t>a</w:t>
      </w:r>
      <w:r w:rsidRPr="008E7C1B">
        <w:rPr>
          <w:rFonts w:ascii="Verdana" w:eastAsiaTheme="minorEastAsia" w:hAnsi="Verdana" w:cs="Arial"/>
          <w:spacing w:val="-2"/>
          <w:sz w:val="20"/>
          <w:szCs w:val="20"/>
          <w:lang w:eastAsia="es-CO"/>
        </w:rPr>
        <w:t xml:space="preserve"> </w:t>
      </w:r>
      <w:r w:rsidRPr="008E7C1B">
        <w:rPr>
          <w:rFonts w:ascii="Verdana" w:eastAsiaTheme="minorEastAsia" w:hAnsi="Verdana" w:cs="Arial"/>
          <w:sz w:val="20"/>
          <w:szCs w:val="20"/>
          <w:lang w:eastAsia="es-CO"/>
        </w:rPr>
        <w:t>los</w:t>
      </w:r>
      <w:r w:rsidRPr="008E7C1B">
        <w:rPr>
          <w:rFonts w:ascii="Verdana" w:eastAsiaTheme="minorEastAsia" w:hAnsi="Verdana" w:cs="Arial"/>
          <w:spacing w:val="-3"/>
          <w:sz w:val="20"/>
          <w:szCs w:val="20"/>
          <w:lang w:eastAsia="es-CO"/>
        </w:rPr>
        <w:t xml:space="preserve"> </w:t>
      </w:r>
      <w:r w:rsidRPr="008E7C1B">
        <w:rPr>
          <w:rFonts w:ascii="Verdana" w:eastAsiaTheme="minorEastAsia" w:hAnsi="Verdana" w:cs="Arial"/>
          <w:sz w:val="20"/>
          <w:szCs w:val="20"/>
          <w:lang w:eastAsia="es-CO"/>
        </w:rPr>
        <w:t>organismos</w:t>
      </w:r>
      <w:r w:rsidRPr="008E7C1B">
        <w:rPr>
          <w:rFonts w:ascii="Verdana" w:eastAsiaTheme="minorEastAsia" w:hAnsi="Verdana" w:cs="Arial"/>
          <w:spacing w:val="-3"/>
          <w:sz w:val="20"/>
          <w:szCs w:val="20"/>
          <w:lang w:eastAsia="es-CO"/>
        </w:rPr>
        <w:t xml:space="preserve"> </w:t>
      </w:r>
      <w:r w:rsidRPr="008E7C1B">
        <w:rPr>
          <w:rFonts w:ascii="Verdana" w:eastAsiaTheme="minorEastAsia" w:hAnsi="Verdana" w:cs="Arial"/>
          <w:sz w:val="20"/>
          <w:szCs w:val="20"/>
          <w:lang w:eastAsia="es-CO"/>
        </w:rPr>
        <w:t>de</w:t>
      </w:r>
      <w:r w:rsidRPr="008E7C1B">
        <w:rPr>
          <w:rFonts w:ascii="Verdana" w:eastAsiaTheme="minorEastAsia" w:hAnsi="Verdana" w:cs="Arial"/>
          <w:spacing w:val="-2"/>
          <w:sz w:val="20"/>
          <w:szCs w:val="20"/>
          <w:lang w:eastAsia="es-CO"/>
        </w:rPr>
        <w:t xml:space="preserve"> </w:t>
      </w:r>
      <w:r w:rsidRPr="008E7C1B">
        <w:rPr>
          <w:rFonts w:ascii="Verdana" w:eastAsiaTheme="minorEastAsia" w:hAnsi="Verdana" w:cs="Arial"/>
          <w:sz w:val="20"/>
          <w:szCs w:val="20"/>
          <w:lang w:eastAsia="es-CO"/>
        </w:rPr>
        <w:t>control.</w:t>
      </w:r>
    </w:p>
    <w:p w14:paraId="779CC4B1" w14:textId="77777777" w:rsidR="008E7C1B" w:rsidRDefault="008E7C1B" w:rsidP="008E7C1B">
      <w:pPr>
        <w:spacing w:after="0" w:line="240" w:lineRule="auto"/>
        <w:jc w:val="both"/>
        <w:rPr>
          <w:rFonts w:ascii="Verdana" w:eastAsiaTheme="minorEastAsia" w:hAnsi="Verdana" w:cs="Arial"/>
          <w:sz w:val="20"/>
          <w:szCs w:val="20"/>
          <w:lang w:eastAsia="es-CO"/>
        </w:rPr>
      </w:pPr>
    </w:p>
    <w:p w14:paraId="2D49C876" w14:textId="30ACFE19" w:rsidR="008E7C1B" w:rsidRPr="008E7C1B" w:rsidRDefault="008E7C1B" w:rsidP="008E7C1B">
      <w:pPr>
        <w:spacing w:after="0" w:line="240" w:lineRule="auto"/>
        <w:jc w:val="both"/>
        <w:rPr>
          <w:rFonts w:ascii="Verdana" w:eastAsiaTheme="minorEastAsia" w:hAnsi="Verdana" w:cs="Arial"/>
          <w:sz w:val="20"/>
          <w:szCs w:val="20"/>
          <w:lang w:eastAsia="es-CO"/>
        </w:rPr>
      </w:pPr>
      <w:r w:rsidRPr="008E7C1B">
        <w:rPr>
          <w:rFonts w:ascii="Verdana" w:eastAsiaTheme="minorEastAsia" w:hAnsi="Verdana" w:cs="Arial"/>
          <w:sz w:val="20"/>
          <w:szCs w:val="20"/>
          <w:lang w:eastAsia="es-CO"/>
        </w:rPr>
        <w:t>Por</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tanto,</w:t>
      </w:r>
      <w:r w:rsidRPr="008E7C1B">
        <w:rPr>
          <w:rFonts w:ascii="Verdana" w:eastAsiaTheme="minorEastAsia" w:hAnsi="Verdana" w:cs="Arial"/>
          <w:spacing w:val="-8"/>
          <w:sz w:val="20"/>
          <w:szCs w:val="20"/>
          <w:lang w:eastAsia="es-CO"/>
        </w:rPr>
        <w:t xml:space="preserve"> </w:t>
      </w:r>
      <w:r w:rsidRPr="008E7C1B">
        <w:rPr>
          <w:rFonts w:ascii="Verdana" w:eastAsiaTheme="minorEastAsia" w:hAnsi="Verdana" w:cs="Arial"/>
          <w:sz w:val="20"/>
          <w:szCs w:val="20"/>
          <w:lang w:eastAsia="es-CO"/>
        </w:rPr>
        <w:t>la</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competencia</w:t>
      </w:r>
      <w:r w:rsidRPr="008E7C1B">
        <w:rPr>
          <w:rFonts w:ascii="Verdana" w:eastAsiaTheme="minorEastAsia" w:hAnsi="Verdana" w:cs="Arial"/>
          <w:spacing w:val="-9"/>
          <w:sz w:val="20"/>
          <w:szCs w:val="20"/>
          <w:lang w:eastAsia="es-CO"/>
        </w:rPr>
        <w:t xml:space="preserve"> </w:t>
      </w:r>
      <w:r w:rsidRPr="008E7C1B">
        <w:rPr>
          <w:rFonts w:ascii="Verdana" w:eastAsiaTheme="minorEastAsia" w:hAnsi="Verdana" w:cs="Arial"/>
          <w:sz w:val="20"/>
          <w:szCs w:val="20"/>
          <w:lang w:eastAsia="es-CO"/>
        </w:rPr>
        <w:t>de</w:t>
      </w:r>
      <w:r w:rsidRPr="008E7C1B">
        <w:rPr>
          <w:rFonts w:ascii="Verdana" w:eastAsiaTheme="minorEastAsia" w:hAnsi="Verdana" w:cs="Arial"/>
          <w:spacing w:val="-9"/>
          <w:sz w:val="20"/>
          <w:szCs w:val="20"/>
          <w:lang w:eastAsia="es-CO"/>
        </w:rPr>
        <w:t xml:space="preserve"> </w:t>
      </w:r>
      <w:r w:rsidRPr="008E7C1B">
        <w:rPr>
          <w:rFonts w:ascii="Verdana" w:eastAsiaTheme="minorEastAsia" w:hAnsi="Verdana" w:cs="Arial"/>
          <w:sz w:val="20"/>
          <w:szCs w:val="20"/>
          <w:lang w:eastAsia="es-CO"/>
        </w:rPr>
        <w:t>esta</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Agencia</w:t>
      </w:r>
      <w:r w:rsidRPr="008E7C1B">
        <w:rPr>
          <w:rFonts w:ascii="Verdana" w:eastAsiaTheme="minorEastAsia" w:hAnsi="Verdana" w:cs="Arial"/>
          <w:spacing w:val="-8"/>
          <w:sz w:val="20"/>
          <w:szCs w:val="20"/>
          <w:lang w:eastAsia="es-CO"/>
        </w:rPr>
        <w:t xml:space="preserve"> </w:t>
      </w:r>
      <w:r w:rsidRPr="008E7C1B">
        <w:rPr>
          <w:rFonts w:ascii="Verdana" w:eastAsiaTheme="minorEastAsia" w:hAnsi="Verdana" w:cs="Arial"/>
          <w:sz w:val="20"/>
          <w:szCs w:val="20"/>
          <w:lang w:eastAsia="es-CO"/>
        </w:rPr>
        <w:t>se</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fija</w:t>
      </w:r>
      <w:r w:rsidRPr="008E7C1B">
        <w:rPr>
          <w:rFonts w:ascii="Verdana" w:eastAsiaTheme="minorEastAsia" w:hAnsi="Verdana" w:cs="Arial"/>
          <w:spacing w:val="-9"/>
          <w:sz w:val="20"/>
          <w:szCs w:val="20"/>
          <w:lang w:eastAsia="es-CO"/>
        </w:rPr>
        <w:t xml:space="preserve"> </w:t>
      </w:r>
      <w:r w:rsidRPr="008E7C1B">
        <w:rPr>
          <w:rFonts w:ascii="Verdana" w:eastAsiaTheme="minorEastAsia" w:hAnsi="Verdana" w:cs="Arial"/>
          <w:sz w:val="20"/>
          <w:szCs w:val="20"/>
          <w:lang w:eastAsia="es-CO"/>
        </w:rPr>
        <w:t>con</w:t>
      </w:r>
      <w:r w:rsidRPr="008E7C1B">
        <w:rPr>
          <w:rFonts w:ascii="Verdana" w:eastAsiaTheme="minorEastAsia" w:hAnsi="Verdana" w:cs="Arial"/>
          <w:spacing w:val="-9"/>
          <w:sz w:val="20"/>
          <w:szCs w:val="20"/>
          <w:lang w:eastAsia="es-CO"/>
        </w:rPr>
        <w:t xml:space="preserve"> </w:t>
      </w:r>
      <w:r w:rsidRPr="008E7C1B">
        <w:rPr>
          <w:rFonts w:ascii="Verdana" w:eastAsiaTheme="minorEastAsia" w:hAnsi="Verdana" w:cs="Arial"/>
          <w:sz w:val="20"/>
          <w:szCs w:val="20"/>
          <w:lang w:eastAsia="es-CO"/>
        </w:rPr>
        <w:t>límites</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claros,</w:t>
      </w:r>
      <w:r w:rsidRPr="008E7C1B">
        <w:rPr>
          <w:rFonts w:ascii="Verdana" w:eastAsiaTheme="minorEastAsia" w:hAnsi="Verdana" w:cs="Arial"/>
          <w:spacing w:val="-9"/>
          <w:sz w:val="20"/>
          <w:szCs w:val="20"/>
          <w:lang w:eastAsia="es-CO"/>
        </w:rPr>
        <w:t xml:space="preserve"> </w:t>
      </w:r>
      <w:r w:rsidRPr="008E7C1B">
        <w:rPr>
          <w:rFonts w:ascii="Verdana" w:eastAsiaTheme="minorEastAsia" w:hAnsi="Verdana" w:cs="Arial"/>
          <w:sz w:val="20"/>
          <w:szCs w:val="20"/>
          <w:lang w:eastAsia="es-CO"/>
        </w:rPr>
        <w:t>con</w:t>
      </w:r>
      <w:r w:rsidRPr="008E7C1B">
        <w:rPr>
          <w:rFonts w:ascii="Verdana" w:eastAsiaTheme="minorEastAsia" w:hAnsi="Verdana" w:cs="Arial"/>
          <w:spacing w:val="-9"/>
          <w:sz w:val="20"/>
          <w:szCs w:val="20"/>
          <w:lang w:eastAsia="es-CO"/>
        </w:rPr>
        <w:t xml:space="preserve"> </w:t>
      </w:r>
      <w:r w:rsidRPr="008E7C1B">
        <w:rPr>
          <w:rFonts w:ascii="Verdana" w:eastAsiaTheme="minorEastAsia" w:hAnsi="Verdana" w:cs="Arial"/>
          <w:sz w:val="20"/>
          <w:szCs w:val="20"/>
          <w:lang w:eastAsia="es-CO"/>
        </w:rPr>
        <w:t>el</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objeto</w:t>
      </w:r>
      <w:r w:rsidRPr="008E7C1B">
        <w:rPr>
          <w:rFonts w:ascii="Verdana" w:eastAsiaTheme="minorEastAsia" w:hAnsi="Verdana" w:cs="Arial"/>
          <w:spacing w:val="-9"/>
          <w:sz w:val="20"/>
          <w:szCs w:val="20"/>
          <w:lang w:eastAsia="es-CO"/>
        </w:rPr>
        <w:t xml:space="preserve"> </w:t>
      </w:r>
      <w:r w:rsidRPr="008E7C1B">
        <w:rPr>
          <w:rFonts w:ascii="Verdana" w:eastAsiaTheme="minorEastAsia" w:hAnsi="Verdana" w:cs="Arial"/>
          <w:sz w:val="20"/>
          <w:szCs w:val="20"/>
          <w:lang w:eastAsia="es-CO"/>
        </w:rPr>
        <w:t>de</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evitar</w:t>
      </w:r>
      <w:r w:rsidRPr="008E7C1B">
        <w:rPr>
          <w:rFonts w:ascii="Verdana" w:eastAsiaTheme="minorEastAsia" w:hAnsi="Verdana" w:cs="Arial"/>
          <w:spacing w:val="-58"/>
          <w:sz w:val="20"/>
          <w:szCs w:val="20"/>
          <w:lang w:eastAsia="es-CO"/>
        </w:rPr>
        <w:t xml:space="preserve"> </w:t>
      </w:r>
      <w:r w:rsidRPr="008E7C1B">
        <w:rPr>
          <w:rFonts w:ascii="Verdana" w:eastAsiaTheme="minorEastAsia" w:hAnsi="Verdana" w:cs="Arial"/>
          <w:sz w:val="20"/>
          <w:szCs w:val="20"/>
          <w:lang w:eastAsia="es-CO"/>
        </w:rPr>
        <w:t>que actúe como una instancia de validación de las actuaciones de las entidades sujetas a la Ley 80</w:t>
      </w:r>
      <w:r w:rsidRPr="008E7C1B">
        <w:rPr>
          <w:rFonts w:ascii="Verdana" w:eastAsiaTheme="minorEastAsia" w:hAnsi="Verdana" w:cs="Arial"/>
          <w:spacing w:val="-7"/>
          <w:sz w:val="20"/>
          <w:szCs w:val="20"/>
          <w:lang w:eastAsia="es-CO"/>
        </w:rPr>
        <w:t xml:space="preserve"> </w:t>
      </w:r>
      <w:r w:rsidRPr="008E7C1B">
        <w:rPr>
          <w:rFonts w:ascii="Verdana" w:eastAsiaTheme="minorEastAsia" w:hAnsi="Verdana" w:cs="Arial"/>
          <w:sz w:val="20"/>
          <w:szCs w:val="20"/>
          <w:lang w:eastAsia="es-CO"/>
        </w:rPr>
        <w:t>de</w:t>
      </w:r>
      <w:r w:rsidRPr="008E7C1B">
        <w:rPr>
          <w:rFonts w:ascii="Verdana" w:eastAsiaTheme="minorEastAsia" w:hAnsi="Verdana" w:cs="Arial"/>
          <w:spacing w:val="-6"/>
          <w:sz w:val="20"/>
          <w:szCs w:val="20"/>
          <w:lang w:eastAsia="es-CO"/>
        </w:rPr>
        <w:t xml:space="preserve"> </w:t>
      </w:r>
      <w:r w:rsidRPr="008E7C1B">
        <w:rPr>
          <w:rFonts w:ascii="Verdana" w:eastAsiaTheme="minorEastAsia" w:hAnsi="Verdana" w:cs="Arial"/>
          <w:sz w:val="20"/>
          <w:szCs w:val="20"/>
          <w:lang w:eastAsia="es-CO"/>
        </w:rPr>
        <w:t>1993</w:t>
      </w:r>
      <w:r w:rsidRPr="008E7C1B">
        <w:rPr>
          <w:rFonts w:ascii="Verdana" w:eastAsiaTheme="minorEastAsia" w:hAnsi="Verdana" w:cs="Arial"/>
          <w:spacing w:val="-6"/>
          <w:sz w:val="20"/>
          <w:szCs w:val="20"/>
          <w:lang w:eastAsia="es-CO"/>
        </w:rPr>
        <w:t xml:space="preserve"> </w:t>
      </w:r>
      <w:r w:rsidRPr="008E7C1B">
        <w:rPr>
          <w:rFonts w:ascii="Verdana" w:eastAsiaTheme="minorEastAsia" w:hAnsi="Verdana" w:cs="Arial"/>
          <w:sz w:val="20"/>
          <w:szCs w:val="20"/>
          <w:lang w:eastAsia="es-CO"/>
        </w:rPr>
        <w:t>o</w:t>
      </w:r>
      <w:r w:rsidRPr="008E7C1B">
        <w:rPr>
          <w:rFonts w:ascii="Verdana" w:eastAsiaTheme="minorEastAsia" w:hAnsi="Verdana" w:cs="Arial"/>
          <w:spacing w:val="-6"/>
          <w:sz w:val="20"/>
          <w:szCs w:val="20"/>
          <w:lang w:eastAsia="es-CO"/>
        </w:rPr>
        <w:t xml:space="preserve"> </w:t>
      </w:r>
      <w:r w:rsidRPr="008E7C1B">
        <w:rPr>
          <w:rFonts w:ascii="Verdana" w:eastAsiaTheme="minorEastAsia" w:hAnsi="Verdana" w:cs="Arial"/>
          <w:sz w:val="20"/>
          <w:szCs w:val="20"/>
          <w:lang w:eastAsia="es-CO"/>
        </w:rPr>
        <w:t>de</w:t>
      </w:r>
      <w:r w:rsidRPr="008E7C1B">
        <w:rPr>
          <w:rFonts w:ascii="Verdana" w:eastAsiaTheme="minorEastAsia" w:hAnsi="Verdana" w:cs="Arial"/>
          <w:spacing w:val="-6"/>
          <w:sz w:val="20"/>
          <w:szCs w:val="20"/>
          <w:lang w:eastAsia="es-CO"/>
        </w:rPr>
        <w:t xml:space="preserve"> </w:t>
      </w:r>
      <w:r w:rsidRPr="008E7C1B">
        <w:rPr>
          <w:rFonts w:ascii="Verdana" w:eastAsiaTheme="minorEastAsia" w:hAnsi="Verdana" w:cs="Arial"/>
          <w:sz w:val="20"/>
          <w:szCs w:val="20"/>
          <w:lang w:eastAsia="es-CO"/>
        </w:rPr>
        <w:t>los</w:t>
      </w:r>
      <w:r w:rsidRPr="008E7C1B">
        <w:rPr>
          <w:rFonts w:ascii="Verdana" w:eastAsiaTheme="minorEastAsia" w:hAnsi="Verdana" w:cs="Arial"/>
          <w:spacing w:val="-6"/>
          <w:sz w:val="20"/>
          <w:szCs w:val="20"/>
          <w:lang w:eastAsia="es-CO"/>
        </w:rPr>
        <w:t xml:space="preserve"> </w:t>
      </w:r>
      <w:r w:rsidRPr="008E7C1B">
        <w:rPr>
          <w:rFonts w:ascii="Verdana" w:eastAsiaTheme="minorEastAsia" w:hAnsi="Verdana" w:cs="Arial"/>
          <w:sz w:val="20"/>
          <w:szCs w:val="20"/>
          <w:lang w:eastAsia="es-CO"/>
        </w:rPr>
        <w:t>demás</w:t>
      </w:r>
      <w:r w:rsidRPr="008E7C1B">
        <w:rPr>
          <w:rFonts w:ascii="Verdana" w:eastAsiaTheme="minorEastAsia" w:hAnsi="Verdana" w:cs="Arial"/>
          <w:spacing w:val="-6"/>
          <w:sz w:val="20"/>
          <w:szCs w:val="20"/>
          <w:lang w:eastAsia="es-CO"/>
        </w:rPr>
        <w:t xml:space="preserve"> </w:t>
      </w:r>
      <w:r w:rsidRPr="008E7C1B">
        <w:rPr>
          <w:rFonts w:ascii="Verdana" w:eastAsiaTheme="minorEastAsia" w:hAnsi="Verdana" w:cs="Arial"/>
          <w:sz w:val="20"/>
          <w:szCs w:val="20"/>
          <w:lang w:eastAsia="es-CO"/>
        </w:rPr>
        <w:t>participantes</w:t>
      </w:r>
      <w:r w:rsidRPr="008E7C1B">
        <w:rPr>
          <w:rFonts w:ascii="Verdana" w:eastAsiaTheme="minorEastAsia" w:hAnsi="Verdana" w:cs="Arial"/>
          <w:spacing w:val="-6"/>
          <w:sz w:val="20"/>
          <w:szCs w:val="20"/>
          <w:lang w:eastAsia="es-CO"/>
        </w:rPr>
        <w:t xml:space="preserve"> </w:t>
      </w:r>
      <w:r w:rsidRPr="008E7C1B">
        <w:rPr>
          <w:rFonts w:ascii="Verdana" w:eastAsiaTheme="minorEastAsia" w:hAnsi="Verdana" w:cs="Arial"/>
          <w:sz w:val="20"/>
          <w:szCs w:val="20"/>
          <w:lang w:eastAsia="es-CO"/>
        </w:rPr>
        <w:t>de</w:t>
      </w:r>
      <w:r w:rsidRPr="008E7C1B">
        <w:rPr>
          <w:rFonts w:ascii="Verdana" w:eastAsiaTheme="minorEastAsia" w:hAnsi="Verdana" w:cs="Arial"/>
          <w:spacing w:val="-6"/>
          <w:sz w:val="20"/>
          <w:szCs w:val="20"/>
          <w:lang w:eastAsia="es-CO"/>
        </w:rPr>
        <w:t xml:space="preserve"> </w:t>
      </w:r>
      <w:r w:rsidRPr="008E7C1B">
        <w:rPr>
          <w:rFonts w:ascii="Verdana" w:eastAsiaTheme="minorEastAsia" w:hAnsi="Verdana" w:cs="Arial"/>
          <w:sz w:val="20"/>
          <w:szCs w:val="20"/>
          <w:lang w:eastAsia="es-CO"/>
        </w:rPr>
        <w:t>la</w:t>
      </w:r>
      <w:r w:rsidRPr="008E7C1B">
        <w:rPr>
          <w:rFonts w:ascii="Verdana" w:eastAsiaTheme="minorEastAsia" w:hAnsi="Verdana" w:cs="Arial"/>
          <w:spacing w:val="-6"/>
          <w:sz w:val="20"/>
          <w:szCs w:val="20"/>
          <w:lang w:eastAsia="es-CO"/>
        </w:rPr>
        <w:t xml:space="preserve"> </w:t>
      </w:r>
      <w:r w:rsidRPr="008E7C1B">
        <w:rPr>
          <w:rFonts w:ascii="Verdana" w:eastAsiaTheme="minorEastAsia" w:hAnsi="Verdana" w:cs="Arial"/>
          <w:sz w:val="20"/>
          <w:szCs w:val="20"/>
          <w:lang w:eastAsia="es-CO"/>
        </w:rPr>
        <w:t>contratación</w:t>
      </w:r>
      <w:r w:rsidRPr="008E7C1B">
        <w:rPr>
          <w:rFonts w:ascii="Verdana" w:eastAsiaTheme="minorEastAsia" w:hAnsi="Verdana" w:cs="Arial"/>
          <w:spacing w:val="-6"/>
          <w:sz w:val="20"/>
          <w:szCs w:val="20"/>
          <w:lang w:eastAsia="es-CO"/>
        </w:rPr>
        <w:t xml:space="preserve"> </w:t>
      </w:r>
      <w:r w:rsidRPr="008E7C1B">
        <w:rPr>
          <w:rFonts w:ascii="Verdana" w:eastAsiaTheme="minorEastAsia" w:hAnsi="Verdana" w:cs="Arial"/>
          <w:sz w:val="20"/>
          <w:szCs w:val="20"/>
          <w:lang w:eastAsia="es-CO"/>
        </w:rPr>
        <w:t>pública.</w:t>
      </w:r>
      <w:r w:rsidRPr="008E7C1B">
        <w:rPr>
          <w:rFonts w:ascii="Verdana" w:eastAsiaTheme="minorEastAsia" w:hAnsi="Verdana" w:cs="Arial"/>
          <w:spacing w:val="-7"/>
          <w:sz w:val="20"/>
          <w:szCs w:val="20"/>
          <w:lang w:eastAsia="es-CO"/>
        </w:rPr>
        <w:t xml:space="preserve"> </w:t>
      </w:r>
      <w:r w:rsidRPr="008E7C1B">
        <w:rPr>
          <w:rFonts w:ascii="Verdana" w:eastAsiaTheme="minorEastAsia" w:hAnsi="Verdana" w:cs="Arial"/>
          <w:sz w:val="20"/>
          <w:szCs w:val="20"/>
          <w:lang w:eastAsia="es-CO"/>
        </w:rPr>
        <w:t>Lo</w:t>
      </w:r>
      <w:r w:rsidRPr="008E7C1B">
        <w:rPr>
          <w:rFonts w:ascii="Verdana" w:eastAsiaTheme="minorEastAsia" w:hAnsi="Verdana" w:cs="Arial"/>
          <w:spacing w:val="-6"/>
          <w:sz w:val="20"/>
          <w:szCs w:val="20"/>
          <w:lang w:eastAsia="es-CO"/>
        </w:rPr>
        <w:t xml:space="preserve"> </w:t>
      </w:r>
      <w:r w:rsidRPr="008E7C1B">
        <w:rPr>
          <w:rFonts w:ascii="Verdana" w:eastAsiaTheme="minorEastAsia" w:hAnsi="Verdana" w:cs="Arial"/>
          <w:sz w:val="20"/>
          <w:szCs w:val="20"/>
          <w:lang w:eastAsia="es-CO"/>
        </w:rPr>
        <w:t>anterior,</w:t>
      </w:r>
      <w:r w:rsidRPr="008E7C1B">
        <w:rPr>
          <w:rFonts w:ascii="Verdana" w:eastAsiaTheme="minorEastAsia" w:hAnsi="Verdana" w:cs="Arial"/>
          <w:spacing w:val="-6"/>
          <w:sz w:val="20"/>
          <w:szCs w:val="20"/>
          <w:lang w:eastAsia="es-CO"/>
        </w:rPr>
        <w:t xml:space="preserve"> </w:t>
      </w:r>
      <w:r w:rsidRPr="008E7C1B">
        <w:rPr>
          <w:rFonts w:ascii="Verdana" w:eastAsiaTheme="minorEastAsia" w:hAnsi="Verdana" w:cs="Arial"/>
          <w:sz w:val="20"/>
          <w:szCs w:val="20"/>
          <w:lang w:eastAsia="es-CO"/>
        </w:rPr>
        <w:t>en</w:t>
      </w:r>
      <w:r w:rsidRPr="008E7C1B">
        <w:rPr>
          <w:rFonts w:ascii="Verdana" w:eastAsiaTheme="minorEastAsia" w:hAnsi="Verdana" w:cs="Arial"/>
          <w:spacing w:val="-6"/>
          <w:sz w:val="20"/>
          <w:szCs w:val="20"/>
          <w:lang w:eastAsia="es-CO"/>
        </w:rPr>
        <w:t xml:space="preserve"> </w:t>
      </w:r>
      <w:r w:rsidRPr="008E7C1B">
        <w:rPr>
          <w:rFonts w:ascii="Verdana" w:eastAsiaTheme="minorEastAsia" w:hAnsi="Verdana" w:cs="Arial"/>
          <w:sz w:val="20"/>
          <w:szCs w:val="20"/>
          <w:lang w:eastAsia="es-CO"/>
        </w:rPr>
        <w:t>la</w:t>
      </w:r>
      <w:r w:rsidRPr="008E7C1B">
        <w:rPr>
          <w:rFonts w:ascii="Verdana" w:eastAsiaTheme="minorEastAsia" w:hAnsi="Verdana" w:cs="Arial"/>
          <w:spacing w:val="-6"/>
          <w:sz w:val="20"/>
          <w:szCs w:val="20"/>
          <w:lang w:eastAsia="es-CO"/>
        </w:rPr>
        <w:t xml:space="preserve"> </w:t>
      </w:r>
      <w:r w:rsidRPr="008E7C1B">
        <w:rPr>
          <w:rFonts w:ascii="Verdana" w:eastAsiaTheme="minorEastAsia" w:hAnsi="Verdana" w:cs="Arial"/>
          <w:sz w:val="20"/>
          <w:szCs w:val="20"/>
          <w:lang w:eastAsia="es-CO"/>
        </w:rPr>
        <w:t>medida</w:t>
      </w:r>
      <w:r w:rsidRPr="008E7C1B">
        <w:rPr>
          <w:rFonts w:ascii="Verdana" w:eastAsiaTheme="minorEastAsia" w:hAnsi="Verdana" w:cs="Arial"/>
          <w:spacing w:val="-6"/>
          <w:sz w:val="20"/>
          <w:szCs w:val="20"/>
          <w:lang w:eastAsia="es-CO"/>
        </w:rPr>
        <w:t xml:space="preserve"> </w:t>
      </w:r>
      <w:r w:rsidRPr="008E7C1B">
        <w:rPr>
          <w:rFonts w:ascii="Verdana" w:eastAsiaTheme="minorEastAsia" w:hAnsi="Verdana" w:cs="Arial"/>
          <w:sz w:val="20"/>
          <w:szCs w:val="20"/>
          <w:lang w:eastAsia="es-CO"/>
        </w:rPr>
        <w:t>en</w:t>
      </w:r>
      <w:r w:rsidRPr="008E7C1B">
        <w:rPr>
          <w:rFonts w:ascii="Verdana" w:eastAsiaTheme="minorEastAsia" w:hAnsi="Verdana" w:cs="Arial"/>
          <w:spacing w:val="-59"/>
          <w:sz w:val="20"/>
          <w:szCs w:val="20"/>
          <w:lang w:eastAsia="es-CO"/>
        </w:rPr>
        <w:t xml:space="preserve"> </w:t>
      </w:r>
      <w:r w:rsidRPr="008E7C1B">
        <w:rPr>
          <w:rFonts w:ascii="Verdana" w:eastAsiaTheme="minorEastAsia" w:hAnsi="Verdana" w:cs="Arial"/>
          <w:sz w:val="20"/>
          <w:szCs w:val="20"/>
          <w:lang w:eastAsia="es-CO"/>
        </w:rPr>
        <w:t>que,</w:t>
      </w:r>
      <w:r w:rsidRPr="008E7C1B">
        <w:rPr>
          <w:rFonts w:ascii="Verdana" w:eastAsiaTheme="minorEastAsia" w:hAnsi="Verdana" w:cs="Arial"/>
          <w:spacing w:val="30"/>
          <w:sz w:val="20"/>
          <w:szCs w:val="20"/>
          <w:lang w:eastAsia="es-CO"/>
        </w:rPr>
        <w:t xml:space="preserve"> </w:t>
      </w:r>
      <w:r w:rsidRPr="008E7C1B">
        <w:rPr>
          <w:rFonts w:ascii="Verdana" w:eastAsiaTheme="minorEastAsia" w:hAnsi="Verdana" w:cs="Arial"/>
          <w:sz w:val="20"/>
          <w:szCs w:val="20"/>
          <w:lang w:eastAsia="es-CO"/>
        </w:rPr>
        <w:t>para</w:t>
      </w:r>
      <w:r w:rsidRPr="008E7C1B">
        <w:rPr>
          <w:rFonts w:ascii="Verdana" w:eastAsiaTheme="minorEastAsia" w:hAnsi="Verdana" w:cs="Arial"/>
          <w:spacing w:val="31"/>
          <w:sz w:val="20"/>
          <w:szCs w:val="20"/>
          <w:lang w:eastAsia="es-CO"/>
        </w:rPr>
        <w:t xml:space="preserve"> </w:t>
      </w:r>
      <w:r w:rsidRPr="008E7C1B">
        <w:rPr>
          <w:rFonts w:ascii="Verdana" w:eastAsiaTheme="minorEastAsia" w:hAnsi="Verdana" w:cs="Arial"/>
          <w:sz w:val="20"/>
          <w:szCs w:val="20"/>
          <w:lang w:eastAsia="es-CO"/>
        </w:rPr>
        <w:t>resolver</w:t>
      </w:r>
      <w:r w:rsidRPr="008E7C1B">
        <w:rPr>
          <w:rFonts w:ascii="Verdana" w:eastAsiaTheme="minorEastAsia" w:hAnsi="Verdana" w:cs="Arial"/>
          <w:spacing w:val="31"/>
          <w:sz w:val="20"/>
          <w:szCs w:val="20"/>
          <w:lang w:eastAsia="es-CO"/>
        </w:rPr>
        <w:t xml:space="preserve"> </w:t>
      </w:r>
      <w:r w:rsidRPr="008E7C1B">
        <w:rPr>
          <w:rFonts w:ascii="Verdana" w:eastAsiaTheme="minorEastAsia" w:hAnsi="Verdana" w:cs="Arial"/>
          <w:sz w:val="20"/>
          <w:szCs w:val="20"/>
          <w:lang w:eastAsia="es-CO"/>
        </w:rPr>
        <w:t>una</w:t>
      </w:r>
      <w:r w:rsidRPr="008E7C1B">
        <w:rPr>
          <w:rFonts w:ascii="Verdana" w:eastAsiaTheme="minorEastAsia" w:hAnsi="Verdana" w:cs="Arial"/>
          <w:spacing w:val="31"/>
          <w:sz w:val="20"/>
          <w:szCs w:val="20"/>
          <w:lang w:eastAsia="es-CO"/>
        </w:rPr>
        <w:t xml:space="preserve"> </w:t>
      </w:r>
      <w:r w:rsidRPr="008E7C1B">
        <w:rPr>
          <w:rFonts w:ascii="Verdana" w:eastAsiaTheme="minorEastAsia" w:hAnsi="Verdana" w:cs="Arial"/>
          <w:sz w:val="20"/>
          <w:szCs w:val="20"/>
          <w:lang w:eastAsia="es-CO"/>
        </w:rPr>
        <w:t>consulta</w:t>
      </w:r>
      <w:r w:rsidRPr="008E7C1B">
        <w:rPr>
          <w:rFonts w:ascii="Verdana" w:eastAsiaTheme="minorEastAsia" w:hAnsi="Verdana" w:cs="Arial"/>
          <w:spacing w:val="31"/>
          <w:sz w:val="20"/>
          <w:szCs w:val="20"/>
          <w:lang w:eastAsia="es-CO"/>
        </w:rPr>
        <w:t xml:space="preserve"> </w:t>
      </w:r>
      <w:r w:rsidRPr="008E7C1B">
        <w:rPr>
          <w:rFonts w:ascii="Verdana" w:eastAsiaTheme="minorEastAsia" w:hAnsi="Verdana" w:cs="Arial"/>
          <w:sz w:val="20"/>
          <w:szCs w:val="20"/>
          <w:lang w:eastAsia="es-CO"/>
        </w:rPr>
        <w:t>de</w:t>
      </w:r>
      <w:r w:rsidRPr="008E7C1B">
        <w:rPr>
          <w:rFonts w:ascii="Verdana" w:eastAsiaTheme="minorEastAsia" w:hAnsi="Verdana" w:cs="Arial"/>
          <w:spacing w:val="31"/>
          <w:sz w:val="20"/>
          <w:szCs w:val="20"/>
          <w:lang w:eastAsia="es-CO"/>
        </w:rPr>
        <w:t xml:space="preserve"> </w:t>
      </w:r>
      <w:r w:rsidRPr="008E7C1B">
        <w:rPr>
          <w:rFonts w:ascii="Verdana" w:eastAsiaTheme="minorEastAsia" w:hAnsi="Verdana" w:cs="Arial"/>
          <w:sz w:val="20"/>
          <w:szCs w:val="20"/>
          <w:lang w:eastAsia="es-CO"/>
        </w:rPr>
        <w:t>carácter</w:t>
      </w:r>
      <w:r w:rsidRPr="008E7C1B">
        <w:rPr>
          <w:rFonts w:ascii="Verdana" w:eastAsiaTheme="minorEastAsia" w:hAnsi="Verdana" w:cs="Arial"/>
          <w:spacing w:val="31"/>
          <w:sz w:val="20"/>
          <w:szCs w:val="20"/>
          <w:lang w:eastAsia="es-CO"/>
        </w:rPr>
        <w:t xml:space="preserve"> </w:t>
      </w:r>
      <w:r w:rsidRPr="008E7C1B">
        <w:rPr>
          <w:rFonts w:ascii="Verdana" w:eastAsiaTheme="minorEastAsia" w:hAnsi="Verdana" w:cs="Arial"/>
          <w:sz w:val="20"/>
          <w:szCs w:val="20"/>
          <w:lang w:eastAsia="es-CO"/>
        </w:rPr>
        <w:t>particular,</w:t>
      </w:r>
      <w:r w:rsidRPr="008E7C1B">
        <w:rPr>
          <w:rFonts w:ascii="Verdana" w:eastAsiaTheme="minorEastAsia" w:hAnsi="Verdana" w:cs="Arial"/>
          <w:spacing w:val="32"/>
          <w:sz w:val="20"/>
          <w:szCs w:val="20"/>
          <w:lang w:eastAsia="es-CO"/>
        </w:rPr>
        <w:t xml:space="preserve"> </w:t>
      </w:r>
      <w:r w:rsidRPr="008E7C1B">
        <w:rPr>
          <w:rFonts w:ascii="Verdana" w:eastAsiaTheme="minorEastAsia" w:hAnsi="Verdana" w:cs="Arial"/>
          <w:sz w:val="20"/>
          <w:szCs w:val="20"/>
          <w:lang w:eastAsia="es-CO"/>
        </w:rPr>
        <w:t>además</w:t>
      </w:r>
      <w:r w:rsidRPr="008E7C1B">
        <w:rPr>
          <w:rFonts w:ascii="Verdana" w:eastAsiaTheme="minorEastAsia" w:hAnsi="Verdana" w:cs="Arial"/>
          <w:spacing w:val="31"/>
          <w:sz w:val="20"/>
          <w:szCs w:val="20"/>
          <w:lang w:eastAsia="es-CO"/>
        </w:rPr>
        <w:t xml:space="preserve"> </w:t>
      </w:r>
      <w:r w:rsidRPr="008E7C1B">
        <w:rPr>
          <w:rFonts w:ascii="Verdana" w:eastAsiaTheme="minorEastAsia" w:hAnsi="Verdana" w:cs="Arial"/>
          <w:sz w:val="20"/>
          <w:szCs w:val="20"/>
          <w:lang w:eastAsia="es-CO"/>
        </w:rPr>
        <w:t>de</w:t>
      </w:r>
      <w:r w:rsidRPr="008E7C1B">
        <w:rPr>
          <w:rFonts w:ascii="Verdana" w:eastAsiaTheme="minorEastAsia" w:hAnsi="Verdana" w:cs="Arial"/>
          <w:spacing w:val="31"/>
          <w:sz w:val="20"/>
          <w:szCs w:val="20"/>
          <w:lang w:eastAsia="es-CO"/>
        </w:rPr>
        <w:t xml:space="preserve"> </w:t>
      </w:r>
      <w:r w:rsidRPr="008E7C1B">
        <w:rPr>
          <w:rFonts w:ascii="Verdana" w:eastAsiaTheme="minorEastAsia" w:hAnsi="Verdana" w:cs="Arial"/>
          <w:sz w:val="20"/>
          <w:szCs w:val="20"/>
          <w:lang w:eastAsia="es-CO"/>
        </w:rPr>
        <w:t>conocer</w:t>
      </w:r>
      <w:r w:rsidRPr="008E7C1B">
        <w:rPr>
          <w:rFonts w:ascii="Verdana" w:eastAsiaTheme="minorEastAsia" w:hAnsi="Verdana" w:cs="Arial"/>
          <w:spacing w:val="31"/>
          <w:sz w:val="20"/>
          <w:szCs w:val="20"/>
          <w:lang w:eastAsia="es-CO"/>
        </w:rPr>
        <w:t xml:space="preserve"> </w:t>
      </w:r>
      <w:r w:rsidRPr="008E7C1B">
        <w:rPr>
          <w:rFonts w:ascii="Verdana" w:eastAsiaTheme="minorEastAsia" w:hAnsi="Verdana" w:cs="Arial"/>
          <w:sz w:val="20"/>
          <w:szCs w:val="20"/>
          <w:lang w:eastAsia="es-CO"/>
        </w:rPr>
        <w:t>un</w:t>
      </w:r>
      <w:r w:rsidRPr="008E7C1B">
        <w:rPr>
          <w:rFonts w:ascii="Verdana" w:eastAsiaTheme="minorEastAsia" w:hAnsi="Verdana" w:cs="Arial"/>
          <w:spacing w:val="31"/>
          <w:sz w:val="20"/>
          <w:szCs w:val="20"/>
          <w:lang w:eastAsia="es-CO"/>
        </w:rPr>
        <w:t xml:space="preserve"> </w:t>
      </w:r>
      <w:r w:rsidRPr="008E7C1B">
        <w:rPr>
          <w:rFonts w:ascii="Verdana" w:eastAsiaTheme="minorEastAsia" w:hAnsi="Verdana" w:cs="Arial"/>
          <w:sz w:val="20"/>
          <w:szCs w:val="20"/>
          <w:lang w:eastAsia="es-CO"/>
        </w:rPr>
        <w:t>sinnúmero</w:t>
      </w:r>
      <w:r w:rsidRPr="008E7C1B">
        <w:rPr>
          <w:rFonts w:ascii="Verdana" w:eastAsiaTheme="minorEastAsia" w:hAnsi="Verdana" w:cs="Arial"/>
          <w:spacing w:val="31"/>
          <w:sz w:val="20"/>
          <w:szCs w:val="20"/>
          <w:lang w:eastAsia="es-CO"/>
        </w:rPr>
        <w:t xml:space="preserve"> </w:t>
      </w:r>
      <w:r w:rsidRPr="008E7C1B">
        <w:rPr>
          <w:rFonts w:ascii="Verdana" w:eastAsiaTheme="minorEastAsia" w:hAnsi="Verdana" w:cs="Arial"/>
          <w:sz w:val="20"/>
          <w:szCs w:val="20"/>
          <w:lang w:eastAsia="es-CO"/>
        </w:rPr>
        <w:t>de detalles de la actuación administrativa, es necesario acceder al expediente y a los documentos</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del procedimiento contractual donde surge la inquietud. Por esta razón, al no ser un órgano</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judicial, ni una entidad de vigilancia, inspección o control en materia contractual, la Agencia carece de la</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facultad</w:t>
      </w:r>
      <w:r w:rsidRPr="008E7C1B">
        <w:rPr>
          <w:rFonts w:ascii="Verdana" w:eastAsiaTheme="minorEastAsia" w:hAnsi="Verdana" w:cs="Arial"/>
          <w:spacing w:val="-2"/>
          <w:sz w:val="20"/>
          <w:szCs w:val="20"/>
          <w:lang w:eastAsia="es-CO"/>
        </w:rPr>
        <w:t xml:space="preserve"> </w:t>
      </w:r>
      <w:r w:rsidRPr="008E7C1B">
        <w:rPr>
          <w:rFonts w:ascii="Verdana" w:eastAsiaTheme="minorEastAsia" w:hAnsi="Verdana" w:cs="Arial"/>
          <w:sz w:val="20"/>
          <w:szCs w:val="20"/>
          <w:lang w:eastAsia="es-CO"/>
        </w:rPr>
        <w:t>para</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desempeñar</w:t>
      </w:r>
      <w:r w:rsidRPr="008E7C1B">
        <w:rPr>
          <w:rFonts w:ascii="Verdana" w:eastAsiaTheme="minorEastAsia" w:hAnsi="Verdana" w:cs="Arial"/>
          <w:spacing w:val="-2"/>
          <w:sz w:val="20"/>
          <w:szCs w:val="20"/>
          <w:lang w:eastAsia="es-CO"/>
        </w:rPr>
        <w:t xml:space="preserve"> </w:t>
      </w:r>
      <w:r w:rsidRPr="008E7C1B">
        <w:rPr>
          <w:rFonts w:ascii="Verdana" w:eastAsiaTheme="minorEastAsia" w:hAnsi="Verdana" w:cs="Arial"/>
          <w:sz w:val="20"/>
          <w:szCs w:val="20"/>
          <w:lang w:eastAsia="es-CO"/>
        </w:rPr>
        <w:t>estas</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funciones.</w:t>
      </w:r>
    </w:p>
    <w:p w14:paraId="3A630A70" w14:textId="77777777" w:rsidR="008E7C1B" w:rsidRDefault="008E7C1B" w:rsidP="008E7C1B">
      <w:pPr>
        <w:spacing w:after="0" w:line="240" w:lineRule="auto"/>
        <w:jc w:val="both"/>
        <w:rPr>
          <w:rFonts w:ascii="Verdana" w:eastAsiaTheme="minorEastAsia" w:hAnsi="Verdana" w:cs="Arial"/>
          <w:sz w:val="20"/>
          <w:szCs w:val="20"/>
          <w:lang w:eastAsia="es-CO"/>
        </w:rPr>
      </w:pPr>
    </w:p>
    <w:p w14:paraId="1DCBF2D0" w14:textId="77777777" w:rsidR="00747654" w:rsidRDefault="00747654" w:rsidP="008E7C1B">
      <w:pPr>
        <w:jc w:val="both"/>
        <w:rPr>
          <w:rFonts w:ascii="Verdana" w:eastAsia="Calibri" w:hAnsi="Verdana" w:cs="Arial"/>
          <w:b/>
        </w:rPr>
      </w:pPr>
      <w:r w:rsidRPr="00747654">
        <w:rPr>
          <w:rFonts w:ascii="Verdana" w:eastAsia="Calibri" w:hAnsi="Verdana" w:cs="Arial"/>
          <w:b/>
        </w:rPr>
        <w:t xml:space="preserve">CONCEPTOS DE LA AGENCIA NACIONAL DE CONTRATACIÓN PÚBLICA - Obligatoriedad – Vinculatoriedad </w:t>
      </w:r>
    </w:p>
    <w:p w14:paraId="531EC093" w14:textId="77777777" w:rsidR="008E7C1B" w:rsidRPr="008E7C1B" w:rsidRDefault="008E7C1B" w:rsidP="008E7C1B">
      <w:pPr>
        <w:spacing w:after="0" w:line="240" w:lineRule="auto"/>
        <w:jc w:val="both"/>
        <w:rPr>
          <w:rFonts w:ascii="Verdana" w:eastAsiaTheme="minorEastAsia" w:hAnsi="Verdana" w:cs="Arial"/>
          <w:sz w:val="20"/>
          <w:szCs w:val="20"/>
          <w:lang w:eastAsia="es-CO"/>
        </w:rPr>
      </w:pPr>
      <w:r w:rsidRPr="008E7C1B">
        <w:rPr>
          <w:rFonts w:ascii="Verdana" w:eastAsiaTheme="minorEastAsia" w:hAnsi="Verdana" w:cs="Arial"/>
          <w:sz w:val="20"/>
          <w:szCs w:val="20"/>
          <w:lang w:eastAsia="es-CO"/>
        </w:rPr>
        <w:t>Ahora bien, debe señalarse que, el alcance de la competencia consultiva encuentra su fundamento normativo en el</w:t>
      </w:r>
      <w:r w:rsidRPr="008E7C1B">
        <w:rPr>
          <w:rFonts w:ascii="Verdana" w:eastAsiaTheme="minorEastAsia" w:hAnsi="Verdana" w:cs="Arial"/>
          <w:spacing w:val="-59"/>
          <w:sz w:val="20"/>
          <w:szCs w:val="20"/>
          <w:lang w:eastAsia="es-CO"/>
        </w:rPr>
        <w:t xml:space="preserve"> </w:t>
      </w:r>
      <w:r w:rsidRPr="008E7C1B">
        <w:rPr>
          <w:rFonts w:ascii="Verdana" w:eastAsiaTheme="minorEastAsia" w:hAnsi="Verdana" w:cs="Arial"/>
          <w:spacing w:val="-1"/>
          <w:sz w:val="20"/>
          <w:szCs w:val="20"/>
          <w:lang w:eastAsia="es-CO"/>
        </w:rPr>
        <w:t>artículo</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pacing w:val="-1"/>
          <w:sz w:val="20"/>
          <w:szCs w:val="20"/>
          <w:lang w:eastAsia="es-CO"/>
        </w:rPr>
        <w:t>28</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pacing w:val="-1"/>
          <w:sz w:val="20"/>
          <w:szCs w:val="20"/>
          <w:lang w:eastAsia="es-CO"/>
        </w:rPr>
        <w:t>de</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pacing w:val="-1"/>
          <w:sz w:val="20"/>
          <w:szCs w:val="20"/>
          <w:lang w:eastAsia="es-CO"/>
        </w:rPr>
        <w:t>la</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pacing w:val="-1"/>
          <w:sz w:val="20"/>
          <w:szCs w:val="20"/>
          <w:lang w:eastAsia="es-CO"/>
        </w:rPr>
        <w:t>Ley</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pacing w:val="-1"/>
          <w:sz w:val="20"/>
          <w:szCs w:val="20"/>
          <w:lang w:eastAsia="es-CO"/>
        </w:rPr>
        <w:t>1437</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pacing w:val="-1"/>
          <w:sz w:val="20"/>
          <w:szCs w:val="20"/>
          <w:lang w:eastAsia="es-CO"/>
        </w:rPr>
        <w:t>de</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pacing w:val="-1"/>
          <w:sz w:val="20"/>
          <w:szCs w:val="20"/>
          <w:lang w:eastAsia="es-CO"/>
        </w:rPr>
        <w:t>2011,</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pacing w:val="-1"/>
          <w:sz w:val="20"/>
          <w:szCs w:val="20"/>
          <w:lang w:eastAsia="es-CO"/>
        </w:rPr>
        <w:t>sustituido</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pacing w:val="-1"/>
          <w:sz w:val="20"/>
          <w:szCs w:val="20"/>
          <w:lang w:eastAsia="es-CO"/>
        </w:rPr>
        <w:t>por</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pacing w:val="-1"/>
          <w:sz w:val="20"/>
          <w:szCs w:val="20"/>
          <w:lang w:eastAsia="es-CO"/>
        </w:rPr>
        <w:t>el</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pacing w:val="-1"/>
          <w:sz w:val="20"/>
          <w:szCs w:val="20"/>
          <w:lang w:eastAsia="es-CO"/>
        </w:rPr>
        <w:t>artículo</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pacing w:val="-1"/>
          <w:sz w:val="20"/>
          <w:szCs w:val="20"/>
          <w:lang w:eastAsia="es-CO"/>
        </w:rPr>
        <w:t>1</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z w:val="20"/>
          <w:szCs w:val="20"/>
          <w:lang w:eastAsia="es-CO"/>
        </w:rPr>
        <w:t>de</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z w:val="20"/>
          <w:szCs w:val="20"/>
          <w:lang w:eastAsia="es-CO"/>
        </w:rPr>
        <w:t>la</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z w:val="20"/>
          <w:szCs w:val="20"/>
          <w:lang w:eastAsia="es-CO"/>
        </w:rPr>
        <w:t>Ley</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z w:val="20"/>
          <w:szCs w:val="20"/>
          <w:lang w:eastAsia="es-CO"/>
        </w:rPr>
        <w:t>1755</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z w:val="20"/>
          <w:szCs w:val="20"/>
          <w:lang w:eastAsia="es-CO"/>
        </w:rPr>
        <w:t>de</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z w:val="20"/>
          <w:szCs w:val="20"/>
          <w:lang w:eastAsia="es-CO"/>
        </w:rPr>
        <w:t>2015,</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z w:val="20"/>
          <w:szCs w:val="20"/>
          <w:lang w:eastAsia="es-CO"/>
        </w:rPr>
        <w:t>que</w:t>
      </w:r>
      <w:r w:rsidRPr="008E7C1B">
        <w:rPr>
          <w:rFonts w:ascii="Verdana" w:eastAsiaTheme="minorEastAsia" w:hAnsi="Verdana" w:cs="Arial"/>
          <w:spacing w:val="-15"/>
          <w:sz w:val="20"/>
          <w:szCs w:val="20"/>
          <w:lang w:eastAsia="es-CO"/>
        </w:rPr>
        <w:t xml:space="preserve"> </w:t>
      </w:r>
      <w:r w:rsidRPr="008E7C1B">
        <w:rPr>
          <w:rFonts w:ascii="Verdana" w:eastAsiaTheme="minorEastAsia" w:hAnsi="Verdana" w:cs="Arial"/>
          <w:sz w:val="20"/>
          <w:szCs w:val="20"/>
          <w:lang w:eastAsia="es-CO"/>
        </w:rPr>
        <w:t>dispone</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lo</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 xml:space="preserve">siguiente: </w:t>
      </w:r>
      <w:r w:rsidRPr="008E7C1B">
        <w:rPr>
          <w:rFonts w:ascii="Verdana" w:eastAsia="Times New Roman" w:hAnsi="Verdana" w:cs="Arial"/>
          <w:sz w:val="20"/>
          <w:szCs w:val="20"/>
        </w:rPr>
        <w:t>“Artículo</w:t>
      </w:r>
      <w:r w:rsidRPr="008E7C1B">
        <w:rPr>
          <w:rFonts w:ascii="Verdana" w:eastAsia="Times New Roman" w:hAnsi="Verdana" w:cs="Arial"/>
          <w:spacing w:val="1"/>
          <w:sz w:val="20"/>
          <w:szCs w:val="20"/>
        </w:rPr>
        <w:t xml:space="preserve"> </w:t>
      </w:r>
      <w:r w:rsidRPr="008E7C1B">
        <w:rPr>
          <w:rFonts w:ascii="Verdana" w:eastAsia="Times New Roman" w:hAnsi="Verdana" w:cs="Arial"/>
          <w:sz w:val="20"/>
          <w:szCs w:val="20"/>
        </w:rPr>
        <w:t>28.</w:t>
      </w:r>
      <w:r w:rsidRPr="008E7C1B">
        <w:rPr>
          <w:rFonts w:ascii="Verdana" w:eastAsia="Times New Roman" w:hAnsi="Verdana" w:cs="Arial"/>
          <w:spacing w:val="1"/>
          <w:sz w:val="20"/>
          <w:szCs w:val="20"/>
        </w:rPr>
        <w:t xml:space="preserve"> </w:t>
      </w:r>
      <w:r w:rsidRPr="008E7C1B">
        <w:rPr>
          <w:rFonts w:ascii="Verdana" w:eastAsia="Times New Roman" w:hAnsi="Verdana" w:cs="Arial"/>
          <w:sz w:val="20"/>
          <w:szCs w:val="20"/>
        </w:rPr>
        <w:t>Alcance</w:t>
      </w:r>
      <w:r w:rsidRPr="008E7C1B">
        <w:rPr>
          <w:rFonts w:ascii="Verdana" w:eastAsia="Times New Roman" w:hAnsi="Verdana" w:cs="Arial"/>
          <w:spacing w:val="1"/>
          <w:sz w:val="20"/>
          <w:szCs w:val="20"/>
        </w:rPr>
        <w:t xml:space="preserve"> </w:t>
      </w:r>
      <w:r w:rsidRPr="008E7C1B">
        <w:rPr>
          <w:rFonts w:ascii="Verdana" w:eastAsia="Times New Roman" w:hAnsi="Verdana" w:cs="Arial"/>
          <w:sz w:val="20"/>
          <w:szCs w:val="20"/>
        </w:rPr>
        <w:t>de</w:t>
      </w:r>
      <w:r w:rsidRPr="008E7C1B">
        <w:rPr>
          <w:rFonts w:ascii="Verdana" w:eastAsia="Times New Roman" w:hAnsi="Verdana" w:cs="Arial"/>
          <w:spacing w:val="1"/>
          <w:sz w:val="20"/>
          <w:szCs w:val="20"/>
        </w:rPr>
        <w:t xml:space="preserve"> </w:t>
      </w:r>
      <w:r w:rsidRPr="008E7C1B">
        <w:rPr>
          <w:rFonts w:ascii="Verdana" w:eastAsia="Times New Roman" w:hAnsi="Verdana" w:cs="Arial"/>
          <w:sz w:val="20"/>
          <w:szCs w:val="20"/>
        </w:rPr>
        <w:t>los</w:t>
      </w:r>
      <w:r w:rsidRPr="008E7C1B">
        <w:rPr>
          <w:rFonts w:ascii="Verdana" w:eastAsia="Times New Roman" w:hAnsi="Verdana" w:cs="Arial"/>
          <w:spacing w:val="1"/>
          <w:sz w:val="20"/>
          <w:szCs w:val="20"/>
        </w:rPr>
        <w:t xml:space="preserve"> </w:t>
      </w:r>
      <w:r w:rsidRPr="008E7C1B">
        <w:rPr>
          <w:rFonts w:ascii="Verdana" w:eastAsia="Times New Roman" w:hAnsi="Verdana" w:cs="Arial"/>
          <w:sz w:val="20"/>
          <w:szCs w:val="20"/>
        </w:rPr>
        <w:t>conceptos.</w:t>
      </w:r>
      <w:r w:rsidRPr="008E7C1B">
        <w:rPr>
          <w:rFonts w:ascii="Verdana" w:eastAsia="Times New Roman" w:hAnsi="Verdana" w:cs="Arial"/>
          <w:spacing w:val="1"/>
          <w:sz w:val="20"/>
          <w:szCs w:val="20"/>
        </w:rPr>
        <w:t xml:space="preserve"> </w:t>
      </w:r>
      <w:r w:rsidRPr="008E7C1B">
        <w:rPr>
          <w:rFonts w:ascii="Verdana" w:eastAsia="Times New Roman" w:hAnsi="Verdana" w:cs="Arial"/>
          <w:sz w:val="20"/>
          <w:szCs w:val="20"/>
        </w:rPr>
        <w:t>Salvo</w:t>
      </w:r>
      <w:r w:rsidRPr="008E7C1B">
        <w:rPr>
          <w:rFonts w:ascii="Verdana" w:eastAsia="Times New Roman" w:hAnsi="Verdana" w:cs="Arial"/>
          <w:spacing w:val="1"/>
          <w:sz w:val="20"/>
          <w:szCs w:val="20"/>
        </w:rPr>
        <w:t xml:space="preserve"> </w:t>
      </w:r>
      <w:r w:rsidRPr="008E7C1B">
        <w:rPr>
          <w:rFonts w:ascii="Verdana" w:eastAsia="Times New Roman" w:hAnsi="Verdana" w:cs="Arial"/>
          <w:sz w:val="20"/>
          <w:szCs w:val="20"/>
        </w:rPr>
        <w:t>disposición</w:t>
      </w:r>
      <w:r w:rsidRPr="008E7C1B">
        <w:rPr>
          <w:rFonts w:ascii="Verdana" w:eastAsia="Times New Roman" w:hAnsi="Verdana" w:cs="Arial"/>
          <w:spacing w:val="1"/>
          <w:sz w:val="20"/>
          <w:szCs w:val="20"/>
        </w:rPr>
        <w:t xml:space="preserve"> </w:t>
      </w:r>
      <w:r w:rsidRPr="008E7C1B">
        <w:rPr>
          <w:rFonts w:ascii="Verdana" w:eastAsia="Times New Roman" w:hAnsi="Verdana" w:cs="Arial"/>
          <w:sz w:val="20"/>
          <w:szCs w:val="20"/>
        </w:rPr>
        <w:t>legal</w:t>
      </w:r>
      <w:r w:rsidRPr="008E7C1B">
        <w:rPr>
          <w:rFonts w:ascii="Verdana" w:eastAsia="Times New Roman" w:hAnsi="Verdana" w:cs="Arial"/>
          <w:spacing w:val="1"/>
          <w:sz w:val="20"/>
          <w:szCs w:val="20"/>
        </w:rPr>
        <w:t xml:space="preserve"> </w:t>
      </w:r>
      <w:r w:rsidRPr="008E7C1B">
        <w:rPr>
          <w:rFonts w:ascii="Verdana" w:eastAsia="Times New Roman" w:hAnsi="Verdana" w:cs="Arial"/>
          <w:sz w:val="20"/>
          <w:szCs w:val="20"/>
        </w:rPr>
        <w:t>en</w:t>
      </w:r>
      <w:r w:rsidRPr="008E7C1B">
        <w:rPr>
          <w:rFonts w:ascii="Verdana" w:eastAsia="Times New Roman" w:hAnsi="Verdana" w:cs="Arial"/>
          <w:spacing w:val="1"/>
          <w:sz w:val="20"/>
          <w:szCs w:val="20"/>
        </w:rPr>
        <w:t xml:space="preserve"> </w:t>
      </w:r>
      <w:r w:rsidRPr="008E7C1B">
        <w:rPr>
          <w:rFonts w:ascii="Verdana" w:eastAsia="Times New Roman" w:hAnsi="Verdana" w:cs="Arial"/>
          <w:sz w:val="20"/>
          <w:szCs w:val="20"/>
        </w:rPr>
        <w:t>contrario,</w:t>
      </w:r>
      <w:r w:rsidRPr="008E7C1B">
        <w:rPr>
          <w:rFonts w:ascii="Verdana" w:eastAsia="Times New Roman" w:hAnsi="Verdana" w:cs="Arial"/>
          <w:spacing w:val="1"/>
          <w:sz w:val="20"/>
          <w:szCs w:val="20"/>
        </w:rPr>
        <w:t xml:space="preserve"> </w:t>
      </w:r>
      <w:r w:rsidRPr="008E7C1B">
        <w:rPr>
          <w:rFonts w:ascii="Verdana" w:eastAsia="Times New Roman" w:hAnsi="Verdana" w:cs="Arial"/>
          <w:sz w:val="20"/>
          <w:szCs w:val="20"/>
        </w:rPr>
        <w:t>los</w:t>
      </w:r>
      <w:r w:rsidRPr="008E7C1B">
        <w:rPr>
          <w:rFonts w:ascii="Verdana" w:eastAsia="Times New Roman" w:hAnsi="Verdana" w:cs="Arial"/>
          <w:spacing w:val="-56"/>
          <w:sz w:val="20"/>
          <w:szCs w:val="20"/>
        </w:rPr>
        <w:t xml:space="preserve"> </w:t>
      </w:r>
      <w:r w:rsidRPr="008E7C1B">
        <w:rPr>
          <w:rFonts w:ascii="Verdana" w:eastAsia="Times New Roman" w:hAnsi="Verdana" w:cs="Arial"/>
          <w:sz w:val="20"/>
          <w:szCs w:val="20"/>
        </w:rPr>
        <w:t>conceptos emitidos por las autoridades como respuestas a peticiones realizadas en</w:t>
      </w:r>
      <w:r w:rsidRPr="008E7C1B">
        <w:rPr>
          <w:rFonts w:ascii="Verdana" w:eastAsia="Times New Roman" w:hAnsi="Verdana" w:cs="Arial"/>
          <w:spacing w:val="1"/>
          <w:sz w:val="20"/>
          <w:szCs w:val="20"/>
        </w:rPr>
        <w:t xml:space="preserve"> </w:t>
      </w:r>
      <w:r w:rsidRPr="008E7C1B">
        <w:rPr>
          <w:rFonts w:ascii="Verdana" w:eastAsia="Times New Roman" w:hAnsi="Verdana" w:cs="Arial"/>
          <w:sz w:val="20"/>
          <w:szCs w:val="20"/>
        </w:rPr>
        <w:t xml:space="preserve">ejercicio del derecho a formular consultas </w:t>
      </w:r>
      <w:r w:rsidRPr="008E7C1B">
        <w:rPr>
          <w:rFonts w:ascii="Verdana" w:eastAsia="Times New Roman" w:hAnsi="Verdana" w:cs="Arial"/>
          <w:i/>
          <w:sz w:val="20"/>
          <w:szCs w:val="20"/>
        </w:rPr>
        <w:t>no serán de obligatorio cumplimiento o</w:t>
      </w:r>
      <w:r w:rsidRPr="008E7C1B">
        <w:rPr>
          <w:rFonts w:ascii="Verdana" w:eastAsia="Times New Roman" w:hAnsi="Verdana" w:cs="Arial"/>
          <w:i/>
          <w:spacing w:val="1"/>
          <w:sz w:val="20"/>
          <w:szCs w:val="20"/>
        </w:rPr>
        <w:t xml:space="preserve"> </w:t>
      </w:r>
      <w:r w:rsidRPr="008E7C1B">
        <w:rPr>
          <w:rFonts w:ascii="Verdana" w:eastAsia="Times New Roman" w:hAnsi="Verdana" w:cs="Arial"/>
          <w:i/>
          <w:sz w:val="20"/>
          <w:szCs w:val="20"/>
        </w:rPr>
        <w:t>ejecución</w:t>
      </w:r>
      <w:r w:rsidRPr="008E7C1B">
        <w:rPr>
          <w:rFonts w:ascii="Verdana" w:eastAsia="Times New Roman" w:hAnsi="Verdana" w:cs="Arial"/>
          <w:sz w:val="20"/>
          <w:szCs w:val="20"/>
        </w:rPr>
        <w:t xml:space="preserve">”. </w:t>
      </w:r>
    </w:p>
    <w:p w14:paraId="5DCEAE5A" w14:textId="77777777" w:rsidR="008E7C1B" w:rsidRDefault="008E7C1B" w:rsidP="008E7C1B">
      <w:pPr>
        <w:spacing w:after="0" w:line="240" w:lineRule="auto"/>
        <w:jc w:val="both"/>
        <w:rPr>
          <w:rFonts w:ascii="Verdana" w:eastAsiaTheme="minorEastAsia" w:hAnsi="Verdana" w:cs="Arial"/>
          <w:sz w:val="20"/>
          <w:szCs w:val="20"/>
          <w:lang w:eastAsia="es-CO"/>
        </w:rPr>
      </w:pPr>
    </w:p>
    <w:p w14:paraId="5D03A290" w14:textId="77777777" w:rsidR="008E7C1B" w:rsidRPr="008E7C1B" w:rsidRDefault="008E7C1B" w:rsidP="008E7C1B">
      <w:pPr>
        <w:spacing w:after="0" w:line="240" w:lineRule="auto"/>
        <w:jc w:val="both"/>
        <w:rPr>
          <w:rFonts w:ascii="Verdana" w:eastAsiaTheme="minorEastAsia" w:hAnsi="Verdana" w:cs="Arial"/>
          <w:sz w:val="20"/>
          <w:szCs w:val="20"/>
          <w:lang w:eastAsia="es-CO"/>
        </w:rPr>
      </w:pPr>
      <w:r w:rsidRPr="008E7C1B">
        <w:rPr>
          <w:rFonts w:ascii="Verdana" w:eastAsiaTheme="minorEastAsia" w:hAnsi="Verdana" w:cs="Arial"/>
          <w:sz w:val="20"/>
          <w:szCs w:val="20"/>
          <w:lang w:eastAsia="es-CO"/>
        </w:rPr>
        <w:t xml:space="preserve">[…] </w:t>
      </w:r>
    </w:p>
    <w:p w14:paraId="6F804F6B" w14:textId="77777777" w:rsidR="008E7C1B" w:rsidRDefault="008E7C1B" w:rsidP="008E7C1B">
      <w:pPr>
        <w:spacing w:after="0" w:line="240" w:lineRule="auto"/>
        <w:jc w:val="both"/>
        <w:rPr>
          <w:rFonts w:ascii="Verdana" w:eastAsiaTheme="minorEastAsia" w:hAnsi="Verdana" w:cs="Arial"/>
          <w:sz w:val="20"/>
          <w:szCs w:val="20"/>
          <w:lang w:eastAsia="es-CO"/>
        </w:rPr>
      </w:pPr>
    </w:p>
    <w:p w14:paraId="120FE467" w14:textId="77777777" w:rsidR="008E7C1B" w:rsidRDefault="008E7C1B" w:rsidP="00747654">
      <w:pPr>
        <w:spacing w:after="0" w:line="240" w:lineRule="auto"/>
        <w:jc w:val="both"/>
        <w:rPr>
          <w:rFonts w:ascii="Verdana" w:eastAsiaTheme="minorEastAsia" w:hAnsi="Verdana" w:cs="Arial"/>
          <w:sz w:val="20"/>
          <w:szCs w:val="20"/>
          <w:lang w:eastAsia="es-CO"/>
        </w:rPr>
      </w:pPr>
      <w:r w:rsidRPr="008E7C1B">
        <w:rPr>
          <w:rFonts w:ascii="Verdana" w:eastAsiaTheme="minorEastAsia" w:hAnsi="Verdana" w:cs="Arial"/>
          <w:sz w:val="20"/>
          <w:szCs w:val="20"/>
          <w:lang w:eastAsia="es-CO"/>
        </w:rPr>
        <w:t>En otras palabras, los conceptos de esta Agencia tienen como objeto la interpretación de</w:t>
      </w:r>
      <w:r w:rsidRPr="008E7C1B">
        <w:rPr>
          <w:rFonts w:ascii="Verdana" w:eastAsiaTheme="minorEastAsia" w:hAnsi="Verdana" w:cs="Arial"/>
          <w:spacing w:val="-59"/>
          <w:sz w:val="20"/>
          <w:szCs w:val="20"/>
          <w:lang w:eastAsia="es-CO"/>
        </w:rPr>
        <w:t xml:space="preserve"> </w:t>
      </w:r>
      <w:r w:rsidRPr="008E7C1B">
        <w:rPr>
          <w:rFonts w:ascii="Verdana" w:eastAsiaTheme="minorEastAsia" w:hAnsi="Verdana" w:cs="Arial"/>
          <w:sz w:val="20"/>
          <w:szCs w:val="20"/>
          <w:lang w:eastAsia="es-CO"/>
        </w:rPr>
        <w:t>normas de carácter general, esto es, del ordenamiento jurídico en abstracto, no la resolución de controversias o la asesoría para casos concretos; además, no son vinculantes o de obligatorio</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cumplimiento</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para</w:t>
      </w:r>
      <w:r w:rsidRPr="008E7C1B">
        <w:rPr>
          <w:rFonts w:ascii="Verdana" w:eastAsiaTheme="minorEastAsia" w:hAnsi="Verdana" w:cs="Arial"/>
          <w:spacing w:val="-8"/>
          <w:sz w:val="20"/>
          <w:szCs w:val="20"/>
          <w:lang w:eastAsia="es-CO"/>
        </w:rPr>
        <w:t xml:space="preserve"> </w:t>
      </w:r>
      <w:r w:rsidRPr="008E7C1B">
        <w:rPr>
          <w:rFonts w:ascii="Verdana" w:eastAsiaTheme="minorEastAsia" w:hAnsi="Verdana" w:cs="Arial"/>
          <w:sz w:val="20"/>
          <w:szCs w:val="20"/>
          <w:lang w:eastAsia="es-CO"/>
        </w:rPr>
        <w:t>el</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destinatario,</w:t>
      </w:r>
      <w:r w:rsidRPr="008E7C1B">
        <w:rPr>
          <w:rFonts w:ascii="Verdana" w:eastAsiaTheme="minorEastAsia" w:hAnsi="Verdana" w:cs="Arial"/>
          <w:spacing w:val="-8"/>
          <w:sz w:val="20"/>
          <w:szCs w:val="20"/>
          <w:lang w:eastAsia="es-CO"/>
        </w:rPr>
        <w:t xml:space="preserve"> </w:t>
      </w:r>
      <w:r w:rsidRPr="008E7C1B">
        <w:rPr>
          <w:rFonts w:ascii="Verdana" w:eastAsiaTheme="minorEastAsia" w:hAnsi="Verdana" w:cs="Arial"/>
          <w:sz w:val="20"/>
          <w:szCs w:val="20"/>
          <w:lang w:eastAsia="es-CO"/>
        </w:rPr>
        <w:t>sino</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que</w:t>
      </w:r>
      <w:r w:rsidRPr="008E7C1B">
        <w:rPr>
          <w:rFonts w:ascii="Verdana" w:eastAsiaTheme="minorEastAsia" w:hAnsi="Verdana" w:cs="Arial"/>
          <w:spacing w:val="-9"/>
          <w:sz w:val="20"/>
          <w:szCs w:val="20"/>
          <w:lang w:eastAsia="es-CO"/>
        </w:rPr>
        <w:t xml:space="preserve"> </w:t>
      </w:r>
      <w:r w:rsidRPr="008E7C1B">
        <w:rPr>
          <w:rFonts w:ascii="Verdana" w:eastAsiaTheme="minorEastAsia" w:hAnsi="Verdana" w:cs="Arial"/>
          <w:sz w:val="20"/>
          <w:szCs w:val="20"/>
          <w:lang w:eastAsia="es-CO"/>
        </w:rPr>
        <w:t>expresan</w:t>
      </w:r>
      <w:r w:rsidRPr="008E7C1B">
        <w:rPr>
          <w:rFonts w:ascii="Verdana" w:eastAsiaTheme="minorEastAsia" w:hAnsi="Verdana" w:cs="Arial"/>
          <w:spacing w:val="-9"/>
          <w:sz w:val="20"/>
          <w:szCs w:val="20"/>
          <w:lang w:eastAsia="es-CO"/>
        </w:rPr>
        <w:t xml:space="preserve"> </w:t>
      </w:r>
      <w:r w:rsidRPr="008E7C1B">
        <w:rPr>
          <w:rFonts w:ascii="Verdana" w:eastAsiaTheme="minorEastAsia" w:hAnsi="Verdana" w:cs="Arial"/>
          <w:sz w:val="20"/>
          <w:szCs w:val="20"/>
          <w:lang w:eastAsia="es-CO"/>
        </w:rPr>
        <w:t>la</w:t>
      </w:r>
      <w:r w:rsidRPr="008E7C1B">
        <w:rPr>
          <w:rFonts w:ascii="Verdana" w:eastAsiaTheme="minorEastAsia" w:hAnsi="Verdana" w:cs="Arial"/>
          <w:spacing w:val="-9"/>
          <w:sz w:val="20"/>
          <w:szCs w:val="20"/>
          <w:lang w:eastAsia="es-CO"/>
        </w:rPr>
        <w:t xml:space="preserve"> </w:t>
      </w:r>
      <w:r w:rsidRPr="008E7C1B">
        <w:rPr>
          <w:rFonts w:ascii="Verdana" w:eastAsiaTheme="minorEastAsia" w:hAnsi="Verdana" w:cs="Arial"/>
          <w:sz w:val="20"/>
          <w:szCs w:val="20"/>
          <w:lang w:eastAsia="es-CO"/>
        </w:rPr>
        <w:t>posición</w:t>
      </w:r>
      <w:r w:rsidRPr="008E7C1B">
        <w:rPr>
          <w:rFonts w:ascii="Verdana" w:eastAsiaTheme="minorEastAsia" w:hAnsi="Verdana" w:cs="Arial"/>
          <w:spacing w:val="-9"/>
          <w:sz w:val="20"/>
          <w:szCs w:val="20"/>
          <w:lang w:eastAsia="es-CO"/>
        </w:rPr>
        <w:t xml:space="preserve"> </w:t>
      </w:r>
      <w:r w:rsidRPr="008E7C1B">
        <w:rPr>
          <w:rFonts w:ascii="Verdana" w:eastAsiaTheme="minorEastAsia" w:hAnsi="Verdana" w:cs="Arial"/>
          <w:sz w:val="20"/>
          <w:szCs w:val="20"/>
          <w:lang w:eastAsia="es-CO"/>
        </w:rPr>
        <w:t>interpretativa</w:t>
      </w:r>
      <w:r w:rsidRPr="008E7C1B">
        <w:rPr>
          <w:rFonts w:ascii="Verdana" w:eastAsiaTheme="minorEastAsia" w:hAnsi="Verdana" w:cs="Arial"/>
          <w:spacing w:val="-8"/>
          <w:sz w:val="20"/>
          <w:szCs w:val="20"/>
          <w:lang w:eastAsia="es-CO"/>
        </w:rPr>
        <w:t xml:space="preserve"> </w:t>
      </w:r>
      <w:r w:rsidRPr="008E7C1B">
        <w:rPr>
          <w:rFonts w:ascii="Verdana" w:eastAsiaTheme="minorEastAsia" w:hAnsi="Verdana" w:cs="Arial"/>
          <w:sz w:val="20"/>
          <w:szCs w:val="20"/>
          <w:lang w:eastAsia="es-CO"/>
        </w:rPr>
        <w:t>del</w:t>
      </w:r>
      <w:r w:rsidRPr="008E7C1B">
        <w:rPr>
          <w:rFonts w:ascii="Verdana" w:eastAsiaTheme="minorEastAsia" w:hAnsi="Verdana" w:cs="Arial"/>
          <w:spacing w:val="-10"/>
          <w:sz w:val="20"/>
          <w:szCs w:val="20"/>
          <w:lang w:eastAsia="es-CO"/>
        </w:rPr>
        <w:t xml:space="preserve"> </w:t>
      </w:r>
      <w:r w:rsidRPr="008E7C1B">
        <w:rPr>
          <w:rFonts w:ascii="Verdana" w:eastAsiaTheme="minorEastAsia" w:hAnsi="Verdana" w:cs="Arial"/>
          <w:sz w:val="20"/>
          <w:szCs w:val="20"/>
          <w:lang w:eastAsia="es-CO"/>
        </w:rPr>
        <w:t>organismo</w:t>
      </w:r>
      <w:r w:rsidRPr="008E7C1B">
        <w:rPr>
          <w:rFonts w:ascii="Verdana" w:eastAsiaTheme="minorEastAsia" w:hAnsi="Verdana" w:cs="Arial"/>
          <w:spacing w:val="-8"/>
          <w:sz w:val="20"/>
          <w:szCs w:val="20"/>
          <w:lang w:eastAsia="es-CO"/>
        </w:rPr>
        <w:t xml:space="preserve"> </w:t>
      </w:r>
      <w:r w:rsidRPr="008E7C1B">
        <w:rPr>
          <w:rFonts w:ascii="Verdana" w:eastAsiaTheme="minorEastAsia" w:hAnsi="Verdana" w:cs="Arial"/>
          <w:sz w:val="20"/>
          <w:szCs w:val="20"/>
          <w:lang w:eastAsia="es-CO"/>
        </w:rPr>
        <w:t>que</w:t>
      </w:r>
      <w:r w:rsidRPr="008E7C1B">
        <w:rPr>
          <w:rFonts w:ascii="Verdana" w:eastAsiaTheme="minorEastAsia" w:hAnsi="Verdana" w:cs="Arial"/>
          <w:spacing w:val="-59"/>
          <w:sz w:val="20"/>
          <w:szCs w:val="20"/>
          <w:lang w:eastAsia="es-CO"/>
        </w:rPr>
        <w:t xml:space="preserve"> </w:t>
      </w:r>
      <w:r w:rsidRPr="008E7C1B">
        <w:rPr>
          <w:rFonts w:ascii="Verdana" w:eastAsiaTheme="minorEastAsia" w:hAnsi="Verdana" w:cs="Arial"/>
          <w:sz w:val="20"/>
          <w:szCs w:val="20"/>
          <w:lang w:eastAsia="es-CO"/>
        </w:rPr>
        <w:t>elabora</w:t>
      </w:r>
      <w:r w:rsidRPr="008E7C1B">
        <w:rPr>
          <w:rFonts w:ascii="Verdana" w:eastAsiaTheme="minorEastAsia" w:hAnsi="Verdana" w:cs="Arial"/>
          <w:spacing w:val="-2"/>
          <w:sz w:val="20"/>
          <w:szCs w:val="20"/>
          <w:lang w:eastAsia="es-CO"/>
        </w:rPr>
        <w:t xml:space="preserve"> </w:t>
      </w:r>
      <w:r w:rsidRPr="008E7C1B">
        <w:rPr>
          <w:rFonts w:ascii="Verdana" w:eastAsiaTheme="minorEastAsia" w:hAnsi="Verdana" w:cs="Arial"/>
          <w:sz w:val="20"/>
          <w:szCs w:val="20"/>
          <w:lang w:eastAsia="es-CO"/>
        </w:rPr>
        <w:t>el</w:t>
      </w:r>
      <w:r w:rsidRPr="008E7C1B">
        <w:rPr>
          <w:rFonts w:ascii="Verdana" w:eastAsiaTheme="minorEastAsia" w:hAnsi="Verdana" w:cs="Arial"/>
          <w:spacing w:val="-1"/>
          <w:sz w:val="20"/>
          <w:szCs w:val="20"/>
          <w:lang w:eastAsia="es-CO"/>
        </w:rPr>
        <w:t xml:space="preserve"> </w:t>
      </w:r>
      <w:r w:rsidRPr="008E7C1B">
        <w:rPr>
          <w:rFonts w:ascii="Verdana" w:eastAsiaTheme="minorEastAsia" w:hAnsi="Verdana" w:cs="Arial"/>
          <w:sz w:val="20"/>
          <w:szCs w:val="20"/>
          <w:lang w:eastAsia="es-CO"/>
        </w:rPr>
        <w:t>concepto.</w:t>
      </w:r>
    </w:p>
    <w:p w14:paraId="5FCE7AE3" w14:textId="35BC40D4" w:rsidR="00747654" w:rsidRPr="008E7C1B" w:rsidRDefault="00747654" w:rsidP="00747654">
      <w:pPr>
        <w:spacing w:after="0" w:line="240" w:lineRule="auto"/>
        <w:jc w:val="both"/>
        <w:rPr>
          <w:rFonts w:ascii="Verdana" w:eastAsiaTheme="minorEastAsia" w:hAnsi="Verdana" w:cs="Arial"/>
          <w:sz w:val="20"/>
          <w:szCs w:val="20"/>
          <w:lang w:eastAsia="es-CO"/>
        </w:rPr>
      </w:pPr>
      <w:r w:rsidRPr="00747654">
        <w:rPr>
          <w:rFonts w:ascii="Verdana" w:hAnsi="Verdana" w:cs="Arial"/>
          <w:b/>
          <w:color w:val="000000" w:themeColor="text1"/>
        </w:rPr>
        <w:lastRenderedPageBreak/>
        <w:t xml:space="preserve">LEY DE GARANTÍAS ELECTORALES – Propósito </w:t>
      </w:r>
    </w:p>
    <w:p w14:paraId="020FCB56" w14:textId="77777777" w:rsidR="008E7C1B" w:rsidRDefault="008E7C1B" w:rsidP="008E7C1B">
      <w:pPr>
        <w:tabs>
          <w:tab w:val="left" w:pos="426"/>
        </w:tabs>
        <w:spacing w:after="0" w:line="240" w:lineRule="auto"/>
        <w:jc w:val="both"/>
        <w:rPr>
          <w:rFonts w:ascii="Verdana" w:hAnsi="Verdana" w:cs="Arial"/>
          <w:b/>
          <w:color w:val="000000" w:themeColor="text1"/>
        </w:rPr>
      </w:pPr>
    </w:p>
    <w:p w14:paraId="1DA3A668" w14:textId="77777777" w:rsidR="008E7C1B" w:rsidRDefault="008E7C1B" w:rsidP="008E7C1B">
      <w:pPr>
        <w:tabs>
          <w:tab w:val="left" w:pos="426"/>
        </w:tabs>
        <w:spacing w:after="0" w:line="240" w:lineRule="auto"/>
        <w:jc w:val="both"/>
        <w:rPr>
          <w:rFonts w:ascii="Verdana" w:eastAsia="Calibri" w:hAnsi="Verdana" w:cs="Arial"/>
          <w:noProof/>
          <w:sz w:val="20"/>
          <w:szCs w:val="20"/>
          <w:lang w:val="es-ES_tradnl"/>
        </w:rPr>
      </w:pPr>
      <w:r w:rsidRPr="008E7C1B">
        <w:rPr>
          <w:rFonts w:ascii="Verdana" w:eastAsia="Times New Roman" w:hAnsi="Verdana" w:cs="Arial"/>
          <w:bCs/>
          <w:sz w:val="20"/>
          <w:szCs w:val="20"/>
          <w:lang w:eastAsia="es-CO"/>
        </w:rPr>
        <w:t>Ley de Garantías Electorales […]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8E7C1B">
        <w:rPr>
          <w:rFonts w:ascii="Verdana" w:eastAsia="Calibri" w:hAnsi="Verdana" w:cs="Arial"/>
          <w:noProof/>
          <w:sz w:val="20"/>
          <w:szCs w:val="20"/>
          <w:lang w:val="es-ES_tradnl"/>
        </w:rPr>
        <w:t xml:space="preserve"> </w:t>
      </w:r>
    </w:p>
    <w:p w14:paraId="1CF2FA77" w14:textId="77777777" w:rsidR="008E7C1B" w:rsidRDefault="008E7C1B" w:rsidP="008E7C1B">
      <w:pPr>
        <w:tabs>
          <w:tab w:val="left" w:pos="426"/>
        </w:tabs>
        <w:spacing w:after="0" w:line="240" w:lineRule="auto"/>
        <w:jc w:val="both"/>
        <w:rPr>
          <w:rFonts w:ascii="Verdana" w:eastAsia="Calibri" w:hAnsi="Verdana" w:cs="Arial"/>
          <w:noProof/>
          <w:sz w:val="20"/>
          <w:szCs w:val="20"/>
          <w:lang w:val="es-ES_tradnl"/>
        </w:rPr>
      </w:pPr>
    </w:p>
    <w:p w14:paraId="3C6A6202" w14:textId="2A33B6A7" w:rsidR="00747654" w:rsidRPr="008E7C1B" w:rsidRDefault="00747654" w:rsidP="008E7C1B">
      <w:pPr>
        <w:tabs>
          <w:tab w:val="left" w:pos="426"/>
        </w:tabs>
        <w:spacing w:after="0" w:line="240" w:lineRule="auto"/>
        <w:jc w:val="both"/>
        <w:rPr>
          <w:rFonts w:ascii="Verdana" w:eastAsia="Calibri" w:hAnsi="Verdana" w:cs="Arial"/>
          <w:noProof/>
          <w:sz w:val="20"/>
          <w:szCs w:val="20"/>
          <w:lang w:val="es-ES_tradnl"/>
        </w:rPr>
      </w:pPr>
      <w:r w:rsidRPr="00747654">
        <w:rPr>
          <w:rFonts w:ascii="Verdana" w:hAnsi="Verdana" w:cs="Arial"/>
          <w:b/>
          <w:color w:val="000000" w:themeColor="text1"/>
        </w:rPr>
        <w:t xml:space="preserve">LEY DE GARANTÍAS ELECTORALES – Prohibiciones – Restricciones </w:t>
      </w:r>
    </w:p>
    <w:p w14:paraId="129093E5" w14:textId="77777777" w:rsidR="00C62C06" w:rsidRPr="00C62C06" w:rsidRDefault="00C62C06" w:rsidP="007032F0">
      <w:pPr>
        <w:spacing w:after="0" w:line="240" w:lineRule="auto"/>
        <w:jc w:val="both"/>
        <w:rPr>
          <w:rFonts w:ascii="Verdana" w:hAnsi="Verdana" w:cs="Arial"/>
          <w:bCs/>
          <w:color w:val="000000" w:themeColor="text1"/>
          <w:lang w:val="es-ES_tradnl"/>
        </w:rPr>
      </w:pPr>
    </w:p>
    <w:p w14:paraId="7ED94960" w14:textId="3EB9DC56" w:rsidR="00C62C06" w:rsidRPr="007032F0" w:rsidRDefault="00C62C06" w:rsidP="007032F0">
      <w:pPr>
        <w:spacing w:after="0" w:line="240" w:lineRule="auto"/>
        <w:jc w:val="both"/>
        <w:rPr>
          <w:rFonts w:ascii="Verdana" w:hAnsi="Verdana" w:cs="Arial"/>
          <w:bCs/>
          <w:color w:val="000000" w:themeColor="text1"/>
          <w:sz w:val="20"/>
          <w:szCs w:val="20"/>
          <w:lang w:val="es-ES"/>
        </w:rPr>
      </w:pPr>
      <w:r w:rsidRPr="007032F0">
        <w:rPr>
          <w:rFonts w:ascii="Verdana" w:hAnsi="Verdana" w:cs="Arial"/>
          <w:bCs/>
          <w:color w:val="000000" w:themeColor="text1"/>
          <w:sz w:val="20"/>
          <w:szCs w:val="20"/>
          <w:lang w:val="es-ES_tradnl"/>
        </w:rPr>
        <w:t>[…]</w:t>
      </w:r>
      <w:r w:rsidRPr="007032F0">
        <w:rPr>
          <w:rFonts w:ascii="Verdana" w:hAnsi="Verdana" w:cs="Arial"/>
          <w:b/>
          <w:color w:val="000000" w:themeColor="text1"/>
          <w:sz w:val="20"/>
          <w:szCs w:val="20"/>
          <w:lang w:val="es-ES_tradnl"/>
        </w:rPr>
        <w:t xml:space="preserve"> </w:t>
      </w:r>
      <w:r w:rsidRPr="007032F0">
        <w:rPr>
          <w:rFonts w:ascii="Verdana" w:hAnsi="Verdana" w:cs="Arial"/>
          <w:bCs/>
          <w:color w:val="000000" w:themeColor="text1"/>
          <w:sz w:val="20"/>
          <w:szCs w:val="20"/>
          <w:lang w:val="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52A55F5" w14:textId="77777777" w:rsidR="00C62C06" w:rsidRPr="007032F0" w:rsidRDefault="00C62C06" w:rsidP="007032F0">
      <w:pPr>
        <w:spacing w:after="0" w:line="240" w:lineRule="auto"/>
        <w:jc w:val="both"/>
        <w:rPr>
          <w:rFonts w:ascii="Verdana" w:hAnsi="Verdana" w:cs="Arial"/>
          <w:bCs/>
          <w:color w:val="000000" w:themeColor="text1"/>
          <w:sz w:val="20"/>
          <w:szCs w:val="20"/>
          <w:lang w:val="es-ES"/>
        </w:rPr>
      </w:pPr>
    </w:p>
    <w:p w14:paraId="43099A59" w14:textId="77777777" w:rsidR="007032F0" w:rsidRDefault="00C62C06" w:rsidP="007032F0">
      <w:pPr>
        <w:spacing w:after="0" w:line="240" w:lineRule="auto"/>
        <w:jc w:val="both"/>
        <w:rPr>
          <w:rFonts w:ascii="Verdana" w:hAnsi="Verdana" w:cs="Arial"/>
          <w:bCs/>
          <w:color w:val="000000" w:themeColor="text1"/>
          <w:sz w:val="20"/>
          <w:szCs w:val="20"/>
          <w:lang w:val="es-ES"/>
        </w:rPr>
      </w:pPr>
      <w:r w:rsidRPr="007032F0">
        <w:rPr>
          <w:rFonts w:ascii="Verdana" w:hAnsi="Verdana" w:cs="Arial"/>
          <w:bCs/>
          <w:color w:val="000000" w:themeColor="text1"/>
          <w:sz w:val="20"/>
          <w:szCs w:val="20"/>
          <w:lang w:val="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0DB4D14A" w14:textId="77777777" w:rsidR="001C7A72" w:rsidRDefault="001C7A72" w:rsidP="001C7A72">
      <w:pPr>
        <w:spacing w:after="0" w:line="240" w:lineRule="auto"/>
        <w:jc w:val="both"/>
        <w:rPr>
          <w:rFonts w:ascii="Verdana" w:hAnsi="Verdana" w:cs="Arial"/>
          <w:bCs/>
          <w:color w:val="000000" w:themeColor="text1"/>
          <w:sz w:val="20"/>
          <w:szCs w:val="20"/>
          <w:lang w:val="es-ES"/>
        </w:rPr>
      </w:pPr>
    </w:p>
    <w:p w14:paraId="00CF2699" w14:textId="49D86559" w:rsidR="00C62C06" w:rsidRPr="007032F0" w:rsidRDefault="00C62C06" w:rsidP="007032F0">
      <w:pPr>
        <w:spacing w:after="0" w:line="240" w:lineRule="auto"/>
        <w:jc w:val="both"/>
        <w:rPr>
          <w:rFonts w:ascii="Verdana" w:hAnsi="Verdana" w:cs="Arial"/>
          <w:bCs/>
          <w:color w:val="000000" w:themeColor="text1"/>
          <w:sz w:val="20"/>
          <w:szCs w:val="20"/>
          <w:lang w:val="es-ES"/>
        </w:rPr>
      </w:pPr>
      <w:r w:rsidRPr="007032F0">
        <w:rPr>
          <w:rFonts w:ascii="Verdana" w:hAnsi="Verdana" w:cs="Arial"/>
          <w:bCs/>
          <w:color w:val="000000" w:themeColor="text1"/>
          <w:sz w:val="20"/>
          <w:szCs w:val="20"/>
          <w:lang w:val="es-ES"/>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34B04FD" w14:textId="77777777" w:rsidR="00C62C06" w:rsidRPr="007032F0" w:rsidRDefault="00C62C06" w:rsidP="007032F0">
      <w:pPr>
        <w:spacing w:after="0" w:line="240" w:lineRule="auto"/>
        <w:jc w:val="both"/>
        <w:rPr>
          <w:rFonts w:ascii="Verdana" w:hAnsi="Verdana" w:cs="Arial"/>
          <w:bCs/>
          <w:color w:val="000000" w:themeColor="text1"/>
          <w:sz w:val="20"/>
          <w:szCs w:val="20"/>
          <w:lang w:val="es-ES"/>
        </w:rPr>
      </w:pPr>
    </w:p>
    <w:p w14:paraId="3DACE6C2" w14:textId="346AB10E" w:rsidR="008E7C1B" w:rsidRPr="007032F0" w:rsidRDefault="00C62C06" w:rsidP="007032F0">
      <w:pPr>
        <w:spacing w:after="0" w:line="240" w:lineRule="auto"/>
        <w:jc w:val="both"/>
        <w:rPr>
          <w:rFonts w:ascii="Verdana" w:hAnsi="Verdana" w:cs="Arial"/>
          <w:bCs/>
          <w:color w:val="000000" w:themeColor="text1"/>
          <w:sz w:val="20"/>
          <w:szCs w:val="20"/>
          <w:lang w:val="es-ES"/>
        </w:rPr>
      </w:pPr>
      <w:r w:rsidRPr="007032F0">
        <w:rPr>
          <w:rFonts w:ascii="Verdana" w:hAnsi="Verdana" w:cs="Arial"/>
          <w:bCs/>
          <w:color w:val="000000" w:themeColor="text1"/>
          <w:sz w:val="20"/>
          <w:szCs w:val="20"/>
          <w:lang w:val="es-ES"/>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21EE04EE" w14:textId="77777777" w:rsidR="00C62C06" w:rsidRDefault="00C62C06" w:rsidP="00C62C06">
      <w:pPr>
        <w:spacing w:after="0" w:line="240" w:lineRule="auto"/>
        <w:jc w:val="both"/>
        <w:rPr>
          <w:rFonts w:ascii="Verdana" w:hAnsi="Verdana" w:cs="Arial"/>
          <w:b/>
          <w:color w:val="000000" w:themeColor="text1"/>
          <w:lang w:val="es-ES_tradnl"/>
        </w:rPr>
      </w:pPr>
    </w:p>
    <w:p w14:paraId="457BC8E2" w14:textId="7C1738E1" w:rsidR="00747654" w:rsidRDefault="00747654" w:rsidP="00747654">
      <w:pPr>
        <w:jc w:val="both"/>
        <w:rPr>
          <w:rFonts w:ascii="Verdana" w:hAnsi="Verdana" w:cs="Arial"/>
          <w:b/>
          <w:color w:val="000000" w:themeColor="text1"/>
        </w:rPr>
      </w:pPr>
      <w:r w:rsidRPr="00747654">
        <w:rPr>
          <w:rFonts w:ascii="Verdana" w:hAnsi="Verdana" w:cs="Arial"/>
          <w:b/>
          <w:color w:val="000000" w:themeColor="text1"/>
        </w:rPr>
        <w:t xml:space="preserve">LEY DE GARANTÍAS ELECTORALES – Artículo 33 – Ámbito material </w:t>
      </w:r>
    </w:p>
    <w:p w14:paraId="02E4302C" w14:textId="78567B62" w:rsidR="00C62C06" w:rsidRDefault="00C62C06" w:rsidP="001C7A72">
      <w:pPr>
        <w:spacing w:after="0" w:line="240" w:lineRule="auto"/>
        <w:jc w:val="both"/>
        <w:rPr>
          <w:rFonts w:ascii="Verdana" w:hAnsi="Verdana" w:cs="Arial"/>
          <w:b/>
          <w:color w:val="000000" w:themeColor="text1"/>
          <w:sz w:val="20"/>
          <w:szCs w:val="20"/>
        </w:rPr>
      </w:pPr>
      <w:r w:rsidRPr="00C62C06">
        <w:rPr>
          <w:rFonts w:ascii="Verdana" w:hAnsi="Verdana" w:cs="Arial"/>
          <w:bCs/>
          <w:sz w:val="20"/>
          <w:szCs w:val="20"/>
          <w:lang w:eastAsia="x-none"/>
        </w:rPr>
        <w:t xml:space="preserve">El ámbito material de la prohibición contenida en el artículo 33 de la ley 996 de 2005 está delimitado por la expresión </w:t>
      </w:r>
      <w:r w:rsidRPr="00C62C06">
        <w:rPr>
          <w:rFonts w:ascii="Verdana" w:eastAsia="Calibri" w:hAnsi="Verdana" w:cs="Arial"/>
          <w:bCs/>
          <w:i/>
          <w:iCs/>
          <w:sz w:val="20"/>
          <w:szCs w:val="20"/>
        </w:rPr>
        <w:t>“</w:t>
      </w:r>
      <w:r w:rsidRPr="00C62C06">
        <w:rPr>
          <w:rFonts w:ascii="Verdana" w:hAnsi="Verdana" w:cs="Arial"/>
          <w:bCs/>
          <w:i/>
          <w:iCs/>
          <w:sz w:val="20"/>
          <w:szCs w:val="20"/>
          <w:lang w:eastAsia="x-none"/>
        </w:rPr>
        <w:t>queda prohibida la contratación directa</w:t>
      </w:r>
      <w:r w:rsidRPr="00C62C06">
        <w:rPr>
          <w:rFonts w:ascii="Verdana" w:hAnsi="Verdana" w:cs="Arial"/>
          <w:sz w:val="20"/>
          <w:szCs w:val="20"/>
        </w:rPr>
        <w:t>”</w:t>
      </w:r>
      <w:r w:rsidR="007C36F3">
        <w:rPr>
          <w:rFonts w:ascii="Verdana" w:hAnsi="Verdana" w:cs="Arial"/>
          <w:bCs/>
          <w:sz w:val="20"/>
          <w:szCs w:val="20"/>
          <w:lang w:eastAsia="x-none"/>
        </w:rPr>
        <w:t xml:space="preserve"> […] </w:t>
      </w:r>
      <w:r w:rsidR="007C36F3" w:rsidRPr="007C36F3">
        <w:rPr>
          <w:rFonts w:ascii="Verdana" w:hAnsi="Verdana" w:cs="Arial"/>
          <w:bCs/>
          <w:sz w:val="20"/>
          <w:szCs w:val="20"/>
          <w:lang w:eastAsia="x-none"/>
        </w:rPr>
        <w:t xml:space="preserve">De acuerdo con el citado concepto, la prohibición del artículo 33 de la Ley de Garantías Electorales se refiere a “cualquier sistema que no implique convocatoria pública y </w:t>
      </w:r>
      <w:r w:rsidR="007C36F3" w:rsidRPr="007C36F3">
        <w:rPr>
          <w:rFonts w:ascii="Verdana" w:hAnsi="Verdana" w:cs="Arial"/>
          <w:bCs/>
          <w:sz w:val="20"/>
          <w:szCs w:val="20"/>
          <w:lang w:eastAsia="x-none"/>
        </w:rPr>
        <w:lastRenderedPageBreak/>
        <w:t>posibilidad de pluralidad de oferentes”, por lo que excluye las demás modalidades de contratación previstas en la Ley 1150 de 2007</w:t>
      </w:r>
      <w:r w:rsidR="000037C3">
        <w:rPr>
          <w:rFonts w:ascii="Verdana" w:hAnsi="Verdana" w:cs="Arial"/>
          <w:bCs/>
          <w:sz w:val="20"/>
          <w:szCs w:val="20"/>
          <w:lang w:eastAsia="x-none"/>
        </w:rPr>
        <w:t>.</w:t>
      </w:r>
    </w:p>
    <w:p w14:paraId="07912BC3" w14:textId="40903BE4" w:rsidR="00BC1FE1" w:rsidRPr="00BC1FE1" w:rsidRDefault="00BC1FE1" w:rsidP="001C7A72">
      <w:pPr>
        <w:spacing w:after="0" w:line="240" w:lineRule="auto"/>
        <w:jc w:val="both"/>
        <w:rPr>
          <w:rFonts w:ascii="Verdana" w:hAnsi="Verdana" w:cs="Arial"/>
          <w:bCs/>
          <w:color w:val="000000" w:themeColor="text1"/>
        </w:rPr>
      </w:pPr>
      <w:r w:rsidRPr="00BC1FE1">
        <w:rPr>
          <w:rFonts w:ascii="Verdana" w:hAnsi="Verdana" w:cs="Arial"/>
          <w:bCs/>
          <w:color w:val="000000" w:themeColor="text1"/>
        </w:rPr>
        <w:t xml:space="preserve">[…] </w:t>
      </w:r>
    </w:p>
    <w:p w14:paraId="056CA521" w14:textId="77777777" w:rsidR="00BC1FE1" w:rsidRDefault="00BC1FE1" w:rsidP="001C7A72">
      <w:pPr>
        <w:spacing w:after="0" w:line="240" w:lineRule="auto"/>
        <w:jc w:val="both"/>
        <w:rPr>
          <w:rFonts w:ascii="Verdana" w:hAnsi="Verdana" w:cs="Arial"/>
          <w:bCs/>
          <w:lang w:eastAsia="x-none"/>
        </w:rPr>
      </w:pPr>
    </w:p>
    <w:p w14:paraId="7001D9E0" w14:textId="6724AF79" w:rsidR="00BC1FE1" w:rsidRPr="00BC1FE1" w:rsidRDefault="00BC1FE1" w:rsidP="001C7A72">
      <w:pPr>
        <w:spacing w:after="0" w:line="240" w:lineRule="auto"/>
        <w:jc w:val="both"/>
        <w:rPr>
          <w:rFonts w:ascii="Verdana" w:hAnsi="Verdana" w:cs="Arial"/>
          <w:bCs/>
          <w:sz w:val="20"/>
          <w:szCs w:val="20"/>
          <w:lang w:eastAsia="x-none"/>
        </w:rPr>
      </w:pPr>
      <w:r w:rsidRPr="00BC1FE1">
        <w:rPr>
          <w:rFonts w:ascii="Verdana" w:hAnsi="Verdana" w:cs="Arial"/>
          <w:bCs/>
          <w:sz w:val="20"/>
          <w:szCs w:val="20"/>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p>
    <w:p w14:paraId="21A88A77" w14:textId="77777777" w:rsidR="00BC1FE1" w:rsidRDefault="00BC1FE1" w:rsidP="001C7A72">
      <w:pPr>
        <w:spacing w:after="0" w:line="240" w:lineRule="auto"/>
        <w:jc w:val="both"/>
        <w:rPr>
          <w:rFonts w:ascii="Verdana" w:hAnsi="Verdana" w:cs="Arial"/>
          <w:b/>
          <w:color w:val="000000" w:themeColor="text1"/>
        </w:rPr>
      </w:pPr>
    </w:p>
    <w:p w14:paraId="2495304E" w14:textId="3407933E" w:rsidR="00747654" w:rsidRDefault="00747654" w:rsidP="00747654">
      <w:pPr>
        <w:jc w:val="both"/>
        <w:rPr>
          <w:rFonts w:ascii="Verdana" w:hAnsi="Verdana" w:cs="Arial"/>
          <w:b/>
          <w:color w:val="000000" w:themeColor="text1"/>
        </w:rPr>
      </w:pPr>
      <w:r w:rsidRPr="00747654">
        <w:rPr>
          <w:rFonts w:ascii="Verdana" w:hAnsi="Verdana" w:cs="Arial"/>
          <w:b/>
          <w:color w:val="000000" w:themeColor="text1"/>
        </w:rPr>
        <w:t xml:space="preserve">LEY DE GARANTÍAS ELECTORALES – Destinatarios </w:t>
      </w:r>
    </w:p>
    <w:p w14:paraId="470A446E" w14:textId="4033EE08" w:rsidR="00BC1FE1" w:rsidRPr="00BC1FE1" w:rsidRDefault="00BC1FE1" w:rsidP="00BC1FE1">
      <w:pPr>
        <w:spacing w:after="0" w:line="240" w:lineRule="auto"/>
        <w:jc w:val="both"/>
        <w:rPr>
          <w:rFonts w:ascii="Verdana" w:hAnsi="Verdana" w:cs="Arial"/>
          <w:bCs/>
          <w:color w:val="000000" w:themeColor="text1"/>
          <w:sz w:val="20"/>
          <w:szCs w:val="20"/>
          <w:lang w:val="es-MX"/>
        </w:rPr>
      </w:pPr>
      <w:r w:rsidRPr="00BC1FE1">
        <w:rPr>
          <w:rFonts w:ascii="Verdana" w:hAnsi="Verdana" w:cs="Arial"/>
          <w:bCs/>
          <w:color w:val="000000" w:themeColor="text1"/>
          <w:sz w:val="20"/>
          <w:szCs w:val="20"/>
          <w:lang w:val="es-MX"/>
        </w:rPr>
        <w:t>Ahora bien, en relación con los destinatarios de las restricciones, el artículo 33 de la Ley 996 de 2005 los señala expresamente,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6658D348" w14:textId="77777777" w:rsidR="00BC1FE1" w:rsidRPr="00747654" w:rsidRDefault="00BC1FE1" w:rsidP="00747654">
      <w:pPr>
        <w:spacing w:after="0" w:line="240" w:lineRule="auto"/>
        <w:jc w:val="both"/>
        <w:rPr>
          <w:rFonts w:ascii="Verdana" w:hAnsi="Verdana" w:cs="Arial"/>
          <w:b/>
          <w:color w:val="000000" w:themeColor="text1"/>
        </w:rPr>
      </w:pPr>
    </w:p>
    <w:p w14:paraId="7D07F4A7" w14:textId="77777777" w:rsidR="00BC1FE1" w:rsidRDefault="00747654" w:rsidP="00BC1FE1">
      <w:pPr>
        <w:jc w:val="both"/>
        <w:rPr>
          <w:rFonts w:ascii="Verdana" w:hAnsi="Verdana" w:cs="Arial"/>
          <w:b/>
          <w:color w:val="000000" w:themeColor="text1"/>
        </w:rPr>
      </w:pPr>
      <w:r w:rsidRPr="00747654">
        <w:rPr>
          <w:rFonts w:ascii="Verdana" w:hAnsi="Verdana" w:cs="Arial"/>
          <w:b/>
          <w:color w:val="000000" w:themeColor="text1"/>
        </w:rPr>
        <w:t xml:space="preserve">LEY DE GARANTÍAS ELECTORALES – Excepciones </w:t>
      </w:r>
    </w:p>
    <w:p w14:paraId="09AAC4D6" w14:textId="09A760FC" w:rsidR="00BC1FE1" w:rsidRDefault="00BC1FE1" w:rsidP="001C7A72">
      <w:pPr>
        <w:spacing w:after="0" w:line="240" w:lineRule="auto"/>
        <w:jc w:val="both"/>
        <w:rPr>
          <w:rFonts w:ascii="Verdana" w:hAnsi="Verdana" w:cs="Arial"/>
          <w:bCs/>
          <w:sz w:val="20"/>
          <w:szCs w:val="20"/>
          <w:lang w:eastAsia="x-none"/>
        </w:rPr>
      </w:pPr>
      <w:r>
        <w:rPr>
          <w:rFonts w:ascii="Verdana" w:eastAsia="Times New Roman" w:hAnsi="Verdana" w:cs="Arial"/>
          <w:bCs/>
          <w:sz w:val="20"/>
          <w:szCs w:val="20"/>
          <w:lang w:val="es-ES" w:eastAsia="es-CO" w:bidi="es-ES"/>
        </w:rPr>
        <w:t xml:space="preserve">[…] </w:t>
      </w:r>
      <w:r w:rsidRPr="00BC1FE1">
        <w:rPr>
          <w:rFonts w:ascii="Verdana" w:eastAsia="Times New Roman" w:hAnsi="Verdana" w:cs="Arial"/>
          <w:bCs/>
          <w:sz w:val="20"/>
          <w:szCs w:val="20"/>
          <w:lang w:val="es-ES" w:eastAsia="es-CO" w:bidi="es-ES"/>
        </w:rPr>
        <w:t xml:space="preserve">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BC1FE1">
        <w:rPr>
          <w:rFonts w:ascii="Verdana" w:eastAsia="Times New Roman" w:hAnsi="Verdana" w:cs="Arial"/>
          <w:bCs/>
          <w:sz w:val="20"/>
          <w:szCs w:val="20"/>
          <w:lang w:val="es-ES" w:eastAsia="es-CO" w:bidi="es-ES"/>
        </w:rPr>
        <w:t>ii</w:t>
      </w:r>
      <w:proofErr w:type="spellEnd"/>
      <w:r w:rsidRPr="00BC1FE1">
        <w:rPr>
          <w:rFonts w:ascii="Verdana" w:eastAsia="Times New Roman" w:hAnsi="Verdana" w:cs="Arial"/>
          <w:bCs/>
          <w:sz w:val="20"/>
          <w:szCs w:val="20"/>
          <w:lang w:val="es-ES" w:eastAsia="es-CO" w:bidi="es-ES"/>
        </w:rPr>
        <w:t xml:space="preserve">) los contratos de crédito público; </w:t>
      </w:r>
      <w:proofErr w:type="spellStart"/>
      <w:r w:rsidRPr="00BC1FE1">
        <w:rPr>
          <w:rFonts w:ascii="Verdana" w:eastAsia="Times New Roman" w:hAnsi="Verdana" w:cs="Arial"/>
          <w:bCs/>
          <w:sz w:val="20"/>
          <w:szCs w:val="20"/>
          <w:lang w:val="es-ES" w:eastAsia="es-CO" w:bidi="es-ES"/>
        </w:rPr>
        <w:t>iii</w:t>
      </w:r>
      <w:proofErr w:type="spellEnd"/>
      <w:r w:rsidRPr="00BC1FE1">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BC1FE1">
        <w:rPr>
          <w:rFonts w:ascii="Verdana" w:eastAsia="Times New Roman" w:hAnsi="Verdana" w:cs="Arial"/>
          <w:bCs/>
          <w:sz w:val="20"/>
          <w:szCs w:val="20"/>
          <w:lang w:val="es-ES" w:eastAsia="es-CO" w:bidi="es-ES"/>
        </w:rPr>
        <w:t>iv</w:t>
      </w:r>
      <w:proofErr w:type="spellEnd"/>
      <w:r w:rsidRPr="00BC1FE1">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BC1FE1">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5584A0FC" w14:textId="77777777" w:rsidR="001C7A72" w:rsidRDefault="001C7A72" w:rsidP="001C7A72">
      <w:pPr>
        <w:spacing w:after="0" w:line="240" w:lineRule="auto"/>
        <w:jc w:val="both"/>
        <w:rPr>
          <w:rFonts w:ascii="Verdana" w:hAnsi="Verdana" w:cs="Arial"/>
          <w:bCs/>
          <w:sz w:val="20"/>
          <w:szCs w:val="20"/>
          <w:lang w:eastAsia="x-none"/>
        </w:rPr>
      </w:pPr>
    </w:p>
    <w:p w14:paraId="404BD35F" w14:textId="177DF09E" w:rsidR="00BC1FE1" w:rsidRPr="00BC1FE1" w:rsidRDefault="00BC1FE1" w:rsidP="001C7A72">
      <w:pPr>
        <w:spacing w:after="0" w:line="240" w:lineRule="auto"/>
        <w:jc w:val="both"/>
        <w:rPr>
          <w:rFonts w:ascii="Verdana" w:hAnsi="Verdana" w:cs="Arial"/>
          <w:bCs/>
          <w:sz w:val="20"/>
          <w:szCs w:val="20"/>
          <w:lang w:eastAsia="x-none"/>
        </w:rPr>
      </w:pPr>
      <w:r>
        <w:rPr>
          <w:rFonts w:ascii="Verdana" w:hAnsi="Verdana" w:cs="Arial"/>
          <w:bCs/>
          <w:sz w:val="20"/>
          <w:szCs w:val="20"/>
          <w:lang w:eastAsia="x-none"/>
        </w:rPr>
        <w:t xml:space="preserve">[…] </w:t>
      </w:r>
    </w:p>
    <w:p w14:paraId="409CB375" w14:textId="77777777" w:rsidR="00BC1FE1" w:rsidRDefault="00BC1FE1" w:rsidP="001C7A72">
      <w:pPr>
        <w:tabs>
          <w:tab w:val="left" w:pos="426"/>
        </w:tabs>
        <w:spacing w:after="0" w:line="240" w:lineRule="auto"/>
        <w:jc w:val="both"/>
        <w:rPr>
          <w:rFonts w:ascii="Verdana" w:hAnsi="Verdana" w:cs="Arial"/>
          <w:color w:val="000000" w:themeColor="text1"/>
          <w:sz w:val="20"/>
          <w:szCs w:val="20"/>
          <w:lang w:val="es-ES"/>
        </w:rPr>
      </w:pPr>
    </w:p>
    <w:p w14:paraId="0A2731A9" w14:textId="77777777" w:rsidR="00BC1FE1" w:rsidRDefault="00BC1FE1" w:rsidP="001C7A72">
      <w:pPr>
        <w:tabs>
          <w:tab w:val="left" w:pos="426"/>
        </w:tabs>
        <w:spacing w:after="0" w:line="240" w:lineRule="auto"/>
        <w:jc w:val="both"/>
        <w:rPr>
          <w:rFonts w:ascii="Verdana" w:hAnsi="Verdana" w:cs="Arial"/>
          <w:color w:val="000000" w:themeColor="text1"/>
          <w:sz w:val="20"/>
          <w:szCs w:val="20"/>
          <w:lang w:val="es-ES"/>
        </w:rPr>
      </w:pPr>
      <w:r w:rsidRPr="00BC1FE1">
        <w:rPr>
          <w:rFonts w:ascii="Verdana" w:hAnsi="Verdana" w:cs="Arial"/>
          <w:color w:val="000000" w:themeColor="text1"/>
          <w:sz w:val="20"/>
          <w:szCs w:val="20"/>
          <w:lang w:val="es-ES"/>
        </w:rPr>
        <w:lastRenderedPageBreak/>
        <w:t>En este punto, es pertinente analizar el quinto evento</w:t>
      </w:r>
      <w:r w:rsidRPr="00BC1FE1">
        <w:rPr>
          <w:rFonts w:ascii="Verdana" w:hAnsi="Verdana" w:cs="Arial"/>
          <w:i/>
          <w:iCs/>
          <w:color w:val="000000" w:themeColor="text1"/>
          <w:sz w:val="20"/>
          <w:szCs w:val="20"/>
          <w:lang w:val="es-ES"/>
        </w:rPr>
        <w:t xml:space="preserve"> </w:t>
      </w:r>
      <w:r w:rsidRPr="00BC1FE1">
        <w:rPr>
          <w:rFonts w:ascii="Verdana" w:hAnsi="Verdana" w:cs="Arial"/>
          <w:color w:val="000000" w:themeColor="text1"/>
          <w:sz w:val="20"/>
          <w:szCs w:val="20"/>
          <w:lang w:val="es-ES"/>
        </w:rPr>
        <w:t xml:space="preserve">exceptuado de la prohibición, relacionado con la contratación por parte de las entidades sanitarias y hospitalarias, </w:t>
      </w:r>
      <w:r w:rsidRPr="00BC1FE1">
        <w:rPr>
          <w:rFonts w:ascii="Verdana" w:hAnsi="Verdana" w:cs="Arial"/>
          <w:color w:val="000000" w:themeColor="text1"/>
          <w:sz w:val="20"/>
          <w:szCs w:val="20"/>
        </w:rPr>
        <w:t>a efectos de determinar si la excepción referida es aplicable a los contratos suscritos por las Empresas Sociales del Estado –ESE-</w:t>
      </w:r>
      <w:r w:rsidRPr="00BC1FE1">
        <w:rPr>
          <w:rFonts w:ascii="Verdana" w:hAnsi="Verdana" w:cs="Arial"/>
          <w:color w:val="000000" w:themeColor="text1"/>
          <w:sz w:val="20"/>
          <w:szCs w:val="20"/>
          <w:lang w:val="es-ES"/>
        </w:rPr>
        <w:t xml:space="preserve">. Para ello, debe tenerse en cuenta el artículo 94 de la Ley 100 de 1993, que dispone </w:t>
      </w:r>
      <w:r w:rsidRPr="00BC1FE1">
        <w:rPr>
          <w:rFonts w:ascii="Verdana" w:hAnsi="Verdana" w:cs="Arial"/>
          <w:color w:val="000000" w:themeColor="text1"/>
          <w:sz w:val="20"/>
          <w:szCs w:val="20"/>
          <w:lang w:val="es-ES" w:eastAsia="es-CO"/>
        </w:rPr>
        <w:t>“</w:t>
      </w:r>
      <w:r w:rsidRPr="00BC1FE1">
        <w:rPr>
          <w:rFonts w:ascii="Verdana" w:hAnsi="Verdana" w:cs="Arial"/>
          <w:color w:val="000000" w:themeColor="text1"/>
          <w:sz w:val="20"/>
          <w:szCs w:val="20"/>
          <w:lang w:val="es-ES"/>
        </w:rPr>
        <w:t xml:space="preserve">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12C6AFD8" w14:textId="77777777" w:rsidR="00BC1FE1" w:rsidRDefault="00BC1FE1" w:rsidP="001C7A72">
      <w:pPr>
        <w:tabs>
          <w:tab w:val="left" w:pos="426"/>
        </w:tabs>
        <w:spacing w:after="0" w:line="240" w:lineRule="auto"/>
        <w:jc w:val="both"/>
        <w:rPr>
          <w:rFonts w:ascii="Verdana" w:hAnsi="Verdana" w:cs="Arial"/>
          <w:color w:val="000000" w:themeColor="text1"/>
          <w:sz w:val="20"/>
          <w:szCs w:val="20"/>
          <w:lang w:val="es-ES"/>
        </w:rPr>
      </w:pPr>
    </w:p>
    <w:p w14:paraId="6D39CCE6" w14:textId="1CA8CCD4" w:rsidR="00BC1FE1" w:rsidRDefault="00BC1FE1" w:rsidP="001C7A72">
      <w:pPr>
        <w:tabs>
          <w:tab w:val="left" w:pos="426"/>
        </w:tabs>
        <w:spacing w:after="0" w:line="240" w:lineRule="auto"/>
        <w:jc w:val="both"/>
        <w:rPr>
          <w:rFonts w:ascii="Verdana" w:hAnsi="Verdana" w:cs="Arial"/>
          <w:color w:val="000000" w:themeColor="text1"/>
          <w:sz w:val="20"/>
          <w:szCs w:val="20"/>
          <w:lang w:val="es-ES"/>
        </w:rPr>
      </w:pPr>
      <w:r w:rsidRPr="00BC1FE1">
        <w:rPr>
          <w:rFonts w:ascii="Verdana" w:hAnsi="Verdana" w:cs="Arial"/>
          <w:color w:val="000000" w:themeColor="text1"/>
          <w:sz w:val="20"/>
          <w:szCs w:val="20"/>
          <w:lang w:val="es-ES"/>
        </w:rPr>
        <w:t xml:space="preserve">Es decir que, a partir de la </w:t>
      </w:r>
      <w:proofErr w:type="gramStart"/>
      <w:r w:rsidRPr="00BC1FE1">
        <w:rPr>
          <w:rFonts w:ascii="Verdana" w:hAnsi="Verdana" w:cs="Arial"/>
          <w:color w:val="000000" w:themeColor="text1"/>
          <w:sz w:val="20"/>
          <w:szCs w:val="20"/>
          <w:lang w:val="es-ES"/>
        </w:rPr>
        <w:t>entrada en vigencia</w:t>
      </w:r>
      <w:proofErr w:type="gramEnd"/>
      <w:r w:rsidRPr="00BC1FE1">
        <w:rPr>
          <w:rFonts w:ascii="Verdana" w:hAnsi="Verdana" w:cs="Arial"/>
          <w:color w:val="000000" w:themeColor="text1"/>
          <w:sz w:val="20"/>
          <w:szCs w:val="20"/>
          <w:lang w:val="es-ES"/>
        </w:rPr>
        <w:t xml:space="preserve"> de la Ley 100 de 1993, las Empresas Sociales del Estado son las entidades públicas que tienen a su cargo la prestación de servicios de salud de manera directa.</w:t>
      </w:r>
    </w:p>
    <w:p w14:paraId="1F7BAF75" w14:textId="77777777" w:rsidR="00BC1FE1" w:rsidRDefault="00BC1FE1" w:rsidP="001C7A72">
      <w:pPr>
        <w:tabs>
          <w:tab w:val="left" w:pos="426"/>
        </w:tabs>
        <w:spacing w:after="0" w:line="240" w:lineRule="auto"/>
        <w:jc w:val="both"/>
        <w:rPr>
          <w:rFonts w:ascii="Verdana" w:hAnsi="Verdana" w:cs="Arial"/>
          <w:color w:val="000000" w:themeColor="text1"/>
          <w:sz w:val="20"/>
          <w:szCs w:val="20"/>
          <w:lang w:val="es-ES"/>
        </w:rPr>
      </w:pPr>
    </w:p>
    <w:p w14:paraId="6C4B0CFD" w14:textId="611C8DE0" w:rsidR="00BC1FE1" w:rsidRDefault="00BC1FE1" w:rsidP="001C7A72">
      <w:pPr>
        <w:tabs>
          <w:tab w:val="left" w:pos="426"/>
        </w:tabs>
        <w:spacing w:after="0" w:line="240" w:lineRule="auto"/>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 xml:space="preserve">[…] </w:t>
      </w:r>
    </w:p>
    <w:p w14:paraId="0B7022A9" w14:textId="77777777" w:rsidR="00BC1FE1" w:rsidRDefault="00BC1FE1" w:rsidP="001C7A72">
      <w:pPr>
        <w:tabs>
          <w:tab w:val="left" w:pos="426"/>
        </w:tabs>
        <w:spacing w:after="0" w:line="240" w:lineRule="auto"/>
        <w:jc w:val="both"/>
        <w:rPr>
          <w:rFonts w:ascii="Verdana" w:hAnsi="Verdana" w:cs="Arial"/>
          <w:color w:val="000000" w:themeColor="text1"/>
          <w:sz w:val="20"/>
          <w:szCs w:val="20"/>
          <w:lang w:val="es-ES"/>
        </w:rPr>
      </w:pPr>
    </w:p>
    <w:p w14:paraId="3FF5B1F3" w14:textId="10A60D7D" w:rsidR="00BC1FE1" w:rsidRDefault="00BC1FE1" w:rsidP="001C7A72">
      <w:pPr>
        <w:tabs>
          <w:tab w:val="left" w:pos="426"/>
        </w:tabs>
        <w:spacing w:after="0" w:line="240" w:lineRule="auto"/>
        <w:jc w:val="both"/>
        <w:rPr>
          <w:rFonts w:ascii="Verdana" w:hAnsi="Verdana" w:cs="Arial"/>
          <w:color w:val="000000" w:themeColor="text1"/>
          <w:sz w:val="20"/>
          <w:szCs w:val="20"/>
          <w:lang w:val="es-ES"/>
        </w:rPr>
      </w:pPr>
      <w:r w:rsidRPr="00BC1FE1">
        <w:rPr>
          <w:rFonts w:ascii="Verdana" w:hAnsi="Verdana" w:cs="Arial"/>
          <w:color w:val="000000" w:themeColor="text1"/>
          <w:sz w:val="20"/>
          <w:szCs w:val="20"/>
          <w:lang w:val="es-ES"/>
        </w:rPr>
        <w:t>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w:t>
      </w:r>
    </w:p>
    <w:p w14:paraId="7FC40028" w14:textId="77777777" w:rsidR="00BC1FE1" w:rsidRDefault="00BC1FE1" w:rsidP="00BC1FE1">
      <w:pPr>
        <w:tabs>
          <w:tab w:val="left" w:pos="426"/>
        </w:tabs>
        <w:spacing w:after="0" w:line="240" w:lineRule="auto"/>
        <w:jc w:val="both"/>
        <w:rPr>
          <w:rFonts w:ascii="Verdana" w:hAnsi="Verdana" w:cs="Arial"/>
          <w:color w:val="000000" w:themeColor="text1"/>
          <w:sz w:val="20"/>
          <w:szCs w:val="20"/>
          <w:lang w:val="es-ES"/>
        </w:rPr>
      </w:pPr>
    </w:p>
    <w:p w14:paraId="2A63032E" w14:textId="72D8DEC0" w:rsidR="00747654" w:rsidRDefault="00BC1FE1" w:rsidP="00BC1FE1">
      <w:pPr>
        <w:jc w:val="both"/>
        <w:rPr>
          <w:rFonts w:ascii="Verdana" w:hAnsi="Verdana" w:cs="Arial"/>
          <w:b/>
          <w:color w:val="000000" w:themeColor="text1"/>
        </w:rPr>
      </w:pPr>
      <w:r>
        <w:rPr>
          <w:rFonts w:ascii="Verdana" w:hAnsi="Verdana" w:cs="Arial"/>
          <w:b/>
          <w:color w:val="000000" w:themeColor="text1"/>
        </w:rPr>
        <w:t>L</w:t>
      </w:r>
      <w:r w:rsidRPr="00747654">
        <w:rPr>
          <w:rFonts w:ascii="Verdana" w:hAnsi="Verdana" w:cs="Arial"/>
          <w:b/>
          <w:color w:val="000000" w:themeColor="text1"/>
        </w:rPr>
        <w:t xml:space="preserve">EY DE GARANTÍAS ELECTORALES </w:t>
      </w:r>
      <w:r w:rsidR="00747654" w:rsidRPr="00747654">
        <w:rPr>
          <w:rFonts w:ascii="Verdana" w:hAnsi="Verdana" w:cs="Arial"/>
          <w:b/>
          <w:color w:val="000000" w:themeColor="text1"/>
        </w:rPr>
        <w:t xml:space="preserve">– Parágrafo del artículo 38 - Alcance </w:t>
      </w:r>
    </w:p>
    <w:p w14:paraId="4693C442" w14:textId="77777777" w:rsidR="00BC1FE1" w:rsidRDefault="00BC1FE1" w:rsidP="007032F0">
      <w:pPr>
        <w:spacing w:after="0" w:line="240" w:lineRule="auto"/>
        <w:jc w:val="both"/>
        <w:rPr>
          <w:rFonts w:ascii="Verdana" w:hAnsi="Verdana" w:cs="Arial"/>
          <w:b/>
          <w:color w:val="000000" w:themeColor="text1"/>
          <w:sz w:val="20"/>
          <w:szCs w:val="20"/>
          <w:lang w:val="es-ES"/>
        </w:rPr>
      </w:pPr>
      <w:r w:rsidRPr="00BC1FE1">
        <w:rPr>
          <w:rFonts w:ascii="Verdana" w:eastAsia="Calibri" w:hAnsi="Verdana" w:cs="Arial"/>
          <w:sz w:val="20"/>
          <w:szCs w:val="20"/>
          <w:lang w:val="es-ES"/>
        </w:rPr>
        <w:t xml:space="preserve">Ahora bien, respecto del alcance del parágrafo del artículo 38 de la Ley 996 de 2005, esta prohibición dispone en primera medida que: “[l]os Gobernadores, </w:t>
      </w:r>
      <w:proofErr w:type="gramStart"/>
      <w:r w:rsidRPr="00BC1FE1">
        <w:rPr>
          <w:rFonts w:ascii="Verdana" w:eastAsia="Calibri" w:hAnsi="Verdana" w:cs="Arial"/>
          <w:sz w:val="20"/>
          <w:szCs w:val="20"/>
          <w:lang w:val="es-ES"/>
        </w:rPr>
        <w:t>Alcaldes</w:t>
      </w:r>
      <w:proofErr w:type="gramEnd"/>
      <w:r w:rsidRPr="00BC1FE1">
        <w:rPr>
          <w:rFonts w:ascii="Verdana" w:eastAsia="Calibri" w:hAnsi="Verdana" w:cs="Arial"/>
          <w:sz w:val="20"/>
          <w:szCs w:val="20"/>
          <w:lang w:val="es-ES"/>
        </w:rPr>
        <w:t xml:space="preserve"> Municipales y/o Distritales, </w:t>
      </w:r>
      <w:proofErr w:type="gramStart"/>
      <w:r w:rsidRPr="00BC1FE1">
        <w:rPr>
          <w:rFonts w:ascii="Verdana" w:eastAsia="Calibri" w:hAnsi="Verdana" w:cs="Arial"/>
          <w:sz w:val="20"/>
          <w:szCs w:val="20"/>
          <w:lang w:val="es-ES"/>
        </w:rPr>
        <w:t>Secretarios</w:t>
      </w:r>
      <w:proofErr w:type="gramEnd"/>
      <w:r w:rsidRPr="00BC1FE1">
        <w:rPr>
          <w:rFonts w:ascii="Verdana" w:eastAsia="Calibri" w:hAnsi="Verdana" w:cs="Arial"/>
          <w:sz w:val="20"/>
          <w:szCs w:val="20"/>
          <w:lang w:val="es-ES"/>
        </w:rPr>
        <w:t>, Gerentes y directores de Entidades Descentralizadas del orden Municipal, Departamental o Distrital, dentro de los cuatro (4) meses anteriores a las elecciones, no podrán celebrar convenios interadministrativos para la ejecución de recursos públicos”.</w:t>
      </w:r>
    </w:p>
    <w:p w14:paraId="0127AE8E" w14:textId="77777777" w:rsidR="001C7A72" w:rsidRDefault="001C7A72" w:rsidP="001C7A72">
      <w:pPr>
        <w:spacing w:after="0" w:line="240" w:lineRule="auto"/>
        <w:jc w:val="both"/>
        <w:rPr>
          <w:rFonts w:ascii="Verdana" w:hAnsi="Verdana" w:cs="Arial"/>
          <w:b/>
          <w:color w:val="000000" w:themeColor="text1"/>
        </w:rPr>
      </w:pPr>
    </w:p>
    <w:p w14:paraId="5AE482DB" w14:textId="613674B2" w:rsidR="00747654" w:rsidRDefault="00747654" w:rsidP="00747654">
      <w:pPr>
        <w:jc w:val="both"/>
        <w:rPr>
          <w:rFonts w:ascii="Verdana" w:hAnsi="Verdana" w:cs="Arial"/>
          <w:b/>
          <w:color w:val="000000" w:themeColor="text1"/>
        </w:rPr>
      </w:pPr>
      <w:r w:rsidRPr="00747654">
        <w:rPr>
          <w:rFonts w:ascii="Verdana" w:hAnsi="Verdana" w:cs="Arial"/>
          <w:b/>
          <w:color w:val="000000" w:themeColor="text1"/>
        </w:rPr>
        <w:t xml:space="preserve">LEY DE GARANTÍAS ELECTORALES – Convenios interadministrativos – Contratos interadministrativos </w:t>
      </w:r>
    </w:p>
    <w:p w14:paraId="0E16690B" w14:textId="7E63F16A" w:rsidR="00BC1FE1" w:rsidRDefault="00BC1FE1" w:rsidP="001C7A72">
      <w:pPr>
        <w:spacing w:after="0" w:line="240" w:lineRule="auto"/>
        <w:jc w:val="both"/>
        <w:rPr>
          <w:rFonts w:ascii="Verdana" w:hAnsi="Verdana" w:cs="Arial"/>
          <w:sz w:val="20"/>
          <w:szCs w:val="20"/>
          <w:lang w:val="es-ES"/>
        </w:rPr>
      </w:pPr>
      <w:r w:rsidRPr="00BC1FE1">
        <w:rPr>
          <w:rFonts w:ascii="Verdana" w:hAnsi="Verdana" w:cs="Arial"/>
          <w:sz w:val="20"/>
          <w:szCs w:val="20"/>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r>
        <w:rPr>
          <w:rFonts w:ascii="Verdana" w:hAnsi="Verdana" w:cs="Arial"/>
          <w:sz w:val="20"/>
          <w:szCs w:val="20"/>
          <w:lang w:val="es-ES"/>
        </w:rPr>
        <w:t>.</w:t>
      </w:r>
    </w:p>
    <w:p w14:paraId="1F88E3F5" w14:textId="77777777" w:rsidR="001C7A72" w:rsidRDefault="001C7A72" w:rsidP="001C7A72">
      <w:pPr>
        <w:spacing w:after="0" w:line="240" w:lineRule="auto"/>
        <w:jc w:val="both"/>
        <w:rPr>
          <w:rFonts w:ascii="Verdana" w:hAnsi="Verdana" w:cs="Arial"/>
          <w:sz w:val="20"/>
          <w:szCs w:val="20"/>
          <w:lang w:val="es-ES"/>
        </w:rPr>
      </w:pPr>
    </w:p>
    <w:p w14:paraId="3C0F97E8" w14:textId="0522B510" w:rsidR="00BC1FE1" w:rsidRDefault="00BC1FE1" w:rsidP="001C7A72">
      <w:pPr>
        <w:spacing w:after="0" w:line="240" w:lineRule="auto"/>
        <w:jc w:val="both"/>
        <w:rPr>
          <w:rFonts w:ascii="Verdana" w:hAnsi="Verdana" w:cs="Arial"/>
          <w:sz w:val="20"/>
          <w:szCs w:val="20"/>
          <w:lang w:val="es-ES"/>
        </w:rPr>
      </w:pPr>
      <w:r>
        <w:rPr>
          <w:rFonts w:ascii="Verdana" w:hAnsi="Verdana" w:cs="Arial"/>
          <w:sz w:val="20"/>
          <w:szCs w:val="20"/>
          <w:lang w:val="es-ES"/>
        </w:rPr>
        <w:t xml:space="preserve">[…] </w:t>
      </w:r>
    </w:p>
    <w:p w14:paraId="020BA2FD" w14:textId="619DE9DF" w:rsidR="00BC1FE1" w:rsidRDefault="00BC1FE1" w:rsidP="001C7A72">
      <w:pPr>
        <w:spacing w:after="0" w:line="240" w:lineRule="auto"/>
        <w:jc w:val="both"/>
        <w:rPr>
          <w:rFonts w:ascii="Verdana" w:hAnsi="Verdana" w:cs="Arial"/>
          <w:sz w:val="20"/>
          <w:szCs w:val="20"/>
          <w:lang w:val="es-MX"/>
        </w:rPr>
      </w:pPr>
      <w:r w:rsidRPr="00BC1FE1">
        <w:rPr>
          <w:rFonts w:ascii="Verdana" w:hAnsi="Verdana" w:cs="Arial"/>
          <w:sz w:val="20"/>
          <w:szCs w:val="20"/>
          <w:lang w:val="es-MX"/>
        </w:rPr>
        <w:lastRenderedPageBreak/>
        <w:t xml:space="preserve">De esta manera, se observa entonces que el parágrafo del artículo 38 de la Ley 996 de 2005 prohíbe a los </w:t>
      </w:r>
      <w:proofErr w:type="gramStart"/>
      <w:r w:rsidRPr="00BC1FE1">
        <w:rPr>
          <w:rFonts w:ascii="Verdana" w:hAnsi="Verdana" w:cs="Arial"/>
          <w:sz w:val="20"/>
          <w:szCs w:val="20"/>
          <w:lang w:val="es-MX"/>
        </w:rPr>
        <w:t>Alcaldes</w:t>
      </w:r>
      <w:proofErr w:type="gramEnd"/>
      <w:r w:rsidRPr="00BC1FE1">
        <w:rPr>
          <w:rFonts w:ascii="Verdana" w:hAnsi="Verdana" w:cs="Arial"/>
          <w:sz w:val="20"/>
          <w:szCs w:val="20"/>
          <w:lang w:val="es-MX"/>
        </w:rPr>
        <w:t xml:space="preserve">, Gobernadores, </w:t>
      </w:r>
      <w:proofErr w:type="gramStart"/>
      <w:r w:rsidRPr="00BC1FE1">
        <w:rPr>
          <w:rFonts w:ascii="Verdana" w:hAnsi="Verdana" w:cs="Arial"/>
          <w:sz w:val="20"/>
          <w:szCs w:val="20"/>
          <w:lang w:val="es-MX"/>
        </w:rPr>
        <w:t>Secretarios</w:t>
      </w:r>
      <w:proofErr w:type="gramEnd"/>
      <w:r w:rsidRPr="00BC1FE1">
        <w:rPr>
          <w:rFonts w:ascii="Verdana" w:hAnsi="Verdana" w:cs="Arial"/>
          <w:sz w:val="20"/>
          <w:szCs w:val="20"/>
          <w:lang w:val="es-MX"/>
        </w:rPr>
        <w:t xml:space="preserve">, Gerentes y </w:t>
      </w:r>
      <w:proofErr w:type="gramStart"/>
      <w:r w:rsidRPr="00BC1FE1">
        <w:rPr>
          <w:rFonts w:ascii="Verdana" w:hAnsi="Verdana" w:cs="Arial"/>
          <w:sz w:val="20"/>
          <w:szCs w:val="20"/>
          <w:lang w:val="es-MX"/>
        </w:rPr>
        <w:t>Directores</w:t>
      </w:r>
      <w:proofErr w:type="gramEnd"/>
      <w:r w:rsidRPr="00BC1FE1">
        <w:rPr>
          <w:rFonts w:ascii="Verdana" w:hAnsi="Verdana" w:cs="Arial"/>
          <w:sz w:val="20"/>
          <w:szCs w:val="20"/>
          <w:lang w:val="es-MX"/>
        </w:rPr>
        <w:t xml:space="preserve"> de las entidades del orden municipal, departamental o distrital celebrar convenios interadministrativos para la ejecución de recursos públicos. En este sentido, si una o ambas partes de la relación contractual es una entidad de aquellas descritas en el parágrafo ibidem, es decir, alcaldías, gobernaciones, secretarías de despacho, así como entidades descentralizadas por servicios del orden municipal, departamental o distrital no podrá celebrar tales convenios durante la aplicación de la Ley de Garantías Electorales, toda vez que la citada disposición se refiere a dicha tipología contractual sin que el legislador hubiere contemplado un efecto extensivo a otra tipología.</w:t>
      </w:r>
    </w:p>
    <w:p w14:paraId="6AB2B5AA" w14:textId="77777777" w:rsidR="001C7A72" w:rsidRDefault="001C7A72" w:rsidP="001C7A72">
      <w:pPr>
        <w:spacing w:after="0" w:line="240" w:lineRule="auto"/>
        <w:jc w:val="both"/>
        <w:rPr>
          <w:rFonts w:ascii="Verdana" w:hAnsi="Verdana" w:cs="Arial"/>
          <w:sz w:val="20"/>
          <w:szCs w:val="20"/>
        </w:rPr>
      </w:pPr>
    </w:p>
    <w:p w14:paraId="489CE7A9" w14:textId="248057BD" w:rsidR="00BC1FE1" w:rsidRPr="00BC1FE1" w:rsidRDefault="00BC1FE1" w:rsidP="001C7A72">
      <w:pPr>
        <w:spacing w:after="0" w:line="240" w:lineRule="auto"/>
        <w:jc w:val="both"/>
        <w:rPr>
          <w:rFonts w:ascii="Verdana" w:hAnsi="Verdana" w:cs="Arial"/>
          <w:sz w:val="20"/>
          <w:szCs w:val="20"/>
        </w:rPr>
      </w:pPr>
      <w:r w:rsidRPr="00BC1FE1">
        <w:rPr>
          <w:rFonts w:ascii="Verdana" w:hAnsi="Verdana" w:cs="Arial"/>
          <w:sz w:val="20"/>
          <w:szCs w:val="20"/>
        </w:rPr>
        <w:t xml:space="preserve">Respecto del alcance de esta prohibición la Circular Externa No. 006 de 2025 expedida por la ANCP -CCE, en los literales </w:t>
      </w:r>
      <w:proofErr w:type="spellStart"/>
      <w:r w:rsidRPr="00BC1FE1">
        <w:rPr>
          <w:rFonts w:ascii="Verdana" w:hAnsi="Verdana" w:cs="Arial"/>
          <w:sz w:val="20"/>
          <w:szCs w:val="20"/>
        </w:rPr>
        <w:t>ii</w:t>
      </w:r>
      <w:proofErr w:type="spellEnd"/>
      <w:r w:rsidRPr="00BC1FE1">
        <w:rPr>
          <w:rFonts w:ascii="Verdana" w:hAnsi="Verdana" w:cs="Arial"/>
          <w:sz w:val="20"/>
          <w:szCs w:val="20"/>
        </w:rPr>
        <w:t xml:space="preserve">) y </w:t>
      </w:r>
      <w:proofErr w:type="spellStart"/>
      <w:r w:rsidRPr="00BC1FE1">
        <w:rPr>
          <w:rFonts w:ascii="Verdana" w:hAnsi="Verdana" w:cs="Arial"/>
          <w:sz w:val="20"/>
          <w:szCs w:val="20"/>
        </w:rPr>
        <w:t>iv</w:t>
      </w:r>
      <w:proofErr w:type="spellEnd"/>
      <w:r w:rsidRPr="00BC1FE1">
        <w:rPr>
          <w:rFonts w:ascii="Verdana" w:hAnsi="Verdana" w:cs="Arial"/>
          <w:sz w:val="20"/>
          <w:szCs w:val="20"/>
        </w:rPr>
        <w:t>) del numeral 2, indica que el parágrafo del artículo 38 de la Ley 996 de 2005 cobija expresamente a los convenios interadministrativos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“aunque se configure alguno de los supuestos de excepción que señaló el inciso final del artículo 33”.</w:t>
      </w:r>
    </w:p>
    <w:p w14:paraId="0FC02BA9" w14:textId="77777777" w:rsidR="00BC1FE1" w:rsidRPr="00BC1FE1" w:rsidRDefault="00BC1FE1" w:rsidP="00747654">
      <w:pPr>
        <w:spacing w:after="0" w:line="240" w:lineRule="auto"/>
        <w:jc w:val="both"/>
        <w:rPr>
          <w:rFonts w:ascii="Verdana" w:hAnsi="Verdana" w:cs="Arial"/>
          <w:b/>
          <w:color w:val="000000" w:themeColor="text1"/>
          <w:sz w:val="20"/>
          <w:szCs w:val="20"/>
        </w:rPr>
      </w:pPr>
    </w:p>
    <w:p w14:paraId="173DF7E1" w14:textId="2402B8BD" w:rsidR="00747654" w:rsidRDefault="00747654" w:rsidP="00747654">
      <w:pPr>
        <w:jc w:val="both"/>
        <w:rPr>
          <w:rFonts w:ascii="Verdana" w:hAnsi="Verdana" w:cs="Arial"/>
          <w:b/>
          <w:color w:val="000000" w:themeColor="text1"/>
        </w:rPr>
      </w:pPr>
      <w:r w:rsidRPr="00747654">
        <w:rPr>
          <w:rFonts w:ascii="Verdana" w:hAnsi="Verdana" w:cs="Arial"/>
          <w:b/>
          <w:color w:val="000000" w:themeColor="text1"/>
        </w:rPr>
        <w:t>CONSEJO DE ESTADO posición</w:t>
      </w:r>
    </w:p>
    <w:p w14:paraId="639B1155" w14:textId="5A6812F0" w:rsidR="00C448E5" w:rsidRDefault="00C448E5" w:rsidP="00C448E5">
      <w:pPr>
        <w:spacing w:after="0" w:line="240" w:lineRule="auto"/>
        <w:jc w:val="both"/>
        <w:rPr>
          <w:rFonts w:ascii="Verdana" w:eastAsia="Times New Roman" w:hAnsi="Verdana" w:cs="Times New Roman"/>
          <w:sz w:val="20"/>
          <w:szCs w:val="20"/>
          <w:lang w:eastAsia="es-ES"/>
        </w:rPr>
      </w:pPr>
      <w:r w:rsidRPr="00C448E5">
        <w:rPr>
          <w:rFonts w:ascii="Verdana" w:eastAsia="Arial" w:hAnsi="Verdana" w:cs="Arial"/>
          <w:sz w:val="20"/>
          <w:szCs w:val="20"/>
          <w:lang w:eastAsia="es-ES" w:bidi="es-ES"/>
        </w:rPr>
        <w:t xml:space="preserve">[…] mediante sentencia del 17 de octubre de 2025, emitida por la Sección Tercera del Consejo de Estado, dentro del expediente </w:t>
      </w:r>
      <w:r w:rsidRPr="00C448E5">
        <w:rPr>
          <w:rFonts w:ascii="Verdana" w:eastAsia="Times New Roman" w:hAnsi="Verdana" w:cs="Times New Roman"/>
          <w:sz w:val="20"/>
          <w:szCs w:val="20"/>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r>
        <w:rPr>
          <w:rFonts w:ascii="Verdana" w:eastAsia="Times New Roman" w:hAnsi="Verdana" w:cs="Times New Roman"/>
          <w:sz w:val="20"/>
          <w:szCs w:val="20"/>
          <w:lang w:eastAsia="es-ES"/>
        </w:rPr>
        <w:t xml:space="preserve"> […] </w:t>
      </w:r>
      <w:r w:rsidRPr="00C448E5">
        <w:rPr>
          <w:rFonts w:ascii="Verdana" w:eastAsia="Times New Roman" w:hAnsi="Verdana" w:cs="Times New Roman"/>
          <w:sz w:val="20"/>
          <w:szCs w:val="20"/>
          <w:lang w:eastAsia="es-ES"/>
        </w:rPr>
        <w:t>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w:t>
      </w:r>
    </w:p>
    <w:p w14:paraId="2563F3DF" w14:textId="77777777" w:rsidR="00C448E5" w:rsidRDefault="00C448E5" w:rsidP="00C448E5">
      <w:pPr>
        <w:spacing w:after="0" w:line="240" w:lineRule="auto"/>
        <w:jc w:val="both"/>
        <w:rPr>
          <w:rFonts w:ascii="Verdana" w:eastAsia="Times New Roman" w:hAnsi="Verdana" w:cs="Times New Roman"/>
          <w:sz w:val="20"/>
          <w:szCs w:val="20"/>
          <w:lang w:eastAsia="es-ES"/>
        </w:rPr>
      </w:pPr>
    </w:p>
    <w:p w14:paraId="6E4F0DEA" w14:textId="77777777" w:rsidR="00747654" w:rsidRDefault="00747654" w:rsidP="00747654">
      <w:pPr>
        <w:jc w:val="both"/>
        <w:rPr>
          <w:rFonts w:ascii="Verdana" w:hAnsi="Verdana"/>
          <w:b/>
          <w:color w:val="000000" w:themeColor="text1"/>
        </w:rPr>
      </w:pPr>
      <w:r w:rsidRPr="00747654">
        <w:rPr>
          <w:rFonts w:ascii="Verdana" w:hAnsi="Verdana"/>
          <w:b/>
          <w:color w:val="000000" w:themeColor="text1"/>
        </w:rPr>
        <w:t xml:space="preserve">PROCESOS DE SELECCIÓN – Aplicación del artículo 2 de la Ley 1150 de 2007 </w:t>
      </w:r>
    </w:p>
    <w:p w14:paraId="28B2CA96" w14:textId="3D84677D" w:rsidR="00C448E5" w:rsidRPr="00C448E5" w:rsidRDefault="00C448E5" w:rsidP="00C448E5">
      <w:pPr>
        <w:spacing w:after="0" w:line="240" w:lineRule="auto"/>
        <w:jc w:val="both"/>
        <w:rPr>
          <w:rFonts w:ascii="Verdana" w:hAnsi="Verdana" w:cs="Arial"/>
          <w:bCs/>
          <w:sz w:val="20"/>
          <w:szCs w:val="20"/>
          <w:lang w:val="es-MX"/>
        </w:rPr>
      </w:pPr>
      <w:r>
        <w:rPr>
          <w:rFonts w:ascii="Verdana" w:eastAsia="Calibri" w:hAnsi="Verdana" w:cs="Arial"/>
          <w:sz w:val="20"/>
          <w:szCs w:val="20"/>
          <w:lang w:val="es-ES_tradnl"/>
        </w:rPr>
        <w:t xml:space="preserve">[…] </w:t>
      </w:r>
      <w:r w:rsidRPr="00C448E5">
        <w:rPr>
          <w:rFonts w:ascii="Verdana" w:eastAsia="Calibri" w:hAnsi="Verdana" w:cs="Arial"/>
          <w:sz w:val="20"/>
          <w:szCs w:val="20"/>
          <w:lang w:val="es-ES_tradnl"/>
        </w:rPr>
        <w:t>resulta importante indicar que los</w:t>
      </w:r>
      <w:r w:rsidRPr="00C448E5">
        <w:rPr>
          <w:rFonts w:ascii="Verdana" w:hAnsi="Verdana" w:cs="Arial"/>
          <w:sz w:val="20"/>
          <w:szCs w:val="20"/>
          <w:lang w:val="es-ES"/>
        </w:rPr>
        <w:t xml:space="preserve"> procesos de selección para las entidades sometidas a la Ley 80 de 1993 se rigen por el artículo 2 de la Ley 1150 de 2007. El </w:t>
      </w:r>
      <w:r w:rsidRPr="00C448E5">
        <w:rPr>
          <w:rFonts w:ascii="Verdana" w:hAnsi="Verdana" w:cs="Arial"/>
          <w:bCs/>
          <w:sz w:val="20"/>
          <w:szCs w:val="20"/>
          <w:lang w:val="es-MX"/>
        </w:rPr>
        <w:t xml:space="preserve">numeral uno, inciso primero, dispone que “La escogencia del contratista se efectuará por </w:t>
      </w:r>
      <w:r w:rsidRPr="00C448E5">
        <w:rPr>
          <w:rFonts w:ascii="Verdana" w:hAnsi="Verdana" w:cs="Arial"/>
          <w:bCs/>
          <w:i/>
          <w:iCs/>
          <w:sz w:val="20"/>
          <w:szCs w:val="20"/>
          <w:lang w:val="es-MX"/>
        </w:rPr>
        <w:t>regla general</w:t>
      </w:r>
      <w:r w:rsidRPr="00C448E5">
        <w:rPr>
          <w:rFonts w:ascii="Verdana" w:hAnsi="Verdana" w:cs="Arial"/>
          <w:bCs/>
          <w:sz w:val="20"/>
          <w:szCs w:val="20"/>
          <w:lang w:val="es-MX"/>
        </w:rPr>
        <w:t xml:space="preserve"> a través de licitación pública, con las </w:t>
      </w:r>
      <w:r w:rsidRPr="00C448E5">
        <w:rPr>
          <w:rFonts w:ascii="Verdana" w:hAnsi="Verdana" w:cs="Arial"/>
          <w:bCs/>
          <w:i/>
          <w:iCs/>
          <w:sz w:val="20"/>
          <w:szCs w:val="20"/>
          <w:lang w:val="es-MX"/>
        </w:rPr>
        <w:t>excepciones</w:t>
      </w:r>
      <w:r w:rsidRPr="00C448E5">
        <w:rPr>
          <w:rFonts w:ascii="Verdana" w:hAnsi="Verdana" w:cs="Arial"/>
          <w:bCs/>
          <w:sz w:val="20"/>
          <w:szCs w:val="20"/>
          <w:lang w:val="es-MX"/>
        </w:rPr>
        <w:t xml:space="preserve"> que se señalan en los numerales 2, 3 y 4 del presente artículo” </w:t>
      </w:r>
      <w:r>
        <w:rPr>
          <w:rFonts w:ascii="Verdana" w:hAnsi="Verdana" w:cs="Arial"/>
          <w:bCs/>
          <w:sz w:val="20"/>
          <w:szCs w:val="20"/>
          <w:lang w:val="es-MX"/>
        </w:rPr>
        <w:t xml:space="preserve">[…] </w:t>
      </w:r>
      <w:r w:rsidRPr="00C448E5">
        <w:rPr>
          <w:rFonts w:ascii="Verdana" w:hAnsi="Verdana" w:cs="Arial"/>
          <w:bCs/>
          <w:sz w:val="20"/>
          <w:szCs w:val="20"/>
          <w:lang w:val="es-MX"/>
        </w:rPr>
        <w:t>norma que sustituye el derogado numeral 1 del artículo 24 de la Ley 80 de 1993 sobre el principio de transparencia. En este contexto, salvo norma especial que ordene la celebración del negocio jurídico por selección abreviada, concurso de méritos, mínima cuantía o contratación directa, debe aplicarse la regla general de licitación pública.</w:t>
      </w:r>
    </w:p>
    <w:p w14:paraId="0AAD946F" w14:textId="77777777" w:rsidR="00C448E5" w:rsidRDefault="00C448E5" w:rsidP="00C448E5">
      <w:pPr>
        <w:spacing w:after="0" w:line="240" w:lineRule="auto"/>
        <w:jc w:val="both"/>
        <w:rPr>
          <w:rFonts w:ascii="Verdana" w:hAnsi="Verdana"/>
          <w:b/>
          <w:color w:val="000000" w:themeColor="text1"/>
          <w:lang w:val="es-MX"/>
        </w:rPr>
      </w:pPr>
    </w:p>
    <w:p w14:paraId="6ECCF03C" w14:textId="1B82F995" w:rsidR="00747654" w:rsidRDefault="00747654" w:rsidP="00747654">
      <w:pPr>
        <w:jc w:val="both"/>
        <w:rPr>
          <w:rFonts w:ascii="Verdana" w:hAnsi="Verdana"/>
          <w:b/>
          <w:color w:val="000000" w:themeColor="text1"/>
        </w:rPr>
      </w:pPr>
      <w:r w:rsidRPr="00747654">
        <w:rPr>
          <w:rFonts w:ascii="Verdana" w:hAnsi="Verdana"/>
          <w:b/>
          <w:color w:val="000000" w:themeColor="text1"/>
        </w:rPr>
        <w:lastRenderedPageBreak/>
        <w:t xml:space="preserve">CONTRATACIÓN DIRECTA – Excepción – Alcance </w:t>
      </w:r>
    </w:p>
    <w:p w14:paraId="71ACC694" w14:textId="77777777" w:rsidR="00C448E5" w:rsidRDefault="00C448E5" w:rsidP="00C448E5">
      <w:pPr>
        <w:spacing w:after="0" w:line="240" w:lineRule="auto"/>
        <w:jc w:val="both"/>
        <w:rPr>
          <w:rFonts w:ascii="Verdana" w:eastAsia="Times New Roman" w:hAnsi="Verdana" w:cs="Arial"/>
          <w:sz w:val="20"/>
          <w:szCs w:val="20"/>
          <w:lang w:eastAsia="es-MX"/>
        </w:rPr>
      </w:pPr>
      <w:r>
        <w:rPr>
          <w:rFonts w:ascii="Verdana" w:eastAsia="Times New Roman" w:hAnsi="Verdana" w:cs="Arial"/>
          <w:sz w:val="20"/>
          <w:szCs w:val="20"/>
          <w:lang w:eastAsia="es-MX"/>
        </w:rPr>
        <w:t xml:space="preserve">[…] </w:t>
      </w:r>
      <w:r w:rsidRPr="00C448E5">
        <w:rPr>
          <w:rFonts w:ascii="Verdana" w:eastAsia="Times New Roman" w:hAnsi="Verdana" w:cs="Arial"/>
          <w:sz w:val="20"/>
          <w:szCs w:val="20"/>
          <w:lang w:eastAsia="es-MX"/>
        </w:rPr>
        <w:t xml:space="preserve">la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norma dispone, dentro del contexto del ordenamiento jurídico de la contratación estatal. </w:t>
      </w:r>
    </w:p>
    <w:p w14:paraId="3740A774" w14:textId="77777777" w:rsidR="00C448E5" w:rsidRDefault="00C448E5" w:rsidP="00C448E5">
      <w:pPr>
        <w:spacing w:after="0" w:line="240" w:lineRule="auto"/>
        <w:jc w:val="both"/>
        <w:rPr>
          <w:rFonts w:ascii="Verdana" w:eastAsia="Times New Roman" w:hAnsi="Verdana" w:cs="Arial"/>
          <w:sz w:val="20"/>
          <w:szCs w:val="20"/>
          <w:lang w:eastAsia="es-MX"/>
        </w:rPr>
      </w:pPr>
    </w:p>
    <w:p w14:paraId="47265ACE" w14:textId="2470C3ED" w:rsidR="00C448E5" w:rsidRPr="00C448E5" w:rsidRDefault="00C448E5" w:rsidP="00C448E5">
      <w:pPr>
        <w:spacing w:after="0" w:line="240" w:lineRule="auto"/>
        <w:jc w:val="both"/>
        <w:rPr>
          <w:rFonts w:ascii="Verdana" w:eastAsia="Times New Roman" w:hAnsi="Verdana" w:cs="Arial"/>
          <w:sz w:val="20"/>
          <w:szCs w:val="20"/>
          <w:lang w:eastAsia="es-MX"/>
        </w:rPr>
      </w:pPr>
      <w:r>
        <w:rPr>
          <w:rFonts w:ascii="Verdana" w:eastAsia="Times New Roman" w:hAnsi="Verdana" w:cs="Arial"/>
          <w:sz w:val="20"/>
          <w:szCs w:val="20"/>
          <w:lang w:eastAsia="es-MX"/>
        </w:rPr>
        <w:t xml:space="preserve">[…] </w:t>
      </w:r>
      <w:r w:rsidRPr="00C448E5">
        <w:rPr>
          <w:rFonts w:ascii="Verdana" w:eastAsia="Times New Roman" w:hAnsi="Verdana" w:cs="Arial"/>
          <w:sz w:val="20"/>
          <w:szCs w:val="20"/>
          <w:lang w:eastAsia="es-MX"/>
        </w:rPr>
        <w:t>aunque en la contratación directa no es necesaria la comparación de ofertas, no desconoce lo previsto en el artículo 5 de la Ley 1150 de 2007. Por ello, la jurisprudencia explica que: “(…) se ha aceptado que la selección objetiva fundada en el ofrecimiento más favorable no depende únicamente del cotejo entre ofertas sino también de métodos que, aun prescindiendo de dicha comparación, garanticen que la respectiva escogencia se ajuste a los criterios legales de selección objetiva, a los precios o condiciones del mercado y a los estudios y deducciones de la entidad o de los organismos consultores o asesores designados para ello</w:t>
      </w:r>
      <w:r>
        <w:rPr>
          <w:rFonts w:ascii="Verdana" w:eastAsia="Times New Roman" w:hAnsi="Verdana" w:cs="Arial"/>
          <w:sz w:val="20"/>
          <w:szCs w:val="20"/>
          <w:lang w:eastAsia="es-MX"/>
        </w:rPr>
        <w:t>.</w:t>
      </w:r>
    </w:p>
    <w:p w14:paraId="49C4ED95" w14:textId="77777777" w:rsidR="00C448E5" w:rsidRPr="00747654" w:rsidRDefault="00C448E5" w:rsidP="00747654">
      <w:pPr>
        <w:spacing w:after="0" w:line="240" w:lineRule="auto"/>
        <w:jc w:val="both"/>
        <w:rPr>
          <w:rFonts w:ascii="Verdana" w:hAnsi="Verdana"/>
          <w:b/>
          <w:color w:val="000000" w:themeColor="text1"/>
        </w:rPr>
      </w:pPr>
    </w:p>
    <w:p w14:paraId="00B02635" w14:textId="77777777" w:rsidR="00141E73" w:rsidRDefault="00747654" w:rsidP="00747654">
      <w:pPr>
        <w:jc w:val="both"/>
        <w:rPr>
          <w:rFonts w:ascii="Verdana" w:hAnsi="Verdana"/>
          <w:b/>
          <w:color w:val="000000" w:themeColor="text1"/>
        </w:rPr>
      </w:pPr>
      <w:r w:rsidRPr="00747654">
        <w:rPr>
          <w:rFonts w:ascii="Verdana" w:hAnsi="Verdana"/>
          <w:b/>
          <w:color w:val="000000" w:themeColor="text1"/>
        </w:rPr>
        <w:t xml:space="preserve">URGENCIA MANIFIESTA – Alcance </w:t>
      </w:r>
    </w:p>
    <w:p w14:paraId="171B884A" w14:textId="77777777" w:rsidR="00141E73" w:rsidRDefault="00141E73" w:rsidP="001C7A72">
      <w:pPr>
        <w:spacing w:after="0" w:line="240" w:lineRule="auto"/>
        <w:jc w:val="both"/>
        <w:rPr>
          <w:rFonts w:ascii="Verdana" w:eastAsia="Calibri" w:hAnsi="Verdana" w:cs="Arial"/>
          <w:sz w:val="20"/>
          <w:szCs w:val="20"/>
          <w:lang w:val="es-ES_tradnl"/>
        </w:rPr>
      </w:pPr>
      <w:r w:rsidRPr="00141E73">
        <w:rPr>
          <w:rFonts w:ascii="Verdana" w:eastAsia="Calibri" w:hAnsi="Verdana" w:cs="Arial"/>
          <w:sz w:val="20"/>
          <w:szCs w:val="20"/>
          <w:lang w:val="es-ES_tradnl"/>
        </w:rPr>
        <w:t xml:space="preserve">Una de las excepciones es la causal de contratación directa prevista en el literal a) del mencionado numeral, denominada por la ley como “urgencia manifiesta”. Esta causal debe leerse en concordancia con los artículos 42 de la Ley 80 de 1993, que define el concepto y establece el procedimiento para su declaratoria, así como para la celebración de los contratos que se derivan de aquella. </w:t>
      </w:r>
    </w:p>
    <w:p w14:paraId="0F9C0C38" w14:textId="77777777" w:rsidR="001C7A72" w:rsidRDefault="001C7A72" w:rsidP="001C7A72">
      <w:pPr>
        <w:spacing w:after="0" w:line="240" w:lineRule="auto"/>
        <w:jc w:val="both"/>
        <w:rPr>
          <w:rFonts w:ascii="Verdana" w:eastAsia="Calibri" w:hAnsi="Verdana" w:cs="Arial"/>
          <w:sz w:val="20"/>
          <w:szCs w:val="20"/>
          <w:lang w:val="es-ES_tradnl"/>
        </w:rPr>
      </w:pPr>
    </w:p>
    <w:p w14:paraId="4FE731A1" w14:textId="20FFC7AD" w:rsidR="00141E73" w:rsidRDefault="00141E73" w:rsidP="001C7A72">
      <w:pPr>
        <w:spacing w:after="0" w:line="240" w:lineRule="auto"/>
        <w:jc w:val="both"/>
        <w:rPr>
          <w:rFonts w:ascii="Verdana" w:eastAsia="Calibri" w:hAnsi="Verdana" w:cs="Arial"/>
          <w:sz w:val="20"/>
          <w:szCs w:val="20"/>
          <w:lang w:val="es-ES_tradnl"/>
        </w:rPr>
      </w:pPr>
      <w:r>
        <w:rPr>
          <w:rFonts w:ascii="Verdana" w:eastAsia="Calibri" w:hAnsi="Verdana" w:cs="Arial"/>
          <w:sz w:val="20"/>
          <w:szCs w:val="20"/>
          <w:lang w:val="es-ES_tradnl"/>
        </w:rPr>
        <w:t xml:space="preserve">[…] </w:t>
      </w:r>
    </w:p>
    <w:p w14:paraId="00A92E0C" w14:textId="77777777" w:rsidR="001C7A72" w:rsidRDefault="001C7A72" w:rsidP="001C7A72">
      <w:pPr>
        <w:spacing w:after="0" w:line="240" w:lineRule="auto"/>
        <w:jc w:val="both"/>
        <w:rPr>
          <w:rFonts w:ascii="Verdana" w:eastAsia="Calibri" w:hAnsi="Verdana" w:cs="Arial"/>
          <w:sz w:val="20"/>
          <w:szCs w:val="20"/>
          <w:lang w:val="es-ES_tradnl"/>
        </w:rPr>
      </w:pPr>
    </w:p>
    <w:p w14:paraId="7E146647" w14:textId="708D880C" w:rsidR="00C448E5" w:rsidRPr="00C448E5" w:rsidRDefault="00C448E5" w:rsidP="001C7A72">
      <w:pPr>
        <w:spacing w:after="0" w:line="240" w:lineRule="auto"/>
        <w:jc w:val="both"/>
        <w:rPr>
          <w:rFonts w:ascii="Verdana" w:eastAsia="Calibri" w:hAnsi="Verdana" w:cs="Arial"/>
          <w:i/>
          <w:iCs/>
          <w:sz w:val="20"/>
          <w:szCs w:val="20"/>
          <w:lang w:val="es-ES_tradnl"/>
        </w:rPr>
      </w:pPr>
      <w:r w:rsidRPr="00C448E5">
        <w:rPr>
          <w:rFonts w:ascii="Verdana" w:eastAsia="Calibri" w:hAnsi="Verdana" w:cs="Arial"/>
          <w:sz w:val="20"/>
          <w:szCs w:val="20"/>
          <w:lang w:val="es-ES_tradnl"/>
        </w:rPr>
        <w:t xml:space="preserve">El </w:t>
      </w:r>
      <w:r w:rsidRPr="00C448E5">
        <w:rPr>
          <w:rFonts w:ascii="Verdana" w:eastAsia="Calibri" w:hAnsi="Verdana" w:cs="Arial"/>
          <w:sz w:val="20"/>
          <w:szCs w:val="20"/>
        </w:rPr>
        <w:t>EGCAP,</w:t>
      </w:r>
      <w:r w:rsidRPr="00C448E5">
        <w:rPr>
          <w:rFonts w:ascii="Verdana" w:eastAsia="Calibri" w:hAnsi="Verdana" w:cs="Arial"/>
          <w:sz w:val="20"/>
          <w:szCs w:val="20"/>
          <w:lang w:val="es-ES_tradnl"/>
        </w:rPr>
        <w:t xml:space="preserve"> interpretando de manera más realista las necesidades de la Administración, autoriza al jefe o representante legal de la entidad estatal para declarar la urgencia, siempre que tenga el carácter de </w:t>
      </w:r>
      <w:r w:rsidRPr="00C448E5">
        <w:rPr>
          <w:rFonts w:ascii="Verdana" w:eastAsia="Calibri" w:hAnsi="Verdana" w:cs="Arial"/>
          <w:i/>
          <w:iCs/>
          <w:sz w:val="20"/>
          <w:szCs w:val="20"/>
          <w:lang w:val="es-ES_tradnl"/>
        </w:rPr>
        <w:t>manifiesta.</w:t>
      </w:r>
    </w:p>
    <w:p w14:paraId="42182E5F" w14:textId="77777777" w:rsidR="00C448E5" w:rsidRPr="00C448E5" w:rsidRDefault="00C448E5" w:rsidP="001C7A72">
      <w:pPr>
        <w:spacing w:after="0" w:line="240" w:lineRule="auto"/>
        <w:jc w:val="both"/>
        <w:rPr>
          <w:rFonts w:ascii="Verdana" w:eastAsia="Calibri" w:hAnsi="Verdana" w:cs="Arial"/>
          <w:sz w:val="20"/>
          <w:szCs w:val="20"/>
          <w:lang w:val="es-ES"/>
        </w:rPr>
      </w:pPr>
    </w:p>
    <w:p w14:paraId="14D6BDA0" w14:textId="54816A91" w:rsidR="00C448E5" w:rsidRDefault="00C448E5" w:rsidP="001C7A72">
      <w:pPr>
        <w:spacing w:after="0" w:line="240" w:lineRule="auto"/>
        <w:jc w:val="both"/>
        <w:rPr>
          <w:rFonts w:ascii="Verdana" w:eastAsia="Calibri" w:hAnsi="Verdana" w:cs="Arial"/>
          <w:sz w:val="20"/>
          <w:szCs w:val="20"/>
          <w:lang w:val="es-ES"/>
        </w:rPr>
      </w:pPr>
      <w:r w:rsidRPr="00C448E5">
        <w:rPr>
          <w:rFonts w:ascii="Verdana" w:eastAsia="Calibri" w:hAnsi="Verdana" w:cs="Arial"/>
          <w:sz w:val="20"/>
          <w:szCs w:val="20"/>
          <w:lang w:val="es-ES"/>
        </w:rPr>
        <w:t>De esta manera, el artículo 42 de la Ley 80 define la urgencia manifiesta como una circunstancia que exige, con carácter apremiante, preservar la continuidad del servicio, cuando se afecta por situaciones de fuerza mayor, desastres, calamidades o hechos relacionados con los estados de excepción. No en vano, para la doctrina, las situaciones de urgencia manifiesta deben ser concretas, inmediatas, objetivas y probadas, pues se trata de circunstancias de hecho actuales, debidamente acreditadas y fundadas por estudios técnicos, verificadas por la autoridad competente</w:t>
      </w:r>
      <w:r>
        <w:rPr>
          <w:rFonts w:ascii="Verdana" w:eastAsia="Calibri" w:hAnsi="Verdana" w:cs="Arial"/>
          <w:sz w:val="20"/>
          <w:szCs w:val="20"/>
          <w:lang w:val="es-ES"/>
        </w:rPr>
        <w:t>.</w:t>
      </w:r>
      <w:r w:rsidRPr="00C448E5">
        <w:rPr>
          <w:rFonts w:ascii="Verdana" w:eastAsia="Calibri" w:hAnsi="Verdana" w:cs="Arial"/>
          <w:sz w:val="20"/>
          <w:szCs w:val="20"/>
          <w:lang w:val="es-ES"/>
        </w:rPr>
        <w:t xml:space="preserve"> </w:t>
      </w:r>
    </w:p>
    <w:p w14:paraId="74063B0D" w14:textId="77777777" w:rsidR="00141E73" w:rsidRDefault="00141E73" w:rsidP="00C448E5">
      <w:pPr>
        <w:spacing w:after="0" w:line="240" w:lineRule="auto"/>
        <w:jc w:val="both"/>
        <w:rPr>
          <w:rFonts w:ascii="Verdana" w:eastAsia="Calibri" w:hAnsi="Verdana" w:cs="Arial"/>
          <w:sz w:val="20"/>
          <w:szCs w:val="20"/>
          <w:lang w:val="es-ES"/>
        </w:rPr>
      </w:pPr>
    </w:p>
    <w:p w14:paraId="3181EE1A" w14:textId="4A860016" w:rsidR="00141E73" w:rsidRDefault="00141E73" w:rsidP="00141E73">
      <w:pPr>
        <w:jc w:val="both"/>
        <w:rPr>
          <w:rFonts w:ascii="Verdana" w:hAnsi="Verdana"/>
          <w:b/>
          <w:color w:val="000000" w:themeColor="text1"/>
        </w:rPr>
      </w:pPr>
      <w:r w:rsidRPr="00747654">
        <w:rPr>
          <w:rFonts w:ascii="Verdana" w:hAnsi="Verdana"/>
          <w:b/>
          <w:color w:val="000000" w:themeColor="text1"/>
        </w:rPr>
        <w:t xml:space="preserve">URGENCIA MANIFIESTA – Procedimiento </w:t>
      </w:r>
    </w:p>
    <w:p w14:paraId="09D0CE38" w14:textId="1B6F225E" w:rsidR="00141E73" w:rsidRPr="00141E73" w:rsidRDefault="00141E73" w:rsidP="00141E73">
      <w:pPr>
        <w:spacing w:after="0" w:line="240" w:lineRule="auto"/>
        <w:jc w:val="both"/>
        <w:rPr>
          <w:rFonts w:ascii="Verdana" w:eastAsia="Calibri" w:hAnsi="Verdana" w:cs="Arial"/>
          <w:sz w:val="20"/>
          <w:szCs w:val="20"/>
          <w:lang w:val="es-ES_tradnl"/>
        </w:rPr>
      </w:pPr>
      <w:r w:rsidRPr="00141E73">
        <w:rPr>
          <w:rFonts w:ascii="Verdana" w:eastAsia="Calibri" w:hAnsi="Verdana" w:cs="Arial"/>
          <w:sz w:val="20"/>
          <w:szCs w:val="20"/>
          <w:lang w:val="es-ES_tradnl"/>
        </w:rPr>
        <w:t xml:space="preserve">[…] cuando se configure alguna de las cuatro (4) situaciones, el artículo 42 de la Ley 80 de 1993 exige declarar formalmente la urgencia manifiesta mediante acto administrativo </w:t>
      </w:r>
      <w:r w:rsidRPr="00141E73">
        <w:rPr>
          <w:rFonts w:ascii="Verdana" w:eastAsia="Calibri" w:hAnsi="Verdana" w:cs="Arial"/>
          <w:sz w:val="20"/>
          <w:szCs w:val="20"/>
          <w:lang w:val="es-ES_tradnl"/>
        </w:rPr>
        <w:lastRenderedPageBreak/>
        <w:t xml:space="preserve">motivado, es decir, a través de una manifestación unilateral de voluntad razonablemente justificada, proferida por el jefe o representante legal de cada entidad –o quien sea el titular de la competencia–, según lo establecido en los artículos 11 y 12 </w:t>
      </w:r>
      <w:r w:rsidRPr="00141E73">
        <w:rPr>
          <w:rFonts w:ascii="Verdana" w:eastAsia="Calibri" w:hAnsi="Verdana" w:cs="Arial"/>
          <w:i/>
          <w:iCs/>
          <w:sz w:val="20"/>
          <w:szCs w:val="20"/>
          <w:lang w:val="es-ES_tradnl"/>
        </w:rPr>
        <w:t>ibidem</w:t>
      </w:r>
      <w:r w:rsidRPr="00141E73">
        <w:rPr>
          <w:rFonts w:ascii="Verdana" w:eastAsia="Calibri" w:hAnsi="Verdana" w:cs="Arial"/>
          <w:sz w:val="20"/>
          <w:szCs w:val="20"/>
          <w:lang w:val="es-ES_tradnl"/>
        </w:rPr>
        <w:t>. Adicionalmente, no es necesario realizar estudios previos, como lo dispone el artículo 2.2.1.2.1.4.2 del Decreto 1082 de 2015.</w:t>
      </w:r>
    </w:p>
    <w:p w14:paraId="1D0DD713" w14:textId="77777777" w:rsidR="00141E73" w:rsidRDefault="00141E73" w:rsidP="00141E73">
      <w:pPr>
        <w:spacing w:after="0" w:line="240" w:lineRule="auto"/>
        <w:jc w:val="both"/>
        <w:rPr>
          <w:rFonts w:ascii="Verdana" w:eastAsia="Calibri" w:hAnsi="Verdana" w:cs="Arial"/>
          <w:sz w:val="20"/>
          <w:szCs w:val="20"/>
          <w:lang w:val="es-ES"/>
        </w:rPr>
      </w:pPr>
    </w:p>
    <w:p w14:paraId="2A83E0A2" w14:textId="177FCDFB" w:rsidR="00141E73" w:rsidRPr="00141E73" w:rsidRDefault="00141E73" w:rsidP="00141E73">
      <w:pPr>
        <w:spacing w:after="0" w:line="240" w:lineRule="auto"/>
        <w:jc w:val="both"/>
        <w:rPr>
          <w:rFonts w:ascii="Verdana" w:eastAsia="Calibri" w:hAnsi="Verdana" w:cs="Arial"/>
          <w:sz w:val="20"/>
          <w:szCs w:val="20"/>
          <w:lang w:val="es-ES"/>
        </w:rPr>
      </w:pPr>
      <w:r w:rsidRPr="00141E73">
        <w:rPr>
          <w:rFonts w:ascii="Verdana" w:eastAsia="Calibri" w:hAnsi="Verdana" w:cs="Arial"/>
          <w:sz w:val="20"/>
          <w:szCs w:val="20"/>
          <w:lang w:val="es-ES"/>
        </w:rPr>
        <w:t xml:space="preserve">Expedido el acto administrativo, la entidad estatal debe realizar todos los trámites internos necesarios para contratar, entre ellos la disposición de los recursos. En tal sentido, el parágrafo del artículo 42 de la Ley 80 señala que “Con el fin de atender las necesidades y los gastos propios de la urgencia manifiesta, se podrán hacer los traslados presupuestales internos que se requieran dentro del presupuesto del organismo o entidad estatal correspondiente”. </w:t>
      </w:r>
    </w:p>
    <w:p w14:paraId="68CF87B8" w14:textId="77777777" w:rsidR="00141E73" w:rsidRDefault="00141E73" w:rsidP="00141E73">
      <w:pPr>
        <w:spacing w:after="0" w:line="240" w:lineRule="auto"/>
        <w:jc w:val="both"/>
        <w:rPr>
          <w:rFonts w:ascii="Verdana" w:eastAsia="Calibri" w:hAnsi="Verdana" w:cs="Arial"/>
          <w:sz w:val="20"/>
          <w:szCs w:val="20"/>
          <w:lang w:val="es-ES"/>
        </w:rPr>
      </w:pPr>
    </w:p>
    <w:p w14:paraId="48136800" w14:textId="7C968AB6" w:rsidR="00141E73" w:rsidRPr="00141E73" w:rsidRDefault="00141E73" w:rsidP="00141E73">
      <w:pPr>
        <w:spacing w:after="0" w:line="240" w:lineRule="auto"/>
        <w:jc w:val="both"/>
        <w:rPr>
          <w:rFonts w:ascii="Verdana" w:eastAsia="Calibri" w:hAnsi="Verdana" w:cs="Arial"/>
          <w:sz w:val="20"/>
          <w:szCs w:val="20"/>
          <w:lang w:val="es-ES"/>
        </w:rPr>
      </w:pPr>
      <w:r w:rsidRPr="00141E73">
        <w:rPr>
          <w:rFonts w:ascii="Verdana" w:eastAsia="Calibri" w:hAnsi="Verdana" w:cs="Arial"/>
          <w:sz w:val="20"/>
          <w:szCs w:val="20"/>
          <w:lang w:val="es-ES"/>
        </w:rPr>
        <w:t xml:space="preserve">[…] </w:t>
      </w:r>
    </w:p>
    <w:p w14:paraId="30DCB1FF" w14:textId="77777777" w:rsidR="00141E73" w:rsidRDefault="00141E73" w:rsidP="00141E73">
      <w:pPr>
        <w:spacing w:after="0" w:line="240" w:lineRule="auto"/>
        <w:jc w:val="both"/>
        <w:rPr>
          <w:rFonts w:ascii="Verdana" w:eastAsia="Calibri" w:hAnsi="Verdana" w:cs="Arial"/>
          <w:sz w:val="20"/>
          <w:szCs w:val="20"/>
          <w:lang w:val="es-ES"/>
        </w:rPr>
      </w:pPr>
    </w:p>
    <w:p w14:paraId="204D79B9" w14:textId="3700B2EB" w:rsidR="00141E73" w:rsidRPr="00141E73" w:rsidRDefault="00141E73" w:rsidP="00141E73">
      <w:pPr>
        <w:spacing w:after="0" w:line="240" w:lineRule="auto"/>
        <w:jc w:val="both"/>
        <w:rPr>
          <w:rFonts w:ascii="Verdana" w:eastAsia="Calibri" w:hAnsi="Verdana" w:cs="Arial"/>
          <w:sz w:val="20"/>
          <w:szCs w:val="20"/>
          <w:lang w:val="es-ES"/>
        </w:rPr>
      </w:pPr>
      <w:r w:rsidRPr="00141E73">
        <w:rPr>
          <w:rFonts w:ascii="Verdana" w:eastAsia="Calibri" w:hAnsi="Verdana" w:cs="Arial"/>
          <w:sz w:val="20"/>
          <w:szCs w:val="20"/>
          <w:lang w:val="es-ES"/>
        </w:rPr>
        <w:t xml:space="preserve">El 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 </w:t>
      </w:r>
    </w:p>
    <w:p w14:paraId="7192DD85" w14:textId="77777777" w:rsidR="00141E73" w:rsidRDefault="00141E73" w:rsidP="00141E73">
      <w:pPr>
        <w:spacing w:after="0" w:line="240" w:lineRule="auto"/>
        <w:jc w:val="both"/>
        <w:rPr>
          <w:rFonts w:ascii="Verdana" w:eastAsia="Calibri" w:hAnsi="Verdana" w:cs="Arial"/>
          <w:sz w:val="20"/>
          <w:szCs w:val="20"/>
          <w:lang w:val="es-ES_tradnl"/>
        </w:rPr>
      </w:pPr>
    </w:p>
    <w:p w14:paraId="3BBA1C9A" w14:textId="5EC2C881" w:rsidR="00141E73" w:rsidRPr="00141E73" w:rsidRDefault="00141E73" w:rsidP="00141E73">
      <w:pPr>
        <w:spacing w:after="0" w:line="240" w:lineRule="auto"/>
        <w:jc w:val="both"/>
        <w:rPr>
          <w:rFonts w:ascii="Verdana" w:eastAsia="Calibri" w:hAnsi="Verdana" w:cs="Arial"/>
          <w:sz w:val="20"/>
          <w:szCs w:val="20"/>
          <w:lang w:val="es-ES_tradnl"/>
        </w:rPr>
      </w:pPr>
      <w:r w:rsidRPr="00141E73">
        <w:rPr>
          <w:rFonts w:ascii="Verdana" w:eastAsia="Calibri" w:hAnsi="Verdana" w:cs="Arial"/>
          <w:sz w:val="20"/>
          <w:szCs w:val="20"/>
          <w:lang w:val="es-ES_tradnl"/>
        </w:rPr>
        <w:t xml:space="preserve">[…] </w:t>
      </w:r>
    </w:p>
    <w:p w14:paraId="51F5A854" w14:textId="77777777" w:rsidR="00141E73" w:rsidRDefault="00141E73" w:rsidP="00141E73">
      <w:pPr>
        <w:spacing w:after="0" w:line="240" w:lineRule="auto"/>
        <w:jc w:val="both"/>
        <w:rPr>
          <w:rFonts w:ascii="Verdana" w:eastAsia="Calibri" w:hAnsi="Verdana" w:cs="Arial"/>
          <w:sz w:val="20"/>
          <w:szCs w:val="20"/>
          <w:lang w:val="es-ES_tradnl"/>
        </w:rPr>
      </w:pPr>
    </w:p>
    <w:p w14:paraId="7D5F9B2A" w14:textId="2A491D4C" w:rsidR="00141E73" w:rsidRPr="00141E73" w:rsidRDefault="00141E73" w:rsidP="00141E73">
      <w:pPr>
        <w:spacing w:after="0" w:line="240" w:lineRule="auto"/>
        <w:jc w:val="both"/>
        <w:rPr>
          <w:rFonts w:ascii="Verdana" w:eastAsia="Calibri" w:hAnsi="Verdana" w:cs="Arial"/>
          <w:sz w:val="20"/>
          <w:szCs w:val="20"/>
          <w:lang w:val="es-ES_tradnl"/>
        </w:rPr>
      </w:pPr>
      <w:r w:rsidRPr="00141E73">
        <w:rPr>
          <w:rFonts w:ascii="Verdana" w:eastAsia="Calibri" w:hAnsi="Verdana" w:cs="Arial"/>
          <w:sz w:val="20"/>
          <w:szCs w:val="20"/>
          <w:lang w:val="es-ES_tradnl"/>
        </w:rPr>
        <w:t xml:space="preserve">Al respecto, el artículo 64 del Código Civil define como tal “(…) el imprevisto o que no es posible resistir, como un naufragio, un terremoto, el apresamiento de enemigos, los actos de autoridad ejercidos por un funcionario público, etc.”. </w:t>
      </w:r>
    </w:p>
    <w:p w14:paraId="478AFC1F" w14:textId="77777777" w:rsidR="00141E73" w:rsidRDefault="00141E73" w:rsidP="00141E73">
      <w:pPr>
        <w:spacing w:after="0" w:line="240" w:lineRule="auto"/>
        <w:jc w:val="both"/>
        <w:rPr>
          <w:rFonts w:ascii="Verdana" w:hAnsi="Verdana"/>
          <w:b/>
          <w:color w:val="000000" w:themeColor="text1"/>
        </w:rPr>
      </w:pPr>
    </w:p>
    <w:p w14:paraId="18C26303" w14:textId="58476F70" w:rsidR="00747654" w:rsidRPr="00747654" w:rsidRDefault="00747654" w:rsidP="00747654">
      <w:pPr>
        <w:spacing w:after="0" w:line="240" w:lineRule="auto"/>
        <w:jc w:val="both"/>
        <w:rPr>
          <w:rFonts w:ascii="Verdana" w:hAnsi="Verdana" w:cs="Arial"/>
          <w:b/>
          <w:color w:val="000000" w:themeColor="text1"/>
        </w:rPr>
      </w:pPr>
      <w:r w:rsidRPr="00747654">
        <w:rPr>
          <w:rFonts w:ascii="Verdana" w:hAnsi="Verdana"/>
          <w:b/>
          <w:color w:val="000000" w:themeColor="text1"/>
        </w:rPr>
        <w:t xml:space="preserve">LEY 1523 DE 2012 – Declaratoria de desastre o calamidad pública  </w:t>
      </w:r>
      <w:r w:rsidRPr="00747654">
        <w:rPr>
          <w:rFonts w:ascii="Verdana" w:hAnsi="Verdana" w:cs="Arial"/>
          <w:b/>
          <w:color w:val="000000" w:themeColor="text1"/>
        </w:rPr>
        <w:t xml:space="preserve">  </w:t>
      </w:r>
    </w:p>
    <w:p w14:paraId="32B52C31" w14:textId="77777777" w:rsidR="00747654" w:rsidRDefault="00747654" w:rsidP="005374E9">
      <w:pPr>
        <w:spacing w:after="0" w:line="240" w:lineRule="auto"/>
        <w:jc w:val="both"/>
        <w:rPr>
          <w:rFonts w:ascii="Verdana" w:eastAsia="Calibri" w:hAnsi="Verdana" w:cs="Arial"/>
          <w:lang w:eastAsia="es-ES"/>
        </w:rPr>
      </w:pPr>
    </w:p>
    <w:p w14:paraId="0BD3F8C5" w14:textId="49CC9EB1" w:rsidR="00141E73" w:rsidRPr="002B1695" w:rsidRDefault="00141E73" w:rsidP="002B1695">
      <w:pPr>
        <w:spacing w:after="0" w:line="240" w:lineRule="auto"/>
        <w:jc w:val="both"/>
        <w:rPr>
          <w:rFonts w:ascii="Verdana" w:eastAsia="Calibri" w:hAnsi="Verdana" w:cs="Arial"/>
          <w:sz w:val="20"/>
          <w:szCs w:val="20"/>
          <w:lang w:val="es-ES_tradnl"/>
        </w:rPr>
      </w:pPr>
      <w:r w:rsidRPr="002B1695">
        <w:rPr>
          <w:rFonts w:ascii="Verdana" w:eastAsia="Calibri" w:hAnsi="Verdana" w:cs="Arial"/>
          <w:sz w:val="20"/>
          <w:szCs w:val="20"/>
          <w:lang w:val="es-ES"/>
        </w:rPr>
        <w:t xml:space="preserve">Esta norma debe armonizarse con los artículos 56 y 57 </w:t>
      </w:r>
      <w:r w:rsidRPr="002B1695">
        <w:rPr>
          <w:rFonts w:ascii="Verdana" w:eastAsia="Calibri" w:hAnsi="Verdana" w:cs="Arial"/>
          <w:i/>
          <w:sz w:val="20"/>
          <w:szCs w:val="20"/>
          <w:lang w:val="es-ES"/>
        </w:rPr>
        <w:t>ibidem</w:t>
      </w:r>
      <w:r w:rsidRPr="002B1695">
        <w:rPr>
          <w:rFonts w:ascii="Verdana" w:eastAsia="Calibri" w:hAnsi="Verdana" w:cs="Arial"/>
          <w:sz w:val="20"/>
          <w:szCs w:val="20"/>
          <w:lang w:val="es-ES"/>
        </w:rPr>
        <w:t xml:space="preserve">, que asignan la competencia para declarar la ocurrencia de una situación de </w:t>
      </w:r>
      <w:r w:rsidRPr="002B1695">
        <w:rPr>
          <w:rFonts w:ascii="Verdana" w:eastAsia="Calibri" w:hAnsi="Verdana" w:cs="Arial"/>
          <w:i/>
          <w:sz w:val="20"/>
          <w:szCs w:val="20"/>
          <w:lang w:val="es-ES"/>
        </w:rPr>
        <w:t>desastre</w:t>
      </w:r>
      <w:r w:rsidRPr="002B1695">
        <w:rPr>
          <w:rFonts w:ascii="Verdana" w:eastAsia="Calibri" w:hAnsi="Verdana" w:cs="Arial"/>
          <w:sz w:val="20"/>
          <w:szCs w:val="20"/>
          <w:lang w:val="es-ES"/>
        </w:rPr>
        <w:t xml:space="preserve"> o una situación de </w:t>
      </w:r>
      <w:r w:rsidRPr="002B1695">
        <w:rPr>
          <w:rFonts w:ascii="Verdana" w:eastAsia="Calibri" w:hAnsi="Verdana" w:cs="Arial"/>
          <w:i/>
          <w:sz w:val="20"/>
          <w:szCs w:val="20"/>
          <w:lang w:val="es-ES"/>
        </w:rPr>
        <w:t>calamidad pública</w:t>
      </w:r>
      <w:r w:rsidRPr="002B1695">
        <w:rPr>
          <w:rFonts w:ascii="Verdana" w:eastAsia="Calibri" w:hAnsi="Verdana" w:cs="Arial"/>
          <w:sz w:val="20"/>
          <w:szCs w:val="20"/>
          <w:lang w:val="es-ES"/>
        </w:rPr>
        <w:t xml:space="preserve">. Particularmente, disponen que al </w:t>
      </w:r>
      <w:proofErr w:type="gramStart"/>
      <w:r w:rsidRPr="002B1695">
        <w:rPr>
          <w:rFonts w:ascii="Verdana" w:eastAsia="Calibri" w:hAnsi="Verdana" w:cs="Arial"/>
          <w:sz w:val="20"/>
          <w:szCs w:val="20"/>
          <w:lang w:val="es-ES"/>
        </w:rPr>
        <w:t>Presidente</w:t>
      </w:r>
      <w:proofErr w:type="gramEnd"/>
      <w:r w:rsidRPr="002B1695">
        <w:rPr>
          <w:rFonts w:ascii="Verdana" w:eastAsia="Calibri" w:hAnsi="Verdana" w:cs="Arial"/>
          <w:sz w:val="20"/>
          <w:szCs w:val="20"/>
          <w:lang w:val="es-ES"/>
        </w:rPr>
        <w:t xml:space="preserve"> de la República le corresponde declarar la situación de </w:t>
      </w:r>
      <w:r w:rsidRPr="002B1695">
        <w:rPr>
          <w:rFonts w:ascii="Verdana" w:eastAsia="Calibri" w:hAnsi="Verdana" w:cs="Arial"/>
          <w:i/>
          <w:sz w:val="20"/>
          <w:szCs w:val="20"/>
          <w:lang w:val="es-ES"/>
        </w:rPr>
        <w:t>desastre</w:t>
      </w:r>
      <w:r w:rsidRPr="002B1695">
        <w:rPr>
          <w:rFonts w:ascii="Verdana" w:eastAsia="Calibri" w:hAnsi="Verdana" w:cs="Arial"/>
          <w:sz w:val="20"/>
          <w:szCs w:val="20"/>
          <w:lang w:val="es-ES"/>
        </w:rPr>
        <w:t xml:space="preserve">, tanto en el orden nacional, departamental, como en el municipal y distrital, facultad que no pueden ejercer los gobernadores y alcaldes, porque la norma no les asignó esta competencia. No obstante, a los gobernadores y alcaldes sí les corresponde declarar la </w:t>
      </w:r>
      <w:r w:rsidRPr="002B1695">
        <w:rPr>
          <w:rFonts w:ascii="Verdana" w:eastAsia="Calibri" w:hAnsi="Verdana" w:cs="Arial"/>
          <w:i/>
          <w:sz w:val="20"/>
          <w:szCs w:val="20"/>
          <w:lang w:val="es-ES"/>
        </w:rPr>
        <w:t>situación de calamidad pública</w:t>
      </w:r>
      <w:r w:rsidRPr="002B1695">
        <w:rPr>
          <w:rFonts w:ascii="Verdana" w:eastAsia="Calibri" w:hAnsi="Verdana" w:cs="Arial"/>
          <w:sz w:val="20"/>
          <w:szCs w:val="20"/>
          <w:lang w:val="es-ES"/>
        </w:rPr>
        <w:t xml:space="preserve">, en los respectivos ámbitos, facultad que, en cambio, no puede ejercer el presidente de la república. </w:t>
      </w:r>
    </w:p>
    <w:p w14:paraId="0FC835E2" w14:textId="77777777" w:rsidR="002B1695" w:rsidRDefault="002B1695" w:rsidP="002B1695">
      <w:pPr>
        <w:spacing w:after="0" w:line="240" w:lineRule="auto"/>
        <w:jc w:val="both"/>
        <w:rPr>
          <w:rFonts w:ascii="Verdana" w:eastAsia="Calibri" w:hAnsi="Verdana" w:cs="Arial"/>
          <w:sz w:val="20"/>
          <w:szCs w:val="20"/>
          <w:lang w:val="es-ES_tradnl"/>
        </w:rPr>
      </w:pPr>
    </w:p>
    <w:p w14:paraId="5DFB4940" w14:textId="43D9A628" w:rsidR="00141E73" w:rsidRPr="002B1695" w:rsidRDefault="00141E73" w:rsidP="002B1695">
      <w:pPr>
        <w:spacing w:after="0" w:line="240" w:lineRule="auto"/>
        <w:jc w:val="both"/>
        <w:rPr>
          <w:rFonts w:ascii="Verdana" w:eastAsia="Calibri" w:hAnsi="Verdana" w:cs="Arial"/>
          <w:sz w:val="20"/>
          <w:szCs w:val="20"/>
          <w:lang w:val="es-ES_tradnl"/>
        </w:rPr>
      </w:pPr>
      <w:r w:rsidRPr="002B1695">
        <w:rPr>
          <w:rFonts w:ascii="Verdana" w:eastAsia="Calibri" w:hAnsi="Verdana" w:cs="Arial"/>
          <w:sz w:val="20"/>
          <w:szCs w:val="20"/>
          <w:lang w:val="es-ES_tradnl"/>
        </w:rPr>
        <w:t xml:space="preserve">De esta manera, una vez se declara la situación de calamidad o la situación de desastre bajo los criterios señalados en el artículo 59 de la Ley 1523 de 2012, por parte de la autoridad competente, las demás entidades estatales –de conformidad con el artículo 42 de la Ley 80 de 1993– quedan facultadas para declarar, a continuación, la causal de contratación directa denominada “urgencia manifiesta”, mediante un acto administrativo propio, autónomo, que tiene como fundamento fáctico y jurídico la declaración de situación de calamidad o la situación de desastre. </w:t>
      </w:r>
    </w:p>
    <w:p w14:paraId="251F6FD5" w14:textId="77777777" w:rsidR="002B1695" w:rsidRDefault="002B1695" w:rsidP="002B1695">
      <w:pPr>
        <w:spacing w:after="0" w:line="240" w:lineRule="auto"/>
        <w:jc w:val="both"/>
        <w:rPr>
          <w:rFonts w:ascii="Verdana" w:eastAsia="Calibri" w:hAnsi="Verdana" w:cs="Arial"/>
          <w:sz w:val="20"/>
          <w:szCs w:val="20"/>
          <w:lang w:val="es-ES"/>
        </w:rPr>
      </w:pPr>
    </w:p>
    <w:p w14:paraId="0C35F21F" w14:textId="0EC7E16B" w:rsidR="00141E73" w:rsidRPr="002B1695" w:rsidRDefault="00141E73" w:rsidP="002B1695">
      <w:pPr>
        <w:spacing w:after="0" w:line="240" w:lineRule="auto"/>
        <w:jc w:val="both"/>
        <w:rPr>
          <w:rFonts w:ascii="Verdana" w:eastAsia="Calibri" w:hAnsi="Verdana" w:cs="Arial"/>
          <w:sz w:val="20"/>
          <w:szCs w:val="20"/>
          <w:lang w:val="es-ES"/>
        </w:rPr>
      </w:pPr>
      <w:r w:rsidRPr="002B1695">
        <w:rPr>
          <w:rFonts w:ascii="Verdana" w:eastAsia="Calibri" w:hAnsi="Verdana" w:cs="Arial"/>
          <w:sz w:val="20"/>
          <w:szCs w:val="20"/>
          <w:lang w:val="es-ES"/>
        </w:rPr>
        <w:lastRenderedPageBreak/>
        <w:t xml:space="preserve">Lo anterior significa que para contratar directamente no basta con la declaración de desastre o de calamidad. Es decir, se necesitan dos (2) actos administrativos concurrentes para que pueda contratarse directamente por urgencia manifiesta: i) el primero en el tiempo, la declaración de la situación de calamidad pública o la declaración de la situación de desastre, de conformidad con lo establecido en el Capítulo VI de la Ley 1523 de 2012; y </w:t>
      </w:r>
      <w:proofErr w:type="spellStart"/>
      <w:r w:rsidRPr="002B1695">
        <w:rPr>
          <w:rFonts w:ascii="Verdana" w:eastAsia="Calibri" w:hAnsi="Verdana" w:cs="Arial"/>
          <w:sz w:val="20"/>
          <w:szCs w:val="20"/>
          <w:lang w:val="es-ES"/>
        </w:rPr>
        <w:t>ii</w:t>
      </w:r>
      <w:proofErr w:type="spellEnd"/>
      <w:r w:rsidRPr="002B1695">
        <w:rPr>
          <w:rFonts w:ascii="Verdana" w:eastAsia="Calibri" w:hAnsi="Verdana" w:cs="Arial"/>
          <w:sz w:val="20"/>
          <w:szCs w:val="20"/>
          <w:lang w:val="es-ES"/>
        </w:rPr>
        <w:t>) el segundo, la declaración propiamente dicha de “urgencia manifiesta” de que trata el artículo 42 del Estatuto General de Contratación, amparado o fundamentado en la declaración previa del desastre o calamidad.</w:t>
      </w:r>
    </w:p>
    <w:p w14:paraId="499A00A3" w14:textId="77777777" w:rsidR="002B1695" w:rsidRDefault="002B1695" w:rsidP="002B1695">
      <w:pPr>
        <w:spacing w:after="0" w:line="240" w:lineRule="auto"/>
        <w:jc w:val="both"/>
        <w:rPr>
          <w:rFonts w:ascii="Verdana" w:eastAsia="Calibri" w:hAnsi="Verdana" w:cs="Arial"/>
          <w:sz w:val="20"/>
          <w:szCs w:val="20"/>
          <w:lang w:val="es-ES"/>
        </w:rPr>
      </w:pPr>
    </w:p>
    <w:p w14:paraId="0C9648E3" w14:textId="42120D6E" w:rsidR="00141E73" w:rsidRPr="002B1695" w:rsidRDefault="00141E73" w:rsidP="002B1695">
      <w:pPr>
        <w:spacing w:after="0" w:line="240" w:lineRule="auto"/>
        <w:jc w:val="both"/>
        <w:rPr>
          <w:rFonts w:ascii="Verdana" w:eastAsia="Calibri" w:hAnsi="Verdana" w:cs="Arial"/>
          <w:sz w:val="20"/>
          <w:szCs w:val="20"/>
          <w:lang w:val="es-ES"/>
        </w:rPr>
      </w:pPr>
      <w:r w:rsidRPr="002B1695">
        <w:rPr>
          <w:rFonts w:ascii="Verdana" w:eastAsia="Calibri" w:hAnsi="Verdana" w:cs="Arial"/>
          <w:sz w:val="20"/>
          <w:szCs w:val="20"/>
          <w:lang w:val="es-ES"/>
        </w:rPr>
        <w:t xml:space="preserve">Sin el primer acto administrativo no es posible expedir el segundo, es decir, para declarar la urgencia manifiesta es imprescindible que el presidente de la república o el gobernador o el alcalde, según el caso, hayan declarado la situación de desastre o la declaración de calamidad. Esto, porque la situación de calamidad pública o la situación de desastre depende tanto de la ocurrencia de los hechos que dan lugar a las mismas como de la declaración del órgano competente, de manera que ninguna se configura a falta de alguna de estas condiciones. </w:t>
      </w:r>
    </w:p>
    <w:p w14:paraId="7EAE577E" w14:textId="77777777" w:rsidR="002B1695" w:rsidRDefault="002B1695" w:rsidP="002B1695">
      <w:pPr>
        <w:spacing w:after="0" w:line="240" w:lineRule="auto"/>
        <w:jc w:val="both"/>
        <w:rPr>
          <w:rFonts w:ascii="Verdana" w:eastAsia="Calibri" w:hAnsi="Verdana" w:cs="Arial"/>
          <w:sz w:val="20"/>
          <w:szCs w:val="20"/>
          <w:lang w:val="es-ES"/>
        </w:rPr>
      </w:pPr>
    </w:p>
    <w:p w14:paraId="7C76D3B9" w14:textId="34175897" w:rsidR="00141E73" w:rsidRPr="002B1695" w:rsidRDefault="00141E73" w:rsidP="002B1695">
      <w:pPr>
        <w:spacing w:after="0" w:line="240" w:lineRule="auto"/>
        <w:jc w:val="both"/>
        <w:rPr>
          <w:rFonts w:ascii="Verdana" w:eastAsia="Calibri" w:hAnsi="Verdana" w:cs="Arial"/>
          <w:sz w:val="20"/>
          <w:szCs w:val="20"/>
          <w:lang w:val="es-ES"/>
        </w:rPr>
      </w:pPr>
      <w:r w:rsidRPr="002B1695">
        <w:rPr>
          <w:rFonts w:ascii="Verdana" w:eastAsia="Calibri" w:hAnsi="Verdana" w:cs="Arial"/>
          <w:sz w:val="20"/>
          <w:szCs w:val="20"/>
          <w:lang w:val="es-ES"/>
        </w:rPr>
        <w:t xml:space="preserve">Para declarar la urgencia manifiesta es imprescindible que el presidente de la república o el gobernador o el alcalde, según el caso, hayan declarado la situación de desastre o la declaración de calamidad. Tratándose de los funcionarios mencionados, ambas declaraciones pueden realizarse en un mismo acto administrativo, es decir, el presidente, el gobernador o el alcalde declara el desastre o la calamidad y, como consecuencia, decreta la urgencia manifiesta. Lo anterior, porque la situación de calamidad pública o la situación de desastre depende tanto de la ocurrencia de los hechos que dan lugar a las mismas como de la declaración del órgano competente, de manera que ninguna se configura a falta de alguna de estas condiciones. </w:t>
      </w:r>
    </w:p>
    <w:p w14:paraId="466FDE65" w14:textId="77777777" w:rsidR="002B1695" w:rsidRDefault="002B1695" w:rsidP="002B1695">
      <w:pPr>
        <w:spacing w:after="0" w:line="240" w:lineRule="auto"/>
        <w:jc w:val="both"/>
        <w:rPr>
          <w:rFonts w:ascii="Verdana" w:eastAsia="Calibri" w:hAnsi="Verdana" w:cs="Arial"/>
          <w:sz w:val="20"/>
          <w:szCs w:val="20"/>
          <w:lang w:val="es-ES_tradnl"/>
        </w:rPr>
      </w:pPr>
    </w:p>
    <w:p w14:paraId="75A5674D" w14:textId="015F7749" w:rsidR="00141E73" w:rsidRPr="002B1695" w:rsidRDefault="00141E73" w:rsidP="002B1695">
      <w:pPr>
        <w:spacing w:after="0" w:line="240" w:lineRule="auto"/>
        <w:jc w:val="both"/>
        <w:rPr>
          <w:rFonts w:ascii="Verdana" w:eastAsia="Calibri" w:hAnsi="Verdana" w:cs="Arial"/>
          <w:sz w:val="20"/>
          <w:szCs w:val="20"/>
          <w:lang w:val="es-ES_tradnl"/>
        </w:rPr>
      </w:pPr>
      <w:r w:rsidRPr="002B1695">
        <w:rPr>
          <w:rFonts w:ascii="Verdana" w:eastAsia="Calibri" w:hAnsi="Verdana" w:cs="Arial"/>
          <w:sz w:val="20"/>
          <w:szCs w:val="20"/>
          <w:lang w:val="es-ES_tradnl"/>
        </w:rPr>
        <w:t xml:space="preserve">Como una autoridad diferente al presidente de la república, o al gobernador y el alcalde –por ejemplo, los ministros, directores o presidentes de agencias, directores de establecimientos públicos, de sociedades de economía mixta, etc.–, carece de competencia para declarar cualquiera de estas dos (2) situaciones, deben esperar a que se dicten los actos respectivos para fundamentar la declaración de urgencia manifiesta en la situación de desastre o en la situación de calamidad. En esta segunda hipótesis, se expiden dos (2) actos administrativos separados: el presidente, gobernador o alcalde declara el desastre o la calamidad, por un lado, y los ministros, directores o presidentes de agencias, directores de establecimientos públicos, de sociedades de economía mixta, etc. decretan la urgencia manifiesta, por otro. </w:t>
      </w:r>
    </w:p>
    <w:p w14:paraId="245AA26E" w14:textId="77777777" w:rsidR="002B1695" w:rsidRDefault="002B1695" w:rsidP="002B1695">
      <w:pPr>
        <w:spacing w:after="0" w:line="240" w:lineRule="auto"/>
        <w:jc w:val="both"/>
        <w:rPr>
          <w:rFonts w:ascii="Verdana" w:eastAsia="Calibri" w:hAnsi="Verdana" w:cs="Arial"/>
          <w:sz w:val="20"/>
          <w:szCs w:val="20"/>
          <w:lang w:val="es-ES_tradnl"/>
        </w:rPr>
      </w:pPr>
    </w:p>
    <w:p w14:paraId="6578E1FE" w14:textId="4CB3AF58" w:rsidR="00141E73" w:rsidRPr="002B1695" w:rsidRDefault="00141E73" w:rsidP="002B1695">
      <w:pPr>
        <w:spacing w:after="0" w:line="240" w:lineRule="auto"/>
        <w:jc w:val="both"/>
        <w:rPr>
          <w:rFonts w:ascii="Verdana" w:eastAsia="Calibri" w:hAnsi="Verdana" w:cs="Arial"/>
          <w:sz w:val="20"/>
          <w:szCs w:val="20"/>
          <w:lang w:val="es-ES_tradnl"/>
        </w:rPr>
      </w:pPr>
      <w:r w:rsidRPr="002B1695">
        <w:rPr>
          <w:rFonts w:ascii="Verdana" w:eastAsia="Calibri" w:hAnsi="Verdana" w:cs="Arial"/>
          <w:sz w:val="20"/>
          <w:szCs w:val="20"/>
          <w:lang w:val="es-ES_tradnl"/>
        </w:rPr>
        <w:t>Por lo anterior, cuando el artículo 42 de la Ley 80 de 1993 dispone que la urgencia manifiesta se declara –entre otras tres (3) causales– para “(…) conjurar situaciones excepcionales relacionadas con hechos de calamidad o constitutivos de fuerza mayor o desastre que demanden actuaciones inmediatas (…)”, las circunstancias de calamidad y desastre deben entenderse en los términos de la Ley 1523 de 2012, en la medida que forman una unidad jurídica completa.</w:t>
      </w:r>
    </w:p>
    <w:p w14:paraId="1ED08434" w14:textId="77777777" w:rsidR="002B1695" w:rsidRDefault="002B1695" w:rsidP="002B1695">
      <w:pPr>
        <w:spacing w:after="0" w:line="240" w:lineRule="auto"/>
        <w:jc w:val="both"/>
        <w:rPr>
          <w:rFonts w:ascii="Verdana" w:eastAsia="Calibri" w:hAnsi="Verdana" w:cs="Arial"/>
          <w:sz w:val="20"/>
          <w:szCs w:val="20"/>
          <w:lang w:val="es-ES_tradnl"/>
        </w:rPr>
      </w:pPr>
    </w:p>
    <w:p w14:paraId="6982B233" w14:textId="4416192C" w:rsidR="00141E73" w:rsidRPr="002B1695" w:rsidRDefault="00141E73" w:rsidP="002B1695">
      <w:pPr>
        <w:spacing w:after="0" w:line="240" w:lineRule="auto"/>
        <w:jc w:val="both"/>
        <w:rPr>
          <w:rFonts w:ascii="Verdana" w:eastAsia="Calibri" w:hAnsi="Verdana" w:cs="Arial"/>
          <w:sz w:val="20"/>
          <w:szCs w:val="20"/>
          <w:lang w:val="es-ES_tradnl"/>
        </w:rPr>
      </w:pPr>
      <w:r w:rsidRPr="002B1695">
        <w:rPr>
          <w:rFonts w:ascii="Verdana" w:eastAsia="Calibri" w:hAnsi="Verdana" w:cs="Arial"/>
          <w:sz w:val="20"/>
          <w:szCs w:val="20"/>
          <w:lang w:val="es-ES_tradnl"/>
        </w:rPr>
        <w:lastRenderedPageBreak/>
        <w:t xml:space="preserve">De esta manera la entidad estatal que declara la urgencia manifiesta deberá observar las normas que para el efecto en materia contractual se han indicado </w:t>
      </w:r>
      <w:proofErr w:type="gramStart"/>
      <w:r w:rsidRPr="002B1695">
        <w:rPr>
          <w:rFonts w:ascii="Verdana" w:eastAsia="Calibri" w:hAnsi="Verdana" w:cs="Arial"/>
          <w:sz w:val="20"/>
          <w:szCs w:val="20"/>
          <w:lang w:val="es-ES_tradnl"/>
        </w:rPr>
        <w:t>y</w:t>
      </w:r>
      <w:proofErr w:type="gramEnd"/>
      <w:r w:rsidRPr="002B1695">
        <w:rPr>
          <w:rFonts w:ascii="Verdana" w:eastAsia="Calibri" w:hAnsi="Verdana" w:cs="Arial"/>
          <w:sz w:val="20"/>
          <w:szCs w:val="20"/>
          <w:lang w:val="es-ES_tradnl"/>
        </w:rPr>
        <w:t xml:space="preserve"> por otro lado, la entidad pública que desea fungir como contratista no estaría impedido en ser proveedor de bienes y servicios entendiendo que debe enmarcase dentro de una urgencia manifiesta y bajo los presupuestos procedimentales para su declaratoria.    </w:t>
      </w:r>
    </w:p>
    <w:p w14:paraId="55FB4211" w14:textId="77777777" w:rsidR="00141E73" w:rsidRPr="002B1695" w:rsidRDefault="00141E73" w:rsidP="00141E73">
      <w:pPr>
        <w:spacing w:after="0" w:line="240" w:lineRule="auto"/>
        <w:jc w:val="both"/>
        <w:rPr>
          <w:rFonts w:ascii="Verdana" w:eastAsia="Calibri" w:hAnsi="Verdana" w:cs="Arial"/>
          <w:sz w:val="20"/>
          <w:szCs w:val="20"/>
          <w:lang w:val="es-ES_tradnl"/>
        </w:rPr>
      </w:pPr>
    </w:p>
    <w:p w14:paraId="0961E67D" w14:textId="77777777" w:rsidR="00141E73" w:rsidRPr="002B1695" w:rsidRDefault="00141E73" w:rsidP="005374E9">
      <w:pPr>
        <w:spacing w:after="0" w:line="240" w:lineRule="auto"/>
        <w:jc w:val="both"/>
        <w:rPr>
          <w:rFonts w:ascii="Verdana" w:eastAsia="Calibri" w:hAnsi="Verdana" w:cs="Arial"/>
          <w:sz w:val="20"/>
          <w:szCs w:val="20"/>
          <w:lang w:val="es-ES_tradnl" w:eastAsia="es-ES"/>
        </w:rPr>
      </w:pPr>
    </w:p>
    <w:p w14:paraId="5582A980" w14:textId="77777777" w:rsidR="00747654" w:rsidRDefault="00747654" w:rsidP="005374E9">
      <w:pPr>
        <w:spacing w:after="0" w:line="240" w:lineRule="auto"/>
        <w:jc w:val="both"/>
        <w:rPr>
          <w:rFonts w:ascii="Verdana" w:eastAsia="Calibri" w:hAnsi="Verdana" w:cs="Arial"/>
          <w:lang w:eastAsia="es-ES"/>
        </w:rPr>
      </w:pPr>
    </w:p>
    <w:p w14:paraId="6A36DE08" w14:textId="77777777" w:rsidR="00747654" w:rsidRDefault="00747654" w:rsidP="005374E9">
      <w:pPr>
        <w:spacing w:after="0" w:line="240" w:lineRule="auto"/>
        <w:jc w:val="both"/>
        <w:rPr>
          <w:rFonts w:ascii="Verdana" w:eastAsia="Calibri" w:hAnsi="Verdana" w:cs="Arial"/>
          <w:lang w:eastAsia="es-ES"/>
        </w:rPr>
      </w:pPr>
    </w:p>
    <w:p w14:paraId="10F7392E" w14:textId="77777777" w:rsidR="00747654" w:rsidRDefault="00747654" w:rsidP="005374E9">
      <w:pPr>
        <w:spacing w:after="0" w:line="240" w:lineRule="auto"/>
        <w:jc w:val="both"/>
        <w:rPr>
          <w:rFonts w:ascii="Verdana" w:eastAsia="Calibri" w:hAnsi="Verdana" w:cs="Arial"/>
          <w:lang w:eastAsia="es-ES"/>
        </w:rPr>
      </w:pPr>
    </w:p>
    <w:p w14:paraId="1DE4B55F" w14:textId="77777777" w:rsidR="002B1695" w:rsidRDefault="002B1695" w:rsidP="005374E9">
      <w:pPr>
        <w:spacing w:after="0" w:line="240" w:lineRule="auto"/>
        <w:jc w:val="both"/>
        <w:rPr>
          <w:rFonts w:ascii="Verdana" w:eastAsia="Calibri" w:hAnsi="Verdana" w:cs="Arial"/>
          <w:lang w:eastAsia="es-ES"/>
        </w:rPr>
      </w:pPr>
    </w:p>
    <w:p w14:paraId="52B3D40B" w14:textId="77777777" w:rsidR="002B1695" w:rsidRDefault="002B1695" w:rsidP="005374E9">
      <w:pPr>
        <w:spacing w:after="0" w:line="240" w:lineRule="auto"/>
        <w:jc w:val="both"/>
        <w:rPr>
          <w:rFonts w:ascii="Verdana" w:eastAsia="Calibri" w:hAnsi="Verdana" w:cs="Arial"/>
          <w:lang w:eastAsia="es-ES"/>
        </w:rPr>
      </w:pPr>
    </w:p>
    <w:p w14:paraId="77845D71" w14:textId="77777777" w:rsidR="002B1695" w:rsidRDefault="002B1695" w:rsidP="005374E9">
      <w:pPr>
        <w:spacing w:after="0" w:line="240" w:lineRule="auto"/>
        <w:jc w:val="both"/>
        <w:rPr>
          <w:rFonts w:ascii="Verdana" w:eastAsia="Calibri" w:hAnsi="Verdana" w:cs="Arial"/>
          <w:lang w:eastAsia="es-ES"/>
        </w:rPr>
      </w:pPr>
    </w:p>
    <w:p w14:paraId="58992C46" w14:textId="77777777" w:rsidR="002B1695" w:rsidRDefault="002B1695" w:rsidP="005374E9">
      <w:pPr>
        <w:spacing w:after="0" w:line="240" w:lineRule="auto"/>
        <w:jc w:val="both"/>
        <w:rPr>
          <w:rFonts w:ascii="Verdana" w:eastAsia="Calibri" w:hAnsi="Verdana" w:cs="Arial"/>
          <w:lang w:eastAsia="es-ES"/>
        </w:rPr>
      </w:pPr>
    </w:p>
    <w:p w14:paraId="64AE1F0E" w14:textId="77777777" w:rsidR="002B1695" w:rsidRDefault="002B1695" w:rsidP="005374E9">
      <w:pPr>
        <w:spacing w:after="0" w:line="240" w:lineRule="auto"/>
        <w:jc w:val="both"/>
        <w:rPr>
          <w:rFonts w:ascii="Verdana" w:eastAsia="Calibri" w:hAnsi="Verdana" w:cs="Arial"/>
          <w:lang w:eastAsia="es-ES"/>
        </w:rPr>
      </w:pPr>
    </w:p>
    <w:p w14:paraId="62E42E1A" w14:textId="77777777" w:rsidR="002B1695" w:rsidRDefault="002B1695" w:rsidP="005374E9">
      <w:pPr>
        <w:spacing w:after="0" w:line="240" w:lineRule="auto"/>
        <w:jc w:val="both"/>
        <w:rPr>
          <w:rFonts w:ascii="Verdana" w:eastAsia="Calibri" w:hAnsi="Verdana" w:cs="Arial"/>
          <w:lang w:eastAsia="es-ES"/>
        </w:rPr>
      </w:pPr>
    </w:p>
    <w:p w14:paraId="5E316ED0" w14:textId="77777777" w:rsidR="002B1695" w:rsidRDefault="002B1695" w:rsidP="005374E9">
      <w:pPr>
        <w:spacing w:after="0" w:line="240" w:lineRule="auto"/>
        <w:jc w:val="both"/>
        <w:rPr>
          <w:rFonts w:ascii="Verdana" w:eastAsia="Calibri" w:hAnsi="Verdana" w:cs="Arial"/>
          <w:lang w:eastAsia="es-ES"/>
        </w:rPr>
      </w:pPr>
    </w:p>
    <w:p w14:paraId="0AA37026" w14:textId="77777777" w:rsidR="002B1695" w:rsidRDefault="002B1695" w:rsidP="005374E9">
      <w:pPr>
        <w:spacing w:after="0" w:line="240" w:lineRule="auto"/>
        <w:jc w:val="both"/>
        <w:rPr>
          <w:rFonts w:ascii="Verdana" w:eastAsia="Calibri" w:hAnsi="Verdana" w:cs="Arial"/>
          <w:lang w:eastAsia="es-ES"/>
        </w:rPr>
      </w:pPr>
    </w:p>
    <w:p w14:paraId="4264FEB2" w14:textId="77777777" w:rsidR="002B1695" w:rsidRDefault="002B1695" w:rsidP="005374E9">
      <w:pPr>
        <w:spacing w:after="0" w:line="240" w:lineRule="auto"/>
        <w:jc w:val="both"/>
        <w:rPr>
          <w:rFonts w:ascii="Verdana" w:eastAsia="Calibri" w:hAnsi="Verdana" w:cs="Arial"/>
          <w:lang w:eastAsia="es-ES"/>
        </w:rPr>
      </w:pPr>
    </w:p>
    <w:p w14:paraId="08F4E541" w14:textId="77777777" w:rsidR="002B1695" w:rsidRDefault="002B1695" w:rsidP="005374E9">
      <w:pPr>
        <w:spacing w:after="0" w:line="240" w:lineRule="auto"/>
        <w:jc w:val="both"/>
        <w:rPr>
          <w:rFonts w:ascii="Verdana" w:eastAsia="Calibri" w:hAnsi="Verdana" w:cs="Arial"/>
          <w:lang w:eastAsia="es-ES"/>
        </w:rPr>
      </w:pPr>
    </w:p>
    <w:p w14:paraId="78BD6DDC" w14:textId="77777777" w:rsidR="002B1695" w:rsidRDefault="002B1695" w:rsidP="005374E9">
      <w:pPr>
        <w:spacing w:after="0" w:line="240" w:lineRule="auto"/>
        <w:jc w:val="both"/>
        <w:rPr>
          <w:rFonts w:ascii="Verdana" w:eastAsia="Calibri" w:hAnsi="Verdana" w:cs="Arial"/>
          <w:lang w:eastAsia="es-ES"/>
        </w:rPr>
      </w:pPr>
    </w:p>
    <w:p w14:paraId="4441878C" w14:textId="77777777" w:rsidR="002B1695" w:rsidRDefault="002B1695" w:rsidP="005374E9">
      <w:pPr>
        <w:spacing w:after="0" w:line="240" w:lineRule="auto"/>
        <w:jc w:val="both"/>
        <w:rPr>
          <w:rFonts w:ascii="Verdana" w:eastAsia="Calibri" w:hAnsi="Verdana" w:cs="Arial"/>
          <w:lang w:eastAsia="es-ES"/>
        </w:rPr>
      </w:pPr>
    </w:p>
    <w:p w14:paraId="2A476763" w14:textId="77777777" w:rsidR="002B1695" w:rsidRDefault="002B1695" w:rsidP="005374E9">
      <w:pPr>
        <w:spacing w:after="0" w:line="240" w:lineRule="auto"/>
        <w:jc w:val="both"/>
        <w:rPr>
          <w:rFonts w:ascii="Verdana" w:eastAsia="Calibri" w:hAnsi="Verdana" w:cs="Arial"/>
          <w:lang w:eastAsia="es-ES"/>
        </w:rPr>
      </w:pPr>
    </w:p>
    <w:p w14:paraId="4E52B06B" w14:textId="77777777" w:rsidR="002B1695" w:rsidRDefault="002B1695" w:rsidP="005374E9">
      <w:pPr>
        <w:spacing w:after="0" w:line="240" w:lineRule="auto"/>
        <w:jc w:val="both"/>
        <w:rPr>
          <w:rFonts w:ascii="Verdana" w:eastAsia="Calibri" w:hAnsi="Verdana" w:cs="Arial"/>
          <w:lang w:eastAsia="es-ES"/>
        </w:rPr>
      </w:pPr>
    </w:p>
    <w:p w14:paraId="19C379A5" w14:textId="77777777" w:rsidR="002B1695" w:rsidRDefault="002B1695" w:rsidP="005374E9">
      <w:pPr>
        <w:spacing w:after="0" w:line="240" w:lineRule="auto"/>
        <w:jc w:val="both"/>
        <w:rPr>
          <w:rFonts w:ascii="Verdana" w:eastAsia="Calibri" w:hAnsi="Verdana" w:cs="Arial"/>
          <w:lang w:eastAsia="es-ES"/>
        </w:rPr>
      </w:pPr>
    </w:p>
    <w:p w14:paraId="58F745EE" w14:textId="77777777" w:rsidR="002B1695" w:rsidRDefault="002B1695" w:rsidP="005374E9">
      <w:pPr>
        <w:spacing w:after="0" w:line="240" w:lineRule="auto"/>
        <w:jc w:val="both"/>
        <w:rPr>
          <w:rFonts w:ascii="Verdana" w:eastAsia="Calibri" w:hAnsi="Verdana" w:cs="Arial"/>
          <w:lang w:eastAsia="es-ES"/>
        </w:rPr>
      </w:pPr>
    </w:p>
    <w:p w14:paraId="118C067A" w14:textId="77777777" w:rsidR="002B1695" w:rsidRDefault="002B1695" w:rsidP="005374E9">
      <w:pPr>
        <w:spacing w:after="0" w:line="240" w:lineRule="auto"/>
        <w:jc w:val="both"/>
        <w:rPr>
          <w:rFonts w:ascii="Verdana" w:eastAsia="Calibri" w:hAnsi="Verdana" w:cs="Arial"/>
          <w:lang w:eastAsia="es-ES"/>
        </w:rPr>
      </w:pPr>
    </w:p>
    <w:p w14:paraId="30ED7EB2" w14:textId="77777777" w:rsidR="002B1695" w:rsidRDefault="002B1695" w:rsidP="005374E9">
      <w:pPr>
        <w:spacing w:after="0" w:line="240" w:lineRule="auto"/>
        <w:jc w:val="both"/>
        <w:rPr>
          <w:rFonts w:ascii="Verdana" w:eastAsia="Calibri" w:hAnsi="Verdana" w:cs="Arial"/>
          <w:lang w:eastAsia="es-ES"/>
        </w:rPr>
      </w:pPr>
    </w:p>
    <w:p w14:paraId="169EDC67" w14:textId="77777777" w:rsidR="002B1695" w:rsidRDefault="002B1695" w:rsidP="005374E9">
      <w:pPr>
        <w:spacing w:after="0" w:line="240" w:lineRule="auto"/>
        <w:jc w:val="both"/>
        <w:rPr>
          <w:rFonts w:ascii="Verdana" w:eastAsia="Calibri" w:hAnsi="Verdana" w:cs="Arial"/>
          <w:lang w:eastAsia="es-ES"/>
        </w:rPr>
      </w:pPr>
    </w:p>
    <w:p w14:paraId="5351D991" w14:textId="77777777" w:rsidR="002B1695" w:rsidRDefault="002B1695" w:rsidP="005374E9">
      <w:pPr>
        <w:spacing w:after="0" w:line="240" w:lineRule="auto"/>
        <w:jc w:val="both"/>
        <w:rPr>
          <w:rFonts w:ascii="Verdana" w:eastAsia="Calibri" w:hAnsi="Verdana" w:cs="Arial"/>
          <w:lang w:eastAsia="es-ES"/>
        </w:rPr>
      </w:pPr>
    </w:p>
    <w:p w14:paraId="58153F24" w14:textId="77777777" w:rsidR="002B1695" w:rsidRDefault="002B1695" w:rsidP="005374E9">
      <w:pPr>
        <w:spacing w:after="0" w:line="240" w:lineRule="auto"/>
        <w:jc w:val="both"/>
        <w:rPr>
          <w:rFonts w:ascii="Verdana" w:eastAsia="Calibri" w:hAnsi="Verdana" w:cs="Arial"/>
          <w:lang w:eastAsia="es-ES"/>
        </w:rPr>
      </w:pPr>
    </w:p>
    <w:p w14:paraId="019D2A5F" w14:textId="77777777" w:rsidR="002B1695" w:rsidRDefault="002B1695" w:rsidP="005374E9">
      <w:pPr>
        <w:spacing w:after="0" w:line="240" w:lineRule="auto"/>
        <w:jc w:val="both"/>
        <w:rPr>
          <w:rFonts w:ascii="Verdana" w:eastAsia="Calibri" w:hAnsi="Verdana" w:cs="Arial"/>
          <w:lang w:eastAsia="es-ES"/>
        </w:rPr>
      </w:pPr>
    </w:p>
    <w:p w14:paraId="15DD8896" w14:textId="77777777" w:rsidR="002B1695" w:rsidRDefault="002B1695" w:rsidP="005374E9">
      <w:pPr>
        <w:spacing w:after="0" w:line="240" w:lineRule="auto"/>
        <w:jc w:val="both"/>
        <w:rPr>
          <w:rFonts w:ascii="Verdana" w:eastAsia="Calibri" w:hAnsi="Verdana" w:cs="Arial"/>
          <w:lang w:eastAsia="es-ES"/>
        </w:rPr>
      </w:pPr>
    </w:p>
    <w:p w14:paraId="61A6EBB3" w14:textId="77777777" w:rsidR="002B1695" w:rsidRDefault="002B1695" w:rsidP="005374E9">
      <w:pPr>
        <w:spacing w:after="0" w:line="240" w:lineRule="auto"/>
        <w:jc w:val="both"/>
        <w:rPr>
          <w:rFonts w:ascii="Verdana" w:eastAsia="Calibri" w:hAnsi="Verdana" w:cs="Arial"/>
          <w:lang w:eastAsia="es-ES"/>
        </w:rPr>
      </w:pPr>
    </w:p>
    <w:p w14:paraId="1DEE58CC" w14:textId="77777777" w:rsidR="002B1695" w:rsidRDefault="002B1695" w:rsidP="005374E9">
      <w:pPr>
        <w:spacing w:after="0" w:line="240" w:lineRule="auto"/>
        <w:jc w:val="both"/>
        <w:rPr>
          <w:rFonts w:ascii="Verdana" w:eastAsia="Calibri" w:hAnsi="Verdana" w:cs="Arial"/>
          <w:lang w:eastAsia="es-ES"/>
        </w:rPr>
      </w:pPr>
    </w:p>
    <w:p w14:paraId="095085D6" w14:textId="77777777" w:rsidR="002B1695" w:rsidRDefault="002B1695" w:rsidP="005374E9">
      <w:pPr>
        <w:spacing w:after="0" w:line="240" w:lineRule="auto"/>
        <w:jc w:val="both"/>
        <w:rPr>
          <w:rFonts w:ascii="Verdana" w:eastAsia="Calibri" w:hAnsi="Verdana" w:cs="Arial"/>
          <w:lang w:eastAsia="es-ES"/>
        </w:rPr>
      </w:pPr>
    </w:p>
    <w:p w14:paraId="1B1D49BF" w14:textId="77777777" w:rsidR="002B1695" w:rsidRDefault="002B1695" w:rsidP="005374E9">
      <w:pPr>
        <w:spacing w:after="0" w:line="240" w:lineRule="auto"/>
        <w:jc w:val="both"/>
        <w:rPr>
          <w:rFonts w:ascii="Verdana" w:eastAsia="Calibri" w:hAnsi="Verdana" w:cs="Arial"/>
          <w:lang w:eastAsia="es-ES"/>
        </w:rPr>
      </w:pPr>
    </w:p>
    <w:p w14:paraId="7B79885E" w14:textId="77777777" w:rsidR="002B1695" w:rsidRDefault="002B1695" w:rsidP="005374E9">
      <w:pPr>
        <w:spacing w:after="0" w:line="240" w:lineRule="auto"/>
        <w:jc w:val="both"/>
        <w:rPr>
          <w:rFonts w:ascii="Verdana" w:eastAsia="Calibri" w:hAnsi="Verdana" w:cs="Arial"/>
          <w:lang w:eastAsia="es-ES"/>
        </w:rPr>
      </w:pPr>
    </w:p>
    <w:p w14:paraId="7BA1D643" w14:textId="77777777" w:rsidR="001C7A72" w:rsidRDefault="001C7A72" w:rsidP="005374E9">
      <w:pPr>
        <w:spacing w:after="0" w:line="240" w:lineRule="auto"/>
        <w:jc w:val="both"/>
        <w:rPr>
          <w:rFonts w:ascii="Verdana" w:eastAsia="Calibri" w:hAnsi="Verdana" w:cs="Arial"/>
          <w:lang w:eastAsia="es-ES"/>
        </w:rPr>
      </w:pPr>
    </w:p>
    <w:p w14:paraId="1402DA25" w14:textId="77777777" w:rsidR="001C7A72" w:rsidRDefault="001C7A72" w:rsidP="005374E9">
      <w:pPr>
        <w:spacing w:after="0" w:line="240" w:lineRule="auto"/>
        <w:jc w:val="both"/>
        <w:rPr>
          <w:rFonts w:ascii="Verdana" w:eastAsia="Calibri" w:hAnsi="Verdana" w:cs="Arial"/>
          <w:lang w:eastAsia="es-ES"/>
        </w:rPr>
      </w:pPr>
    </w:p>
    <w:p w14:paraId="1D81558E" w14:textId="77777777" w:rsidR="001C7A72" w:rsidRDefault="001C7A72" w:rsidP="005374E9">
      <w:pPr>
        <w:spacing w:after="0" w:line="240" w:lineRule="auto"/>
        <w:jc w:val="both"/>
        <w:rPr>
          <w:rFonts w:ascii="Verdana" w:eastAsia="Calibri" w:hAnsi="Verdana" w:cs="Arial"/>
          <w:lang w:eastAsia="es-ES"/>
        </w:rPr>
      </w:pPr>
    </w:p>
    <w:p w14:paraId="1C1D5F0D" w14:textId="77777777" w:rsidR="002B1695" w:rsidRDefault="002B1695" w:rsidP="005374E9">
      <w:pPr>
        <w:spacing w:after="0" w:line="240" w:lineRule="auto"/>
        <w:jc w:val="both"/>
        <w:rPr>
          <w:rFonts w:ascii="Verdana" w:eastAsia="Calibri" w:hAnsi="Verdana" w:cs="Arial"/>
          <w:lang w:eastAsia="es-ES"/>
        </w:rPr>
      </w:pPr>
    </w:p>
    <w:p w14:paraId="005EF8D0" w14:textId="55F0C660" w:rsidR="005374E9" w:rsidRDefault="005374E9" w:rsidP="005374E9">
      <w:pPr>
        <w:spacing w:after="0" w:line="240" w:lineRule="auto"/>
        <w:jc w:val="both"/>
        <w:rPr>
          <w:rFonts w:ascii="Verdana" w:eastAsia="Calibri" w:hAnsi="Verdana" w:cs="Arial"/>
          <w:lang w:eastAsia="es-ES"/>
        </w:rPr>
      </w:pPr>
      <w:r w:rsidRPr="00B64A74">
        <w:rPr>
          <w:rFonts w:ascii="Verdana" w:eastAsia="Calibri" w:hAnsi="Verdana" w:cs="Arial"/>
          <w:lang w:eastAsia="es-ES"/>
        </w:rPr>
        <w:lastRenderedPageBreak/>
        <w:t xml:space="preserve">Bogotá D.C., </w:t>
      </w:r>
      <w:r w:rsidR="00E738D9">
        <w:rPr>
          <w:rFonts w:ascii="Verdana" w:eastAsia="Calibri" w:hAnsi="Verdana" w:cs="Arial"/>
          <w:lang w:eastAsia="es-ES"/>
        </w:rPr>
        <w:t xml:space="preserve">26 de marzo de 2026 </w:t>
      </w:r>
    </w:p>
    <w:p w14:paraId="4EFF9DC0" w14:textId="77777777" w:rsidR="00E738D9" w:rsidRDefault="00E738D9" w:rsidP="005374E9">
      <w:pPr>
        <w:spacing w:after="0" w:line="240" w:lineRule="auto"/>
        <w:jc w:val="both"/>
        <w:rPr>
          <w:rFonts w:ascii="Verdana" w:eastAsia="Calibri" w:hAnsi="Verdana" w:cs="Arial"/>
          <w:lang w:eastAsia="es-ES"/>
        </w:rPr>
      </w:pPr>
    </w:p>
    <w:p w14:paraId="3091BBC7" w14:textId="0663A5D6" w:rsidR="00E738D9" w:rsidRPr="00B64A74" w:rsidRDefault="00E738D9" w:rsidP="00A61D9D">
      <w:pPr>
        <w:spacing w:after="0" w:line="240" w:lineRule="auto"/>
        <w:jc w:val="right"/>
        <w:rPr>
          <w:rFonts w:ascii="Verdana" w:eastAsia="Calibri" w:hAnsi="Verdana" w:cs="Arial"/>
          <w:lang w:eastAsia="es-ES"/>
        </w:rPr>
      </w:pPr>
      <w:r w:rsidRPr="00E738D9">
        <w:rPr>
          <w:rFonts w:ascii="Verdana" w:eastAsia="Calibri" w:hAnsi="Verdana" w:cs="Arial"/>
          <w:noProof/>
          <w:lang w:eastAsia="es-ES"/>
        </w:rPr>
        <w:drawing>
          <wp:inline distT="0" distB="0" distL="0" distR="0" wp14:anchorId="04C97471" wp14:editId="7C65A70C">
            <wp:extent cx="2027583" cy="603719"/>
            <wp:effectExtent l="0" t="0" r="0" b="6350"/>
            <wp:docPr id="15953905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390514" name=""/>
                    <pic:cNvPicPr/>
                  </pic:nvPicPr>
                  <pic:blipFill>
                    <a:blip r:embed="rId10"/>
                    <a:stretch>
                      <a:fillRect/>
                    </a:stretch>
                  </pic:blipFill>
                  <pic:spPr>
                    <a:xfrm>
                      <a:off x="0" y="0"/>
                      <a:ext cx="2038123" cy="606857"/>
                    </a:xfrm>
                    <a:prstGeom prst="rect">
                      <a:avLst/>
                    </a:prstGeom>
                  </pic:spPr>
                </pic:pic>
              </a:graphicData>
            </a:graphic>
          </wp:inline>
        </w:drawing>
      </w:r>
    </w:p>
    <w:p w14:paraId="567BF7B6" w14:textId="77777777" w:rsidR="005374E9" w:rsidRPr="00B64A74" w:rsidRDefault="005374E9" w:rsidP="005374E9">
      <w:pPr>
        <w:spacing w:after="0" w:line="240" w:lineRule="auto"/>
        <w:jc w:val="both"/>
        <w:rPr>
          <w:rFonts w:ascii="Verdana" w:eastAsia="Calibri" w:hAnsi="Verdana" w:cs="Arial"/>
          <w:lang w:eastAsia="es-ES"/>
        </w:rPr>
      </w:pPr>
    </w:p>
    <w:p w14:paraId="6CDAEB24" w14:textId="77777777" w:rsidR="005374E9" w:rsidRPr="00B64A74" w:rsidRDefault="005374E9" w:rsidP="005374E9">
      <w:pPr>
        <w:spacing w:after="0" w:line="240" w:lineRule="auto"/>
        <w:jc w:val="both"/>
        <w:rPr>
          <w:rFonts w:ascii="Verdana" w:eastAsia="Calibri" w:hAnsi="Verdana" w:cs="Arial"/>
          <w:b/>
          <w:bCs/>
          <w:lang w:eastAsia="es-ES"/>
        </w:rPr>
      </w:pPr>
      <w:r w:rsidRPr="00B64A74">
        <w:rPr>
          <w:rFonts w:ascii="Verdana" w:eastAsia="Calibri" w:hAnsi="Verdana" w:cs="Arial"/>
          <w:b/>
          <w:bCs/>
          <w:lang w:eastAsia="es-ES"/>
        </w:rPr>
        <w:t>Señor</w:t>
      </w:r>
    </w:p>
    <w:p w14:paraId="257BAD21" w14:textId="6CC5823A" w:rsidR="005374E9" w:rsidRPr="00B64A74" w:rsidRDefault="005374E9" w:rsidP="005374E9">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Wilmer Alexander Nova Diaz </w:t>
      </w:r>
    </w:p>
    <w:p w14:paraId="14AD97F1" w14:textId="77777777" w:rsidR="005374E9" w:rsidRPr="00003BCB" w:rsidRDefault="005374E9" w:rsidP="005374E9">
      <w:pPr>
        <w:spacing w:after="0" w:line="240" w:lineRule="auto"/>
        <w:jc w:val="both"/>
        <w:rPr>
          <w:rFonts w:ascii="Verdana" w:hAnsi="Verdana"/>
          <w:b/>
          <w:bCs/>
        </w:rPr>
      </w:pPr>
      <w:hyperlink r:id="rId11" w:history="1">
        <w:r w:rsidRPr="00003BCB">
          <w:rPr>
            <w:rStyle w:val="Hipervnculo"/>
            <w:rFonts w:ascii="Verdana" w:hAnsi="Verdana"/>
            <w:b/>
            <w:bCs/>
          </w:rPr>
          <w:t>wilmer.nova833@gmail.com</w:t>
        </w:r>
      </w:hyperlink>
    </w:p>
    <w:p w14:paraId="62AAC0EE" w14:textId="77777777" w:rsidR="005374E9" w:rsidRPr="00B64A74" w:rsidRDefault="005374E9" w:rsidP="005374E9">
      <w:pPr>
        <w:spacing w:after="0" w:line="240" w:lineRule="auto"/>
        <w:jc w:val="both"/>
        <w:rPr>
          <w:rFonts w:ascii="Verdana" w:hAnsi="Verdana"/>
        </w:rPr>
      </w:pPr>
      <w:r>
        <w:rPr>
          <w:rFonts w:ascii="Verdana" w:hAnsi="Verdana"/>
        </w:rPr>
        <w:t xml:space="preserve">Ciudad </w:t>
      </w:r>
    </w:p>
    <w:p w14:paraId="4BB85622" w14:textId="77777777" w:rsidR="005374E9" w:rsidRPr="00B64A74" w:rsidRDefault="005374E9" w:rsidP="005374E9">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5374E9" w:rsidRPr="00B64A74" w14:paraId="26EA2641" w14:textId="77777777" w:rsidTr="002E317E">
        <w:trPr>
          <w:trHeight w:val="162"/>
        </w:trPr>
        <w:tc>
          <w:tcPr>
            <w:tcW w:w="3119" w:type="dxa"/>
          </w:tcPr>
          <w:p w14:paraId="79CD30DD" w14:textId="77777777" w:rsidR="005374E9" w:rsidRPr="00B64A74" w:rsidRDefault="005374E9" w:rsidP="002E317E">
            <w:pPr>
              <w:jc w:val="both"/>
              <w:rPr>
                <w:rFonts w:ascii="Verdana" w:eastAsia="Calibri" w:hAnsi="Verdana" w:cs="Arial"/>
                <w:b/>
                <w:bCs/>
                <w:color w:val="7030A0"/>
                <w:lang w:eastAsia="es-ES_tradnl"/>
              </w:rPr>
            </w:pPr>
          </w:p>
        </w:tc>
        <w:tc>
          <w:tcPr>
            <w:tcW w:w="5670" w:type="dxa"/>
          </w:tcPr>
          <w:p w14:paraId="4FD8784F" w14:textId="77777777" w:rsidR="005374E9" w:rsidRPr="00B64A74" w:rsidRDefault="005374E9" w:rsidP="002E317E">
            <w:pPr>
              <w:jc w:val="both"/>
              <w:rPr>
                <w:rFonts w:ascii="Verdana" w:eastAsia="Calibri" w:hAnsi="Verdana" w:cs="Arial"/>
                <w:b/>
                <w:bCs/>
                <w:lang w:eastAsia="es-ES"/>
              </w:rPr>
            </w:pPr>
            <w:r w:rsidRPr="00B64A74">
              <w:rPr>
                <w:rFonts w:ascii="Verdana" w:eastAsia="Calibri" w:hAnsi="Verdana" w:cs="Arial"/>
                <w:b/>
                <w:bCs/>
                <w:lang w:eastAsia="es-ES"/>
              </w:rPr>
              <w:t>Concepto C-</w:t>
            </w:r>
            <w:r>
              <w:rPr>
                <w:rFonts w:ascii="Verdana" w:eastAsia="Calibri" w:hAnsi="Verdana" w:cs="Arial"/>
                <w:b/>
                <w:bCs/>
                <w:lang w:eastAsia="es-ES"/>
              </w:rPr>
              <w:t>221</w:t>
            </w:r>
            <w:r w:rsidRPr="00B64A74">
              <w:rPr>
                <w:rFonts w:ascii="Verdana" w:eastAsia="Calibri" w:hAnsi="Verdana" w:cs="Arial"/>
                <w:b/>
                <w:bCs/>
                <w:lang w:eastAsia="es-ES"/>
              </w:rPr>
              <w:t xml:space="preserve"> de 2026</w:t>
            </w:r>
          </w:p>
          <w:p w14:paraId="3E8C4970" w14:textId="77777777" w:rsidR="005374E9" w:rsidRPr="00B64A74" w:rsidRDefault="005374E9" w:rsidP="002E317E">
            <w:pPr>
              <w:jc w:val="both"/>
              <w:rPr>
                <w:rFonts w:ascii="Verdana" w:eastAsia="Calibri" w:hAnsi="Verdana" w:cs="Arial"/>
                <w:b/>
                <w:bCs/>
                <w:color w:val="7030A0"/>
                <w:lang w:eastAsia="es-ES"/>
              </w:rPr>
            </w:pPr>
          </w:p>
        </w:tc>
      </w:tr>
      <w:tr w:rsidR="005374E9" w:rsidRPr="00B64A74" w14:paraId="071797A5" w14:textId="77777777" w:rsidTr="002E317E">
        <w:trPr>
          <w:trHeight w:val="884"/>
        </w:trPr>
        <w:tc>
          <w:tcPr>
            <w:tcW w:w="3119" w:type="dxa"/>
          </w:tcPr>
          <w:p w14:paraId="7FCA59E9" w14:textId="77777777" w:rsidR="005374E9" w:rsidRPr="00B64A74" w:rsidRDefault="005374E9" w:rsidP="002E317E">
            <w:pPr>
              <w:jc w:val="both"/>
              <w:rPr>
                <w:rFonts w:ascii="Verdana" w:eastAsia="Calibri" w:hAnsi="Verdana" w:cs="Arial"/>
                <w:color w:val="000000"/>
                <w:lang w:eastAsia="es-ES_tradnl"/>
              </w:rPr>
            </w:pPr>
            <w:r w:rsidRPr="00B64A74">
              <w:rPr>
                <w:rFonts w:ascii="Verdana" w:eastAsia="Calibri" w:hAnsi="Verdana" w:cs="Arial"/>
                <w:b/>
                <w:color w:val="000000"/>
                <w:lang w:eastAsia="es-ES_tradnl"/>
              </w:rPr>
              <w:t>Temas:</w:t>
            </w:r>
            <w:r w:rsidRPr="00B64A74">
              <w:rPr>
                <w:rFonts w:ascii="Verdana" w:eastAsia="Calibri" w:hAnsi="Verdana" w:cs="Arial"/>
                <w:color w:val="000000"/>
                <w:lang w:eastAsia="es-ES_tradnl"/>
              </w:rPr>
              <w:t xml:space="preserve">                   </w:t>
            </w:r>
          </w:p>
        </w:tc>
        <w:tc>
          <w:tcPr>
            <w:tcW w:w="5670" w:type="dxa"/>
          </w:tcPr>
          <w:p w14:paraId="10E838BB" w14:textId="77777777" w:rsidR="005374E9" w:rsidRDefault="005374E9" w:rsidP="002E317E">
            <w:pPr>
              <w:jc w:val="both"/>
              <w:rPr>
                <w:rFonts w:ascii="Verdana" w:hAnsi="Verdana" w:cs="Arial"/>
                <w:color w:val="000000" w:themeColor="text1"/>
              </w:rPr>
            </w:pPr>
            <w:r w:rsidRPr="0023577C">
              <w:rPr>
                <w:rFonts w:ascii="Verdana" w:eastAsia="Calibri" w:hAnsi="Verdana" w:cs="Arial"/>
                <w:bCs/>
              </w:rPr>
              <w:t xml:space="preserve">AGENCIA NACIONAL DE CONTRATACIÓN PÚBLICA – Conceptos – Alcance – Competencia Consultiva </w:t>
            </w:r>
            <w:r>
              <w:rPr>
                <w:rFonts w:ascii="Verdana" w:eastAsia="Calibri" w:hAnsi="Verdana" w:cs="Arial"/>
                <w:bCs/>
              </w:rPr>
              <w:t>/</w:t>
            </w:r>
            <w:r w:rsidRPr="0023577C">
              <w:rPr>
                <w:rFonts w:ascii="Verdana" w:eastAsia="Calibri" w:hAnsi="Verdana" w:cs="Arial"/>
                <w:bCs/>
              </w:rPr>
              <w:t xml:space="preserve"> </w:t>
            </w:r>
            <w:r>
              <w:rPr>
                <w:rFonts w:ascii="Verdana" w:eastAsia="Calibri" w:hAnsi="Verdana" w:cs="Arial"/>
                <w:bCs/>
              </w:rPr>
              <w:t xml:space="preserve">CONCEPTOS DE LA AGENCIA NACIONAL DE CONTRATACIÓN PÚBLICA - </w:t>
            </w:r>
            <w:r w:rsidRPr="0023577C">
              <w:rPr>
                <w:rFonts w:ascii="Verdana" w:eastAsia="Calibri" w:hAnsi="Verdana" w:cs="Arial"/>
                <w:bCs/>
              </w:rPr>
              <w:t>Obligatoriedad – Vinculatoriedad</w:t>
            </w:r>
            <w:r>
              <w:rPr>
                <w:rFonts w:ascii="Verdana" w:eastAsia="Calibri" w:hAnsi="Verdana" w:cs="Arial"/>
                <w:bCs/>
              </w:rPr>
              <w:t xml:space="preserve"> / </w:t>
            </w:r>
            <w:r w:rsidRPr="00937FB6">
              <w:rPr>
                <w:rFonts w:ascii="Verdana" w:hAnsi="Verdana" w:cs="Arial"/>
                <w:color w:val="000000" w:themeColor="text1"/>
              </w:rPr>
              <w:t>LEY DE GARANTÍAS ELECTORALES – Propósito /LEY DE GARANTÍAS ELECTORALES – Prohibiciones – Restricciones / LEY DE GARANTÍAS ELECTORALES – Artículo 33 – Ámbito material / LEY DE GARANTÍAS ELECTORALES – Destinatarios / LEY DE GARANTÍAS ELECTORALES – Excepciones / ley de garantías electorales – Parágrafo del artículo 38 - Alcance / LEY DE GARANTÍAS ELECTORALES – Convenios interadministrativos – Contratos interadministrativos / CONSEJO DE ESTADO posición /</w:t>
            </w:r>
            <w:r w:rsidRPr="00937FB6">
              <w:rPr>
                <w:rFonts w:ascii="Verdana" w:hAnsi="Verdana"/>
                <w:color w:val="000000" w:themeColor="text1"/>
              </w:rPr>
              <w:t xml:space="preserve"> LEY DE GARANTÍAS ELECTORALES -</w:t>
            </w:r>
            <w:r w:rsidRPr="00937FB6">
              <w:rPr>
                <w:color w:val="000000" w:themeColor="text1"/>
              </w:rPr>
              <w:t xml:space="preserve"> </w:t>
            </w:r>
            <w:r w:rsidRPr="00937FB6">
              <w:rPr>
                <w:rFonts w:ascii="Verdana" w:eastAsia="Calibri" w:hAnsi="Verdana" w:cs="Arial"/>
                <w:lang w:val="es-ES" w:eastAsia="es-ES"/>
              </w:rPr>
              <w:t xml:space="preserve">Excepción - Contratación </w:t>
            </w:r>
            <w:r w:rsidRPr="00937FB6">
              <w:rPr>
                <w:rFonts w:ascii="Verdana" w:hAnsi="Verdana" w:cs="Arial"/>
                <w:bCs/>
                <w:color w:val="000000" w:themeColor="text1"/>
              </w:rPr>
              <w:t>por parte de entidades sanitarias y hospitalaria</w:t>
            </w:r>
            <w:r w:rsidRPr="00937FB6">
              <w:rPr>
                <w:color w:val="000000" w:themeColor="text1"/>
              </w:rPr>
              <w:t xml:space="preserve"> </w:t>
            </w:r>
            <w:r w:rsidRPr="00A8634B">
              <w:rPr>
                <w:rFonts w:ascii="Verdana" w:hAnsi="Verdana"/>
                <w:color w:val="000000" w:themeColor="text1"/>
              </w:rPr>
              <w:t xml:space="preserve">/ PROCESOS DE SELECCIÓN – Aplicación del artículo 2 de la Ley 1150 de 2007 / CONTRATACIÓN DIRECTA – Excepción </w:t>
            </w:r>
            <w:r>
              <w:rPr>
                <w:rFonts w:ascii="Verdana" w:hAnsi="Verdana"/>
                <w:color w:val="000000" w:themeColor="text1"/>
              </w:rPr>
              <w:t xml:space="preserve">– Alcance – URGENCIA MANIFIESTA – Alcance / URGENCIA MANIFIESTA – Procedimiento / LEY 1523 DE 2012 – Declaratoria de desastre o calamidad pública </w:t>
            </w:r>
            <w:r w:rsidRPr="00A8634B">
              <w:rPr>
                <w:rFonts w:ascii="Verdana" w:hAnsi="Verdana"/>
                <w:color w:val="000000" w:themeColor="text1"/>
              </w:rPr>
              <w:t xml:space="preserve"> </w:t>
            </w:r>
            <w:r w:rsidRPr="00A8634B">
              <w:rPr>
                <w:rFonts w:ascii="Verdana" w:hAnsi="Verdana" w:cs="Arial"/>
                <w:color w:val="000000" w:themeColor="text1"/>
              </w:rPr>
              <w:t xml:space="preserve">  </w:t>
            </w:r>
          </w:p>
          <w:p w14:paraId="37D525CA" w14:textId="77777777" w:rsidR="005374E9" w:rsidRPr="00883DFB" w:rsidRDefault="005374E9" w:rsidP="002E317E">
            <w:pPr>
              <w:jc w:val="both"/>
              <w:rPr>
                <w:rFonts w:ascii="Verdana" w:eastAsia="Calibri" w:hAnsi="Verdana" w:cs="Arial"/>
                <w:lang w:val="es-ES" w:eastAsia="es-ES"/>
              </w:rPr>
            </w:pPr>
          </w:p>
        </w:tc>
      </w:tr>
      <w:tr w:rsidR="005374E9" w:rsidRPr="00B64A74" w14:paraId="716B45C3" w14:textId="77777777" w:rsidTr="002E317E">
        <w:tc>
          <w:tcPr>
            <w:tcW w:w="3119" w:type="dxa"/>
          </w:tcPr>
          <w:p w14:paraId="2F213F94" w14:textId="77777777" w:rsidR="005374E9" w:rsidRPr="00B64A74" w:rsidRDefault="005374E9" w:rsidP="002E317E">
            <w:pPr>
              <w:jc w:val="both"/>
              <w:rPr>
                <w:rFonts w:ascii="Verdana" w:eastAsia="Calibri" w:hAnsi="Verdana" w:cs="Arial"/>
                <w:b/>
                <w:lang w:eastAsia="es-ES_tradnl"/>
              </w:rPr>
            </w:pPr>
            <w:r w:rsidRPr="00B64A74">
              <w:rPr>
                <w:rFonts w:ascii="Verdana" w:eastAsia="Calibri" w:hAnsi="Verdana" w:cs="Arial"/>
                <w:b/>
                <w:lang w:eastAsia="es-ES_tradnl"/>
              </w:rPr>
              <w:t>Radicación:</w:t>
            </w:r>
            <w:r w:rsidRPr="00B64A74">
              <w:rPr>
                <w:rFonts w:ascii="Verdana" w:eastAsia="Calibri" w:hAnsi="Verdana" w:cs="Arial"/>
                <w:lang w:eastAsia="es-ES_tradnl"/>
              </w:rPr>
              <w:t xml:space="preserve">               </w:t>
            </w:r>
          </w:p>
        </w:tc>
        <w:tc>
          <w:tcPr>
            <w:tcW w:w="5670" w:type="dxa"/>
          </w:tcPr>
          <w:p w14:paraId="2990D1CE" w14:textId="77777777" w:rsidR="005374E9" w:rsidRDefault="005374E9" w:rsidP="002E317E">
            <w:pPr>
              <w:jc w:val="both"/>
              <w:rPr>
                <w:rFonts w:ascii="Verdana" w:eastAsia="Calibri" w:hAnsi="Verdana" w:cs="Arial"/>
                <w:lang w:eastAsia="es-ES_tradnl"/>
              </w:rPr>
            </w:pPr>
            <w:r w:rsidRPr="00B64A74">
              <w:rPr>
                <w:rFonts w:ascii="Verdana" w:eastAsia="Calibri" w:hAnsi="Verdana" w:cs="Arial"/>
                <w:lang w:eastAsia="es-ES_tradnl"/>
              </w:rPr>
              <w:t xml:space="preserve">Respuesta a consulta con radicado </w:t>
            </w:r>
            <w:r w:rsidRPr="00003BCB">
              <w:rPr>
                <w:rFonts w:ascii="Verdana" w:eastAsia="Calibri" w:hAnsi="Verdana" w:cs="Arial"/>
                <w:lang w:eastAsia="es-ES_tradnl"/>
              </w:rPr>
              <w:t>1_2026_02_16_002000</w:t>
            </w:r>
            <w:r>
              <w:rPr>
                <w:rFonts w:ascii="Verdana" w:eastAsia="Calibri" w:hAnsi="Verdana" w:cs="Arial"/>
                <w:lang w:eastAsia="es-ES_tradnl"/>
              </w:rPr>
              <w:t xml:space="preserve">, </w:t>
            </w:r>
            <w:r w:rsidRPr="00003BCB">
              <w:rPr>
                <w:rFonts w:ascii="Verdana" w:eastAsia="Calibri" w:hAnsi="Verdana" w:cs="Arial"/>
                <w:lang w:eastAsia="es-ES_tradnl"/>
              </w:rPr>
              <w:t>1_2026_02_16_002002</w:t>
            </w:r>
            <w:r>
              <w:rPr>
                <w:rFonts w:ascii="Verdana" w:eastAsia="Calibri" w:hAnsi="Verdana" w:cs="Arial"/>
                <w:lang w:eastAsia="es-ES_tradnl"/>
              </w:rPr>
              <w:t xml:space="preserve"> y </w:t>
            </w:r>
            <w:r w:rsidRPr="00DB4F12">
              <w:rPr>
                <w:rFonts w:ascii="Verdana" w:eastAsia="Calibri" w:hAnsi="Verdana" w:cs="Arial"/>
                <w:lang w:eastAsia="es-ES_tradnl"/>
              </w:rPr>
              <w:t>1_2026_03_10_003297</w:t>
            </w:r>
            <w:r>
              <w:rPr>
                <w:rFonts w:ascii="Verdana" w:eastAsia="Calibri" w:hAnsi="Verdana" w:cs="Arial"/>
                <w:lang w:eastAsia="es-ES_tradnl"/>
              </w:rPr>
              <w:t xml:space="preserve"> (acumuladas)</w:t>
            </w:r>
          </w:p>
          <w:p w14:paraId="33CD98CA" w14:textId="77777777" w:rsidR="005374E9" w:rsidRPr="00B64A74" w:rsidRDefault="005374E9" w:rsidP="002E317E">
            <w:pPr>
              <w:jc w:val="both"/>
              <w:rPr>
                <w:rFonts w:ascii="Verdana" w:eastAsia="Calibri" w:hAnsi="Verdana" w:cs="Arial"/>
                <w:lang w:eastAsia="es-ES_tradnl"/>
              </w:rPr>
            </w:pPr>
          </w:p>
        </w:tc>
      </w:tr>
    </w:tbl>
    <w:p w14:paraId="3B603583" w14:textId="77777777" w:rsidR="005374E9" w:rsidRPr="00B64A74" w:rsidRDefault="005374E9" w:rsidP="005374E9">
      <w:pPr>
        <w:spacing w:after="0" w:line="276" w:lineRule="auto"/>
        <w:jc w:val="both"/>
        <w:rPr>
          <w:rFonts w:ascii="Verdana" w:eastAsia="Calibri" w:hAnsi="Verdana" w:cs="Arial"/>
          <w:lang w:eastAsia="es-ES_tradnl"/>
        </w:rPr>
      </w:pPr>
    </w:p>
    <w:p w14:paraId="74F1BD2D" w14:textId="77777777" w:rsidR="005374E9" w:rsidRPr="00B64A74" w:rsidRDefault="005374E9" w:rsidP="005374E9">
      <w:pPr>
        <w:spacing w:after="0" w:line="276" w:lineRule="auto"/>
        <w:jc w:val="both"/>
        <w:rPr>
          <w:rFonts w:ascii="Verdana" w:eastAsia="Calibri" w:hAnsi="Verdana" w:cs="Arial"/>
          <w:lang w:eastAsia="es-ES"/>
        </w:rPr>
      </w:pPr>
      <w:r w:rsidRPr="00B64A74">
        <w:rPr>
          <w:rFonts w:ascii="Verdana" w:eastAsia="Calibri" w:hAnsi="Verdana" w:cs="Arial"/>
          <w:lang w:eastAsia="es-ES"/>
        </w:rPr>
        <w:t>Estimad</w:t>
      </w:r>
      <w:r>
        <w:rPr>
          <w:rFonts w:ascii="Verdana" w:eastAsia="Calibri" w:hAnsi="Verdana" w:cs="Arial"/>
          <w:lang w:eastAsia="es-ES"/>
        </w:rPr>
        <w:t>o señor Nova</w:t>
      </w:r>
      <w:r w:rsidRPr="00B64A74">
        <w:rPr>
          <w:rFonts w:ascii="Verdana" w:eastAsia="Calibri" w:hAnsi="Verdana" w:cs="Arial"/>
          <w:lang w:eastAsia="es-ES"/>
        </w:rPr>
        <w:t xml:space="preserve">: </w:t>
      </w:r>
    </w:p>
    <w:p w14:paraId="78F35856" w14:textId="77777777" w:rsidR="005374E9" w:rsidRPr="00B64A74" w:rsidRDefault="005374E9" w:rsidP="005374E9">
      <w:pPr>
        <w:spacing w:after="0"/>
        <w:jc w:val="both"/>
        <w:rPr>
          <w:rFonts w:ascii="Verdana" w:hAnsi="Verdana"/>
        </w:rPr>
      </w:pPr>
    </w:p>
    <w:p w14:paraId="2A90D826" w14:textId="77777777" w:rsidR="005374E9" w:rsidRPr="00B64A74" w:rsidRDefault="005374E9" w:rsidP="005374E9">
      <w:pPr>
        <w:spacing w:after="120" w:line="276" w:lineRule="auto"/>
        <w:jc w:val="both"/>
        <w:rPr>
          <w:rFonts w:ascii="Verdana" w:hAnsi="Verdana"/>
        </w:rPr>
      </w:pPr>
      <w:r w:rsidRPr="00B64A74">
        <w:rPr>
          <w:rFonts w:ascii="Verdana" w:hAnsi="Verdana"/>
        </w:rPr>
        <w:t xml:space="preserve">La Agencia Nacional de Contratación Pública – Colombia Compra Eficiente –, en ejercicio de las competencias otorgadas </w:t>
      </w:r>
      <w:r w:rsidRPr="00B64A74">
        <w:rPr>
          <w:rFonts w:ascii="Verdana" w:eastAsia="Calibri" w:hAnsi="Verdana" w:cs="Arial"/>
          <w:lang w:eastAsia="es-ES"/>
        </w:rPr>
        <w:t>por los artículos 3, numeral 5º, y 11, numeral 8º, del Decreto Ley 4170 de 2011,</w:t>
      </w:r>
      <w:r w:rsidRPr="00B64A74">
        <w:rPr>
          <w:rFonts w:ascii="Verdana" w:hAnsi="Verdana" w:cs="Arial"/>
        </w:rPr>
        <w:t xml:space="preserve"> así como lo establecido en el artículo 4 de la Resolución 1707 de 2018 expedida por esta Entidad</w:t>
      </w:r>
      <w:r w:rsidRPr="00B64A74">
        <w:rPr>
          <w:rFonts w:ascii="Verdana" w:hAnsi="Verdana"/>
        </w:rPr>
        <w:t xml:space="preserve"> y, de conformidad con las modalidades del derecho de petición contempladas en la Ley 1755 de 2015 y en la resolución </w:t>
      </w:r>
      <w:r w:rsidRPr="00B64A74">
        <w:rPr>
          <w:rFonts w:ascii="Verdana" w:eastAsia="Times New Roman" w:hAnsi="Verdana" w:cs="Segoe UI"/>
          <w:lang w:eastAsia="es-CO"/>
        </w:rPr>
        <w:t xml:space="preserve">N° 469 del 2025 </w:t>
      </w:r>
      <w:r w:rsidRPr="00B64A74">
        <w:rPr>
          <w:rFonts w:ascii="Verdana" w:hAnsi="Verdana"/>
        </w:rPr>
        <w:t xml:space="preserve">expedida por esta Agencia, </w:t>
      </w:r>
      <w:r w:rsidRPr="00B64A74">
        <w:rPr>
          <w:rFonts w:ascii="Verdana" w:eastAsia="Calibri" w:hAnsi="Verdana" w:cs="Arial"/>
          <w:lang w:eastAsia="es-ES"/>
        </w:rPr>
        <w:t xml:space="preserve">responde su solicitud de consulta de fecha </w:t>
      </w:r>
      <w:r>
        <w:rPr>
          <w:rFonts w:ascii="Verdana" w:eastAsia="Calibri" w:hAnsi="Verdana" w:cs="Arial"/>
          <w:lang w:eastAsia="es-ES"/>
        </w:rPr>
        <w:t>1</w:t>
      </w:r>
      <w:r w:rsidRPr="00B64A74">
        <w:rPr>
          <w:rFonts w:ascii="Verdana" w:eastAsia="Calibri" w:hAnsi="Verdana" w:cs="Arial"/>
          <w:lang w:eastAsia="es-ES"/>
        </w:rPr>
        <w:t>6 de febrero de 2026, en la cual manifiesta lo siguiente:</w:t>
      </w:r>
    </w:p>
    <w:p w14:paraId="11C0FBDB" w14:textId="77777777" w:rsidR="005374E9" w:rsidRPr="00B64A74" w:rsidRDefault="005374E9" w:rsidP="005374E9">
      <w:pPr>
        <w:spacing w:after="0"/>
        <w:jc w:val="both"/>
        <w:rPr>
          <w:rFonts w:ascii="Verdana" w:hAnsi="Verdana"/>
        </w:rPr>
      </w:pPr>
      <w:r w:rsidRPr="00B64A74">
        <w:rPr>
          <w:rFonts w:ascii="Verdana" w:hAnsi="Verdana"/>
        </w:rPr>
        <w:t xml:space="preserve">PETICIÓN REALIZADA </w:t>
      </w:r>
    </w:p>
    <w:p w14:paraId="338AB010" w14:textId="77777777" w:rsidR="005374E9" w:rsidRPr="00B64A74" w:rsidRDefault="005374E9" w:rsidP="005374E9">
      <w:pPr>
        <w:spacing w:after="0" w:line="240" w:lineRule="auto"/>
        <w:jc w:val="both"/>
        <w:rPr>
          <w:rFonts w:ascii="Verdana" w:hAnsi="Verdana"/>
        </w:rPr>
      </w:pPr>
    </w:p>
    <w:p w14:paraId="6A9135CB" w14:textId="77777777" w:rsidR="005374E9" w:rsidRPr="00003BCB" w:rsidRDefault="005374E9" w:rsidP="005374E9">
      <w:pPr>
        <w:spacing w:after="0" w:line="240" w:lineRule="auto"/>
        <w:ind w:left="567" w:right="616"/>
        <w:jc w:val="both"/>
        <w:rPr>
          <w:rFonts w:ascii="Verdana" w:hAnsi="Verdana"/>
          <w:sz w:val="20"/>
          <w:szCs w:val="20"/>
        </w:rPr>
      </w:pPr>
      <w:r w:rsidRPr="00B64A74">
        <w:rPr>
          <w:rFonts w:ascii="Verdana" w:hAnsi="Verdana"/>
          <w:sz w:val="20"/>
          <w:szCs w:val="20"/>
        </w:rPr>
        <w:t xml:space="preserve">“(…) </w:t>
      </w:r>
      <w:r w:rsidRPr="00003BCB">
        <w:rPr>
          <w:rFonts w:ascii="Verdana" w:hAnsi="Verdana"/>
          <w:sz w:val="20"/>
          <w:szCs w:val="20"/>
          <w:lang w:val="es-MX"/>
        </w:rPr>
        <w:t>Solicito de manera respetuosa, se amplíe el concepto de excepción a la Ley de Garantías Electorales para Entidades hospitalarias, especialmente bajo la siguiente casuística;</w:t>
      </w:r>
    </w:p>
    <w:p w14:paraId="5FC9A0BC" w14:textId="77777777" w:rsidR="005374E9" w:rsidRPr="00003BCB" w:rsidRDefault="005374E9" w:rsidP="005374E9">
      <w:pPr>
        <w:spacing w:after="0" w:line="240" w:lineRule="auto"/>
        <w:ind w:left="567" w:right="616"/>
        <w:jc w:val="both"/>
        <w:rPr>
          <w:rFonts w:ascii="Verdana" w:hAnsi="Verdana"/>
          <w:sz w:val="20"/>
          <w:szCs w:val="20"/>
        </w:rPr>
      </w:pPr>
      <w:r w:rsidRPr="00003BCB">
        <w:rPr>
          <w:rFonts w:ascii="Verdana" w:hAnsi="Verdana"/>
          <w:sz w:val="20"/>
          <w:szCs w:val="20"/>
          <w:lang w:val="es-MX"/>
        </w:rPr>
        <w:t> </w:t>
      </w:r>
    </w:p>
    <w:p w14:paraId="55282D07" w14:textId="77777777" w:rsidR="005374E9" w:rsidRDefault="005374E9" w:rsidP="005374E9">
      <w:pPr>
        <w:pStyle w:val="Prrafodelista"/>
        <w:numPr>
          <w:ilvl w:val="0"/>
          <w:numId w:val="18"/>
        </w:numPr>
        <w:spacing w:after="0" w:line="240" w:lineRule="auto"/>
        <w:ind w:right="616"/>
        <w:jc w:val="both"/>
        <w:rPr>
          <w:rFonts w:ascii="Verdana" w:hAnsi="Verdana"/>
          <w:sz w:val="20"/>
          <w:szCs w:val="20"/>
        </w:rPr>
      </w:pPr>
      <w:r w:rsidRPr="00003BCB">
        <w:rPr>
          <w:rFonts w:ascii="Verdana" w:hAnsi="Verdana"/>
          <w:sz w:val="20"/>
          <w:szCs w:val="20"/>
          <w:lang w:val="es-MX"/>
        </w:rPr>
        <w:t>Una entidad del orden nacional o un </w:t>
      </w:r>
      <w:r w:rsidRPr="00003BCB">
        <w:rPr>
          <w:rFonts w:ascii="Verdana" w:hAnsi="Verdana"/>
          <w:sz w:val="20"/>
          <w:szCs w:val="20"/>
        </w:rPr>
        <w:t>Instituto Científico y Técnico opera como contratista de una Entidad Hospitalaria de naturaleza pública, el contratante utiliza la modalidad de contratación directa acorde a su manual de contratación, ¿el contratista también entidad de naturaleza pública estaría impedido para ser proveedor de bienes o servicios bajo entendido de que su contratación es bajo la modalidad directa?</w:t>
      </w:r>
    </w:p>
    <w:p w14:paraId="0154527E" w14:textId="77777777" w:rsidR="005374E9" w:rsidRDefault="005374E9" w:rsidP="005374E9">
      <w:pPr>
        <w:pStyle w:val="Prrafodelista"/>
        <w:numPr>
          <w:ilvl w:val="0"/>
          <w:numId w:val="18"/>
        </w:numPr>
        <w:spacing w:after="0" w:line="240" w:lineRule="auto"/>
        <w:ind w:right="616"/>
        <w:jc w:val="both"/>
        <w:rPr>
          <w:rFonts w:ascii="Verdana" w:hAnsi="Verdana"/>
          <w:sz w:val="20"/>
          <w:szCs w:val="20"/>
        </w:rPr>
      </w:pPr>
      <w:r w:rsidRPr="00003BCB">
        <w:rPr>
          <w:rFonts w:ascii="Verdana" w:hAnsi="Verdana"/>
          <w:sz w:val="20"/>
          <w:szCs w:val="20"/>
        </w:rPr>
        <w:t>En el marco de una Urgencia Manifiesta decretada por Entidad Pública, se podría acudir a la modalidad de contratación directa sin transgredir la ley de garantías electorales, en procura de un interés superior?</w:t>
      </w:r>
    </w:p>
    <w:p w14:paraId="1AED634C" w14:textId="77777777" w:rsidR="005374E9" w:rsidRDefault="005374E9" w:rsidP="005374E9">
      <w:pPr>
        <w:pStyle w:val="Prrafodelista"/>
        <w:numPr>
          <w:ilvl w:val="0"/>
          <w:numId w:val="18"/>
        </w:numPr>
        <w:spacing w:after="0" w:line="240" w:lineRule="auto"/>
        <w:ind w:right="616"/>
        <w:jc w:val="both"/>
        <w:rPr>
          <w:rFonts w:ascii="Verdana" w:hAnsi="Verdana"/>
          <w:sz w:val="20"/>
          <w:szCs w:val="20"/>
        </w:rPr>
      </w:pPr>
      <w:r w:rsidRPr="00003BCB">
        <w:rPr>
          <w:rFonts w:ascii="Verdana" w:hAnsi="Verdana"/>
          <w:sz w:val="20"/>
          <w:szCs w:val="20"/>
        </w:rPr>
        <w:t>En el marco de una Urgencia Manifiesta decretada por Entidad Pública, otra Entidad Pública (distinta a la que decreta la Urgencia) puede fungir como contratista de la Entidad que decreta la emergencia sin transgredir la ley de garantías electorales?</w:t>
      </w:r>
    </w:p>
    <w:p w14:paraId="200724F1" w14:textId="77777777" w:rsidR="005374E9" w:rsidRPr="00003BCB" w:rsidRDefault="005374E9" w:rsidP="005374E9">
      <w:pPr>
        <w:pStyle w:val="Prrafodelista"/>
        <w:numPr>
          <w:ilvl w:val="0"/>
          <w:numId w:val="18"/>
        </w:numPr>
        <w:spacing w:after="0" w:line="240" w:lineRule="auto"/>
        <w:ind w:right="616"/>
        <w:jc w:val="both"/>
        <w:rPr>
          <w:rFonts w:ascii="Verdana" w:hAnsi="Verdana"/>
          <w:sz w:val="20"/>
          <w:szCs w:val="20"/>
        </w:rPr>
      </w:pPr>
      <w:r w:rsidRPr="00003BCB">
        <w:rPr>
          <w:rFonts w:ascii="Verdana" w:hAnsi="Verdana"/>
          <w:sz w:val="20"/>
          <w:szCs w:val="20"/>
        </w:rPr>
        <w:t>La Ley de Garantías Electorales, también se debe aplicar a la Entidad Pública cuando es contratista (proveedor), o solo aplica cuando es contratante de bienes y servicios?</w:t>
      </w:r>
      <w:r>
        <w:rPr>
          <w:rFonts w:ascii="Verdana" w:hAnsi="Verdana"/>
          <w:sz w:val="20"/>
          <w:szCs w:val="20"/>
        </w:rPr>
        <w:t xml:space="preserve"> </w:t>
      </w:r>
      <w:r w:rsidRPr="00003BCB">
        <w:rPr>
          <w:rFonts w:ascii="Verdana" w:hAnsi="Verdana"/>
          <w:sz w:val="20"/>
          <w:szCs w:val="20"/>
        </w:rPr>
        <w:t>(…)”.</w:t>
      </w:r>
    </w:p>
    <w:p w14:paraId="4D20F7B8" w14:textId="77777777" w:rsidR="005374E9" w:rsidRPr="00B64A74" w:rsidRDefault="005374E9" w:rsidP="005374E9">
      <w:pPr>
        <w:spacing w:after="0" w:line="240" w:lineRule="auto"/>
        <w:ind w:left="567" w:right="758"/>
        <w:jc w:val="both"/>
        <w:rPr>
          <w:rFonts w:ascii="Verdana" w:hAnsi="Verdana"/>
          <w:sz w:val="20"/>
          <w:szCs w:val="20"/>
        </w:rPr>
      </w:pPr>
    </w:p>
    <w:p w14:paraId="04CC3EF4" w14:textId="77777777" w:rsidR="005374E9" w:rsidRPr="00B64A74" w:rsidRDefault="005374E9" w:rsidP="005374E9">
      <w:pPr>
        <w:spacing w:after="120" w:line="276" w:lineRule="auto"/>
        <w:ind w:firstLine="709"/>
        <w:jc w:val="both"/>
        <w:rPr>
          <w:rFonts w:ascii="Verdana" w:eastAsia="Calibri" w:hAnsi="Verdana" w:cs="Arial"/>
          <w:color w:val="000000"/>
          <w:szCs w:val="24"/>
          <w:lang w:eastAsia="es-ES_tradnl"/>
        </w:rPr>
      </w:pPr>
      <w:r w:rsidRPr="00B64A7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B64A74">
        <w:rPr>
          <w:rFonts w:ascii="Verdana" w:eastAsia="Calibri" w:hAnsi="Verdana" w:cs="Arial"/>
          <w:color w:val="000000"/>
          <w:lang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A97BE0E" w14:textId="77777777" w:rsidR="005374E9" w:rsidRPr="00B64A74" w:rsidRDefault="005374E9" w:rsidP="005374E9">
      <w:pPr>
        <w:spacing w:after="120" w:line="276" w:lineRule="auto"/>
        <w:ind w:firstLine="709"/>
        <w:jc w:val="both"/>
        <w:rPr>
          <w:rFonts w:ascii="Verdana" w:eastAsia="Calibri" w:hAnsi="Verdana" w:cs="Arial"/>
          <w:lang w:eastAsia="es-ES"/>
        </w:rPr>
      </w:pPr>
      <w:r w:rsidRPr="00B64A74">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w:t>
      </w:r>
      <w:r w:rsidRPr="008C07F6">
        <w:rPr>
          <w:rFonts w:ascii="Verdana" w:eastAsia="Calibri" w:hAnsi="Verdana" w:cs="Arial"/>
          <w:color w:val="000000"/>
          <w:lang w:eastAsia="es-ES"/>
        </w:rPr>
        <w:t>generales relacionadas a los problemas jurídicos de su consulta.</w:t>
      </w:r>
      <w:r w:rsidRPr="00B64A74">
        <w:rPr>
          <w:rFonts w:ascii="Verdana" w:eastAsia="Calibri" w:hAnsi="Verdana" w:cs="Arial"/>
          <w:lang w:eastAsia="es-ES"/>
        </w:rPr>
        <w:t xml:space="preserve">  </w:t>
      </w:r>
    </w:p>
    <w:p w14:paraId="1A62E765" w14:textId="77777777" w:rsidR="005374E9" w:rsidRPr="00B64A74" w:rsidRDefault="005374E9" w:rsidP="005374E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B64A74">
        <w:rPr>
          <w:rFonts w:ascii="Verdana" w:eastAsia="Century Gothic" w:hAnsi="Verdana" w:cs="Century Gothic"/>
          <w:b/>
          <w:bCs/>
          <w:lang w:val="es-CO"/>
        </w:rPr>
        <w:t>Problema planteado:</w:t>
      </w:r>
    </w:p>
    <w:p w14:paraId="5F53CC08" w14:textId="77777777" w:rsidR="005374E9" w:rsidRPr="00B64A74" w:rsidRDefault="005374E9" w:rsidP="005374E9">
      <w:pPr>
        <w:pStyle w:val="Prrafodelista"/>
        <w:tabs>
          <w:tab w:val="left" w:pos="142"/>
          <w:tab w:val="left" w:pos="284"/>
        </w:tabs>
        <w:spacing w:after="0" w:line="240" w:lineRule="auto"/>
        <w:ind w:left="0"/>
        <w:contextualSpacing w:val="0"/>
        <w:jc w:val="both"/>
        <w:rPr>
          <w:rFonts w:ascii="Verdana" w:eastAsia="Century Gothic" w:hAnsi="Verdana" w:cs="Century Gothic"/>
          <w:b/>
          <w:bCs/>
          <w:lang w:val="es-CO"/>
        </w:rPr>
      </w:pPr>
    </w:p>
    <w:p w14:paraId="2CC72D8B" w14:textId="77777777" w:rsidR="005374E9" w:rsidRDefault="005374E9" w:rsidP="005374E9">
      <w:pPr>
        <w:spacing w:after="120" w:line="276" w:lineRule="auto"/>
        <w:jc w:val="both"/>
        <w:rPr>
          <w:rFonts w:ascii="Verdana" w:eastAsia="Century Gothic" w:hAnsi="Verdana" w:cs="Century Gothic"/>
        </w:rPr>
      </w:pPr>
      <w:r w:rsidRPr="00126A1C">
        <w:rPr>
          <w:rFonts w:ascii="Verdana" w:eastAsia="Calibri" w:hAnsi="Verdana" w:cs="Arial"/>
          <w:color w:val="000000"/>
          <w:lang w:eastAsia="es-ES"/>
        </w:rPr>
        <w:t xml:space="preserve">De acuerdo con el contenido de su solicitud, esta Agencia resolverá los siguientes problemas jurídicos: </w:t>
      </w:r>
      <w:r w:rsidRPr="00126A1C">
        <w:rPr>
          <w:rFonts w:ascii="Verdana" w:eastAsia="Century Gothic" w:hAnsi="Verdana" w:cs="Century Gothic"/>
        </w:rPr>
        <w:t>i) ¿cuál es el alcance de los conceptos emitidos por la Agencia Nacional de Contratación Pública Colombia Compra Eficiente? ii) Bajo la aplicación de la ley de garantías electorales ¿una entidad pública que actúa como contratista de una Empresa Social del Estado estaría impedido para ser proveedor de bienes o servicios</w:t>
      </w:r>
      <w:r>
        <w:rPr>
          <w:rFonts w:ascii="Verdana" w:eastAsia="Century Gothic" w:hAnsi="Verdana" w:cs="Century Gothic"/>
        </w:rPr>
        <w:t xml:space="preserve"> teniendo en consideración que la modalidad de selección es la contratación directa? iii) Decretada la urgencia manifiesta, ¿las entidades públicas podrían acudir a la contratación directa sin transgredir la Ley de garantías electorales y así mismo las entidades públicas pueden ser contratistas con ocasión de dicha urgencia manifiesta?  </w:t>
      </w:r>
    </w:p>
    <w:p w14:paraId="702AF0C7" w14:textId="77777777" w:rsidR="005374E9" w:rsidRPr="00B64A74" w:rsidRDefault="005374E9" w:rsidP="005374E9">
      <w:pPr>
        <w:spacing w:after="120" w:line="276" w:lineRule="auto"/>
        <w:jc w:val="both"/>
        <w:rPr>
          <w:rFonts w:ascii="Verdana" w:eastAsia="Century Gothic" w:hAnsi="Verdana" w:cs="Century Gothic"/>
          <w:b/>
          <w:bCs/>
        </w:rPr>
      </w:pPr>
      <w:r w:rsidRPr="00B64A74">
        <w:rPr>
          <w:rFonts w:ascii="Verdana" w:eastAsia="Century Gothic" w:hAnsi="Verdana" w:cs="Century Gothic"/>
          <w:b/>
          <w:bCs/>
        </w:rPr>
        <w:t>2. Respuesta:</w:t>
      </w:r>
    </w:p>
    <w:p w14:paraId="3A6406D7" w14:textId="77777777" w:rsidR="005374E9" w:rsidRPr="00B64A74" w:rsidRDefault="005374E9" w:rsidP="005374E9">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5374E9" w:rsidRPr="00B64A74" w14:paraId="133FF252" w14:textId="77777777" w:rsidTr="002E317E">
        <w:tc>
          <w:tcPr>
            <w:tcW w:w="8828" w:type="dxa"/>
          </w:tcPr>
          <w:p w14:paraId="2A674C62" w14:textId="77777777" w:rsidR="005374E9" w:rsidRDefault="005374E9" w:rsidP="002E317E">
            <w:pPr>
              <w:spacing w:after="120" w:line="276" w:lineRule="auto"/>
              <w:jc w:val="both"/>
              <w:rPr>
                <w:rFonts w:ascii="Verdana" w:eastAsiaTheme="minorEastAsia" w:hAnsi="Verdana" w:cs="Arial"/>
                <w:lang w:eastAsia="es-CO"/>
              </w:rPr>
            </w:pPr>
            <w:r>
              <w:rPr>
                <w:rFonts w:ascii="Verdana" w:eastAsia="Calibri" w:hAnsi="Verdana" w:cs="Arial"/>
                <w:lang w:eastAsia="es-ES"/>
              </w:rPr>
              <w:t>i) D</w:t>
            </w:r>
            <w:r w:rsidRPr="00CF54DC">
              <w:rPr>
                <w:rFonts w:ascii="Verdana" w:eastAsiaTheme="minorEastAsia" w:hAnsi="Verdana" w:cs="Arial"/>
                <w:lang w:eastAsia="es-CO"/>
              </w:rPr>
              <w:t xml:space="preserve">e acuerdo con lo establecido en los artículos 3.5 y 11.8 </w:t>
            </w:r>
            <w:r>
              <w:rPr>
                <w:rFonts w:ascii="Verdana" w:eastAsiaTheme="minorEastAsia" w:hAnsi="Verdana" w:cs="Arial"/>
                <w:lang w:eastAsia="es-CO"/>
              </w:rPr>
              <w:t xml:space="preserve">del Decreto 4170 de 2011, </w:t>
            </w:r>
            <w:r w:rsidRPr="00CF54DC">
              <w:rPr>
                <w:rFonts w:ascii="Verdana" w:eastAsiaTheme="minorEastAsia" w:hAnsi="Verdana" w:cs="Arial"/>
                <w:lang w:eastAsia="es-CO"/>
              </w:rPr>
              <w:t>la Agencia Nacional de Contratación Pública – Colombia Compra Eficiente</w:t>
            </w:r>
            <w:r w:rsidRPr="00CF54DC">
              <w:rPr>
                <w:rFonts w:ascii="Verdana" w:eastAsiaTheme="minorEastAsia" w:hAnsi="Verdana" w:cs="Arial"/>
                <w:lang w:val="es-ES" w:eastAsia="es-CO"/>
              </w:rPr>
              <w:t xml:space="preserve"> </w:t>
            </w:r>
            <w:r w:rsidRPr="00CF54DC">
              <w:rPr>
                <w:rFonts w:ascii="Verdana" w:eastAsiaTheme="minorEastAsia" w:hAnsi="Verdana" w:cs="Arial"/>
                <w:lang w:eastAsia="es-CO"/>
              </w:rPr>
              <w:t>resuelve</w:t>
            </w:r>
            <w:r w:rsidRPr="00CF54DC">
              <w:rPr>
                <w:rFonts w:ascii="Verdana" w:eastAsiaTheme="minorEastAsia" w:hAnsi="Verdana" w:cs="Arial"/>
                <w:spacing w:val="-16"/>
                <w:lang w:eastAsia="es-CO"/>
              </w:rPr>
              <w:t xml:space="preserve"> </w:t>
            </w:r>
            <w:r w:rsidRPr="00CF54DC">
              <w:rPr>
                <w:rFonts w:ascii="Verdana" w:eastAsiaTheme="minorEastAsia" w:hAnsi="Verdana" w:cs="Arial"/>
                <w:lang w:eastAsia="es-CO"/>
              </w:rPr>
              <w:t>las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consultas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sobre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asuntos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su</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competencia,</w:t>
            </w:r>
            <w:r w:rsidRPr="00CF54DC">
              <w:rPr>
                <w:rFonts w:ascii="Verdana" w:eastAsiaTheme="minorEastAsia" w:hAnsi="Verdana" w:cs="Arial"/>
                <w:spacing w:val="-59"/>
                <w:lang w:eastAsia="es-CO"/>
              </w:rPr>
              <w:t xml:space="preserve"> </w:t>
            </w:r>
            <w:r w:rsidRPr="00CF54DC">
              <w:rPr>
                <w:rFonts w:ascii="Verdana" w:eastAsiaTheme="minorEastAsia" w:hAnsi="Verdana" w:cs="Arial"/>
                <w:lang w:eastAsia="es-CO"/>
              </w:rPr>
              <w:t>esto es, sobre las temáticas de la contratación estatal y compras públicas relacionadas en los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 xml:space="preserve">artículos citados. </w:t>
            </w:r>
          </w:p>
          <w:p w14:paraId="57EA231E" w14:textId="77777777" w:rsidR="005374E9" w:rsidRDefault="005374E9" w:rsidP="002E317E">
            <w:pPr>
              <w:spacing w:after="120" w:line="276" w:lineRule="auto"/>
              <w:ind w:firstLine="709"/>
              <w:jc w:val="both"/>
              <w:rPr>
                <w:rFonts w:ascii="Verdana" w:eastAsiaTheme="minorEastAsia" w:hAnsi="Verdana" w:cs="Arial"/>
                <w:lang w:eastAsia="es-CO"/>
              </w:rPr>
            </w:pPr>
            <w:r w:rsidRPr="00CF54DC">
              <w:rPr>
                <w:rFonts w:ascii="Verdana" w:eastAsiaTheme="minorEastAsia" w:hAnsi="Verdana" w:cs="Arial"/>
                <w:lang w:eastAsia="es-CO"/>
              </w:rPr>
              <w:t>En ese sentido, resolver consultas sobre casos particulares desborda las</w:t>
            </w:r>
            <w:r w:rsidRPr="00CF54DC">
              <w:rPr>
                <w:rFonts w:ascii="Verdana" w:eastAsiaTheme="minorEastAsia" w:hAnsi="Verdana" w:cs="Arial"/>
                <w:spacing w:val="-59"/>
                <w:lang w:eastAsia="es-CO"/>
              </w:rPr>
              <w:t xml:space="preserve"> </w:t>
            </w:r>
            <w:r w:rsidRPr="00CF54DC">
              <w:rPr>
                <w:rFonts w:ascii="Verdana" w:eastAsiaTheme="minorEastAsia" w:hAnsi="Verdana" w:cs="Arial"/>
                <w:lang w:eastAsia="es-CO"/>
              </w:rPr>
              <w:t>atribuciones</w:t>
            </w:r>
            <w:r w:rsidRPr="00CF54DC">
              <w:rPr>
                <w:rFonts w:ascii="Verdana" w:eastAsiaTheme="minorEastAsia" w:hAnsi="Verdana" w:cs="Arial"/>
                <w:spacing w:val="-11"/>
                <w:lang w:eastAsia="es-CO"/>
              </w:rPr>
              <w:t xml:space="preserve"> </w:t>
            </w:r>
            <w:r w:rsidRPr="00CF54DC">
              <w:rPr>
                <w:rFonts w:ascii="Verdana" w:eastAsiaTheme="minorEastAsia" w:hAnsi="Verdana" w:cs="Arial"/>
                <w:lang w:eastAsia="es-CO"/>
              </w:rPr>
              <w:t>asignadas</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por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legislador,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no</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concibió</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Colombia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Compra</w:t>
            </w:r>
            <w:r w:rsidRPr="00CF54DC">
              <w:rPr>
                <w:rFonts w:ascii="Verdana" w:eastAsiaTheme="minorEastAsia" w:hAnsi="Verdana" w:cs="Arial"/>
                <w:spacing w:val="-11"/>
                <w:lang w:eastAsia="es-CO"/>
              </w:rPr>
              <w:t xml:space="preserve"> </w:t>
            </w:r>
            <w:r w:rsidRPr="00CF54DC">
              <w:rPr>
                <w:rFonts w:ascii="Verdana" w:eastAsiaTheme="minorEastAsia" w:hAnsi="Verdana" w:cs="Arial"/>
                <w:lang w:eastAsia="es-CO"/>
              </w:rPr>
              <w:lastRenderedPageBreak/>
              <w:t>Eficiente</w:t>
            </w:r>
            <w:r w:rsidRPr="00CF54DC">
              <w:rPr>
                <w:rFonts w:ascii="Verdana" w:eastAsiaTheme="minorEastAsia" w:hAnsi="Verdana" w:cs="Arial"/>
                <w:spacing w:val="-8"/>
                <w:lang w:eastAsia="es-CO"/>
              </w:rPr>
              <w:t xml:space="preserve"> </w:t>
            </w:r>
            <w:r w:rsidRPr="00CF54DC">
              <w:rPr>
                <w:rFonts w:ascii="Verdana" w:eastAsiaTheme="minorEastAsia" w:hAnsi="Verdana" w:cs="Arial"/>
                <w:lang w:eastAsia="es-CO"/>
              </w:rPr>
              <w:t>como</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una autoridad para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solucionar</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problemas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jurídicos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particulares,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especialmente,</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cuando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conocimiento de estos últimos corresponde resolverlos a los partícipes del sistema de compra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pública</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y,</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eventualmente,</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las</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autoridades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judiciales</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y</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organismos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control.</w:t>
            </w:r>
          </w:p>
          <w:p w14:paraId="4C5215BB" w14:textId="77777777" w:rsidR="005374E9" w:rsidRPr="00114236" w:rsidRDefault="005374E9" w:rsidP="002E317E">
            <w:pPr>
              <w:spacing w:after="120" w:line="276" w:lineRule="auto"/>
              <w:jc w:val="both"/>
              <w:rPr>
                <w:rFonts w:ascii="Verdana" w:eastAsiaTheme="minorEastAsia" w:hAnsi="Verdana" w:cs="Arial"/>
                <w:lang w:eastAsia="es-CO"/>
              </w:rPr>
            </w:pPr>
            <w:r>
              <w:rPr>
                <w:rFonts w:ascii="Verdana" w:eastAsia="Calibri" w:hAnsi="Verdana" w:cs="Arial"/>
                <w:lang w:eastAsia="es-ES"/>
              </w:rPr>
              <w:t xml:space="preserve">ii) </w:t>
            </w:r>
            <w:r w:rsidRPr="006A09E3">
              <w:rPr>
                <w:rFonts w:ascii="Verdana" w:eastAsia="Calibri" w:hAnsi="Verdana" w:cs="Arial"/>
                <w:lang w:eastAsia="es-ES"/>
              </w:rPr>
              <w:t>Las restricciones contenidas en el artículo 33 de la Ley 996 de 2005 aplica para “la contratación directa” de todos los entes del Estado</w:t>
            </w:r>
            <w:r>
              <w:rPr>
                <w:rFonts w:ascii="Verdana" w:eastAsia="Calibri" w:hAnsi="Verdana" w:cs="Arial"/>
                <w:lang w:eastAsia="es-ES"/>
              </w:rPr>
              <w:t>.</w:t>
            </w:r>
            <w:r w:rsidRPr="006A09E3">
              <w:rPr>
                <w:rFonts w:ascii="Verdana" w:eastAsia="Calibri" w:hAnsi="Verdana" w:cs="Arial"/>
                <w:lang w:eastAsia="es-ES"/>
              </w:rPr>
              <w:t xml:space="preserve"> Se trata de la prohibición de </w:t>
            </w:r>
            <w:r w:rsidRPr="006A09E3">
              <w:rPr>
                <w:rFonts w:ascii="Verdana" w:hAnsi="Verdana" w:cs="Arial"/>
                <w:bCs/>
                <w:lang w:eastAsia="x-none"/>
              </w:rPr>
              <w:t>aquellos contratos en los que no exista un proceso abierto y competitivo.</w:t>
            </w:r>
            <w:r w:rsidRPr="006A09E3">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 Adicionalmente, la celebración de la contratación directa </w:t>
            </w:r>
            <w:r w:rsidRPr="006A09E3">
              <w:rPr>
                <w:rFonts w:ascii="Verdana" w:eastAsia="Calibri" w:hAnsi="Verdana" w:cs="Arial"/>
                <w:lang w:eastAsia="es-ES"/>
              </w:rPr>
              <w:t xml:space="preserve">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 </w:t>
            </w:r>
            <w:r>
              <w:rPr>
                <w:rFonts w:ascii="Verdana" w:eastAsia="Calibri" w:hAnsi="Verdana" w:cs="Arial"/>
                <w:lang w:eastAsia="es-ES"/>
              </w:rPr>
              <w:t xml:space="preserve">Así mismo, aplica para todos los entes del Estado </w:t>
            </w:r>
            <w:r w:rsidRPr="006A09E3">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6A09E3">
              <w:rPr>
                <w:rFonts w:ascii="Verdana" w:eastAsia="Calibri" w:hAnsi="Verdana" w:cs="Arial"/>
                <w:lang w:eastAsia="es-ES"/>
              </w:rPr>
              <w:t xml:space="preserve"> </w:t>
            </w:r>
          </w:p>
          <w:p w14:paraId="04188CFD" w14:textId="77777777" w:rsidR="005374E9" w:rsidRDefault="005374E9" w:rsidP="002E317E">
            <w:pPr>
              <w:spacing w:after="120" w:line="276" w:lineRule="auto"/>
              <w:ind w:firstLine="709"/>
              <w:jc w:val="both"/>
              <w:rPr>
                <w:rFonts w:ascii="Verdana" w:eastAsia="Calibri" w:hAnsi="Verdana" w:cs="Arial"/>
                <w:lang w:eastAsia="es-ES"/>
              </w:rPr>
            </w:pPr>
            <w:r w:rsidRPr="006A09E3">
              <w:rPr>
                <w:rFonts w:ascii="Verdana" w:eastAsia="Calibri" w:hAnsi="Verdana" w:cs="Arial"/>
                <w:lang w:eastAsia="es-ES"/>
              </w:rPr>
              <w:t xml:space="preserve">Por su parte, la entidad definirá si la contratación que pretende celebrar se enmarca en alguna de las excepciones definidas en el artículo 33 de la Ley 996 de 2005, esto es, que se pretenda cubrir emergencias sanitarias o los que deban realizar las entidades sanitarias y hospitalarias, de tal manera que las excepciones contempladas no permiten efectuar una interpretación extensiva para incluir otros supuestos. </w:t>
            </w:r>
          </w:p>
          <w:p w14:paraId="3CE58886" w14:textId="77777777" w:rsidR="005374E9" w:rsidRPr="006A09E3" w:rsidRDefault="005374E9" w:rsidP="002E317E">
            <w:pPr>
              <w:spacing w:after="120" w:line="276" w:lineRule="auto"/>
              <w:ind w:firstLine="709"/>
              <w:jc w:val="both"/>
              <w:rPr>
                <w:rFonts w:ascii="Verdana" w:eastAsia="Calibri" w:hAnsi="Verdana" w:cs="Arial"/>
                <w:lang w:eastAsia="es-ES"/>
              </w:rPr>
            </w:pPr>
            <w:r>
              <w:rPr>
                <w:rFonts w:ascii="Verdana" w:eastAsia="Calibri" w:hAnsi="Verdana" w:cs="Arial"/>
                <w:lang w:eastAsia="es-ES"/>
              </w:rPr>
              <w:t xml:space="preserve">El quinto evento exceptuado de la prohibición definido en el artículo 33, relacionado con la contratación de las entidades sanitarias y hospitalarias, hace referencia a las Empresas Sociales del Estado, en atención a que el artículo 94 de la Ley 100 de 1993 </w:t>
            </w:r>
            <w:r w:rsidRPr="3A5322BA">
              <w:rPr>
                <w:rFonts w:ascii="Verdana" w:hAnsi="Verdana" w:cs="Arial"/>
                <w:color w:val="000000" w:themeColor="text1"/>
                <w:lang w:val="es-ES"/>
              </w:rPr>
              <w:t xml:space="preserve">que dispone </w:t>
            </w:r>
            <w:r w:rsidRPr="3A5322BA">
              <w:rPr>
                <w:rFonts w:ascii="Verdana" w:hAnsi="Verdana" w:cs="Arial"/>
                <w:color w:val="000000" w:themeColor="text1"/>
                <w:lang w:val="es-ES" w:eastAsia="es-CO"/>
              </w:rPr>
              <w:t>“</w:t>
            </w:r>
            <w:r w:rsidRPr="3A5322BA">
              <w:rPr>
                <w:rFonts w:ascii="Verdana" w:hAnsi="Verdana" w:cs="Arial"/>
                <w:color w:val="000000" w:themeColor="text1"/>
                <w:lang w:val="es-ES"/>
              </w:rPr>
              <w:t xml:space="preserve">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w:t>
            </w:r>
            <w:r w:rsidRPr="3A5322BA">
              <w:rPr>
                <w:rFonts w:ascii="Verdana" w:hAnsi="Verdana" w:cs="Arial"/>
                <w:color w:val="000000" w:themeColor="text1"/>
                <w:lang w:val="es-ES"/>
              </w:rPr>
              <w:lastRenderedPageBreak/>
              <w:t>por las asambleas o concejos, según el caso, sometidas al régimen jurídico previsto en este capítulo</w:t>
            </w:r>
            <w:r>
              <w:rPr>
                <w:rFonts w:ascii="Verdana" w:hAnsi="Verdana" w:cs="Arial"/>
                <w:color w:val="000000" w:themeColor="text1"/>
                <w:lang w:val="es-ES"/>
              </w:rPr>
              <w:t>”</w:t>
            </w:r>
            <w:r>
              <w:rPr>
                <w:rFonts w:ascii="Verdana" w:eastAsia="Calibri" w:hAnsi="Verdana" w:cs="Arial"/>
                <w:lang w:eastAsia="es-ES"/>
              </w:rPr>
              <w:t xml:space="preserve"> </w:t>
            </w:r>
          </w:p>
          <w:p w14:paraId="4CB34283" w14:textId="77777777" w:rsidR="005374E9" w:rsidRDefault="005374E9" w:rsidP="002E317E">
            <w:pPr>
              <w:spacing w:after="120" w:line="276" w:lineRule="auto"/>
              <w:ind w:firstLine="709"/>
              <w:jc w:val="both"/>
              <w:rPr>
                <w:rFonts w:ascii="Verdana" w:eastAsia="Calibri" w:hAnsi="Verdana" w:cs="Arial"/>
                <w:lang w:eastAsia="es-ES"/>
              </w:rPr>
            </w:pPr>
            <w:r w:rsidRPr="006A09E3">
              <w:rPr>
                <w:rFonts w:ascii="Verdana" w:eastAsia="Calibri" w:hAnsi="Verdana" w:cs="Arial"/>
                <w:lang w:eastAsia="es-ES"/>
              </w:rPr>
              <w:t>De otro lado, la restricción definida en el artículo 38 de la Ley 996 de 2005 se refiere a la celebración de convenios interadministrativos para la ejecución de recursos públicos, independientemente de que se configuren los supuestos de excepción que señala en artículo 33 de la misma ley. Actualmente las restricciones del artículo 33 y del artículo 38 de la Ley están en curso, de tal manera que los gobernadores, secretarios, gerentes y directores de las entidades del orden municipal, departamental o distrital no podrán no solo celebrar convenios interadministrativos para la ejecución de recursos sino también cualquier contratación directa.</w:t>
            </w:r>
            <w:r>
              <w:rPr>
                <w:rFonts w:ascii="Verdana" w:eastAsia="Calibri" w:hAnsi="Verdana" w:cs="Arial"/>
                <w:lang w:eastAsia="es-ES"/>
              </w:rPr>
              <w:t xml:space="preserve"> </w:t>
            </w:r>
            <w:r w:rsidRPr="3A5322BA">
              <w:rPr>
                <w:rFonts w:ascii="Verdana" w:hAnsi="Verdana" w:cs="Arial"/>
                <w:color w:val="000000" w:themeColor="text1"/>
                <w:lang w:val="es-ES"/>
              </w:rPr>
              <w:t>Es decir que, a partir de la entrada en vigencia de la Ley 100 de 1993, las Empresas Sociales del Estado son las entidades públicas que tienen a su cargo la prestación de servicios de salud de manera directa</w:t>
            </w:r>
            <w:r>
              <w:rPr>
                <w:rFonts w:ascii="Verdana" w:hAnsi="Verdana" w:cs="Arial"/>
                <w:color w:val="000000" w:themeColor="text1"/>
                <w:lang w:val="es-ES"/>
              </w:rPr>
              <w:t>.</w:t>
            </w:r>
          </w:p>
          <w:p w14:paraId="140B8085" w14:textId="77777777" w:rsidR="005374E9" w:rsidRPr="004C5DB0" w:rsidRDefault="005374E9" w:rsidP="002E317E">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 </w:t>
            </w:r>
          </w:p>
          <w:p w14:paraId="184E3B7F" w14:textId="77777777" w:rsidR="005374E9" w:rsidRPr="00CA4B76" w:rsidRDefault="005374E9" w:rsidP="002E317E">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De acuerdo con lo anterior, y para dar respuesta al segundo problema jurídico, una entidad pública actuando como contratista de bienes y servicios no está impedido para contratar con el Estado a través de distintos procesos de contratación establecidos en el artículo 2 de la Ley 1150 de 2007, salvo los eventos que define la Ley 996 de 2005, esto es, las restricciones definidas en el artículo 33 y el parágrafo 38, por lo que podría contratar siempre que el proceso de selección sea competitivo a través de las modalidades de selección diferentes a la contratación directa. No obstante lo anterior, si se presenta algunas de las eventuales excepciones consagradas en el artículo 33 de la Ley de Garantías Electorales y estando en el periodo electoral para elegir Presidente y Vicepresidente de la República, la entidad pública que actúa como contratista o cooperado, podrá actuar de esta forma siempre y cuando la excepción cumpla con los criterios establecidos en la ley. </w:t>
            </w:r>
          </w:p>
          <w:p w14:paraId="0C4D2E10" w14:textId="77777777" w:rsidR="005374E9" w:rsidRPr="00CA4B76" w:rsidRDefault="005374E9" w:rsidP="002E317E">
            <w:pPr>
              <w:spacing w:after="120" w:line="276" w:lineRule="auto"/>
              <w:ind w:firstLine="709"/>
              <w:jc w:val="both"/>
              <w:rPr>
                <w:rFonts w:ascii="Verdana" w:eastAsia="Calibri" w:hAnsi="Verdana" w:cs="Arial"/>
                <w:lang w:val="es-ES"/>
              </w:rPr>
            </w:pPr>
            <w:r w:rsidRPr="00FF007A">
              <w:rPr>
                <w:rFonts w:ascii="Verdana" w:eastAsia="Arial" w:hAnsi="Verdana" w:cs="Arial"/>
                <w:bCs/>
                <w:color w:val="000000" w:themeColor="text1"/>
              </w:rPr>
              <w:lastRenderedPageBreak/>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“Alcaldes, Gobernadores, Secretarios, Gerentes y Directores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w:t>
            </w:r>
            <w:r>
              <w:rPr>
                <w:rFonts w:ascii="Verdana" w:eastAsia="Arial" w:hAnsi="Verdana" w:cs="Arial"/>
                <w:bCs/>
                <w:color w:val="000000" w:themeColor="text1"/>
              </w:rPr>
              <w:t>elebración</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de convenios interadministrativos </w:t>
            </w:r>
            <w:r w:rsidRPr="00FF007A">
              <w:rPr>
                <w:rFonts w:ascii="Verdana" w:eastAsia="Arial" w:hAnsi="Verdana" w:cs="Arial"/>
                <w:bCs/>
                <w:color w:val="000000" w:themeColor="text1"/>
              </w:rPr>
              <w:t xml:space="preserve">en los cuatro meses anteriores a cualquier contienda electoral. </w:t>
            </w:r>
            <w:r w:rsidRPr="005B0452">
              <w:rPr>
                <w:rFonts w:ascii="Verdana" w:eastAsia="Arial" w:hAnsi="Verdana" w:cs="Arial"/>
                <w:bCs/>
                <w:color w:val="000000" w:themeColor="text1"/>
              </w:rPr>
              <w:t xml:space="preserve">En este aspecto, se encuentra que la restricción para la celebración de convenios interadministrativos para la ejecución de recursos públicos no puede aludirse a contratantes o contratistas, sino de partes cooperantes o colaboradoras. </w:t>
            </w:r>
            <w:r w:rsidRPr="005B0452">
              <w:rPr>
                <w:rFonts w:ascii="Verdana" w:eastAsia="Arial" w:hAnsi="Verdana" w:cs="Arial"/>
                <w:bCs/>
                <w:color w:val="000000" w:themeColor="text1"/>
                <w:lang w:val="es-MX"/>
              </w:rPr>
              <w:t xml:space="preserve">Esta restricción se extiende a las elecciones presidenciales que se celebrarán el 31 de mayo de 2026, así como una posible segunda vuelta tres semanas después, es decir, el 21 de junio de 2026. </w:t>
            </w:r>
          </w:p>
          <w:p w14:paraId="07ECD4C3" w14:textId="77777777" w:rsidR="005374E9" w:rsidRDefault="005374E9" w:rsidP="002E317E">
            <w:pPr>
              <w:spacing w:after="120" w:line="276" w:lineRule="auto"/>
              <w:jc w:val="both"/>
              <w:rPr>
                <w:rFonts w:ascii="Verdana" w:eastAsia="Arial" w:hAnsi="Verdana" w:cs="Arial"/>
                <w:bCs/>
                <w:color w:val="000000" w:themeColor="text1"/>
              </w:rPr>
            </w:pPr>
            <w:r>
              <w:rPr>
                <w:rFonts w:ascii="Verdana" w:eastAsia="Arial" w:hAnsi="Verdana" w:cs="Arial"/>
                <w:bCs/>
                <w:color w:val="000000" w:themeColor="text1"/>
                <w:lang w:val="es-MX"/>
              </w:rPr>
              <w:tab/>
              <w:t xml:space="preserve">En cuanto a la celebración de contratos interadministrativos está sujeto a las restricciones del artículo 33 si se adelanta la contratación de forma directa, esto es, un procedimiento no competitivo. </w:t>
            </w:r>
            <w:r w:rsidRPr="005B0452">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23AAF21E" w14:textId="77777777" w:rsidR="005374E9" w:rsidRDefault="005374E9" w:rsidP="002E317E">
            <w:pPr>
              <w:spacing w:after="120" w:line="276" w:lineRule="auto"/>
              <w:ind w:firstLine="709"/>
              <w:jc w:val="both"/>
              <w:rPr>
                <w:rFonts w:ascii="Verdana" w:eastAsia="Arial" w:hAnsi="Verdana" w:cs="Arial"/>
                <w:bCs/>
                <w:color w:val="000000" w:themeColor="text1"/>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xml:space="preserve">. Por el contrario, si el estudio determina que no aplica excepción alguna estará vedada la celebración de contratos de manera directa. Lo </w:t>
            </w:r>
            <w:r w:rsidRPr="00FF007A">
              <w:rPr>
                <w:rFonts w:ascii="Verdana" w:hAnsi="Verdana" w:cs="Arial"/>
                <w:lang w:eastAsia="es-CO"/>
              </w:rPr>
              <w:lastRenderedPageBreak/>
              <w:t>anterior, sin perjuicio de la prohibición establecida en el parágrafo del artículo 38 de la Ley de Garantías Electorales.</w:t>
            </w:r>
          </w:p>
          <w:p w14:paraId="701721FE" w14:textId="77777777" w:rsidR="005374E9" w:rsidRDefault="005374E9" w:rsidP="002E317E">
            <w:pPr>
              <w:spacing w:after="120" w:line="276" w:lineRule="auto"/>
              <w:ind w:firstLine="709"/>
              <w:jc w:val="both"/>
              <w:rPr>
                <w:rFonts w:ascii="Verdana" w:hAnsi="Verdana" w:cs="Arial"/>
                <w:lang w:eastAsia="es-CO"/>
              </w:rPr>
            </w:pPr>
            <w:r>
              <w:rPr>
                <w:rFonts w:ascii="Verdana" w:hAnsi="Verdana" w:cs="Arial"/>
                <w:lang w:eastAsia="es-CO"/>
              </w:rPr>
              <w:t xml:space="preserve">Por lo tanto, para el caso de la restricción del parágrafo 38 de la Ley 996 de 2005, cuando la entidad pública actúa como cooperante, deberá tener en cuenta que bajo la aplicación de dicha restricción no podrá celebrar convenios interadministrativos con recursos públicos. No obstante lo anterior, teniendo en cuenta que actualmente opera de manera simultánea las restricciones definidas en el artículo 33 y el parágrafo 38 de la Ley de Garantías Electorales, quedará impedido para celebrar cualquier tipo de contratación directa, a menos que la entidad pública que desee contratar se encuentre inmerso dentro de las excepciones definidas por el artículo 33 y la otra entidad pública contratante o cooperante podría contratar bajo las mismas causales excepcionales para la contratación directa.  </w:t>
            </w:r>
          </w:p>
          <w:p w14:paraId="427FF6D9" w14:textId="77777777" w:rsidR="005374E9" w:rsidRDefault="005374E9" w:rsidP="002E317E">
            <w:pPr>
              <w:spacing w:before="120" w:after="120" w:line="276" w:lineRule="auto"/>
              <w:jc w:val="both"/>
              <w:rPr>
                <w:rFonts w:ascii="Verdana" w:hAnsi="Verdana" w:cs="Arial"/>
                <w:bCs/>
                <w:lang w:val="es-MX"/>
              </w:rPr>
            </w:pPr>
            <w:r>
              <w:rPr>
                <w:rFonts w:ascii="Verdana" w:eastAsia="Arial" w:hAnsi="Verdana" w:cs="Arial"/>
                <w:bCs/>
                <w:color w:val="000000" w:themeColor="text1"/>
              </w:rPr>
              <w:t xml:space="preserve">iii) Los </w:t>
            </w:r>
            <w:r w:rsidRPr="00B47324">
              <w:rPr>
                <w:rFonts w:ascii="Verdana" w:hAnsi="Verdana" w:cs="Arial"/>
                <w:lang w:val="es-ES"/>
              </w:rPr>
              <w:t xml:space="preserve">procesos de selección </w:t>
            </w:r>
            <w:r>
              <w:rPr>
                <w:rFonts w:ascii="Verdana" w:hAnsi="Verdana" w:cs="Arial"/>
                <w:lang w:val="es-ES"/>
              </w:rPr>
              <w:t>p</w:t>
            </w:r>
            <w:r w:rsidRPr="00B47324">
              <w:rPr>
                <w:rFonts w:ascii="Verdana" w:hAnsi="Verdana" w:cs="Arial"/>
                <w:lang w:val="es-ES"/>
              </w:rPr>
              <w:t xml:space="preserve">ara las entidades </w:t>
            </w:r>
            <w:r>
              <w:rPr>
                <w:rFonts w:ascii="Verdana" w:hAnsi="Verdana" w:cs="Arial"/>
                <w:lang w:val="es-ES"/>
              </w:rPr>
              <w:t xml:space="preserve">sometidas a la Ley 80 de 1993 </w:t>
            </w:r>
            <w:r w:rsidRPr="00B47324">
              <w:rPr>
                <w:rFonts w:ascii="Verdana" w:hAnsi="Verdana" w:cs="Arial"/>
                <w:lang w:val="es-ES"/>
              </w:rPr>
              <w:t>se rigen por el artículo 2 de la Ley 1150 de 2007.</w:t>
            </w:r>
            <w:r>
              <w:rPr>
                <w:rFonts w:ascii="Verdana" w:hAnsi="Verdana" w:cs="Arial"/>
                <w:lang w:val="es-ES"/>
              </w:rPr>
              <w:t xml:space="preserve"> </w:t>
            </w:r>
            <w:r w:rsidRPr="00B47324">
              <w:rPr>
                <w:rFonts w:ascii="Verdana" w:hAnsi="Verdana" w:cs="Arial"/>
                <w:lang w:val="es-ES"/>
              </w:rPr>
              <w:t xml:space="preserve">El </w:t>
            </w:r>
            <w:r w:rsidRPr="00B47324">
              <w:rPr>
                <w:rFonts w:ascii="Verdana" w:hAnsi="Verdana" w:cs="Arial"/>
                <w:bCs/>
                <w:lang w:val="es-MX"/>
              </w:rPr>
              <w:t>numeral</w:t>
            </w:r>
            <w:r w:rsidRPr="00666B6A">
              <w:rPr>
                <w:rFonts w:ascii="Verdana" w:hAnsi="Verdana" w:cs="Arial"/>
                <w:bCs/>
                <w:lang w:val="es-MX"/>
              </w:rPr>
              <w:t xml:space="preserve"> uno, inciso primero, dispone que “La escogencia del contratista se efectuará por </w:t>
            </w:r>
            <w:r w:rsidRPr="00666B6A">
              <w:rPr>
                <w:rFonts w:ascii="Verdana" w:hAnsi="Verdana" w:cs="Arial"/>
                <w:bCs/>
                <w:i/>
                <w:iCs/>
                <w:lang w:val="es-MX"/>
              </w:rPr>
              <w:t>regla general</w:t>
            </w:r>
            <w:r w:rsidRPr="00666B6A">
              <w:rPr>
                <w:rFonts w:ascii="Verdana" w:hAnsi="Verdana" w:cs="Arial"/>
                <w:bCs/>
                <w:lang w:val="es-MX"/>
              </w:rPr>
              <w:t xml:space="preserve"> a través de licitación pública, con las </w:t>
            </w:r>
            <w:r w:rsidRPr="00666B6A">
              <w:rPr>
                <w:rFonts w:ascii="Verdana" w:hAnsi="Verdana" w:cs="Arial"/>
                <w:bCs/>
                <w:i/>
                <w:iCs/>
                <w:lang w:val="es-MX"/>
              </w:rPr>
              <w:t>excepciones</w:t>
            </w:r>
            <w:r w:rsidRPr="00666B6A">
              <w:rPr>
                <w:rFonts w:ascii="Verdana" w:hAnsi="Verdana" w:cs="Arial"/>
                <w:bCs/>
                <w:lang w:val="es-MX"/>
              </w:rPr>
              <w:t xml:space="preserve"> que se señalan en los numerales 2, 3 y 4 del presente artículo”</w:t>
            </w:r>
            <w:r>
              <w:rPr>
                <w:rFonts w:ascii="Verdana" w:hAnsi="Verdana" w:cs="Arial"/>
                <w:bCs/>
                <w:lang w:val="es-MX"/>
              </w:rPr>
              <w:t>.</w:t>
            </w:r>
          </w:p>
          <w:p w14:paraId="422DBA20" w14:textId="77777777" w:rsidR="005374E9" w:rsidRDefault="005374E9" w:rsidP="002E317E">
            <w:pPr>
              <w:spacing w:line="276" w:lineRule="auto"/>
              <w:ind w:firstLine="708"/>
              <w:jc w:val="both"/>
              <w:rPr>
                <w:rFonts w:ascii="Verdana" w:eastAsia="Times New Roman" w:hAnsi="Verdana" w:cs="Arial"/>
                <w:lang w:eastAsia="es-MX"/>
              </w:rPr>
            </w:pPr>
            <w:r>
              <w:rPr>
                <w:rFonts w:ascii="Verdana" w:eastAsia="Times New Roman" w:hAnsi="Verdana" w:cs="Arial"/>
                <w:lang w:eastAsia="es-MX"/>
              </w:rPr>
              <w:t xml:space="preserve">Por lo tanto, </w:t>
            </w:r>
            <w:r w:rsidRPr="00480D85">
              <w:rPr>
                <w:rFonts w:ascii="Verdana" w:eastAsia="Times New Roman" w:hAnsi="Verdana" w:cs="Arial"/>
                <w:lang w:eastAsia="es-MX"/>
              </w:rPr>
              <w:t>la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norma dispone, dentro del contexto del ordenamiento jurídico de la contratación estatal. Esta contratación puede estar fundada en que el proponente es único</w:t>
            </w:r>
            <w:r>
              <w:rPr>
                <w:rFonts w:ascii="Verdana" w:eastAsia="Times New Roman" w:hAnsi="Verdana" w:cs="Arial"/>
                <w:lang w:eastAsia="es-MX"/>
              </w:rPr>
              <w:t>, existe alguna situación de urgencia manifiesta</w:t>
            </w:r>
            <w:r w:rsidRPr="00480D85">
              <w:rPr>
                <w:rFonts w:ascii="Verdana" w:eastAsia="Times New Roman" w:hAnsi="Verdana" w:cs="Arial"/>
                <w:lang w:eastAsia="es-MX"/>
              </w:rPr>
              <w:t xml:space="preserve"> o el legislador privilegió algunos objetos contractuales u oferentes para contratarlos de manera directa, teniendo en cuenta las causales expresamente señaladas en la ley. </w:t>
            </w:r>
          </w:p>
          <w:p w14:paraId="6F4A288D" w14:textId="77777777" w:rsidR="005374E9" w:rsidRDefault="005374E9" w:rsidP="002E317E">
            <w:pPr>
              <w:ind w:firstLine="709"/>
              <w:jc w:val="both"/>
              <w:rPr>
                <w:rFonts w:ascii="Verdana" w:eastAsia="Calibri" w:hAnsi="Verdana" w:cs="Arial"/>
              </w:rPr>
            </w:pPr>
          </w:p>
          <w:p w14:paraId="0B029BA4" w14:textId="77777777" w:rsidR="005374E9" w:rsidRPr="005D2160" w:rsidRDefault="005374E9" w:rsidP="002E317E">
            <w:pPr>
              <w:spacing w:line="276" w:lineRule="auto"/>
              <w:ind w:firstLine="708"/>
              <w:jc w:val="both"/>
              <w:rPr>
                <w:rFonts w:ascii="Verdana" w:eastAsia="Times New Roman" w:hAnsi="Verdana" w:cs="Arial"/>
                <w:lang w:eastAsia="es-MX"/>
              </w:rPr>
            </w:pPr>
            <w:r w:rsidRPr="00C16D58">
              <w:rPr>
                <w:rFonts w:ascii="Verdana" w:eastAsia="Calibri" w:hAnsi="Verdana" w:cs="Arial"/>
                <w:lang w:val="es-ES"/>
              </w:rPr>
              <w:t>Si bien la licitación pública es la modalidad de selección que constituye la regla general para las entidades regidas por el E</w:t>
            </w:r>
            <w:r>
              <w:rPr>
                <w:rFonts w:ascii="Verdana" w:eastAsia="Calibri" w:hAnsi="Verdana" w:cs="Arial"/>
                <w:lang w:val="es-ES"/>
              </w:rPr>
              <w:t>GCAP</w:t>
            </w:r>
            <w:r w:rsidRPr="00C16D58">
              <w:rPr>
                <w:rFonts w:ascii="Verdana" w:eastAsia="Calibri" w:hAnsi="Verdana" w:cs="Arial"/>
                <w:lang w:val="es-ES"/>
              </w:rPr>
              <w:t>, el artículo 2.4 de la Ley 1150 de 2007 consagra algunas excepciones</w:t>
            </w:r>
            <w:r>
              <w:rPr>
                <w:rFonts w:ascii="Verdana" w:eastAsia="Calibri" w:hAnsi="Verdana" w:cs="Arial"/>
                <w:lang w:val="es-ES"/>
              </w:rPr>
              <w:t xml:space="preserve">. </w:t>
            </w:r>
            <w:r w:rsidRPr="00C16D58">
              <w:rPr>
                <w:rFonts w:ascii="Verdana" w:eastAsia="Calibri" w:hAnsi="Verdana" w:cs="Arial"/>
                <w:lang w:val="es-ES"/>
              </w:rPr>
              <w:t xml:space="preserve">Una de las excepciones es </w:t>
            </w:r>
            <w:r w:rsidRPr="00C16D58">
              <w:rPr>
                <w:rFonts w:ascii="Verdana" w:eastAsia="Calibri" w:hAnsi="Verdana" w:cs="Arial"/>
                <w:lang w:val="es-ES"/>
              </w:rPr>
              <w:lastRenderedPageBreak/>
              <w:t>la causal de contratación directa prevista en el literal a) del mencionado numeral, denominada por la ley como “urgencia manifiesta”. Esta causal debe leerse en concordancia con los artículos 42 de la Ley 80 de 1993, que define el concepto y establece el procedimiento para su declaratoria, así como para la celebración de los contratos que se derivan de aquella.</w:t>
            </w:r>
          </w:p>
          <w:p w14:paraId="7E19A423" w14:textId="77777777" w:rsidR="005374E9" w:rsidRDefault="005374E9" w:rsidP="002E317E">
            <w:pPr>
              <w:ind w:firstLine="709"/>
              <w:jc w:val="both"/>
              <w:rPr>
                <w:rFonts w:ascii="Verdana" w:eastAsia="Calibri" w:hAnsi="Verdana" w:cs="Arial"/>
                <w:lang w:val="es-ES"/>
              </w:rPr>
            </w:pPr>
          </w:p>
          <w:p w14:paraId="38BAD072" w14:textId="77777777" w:rsidR="005374E9" w:rsidRDefault="005374E9" w:rsidP="002E317E">
            <w:pPr>
              <w:spacing w:line="276" w:lineRule="auto"/>
              <w:ind w:firstLine="708"/>
              <w:jc w:val="both"/>
              <w:rPr>
                <w:rFonts w:ascii="Verdana" w:eastAsia="Calibri" w:hAnsi="Verdana" w:cs="Arial"/>
                <w:lang w:val="es-ES_tradnl"/>
              </w:rPr>
            </w:pPr>
            <w:r>
              <w:rPr>
                <w:rFonts w:ascii="Verdana" w:eastAsia="Calibri" w:hAnsi="Verdana" w:cs="Arial"/>
                <w:lang w:val="es-ES"/>
              </w:rPr>
              <w:t>Para el caso objeto de consulta, l</w:t>
            </w:r>
            <w:r w:rsidRPr="48C53EE2">
              <w:rPr>
                <w:rFonts w:ascii="Verdana" w:eastAsia="Calibri" w:hAnsi="Verdana" w:cs="Arial"/>
                <w:lang w:val="es-ES"/>
              </w:rPr>
              <w:t xml:space="preserve">a </w:t>
            </w:r>
            <w:r w:rsidRPr="48C53EE2">
              <w:rPr>
                <w:rFonts w:ascii="Verdana" w:eastAsia="Calibri" w:hAnsi="Verdana" w:cs="Arial"/>
                <w:i/>
                <w:lang w:val="es-ES"/>
              </w:rPr>
              <w:t>tercera circunstancia</w:t>
            </w:r>
            <w:r w:rsidRPr="48C53EE2">
              <w:rPr>
                <w:rFonts w:ascii="Verdana" w:eastAsia="Calibri" w:hAnsi="Verdana" w:cs="Arial"/>
                <w:lang w:val="es-ES"/>
              </w:rPr>
              <w:t xml:space="preserve"> surge de la necesidad de conjurar situaciones excepcionales relacionadas con </w:t>
            </w:r>
            <w:r w:rsidRPr="48C53EE2">
              <w:rPr>
                <w:rFonts w:ascii="Verdana" w:eastAsia="Calibri" w:hAnsi="Verdana" w:cs="Arial"/>
                <w:i/>
                <w:lang w:val="es-ES"/>
              </w:rPr>
              <w:t>hechos de calamidad o constitutivos de fuerza mayor o desastre</w:t>
            </w:r>
            <w:r w:rsidRPr="48C53EE2">
              <w:rPr>
                <w:rFonts w:ascii="Verdana" w:eastAsia="Calibri" w:hAnsi="Verdana" w:cs="Arial"/>
                <w:lang w:val="es-ES"/>
              </w:rPr>
              <w:t xml:space="preserve"> que demanden actuaciones inmediatas, causa que –conforme se analiza en el siguiente acápite– exige tener en cuenta lo previsto en la Ley 1523 de 2012. Lo anterior sin perjuicio de que, conforme a la </w:t>
            </w:r>
            <w:r w:rsidRPr="48C53EE2">
              <w:rPr>
                <w:rFonts w:ascii="Verdana" w:eastAsia="Calibri" w:hAnsi="Verdana" w:cs="Arial"/>
                <w:i/>
                <w:lang w:val="es-ES"/>
              </w:rPr>
              <w:t>cuarta circunstancia</w:t>
            </w:r>
            <w:r w:rsidRPr="48C53EE2">
              <w:rPr>
                <w:rFonts w:ascii="Verdana" w:eastAsia="Calibri" w:hAnsi="Verdana" w:cs="Arial"/>
                <w:lang w:val="es-ES"/>
              </w:rPr>
              <w:t xml:space="preserve">, surjan situaciones similares que imposibiliten acudir a los procedimientos de selección o concurso públicos. </w:t>
            </w:r>
            <w:r>
              <w:rPr>
                <w:rFonts w:ascii="Verdana" w:eastAsia="Calibri" w:hAnsi="Verdana" w:cs="Arial"/>
                <w:lang w:val="es-ES"/>
              </w:rPr>
              <w:t>Cuando</w:t>
            </w:r>
            <w:r w:rsidRPr="00C16D58">
              <w:rPr>
                <w:rFonts w:ascii="Verdana" w:eastAsia="Calibri" w:hAnsi="Verdana" w:cs="Arial"/>
                <w:lang w:val="es-ES_tradnl"/>
              </w:rPr>
              <w:t xml:space="preserve"> se configure alguna de las cuatro (4) situaciones, el artículo 42 de la Ley 80 de 1993 exige declarar formalmente la urgencia manifiesta mediante acto administrativo motivado, es decir, a través de una manifestación unilateral de voluntad razonablemente justificada, proferida por el jefe o representante legal de cada entidad –o quien sea el titular de la competencia–, según lo establecido en los artículos 11 y 12 </w:t>
            </w:r>
            <w:r w:rsidRPr="00C16D58">
              <w:rPr>
                <w:rFonts w:ascii="Verdana" w:eastAsia="Calibri" w:hAnsi="Verdana" w:cs="Arial"/>
                <w:i/>
                <w:iCs/>
                <w:lang w:val="es-ES_tradnl"/>
              </w:rPr>
              <w:t>ibidem</w:t>
            </w:r>
            <w:r w:rsidRPr="00C16D58">
              <w:rPr>
                <w:rFonts w:ascii="Verdana" w:eastAsia="Calibri" w:hAnsi="Verdana" w:cs="Arial"/>
                <w:lang w:val="es-ES_tradnl"/>
              </w:rPr>
              <w:t>.</w:t>
            </w:r>
          </w:p>
          <w:p w14:paraId="71DB7775" w14:textId="77777777" w:rsidR="005374E9" w:rsidRDefault="005374E9" w:rsidP="002E317E">
            <w:pPr>
              <w:ind w:firstLine="709"/>
              <w:jc w:val="both"/>
              <w:rPr>
                <w:rFonts w:ascii="Verdana" w:eastAsia="Calibri" w:hAnsi="Verdana" w:cs="Arial"/>
                <w:lang w:val="es-ES"/>
              </w:rPr>
            </w:pPr>
          </w:p>
          <w:p w14:paraId="0B82BFBD" w14:textId="77777777" w:rsidR="005374E9" w:rsidRDefault="005374E9" w:rsidP="002E317E">
            <w:pPr>
              <w:spacing w:line="276" w:lineRule="auto"/>
              <w:ind w:firstLine="708"/>
              <w:jc w:val="both"/>
              <w:rPr>
                <w:rFonts w:ascii="Verdana" w:eastAsia="Calibri" w:hAnsi="Verdana" w:cs="Arial"/>
                <w:lang w:val="es-ES_tradnl"/>
              </w:rPr>
            </w:pPr>
            <w:r w:rsidRPr="0061155F">
              <w:rPr>
                <w:rFonts w:ascii="Verdana" w:eastAsia="Calibri" w:hAnsi="Verdana" w:cs="Arial"/>
                <w:lang w:val="es-ES"/>
              </w:rPr>
              <w:t xml:space="preserve">El </w:t>
            </w:r>
            <w:r w:rsidRPr="3683B926">
              <w:rPr>
                <w:rFonts w:ascii="Verdana" w:eastAsia="Calibri" w:hAnsi="Verdana" w:cs="Arial"/>
                <w:lang w:val="es-ES"/>
              </w:rPr>
              <w:t>artículo 42 de la Ley 80 de 1993 dispone que la urgencia manifiesta se declara, entre otras tres (3) circunstancias, con la finalidad de “</w:t>
            </w:r>
            <w:r>
              <w:rPr>
                <w:rFonts w:ascii="Verdana" w:eastAsia="Calibri" w:hAnsi="Verdana" w:cs="Arial"/>
                <w:lang w:val="es-ES"/>
              </w:rPr>
              <w:t xml:space="preserve">(…) </w:t>
            </w:r>
            <w:r w:rsidRPr="3683B926">
              <w:rPr>
                <w:rFonts w:ascii="Verdana" w:eastAsia="Calibri" w:hAnsi="Verdana" w:cs="Arial"/>
                <w:lang w:val="es-ES"/>
              </w:rPr>
              <w:t xml:space="preserve">conjurar situaciones excepcionales relacionadas con hechos de calamidad o constitutivos de fuerza mayor o desastre que demanden actuaciones inmediatas </w:t>
            </w:r>
            <w:r>
              <w:rPr>
                <w:rFonts w:ascii="Verdana" w:eastAsia="Calibri" w:hAnsi="Verdana" w:cs="Arial"/>
                <w:lang w:val="es-ES"/>
              </w:rPr>
              <w:t>(…)</w:t>
            </w:r>
            <w:r w:rsidRPr="3683B926">
              <w:rPr>
                <w:rFonts w:ascii="Verdana" w:eastAsia="Calibri" w:hAnsi="Verdana" w:cs="Arial"/>
                <w:lang w:val="es-ES"/>
              </w:rPr>
              <w:t>”.</w:t>
            </w:r>
            <w:r>
              <w:rPr>
                <w:rFonts w:ascii="Verdana" w:eastAsia="Calibri" w:hAnsi="Verdana" w:cs="Arial"/>
                <w:lang w:val="es-ES"/>
              </w:rPr>
              <w:t xml:space="preserve"> </w:t>
            </w:r>
            <w:r w:rsidRPr="3683B926">
              <w:rPr>
                <w:rFonts w:ascii="Verdana" w:eastAsia="Calibri" w:hAnsi="Verdana" w:cs="Arial"/>
                <w:lang w:val="es-ES"/>
              </w:rPr>
              <w:t xml:space="preserve">Esta norma debe armonizarse con los artículos 56 y 57 </w:t>
            </w:r>
            <w:r w:rsidRPr="3683B926">
              <w:rPr>
                <w:rFonts w:ascii="Verdana" w:eastAsia="Calibri" w:hAnsi="Verdana" w:cs="Arial"/>
                <w:i/>
                <w:lang w:val="es-ES"/>
              </w:rPr>
              <w:t>ibidem</w:t>
            </w:r>
            <w:r w:rsidRPr="3683B926">
              <w:rPr>
                <w:rFonts w:ascii="Verdana" w:eastAsia="Calibri" w:hAnsi="Verdana" w:cs="Arial"/>
                <w:lang w:val="es-ES"/>
              </w:rPr>
              <w:t xml:space="preserve">, que asignan la competencia para declarar la ocurrencia de una situación de </w:t>
            </w:r>
            <w:r w:rsidRPr="3683B926">
              <w:rPr>
                <w:rFonts w:ascii="Verdana" w:eastAsia="Calibri" w:hAnsi="Verdana" w:cs="Arial"/>
                <w:i/>
                <w:lang w:val="es-ES"/>
              </w:rPr>
              <w:t>desastre</w:t>
            </w:r>
            <w:r w:rsidRPr="3683B926">
              <w:rPr>
                <w:rFonts w:ascii="Verdana" w:eastAsia="Calibri" w:hAnsi="Verdana" w:cs="Arial"/>
                <w:lang w:val="es-ES"/>
              </w:rPr>
              <w:t xml:space="preserve"> o una situación de </w:t>
            </w:r>
            <w:r w:rsidRPr="3683B926">
              <w:rPr>
                <w:rFonts w:ascii="Verdana" w:eastAsia="Calibri" w:hAnsi="Verdana" w:cs="Arial"/>
                <w:i/>
                <w:lang w:val="es-ES"/>
              </w:rPr>
              <w:t>calamidad pública</w:t>
            </w:r>
            <w:r w:rsidRPr="3683B926">
              <w:rPr>
                <w:rFonts w:ascii="Verdana" w:eastAsia="Calibri" w:hAnsi="Verdana" w:cs="Arial"/>
                <w:lang w:val="es-ES"/>
              </w:rPr>
              <w:t>.</w:t>
            </w:r>
            <w:r>
              <w:rPr>
                <w:rFonts w:ascii="Verdana" w:eastAsia="Calibri" w:hAnsi="Verdana" w:cs="Arial"/>
                <w:lang w:val="es-ES"/>
              </w:rPr>
              <w:t xml:space="preserve"> U</w:t>
            </w:r>
            <w:r w:rsidRPr="00D93A6C">
              <w:rPr>
                <w:rFonts w:ascii="Verdana" w:eastAsia="Calibri" w:hAnsi="Verdana" w:cs="Arial"/>
                <w:lang w:val="es-ES_tradnl"/>
              </w:rPr>
              <w:t xml:space="preserve">na vez se declara la situación de calamidad o la situación de desastre bajo los criterios señalados en el artículo 59 de la Ley 1523 de 2012, por parte de la autoridad competente, las demás entidades estatales –de conformidad con el artículo 42 de la Ley 80 de 1993– quedan facultadas para declarar, a continuación, la causal de contratación directa denominada “urgencia manifiesta”, mediante un acto administrativo propio, autónomo, que tiene como </w:t>
            </w:r>
            <w:r w:rsidRPr="0061155F">
              <w:rPr>
                <w:rFonts w:ascii="Verdana" w:eastAsia="Calibri" w:hAnsi="Verdana" w:cs="Arial"/>
                <w:lang w:val="es-ES_tradnl"/>
              </w:rPr>
              <w:t xml:space="preserve">fundamento fáctico y jurídico la declaración de situación de calamidad o la situación de desastre. </w:t>
            </w:r>
          </w:p>
          <w:p w14:paraId="32026F6E" w14:textId="77777777" w:rsidR="005374E9" w:rsidRDefault="005374E9" w:rsidP="002E317E">
            <w:pPr>
              <w:ind w:firstLine="709"/>
              <w:jc w:val="both"/>
              <w:rPr>
                <w:rFonts w:ascii="Verdana" w:eastAsia="Calibri" w:hAnsi="Verdana" w:cs="Arial"/>
                <w:lang w:val="es-ES_tradnl"/>
              </w:rPr>
            </w:pPr>
          </w:p>
          <w:p w14:paraId="2279AA87" w14:textId="77777777" w:rsidR="005374E9" w:rsidRDefault="005374E9" w:rsidP="002E317E">
            <w:pPr>
              <w:spacing w:line="276" w:lineRule="auto"/>
              <w:ind w:firstLine="708"/>
              <w:jc w:val="both"/>
              <w:rPr>
                <w:rFonts w:ascii="Verdana" w:eastAsia="Calibri" w:hAnsi="Verdana" w:cs="Arial"/>
                <w:lang w:val="es-ES_tradnl"/>
              </w:rPr>
            </w:pPr>
            <w:r w:rsidRPr="00D93A6C">
              <w:rPr>
                <w:rFonts w:ascii="Verdana" w:eastAsia="Calibri" w:hAnsi="Verdana" w:cs="Arial"/>
                <w:lang w:val="es-ES_tradnl"/>
              </w:rPr>
              <w:lastRenderedPageBreak/>
              <w:t>Por lo anterior, cuando el artículo 42 de la Ley 80 de 1993 dispone que la urgencia manifiesta se declara –entre otras tres (3) causales– para “</w:t>
            </w:r>
            <w:r>
              <w:rPr>
                <w:rFonts w:ascii="Verdana" w:eastAsia="Calibri" w:hAnsi="Verdana" w:cs="Arial"/>
                <w:lang w:val="es-ES_tradnl"/>
              </w:rPr>
              <w:t xml:space="preserve">(…) </w:t>
            </w:r>
            <w:r w:rsidRPr="00D93A6C">
              <w:rPr>
                <w:rFonts w:ascii="Verdana" w:eastAsia="Calibri" w:hAnsi="Verdana" w:cs="Arial"/>
                <w:lang w:val="es-ES_tradnl"/>
              </w:rPr>
              <w:t xml:space="preserve">conjurar situaciones excepcionales relacionadas con hechos de calamidad o constitutivos de fuerza mayor o desastre que demanden actuaciones inmediatas </w:t>
            </w:r>
            <w:r>
              <w:rPr>
                <w:rFonts w:ascii="Verdana" w:eastAsia="Calibri" w:hAnsi="Verdana" w:cs="Arial"/>
                <w:lang w:val="es-ES_tradnl"/>
              </w:rPr>
              <w:t>(…)</w:t>
            </w:r>
            <w:r w:rsidRPr="00D93A6C">
              <w:rPr>
                <w:rFonts w:ascii="Verdana" w:eastAsia="Calibri" w:hAnsi="Verdana" w:cs="Arial"/>
                <w:lang w:val="es-ES_tradnl"/>
              </w:rPr>
              <w:t>”, las circunstancias de calamidad y desastre deben entenderse en los términos de la Ley 1523 de 2012, en la medida que forman una unidad jurídica completa.</w:t>
            </w:r>
          </w:p>
          <w:p w14:paraId="308FAF2C" w14:textId="77777777" w:rsidR="005374E9" w:rsidRPr="00840905" w:rsidRDefault="005374E9" w:rsidP="002E317E">
            <w:pPr>
              <w:spacing w:after="120" w:line="276" w:lineRule="auto"/>
              <w:ind w:firstLine="709"/>
              <w:jc w:val="both"/>
              <w:rPr>
                <w:rFonts w:ascii="Verdana" w:eastAsia="Calibri" w:hAnsi="Verdana" w:cs="Arial"/>
                <w:lang w:val="es-ES_tradnl"/>
              </w:rPr>
            </w:pPr>
            <w:r>
              <w:rPr>
                <w:rFonts w:ascii="Verdana" w:eastAsia="Calibri" w:hAnsi="Verdana" w:cs="Arial"/>
                <w:lang w:val="es-ES_tradnl"/>
              </w:rPr>
              <w:t xml:space="preserve">De esta manera la entidad estatal que declara la urgencia manifiesta deberá observar las normas que para el efecto en materia contractual se han indicado y por otro lado, la entidad pública que desea fungir como contratista no estaría impedido en ser proveedor de bienes y servicios entendiendo que debe enmarcase dentro de una urgencia manifiesta y bajo los presupuestos procedimentales para su declaratoria.   </w:t>
            </w:r>
          </w:p>
        </w:tc>
      </w:tr>
    </w:tbl>
    <w:p w14:paraId="173FE445" w14:textId="77777777" w:rsidR="005374E9" w:rsidRPr="00B64A74" w:rsidRDefault="005374E9" w:rsidP="005374E9">
      <w:pPr>
        <w:tabs>
          <w:tab w:val="left" w:pos="142"/>
          <w:tab w:val="left" w:pos="284"/>
        </w:tabs>
        <w:spacing w:after="0" w:line="276" w:lineRule="auto"/>
        <w:jc w:val="both"/>
        <w:rPr>
          <w:rFonts w:ascii="Verdana" w:eastAsia="Century Gothic" w:hAnsi="Verdana" w:cs="Century Gothic"/>
          <w:b/>
          <w:bCs/>
        </w:rPr>
      </w:pPr>
    </w:p>
    <w:p w14:paraId="0924F28D" w14:textId="77777777" w:rsidR="005374E9" w:rsidRPr="00B64A74" w:rsidRDefault="005374E9" w:rsidP="005374E9">
      <w:pPr>
        <w:tabs>
          <w:tab w:val="left" w:pos="142"/>
          <w:tab w:val="left" w:pos="284"/>
        </w:tabs>
        <w:spacing w:after="0" w:line="276" w:lineRule="auto"/>
        <w:jc w:val="both"/>
        <w:rPr>
          <w:rFonts w:ascii="Verdana" w:eastAsia="Century Gothic" w:hAnsi="Verdana" w:cs="Century Gothic"/>
          <w:b/>
          <w:bCs/>
        </w:rPr>
      </w:pPr>
      <w:r w:rsidRPr="00B64A74">
        <w:rPr>
          <w:rFonts w:ascii="Verdana" w:eastAsia="Century Gothic" w:hAnsi="Verdana" w:cs="Century Gothic"/>
          <w:b/>
          <w:bCs/>
        </w:rPr>
        <w:t>3. Razones de la respuesta:</w:t>
      </w:r>
    </w:p>
    <w:p w14:paraId="6979C9A3" w14:textId="77777777" w:rsidR="005374E9" w:rsidRPr="00B64A74" w:rsidRDefault="005374E9" w:rsidP="005374E9">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003957D2" w14:textId="77777777" w:rsidR="005374E9" w:rsidRPr="00B64A74" w:rsidRDefault="005374E9" w:rsidP="005374E9">
      <w:pPr>
        <w:tabs>
          <w:tab w:val="left" w:pos="142"/>
          <w:tab w:val="left" w:pos="284"/>
          <w:tab w:val="left" w:pos="6975"/>
        </w:tabs>
        <w:spacing w:after="0" w:line="276" w:lineRule="auto"/>
        <w:jc w:val="both"/>
        <w:rPr>
          <w:rFonts w:ascii="Verdana" w:eastAsia="Calibri" w:hAnsi="Verdana" w:cs="Arial"/>
        </w:rPr>
      </w:pPr>
      <w:r w:rsidRPr="00B64A74">
        <w:rPr>
          <w:rFonts w:ascii="Verdana" w:eastAsia="Calibri" w:hAnsi="Verdana" w:cs="Arial"/>
        </w:rPr>
        <w:t>Lo anterior se sustenta en las siguientes consideraciones:</w:t>
      </w:r>
    </w:p>
    <w:p w14:paraId="32EAD274" w14:textId="77777777" w:rsidR="005374E9" w:rsidRPr="00B64A74" w:rsidRDefault="005374E9" w:rsidP="005374E9">
      <w:pPr>
        <w:tabs>
          <w:tab w:val="left" w:pos="142"/>
          <w:tab w:val="left" w:pos="284"/>
          <w:tab w:val="left" w:pos="6975"/>
        </w:tabs>
        <w:spacing w:after="0" w:line="276" w:lineRule="auto"/>
        <w:jc w:val="both"/>
        <w:rPr>
          <w:rFonts w:ascii="Verdana" w:eastAsia="Calibri" w:hAnsi="Verdana" w:cs="Arial"/>
        </w:rPr>
      </w:pPr>
    </w:p>
    <w:p w14:paraId="75988AB3" w14:textId="77777777" w:rsidR="005374E9" w:rsidRDefault="005374E9" w:rsidP="005374E9">
      <w:pPr>
        <w:spacing w:after="120" w:line="276" w:lineRule="auto"/>
        <w:jc w:val="both"/>
        <w:rPr>
          <w:rFonts w:ascii="Verdana" w:eastAsiaTheme="minorEastAsia" w:hAnsi="Verdana" w:cs="Arial"/>
          <w:lang w:eastAsia="es-CO"/>
        </w:rPr>
      </w:pPr>
      <w:r>
        <w:rPr>
          <w:rFonts w:ascii="Verdana" w:eastAsiaTheme="minorEastAsia" w:hAnsi="Verdana" w:cs="Arial"/>
          <w:lang w:eastAsia="es-CO"/>
        </w:rPr>
        <w:t>i) L</w:t>
      </w:r>
      <w:r w:rsidRPr="00CF54DC">
        <w:rPr>
          <w:rFonts w:ascii="Verdana" w:eastAsiaTheme="minorEastAsia" w:hAnsi="Verdana" w:cs="Arial"/>
          <w:lang w:eastAsia="es-CO"/>
        </w:rPr>
        <w:t>a Agencia Nacional de Contratación Pública – Colombia Compra Eficiente fue creada por el Decreto Ley 4170 de 2011, como una Unidad Administrativa Especial, descentralizada de la Rama Ejecutiva del orden nacional, adscrita al Departamento Nacional de Planeación. El legislador determinó que su objetivo 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w:t>
      </w:r>
      <w:r>
        <w:rPr>
          <w:rFonts w:ascii="Verdana" w:eastAsiaTheme="minorEastAsia" w:hAnsi="Verdana" w:cs="Arial"/>
          <w:lang w:eastAsia="es-CO"/>
        </w:rPr>
        <w:t xml:space="preserve">. </w:t>
      </w:r>
    </w:p>
    <w:p w14:paraId="780DE617" w14:textId="77777777" w:rsidR="005374E9" w:rsidRDefault="005374E9" w:rsidP="005374E9">
      <w:pPr>
        <w:spacing w:after="120" w:line="276" w:lineRule="auto"/>
        <w:ind w:firstLine="708"/>
        <w:jc w:val="both"/>
        <w:rPr>
          <w:rFonts w:ascii="Verdana" w:eastAsiaTheme="minorEastAsia" w:hAnsi="Verdana" w:cs="Arial"/>
          <w:lang w:eastAsia="es-CO"/>
        </w:rPr>
      </w:pPr>
      <w:r>
        <w:rPr>
          <w:rFonts w:ascii="Verdana" w:eastAsiaTheme="minorEastAsia" w:hAnsi="Verdana" w:cs="Arial"/>
          <w:lang w:eastAsia="es-CO"/>
        </w:rPr>
        <w:t xml:space="preserve">En ese contexto, el legislador extraordinario </w:t>
      </w:r>
      <w:r w:rsidRPr="00CF54DC">
        <w:rPr>
          <w:rFonts w:ascii="Verdana" w:eastAsiaTheme="minorEastAsia" w:hAnsi="Verdana" w:cs="Arial"/>
          <w:lang w:eastAsia="es-CO"/>
        </w:rPr>
        <w:t>facult</w:t>
      </w:r>
      <w:r>
        <w:rPr>
          <w:rFonts w:ascii="Verdana" w:eastAsiaTheme="minorEastAsia" w:hAnsi="Verdana" w:cs="Arial"/>
          <w:lang w:eastAsia="es-CO"/>
        </w:rPr>
        <w:t>ó</w:t>
      </w:r>
      <w:r w:rsidRPr="00CF54DC">
        <w:rPr>
          <w:rFonts w:ascii="Verdana" w:eastAsiaTheme="minorEastAsia" w:hAnsi="Verdana" w:cs="Arial"/>
          <w:lang w:eastAsia="es-CO"/>
        </w:rPr>
        <w:t xml:space="preserve"> a la Agencia para “Absolver consultas sobre la aplicación de normas de carácter general” y “difundir las normas, reglas, procedimientos, medios tecnológicos y mejores prácticas para las compras y la contratación pública”, de conformidad con el numeral 5 y 10 del artículo 3 del Decreto </w:t>
      </w:r>
      <w:r>
        <w:rPr>
          <w:rFonts w:ascii="Verdana" w:eastAsiaTheme="minorEastAsia" w:hAnsi="Verdana" w:cs="Arial"/>
          <w:lang w:eastAsia="es-CO"/>
        </w:rPr>
        <w:t xml:space="preserve">Ley </w:t>
      </w:r>
      <w:r w:rsidRPr="00CF54DC">
        <w:rPr>
          <w:rFonts w:ascii="Verdana" w:eastAsiaTheme="minorEastAsia" w:hAnsi="Verdana" w:cs="Arial"/>
          <w:lang w:eastAsia="es-CO"/>
        </w:rPr>
        <w:t>4170 de</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 xml:space="preserve">2011. </w:t>
      </w:r>
      <w:r w:rsidRPr="0063536A">
        <w:rPr>
          <w:rFonts w:ascii="Verdana" w:eastAsia="Calibri" w:hAnsi="Verdana" w:cs="Arial"/>
          <w:lang w:val="es-ES" w:eastAsia="es-CO"/>
        </w:rPr>
        <w:t>Así las cosas</w:t>
      </w:r>
      <w:r w:rsidRPr="00CF54DC">
        <w:rPr>
          <w:rFonts w:ascii="Verdana" w:eastAsia="Calibri" w:hAnsi="Verdana" w:cs="Arial"/>
          <w:lang w:val="es-ES" w:eastAsia="es-CO"/>
        </w:rPr>
        <w:t xml:space="preserve">, </w:t>
      </w:r>
      <w:r w:rsidRPr="00CF54DC">
        <w:rPr>
          <w:rFonts w:ascii="Verdana" w:eastAsiaTheme="minorEastAsia" w:hAnsi="Verdana" w:cs="Arial"/>
          <w:lang w:eastAsia="es-CO"/>
        </w:rPr>
        <w:t xml:space="preserve">de acuerdo con lo establecido en los artículos 3.5 y 11.8 </w:t>
      </w:r>
      <w:r w:rsidRPr="00CF54DC">
        <w:rPr>
          <w:rFonts w:ascii="Verdana" w:eastAsiaTheme="minorEastAsia" w:hAnsi="Verdana" w:cs="Arial"/>
          <w:i/>
          <w:iCs/>
          <w:lang w:eastAsia="es-CO"/>
        </w:rPr>
        <w:t>ibidem</w:t>
      </w:r>
      <w:r w:rsidRPr="00CF54DC">
        <w:rPr>
          <w:rFonts w:ascii="Verdana" w:eastAsiaTheme="minorEastAsia" w:hAnsi="Verdana" w:cs="Arial"/>
          <w:lang w:eastAsia="es-CO"/>
        </w:rPr>
        <w:t>, la Agencia Nacional de Contratación Pública – Colombia Compra Eficiente</w:t>
      </w:r>
      <w:r w:rsidRPr="00CF54DC">
        <w:rPr>
          <w:rFonts w:ascii="Verdana" w:eastAsiaTheme="minorEastAsia" w:hAnsi="Verdana" w:cs="Arial"/>
          <w:lang w:val="es-ES" w:eastAsia="es-CO"/>
        </w:rPr>
        <w:t xml:space="preserve"> </w:t>
      </w:r>
      <w:r w:rsidRPr="00CF54DC">
        <w:rPr>
          <w:rFonts w:ascii="Verdana" w:eastAsiaTheme="minorEastAsia" w:hAnsi="Verdana" w:cs="Arial"/>
          <w:lang w:eastAsia="es-CO"/>
        </w:rPr>
        <w:t>resuelve</w:t>
      </w:r>
      <w:r w:rsidRPr="00CF54DC">
        <w:rPr>
          <w:rFonts w:ascii="Verdana" w:eastAsiaTheme="minorEastAsia" w:hAnsi="Verdana" w:cs="Arial"/>
          <w:spacing w:val="-16"/>
          <w:lang w:eastAsia="es-CO"/>
        </w:rPr>
        <w:t xml:space="preserve"> </w:t>
      </w:r>
      <w:r w:rsidRPr="00CF54DC">
        <w:rPr>
          <w:rFonts w:ascii="Verdana" w:eastAsiaTheme="minorEastAsia" w:hAnsi="Verdana" w:cs="Arial"/>
          <w:lang w:eastAsia="es-CO"/>
        </w:rPr>
        <w:t>las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consultas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lastRenderedPageBreak/>
        <w:t>sobre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asuntos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su</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competencia,</w:t>
      </w:r>
      <w:r w:rsidRPr="00CF54DC">
        <w:rPr>
          <w:rFonts w:ascii="Verdana" w:eastAsiaTheme="minorEastAsia" w:hAnsi="Verdana" w:cs="Arial"/>
          <w:spacing w:val="-59"/>
          <w:lang w:eastAsia="es-CO"/>
        </w:rPr>
        <w:t xml:space="preserve"> </w:t>
      </w:r>
      <w:r w:rsidRPr="00CF54DC">
        <w:rPr>
          <w:rFonts w:ascii="Verdana" w:eastAsiaTheme="minorEastAsia" w:hAnsi="Verdana" w:cs="Arial"/>
          <w:lang w:eastAsia="es-CO"/>
        </w:rPr>
        <w:t>esto es, sobre las temáticas de la contratación estatal y compras públicas relacionadas en los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artículos citados</w:t>
      </w:r>
      <w:r w:rsidRPr="00CF54DC">
        <w:rPr>
          <w:rFonts w:ascii="Verdana" w:eastAsiaTheme="minorEastAsia" w:hAnsi="Verdana" w:cs="Arial"/>
          <w:vertAlign w:val="superscript"/>
          <w:lang w:eastAsia="es-CO"/>
        </w:rPr>
        <w:footnoteReference w:id="1"/>
      </w:r>
      <w:r w:rsidRPr="00CF54DC">
        <w:rPr>
          <w:rFonts w:ascii="Verdana" w:eastAsiaTheme="minorEastAsia" w:hAnsi="Verdana" w:cs="Arial"/>
          <w:lang w:eastAsia="es-CO"/>
        </w:rPr>
        <w:t xml:space="preserve">. </w:t>
      </w:r>
    </w:p>
    <w:p w14:paraId="4841044E" w14:textId="77777777" w:rsidR="005374E9" w:rsidRPr="00CF54DC" w:rsidRDefault="005374E9" w:rsidP="005374E9">
      <w:pPr>
        <w:spacing w:after="120" w:line="276" w:lineRule="auto"/>
        <w:ind w:firstLine="708"/>
        <w:jc w:val="both"/>
        <w:rPr>
          <w:rFonts w:ascii="Verdana" w:eastAsiaTheme="minorEastAsia" w:hAnsi="Verdana" w:cs="Arial"/>
          <w:lang w:eastAsia="es-CO"/>
        </w:rPr>
      </w:pPr>
      <w:r w:rsidRPr="00CF54DC">
        <w:rPr>
          <w:rFonts w:ascii="Verdana" w:eastAsiaTheme="minorEastAsia" w:hAnsi="Verdana" w:cs="Arial"/>
          <w:lang w:eastAsia="es-CO"/>
        </w:rPr>
        <w:t>En ese sentido, resolver consultas sobre casos particulares desborda las</w:t>
      </w:r>
      <w:r w:rsidRPr="00CF54DC">
        <w:rPr>
          <w:rFonts w:ascii="Verdana" w:eastAsiaTheme="minorEastAsia" w:hAnsi="Verdana" w:cs="Arial"/>
          <w:spacing w:val="-59"/>
          <w:lang w:eastAsia="es-CO"/>
        </w:rPr>
        <w:t xml:space="preserve"> </w:t>
      </w:r>
      <w:r w:rsidRPr="00CF54DC">
        <w:rPr>
          <w:rFonts w:ascii="Verdana" w:eastAsiaTheme="minorEastAsia" w:hAnsi="Verdana" w:cs="Arial"/>
          <w:lang w:eastAsia="es-CO"/>
        </w:rPr>
        <w:t>atribuciones</w:t>
      </w:r>
      <w:r w:rsidRPr="00CF54DC">
        <w:rPr>
          <w:rFonts w:ascii="Verdana" w:eastAsiaTheme="minorEastAsia" w:hAnsi="Verdana" w:cs="Arial"/>
          <w:spacing w:val="-11"/>
          <w:lang w:eastAsia="es-CO"/>
        </w:rPr>
        <w:t xml:space="preserve"> </w:t>
      </w:r>
      <w:r w:rsidRPr="00CF54DC">
        <w:rPr>
          <w:rFonts w:ascii="Verdana" w:eastAsiaTheme="minorEastAsia" w:hAnsi="Verdana" w:cs="Arial"/>
          <w:lang w:eastAsia="es-CO"/>
        </w:rPr>
        <w:t>asignadas</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por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legislador,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no</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concibió</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Colombia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Compra</w:t>
      </w:r>
      <w:r w:rsidRPr="00CF54DC">
        <w:rPr>
          <w:rFonts w:ascii="Verdana" w:eastAsiaTheme="minorEastAsia" w:hAnsi="Verdana" w:cs="Arial"/>
          <w:spacing w:val="-11"/>
          <w:lang w:eastAsia="es-CO"/>
        </w:rPr>
        <w:t xml:space="preserve"> </w:t>
      </w:r>
      <w:r w:rsidRPr="00CF54DC">
        <w:rPr>
          <w:rFonts w:ascii="Verdana" w:eastAsiaTheme="minorEastAsia" w:hAnsi="Verdana" w:cs="Arial"/>
          <w:lang w:eastAsia="es-CO"/>
        </w:rPr>
        <w:t>Eficiente</w:t>
      </w:r>
      <w:r w:rsidRPr="00CF54DC">
        <w:rPr>
          <w:rFonts w:ascii="Verdana" w:eastAsiaTheme="minorEastAsia" w:hAnsi="Verdana" w:cs="Arial"/>
          <w:spacing w:val="-8"/>
          <w:lang w:eastAsia="es-CO"/>
        </w:rPr>
        <w:t xml:space="preserve"> </w:t>
      </w:r>
      <w:r w:rsidRPr="00CF54DC">
        <w:rPr>
          <w:rFonts w:ascii="Verdana" w:eastAsiaTheme="minorEastAsia" w:hAnsi="Verdana" w:cs="Arial"/>
          <w:lang w:eastAsia="es-CO"/>
        </w:rPr>
        <w:t>como</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una autoridad para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solucionar</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problemas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jurídicos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particulares,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especialmente,</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cuando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conocimiento de estos últimos corresponde resolverlos a los partícipes del sistema de compra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pública</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y,</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eventualmente,</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las</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autoridades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judiciales</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y</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organismos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control.</w:t>
      </w:r>
    </w:p>
    <w:p w14:paraId="014EF93C" w14:textId="77777777" w:rsidR="005374E9" w:rsidRPr="00CF54DC" w:rsidRDefault="005374E9" w:rsidP="005374E9">
      <w:pPr>
        <w:spacing w:after="120" w:line="276" w:lineRule="auto"/>
        <w:ind w:firstLine="590"/>
        <w:jc w:val="both"/>
        <w:rPr>
          <w:rFonts w:ascii="Verdana" w:eastAsiaTheme="minorEastAsia" w:hAnsi="Verdana" w:cs="Arial"/>
          <w:lang w:eastAsia="es-CO"/>
        </w:rPr>
      </w:pPr>
      <w:r w:rsidRPr="00CF54DC">
        <w:rPr>
          <w:rFonts w:ascii="Verdana" w:eastAsiaTheme="minorEastAsia" w:hAnsi="Verdana" w:cs="Arial"/>
          <w:lang w:eastAsia="es-CO"/>
        </w:rPr>
        <w:t>Por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tanto,</w:t>
      </w:r>
      <w:r w:rsidRPr="00CF54DC">
        <w:rPr>
          <w:rFonts w:ascii="Verdana" w:eastAsiaTheme="minorEastAsia" w:hAnsi="Verdana" w:cs="Arial"/>
          <w:spacing w:val="-8"/>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competencia</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esta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Agencia</w:t>
      </w:r>
      <w:r w:rsidRPr="00CF54DC">
        <w:rPr>
          <w:rFonts w:ascii="Verdana" w:eastAsiaTheme="minorEastAsia" w:hAnsi="Verdana" w:cs="Arial"/>
          <w:spacing w:val="-8"/>
          <w:lang w:eastAsia="es-CO"/>
        </w:rPr>
        <w:t xml:space="preserve"> </w:t>
      </w:r>
      <w:r w:rsidRPr="00CF54DC">
        <w:rPr>
          <w:rFonts w:ascii="Verdana" w:eastAsiaTheme="minorEastAsia" w:hAnsi="Verdana" w:cs="Arial"/>
          <w:lang w:eastAsia="es-CO"/>
        </w:rPr>
        <w:t>se</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fija</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con</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límites</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claros,</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con</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objeto</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evitar</w:t>
      </w:r>
      <w:r w:rsidRPr="00CF54DC">
        <w:rPr>
          <w:rFonts w:ascii="Verdana" w:eastAsiaTheme="minorEastAsia" w:hAnsi="Verdana" w:cs="Arial"/>
          <w:spacing w:val="-58"/>
          <w:lang w:eastAsia="es-CO"/>
        </w:rPr>
        <w:t xml:space="preserve"> </w:t>
      </w:r>
      <w:r w:rsidRPr="00CF54DC">
        <w:rPr>
          <w:rFonts w:ascii="Verdana" w:eastAsiaTheme="minorEastAsia" w:hAnsi="Verdana" w:cs="Arial"/>
          <w:lang w:eastAsia="es-CO"/>
        </w:rPr>
        <w:t>que actúe como una instancia de validación de las actuaciones de las entidades sujetas a la Ley 80</w:t>
      </w:r>
      <w:r w:rsidRPr="00CF54DC">
        <w:rPr>
          <w:rFonts w:ascii="Verdana" w:eastAsiaTheme="minorEastAsia" w:hAnsi="Verdana" w:cs="Arial"/>
          <w:spacing w:val="-7"/>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1993</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o</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demás</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participantes</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contratación</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pública.</w:t>
      </w:r>
      <w:r w:rsidRPr="00CF54DC">
        <w:rPr>
          <w:rFonts w:ascii="Verdana" w:eastAsiaTheme="minorEastAsia" w:hAnsi="Verdana" w:cs="Arial"/>
          <w:spacing w:val="-7"/>
          <w:lang w:eastAsia="es-CO"/>
        </w:rPr>
        <w:t xml:space="preserve"> </w:t>
      </w:r>
      <w:r w:rsidRPr="00CF54DC">
        <w:rPr>
          <w:rFonts w:ascii="Verdana" w:eastAsiaTheme="minorEastAsia" w:hAnsi="Verdana" w:cs="Arial"/>
          <w:lang w:eastAsia="es-CO"/>
        </w:rPr>
        <w:t>Lo</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anterior,</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en</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medida</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en</w:t>
      </w:r>
      <w:r w:rsidRPr="00CF54DC">
        <w:rPr>
          <w:rFonts w:ascii="Verdana" w:eastAsiaTheme="minorEastAsia" w:hAnsi="Verdana" w:cs="Arial"/>
          <w:spacing w:val="-59"/>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30"/>
          <w:lang w:eastAsia="es-CO"/>
        </w:rPr>
        <w:t xml:space="preserve"> </w:t>
      </w:r>
      <w:r w:rsidRPr="00CF54DC">
        <w:rPr>
          <w:rFonts w:ascii="Verdana" w:eastAsiaTheme="minorEastAsia" w:hAnsi="Verdana" w:cs="Arial"/>
          <w:lang w:eastAsia="es-CO"/>
        </w:rPr>
        <w:t>para</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resolver</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una</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consulta</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carácter</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particular,</w:t>
      </w:r>
      <w:r w:rsidRPr="00CF54DC">
        <w:rPr>
          <w:rFonts w:ascii="Verdana" w:eastAsiaTheme="minorEastAsia" w:hAnsi="Verdana" w:cs="Arial"/>
          <w:spacing w:val="32"/>
          <w:lang w:eastAsia="es-CO"/>
        </w:rPr>
        <w:t xml:space="preserve"> </w:t>
      </w:r>
      <w:r w:rsidRPr="00CF54DC">
        <w:rPr>
          <w:rFonts w:ascii="Verdana" w:eastAsiaTheme="minorEastAsia" w:hAnsi="Verdana" w:cs="Arial"/>
          <w:lang w:eastAsia="es-CO"/>
        </w:rPr>
        <w:t>además</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conocer</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un</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sinnúmero</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de detalles de la actuación administrativa, es necesario acceder al expediente y a los documentos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del procedimiento contractual donde surge la inquietud</w:t>
      </w:r>
      <w:r>
        <w:rPr>
          <w:rFonts w:ascii="Verdana" w:eastAsiaTheme="minorEastAsia" w:hAnsi="Verdana" w:cs="Arial"/>
          <w:lang w:eastAsia="es-CO"/>
        </w:rPr>
        <w:t xml:space="preserve">. Por esta </w:t>
      </w:r>
      <w:r w:rsidRPr="00CF54DC">
        <w:rPr>
          <w:rFonts w:ascii="Verdana" w:eastAsiaTheme="minorEastAsia" w:hAnsi="Verdana" w:cs="Arial"/>
          <w:lang w:eastAsia="es-CO"/>
        </w:rPr>
        <w:t>razón, al no ser un órgano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 xml:space="preserve">judicial, ni una entidad de vigilancia, inspección o control en materia contractual, </w:t>
      </w:r>
      <w:r>
        <w:rPr>
          <w:rFonts w:ascii="Verdana" w:eastAsiaTheme="minorEastAsia" w:hAnsi="Verdana" w:cs="Arial"/>
          <w:lang w:eastAsia="es-CO"/>
        </w:rPr>
        <w:t xml:space="preserve">la Agencia </w:t>
      </w:r>
      <w:r w:rsidRPr="00CF54DC">
        <w:rPr>
          <w:rFonts w:ascii="Verdana" w:eastAsiaTheme="minorEastAsia" w:hAnsi="Verdana" w:cs="Arial"/>
          <w:lang w:eastAsia="es-CO"/>
        </w:rPr>
        <w:t>carece de la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facultad</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para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desempeñar</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estas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funciones.</w:t>
      </w:r>
    </w:p>
    <w:p w14:paraId="4DBC1E8E" w14:textId="77777777" w:rsidR="005374E9" w:rsidRPr="004B79A3" w:rsidRDefault="005374E9" w:rsidP="005374E9">
      <w:pPr>
        <w:spacing w:after="120" w:line="276" w:lineRule="auto"/>
        <w:ind w:firstLine="709"/>
        <w:jc w:val="both"/>
        <w:rPr>
          <w:rFonts w:ascii="Verdana" w:eastAsiaTheme="minorEastAsia" w:hAnsi="Verdana" w:cs="Arial"/>
          <w:lang w:eastAsia="es-CO"/>
        </w:rPr>
      </w:pPr>
      <w:r w:rsidRPr="00D472CA">
        <w:rPr>
          <w:rFonts w:ascii="Verdana" w:eastAsiaTheme="minorEastAsia" w:hAnsi="Verdana" w:cs="Arial"/>
          <w:lang w:eastAsia="es-CO"/>
        </w:rPr>
        <w:t xml:space="preserve">Ahora bien, </w:t>
      </w:r>
      <w:r>
        <w:rPr>
          <w:rFonts w:ascii="Verdana" w:eastAsiaTheme="minorEastAsia" w:hAnsi="Verdana" w:cs="Arial"/>
          <w:lang w:eastAsia="es-CO"/>
        </w:rPr>
        <w:t>debe señalarse que</w:t>
      </w:r>
      <w:r w:rsidRPr="00CF54DC">
        <w:rPr>
          <w:rFonts w:ascii="Verdana" w:eastAsiaTheme="minorEastAsia" w:hAnsi="Verdana" w:cs="Arial"/>
          <w:lang w:eastAsia="es-CO"/>
        </w:rPr>
        <w:t>, el alcance de la competencia consultiva encuentra su fundamento normativo en el</w:t>
      </w:r>
      <w:r w:rsidRPr="00CF54DC">
        <w:rPr>
          <w:rFonts w:ascii="Verdana" w:eastAsiaTheme="minorEastAsia" w:hAnsi="Verdana" w:cs="Arial"/>
          <w:spacing w:val="-59"/>
          <w:lang w:eastAsia="es-CO"/>
        </w:rPr>
        <w:t xml:space="preserve"> </w:t>
      </w:r>
      <w:r w:rsidRPr="00CF54DC">
        <w:rPr>
          <w:rFonts w:ascii="Verdana" w:eastAsiaTheme="minorEastAsia" w:hAnsi="Verdana" w:cs="Arial"/>
          <w:spacing w:val="-1"/>
          <w:lang w:eastAsia="es-CO"/>
        </w:rPr>
        <w:t>artículo</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28</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la</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Ley</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1437</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2011,</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sustituido</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por</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el</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artículo</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1</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Ley</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1755</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2015,</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dispone</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lo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siguiente:</w:t>
      </w:r>
      <w:r>
        <w:rPr>
          <w:rFonts w:ascii="Verdana" w:eastAsiaTheme="minorEastAsia" w:hAnsi="Verdana" w:cs="Arial"/>
          <w:lang w:eastAsia="es-CO"/>
        </w:rPr>
        <w:t xml:space="preserve"> </w:t>
      </w:r>
      <w:r w:rsidRPr="0063536A">
        <w:rPr>
          <w:rFonts w:ascii="Verdana" w:eastAsia="Times New Roman" w:hAnsi="Verdana" w:cs="Arial"/>
        </w:rPr>
        <w:t>“Artículo</w:t>
      </w:r>
      <w:r w:rsidRPr="0063536A">
        <w:rPr>
          <w:rFonts w:ascii="Verdana" w:eastAsia="Times New Roman" w:hAnsi="Verdana" w:cs="Arial"/>
          <w:spacing w:val="1"/>
        </w:rPr>
        <w:t xml:space="preserve"> </w:t>
      </w:r>
      <w:r w:rsidRPr="0063536A">
        <w:rPr>
          <w:rFonts w:ascii="Verdana" w:eastAsia="Times New Roman" w:hAnsi="Verdana" w:cs="Arial"/>
        </w:rPr>
        <w:t>28.</w:t>
      </w:r>
      <w:r w:rsidRPr="0063536A">
        <w:rPr>
          <w:rFonts w:ascii="Verdana" w:eastAsia="Times New Roman" w:hAnsi="Verdana" w:cs="Arial"/>
          <w:spacing w:val="1"/>
        </w:rPr>
        <w:t xml:space="preserve"> </w:t>
      </w:r>
      <w:r w:rsidRPr="0063536A">
        <w:rPr>
          <w:rFonts w:ascii="Verdana" w:eastAsia="Times New Roman" w:hAnsi="Verdana" w:cs="Arial"/>
        </w:rPr>
        <w:t>Alcance</w:t>
      </w:r>
      <w:r w:rsidRPr="0063536A">
        <w:rPr>
          <w:rFonts w:ascii="Verdana" w:eastAsia="Times New Roman" w:hAnsi="Verdana" w:cs="Arial"/>
          <w:spacing w:val="1"/>
        </w:rPr>
        <w:t xml:space="preserve"> </w:t>
      </w:r>
      <w:r w:rsidRPr="0063536A">
        <w:rPr>
          <w:rFonts w:ascii="Verdana" w:eastAsia="Times New Roman" w:hAnsi="Verdana" w:cs="Arial"/>
        </w:rPr>
        <w:t>de</w:t>
      </w:r>
      <w:r w:rsidRPr="0063536A">
        <w:rPr>
          <w:rFonts w:ascii="Verdana" w:eastAsia="Times New Roman" w:hAnsi="Verdana" w:cs="Arial"/>
          <w:spacing w:val="1"/>
        </w:rPr>
        <w:t xml:space="preserve"> </w:t>
      </w:r>
      <w:r w:rsidRPr="0063536A">
        <w:rPr>
          <w:rFonts w:ascii="Verdana" w:eastAsia="Times New Roman" w:hAnsi="Verdana" w:cs="Arial"/>
        </w:rPr>
        <w:t>los</w:t>
      </w:r>
      <w:r w:rsidRPr="0063536A">
        <w:rPr>
          <w:rFonts w:ascii="Verdana" w:eastAsia="Times New Roman" w:hAnsi="Verdana" w:cs="Arial"/>
          <w:spacing w:val="1"/>
        </w:rPr>
        <w:t xml:space="preserve"> </w:t>
      </w:r>
      <w:r w:rsidRPr="0063536A">
        <w:rPr>
          <w:rFonts w:ascii="Verdana" w:eastAsia="Times New Roman" w:hAnsi="Verdana" w:cs="Arial"/>
        </w:rPr>
        <w:t>conceptos.</w:t>
      </w:r>
      <w:r w:rsidRPr="0063536A">
        <w:rPr>
          <w:rFonts w:ascii="Verdana" w:eastAsia="Times New Roman" w:hAnsi="Verdana" w:cs="Arial"/>
          <w:spacing w:val="1"/>
        </w:rPr>
        <w:t xml:space="preserve"> </w:t>
      </w:r>
      <w:r w:rsidRPr="0063536A">
        <w:rPr>
          <w:rFonts w:ascii="Verdana" w:eastAsia="Times New Roman" w:hAnsi="Verdana" w:cs="Arial"/>
        </w:rPr>
        <w:t>Salvo</w:t>
      </w:r>
      <w:r w:rsidRPr="0063536A">
        <w:rPr>
          <w:rFonts w:ascii="Verdana" w:eastAsia="Times New Roman" w:hAnsi="Verdana" w:cs="Arial"/>
          <w:spacing w:val="1"/>
        </w:rPr>
        <w:t xml:space="preserve"> </w:t>
      </w:r>
      <w:r w:rsidRPr="0063536A">
        <w:rPr>
          <w:rFonts w:ascii="Verdana" w:eastAsia="Times New Roman" w:hAnsi="Verdana" w:cs="Arial"/>
        </w:rPr>
        <w:t>disposición</w:t>
      </w:r>
      <w:r w:rsidRPr="0063536A">
        <w:rPr>
          <w:rFonts w:ascii="Verdana" w:eastAsia="Times New Roman" w:hAnsi="Verdana" w:cs="Arial"/>
          <w:spacing w:val="1"/>
        </w:rPr>
        <w:t xml:space="preserve"> </w:t>
      </w:r>
      <w:r w:rsidRPr="0063536A">
        <w:rPr>
          <w:rFonts w:ascii="Verdana" w:eastAsia="Times New Roman" w:hAnsi="Verdana" w:cs="Arial"/>
        </w:rPr>
        <w:t>legal</w:t>
      </w:r>
      <w:r w:rsidRPr="0063536A">
        <w:rPr>
          <w:rFonts w:ascii="Verdana" w:eastAsia="Times New Roman" w:hAnsi="Verdana" w:cs="Arial"/>
          <w:spacing w:val="1"/>
        </w:rPr>
        <w:t xml:space="preserve"> </w:t>
      </w:r>
      <w:r w:rsidRPr="0063536A">
        <w:rPr>
          <w:rFonts w:ascii="Verdana" w:eastAsia="Times New Roman" w:hAnsi="Verdana" w:cs="Arial"/>
        </w:rPr>
        <w:t>en</w:t>
      </w:r>
      <w:r w:rsidRPr="0063536A">
        <w:rPr>
          <w:rFonts w:ascii="Verdana" w:eastAsia="Times New Roman" w:hAnsi="Verdana" w:cs="Arial"/>
          <w:spacing w:val="1"/>
        </w:rPr>
        <w:t xml:space="preserve"> </w:t>
      </w:r>
      <w:r w:rsidRPr="0063536A">
        <w:rPr>
          <w:rFonts w:ascii="Verdana" w:eastAsia="Times New Roman" w:hAnsi="Verdana" w:cs="Arial"/>
        </w:rPr>
        <w:t>contrario,</w:t>
      </w:r>
      <w:r w:rsidRPr="0063536A">
        <w:rPr>
          <w:rFonts w:ascii="Verdana" w:eastAsia="Times New Roman" w:hAnsi="Verdana" w:cs="Arial"/>
          <w:spacing w:val="1"/>
        </w:rPr>
        <w:t xml:space="preserve"> </w:t>
      </w:r>
      <w:r w:rsidRPr="0063536A">
        <w:rPr>
          <w:rFonts w:ascii="Verdana" w:eastAsia="Times New Roman" w:hAnsi="Verdana" w:cs="Arial"/>
        </w:rPr>
        <w:t>los</w:t>
      </w:r>
      <w:r w:rsidRPr="0063536A">
        <w:rPr>
          <w:rFonts w:ascii="Verdana" w:eastAsia="Times New Roman" w:hAnsi="Verdana" w:cs="Arial"/>
          <w:spacing w:val="-56"/>
        </w:rPr>
        <w:t xml:space="preserve"> </w:t>
      </w:r>
      <w:r w:rsidRPr="0063536A">
        <w:rPr>
          <w:rFonts w:ascii="Verdana" w:eastAsia="Times New Roman" w:hAnsi="Verdana" w:cs="Arial"/>
        </w:rPr>
        <w:t>conceptos emitidos por las autoridades como respuestas a peticiones realizadas en</w:t>
      </w:r>
      <w:r w:rsidRPr="0063536A">
        <w:rPr>
          <w:rFonts w:ascii="Verdana" w:eastAsia="Times New Roman" w:hAnsi="Verdana" w:cs="Arial"/>
          <w:spacing w:val="1"/>
        </w:rPr>
        <w:t xml:space="preserve"> </w:t>
      </w:r>
      <w:r w:rsidRPr="0063536A">
        <w:rPr>
          <w:rFonts w:ascii="Verdana" w:eastAsia="Times New Roman" w:hAnsi="Verdana" w:cs="Arial"/>
        </w:rPr>
        <w:t xml:space="preserve">ejercicio del derecho a formular consultas </w:t>
      </w:r>
      <w:r w:rsidRPr="0063536A">
        <w:rPr>
          <w:rFonts w:ascii="Verdana" w:eastAsia="Times New Roman" w:hAnsi="Verdana" w:cs="Arial"/>
          <w:i/>
        </w:rPr>
        <w:t>no serán de obligatorio cumplimiento o</w:t>
      </w:r>
      <w:r w:rsidRPr="0063536A">
        <w:rPr>
          <w:rFonts w:ascii="Verdana" w:eastAsia="Times New Roman" w:hAnsi="Verdana" w:cs="Arial"/>
          <w:i/>
          <w:spacing w:val="1"/>
        </w:rPr>
        <w:t xml:space="preserve"> </w:t>
      </w:r>
      <w:r w:rsidRPr="0063536A">
        <w:rPr>
          <w:rFonts w:ascii="Verdana" w:eastAsia="Times New Roman" w:hAnsi="Verdana" w:cs="Arial"/>
          <w:i/>
        </w:rPr>
        <w:t>ejecución</w:t>
      </w:r>
      <w:r w:rsidRPr="0063536A">
        <w:rPr>
          <w:rFonts w:ascii="Verdana" w:eastAsia="Times New Roman" w:hAnsi="Verdana" w:cs="Arial"/>
        </w:rPr>
        <w:t>”. [Énfasis fuera del texto original]</w:t>
      </w:r>
    </w:p>
    <w:p w14:paraId="44ED0A6C" w14:textId="77777777" w:rsidR="005374E9" w:rsidRPr="00CF54DC" w:rsidRDefault="005374E9" w:rsidP="005374E9">
      <w:pPr>
        <w:spacing w:after="120" w:line="276" w:lineRule="auto"/>
        <w:ind w:firstLine="708"/>
        <w:jc w:val="both"/>
        <w:rPr>
          <w:rFonts w:ascii="Verdana" w:eastAsiaTheme="minorEastAsia" w:hAnsi="Verdana" w:cs="Arial"/>
          <w:szCs w:val="24"/>
          <w:lang w:eastAsia="es-CO"/>
        </w:rPr>
      </w:pPr>
      <w:r w:rsidRPr="00CF54DC">
        <w:rPr>
          <w:rFonts w:ascii="Verdana" w:eastAsiaTheme="minorEastAsia" w:hAnsi="Verdana" w:cs="Arial"/>
          <w:szCs w:val="24"/>
          <w:lang w:eastAsia="es-CO"/>
        </w:rPr>
        <w:t>La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norma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citada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prescribe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los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conceptos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emitidos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por</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las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autoridades,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como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respuestas a peticiones realizadas en ejercicio del derecho a formular consultas, no son de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obligatorio cumplimiento o de imperativa ejecución, es decir, no tienen efectos vinculantes. En</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 xml:space="preserve">particular, es preciso advertir que los </w:t>
      </w:r>
      <w:r w:rsidRPr="00CF54DC">
        <w:rPr>
          <w:rFonts w:ascii="Verdana" w:eastAsiaTheme="minorEastAsia" w:hAnsi="Verdana" w:cs="Arial"/>
          <w:szCs w:val="24"/>
          <w:lang w:eastAsia="es-CO"/>
        </w:rPr>
        <w:lastRenderedPageBreak/>
        <w:t xml:space="preserve">conceptos </w:t>
      </w:r>
      <w:r>
        <w:rPr>
          <w:rFonts w:ascii="Verdana" w:eastAsiaTheme="minorEastAsia" w:hAnsi="Verdana" w:cs="Arial"/>
          <w:szCs w:val="24"/>
          <w:lang w:eastAsia="es-CO"/>
        </w:rPr>
        <w:t>emitidos por esta Entidad</w:t>
      </w:r>
      <w:r w:rsidRPr="00CF54DC">
        <w:rPr>
          <w:rFonts w:ascii="Verdana" w:eastAsiaTheme="minorEastAsia" w:hAnsi="Verdana" w:cs="Arial"/>
          <w:szCs w:val="24"/>
          <w:lang w:eastAsia="es-CO"/>
        </w:rPr>
        <w:t xml:space="preserve"> contienen la posición hermenéutica de la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Subdirección de Gestión Contractual en relación con determinado aspecto del ordenamiento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jurídico. Esta competencia de interpretación de normas generales, por definición, no puede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extenderse</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a</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resolución</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controversias,</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ni</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brindar</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asesorías</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sobre</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casos</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puntuales.</w:t>
      </w:r>
    </w:p>
    <w:p w14:paraId="54B5B88F" w14:textId="77777777" w:rsidR="005374E9" w:rsidRPr="00CF54DC" w:rsidRDefault="005374E9" w:rsidP="005374E9">
      <w:pPr>
        <w:spacing w:after="120" w:line="276" w:lineRule="auto"/>
        <w:ind w:firstLine="708"/>
        <w:jc w:val="both"/>
        <w:rPr>
          <w:rFonts w:ascii="Verdana" w:eastAsiaTheme="minorEastAsia" w:hAnsi="Verdana" w:cs="Arial"/>
          <w:szCs w:val="24"/>
          <w:lang w:eastAsia="es-CO"/>
        </w:rPr>
      </w:pPr>
      <w:r w:rsidRPr="00CF54DC">
        <w:rPr>
          <w:rFonts w:ascii="Verdana" w:eastAsiaTheme="minorEastAsia" w:hAnsi="Verdana" w:cs="Arial"/>
          <w:szCs w:val="24"/>
          <w:lang w:eastAsia="es-CO"/>
        </w:rPr>
        <w:t>En otras palabras, los conceptos de esta Agencia tienen como objeto la interpretación de</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normas de carácter general, esto es, del ordenamiento jurídico en abstracto, no la resolución de controversias o la asesoría para casos concretos; además, no son vinculantes o de obligatorio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cumplimiento</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para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destinatario,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sino</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expresan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posición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interpretativa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organismo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elabora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concepto.</w:t>
      </w:r>
    </w:p>
    <w:p w14:paraId="5A76324B" w14:textId="77777777" w:rsidR="005374E9" w:rsidRPr="00CF54DC" w:rsidRDefault="005374E9" w:rsidP="005374E9">
      <w:pPr>
        <w:spacing w:after="120" w:line="276" w:lineRule="auto"/>
        <w:ind w:firstLine="709"/>
        <w:jc w:val="both"/>
        <w:rPr>
          <w:rFonts w:ascii="Verdana" w:eastAsiaTheme="minorEastAsia" w:hAnsi="Verdana" w:cs="Arial"/>
          <w:szCs w:val="24"/>
          <w:lang w:eastAsia="es-CO"/>
        </w:rPr>
      </w:pPr>
      <w:r w:rsidRPr="00CF54DC">
        <w:rPr>
          <w:rFonts w:ascii="Verdana" w:eastAsiaTheme="minorEastAsia" w:hAnsi="Verdana" w:cs="Arial"/>
          <w:szCs w:val="24"/>
          <w:lang w:eastAsia="es-CO"/>
        </w:rPr>
        <w:t>En concordancia con ello, es importante resaltar que esta posición es compartida por</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varias</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entidades</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públicas</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ejercen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similar</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función.</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Por</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ejemplo,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Procuraduría</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General</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 xml:space="preserve">la </w:t>
      </w:r>
      <w:r w:rsidRPr="00CF54DC">
        <w:rPr>
          <w:rFonts w:ascii="Verdana" w:eastAsiaTheme="minorEastAsia" w:hAnsi="Verdana" w:cs="Arial"/>
          <w:spacing w:val="-1"/>
          <w:szCs w:val="24"/>
          <w:lang w:eastAsia="es-CO"/>
        </w:rPr>
        <w:t>Nación</w:t>
      </w:r>
      <w:r w:rsidRPr="00CF54DC">
        <w:rPr>
          <w:rFonts w:ascii="Verdana" w:eastAsiaTheme="minorEastAsia" w:hAnsi="Verdana" w:cs="Arial"/>
          <w:spacing w:val="-1"/>
          <w:szCs w:val="24"/>
          <w:vertAlign w:val="superscript"/>
          <w:lang w:eastAsia="es-CO"/>
        </w:rPr>
        <w:footnoteReference w:id="2"/>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aclaró</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que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el</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concepto</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sólo</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constituye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un</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criterio</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auxiliar</w:t>
      </w:r>
      <w:r w:rsidRPr="00CF54DC">
        <w:rPr>
          <w:rFonts w:ascii="Verdana" w:eastAsiaTheme="minorEastAsia" w:hAnsi="Verdana" w:cs="Arial"/>
          <w:spacing w:val="-13"/>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interpretación</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y</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no</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tiene</w:t>
      </w:r>
      <w:r>
        <w:rPr>
          <w:rFonts w:ascii="Verdana" w:eastAsiaTheme="minorEastAsia" w:hAnsi="Verdana" w:cs="Arial"/>
          <w:szCs w:val="24"/>
          <w:lang w:eastAsia="es-CO"/>
        </w:rPr>
        <w:t xml:space="preserve"> carácter </w:t>
      </w:r>
      <w:r w:rsidRPr="00CF54DC">
        <w:rPr>
          <w:rFonts w:ascii="Verdana" w:eastAsiaTheme="minorEastAsia" w:hAnsi="Verdana" w:cs="Arial"/>
          <w:szCs w:val="24"/>
          <w:lang w:eastAsia="es-CO"/>
        </w:rPr>
        <w:t>vinculante de acuerdo con lo dispuesto en los artículos 230 de la Constitución Política,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5°</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Ley</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153</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1887</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y</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28</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ley</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1437</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2011”.</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Igualmente,</w:t>
      </w:r>
      <w:r w:rsidRPr="00CF54DC">
        <w:rPr>
          <w:rFonts w:ascii="Verdana" w:eastAsiaTheme="minorEastAsia" w:hAnsi="Verdana" w:cs="Arial"/>
          <w:spacing w:val="-5"/>
          <w:szCs w:val="24"/>
          <w:lang w:eastAsia="es-CO"/>
        </w:rPr>
        <w:t xml:space="preserve"> </w:t>
      </w:r>
      <w:r w:rsidRPr="00CF54DC">
        <w:rPr>
          <w:rFonts w:ascii="Verdana" w:eastAsiaTheme="minorEastAsia" w:hAnsi="Verdana" w:cs="Arial"/>
          <w:szCs w:val="24"/>
          <w:lang w:eastAsia="es-CO"/>
        </w:rPr>
        <w:t>en</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concepto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año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2017,</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la Contraloría General</w:t>
      </w:r>
      <w:r w:rsidRPr="00CF54DC">
        <w:rPr>
          <w:rFonts w:ascii="Verdana" w:eastAsiaTheme="minorEastAsia" w:hAnsi="Verdana" w:cs="Arial"/>
          <w:szCs w:val="24"/>
          <w:vertAlign w:val="superscript"/>
          <w:lang w:eastAsia="es-CO"/>
        </w:rPr>
        <w:t xml:space="preserve"> </w:t>
      </w:r>
      <w:r w:rsidRPr="00CF54DC">
        <w:rPr>
          <w:rFonts w:ascii="Verdana" w:eastAsiaTheme="minorEastAsia" w:hAnsi="Verdana" w:cs="Arial"/>
          <w:szCs w:val="24"/>
          <w:lang w:eastAsia="es-CO"/>
        </w:rPr>
        <w:t>de la República</w:t>
      </w:r>
      <w:r w:rsidRPr="00CF54DC">
        <w:rPr>
          <w:rFonts w:ascii="Verdana" w:eastAsiaTheme="minorEastAsia" w:hAnsi="Verdana" w:cs="Arial"/>
          <w:szCs w:val="24"/>
          <w:vertAlign w:val="superscript"/>
          <w:lang w:eastAsia="es-CO"/>
        </w:rPr>
        <w:footnoteReference w:id="3"/>
      </w:r>
      <w:r w:rsidRPr="00CF54DC">
        <w:rPr>
          <w:rFonts w:ascii="Verdana" w:eastAsiaTheme="minorEastAsia" w:hAnsi="Verdana" w:cs="Arial"/>
          <w:szCs w:val="24"/>
          <w:lang w:eastAsia="es-CO"/>
        </w:rPr>
        <w:t xml:space="preserve"> precisó que “</w:t>
      </w:r>
      <w:r>
        <w:rPr>
          <w:rFonts w:ascii="Verdana" w:eastAsiaTheme="minorEastAsia" w:hAnsi="Verdana" w:cs="Arial"/>
          <w:szCs w:val="24"/>
          <w:lang w:eastAsia="es-CO"/>
        </w:rPr>
        <w:t xml:space="preserve">(…) </w:t>
      </w:r>
      <w:r w:rsidRPr="00CF54DC">
        <w:rPr>
          <w:rFonts w:ascii="Verdana" w:eastAsiaTheme="minorEastAsia" w:hAnsi="Verdana" w:cs="Arial"/>
          <w:szCs w:val="24"/>
          <w:lang w:eastAsia="es-CO"/>
        </w:rPr>
        <w:t>los conceptos emitidos por la Oficina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Jurídica</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Contraloría</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General</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República,</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son</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orientaciones</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carácter</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general</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11"/>
          <w:szCs w:val="24"/>
          <w:lang w:eastAsia="es-CO"/>
        </w:rPr>
        <w:t xml:space="preserve"> </w:t>
      </w:r>
      <w:r>
        <w:rPr>
          <w:rFonts w:ascii="Verdana" w:eastAsiaTheme="minorEastAsia" w:hAnsi="Verdana" w:cs="Arial"/>
          <w:szCs w:val="24"/>
          <w:lang w:eastAsia="es-CO"/>
        </w:rPr>
        <w:t xml:space="preserve">(…) </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no son de obligatorio cumplimiento o ejecución, ni tienen el carácter de fuente normativa y sólo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pueden ser utilizados para facilitar la interpretación y aplicación de las normas jurídicas vigent</w:t>
      </w:r>
      <w:r>
        <w:rPr>
          <w:rFonts w:ascii="Verdana" w:eastAsiaTheme="minorEastAsia" w:hAnsi="Verdana" w:cs="Arial"/>
          <w:szCs w:val="24"/>
          <w:lang w:eastAsia="es-CO"/>
        </w:rPr>
        <w:t>es (…)”.</w:t>
      </w:r>
    </w:p>
    <w:p w14:paraId="03745A1D" w14:textId="77777777" w:rsidR="005374E9" w:rsidRPr="00CF54DC" w:rsidRDefault="005374E9" w:rsidP="005374E9">
      <w:pPr>
        <w:spacing w:after="120" w:line="276" w:lineRule="auto"/>
        <w:ind w:firstLine="709"/>
        <w:jc w:val="both"/>
        <w:rPr>
          <w:rFonts w:ascii="Verdana" w:eastAsiaTheme="minorEastAsia" w:hAnsi="Verdana" w:cs="Arial"/>
          <w:szCs w:val="24"/>
          <w:lang w:eastAsia="es-CO"/>
        </w:rPr>
      </w:pPr>
      <w:r w:rsidRPr="00CF54DC">
        <w:rPr>
          <w:rFonts w:ascii="Verdana" w:eastAsiaTheme="minorEastAsia" w:hAnsi="Verdana" w:cs="Arial"/>
          <w:szCs w:val="24"/>
          <w:lang w:eastAsia="es-CO"/>
        </w:rPr>
        <w:t>En términos generales, lo que se busca con el ejercicio de la función consultiva es que la opinión jurídica de esta Agencia sea un criterio de orientación para los operadores jurídicos, sin</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que ello suponga resolver un problema entre partes o asumir la única posible interpretación de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una disposición normativa. Esto no descarta que, en la práctica, al emitirse la opinión sobre la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interpretación</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ordenamiento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jurídico,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exista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coincidencia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con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criterio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lastRenderedPageBreak/>
        <w:t>expone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alguna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 xml:space="preserve">de </w:t>
      </w:r>
      <w:r>
        <w:rPr>
          <w:rFonts w:ascii="Verdana" w:eastAsiaTheme="minorEastAsia" w:hAnsi="Verdana" w:cs="Arial"/>
          <w:szCs w:val="24"/>
          <w:lang w:eastAsia="es-CO"/>
        </w:rPr>
        <w:t>las</w:t>
      </w:r>
      <w:r w:rsidRPr="00CF54DC">
        <w:rPr>
          <w:rFonts w:ascii="Verdana" w:eastAsiaTheme="minorEastAsia" w:hAnsi="Verdana" w:cs="Arial"/>
          <w:szCs w:val="24"/>
          <w:lang w:eastAsia="es-CO"/>
        </w:rPr>
        <w:t xml:space="preserve"> partes o la persona que solicita la consulta, circunstancia que no descarta interpretaciones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diferentes</w:t>
      </w:r>
      <w:r w:rsidRPr="00CF54DC">
        <w:rPr>
          <w:rFonts w:ascii="Verdana" w:eastAsiaTheme="minorEastAsia" w:hAnsi="Verdana" w:cs="Arial"/>
          <w:szCs w:val="24"/>
          <w:vertAlign w:val="superscript"/>
          <w:lang w:eastAsia="es-CO"/>
        </w:rPr>
        <w:footnoteReference w:id="4"/>
      </w:r>
      <w:r w:rsidRPr="00CF54DC">
        <w:rPr>
          <w:rFonts w:ascii="Verdana" w:eastAsiaTheme="minorEastAsia" w:hAnsi="Verdana" w:cs="Arial"/>
          <w:szCs w:val="24"/>
          <w:lang w:eastAsia="es-CO"/>
        </w:rPr>
        <w:t>.</w:t>
      </w:r>
    </w:p>
    <w:p w14:paraId="21B1CF79" w14:textId="77777777" w:rsidR="005374E9" w:rsidRPr="00CF54DC" w:rsidRDefault="005374E9" w:rsidP="005374E9">
      <w:pPr>
        <w:spacing w:after="120" w:line="276" w:lineRule="auto"/>
        <w:ind w:firstLine="709"/>
        <w:jc w:val="both"/>
        <w:rPr>
          <w:rFonts w:ascii="Verdana" w:eastAsiaTheme="minorEastAsia" w:hAnsi="Verdana" w:cs="Arial"/>
          <w:szCs w:val="24"/>
          <w:lang w:eastAsia="es-CO"/>
        </w:rPr>
      </w:pPr>
      <w:r w:rsidRPr="00CF54DC">
        <w:rPr>
          <w:rFonts w:ascii="Verdana" w:eastAsiaTheme="minorEastAsia" w:hAnsi="Verdana" w:cs="Arial"/>
          <w:szCs w:val="24"/>
          <w:lang w:eastAsia="es-CO"/>
        </w:rPr>
        <w:t>De este modo, las autoridades que ejercen funciones consultivas pueden expresar su</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interpretación de un precepto normativo, que no excluye otras interpretaciones posibles, pues el derecho, como sistema normativo, es un lenguaje que, en ocasiones, se tiñe de vaguedad, en</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virtud</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utilización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conceptos</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jurídicos</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indeterminados.</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Así,</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puede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pasar,</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por</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ejemplo,</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que un ministerio considere que una norma debe entenderse en un sentido, pero que otra entidad,</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vinculada o adscrita a ese ministerio, entienda que la misma norma debe interpretarse de otra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manera. Eso hace parte de la lógica deliberativa y dialéctica del funcionamiento del Estado y</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refleja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principio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democrático.</w:t>
      </w:r>
    </w:p>
    <w:p w14:paraId="3D710CA1" w14:textId="77777777" w:rsidR="005374E9" w:rsidRDefault="005374E9" w:rsidP="005374E9">
      <w:pPr>
        <w:spacing w:after="120" w:line="276" w:lineRule="auto"/>
        <w:ind w:firstLine="709"/>
        <w:jc w:val="both"/>
        <w:rPr>
          <w:rFonts w:ascii="Verdana" w:eastAsiaTheme="minorEastAsia" w:hAnsi="Verdana" w:cs="Arial"/>
          <w:szCs w:val="24"/>
          <w:lang w:eastAsia="es-CO"/>
        </w:rPr>
      </w:pPr>
      <w:r w:rsidRPr="00CF54DC">
        <w:rPr>
          <w:rFonts w:ascii="Verdana" w:eastAsiaTheme="minorEastAsia" w:hAnsi="Verdana" w:cs="Arial"/>
          <w:szCs w:val="24"/>
          <w:lang w:eastAsia="es-CO"/>
        </w:rPr>
        <w:t>De todos modos, esto no significa, necesariamente, que el criterio de una u otra tenga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prevalencia sobre la otra, ya que se trata de opiniones emitidas a título de concepto, pese a que entre las entidades exista jerarquía, o de la naturaleza y competencias que se prediquen de una y otra. Incluso, aun cuando los jueces interpreten con autoridad el sentido de la disposición normativa, el concepto emitido por la entidad no deja de ser un concepto y no adquiere efectos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vinculantes, así coincida con el de la autoridad judicial, pues, en esa hipótesis, lo que vincula es</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decisión</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juez,</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no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concepto</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entidad</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ejerció</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función</w:t>
      </w:r>
      <w:r w:rsidRPr="00CF54DC">
        <w:rPr>
          <w:rFonts w:ascii="Verdana" w:eastAsiaTheme="minorEastAsia" w:hAnsi="Verdana" w:cs="Arial"/>
          <w:spacing w:val="-5"/>
          <w:szCs w:val="24"/>
          <w:lang w:eastAsia="es-CO"/>
        </w:rPr>
        <w:t xml:space="preserve"> </w:t>
      </w:r>
      <w:r w:rsidRPr="00CF54DC">
        <w:rPr>
          <w:rFonts w:ascii="Verdana" w:eastAsiaTheme="minorEastAsia" w:hAnsi="Verdana" w:cs="Arial"/>
          <w:szCs w:val="24"/>
          <w:lang w:eastAsia="es-CO"/>
        </w:rPr>
        <w:t>consultiva</w:t>
      </w:r>
      <w:r>
        <w:rPr>
          <w:rFonts w:ascii="Verdana" w:eastAsiaTheme="minorEastAsia" w:hAnsi="Verdana" w:cs="Arial"/>
          <w:szCs w:val="24"/>
          <w:lang w:eastAsia="es-CO"/>
        </w:rPr>
        <w:t xml:space="preserve">. </w:t>
      </w:r>
    </w:p>
    <w:p w14:paraId="34FE54C1" w14:textId="77777777" w:rsidR="005374E9" w:rsidRDefault="005374E9" w:rsidP="005374E9">
      <w:pPr>
        <w:spacing w:after="120" w:line="276" w:lineRule="auto"/>
        <w:ind w:firstLine="709"/>
        <w:jc w:val="both"/>
        <w:rPr>
          <w:rFonts w:ascii="Verdana" w:eastAsiaTheme="minorEastAsia" w:hAnsi="Verdana" w:cs="Arial"/>
          <w:szCs w:val="24"/>
          <w:lang w:eastAsia="es-CO"/>
        </w:rPr>
      </w:pPr>
      <w:r>
        <w:rPr>
          <w:rFonts w:ascii="Verdana" w:eastAsiaTheme="minorEastAsia" w:hAnsi="Verdana" w:cs="Arial"/>
          <w:szCs w:val="24"/>
          <w:lang w:eastAsia="es-CO"/>
        </w:rPr>
        <w:t xml:space="preserve">De lo expuesto se concluye que, la competencia consultiva de esta Agencia </w:t>
      </w:r>
      <w:r w:rsidRPr="00CF54DC">
        <w:rPr>
          <w:rFonts w:ascii="Verdana" w:eastAsiaTheme="minorEastAsia" w:hAnsi="Verdana" w:cs="Arial"/>
          <w:szCs w:val="24"/>
          <w:lang w:eastAsia="es-CO"/>
        </w:rPr>
        <w:t>se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enmarca</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en</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artículo</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28</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Ley</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1437</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2011</w:t>
      </w:r>
      <w:r>
        <w:rPr>
          <w:rFonts w:ascii="Verdana" w:eastAsiaTheme="minorEastAsia" w:hAnsi="Verdana" w:cs="Arial"/>
          <w:szCs w:val="24"/>
          <w:lang w:eastAsia="es-CO"/>
        </w:rPr>
        <w:t xml:space="preserve">, en la cual señala que </w:t>
      </w:r>
      <w:r w:rsidRPr="00CF54DC">
        <w:rPr>
          <w:rFonts w:ascii="Verdana" w:eastAsiaTheme="minorEastAsia" w:hAnsi="Verdana" w:cs="Arial"/>
          <w:szCs w:val="24"/>
          <w:lang w:eastAsia="es-CO"/>
        </w:rPr>
        <w:t>los</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conceptos</w:t>
      </w:r>
      <w:r w:rsidRPr="00CF54DC">
        <w:rPr>
          <w:rFonts w:ascii="Verdana" w:eastAsiaTheme="minorEastAsia" w:hAnsi="Verdana" w:cs="Arial"/>
          <w:spacing w:val="-9"/>
          <w:szCs w:val="24"/>
          <w:lang w:eastAsia="es-CO"/>
        </w:rPr>
        <w:t xml:space="preserve"> </w:t>
      </w:r>
      <w:r>
        <w:rPr>
          <w:rFonts w:ascii="Verdana" w:eastAsiaTheme="minorEastAsia" w:hAnsi="Verdana" w:cs="Arial"/>
          <w:spacing w:val="-9"/>
          <w:szCs w:val="24"/>
          <w:lang w:eastAsia="es-CO"/>
        </w:rPr>
        <w:t xml:space="preserve">emitidos en virtud del derecho a formular consultas </w:t>
      </w:r>
      <w:r w:rsidRPr="00CF54DC">
        <w:rPr>
          <w:rFonts w:ascii="Verdana" w:eastAsiaTheme="minorEastAsia" w:hAnsi="Verdana" w:cs="Arial"/>
          <w:szCs w:val="24"/>
          <w:lang w:eastAsia="es-CO"/>
        </w:rPr>
        <w:t>no</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serán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obligatorio</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cumplimiento</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o</w:t>
      </w:r>
      <w:r w:rsidRPr="00CF54DC">
        <w:rPr>
          <w:rFonts w:ascii="Verdana" w:eastAsiaTheme="minorEastAsia" w:hAnsi="Verdana" w:cs="Arial"/>
          <w:spacing w:val="-9"/>
          <w:szCs w:val="24"/>
          <w:lang w:eastAsia="es-CO"/>
        </w:rPr>
        <w:t xml:space="preserve"> </w:t>
      </w:r>
      <w:r>
        <w:rPr>
          <w:rFonts w:ascii="Verdana" w:eastAsiaTheme="minorEastAsia" w:hAnsi="Verdana" w:cs="Arial"/>
          <w:spacing w:val="-9"/>
          <w:szCs w:val="24"/>
          <w:lang w:eastAsia="es-CO"/>
        </w:rPr>
        <w:t xml:space="preserve">imperativa </w:t>
      </w:r>
      <w:r w:rsidRPr="00CF54DC">
        <w:rPr>
          <w:rFonts w:ascii="Verdana" w:eastAsiaTheme="minorEastAsia" w:hAnsi="Verdana" w:cs="Arial"/>
          <w:szCs w:val="24"/>
          <w:lang w:eastAsia="es-CO"/>
        </w:rPr>
        <w:t>ejecución</w:t>
      </w:r>
      <w:r>
        <w:rPr>
          <w:rFonts w:ascii="Verdana" w:eastAsiaTheme="minorEastAsia" w:hAnsi="Verdana" w:cs="Arial"/>
          <w:szCs w:val="24"/>
          <w:lang w:eastAsia="es-CO"/>
        </w:rPr>
        <w:t xml:space="preserve">. Estos conceptos </w:t>
      </w:r>
      <w:r w:rsidRPr="00CF54DC">
        <w:rPr>
          <w:rFonts w:ascii="Verdana" w:eastAsiaTheme="minorEastAsia" w:hAnsi="Verdana" w:cs="Arial"/>
          <w:szCs w:val="24"/>
          <w:lang w:eastAsia="es-CO"/>
        </w:rPr>
        <w:t>contienen la posición hermenéutica</w:t>
      </w:r>
      <w:r>
        <w:rPr>
          <w:rFonts w:ascii="Verdana" w:eastAsiaTheme="minorEastAsia" w:hAnsi="Verdana" w:cs="Arial"/>
          <w:szCs w:val="24"/>
          <w:lang w:eastAsia="es-CO"/>
        </w:rPr>
        <w:t xml:space="preserve"> de la Agencia,</w:t>
      </w:r>
      <w:r w:rsidRPr="00CF54DC">
        <w:rPr>
          <w:rFonts w:ascii="Verdana" w:eastAsiaTheme="minorEastAsia" w:hAnsi="Verdana" w:cs="Arial"/>
          <w:szCs w:val="24"/>
          <w:lang w:eastAsia="es-CO"/>
        </w:rPr>
        <w:t xml:space="preserve"> </w:t>
      </w:r>
      <w:r>
        <w:rPr>
          <w:rFonts w:ascii="Verdana" w:eastAsiaTheme="minorEastAsia" w:hAnsi="Verdana" w:cs="Arial"/>
          <w:szCs w:val="24"/>
          <w:lang w:eastAsia="es-CO"/>
        </w:rPr>
        <w:t xml:space="preserve">como ente rector de la contratación estatal, </w:t>
      </w:r>
      <w:r w:rsidRPr="00CF54DC">
        <w:rPr>
          <w:rFonts w:ascii="Verdana" w:eastAsiaTheme="minorEastAsia" w:hAnsi="Verdana" w:cs="Arial"/>
          <w:szCs w:val="24"/>
          <w:lang w:eastAsia="es-CO"/>
        </w:rPr>
        <w:t>en relación con determinado aspecto del ordenamiento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jurídico</w:t>
      </w:r>
      <w:r>
        <w:rPr>
          <w:rFonts w:ascii="Verdana" w:eastAsiaTheme="minorEastAsia" w:hAnsi="Verdana" w:cs="Arial"/>
          <w:szCs w:val="24"/>
          <w:lang w:eastAsia="es-CO"/>
        </w:rPr>
        <w:t xml:space="preserve">, posición que puede servir como orientación o buenas prácticas para los partícipes del sistema de compras públicas en su gestión contractual. </w:t>
      </w:r>
    </w:p>
    <w:p w14:paraId="1C0648E8" w14:textId="77777777" w:rsidR="005374E9" w:rsidRPr="0077664D" w:rsidRDefault="005374E9" w:rsidP="005374E9">
      <w:pPr>
        <w:spacing w:after="120" w:line="276" w:lineRule="auto"/>
        <w:ind w:firstLine="709"/>
        <w:jc w:val="both"/>
        <w:rPr>
          <w:rFonts w:ascii="Verdana" w:eastAsiaTheme="minorEastAsia" w:hAnsi="Verdana" w:cs="Arial"/>
          <w:szCs w:val="24"/>
          <w:lang w:eastAsia="es-CO"/>
        </w:rPr>
      </w:pPr>
      <w:r>
        <w:rPr>
          <w:rFonts w:ascii="Verdana" w:eastAsiaTheme="minorEastAsia" w:hAnsi="Verdana" w:cs="Arial"/>
          <w:szCs w:val="24"/>
          <w:lang w:eastAsia="es-CO"/>
        </w:rPr>
        <w:t xml:space="preserve">ii) En cuanto al segundo problema jurídico </w:t>
      </w:r>
      <w:r>
        <w:rPr>
          <w:rFonts w:ascii="Verdana" w:eastAsia="Times New Roman" w:hAnsi="Verdana" w:cs="Arial"/>
          <w:bCs/>
          <w:lang w:eastAsia="es-CO"/>
        </w:rPr>
        <w:t>es importante indicar que</w:t>
      </w:r>
      <w:r w:rsidRPr="002D6B92">
        <w:rPr>
          <w:rFonts w:ascii="Verdana" w:eastAsia="Times New Roman" w:hAnsi="Verdana" w:cs="Arial"/>
          <w:bCs/>
          <w:lang w:eastAsia="es-CO"/>
        </w:rPr>
        <w:t xml:space="preserve"> </w:t>
      </w:r>
      <w:r>
        <w:rPr>
          <w:rFonts w:ascii="Verdana" w:eastAsia="Times New Roman" w:hAnsi="Verdana" w:cs="Arial"/>
          <w:bCs/>
          <w:lang w:eastAsia="es-CO"/>
        </w:rPr>
        <w:t xml:space="preserve">el </w:t>
      </w:r>
      <w:r w:rsidRPr="002D6B92">
        <w:rPr>
          <w:rFonts w:ascii="Verdana" w:eastAsia="Times New Roman" w:hAnsi="Verdana" w:cs="Arial"/>
          <w:bCs/>
          <w:lang w:eastAsia="es-CO"/>
        </w:rPr>
        <w:t xml:space="preserve">ordenamiento jurídico colombiano contempla previsiones claras para evitar la obtención de beneficios personales en asuntos propios de la administración pública. Por ejemplo, el artículo 127 de la Constitución Política establece una </w:t>
      </w:r>
      <w:r w:rsidRPr="002D6B92">
        <w:rPr>
          <w:rFonts w:ascii="Verdana" w:eastAsia="Times New Roman" w:hAnsi="Verdana" w:cs="Arial"/>
          <w:bCs/>
          <w:lang w:eastAsia="es-CO"/>
        </w:rPr>
        <w:lastRenderedPageBreak/>
        <w:t>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5"/>
      </w:r>
      <w:r w:rsidRPr="00F10E52">
        <w:rPr>
          <w:rFonts w:ascii="Verdana" w:eastAsia="Calibri" w:hAnsi="Verdana" w:cs="Arial"/>
          <w:bCs/>
        </w:rPr>
        <w:t xml:space="preserve">. </w:t>
      </w:r>
    </w:p>
    <w:p w14:paraId="3827A920" w14:textId="77777777" w:rsidR="005374E9" w:rsidRDefault="005374E9" w:rsidP="005374E9">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6"/>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648FF6FB" w14:textId="77777777" w:rsidR="005374E9" w:rsidRPr="00F10E52" w:rsidRDefault="005374E9" w:rsidP="005374E9">
      <w:pPr>
        <w:tabs>
          <w:tab w:val="left" w:pos="426"/>
        </w:tabs>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0202EA88" w14:textId="77777777" w:rsidR="005374E9" w:rsidRPr="007777F3" w:rsidRDefault="005374E9" w:rsidP="005374E9">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44EC13BC" w14:textId="77777777" w:rsidR="005374E9" w:rsidRPr="009E6EDF" w:rsidRDefault="005374E9" w:rsidP="005374E9">
      <w:pPr>
        <w:spacing w:after="0" w:line="240" w:lineRule="auto"/>
        <w:ind w:left="709" w:right="709"/>
        <w:jc w:val="both"/>
        <w:rPr>
          <w:rFonts w:ascii="Verdana" w:eastAsia="Times New Roman" w:hAnsi="Verdana" w:cs="Arial"/>
          <w:bCs/>
          <w:sz w:val="20"/>
          <w:szCs w:val="20"/>
          <w:lang w:eastAsia="es-CO"/>
        </w:rPr>
      </w:pPr>
    </w:p>
    <w:p w14:paraId="2FBDF335" w14:textId="77777777" w:rsidR="005374E9" w:rsidRPr="00E80F85" w:rsidRDefault="005374E9" w:rsidP="005374E9">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7"/>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252815EB" w14:textId="77777777" w:rsidR="005374E9" w:rsidRDefault="005374E9" w:rsidP="005374E9">
      <w:pPr>
        <w:spacing w:after="0" w:line="240" w:lineRule="auto"/>
        <w:ind w:firstLine="709"/>
        <w:jc w:val="both"/>
        <w:rPr>
          <w:rFonts w:ascii="Verdana" w:eastAsia="Times New Roman" w:hAnsi="Verdana" w:cs="Arial"/>
          <w:bCs/>
          <w:lang w:eastAsia="es-CO"/>
        </w:rPr>
      </w:pPr>
    </w:p>
    <w:p w14:paraId="0DDD8DCC" w14:textId="77777777" w:rsidR="005374E9" w:rsidRPr="002D6B92" w:rsidRDefault="005374E9" w:rsidP="005374E9">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lastRenderedPageBreak/>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07959225" w14:textId="77777777" w:rsidR="005374E9" w:rsidRPr="009B20C5" w:rsidRDefault="005374E9" w:rsidP="005374E9">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014506A" w14:textId="77777777" w:rsidR="005374E9" w:rsidRDefault="005374E9" w:rsidP="005374E9">
      <w:pPr>
        <w:spacing w:after="0" w:line="240" w:lineRule="auto"/>
        <w:ind w:left="709" w:right="709"/>
        <w:jc w:val="both"/>
        <w:rPr>
          <w:rFonts w:ascii="Verdana" w:eastAsia="Times New Roman" w:hAnsi="Verdana" w:cs="Arial"/>
          <w:bCs/>
          <w:sz w:val="20"/>
          <w:szCs w:val="20"/>
          <w:lang w:eastAsia="es-CO"/>
        </w:rPr>
      </w:pPr>
    </w:p>
    <w:p w14:paraId="765DA41B" w14:textId="77777777" w:rsidR="005374E9" w:rsidRDefault="005374E9" w:rsidP="005374E9">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8"/>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9"/>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10"/>
      </w:r>
      <w:r w:rsidRPr="009B20C5">
        <w:rPr>
          <w:rFonts w:ascii="Verdana" w:eastAsia="Times New Roman" w:hAnsi="Verdana" w:cs="Arial"/>
          <w:bCs/>
          <w:sz w:val="20"/>
          <w:szCs w:val="20"/>
          <w:lang w:eastAsia="es-CO"/>
        </w:rPr>
        <w:t>.</w:t>
      </w:r>
    </w:p>
    <w:p w14:paraId="016DA975" w14:textId="77777777" w:rsidR="005374E9" w:rsidRPr="00033AB8" w:rsidRDefault="005374E9" w:rsidP="005374E9">
      <w:pPr>
        <w:spacing w:after="0" w:line="240" w:lineRule="auto"/>
        <w:ind w:left="709" w:right="709"/>
        <w:jc w:val="both"/>
        <w:rPr>
          <w:rFonts w:ascii="Verdana" w:eastAsia="Times New Roman" w:hAnsi="Verdana" w:cs="Arial"/>
          <w:bCs/>
          <w:sz w:val="20"/>
          <w:szCs w:val="20"/>
          <w:lang w:eastAsia="es-CO"/>
        </w:rPr>
      </w:pPr>
    </w:p>
    <w:p w14:paraId="670A948A" w14:textId="77777777" w:rsidR="005374E9" w:rsidRDefault="005374E9" w:rsidP="005374E9">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w:t>
      </w:r>
      <w:r w:rsidRPr="00F10E52">
        <w:rPr>
          <w:rFonts w:ascii="Verdana" w:eastAsia="Arial" w:hAnsi="Verdana" w:cs="Arial"/>
          <w:lang w:val="es-ES" w:eastAsia="es-ES" w:bidi="es-ES"/>
        </w:rPr>
        <w:lastRenderedPageBreak/>
        <w:t xml:space="preserve">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BF16454" w14:textId="77777777" w:rsidR="005374E9" w:rsidRPr="00F10E52" w:rsidRDefault="005374E9" w:rsidP="005374E9">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16A2A291" w14:textId="77777777" w:rsidR="005374E9" w:rsidRPr="00F10E52" w:rsidRDefault="005374E9" w:rsidP="005374E9">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11"/>
      </w:r>
      <w:r w:rsidRPr="00F10E52">
        <w:rPr>
          <w:rFonts w:ascii="Verdana" w:eastAsia="Calibri" w:hAnsi="Verdana" w:cs="Arial"/>
        </w:rPr>
        <w:t>.</w:t>
      </w:r>
    </w:p>
    <w:p w14:paraId="7843430E" w14:textId="77777777" w:rsidR="005374E9" w:rsidRDefault="005374E9" w:rsidP="005374E9">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12"/>
      </w:r>
      <w:r w:rsidRPr="00F10E52">
        <w:rPr>
          <w:rFonts w:ascii="Verdana" w:eastAsia="Calibri" w:hAnsi="Verdana" w:cs="Arial"/>
        </w:rPr>
        <w:t>.</w:t>
      </w:r>
      <w:r w:rsidRPr="00F10E52">
        <w:rPr>
          <w:rFonts w:ascii="Verdana" w:eastAsia="Arial" w:hAnsi="Verdana" w:cs="Arial"/>
          <w:lang w:val="es-ES" w:eastAsia="es-ES" w:bidi="es-ES"/>
        </w:rPr>
        <w:t xml:space="preserve"> </w:t>
      </w:r>
    </w:p>
    <w:p w14:paraId="47705AA2" w14:textId="77777777" w:rsidR="005374E9" w:rsidRDefault="005374E9" w:rsidP="005374E9">
      <w:pPr>
        <w:spacing w:after="120" w:line="276" w:lineRule="auto"/>
        <w:ind w:firstLine="709"/>
        <w:jc w:val="both"/>
        <w:rPr>
          <w:rFonts w:ascii="Verdana" w:eastAsia="Times New Roman" w:hAnsi="Verdana" w:cs="Arial"/>
          <w:bCs/>
          <w:lang w:eastAsia="es-CO"/>
        </w:rPr>
      </w:pPr>
      <w:r>
        <w:rPr>
          <w:rFonts w:ascii="Verdana" w:eastAsia="Times New Roman" w:hAnsi="Verdana" w:cs="Arial"/>
          <w:bCs/>
          <w:lang w:val="es-MX" w:eastAsia="es-CO"/>
        </w:rPr>
        <w:lastRenderedPageBreak/>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3C51DE15" w14:textId="77777777" w:rsidR="005374E9" w:rsidRDefault="005374E9" w:rsidP="005374E9">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2BC18E51" w14:textId="77777777" w:rsidR="005374E9" w:rsidRDefault="005374E9" w:rsidP="005374E9">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3B7D863A" w14:textId="77777777" w:rsidR="005374E9" w:rsidRPr="00AA5D69" w:rsidRDefault="005374E9" w:rsidP="005374E9">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w:t>
      </w:r>
      <w:r w:rsidRPr="00894384">
        <w:rPr>
          <w:rFonts w:ascii="Verdana" w:eastAsia="Times New Roman" w:hAnsi="Verdana" w:cs="Arial"/>
          <w:bCs/>
          <w:lang w:val="es-MX" w:eastAsia="es-CO"/>
        </w:rPr>
        <w:lastRenderedPageBreak/>
        <w:t>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3"/>
      </w:r>
      <w:r w:rsidRPr="00894384">
        <w:rPr>
          <w:rFonts w:ascii="Verdana" w:eastAsia="Times New Roman" w:hAnsi="Verdana" w:cs="Arial"/>
          <w:bCs/>
          <w:lang w:val="es-MX" w:eastAsia="es-CO"/>
        </w:rPr>
        <w:t xml:space="preserve">. </w:t>
      </w:r>
    </w:p>
    <w:p w14:paraId="59933FE0" w14:textId="77777777" w:rsidR="005374E9" w:rsidRPr="006A51F6" w:rsidRDefault="005374E9" w:rsidP="005374E9">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0106684B" w14:textId="77777777" w:rsidR="005374E9" w:rsidRPr="009B20C5" w:rsidRDefault="005374E9" w:rsidP="005374E9">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14"/>
      </w:r>
      <w:r>
        <w:rPr>
          <w:rFonts w:ascii="Verdana" w:eastAsia="Arial" w:hAnsi="Verdana" w:cs="Arial"/>
          <w:sz w:val="20"/>
          <w:szCs w:val="20"/>
          <w:lang w:val="es-ES" w:eastAsia="es-ES" w:bidi="es-ES"/>
        </w:rPr>
        <w:t>.</w:t>
      </w:r>
    </w:p>
    <w:p w14:paraId="6DDBB8A5" w14:textId="77777777" w:rsidR="005374E9" w:rsidRDefault="005374E9" w:rsidP="005374E9">
      <w:pPr>
        <w:spacing w:after="0" w:line="240" w:lineRule="auto"/>
        <w:ind w:firstLine="709"/>
        <w:jc w:val="both"/>
        <w:rPr>
          <w:rFonts w:ascii="Verdana" w:eastAsia="Arial" w:hAnsi="Verdana" w:cs="Arial"/>
          <w:lang w:val="es-ES" w:eastAsia="es-ES" w:bidi="es-ES"/>
        </w:rPr>
      </w:pPr>
    </w:p>
    <w:p w14:paraId="21478303" w14:textId="77777777" w:rsidR="005374E9" w:rsidRPr="00F10E52" w:rsidRDefault="005374E9" w:rsidP="005374E9">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xml:space="preserve">, también se encuentra la prohibición del parágrafo del artículo 38, el cual debe aplicarse respecto de cualquier tipo de </w:t>
      </w:r>
      <w:r w:rsidRPr="00F10E52">
        <w:rPr>
          <w:rFonts w:ascii="Verdana" w:eastAsia="Arial" w:hAnsi="Verdana" w:cs="Arial"/>
          <w:lang w:val="es-ES" w:eastAsia="es-ES" w:bidi="es-ES"/>
        </w:rPr>
        <w:lastRenderedPageBreak/>
        <w:t>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4F79CCDA" w14:textId="77777777" w:rsidR="005374E9" w:rsidRPr="00F10E52" w:rsidRDefault="005374E9" w:rsidP="005374E9">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0"/>
    <w:p w14:paraId="0EB49AF8" w14:textId="77777777" w:rsidR="005374E9" w:rsidRDefault="005374E9" w:rsidP="005374E9">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41A9D26B" w14:textId="77777777" w:rsidR="005374E9" w:rsidRDefault="005374E9" w:rsidP="005374E9">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la aplicación de la prohibición contenida en el artículo 33 y sus excepciones, relacionada con su ámbito de aplicación y sus destinatarios. </w:t>
      </w:r>
    </w:p>
    <w:p w14:paraId="2AFA20CC" w14:textId="77777777" w:rsidR="005374E9" w:rsidRPr="00435A6A" w:rsidRDefault="005374E9" w:rsidP="005374E9">
      <w:pPr>
        <w:spacing w:after="120" w:line="276" w:lineRule="auto"/>
        <w:ind w:firstLine="709"/>
        <w:jc w:val="both"/>
        <w:rPr>
          <w:rFonts w:ascii="Verdana" w:eastAsia="Arial" w:hAnsi="Verdana" w:cs="Arial"/>
          <w:lang w:val="es-ES" w:eastAsia="es-ES" w:bidi="es-ES"/>
        </w:rPr>
      </w:pPr>
      <w:r w:rsidRPr="00195E24">
        <w:rPr>
          <w:rFonts w:ascii="Verdana" w:hAnsi="Verdana" w:cs="Arial"/>
          <w:bCs/>
          <w:lang w:eastAsia="x-none"/>
        </w:rPr>
        <w:t xml:space="preserve">El ámbito material de la prohibición contenida </w:t>
      </w:r>
      <w:bookmarkStart w:id="11" w:name="_Hlk75628761"/>
      <w:r w:rsidRPr="00195E24">
        <w:rPr>
          <w:rFonts w:ascii="Verdana" w:hAnsi="Verdana" w:cs="Arial"/>
          <w:bCs/>
          <w:lang w:eastAsia="x-none"/>
        </w:rPr>
        <w:t xml:space="preserve">en el artículo 33 de la ley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58C9085A" w14:textId="77777777" w:rsidR="005374E9" w:rsidRPr="005800D0" w:rsidRDefault="005374E9" w:rsidP="005374E9">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w:t>
      </w:r>
      <w:r w:rsidRPr="005800D0">
        <w:rPr>
          <w:rFonts w:ascii="Verdana" w:hAnsi="Verdana" w:cs="Arial"/>
          <w:sz w:val="20"/>
          <w:szCs w:val="20"/>
        </w:rPr>
        <w:lastRenderedPageBreak/>
        <w:t>2, ley 1150 de 2007), y cumpliendo siempre los principios que rigen la contratación pública</w:t>
      </w:r>
      <w:r w:rsidRPr="005800D0">
        <w:rPr>
          <w:rFonts w:ascii="Verdana" w:hAnsi="Verdana" w:cs="Arial"/>
          <w:sz w:val="20"/>
          <w:szCs w:val="20"/>
          <w:vertAlign w:val="superscript"/>
          <w:lang w:eastAsia="es-CO"/>
        </w:rPr>
        <w:footnoteReference w:id="15"/>
      </w:r>
      <w:r w:rsidRPr="005800D0">
        <w:rPr>
          <w:rFonts w:ascii="Verdana" w:hAnsi="Verdana" w:cs="Arial"/>
          <w:sz w:val="20"/>
          <w:szCs w:val="20"/>
        </w:rPr>
        <w:t>.</w:t>
      </w:r>
    </w:p>
    <w:p w14:paraId="33524128" w14:textId="77777777" w:rsidR="005374E9" w:rsidRDefault="005374E9" w:rsidP="005374E9">
      <w:pPr>
        <w:spacing w:after="0" w:line="240" w:lineRule="auto"/>
        <w:ind w:left="709" w:right="709"/>
        <w:jc w:val="both"/>
        <w:rPr>
          <w:rFonts w:ascii="Verdana" w:hAnsi="Verdana" w:cs="Arial"/>
          <w:sz w:val="20"/>
          <w:szCs w:val="20"/>
        </w:rPr>
      </w:pPr>
    </w:p>
    <w:p w14:paraId="759A7AE9" w14:textId="77777777" w:rsidR="005374E9" w:rsidRDefault="005374E9" w:rsidP="005374E9">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que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6"/>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7"/>
      </w:r>
      <w:r w:rsidRPr="005800D0">
        <w:rPr>
          <w:rFonts w:ascii="Verdana" w:hAnsi="Verdana" w:cs="Arial"/>
          <w:sz w:val="20"/>
          <w:szCs w:val="20"/>
        </w:rPr>
        <w:t>.</w:t>
      </w:r>
    </w:p>
    <w:p w14:paraId="426A459D" w14:textId="77777777" w:rsidR="005374E9" w:rsidRPr="005800D0" w:rsidRDefault="005374E9" w:rsidP="005374E9">
      <w:pPr>
        <w:spacing w:after="0" w:line="240" w:lineRule="auto"/>
        <w:ind w:left="709" w:right="709"/>
        <w:jc w:val="both"/>
        <w:rPr>
          <w:rFonts w:ascii="Verdana" w:hAnsi="Verdana" w:cs="Arial"/>
        </w:rPr>
      </w:pPr>
    </w:p>
    <w:p w14:paraId="01FD7360" w14:textId="77777777" w:rsidR="005374E9" w:rsidRPr="00195E24" w:rsidRDefault="005374E9" w:rsidP="005374E9">
      <w:pPr>
        <w:spacing w:after="120" w:line="276" w:lineRule="auto"/>
        <w:ind w:firstLine="709"/>
        <w:jc w:val="both"/>
        <w:rPr>
          <w:rFonts w:ascii="Verdana" w:hAnsi="Verdana" w:cs="Arial"/>
          <w:bCs/>
          <w:lang w:eastAsia="x-none"/>
        </w:rPr>
      </w:pPr>
      <w:bookmarkStart w:id="14"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8"/>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9"/>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733FED75" w14:textId="77777777" w:rsidR="005374E9" w:rsidRPr="00195E24" w:rsidRDefault="005374E9" w:rsidP="005374E9">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xml:space="preserve">, precisando el Consejo de Estado –en el concepto citado– que, “aun cuando no coincide única y exactamente con la regulación que de dicho sistema de selección </w:t>
      </w:r>
      <w:r w:rsidRPr="00195E24">
        <w:rPr>
          <w:rFonts w:ascii="Verdana" w:hAnsi="Verdana" w:cs="Arial"/>
          <w:lang w:eastAsia="x-none"/>
        </w:rPr>
        <w:lastRenderedPageBreak/>
        <w:t>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20"/>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76859B90" w14:textId="77777777" w:rsidR="005374E9" w:rsidRPr="00195E24" w:rsidRDefault="005374E9" w:rsidP="005374E9">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21"/>
      </w:r>
      <w:r w:rsidRPr="00195E24">
        <w:rPr>
          <w:rFonts w:ascii="Verdana" w:hAnsi="Verdana" w:cs="Arial"/>
          <w:lang w:eastAsia="x-none"/>
        </w:rPr>
        <w:t xml:space="preserve">. </w:t>
      </w:r>
    </w:p>
    <w:p w14:paraId="7EADD008" w14:textId="77777777" w:rsidR="005374E9" w:rsidRPr="00CE0712" w:rsidRDefault="005374E9" w:rsidP="005374E9">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6D12B252" w14:textId="77777777" w:rsidR="005374E9" w:rsidRDefault="005374E9" w:rsidP="005374E9">
      <w:pPr>
        <w:spacing w:after="120" w:line="276" w:lineRule="auto"/>
        <w:ind w:firstLine="709"/>
        <w:jc w:val="both"/>
        <w:rPr>
          <w:rFonts w:ascii="Verdana" w:hAnsi="Verdana" w:cs="Arial"/>
          <w:vertAlign w:val="superscript"/>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w:t>
      </w:r>
      <w:r w:rsidRPr="00195E24">
        <w:rPr>
          <w:rFonts w:ascii="Verdana" w:hAnsi="Verdana" w:cs="Arial"/>
          <w:bCs/>
          <w:lang w:eastAsia="x-none"/>
        </w:rPr>
        <w:lastRenderedPageBreak/>
        <w:t>que no incluya la convocatoria pública en alguna de sus etapas, ni permita la participación de una pluralidad de oferentes</w:t>
      </w:r>
      <w:r w:rsidRPr="007E27D9">
        <w:rPr>
          <w:rFonts w:ascii="Verdana" w:hAnsi="Verdana" w:cs="Arial"/>
          <w:vertAlign w:val="superscript"/>
          <w:lang w:eastAsia="x-none"/>
        </w:rPr>
        <w:footnoteReference w:id="22"/>
      </w:r>
      <w:r w:rsidRPr="007E27D9">
        <w:rPr>
          <w:rFonts w:ascii="Verdana" w:hAnsi="Verdana" w:cs="Arial"/>
          <w:lang w:eastAsia="x-none"/>
        </w:rPr>
        <w:t>.</w:t>
      </w:r>
      <w:r w:rsidRPr="007E27D9">
        <w:rPr>
          <w:rFonts w:ascii="Verdana" w:hAnsi="Verdana" w:cs="Arial"/>
          <w:vertAlign w:val="superscript"/>
          <w:lang w:eastAsia="x-none"/>
        </w:rPr>
        <w:t xml:space="preserve"> </w:t>
      </w:r>
    </w:p>
    <w:p w14:paraId="014FF7E4" w14:textId="77777777" w:rsidR="005374E9" w:rsidRPr="007E27D9" w:rsidRDefault="005374E9" w:rsidP="005374E9">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23"/>
      </w:r>
      <w:r w:rsidRPr="00AD17FF">
        <w:rPr>
          <w:rFonts w:ascii="Verdana" w:hAnsi="Verdana" w:cs="Arial"/>
          <w:lang w:eastAsia="x-none"/>
        </w:rPr>
        <w:t>.</w:t>
      </w:r>
    </w:p>
    <w:bookmarkEnd w:id="16"/>
    <w:p w14:paraId="73E5A24B" w14:textId="77777777" w:rsidR="005374E9" w:rsidRPr="007E27D9" w:rsidRDefault="005374E9" w:rsidP="005374E9">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4B90077D" w14:textId="77777777" w:rsidR="005374E9" w:rsidRPr="00CE0712" w:rsidRDefault="005374E9" w:rsidP="005374E9">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F7C2F88" w14:textId="77777777" w:rsidR="005374E9" w:rsidRDefault="005374E9" w:rsidP="005374E9">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lastRenderedPageBreak/>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4"/>
      </w:r>
      <w:r w:rsidRPr="73D21086">
        <w:rPr>
          <w:rFonts w:ascii="Verdana" w:hAnsi="Verdana" w:cs="Arial"/>
          <w:color w:val="000000" w:themeColor="text1"/>
          <w:lang w:val="es-MX"/>
        </w:rPr>
        <w:t xml:space="preserve">. </w:t>
      </w:r>
    </w:p>
    <w:p w14:paraId="0A386E8B" w14:textId="77777777" w:rsidR="005374E9" w:rsidRPr="002D6B92" w:rsidRDefault="005374E9" w:rsidP="005374E9">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5"/>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31F580F8" w14:textId="77777777" w:rsidR="005374E9" w:rsidRPr="005800D0" w:rsidRDefault="005374E9" w:rsidP="005374E9">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w:t>
      </w:r>
      <w:r w:rsidRPr="005800D0">
        <w:rPr>
          <w:rFonts w:ascii="Verdana" w:hAnsi="Verdana" w:cs="Arial"/>
          <w:color w:val="000000" w:themeColor="text1"/>
          <w:sz w:val="20"/>
          <w:szCs w:val="20"/>
          <w:lang w:val="es-MX"/>
        </w:rPr>
        <w:lastRenderedPageBreak/>
        <w:t>existentes, pues significaría la parálisis de una actividad propia de la administración, que incluso podría desconocer los derechos fundamentales.</w:t>
      </w:r>
    </w:p>
    <w:p w14:paraId="326185F5" w14:textId="77777777" w:rsidR="005374E9" w:rsidRDefault="005374E9" w:rsidP="005374E9">
      <w:pPr>
        <w:spacing w:after="0" w:line="240" w:lineRule="auto"/>
        <w:ind w:left="709" w:right="709"/>
        <w:jc w:val="both"/>
        <w:rPr>
          <w:rFonts w:ascii="Verdana" w:hAnsi="Verdana" w:cs="Arial"/>
          <w:color w:val="000000" w:themeColor="text1"/>
          <w:sz w:val="20"/>
          <w:szCs w:val="20"/>
          <w:lang w:val="es-MX"/>
        </w:rPr>
      </w:pPr>
    </w:p>
    <w:p w14:paraId="625CD601" w14:textId="77777777" w:rsidR="005374E9" w:rsidRPr="00AA5D69" w:rsidRDefault="005374E9" w:rsidP="005374E9">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6"/>
      </w:r>
      <w:r w:rsidRPr="005800D0">
        <w:rPr>
          <w:rFonts w:ascii="Verdana" w:hAnsi="Verdana" w:cs="Arial"/>
          <w:color w:val="000000" w:themeColor="text1"/>
          <w:sz w:val="20"/>
          <w:szCs w:val="20"/>
          <w:lang w:val="es-MX" w:eastAsia="x-none"/>
        </w:rPr>
        <w:t>.</w:t>
      </w:r>
    </w:p>
    <w:p w14:paraId="1E8AC194" w14:textId="77777777" w:rsidR="005374E9" w:rsidRDefault="005374E9" w:rsidP="005374E9">
      <w:pPr>
        <w:spacing w:after="0" w:line="240" w:lineRule="auto"/>
        <w:ind w:firstLine="709"/>
        <w:jc w:val="both"/>
        <w:rPr>
          <w:rFonts w:ascii="Verdana" w:hAnsi="Verdana" w:cs="Arial"/>
          <w:color w:val="000000" w:themeColor="text1"/>
          <w:lang w:val="es-MX"/>
        </w:rPr>
      </w:pPr>
    </w:p>
    <w:p w14:paraId="4C30FCBE" w14:textId="77777777" w:rsidR="005374E9" w:rsidRDefault="005374E9" w:rsidP="005374E9">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7"/>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0E5CE4C9" w14:textId="77777777" w:rsidR="005374E9" w:rsidRPr="00195E24" w:rsidRDefault="005374E9" w:rsidP="005374E9">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1CC1ABBE" w14:textId="77777777" w:rsidR="005374E9" w:rsidRPr="00CE0712" w:rsidRDefault="005374E9" w:rsidP="005374E9">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lastRenderedPageBreak/>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4CE65EC1" w14:textId="77777777" w:rsidR="005374E9" w:rsidRDefault="005374E9" w:rsidP="005374E9">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3CCDFDF0" w14:textId="77777777" w:rsidR="005374E9" w:rsidRDefault="005374E9" w:rsidP="005374E9">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8" w:name="_Hlk74309042"/>
      <w:r w:rsidRPr="00F8199A">
        <w:rPr>
          <w:rFonts w:ascii="Verdana" w:hAnsi="Verdana" w:cs="Arial"/>
          <w:bCs/>
          <w:lang w:val="es-MX" w:eastAsia="x-none"/>
        </w:rPr>
        <w:t xml:space="preserve">que </w:t>
      </w:r>
      <w:r>
        <w:rPr>
          <w:rFonts w:ascii="Verdana" w:hAnsi="Verdana" w:cs="Arial"/>
          <w:bCs/>
          <w:lang w:val="es-MX" w:eastAsia="x-none"/>
        </w:rPr>
        <w:t>“</w:t>
      </w:r>
      <w:bookmarkEnd w:id="18"/>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9"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28"/>
      </w:r>
      <w:r w:rsidRPr="00F8199A">
        <w:rPr>
          <w:rFonts w:ascii="Verdana" w:hAnsi="Verdana" w:cs="Arial"/>
          <w:bCs/>
          <w:lang w:val="es-MX" w:eastAsia="x-none"/>
        </w:rPr>
        <w:t xml:space="preserve">. De ahí que la Corte haya señalado que las excepciones a la restricción protegen diversos tipos de urgencias de defensa, salud, educación, infraestructura vial y de servicios públicos y ecológicas, que tienden a no limitar desproporcionadamente la acción </w:t>
      </w:r>
      <w:r w:rsidRPr="00F8199A">
        <w:rPr>
          <w:rFonts w:ascii="Verdana" w:hAnsi="Verdana" w:cs="Arial"/>
          <w:bCs/>
          <w:lang w:val="es-MX" w:eastAsia="x-none"/>
        </w:rPr>
        <w:lastRenderedPageBreak/>
        <w:t>del Estado en el cumplimiento de sus fines, en procura de la igualdad entre los candidatos como garantía electoral.</w:t>
      </w:r>
      <w:bookmarkEnd w:id="19"/>
    </w:p>
    <w:p w14:paraId="4593A246" w14:textId="77777777" w:rsidR="005374E9" w:rsidRPr="0004207F" w:rsidRDefault="005374E9" w:rsidP="005374E9">
      <w:pPr>
        <w:spacing w:after="120" w:line="276" w:lineRule="auto"/>
        <w:ind w:firstLine="709"/>
        <w:jc w:val="both"/>
        <w:rPr>
          <w:rFonts w:ascii="Verdana" w:hAnsi="Verdana" w:cs="Arial"/>
          <w:bCs/>
          <w:lang w:val="es-MX" w:eastAsia="x-none"/>
        </w:rPr>
      </w:pPr>
      <w:r w:rsidRPr="0004207F">
        <w:rPr>
          <w:rFonts w:ascii="Verdana" w:hAnsi="Verdana" w:cs="Arial"/>
          <w:bCs/>
          <w:lang w:val="es-MX" w:eastAsia="x-none"/>
        </w:rPr>
        <w:t>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w:t>
      </w:r>
      <w:r>
        <w:rPr>
          <w:rFonts w:ascii="Verdana" w:hAnsi="Verdana" w:cs="Arial"/>
          <w:bCs/>
          <w:lang w:val="es-MX" w:eastAsia="x-none"/>
        </w:rPr>
        <w:t>(…)</w:t>
      </w:r>
      <w:r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04207F">
        <w:rPr>
          <w:rFonts w:ascii="Verdana" w:hAnsi="Verdana" w:cs="Arial"/>
          <w:bCs/>
          <w:lang w:val="es-MX" w:eastAsia="x-none"/>
        </w:rPr>
        <w:t>”</w:t>
      </w:r>
      <w:r w:rsidRPr="0004207F">
        <w:rPr>
          <w:rStyle w:val="Refdenotaalpie"/>
          <w:rFonts w:ascii="Verdana" w:hAnsi="Verdana" w:cs="Arial"/>
          <w:lang w:val="es-ES_tradnl" w:eastAsia="es-CO"/>
        </w:rPr>
        <w:footnoteReference w:id="29"/>
      </w:r>
      <w:r w:rsidRPr="0004207F">
        <w:rPr>
          <w:rFonts w:ascii="Verdana" w:hAnsi="Verdana" w:cs="Arial"/>
          <w:bCs/>
          <w:lang w:val="es-MX" w:eastAsia="x-none"/>
        </w:rPr>
        <w:t>.</w:t>
      </w:r>
    </w:p>
    <w:p w14:paraId="4BC53936" w14:textId="77777777" w:rsidR="005374E9" w:rsidRPr="0004207F" w:rsidRDefault="005374E9" w:rsidP="005374E9">
      <w:pPr>
        <w:shd w:val="clear" w:color="auto" w:fill="FFFFFF" w:themeFill="background1"/>
        <w:spacing w:after="120" w:line="276" w:lineRule="auto"/>
        <w:ind w:firstLine="709"/>
        <w:jc w:val="both"/>
        <w:rPr>
          <w:rFonts w:ascii="Verdana" w:hAnsi="Verdana" w:cs="Arial"/>
          <w:lang w:val="es-ES" w:eastAsia="es-CO"/>
        </w:rPr>
      </w:pPr>
      <w:r w:rsidRPr="2E79A5E2">
        <w:rPr>
          <w:rFonts w:ascii="Verdana" w:hAnsi="Verdana" w:cs="Arial"/>
          <w:lang w:val="es-ES" w:eastAsia="es-CO"/>
        </w:rPr>
        <w:t>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exequibilidad.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30"/>
      </w:r>
      <w:r w:rsidRPr="2E79A5E2">
        <w:rPr>
          <w:rFonts w:ascii="Verdana" w:hAnsi="Verdana" w:cs="Arial"/>
          <w:lang w:val="es-ES" w:eastAsia="es-CO"/>
        </w:rPr>
        <w:t xml:space="preserve">. </w:t>
      </w:r>
    </w:p>
    <w:p w14:paraId="6830A807" w14:textId="77777777" w:rsidR="005374E9" w:rsidRDefault="005374E9" w:rsidP="005374E9">
      <w:pPr>
        <w:shd w:val="clear" w:color="auto" w:fill="FFFFFF"/>
        <w:spacing w:after="120" w:line="276" w:lineRule="auto"/>
        <w:ind w:firstLine="709"/>
        <w:jc w:val="both"/>
        <w:rPr>
          <w:rFonts w:ascii="Verdana" w:hAnsi="Verdana" w:cs="Arial"/>
          <w:bCs/>
          <w:lang w:val="es-ES_tradnl"/>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2DAB0576" w14:textId="77777777" w:rsidR="005374E9" w:rsidRPr="005F5922" w:rsidRDefault="005374E9" w:rsidP="005374E9">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lastRenderedPageBreak/>
        <w:t>En este punto, es pertinente analizar el quinto evento</w:t>
      </w:r>
      <w:r w:rsidRPr="3A5322BA">
        <w:rPr>
          <w:rFonts w:ascii="Verdana" w:hAnsi="Verdana" w:cs="Arial"/>
          <w:i/>
          <w:iCs/>
          <w:color w:val="000000" w:themeColor="text1"/>
          <w:lang w:val="es-ES"/>
        </w:rPr>
        <w:t xml:space="preserve"> </w:t>
      </w:r>
      <w:r w:rsidRPr="3A5322BA">
        <w:rPr>
          <w:rFonts w:ascii="Verdana" w:hAnsi="Verdana" w:cs="Arial"/>
          <w:color w:val="000000" w:themeColor="text1"/>
          <w:lang w:val="es-ES"/>
        </w:rPr>
        <w:t>exceptuado de la prohibición, relacionado con la contratación por parte de las entidades sanitarias y hospitalarias</w:t>
      </w:r>
      <w:r>
        <w:rPr>
          <w:rFonts w:ascii="Verdana" w:hAnsi="Verdana" w:cs="Arial"/>
          <w:color w:val="000000" w:themeColor="text1"/>
          <w:lang w:val="es-ES"/>
        </w:rPr>
        <w:t xml:space="preserve">, </w:t>
      </w:r>
      <w:r w:rsidRPr="00504F23">
        <w:rPr>
          <w:rFonts w:ascii="Verdana" w:hAnsi="Verdana" w:cs="Arial"/>
          <w:color w:val="000000" w:themeColor="text1"/>
        </w:rPr>
        <w:t>a efectos de determinar si la excepción referida es aplicable a los contratos suscritos por las Empresas Sociales del Estado –ESE</w:t>
      </w:r>
      <w:r>
        <w:rPr>
          <w:rFonts w:ascii="Verdana" w:hAnsi="Verdana" w:cs="Arial"/>
          <w:color w:val="000000" w:themeColor="text1"/>
        </w:rPr>
        <w:t>-</w:t>
      </w:r>
      <w:r w:rsidRPr="3A5322BA">
        <w:rPr>
          <w:rFonts w:ascii="Verdana" w:hAnsi="Verdana" w:cs="Arial"/>
          <w:color w:val="000000" w:themeColor="text1"/>
          <w:lang w:val="es-ES"/>
        </w:rPr>
        <w:t xml:space="preserve">. Para ello, debe tenerse en cuenta el artículo 94 de la Ley 100 de 1993, que dispone </w:t>
      </w:r>
      <w:r w:rsidRPr="3A5322BA">
        <w:rPr>
          <w:rFonts w:ascii="Verdana" w:hAnsi="Verdana" w:cs="Arial"/>
          <w:color w:val="000000" w:themeColor="text1"/>
          <w:lang w:val="es-ES" w:eastAsia="es-CO"/>
        </w:rPr>
        <w:t>“</w:t>
      </w:r>
      <w:r w:rsidRPr="3A5322BA">
        <w:rPr>
          <w:rFonts w:ascii="Verdana" w:hAnsi="Verdana" w:cs="Arial"/>
          <w:color w:val="000000" w:themeColor="text1"/>
          <w:lang w:val="es-ES"/>
        </w:rPr>
        <w:t xml:space="preserve">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14FD4F72" w14:textId="77777777" w:rsidR="005374E9" w:rsidRPr="005F5922" w:rsidRDefault="005374E9" w:rsidP="005374E9">
      <w:pPr>
        <w:tabs>
          <w:tab w:val="left" w:pos="426"/>
        </w:tabs>
        <w:spacing w:after="120" w:line="276" w:lineRule="auto"/>
        <w:ind w:firstLine="709"/>
        <w:jc w:val="both"/>
        <w:rPr>
          <w:rFonts w:ascii="Verdana" w:hAnsi="Verdana" w:cs="Arial"/>
          <w:color w:val="000000" w:themeColor="text1"/>
        </w:rPr>
      </w:pPr>
      <w:r w:rsidRPr="3A5322BA">
        <w:rPr>
          <w:rFonts w:ascii="Verdana" w:hAnsi="Verdana" w:cs="Arial"/>
          <w:color w:val="000000" w:themeColor="text1"/>
          <w:lang w:val="es-ES"/>
        </w:rPr>
        <w:t>Es decir que, a partir de la entrada en vigencia de la Ley 100 de 1993, las Empresas Sociales del Estado son las entidades públicas que tienen a su cargo la prestación de servicios de salud de manera directa. Igualmente, el artículo 197 de la misma disposición</w:t>
      </w:r>
      <w:r w:rsidRPr="005F5922">
        <w:rPr>
          <w:rFonts w:ascii="Verdana" w:hAnsi="Verdana" w:cs="Arial"/>
          <w:color w:val="000000" w:themeColor="text1"/>
          <w:vertAlign w:val="superscript"/>
          <w:lang w:val="es-ES_tradnl"/>
        </w:rPr>
        <w:footnoteReference w:id="31"/>
      </w:r>
      <w:r w:rsidRPr="3A5322BA">
        <w:rPr>
          <w:rFonts w:ascii="Verdana" w:hAnsi="Verdana" w:cs="Arial"/>
          <w:color w:val="000000" w:themeColor="text1"/>
          <w:lang w:val="es-ES"/>
        </w:rPr>
        <w:t xml:space="preserve"> otorgó un término de seis (6) meses a las entidades territoriales prestadoras del servicio de salud para restructurarlas en Empresas Sociales del Estado. </w:t>
      </w:r>
    </w:p>
    <w:p w14:paraId="54DD7824" w14:textId="77777777" w:rsidR="005374E9" w:rsidRPr="005F5922" w:rsidRDefault="005374E9" w:rsidP="005374E9">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De lo anterior se desprende que, bajo la Ley 100 de 1993, dentro de la estructura de la administración pública las entidades encargadas de prestar el servicio de salud de manera directa son las Empresas Sociales del Estado. Además, el mismo artículo 197 de la disposición referida estableció el deber de reestructurar y transformar en Empresas Sociales del Estado a las entidades descentralizadas que, al momento de entrada en vigor de la ley referida, prestaban directamente este servicio.  </w:t>
      </w:r>
    </w:p>
    <w:p w14:paraId="4F56F1F7" w14:textId="77777777" w:rsidR="005374E9" w:rsidRPr="005F5922" w:rsidRDefault="005374E9" w:rsidP="005374E9">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Así, se observa que la voluntad del legislador plasmada en la Ley 100 de 1993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en Empresas Sociales del Estado. </w:t>
      </w:r>
    </w:p>
    <w:p w14:paraId="558D785B" w14:textId="77777777" w:rsidR="005374E9" w:rsidRPr="005F5922" w:rsidRDefault="005374E9" w:rsidP="005374E9">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Este proceso de reestructuración, dada las implicaciones administrativas que suponen, no ha sido inmediato, según se observa de lo señalado por el </w:t>
      </w:r>
      <w:r w:rsidRPr="3A5322BA">
        <w:rPr>
          <w:rFonts w:ascii="Verdana" w:hAnsi="Verdana" w:cs="Arial"/>
          <w:color w:val="000000" w:themeColor="text1"/>
          <w:lang w:val="es-ES"/>
        </w:rPr>
        <w:lastRenderedPageBreak/>
        <w:t xml:space="preserve">Ministerio de la Protección Social como cabeza del sector salud del orden nacional. En este sentido, en concepto del 14 de marzo de 2006, identificado con radicación No. 38644, al pronunciarse sobre el alcance de la regla de excepción establecida en el inciso 2 del artículo 33 de la Ley de Garantías Electorales, frente a las entidades sanitarias y hospitalarias, puso de presente el retardo en el proceso de reestructuración mencionado en la Ley 100 de 1993, así: </w:t>
      </w:r>
    </w:p>
    <w:p w14:paraId="2F4F1CEB" w14:textId="77777777" w:rsidR="005374E9" w:rsidRPr="005F5922" w:rsidRDefault="005374E9" w:rsidP="005374E9">
      <w:pPr>
        <w:tabs>
          <w:tab w:val="left" w:pos="426"/>
        </w:tabs>
        <w:spacing w:after="0" w:line="240" w:lineRule="auto"/>
        <w:ind w:left="709" w:right="709"/>
        <w:jc w:val="both"/>
        <w:rPr>
          <w:rFonts w:ascii="Verdana" w:hAnsi="Verdana" w:cs="Arial"/>
          <w:color w:val="000000" w:themeColor="text1"/>
          <w:sz w:val="20"/>
          <w:szCs w:val="20"/>
          <w:shd w:val="clear" w:color="auto" w:fill="FFFFFF"/>
          <w:lang w:val="es-ES"/>
        </w:rPr>
      </w:pPr>
      <w:r w:rsidRPr="00221312">
        <w:rPr>
          <w:rFonts w:ascii="Verdana" w:hAnsi="Verdana" w:cs="Arial"/>
          <w:color w:val="000000" w:themeColor="text1"/>
          <w:sz w:val="20"/>
          <w:szCs w:val="20"/>
          <w:shd w:val="clear" w:color="auto" w:fill="FFFFFF"/>
          <w:lang w:val="es-ES"/>
        </w:rPr>
        <w:t>“</w:t>
      </w:r>
      <w:r>
        <w:rPr>
          <w:rFonts w:ascii="Verdana" w:hAnsi="Verdana" w:cs="Arial"/>
          <w:color w:val="000000" w:themeColor="text1"/>
          <w:sz w:val="20"/>
          <w:szCs w:val="20"/>
          <w:shd w:val="clear" w:color="auto" w:fill="FFFFFF"/>
          <w:lang w:val="es-ES"/>
        </w:rPr>
        <w:t xml:space="preserve">(…) </w:t>
      </w:r>
      <w:r w:rsidRPr="00221312">
        <w:rPr>
          <w:rFonts w:ascii="Verdana" w:hAnsi="Verdana" w:cs="Arial"/>
          <w:color w:val="000000" w:themeColor="text1"/>
          <w:sz w:val="20"/>
          <w:szCs w:val="20"/>
          <w:shd w:val="clear" w:color="auto" w:fill="FFFFFF"/>
          <w:lang w:val="es-ES"/>
        </w:rPr>
        <w:t xml:space="preserve">se encuentran cubiertos por la excepción contemplada en el inciso 2 del artículo 33 de la Ley de Garantías Electorales, las entidades hospitalarias que a la luz de las normas vigentes </w:t>
      </w:r>
      <w:r w:rsidRPr="3A5322BA">
        <w:rPr>
          <w:rFonts w:ascii="Verdana" w:hAnsi="Verdana" w:cs="Arial"/>
          <w:i/>
          <w:iCs/>
          <w:color w:val="000000" w:themeColor="text1"/>
          <w:sz w:val="20"/>
          <w:szCs w:val="20"/>
          <w:shd w:val="clear" w:color="auto" w:fill="FFFFFF"/>
          <w:lang w:val="es-ES"/>
        </w:rPr>
        <w:t>no son otras distintas que las Empresas Sociales del estado y todas aquellas instituciones públicas que a pesar de no haberse transformado en Empresas Sociales del Estado, prestan un servicio de salud directo sobre el usuario en su carácter general de entidad hospitalaria</w:t>
      </w:r>
      <w:r w:rsidRPr="00221312">
        <w:rPr>
          <w:rFonts w:ascii="Verdana" w:hAnsi="Verdana" w:cs="Arial"/>
          <w:color w:val="000000" w:themeColor="text1"/>
          <w:sz w:val="20"/>
          <w:szCs w:val="20"/>
          <w:shd w:val="clear" w:color="auto" w:fill="FFFFFF"/>
          <w:lang w:val="es-ES"/>
        </w:rPr>
        <w:t xml:space="preserve"> </w:t>
      </w:r>
      <w:r>
        <w:rPr>
          <w:rFonts w:ascii="Verdana" w:hAnsi="Verdana" w:cs="Arial"/>
          <w:color w:val="000000" w:themeColor="text1"/>
          <w:sz w:val="20"/>
          <w:szCs w:val="20"/>
          <w:shd w:val="clear" w:color="auto" w:fill="FFFFFF"/>
          <w:lang w:val="es-ES"/>
        </w:rPr>
        <w:t>(…)</w:t>
      </w:r>
      <w:r w:rsidRPr="00221312">
        <w:rPr>
          <w:rFonts w:ascii="Verdana" w:hAnsi="Verdana" w:cs="Arial"/>
          <w:color w:val="000000" w:themeColor="text1"/>
          <w:sz w:val="20"/>
          <w:szCs w:val="20"/>
          <w:shd w:val="clear" w:color="auto" w:fill="FFFFFF"/>
          <w:lang w:val="es-ES"/>
        </w:rPr>
        <w:t xml:space="preserve">”.  </w:t>
      </w:r>
    </w:p>
    <w:p w14:paraId="09151F64" w14:textId="77777777" w:rsidR="005374E9" w:rsidRPr="005F5922" w:rsidRDefault="005374E9" w:rsidP="005374E9">
      <w:pPr>
        <w:tabs>
          <w:tab w:val="left" w:pos="426"/>
        </w:tabs>
        <w:spacing w:after="0" w:line="276" w:lineRule="auto"/>
        <w:ind w:left="709" w:right="709"/>
        <w:jc w:val="both"/>
        <w:rPr>
          <w:rFonts w:ascii="Verdana" w:hAnsi="Verdana" w:cs="Arial"/>
          <w:color w:val="000000" w:themeColor="text1"/>
          <w:lang w:val="es-ES"/>
        </w:rPr>
      </w:pPr>
    </w:p>
    <w:p w14:paraId="0A6205C4" w14:textId="77777777" w:rsidR="005374E9" w:rsidRPr="005F5922" w:rsidRDefault="005374E9" w:rsidP="005374E9">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Del aparte transcrito se desprende que, para la autoridad administrativa del sector salud, las Empresas Sociales del Estado son las entidades hospitalarias de que trata la excepción a la prohibición establecida en el artículo 33 de la ley de Garantías Electorales. De igual forma, incluyen también dentro de esta excepción a la prohibición, a aquellas instituciones públicas que, aunque no cumplieron con el deber de reestructuración establecido en el artículo 197 de la Ley 100 de 1993, prestan un servicio de salud directo como entidad hospitalaria. </w:t>
      </w:r>
    </w:p>
    <w:p w14:paraId="6D83D9C9" w14:textId="77777777" w:rsidR="005374E9" w:rsidRPr="004C5DB0" w:rsidRDefault="005374E9" w:rsidP="005374E9">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 </w:t>
      </w:r>
    </w:p>
    <w:p w14:paraId="7646ECF3" w14:textId="77777777" w:rsidR="005374E9" w:rsidRDefault="005374E9" w:rsidP="005374E9">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De acuerdo con lo anterior, y para dar respuesta al segundo problema jurídico, una entidad pública actuando como contratista de bienes y servicios no está impedido para contratar con el Estado a través de distintos procesos de contratación establecidos en el artículo 2 de la Ley 1150 de 2007, salvo los eventos que define la Ley 996 de 2005, esto es, las restricciones definidas en el artículo 33 y el parágrafo 38, por lo que podría contratar siempre que el proceso de selección sea competitivo a través de las modalidades de selección diferentes </w:t>
      </w:r>
      <w:r>
        <w:rPr>
          <w:rFonts w:ascii="Verdana" w:eastAsia="Calibri" w:hAnsi="Verdana" w:cs="Arial"/>
          <w:lang w:val="es-ES"/>
        </w:rPr>
        <w:lastRenderedPageBreak/>
        <w:t xml:space="preserve">a la contratación directa. No obstante lo anterior, si se presenta algunas de las eventuales excepciones consagradas en el artículo 33 de la Ley de Garantías Electorales y estando en el periodo electoral para elegir Presidente y Vicepresidente de la República, la entidad pública que actúa como contratista o cooperado, podrá actuar de esta forma siempre y cuando la excepción cumpla con los criterios establecidos en la ley. </w:t>
      </w:r>
    </w:p>
    <w:p w14:paraId="19FD2D13" w14:textId="77777777" w:rsidR="005374E9" w:rsidRDefault="005374E9" w:rsidP="005374E9">
      <w:pPr>
        <w:spacing w:after="120" w:line="276" w:lineRule="auto"/>
        <w:ind w:firstLine="709"/>
        <w:jc w:val="both"/>
        <w:rPr>
          <w:rFonts w:ascii="Verdana" w:eastAsia="Calibri" w:hAnsi="Verdana" w:cs="Arial"/>
          <w:lang w:val="es-ES"/>
        </w:rPr>
      </w:pPr>
      <w:r w:rsidRPr="00033AB8">
        <w:rPr>
          <w:rFonts w:ascii="Verdana" w:eastAsia="Calibri" w:hAnsi="Verdana" w:cs="Arial"/>
          <w:lang w:val="es-ES"/>
        </w:rPr>
        <w:t>Ahora bien, respecto del alcance del parágrafo 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(Énfasis fuera del texto original)</w:t>
      </w:r>
    </w:p>
    <w:p w14:paraId="20B7030D" w14:textId="77777777" w:rsidR="005374E9" w:rsidRDefault="005374E9" w:rsidP="005374E9">
      <w:pPr>
        <w:spacing w:after="120" w:line="276" w:lineRule="auto"/>
        <w:ind w:firstLine="709"/>
        <w:jc w:val="both"/>
        <w:rPr>
          <w:rFonts w:ascii="Verdana" w:eastAsia="Calibri" w:hAnsi="Verdana" w:cs="Arial"/>
          <w:lang w:val="es-ES"/>
        </w:rPr>
      </w:pPr>
      <w:r w:rsidRPr="00033AB8">
        <w:rPr>
          <w:rFonts w:ascii="Verdana" w:eastAsia="Calibri" w:hAnsi="Verdana" w:cs="Arial"/>
          <w:lang w:val="es-ES"/>
        </w:rPr>
        <w:t>Para tales efectos, debe precisarse que los contratos o convenios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033AB8">
        <w:rPr>
          <w:rFonts w:ascii="Verdana" w:eastAsia="Calibri" w:hAnsi="Verdana" w:cs="Arial"/>
          <w:vertAlign w:val="superscript"/>
          <w:lang w:val="es-ES"/>
        </w:rPr>
        <w:footnoteReference w:id="32"/>
      </w:r>
      <w:r w:rsidRPr="00033AB8">
        <w:rPr>
          <w:rFonts w:ascii="Verdana" w:eastAsia="Calibri" w:hAnsi="Verdana" w:cs="Arial"/>
          <w:vertAlign w:val="superscript"/>
          <w:lang w:val="es-ES"/>
        </w:rPr>
        <w:t>.</w:t>
      </w:r>
    </w:p>
    <w:p w14:paraId="27FCD8B3" w14:textId="77777777" w:rsidR="005374E9" w:rsidRPr="00033AB8" w:rsidRDefault="005374E9" w:rsidP="005374E9">
      <w:pPr>
        <w:spacing w:after="120" w:line="276" w:lineRule="auto"/>
        <w:ind w:firstLine="709"/>
        <w:jc w:val="both"/>
        <w:rPr>
          <w:rFonts w:ascii="Verdana" w:eastAsia="Calibri" w:hAnsi="Verdana" w:cs="Arial"/>
          <w:lang w:val="es-ES"/>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2A120FBD" w14:textId="77777777" w:rsidR="005374E9" w:rsidRPr="00667CD6" w:rsidRDefault="005374E9" w:rsidP="005374E9">
      <w:pPr>
        <w:spacing w:after="120" w:line="276" w:lineRule="auto"/>
        <w:ind w:firstLine="709"/>
        <w:jc w:val="both"/>
        <w:rPr>
          <w:rFonts w:ascii="Verdana" w:hAnsi="Verdana" w:cs="Arial"/>
          <w:lang w:val="es-ES_tradnl"/>
        </w:rPr>
      </w:pPr>
      <w:r w:rsidRPr="2035D652">
        <w:rPr>
          <w:rFonts w:ascii="Verdana" w:hAnsi="Verdana" w:cs="Arial"/>
          <w:lang w:val="es-ES"/>
        </w:rPr>
        <w:t xml:space="preserve">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w:t>
      </w:r>
      <w:r w:rsidRPr="2035D652">
        <w:rPr>
          <w:rFonts w:ascii="Verdana" w:hAnsi="Verdana" w:cs="Arial"/>
          <w:lang w:val="es-ES"/>
        </w:rPr>
        <w:lastRenderedPageBreak/>
        <w:t>en dicha Ley, deba adelantarse un procedimiento susceptible de pluralidad de oferentes</w:t>
      </w:r>
      <w:r w:rsidRPr="2035D652">
        <w:rPr>
          <w:rFonts w:ascii="Verdana" w:hAnsi="Verdana" w:cs="Arial"/>
          <w:vertAlign w:val="superscript"/>
          <w:lang w:val="es-ES"/>
        </w:rPr>
        <w:footnoteReference w:id="33"/>
      </w:r>
      <w:r w:rsidRPr="2035D652">
        <w:rPr>
          <w:rFonts w:ascii="Verdana" w:hAnsi="Verdana" w:cs="Arial"/>
          <w:lang w:val="es-ES"/>
        </w:rPr>
        <w:t>. Nótese que, en este caso, lo que cambia es la modalidad de selección y no la naturaleza de contrato interadministrativo.</w:t>
      </w:r>
    </w:p>
    <w:p w14:paraId="11F28ECB" w14:textId="77777777" w:rsidR="005374E9" w:rsidRPr="00667CD6" w:rsidRDefault="005374E9" w:rsidP="005374E9">
      <w:pPr>
        <w:spacing w:after="120" w:line="276" w:lineRule="auto"/>
        <w:ind w:firstLine="709"/>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34"/>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215CC004" w14:textId="77777777" w:rsidR="005374E9" w:rsidRPr="00667CD6" w:rsidRDefault="005374E9" w:rsidP="005374E9">
      <w:pPr>
        <w:spacing w:after="120" w:line="276" w:lineRule="auto"/>
        <w:ind w:firstLine="709"/>
        <w:jc w:val="both"/>
        <w:rPr>
          <w:rFonts w:ascii="Verdana" w:hAnsi="Verdana"/>
          <w:sz w:val="24"/>
          <w:szCs w:val="24"/>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5"/>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7E3F0AC1" w14:textId="77777777" w:rsidR="005374E9" w:rsidRDefault="005374E9" w:rsidP="005374E9">
      <w:pPr>
        <w:spacing w:after="120" w:line="276" w:lineRule="auto"/>
        <w:ind w:firstLine="709"/>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w:t>
      </w:r>
      <w:r>
        <w:rPr>
          <w:rFonts w:ascii="Verdana" w:eastAsia="Times New Roman" w:hAnsi="Verdana" w:cs="Arial"/>
          <w:lang w:eastAsia="es-CO"/>
        </w:rPr>
        <w:lastRenderedPageBreak/>
        <w:t>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538C7BE2" w14:textId="77777777" w:rsidR="005374E9" w:rsidRDefault="005374E9" w:rsidP="005374E9">
      <w:pPr>
        <w:spacing w:after="12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Respecto del alcance de esta prohibición la Circular Externa No. 006 de 2025 expedida por la ANCP -CCE, en los literales ii) y iv)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4F796AFC" w14:textId="77777777" w:rsidR="005374E9" w:rsidRPr="00667CD6" w:rsidRDefault="005374E9" w:rsidP="005374E9">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36"/>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000A363E" w14:textId="77777777" w:rsidR="005374E9" w:rsidRPr="00667CD6" w:rsidRDefault="005374E9" w:rsidP="005374E9">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lastRenderedPageBreak/>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22CFA332" w14:textId="77777777" w:rsidR="005374E9" w:rsidRPr="00033AB8" w:rsidRDefault="005374E9" w:rsidP="005374E9">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En este punto, vale la pena destacar que</w:t>
      </w:r>
      <w:r>
        <w:rPr>
          <w:rFonts w:ascii="Verdana" w:eastAsia="Times New Roman" w:hAnsi="Verdana" w:cs="Arial"/>
          <w:lang w:eastAsia="es-CO"/>
        </w:rPr>
        <w:t>,</w:t>
      </w:r>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37"/>
      </w:r>
      <w:r w:rsidRPr="00667CD6">
        <w:rPr>
          <w:rFonts w:ascii="Verdana" w:hAnsi="Verdana" w:cs="Arial"/>
        </w:rPr>
        <w:t xml:space="preserve">: </w:t>
      </w:r>
    </w:p>
    <w:p w14:paraId="12B47143" w14:textId="77777777" w:rsidR="005374E9" w:rsidRDefault="005374E9" w:rsidP="005374E9">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2F69CC04" w14:textId="77777777" w:rsidR="005374E9" w:rsidRPr="00667CD6" w:rsidRDefault="005374E9" w:rsidP="005374E9">
      <w:pPr>
        <w:spacing w:after="0" w:line="240" w:lineRule="auto"/>
        <w:ind w:left="709" w:right="709"/>
        <w:jc w:val="both"/>
        <w:rPr>
          <w:rFonts w:ascii="Verdana" w:hAnsi="Verdana" w:cs="Arial"/>
          <w:sz w:val="20"/>
          <w:szCs w:val="20"/>
        </w:rPr>
      </w:pPr>
    </w:p>
    <w:p w14:paraId="08C48388" w14:textId="77777777" w:rsidR="005374E9" w:rsidRPr="00667CD6" w:rsidRDefault="005374E9" w:rsidP="005374E9">
      <w:pPr>
        <w:spacing w:after="0" w:line="240" w:lineRule="auto"/>
        <w:ind w:left="709" w:right="709"/>
        <w:jc w:val="both"/>
        <w:rPr>
          <w:rFonts w:ascii="Verdana" w:hAnsi="Verdana" w:cs="Arial"/>
          <w:sz w:val="20"/>
          <w:szCs w:val="20"/>
        </w:rPr>
      </w:pPr>
      <w:r w:rsidRPr="00667CD6">
        <w:rPr>
          <w:rFonts w:ascii="Verdana" w:hAnsi="Verdana" w:cs="Arial"/>
          <w:sz w:val="20"/>
          <w:szCs w:val="20"/>
        </w:rPr>
        <w:t xml:space="preserve">ii)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75F6B638" w14:textId="77777777" w:rsidR="005374E9" w:rsidRPr="00667CD6" w:rsidRDefault="005374E9" w:rsidP="005374E9">
      <w:pPr>
        <w:spacing w:after="0" w:line="276" w:lineRule="auto"/>
        <w:ind w:left="709" w:right="709"/>
        <w:jc w:val="both"/>
        <w:rPr>
          <w:rFonts w:ascii="Verdana" w:hAnsi="Verdana" w:cs="Arial"/>
        </w:rPr>
      </w:pPr>
    </w:p>
    <w:p w14:paraId="14B97CEE" w14:textId="77777777" w:rsidR="005374E9" w:rsidRPr="00667CD6" w:rsidRDefault="005374E9" w:rsidP="005374E9">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lastRenderedPageBreak/>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2AFA703B" w14:textId="77777777" w:rsidR="005374E9" w:rsidRPr="00667CD6" w:rsidRDefault="005374E9" w:rsidP="005374E9">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38"/>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w:t>
      </w:r>
      <w:r w:rsidRPr="00667CD6">
        <w:rPr>
          <w:rFonts w:ascii="Verdana" w:eastAsia="Arial" w:hAnsi="Verdana" w:cs="Arial"/>
          <w:lang w:eastAsia="es-ES" w:bidi="es-ES"/>
        </w:rPr>
        <w:lastRenderedPageBreak/>
        <w:t xml:space="preserve">extensiva y reiteró los argumentos sobre la diferencia entre contratos y convenios interadministrativos. </w:t>
      </w:r>
    </w:p>
    <w:p w14:paraId="64B062FE" w14:textId="77777777" w:rsidR="005374E9" w:rsidRDefault="005374E9" w:rsidP="005374E9">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5DD2A920" w14:textId="77777777" w:rsidR="005374E9" w:rsidRDefault="005374E9" w:rsidP="005374E9">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9"/>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75AF1E51" w14:textId="77777777" w:rsidR="005374E9" w:rsidRDefault="005374E9" w:rsidP="005374E9">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xml:space="preserve">, esta prohibición solo aplicaría a los convenios interadministrativos que impliquen la ejecución de </w:t>
      </w:r>
      <w:r>
        <w:rPr>
          <w:rFonts w:ascii="Verdana" w:eastAsia="Times New Roman" w:hAnsi="Verdana" w:cs="Arial"/>
          <w:lang w:eastAsia="es-CO"/>
        </w:rPr>
        <w:lastRenderedPageBreak/>
        <w:t>recursos públicos</w:t>
      </w:r>
      <w:r>
        <w:rPr>
          <w:rStyle w:val="Refdenotaalpie"/>
          <w:rFonts w:ascii="Verdana" w:eastAsia="Times New Roman" w:hAnsi="Verdana" w:cs="Arial"/>
          <w:lang w:eastAsia="es-CO"/>
        </w:rPr>
        <w:footnoteReference w:id="40"/>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w:t>
      </w:r>
    </w:p>
    <w:p w14:paraId="5A2B06A1" w14:textId="77777777" w:rsidR="005374E9" w:rsidRDefault="005374E9" w:rsidP="005374E9">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3FAA3C69" w14:textId="77777777" w:rsidR="005374E9" w:rsidRPr="00033AB8" w:rsidRDefault="005374E9" w:rsidP="005374E9">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00033AB8">
        <w:rPr>
          <w:rFonts w:ascii="Verdana" w:eastAsia="Times New Roman" w:hAnsi="Verdana" w:cs="Arial"/>
          <w:lang w:eastAsia="es-CO"/>
        </w:rPr>
        <w:t xml:space="preserve">de nulidad simple, identificada con el Radicado número 11001-03-26-000-2025-00016-00, en la cual se cuestiona parcialmente el numeral 16.2 de la Circular Externa Única CCE-EICP-MA-06, Versión 03 del 27 de diciembre de 2023. </w:t>
      </w:r>
    </w:p>
    <w:p w14:paraId="00DC4D88" w14:textId="77777777" w:rsidR="005374E9" w:rsidRPr="00A65838" w:rsidRDefault="005374E9" w:rsidP="005374E9">
      <w:pPr>
        <w:spacing w:after="120" w:line="276" w:lineRule="auto"/>
        <w:ind w:firstLine="709"/>
        <w:jc w:val="both"/>
        <w:rPr>
          <w:rFonts w:ascii="Verdana" w:eastAsia="Arial" w:hAnsi="Verdana" w:cs="Arial"/>
          <w:bCs/>
          <w:color w:val="000000" w:themeColor="text1"/>
        </w:rPr>
      </w:pPr>
      <w:r w:rsidRPr="00033AB8">
        <w:rPr>
          <w:rFonts w:ascii="Verdana" w:eastAsia="Times New Roman" w:hAnsi="Verdana" w:cs="Arial"/>
          <w:lang w:eastAsia="es-CO"/>
        </w:rPr>
        <w:t>Con respecto a la prohibición del parágrafo del artículo 38, es necesario verificar si la contratación es llevada a cabo por los “Alcaldes, Gobernadores, Secretarios, Gerentes y Directores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celebración de convenios interadministrativos</w:t>
      </w:r>
      <w:r w:rsidRPr="00033AB8">
        <w:rPr>
          <w:rFonts w:eastAsia="Times New Roman"/>
          <w:vertAlign w:val="superscript"/>
          <w:lang w:eastAsia="es-CO"/>
        </w:rPr>
        <w:footnoteReference w:id="41"/>
      </w:r>
      <w:r w:rsidRPr="00033AB8">
        <w:rPr>
          <w:rFonts w:ascii="Verdana" w:eastAsia="Times New Roman" w:hAnsi="Verdana" w:cs="Arial"/>
          <w:lang w:eastAsia="es-CO"/>
        </w:rPr>
        <w:t xml:space="preserve"> en los cuatro meses anteriores a cualquier contienda electoral. En este aspecto, se</w:t>
      </w:r>
      <w:r w:rsidRPr="005B0452">
        <w:rPr>
          <w:rFonts w:ascii="Verdana" w:eastAsia="Arial" w:hAnsi="Verdana" w:cs="Arial"/>
          <w:bCs/>
          <w:color w:val="000000" w:themeColor="text1"/>
        </w:rPr>
        <w:t xml:space="preserve"> encuentra que la restricción para la celebración de convenios interadministrativos para la ejecución de recursos públicos no puede aludirse a contratantes o contratistas, sino de partes cooperantes o colaboradoras. </w:t>
      </w:r>
      <w:r w:rsidRPr="005B0452">
        <w:rPr>
          <w:rFonts w:ascii="Verdana" w:eastAsia="Arial" w:hAnsi="Verdana" w:cs="Arial"/>
          <w:bCs/>
          <w:color w:val="000000" w:themeColor="text1"/>
          <w:lang w:val="es-MX"/>
        </w:rPr>
        <w:t xml:space="preserve">Esta </w:t>
      </w:r>
      <w:r w:rsidRPr="005B0452">
        <w:rPr>
          <w:rFonts w:ascii="Verdana" w:eastAsia="Arial" w:hAnsi="Verdana" w:cs="Arial"/>
          <w:bCs/>
          <w:color w:val="000000" w:themeColor="text1"/>
          <w:lang w:val="es-MX"/>
        </w:rPr>
        <w:lastRenderedPageBreak/>
        <w:t xml:space="preserve">restricción se extiende a las elecciones presidenciales que se celebrarán el 31 de mayo de 2026, así como una posible segunda vuelta tres semanas después, es decir, el 21 de junio de 2026. </w:t>
      </w:r>
    </w:p>
    <w:p w14:paraId="1E971587" w14:textId="77777777" w:rsidR="005374E9" w:rsidRPr="005B0452" w:rsidRDefault="005374E9" w:rsidP="005374E9">
      <w:pPr>
        <w:spacing w:after="120" w:line="276" w:lineRule="auto"/>
        <w:jc w:val="both"/>
        <w:rPr>
          <w:rFonts w:ascii="Verdana" w:eastAsia="Arial" w:hAnsi="Verdana" w:cs="Arial"/>
          <w:bCs/>
          <w:color w:val="000000" w:themeColor="text1"/>
        </w:rPr>
      </w:pPr>
      <w:r>
        <w:rPr>
          <w:rFonts w:ascii="Verdana" w:eastAsia="Arial" w:hAnsi="Verdana" w:cs="Arial"/>
          <w:bCs/>
          <w:color w:val="000000" w:themeColor="text1"/>
          <w:lang w:val="es-MX"/>
        </w:rPr>
        <w:tab/>
        <w:t xml:space="preserve">En cuanto a la celebración de contratos interadministrativos ya no es aplicable la restricción del parágrafo del artículo 38, según la sentencia precitada en consideraciones previas, pero sujeto a las restricciones del artículo 33 si se adelanta la contratación de forma directa, esto es, un procedimiento no competitivo. </w:t>
      </w:r>
      <w:r w:rsidRPr="005B0452">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25219B96" w14:textId="77777777" w:rsidR="005374E9" w:rsidRDefault="005374E9" w:rsidP="005374E9">
      <w:pPr>
        <w:spacing w:after="120" w:line="276" w:lineRule="auto"/>
        <w:ind w:firstLine="709"/>
        <w:jc w:val="both"/>
        <w:rPr>
          <w:rFonts w:ascii="Verdana" w:hAnsi="Verdana" w:cs="Arial"/>
          <w:lang w:eastAsia="es-CO"/>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p>
    <w:p w14:paraId="155A89AC" w14:textId="77777777" w:rsidR="005374E9" w:rsidRDefault="005374E9" w:rsidP="005374E9">
      <w:pPr>
        <w:spacing w:after="120" w:line="276" w:lineRule="auto"/>
        <w:ind w:firstLine="709"/>
        <w:jc w:val="both"/>
        <w:rPr>
          <w:rFonts w:ascii="Verdana" w:hAnsi="Verdana" w:cs="Arial"/>
          <w:lang w:eastAsia="es-CO"/>
        </w:rPr>
      </w:pPr>
      <w:r>
        <w:rPr>
          <w:rFonts w:ascii="Verdana" w:hAnsi="Verdana" w:cs="Arial"/>
          <w:lang w:eastAsia="es-CO"/>
        </w:rPr>
        <w:t xml:space="preserve">En otros términos, para el caso de la restricción del parágrafo 38 de la Ley 996 de 2005, cuando la entidad pública actúa como cooperante, deberá tener en cuenta que bajo la aplicación de dicha restricción no podrá celebrar convenios interadministrativos con recursos públicos. No obstante lo anterior, teniendo en cuenta que actualmente opera de manera simultánea las restricciones definidas en el artículo 33 y el parágrafo 38 de la Ley de Garantías Electorales, quedará impedido para celebrar cualquier tipo de contratación directa, a menos que la entidad pública que desee contratar se encuentre inmerso dentro de las excepciones definidas por el artículo 33 y la otra entidad pública contratante o </w:t>
      </w:r>
      <w:r>
        <w:rPr>
          <w:rFonts w:ascii="Verdana" w:hAnsi="Verdana" w:cs="Arial"/>
          <w:lang w:eastAsia="es-CO"/>
        </w:rPr>
        <w:lastRenderedPageBreak/>
        <w:t xml:space="preserve">cooperante podría contratar bajo las mismas causales excepcionales para la contratación directa.  </w:t>
      </w:r>
    </w:p>
    <w:p w14:paraId="4D6041D8" w14:textId="77777777" w:rsidR="005374E9" w:rsidRDefault="005374E9" w:rsidP="005374E9">
      <w:pPr>
        <w:spacing w:after="120" w:line="276" w:lineRule="auto"/>
        <w:jc w:val="both"/>
        <w:rPr>
          <w:rFonts w:ascii="Verdana" w:hAnsi="Verdana" w:cs="Arial"/>
          <w:bCs/>
          <w:lang w:val="es-MX"/>
        </w:rPr>
      </w:pPr>
      <w:r>
        <w:rPr>
          <w:rFonts w:ascii="Verdana" w:hAnsi="Verdana" w:cs="Arial"/>
          <w:lang w:eastAsia="es-CO"/>
        </w:rPr>
        <w:t>iii</w:t>
      </w:r>
      <w:r w:rsidRPr="00603608">
        <w:rPr>
          <w:rFonts w:ascii="Verdana" w:eastAsia="Calibri" w:hAnsi="Verdana" w:cs="Arial"/>
          <w:lang w:val="es-ES_tradnl"/>
        </w:rPr>
        <w:t>)</w:t>
      </w:r>
      <w:r>
        <w:rPr>
          <w:rFonts w:ascii="Verdana" w:eastAsia="Calibri" w:hAnsi="Verdana" w:cs="Arial"/>
          <w:lang w:val="es-ES_tradnl"/>
        </w:rPr>
        <w:t xml:space="preserve"> Respecto del tercer problema jurídico, resulta importante indicar que los</w:t>
      </w:r>
      <w:r>
        <w:rPr>
          <w:rFonts w:ascii="Verdana" w:hAnsi="Verdana" w:cs="Arial"/>
          <w:lang w:val="es-ES"/>
        </w:rPr>
        <w:t xml:space="preserve"> </w:t>
      </w:r>
      <w:r w:rsidRPr="00B47324">
        <w:rPr>
          <w:rFonts w:ascii="Verdana" w:hAnsi="Verdana" w:cs="Arial"/>
          <w:lang w:val="es-ES"/>
        </w:rPr>
        <w:t xml:space="preserve">procesos de selección </w:t>
      </w:r>
      <w:r>
        <w:rPr>
          <w:rFonts w:ascii="Verdana" w:hAnsi="Verdana" w:cs="Arial"/>
          <w:lang w:val="es-ES"/>
        </w:rPr>
        <w:t>p</w:t>
      </w:r>
      <w:r w:rsidRPr="00B47324">
        <w:rPr>
          <w:rFonts w:ascii="Verdana" w:hAnsi="Verdana" w:cs="Arial"/>
          <w:lang w:val="es-ES"/>
        </w:rPr>
        <w:t xml:space="preserve">ara las entidades </w:t>
      </w:r>
      <w:r>
        <w:rPr>
          <w:rFonts w:ascii="Verdana" w:hAnsi="Verdana" w:cs="Arial"/>
          <w:lang w:val="es-ES"/>
        </w:rPr>
        <w:t xml:space="preserve">sometidas a la Ley 80 de 1993 </w:t>
      </w:r>
      <w:r w:rsidRPr="00B47324">
        <w:rPr>
          <w:rFonts w:ascii="Verdana" w:hAnsi="Verdana" w:cs="Arial"/>
          <w:lang w:val="es-ES"/>
        </w:rPr>
        <w:t xml:space="preserve">se rigen por el artículo 2 de la Ley 1150 de 2007. El </w:t>
      </w:r>
      <w:r w:rsidRPr="00B47324">
        <w:rPr>
          <w:rFonts w:ascii="Verdana" w:hAnsi="Verdana" w:cs="Arial"/>
          <w:bCs/>
          <w:lang w:val="es-MX"/>
        </w:rPr>
        <w:t>numeral</w:t>
      </w:r>
      <w:r w:rsidRPr="00666B6A">
        <w:rPr>
          <w:rFonts w:ascii="Verdana" w:hAnsi="Verdana" w:cs="Arial"/>
          <w:bCs/>
          <w:lang w:val="es-MX"/>
        </w:rPr>
        <w:t xml:space="preserve"> uno, inciso primero, dispone que “La escogencia del contratista se efectuará por </w:t>
      </w:r>
      <w:r w:rsidRPr="00666B6A">
        <w:rPr>
          <w:rFonts w:ascii="Verdana" w:hAnsi="Verdana" w:cs="Arial"/>
          <w:bCs/>
          <w:i/>
          <w:iCs/>
          <w:lang w:val="es-MX"/>
        </w:rPr>
        <w:t>regla general</w:t>
      </w:r>
      <w:r w:rsidRPr="00666B6A">
        <w:rPr>
          <w:rFonts w:ascii="Verdana" w:hAnsi="Verdana" w:cs="Arial"/>
          <w:bCs/>
          <w:lang w:val="es-MX"/>
        </w:rPr>
        <w:t xml:space="preserve"> a través de licitación pública, con las </w:t>
      </w:r>
      <w:r w:rsidRPr="00666B6A">
        <w:rPr>
          <w:rFonts w:ascii="Verdana" w:hAnsi="Verdana" w:cs="Arial"/>
          <w:bCs/>
          <w:i/>
          <w:iCs/>
          <w:lang w:val="es-MX"/>
        </w:rPr>
        <w:t>excepciones</w:t>
      </w:r>
      <w:r w:rsidRPr="00666B6A">
        <w:rPr>
          <w:rFonts w:ascii="Verdana" w:hAnsi="Verdana" w:cs="Arial"/>
          <w:bCs/>
          <w:lang w:val="es-MX"/>
        </w:rPr>
        <w:t xml:space="preserve"> que se señalan en los numerales 2, 3 y 4 del presente artículo” (Énfasis fuera de texto), norma que sustituye el derogado numeral 1 del artículo 24 de la Ley 80 de 1993 sobre el principio de transparencia</w:t>
      </w:r>
      <w:r w:rsidRPr="00666B6A">
        <w:rPr>
          <w:rFonts w:ascii="Verdana" w:hAnsi="Verdana" w:cs="Arial"/>
          <w:bCs/>
          <w:vertAlign w:val="superscript"/>
          <w:lang w:val="es-MX"/>
        </w:rPr>
        <w:footnoteReference w:id="42"/>
      </w:r>
      <w:r w:rsidRPr="00666B6A">
        <w:rPr>
          <w:rFonts w:ascii="Verdana" w:hAnsi="Verdana" w:cs="Arial"/>
          <w:bCs/>
          <w:lang w:val="es-MX"/>
        </w:rPr>
        <w:t>. En este contexto, salvo norma especial que ordene la celebración del negocio jurídico por selección abreviada, concurso de méritos, mínima cuantía o contratación directa, debe aplicarse la regla general de licitación pública</w:t>
      </w:r>
      <w:r w:rsidRPr="00666B6A">
        <w:rPr>
          <w:rFonts w:ascii="Verdana" w:hAnsi="Verdana" w:cs="Arial"/>
          <w:bCs/>
          <w:vertAlign w:val="superscript"/>
          <w:lang w:val="es-MX"/>
        </w:rPr>
        <w:footnoteReference w:id="43"/>
      </w:r>
      <w:r w:rsidRPr="00666B6A">
        <w:rPr>
          <w:rFonts w:ascii="Verdana" w:hAnsi="Verdana" w:cs="Arial"/>
          <w:bCs/>
          <w:lang w:val="es-MX"/>
        </w:rPr>
        <w:t>.</w:t>
      </w:r>
    </w:p>
    <w:p w14:paraId="00CAE010" w14:textId="77777777" w:rsidR="005374E9" w:rsidRPr="00603608" w:rsidRDefault="005374E9" w:rsidP="005374E9">
      <w:pPr>
        <w:spacing w:after="120" w:line="276" w:lineRule="auto"/>
        <w:ind w:firstLine="708"/>
        <w:jc w:val="both"/>
        <w:rPr>
          <w:rFonts w:ascii="Verdana" w:hAnsi="Verdana" w:cs="Arial"/>
          <w:bCs/>
          <w:lang w:val="es-MX"/>
        </w:rPr>
      </w:pPr>
      <w:r w:rsidRPr="00480D85">
        <w:rPr>
          <w:rFonts w:ascii="Verdana" w:eastAsia="Times New Roman" w:hAnsi="Verdana" w:cs="Arial"/>
          <w:lang w:eastAsia="es-MX"/>
        </w:rPr>
        <w:t>La exposición de motivos de la Ley 1150 de 2007 señala las razones por las cuales se establecieron estos procedimientos, pues “</w:t>
      </w:r>
      <w:r>
        <w:rPr>
          <w:rFonts w:ascii="Verdana" w:eastAsia="Times New Roman" w:hAnsi="Verdana" w:cs="Arial"/>
          <w:lang w:eastAsia="es-MX"/>
        </w:rPr>
        <w:t>(…)</w:t>
      </w:r>
      <w:r w:rsidRPr="00480D85">
        <w:rPr>
          <w:rFonts w:ascii="Verdana" w:eastAsia="Times New Roman" w:hAnsi="Verdana" w:cs="Arial"/>
          <w:lang w:eastAsia="es-MX"/>
        </w:rPr>
        <w:t xml:space="preserve"> las experiencias exitosas a nivel internacional demuestran que el criterio de distinción que debe gobernar un esquema contractual eficiente es el de modular las modalidades de selección en razón a las características del objeto”</w:t>
      </w:r>
      <w:r w:rsidRPr="00480D85">
        <w:rPr>
          <w:rFonts w:ascii="Verdana" w:eastAsia="Times New Roman" w:hAnsi="Verdana" w:cs="Arial"/>
          <w:vertAlign w:val="superscript"/>
          <w:lang w:eastAsia="es-MX"/>
        </w:rPr>
        <w:footnoteReference w:id="44"/>
      </w:r>
      <w:r w:rsidRPr="00480D85">
        <w:rPr>
          <w:rFonts w:ascii="Verdana" w:eastAsia="Times New Roman" w:hAnsi="Verdana" w:cs="Arial"/>
          <w:lang w:eastAsia="es-MX"/>
        </w:rPr>
        <w:t>.</w:t>
      </w:r>
      <w:r w:rsidRPr="00480D85">
        <w:rPr>
          <w:rFonts w:ascii="Verdana" w:hAnsi="Verdana" w:cs="Arial"/>
          <w:lang w:eastAsia="es-MX"/>
        </w:rPr>
        <w:t xml:space="preserve"> Así, la</w:t>
      </w:r>
      <w:r>
        <w:rPr>
          <w:rFonts w:ascii="Verdana" w:hAnsi="Verdana" w:cs="Arial"/>
          <w:lang w:eastAsia="es-MX"/>
        </w:rPr>
        <w:t>s</w:t>
      </w:r>
      <w:r w:rsidRPr="00480D85">
        <w:rPr>
          <w:rFonts w:ascii="Verdana" w:hAnsi="Verdana" w:cs="Arial"/>
          <w:lang w:eastAsia="es-MX"/>
        </w:rPr>
        <w:t xml:space="preserve"> </w:t>
      </w:r>
      <w:r w:rsidRPr="00480D85">
        <w:rPr>
          <w:rFonts w:ascii="Verdana" w:eastAsia="Times New Roman" w:hAnsi="Verdana" w:cs="Arial"/>
          <w:lang w:eastAsia="es-MX"/>
        </w:rPr>
        <w:t>modalidades pueden dividirse en i) competitivas y ii) no competitivas. Sobre el particular, la guía de competencia en las compras públicas de la Agencia Nacional de Contratación Pública – Colombia Compra Eficiente señala que “</w:t>
      </w:r>
      <w:r>
        <w:rPr>
          <w:rFonts w:ascii="Verdana" w:eastAsia="Times New Roman" w:hAnsi="Verdana" w:cs="Arial"/>
          <w:lang w:eastAsia="es-MX"/>
        </w:rPr>
        <w:t>(…)</w:t>
      </w:r>
      <w:r w:rsidRPr="00480D85">
        <w:rPr>
          <w:rFonts w:ascii="Verdana" w:eastAsia="Times New Roman" w:hAnsi="Verdana" w:cs="Arial"/>
          <w:lang w:eastAsia="es-MX"/>
        </w:rPr>
        <w:t xml:space="preserve"> la </w:t>
      </w:r>
      <w:r w:rsidRPr="00480D85">
        <w:rPr>
          <w:rFonts w:ascii="Verdana" w:eastAsia="Times New Roman" w:hAnsi="Verdana" w:cs="Arial"/>
          <w:lang w:eastAsia="es-MX"/>
        </w:rPr>
        <w:lastRenderedPageBreak/>
        <w:t>competencia, entendida como rivalidad efectiva entre empresas de un mismo mercado, incentiva la reducción de precios, el aumento de la calidad, la lucha contra la corrupción y la innovación por parte del sector privado”</w:t>
      </w:r>
      <w:r w:rsidRPr="00480D85">
        <w:rPr>
          <w:rFonts w:ascii="Verdana" w:eastAsia="Times New Roman" w:hAnsi="Verdana" w:cs="Arial"/>
          <w:vertAlign w:val="superscript"/>
          <w:lang w:eastAsia="es-MX"/>
        </w:rPr>
        <w:footnoteReference w:id="45"/>
      </w:r>
      <w:r w:rsidRPr="00480D85">
        <w:rPr>
          <w:rFonts w:ascii="Verdana" w:eastAsia="Times New Roman" w:hAnsi="Verdana" w:cs="Arial"/>
          <w:lang w:eastAsia="es-MX"/>
        </w:rPr>
        <w:t xml:space="preserve">. </w:t>
      </w:r>
    </w:p>
    <w:p w14:paraId="020286DB" w14:textId="77777777" w:rsidR="005374E9" w:rsidRPr="00480D85" w:rsidRDefault="005374E9" w:rsidP="005374E9">
      <w:pPr>
        <w:spacing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t>Por ejemplo, procesos como la licitación pública y el concurso de méritos son modalidades de selección abiertas a competencia, pues en ellas tiene lugar la participación de varios proponentes en una fase pública de presentación de ofertas. Esto permite que todas las personas interesadas concurran al proceso en igualdad de condiciones y compitan en el mismo. En contraste, la modalidad de selección de contratación directa es una modalidad no competitiva, es decir, no está abierta al público para que los proponentes presenten sus ofertas. En esta modalidad la entidad estatal determina, de forma directa y no pública, la persona que puede participar y que será seleccionada.</w:t>
      </w:r>
    </w:p>
    <w:p w14:paraId="35FC2626" w14:textId="77777777" w:rsidR="005374E9" w:rsidRPr="00480D85" w:rsidRDefault="005374E9" w:rsidP="005374E9">
      <w:pPr>
        <w:spacing w:after="12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Lo expuesto se complementa con lo explicado por la Corte Constitucional en Sentencia C-713 de 2009, la cual estudió la constitucionalidad de los artículos 2 ‒parcial‒ y 5 ‒parcial‒ de la Ley 1150 de 2007. En esa decisi</w:t>
      </w:r>
      <w:r w:rsidRPr="00480D85">
        <w:rPr>
          <w:rFonts w:ascii="Verdana" w:eastAsia="Times New Roman" w:hAnsi="Verdana" w:cs="Century Gothic"/>
          <w:lang w:eastAsia="es-MX"/>
        </w:rPr>
        <w:t>ó</w:t>
      </w:r>
      <w:r w:rsidRPr="00480D85">
        <w:rPr>
          <w:rFonts w:ascii="Verdana" w:eastAsia="Times New Roman" w:hAnsi="Verdana" w:cs="Arial"/>
          <w:lang w:eastAsia="es-MX"/>
        </w:rPr>
        <w:t>n judicial se desarrollaron los principios de libre concurrencia y selecci</w:t>
      </w:r>
      <w:r w:rsidRPr="00480D85">
        <w:rPr>
          <w:rFonts w:ascii="Verdana" w:eastAsia="Times New Roman" w:hAnsi="Verdana" w:cs="Century Gothic"/>
          <w:lang w:eastAsia="es-MX"/>
        </w:rPr>
        <w:t>ó</w:t>
      </w:r>
      <w:r w:rsidRPr="00480D85">
        <w:rPr>
          <w:rFonts w:ascii="Verdana" w:eastAsia="Times New Roman" w:hAnsi="Verdana" w:cs="Arial"/>
          <w:lang w:eastAsia="es-MX"/>
        </w:rPr>
        <w:t>n objetiva en la contrataci</w:t>
      </w:r>
      <w:r w:rsidRPr="00480D85">
        <w:rPr>
          <w:rFonts w:ascii="Verdana" w:eastAsia="Times New Roman" w:hAnsi="Verdana" w:cs="Century Gothic"/>
          <w:lang w:eastAsia="es-MX"/>
        </w:rPr>
        <w:t>ó</w:t>
      </w:r>
      <w:r w:rsidRPr="00480D85">
        <w:rPr>
          <w:rFonts w:ascii="Verdana" w:eastAsia="Times New Roman" w:hAnsi="Verdana" w:cs="Arial"/>
          <w:lang w:eastAsia="es-MX"/>
        </w:rPr>
        <w:t>n p</w:t>
      </w:r>
      <w:r w:rsidRPr="00480D85">
        <w:rPr>
          <w:rFonts w:ascii="Verdana" w:eastAsia="Times New Roman" w:hAnsi="Verdana" w:cs="Century Gothic"/>
          <w:lang w:eastAsia="es-MX"/>
        </w:rPr>
        <w:t>ú</w:t>
      </w:r>
      <w:r w:rsidRPr="00480D85">
        <w:rPr>
          <w:rFonts w:ascii="Verdana" w:eastAsia="Times New Roman" w:hAnsi="Verdana" w:cs="Arial"/>
          <w:lang w:eastAsia="es-MX"/>
        </w:rPr>
        <w:t>blica, como expresiones del derecho a la igualdad de oportunidades para quienes tengan inter</w:t>
      </w:r>
      <w:r w:rsidRPr="00480D85">
        <w:rPr>
          <w:rFonts w:ascii="Verdana" w:eastAsia="Times New Roman" w:hAnsi="Verdana" w:cs="Century Gothic"/>
          <w:lang w:eastAsia="es-MX"/>
        </w:rPr>
        <w:t>é</w:t>
      </w:r>
      <w:r w:rsidRPr="00480D85">
        <w:rPr>
          <w:rFonts w:ascii="Verdana" w:eastAsia="Times New Roman" w:hAnsi="Verdana" w:cs="Arial"/>
          <w:lang w:eastAsia="es-MX"/>
        </w:rPr>
        <w:t>s en participar en la contrataci</w:t>
      </w:r>
      <w:r w:rsidRPr="00480D85">
        <w:rPr>
          <w:rFonts w:ascii="Verdana" w:eastAsia="Times New Roman" w:hAnsi="Verdana" w:cs="Century Gothic"/>
          <w:lang w:eastAsia="es-MX"/>
        </w:rPr>
        <w:t>ó</w:t>
      </w:r>
      <w:r w:rsidRPr="00480D85">
        <w:rPr>
          <w:rFonts w:ascii="Verdana" w:eastAsia="Times New Roman" w:hAnsi="Verdana" w:cs="Arial"/>
          <w:lang w:eastAsia="es-MX"/>
        </w:rPr>
        <w:t>n estatal.</w:t>
      </w:r>
      <w:r>
        <w:rPr>
          <w:rFonts w:ascii="Verdana" w:eastAsia="Times New Roman" w:hAnsi="Verdana" w:cs="Arial"/>
          <w:lang w:eastAsia="es-MX"/>
        </w:rPr>
        <w:t xml:space="preserve"> </w:t>
      </w:r>
      <w:r w:rsidRPr="00480D85">
        <w:rPr>
          <w:rFonts w:ascii="Verdana" w:eastAsia="Times New Roman" w:hAnsi="Verdana" w:cs="Arial"/>
          <w:lang w:eastAsia="es-MX"/>
        </w:rPr>
        <w:t>La materializaci</w:t>
      </w:r>
      <w:r w:rsidRPr="00480D85">
        <w:rPr>
          <w:rFonts w:ascii="Verdana" w:eastAsia="Times New Roman" w:hAnsi="Verdana" w:cs="Century Gothic"/>
          <w:lang w:eastAsia="es-MX"/>
        </w:rPr>
        <w:t>ó</w:t>
      </w:r>
      <w:r w:rsidRPr="00480D85">
        <w:rPr>
          <w:rFonts w:ascii="Verdana" w:eastAsia="Times New Roman" w:hAnsi="Verdana" w:cs="Arial"/>
          <w:lang w:eastAsia="es-MX"/>
        </w:rPr>
        <w:t>n de esos principios pretende que no exista discriminaci</w:t>
      </w:r>
      <w:r w:rsidRPr="00480D85">
        <w:rPr>
          <w:rFonts w:ascii="Verdana" w:eastAsia="Times New Roman" w:hAnsi="Verdana" w:cs="Century Gothic"/>
          <w:lang w:eastAsia="es-MX"/>
        </w:rPr>
        <w:t>ó</w:t>
      </w:r>
      <w:r w:rsidRPr="00480D85">
        <w:rPr>
          <w:rFonts w:ascii="Verdana" w:eastAsia="Times New Roman" w:hAnsi="Verdana" w:cs="Arial"/>
          <w:lang w:eastAsia="es-MX"/>
        </w:rPr>
        <w:t>n y que las entidades no impongan limitaciones a través de reglas que impidan la concurrencia para obtener mejores condiciones de contratación. Sin embargo, se admiten excepciones que busquen condiciones del contratista que sean favorables a los intereses del Estado y aseguren la transparencia del procedimiento como las inhabilidades e incompatibilidades</w:t>
      </w:r>
      <w:r w:rsidRPr="00480D85">
        <w:rPr>
          <w:rFonts w:ascii="Verdana" w:eastAsia="Times New Roman" w:hAnsi="Verdana" w:cs="Arial"/>
          <w:vertAlign w:val="superscript"/>
          <w:lang w:eastAsia="es-MX"/>
        </w:rPr>
        <w:footnoteReference w:id="46"/>
      </w:r>
      <w:r w:rsidRPr="00480D85">
        <w:rPr>
          <w:rFonts w:ascii="Verdana" w:eastAsia="Times New Roman" w:hAnsi="Verdana" w:cs="Arial"/>
          <w:lang w:eastAsia="es-MX"/>
        </w:rPr>
        <w:t>.</w:t>
      </w:r>
    </w:p>
    <w:p w14:paraId="255053B0" w14:textId="77777777" w:rsidR="005374E9" w:rsidRPr="00480D85" w:rsidRDefault="005374E9" w:rsidP="005374E9">
      <w:pPr>
        <w:spacing w:after="12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 xml:space="preserve">Así las cosas, la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w:t>
      </w:r>
      <w:r w:rsidRPr="00480D85">
        <w:rPr>
          <w:rFonts w:ascii="Verdana" w:eastAsia="Times New Roman" w:hAnsi="Verdana" w:cs="Arial"/>
          <w:lang w:eastAsia="es-MX"/>
        </w:rPr>
        <w:lastRenderedPageBreak/>
        <w:t xml:space="preserve">norma dispone, dentro del contexto del ordenamiento jurídico de la contratación estatal. </w:t>
      </w:r>
    </w:p>
    <w:p w14:paraId="15A743EF" w14:textId="77777777" w:rsidR="005374E9" w:rsidRPr="00480D85" w:rsidRDefault="005374E9" w:rsidP="005374E9">
      <w:pPr>
        <w:spacing w:after="120" w:line="276" w:lineRule="auto"/>
        <w:ind w:right="45" w:firstLine="709"/>
        <w:jc w:val="both"/>
        <w:rPr>
          <w:rFonts w:ascii="Verdana" w:eastAsia="Times New Roman" w:hAnsi="Verdana" w:cs="Arial"/>
          <w:lang w:eastAsia="es-MX"/>
        </w:rPr>
      </w:pPr>
      <w:r w:rsidRPr="00480D85">
        <w:rPr>
          <w:rFonts w:ascii="Verdana" w:eastAsia="Times New Roman" w:hAnsi="Verdana" w:cs="Arial"/>
          <w:lang w:eastAsia="es-MX"/>
        </w:rPr>
        <w:t>Igualmente, esta excepción al deber de procurar la pluralidad de ofertas es considerada por el Consejo de Estado como un método que permite satisfacer la selección objetiva. De esta manera, aunque en la contratación directa no es necesaria la comparación de ofertas, no desconoce lo previsto en el artículo 5 de la Ley 1150 de 2007. Por ello, la jurisprudencia explica que: “</w:t>
      </w:r>
      <w:r>
        <w:rPr>
          <w:rFonts w:ascii="Verdana" w:eastAsia="Times New Roman" w:hAnsi="Verdana" w:cs="Arial"/>
          <w:lang w:eastAsia="es-MX"/>
        </w:rPr>
        <w:t>(…)</w:t>
      </w:r>
      <w:r w:rsidRPr="00480D85">
        <w:rPr>
          <w:rFonts w:ascii="Verdana" w:eastAsia="Times New Roman" w:hAnsi="Verdana" w:cs="Arial"/>
          <w:lang w:eastAsia="es-MX"/>
        </w:rPr>
        <w:t xml:space="preserve"> se ha aceptado que la selección objetiva fundada en el ofrecimiento más favorable no depende únicamente del cotejo entre ofertas sino también de métodos que, aun prescindiendo de dicha comparación, garanticen que la respectiva escogencia se ajuste a los criterios legales de selección objetiva, a los precios o condiciones del mercado y a los estudios y deducciones de la entidad o de los organismos consultores o asesores designados para ello”</w:t>
      </w:r>
      <w:r w:rsidRPr="00480D85">
        <w:rPr>
          <w:rFonts w:ascii="Verdana" w:eastAsia="Times New Roman" w:hAnsi="Verdana" w:cs="Arial"/>
          <w:vertAlign w:val="superscript"/>
          <w:lang w:eastAsia="es-MX"/>
        </w:rPr>
        <w:footnoteReference w:id="47"/>
      </w:r>
      <w:r w:rsidRPr="00480D85">
        <w:rPr>
          <w:rFonts w:ascii="Verdana" w:eastAsia="Times New Roman" w:hAnsi="Verdana" w:cs="Arial"/>
          <w:lang w:eastAsia="es-MX"/>
        </w:rPr>
        <w:t>.</w:t>
      </w:r>
    </w:p>
    <w:p w14:paraId="4CE5D5C1" w14:textId="77777777" w:rsidR="005374E9" w:rsidRPr="00480D85" w:rsidRDefault="005374E9" w:rsidP="005374E9">
      <w:pPr>
        <w:spacing w:after="12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De este modo, en la contratación directa no es necesario que la entidad reciba más de una oferta, pues la contratación se realiza con quien la entidad escoja libremente, bajo criterios que permitan adoptar una decisión objetiva en procura del cumplimiento de las necesidades de la administración</w:t>
      </w:r>
      <w:r w:rsidRPr="00480D85">
        <w:rPr>
          <w:rFonts w:ascii="Verdana" w:eastAsia="Times New Roman" w:hAnsi="Verdana" w:cs="Arial"/>
          <w:vertAlign w:val="superscript"/>
          <w:lang w:eastAsia="es-MX"/>
        </w:rPr>
        <w:footnoteReference w:id="48"/>
      </w:r>
      <w:r w:rsidRPr="00480D85">
        <w:rPr>
          <w:rFonts w:ascii="Verdana" w:eastAsia="Times New Roman" w:hAnsi="Verdana" w:cs="Arial"/>
          <w:lang w:eastAsia="es-MX"/>
        </w:rPr>
        <w:t>. Esta contratación puede estar fundada en que el proponente es único</w:t>
      </w:r>
      <w:r>
        <w:rPr>
          <w:rFonts w:ascii="Verdana" w:eastAsia="Times New Roman" w:hAnsi="Verdana" w:cs="Arial"/>
          <w:lang w:eastAsia="es-MX"/>
        </w:rPr>
        <w:t>, existe alguna situación de urgencia manifiesta</w:t>
      </w:r>
      <w:r w:rsidRPr="00480D85">
        <w:rPr>
          <w:rFonts w:ascii="Verdana" w:eastAsia="Times New Roman" w:hAnsi="Verdana" w:cs="Arial"/>
          <w:lang w:eastAsia="es-MX"/>
        </w:rPr>
        <w:t xml:space="preserve"> o el legislador privilegió algunos objetos contractuales u oferentes para contratarlos de manera directa, teniendo en cuenta las causales expresamente señaladas en la ley. </w:t>
      </w:r>
    </w:p>
    <w:p w14:paraId="28463437" w14:textId="77777777" w:rsidR="005374E9" w:rsidRPr="00480D85" w:rsidRDefault="005374E9" w:rsidP="005374E9">
      <w:pPr>
        <w:spacing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t xml:space="preserve">Todo lo anterior implica que el proceso de contratación directa sea simplificado, corto, ágil y expedito, por no exigir el agotamiento de una </w:t>
      </w:r>
      <w:r w:rsidRPr="00480D85">
        <w:rPr>
          <w:rFonts w:ascii="Verdana" w:eastAsia="Times New Roman" w:hAnsi="Verdana" w:cs="Arial"/>
          <w:lang w:eastAsia="es-MX"/>
        </w:rPr>
        <w:lastRenderedPageBreak/>
        <w:t>convocatoria pública o la realización de un proceso competitivo. Sin embargo, estas características no eximen a las entidades estatales de garantizar los principios rectores de la contratación pública. Por ello, cabe destacar que existe otra diferencia fundamental con las modalidades de selección competitivas mencionadas: en la contratación directa no se otorga puntaje a las ofertas para ponderarlas y elegir el ofrecimiento más favorable, pues la entidad recibe solo una oferta. Sobre este particular el Consejo de Estado explica que “Se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Contratación de la Administración Pública - ley 80 de 1993 -, o uno especial en razón del objeto del contrato o del órgano que contrata”</w:t>
      </w:r>
      <w:r w:rsidRPr="00480D85">
        <w:rPr>
          <w:rFonts w:ascii="Verdana" w:eastAsia="Times New Roman" w:hAnsi="Verdana" w:cs="Arial"/>
          <w:vertAlign w:val="superscript"/>
          <w:lang w:eastAsia="es-MX"/>
        </w:rPr>
        <w:footnoteReference w:id="49"/>
      </w:r>
      <w:r w:rsidRPr="00480D85">
        <w:rPr>
          <w:rFonts w:ascii="Verdana" w:eastAsia="Times New Roman" w:hAnsi="Verdana" w:cs="Arial"/>
          <w:lang w:eastAsia="es-MX"/>
        </w:rPr>
        <w:t>.</w:t>
      </w:r>
    </w:p>
    <w:p w14:paraId="284DF96C" w14:textId="77777777" w:rsidR="005374E9" w:rsidRDefault="005374E9" w:rsidP="005374E9">
      <w:pPr>
        <w:spacing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t>Por consiguiente, en la contratación directa la entidad no establece puntaje para ponderar ofertas, porque se presenta una sola oferta, la cual corresponde a la de la persona a quien la entidad invitó y seleccionó en forma directa. En todo caso, se debe garantizar el cumplimiento de los principios de la función administrativa y la gestión fiscal consagrados en los artículos 209 y 267 de la Constitución Política.</w:t>
      </w:r>
    </w:p>
    <w:p w14:paraId="52667D19" w14:textId="77777777" w:rsidR="005374E9" w:rsidRPr="00033AB8" w:rsidRDefault="005374E9" w:rsidP="005374E9">
      <w:pPr>
        <w:spacing w:after="120" w:line="276" w:lineRule="auto"/>
        <w:ind w:firstLine="709"/>
        <w:jc w:val="both"/>
        <w:rPr>
          <w:rFonts w:ascii="Verdana" w:eastAsia="Times New Roman" w:hAnsi="Verdana" w:cs="Arial"/>
          <w:lang w:eastAsia="es-MX"/>
        </w:rPr>
      </w:pPr>
      <w:r w:rsidRPr="00C16D58">
        <w:rPr>
          <w:rFonts w:ascii="Verdana" w:eastAsia="Calibri" w:hAnsi="Verdana" w:cs="Arial"/>
          <w:lang w:val="es-ES"/>
        </w:rPr>
        <w:t xml:space="preserve">Si </w:t>
      </w:r>
      <w:r w:rsidRPr="00033AB8">
        <w:rPr>
          <w:rFonts w:ascii="Verdana" w:eastAsia="Times New Roman" w:hAnsi="Verdana" w:cs="Arial"/>
          <w:lang w:eastAsia="es-MX"/>
        </w:rPr>
        <w:t>bien la licitación pública es la modalidad de selección que constituye la regla general para las entidades regidas por el EGCAP, el artículo 2.4 de la Ley 1150 de 2007 consagra algunas excepciones, que atienden a la necesidad de proteger principios como la eficiencia, la eficacia, la economía, la celeridad o la integridad de las personas. Una de las excepciones es la causal de contratación directa prevista en el literal a) del mencionado numeral, denominada por la ley como “urgencia manifiesta”. Esta causal debe leerse en concordancia con los artículos 42 de la Ley 80 de 1993, que define el concepto y establece el</w:t>
      </w:r>
      <w:r w:rsidRPr="00C16D58">
        <w:rPr>
          <w:rFonts w:ascii="Verdana" w:eastAsia="Calibri" w:hAnsi="Verdana" w:cs="Arial"/>
          <w:lang w:val="es-ES"/>
        </w:rPr>
        <w:t xml:space="preserve"> procedimiento para su declaratoria, así como para la celebración de los contratos que se derivan de aquella. Esta norma dispone lo siguiente:</w:t>
      </w:r>
    </w:p>
    <w:p w14:paraId="40DA1241" w14:textId="77777777" w:rsidR="005374E9" w:rsidRPr="0003776E" w:rsidRDefault="005374E9" w:rsidP="005374E9">
      <w:pPr>
        <w:spacing w:after="0" w:line="240" w:lineRule="auto"/>
        <w:ind w:left="709" w:right="709"/>
        <w:jc w:val="both"/>
        <w:rPr>
          <w:rFonts w:ascii="Verdana" w:eastAsia="Calibri" w:hAnsi="Verdana" w:cs="Arial"/>
          <w:sz w:val="20"/>
          <w:szCs w:val="20"/>
          <w:lang w:val="es-ES_tradnl"/>
        </w:rPr>
      </w:pPr>
      <w:r w:rsidRPr="0003776E">
        <w:rPr>
          <w:rFonts w:ascii="Verdana" w:eastAsia="Calibri" w:hAnsi="Verdana" w:cs="Arial"/>
          <w:sz w:val="20"/>
          <w:szCs w:val="20"/>
          <w:lang w:val="es-ES_tradnl"/>
        </w:rPr>
        <w:t xml:space="preserve">“Artículo 42. De la urgencia manifiesta. Existe urgencia manifiesta </w:t>
      </w:r>
      <w:bookmarkStart w:id="20" w:name="_Hlk35851184"/>
      <w:r w:rsidRPr="0003776E">
        <w:rPr>
          <w:rFonts w:ascii="Verdana" w:eastAsia="Calibri" w:hAnsi="Verdana" w:cs="Arial"/>
          <w:sz w:val="20"/>
          <w:szCs w:val="20"/>
          <w:lang w:val="es-ES_tradnl"/>
        </w:rPr>
        <w:t>cuando la continuidad del servicio exige el suministro de bienes, o la prestación de servicios, o la ejecución de obras en el inmediato futuro</w:t>
      </w:r>
      <w:bookmarkEnd w:id="20"/>
      <w:r w:rsidRPr="0003776E">
        <w:rPr>
          <w:rFonts w:ascii="Verdana" w:eastAsia="Calibri" w:hAnsi="Verdana" w:cs="Arial"/>
          <w:sz w:val="20"/>
          <w:szCs w:val="20"/>
          <w:lang w:val="es-ES_tradnl"/>
        </w:rPr>
        <w:t xml:space="preserve">; </w:t>
      </w:r>
      <w:bookmarkStart w:id="21" w:name="_Hlk35857288"/>
      <w:r w:rsidRPr="0003776E">
        <w:rPr>
          <w:rFonts w:ascii="Verdana" w:eastAsia="Calibri" w:hAnsi="Verdana" w:cs="Arial"/>
          <w:sz w:val="20"/>
          <w:szCs w:val="20"/>
          <w:lang w:val="es-ES_tradnl"/>
        </w:rPr>
        <w:t xml:space="preserve">cuando se presenten </w:t>
      </w:r>
      <w:bookmarkStart w:id="22" w:name="_Hlk35857424"/>
      <w:r w:rsidRPr="0003776E">
        <w:rPr>
          <w:rFonts w:ascii="Verdana" w:eastAsia="Calibri" w:hAnsi="Verdana" w:cs="Arial"/>
          <w:sz w:val="20"/>
          <w:szCs w:val="20"/>
          <w:lang w:val="es-ES_tradnl"/>
        </w:rPr>
        <w:t>situaciones relacionadas con los estados de excepción</w:t>
      </w:r>
      <w:bookmarkEnd w:id="21"/>
      <w:bookmarkEnd w:id="22"/>
      <w:r w:rsidRPr="0003776E">
        <w:rPr>
          <w:rFonts w:ascii="Verdana" w:eastAsia="Calibri" w:hAnsi="Verdana" w:cs="Arial"/>
          <w:sz w:val="20"/>
          <w:szCs w:val="20"/>
          <w:lang w:val="es-ES_tradnl"/>
        </w:rPr>
        <w:t xml:space="preserve">; </w:t>
      </w:r>
      <w:bookmarkStart w:id="23" w:name="_Hlk35865550"/>
      <w:r w:rsidRPr="0003776E">
        <w:rPr>
          <w:rFonts w:ascii="Verdana" w:eastAsia="Calibri" w:hAnsi="Verdana" w:cs="Arial"/>
          <w:sz w:val="20"/>
          <w:szCs w:val="20"/>
          <w:lang w:val="es-ES_tradnl"/>
        </w:rPr>
        <w:t xml:space="preserve">cuando se trate de conjurar situaciones excepcionales relacionadas con hechos de </w:t>
      </w:r>
      <w:r w:rsidRPr="0003776E">
        <w:rPr>
          <w:rFonts w:ascii="Verdana" w:eastAsia="Calibri" w:hAnsi="Verdana" w:cs="Arial"/>
          <w:sz w:val="20"/>
          <w:szCs w:val="20"/>
          <w:lang w:val="es-ES_tradnl"/>
        </w:rPr>
        <w:lastRenderedPageBreak/>
        <w:t xml:space="preserve">calamidad o constitutivos de fuerza mayor o desastre que demanden actuaciones inmediatas </w:t>
      </w:r>
      <w:bookmarkEnd w:id="23"/>
      <w:r w:rsidRPr="0003776E">
        <w:rPr>
          <w:rFonts w:ascii="Verdana" w:eastAsia="Calibri" w:hAnsi="Verdana" w:cs="Arial"/>
          <w:sz w:val="20"/>
          <w:szCs w:val="20"/>
          <w:lang w:val="es-ES_tradnl"/>
        </w:rPr>
        <w:t>y, en general, cuando se trate de situaciones similares que imposibiliten acudir a los procedimientos de selección o concurso públicos.</w:t>
      </w:r>
    </w:p>
    <w:p w14:paraId="08FB3038" w14:textId="77777777" w:rsidR="005374E9" w:rsidRPr="0003776E" w:rsidRDefault="005374E9" w:rsidP="005374E9">
      <w:pPr>
        <w:spacing w:after="0" w:line="240" w:lineRule="auto"/>
        <w:ind w:left="709" w:right="709"/>
        <w:jc w:val="both"/>
        <w:rPr>
          <w:rFonts w:ascii="Verdana" w:eastAsia="Calibri" w:hAnsi="Verdana" w:cs="Arial"/>
          <w:sz w:val="20"/>
          <w:szCs w:val="20"/>
          <w:lang w:val="es-ES_tradnl"/>
        </w:rPr>
      </w:pPr>
    </w:p>
    <w:p w14:paraId="27757756" w14:textId="77777777" w:rsidR="005374E9" w:rsidRPr="0003776E" w:rsidRDefault="005374E9" w:rsidP="005374E9">
      <w:pPr>
        <w:spacing w:after="0" w:line="240" w:lineRule="auto"/>
        <w:ind w:left="709" w:right="709"/>
        <w:jc w:val="both"/>
        <w:rPr>
          <w:rFonts w:ascii="Verdana" w:eastAsia="Calibri" w:hAnsi="Verdana" w:cs="Arial"/>
          <w:sz w:val="20"/>
          <w:szCs w:val="20"/>
          <w:lang w:val="es-ES_tradnl"/>
        </w:rPr>
      </w:pPr>
      <w:r w:rsidRPr="0003776E">
        <w:rPr>
          <w:rFonts w:ascii="Verdana" w:eastAsia="Calibri" w:hAnsi="Verdana" w:cs="Arial"/>
          <w:sz w:val="20"/>
          <w:szCs w:val="20"/>
          <w:lang w:val="es-ES_tradnl"/>
        </w:rPr>
        <w:t>La urgencia manifiesta se declarará mediante acto administrativo motivado.</w:t>
      </w:r>
    </w:p>
    <w:p w14:paraId="606FF169" w14:textId="77777777" w:rsidR="005374E9" w:rsidRDefault="005374E9" w:rsidP="005374E9">
      <w:pPr>
        <w:spacing w:after="0" w:line="240" w:lineRule="auto"/>
        <w:ind w:left="709" w:right="709"/>
        <w:jc w:val="both"/>
        <w:rPr>
          <w:rFonts w:ascii="Verdana" w:eastAsia="Calibri" w:hAnsi="Verdana" w:cs="Arial"/>
          <w:sz w:val="20"/>
          <w:szCs w:val="20"/>
          <w:lang w:val="es-ES"/>
        </w:rPr>
      </w:pPr>
    </w:p>
    <w:p w14:paraId="418D3AD0" w14:textId="77777777" w:rsidR="005374E9" w:rsidRPr="00BE5FE3" w:rsidRDefault="005374E9" w:rsidP="005374E9">
      <w:pPr>
        <w:spacing w:after="0" w:line="240" w:lineRule="auto"/>
        <w:ind w:left="709" w:right="709"/>
        <w:jc w:val="both"/>
        <w:rPr>
          <w:rFonts w:ascii="Verdana" w:eastAsia="Calibri" w:hAnsi="Verdana" w:cs="Arial"/>
          <w:sz w:val="21"/>
          <w:szCs w:val="21"/>
          <w:lang w:val="es-ES"/>
        </w:rPr>
      </w:pPr>
      <w:r w:rsidRPr="0003776E">
        <w:rPr>
          <w:rFonts w:ascii="Verdana" w:eastAsia="Calibri" w:hAnsi="Verdana" w:cs="Arial"/>
          <w:sz w:val="20"/>
          <w:szCs w:val="20"/>
          <w:lang w:val="es-ES"/>
        </w:rPr>
        <w:t>Parágrafo. Con el fin de atender las necesidades y los gastos propios de la urgencia manifiesta, se podrán hacer los traslados presupuestales internos que se requieran dentro del presupuesto del organismo o entidad estatal correspondiente”.</w:t>
      </w:r>
    </w:p>
    <w:p w14:paraId="62160617" w14:textId="77777777" w:rsidR="005374E9" w:rsidRPr="00BE5FE3" w:rsidRDefault="005374E9" w:rsidP="005374E9">
      <w:pPr>
        <w:spacing w:after="0" w:line="240" w:lineRule="auto"/>
        <w:ind w:left="709" w:right="709"/>
        <w:jc w:val="both"/>
        <w:rPr>
          <w:rFonts w:ascii="Verdana" w:eastAsia="Calibri" w:hAnsi="Verdana" w:cs="Arial"/>
          <w:lang w:val="es-ES_tradnl"/>
        </w:rPr>
      </w:pPr>
    </w:p>
    <w:p w14:paraId="01F499F8" w14:textId="77777777" w:rsidR="005374E9" w:rsidRPr="00BE5FE3" w:rsidRDefault="005374E9" w:rsidP="005374E9">
      <w:pPr>
        <w:spacing w:after="120" w:line="276" w:lineRule="auto"/>
        <w:ind w:firstLine="708"/>
        <w:jc w:val="both"/>
        <w:rPr>
          <w:rFonts w:ascii="Verdana" w:eastAsia="Calibri" w:hAnsi="Verdana" w:cs="Arial"/>
          <w:sz w:val="21"/>
          <w:szCs w:val="21"/>
          <w:lang w:val="es-ES_tradnl"/>
        </w:rPr>
      </w:pPr>
      <w:r>
        <w:rPr>
          <w:rFonts w:ascii="Verdana" w:eastAsia="Calibri" w:hAnsi="Verdana" w:cs="Arial"/>
          <w:lang w:val="es-ES_tradnl"/>
        </w:rPr>
        <w:t>El</w:t>
      </w:r>
      <w:r w:rsidRPr="00BE5FE3">
        <w:rPr>
          <w:rFonts w:ascii="Verdana" w:eastAsia="Calibri" w:hAnsi="Verdana" w:cs="Arial"/>
          <w:lang w:val="es-ES_tradnl"/>
        </w:rPr>
        <w:t xml:space="preserve"> </w:t>
      </w:r>
      <w:r w:rsidRPr="00BE5FE3">
        <w:rPr>
          <w:rFonts w:ascii="Verdana" w:eastAsia="Calibri" w:hAnsi="Verdana" w:cs="Arial"/>
        </w:rPr>
        <w:t>E</w:t>
      </w:r>
      <w:r>
        <w:rPr>
          <w:rFonts w:ascii="Verdana" w:eastAsia="Calibri" w:hAnsi="Verdana" w:cs="Arial"/>
        </w:rPr>
        <w:t>GCAP,</w:t>
      </w:r>
      <w:r w:rsidRPr="00BE5FE3">
        <w:rPr>
          <w:rFonts w:ascii="Verdana" w:eastAsia="Calibri" w:hAnsi="Verdana" w:cs="Arial"/>
          <w:lang w:val="es-ES_tradnl"/>
        </w:rPr>
        <w:t xml:space="preserve"> interpretando de manera más realista las necesidades de la Administración, autoriza al jefe o representante legal de la entidad estatal para declarar la urgencia, siempre que tenga el carácter de </w:t>
      </w:r>
      <w:r w:rsidRPr="00BE5FE3">
        <w:rPr>
          <w:rFonts w:ascii="Verdana" w:eastAsia="Calibri" w:hAnsi="Verdana" w:cs="Arial"/>
          <w:i/>
          <w:iCs/>
          <w:lang w:val="es-ES_tradnl"/>
        </w:rPr>
        <w:t>manifiesta</w:t>
      </w:r>
      <w:r w:rsidRPr="00BE5FE3">
        <w:rPr>
          <w:rStyle w:val="Refdenotaalpie"/>
          <w:rFonts w:ascii="Verdana" w:eastAsia="Calibri" w:hAnsi="Verdana" w:cs="Arial"/>
          <w:sz w:val="21"/>
          <w:szCs w:val="21"/>
          <w:lang w:val="es-ES_tradnl"/>
        </w:rPr>
        <w:footnoteReference w:id="50"/>
      </w:r>
      <w:r w:rsidRPr="00BE5FE3">
        <w:rPr>
          <w:rFonts w:ascii="Verdana" w:eastAsia="Calibri" w:hAnsi="Verdana" w:cs="Arial"/>
          <w:sz w:val="21"/>
          <w:szCs w:val="21"/>
          <w:lang w:val="es-ES_tradnl"/>
        </w:rPr>
        <w:t>.</w:t>
      </w:r>
    </w:p>
    <w:p w14:paraId="1FC36B01" w14:textId="77777777" w:rsidR="005374E9" w:rsidRPr="00BE5FE3" w:rsidRDefault="005374E9" w:rsidP="005374E9">
      <w:pPr>
        <w:spacing w:after="120" w:line="276" w:lineRule="auto"/>
        <w:ind w:firstLine="708"/>
        <w:jc w:val="both"/>
        <w:rPr>
          <w:rFonts w:ascii="Verdana" w:eastAsia="Calibri" w:hAnsi="Verdana" w:cs="Arial"/>
          <w:lang w:val="es-ES"/>
        </w:rPr>
      </w:pPr>
      <w:bookmarkStart w:id="24" w:name="_Hlk35959309"/>
      <w:r w:rsidRPr="0026167B">
        <w:rPr>
          <w:rFonts w:ascii="Verdana" w:eastAsia="Calibri" w:hAnsi="Verdana" w:cs="Arial"/>
          <w:lang w:val="es-ES"/>
        </w:rPr>
        <w:t>De esta manera, el artículo 42 de la Ley 80 define la urgencia manifiesta como una circunstancia que exige, con carácter apremiante, preservar la continuidad del servicio, cuando se afecta por situaciones de fuerza mayor, desastres, calamidades o hechos relacionados con los estados de excepción. No en vano, para la doctrina, las situaciones de urgencia manifiesta deben ser concretas, inmediatas, objetivas y probadas, pues se trata de circunstancias de hecho actuales, debidamente acreditadas y fundadas por estudios técnicos, verificadas por la autoridad competente</w:t>
      </w:r>
      <w:r w:rsidRPr="00C16D58">
        <w:rPr>
          <w:rStyle w:val="Refdenotaalpie"/>
          <w:rFonts w:ascii="Verdana" w:eastAsia="Calibri" w:hAnsi="Verdana" w:cs="Arial"/>
          <w:lang w:val="es-ES"/>
        </w:rPr>
        <w:footnoteReference w:id="51"/>
      </w:r>
      <w:r w:rsidRPr="00C16D58">
        <w:rPr>
          <w:rFonts w:ascii="Verdana" w:eastAsia="Calibri" w:hAnsi="Verdana" w:cs="Arial"/>
          <w:vertAlign w:val="superscript"/>
          <w:lang w:val="es-ES"/>
        </w:rPr>
        <w:t>.</w:t>
      </w:r>
      <w:r w:rsidRPr="3683B926">
        <w:rPr>
          <w:rFonts w:ascii="Verdana" w:eastAsia="Calibri" w:hAnsi="Verdana" w:cs="Arial"/>
          <w:lang w:val="es-ES"/>
        </w:rPr>
        <w:t xml:space="preserve"> </w:t>
      </w:r>
    </w:p>
    <w:p w14:paraId="26ECC9C7" w14:textId="77777777" w:rsidR="005374E9" w:rsidRPr="00BE5FE3" w:rsidRDefault="005374E9" w:rsidP="005374E9">
      <w:pPr>
        <w:spacing w:after="120" w:line="276" w:lineRule="auto"/>
        <w:ind w:firstLine="709"/>
        <w:jc w:val="both"/>
        <w:rPr>
          <w:rFonts w:ascii="Verdana" w:eastAsia="Calibri" w:hAnsi="Verdana" w:cs="Arial"/>
          <w:lang w:val="es-ES_tradnl"/>
        </w:rPr>
      </w:pPr>
      <w:r w:rsidRPr="00BE5FE3">
        <w:rPr>
          <w:rFonts w:ascii="Verdana" w:eastAsia="Calibri" w:hAnsi="Verdana" w:cs="Arial"/>
          <w:lang w:val="es-ES_tradnl"/>
        </w:rPr>
        <w:t xml:space="preserve">En esos casos excepcionales, que comprometen fines superiores de interés colectivo, con mayor razón son de obligatoria aplicación los objetivos de la contratación administrativa, previstos en el artículo 3 de la Ley 80 de 1993. Esto en la medida que el cumplimiento de los fines estatales, la continua y eficiente prestación de los servicios públicos, y la efectividad de los derechos e intereses de los administrados que colaboran con entidades y organismos del </w:t>
      </w:r>
      <w:r w:rsidRPr="00BE5FE3">
        <w:rPr>
          <w:rFonts w:ascii="Verdana" w:eastAsia="Calibri" w:hAnsi="Verdana" w:cs="Arial"/>
          <w:lang w:val="es-ES_tradnl"/>
        </w:rPr>
        <w:lastRenderedPageBreak/>
        <w:t>Estado en la consecución de dichos propósitos confieren un fundamento adicional a esta causal de contratación directa</w:t>
      </w:r>
      <w:r w:rsidRPr="00BE5FE3">
        <w:rPr>
          <w:rStyle w:val="Refdenotaalpie"/>
          <w:rFonts w:ascii="Verdana" w:eastAsia="Calibri" w:hAnsi="Verdana" w:cs="Arial"/>
          <w:lang w:val="es-ES_tradnl"/>
        </w:rPr>
        <w:footnoteReference w:id="52"/>
      </w:r>
      <w:r w:rsidRPr="00BE5FE3">
        <w:rPr>
          <w:rFonts w:ascii="Verdana" w:eastAsia="Calibri" w:hAnsi="Verdana" w:cs="Arial"/>
          <w:lang w:val="es-ES_tradnl"/>
        </w:rPr>
        <w:t xml:space="preserve">. </w:t>
      </w:r>
    </w:p>
    <w:bookmarkEnd w:id="24"/>
    <w:p w14:paraId="65059B8D" w14:textId="77777777" w:rsidR="005374E9" w:rsidRPr="00BE5FE3" w:rsidRDefault="005374E9" w:rsidP="005374E9">
      <w:pPr>
        <w:spacing w:after="120" w:line="276" w:lineRule="auto"/>
        <w:ind w:firstLine="709"/>
        <w:jc w:val="both"/>
        <w:rPr>
          <w:rFonts w:ascii="Verdana" w:eastAsia="Calibri" w:hAnsi="Verdana" w:cs="Arial"/>
          <w:lang w:val="es-ES_tradnl"/>
        </w:rPr>
      </w:pPr>
      <w:r w:rsidRPr="00BE5FE3">
        <w:rPr>
          <w:rFonts w:ascii="Verdana" w:eastAsia="Calibri" w:hAnsi="Verdana" w:cs="Arial"/>
          <w:lang w:val="es-ES_tradnl"/>
        </w:rPr>
        <w:t xml:space="preserve">En esta medida, el precitado artículo 42 del </w:t>
      </w:r>
      <w:r w:rsidRPr="00BE5FE3">
        <w:rPr>
          <w:rFonts w:ascii="Verdana" w:eastAsia="Calibri" w:hAnsi="Verdana" w:cs="Arial"/>
        </w:rPr>
        <w:t>Estatuto General de Contratación</w:t>
      </w:r>
      <w:r w:rsidRPr="00BE5FE3">
        <w:rPr>
          <w:rFonts w:ascii="Verdana" w:eastAsia="Calibri" w:hAnsi="Verdana" w:cs="Arial"/>
          <w:lang w:val="es-ES_tradnl"/>
        </w:rPr>
        <w:t xml:space="preserve"> contempla cuatro (4) circunstancias o hechos que configuran la urgencia manifiesta, si así lo declara la entidad: i) cuando la continuidad del servicio exige el suministro de bienes, o la prestación de servicios, o la ejecución de obras en el inmediato futuro; ii) cuando se presenten situaciones relacionadas con los estados de excepción; iii) cuando se trate de conjurar situaciones excepcionales relacionadas con hechos de calamidad o constitutivos de fuerza mayor o desastre que demanden actuaciones inmediatas; y iv) en general, cuando se trate de situaciones similares que imposibiliten acudir a los procedimientos de selección o concurso públicos.</w:t>
      </w:r>
    </w:p>
    <w:p w14:paraId="232D5C45" w14:textId="77777777" w:rsidR="005374E9" w:rsidRPr="00BE5FE3" w:rsidRDefault="005374E9" w:rsidP="005374E9">
      <w:pPr>
        <w:spacing w:after="120" w:line="276" w:lineRule="auto"/>
        <w:ind w:firstLine="708"/>
        <w:jc w:val="both"/>
        <w:rPr>
          <w:rFonts w:ascii="Verdana" w:eastAsia="Calibri" w:hAnsi="Verdana" w:cs="Arial"/>
          <w:sz w:val="21"/>
          <w:szCs w:val="21"/>
          <w:lang w:val="es-ES"/>
        </w:rPr>
      </w:pPr>
      <w:r>
        <w:rPr>
          <w:rFonts w:ascii="Verdana" w:eastAsia="Calibri" w:hAnsi="Verdana" w:cs="Arial"/>
          <w:lang w:val="es-ES"/>
        </w:rPr>
        <w:t>Para el caso objeto de consulta, l</w:t>
      </w:r>
      <w:r w:rsidRPr="48C53EE2">
        <w:rPr>
          <w:rFonts w:ascii="Verdana" w:eastAsia="Calibri" w:hAnsi="Verdana" w:cs="Arial"/>
          <w:lang w:val="es-ES"/>
        </w:rPr>
        <w:t xml:space="preserve">a </w:t>
      </w:r>
      <w:r w:rsidRPr="48C53EE2">
        <w:rPr>
          <w:rFonts w:ascii="Verdana" w:eastAsia="Calibri" w:hAnsi="Verdana" w:cs="Arial"/>
          <w:i/>
          <w:lang w:val="es-ES"/>
        </w:rPr>
        <w:t>tercera circunstancia</w:t>
      </w:r>
      <w:r w:rsidRPr="48C53EE2">
        <w:rPr>
          <w:rFonts w:ascii="Verdana" w:eastAsia="Calibri" w:hAnsi="Verdana" w:cs="Arial"/>
          <w:lang w:val="es-ES"/>
        </w:rPr>
        <w:t xml:space="preserve"> surge de la necesidad de conjurar situaciones excepcionales relacionadas con </w:t>
      </w:r>
      <w:r w:rsidRPr="48C53EE2">
        <w:rPr>
          <w:rFonts w:ascii="Verdana" w:eastAsia="Calibri" w:hAnsi="Verdana" w:cs="Arial"/>
          <w:i/>
          <w:lang w:val="es-ES"/>
        </w:rPr>
        <w:t>hechos de calamidad o constitutivos de fuerza mayor o desastre</w:t>
      </w:r>
      <w:r w:rsidRPr="48C53EE2">
        <w:rPr>
          <w:rFonts w:ascii="Verdana" w:eastAsia="Calibri" w:hAnsi="Verdana" w:cs="Arial"/>
          <w:lang w:val="es-ES"/>
        </w:rPr>
        <w:t xml:space="preserve"> que demanden actuaciones inmediatas, causa que –conforme se analiza en el siguiente acápite– exige tener en cuenta lo previsto en la Ley 1523 de 2012. Lo anterior sin perjuicio de que, conforme a la </w:t>
      </w:r>
      <w:r w:rsidRPr="48C53EE2">
        <w:rPr>
          <w:rFonts w:ascii="Verdana" w:eastAsia="Calibri" w:hAnsi="Verdana" w:cs="Arial"/>
          <w:i/>
          <w:lang w:val="es-ES"/>
        </w:rPr>
        <w:t>cuarta circunstancia</w:t>
      </w:r>
      <w:r w:rsidRPr="48C53EE2">
        <w:rPr>
          <w:rFonts w:ascii="Verdana" w:eastAsia="Calibri" w:hAnsi="Verdana" w:cs="Arial"/>
          <w:lang w:val="es-ES"/>
        </w:rPr>
        <w:t xml:space="preserve">, surjan situaciones similares que imposibiliten acudir a los procedimientos de selección o concurso públicos. </w:t>
      </w:r>
    </w:p>
    <w:p w14:paraId="1E399A0F" w14:textId="77777777" w:rsidR="005374E9" w:rsidRPr="00BE5FE3" w:rsidRDefault="005374E9" w:rsidP="005374E9">
      <w:pPr>
        <w:spacing w:after="120" w:line="276" w:lineRule="auto"/>
        <w:ind w:firstLine="708"/>
        <w:jc w:val="both"/>
        <w:rPr>
          <w:rFonts w:ascii="Verdana" w:eastAsia="Calibri" w:hAnsi="Verdana" w:cs="Arial"/>
          <w:lang w:val="es-ES_tradnl"/>
        </w:rPr>
      </w:pPr>
      <w:bookmarkStart w:id="25" w:name="_Hlk132729706"/>
      <w:r w:rsidRPr="00BE5FE3">
        <w:rPr>
          <w:rFonts w:ascii="Verdana" w:eastAsia="Calibri" w:hAnsi="Verdana" w:cs="Arial"/>
          <w:lang w:val="es-ES_tradnl"/>
        </w:rPr>
        <w:t>El elemento común en los cuatro (4) eventos es que exigen atender la contingencia de manera pronta, mediante la ejecución de obras, la prestación de servicios o el suministro de bienes. Por tanto, lo que permite catalogar un supuesto fáctico como urgente, en forma manifiesta, es que demanda actuaciones del Estado que no dan espera para mantener la regularidad del servicio, e impiden acudir a los procedimientos de selección ordinarios, es decir, a la licitación pública, la selección abreviada, el concurso de méritos y la contratación de mínima cuantía</w:t>
      </w:r>
      <w:r w:rsidRPr="00BE5FE3">
        <w:rPr>
          <w:rStyle w:val="Refdenotaalpie"/>
          <w:rFonts w:ascii="Verdana" w:eastAsia="Calibri" w:hAnsi="Verdana" w:cs="Arial"/>
          <w:sz w:val="21"/>
          <w:szCs w:val="21"/>
          <w:lang w:val="es-ES_tradnl"/>
        </w:rPr>
        <w:footnoteReference w:id="53"/>
      </w:r>
      <w:r w:rsidRPr="00BE5FE3">
        <w:rPr>
          <w:rFonts w:ascii="Verdana" w:eastAsia="Calibri" w:hAnsi="Verdana" w:cs="Arial"/>
          <w:sz w:val="21"/>
          <w:szCs w:val="21"/>
          <w:lang w:val="es-ES_tradnl"/>
        </w:rPr>
        <w:t>.</w:t>
      </w:r>
    </w:p>
    <w:bookmarkEnd w:id="25"/>
    <w:p w14:paraId="22D806DF" w14:textId="77777777" w:rsidR="005374E9" w:rsidRPr="00BE5FE3" w:rsidRDefault="005374E9" w:rsidP="005374E9">
      <w:pPr>
        <w:spacing w:after="120" w:line="276" w:lineRule="auto"/>
        <w:ind w:firstLine="709"/>
        <w:jc w:val="both"/>
        <w:rPr>
          <w:rFonts w:ascii="Verdana" w:eastAsia="Calibri" w:hAnsi="Verdana" w:cs="Arial"/>
          <w:lang w:val="es-ES_tradnl"/>
        </w:rPr>
      </w:pPr>
      <w:r w:rsidRPr="00C16D58">
        <w:rPr>
          <w:rFonts w:ascii="Verdana" w:eastAsia="Calibri" w:hAnsi="Verdana" w:cs="Arial"/>
          <w:lang w:val="es-ES_tradnl"/>
        </w:rPr>
        <w:lastRenderedPageBreak/>
        <w:t xml:space="preserve">Se insiste en que cuando se configure alguna de las cuatro (4) situaciones, el artículo 42 de la Ley 80 de 1993 exige declarar formalmente la urgencia manifiesta mediante acto administrativo motivado, es decir, a través de una manifestación unilateral de voluntad razonablemente justificada, proferida por el jefe o representante legal de cada entidad –o quien sea el titular de la competencia–, según lo establecido en los artículos 11 y 12 </w:t>
      </w:r>
      <w:r w:rsidRPr="00C16D58">
        <w:rPr>
          <w:rFonts w:ascii="Verdana" w:eastAsia="Calibri" w:hAnsi="Verdana" w:cs="Arial"/>
          <w:i/>
          <w:iCs/>
          <w:lang w:val="es-ES_tradnl"/>
        </w:rPr>
        <w:t>ibidem</w:t>
      </w:r>
      <w:r w:rsidRPr="00C16D58">
        <w:rPr>
          <w:rFonts w:ascii="Verdana" w:eastAsia="Calibri" w:hAnsi="Verdana" w:cs="Arial"/>
          <w:lang w:val="es-ES_tradnl"/>
        </w:rPr>
        <w:t>. Adicionalmente, no es necesario realizar estudios previos, como lo dispone el artículo 2.2.1.2.1.4.2 del Decreto 1082 de 2015: “Si la causal de contratación directa es la urgencia manifiesta, el acto administrativo que la declare hará las veces del acto administrativo de justificación, y en este caso la Entidad Estatal no está obligada a elaborar estudios y documentos previos”.</w:t>
      </w:r>
    </w:p>
    <w:p w14:paraId="548C4F2F" w14:textId="77777777" w:rsidR="005374E9" w:rsidRDefault="005374E9" w:rsidP="005374E9">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Expedido el acto administrativo, la entidad estatal debe realizar todos los trámites internos necesarios para contratar, entre ellos la disposición de los recursos. En tal sentido, el parágrafo del artículo 42 de la Ley 80 señala que “Con el fin de atender las necesidades y los gastos propios de la urgencia manifiesta, se podrán hacer los traslados presupuestales internos que se requieran dentro del presupuesto del organismo o entidad estatal correspondiente”. Este apartado fue declarado condicionalmente exequible por la Corte Constitucional en la Sentencia C-772 de 1998, “</w:t>
      </w:r>
      <w:r>
        <w:rPr>
          <w:rFonts w:ascii="Verdana" w:eastAsia="Calibri" w:hAnsi="Verdana" w:cs="Arial"/>
          <w:lang w:val="es-ES"/>
        </w:rPr>
        <w:t xml:space="preserve">(…) </w:t>
      </w:r>
      <w:r w:rsidRPr="3683B926">
        <w:rPr>
          <w:rFonts w:ascii="Verdana" w:eastAsia="Calibri" w:hAnsi="Verdana" w:cs="Arial"/>
          <w:lang w:val="es-ES"/>
        </w:rPr>
        <w:t>bajo el entendimiento de que los traslados presupuestales internos a que se refiere dicha norma se efectúen afectando exclusivamente el anexo del decreto de liquidación del Presupuesto”</w:t>
      </w:r>
      <w:r w:rsidRPr="3683B926">
        <w:rPr>
          <w:rFonts w:ascii="Verdana" w:eastAsia="Calibri" w:hAnsi="Verdana" w:cs="Arial"/>
          <w:vertAlign w:val="superscript"/>
          <w:lang w:val="es-ES"/>
        </w:rPr>
        <w:footnoteReference w:id="54"/>
      </w:r>
      <w:r w:rsidRPr="3683B926">
        <w:rPr>
          <w:rFonts w:ascii="Verdana" w:eastAsia="Calibri" w:hAnsi="Verdana" w:cs="Arial"/>
          <w:lang w:val="es-ES"/>
        </w:rPr>
        <w:t xml:space="preserve">. </w:t>
      </w:r>
    </w:p>
    <w:p w14:paraId="25C6A46E" w14:textId="77777777" w:rsidR="005374E9" w:rsidRDefault="005374E9" w:rsidP="005374E9">
      <w:pPr>
        <w:spacing w:after="120" w:line="276" w:lineRule="auto"/>
        <w:ind w:firstLine="709"/>
        <w:jc w:val="both"/>
        <w:rPr>
          <w:rFonts w:ascii="Verdana" w:eastAsia="Calibri" w:hAnsi="Verdana" w:cs="Arial"/>
          <w:lang w:val="es-ES"/>
        </w:rPr>
      </w:pPr>
      <w:r w:rsidRPr="0061155F">
        <w:rPr>
          <w:rFonts w:ascii="Verdana" w:eastAsia="Calibri" w:hAnsi="Verdana" w:cs="Arial"/>
          <w:lang w:val="es-ES"/>
        </w:rPr>
        <w:t xml:space="preserve">El </w:t>
      </w:r>
      <w:r w:rsidRPr="3683B926">
        <w:rPr>
          <w:rFonts w:ascii="Verdana" w:eastAsia="Calibri" w:hAnsi="Verdana" w:cs="Arial"/>
          <w:lang w:val="es-ES"/>
        </w:rPr>
        <w:t>artículo 42 de la Ley 80 de 1993 dispone que la urgencia manifiesta se declara, entre otras tres (3) circunstancias, con la finalidad de “</w:t>
      </w:r>
      <w:r>
        <w:rPr>
          <w:rFonts w:ascii="Verdana" w:eastAsia="Calibri" w:hAnsi="Verdana" w:cs="Arial"/>
          <w:lang w:val="es-ES"/>
        </w:rPr>
        <w:t xml:space="preserve">(…) </w:t>
      </w:r>
      <w:r w:rsidRPr="3683B926">
        <w:rPr>
          <w:rFonts w:ascii="Verdana" w:eastAsia="Calibri" w:hAnsi="Verdana" w:cs="Arial"/>
          <w:lang w:val="es-ES"/>
        </w:rPr>
        <w:t xml:space="preserve">conjurar situaciones excepcionales relacionadas con hechos de calamidad o constitutivos de fuerza mayor o desastre que demanden actuaciones inmediatas </w:t>
      </w:r>
      <w:r>
        <w:rPr>
          <w:rFonts w:ascii="Verdana" w:eastAsia="Calibri" w:hAnsi="Verdana" w:cs="Arial"/>
          <w:lang w:val="es-ES"/>
        </w:rPr>
        <w:t>(…)</w:t>
      </w:r>
      <w:r w:rsidRPr="3683B926">
        <w:rPr>
          <w:rFonts w:ascii="Verdana" w:eastAsia="Calibri" w:hAnsi="Verdana" w:cs="Arial"/>
          <w:lang w:val="es-ES"/>
        </w:rPr>
        <w:t xml:space="preserve">”. Para delimitar estas expresiones, el </w:t>
      </w:r>
      <w:bookmarkStart w:id="26" w:name="_Hlk35880053"/>
      <w:r w:rsidRPr="3683B926">
        <w:rPr>
          <w:rFonts w:ascii="Verdana" w:eastAsia="Calibri" w:hAnsi="Verdana" w:cs="Arial"/>
          <w:lang w:val="es-ES"/>
        </w:rPr>
        <w:t xml:space="preserve">artículo 28 del Código Civil </w:t>
      </w:r>
      <w:bookmarkEnd w:id="26"/>
      <w:r w:rsidRPr="3683B926">
        <w:rPr>
          <w:rFonts w:ascii="Verdana" w:eastAsia="Calibri" w:hAnsi="Verdana" w:cs="Arial"/>
          <w:lang w:val="es-ES"/>
        </w:rPr>
        <w:t xml:space="preserve">dispone que “Las palabras de la ley se entenderán en su sentido natural y obvio, según el uso general de las mismas palabras; pero cuando el legislador las haya definido expresamente para ciertas materias, se les dará en éstas su significado legal”. Y resulta que en la medida en que la norma utiliza la conjunción “o”, en principio asimilaría la </w:t>
      </w:r>
      <w:r w:rsidRPr="3683B926">
        <w:rPr>
          <w:rFonts w:ascii="Verdana" w:eastAsia="Calibri" w:hAnsi="Verdana" w:cs="Arial"/>
          <w:i/>
          <w:lang w:val="es-ES"/>
        </w:rPr>
        <w:t>calamidad</w:t>
      </w:r>
      <w:r w:rsidRPr="3683B926">
        <w:rPr>
          <w:rFonts w:ascii="Verdana" w:eastAsia="Calibri" w:hAnsi="Verdana" w:cs="Arial"/>
          <w:lang w:val="es-ES"/>
        </w:rPr>
        <w:t xml:space="preserve"> y el </w:t>
      </w:r>
      <w:r w:rsidRPr="3683B926">
        <w:rPr>
          <w:rFonts w:ascii="Verdana" w:eastAsia="Calibri" w:hAnsi="Verdana" w:cs="Arial"/>
          <w:i/>
          <w:lang w:val="es-ES"/>
        </w:rPr>
        <w:t xml:space="preserve">desastre </w:t>
      </w:r>
      <w:r w:rsidRPr="3683B926">
        <w:rPr>
          <w:rFonts w:ascii="Verdana" w:eastAsia="Calibri" w:hAnsi="Verdana" w:cs="Arial"/>
          <w:lang w:val="es-ES"/>
        </w:rPr>
        <w:t xml:space="preserve">con la </w:t>
      </w:r>
      <w:r w:rsidRPr="3683B926">
        <w:rPr>
          <w:rFonts w:ascii="Verdana" w:eastAsia="Calibri" w:hAnsi="Verdana" w:cs="Arial"/>
          <w:i/>
          <w:lang w:val="es-ES"/>
        </w:rPr>
        <w:t>fuerza mayor</w:t>
      </w:r>
      <w:r w:rsidRPr="3683B926">
        <w:rPr>
          <w:rFonts w:ascii="Verdana" w:eastAsia="Calibri" w:hAnsi="Verdana" w:cs="Arial"/>
          <w:lang w:val="es-ES"/>
        </w:rPr>
        <w:t xml:space="preserve"> o el </w:t>
      </w:r>
      <w:r w:rsidRPr="3683B926">
        <w:rPr>
          <w:rFonts w:ascii="Verdana" w:eastAsia="Calibri" w:hAnsi="Verdana" w:cs="Arial"/>
          <w:i/>
          <w:lang w:val="es-ES"/>
        </w:rPr>
        <w:t>caso fortuito</w:t>
      </w:r>
      <w:r w:rsidRPr="3683B926">
        <w:rPr>
          <w:rFonts w:ascii="Verdana" w:eastAsia="Calibri" w:hAnsi="Verdana" w:cs="Arial"/>
          <w:lang w:val="es-ES"/>
        </w:rPr>
        <w:t xml:space="preserve">. </w:t>
      </w:r>
    </w:p>
    <w:p w14:paraId="509EC815" w14:textId="77777777" w:rsidR="005374E9" w:rsidRPr="00033AB8" w:rsidRDefault="005374E9" w:rsidP="005374E9">
      <w:pPr>
        <w:spacing w:after="120" w:line="276" w:lineRule="auto"/>
        <w:ind w:firstLine="709"/>
        <w:jc w:val="both"/>
        <w:rPr>
          <w:rFonts w:ascii="Verdana" w:eastAsia="Calibri" w:hAnsi="Verdana" w:cs="Arial"/>
          <w:lang w:val="es-ES"/>
        </w:rPr>
      </w:pPr>
      <w:r w:rsidRPr="00D93A6C">
        <w:rPr>
          <w:rFonts w:ascii="Verdana" w:eastAsia="Calibri" w:hAnsi="Verdana" w:cs="Arial"/>
          <w:lang w:val="es-ES_tradnl"/>
        </w:rPr>
        <w:lastRenderedPageBreak/>
        <w:t>Al respecto, el artículo 64 del Código Civil define como tal “</w:t>
      </w:r>
      <w:r>
        <w:rPr>
          <w:rFonts w:ascii="Verdana" w:eastAsia="Calibri" w:hAnsi="Verdana" w:cs="Arial"/>
          <w:lang w:val="es-ES_tradnl"/>
        </w:rPr>
        <w:t>(…)</w:t>
      </w:r>
      <w:r w:rsidRPr="00D93A6C">
        <w:rPr>
          <w:rFonts w:ascii="Verdana" w:eastAsia="Calibri" w:hAnsi="Verdana" w:cs="Arial"/>
          <w:lang w:val="es-ES_tradnl"/>
        </w:rPr>
        <w:t xml:space="preserve"> el imprevisto o que no es posible resistir, como un naufragio, un terremoto, el apresamiento de enemigos, los actos de autoridad ejercidos por un funcionario público, etc.”</w:t>
      </w:r>
      <w:r w:rsidRPr="00D93A6C">
        <w:rPr>
          <w:rFonts w:ascii="Verdana" w:eastAsia="Calibri" w:hAnsi="Verdana" w:cs="Arial"/>
          <w:sz w:val="21"/>
          <w:szCs w:val="21"/>
          <w:vertAlign w:val="superscript"/>
          <w:lang w:val="es-ES_tradnl"/>
        </w:rPr>
        <w:footnoteReference w:id="55"/>
      </w:r>
      <w:r w:rsidRPr="00D93A6C">
        <w:rPr>
          <w:rFonts w:ascii="Verdana" w:eastAsia="Calibri" w:hAnsi="Verdana" w:cs="Arial"/>
          <w:sz w:val="21"/>
          <w:szCs w:val="21"/>
          <w:lang w:val="es-ES_tradnl"/>
        </w:rPr>
        <w:t>.</w:t>
      </w:r>
      <w:r w:rsidRPr="00D93A6C">
        <w:rPr>
          <w:rFonts w:ascii="Verdana" w:eastAsia="Calibri" w:hAnsi="Verdana" w:cs="Arial"/>
          <w:lang w:val="es-ES_tradnl"/>
        </w:rPr>
        <w:t xml:space="preserve"> Cuando provienen de fenómenos de la naturaleza estas 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estos dos conceptos también los definió el artículo 4, numerales 5 y 8, de la Ley 1523 de 2012:</w:t>
      </w:r>
    </w:p>
    <w:p w14:paraId="766EA957" w14:textId="77777777" w:rsidR="005374E9" w:rsidRPr="00DB5641" w:rsidRDefault="005374E9" w:rsidP="005374E9">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“Art. 4. Para efectos de la presente ley se entenderá por:</w:t>
      </w:r>
    </w:p>
    <w:p w14:paraId="0E635509" w14:textId="77777777" w:rsidR="005374E9" w:rsidRDefault="005374E9" w:rsidP="005374E9">
      <w:pPr>
        <w:spacing w:after="0" w:line="240" w:lineRule="auto"/>
        <w:ind w:left="709" w:right="709"/>
        <w:jc w:val="both"/>
        <w:rPr>
          <w:rFonts w:ascii="Verdana" w:eastAsia="Calibri" w:hAnsi="Verdana" w:cs="Arial"/>
          <w:sz w:val="20"/>
          <w:szCs w:val="20"/>
          <w:lang w:val="es-ES_tradnl"/>
        </w:rPr>
      </w:pPr>
    </w:p>
    <w:p w14:paraId="13C1F970" w14:textId="77777777" w:rsidR="005374E9" w:rsidRPr="00DB5641" w:rsidRDefault="005374E9" w:rsidP="005374E9">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w:t>
      </w:r>
      <w:r>
        <w:rPr>
          <w:rFonts w:ascii="Verdana" w:eastAsia="Calibri" w:hAnsi="Verdana" w:cs="Arial"/>
          <w:sz w:val="20"/>
          <w:szCs w:val="20"/>
          <w:lang w:val="es-ES_tradnl"/>
        </w:rPr>
        <w:t xml:space="preserve"> </w:t>
      </w:r>
      <w:r w:rsidRPr="00DB5641">
        <w:rPr>
          <w:rFonts w:ascii="Verdana" w:eastAsia="Calibri" w:hAnsi="Verdana" w:cs="Arial"/>
          <w:sz w:val="20"/>
          <w:szCs w:val="20"/>
          <w:lang w:val="es-ES_tradnl"/>
        </w:rPr>
        <w:t xml:space="preserve">5. Calamidad pública: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población, en el respectivo territorio, que exige al </w:t>
      </w:r>
      <w:r w:rsidRPr="00DB5641">
        <w:rPr>
          <w:rFonts w:ascii="Verdana" w:eastAsia="Calibri" w:hAnsi="Verdana" w:cs="Arial"/>
          <w:sz w:val="20"/>
          <w:szCs w:val="20"/>
          <w:lang w:val="es-ES_tradnl"/>
        </w:rPr>
        <w:lastRenderedPageBreak/>
        <w:t>municipio, distrito o departamento ejecutar acciones de respuesta a la emergencia, rehabilitación y reconstrucción.</w:t>
      </w:r>
    </w:p>
    <w:p w14:paraId="138AF5E3" w14:textId="77777777" w:rsidR="005374E9" w:rsidRPr="00DB5641" w:rsidRDefault="005374E9" w:rsidP="005374E9">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 </w:t>
      </w:r>
    </w:p>
    <w:p w14:paraId="5507C1C8" w14:textId="77777777" w:rsidR="005374E9" w:rsidRPr="00D93A6C" w:rsidRDefault="005374E9" w:rsidP="005374E9">
      <w:pPr>
        <w:spacing w:after="0" w:line="240" w:lineRule="auto"/>
        <w:ind w:left="709" w:right="709"/>
        <w:jc w:val="both"/>
        <w:rPr>
          <w:rFonts w:ascii="Verdana" w:eastAsia="Calibri" w:hAnsi="Verdana" w:cs="Arial"/>
          <w:lang w:val="es-ES_tradnl"/>
        </w:rPr>
      </w:pPr>
      <w:r w:rsidRPr="00DB5641">
        <w:rPr>
          <w:rFonts w:ascii="Verdana" w:eastAsia="Calibri" w:hAnsi="Verdana" w:cs="Arial"/>
          <w:sz w:val="20"/>
          <w:szCs w:val="20"/>
          <w:lang w:val="es-ES_tradnl"/>
        </w:rPr>
        <w:t>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25A1F7F7" w14:textId="77777777" w:rsidR="005374E9" w:rsidRPr="00D93A6C" w:rsidRDefault="005374E9" w:rsidP="005374E9">
      <w:pPr>
        <w:spacing w:after="0" w:line="240" w:lineRule="auto"/>
        <w:ind w:left="709" w:right="709"/>
        <w:jc w:val="both"/>
        <w:rPr>
          <w:rFonts w:ascii="Verdana" w:eastAsia="Calibri" w:hAnsi="Verdana" w:cs="Arial"/>
          <w:lang w:val="es-ES_tradnl"/>
        </w:rPr>
      </w:pPr>
    </w:p>
    <w:p w14:paraId="51B27E32" w14:textId="77777777" w:rsidR="005374E9" w:rsidRPr="00D93A6C" w:rsidRDefault="005374E9" w:rsidP="005374E9">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 xml:space="preserve">Esta norma debe armonizarse con los artículos 56 y 57 </w:t>
      </w:r>
      <w:r w:rsidRPr="3683B926">
        <w:rPr>
          <w:rFonts w:ascii="Verdana" w:eastAsia="Calibri" w:hAnsi="Verdana" w:cs="Arial"/>
          <w:i/>
          <w:lang w:val="es-ES"/>
        </w:rPr>
        <w:t>ibidem</w:t>
      </w:r>
      <w:r w:rsidRPr="3683B926">
        <w:rPr>
          <w:rFonts w:ascii="Verdana" w:eastAsia="Calibri" w:hAnsi="Verdana" w:cs="Arial"/>
          <w:lang w:val="es-ES"/>
        </w:rPr>
        <w:t xml:space="preserve">, que asignan la competencia para declarar la ocurrencia de una situación de </w:t>
      </w:r>
      <w:r w:rsidRPr="3683B926">
        <w:rPr>
          <w:rFonts w:ascii="Verdana" w:eastAsia="Calibri" w:hAnsi="Verdana" w:cs="Arial"/>
          <w:i/>
          <w:lang w:val="es-ES"/>
        </w:rPr>
        <w:t>desastre</w:t>
      </w:r>
      <w:r w:rsidRPr="3683B926">
        <w:rPr>
          <w:rFonts w:ascii="Verdana" w:eastAsia="Calibri" w:hAnsi="Verdana" w:cs="Arial"/>
          <w:lang w:val="es-ES"/>
        </w:rPr>
        <w:t xml:space="preserve"> o una situación de </w:t>
      </w:r>
      <w:r w:rsidRPr="3683B926">
        <w:rPr>
          <w:rFonts w:ascii="Verdana" w:eastAsia="Calibri" w:hAnsi="Verdana" w:cs="Arial"/>
          <w:i/>
          <w:lang w:val="es-ES"/>
        </w:rPr>
        <w:t>calamidad pública</w:t>
      </w:r>
      <w:r w:rsidRPr="3683B926">
        <w:rPr>
          <w:rFonts w:ascii="Verdana" w:eastAsia="Calibri" w:hAnsi="Verdana" w:cs="Arial"/>
          <w:lang w:val="es-ES"/>
        </w:rPr>
        <w:t xml:space="preserve">. Particularmente, disponen que al Presidente de la República le corresponde declarar la situación de </w:t>
      </w:r>
      <w:r w:rsidRPr="3683B926">
        <w:rPr>
          <w:rFonts w:ascii="Verdana" w:eastAsia="Calibri" w:hAnsi="Verdana" w:cs="Arial"/>
          <w:i/>
          <w:lang w:val="es-ES"/>
        </w:rPr>
        <w:t>desastre</w:t>
      </w:r>
      <w:r w:rsidRPr="3683B926">
        <w:rPr>
          <w:rFonts w:ascii="Verdana" w:eastAsia="Calibri" w:hAnsi="Verdana" w:cs="Arial"/>
          <w:lang w:val="es-ES"/>
        </w:rPr>
        <w:t>, tanto en el orden nacional, departamental, como en el municipal y distrital</w:t>
      </w:r>
      <w:r w:rsidRPr="3683B926">
        <w:rPr>
          <w:rStyle w:val="Refdenotaalpie"/>
          <w:rFonts w:ascii="Verdana" w:eastAsia="Calibri" w:hAnsi="Verdana" w:cs="Arial"/>
          <w:lang w:val="es-ES"/>
        </w:rPr>
        <w:footnoteReference w:id="56"/>
      </w:r>
      <w:r w:rsidRPr="3683B926">
        <w:rPr>
          <w:rFonts w:ascii="Verdana" w:eastAsia="Calibri" w:hAnsi="Verdana" w:cs="Arial"/>
          <w:lang w:val="es-ES"/>
        </w:rPr>
        <w:t xml:space="preserve">, facultad que no pueden ejercer los gobernadores y alcaldes, porque la norma no les asignó esta competencia. No obstante, a los gobernadores y alcaldes sí les corresponde declarar la </w:t>
      </w:r>
      <w:r w:rsidRPr="3683B926">
        <w:rPr>
          <w:rFonts w:ascii="Verdana" w:eastAsia="Calibri" w:hAnsi="Verdana" w:cs="Arial"/>
          <w:i/>
          <w:lang w:val="es-ES"/>
        </w:rPr>
        <w:t>situación de calamidad pública</w:t>
      </w:r>
      <w:r w:rsidRPr="3683B926">
        <w:rPr>
          <w:rFonts w:ascii="Verdana" w:eastAsia="Calibri" w:hAnsi="Verdana" w:cs="Arial"/>
          <w:lang w:val="es-ES"/>
        </w:rPr>
        <w:t>, en los respectivos ámbitos, facultad que, en cambio, no puede ejercer el presidente de la república</w:t>
      </w:r>
      <w:r w:rsidRPr="3683B926">
        <w:rPr>
          <w:rStyle w:val="Refdenotaalpie"/>
          <w:rFonts w:ascii="Verdana" w:eastAsia="Calibri" w:hAnsi="Verdana" w:cs="Arial"/>
          <w:lang w:val="es-ES"/>
        </w:rPr>
        <w:footnoteReference w:id="57"/>
      </w:r>
      <w:r w:rsidRPr="3683B926">
        <w:rPr>
          <w:rFonts w:ascii="Verdana" w:eastAsia="Calibri" w:hAnsi="Verdana" w:cs="Arial"/>
          <w:lang w:val="es-ES"/>
        </w:rPr>
        <w:t xml:space="preserve">. </w:t>
      </w:r>
    </w:p>
    <w:p w14:paraId="47A0183C" w14:textId="77777777" w:rsidR="005374E9" w:rsidRPr="0061155F" w:rsidRDefault="005374E9" w:rsidP="005374E9">
      <w:pPr>
        <w:spacing w:after="120" w:line="276" w:lineRule="auto"/>
        <w:ind w:firstLine="709"/>
        <w:jc w:val="both"/>
        <w:rPr>
          <w:rFonts w:ascii="Verdana" w:eastAsia="Calibri" w:hAnsi="Verdana" w:cs="Arial"/>
          <w:lang w:val="es-ES_tradnl"/>
        </w:rPr>
      </w:pPr>
      <w:r w:rsidRPr="00D93A6C">
        <w:rPr>
          <w:rFonts w:ascii="Verdana" w:eastAsia="Calibri" w:hAnsi="Verdana" w:cs="Arial"/>
          <w:lang w:val="es-ES_tradnl"/>
        </w:rPr>
        <w:lastRenderedPageBreak/>
        <w:t xml:space="preserve">De esta manera, una vez se declara la situación de calamidad o la situación de desastre bajo los criterios señalados en el artículo 59 de la Ley 1523 de 2012, por parte de la autoridad competente, las demás entidades estatales –de conformidad con el artículo 42 de la Ley 80 de 1993– quedan facultadas para declarar, a continuación, la causal de contratación directa denominada “urgencia manifiesta”, mediante un acto administrativo propio, autónomo, que tiene como </w:t>
      </w:r>
      <w:r w:rsidRPr="0061155F">
        <w:rPr>
          <w:rFonts w:ascii="Verdana" w:eastAsia="Calibri" w:hAnsi="Verdana" w:cs="Arial"/>
          <w:lang w:val="es-ES_tradnl"/>
        </w:rPr>
        <w:t xml:space="preserve">fundamento fáctico y jurídico la declaración de situación de calamidad o la situación de desastre. </w:t>
      </w:r>
    </w:p>
    <w:p w14:paraId="63CE87FE" w14:textId="77777777" w:rsidR="005374E9" w:rsidRPr="0061155F" w:rsidRDefault="005374E9" w:rsidP="005374E9">
      <w:pPr>
        <w:spacing w:after="120" w:line="276" w:lineRule="auto"/>
        <w:ind w:firstLine="709"/>
        <w:jc w:val="both"/>
        <w:rPr>
          <w:rFonts w:ascii="Verdana" w:eastAsia="Calibri" w:hAnsi="Verdana" w:cs="Arial"/>
          <w:lang w:val="es-ES"/>
        </w:rPr>
      </w:pPr>
      <w:bookmarkStart w:id="27" w:name="_Hlk35959844"/>
      <w:r w:rsidRPr="0061155F">
        <w:rPr>
          <w:rFonts w:ascii="Verdana" w:eastAsia="Calibri" w:hAnsi="Verdana" w:cs="Arial"/>
          <w:lang w:val="es-ES"/>
        </w:rPr>
        <w:t xml:space="preserve">Lo anterior significa que </w:t>
      </w:r>
      <w:bookmarkStart w:id="28" w:name="_Hlk35959859"/>
      <w:r w:rsidRPr="0061155F">
        <w:rPr>
          <w:rFonts w:ascii="Verdana" w:eastAsia="Calibri" w:hAnsi="Verdana" w:cs="Arial"/>
          <w:lang w:val="es-ES"/>
        </w:rPr>
        <w:t xml:space="preserve">para contratar </w:t>
      </w:r>
      <w:bookmarkEnd w:id="27"/>
      <w:r w:rsidRPr="0061155F">
        <w:rPr>
          <w:rFonts w:ascii="Verdana" w:eastAsia="Calibri" w:hAnsi="Verdana" w:cs="Arial"/>
          <w:lang w:val="es-ES"/>
        </w:rPr>
        <w:t>directamente no basta con la declaración de desastre o de calamidad. Es decir, se necesitan dos (2) actos administrativos concurrentes para que pueda contratarse directamente por urgencia manifiesta: i) el primero en el tiempo, la declaración de la situación de calamidad pública o la declaración de la situación de desastre, de conformidad con lo establecido en el Capítulo VI de la Ley 1523 de 2012; y ii) el segundo, la declaración propiamente dicha de “urgencia manifiesta” de que trata el artículo 42 del Estatuto General de Contratación, amparado o fundamentado en la declaración previa del desastre o calamidad.</w:t>
      </w:r>
    </w:p>
    <w:p w14:paraId="0543FF15" w14:textId="77777777" w:rsidR="005374E9" w:rsidRPr="0061155F" w:rsidRDefault="005374E9" w:rsidP="005374E9">
      <w:pPr>
        <w:spacing w:after="120" w:line="276" w:lineRule="auto"/>
        <w:ind w:firstLine="709"/>
        <w:jc w:val="both"/>
        <w:rPr>
          <w:rFonts w:ascii="Verdana" w:eastAsia="Calibri" w:hAnsi="Verdana" w:cs="Arial"/>
          <w:lang w:val="es-ES"/>
        </w:rPr>
      </w:pPr>
      <w:r w:rsidRPr="736CB040">
        <w:rPr>
          <w:rFonts w:ascii="Verdana" w:eastAsia="Calibri" w:hAnsi="Verdana" w:cs="Arial"/>
          <w:lang w:val="es-ES"/>
        </w:rPr>
        <w:t xml:space="preserve">Sin el primer acto administrativo no es posible expedir el segundo, es decir, para declarar la urgencia manifiesta es imprescindible que el presidente de la república o el gobernador o el alcalde, según el caso, hayan declarado la situación de desastre o la declaración de calamidad. </w:t>
      </w:r>
      <w:r>
        <w:rPr>
          <w:rFonts w:ascii="Verdana" w:eastAsia="Calibri" w:hAnsi="Verdana" w:cs="Arial"/>
          <w:lang w:val="es-ES"/>
        </w:rPr>
        <w:t>Esto</w:t>
      </w:r>
      <w:r w:rsidRPr="736CB040">
        <w:rPr>
          <w:rFonts w:ascii="Verdana" w:eastAsia="Calibri" w:hAnsi="Verdana" w:cs="Arial"/>
          <w:lang w:val="es-ES"/>
        </w:rPr>
        <w:t xml:space="preserve">, porque la situación de calamidad pública o la situación de desastre depende tanto de la ocurrencia de los hechos que dan lugar a las mismas como de la declaración del órgano competente, de manera que ninguna se configura a falta de alguna de estas condiciones. </w:t>
      </w:r>
    </w:p>
    <w:p w14:paraId="1C9D7A02" w14:textId="77777777" w:rsidR="005374E9" w:rsidRPr="00D93A6C" w:rsidRDefault="005374E9" w:rsidP="005374E9">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 xml:space="preserve"> </w:t>
      </w:r>
      <w:r>
        <w:rPr>
          <w:rFonts w:ascii="Verdana" w:eastAsia="Calibri" w:hAnsi="Verdana" w:cs="Arial"/>
          <w:lang w:val="es-ES"/>
        </w:rPr>
        <w:t>P</w:t>
      </w:r>
      <w:r w:rsidRPr="3683B926">
        <w:rPr>
          <w:rFonts w:ascii="Verdana" w:eastAsia="Calibri" w:hAnsi="Verdana" w:cs="Arial"/>
          <w:lang w:val="es-ES"/>
        </w:rPr>
        <w:t>ara declarar la urgencia manifiesta es imprescindible que el presidente de la república o el gobernador o el alcalde, según el caso, hayan declarado la situación de desastre o la declaración de calamidad.</w:t>
      </w:r>
      <w:r>
        <w:rPr>
          <w:rFonts w:ascii="Verdana" w:eastAsia="Calibri" w:hAnsi="Verdana" w:cs="Arial"/>
          <w:lang w:val="es-ES"/>
        </w:rPr>
        <w:t xml:space="preserve"> Tratándose de los funcionarios mencionados, ambas declaraciones pueden realizarse en un mismo acto administrativo, es decir, el presidente, el gobernador o el alcalde declara el desastre o la calamidad y, como consecuencia, decreta la urgencia manifiesta.</w:t>
      </w:r>
      <w:r w:rsidRPr="3683B926">
        <w:rPr>
          <w:rFonts w:ascii="Verdana" w:eastAsia="Calibri" w:hAnsi="Verdana" w:cs="Arial"/>
          <w:lang w:val="es-ES"/>
        </w:rPr>
        <w:t xml:space="preserve"> Lo anterior, porque la situación de calamidad pública o la situación de desastre depende tanto de la ocurrencia de los hechos que dan lugar a las mismas como </w:t>
      </w:r>
      <w:r w:rsidRPr="3683B926">
        <w:rPr>
          <w:rFonts w:ascii="Verdana" w:eastAsia="Calibri" w:hAnsi="Verdana" w:cs="Arial"/>
          <w:lang w:val="es-ES"/>
        </w:rPr>
        <w:lastRenderedPageBreak/>
        <w:t xml:space="preserve">de la declaración del órgano competente, de manera que ninguna se configura a falta de alguna de estas condiciones. </w:t>
      </w:r>
    </w:p>
    <w:p w14:paraId="605E6D1A" w14:textId="77777777" w:rsidR="005374E9" w:rsidRDefault="005374E9" w:rsidP="005374E9">
      <w:pPr>
        <w:spacing w:after="120" w:line="276" w:lineRule="auto"/>
        <w:ind w:firstLine="709"/>
        <w:jc w:val="both"/>
        <w:rPr>
          <w:rFonts w:ascii="Verdana" w:eastAsia="Calibri" w:hAnsi="Verdana" w:cs="Arial"/>
          <w:lang w:val="es-ES_tradnl"/>
        </w:rPr>
      </w:pPr>
      <w:r>
        <w:rPr>
          <w:rFonts w:ascii="Verdana" w:eastAsia="Calibri" w:hAnsi="Verdana" w:cs="Arial"/>
          <w:lang w:val="es-ES_tradnl"/>
        </w:rPr>
        <w:t>C</w:t>
      </w:r>
      <w:r w:rsidRPr="00D93A6C">
        <w:rPr>
          <w:rFonts w:ascii="Verdana" w:eastAsia="Calibri" w:hAnsi="Verdana" w:cs="Arial"/>
          <w:lang w:val="es-ES_tradnl"/>
        </w:rPr>
        <w:t xml:space="preserve">omo una autoridad diferente al presidente de la república, o al gobernador y el alcalde –por ejemplo, los ministros, directores o presidentes de agencias, directores de establecimientos públicos, de sociedades de economía mixta, etc.–, carece de competencia para declarar cualquiera de estas dos </w:t>
      </w:r>
      <w:r>
        <w:rPr>
          <w:rFonts w:ascii="Verdana" w:eastAsia="Calibri" w:hAnsi="Verdana" w:cs="Arial"/>
          <w:lang w:val="es-ES_tradnl"/>
        </w:rPr>
        <w:t xml:space="preserve">(2) </w:t>
      </w:r>
      <w:r w:rsidRPr="00D93A6C">
        <w:rPr>
          <w:rFonts w:ascii="Verdana" w:eastAsia="Calibri" w:hAnsi="Verdana" w:cs="Arial"/>
          <w:lang w:val="es-ES_tradnl"/>
        </w:rPr>
        <w:t>situaciones, deben esperar a que se dicten los actos respectivos para fundamentar la declaración de urgencia manifiesta en la situación de desastre o en la situación de calamidad</w:t>
      </w:r>
      <w:bookmarkEnd w:id="28"/>
      <w:r w:rsidRPr="00D93A6C">
        <w:rPr>
          <w:rFonts w:ascii="Verdana" w:eastAsia="Calibri" w:hAnsi="Verdana" w:cs="Arial"/>
          <w:lang w:val="es-ES_tradnl"/>
        </w:rPr>
        <w:t xml:space="preserve">. </w:t>
      </w:r>
      <w:r>
        <w:rPr>
          <w:rFonts w:ascii="Verdana" w:eastAsia="Calibri" w:hAnsi="Verdana" w:cs="Arial"/>
          <w:lang w:val="es-ES_tradnl"/>
        </w:rPr>
        <w:t xml:space="preserve">En esta segunda hipótesis, se expiden dos (2) actos administrativos separados: el presidente, gobernador o alcalde declara el desastre o la calamidad, por un lado, y </w:t>
      </w:r>
      <w:r w:rsidRPr="00D93A6C">
        <w:rPr>
          <w:rFonts w:ascii="Verdana" w:eastAsia="Calibri" w:hAnsi="Verdana" w:cs="Arial"/>
          <w:lang w:val="es-ES_tradnl"/>
        </w:rPr>
        <w:t>los ministros, directores o presidentes de agencias, directores de establecimientos públicos, de sociedades de economía mixta, etc.</w:t>
      </w:r>
      <w:r>
        <w:rPr>
          <w:rFonts w:ascii="Verdana" w:eastAsia="Calibri" w:hAnsi="Verdana" w:cs="Arial"/>
          <w:lang w:val="es-ES_tradnl"/>
        </w:rPr>
        <w:t xml:space="preserve"> decretan la urgencia manifiesta, por otro. </w:t>
      </w:r>
    </w:p>
    <w:p w14:paraId="218C5823" w14:textId="77777777" w:rsidR="005374E9" w:rsidRDefault="005374E9" w:rsidP="005374E9">
      <w:pPr>
        <w:spacing w:after="120" w:line="276" w:lineRule="auto"/>
        <w:ind w:firstLine="709"/>
        <w:jc w:val="both"/>
        <w:rPr>
          <w:rFonts w:ascii="Verdana" w:eastAsia="Calibri" w:hAnsi="Verdana" w:cs="Arial"/>
          <w:lang w:val="es-ES_tradnl"/>
        </w:rPr>
      </w:pPr>
      <w:r w:rsidRPr="00D93A6C">
        <w:rPr>
          <w:rFonts w:ascii="Verdana" w:eastAsia="Calibri" w:hAnsi="Verdana" w:cs="Arial"/>
          <w:lang w:val="es-ES_tradnl"/>
        </w:rPr>
        <w:t>Por lo anterior, cuando el artículo 42 de la Ley 80 de 1993 dispone que la urgencia manifiesta se declara –entre otras tres (3) causales– para “</w:t>
      </w:r>
      <w:bookmarkStart w:id="29" w:name="_Hlk35879915"/>
      <w:r>
        <w:rPr>
          <w:rFonts w:ascii="Verdana" w:eastAsia="Calibri" w:hAnsi="Verdana" w:cs="Arial"/>
          <w:lang w:val="es-ES_tradnl"/>
        </w:rPr>
        <w:t xml:space="preserve">(…) </w:t>
      </w:r>
      <w:r w:rsidRPr="00D93A6C">
        <w:rPr>
          <w:rFonts w:ascii="Verdana" w:eastAsia="Calibri" w:hAnsi="Verdana" w:cs="Arial"/>
          <w:lang w:val="es-ES_tradnl"/>
        </w:rPr>
        <w:t>conjurar situaciones excepcionales relacionadas con hechos de calamidad o constitutivos de fuerza mayor o desastre que demanden actuaciones inmediatas</w:t>
      </w:r>
      <w:bookmarkEnd w:id="29"/>
      <w:r w:rsidRPr="00D93A6C">
        <w:rPr>
          <w:rFonts w:ascii="Verdana" w:eastAsia="Calibri" w:hAnsi="Verdana" w:cs="Arial"/>
          <w:lang w:val="es-ES_tradnl"/>
        </w:rPr>
        <w:t xml:space="preserve"> </w:t>
      </w:r>
      <w:r>
        <w:rPr>
          <w:rFonts w:ascii="Verdana" w:eastAsia="Calibri" w:hAnsi="Verdana" w:cs="Arial"/>
          <w:lang w:val="es-ES_tradnl"/>
        </w:rPr>
        <w:t>(…)</w:t>
      </w:r>
      <w:r w:rsidRPr="00D93A6C">
        <w:rPr>
          <w:rFonts w:ascii="Verdana" w:eastAsia="Calibri" w:hAnsi="Verdana" w:cs="Arial"/>
          <w:lang w:val="es-ES_tradnl"/>
        </w:rPr>
        <w:t>”, las circunstancias de calamidad y desastre deben entenderse en los términos de la Ley 1523 de 2012, en la medida que forman una unidad jurídica completa.</w:t>
      </w:r>
    </w:p>
    <w:p w14:paraId="201DFA74" w14:textId="77777777" w:rsidR="005374E9" w:rsidRDefault="005374E9" w:rsidP="005374E9">
      <w:pPr>
        <w:spacing w:after="120" w:line="276" w:lineRule="auto"/>
        <w:ind w:firstLine="709"/>
        <w:jc w:val="both"/>
        <w:rPr>
          <w:rFonts w:ascii="Verdana" w:eastAsia="Calibri" w:hAnsi="Verdana" w:cs="Arial"/>
          <w:lang w:val="es-ES_tradnl"/>
        </w:rPr>
      </w:pPr>
      <w:r>
        <w:rPr>
          <w:rFonts w:ascii="Verdana" w:eastAsia="Calibri" w:hAnsi="Verdana" w:cs="Arial"/>
          <w:lang w:val="es-ES_tradnl"/>
        </w:rPr>
        <w:t xml:space="preserve">De esta manera la entidad estatal que declara la urgencia manifiesta deberá observar las normas que para el efecto en materia contractual se han indicado y por otro lado, la entidad pública que desea fungir como contratista no estaría impedido en ser proveedor de bienes y servicios entendiendo que debe enmarcase dentro de una urgencia manifiesta y bajo los presupuestos procedimentales para su declaratoria.    </w:t>
      </w:r>
    </w:p>
    <w:p w14:paraId="391DEF69" w14:textId="77777777" w:rsidR="005374E9" w:rsidRDefault="005374E9" w:rsidP="005374E9">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C765C9F" w14:textId="77777777" w:rsidR="005374E9" w:rsidRPr="00883DFB" w:rsidRDefault="005374E9" w:rsidP="005374E9">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lastRenderedPageBreak/>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bookmarkStart w:id="30" w:name="_Hlk204854194"/>
    </w:p>
    <w:p w14:paraId="73CC128E" w14:textId="77777777" w:rsidR="005374E9" w:rsidRPr="00B64A74" w:rsidRDefault="005374E9" w:rsidP="005374E9">
      <w:pPr>
        <w:spacing w:after="0" w:line="276" w:lineRule="auto"/>
        <w:jc w:val="both"/>
        <w:rPr>
          <w:rFonts w:ascii="Verdana" w:eastAsia="Century Gothic" w:hAnsi="Verdana" w:cs="Century Gothic"/>
          <w:b/>
          <w:bCs/>
        </w:rPr>
      </w:pPr>
      <w:r w:rsidRPr="00B64A74">
        <w:rPr>
          <w:rFonts w:ascii="Verdana" w:hAnsi="Verdana" w:cs="Arial"/>
          <w:b/>
          <w:color w:val="000000" w:themeColor="text1"/>
        </w:rPr>
        <w:t>4.</w:t>
      </w:r>
      <w:r w:rsidRPr="00B64A74">
        <w:rPr>
          <w:rFonts w:ascii="Verdana" w:hAnsi="Verdana" w:cs="Arial"/>
          <w:bCs/>
          <w:color w:val="000000" w:themeColor="text1"/>
        </w:rPr>
        <w:t xml:space="preserve"> </w:t>
      </w:r>
      <w:r w:rsidRPr="00B64A74">
        <w:rPr>
          <w:rFonts w:ascii="Verdana" w:eastAsia="Century Gothic" w:hAnsi="Verdana" w:cs="Century Gothic"/>
          <w:b/>
          <w:bCs/>
        </w:rPr>
        <w:t>Referencias normativas y jurisprudenciales:</w:t>
      </w:r>
      <w:bookmarkEnd w:id="30"/>
    </w:p>
    <w:p w14:paraId="76F0C6C5" w14:textId="77777777" w:rsidR="005374E9" w:rsidRPr="00B64A74" w:rsidRDefault="005374E9" w:rsidP="005374E9">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374E9" w:rsidRPr="00B64A74" w14:paraId="6D45925D" w14:textId="77777777" w:rsidTr="002E317E">
        <w:trPr>
          <w:trHeight w:val="56"/>
          <w:jc w:val="center"/>
        </w:trPr>
        <w:tc>
          <w:tcPr>
            <w:tcW w:w="8647" w:type="dxa"/>
          </w:tcPr>
          <w:p w14:paraId="0E067712"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Constitución Política. Artículo 127, 209, 230, 267.</w:t>
            </w:r>
          </w:p>
          <w:p w14:paraId="291298A0"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Ley 153 de 1887. Artículo 5.  </w:t>
            </w:r>
          </w:p>
          <w:p w14:paraId="4975F69C"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Código Civil. Artículos 27, 28, 64. </w:t>
            </w:r>
          </w:p>
          <w:p w14:paraId="4D829942"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Ley 100 de 1993. Artículos 95, 100, 197. </w:t>
            </w:r>
          </w:p>
          <w:p w14:paraId="263E69F8"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80 de 1993. Artículos 11, 12, 24, 41 y 42.</w:t>
            </w:r>
          </w:p>
          <w:p w14:paraId="437425A3"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1437 de 2011. Artículo 28.</w:t>
            </w:r>
          </w:p>
          <w:p w14:paraId="59D4B02F"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1755 de 2015. Artículo 1.</w:t>
            </w:r>
          </w:p>
          <w:p w14:paraId="4F77F056"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Ley 1150 de 2007. Artículos 2 numeral 4 literal c, 5. </w:t>
            </w:r>
          </w:p>
          <w:p w14:paraId="474BF759"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996 de 2005. Artículos 33 y parágrafo del artículo 38.</w:t>
            </w:r>
          </w:p>
          <w:p w14:paraId="485CDE95"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100 de 1993. Artículos 94, 194, 197.</w:t>
            </w:r>
          </w:p>
          <w:p w14:paraId="2DD3DE62"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1523 de 2012. Artículos 4, 56, 57, 59.</w:t>
            </w:r>
          </w:p>
          <w:p w14:paraId="340730CA"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FF007A">
              <w:rPr>
                <w:rFonts w:ascii="Verdana" w:eastAsia="Arial" w:hAnsi="Verdana" w:cs="Arial"/>
                <w:bCs/>
                <w:color w:val="000000" w:themeColor="text1"/>
              </w:rPr>
              <w:t>Decreto 780 de 2016</w:t>
            </w:r>
            <w:r>
              <w:rPr>
                <w:rFonts w:ascii="Verdana" w:eastAsia="Arial" w:hAnsi="Verdana" w:cs="Arial"/>
                <w:bCs/>
                <w:color w:val="000000" w:themeColor="text1"/>
              </w:rPr>
              <w:t>. Artículo 2.8.8.1.1.3.</w:t>
            </w:r>
            <w:r>
              <w:rPr>
                <w:rFonts w:ascii="Verdana" w:hAnsi="Verdana" w:cs="Arial"/>
                <w:lang w:eastAsia="es-ES"/>
              </w:rPr>
              <w:t xml:space="preserve"> </w:t>
            </w:r>
          </w:p>
          <w:p w14:paraId="12E79166"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Decreto 4170 de 2011. Artículo 3.</w:t>
            </w:r>
          </w:p>
          <w:p w14:paraId="58C1ABA1"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Decreto 1082 de 2015. Artículo </w:t>
            </w:r>
            <w:r w:rsidRPr="00C16D58">
              <w:rPr>
                <w:rFonts w:ascii="Verdana" w:eastAsia="Calibri" w:hAnsi="Verdana" w:cs="Arial"/>
                <w:lang w:val="es-ES_tradnl"/>
              </w:rPr>
              <w:t>2.2.1.2.1.4.2</w:t>
            </w:r>
            <w:r>
              <w:rPr>
                <w:rFonts w:ascii="Verdana" w:eastAsia="Calibri" w:hAnsi="Verdana" w:cs="Arial"/>
                <w:lang w:val="es-ES_tradnl"/>
              </w:rPr>
              <w:t>.</w:t>
            </w:r>
            <w:r w:rsidRPr="00C16D58">
              <w:rPr>
                <w:rFonts w:ascii="Verdana" w:eastAsia="Calibri" w:hAnsi="Verdana" w:cs="Arial"/>
                <w:lang w:val="es-ES_tradnl"/>
              </w:rPr>
              <w:t xml:space="preserve"> </w:t>
            </w:r>
            <w:r>
              <w:rPr>
                <w:rFonts w:ascii="Verdana" w:hAnsi="Verdana" w:cs="Arial"/>
                <w:lang w:eastAsia="es-ES"/>
              </w:rPr>
              <w:t xml:space="preserve">  </w:t>
            </w:r>
          </w:p>
          <w:p w14:paraId="18E21476"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3437A598"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 xml:space="preserve">Sección Tercera. Sentencia de 22 de enero de 2002, expediente número 2001-0148-01 </w:t>
            </w:r>
          </w:p>
          <w:p w14:paraId="55D890EF"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Sección Tercera. Sentencia de 20 de noviembre de 2001, expediente número 2001-0130-01(PI).</w:t>
            </w:r>
          </w:p>
          <w:p w14:paraId="703CFD0F"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lastRenderedPageBreak/>
              <w:t xml:space="preserve">Consejo de Estado, Sala de Consulta y Servicio Civil. 24 de julio de 2013. Radicado: 11001-03-06-000-2013-00407-00 (2166). C.P. Álvaro Namén Vargas.  </w:t>
            </w:r>
          </w:p>
          <w:p w14:paraId="6EC5194A"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17 de febrero de 2015. Radicado: 11001-03-06-000-2015-00164-00 (2269). C.P. William Zambrano Cetina.</w:t>
            </w:r>
          </w:p>
          <w:p w14:paraId="1A681B01" w14:textId="77777777" w:rsidR="005374E9" w:rsidRPr="00C076BE" w:rsidRDefault="005374E9" w:rsidP="002E317E">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2 de septiembre de 2013. Radicación número: 11001-03-06-000-2013-00412-00 (2168). C.P: Álvaro Namén Vargas.</w:t>
            </w:r>
          </w:p>
          <w:p w14:paraId="26E0B73A"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 8 de mayo de 2018. Radicación Número: 11001-03-06-000-2018-00095-00 (2382). C.P: Álvaro Namén Vargas.</w:t>
            </w:r>
          </w:p>
          <w:p w14:paraId="15E1F8F3"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 20 de febrero de 2006. Radicación Número: 11001-03-06-000-2006-00026-00 (1727). C.P: Enrique José Arboleda Perdomo.</w:t>
            </w:r>
          </w:p>
          <w:p w14:paraId="191843B1"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 6 de abril de 2006. Radicación Número: 11001-03-06-000-2006-00038-00 (1738). C.P: Enrique José Arboleda Perdomo</w:t>
            </w:r>
            <w:r>
              <w:rPr>
                <w:rFonts w:ascii="Verdana" w:hAnsi="Verdana" w:cs="Arial"/>
                <w:lang w:eastAsia="es-ES"/>
              </w:rPr>
              <w:t>.</w:t>
            </w:r>
          </w:p>
          <w:p w14:paraId="52E9A6BB"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del 18 de febrero 2010. Rad. 11001-03-06-000-2010-00006-00 (1985). C.P. Enrique José Arboleda Perdomo.</w:t>
            </w:r>
          </w:p>
          <w:p w14:paraId="68AE2E12"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FB5770">
              <w:rPr>
                <w:rFonts w:ascii="Verdana" w:hAnsi="Verdana" w:cs="Arial"/>
                <w:lang w:eastAsia="es-ES"/>
              </w:rPr>
              <w:t>Consejo de Estado. Sala de lo Contencioso Administrativo. Sección Tercera. Sentencia del 21 de febrero de 2025. Exp. 68.280. CP: José Roberto Sáchica Méndez.</w:t>
            </w:r>
          </w:p>
          <w:p w14:paraId="7D2A5615" w14:textId="77777777" w:rsidR="005374E9" w:rsidRPr="00FB5770" w:rsidRDefault="005374E9" w:rsidP="002E317E">
            <w:pPr>
              <w:pStyle w:val="Prrafodelista"/>
              <w:numPr>
                <w:ilvl w:val="0"/>
                <w:numId w:val="17"/>
              </w:numPr>
              <w:spacing w:after="120" w:line="276" w:lineRule="auto"/>
              <w:jc w:val="both"/>
              <w:rPr>
                <w:rFonts w:ascii="Verdana" w:hAnsi="Verdana" w:cs="Arial"/>
                <w:lang w:eastAsia="es-ES"/>
              </w:rPr>
            </w:pPr>
            <w:r w:rsidRPr="00FB5770">
              <w:rPr>
                <w:rFonts w:ascii="Verdana" w:hAnsi="Verdana"/>
                <w:lang w:val="es-CO"/>
              </w:rPr>
              <w:t>Consejo de Estado</w:t>
            </w:r>
            <w:r>
              <w:rPr>
                <w:rFonts w:ascii="Verdana" w:hAnsi="Verdana"/>
                <w:lang w:val="es-CO"/>
              </w:rPr>
              <w:t xml:space="preserve">. Sala de lo Contencioso Administrativo. </w:t>
            </w:r>
            <w:r w:rsidRPr="00FB5770">
              <w:rPr>
                <w:rFonts w:ascii="Verdana" w:hAnsi="Verdana"/>
                <w:lang w:val="es-CO"/>
              </w:rPr>
              <w:t>Sección Tercera</w:t>
            </w:r>
            <w:r>
              <w:rPr>
                <w:rFonts w:ascii="Verdana" w:hAnsi="Verdana"/>
                <w:lang w:val="es-CO"/>
              </w:rPr>
              <w:t>.</w:t>
            </w:r>
            <w:r w:rsidRPr="00FB5770">
              <w:rPr>
                <w:rFonts w:ascii="Verdana" w:hAnsi="Verdana"/>
                <w:lang w:val="es-CO"/>
              </w:rPr>
              <w:t xml:space="preserve"> Subsección B. Auto del 4 de octubre de 2024. Exp. 70.313.</w:t>
            </w:r>
            <w:r>
              <w:rPr>
                <w:rFonts w:ascii="Verdana" w:hAnsi="Verdana"/>
                <w:lang w:val="es-CO"/>
              </w:rPr>
              <w:t xml:space="preserve"> </w:t>
            </w:r>
            <w:r w:rsidRPr="00FB5770">
              <w:rPr>
                <w:rFonts w:ascii="Verdana" w:hAnsi="Verdana"/>
                <w:lang w:val="es-CO"/>
              </w:rPr>
              <w:t>C.P: Fredy Ibarra Martínez</w:t>
            </w:r>
            <w:r>
              <w:rPr>
                <w:rFonts w:ascii="Verdana" w:hAnsi="Verdana"/>
                <w:lang w:val="es-CO"/>
              </w:rPr>
              <w:t>.</w:t>
            </w:r>
          </w:p>
          <w:p w14:paraId="5C3552E5"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FB5770">
              <w:rPr>
                <w:rFonts w:ascii="Verdana" w:hAnsi="Verdana" w:cs="Arial"/>
                <w:lang w:eastAsia="es-ES"/>
              </w:rPr>
              <w:t>Consejo de Estado. Sala de lo Contencioso Administrativo. Sección Tercera. Subsección B. 17 de octubre de 2025. C.P. Fredy Ibarra Martínez</w:t>
            </w:r>
            <w:r>
              <w:rPr>
                <w:rFonts w:ascii="Verdana" w:hAnsi="Verdana" w:cs="Arial"/>
                <w:lang w:eastAsia="es-ES"/>
              </w:rPr>
              <w:t>.</w:t>
            </w:r>
          </w:p>
          <w:p w14:paraId="04BA115B"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6A09E3">
              <w:rPr>
                <w:rFonts w:ascii="Verdana" w:hAnsi="Verdana" w:cs="Arial"/>
                <w:lang w:eastAsia="es-ES"/>
              </w:rPr>
              <w:t xml:space="preserve">Consejo de Estado. Sala de Consulta y Servicio Civil. Concepto del 12 de junio de 2018. Radicación: 11001-03-06-000-2018-0043-00. (2371). C.P: Oscar Darío Amaya Navas. </w:t>
            </w:r>
          </w:p>
          <w:p w14:paraId="713894B1"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225993">
              <w:rPr>
                <w:rFonts w:ascii="Verdana" w:hAnsi="Verdana" w:cs="Arial"/>
                <w:lang w:eastAsia="es-ES"/>
              </w:rPr>
              <w:t xml:space="preserve">Consejo de Estado. </w:t>
            </w:r>
            <w:r>
              <w:rPr>
                <w:rFonts w:ascii="Verdana" w:hAnsi="Verdana" w:cs="Arial"/>
                <w:lang w:eastAsia="es-ES"/>
              </w:rPr>
              <w:t xml:space="preserve">Sala de lo Contencioso Administrativo. </w:t>
            </w:r>
            <w:r w:rsidRPr="00225993">
              <w:rPr>
                <w:rFonts w:ascii="Verdana" w:hAnsi="Verdana" w:cs="Arial"/>
                <w:lang w:eastAsia="es-ES"/>
              </w:rPr>
              <w:t>Sección Tercera. Subsección A. Sentencia del 24 de mayo de 2018. Exp. 50.222. C.P</w:t>
            </w:r>
            <w:r>
              <w:rPr>
                <w:rFonts w:ascii="Verdana" w:hAnsi="Verdana" w:cs="Arial"/>
                <w:lang w:eastAsia="es-ES"/>
              </w:rPr>
              <w:t>:</w:t>
            </w:r>
            <w:r w:rsidRPr="00225993">
              <w:rPr>
                <w:rFonts w:ascii="Verdana" w:hAnsi="Verdana" w:cs="Arial"/>
                <w:lang w:eastAsia="es-ES"/>
              </w:rPr>
              <w:t xml:space="preserve"> Marta Nubia Velásquez Rico.</w:t>
            </w:r>
          </w:p>
          <w:p w14:paraId="22AD32D4"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225993">
              <w:rPr>
                <w:rFonts w:ascii="Verdana" w:hAnsi="Verdana" w:cs="Arial"/>
                <w:lang w:eastAsia="es-ES"/>
              </w:rPr>
              <w:lastRenderedPageBreak/>
              <w:t>Consejo de Estado. Sala de Consulta y de Servicio Civil. Concepto del 28 de enero de 1998. Rad. 1.073. C.P</w:t>
            </w:r>
            <w:r>
              <w:rPr>
                <w:rFonts w:ascii="Verdana" w:hAnsi="Verdana" w:cs="Arial"/>
                <w:lang w:eastAsia="es-ES"/>
              </w:rPr>
              <w:t>:</w:t>
            </w:r>
            <w:r w:rsidRPr="00225993">
              <w:rPr>
                <w:rFonts w:ascii="Verdana" w:hAnsi="Verdana" w:cs="Arial"/>
                <w:lang w:eastAsia="es-ES"/>
              </w:rPr>
              <w:t xml:space="preserve"> Javier Henao Hidrón.</w:t>
            </w:r>
          </w:p>
          <w:p w14:paraId="6983B17A" w14:textId="77777777" w:rsidR="005374E9" w:rsidRPr="006A09E3" w:rsidRDefault="005374E9" w:rsidP="002E317E">
            <w:pPr>
              <w:pStyle w:val="Prrafodelista"/>
              <w:numPr>
                <w:ilvl w:val="0"/>
                <w:numId w:val="17"/>
              </w:numPr>
              <w:spacing w:after="120" w:line="276" w:lineRule="auto"/>
              <w:jc w:val="both"/>
              <w:rPr>
                <w:rFonts w:ascii="Verdana" w:hAnsi="Verdana" w:cs="Arial"/>
                <w:lang w:eastAsia="es-ES"/>
              </w:rPr>
            </w:pPr>
            <w:r w:rsidRPr="00225993">
              <w:rPr>
                <w:rFonts w:ascii="Verdana" w:hAnsi="Verdana" w:cs="Arial"/>
                <w:lang w:eastAsia="es-ES"/>
              </w:rPr>
              <w:t>Consejo de Estado. Sala de lo Contencioso Administrativo. Sección Tercera. Sentencia del 27 de abril de 2006. Rad. 5.229. C.P</w:t>
            </w:r>
            <w:r>
              <w:rPr>
                <w:rFonts w:ascii="Verdana" w:hAnsi="Verdana" w:cs="Arial"/>
                <w:lang w:eastAsia="es-ES"/>
              </w:rPr>
              <w:t>:</w:t>
            </w:r>
            <w:r w:rsidRPr="00225993">
              <w:rPr>
                <w:rFonts w:ascii="Verdana" w:hAnsi="Verdana" w:cs="Arial"/>
                <w:lang w:eastAsia="es-ES"/>
              </w:rPr>
              <w:t xml:space="preserve"> Ramiro Saavedra Becerra</w:t>
            </w:r>
            <w:r>
              <w:rPr>
                <w:rFonts w:ascii="Verdana" w:hAnsi="Verdana" w:cs="Arial"/>
                <w:lang w:eastAsia="es-ES"/>
              </w:rPr>
              <w:t>.</w:t>
            </w:r>
          </w:p>
          <w:p w14:paraId="7C3C7394"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C- 1153 de 2005, M.P: Marco Gerardo Monroy Cabra.</w:t>
            </w:r>
            <w:r w:rsidRPr="00C076BE">
              <w:rPr>
                <w:rFonts w:ascii="Verdana" w:hAnsi="Verdana" w:cs="Arial"/>
                <w:lang w:eastAsia="es-ES"/>
              </w:rPr>
              <w:tab/>
            </w:r>
          </w:p>
          <w:p w14:paraId="362AE1F0"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C-233 de 4 de abril de 2002. M.P: Álvaro Tafur Galvis</w:t>
            </w:r>
            <w:r>
              <w:rPr>
                <w:rFonts w:ascii="Verdana" w:hAnsi="Verdana" w:cs="Arial"/>
                <w:lang w:eastAsia="es-ES"/>
              </w:rPr>
              <w:t>.</w:t>
            </w:r>
          </w:p>
          <w:p w14:paraId="262A80B1"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C-551 de 9 de julio de 2003. M.P: Eduardo Montealegre Lynnet</w:t>
            </w:r>
            <w:r>
              <w:rPr>
                <w:rFonts w:ascii="Verdana" w:hAnsi="Verdana" w:cs="Arial"/>
                <w:lang w:eastAsia="es-ES"/>
              </w:rPr>
              <w:t>.</w:t>
            </w:r>
          </w:p>
          <w:p w14:paraId="4797CB3C"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C-353 de 20 de mayo de 2009. M.P: Jorge Iván Palacio Palacio</w:t>
            </w:r>
            <w:r>
              <w:rPr>
                <w:rFonts w:ascii="Verdana" w:hAnsi="Verdana" w:cs="Arial"/>
                <w:lang w:eastAsia="es-ES"/>
              </w:rPr>
              <w:t>.</w:t>
            </w:r>
          </w:p>
          <w:p w14:paraId="255C9AD5"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Corte Constitucional. Sentencia C-541 de 30 de junio de 2010. M.P: Gabriel Eduardo Mendoza Martel</w:t>
            </w:r>
            <w:r>
              <w:rPr>
                <w:rFonts w:ascii="Verdana" w:hAnsi="Verdana" w:cs="Arial"/>
                <w:lang w:eastAsia="es-ES"/>
              </w:rPr>
              <w:t>o</w:t>
            </w:r>
            <w:r w:rsidRPr="00F2446F">
              <w:rPr>
                <w:rFonts w:ascii="Verdana" w:hAnsi="Verdana" w:cs="Arial"/>
                <w:lang w:eastAsia="es-ES"/>
              </w:rPr>
              <w:t>.</w:t>
            </w:r>
          </w:p>
          <w:p w14:paraId="6CACB5A4"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A328CD">
              <w:rPr>
                <w:rFonts w:ascii="Verdana" w:hAnsi="Verdana" w:cs="Arial"/>
                <w:lang w:eastAsia="es-ES"/>
              </w:rPr>
              <w:t>Corte Constitucional. Sentencia C-713 del 7 de octubre de 2009. M.P. María Victoria Calle Correa.</w:t>
            </w:r>
          </w:p>
          <w:p w14:paraId="38C153BB" w14:textId="77777777" w:rsidR="005374E9" w:rsidRDefault="005374E9" w:rsidP="002E317E">
            <w:pPr>
              <w:pStyle w:val="Prrafodelista"/>
              <w:numPr>
                <w:ilvl w:val="0"/>
                <w:numId w:val="17"/>
              </w:numPr>
              <w:spacing w:after="120" w:line="276" w:lineRule="auto"/>
              <w:jc w:val="both"/>
              <w:rPr>
                <w:rFonts w:ascii="Verdana" w:hAnsi="Verdana" w:cs="Arial"/>
                <w:lang w:eastAsia="es-ES"/>
              </w:rPr>
            </w:pPr>
            <w:r w:rsidRPr="00225993">
              <w:rPr>
                <w:rFonts w:ascii="Verdana" w:hAnsi="Verdana" w:cs="Arial"/>
                <w:lang w:eastAsia="es-ES"/>
              </w:rPr>
              <w:t>Corte Constitucional. Sentencia C-772 de 1998. M.P. Fabio Morón Díaz</w:t>
            </w:r>
            <w:r>
              <w:rPr>
                <w:rFonts w:ascii="Verdana" w:hAnsi="Verdana" w:cs="Arial"/>
                <w:lang w:eastAsia="es-ES"/>
              </w:rPr>
              <w:t>.</w:t>
            </w:r>
          </w:p>
          <w:p w14:paraId="6BB61036" w14:textId="77777777" w:rsidR="005374E9" w:rsidRPr="00F2446F" w:rsidRDefault="005374E9" w:rsidP="002E317E">
            <w:pPr>
              <w:pStyle w:val="Prrafodelista"/>
              <w:numPr>
                <w:ilvl w:val="0"/>
                <w:numId w:val="17"/>
              </w:numPr>
              <w:spacing w:after="120" w:line="276" w:lineRule="auto"/>
              <w:jc w:val="both"/>
              <w:rPr>
                <w:rFonts w:ascii="Verdana" w:hAnsi="Verdana" w:cs="Arial"/>
                <w:lang w:eastAsia="es-ES"/>
              </w:rPr>
            </w:pPr>
            <w:r w:rsidRPr="00F2446F">
              <w:rPr>
                <w:rFonts w:ascii="Verdana" w:hAnsi="Verdana" w:cs="Arial"/>
              </w:rPr>
              <w:t xml:space="preserve">Corte Suprema </w:t>
            </w:r>
            <w:r>
              <w:rPr>
                <w:rFonts w:ascii="Verdana" w:hAnsi="Verdana" w:cs="Arial"/>
              </w:rPr>
              <w:t>d</w:t>
            </w:r>
            <w:r w:rsidRPr="00F2446F">
              <w:rPr>
                <w:rFonts w:ascii="Verdana" w:hAnsi="Verdana" w:cs="Arial"/>
              </w:rPr>
              <w:t>e Justicia. Sala de Casación Civil. Sentencia 20 de noviembre de 1989. MP. Alberto Ospina Botero</w:t>
            </w:r>
            <w:r>
              <w:rPr>
                <w:rFonts w:ascii="Verdana" w:hAnsi="Verdana" w:cs="Arial"/>
              </w:rPr>
              <w:t>.</w:t>
            </w:r>
            <w:r w:rsidRPr="00F2446F">
              <w:rPr>
                <w:rFonts w:ascii="Verdana" w:hAnsi="Verdana"/>
              </w:rPr>
              <w:t xml:space="preserve"> </w:t>
            </w:r>
          </w:p>
          <w:p w14:paraId="4298DB4E" w14:textId="77777777" w:rsidR="005374E9" w:rsidRPr="00DD41E3" w:rsidRDefault="005374E9" w:rsidP="002E317E">
            <w:pPr>
              <w:pStyle w:val="Prrafodelista"/>
              <w:numPr>
                <w:ilvl w:val="0"/>
                <w:numId w:val="17"/>
              </w:numPr>
              <w:spacing w:after="120" w:line="276" w:lineRule="auto"/>
              <w:jc w:val="both"/>
              <w:rPr>
                <w:rFonts w:ascii="Verdana" w:hAnsi="Verdana" w:cs="Arial"/>
                <w:lang w:eastAsia="es-ES"/>
              </w:rPr>
            </w:pPr>
            <w:r w:rsidRPr="00DD41E3">
              <w:rPr>
                <w:rFonts w:ascii="Verdana" w:hAnsi="Verdana" w:cs="Arial"/>
                <w:lang w:eastAsia="es-ES"/>
              </w:rPr>
              <w:t>ARBOLEDA PERDOMO, Enrique José. Comentarios al Nuevo Código de Procedimiento Administrativo y de lo Contencioso Administrativo (2ª ed.). Editorial Legis. Bogotá. 2012.</w:t>
            </w:r>
          </w:p>
          <w:p w14:paraId="7D222A8E" w14:textId="77777777" w:rsidR="005374E9" w:rsidRPr="00A328CD" w:rsidRDefault="005374E9" w:rsidP="002E317E">
            <w:pPr>
              <w:pStyle w:val="Prrafodelista"/>
              <w:numPr>
                <w:ilvl w:val="0"/>
                <w:numId w:val="17"/>
              </w:numPr>
              <w:spacing w:after="120" w:line="276" w:lineRule="auto"/>
              <w:jc w:val="both"/>
              <w:rPr>
                <w:rFonts w:ascii="Verdana" w:hAnsi="Verdana" w:cs="Arial"/>
                <w:lang w:val="es-CO" w:eastAsia="es-ES"/>
              </w:rPr>
            </w:pPr>
            <w:r w:rsidRPr="00F2446F">
              <w:rPr>
                <w:rFonts w:ascii="Verdana" w:hAnsi="Verdana"/>
              </w:rPr>
              <w:t xml:space="preserve">Agencia Nacional de Contratación Pública. Circular Externa 006 del 25 de septiembre de 2025. Disponible en </w:t>
            </w:r>
            <w:hyperlink r:id="rId12" w:history="1">
              <w:r w:rsidRPr="00F2446F">
                <w:rPr>
                  <w:rStyle w:val="Hipervnculo"/>
                  <w:rFonts w:ascii="Verdana" w:hAnsi="Verdana"/>
                  <w:lang w:val="es-CO"/>
                </w:rPr>
                <w:t>006-de-2025-Circular-Externa-L996-ajustado-comentarios-BM-BID-Rev-ARSC-V3.d-1.pdf</w:t>
              </w:r>
            </w:hyperlink>
          </w:p>
          <w:p w14:paraId="22C78705" w14:textId="77777777" w:rsidR="005374E9" w:rsidRPr="00114236" w:rsidRDefault="005374E9" w:rsidP="002E317E">
            <w:pPr>
              <w:pStyle w:val="Prrafodelista"/>
              <w:numPr>
                <w:ilvl w:val="0"/>
                <w:numId w:val="17"/>
              </w:numPr>
              <w:spacing w:after="120" w:line="276" w:lineRule="auto"/>
              <w:jc w:val="both"/>
              <w:rPr>
                <w:rFonts w:ascii="Verdana" w:hAnsi="Verdana" w:cs="Arial"/>
                <w:lang w:val="es-CO" w:eastAsia="es-ES"/>
              </w:rPr>
            </w:pPr>
            <w:r w:rsidRPr="00A328CD">
              <w:rPr>
                <w:rFonts w:ascii="Verdana" w:hAnsi="Verdana" w:cs="Arial"/>
              </w:rPr>
              <w:t xml:space="preserve">Agencia Nacional de Contratación Pública – Colombia Compra Eficiente, Guía de Competencia en las Compras Públicas. </w:t>
            </w:r>
            <w:r>
              <w:rPr>
                <w:rFonts w:ascii="Verdana" w:hAnsi="Verdana" w:cs="Arial"/>
              </w:rPr>
              <w:t>Disponible</w:t>
            </w:r>
            <w:r w:rsidRPr="00A328CD">
              <w:rPr>
                <w:rFonts w:ascii="Verdana" w:hAnsi="Verdana" w:cs="Arial"/>
              </w:rPr>
              <w:t xml:space="preserve"> en el siguiente enlace: </w:t>
            </w:r>
            <w:hyperlink r:id="rId13" w:history="1">
              <w:r w:rsidRPr="00A328CD">
                <w:rPr>
                  <w:rStyle w:val="Hipervnculo"/>
                  <w:rFonts w:ascii="Verdana" w:hAnsi="Verdana" w:cs="Arial"/>
                </w:rPr>
                <w:t>https://colombiacompra.gov.co/sites/cce_public/files/cce_documents/cce_guia_competencia_0.pdf</w:t>
              </w:r>
            </w:hyperlink>
            <w:r w:rsidRPr="00A328CD">
              <w:rPr>
                <w:rFonts w:ascii="Verdana" w:hAnsi="Verdana" w:cs="Arial"/>
              </w:rPr>
              <w:t xml:space="preserve">. </w:t>
            </w:r>
          </w:p>
          <w:p w14:paraId="5B9380FD" w14:textId="77777777" w:rsidR="005374E9" w:rsidRPr="00A328CD" w:rsidRDefault="005374E9" w:rsidP="002E317E">
            <w:pPr>
              <w:pStyle w:val="Prrafodelista"/>
              <w:numPr>
                <w:ilvl w:val="0"/>
                <w:numId w:val="17"/>
              </w:numPr>
              <w:spacing w:after="120" w:line="276" w:lineRule="auto"/>
              <w:jc w:val="both"/>
              <w:rPr>
                <w:rFonts w:ascii="Verdana" w:hAnsi="Verdana" w:cs="Arial"/>
                <w:lang w:val="es-CO" w:eastAsia="es-ES"/>
              </w:rPr>
            </w:pPr>
            <w:r w:rsidRPr="00114236">
              <w:rPr>
                <w:rFonts w:ascii="Verdana" w:hAnsi="Verdana" w:cs="Arial"/>
                <w:lang w:val="es-CO" w:eastAsia="es-ES"/>
              </w:rPr>
              <w:t>ARBOLEDA PERDOMO, Enrique José. Comentarios al Nuevo Código de Procedimiento Administrativo y de lo Contencioso Administrativo (2ª ed.). Editorial Legis. Bogotá. 2012</w:t>
            </w:r>
            <w:r>
              <w:rPr>
                <w:rFonts w:ascii="Verdana" w:hAnsi="Verdana" w:cs="Arial"/>
                <w:lang w:val="es-CO" w:eastAsia="es-ES"/>
              </w:rPr>
              <w:t>.</w:t>
            </w:r>
          </w:p>
          <w:p w14:paraId="44C85043" w14:textId="77777777" w:rsidR="005374E9" w:rsidRPr="00225993" w:rsidRDefault="005374E9" w:rsidP="002E317E">
            <w:pPr>
              <w:pStyle w:val="Prrafodelista"/>
              <w:numPr>
                <w:ilvl w:val="0"/>
                <w:numId w:val="17"/>
              </w:numPr>
              <w:spacing w:after="120" w:line="276" w:lineRule="auto"/>
              <w:jc w:val="both"/>
              <w:rPr>
                <w:rFonts w:ascii="Verdana" w:hAnsi="Verdana" w:cs="Arial"/>
                <w:lang w:val="es-CO" w:eastAsia="es-ES"/>
              </w:rPr>
            </w:pPr>
            <w:r w:rsidRPr="00FB5770">
              <w:rPr>
                <w:rFonts w:ascii="Verdana" w:hAnsi="Verdana" w:cs="Arial"/>
                <w:lang w:eastAsia="es-ES"/>
              </w:rPr>
              <w:lastRenderedPageBreak/>
              <w:t>CLARO SOLAR, Luis. Explicaciones de derecho civil chileno y comparado. Volumen I. Tomo I. Santiago: Editorial Jurídica de Chile, 2013</w:t>
            </w:r>
            <w:r>
              <w:rPr>
                <w:rFonts w:ascii="Verdana" w:hAnsi="Verdana" w:cs="Arial"/>
                <w:lang w:eastAsia="es-ES"/>
              </w:rPr>
              <w:t>.</w:t>
            </w:r>
          </w:p>
          <w:p w14:paraId="53BBF8D3" w14:textId="77777777" w:rsidR="005374E9" w:rsidRPr="00F0622D" w:rsidRDefault="005374E9" w:rsidP="002E317E">
            <w:pPr>
              <w:pStyle w:val="Prrafodelista"/>
              <w:numPr>
                <w:ilvl w:val="0"/>
                <w:numId w:val="17"/>
              </w:numPr>
              <w:spacing w:after="120" w:line="276" w:lineRule="auto"/>
              <w:jc w:val="both"/>
              <w:rPr>
                <w:rFonts w:ascii="Verdana" w:hAnsi="Verdana" w:cs="Arial"/>
                <w:lang w:val="es-CO" w:eastAsia="es-ES"/>
              </w:rPr>
            </w:pPr>
            <w:r w:rsidRPr="00225993">
              <w:rPr>
                <w:rFonts w:ascii="Verdana" w:hAnsi="Verdana" w:cs="Arial"/>
                <w:lang w:val="es-CO" w:eastAsia="es-ES"/>
              </w:rPr>
              <w:t>DROMI, José Roberto. La licitación pública. Buenos Aires: Ciudad Argentina, 1980</w:t>
            </w:r>
            <w:r>
              <w:rPr>
                <w:rFonts w:ascii="Verdana" w:hAnsi="Verdana" w:cs="Arial"/>
                <w:lang w:val="es-CO" w:eastAsia="es-ES"/>
              </w:rPr>
              <w:t>.</w:t>
            </w:r>
          </w:p>
        </w:tc>
      </w:tr>
    </w:tbl>
    <w:p w14:paraId="210CE037" w14:textId="77777777" w:rsidR="005374E9" w:rsidRPr="00B64A74" w:rsidRDefault="005374E9" w:rsidP="005374E9">
      <w:pPr>
        <w:tabs>
          <w:tab w:val="left" w:pos="142"/>
          <w:tab w:val="left" w:pos="284"/>
          <w:tab w:val="left" w:pos="3828"/>
        </w:tabs>
        <w:spacing w:after="0" w:line="276" w:lineRule="auto"/>
        <w:jc w:val="both"/>
        <w:rPr>
          <w:rFonts w:ascii="Verdana" w:eastAsia="Century Gothic" w:hAnsi="Verdana" w:cs="Century Gothic"/>
          <w:b/>
          <w:bCs/>
        </w:rPr>
      </w:pPr>
    </w:p>
    <w:p w14:paraId="06025D26" w14:textId="77777777" w:rsidR="005374E9" w:rsidRPr="00B64A74" w:rsidRDefault="005374E9" w:rsidP="005374E9">
      <w:pPr>
        <w:tabs>
          <w:tab w:val="left" w:pos="142"/>
          <w:tab w:val="left" w:pos="284"/>
          <w:tab w:val="left" w:pos="3828"/>
        </w:tabs>
        <w:spacing w:after="0" w:line="276" w:lineRule="auto"/>
        <w:jc w:val="both"/>
        <w:rPr>
          <w:rFonts w:ascii="Verdana" w:eastAsia="Century Gothic" w:hAnsi="Verdana" w:cs="Century Gothic"/>
          <w:b/>
          <w:bCs/>
        </w:rPr>
      </w:pPr>
      <w:r w:rsidRPr="00B64A74">
        <w:rPr>
          <w:rFonts w:ascii="Verdana" w:eastAsia="Century Gothic" w:hAnsi="Verdana" w:cs="Century Gothic"/>
          <w:b/>
          <w:bCs/>
        </w:rPr>
        <w:t>5. Doctrina de la Agencia Nacional de Contratación Pública:</w:t>
      </w:r>
    </w:p>
    <w:p w14:paraId="23BC3301" w14:textId="77777777" w:rsidR="005374E9" w:rsidRPr="00B64A74" w:rsidRDefault="005374E9" w:rsidP="005374E9">
      <w:pPr>
        <w:widowControl w:val="0"/>
        <w:autoSpaceDE w:val="0"/>
        <w:autoSpaceDN w:val="0"/>
        <w:spacing w:after="0" w:line="240" w:lineRule="auto"/>
        <w:jc w:val="both"/>
        <w:rPr>
          <w:rStyle w:val="normaltextrun"/>
          <w:rFonts w:ascii="Verdana" w:hAnsi="Verdana" w:cs="Arial"/>
          <w:shd w:val="clear" w:color="auto" w:fill="FFFFFF"/>
        </w:rPr>
      </w:pPr>
    </w:p>
    <w:p w14:paraId="05FD69AF" w14:textId="77777777" w:rsidR="005374E9" w:rsidRDefault="005374E9" w:rsidP="005374E9">
      <w:pPr>
        <w:widowControl w:val="0"/>
        <w:autoSpaceDE w:val="0"/>
        <w:autoSpaceDN w:val="0"/>
        <w:spacing w:after="0" w:line="276" w:lineRule="auto"/>
        <w:jc w:val="both"/>
        <w:rPr>
          <w:rStyle w:val="normaltextrun"/>
          <w:rFonts w:ascii="Verdana" w:hAnsi="Verdana" w:cs="Arial"/>
          <w:shd w:val="clear" w:color="auto" w:fill="FFFFFF"/>
        </w:rPr>
      </w:pPr>
      <w:r w:rsidRPr="00B64A74">
        <w:rPr>
          <w:rFonts w:ascii="Verdana" w:eastAsia="Calibri" w:hAnsi="Verdana" w:cs="Arial"/>
        </w:rPr>
        <w:t xml:space="preserve">La Agencia Nacional de Contratación Pública – Colombia Compra Eficiente se ha referido </w:t>
      </w:r>
      <w:r w:rsidRPr="00B64A74">
        <w:rPr>
          <w:rFonts w:ascii="Verdana" w:hAnsi="Verdana" w:cs="Arial"/>
          <w:shd w:val="clear" w:color="auto" w:fill="FFFFFF"/>
        </w:rPr>
        <w:t>sobre</w:t>
      </w:r>
      <w:r w:rsidRPr="00F03292">
        <w:rPr>
          <w:rFonts w:ascii="Verdana" w:eastAsia="Times New Roman" w:hAnsi="Verdana" w:cs="Arial"/>
        </w:rPr>
        <w:t xml:space="preserve"> </w:t>
      </w:r>
      <w:r w:rsidRPr="0023577C">
        <w:rPr>
          <w:rFonts w:ascii="Verdana" w:eastAsia="Times New Roman" w:hAnsi="Verdana" w:cs="Arial"/>
        </w:rPr>
        <w:t>la competencia consultiva de la Agencia en el concepto C-863 del 15 de noviembre de 202</w:t>
      </w:r>
      <w:r>
        <w:rPr>
          <w:rFonts w:ascii="Verdana" w:eastAsia="Times New Roman" w:hAnsi="Verdana" w:cs="Arial"/>
        </w:rPr>
        <w:t>2, C-152 del 17 de marzo de 2025</w:t>
      </w:r>
      <w:r w:rsidRPr="00B64A74">
        <w:rPr>
          <w:rFonts w:ascii="Verdana" w:eastAsia="Calibri" w:hAnsi="Verdana" w:cs="Arial"/>
          <w:lang w:eastAsia="es-ES"/>
        </w:rPr>
        <w:t xml:space="preserve">, </w:t>
      </w:r>
      <w:r w:rsidRPr="00B64A74">
        <w:rPr>
          <w:rStyle w:val="normaltextrun"/>
          <w:rFonts w:ascii="Verdana" w:hAnsi="Verdana" w:cs="Arial"/>
          <w:shd w:val="clear" w:color="auto" w:fill="FFFFFF"/>
        </w:rPr>
        <w:t>entre otros.</w:t>
      </w:r>
    </w:p>
    <w:p w14:paraId="65CC1A84" w14:textId="77777777" w:rsidR="005374E9" w:rsidRDefault="005374E9" w:rsidP="005374E9">
      <w:pPr>
        <w:widowControl w:val="0"/>
        <w:autoSpaceDE w:val="0"/>
        <w:autoSpaceDN w:val="0"/>
        <w:spacing w:after="0" w:line="276" w:lineRule="auto"/>
        <w:jc w:val="both"/>
        <w:rPr>
          <w:rStyle w:val="normaltextrun"/>
          <w:rFonts w:ascii="Verdana" w:hAnsi="Verdana" w:cs="Arial"/>
          <w:shd w:val="clear" w:color="auto" w:fill="FFFFFF"/>
        </w:rPr>
      </w:pPr>
    </w:p>
    <w:p w14:paraId="62221FC7" w14:textId="77777777" w:rsidR="005374E9" w:rsidRDefault="005374E9" w:rsidP="005374E9">
      <w:pPr>
        <w:widowControl w:val="0"/>
        <w:autoSpaceDE w:val="0"/>
        <w:autoSpaceDN w:val="0"/>
        <w:spacing w:after="0" w:line="276" w:lineRule="auto"/>
        <w:jc w:val="both"/>
        <w:rPr>
          <w:rFonts w:ascii="Verdana" w:eastAsia="Aptos" w:hAnsi="Verdana" w:cs="Arial"/>
          <w:shd w:val="clear" w:color="auto" w:fill="FFFFFF"/>
        </w:rPr>
      </w:pPr>
      <w:r>
        <w:rPr>
          <w:rStyle w:val="normaltextrun"/>
          <w:rFonts w:ascii="Verdana" w:hAnsi="Verdana" w:cs="Arial"/>
          <w:shd w:val="clear" w:color="auto" w:fill="FFFFFF"/>
        </w:rPr>
        <w:t xml:space="preserve">Sobre el alcance de la ley de garantías </w:t>
      </w:r>
      <w:r w:rsidRPr="00282DE1">
        <w:rPr>
          <w:rStyle w:val="normaltextrun"/>
          <w:rFonts w:ascii="Verdana" w:hAnsi="Verdana" w:cs="Arial"/>
          <w:shd w:val="clear" w:color="auto" w:fill="FFFFFF"/>
        </w:rPr>
        <w:t xml:space="preserve">electorales, esta Subdirección se ha pronunciado </w:t>
      </w:r>
      <w:r w:rsidRPr="00282DE1">
        <w:rPr>
          <w:rFonts w:ascii="Verdana" w:eastAsia="Times New Roman" w:hAnsi="Verdana" w:cs="Arial"/>
        </w:rPr>
        <w:t xml:space="preserve">en los conceptos </w:t>
      </w:r>
      <w:r w:rsidRPr="00282DE1">
        <w:rPr>
          <w:rFonts w:ascii="Verdana" w:hAnsi="Verdana" w:cs="Arial"/>
          <w:shd w:val="clear" w:color="auto" w:fill="FFFFFF"/>
        </w:rPr>
        <w:t xml:space="preserve">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C-1124 del 18 de septiembre de 2025, C-1491 del 20 de noviembre de 2025, C- 1492 del </w:t>
      </w:r>
      <w:r w:rsidRPr="00282DE1">
        <w:rPr>
          <w:rFonts w:ascii="Verdana" w:hAnsi="Verdana"/>
        </w:rPr>
        <w:t>21 de noviembre del 2025, C-1629, C-1646 del 17 de diciembre de 2025, C-1662 del 22 de diciembre de 2025</w:t>
      </w:r>
      <w:r w:rsidRPr="00282DE1">
        <w:rPr>
          <w:rStyle w:val="normaltextrun"/>
          <w:rFonts w:ascii="Verdana" w:hAnsi="Verdana" w:cs="Arial"/>
          <w:shd w:val="clear" w:color="auto" w:fill="FFFFFF"/>
          <w:lang w:val="es-ES"/>
        </w:rPr>
        <w:t>, C-160 del 24 de febrero de 2026, C-108 del 4 de marzo de 2026,</w:t>
      </w:r>
      <w:r w:rsidRPr="00282DE1">
        <w:rPr>
          <w:rFonts w:ascii="Verdana" w:eastAsia="Aptos" w:hAnsi="Verdana" w:cs="Arial"/>
          <w:shd w:val="clear" w:color="auto" w:fill="FFFFFF"/>
        </w:rPr>
        <w:t xml:space="preserve"> entre otros. </w:t>
      </w:r>
    </w:p>
    <w:p w14:paraId="522A0FBA" w14:textId="77777777" w:rsidR="005374E9" w:rsidRDefault="005374E9" w:rsidP="005374E9">
      <w:pPr>
        <w:widowControl w:val="0"/>
        <w:autoSpaceDE w:val="0"/>
        <w:autoSpaceDN w:val="0"/>
        <w:spacing w:after="0" w:line="240" w:lineRule="auto"/>
        <w:jc w:val="both"/>
        <w:rPr>
          <w:rFonts w:ascii="Verdana" w:eastAsia="Aptos" w:hAnsi="Verdana" w:cs="Arial"/>
          <w:shd w:val="clear" w:color="auto" w:fill="FFFFFF"/>
        </w:rPr>
      </w:pPr>
    </w:p>
    <w:p w14:paraId="32AA24C5" w14:textId="77777777" w:rsidR="005374E9" w:rsidRPr="00282DE1" w:rsidRDefault="005374E9" w:rsidP="005374E9">
      <w:pPr>
        <w:spacing w:after="0" w:line="276" w:lineRule="auto"/>
        <w:jc w:val="both"/>
        <w:rPr>
          <w:rFonts w:ascii="Verdana" w:hAnsi="Verdana" w:cs="Arial"/>
          <w:color w:val="EE0000"/>
          <w:shd w:val="clear" w:color="auto" w:fill="FFFFFF"/>
          <w:lang w:val="es-ES"/>
        </w:rPr>
      </w:pPr>
      <w:r>
        <w:rPr>
          <w:rFonts w:ascii="Verdana" w:eastAsia="Aptos" w:hAnsi="Verdana" w:cs="Arial"/>
          <w:shd w:val="clear" w:color="auto" w:fill="FFFFFF"/>
        </w:rPr>
        <w:t xml:space="preserve">Así  mismo, la Agencia se ha sobre </w:t>
      </w:r>
      <w:r w:rsidRPr="00C27509">
        <w:rPr>
          <w:rFonts w:ascii="Verdana" w:hAnsi="Verdana" w:cs="Arial"/>
          <w:shd w:val="clear" w:color="auto" w:fill="FFFFFF"/>
          <w:lang w:val="es-ES"/>
        </w:rPr>
        <w:t xml:space="preserve">la contratación por calamidad pública y/o urgencia manifiesta </w:t>
      </w:r>
      <w:r w:rsidRPr="00C27509">
        <w:rPr>
          <w:rFonts w:ascii="Verdana" w:hAnsi="Verdana" w:cs="Arial"/>
          <w:shd w:val="clear" w:color="auto" w:fill="FFFFFF"/>
        </w:rPr>
        <w:t xml:space="preserve">en los </w:t>
      </w:r>
      <w:r>
        <w:rPr>
          <w:rFonts w:ascii="Verdana" w:hAnsi="Verdana" w:cs="Arial"/>
          <w:shd w:val="clear" w:color="auto" w:fill="FFFFFF"/>
        </w:rPr>
        <w:t>c</w:t>
      </w:r>
      <w:r w:rsidRPr="00C27509">
        <w:rPr>
          <w:rFonts w:ascii="Verdana" w:hAnsi="Verdana" w:cs="Arial"/>
          <w:shd w:val="clear" w:color="auto" w:fill="FFFFFF"/>
        </w:rPr>
        <w:t>onceptos C-003 del 23 de abril de 2020, C-004</w:t>
      </w:r>
      <w:r>
        <w:rPr>
          <w:rFonts w:ascii="Verdana" w:hAnsi="Verdana" w:cs="Arial"/>
          <w:shd w:val="clear" w:color="auto" w:fill="FFFFFF"/>
        </w:rPr>
        <w:t xml:space="preserve"> del</w:t>
      </w:r>
      <w:r w:rsidRPr="00C27509">
        <w:rPr>
          <w:rFonts w:ascii="Verdana" w:hAnsi="Verdana" w:cs="Arial"/>
          <w:shd w:val="clear" w:color="auto" w:fill="FFFFFF"/>
        </w:rPr>
        <w:t xml:space="preserve"> 25 de abril </w:t>
      </w:r>
      <w:r w:rsidRPr="00B06D52">
        <w:rPr>
          <w:rFonts w:ascii="Verdana" w:hAnsi="Verdana" w:cs="Arial"/>
          <w:shd w:val="clear" w:color="auto" w:fill="FFFFFF"/>
        </w:rPr>
        <w:t xml:space="preserve">de 2020, C-135 del 10 de abril de 2020, C-241 del 10 de abril de 2020, C-257 del 10 de abril de 2020, C-266 del 21 de mayo de 2020, C-269 del 10 de abril de 2020, C-275 del del 10 de abril de 2020, C-284 del 27 de mayo de 2020, C-300 del 25 de abril de 2020, C-301 del 25 de abril de 2020, C-333 del 19 de mayo de 2020, C-357 del 7 de julio de 2020, C-390 del 23 de junio de </w:t>
      </w:r>
      <w:r w:rsidRPr="00B06D52">
        <w:rPr>
          <w:rFonts w:ascii="Verdana" w:hAnsi="Verdana" w:cs="Arial"/>
          <w:shd w:val="clear" w:color="auto" w:fill="FFFFFF"/>
        </w:rPr>
        <w:lastRenderedPageBreak/>
        <w:t>2020, C-403 del 24 de junio de 2020, C-887 del 22 de diciembre de 2022</w:t>
      </w:r>
      <w:r>
        <w:rPr>
          <w:rFonts w:ascii="Verdana" w:hAnsi="Verdana" w:cs="Arial"/>
          <w:shd w:val="clear" w:color="auto" w:fill="FFFFFF"/>
        </w:rPr>
        <w:t>,</w:t>
      </w:r>
      <w:r w:rsidRPr="00B06D52">
        <w:rPr>
          <w:rFonts w:ascii="Verdana" w:hAnsi="Verdana" w:cs="Arial"/>
          <w:shd w:val="clear" w:color="auto" w:fill="FFFFFF"/>
        </w:rPr>
        <w:t xml:space="preserve"> C-131 del 25 de mayo de 2023</w:t>
      </w:r>
      <w:r>
        <w:rPr>
          <w:rFonts w:ascii="Verdana" w:hAnsi="Verdana" w:cs="Arial"/>
          <w:shd w:val="clear" w:color="auto" w:fill="FFFFFF"/>
        </w:rPr>
        <w:t xml:space="preserve"> y C-1189 del 25 de septiembre de 2025</w:t>
      </w:r>
      <w:r>
        <w:rPr>
          <w:rStyle w:val="normaltextrun"/>
          <w:rFonts w:ascii="Verdana" w:hAnsi="Verdana" w:cs="Arial"/>
          <w:shd w:val="clear" w:color="auto" w:fill="FFFFFF"/>
          <w:lang w:val="es-ES"/>
        </w:rPr>
        <w:t xml:space="preserve">, C-1352 del 29 de octubre de 2025, C-1793 del 10 de diciembre de 2025, </w:t>
      </w:r>
      <w:r w:rsidRPr="00282DE1">
        <w:rPr>
          <w:rFonts w:ascii="Verdana" w:eastAsia="Aptos" w:hAnsi="Verdana" w:cs="Arial"/>
          <w:shd w:val="clear" w:color="auto" w:fill="FFFFFF"/>
        </w:rPr>
        <w:t xml:space="preserve">C-1807 </w:t>
      </w:r>
      <w:r>
        <w:rPr>
          <w:rFonts w:ascii="Verdana" w:eastAsia="Aptos" w:hAnsi="Verdana" w:cs="Arial"/>
          <w:shd w:val="clear" w:color="auto" w:fill="FFFFFF"/>
        </w:rPr>
        <w:t xml:space="preserve">del 19 de enero de 2026, entre otros. </w:t>
      </w:r>
      <w:r w:rsidRPr="00282DE1">
        <w:rPr>
          <w:rFonts w:ascii="Verdana" w:hAnsi="Verdana" w:cs="Arial"/>
        </w:rPr>
        <w:t xml:space="preserve">Estos y otros </w:t>
      </w:r>
      <w:r w:rsidRPr="00282DE1">
        <w:rPr>
          <w:rFonts w:ascii="Verdana" w:hAnsi="Verdana"/>
        </w:rPr>
        <w:t>conceptos se encuentran disponibles para consulta en el Sistema de relatoría de la Agencia, al cual se puede acceder a través del siguiente enlace:</w:t>
      </w:r>
      <w:r w:rsidRPr="00282DE1">
        <w:rPr>
          <w:rFonts w:ascii="Verdana" w:hAnsi="Verdana" w:cs="Arial"/>
          <w:shd w:val="clear" w:color="auto" w:fill="FFFFFF"/>
        </w:rPr>
        <w:t xml:space="preserve"> </w:t>
      </w:r>
      <w:hyperlink r:id="rId14" w:history="1">
        <w:r w:rsidRPr="00282DE1">
          <w:rPr>
            <w:rFonts w:ascii="Verdana" w:hAnsi="Verdana" w:cs="Arial"/>
            <w:color w:val="0563C1" w:themeColor="hyperlink"/>
            <w:u w:val="single"/>
            <w:shd w:val="clear" w:color="auto" w:fill="FFFFFF"/>
          </w:rPr>
          <w:t>https://relatoria.colombiacompra.gov.co/busqueda/conceptos</w:t>
        </w:r>
      </w:hyperlink>
      <w:r w:rsidRPr="00282DE1">
        <w:rPr>
          <w:rFonts w:ascii="Verdana" w:hAnsi="Verdana" w:cs="Arial"/>
          <w:shd w:val="clear" w:color="auto" w:fill="FFFFFF"/>
        </w:rPr>
        <w:t>.</w:t>
      </w:r>
      <w:r w:rsidRPr="00B64A74">
        <w:rPr>
          <w:rFonts w:ascii="Verdana" w:hAnsi="Verdana" w:cs="Arial"/>
          <w:color w:val="FF0000"/>
          <w:shd w:val="clear" w:color="auto" w:fill="FFFFFF"/>
        </w:rPr>
        <w:t xml:space="preserve"> </w:t>
      </w:r>
      <w:r w:rsidRPr="00B64A74">
        <w:rPr>
          <w:rFonts w:ascii="Verdana" w:hAnsi="Verdana" w:cs="Arial"/>
          <w:color w:val="000000" w:themeColor="text1"/>
          <w:shd w:val="clear" w:color="auto" w:fill="FFFFFF"/>
        </w:rPr>
        <w:t>  </w:t>
      </w:r>
    </w:p>
    <w:p w14:paraId="44515702" w14:textId="77777777" w:rsidR="005374E9" w:rsidRPr="00B64A74" w:rsidRDefault="005374E9" w:rsidP="005374E9">
      <w:pPr>
        <w:widowControl w:val="0"/>
        <w:autoSpaceDE w:val="0"/>
        <w:autoSpaceDN w:val="0"/>
        <w:spacing w:after="0" w:line="240" w:lineRule="auto"/>
        <w:jc w:val="both"/>
        <w:rPr>
          <w:rFonts w:ascii="Verdana" w:hAnsi="Verdana"/>
        </w:rPr>
      </w:pPr>
    </w:p>
    <w:p w14:paraId="7F83BF77" w14:textId="77777777" w:rsidR="005374E9" w:rsidRDefault="005374E9" w:rsidP="005374E9">
      <w:pPr>
        <w:spacing w:after="120" w:line="276" w:lineRule="auto"/>
        <w:jc w:val="both"/>
      </w:pPr>
      <w:r w:rsidRPr="00B64A74">
        <w:rPr>
          <w:rFonts w:ascii="Verdana" w:hAnsi="Verdana"/>
        </w:rPr>
        <w:t xml:space="preserve">La sostenibilidad no es una opción, es una obligación. Por ello, la Agencia Nacional de Contratación Pública –Colombia Compra Eficiente– te invita a realizar el </w:t>
      </w:r>
      <w:r w:rsidRPr="00B64A74">
        <w:rPr>
          <w:rFonts w:ascii="Verdana" w:hAnsi="Verdana"/>
          <w:b/>
          <w:bCs/>
        </w:rPr>
        <w:t>Curso de Contratación Pública Sostenible y Socialmente Responsable</w:t>
      </w:r>
      <w:r w:rsidRPr="00B64A74">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B64A74">
        <w:rPr>
          <w:rFonts w:ascii="Verdana" w:hAnsi="Verdana"/>
        </w:rPr>
        <w:br/>
      </w:r>
      <w:hyperlink r:id="rId15" w:tgtFrame="_new" w:history="1">
        <w:r w:rsidRPr="00B64A74">
          <w:rPr>
            <w:rStyle w:val="Hipervnculo"/>
            <w:rFonts w:ascii="Verdana" w:hAnsi="Verdana"/>
          </w:rPr>
          <w:t>https://formacionvirtual.colombiacompra.gov.co/mod/page/view.php?id=3718</w:t>
        </w:r>
      </w:hyperlink>
    </w:p>
    <w:p w14:paraId="7C552CF7" w14:textId="77777777" w:rsidR="005374E9" w:rsidRPr="00B64A74" w:rsidRDefault="005374E9" w:rsidP="005374E9">
      <w:pPr>
        <w:spacing w:after="120" w:line="276" w:lineRule="auto"/>
        <w:jc w:val="both"/>
        <w:rPr>
          <w:rFonts w:ascii="Verdana" w:hAnsi="Verdana"/>
        </w:rPr>
      </w:pPr>
      <w:r w:rsidRPr="00B64A74">
        <w:rPr>
          <w:rFonts w:ascii="Verdana" w:hAnsi="Verdana"/>
        </w:rPr>
        <w:t xml:space="preserve">De otro lado, te contamos que esta Agencia ha dado un paso decisivo en la estandarización y modernización del </w:t>
      </w:r>
      <w:r w:rsidRPr="00B64A74">
        <w:rPr>
          <w:rFonts w:ascii="Verdana" w:hAnsi="Verdana"/>
          <w:b/>
          <w:bCs/>
        </w:rPr>
        <w:t>sector social</w:t>
      </w:r>
      <w:r w:rsidRPr="00B64A74">
        <w:rPr>
          <w:rFonts w:ascii="Verdana" w:hAnsi="Verdana"/>
        </w:rPr>
        <w:t xml:space="preserve"> con la expedición de las </w:t>
      </w:r>
      <w:r w:rsidRPr="00B64A74">
        <w:rPr>
          <w:rFonts w:ascii="Verdana" w:hAnsi="Verdana"/>
          <w:b/>
          <w:bCs/>
        </w:rPr>
        <w:t>Resoluciones 539, 540, 541, 952 y 953 de 2025</w:t>
      </w:r>
      <w:r w:rsidRPr="00B64A74">
        <w:rPr>
          <w:rFonts w:ascii="Verdana" w:hAnsi="Verdana"/>
        </w:rPr>
        <w:t xml:space="preserve">, </w:t>
      </w:r>
      <w:r w:rsidRPr="00B64A74">
        <w:rPr>
          <w:rFonts w:ascii="Verdana" w:hAnsi="Verdana"/>
          <w:b/>
          <w:bCs/>
        </w:rPr>
        <w:t>mediante las cuales adoptó Documentos Tipo</w:t>
      </w:r>
      <w:r w:rsidRPr="00B64A74">
        <w:rPr>
          <w:rFonts w:ascii="Verdana" w:hAnsi="Verdana"/>
        </w:rPr>
        <w:t xml:space="preserve"> para las modalidades de selección de</w:t>
      </w:r>
      <w:r w:rsidRPr="00B64A74">
        <w:rPr>
          <w:rFonts w:ascii="Verdana" w:hAnsi="Verdana"/>
          <w:b/>
          <w:bCs/>
        </w:rPr>
        <w:t xml:space="preserve"> licitación pública (versión 2), selección abreviada de menor cuantía, mínima cuantía, consultoría e interventoría</w:t>
      </w:r>
      <w:r w:rsidRPr="00B64A74">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B64A74">
          <w:rPr>
            <w:rStyle w:val="Hipervnculo"/>
            <w:rFonts w:ascii="Verdana" w:hAnsi="Verdana"/>
          </w:rPr>
          <w:t>https://www.colombiacompra.gov.co/normativa-y-relatoria/documentos-tipo</w:t>
        </w:r>
      </w:hyperlink>
    </w:p>
    <w:p w14:paraId="6AAAFFEE" w14:textId="77777777" w:rsidR="005374E9" w:rsidRPr="00B64A74" w:rsidRDefault="005374E9" w:rsidP="005374E9">
      <w:pPr>
        <w:spacing w:after="120" w:line="276" w:lineRule="auto"/>
        <w:jc w:val="both"/>
        <w:rPr>
          <w:rFonts w:ascii="Verdana" w:hAnsi="Verdana"/>
        </w:rPr>
      </w:pPr>
      <w:r w:rsidRPr="00B64A74">
        <w:rPr>
          <w:rFonts w:ascii="Verdana" w:hAnsi="Verdana"/>
        </w:rPr>
        <w:t xml:space="preserve">Si quieres conocer más sobre la aplicación de Documentos Tipo puedes consultar la última versión de la </w:t>
      </w:r>
      <w:r w:rsidRPr="00B64A74">
        <w:rPr>
          <w:rFonts w:ascii="Verdana" w:hAnsi="Verdana"/>
          <w:b/>
          <w:bCs/>
        </w:rPr>
        <w:t>Guía para la comprensión e implementación de los Documentos Tipo de obra pública de infraestructura de transporte</w:t>
      </w:r>
      <w:r w:rsidRPr="00B64A74">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B64A74">
        <w:rPr>
          <w:rFonts w:ascii="Verdana" w:hAnsi="Verdana"/>
        </w:rPr>
        <w:br/>
      </w:r>
      <w:hyperlink r:id="rId17" w:tgtFrame="_new" w:history="1">
        <w:r w:rsidRPr="00B64A74">
          <w:rPr>
            <w:rStyle w:val="Hipervnculo"/>
            <w:rFonts w:ascii="Verdana" w:hAnsi="Verdana"/>
          </w:rPr>
          <w:t>https://www.colombiacompra.gov.co/archivos/manual/guia-para-la-</w:t>
        </w:r>
        <w:r w:rsidRPr="00B64A74">
          <w:rPr>
            <w:rStyle w:val="Hipervnculo"/>
            <w:rFonts w:ascii="Verdana" w:hAnsi="Verdana"/>
          </w:rPr>
          <w:lastRenderedPageBreak/>
          <w:t>comprension-e-implementacion-de-los-documentos-tipo-de-obra-publica-de-infraestructura-de-transporte-bajo-las-diferentes-modalidades-de-contratacion-vigentes</w:t>
        </w:r>
      </w:hyperlink>
    </w:p>
    <w:p w14:paraId="3D294592" w14:textId="77777777" w:rsidR="005374E9" w:rsidRPr="00B64A74" w:rsidRDefault="005374E9" w:rsidP="005374E9">
      <w:pPr>
        <w:widowControl w:val="0"/>
        <w:autoSpaceDE w:val="0"/>
        <w:autoSpaceDN w:val="0"/>
        <w:spacing w:after="120" w:line="276" w:lineRule="auto"/>
        <w:jc w:val="both"/>
        <w:rPr>
          <w:rFonts w:ascii="Verdana" w:hAnsi="Verdana" w:cs="Arial"/>
          <w:highlight w:val="yellow"/>
          <w:shd w:val="clear" w:color="auto" w:fill="FFFFFF"/>
        </w:rPr>
      </w:pPr>
      <w:r w:rsidRPr="00B64A74">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35ED265" w14:textId="77777777" w:rsidR="005374E9" w:rsidRPr="00B64A74" w:rsidRDefault="005374E9" w:rsidP="005374E9">
      <w:pPr>
        <w:pStyle w:val="Prrafodelista"/>
        <w:numPr>
          <w:ilvl w:val="0"/>
          <w:numId w:val="15"/>
        </w:numPr>
        <w:spacing w:after="0" w:line="276" w:lineRule="auto"/>
        <w:jc w:val="both"/>
        <w:rPr>
          <w:rFonts w:ascii="Verdana" w:eastAsia="Verdana" w:hAnsi="Verdana" w:cs="Verdana"/>
          <w:color w:val="4472C4" w:themeColor="accent1"/>
          <w:u w:val="single"/>
          <w:lang w:val="es-CO"/>
        </w:rPr>
      </w:pPr>
      <w:r w:rsidRPr="00B64A74">
        <w:rPr>
          <w:rFonts w:ascii="Verdana" w:eastAsia="Verdana" w:hAnsi="Verdana" w:cs="Verdana"/>
          <w:lang w:val="es-CO"/>
        </w:rPr>
        <w:t xml:space="preserve">Línea nacional gratuita o servicio a la ciudadanía (Mesa de servicio): </w:t>
      </w:r>
      <w:r w:rsidRPr="00B64A74">
        <w:rPr>
          <w:rStyle w:val="Hipervnculo"/>
          <w:rFonts w:ascii="Verdana" w:hAnsi="Verdana"/>
          <w:lang w:val="es-CO"/>
        </w:rPr>
        <w:t>01800 0520808</w:t>
      </w:r>
    </w:p>
    <w:p w14:paraId="17BA5D29" w14:textId="77777777" w:rsidR="005374E9" w:rsidRPr="00B64A74" w:rsidRDefault="005374E9" w:rsidP="005374E9">
      <w:pPr>
        <w:pStyle w:val="Prrafodelista"/>
        <w:numPr>
          <w:ilvl w:val="0"/>
          <w:numId w:val="15"/>
        </w:numPr>
        <w:spacing w:after="0" w:line="276" w:lineRule="auto"/>
        <w:rPr>
          <w:rFonts w:ascii="Verdana" w:eastAsia="Verdana" w:hAnsi="Verdana" w:cs="Verdana"/>
          <w:color w:val="4472C4" w:themeColor="accent1"/>
          <w:u w:val="single"/>
          <w:lang w:val="es-CO"/>
        </w:rPr>
      </w:pPr>
      <w:r w:rsidRPr="00B64A74">
        <w:rPr>
          <w:rFonts w:ascii="Verdana" w:eastAsia="Verdana" w:hAnsi="Verdana" w:cs="Verdana"/>
          <w:lang w:val="es-CO"/>
        </w:rPr>
        <w:t>Línea en Bogotá (Mesa de servicio):</w:t>
      </w:r>
      <w:r w:rsidRPr="00B64A74">
        <w:rPr>
          <w:rStyle w:val="Hipervnculo"/>
          <w:rFonts w:ascii="Verdana" w:hAnsi="Verdana"/>
          <w:lang w:val="es-CO"/>
        </w:rPr>
        <w:t>+57 601 7456788</w:t>
      </w:r>
    </w:p>
    <w:p w14:paraId="6394BA18" w14:textId="77777777" w:rsidR="005374E9" w:rsidRPr="00B64A74" w:rsidRDefault="005374E9" w:rsidP="005374E9">
      <w:pPr>
        <w:pStyle w:val="Prrafodelista"/>
        <w:numPr>
          <w:ilvl w:val="0"/>
          <w:numId w:val="15"/>
        </w:numPr>
        <w:spacing w:after="0" w:line="276" w:lineRule="auto"/>
        <w:rPr>
          <w:rFonts w:ascii="Verdana" w:eastAsia="Verdana" w:hAnsi="Verdana" w:cs="Verdana"/>
          <w:color w:val="0000FF"/>
          <w:u w:val="single"/>
          <w:lang w:val="es-CO"/>
        </w:rPr>
      </w:pPr>
      <w:r w:rsidRPr="00B64A74">
        <w:rPr>
          <w:rFonts w:ascii="Verdana" w:eastAsia="Verdana" w:hAnsi="Verdana" w:cs="Verdana"/>
          <w:lang w:val="es-CO"/>
        </w:rPr>
        <w:t xml:space="preserve">Correo de radicación de correspondencia: </w:t>
      </w:r>
      <w:hyperlink r:id="rId18">
        <w:r w:rsidRPr="00B64A74">
          <w:rPr>
            <w:rStyle w:val="Hipervnculo"/>
            <w:rFonts w:ascii="Verdana" w:eastAsia="Verdana" w:hAnsi="Verdana" w:cs="Verdana"/>
            <w:lang w:val="es-CO"/>
          </w:rPr>
          <w:t>ventanilladeradicacion@colombiacompra.gov.co</w:t>
        </w:r>
      </w:hyperlink>
    </w:p>
    <w:p w14:paraId="5BB42081" w14:textId="77777777" w:rsidR="005374E9" w:rsidRPr="00B64A74" w:rsidRDefault="005374E9" w:rsidP="005374E9">
      <w:pPr>
        <w:pStyle w:val="Prrafodelista"/>
        <w:numPr>
          <w:ilvl w:val="0"/>
          <w:numId w:val="15"/>
        </w:numPr>
        <w:spacing w:after="0" w:line="276" w:lineRule="auto"/>
        <w:rPr>
          <w:rFonts w:ascii="Verdana" w:eastAsia="Verdana" w:hAnsi="Verdana" w:cs="Verdana"/>
          <w:color w:val="0000FF"/>
          <w:u w:val="single"/>
          <w:lang w:val="es-CO"/>
        </w:rPr>
      </w:pPr>
      <w:r w:rsidRPr="00B64A74">
        <w:rPr>
          <w:rFonts w:ascii="Verdana" w:eastAsia="Verdana" w:hAnsi="Verdana" w:cs="Verdana"/>
          <w:lang w:val="es-CO"/>
        </w:rPr>
        <w:t xml:space="preserve">Formulario web para PQRSD: </w:t>
      </w:r>
      <w:hyperlink r:id="rId19">
        <w:r w:rsidRPr="00B64A74">
          <w:rPr>
            <w:rStyle w:val="Hipervnculo"/>
            <w:rFonts w:ascii="Verdana" w:eastAsia="Verdana" w:hAnsi="Verdana" w:cs="Verdana"/>
            <w:lang w:val="es-CO"/>
          </w:rPr>
          <w:t>https://www.colombiacompra.gov.co/pqrsd/informacion-importante-antes-de-formular-una-pqrsd</w:t>
        </w:r>
      </w:hyperlink>
    </w:p>
    <w:p w14:paraId="284FE362" w14:textId="77777777" w:rsidR="005374E9" w:rsidRPr="00B64A74" w:rsidRDefault="005374E9" w:rsidP="005374E9">
      <w:pPr>
        <w:spacing w:after="0" w:line="276" w:lineRule="auto"/>
        <w:ind w:left="720"/>
        <w:jc w:val="both"/>
        <w:rPr>
          <w:rFonts w:ascii="Verdana" w:hAnsi="Verdana"/>
        </w:rPr>
      </w:pPr>
    </w:p>
    <w:p w14:paraId="1BD2FD5F" w14:textId="77777777" w:rsidR="005374E9" w:rsidRPr="00B64A74" w:rsidRDefault="005374E9" w:rsidP="005374E9">
      <w:pPr>
        <w:spacing w:after="120" w:line="276" w:lineRule="auto"/>
        <w:jc w:val="both"/>
        <w:rPr>
          <w:rFonts w:ascii="Verdana" w:hAnsi="Verdana"/>
        </w:rPr>
      </w:pPr>
      <w:r w:rsidRPr="00B64A74">
        <w:rPr>
          <w:rFonts w:ascii="Verdana" w:hAnsi="Verdana"/>
        </w:rPr>
        <w:t xml:space="preserve">Evalúa el servicio que ofrece la Agencia por el canal de atención de PQRSD en el siguiente enlace: </w:t>
      </w:r>
      <w:hyperlink r:id="rId20" w:history="1">
        <w:r w:rsidRPr="00B64A74">
          <w:rPr>
            <w:rStyle w:val="Hipervnculo"/>
            <w:rFonts w:ascii="Verdana" w:eastAsia="Verdana" w:hAnsi="Verdana" w:cs="Verdana"/>
          </w:rPr>
          <w:t>https://forms.office.com/r/pPHyWVs2SZ</w:t>
        </w:r>
      </w:hyperlink>
      <w:r w:rsidRPr="00B64A74">
        <w:rPr>
          <w:rStyle w:val="Hipervnculo"/>
          <w:rFonts w:ascii="Verdana" w:eastAsia="Verdana" w:hAnsi="Verdana" w:cs="Verdana"/>
        </w:rPr>
        <w:t>.</w:t>
      </w:r>
      <w:r w:rsidRPr="00B64A74">
        <w:rPr>
          <w:rFonts w:ascii="Verdana" w:hAnsi="Verdana"/>
        </w:rPr>
        <w:t xml:space="preserve"> ¡Ayúdanos a mejorar porque el compromiso es de todos!</w:t>
      </w:r>
    </w:p>
    <w:p w14:paraId="084EE607" w14:textId="77777777" w:rsidR="005374E9" w:rsidRPr="00B64A74" w:rsidRDefault="005374E9" w:rsidP="005374E9">
      <w:pPr>
        <w:spacing w:after="120" w:line="276" w:lineRule="auto"/>
        <w:jc w:val="both"/>
        <w:rPr>
          <w:rFonts w:ascii="Verdana" w:hAnsi="Verdana"/>
        </w:rPr>
      </w:pPr>
      <w:r w:rsidRPr="00B64A74">
        <w:rPr>
          <w:rFonts w:ascii="Verdana" w:hAnsi="Verdana"/>
        </w:rPr>
        <w:t xml:space="preserve">Por último, lo invitamos a seguirnos en las redes sociales en las cuales se difunde información institucional: </w:t>
      </w:r>
    </w:p>
    <w:p w14:paraId="55DB5D14" w14:textId="77777777" w:rsidR="005374E9" w:rsidRPr="00B64A74" w:rsidRDefault="005374E9" w:rsidP="005374E9">
      <w:pPr>
        <w:spacing w:after="0" w:line="276" w:lineRule="auto"/>
        <w:jc w:val="both"/>
        <w:rPr>
          <w:rFonts w:ascii="Verdana" w:hAnsi="Verdana"/>
        </w:rPr>
      </w:pPr>
      <w:r w:rsidRPr="00B64A74">
        <w:rPr>
          <w:rFonts w:ascii="Verdana" w:hAnsi="Verdana"/>
        </w:rPr>
        <w:t xml:space="preserve">Twitter: </w:t>
      </w:r>
      <w:r w:rsidRPr="00B64A74">
        <w:rPr>
          <w:rStyle w:val="Hipervnculo"/>
          <w:rFonts w:ascii="Verdana" w:hAnsi="Verdana"/>
        </w:rPr>
        <w:t>@colombiacompra</w:t>
      </w:r>
      <w:r w:rsidRPr="00B64A74">
        <w:rPr>
          <w:rFonts w:ascii="Verdana" w:hAnsi="Verdana"/>
        </w:rPr>
        <w:t xml:space="preserve"> </w:t>
      </w:r>
    </w:p>
    <w:p w14:paraId="5B8EAD7E" w14:textId="77777777" w:rsidR="005374E9" w:rsidRPr="00B64A74" w:rsidRDefault="005374E9" w:rsidP="005374E9">
      <w:pPr>
        <w:spacing w:after="0" w:line="276" w:lineRule="auto"/>
        <w:jc w:val="both"/>
        <w:rPr>
          <w:rFonts w:ascii="Verdana" w:hAnsi="Verdana"/>
        </w:rPr>
      </w:pPr>
      <w:r w:rsidRPr="00B64A74">
        <w:rPr>
          <w:rFonts w:ascii="Verdana" w:hAnsi="Verdana"/>
        </w:rPr>
        <w:t xml:space="preserve">Facebook: </w:t>
      </w:r>
      <w:r w:rsidRPr="00B64A74">
        <w:rPr>
          <w:rStyle w:val="Hipervnculo"/>
          <w:rFonts w:ascii="Verdana" w:hAnsi="Verdana"/>
        </w:rPr>
        <w:t>ColombiaCompraEficiente</w:t>
      </w:r>
    </w:p>
    <w:p w14:paraId="0BA2A3D4" w14:textId="77777777" w:rsidR="005374E9" w:rsidRPr="00B64A74" w:rsidRDefault="005374E9" w:rsidP="005374E9">
      <w:pPr>
        <w:spacing w:after="0" w:line="276" w:lineRule="auto"/>
        <w:jc w:val="both"/>
        <w:rPr>
          <w:rFonts w:ascii="Verdana" w:hAnsi="Verdana"/>
        </w:rPr>
      </w:pPr>
      <w:r w:rsidRPr="00B64A74">
        <w:rPr>
          <w:rFonts w:ascii="Verdana" w:hAnsi="Verdana"/>
        </w:rPr>
        <w:t xml:space="preserve">LinkedIn: </w:t>
      </w:r>
      <w:r w:rsidRPr="00B64A74">
        <w:rPr>
          <w:rStyle w:val="Hipervnculo"/>
          <w:rFonts w:ascii="Verdana" w:hAnsi="Verdana"/>
        </w:rPr>
        <w:t>Agencia Nacional de Contratación Pública - Colombia Compra Eficiente</w:t>
      </w:r>
      <w:r w:rsidRPr="00B64A74">
        <w:rPr>
          <w:rFonts w:ascii="Verdana" w:hAnsi="Verdana"/>
        </w:rPr>
        <w:t xml:space="preserve"> Instagram: </w:t>
      </w:r>
      <w:r w:rsidRPr="00B64A74">
        <w:rPr>
          <w:rStyle w:val="Hipervnculo"/>
          <w:rFonts w:ascii="Verdana" w:hAnsi="Verdana"/>
        </w:rPr>
        <w:t>@colombiacompraeficiente_cce</w:t>
      </w:r>
    </w:p>
    <w:p w14:paraId="7973A273" w14:textId="77777777" w:rsidR="005374E9" w:rsidRPr="00B64A74" w:rsidRDefault="005374E9" w:rsidP="005374E9">
      <w:pPr>
        <w:spacing w:after="0" w:line="276" w:lineRule="auto"/>
        <w:jc w:val="both"/>
        <w:rPr>
          <w:rFonts w:ascii="Verdana" w:hAnsi="Verdana"/>
        </w:rPr>
      </w:pPr>
    </w:p>
    <w:p w14:paraId="642C1CF2" w14:textId="77777777" w:rsidR="005374E9" w:rsidRPr="00B64A74" w:rsidRDefault="005374E9" w:rsidP="005374E9">
      <w:pPr>
        <w:spacing w:after="0" w:line="276" w:lineRule="auto"/>
        <w:jc w:val="both"/>
        <w:rPr>
          <w:rFonts w:ascii="Verdana" w:hAnsi="Verdana"/>
        </w:rPr>
      </w:pPr>
      <w:r w:rsidRPr="00B64A74">
        <w:rPr>
          <w:rFonts w:ascii="Verdana" w:hAnsi="Verdana"/>
        </w:rPr>
        <w:t>Cordialmente,</w:t>
      </w:r>
    </w:p>
    <w:p w14:paraId="658595C7" w14:textId="758B9BC1" w:rsidR="005374E9" w:rsidRPr="00B64A74" w:rsidRDefault="00747654" w:rsidP="00747654">
      <w:pPr>
        <w:spacing w:after="0" w:line="256" w:lineRule="auto"/>
        <w:jc w:val="center"/>
        <w:rPr>
          <w:rFonts w:ascii="Verdana" w:eastAsia="Calibri" w:hAnsi="Verdana" w:cs="Times New Roman"/>
        </w:rPr>
      </w:pPr>
      <w:r>
        <w:rPr>
          <w:noProof/>
        </w:rPr>
        <w:drawing>
          <wp:inline distT="0" distB="0" distL="0" distR="0" wp14:anchorId="30371B69" wp14:editId="0071BB7A">
            <wp:extent cx="2500064" cy="1177915"/>
            <wp:effectExtent l="0" t="0" r="0" b="381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21"/>
                    <a:stretch>
                      <a:fillRect/>
                    </a:stretch>
                  </pic:blipFill>
                  <pic:spPr>
                    <a:xfrm>
                      <a:off x="0" y="0"/>
                      <a:ext cx="2513398" cy="1184197"/>
                    </a:xfrm>
                    <a:prstGeom prst="rect">
                      <a:avLst/>
                    </a:prstGeom>
                  </pic:spPr>
                </pic:pic>
              </a:graphicData>
            </a:graphic>
          </wp:inline>
        </w:drawing>
      </w:r>
    </w:p>
    <w:p w14:paraId="50CFE45C" w14:textId="77777777" w:rsidR="005374E9" w:rsidRPr="00B64A74" w:rsidRDefault="005374E9" w:rsidP="005374E9">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5374E9" w:rsidRPr="00B64A74" w14:paraId="218841FF" w14:textId="77777777" w:rsidTr="002E317E">
        <w:trPr>
          <w:trHeight w:val="288"/>
        </w:trPr>
        <w:tc>
          <w:tcPr>
            <w:tcW w:w="893" w:type="dxa"/>
            <w:vAlign w:val="center"/>
            <w:hideMark/>
          </w:tcPr>
          <w:p w14:paraId="52787AEE" w14:textId="77777777" w:rsidR="005374E9" w:rsidRPr="00B64A74" w:rsidRDefault="005374E9" w:rsidP="002E317E">
            <w:pPr>
              <w:contextualSpacing/>
              <w:rPr>
                <w:rFonts w:ascii="Verdana" w:hAnsi="Verdana" w:cs="Arial"/>
                <w:sz w:val="16"/>
                <w:szCs w:val="16"/>
                <w:lang w:eastAsia="es-ES"/>
              </w:rPr>
            </w:pPr>
            <w:r w:rsidRPr="00B64A74">
              <w:rPr>
                <w:rFonts w:ascii="Verdana" w:hAnsi="Verdana" w:cs="Arial"/>
                <w:sz w:val="16"/>
                <w:szCs w:val="16"/>
                <w:lang w:eastAsia="es-ES"/>
              </w:rPr>
              <w:lastRenderedPageBreak/>
              <w:t>Elaboró:</w:t>
            </w:r>
          </w:p>
        </w:tc>
        <w:tc>
          <w:tcPr>
            <w:tcW w:w="5061" w:type="dxa"/>
            <w:tcBorders>
              <w:top w:val="nil"/>
              <w:left w:val="nil"/>
              <w:bottom w:val="dotted" w:sz="4" w:space="0" w:color="7F7F7F" w:themeColor="text1" w:themeTint="80"/>
              <w:right w:val="nil"/>
            </w:tcBorders>
            <w:vAlign w:val="center"/>
            <w:hideMark/>
          </w:tcPr>
          <w:p w14:paraId="7310F0AC" w14:textId="77777777" w:rsidR="005374E9" w:rsidRPr="00B64A74" w:rsidRDefault="005374E9" w:rsidP="002E317E">
            <w:pPr>
              <w:contextualSpacing/>
              <w:rPr>
                <w:rStyle w:val="normaltextrun"/>
                <w:rFonts w:ascii="Verdana" w:hAnsi="Verdana"/>
                <w:sz w:val="16"/>
                <w:szCs w:val="16"/>
              </w:rPr>
            </w:pPr>
            <w:r w:rsidRPr="00B64A74">
              <w:rPr>
                <w:rStyle w:val="normaltextrun"/>
                <w:rFonts w:ascii="Verdana" w:hAnsi="Verdana"/>
                <w:sz w:val="16"/>
                <w:szCs w:val="16"/>
              </w:rPr>
              <w:t xml:space="preserve">Esperanza Contreras P </w:t>
            </w:r>
          </w:p>
          <w:p w14:paraId="6BEDEC1F" w14:textId="77777777" w:rsidR="005374E9" w:rsidRPr="00B64A74" w:rsidRDefault="005374E9" w:rsidP="002E317E">
            <w:pPr>
              <w:contextualSpacing/>
              <w:rPr>
                <w:rFonts w:ascii="Verdana" w:eastAsia="Arial" w:hAnsi="Verdana" w:cs="Arial"/>
                <w:sz w:val="16"/>
                <w:szCs w:val="16"/>
              </w:rPr>
            </w:pPr>
            <w:r w:rsidRPr="00B64A74">
              <w:rPr>
                <w:rStyle w:val="normaltextrun"/>
                <w:rFonts w:ascii="Verdana" w:hAnsi="Verdana" w:cs="Arial"/>
                <w:sz w:val="16"/>
                <w:szCs w:val="16"/>
              </w:rPr>
              <w:t>Contratista de la Subdirección de Gestión Contractual</w:t>
            </w:r>
            <w:r w:rsidRPr="00B64A74">
              <w:rPr>
                <w:rStyle w:val="eop"/>
                <w:rFonts w:ascii="Verdana" w:hAnsi="Verdana" w:cs="Arial"/>
                <w:sz w:val="16"/>
                <w:szCs w:val="16"/>
              </w:rPr>
              <w:t> </w:t>
            </w:r>
          </w:p>
        </w:tc>
      </w:tr>
      <w:tr w:rsidR="005374E9" w:rsidRPr="00B64A74" w14:paraId="15ADBB27" w14:textId="77777777" w:rsidTr="002E317E">
        <w:trPr>
          <w:trHeight w:val="330"/>
        </w:trPr>
        <w:tc>
          <w:tcPr>
            <w:tcW w:w="893" w:type="dxa"/>
            <w:vAlign w:val="center"/>
            <w:hideMark/>
          </w:tcPr>
          <w:p w14:paraId="03589A4C" w14:textId="77777777" w:rsidR="005374E9" w:rsidRPr="00B64A74" w:rsidRDefault="005374E9" w:rsidP="002E317E">
            <w:pPr>
              <w:contextualSpacing/>
              <w:rPr>
                <w:rFonts w:ascii="Verdana" w:hAnsi="Verdana" w:cs="Arial"/>
                <w:sz w:val="16"/>
                <w:szCs w:val="16"/>
                <w:lang w:eastAsia="es-ES"/>
              </w:rPr>
            </w:pPr>
            <w:r w:rsidRPr="00B64A74">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79241419" w14:textId="77777777" w:rsidR="005374E9" w:rsidRPr="00B64A74" w:rsidRDefault="005374E9" w:rsidP="002E317E">
            <w:pPr>
              <w:pStyle w:val="paragraph"/>
              <w:spacing w:before="0" w:beforeAutospacing="0" w:after="0" w:afterAutospacing="0"/>
              <w:contextualSpacing/>
              <w:textAlignment w:val="baseline"/>
              <w:rPr>
                <w:rStyle w:val="normaltextrun"/>
                <w:rFonts w:ascii="Verdana" w:hAnsi="Verdana"/>
                <w:sz w:val="16"/>
                <w:szCs w:val="16"/>
              </w:rPr>
            </w:pPr>
            <w:r w:rsidRPr="00B64A74">
              <w:rPr>
                <w:rStyle w:val="normaltextrun"/>
                <w:rFonts w:ascii="Verdana" w:hAnsi="Verdana"/>
                <w:sz w:val="16"/>
                <w:szCs w:val="16"/>
              </w:rPr>
              <w:t>Diana Lucía Saavedra Castañeda</w:t>
            </w:r>
          </w:p>
          <w:p w14:paraId="7823EFA6" w14:textId="77777777" w:rsidR="005374E9" w:rsidRPr="00B64A74" w:rsidRDefault="005374E9" w:rsidP="002E317E">
            <w:pPr>
              <w:pStyle w:val="paragraph"/>
              <w:spacing w:before="0" w:beforeAutospacing="0" w:after="0" w:afterAutospacing="0"/>
              <w:contextualSpacing/>
              <w:textAlignment w:val="baseline"/>
              <w:rPr>
                <w:rFonts w:ascii="Verdana" w:hAnsi="Verdana" w:cs="Segoe UI"/>
                <w:sz w:val="16"/>
                <w:szCs w:val="16"/>
              </w:rPr>
            </w:pPr>
            <w:r w:rsidRPr="00B64A74">
              <w:rPr>
                <w:rStyle w:val="normaltextrun"/>
                <w:rFonts w:ascii="Verdana" w:hAnsi="Verdana" w:cs="Arial"/>
                <w:sz w:val="16"/>
                <w:szCs w:val="16"/>
              </w:rPr>
              <w:t>Contratista de la Subdirección de Gestión Contractual</w:t>
            </w:r>
            <w:r w:rsidRPr="00B64A74">
              <w:rPr>
                <w:rStyle w:val="eop"/>
                <w:rFonts w:ascii="Verdana" w:hAnsi="Verdana" w:cs="Arial"/>
                <w:sz w:val="16"/>
                <w:szCs w:val="16"/>
              </w:rPr>
              <w:t> </w:t>
            </w:r>
          </w:p>
        </w:tc>
      </w:tr>
      <w:tr w:rsidR="005374E9" w:rsidRPr="00B64A74" w14:paraId="3EFF49AC" w14:textId="77777777" w:rsidTr="002E317E">
        <w:trPr>
          <w:trHeight w:val="300"/>
        </w:trPr>
        <w:tc>
          <w:tcPr>
            <w:tcW w:w="893" w:type="dxa"/>
            <w:vAlign w:val="center"/>
          </w:tcPr>
          <w:p w14:paraId="44F186C8" w14:textId="77777777" w:rsidR="005374E9" w:rsidRPr="00B64A74" w:rsidRDefault="005374E9" w:rsidP="002E317E">
            <w:pPr>
              <w:contextualSpacing/>
              <w:rPr>
                <w:rFonts w:ascii="Verdana" w:hAnsi="Verdana" w:cs="Arial"/>
                <w:sz w:val="16"/>
                <w:szCs w:val="16"/>
                <w:lang w:eastAsia="es-ES"/>
              </w:rPr>
            </w:pPr>
            <w:r w:rsidRPr="00B64A74">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00CC88AB" w14:textId="77777777" w:rsidR="005374E9" w:rsidRPr="00B64A74" w:rsidRDefault="005374E9" w:rsidP="002E317E">
            <w:pPr>
              <w:contextualSpacing/>
              <w:rPr>
                <w:rFonts w:ascii="Verdana" w:eastAsia="Calibri" w:hAnsi="Verdana" w:cs="Arial"/>
                <w:sz w:val="16"/>
                <w:szCs w:val="16"/>
                <w:lang w:eastAsia="es-ES"/>
              </w:rPr>
            </w:pPr>
            <w:r w:rsidRPr="00B64A74">
              <w:rPr>
                <w:rFonts w:ascii="Verdana" w:eastAsia="Calibri" w:hAnsi="Verdana" w:cs="Arial"/>
                <w:sz w:val="16"/>
                <w:szCs w:val="16"/>
                <w:lang w:eastAsia="es-ES"/>
              </w:rPr>
              <w:t>Carolina Quintero Gacharná</w:t>
            </w:r>
          </w:p>
          <w:p w14:paraId="41A3ABB6" w14:textId="77777777" w:rsidR="005374E9" w:rsidRPr="00B64A74" w:rsidRDefault="005374E9" w:rsidP="002E317E">
            <w:pPr>
              <w:contextualSpacing/>
              <w:rPr>
                <w:rFonts w:ascii="Verdana" w:eastAsia="Calibri" w:hAnsi="Verdana" w:cs="Arial"/>
                <w:sz w:val="16"/>
                <w:szCs w:val="16"/>
                <w:lang w:eastAsia="es-ES"/>
              </w:rPr>
            </w:pPr>
            <w:r w:rsidRPr="00B64A74">
              <w:rPr>
                <w:rFonts w:ascii="Verdana" w:eastAsia="Calibri" w:hAnsi="Verdana" w:cs="Arial"/>
                <w:sz w:val="16"/>
                <w:szCs w:val="16"/>
                <w:lang w:eastAsia="es-ES"/>
              </w:rPr>
              <w:t>Subdirectora de Gestión Contractual ANCP – CCE</w:t>
            </w:r>
          </w:p>
        </w:tc>
      </w:tr>
    </w:tbl>
    <w:p w14:paraId="62BA27A5" w14:textId="77777777" w:rsidR="005374E9" w:rsidRPr="00B64A74" w:rsidRDefault="005374E9" w:rsidP="005374E9"/>
    <w:bookmarkEnd w:id="0"/>
    <w:bookmarkEnd w:id="1"/>
    <w:p w14:paraId="0F293BF4" w14:textId="7165CD14" w:rsidR="00127233" w:rsidRPr="005374E9" w:rsidRDefault="00127233" w:rsidP="005374E9"/>
    <w:sectPr w:rsidR="00127233" w:rsidRPr="005374E9"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F38454" w14:textId="77777777" w:rsidR="00A162D7" w:rsidRDefault="00A162D7" w:rsidP="004A1847">
      <w:pPr>
        <w:spacing w:after="0" w:line="240" w:lineRule="auto"/>
      </w:pPr>
      <w:r>
        <w:separator/>
      </w:r>
    </w:p>
  </w:endnote>
  <w:endnote w:type="continuationSeparator" w:id="0">
    <w:p w14:paraId="21768A8B" w14:textId="77777777" w:rsidR="00A162D7" w:rsidRDefault="00A162D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2AD06F" w14:textId="77777777" w:rsidR="00A162D7" w:rsidRDefault="00A162D7" w:rsidP="004A1847">
      <w:pPr>
        <w:spacing w:after="0" w:line="240" w:lineRule="auto"/>
      </w:pPr>
      <w:r>
        <w:separator/>
      </w:r>
    </w:p>
  </w:footnote>
  <w:footnote w:type="continuationSeparator" w:id="0">
    <w:p w14:paraId="4E5ECFF3" w14:textId="77777777" w:rsidR="00A162D7" w:rsidRDefault="00A162D7" w:rsidP="004A1847">
      <w:pPr>
        <w:spacing w:after="0" w:line="240" w:lineRule="auto"/>
      </w:pPr>
      <w:r>
        <w:continuationSeparator/>
      </w:r>
    </w:p>
  </w:footnote>
  <w:footnote w:id="1">
    <w:p w14:paraId="7DF66223" w14:textId="77777777" w:rsidR="005374E9" w:rsidRPr="00E11CC9" w:rsidRDefault="005374E9" w:rsidP="005374E9">
      <w:pPr>
        <w:spacing w:after="0" w:line="240" w:lineRule="auto"/>
        <w:ind w:firstLine="709"/>
        <w:contextualSpacing/>
        <w:jc w:val="both"/>
        <w:rPr>
          <w:rFonts w:ascii="Verdana" w:hAnsi="Verdana" w:cs="Arial"/>
          <w:sz w:val="14"/>
          <w:szCs w:val="14"/>
        </w:rPr>
      </w:pPr>
      <w:r w:rsidRPr="00E11CC9">
        <w:rPr>
          <w:rStyle w:val="Refdenotaalpie"/>
          <w:rFonts w:ascii="Verdana" w:hAnsi="Verdana" w:cs="Arial"/>
          <w:sz w:val="14"/>
          <w:szCs w:val="14"/>
        </w:rPr>
        <w:footnoteRef/>
      </w:r>
      <w:r w:rsidRPr="00E11CC9">
        <w:rPr>
          <w:rFonts w:ascii="Verdana" w:hAnsi="Verdana" w:cs="Arial"/>
          <w:sz w:val="14"/>
          <w:szCs w:val="14"/>
        </w:rPr>
        <w:t xml:space="preserve"> La Agencia Nacional de Contratación Pública </w:t>
      </w:r>
      <w:r w:rsidRPr="00E11CC9">
        <w:rPr>
          <w:rFonts w:ascii="Verdana" w:hAnsi="Verdana" w:cs="Arial"/>
          <w:w w:val="95"/>
          <w:sz w:val="14"/>
          <w:szCs w:val="14"/>
        </w:rPr>
        <w:t xml:space="preserve">‒ </w:t>
      </w:r>
      <w:r w:rsidRPr="00E11CC9">
        <w:rPr>
          <w:rFonts w:ascii="Verdana" w:hAnsi="Verdana" w:cs="Arial"/>
          <w:sz w:val="14"/>
          <w:szCs w:val="14"/>
        </w:rPr>
        <w:t>Colombia Compra Eficiente fue creada por el Decreto Ley</w:t>
      </w:r>
      <w:r w:rsidRPr="00E11CC9">
        <w:rPr>
          <w:rFonts w:ascii="Verdana" w:hAnsi="Verdana" w:cs="Arial"/>
          <w:spacing w:val="1"/>
          <w:sz w:val="14"/>
          <w:szCs w:val="14"/>
        </w:rPr>
        <w:t xml:space="preserve"> </w:t>
      </w:r>
      <w:r w:rsidRPr="00E11CC9">
        <w:rPr>
          <w:rFonts w:ascii="Verdana" w:hAnsi="Verdana" w:cs="Arial"/>
          <w:sz w:val="14"/>
          <w:szCs w:val="14"/>
        </w:rPr>
        <w:t>4170 de 2011. Su objetivo es servir como ente rector de la política de compras y contratación del Estado. Para tales</w:t>
      </w:r>
      <w:r w:rsidRPr="00E11CC9">
        <w:rPr>
          <w:rFonts w:ascii="Verdana" w:hAnsi="Verdana" w:cs="Arial"/>
          <w:spacing w:val="1"/>
          <w:sz w:val="14"/>
          <w:szCs w:val="14"/>
        </w:rPr>
        <w:t xml:space="preserve"> </w:t>
      </w:r>
      <w:r w:rsidRPr="00E11CC9">
        <w:rPr>
          <w:rFonts w:ascii="Verdana" w:hAnsi="Verdana" w:cs="Arial"/>
          <w:sz w:val="14"/>
          <w:szCs w:val="14"/>
        </w:rPr>
        <w:t>fines, como órgano técnico especializado, le corresponde formular políticas públicas y normas y unificar los procesos</w:t>
      </w:r>
      <w:r w:rsidRPr="00E11CC9">
        <w:rPr>
          <w:rFonts w:ascii="Verdana" w:hAnsi="Verdana" w:cs="Arial"/>
          <w:spacing w:val="1"/>
          <w:sz w:val="14"/>
          <w:szCs w:val="14"/>
        </w:rPr>
        <w:t xml:space="preserve"> </w:t>
      </w:r>
      <w:r w:rsidRPr="00E11CC9">
        <w:rPr>
          <w:rFonts w:ascii="Verdana" w:hAnsi="Verdana" w:cs="Arial"/>
          <w:sz w:val="14"/>
          <w:szCs w:val="14"/>
        </w:rPr>
        <w:t>de contratación estatal, con el fin de lograr una mayor eficiencia, transparencia y optimización de los recursos del</w:t>
      </w:r>
      <w:r w:rsidRPr="00E11CC9">
        <w:rPr>
          <w:rFonts w:ascii="Verdana" w:hAnsi="Verdana" w:cs="Arial"/>
          <w:spacing w:val="1"/>
          <w:sz w:val="14"/>
          <w:szCs w:val="14"/>
        </w:rPr>
        <w:t xml:space="preserve"> </w:t>
      </w:r>
      <w:r w:rsidRPr="00E11CC9">
        <w:rPr>
          <w:rFonts w:ascii="Verdana" w:hAnsi="Verdana" w:cs="Arial"/>
          <w:sz w:val="14"/>
          <w:szCs w:val="14"/>
        </w:rPr>
        <w:t>Estado. El artículo 3 ibidem señala, de manera precisa, las funciones de Colombia Compra Eficiente. Concretamente,</w:t>
      </w:r>
      <w:r w:rsidRPr="00E11CC9">
        <w:rPr>
          <w:rFonts w:ascii="Verdana" w:hAnsi="Verdana" w:cs="Arial"/>
          <w:spacing w:val="1"/>
          <w:sz w:val="14"/>
          <w:szCs w:val="14"/>
        </w:rPr>
        <w:t xml:space="preserve"> </w:t>
      </w:r>
      <w:r w:rsidRPr="00E11CC9">
        <w:rPr>
          <w:rFonts w:ascii="Verdana" w:hAnsi="Verdana" w:cs="Arial"/>
          <w:sz w:val="14"/>
          <w:szCs w:val="14"/>
        </w:rPr>
        <w:t>el</w:t>
      </w:r>
      <w:r w:rsidRPr="00E11CC9">
        <w:rPr>
          <w:rFonts w:ascii="Verdana" w:hAnsi="Verdana" w:cs="Arial"/>
          <w:spacing w:val="-10"/>
          <w:sz w:val="14"/>
          <w:szCs w:val="14"/>
        </w:rPr>
        <w:t xml:space="preserve"> </w:t>
      </w:r>
      <w:r w:rsidRPr="00E11CC9">
        <w:rPr>
          <w:rFonts w:ascii="Verdana" w:hAnsi="Verdana" w:cs="Arial"/>
          <w:sz w:val="14"/>
          <w:szCs w:val="14"/>
        </w:rPr>
        <w:t>numeral</w:t>
      </w:r>
      <w:r w:rsidRPr="00E11CC9">
        <w:rPr>
          <w:rFonts w:ascii="Verdana" w:hAnsi="Verdana" w:cs="Arial"/>
          <w:spacing w:val="-9"/>
          <w:sz w:val="14"/>
          <w:szCs w:val="14"/>
        </w:rPr>
        <w:t xml:space="preserve"> </w:t>
      </w:r>
      <w:r w:rsidRPr="00E11CC9">
        <w:rPr>
          <w:rFonts w:ascii="Verdana" w:hAnsi="Verdana" w:cs="Arial"/>
          <w:sz w:val="14"/>
          <w:szCs w:val="14"/>
        </w:rPr>
        <w:t>5º</w:t>
      </w:r>
      <w:r w:rsidRPr="00E11CC9">
        <w:rPr>
          <w:rFonts w:ascii="Verdana" w:hAnsi="Verdana" w:cs="Arial"/>
          <w:spacing w:val="-9"/>
          <w:sz w:val="14"/>
          <w:szCs w:val="14"/>
        </w:rPr>
        <w:t xml:space="preserve"> </w:t>
      </w:r>
      <w:r w:rsidRPr="00E11CC9">
        <w:rPr>
          <w:rFonts w:ascii="Verdana" w:hAnsi="Verdana" w:cs="Arial"/>
          <w:sz w:val="14"/>
          <w:szCs w:val="14"/>
        </w:rPr>
        <w:t>de</w:t>
      </w:r>
      <w:r w:rsidRPr="00E11CC9">
        <w:rPr>
          <w:rFonts w:ascii="Verdana" w:hAnsi="Verdana" w:cs="Arial"/>
          <w:spacing w:val="-9"/>
          <w:sz w:val="14"/>
          <w:szCs w:val="14"/>
        </w:rPr>
        <w:t xml:space="preserve"> </w:t>
      </w:r>
      <w:r w:rsidRPr="00E11CC9">
        <w:rPr>
          <w:rFonts w:ascii="Verdana" w:hAnsi="Verdana" w:cs="Arial"/>
          <w:sz w:val="14"/>
          <w:szCs w:val="14"/>
        </w:rPr>
        <w:t>este</w:t>
      </w:r>
      <w:r w:rsidRPr="00E11CC9">
        <w:rPr>
          <w:rFonts w:ascii="Verdana" w:hAnsi="Verdana" w:cs="Arial"/>
          <w:spacing w:val="-9"/>
          <w:sz w:val="14"/>
          <w:szCs w:val="14"/>
        </w:rPr>
        <w:t xml:space="preserve"> </w:t>
      </w:r>
      <w:r w:rsidRPr="00E11CC9">
        <w:rPr>
          <w:rFonts w:ascii="Verdana" w:hAnsi="Verdana" w:cs="Arial"/>
          <w:sz w:val="14"/>
          <w:szCs w:val="14"/>
        </w:rPr>
        <w:t>artículo</w:t>
      </w:r>
      <w:r w:rsidRPr="00E11CC9">
        <w:rPr>
          <w:rFonts w:ascii="Verdana" w:hAnsi="Verdana" w:cs="Arial"/>
          <w:spacing w:val="-9"/>
          <w:sz w:val="14"/>
          <w:szCs w:val="14"/>
        </w:rPr>
        <w:t xml:space="preserve"> </w:t>
      </w:r>
      <w:r w:rsidRPr="00E11CC9">
        <w:rPr>
          <w:rFonts w:ascii="Verdana" w:hAnsi="Verdana" w:cs="Arial"/>
          <w:sz w:val="14"/>
          <w:szCs w:val="14"/>
        </w:rPr>
        <w:t>establece</w:t>
      </w:r>
      <w:r w:rsidRPr="00E11CC9">
        <w:rPr>
          <w:rFonts w:ascii="Verdana" w:hAnsi="Verdana" w:cs="Arial"/>
          <w:spacing w:val="-9"/>
          <w:sz w:val="14"/>
          <w:szCs w:val="14"/>
        </w:rPr>
        <w:t xml:space="preserve"> </w:t>
      </w:r>
      <w:r w:rsidRPr="00E11CC9">
        <w:rPr>
          <w:rFonts w:ascii="Verdana" w:hAnsi="Verdana" w:cs="Arial"/>
          <w:sz w:val="14"/>
          <w:szCs w:val="14"/>
        </w:rPr>
        <w:t>que</w:t>
      </w:r>
      <w:r w:rsidRPr="00E11CC9">
        <w:rPr>
          <w:rFonts w:ascii="Verdana" w:hAnsi="Verdana" w:cs="Arial"/>
          <w:spacing w:val="-9"/>
          <w:sz w:val="14"/>
          <w:szCs w:val="14"/>
        </w:rPr>
        <w:t xml:space="preserve"> </w:t>
      </w:r>
      <w:r w:rsidRPr="00E11CC9">
        <w:rPr>
          <w:rFonts w:ascii="Verdana" w:hAnsi="Verdana" w:cs="Arial"/>
          <w:sz w:val="14"/>
          <w:szCs w:val="14"/>
        </w:rPr>
        <w:t>le</w:t>
      </w:r>
      <w:r w:rsidRPr="00E11CC9">
        <w:rPr>
          <w:rFonts w:ascii="Verdana" w:hAnsi="Verdana" w:cs="Arial"/>
          <w:spacing w:val="-9"/>
          <w:sz w:val="14"/>
          <w:szCs w:val="14"/>
        </w:rPr>
        <w:t xml:space="preserve"> </w:t>
      </w:r>
      <w:r w:rsidRPr="00E11CC9">
        <w:rPr>
          <w:rFonts w:ascii="Verdana" w:hAnsi="Verdana" w:cs="Arial"/>
          <w:sz w:val="14"/>
          <w:szCs w:val="14"/>
        </w:rPr>
        <w:t>corresponde</w:t>
      </w:r>
      <w:r w:rsidRPr="00E11CC9">
        <w:rPr>
          <w:rFonts w:ascii="Verdana" w:hAnsi="Verdana" w:cs="Arial"/>
          <w:spacing w:val="-9"/>
          <w:sz w:val="14"/>
          <w:szCs w:val="14"/>
        </w:rPr>
        <w:t xml:space="preserve"> </w:t>
      </w:r>
      <w:r w:rsidRPr="00E11CC9">
        <w:rPr>
          <w:rFonts w:ascii="Verdana" w:hAnsi="Verdana" w:cs="Arial"/>
          <w:sz w:val="14"/>
          <w:szCs w:val="14"/>
        </w:rPr>
        <w:t>a</w:t>
      </w:r>
      <w:r w:rsidRPr="00E11CC9">
        <w:rPr>
          <w:rFonts w:ascii="Verdana" w:hAnsi="Verdana" w:cs="Arial"/>
          <w:spacing w:val="-9"/>
          <w:sz w:val="14"/>
          <w:szCs w:val="14"/>
        </w:rPr>
        <w:t xml:space="preserve"> </w:t>
      </w:r>
      <w:r w:rsidRPr="00E11CC9">
        <w:rPr>
          <w:rFonts w:ascii="Verdana" w:hAnsi="Verdana" w:cs="Arial"/>
          <w:sz w:val="14"/>
          <w:szCs w:val="14"/>
        </w:rPr>
        <w:t>esta</w:t>
      </w:r>
      <w:r w:rsidRPr="00E11CC9">
        <w:rPr>
          <w:rFonts w:ascii="Verdana" w:hAnsi="Verdana" w:cs="Arial"/>
          <w:spacing w:val="-9"/>
          <w:sz w:val="14"/>
          <w:szCs w:val="14"/>
        </w:rPr>
        <w:t xml:space="preserve"> </w:t>
      </w:r>
      <w:r w:rsidRPr="00E11CC9">
        <w:rPr>
          <w:rFonts w:ascii="Verdana" w:hAnsi="Verdana" w:cs="Arial"/>
          <w:sz w:val="14"/>
          <w:szCs w:val="14"/>
        </w:rPr>
        <w:t>entidad:</w:t>
      </w:r>
      <w:r w:rsidRPr="00E11CC9">
        <w:rPr>
          <w:rFonts w:ascii="Verdana" w:hAnsi="Verdana" w:cs="Arial"/>
          <w:spacing w:val="-9"/>
          <w:sz w:val="14"/>
          <w:szCs w:val="14"/>
        </w:rPr>
        <w:t xml:space="preserve"> “</w:t>
      </w:r>
      <w:r w:rsidRPr="00E11CC9">
        <w:rPr>
          <w:rFonts w:ascii="Verdana" w:hAnsi="Verdana" w:cs="Arial"/>
          <w:sz w:val="14"/>
          <w:szCs w:val="14"/>
        </w:rPr>
        <w:t>[a]bsolver</w:t>
      </w:r>
      <w:r w:rsidRPr="00E11CC9">
        <w:rPr>
          <w:rFonts w:ascii="Verdana" w:hAnsi="Verdana" w:cs="Arial"/>
          <w:spacing w:val="-9"/>
          <w:sz w:val="14"/>
          <w:szCs w:val="14"/>
        </w:rPr>
        <w:t xml:space="preserve"> </w:t>
      </w:r>
      <w:r w:rsidRPr="00E11CC9">
        <w:rPr>
          <w:rFonts w:ascii="Verdana" w:hAnsi="Verdana" w:cs="Arial"/>
          <w:sz w:val="14"/>
          <w:szCs w:val="14"/>
        </w:rPr>
        <w:t>consultas</w:t>
      </w:r>
      <w:r w:rsidRPr="00E11CC9">
        <w:rPr>
          <w:rFonts w:ascii="Verdana" w:hAnsi="Verdana" w:cs="Arial"/>
          <w:spacing w:val="-9"/>
          <w:sz w:val="14"/>
          <w:szCs w:val="14"/>
        </w:rPr>
        <w:t xml:space="preserve"> </w:t>
      </w:r>
      <w:r w:rsidRPr="00E11CC9">
        <w:rPr>
          <w:rFonts w:ascii="Verdana" w:hAnsi="Verdana" w:cs="Arial"/>
          <w:sz w:val="14"/>
          <w:szCs w:val="14"/>
        </w:rPr>
        <w:t>sobre</w:t>
      </w:r>
      <w:r w:rsidRPr="00E11CC9">
        <w:rPr>
          <w:rFonts w:ascii="Verdana" w:hAnsi="Verdana" w:cs="Arial"/>
          <w:spacing w:val="-9"/>
          <w:sz w:val="14"/>
          <w:szCs w:val="14"/>
        </w:rPr>
        <w:t xml:space="preserve"> </w:t>
      </w:r>
      <w:r w:rsidRPr="00E11CC9">
        <w:rPr>
          <w:rFonts w:ascii="Verdana" w:hAnsi="Verdana" w:cs="Arial"/>
          <w:sz w:val="14"/>
          <w:szCs w:val="14"/>
        </w:rPr>
        <w:t>la</w:t>
      </w:r>
      <w:r w:rsidRPr="00E11CC9">
        <w:rPr>
          <w:rFonts w:ascii="Verdana" w:hAnsi="Verdana" w:cs="Arial"/>
          <w:spacing w:val="-9"/>
          <w:sz w:val="14"/>
          <w:szCs w:val="14"/>
        </w:rPr>
        <w:t xml:space="preserve"> </w:t>
      </w:r>
      <w:r w:rsidRPr="00E11CC9">
        <w:rPr>
          <w:rFonts w:ascii="Verdana" w:hAnsi="Verdana" w:cs="Arial"/>
          <w:sz w:val="14"/>
          <w:szCs w:val="14"/>
        </w:rPr>
        <w:t>aplicación</w:t>
      </w:r>
      <w:r w:rsidRPr="00E11CC9">
        <w:rPr>
          <w:rFonts w:ascii="Verdana" w:hAnsi="Verdana" w:cs="Arial"/>
          <w:spacing w:val="-9"/>
          <w:sz w:val="14"/>
          <w:szCs w:val="14"/>
        </w:rPr>
        <w:t xml:space="preserve"> </w:t>
      </w:r>
      <w:r w:rsidRPr="00E11CC9">
        <w:rPr>
          <w:rFonts w:ascii="Verdana" w:hAnsi="Verdana" w:cs="Arial"/>
          <w:sz w:val="14"/>
          <w:szCs w:val="14"/>
        </w:rPr>
        <w:t>de</w:t>
      </w:r>
      <w:r w:rsidRPr="00E11CC9">
        <w:rPr>
          <w:rFonts w:ascii="Verdana" w:hAnsi="Verdana" w:cs="Arial"/>
          <w:spacing w:val="1"/>
          <w:sz w:val="14"/>
          <w:szCs w:val="14"/>
        </w:rPr>
        <w:t xml:space="preserve"> </w:t>
      </w:r>
      <w:r w:rsidRPr="00E11CC9">
        <w:rPr>
          <w:rFonts w:ascii="Verdana" w:hAnsi="Verdana" w:cs="Arial"/>
          <w:spacing w:val="-1"/>
          <w:sz w:val="14"/>
          <w:szCs w:val="14"/>
        </w:rPr>
        <w:t>normas</w:t>
      </w:r>
      <w:r w:rsidRPr="00E11CC9">
        <w:rPr>
          <w:rFonts w:ascii="Verdana" w:hAnsi="Verdana" w:cs="Arial"/>
          <w:spacing w:val="-12"/>
          <w:sz w:val="14"/>
          <w:szCs w:val="14"/>
        </w:rPr>
        <w:t xml:space="preserve"> </w:t>
      </w:r>
      <w:r w:rsidRPr="00E11CC9">
        <w:rPr>
          <w:rFonts w:ascii="Verdana" w:hAnsi="Verdana" w:cs="Arial"/>
          <w:spacing w:val="-1"/>
          <w:sz w:val="14"/>
          <w:szCs w:val="14"/>
        </w:rPr>
        <w:t>de</w:t>
      </w:r>
      <w:r w:rsidRPr="00E11CC9">
        <w:rPr>
          <w:rFonts w:ascii="Verdana" w:hAnsi="Verdana" w:cs="Arial"/>
          <w:spacing w:val="-13"/>
          <w:sz w:val="14"/>
          <w:szCs w:val="14"/>
        </w:rPr>
        <w:t xml:space="preserve"> </w:t>
      </w:r>
      <w:r w:rsidRPr="00E11CC9">
        <w:rPr>
          <w:rFonts w:ascii="Verdana" w:hAnsi="Verdana" w:cs="Arial"/>
          <w:spacing w:val="-1"/>
          <w:sz w:val="14"/>
          <w:szCs w:val="14"/>
        </w:rPr>
        <w:t>carácter</w:t>
      </w:r>
      <w:r w:rsidRPr="00E11CC9">
        <w:rPr>
          <w:rFonts w:ascii="Verdana" w:hAnsi="Verdana" w:cs="Arial"/>
          <w:spacing w:val="-13"/>
          <w:sz w:val="14"/>
          <w:szCs w:val="14"/>
        </w:rPr>
        <w:t xml:space="preserve"> </w:t>
      </w:r>
      <w:r w:rsidRPr="00E11CC9">
        <w:rPr>
          <w:rFonts w:ascii="Verdana" w:hAnsi="Verdana" w:cs="Arial"/>
          <w:spacing w:val="-1"/>
          <w:sz w:val="14"/>
          <w:szCs w:val="14"/>
        </w:rPr>
        <w:t>general</w:t>
      </w:r>
      <w:r w:rsidRPr="00E11CC9">
        <w:rPr>
          <w:rFonts w:ascii="Verdana" w:hAnsi="Verdana" w:cs="Arial"/>
          <w:spacing w:val="-12"/>
          <w:sz w:val="14"/>
          <w:szCs w:val="14"/>
        </w:rPr>
        <w:t xml:space="preserve"> </w:t>
      </w:r>
      <w:r w:rsidRPr="00E11CC9">
        <w:rPr>
          <w:rFonts w:ascii="Verdana" w:hAnsi="Verdana" w:cs="Arial"/>
          <w:spacing w:val="-1"/>
          <w:sz w:val="14"/>
          <w:szCs w:val="14"/>
        </w:rPr>
        <w:t>y</w:t>
      </w:r>
      <w:r w:rsidRPr="00E11CC9">
        <w:rPr>
          <w:rFonts w:ascii="Verdana" w:hAnsi="Verdana" w:cs="Arial"/>
          <w:spacing w:val="-13"/>
          <w:sz w:val="14"/>
          <w:szCs w:val="14"/>
        </w:rPr>
        <w:t xml:space="preserve"> </w:t>
      </w:r>
      <w:r w:rsidRPr="00E11CC9">
        <w:rPr>
          <w:rFonts w:ascii="Verdana" w:hAnsi="Verdana" w:cs="Arial"/>
          <w:spacing w:val="-1"/>
          <w:sz w:val="14"/>
          <w:szCs w:val="14"/>
        </w:rPr>
        <w:t>expedir</w:t>
      </w:r>
      <w:r w:rsidRPr="00E11CC9">
        <w:rPr>
          <w:rFonts w:ascii="Verdana" w:hAnsi="Verdana" w:cs="Arial"/>
          <w:spacing w:val="-12"/>
          <w:sz w:val="14"/>
          <w:szCs w:val="14"/>
        </w:rPr>
        <w:t xml:space="preserve"> </w:t>
      </w:r>
      <w:r w:rsidRPr="00E11CC9">
        <w:rPr>
          <w:rFonts w:ascii="Verdana" w:hAnsi="Verdana" w:cs="Arial"/>
          <w:spacing w:val="-1"/>
          <w:sz w:val="14"/>
          <w:szCs w:val="14"/>
        </w:rPr>
        <w:t>circulares</w:t>
      </w:r>
      <w:r w:rsidRPr="00E11CC9">
        <w:rPr>
          <w:rFonts w:ascii="Verdana" w:hAnsi="Verdana" w:cs="Arial"/>
          <w:spacing w:val="-13"/>
          <w:sz w:val="14"/>
          <w:szCs w:val="14"/>
        </w:rPr>
        <w:t xml:space="preserve"> </w:t>
      </w:r>
      <w:r w:rsidRPr="00E11CC9">
        <w:rPr>
          <w:rFonts w:ascii="Verdana" w:hAnsi="Verdana" w:cs="Arial"/>
          <w:spacing w:val="-1"/>
          <w:sz w:val="14"/>
          <w:szCs w:val="14"/>
        </w:rPr>
        <w:t>externas</w:t>
      </w:r>
      <w:r w:rsidRPr="00E11CC9">
        <w:rPr>
          <w:rFonts w:ascii="Verdana" w:hAnsi="Verdana" w:cs="Arial"/>
          <w:spacing w:val="-12"/>
          <w:sz w:val="14"/>
          <w:szCs w:val="14"/>
        </w:rPr>
        <w:t xml:space="preserve"> </w:t>
      </w:r>
      <w:r w:rsidRPr="00E11CC9">
        <w:rPr>
          <w:rFonts w:ascii="Verdana" w:hAnsi="Verdana" w:cs="Arial"/>
          <w:sz w:val="14"/>
          <w:szCs w:val="14"/>
        </w:rPr>
        <w:t>en</w:t>
      </w:r>
      <w:r w:rsidRPr="00E11CC9">
        <w:rPr>
          <w:rFonts w:ascii="Verdana" w:hAnsi="Verdana" w:cs="Arial"/>
          <w:spacing w:val="-13"/>
          <w:sz w:val="14"/>
          <w:szCs w:val="14"/>
        </w:rPr>
        <w:t xml:space="preserve"> </w:t>
      </w:r>
      <w:r w:rsidRPr="00E11CC9">
        <w:rPr>
          <w:rFonts w:ascii="Verdana" w:hAnsi="Verdana" w:cs="Arial"/>
          <w:sz w:val="14"/>
          <w:szCs w:val="14"/>
        </w:rPr>
        <w:t>materia</w:t>
      </w:r>
      <w:r w:rsidRPr="00E11CC9">
        <w:rPr>
          <w:rFonts w:ascii="Verdana" w:hAnsi="Verdana" w:cs="Arial"/>
          <w:spacing w:val="-13"/>
          <w:sz w:val="14"/>
          <w:szCs w:val="14"/>
        </w:rPr>
        <w:t xml:space="preserve"> </w:t>
      </w:r>
      <w:r w:rsidRPr="00E11CC9">
        <w:rPr>
          <w:rFonts w:ascii="Verdana" w:hAnsi="Verdana" w:cs="Arial"/>
          <w:sz w:val="14"/>
          <w:szCs w:val="14"/>
        </w:rPr>
        <w:t>de</w:t>
      </w:r>
      <w:r w:rsidRPr="00E11CC9">
        <w:rPr>
          <w:rFonts w:ascii="Verdana" w:hAnsi="Verdana" w:cs="Arial"/>
          <w:spacing w:val="-13"/>
          <w:sz w:val="14"/>
          <w:szCs w:val="14"/>
        </w:rPr>
        <w:t xml:space="preserve"> </w:t>
      </w:r>
      <w:r w:rsidRPr="00E11CC9">
        <w:rPr>
          <w:rFonts w:ascii="Verdana" w:hAnsi="Verdana" w:cs="Arial"/>
          <w:sz w:val="14"/>
          <w:szCs w:val="14"/>
        </w:rPr>
        <w:t>compras</w:t>
      </w:r>
      <w:r w:rsidRPr="00E11CC9">
        <w:rPr>
          <w:rFonts w:ascii="Verdana" w:hAnsi="Verdana" w:cs="Arial"/>
          <w:spacing w:val="-13"/>
          <w:sz w:val="14"/>
          <w:szCs w:val="14"/>
        </w:rPr>
        <w:t xml:space="preserve"> </w:t>
      </w:r>
      <w:r w:rsidRPr="00E11CC9">
        <w:rPr>
          <w:rFonts w:ascii="Verdana" w:hAnsi="Verdana" w:cs="Arial"/>
          <w:sz w:val="14"/>
          <w:szCs w:val="14"/>
        </w:rPr>
        <w:t>y</w:t>
      </w:r>
      <w:r w:rsidRPr="00E11CC9">
        <w:rPr>
          <w:rFonts w:ascii="Verdana" w:hAnsi="Verdana" w:cs="Arial"/>
          <w:spacing w:val="-13"/>
          <w:sz w:val="14"/>
          <w:szCs w:val="14"/>
        </w:rPr>
        <w:t xml:space="preserve"> </w:t>
      </w:r>
      <w:r w:rsidRPr="00E11CC9">
        <w:rPr>
          <w:rFonts w:ascii="Verdana" w:hAnsi="Verdana" w:cs="Arial"/>
          <w:sz w:val="14"/>
          <w:szCs w:val="14"/>
        </w:rPr>
        <w:t>contratación</w:t>
      </w:r>
      <w:r w:rsidRPr="00E11CC9">
        <w:rPr>
          <w:rFonts w:ascii="Verdana" w:hAnsi="Verdana" w:cs="Arial"/>
          <w:spacing w:val="-13"/>
          <w:sz w:val="14"/>
          <w:szCs w:val="14"/>
        </w:rPr>
        <w:t xml:space="preserve"> </w:t>
      </w:r>
      <w:r w:rsidRPr="00E11CC9">
        <w:rPr>
          <w:rFonts w:ascii="Verdana" w:hAnsi="Verdana" w:cs="Arial"/>
          <w:sz w:val="14"/>
          <w:szCs w:val="14"/>
        </w:rPr>
        <w:t>pública».</w:t>
      </w:r>
      <w:r w:rsidRPr="00E11CC9">
        <w:rPr>
          <w:rFonts w:ascii="Verdana" w:hAnsi="Verdana" w:cs="Arial"/>
          <w:spacing w:val="-12"/>
          <w:sz w:val="14"/>
          <w:szCs w:val="14"/>
        </w:rPr>
        <w:t xml:space="preserve"> </w:t>
      </w:r>
      <w:r w:rsidRPr="00E11CC9">
        <w:rPr>
          <w:rFonts w:ascii="Verdana" w:hAnsi="Verdana" w:cs="Arial"/>
          <w:sz w:val="14"/>
          <w:szCs w:val="14"/>
        </w:rPr>
        <w:t>Seguidamente,</w:t>
      </w:r>
      <w:r w:rsidRPr="00E11CC9">
        <w:rPr>
          <w:rFonts w:ascii="Verdana" w:hAnsi="Verdana" w:cs="Arial"/>
          <w:spacing w:val="1"/>
          <w:sz w:val="14"/>
          <w:szCs w:val="14"/>
        </w:rPr>
        <w:t xml:space="preserve"> </w:t>
      </w:r>
      <w:r w:rsidRPr="00E11CC9">
        <w:rPr>
          <w:rFonts w:ascii="Verdana" w:hAnsi="Verdana" w:cs="Arial"/>
          <w:sz w:val="14"/>
          <w:szCs w:val="14"/>
        </w:rPr>
        <w:t>el numeral 8º del artículo</w:t>
      </w:r>
      <w:r w:rsidRPr="0063536A">
        <w:rPr>
          <w:rFonts w:ascii="Verdana" w:hAnsi="Verdana" w:cs="Arial"/>
          <w:sz w:val="16"/>
          <w:szCs w:val="16"/>
        </w:rPr>
        <w:t xml:space="preserve"> 11 ibidem señala que es función </w:t>
      </w:r>
      <w:r w:rsidRPr="00E11CC9">
        <w:rPr>
          <w:rFonts w:ascii="Verdana" w:hAnsi="Verdana" w:cs="Arial"/>
          <w:sz w:val="14"/>
          <w:szCs w:val="14"/>
        </w:rPr>
        <w:t>de la Subdirección de Gestión Contractual: “[a]bsolver</w:t>
      </w:r>
      <w:r w:rsidRPr="00E11CC9">
        <w:rPr>
          <w:rFonts w:ascii="Verdana" w:hAnsi="Verdana" w:cs="Arial"/>
          <w:spacing w:val="1"/>
          <w:sz w:val="14"/>
          <w:szCs w:val="14"/>
        </w:rPr>
        <w:t xml:space="preserve"> </w:t>
      </w:r>
      <w:r w:rsidRPr="00E11CC9">
        <w:rPr>
          <w:rFonts w:ascii="Verdana" w:hAnsi="Verdana" w:cs="Arial"/>
          <w:sz w:val="14"/>
          <w:szCs w:val="14"/>
        </w:rPr>
        <w:t>consultas</w:t>
      </w:r>
      <w:r w:rsidRPr="00E11CC9">
        <w:rPr>
          <w:rFonts w:ascii="Verdana" w:hAnsi="Verdana" w:cs="Arial"/>
          <w:spacing w:val="-2"/>
          <w:sz w:val="14"/>
          <w:szCs w:val="14"/>
        </w:rPr>
        <w:t xml:space="preserve"> </w:t>
      </w:r>
      <w:r w:rsidRPr="00E11CC9">
        <w:rPr>
          <w:rFonts w:ascii="Verdana" w:hAnsi="Verdana" w:cs="Arial"/>
          <w:sz w:val="14"/>
          <w:szCs w:val="14"/>
        </w:rPr>
        <w:t>sobre</w:t>
      </w:r>
      <w:r w:rsidRPr="00E11CC9">
        <w:rPr>
          <w:rFonts w:ascii="Verdana" w:hAnsi="Verdana" w:cs="Arial"/>
          <w:spacing w:val="-1"/>
          <w:sz w:val="14"/>
          <w:szCs w:val="14"/>
        </w:rPr>
        <w:t xml:space="preserve"> </w:t>
      </w:r>
      <w:r w:rsidRPr="00E11CC9">
        <w:rPr>
          <w:rFonts w:ascii="Verdana" w:hAnsi="Verdana" w:cs="Arial"/>
          <w:sz w:val="14"/>
          <w:szCs w:val="14"/>
        </w:rPr>
        <w:t>la</w:t>
      </w:r>
      <w:r w:rsidRPr="00E11CC9">
        <w:rPr>
          <w:rFonts w:ascii="Verdana" w:hAnsi="Verdana" w:cs="Arial"/>
          <w:spacing w:val="-1"/>
          <w:sz w:val="14"/>
          <w:szCs w:val="14"/>
        </w:rPr>
        <w:t xml:space="preserve"> </w:t>
      </w:r>
      <w:r w:rsidRPr="00E11CC9">
        <w:rPr>
          <w:rFonts w:ascii="Verdana" w:hAnsi="Verdana" w:cs="Arial"/>
          <w:sz w:val="14"/>
          <w:szCs w:val="14"/>
        </w:rPr>
        <w:t>aplicación</w:t>
      </w:r>
      <w:r w:rsidRPr="00E11CC9">
        <w:rPr>
          <w:rFonts w:ascii="Verdana" w:hAnsi="Verdana" w:cs="Arial"/>
          <w:spacing w:val="-2"/>
          <w:sz w:val="14"/>
          <w:szCs w:val="14"/>
        </w:rPr>
        <w:t xml:space="preserve"> </w:t>
      </w:r>
      <w:r w:rsidRPr="00E11CC9">
        <w:rPr>
          <w:rFonts w:ascii="Verdana" w:hAnsi="Verdana" w:cs="Arial"/>
          <w:sz w:val="14"/>
          <w:szCs w:val="14"/>
        </w:rPr>
        <w:t>de</w:t>
      </w:r>
      <w:r w:rsidRPr="00E11CC9">
        <w:rPr>
          <w:rFonts w:ascii="Verdana" w:hAnsi="Verdana" w:cs="Arial"/>
          <w:spacing w:val="-1"/>
          <w:sz w:val="14"/>
          <w:szCs w:val="14"/>
        </w:rPr>
        <w:t xml:space="preserve"> </w:t>
      </w:r>
      <w:r w:rsidRPr="00E11CC9">
        <w:rPr>
          <w:rFonts w:ascii="Verdana" w:hAnsi="Verdana" w:cs="Arial"/>
          <w:sz w:val="14"/>
          <w:szCs w:val="14"/>
        </w:rPr>
        <w:t>normas</w:t>
      </w:r>
      <w:r w:rsidRPr="00E11CC9">
        <w:rPr>
          <w:rFonts w:ascii="Verdana" w:hAnsi="Verdana" w:cs="Arial"/>
          <w:spacing w:val="-1"/>
          <w:sz w:val="14"/>
          <w:szCs w:val="14"/>
        </w:rPr>
        <w:t xml:space="preserve"> </w:t>
      </w:r>
      <w:r w:rsidRPr="00E11CC9">
        <w:rPr>
          <w:rFonts w:ascii="Verdana" w:hAnsi="Verdana" w:cs="Arial"/>
          <w:sz w:val="14"/>
          <w:szCs w:val="14"/>
        </w:rPr>
        <w:t>de</w:t>
      </w:r>
      <w:r w:rsidRPr="00E11CC9">
        <w:rPr>
          <w:rFonts w:ascii="Verdana" w:hAnsi="Verdana" w:cs="Arial"/>
          <w:spacing w:val="-1"/>
          <w:sz w:val="14"/>
          <w:szCs w:val="14"/>
        </w:rPr>
        <w:t xml:space="preserve"> </w:t>
      </w:r>
      <w:r w:rsidRPr="00E11CC9">
        <w:rPr>
          <w:rFonts w:ascii="Verdana" w:hAnsi="Verdana" w:cs="Arial"/>
          <w:sz w:val="14"/>
          <w:szCs w:val="14"/>
        </w:rPr>
        <w:t>carácter</w:t>
      </w:r>
      <w:r w:rsidRPr="00E11CC9">
        <w:rPr>
          <w:rFonts w:ascii="Verdana" w:hAnsi="Verdana" w:cs="Arial"/>
          <w:spacing w:val="-2"/>
          <w:sz w:val="14"/>
          <w:szCs w:val="14"/>
        </w:rPr>
        <w:t xml:space="preserve"> </w:t>
      </w:r>
      <w:r w:rsidRPr="00E11CC9">
        <w:rPr>
          <w:rFonts w:ascii="Verdana" w:hAnsi="Verdana" w:cs="Arial"/>
          <w:sz w:val="14"/>
          <w:szCs w:val="14"/>
        </w:rPr>
        <w:t>general”.</w:t>
      </w:r>
    </w:p>
    <w:p w14:paraId="701FCAD4" w14:textId="77777777" w:rsidR="005374E9" w:rsidRPr="00E11CC9" w:rsidRDefault="005374E9" w:rsidP="005374E9">
      <w:pPr>
        <w:pStyle w:val="Textonotapie"/>
        <w:contextualSpacing/>
        <w:jc w:val="both"/>
        <w:rPr>
          <w:rFonts w:ascii="Verdana" w:hAnsi="Verdana" w:cs="Arial"/>
          <w:sz w:val="14"/>
          <w:szCs w:val="14"/>
        </w:rPr>
      </w:pPr>
    </w:p>
  </w:footnote>
  <w:footnote w:id="2">
    <w:p w14:paraId="0EB5196F" w14:textId="77777777" w:rsidR="005374E9" w:rsidRPr="00AE5E82" w:rsidRDefault="005374E9" w:rsidP="005374E9">
      <w:pPr>
        <w:pStyle w:val="Textonotapie"/>
        <w:ind w:firstLine="708"/>
        <w:contextualSpacing/>
        <w:jc w:val="both"/>
        <w:rPr>
          <w:rFonts w:ascii="Verdana" w:hAnsi="Verdana" w:cs="Arial"/>
          <w:sz w:val="14"/>
          <w:szCs w:val="14"/>
        </w:rPr>
      </w:pPr>
      <w:r w:rsidRPr="00AE5E82">
        <w:rPr>
          <w:rStyle w:val="Refdenotaalpie"/>
          <w:rFonts w:ascii="Verdana" w:hAnsi="Verdana" w:cs="Arial"/>
          <w:sz w:val="14"/>
          <w:szCs w:val="14"/>
        </w:rPr>
        <w:footnoteRef/>
      </w:r>
      <w:r w:rsidRPr="00AE5E82">
        <w:rPr>
          <w:rFonts w:ascii="Verdana" w:hAnsi="Verdana" w:cs="Arial"/>
          <w:sz w:val="14"/>
          <w:szCs w:val="14"/>
        </w:rPr>
        <w:t xml:space="preserve"> Procuraduría</w:t>
      </w:r>
      <w:r w:rsidRPr="00AE5E82">
        <w:rPr>
          <w:rFonts w:ascii="Verdana" w:hAnsi="Verdana" w:cs="Arial"/>
          <w:spacing w:val="25"/>
          <w:sz w:val="14"/>
          <w:szCs w:val="14"/>
        </w:rPr>
        <w:t xml:space="preserve"> </w:t>
      </w:r>
      <w:r w:rsidRPr="00AE5E82">
        <w:rPr>
          <w:rFonts w:ascii="Verdana" w:hAnsi="Verdana" w:cs="Arial"/>
          <w:sz w:val="14"/>
          <w:szCs w:val="14"/>
        </w:rPr>
        <w:t>General</w:t>
      </w:r>
      <w:r w:rsidRPr="00AE5E82">
        <w:rPr>
          <w:rFonts w:ascii="Verdana" w:hAnsi="Verdana" w:cs="Arial"/>
          <w:spacing w:val="23"/>
          <w:sz w:val="14"/>
          <w:szCs w:val="14"/>
        </w:rPr>
        <w:t xml:space="preserve"> </w:t>
      </w:r>
      <w:r w:rsidRPr="00AE5E82">
        <w:rPr>
          <w:rFonts w:ascii="Verdana" w:hAnsi="Verdana" w:cs="Arial"/>
          <w:sz w:val="14"/>
          <w:szCs w:val="14"/>
        </w:rPr>
        <w:t>de</w:t>
      </w:r>
      <w:r w:rsidRPr="00AE5E82">
        <w:rPr>
          <w:rFonts w:ascii="Verdana" w:hAnsi="Verdana" w:cs="Arial"/>
          <w:spacing w:val="23"/>
          <w:sz w:val="14"/>
          <w:szCs w:val="14"/>
        </w:rPr>
        <w:t xml:space="preserve"> </w:t>
      </w:r>
      <w:r w:rsidRPr="00AE5E82">
        <w:rPr>
          <w:rFonts w:ascii="Verdana" w:hAnsi="Verdana" w:cs="Arial"/>
          <w:sz w:val="14"/>
          <w:szCs w:val="14"/>
        </w:rPr>
        <w:t>la</w:t>
      </w:r>
      <w:r w:rsidRPr="00AE5E82">
        <w:rPr>
          <w:rFonts w:ascii="Verdana" w:hAnsi="Verdana" w:cs="Arial"/>
          <w:spacing w:val="23"/>
          <w:sz w:val="14"/>
          <w:szCs w:val="14"/>
        </w:rPr>
        <w:t xml:space="preserve"> </w:t>
      </w:r>
      <w:r w:rsidRPr="00AE5E82">
        <w:rPr>
          <w:rFonts w:ascii="Verdana" w:hAnsi="Verdana" w:cs="Arial"/>
          <w:sz w:val="14"/>
          <w:szCs w:val="14"/>
        </w:rPr>
        <w:t>Nación.</w:t>
      </w:r>
      <w:r w:rsidRPr="00AE5E82">
        <w:rPr>
          <w:rFonts w:ascii="Verdana" w:hAnsi="Verdana" w:cs="Arial"/>
          <w:spacing w:val="23"/>
          <w:sz w:val="14"/>
          <w:szCs w:val="14"/>
        </w:rPr>
        <w:t xml:space="preserve"> </w:t>
      </w:r>
      <w:r w:rsidRPr="00AE5E82">
        <w:rPr>
          <w:rFonts w:ascii="Verdana" w:hAnsi="Verdana" w:cs="Arial"/>
          <w:sz w:val="14"/>
          <w:szCs w:val="14"/>
        </w:rPr>
        <w:t>Concepto</w:t>
      </w:r>
      <w:r w:rsidRPr="00AE5E82">
        <w:rPr>
          <w:rFonts w:ascii="Verdana" w:hAnsi="Verdana" w:cs="Arial"/>
          <w:spacing w:val="22"/>
          <w:sz w:val="14"/>
          <w:szCs w:val="14"/>
        </w:rPr>
        <w:t xml:space="preserve"> </w:t>
      </w:r>
      <w:r w:rsidRPr="00AE5E82">
        <w:rPr>
          <w:rFonts w:ascii="Verdana" w:hAnsi="Verdana" w:cs="Arial"/>
          <w:sz w:val="14"/>
          <w:szCs w:val="14"/>
        </w:rPr>
        <w:t>del</w:t>
      </w:r>
      <w:r w:rsidRPr="00AE5E82">
        <w:rPr>
          <w:rFonts w:ascii="Verdana" w:hAnsi="Verdana" w:cs="Arial"/>
          <w:spacing w:val="23"/>
          <w:sz w:val="14"/>
          <w:szCs w:val="14"/>
        </w:rPr>
        <w:t xml:space="preserve"> </w:t>
      </w:r>
      <w:r w:rsidRPr="00AE5E82">
        <w:rPr>
          <w:rFonts w:ascii="Verdana" w:hAnsi="Verdana" w:cs="Arial"/>
          <w:sz w:val="14"/>
          <w:szCs w:val="14"/>
        </w:rPr>
        <w:t>15</w:t>
      </w:r>
      <w:r w:rsidRPr="00AE5E82">
        <w:rPr>
          <w:rFonts w:ascii="Verdana" w:hAnsi="Verdana" w:cs="Arial"/>
          <w:spacing w:val="23"/>
          <w:sz w:val="14"/>
          <w:szCs w:val="14"/>
        </w:rPr>
        <w:t xml:space="preserve"> </w:t>
      </w:r>
      <w:r w:rsidRPr="00AE5E82">
        <w:rPr>
          <w:rFonts w:ascii="Verdana" w:hAnsi="Verdana" w:cs="Arial"/>
          <w:sz w:val="14"/>
          <w:szCs w:val="14"/>
        </w:rPr>
        <w:t>de</w:t>
      </w:r>
      <w:r w:rsidRPr="00AE5E82">
        <w:rPr>
          <w:rFonts w:ascii="Verdana" w:hAnsi="Verdana" w:cs="Arial"/>
          <w:spacing w:val="22"/>
          <w:sz w:val="14"/>
          <w:szCs w:val="14"/>
        </w:rPr>
        <w:t xml:space="preserve"> </w:t>
      </w:r>
      <w:r w:rsidRPr="00AE5E82">
        <w:rPr>
          <w:rFonts w:ascii="Verdana" w:hAnsi="Verdana" w:cs="Arial"/>
          <w:sz w:val="14"/>
          <w:szCs w:val="14"/>
        </w:rPr>
        <w:t>octubre</w:t>
      </w:r>
      <w:r w:rsidRPr="00AE5E82">
        <w:rPr>
          <w:rFonts w:ascii="Verdana" w:hAnsi="Verdana" w:cs="Arial"/>
          <w:spacing w:val="23"/>
          <w:sz w:val="14"/>
          <w:szCs w:val="14"/>
        </w:rPr>
        <w:t xml:space="preserve"> </w:t>
      </w:r>
      <w:r w:rsidRPr="00AE5E82">
        <w:rPr>
          <w:rFonts w:ascii="Verdana" w:hAnsi="Verdana" w:cs="Arial"/>
          <w:sz w:val="14"/>
          <w:szCs w:val="14"/>
        </w:rPr>
        <w:t>de</w:t>
      </w:r>
      <w:r w:rsidRPr="00AE5E82">
        <w:rPr>
          <w:rFonts w:ascii="Verdana" w:hAnsi="Verdana" w:cs="Arial"/>
          <w:spacing w:val="23"/>
          <w:sz w:val="14"/>
          <w:szCs w:val="14"/>
        </w:rPr>
        <w:t xml:space="preserve"> </w:t>
      </w:r>
      <w:r w:rsidRPr="00AE5E82">
        <w:rPr>
          <w:rFonts w:ascii="Verdana" w:hAnsi="Verdana" w:cs="Arial"/>
          <w:sz w:val="14"/>
          <w:szCs w:val="14"/>
        </w:rPr>
        <w:t>2014.</w:t>
      </w:r>
      <w:r w:rsidRPr="00AE5E82">
        <w:rPr>
          <w:rFonts w:ascii="Verdana" w:hAnsi="Verdana" w:cs="Arial"/>
          <w:spacing w:val="22"/>
          <w:sz w:val="14"/>
          <w:szCs w:val="14"/>
        </w:rPr>
        <w:t xml:space="preserve"> </w:t>
      </w:r>
      <w:r w:rsidRPr="00AE5E82">
        <w:rPr>
          <w:rFonts w:ascii="Verdana" w:hAnsi="Verdana" w:cs="Arial"/>
          <w:sz w:val="14"/>
          <w:szCs w:val="14"/>
        </w:rPr>
        <w:t>Procuraduría</w:t>
      </w:r>
      <w:r w:rsidRPr="00AE5E82">
        <w:rPr>
          <w:rFonts w:ascii="Verdana" w:hAnsi="Verdana" w:cs="Arial"/>
          <w:spacing w:val="25"/>
          <w:sz w:val="14"/>
          <w:szCs w:val="14"/>
        </w:rPr>
        <w:t xml:space="preserve"> </w:t>
      </w:r>
      <w:r w:rsidRPr="00AE5E82">
        <w:rPr>
          <w:rFonts w:ascii="Verdana" w:hAnsi="Verdana" w:cs="Arial"/>
          <w:sz w:val="14"/>
          <w:szCs w:val="14"/>
        </w:rPr>
        <w:t>Delegada</w:t>
      </w:r>
      <w:r w:rsidRPr="00AE5E82">
        <w:rPr>
          <w:rFonts w:ascii="Verdana" w:hAnsi="Verdana" w:cs="Arial"/>
          <w:spacing w:val="23"/>
          <w:sz w:val="14"/>
          <w:szCs w:val="14"/>
        </w:rPr>
        <w:t xml:space="preserve"> </w:t>
      </w:r>
      <w:r w:rsidRPr="00AE5E82">
        <w:rPr>
          <w:rFonts w:ascii="Verdana" w:hAnsi="Verdana" w:cs="Arial"/>
          <w:sz w:val="14"/>
          <w:szCs w:val="14"/>
        </w:rPr>
        <w:t>para</w:t>
      </w:r>
      <w:r w:rsidRPr="00AE5E82">
        <w:rPr>
          <w:rFonts w:ascii="Verdana" w:hAnsi="Verdana" w:cs="Arial"/>
          <w:spacing w:val="1"/>
          <w:sz w:val="14"/>
          <w:szCs w:val="14"/>
        </w:rPr>
        <w:t xml:space="preserve"> </w:t>
      </w:r>
      <w:r w:rsidRPr="00AE5E82">
        <w:rPr>
          <w:rFonts w:ascii="Verdana" w:hAnsi="Verdana" w:cs="Arial"/>
          <w:sz w:val="14"/>
          <w:szCs w:val="14"/>
        </w:rPr>
        <w:t>Asuntos</w:t>
      </w:r>
      <w:r w:rsidRPr="00AE5E82">
        <w:rPr>
          <w:rFonts w:ascii="Verdana" w:hAnsi="Verdana" w:cs="Arial"/>
          <w:spacing w:val="-2"/>
          <w:sz w:val="14"/>
          <w:szCs w:val="14"/>
        </w:rPr>
        <w:t xml:space="preserve"> </w:t>
      </w:r>
      <w:r w:rsidRPr="00AE5E82">
        <w:rPr>
          <w:rFonts w:ascii="Verdana" w:hAnsi="Verdana" w:cs="Arial"/>
          <w:sz w:val="14"/>
          <w:szCs w:val="14"/>
        </w:rPr>
        <w:t>Disciplinarios.</w:t>
      </w:r>
      <w:r w:rsidRPr="00AE5E82">
        <w:rPr>
          <w:rFonts w:ascii="Verdana" w:hAnsi="Verdana" w:cs="Arial"/>
          <w:spacing w:val="-1"/>
          <w:sz w:val="14"/>
          <w:szCs w:val="14"/>
        </w:rPr>
        <w:t xml:space="preserve"> </w:t>
      </w:r>
      <w:r w:rsidRPr="00AE5E82">
        <w:rPr>
          <w:rFonts w:ascii="Verdana" w:hAnsi="Verdana" w:cs="Arial"/>
          <w:sz w:val="14"/>
          <w:szCs w:val="14"/>
        </w:rPr>
        <w:t>Radicado</w:t>
      </w:r>
      <w:r w:rsidRPr="00AE5E82">
        <w:rPr>
          <w:rFonts w:ascii="Verdana" w:hAnsi="Verdana" w:cs="Arial"/>
          <w:spacing w:val="-2"/>
          <w:sz w:val="14"/>
          <w:szCs w:val="14"/>
        </w:rPr>
        <w:t xml:space="preserve"> </w:t>
      </w:r>
      <w:r w:rsidRPr="00AE5E82">
        <w:rPr>
          <w:rFonts w:ascii="Verdana" w:hAnsi="Verdana" w:cs="Arial"/>
          <w:sz w:val="14"/>
          <w:szCs w:val="14"/>
        </w:rPr>
        <w:t>PAD</w:t>
      </w:r>
      <w:r w:rsidRPr="00AE5E82">
        <w:rPr>
          <w:rFonts w:ascii="Verdana" w:hAnsi="Verdana" w:cs="Arial"/>
          <w:spacing w:val="-1"/>
          <w:sz w:val="14"/>
          <w:szCs w:val="14"/>
        </w:rPr>
        <w:t xml:space="preserve"> </w:t>
      </w:r>
      <w:r w:rsidRPr="00AE5E82">
        <w:rPr>
          <w:rFonts w:ascii="Verdana" w:hAnsi="Verdana" w:cs="Arial"/>
          <w:sz w:val="14"/>
          <w:szCs w:val="14"/>
        </w:rPr>
        <w:t>C-114-2014.</w:t>
      </w:r>
    </w:p>
    <w:p w14:paraId="549D78E3" w14:textId="77777777" w:rsidR="005374E9" w:rsidRPr="00AE5E82" w:rsidRDefault="005374E9" w:rsidP="005374E9">
      <w:pPr>
        <w:pStyle w:val="Textonotapie"/>
        <w:ind w:firstLine="708"/>
        <w:contextualSpacing/>
        <w:jc w:val="both"/>
        <w:rPr>
          <w:rFonts w:ascii="Verdana" w:hAnsi="Verdana" w:cs="Arial"/>
          <w:sz w:val="14"/>
          <w:szCs w:val="14"/>
        </w:rPr>
      </w:pPr>
    </w:p>
  </w:footnote>
  <w:footnote w:id="3">
    <w:p w14:paraId="383373D5" w14:textId="77777777" w:rsidR="005374E9" w:rsidRPr="00AE5E82" w:rsidRDefault="005374E9" w:rsidP="005374E9">
      <w:pPr>
        <w:pStyle w:val="Textonotapie"/>
        <w:ind w:firstLine="708"/>
        <w:contextualSpacing/>
        <w:jc w:val="both"/>
        <w:rPr>
          <w:rFonts w:ascii="Verdana" w:hAnsi="Verdana" w:cs="Arial"/>
          <w:sz w:val="14"/>
          <w:szCs w:val="14"/>
        </w:rPr>
      </w:pPr>
      <w:r w:rsidRPr="00AE5E82">
        <w:rPr>
          <w:rStyle w:val="Refdenotaalpie"/>
          <w:rFonts w:ascii="Verdana" w:hAnsi="Verdana" w:cs="Arial"/>
          <w:sz w:val="14"/>
          <w:szCs w:val="14"/>
        </w:rPr>
        <w:footnoteRef/>
      </w:r>
      <w:r w:rsidRPr="00AE5E82">
        <w:rPr>
          <w:rFonts w:ascii="Verdana" w:hAnsi="Verdana" w:cs="Arial"/>
          <w:sz w:val="14"/>
          <w:szCs w:val="14"/>
        </w:rPr>
        <w:t xml:space="preserve"> Contraloría</w:t>
      </w:r>
      <w:r w:rsidRPr="00AE5E82">
        <w:rPr>
          <w:rFonts w:ascii="Verdana" w:hAnsi="Verdana" w:cs="Arial"/>
          <w:spacing w:val="-6"/>
          <w:sz w:val="14"/>
          <w:szCs w:val="14"/>
        </w:rPr>
        <w:t xml:space="preserve"> </w:t>
      </w:r>
      <w:r w:rsidRPr="00AE5E82">
        <w:rPr>
          <w:rFonts w:ascii="Verdana" w:hAnsi="Verdana" w:cs="Arial"/>
          <w:sz w:val="14"/>
          <w:szCs w:val="14"/>
        </w:rPr>
        <w:t>General</w:t>
      </w:r>
      <w:r w:rsidRPr="00AE5E82">
        <w:rPr>
          <w:rFonts w:ascii="Verdana" w:hAnsi="Verdana" w:cs="Arial"/>
          <w:spacing w:val="-6"/>
          <w:sz w:val="14"/>
          <w:szCs w:val="14"/>
        </w:rPr>
        <w:t xml:space="preserve"> </w:t>
      </w:r>
      <w:r w:rsidRPr="00AE5E82">
        <w:rPr>
          <w:rFonts w:ascii="Verdana" w:hAnsi="Verdana" w:cs="Arial"/>
          <w:sz w:val="14"/>
          <w:szCs w:val="14"/>
        </w:rPr>
        <w:t>de</w:t>
      </w:r>
      <w:r w:rsidRPr="00AE5E82">
        <w:rPr>
          <w:rFonts w:ascii="Verdana" w:hAnsi="Verdana" w:cs="Arial"/>
          <w:spacing w:val="-6"/>
          <w:sz w:val="14"/>
          <w:szCs w:val="14"/>
        </w:rPr>
        <w:t xml:space="preserve"> </w:t>
      </w:r>
      <w:r w:rsidRPr="00AE5E82">
        <w:rPr>
          <w:rFonts w:ascii="Verdana" w:hAnsi="Verdana" w:cs="Arial"/>
          <w:sz w:val="14"/>
          <w:szCs w:val="14"/>
        </w:rPr>
        <w:t>la</w:t>
      </w:r>
      <w:r w:rsidRPr="00AE5E82">
        <w:rPr>
          <w:rFonts w:ascii="Verdana" w:hAnsi="Verdana" w:cs="Arial"/>
          <w:spacing w:val="-5"/>
          <w:sz w:val="14"/>
          <w:szCs w:val="14"/>
        </w:rPr>
        <w:t xml:space="preserve"> </w:t>
      </w:r>
      <w:r w:rsidRPr="00AE5E82">
        <w:rPr>
          <w:rFonts w:ascii="Verdana" w:hAnsi="Verdana" w:cs="Arial"/>
          <w:sz w:val="14"/>
          <w:szCs w:val="14"/>
        </w:rPr>
        <w:t>República.</w:t>
      </w:r>
      <w:r w:rsidRPr="00AE5E82">
        <w:rPr>
          <w:rFonts w:ascii="Verdana" w:hAnsi="Verdana" w:cs="Arial"/>
          <w:spacing w:val="-6"/>
          <w:sz w:val="14"/>
          <w:szCs w:val="14"/>
        </w:rPr>
        <w:t xml:space="preserve"> </w:t>
      </w:r>
      <w:r w:rsidRPr="00AE5E82">
        <w:rPr>
          <w:rFonts w:ascii="Verdana" w:hAnsi="Verdana" w:cs="Arial"/>
          <w:sz w:val="14"/>
          <w:szCs w:val="14"/>
        </w:rPr>
        <w:t>Oficina</w:t>
      </w:r>
      <w:r w:rsidRPr="00AE5E82">
        <w:rPr>
          <w:rFonts w:ascii="Verdana" w:hAnsi="Verdana" w:cs="Arial"/>
          <w:spacing w:val="-6"/>
          <w:sz w:val="14"/>
          <w:szCs w:val="14"/>
        </w:rPr>
        <w:t xml:space="preserve"> </w:t>
      </w:r>
      <w:r w:rsidRPr="00AE5E82">
        <w:rPr>
          <w:rFonts w:ascii="Verdana" w:hAnsi="Verdana" w:cs="Arial"/>
          <w:sz w:val="14"/>
          <w:szCs w:val="14"/>
        </w:rPr>
        <w:t>Jurídica.</w:t>
      </w:r>
      <w:r w:rsidRPr="00AE5E82">
        <w:rPr>
          <w:rFonts w:ascii="Verdana" w:hAnsi="Verdana" w:cs="Arial"/>
          <w:spacing w:val="-6"/>
          <w:sz w:val="14"/>
          <w:szCs w:val="14"/>
        </w:rPr>
        <w:t xml:space="preserve"> </w:t>
      </w:r>
      <w:r w:rsidRPr="00AE5E82">
        <w:rPr>
          <w:rFonts w:ascii="Verdana" w:hAnsi="Verdana" w:cs="Arial"/>
          <w:sz w:val="14"/>
          <w:szCs w:val="14"/>
        </w:rPr>
        <w:t>Concepto</w:t>
      </w:r>
      <w:r w:rsidRPr="00AE5E82">
        <w:rPr>
          <w:rFonts w:ascii="Verdana" w:hAnsi="Verdana" w:cs="Arial"/>
          <w:spacing w:val="-6"/>
          <w:sz w:val="14"/>
          <w:szCs w:val="14"/>
        </w:rPr>
        <w:t xml:space="preserve"> </w:t>
      </w:r>
      <w:r w:rsidRPr="00AE5E82">
        <w:rPr>
          <w:rFonts w:ascii="Verdana" w:hAnsi="Verdana" w:cs="Arial"/>
          <w:sz w:val="14"/>
          <w:szCs w:val="14"/>
        </w:rPr>
        <w:t>80112-OJ-008</w:t>
      </w:r>
      <w:r w:rsidRPr="00AE5E82">
        <w:rPr>
          <w:rFonts w:ascii="Verdana" w:hAnsi="Verdana" w:cs="Arial"/>
          <w:spacing w:val="-6"/>
          <w:sz w:val="14"/>
          <w:szCs w:val="14"/>
        </w:rPr>
        <w:t xml:space="preserve"> </w:t>
      </w:r>
      <w:r w:rsidRPr="00AE5E82">
        <w:rPr>
          <w:rFonts w:ascii="Verdana" w:hAnsi="Verdana" w:cs="Arial"/>
          <w:sz w:val="14"/>
          <w:szCs w:val="14"/>
        </w:rPr>
        <w:t>2017.</w:t>
      </w:r>
    </w:p>
    <w:p w14:paraId="28EF8447" w14:textId="77777777" w:rsidR="005374E9" w:rsidRPr="00AE5E82" w:rsidRDefault="005374E9" w:rsidP="005374E9">
      <w:pPr>
        <w:pStyle w:val="Textonotapie"/>
        <w:ind w:firstLine="708"/>
        <w:contextualSpacing/>
        <w:jc w:val="both"/>
        <w:rPr>
          <w:rFonts w:ascii="Verdana" w:hAnsi="Verdana" w:cs="Arial"/>
          <w:sz w:val="14"/>
          <w:szCs w:val="14"/>
        </w:rPr>
      </w:pPr>
    </w:p>
  </w:footnote>
  <w:footnote w:id="4">
    <w:p w14:paraId="07B25FBA" w14:textId="77777777" w:rsidR="005374E9" w:rsidRPr="00AE5E82" w:rsidRDefault="005374E9" w:rsidP="005374E9">
      <w:pPr>
        <w:pStyle w:val="Textonotapie"/>
        <w:ind w:firstLine="708"/>
        <w:contextualSpacing/>
        <w:jc w:val="both"/>
        <w:rPr>
          <w:rFonts w:ascii="Verdana" w:hAnsi="Verdana" w:cs="Arial"/>
          <w:sz w:val="14"/>
          <w:szCs w:val="14"/>
        </w:rPr>
      </w:pPr>
      <w:r w:rsidRPr="00AE5E82">
        <w:rPr>
          <w:rStyle w:val="Refdenotaalpie"/>
          <w:rFonts w:ascii="Verdana" w:hAnsi="Verdana" w:cs="Arial"/>
          <w:sz w:val="14"/>
          <w:szCs w:val="14"/>
        </w:rPr>
        <w:footnoteRef/>
      </w:r>
      <w:r w:rsidRPr="00AE5E82">
        <w:rPr>
          <w:rFonts w:ascii="Verdana" w:hAnsi="Verdana" w:cs="Arial"/>
          <w:sz w:val="14"/>
          <w:szCs w:val="14"/>
        </w:rPr>
        <w:t xml:space="preserve"> ARBOLEDA</w:t>
      </w:r>
      <w:r w:rsidRPr="00AE5E82">
        <w:rPr>
          <w:rFonts w:ascii="Verdana" w:hAnsi="Verdana" w:cs="Arial"/>
          <w:spacing w:val="-9"/>
          <w:sz w:val="14"/>
          <w:szCs w:val="14"/>
        </w:rPr>
        <w:t xml:space="preserve"> </w:t>
      </w:r>
      <w:r w:rsidRPr="00AE5E82">
        <w:rPr>
          <w:rFonts w:ascii="Verdana" w:hAnsi="Verdana" w:cs="Arial"/>
          <w:sz w:val="14"/>
          <w:szCs w:val="14"/>
        </w:rPr>
        <w:t>PERDOMO,</w:t>
      </w:r>
      <w:r w:rsidRPr="00AE5E82">
        <w:rPr>
          <w:rFonts w:ascii="Verdana" w:hAnsi="Verdana" w:cs="Arial"/>
          <w:spacing w:val="-9"/>
          <w:sz w:val="14"/>
          <w:szCs w:val="14"/>
        </w:rPr>
        <w:t xml:space="preserve"> </w:t>
      </w:r>
      <w:r w:rsidRPr="00AE5E82">
        <w:rPr>
          <w:rFonts w:ascii="Verdana" w:hAnsi="Verdana" w:cs="Arial"/>
          <w:sz w:val="14"/>
          <w:szCs w:val="14"/>
        </w:rPr>
        <w:t>Enrique</w:t>
      </w:r>
      <w:r w:rsidRPr="00AE5E82">
        <w:rPr>
          <w:rFonts w:ascii="Verdana" w:hAnsi="Verdana" w:cs="Arial"/>
          <w:spacing w:val="-8"/>
          <w:sz w:val="14"/>
          <w:szCs w:val="14"/>
        </w:rPr>
        <w:t xml:space="preserve"> </w:t>
      </w:r>
      <w:r w:rsidRPr="00AE5E82">
        <w:rPr>
          <w:rFonts w:ascii="Verdana" w:hAnsi="Verdana" w:cs="Arial"/>
          <w:sz w:val="14"/>
          <w:szCs w:val="14"/>
        </w:rPr>
        <w:t>José.</w:t>
      </w:r>
      <w:r w:rsidRPr="00AE5E82">
        <w:rPr>
          <w:rFonts w:ascii="Verdana" w:hAnsi="Verdana" w:cs="Arial"/>
          <w:spacing w:val="-10"/>
          <w:sz w:val="14"/>
          <w:szCs w:val="14"/>
        </w:rPr>
        <w:t xml:space="preserve"> </w:t>
      </w:r>
      <w:r w:rsidRPr="00AE5E82">
        <w:rPr>
          <w:rFonts w:ascii="Verdana" w:hAnsi="Verdana" w:cs="Arial"/>
          <w:sz w:val="14"/>
          <w:szCs w:val="14"/>
        </w:rPr>
        <w:t>Comentarios</w:t>
      </w:r>
      <w:r w:rsidRPr="00AE5E82">
        <w:rPr>
          <w:rFonts w:ascii="Verdana" w:hAnsi="Verdana" w:cs="Arial"/>
          <w:spacing w:val="-9"/>
          <w:sz w:val="14"/>
          <w:szCs w:val="14"/>
        </w:rPr>
        <w:t xml:space="preserve"> </w:t>
      </w:r>
      <w:r w:rsidRPr="00AE5E82">
        <w:rPr>
          <w:rFonts w:ascii="Verdana" w:hAnsi="Verdana" w:cs="Arial"/>
          <w:sz w:val="14"/>
          <w:szCs w:val="14"/>
        </w:rPr>
        <w:t>al</w:t>
      </w:r>
      <w:r w:rsidRPr="00AE5E82">
        <w:rPr>
          <w:rFonts w:ascii="Verdana" w:hAnsi="Verdana" w:cs="Arial"/>
          <w:spacing w:val="-9"/>
          <w:sz w:val="14"/>
          <w:szCs w:val="14"/>
        </w:rPr>
        <w:t xml:space="preserve"> </w:t>
      </w:r>
      <w:r w:rsidRPr="00AE5E82">
        <w:rPr>
          <w:rFonts w:ascii="Verdana" w:hAnsi="Verdana" w:cs="Arial"/>
          <w:sz w:val="14"/>
          <w:szCs w:val="14"/>
        </w:rPr>
        <w:t>Nuevo</w:t>
      </w:r>
      <w:r w:rsidRPr="00AE5E82">
        <w:rPr>
          <w:rFonts w:ascii="Verdana" w:hAnsi="Verdana" w:cs="Arial"/>
          <w:spacing w:val="-10"/>
          <w:sz w:val="14"/>
          <w:szCs w:val="14"/>
        </w:rPr>
        <w:t xml:space="preserve"> </w:t>
      </w:r>
      <w:r w:rsidRPr="00AE5E82">
        <w:rPr>
          <w:rFonts w:ascii="Verdana" w:hAnsi="Verdana" w:cs="Arial"/>
          <w:sz w:val="14"/>
          <w:szCs w:val="14"/>
        </w:rPr>
        <w:t>Código</w:t>
      </w:r>
      <w:r w:rsidRPr="00AE5E82">
        <w:rPr>
          <w:rFonts w:ascii="Verdana" w:hAnsi="Verdana" w:cs="Arial"/>
          <w:spacing w:val="-9"/>
          <w:sz w:val="14"/>
          <w:szCs w:val="14"/>
        </w:rPr>
        <w:t xml:space="preserve"> </w:t>
      </w:r>
      <w:r w:rsidRPr="00AE5E82">
        <w:rPr>
          <w:rFonts w:ascii="Verdana" w:hAnsi="Verdana" w:cs="Arial"/>
          <w:sz w:val="14"/>
          <w:szCs w:val="14"/>
        </w:rPr>
        <w:t>de</w:t>
      </w:r>
      <w:r w:rsidRPr="00AE5E82">
        <w:rPr>
          <w:rFonts w:ascii="Verdana" w:hAnsi="Verdana" w:cs="Arial"/>
          <w:spacing w:val="-10"/>
          <w:sz w:val="14"/>
          <w:szCs w:val="14"/>
        </w:rPr>
        <w:t xml:space="preserve"> </w:t>
      </w:r>
      <w:r w:rsidRPr="00AE5E82">
        <w:rPr>
          <w:rFonts w:ascii="Verdana" w:hAnsi="Verdana" w:cs="Arial"/>
          <w:sz w:val="14"/>
          <w:szCs w:val="14"/>
        </w:rPr>
        <w:t>Procedimiento</w:t>
      </w:r>
      <w:r w:rsidRPr="00AE5E82">
        <w:rPr>
          <w:rFonts w:ascii="Verdana" w:hAnsi="Verdana" w:cs="Arial"/>
          <w:spacing w:val="-8"/>
          <w:sz w:val="14"/>
          <w:szCs w:val="14"/>
        </w:rPr>
        <w:t xml:space="preserve"> </w:t>
      </w:r>
      <w:r w:rsidRPr="00AE5E82">
        <w:rPr>
          <w:rFonts w:ascii="Verdana" w:hAnsi="Verdana" w:cs="Arial"/>
          <w:sz w:val="14"/>
          <w:szCs w:val="14"/>
        </w:rPr>
        <w:t>Administrativo</w:t>
      </w:r>
      <w:r w:rsidRPr="00AE5E82">
        <w:rPr>
          <w:rFonts w:ascii="Verdana" w:hAnsi="Verdana" w:cs="Arial"/>
          <w:spacing w:val="-7"/>
          <w:sz w:val="14"/>
          <w:szCs w:val="14"/>
        </w:rPr>
        <w:t xml:space="preserve"> </w:t>
      </w:r>
      <w:r w:rsidRPr="00AE5E82">
        <w:rPr>
          <w:rFonts w:ascii="Verdana" w:hAnsi="Verdana" w:cs="Arial"/>
          <w:sz w:val="14"/>
          <w:szCs w:val="14"/>
        </w:rPr>
        <w:t>y</w:t>
      </w:r>
      <w:r w:rsidRPr="00AE5E82">
        <w:rPr>
          <w:rFonts w:ascii="Verdana" w:hAnsi="Verdana" w:cs="Arial"/>
          <w:spacing w:val="-9"/>
          <w:sz w:val="14"/>
          <w:szCs w:val="14"/>
        </w:rPr>
        <w:t xml:space="preserve"> </w:t>
      </w:r>
      <w:r w:rsidRPr="00AE5E82">
        <w:rPr>
          <w:rFonts w:ascii="Verdana" w:hAnsi="Verdana" w:cs="Arial"/>
          <w:sz w:val="14"/>
          <w:szCs w:val="14"/>
        </w:rPr>
        <w:t>de</w:t>
      </w:r>
      <w:r w:rsidRPr="00AE5E82">
        <w:rPr>
          <w:rFonts w:ascii="Verdana" w:hAnsi="Verdana" w:cs="Arial"/>
          <w:spacing w:val="1"/>
          <w:sz w:val="14"/>
          <w:szCs w:val="14"/>
        </w:rPr>
        <w:t xml:space="preserve"> </w:t>
      </w:r>
      <w:r w:rsidRPr="00AE5E82">
        <w:rPr>
          <w:rFonts w:ascii="Verdana" w:hAnsi="Verdana" w:cs="Arial"/>
          <w:sz w:val="14"/>
          <w:szCs w:val="14"/>
        </w:rPr>
        <w:t>lo</w:t>
      </w:r>
      <w:r w:rsidRPr="00AE5E82">
        <w:rPr>
          <w:rFonts w:ascii="Verdana" w:hAnsi="Verdana" w:cs="Arial"/>
          <w:spacing w:val="-2"/>
          <w:sz w:val="14"/>
          <w:szCs w:val="14"/>
        </w:rPr>
        <w:t xml:space="preserve"> </w:t>
      </w:r>
      <w:r w:rsidRPr="00AE5E82">
        <w:rPr>
          <w:rFonts w:ascii="Verdana" w:hAnsi="Verdana" w:cs="Arial"/>
          <w:sz w:val="14"/>
          <w:szCs w:val="14"/>
        </w:rPr>
        <w:t>Contencioso</w:t>
      </w:r>
      <w:r w:rsidRPr="00AE5E82">
        <w:rPr>
          <w:rFonts w:ascii="Verdana" w:hAnsi="Verdana" w:cs="Arial"/>
          <w:spacing w:val="-2"/>
          <w:sz w:val="14"/>
          <w:szCs w:val="14"/>
        </w:rPr>
        <w:t xml:space="preserve"> </w:t>
      </w:r>
      <w:r w:rsidRPr="00AE5E82">
        <w:rPr>
          <w:rFonts w:ascii="Verdana" w:hAnsi="Verdana" w:cs="Arial"/>
          <w:sz w:val="14"/>
          <w:szCs w:val="14"/>
        </w:rPr>
        <w:t>Administrativo</w:t>
      </w:r>
      <w:r w:rsidRPr="00AE5E82">
        <w:rPr>
          <w:rFonts w:ascii="Verdana" w:hAnsi="Verdana" w:cs="Arial"/>
          <w:spacing w:val="-1"/>
          <w:sz w:val="14"/>
          <w:szCs w:val="14"/>
        </w:rPr>
        <w:t xml:space="preserve"> </w:t>
      </w:r>
      <w:r w:rsidRPr="00AE5E82">
        <w:rPr>
          <w:rFonts w:ascii="Verdana" w:hAnsi="Verdana" w:cs="Arial"/>
          <w:sz w:val="14"/>
          <w:szCs w:val="14"/>
        </w:rPr>
        <w:t>(2ª</w:t>
      </w:r>
      <w:r w:rsidRPr="00AE5E82">
        <w:rPr>
          <w:rFonts w:ascii="Verdana" w:hAnsi="Verdana" w:cs="Arial"/>
          <w:spacing w:val="-2"/>
          <w:sz w:val="14"/>
          <w:szCs w:val="14"/>
        </w:rPr>
        <w:t xml:space="preserve"> </w:t>
      </w:r>
      <w:r w:rsidRPr="00AE5E82">
        <w:rPr>
          <w:rFonts w:ascii="Verdana" w:hAnsi="Verdana" w:cs="Arial"/>
          <w:sz w:val="14"/>
          <w:szCs w:val="14"/>
        </w:rPr>
        <w:t>ed.).</w:t>
      </w:r>
      <w:r w:rsidRPr="00AE5E82">
        <w:rPr>
          <w:rFonts w:ascii="Verdana" w:hAnsi="Verdana" w:cs="Arial"/>
          <w:spacing w:val="-2"/>
          <w:sz w:val="14"/>
          <w:szCs w:val="14"/>
        </w:rPr>
        <w:t xml:space="preserve"> </w:t>
      </w:r>
      <w:r w:rsidRPr="00AE5E82">
        <w:rPr>
          <w:rFonts w:ascii="Verdana" w:hAnsi="Verdana" w:cs="Arial"/>
          <w:sz w:val="14"/>
          <w:szCs w:val="14"/>
        </w:rPr>
        <w:t>Editorial</w:t>
      </w:r>
      <w:r w:rsidRPr="00AE5E82">
        <w:rPr>
          <w:rFonts w:ascii="Verdana" w:hAnsi="Verdana" w:cs="Arial"/>
          <w:spacing w:val="-1"/>
          <w:sz w:val="14"/>
          <w:szCs w:val="14"/>
        </w:rPr>
        <w:t xml:space="preserve"> </w:t>
      </w:r>
      <w:r w:rsidRPr="00AE5E82">
        <w:rPr>
          <w:rFonts w:ascii="Verdana" w:hAnsi="Verdana" w:cs="Arial"/>
          <w:sz w:val="14"/>
          <w:szCs w:val="14"/>
        </w:rPr>
        <w:t>Legis.</w:t>
      </w:r>
      <w:r w:rsidRPr="00AE5E82">
        <w:rPr>
          <w:rFonts w:ascii="Verdana" w:hAnsi="Verdana" w:cs="Arial"/>
          <w:spacing w:val="-2"/>
          <w:sz w:val="14"/>
          <w:szCs w:val="14"/>
        </w:rPr>
        <w:t xml:space="preserve"> </w:t>
      </w:r>
      <w:r w:rsidRPr="00AE5E82">
        <w:rPr>
          <w:rFonts w:ascii="Verdana" w:hAnsi="Verdana" w:cs="Arial"/>
          <w:sz w:val="14"/>
          <w:szCs w:val="14"/>
        </w:rPr>
        <w:t>Bogotá.</w:t>
      </w:r>
      <w:r w:rsidRPr="00AE5E82">
        <w:rPr>
          <w:rFonts w:ascii="Verdana" w:hAnsi="Verdana" w:cs="Arial"/>
          <w:spacing w:val="-2"/>
          <w:sz w:val="14"/>
          <w:szCs w:val="14"/>
        </w:rPr>
        <w:t xml:space="preserve"> </w:t>
      </w:r>
      <w:r w:rsidRPr="00AE5E82">
        <w:rPr>
          <w:rFonts w:ascii="Verdana" w:hAnsi="Verdana" w:cs="Arial"/>
          <w:sz w:val="14"/>
          <w:szCs w:val="14"/>
        </w:rPr>
        <w:t>2012.</w:t>
      </w:r>
      <w:r w:rsidRPr="00AE5E82">
        <w:rPr>
          <w:rFonts w:ascii="Verdana" w:hAnsi="Verdana" w:cs="Arial"/>
          <w:spacing w:val="-1"/>
          <w:sz w:val="14"/>
          <w:szCs w:val="14"/>
        </w:rPr>
        <w:t xml:space="preserve"> </w:t>
      </w:r>
      <w:r w:rsidRPr="00AE5E82">
        <w:rPr>
          <w:rFonts w:ascii="Verdana" w:hAnsi="Verdana" w:cs="Arial"/>
          <w:sz w:val="14"/>
          <w:szCs w:val="14"/>
        </w:rPr>
        <w:t>p.</w:t>
      </w:r>
      <w:r w:rsidRPr="00AE5E82">
        <w:rPr>
          <w:rFonts w:ascii="Verdana" w:hAnsi="Verdana" w:cs="Arial"/>
          <w:spacing w:val="-2"/>
          <w:sz w:val="14"/>
          <w:szCs w:val="14"/>
        </w:rPr>
        <w:t xml:space="preserve"> </w:t>
      </w:r>
      <w:r w:rsidRPr="00AE5E82">
        <w:rPr>
          <w:rFonts w:ascii="Verdana" w:hAnsi="Verdana" w:cs="Arial"/>
          <w:sz w:val="14"/>
          <w:szCs w:val="14"/>
        </w:rPr>
        <w:t>59</w:t>
      </w:r>
      <w:r>
        <w:rPr>
          <w:rFonts w:ascii="Verdana" w:hAnsi="Verdana" w:cs="Arial"/>
          <w:sz w:val="14"/>
          <w:szCs w:val="14"/>
        </w:rPr>
        <w:t>.</w:t>
      </w:r>
    </w:p>
    <w:p w14:paraId="610F246E" w14:textId="77777777" w:rsidR="005374E9" w:rsidRPr="00AE5E82" w:rsidRDefault="005374E9" w:rsidP="005374E9">
      <w:pPr>
        <w:pStyle w:val="Textonotapie"/>
        <w:ind w:firstLine="708"/>
        <w:contextualSpacing/>
        <w:jc w:val="both"/>
        <w:rPr>
          <w:rFonts w:ascii="Verdana" w:hAnsi="Verdana" w:cs="Arial"/>
          <w:sz w:val="14"/>
          <w:szCs w:val="14"/>
        </w:rPr>
      </w:pPr>
    </w:p>
  </w:footnote>
  <w:footnote w:id="5">
    <w:p w14:paraId="1CF58334" w14:textId="77777777" w:rsidR="005374E9" w:rsidRPr="00435A6A" w:rsidRDefault="005374E9" w:rsidP="005374E9">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1B7234E" w14:textId="77777777" w:rsidR="005374E9" w:rsidRPr="00435A6A" w:rsidRDefault="005374E9" w:rsidP="005374E9">
      <w:pPr>
        <w:pStyle w:val="Textonotapie"/>
        <w:ind w:firstLine="709"/>
        <w:jc w:val="both"/>
        <w:rPr>
          <w:rFonts w:ascii="Verdana" w:hAnsi="Verdana" w:cs="Arial"/>
          <w:sz w:val="14"/>
          <w:szCs w:val="14"/>
        </w:rPr>
      </w:pPr>
      <w:r w:rsidRPr="00435A6A">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39D230C4" w14:textId="77777777" w:rsidR="005374E9" w:rsidRPr="00435A6A" w:rsidRDefault="005374E9" w:rsidP="005374E9">
      <w:pPr>
        <w:pStyle w:val="Textonotapie"/>
        <w:ind w:firstLine="709"/>
        <w:jc w:val="both"/>
        <w:rPr>
          <w:rFonts w:ascii="Verdana" w:hAnsi="Verdana" w:cs="Arial"/>
          <w:sz w:val="14"/>
          <w:szCs w:val="14"/>
        </w:rPr>
      </w:pPr>
    </w:p>
  </w:footnote>
  <w:footnote w:id="6">
    <w:p w14:paraId="4FA5A957" w14:textId="77777777" w:rsidR="005374E9" w:rsidRPr="00435A6A" w:rsidRDefault="005374E9" w:rsidP="005374E9">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Gaceta del Congreso de la República No. 71 del 2005.</w:t>
      </w:r>
    </w:p>
    <w:p w14:paraId="215E5C27" w14:textId="77777777" w:rsidR="005374E9" w:rsidRPr="00435A6A" w:rsidRDefault="005374E9" w:rsidP="005374E9">
      <w:pPr>
        <w:pStyle w:val="Textonotapie"/>
        <w:ind w:firstLine="709"/>
        <w:jc w:val="both"/>
        <w:rPr>
          <w:rFonts w:ascii="Verdana" w:hAnsi="Verdana" w:cs="Arial"/>
          <w:sz w:val="14"/>
          <w:szCs w:val="14"/>
        </w:rPr>
      </w:pPr>
    </w:p>
  </w:footnote>
  <w:footnote w:id="7">
    <w:p w14:paraId="3C020D13" w14:textId="77777777" w:rsidR="005374E9" w:rsidRPr="00435A6A" w:rsidRDefault="005374E9" w:rsidP="005374E9">
      <w:pPr>
        <w:pStyle w:val="Textonotapie"/>
        <w:tabs>
          <w:tab w:val="left" w:pos="8145"/>
        </w:tabs>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Corte Constitucional. Sentencia C- 1153 de 2005, M.P: Marco Gerardo Monroy Cabra.</w:t>
      </w:r>
      <w:r w:rsidRPr="00435A6A">
        <w:rPr>
          <w:rFonts w:ascii="Verdana" w:hAnsi="Verdana" w:cs="Arial"/>
          <w:sz w:val="14"/>
          <w:szCs w:val="14"/>
          <w:lang w:val="pt-PT"/>
        </w:rPr>
        <w:tab/>
      </w:r>
    </w:p>
    <w:p w14:paraId="35BC61A1" w14:textId="77777777" w:rsidR="005374E9" w:rsidRPr="00435A6A" w:rsidRDefault="005374E9" w:rsidP="005374E9">
      <w:pPr>
        <w:pStyle w:val="Textonotapie"/>
        <w:tabs>
          <w:tab w:val="left" w:pos="8145"/>
        </w:tabs>
        <w:ind w:firstLine="709"/>
        <w:jc w:val="both"/>
        <w:rPr>
          <w:rFonts w:ascii="Verdana" w:hAnsi="Verdana" w:cs="Arial"/>
          <w:sz w:val="14"/>
          <w:szCs w:val="14"/>
          <w:lang w:val="pt-PT"/>
        </w:rPr>
      </w:pPr>
    </w:p>
  </w:footnote>
  <w:footnote w:id="8">
    <w:p w14:paraId="16FA1B28" w14:textId="77777777" w:rsidR="005374E9" w:rsidRPr="00435A6A" w:rsidRDefault="005374E9" w:rsidP="005374E9">
      <w:pPr>
        <w:pStyle w:val="Textonotapie"/>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w:t>
      </w:r>
      <w:r w:rsidRPr="00435A6A">
        <w:rPr>
          <w:rFonts w:ascii="Verdana" w:hAnsi="Verdana" w:cs="Arial"/>
          <w:sz w:val="14"/>
          <w:szCs w:val="14"/>
          <w:lang w:val="es-CO"/>
        </w:rPr>
        <w:t xml:space="preserve">Corte Constitucional. Sentencias: C-233 de 4 de abril de 2002. M.P: Álvaro Tafur Galvis; C-551 de 9 de julio de 2003. M.P: Eduardo Montealegre Lynnet; C-353 de 20 de mayo de 2009. M.P: Jorge Iván Palacio </w:t>
      </w:r>
      <w:r w:rsidRPr="00435A6A">
        <w:rPr>
          <w:rFonts w:ascii="Verdana" w:hAnsi="Verdana" w:cs="Arial"/>
          <w:sz w:val="14"/>
          <w:szCs w:val="14"/>
          <w:lang w:val="es-CO"/>
        </w:rPr>
        <w:t>Palacio; C-541 de 30 de junio de 2010. M.P: Gabriel Eduardo Mendoza Martelo; entre otras.</w:t>
      </w:r>
    </w:p>
    <w:p w14:paraId="13F093D1" w14:textId="77777777" w:rsidR="005374E9" w:rsidRPr="00435A6A" w:rsidRDefault="005374E9" w:rsidP="005374E9">
      <w:pPr>
        <w:pStyle w:val="Textonotapie"/>
        <w:ind w:firstLine="709"/>
        <w:jc w:val="both"/>
        <w:rPr>
          <w:rFonts w:ascii="Verdana" w:hAnsi="Verdana" w:cs="Arial"/>
          <w:sz w:val="14"/>
          <w:szCs w:val="14"/>
          <w:lang w:val="pt-PT"/>
        </w:rPr>
      </w:pPr>
    </w:p>
  </w:footnote>
  <w:footnote w:id="9">
    <w:p w14:paraId="0F637AF1" w14:textId="77777777" w:rsidR="005374E9" w:rsidRPr="00435A6A" w:rsidRDefault="005374E9" w:rsidP="005374E9">
      <w:pPr>
        <w:pStyle w:val="Textonotapie"/>
        <w:ind w:firstLine="709"/>
        <w:jc w:val="both"/>
        <w:rPr>
          <w:rFonts w:ascii="Verdana" w:hAnsi="Verdana" w:cs="Arial"/>
          <w:sz w:val="14"/>
          <w:szCs w:val="14"/>
          <w:lang w:val="es-CO"/>
        </w:rPr>
      </w:pPr>
      <w:r w:rsidRPr="00435A6A">
        <w:rPr>
          <w:rStyle w:val="Refdenotaalpie"/>
          <w:rFonts w:ascii="Verdana" w:hAnsi="Verdana" w:cs="Arial"/>
          <w:sz w:val="14"/>
          <w:szCs w:val="14"/>
        </w:rPr>
        <w:footnoteRef/>
      </w:r>
      <w:r w:rsidRPr="00435A6A">
        <w:rPr>
          <w:rFonts w:ascii="Verdana" w:hAnsi="Verdana" w:cs="Arial"/>
          <w:sz w:val="14"/>
          <w:szCs w:val="14"/>
          <w:lang w:val="es-CO"/>
        </w:rPr>
        <w:t xml:space="preserve"> Consejo de Estado. Sala de lo Contencioso Administrativo. Sección Primera. Sentencia de 3 de marzo de 2005. Radicado: </w:t>
      </w:r>
      <w:r w:rsidRPr="00435A6A">
        <w:rPr>
          <w:rFonts w:ascii="Verdana" w:hAnsi="Verdana" w:cs="Arial"/>
          <w:sz w:val="14"/>
          <w:szCs w:val="14"/>
          <w:lang w:val="es-ES"/>
        </w:rPr>
        <w:t xml:space="preserve">25001-23-15-000-2004-00823-01 (PI). </w:t>
      </w:r>
      <w:r w:rsidRPr="00435A6A">
        <w:rPr>
          <w:rFonts w:ascii="Verdana" w:hAnsi="Verdana" w:cs="Arial"/>
          <w:sz w:val="14"/>
          <w:szCs w:val="14"/>
          <w:lang w:val="es-CO"/>
        </w:rPr>
        <w:t>C.P: Camilo Arciniegas Andrade. Ver también, de la Sección Tercera. Sentencia de 22 de enero de 2002, expediente número 2001-0148-01 y, Sección Tercera. Sentencia de 20 de noviembre de 2001, expediente número 2001-0130-01(PI), entre otras.</w:t>
      </w:r>
    </w:p>
    <w:p w14:paraId="767023FF" w14:textId="77777777" w:rsidR="005374E9" w:rsidRPr="00435A6A" w:rsidRDefault="005374E9" w:rsidP="005374E9">
      <w:pPr>
        <w:pStyle w:val="Textonotapie"/>
        <w:ind w:firstLine="709"/>
        <w:jc w:val="both"/>
        <w:rPr>
          <w:rFonts w:ascii="Verdana" w:hAnsi="Verdana" w:cs="Arial"/>
          <w:sz w:val="14"/>
          <w:szCs w:val="14"/>
          <w:lang w:val="es-CO"/>
        </w:rPr>
      </w:pPr>
    </w:p>
  </w:footnote>
  <w:footnote w:id="10">
    <w:p w14:paraId="4721F389" w14:textId="77777777" w:rsidR="005374E9" w:rsidRPr="00435A6A" w:rsidRDefault="005374E9" w:rsidP="005374E9">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24 de julio de 2013. Radicado: </w:t>
      </w:r>
      <w:r w:rsidRPr="00435A6A">
        <w:rPr>
          <w:rFonts w:ascii="Verdana" w:hAnsi="Verdana" w:cs="Arial"/>
          <w:sz w:val="14"/>
          <w:szCs w:val="14"/>
          <w:lang w:val="es-CO"/>
        </w:rPr>
        <w:t xml:space="preserve">11001-03-06-000-2013-00407-00 </w:t>
      </w:r>
      <w:r w:rsidRPr="00435A6A">
        <w:rPr>
          <w:rFonts w:ascii="Verdana" w:hAnsi="Verdana" w:cs="Arial"/>
          <w:sz w:val="14"/>
          <w:szCs w:val="14"/>
        </w:rPr>
        <w:t xml:space="preserve">(2166). C.P. Álvaro Namén Vargas.  </w:t>
      </w:r>
    </w:p>
    <w:p w14:paraId="7C889905" w14:textId="77777777" w:rsidR="005374E9" w:rsidRPr="00435A6A" w:rsidRDefault="005374E9" w:rsidP="005374E9">
      <w:pPr>
        <w:pStyle w:val="Textonotapie"/>
        <w:ind w:firstLine="709"/>
        <w:jc w:val="both"/>
        <w:rPr>
          <w:rFonts w:ascii="Verdana" w:hAnsi="Verdana" w:cs="Arial"/>
          <w:sz w:val="14"/>
          <w:szCs w:val="14"/>
        </w:rPr>
      </w:pPr>
    </w:p>
  </w:footnote>
  <w:footnote w:id="11">
    <w:p w14:paraId="1F63553F" w14:textId="77777777" w:rsidR="005374E9" w:rsidRPr="00435A6A" w:rsidRDefault="005374E9" w:rsidP="005374E9">
      <w:pPr>
        <w:spacing w:after="0" w:line="240" w:lineRule="auto"/>
        <w:ind w:firstLine="709"/>
        <w:jc w:val="both"/>
        <w:rPr>
          <w:rFonts w:ascii="Verdana" w:eastAsia="Times New Roman"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4" w:name="33"/>
      <w:r w:rsidRPr="00435A6A">
        <w:rPr>
          <w:rFonts w:ascii="Verdana" w:eastAsia="Calibri" w:hAnsi="Verdana" w:cs="Arial"/>
          <w:color w:val="000000"/>
          <w:sz w:val="14"/>
          <w:szCs w:val="14"/>
        </w:rPr>
        <w:t>“</w:t>
      </w:r>
      <w:r w:rsidRPr="00435A6A">
        <w:rPr>
          <w:rFonts w:ascii="Verdana" w:eastAsia="Times New Roman" w:hAnsi="Verdana" w:cs="Arial"/>
          <w:sz w:val="14"/>
          <w:szCs w:val="14"/>
        </w:rPr>
        <w:t>Artículo 33. Restricciones a la contratación pública.</w:t>
      </w:r>
      <w:bookmarkEnd w:id="4"/>
      <w:r w:rsidRPr="00435A6A">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40CA1240" w14:textId="77777777" w:rsidR="005374E9" w:rsidRPr="00435A6A" w:rsidRDefault="005374E9" w:rsidP="005374E9">
      <w:pPr>
        <w:spacing w:after="0" w:line="240" w:lineRule="auto"/>
        <w:ind w:firstLine="709"/>
        <w:jc w:val="both"/>
        <w:rPr>
          <w:rFonts w:ascii="Verdana" w:eastAsia="Times New Roman" w:hAnsi="Verdana" w:cs="Arial"/>
          <w:sz w:val="14"/>
          <w:szCs w:val="14"/>
        </w:rPr>
      </w:pPr>
      <w:r w:rsidRPr="00435A6A">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32AFC37" w14:textId="77777777" w:rsidR="005374E9" w:rsidRPr="00435A6A" w:rsidRDefault="005374E9" w:rsidP="005374E9">
      <w:pPr>
        <w:spacing w:after="0" w:line="240" w:lineRule="auto"/>
        <w:ind w:firstLine="709"/>
        <w:jc w:val="both"/>
        <w:rPr>
          <w:rFonts w:ascii="Verdana" w:eastAsia="Times New Roman" w:hAnsi="Verdana" w:cs="Arial"/>
          <w:sz w:val="14"/>
          <w:szCs w:val="14"/>
        </w:rPr>
      </w:pPr>
    </w:p>
  </w:footnote>
  <w:footnote w:id="12">
    <w:p w14:paraId="431A9116" w14:textId="77777777" w:rsidR="005374E9" w:rsidRPr="00435A6A" w:rsidRDefault="005374E9" w:rsidP="005374E9">
      <w:pPr>
        <w:pStyle w:val="NormalWeb"/>
        <w:spacing w:before="0" w:beforeAutospacing="0" w:after="0" w:afterAutospacing="0"/>
        <w:ind w:firstLine="709"/>
        <w:jc w:val="both"/>
        <w:rPr>
          <w:rFonts w:ascii="Verdana" w:hAnsi="Verdana" w:cs="Arial"/>
          <w:sz w:val="14"/>
          <w:szCs w:val="14"/>
          <w:lang w:val="es-MX"/>
        </w:rPr>
      </w:pPr>
      <w:r w:rsidRPr="00435A6A">
        <w:rPr>
          <w:rStyle w:val="Refdenotaalpie"/>
          <w:rFonts w:ascii="Verdana" w:eastAsiaTheme="majorEastAsia" w:hAnsi="Verdana" w:cs="Arial"/>
          <w:sz w:val="14"/>
          <w:szCs w:val="14"/>
        </w:rPr>
        <w:footnoteRef/>
      </w:r>
      <w:r w:rsidRPr="00435A6A">
        <w:rPr>
          <w:rFonts w:ascii="Verdana" w:hAnsi="Verdana" w:cs="Arial"/>
          <w:sz w:val="14"/>
          <w:szCs w:val="14"/>
        </w:rPr>
        <w:t xml:space="preserve"> </w:t>
      </w:r>
      <w:bookmarkStart w:id="5" w:name="38"/>
      <w:r w:rsidRPr="00435A6A">
        <w:rPr>
          <w:rFonts w:ascii="Verdana" w:eastAsia="Calibri" w:hAnsi="Verdana" w:cs="Arial"/>
          <w:color w:val="000000"/>
          <w:sz w:val="14"/>
          <w:szCs w:val="14"/>
        </w:rPr>
        <w:t>“</w:t>
      </w:r>
      <w:r w:rsidRPr="00435A6A">
        <w:rPr>
          <w:rFonts w:ascii="Verdana" w:hAnsi="Verdana" w:cs="Arial"/>
          <w:sz w:val="14"/>
          <w:szCs w:val="14"/>
          <w:lang w:val="es-MX"/>
        </w:rPr>
        <w:t>Artículo 38. Prohibiciones para los servidores públicos. A los empleados del Estado les está prohibido:</w:t>
      </w:r>
      <w:bookmarkEnd w:id="5"/>
    </w:p>
    <w:p w14:paraId="6D3CE14A" w14:textId="77777777" w:rsidR="005374E9" w:rsidRPr="00435A6A" w:rsidRDefault="005374E9" w:rsidP="005374E9">
      <w:pPr>
        <w:pStyle w:val="NormalWeb"/>
        <w:spacing w:before="0" w:beforeAutospacing="0" w:after="0" w:afterAutospacing="0"/>
        <w:ind w:firstLine="709"/>
        <w:jc w:val="both"/>
        <w:rPr>
          <w:rFonts w:ascii="Verdana" w:hAnsi="Verdana" w:cs="Arial"/>
          <w:sz w:val="14"/>
          <w:szCs w:val="14"/>
          <w:lang w:val="es-MX"/>
        </w:rPr>
      </w:pPr>
      <w:r w:rsidRPr="00435A6A">
        <w:rPr>
          <w:rFonts w:ascii="Verdana" w:hAnsi="Verdana" w:cs="Arial"/>
          <w:sz w:val="14"/>
          <w:szCs w:val="14"/>
          <w:lang w:val="es-MX"/>
        </w:rPr>
        <w:t>(…)</w:t>
      </w:r>
    </w:p>
    <w:p w14:paraId="539BCE17" w14:textId="77777777" w:rsidR="005374E9" w:rsidRPr="00435A6A" w:rsidRDefault="005374E9" w:rsidP="005374E9">
      <w:pPr>
        <w:pStyle w:val="NormalWeb"/>
        <w:spacing w:before="0" w:beforeAutospacing="0" w:after="0" w:afterAutospacing="0"/>
        <w:ind w:firstLine="709"/>
        <w:jc w:val="both"/>
        <w:rPr>
          <w:rFonts w:ascii="Verdana" w:eastAsia="Calibri" w:hAnsi="Verdana" w:cs="Arial"/>
          <w:color w:val="000000"/>
          <w:sz w:val="14"/>
          <w:szCs w:val="14"/>
        </w:rPr>
      </w:pPr>
      <w:r w:rsidRPr="00435A6A">
        <w:rPr>
          <w:rStyle w:val="baj"/>
          <w:rFonts w:ascii="Verdana" w:hAnsi="Verdana" w:cs="Arial"/>
          <w:sz w:val="14"/>
          <w:szCs w:val="14"/>
          <w:lang w:val="es-MX"/>
        </w:rPr>
        <w:t>Parágrafo.</w:t>
      </w:r>
      <w:r w:rsidRPr="00435A6A">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35A6A">
        <w:rPr>
          <w:rFonts w:ascii="Verdana" w:eastAsia="Calibri" w:hAnsi="Verdana" w:cs="Arial"/>
          <w:color w:val="000000"/>
          <w:sz w:val="14"/>
          <w:szCs w:val="14"/>
        </w:rPr>
        <w:t>”.</w:t>
      </w:r>
    </w:p>
    <w:p w14:paraId="1B3E2C16" w14:textId="77777777" w:rsidR="005374E9" w:rsidRPr="00435A6A" w:rsidRDefault="005374E9" w:rsidP="005374E9">
      <w:pPr>
        <w:pStyle w:val="NormalWeb"/>
        <w:spacing w:before="0" w:beforeAutospacing="0" w:after="0" w:afterAutospacing="0"/>
        <w:ind w:firstLine="709"/>
        <w:jc w:val="both"/>
        <w:rPr>
          <w:rFonts w:ascii="Verdana" w:hAnsi="Verdana" w:cs="Arial"/>
          <w:sz w:val="14"/>
          <w:szCs w:val="14"/>
          <w:lang w:val="es-MX"/>
        </w:rPr>
      </w:pPr>
    </w:p>
  </w:footnote>
  <w:footnote w:id="13">
    <w:p w14:paraId="3B2E18C4" w14:textId="77777777" w:rsidR="005374E9" w:rsidRDefault="005374E9" w:rsidP="005374E9">
      <w:pPr>
        <w:pStyle w:val="Textonotapie"/>
        <w:ind w:firstLine="708"/>
        <w:jc w:val="both"/>
        <w:rPr>
          <w:rFonts w:ascii="Verdana" w:hAnsi="Verdana" w:cs="Arial"/>
          <w:sz w:val="14"/>
          <w:szCs w:val="14"/>
        </w:rPr>
      </w:pPr>
      <w:r w:rsidRPr="00AA5D69">
        <w:rPr>
          <w:rStyle w:val="Refdenotaalpie"/>
          <w:rFonts w:ascii="Verdana" w:hAnsi="Verdana" w:cs="Arial"/>
          <w:sz w:val="14"/>
          <w:szCs w:val="14"/>
        </w:rPr>
        <w:footnoteRef/>
      </w:r>
      <w:r w:rsidRPr="00AA5D69">
        <w:rPr>
          <w:rFonts w:ascii="Verdana" w:hAnsi="Verdana" w:cs="Arial"/>
          <w:sz w:val="14"/>
          <w:szCs w:val="14"/>
        </w:rPr>
        <w:t xml:space="preserve"> Colombia Compra Eficiente. Circular Externa Única. Numeral 16.5. </w:t>
      </w:r>
    </w:p>
    <w:p w14:paraId="7278E9B2" w14:textId="77777777" w:rsidR="005374E9" w:rsidRPr="00AA5D69" w:rsidRDefault="005374E9" w:rsidP="005374E9">
      <w:pPr>
        <w:pStyle w:val="Textonotapie"/>
        <w:ind w:firstLine="708"/>
        <w:jc w:val="both"/>
        <w:rPr>
          <w:rFonts w:ascii="Verdana" w:hAnsi="Verdana" w:cs="Arial"/>
          <w:sz w:val="14"/>
          <w:szCs w:val="14"/>
        </w:rPr>
      </w:pPr>
    </w:p>
  </w:footnote>
  <w:footnote w:id="14">
    <w:p w14:paraId="23AA5158" w14:textId="77777777" w:rsidR="005374E9" w:rsidRPr="00435A6A" w:rsidRDefault="005374E9" w:rsidP="005374E9">
      <w:pPr>
        <w:tabs>
          <w:tab w:val="left" w:pos="2127"/>
        </w:tabs>
        <w:spacing w:after="0" w:line="240" w:lineRule="auto"/>
        <w:ind w:left="100" w:right="244"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17 de febrero de 2015. Radicado: 11001-03-06-000-2015-00164-00 (2269). C.P. William Zambrano Cetina.</w:t>
      </w:r>
    </w:p>
    <w:p w14:paraId="57FF6439" w14:textId="77777777" w:rsidR="005374E9" w:rsidRPr="00435A6A" w:rsidRDefault="005374E9" w:rsidP="005374E9">
      <w:pPr>
        <w:spacing w:after="0" w:line="240" w:lineRule="auto"/>
        <w:ind w:left="100" w:right="244" w:firstLine="709"/>
        <w:jc w:val="both"/>
        <w:rPr>
          <w:rFonts w:ascii="Verdana" w:hAnsi="Verdana" w:cs="Arial"/>
          <w:sz w:val="14"/>
          <w:szCs w:val="14"/>
          <w:lang w:val="es-ES"/>
        </w:rPr>
      </w:pPr>
    </w:p>
  </w:footnote>
  <w:footnote w:id="15">
    <w:p w14:paraId="7BB4D4F1" w14:textId="77777777" w:rsidR="005374E9" w:rsidRPr="00435A6A" w:rsidRDefault="005374E9" w:rsidP="005374E9">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[25] </w:t>
      </w:r>
      <w:r w:rsidRPr="00435A6A">
        <w:rPr>
          <w:rFonts w:ascii="Verdana" w:hAnsi="Verdana" w:cs="Arial"/>
          <w:sz w:val="14"/>
          <w:szCs w:val="14"/>
        </w:rPr>
        <w:t>Cfr. Consejo de Estado. Sección Tercera. Sentencia de 3 de diciembre de 2007. Radicados: 24.715, 25.206, 25.409, 24.524, 27.834, 25.410, 26.105, 28.244, 31.447 -acumulados-“.</w:t>
      </w:r>
    </w:p>
    <w:p w14:paraId="635A1384" w14:textId="77777777" w:rsidR="005374E9" w:rsidRPr="00435A6A" w:rsidRDefault="005374E9" w:rsidP="005374E9">
      <w:pPr>
        <w:pStyle w:val="Textonotapie"/>
        <w:ind w:firstLine="709"/>
        <w:jc w:val="both"/>
        <w:rPr>
          <w:rFonts w:ascii="Verdana" w:hAnsi="Verdana" w:cs="Arial"/>
          <w:sz w:val="14"/>
          <w:szCs w:val="14"/>
        </w:rPr>
      </w:pPr>
    </w:p>
  </w:footnote>
  <w:footnote w:id="16">
    <w:p w14:paraId="11AB936F" w14:textId="77777777" w:rsidR="005374E9" w:rsidRPr="00435A6A" w:rsidRDefault="005374E9" w:rsidP="005374E9">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13" w:name="_Hlk74294506"/>
      <w:r w:rsidRPr="00435A6A">
        <w:rPr>
          <w:rFonts w:ascii="Verdana" w:hAnsi="Verdana" w:cs="Arial"/>
          <w:sz w:val="14"/>
          <w:szCs w:val="14"/>
        </w:rPr>
        <w:t>“</w:t>
      </w:r>
      <w:r w:rsidRPr="00435A6A">
        <w:rPr>
          <w:rFonts w:ascii="Verdana" w:hAnsi="Verdana" w:cs="Arial"/>
          <w:sz w:val="14"/>
          <w:szCs w:val="14"/>
          <w:lang w:val="es-ES"/>
        </w:rPr>
        <w:t xml:space="preserve">[26] </w:t>
      </w:r>
      <w:bookmarkEnd w:id="13"/>
      <w:r w:rsidRPr="00435A6A">
        <w:rPr>
          <w:rFonts w:ascii="Verdana" w:hAnsi="Verdana" w:cs="Arial"/>
          <w:sz w:val="14"/>
          <w:szCs w:val="14"/>
        </w:rPr>
        <w:t>Al respecto ver el concepto 1712 de 2 de febrero de 2006. Consejo de Estado Sala de Consulta y Servicio Civil”.</w:t>
      </w:r>
    </w:p>
    <w:p w14:paraId="7E43D30D" w14:textId="77777777" w:rsidR="005374E9" w:rsidRPr="00435A6A" w:rsidRDefault="005374E9" w:rsidP="005374E9">
      <w:pPr>
        <w:pStyle w:val="Textonotapie"/>
        <w:ind w:firstLine="709"/>
        <w:jc w:val="both"/>
        <w:rPr>
          <w:rFonts w:ascii="Verdana" w:hAnsi="Verdana" w:cs="Arial"/>
          <w:sz w:val="14"/>
          <w:szCs w:val="14"/>
        </w:rPr>
      </w:pPr>
    </w:p>
  </w:footnote>
  <w:footnote w:id="17">
    <w:p w14:paraId="0B048FBD" w14:textId="77777777" w:rsidR="005374E9" w:rsidRPr="00435A6A" w:rsidRDefault="005374E9" w:rsidP="005374E9">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2 de septiembre de 2013. Radicación número: 11001-03-06-000-2013-00412-00 (2168). C.P: Álvaro Namén Vargas.</w:t>
      </w:r>
    </w:p>
    <w:p w14:paraId="490AFC6F" w14:textId="77777777" w:rsidR="005374E9" w:rsidRPr="00435A6A" w:rsidRDefault="005374E9" w:rsidP="005374E9">
      <w:pPr>
        <w:pStyle w:val="Textonotapie"/>
        <w:ind w:firstLine="709"/>
        <w:jc w:val="both"/>
        <w:rPr>
          <w:rFonts w:ascii="Verdana" w:hAnsi="Verdana" w:cs="Arial"/>
          <w:sz w:val="14"/>
          <w:szCs w:val="14"/>
        </w:rPr>
      </w:pPr>
    </w:p>
  </w:footnote>
  <w:footnote w:id="18">
    <w:p w14:paraId="4582FFB2" w14:textId="77777777" w:rsidR="005374E9" w:rsidRPr="00435A6A" w:rsidRDefault="005374E9" w:rsidP="005374E9">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Artículo 2. </w:t>
      </w:r>
    </w:p>
    <w:p w14:paraId="4D98338B" w14:textId="77777777" w:rsidR="005374E9" w:rsidRPr="00435A6A" w:rsidRDefault="005374E9" w:rsidP="005374E9">
      <w:pPr>
        <w:pStyle w:val="Textonotapie"/>
        <w:ind w:firstLine="709"/>
        <w:rPr>
          <w:rFonts w:ascii="Verdana" w:hAnsi="Verdana" w:cs="Arial"/>
          <w:sz w:val="14"/>
          <w:szCs w:val="14"/>
          <w:lang w:val="es-ES"/>
        </w:rPr>
      </w:pPr>
    </w:p>
  </w:footnote>
  <w:footnote w:id="19">
    <w:p w14:paraId="62FE3A34" w14:textId="77777777" w:rsidR="005374E9" w:rsidRDefault="005374E9" w:rsidP="005374E9">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i/>
          <w:sz w:val="14"/>
          <w:szCs w:val="14"/>
          <w:lang w:val="es-ES"/>
        </w:rPr>
        <w:t>Ídem</w:t>
      </w:r>
      <w:r w:rsidRPr="00435A6A">
        <w:rPr>
          <w:rFonts w:ascii="Verdana" w:hAnsi="Verdana" w:cs="Arial"/>
          <w:sz w:val="14"/>
          <w:szCs w:val="14"/>
          <w:lang w:val="es-ES"/>
        </w:rPr>
        <w:t>.</w:t>
      </w:r>
    </w:p>
    <w:p w14:paraId="4E0BCD82" w14:textId="77777777" w:rsidR="005374E9" w:rsidRPr="00435A6A" w:rsidRDefault="005374E9" w:rsidP="005374E9">
      <w:pPr>
        <w:pStyle w:val="Textonotapie"/>
        <w:ind w:firstLine="709"/>
        <w:rPr>
          <w:rFonts w:ascii="Verdana" w:hAnsi="Verdana" w:cs="Arial"/>
          <w:sz w:val="14"/>
          <w:szCs w:val="14"/>
          <w:lang w:val="es-ES"/>
        </w:rPr>
      </w:pPr>
    </w:p>
  </w:footnote>
  <w:footnote w:id="20">
    <w:p w14:paraId="35D7CE4B" w14:textId="77777777" w:rsidR="005374E9" w:rsidRPr="00435A6A" w:rsidRDefault="005374E9" w:rsidP="005374E9">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 xml:space="preserve">[…] A este respecto, cabe recordar que el artículo 860 del Código de Comercio regula la licitación en el derecho privado. </w:t>
      </w:r>
    </w:p>
    <w:p w14:paraId="3311D376" w14:textId="77777777" w:rsidR="005374E9" w:rsidRPr="00435A6A" w:rsidRDefault="005374E9" w:rsidP="005374E9">
      <w:pPr>
        <w:pStyle w:val="Textonotapie"/>
        <w:ind w:firstLine="709"/>
        <w:rPr>
          <w:rFonts w:ascii="Verdana" w:hAnsi="Verdana" w:cs="Arial"/>
          <w:sz w:val="14"/>
          <w:szCs w:val="14"/>
          <w:lang w:val="es-ES"/>
        </w:rPr>
      </w:pPr>
    </w:p>
  </w:footnote>
  <w:footnote w:id="21">
    <w:p w14:paraId="4DEA22E5" w14:textId="77777777" w:rsidR="005374E9" w:rsidRPr="00435A6A" w:rsidRDefault="005374E9" w:rsidP="005374E9">
      <w:pPr>
        <w:shd w:val="clear" w:color="auto" w:fill="FFFFFF"/>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Consejo de Estado. Sala de Consulta y Servicio Civil, Concepto de 8 de mayo de 2018. Radicación Número: 11001-03-06-000-2018-00095-00 (2382). C.P: Álvaro Namén Vargas.</w:t>
      </w:r>
    </w:p>
    <w:p w14:paraId="2A497A8B" w14:textId="77777777" w:rsidR="005374E9" w:rsidRPr="00435A6A" w:rsidRDefault="005374E9" w:rsidP="005374E9">
      <w:pPr>
        <w:shd w:val="clear" w:color="auto" w:fill="FFFFFF"/>
        <w:spacing w:after="0" w:line="240" w:lineRule="auto"/>
        <w:ind w:firstLine="709"/>
        <w:jc w:val="both"/>
        <w:rPr>
          <w:rFonts w:ascii="Verdana" w:hAnsi="Verdana" w:cs="Arial"/>
          <w:sz w:val="14"/>
          <w:szCs w:val="14"/>
          <w:lang w:val="es-ES"/>
        </w:rPr>
      </w:pPr>
    </w:p>
  </w:footnote>
  <w:footnote w:id="22">
    <w:p w14:paraId="5FEEE7AF" w14:textId="77777777" w:rsidR="005374E9" w:rsidRPr="00435A6A" w:rsidRDefault="005374E9" w:rsidP="005374E9">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08 de mayo de 2018. </w:t>
      </w:r>
      <w:r w:rsidRPr="00435A6A">
        <w:rPr>
          <w:rFonts w:ascii="Verdana" w:hAnsi="Verdana" w:cs="Arial"/>
          <w:sz w:val="14"/>
          <w:szCs w:val="14"/>
        </w:rPr>
        <w:t>Exp. 2.382. C.P. Álvaro Namén Vargas.</w:t>
      </w:r>
    </w:p>
    <w:p w14:paraId="6B3AFF76" w14:textId="77777777" w:rsidR="005374E9" w:rsidRPr="00435A6A" w:rsidRDefault="005374E9" w:rsidP="005374E9">
      <w:pPr>
        <w:pStyle w:val="Textonotapie"/>
        <w:ind w:firstLine="709"/>
        <w:jc w:val="both"/>
        <w:rPr>
          <w:rFonts w:ascii="Verdana" w:hAnsi="Verdana" w:cs="Arial"/>
          <w:sz w:val="14"/>
          <w:szCs w:val="14"/>
        </w:rPr>
      </w:pPr>
    </w:p>
  </w:footnote>
  <w:footnote w:id="23">
    <w:p w14:paraId="5167385E" w14:textId="77777777" w:rsidR="005374E9" w:rsidRPr="00AD17FF" w:rsidRDefault="005374E9" w:rsidP="005374E9">
      <w:pPr>
        <w:pStyle w:val="Textonotapie"/>
        <w:ind w:firstLine="709"/>
        <w:rPr>
          <w:rFonts w:ascii="Verdana" w:hAnsi="Verdana"/>
          <w:sz w:val="14"/>
          <w:szCs w:val="14"/>
          <w:lang w:val="es-ES"/>
        </w:rPr>
      </w:pPr>
      <w:r w:rsidRPr="00AD17FF">
        <w:rPr>
          <w:rStyle w:val="Refdenotaalpie"/>
          <w:rFonts w:ascii="Verdana" w:hAnsi="Verdana"/>
          <w:sz w:val="14"/>
          <w:szCs w:val="14"/>
        </w:rPr>
        <w:footnoteRef/>
      </w:r>
      <w:r w:rsidRPr="00AD17FF">
        <w:rPr>
          <w:rFonts w:ascii="Verdana" w:hAnsi="Verdana"/>
          <w:sz w:val="14"/>
          <w:szCs w:val="14"/>
        </w:rPr>
        <w:t xml:space="preserve"> </w:t>
      </w:r>
      <w:r w:rsidRPr="00AD17FF">
        <w:rPr>
          <w:rFonts w:ascii="Verdana" w:hAnsi="Verdana"/>
          <w:sz w:val="14"/>
          <w:szCs w:val="14"/>
          <w:lang w:val="es-ES"/>
        </w:rPr>
        <w:t xml:space="preserve">Agencia Nacional de Contratación Pública. Circular Externa 006 del 25 de septiembre de 2025. Disponible en </w:t>
      </w:r>
      <w:hyperlink r:id="rId1" w:history="1">
        <w:r w:rsidRPr="00AD17FF">
          <w:rPr>
            <w:rStyle w:val="Hipervnculo"/>
            <w:rFonts w:ascii="Verdana" w:hAnsi="Verdana"/>
            <w:sz w:val="14"/>
            <w:szCs w:val="14"/>
            <w:lang w:val="es-CO"/>
          </w:rPr>
          <w:t>006-de-2025-Circular-Externa-L996-ajustado-comentarios-BM-BID-Rev-ARSC-V3.d-1.pdf</w:t>
        </w:r>
      </w:hyperlink>
    </w:p>
    <w:p w14:paraId="7FEA5A91" w14:textId="77777777" w:rsidR="005374E9" w:rsidRPr="00AD17FF" w:rsidRDefault="005374E9" w:rsidP="005374E9">
      <w:pPr>
        <w:pStyle w:val="Textonotapie"/>
        <w:rPr>
          <w:rFonts w:ascii="Verdana" w:hAnsi="Verdana"/>
          <w:sz w:val="14"/>
          <w:szCs w:val="14"/>
          <w:lang w:val="es-ES"/>
        </w:rPr>
      </w:pPr>
    </w:p>
  </w:footnote>
  <w:footnote w:id="24">
    <w:p w14:paraId="5CA16682" w14:textId="77777777" w:rsidR="005374E9" w:rsidRPr="00435A6A" w:rsidRDefault="005374E9" w:rsidP="005374E9">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36E6708E" w14:textId="77777777" w:rsidR="005374E9" w:rsidRPr="00435A6A" w:rsidRDefault="005374E9" w:rsidP="005374E9">
      <w:pPr>
        <w:spacing w:after="0" w:line="240" w:lineRule="auto"/>
        <w:ind w:firstLine="709"/>
        <w:jc w:val="both"/>
        <w:rPr>
          <w:rFonts w:ascii="Verdana" w:hAnsi="Verdana" w:cs="Arial"/>
          <w:color w:val="000000" w:themeColor="text1"/>
          <w:sz w:val="14"/>
          <w:szCs w:val="14"/>
        </w:rPr>
      </w:pPr>
    </w:p>
  </w:footnote>
  <w:footnote w:id="25">
    <w:p w14:paraId="4178BD92" w14:textId="77777777" w:rsidR="005374E9" w:rsidRPr="00435A6A" w:rsidRDefault="005374E9" w:rsidP="005374E9">
      <w:pPr>
        <w:pStyle w:val="Textonotapie"/>
        <w:ind w:firstLine="709"/>
        <w:jc w:val="both"/>
        <w:rPr>
          <w:rFonts w:ascii="Verdana" w:eastAsia="Times New Roman" w:hAnsi="Verdana" w:cs="Arial"/>
          <w:color w:val="000000" w:themeColor="text1"/>
          <w:sz w:val="14"/>
          <w:szCs w:val="14"/>
          <w:lang w:eastAsia="x-none"/>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 (1738). C.P: Enrique José Arboleda Perdomo:</w:t>
      </w:r>
      <w:r w:rsidRPr="00435A6A">
        <w:rPr>
          <w:rFonts w:ascii="Verdana" w:eastAsia="Times New Roman" w:hAnsi="Verdana" w:cs="Arial"/>
          <w:color w:val="000000" w:themeColor="text1"/>
          <w:sz w:val="14"/>
          <w:szCs w:val="14"/>
          <w:lang w:eastAsia="x-none"/>
        </w:rPr>
        <w:t xml:space="preserve"> </w:t>
      </w:r>
      <w:bookmarkStart w:id="17" w:name="_Hlk97890572"/>
      <w:r w:rsidRPr="00435A6A">
        <w:rPr>
          <w:rFonts w:ascii="Verdana" w:eastAsia="Times New Roman" w:hAnsi="Verdana" w:cs="Arial"/>
          <w:color w:val="000000" w:themeColor="text1"/>
          <w:sz w:val="14"/>
          <w:szCs w:val="14"/>
          <w:lang w:eastAsia="x-none"/>
        </w:rPr>
        <w:t>“</w:t>
      </w:r>
      <w:r w:rsidRPr="00435A6A">
        <w:rPr>
          <w:rFonts w:ascii="Verdana" w:hAnsi="Verdana" w:cs="Arial"/>
          <w:color w:val="000000" w:themeColor="text1"/>
          <w:sz w:val="14"/>
          <w:szCs w:val="14"/>
        </w:rPr>
        <w:t xml:space="preserve">Si bien en el tema del concepto del que se extractaron </w:t>
      </w:r>
      <w:bookmarkEnd w:id="17"/>
      <w:r w:rsidRPr="00435A6A">
        <w:rPr>
          <w:rFonts w:ascii="Verdana" w:hAnsi="Verdana" w:cs="Arial"/>
          <w:color w:val="000000" w:themeColor="text1"/>
          <w:sz w:val="14"/>
          <w:szCs w:val="14"/>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35A6A">
        <w:rPr>
          <w:rFonts w:ascii="Verdana" w:eastAsia="Times New Roman" w:hAnsi="Verdana" w:cs="Arial"/>
          <w:color w:val="000000" w:themeColor="text1"/>
          <w:sz w:val="14"/>
          <w:szCs w:val="14"/>
          <w:lang w:eastAsia="x-none"/>
        </w:rPr>
        <w:t>”.</w:t>
      </w:r>
    </w:p>
    <w:p w14:paraId="500D568A" w14:textId="77777777" w:rsidR="005374E9" w:rsidRPr="00435A6A" w:rsidRDefault="005374E9" w:rsidP="005374E9">
      <w:pPr>
        <w:pStyle w:val="Textonotapie"/>
        <w:ind w:firstLine="709"/>
        <w:jc w:val="both"/>
        <w:rPr>
          <w:rFonts w:ascii="Verdana" w:hAnsi="Verdana" w:cs="Arial"/>
          <w:color w:val="000000" w:themeColor="text1"/>
          <w:sz w:val="14"/>
          <w:szCs w:val="14"/>
        </w:rPr>
      </w:pPr>
    </w:p>
  </w:footnote>
  <w:footnote w:id="26">
    <w:p w14:paraId="2ABDD76F" w14:textId="77777777" w:rsidR="005374E9" w:rsidRDefault="005374E9" w:rsidP="005374E9">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11001-03-06-000-2006-00038-00(1738). C.P: Enrique José Arboleda Perdomo. </w:t>
      </w:r>
    </w:p>
    <w:p w14:paraId="4FFE74FF" w14:textId="77777777" w:rsidR="005374E9" w:rsidRPr="00435A6A" w:rsidRDefault="005374E9" w:rsidP="005374E9">
      <w:pPr>
        <w:spacing w:after="0" w:line="240" w:lineRule="auto"/>
        <w:ind w:firstLine="709"/>
        <w:jc w:val="both"/>
        <w:rPr>
          <w:rFonts w:ascii="Verdana" w:hAnsi="Verdana" w:cs="Arial"/>
          <w:color w:val="000000" w:themeColor="text1"/>
          <w:sz w:val="14"/>
          <w:szCs w:val="14"/>
        </w:rPr>
      </w:pPr>
    </w:p>
  </w:footnote>
  <w:footnote w:id="27">
    <w:p w14:paraId="6FDB32E6" w14:textId="77777777" w:rsidR="005374E9" w:rsidRPr="00435A6A" w:rsidRDefault="005374E9" w:rsidP="005374E9">
      <w:pPr>
        <w:pStyle w:val="Textonotapie"/>
        <w:ind w:firstLine="709"/>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ídem.</w:t>
      </w:r>
    </w:p>
    <w:p w14:paraId="473CA0B5" w14:textId="77777777" w:rsidR="005374E9" w:rsidRPr="003A04BF" w:rsidRDefault="005374E9" w:rsidP="005374E9">
      <w:pPr>
        <w:pStyle w:val="Textonotapie"/>
        <w:ind w:firstLine="709"/>
        <w:rPr>
          <w:rFonts w:ascii="Verdana" w:hAnsi="Verdana" w:cs="Arial"/>
          <w:color w:val="000000" w:themeColor="text1"/>
          <w:sz w:val="14"/>
          <w:szCs w:val="14"/>
        </w:rPr>
      </w:pPr>
    </w:p>
  </w:footnote>
  <w:footnote w:id="28">
    <w:p w14:paraId="7BEE2308" w14:textId="77777777" w:rsidR="005374E9" w:rsidRDefault="005374E9" w:rsidP="005374E9">
      <w:pPr>
        <w:pStyle w:val="Textonotapie"/>
        <w:ind w:firstLine="709"/>
        <w:jc w:val="both"/>
        <w:rPr>
          <w:rFonts w:ascii="Verdana" w:hAnsi="Verdana" w:cs="Arial"/>
          <w:sz w:val="14"/>
          <w:szCs w:val="14"/>
        </w:rPr>
      </w:pPr>
      <w:r w:rsidRPr="00FB5770">
        <w:rPr>
          <w:rStyle w:val="Refdenotaalpie"/>
          <w:rFonts w:ascii="Verdana" w:hAnsi="Verdana" w:cs="Arial"/>
          <w:sz w:val="14"/>
          <w:szCs w:val="14"/>
        </w:rPr>
        <w:footnoteRef/>
      </w:r>
      <w:r w:rsidRPr="00FB5770">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w:t>
      </w:r>
      <w:r w:rsidRPr="00FB5770">
        <w:rPr>
          <w:rFonts w:ascii="Verdana" w:hAnsi="Verdana" w:cs="Arial"/>
          <w:sz w:val="14"/>
          <w:szCs w:val="14"/>
        </w:rPr>
        <w:t>N° 216/05 Senado, N° 235-Cámara que dio lugar a la Ley de Garantías Electorales.</w:t>
      </w:r>
    </w:p>
    <w:p w14:paraId="79C2DD98" w14:textId="77777777" w:rsidR="005374E9" w:rsidRPr="00FB5770" w:rsidRDefault="005374E9" w:rsidP="005374E9">
      <w:pPr>
        <w:pStyle w:val="Textonotapie"/>
        <w:ind w:firstLine="709"/>
        <w:jc w:val="both"/>
        <w:rPr>
          <w:rFonts w:ascii="Verdana" w:hAnsi="Verdana" w:cs="Arial"/>
          <w:sz w:val="14"/>
          <w:szCs w:val="14"/>
        </w:rPr>
      </w:pPr>
    </w:p>
  </w:footnote>
  <w:footnote w:id="29">
    <w:p w14:paraId="43BBFB71" w14:textId="77777777" w:rsidR="005374E9" w:rsidRDefault="005374E9" w:rsidP="005374E9">
      <w:pPr>
        <w:pStyle w:val="Textonotapie"/>
        <w:ind w:firstLine="708"/>
        <w:jc w:val="both"/>
        <w:rPr>
          <w:rFonts w:ascii="Verdana" w:hAnsi="Verdana" w:cs="Arial"/>
          <w:sz w:val="14"/>
          <w:szCs w:val="14"/>
        </w:rPr>
      </w:pPr>
      <w:r w:rsidRPr="00FB5770">
        <w:rPr>
          <w:rStyle w:val="Refdenotaalpie"/>
          <w:rFonts w:ascii="Verdana" w:hAnsi="Verdana" w:cs="Arial"/>
          <w:sz w:val="14"/>
          <w:szCs w:val="14"/>
        </w:rPr>
        <w:footnoteRef/>
      </w:r>
      <w:r w:rsidRPr="00FB5770">
        <w:rPr>
          <w:rFonts w:ascii="Verdana" w:hAnsi="Verdana" w:cs="Arial"/>
          <w:sz w:val="14"/>
          <w:szCs w:val="14"/>
        </w:rPr>
        <w:t xml:space="preserve"> Consejo de Estado. Sala de Consulta y Servicio Civil. Concepto del 18 de febrero 2010. Rad. 11001-03-06-000-2010-00006-00 (1985). C.P. Enrique José Arboleda Perdomo.</w:t>
      </w:r>
    </w:p>
    <w:p w14:paraId="1DA9F532" w14:textId="77777777" w:rsidR="005374E9" w:rsidRPr="00FB5770" w:rsidRDefault="005374E9" w:rsidP="005374E9">
      <w:pPr>
        <w:pStyle w:val="Textonotapie"/>
        <w:ind w:firstLine="708"/>
        <w:jc w:val="both"/>
        <w:rPr>
          <w:rFonts w:ascii="Verdana" w:hAnsi="Verdana" w:cs="Arial"/>
          <w:sz w:val="14"/>
          <w:szCs w:val="14"/>
        </w:rPr>
      </w:pPr>
    </w:p>
  </w:footnote>
  <w:footnote w:id="30">
    <w:p w14:paraId="1C303C29" w14:textId="77777777" w:rsidR="005374E9" w:rsidRPr="00FB5770" w:rsidRDefault="005374E9" w:rsidP="005374E9">
      <w:pPr>
        <w:pStyle w:val="Textonotapie"/>
        <w:ind w:firstLine="708"/>
        <w:jc w:val="both"/>
        <w:rPr>
          <w:rFonts w:ascii="Verdana" w:hAnsi="Verdana" w:cs="Arial"/>
          <w:sz w:val="14"/>
          <w:szCs w:val="14"/>
        </w:rPr>
      </w:pPr>
      <w:r w:rsidRPr="00FB5770">
        <w:rPr>
          <w:rStyle w:val="Refdenotaalpie"/>
          <w:rFonts w:ascii="Verdana" w:hAnsi="Verdana" w:cs="Arial"/>
          <w:sz w:val="14"/>
          <w:szCs w:val="14"/>
        </w:rPr>
        <w:footnoteRef/>
      </w:r>
      <w:r w:rsidRPr="00FB5770">
        <w:rPr>
          <w:rFonts w:ascii="Verdana" w:hAnsi="Verdana" w:cs="Arial"/>
          <w:sz w:val="14"/>
          <w:szCs w:val="14"/>
        </w:rPr>
        <w:t xml:space="preserve"> Corte Constitucional. Sentencia C-1153 de 2005 M.P. Marco Gerardo Monroy Cabra. </w:t>
      </w:r>
    </w:p>
    <w:p w14:paraId="01809ED4" w14:textId="77777777" w:rsidR="005374E9" w:rsidRPr="00FB5770" w:rsidRDefault="005374E9" w:rsidP="005374E9">
      <w:pPr>
        <w:pStyle w:val="Textonotapie"/>
        <w:ind w:firstLine="708"/>
        <w:jc w:val="both"/>
        <w:rPr>
          <w:rFonts w:ascii="Verdana" w:hAnsi="Verdana" w:cs="Arial"/>
          <w:sz w:val="14"/>
          <w:szCs w:val="14"/>
        </w:rPr>
      </w:pPr>
    </w:p>
  </w:footnote>
  <w:footnote w:id="31">
    <w:p w14:paraId="3E59EBC1" w14:textId="77777777" w:rsidR="005374E9" w:rsidRPr="00033AB8" w:rsidRDefault="005374E9" w:rsidP="005374E9">
      <w:pPr>
        <w:pStyle w:val="Textonotapie"/>
        <w:ind w:firstLine="708"/>
        <w:jc w:val="both"/>
        <w:rPr>
          <w:rFonts w:ascii="Verdana" w:hAnsi="Verdana" w:cs="Arial"/>
          <w:color w:val="000000" w:themeColor="text1"/>
          <w:sz w:val="14"/>
          <w:szCs w:val="14"/>
          <w:lang w:val="es-ES"/>
        </w:rPr>
      </w:pPr>
      <w:r w:rsidRPr="00033AB8">
        <w:rPr>
          <w:rStyle w:val="Refdenotaalpie"/>
          <w:rFonts w:ascii="Verdana" w:hAnsi="Verdana" w:cs="Arial"/>
          <w:color w:val="000000" w:themeColor="text1"/>
          <w:sz w:val="14"/>
          <w:szCs w:val="14"/>
        </w:rPr>
        <w:footnoteRef/>
      </w:r>
      <w:r w:rsidRPr="00033AB8">
        <w:rPr>
          <w:rFonts w:ascii="Verdana" w:hAnsi="Verdana" w:cs="Arial"/>
          <w:color w:val="000000" w:themeColor="text1"/>
          <w:sz w:val="14"/>
          <w:szCs w:val="14"/>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32">
    <w:p w14:paraId="1AB6228F" w14:textId="77777777" w:rsidR="005374E9" w:rsidRDefault="005374E9" w:rsidP="005374E9">
      <w:pPr>
        <w:pStyle w:val="Textonotapie"/>
        <w:ind w:firstLine="709"/>
        <w:contextualSpacing/>
        <w:jc w:val="both"/>
        <w:rPr>
          <w:rFonts w:ascii="Verdana" w:hAnsi="Verdana" w:cs="Arial"/>
          <w:sz w:val="14"/>
          <w:szCs w:val="14"/>
        </w:rPr>
      </w:pPr>
      <w:r w:rsidRPr="00FB5770">
        <w:rPr>
          <w:rStyle w:val="Refdenotaalpie"/>
          <w:rFonts w:ascii="Verdana" w:hAnsi="Verdana"/>
          <w:sz w:val="14"/>
          <w:szCs w:val="14"/>
        </w:rPr>
        <w:footnoteRef/>
      </w:r>
      <w:r w:rsidRPr="00FB5770">
        <w:rPr>
          <w:rFonts w:ascii="Verdana" w:hAnsi="Verdana"/>
          <w:sz w:val="14"/>
          <w:szCs w:val="14"/>
        </w:rPr>
        <w:t xml:space="preserve"> </w:t>
      </w:r>
      <w:r w:rsidRPr="00FB5770">
        <w:rPr>
          <w:rFonts w:ascii="Verdana" w:hAnsi="Verdana" w:cs="Arial"/>
          <w:sz w:val="14"/>
          <w:szCs w:val="14"/>
        </w:rPr>
        <w:t xml:space="preserve">Consejo de Estado. Sala de lo Contencioso Administrativo. Sección Tercera. Sentencia del 21 de febrero de 2025. </w:t>
      </w:r>
      <w:r w:rsidRPr="00FB5770">
        <w:rPr>
          <w:rFonts w:ascii="Verdana" w:hAnsi="Verdana" w:cs="Arial"/>
          <w:sz w:val="14"/>
          <w:szCs w:val="14"/>
        </w:rPr>
        <w:t>Exp. 68.280. CP: José Roberto Sáchica Méndez.</w:t>
      </w:r>
    </w:p>
    <w:p w14:paraId="585885EA" w14:textId="77777777" w:rsidR="005374E9" w:rsidRPr="009D0D83" w:rsidRDefault="005374E9" w:rsidP="005374E9">
      <w:pPr>
        <w:pStyle w:val="Textonotapie"/>
        <w:ind w:firstLine="709"/>
        <w:contextualSpacing/>
        <w:jc w:val="both"/>
        <w:rPr>
          <w:rFonts w:ascii="Verdana" w:hAnsi="Verdana" w:cs="Arial"/>
          <w:sz w:val="16"/>
          <w:szCs w:val="16"/>
        </w:rPr>
      </w:pPr>
    </w:p>
  </w:footnote>
  <w:footnote w:id="33">
    <w:p w14:paraId="5716442A" w14:textId="77777777" w:rsidR="005374E9" w:rsidRPr="00FB5770" w:rsidRDefault="005374E9" w:rsidP="005374E9">
      <w:pPr>
        <w:pStyle w:val="Textonotapie"/>
        <w:ind w:firstLine="709"/>
        <w:contextualSpacing/>
        <w:jc w:val="both"/>
        <w:rPr>
          <w:rFonts w:ascii="Verdana" w:hAnsi="Verdana" w:cs="Arial"/>
          <w:sz w:val="14"/>
          <w:szCs w:val="14"/>
        </w:rPr>
      </w:pPr>
      <w:r w:rsidRPr="00FB5770">
        <w:rPr>
          <w:rFonts w:ascii="Verdana" w:hAnsi="Verdana"/>
          <w:sz w:val="14"/>
          <w:szCs w:val="14"/>
          <w:vertAlign w:val="superscript"/>
        </w:rPr>
        <w:footnoteRef/>
      </w:r>
      <w:r w:rsidRPr="00FB5770">
        <w:rPr>
          <w:rFonts w:ascii="Verdana" w:hAnsi="Verdana"/>
          <w:sz w:val="14"/>
          <w:szCs w:val="14"/>
          <w:vertAlign w:val="superscript"/>
        </w:rPr>
        <w:t xml:space="preserve"> </w:t>
      </w:r>
      <w:r w:rsidRPr="00FB5770">
        <w:rPr>
          <w:rFonts w:ascii="Verdana" w:hAnsi="Verdana" w:cs="Arial"/>
          <w:sz w:val="14"/>
          <w:szCs w:val="14"/>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0C41D727" w14:textId="77777777" w:rsidR="005374E9" w:rsidRPr="00FB5770" w:rsidRDefault="005374E9" w:rsidP="005374E9">
      <w:pPr>
        <w:pStyle w:val="Textonotapie"/>
        <w:ind w:firstLine="709"/>
        <w:contextualSpacing/>
        <w:jc w:val="both"/>
        <w:rPr>
          <w:rFonts w:ascii="Verdana" w:hAnsi="Verdana" w:cs="Arial"/>
          <w:sz w:val="14"/>
          <w:szCs w:val="14"/>
        </w:rPr>
      </w:pPr>
    </w:p>
  </w:footnote>
  <w:footnote w:id="34">
    <w:p w14:paraId="54E7A91E" w14:textId="77777777" w:rsidR="005374E9" w:rsidRPr="00FB5770" w:rsidRDefault="005374E9" w:rsidP="005374E9">
      <w:pPr>
        <w:pStyle w:val="Textonotapie"/>
        <w:ind w:firstLine="709"/>
        <w:contextualSpacing/>
        <w:jc w:val="both"/>
        <w:rPr>
          <w:rFonts w:ascii="Verdana" w:hAnsi="Verdana" w:cs="Arial"/>
          <w:sz w:val="14"/>
          <w:szCs w:val="14"/>
        </w:rPr>
      </w:pPr>
      <w:r w:rsidRPr="00FB5770">
        <w:rPr>
          <w:rFonts w:ascii="Verdana" w:hAnsi="Verdana"/>
          <w:sz w:val="14"/>
          <w:szCs w:val="14"/>
          <w:vertAlign w:val="superscript"/>
        </w:rPr>
        <w:footnoteRef/>
      </w:r>
      <w:r w:rsidRPr="00FB5770">
        <w:rPr>
          <w:rFonts w:ascii="Verdana" w:hAnsi="Verdana" w:cs="Arial"/>
          <w:sz w:val="14"/>
          <w:szCs w:val="14"/>
          <w:vertAlign w:val="superscript"/>
        </w:rPr>
        <w:t xml:space="preserve"> </w:t>
      </w:r>
      <w:r w:rsidRPr="00FB5770">
        <w:rPr>
          <w:rFonts w:ascii="Verdana" w:hAnsi="Verdana" w:cs="Arial"/>
          <w:sz w:val="14"/>
          <w:szCs w:val="14"/>
        </w:rPr>
        <w:t>Ley 80 de 1993: “Artículo 41. Del perfeccionamiento del contrato. Los contratos del Estado se perfeccionan cuando se logre acuerdo sobre el objeto y la contraprestación y éste se eleve a escrito.</w:t>
      </w:r>
    </w:p>
    <w:p w14:paraId="564FB558" w14:textId="77777777" w:rsidR="005374E9" w:rsidRPr="00FB5770" w:rsidRDefault="005374E9" w:rsidP="005374E9">
      <w:pPr>
        <w:pStyle w:val="Textonotapie"/>
        <w:ind w:firstLine="709"/>
        <w:contextualSpacing/>
        <w:jc w:val="both"/>
        <w:rPr>
          <w:rFonts w:ascii="Verdana" w:hAnsi="Verdana" w:cs="Arial"/>
          <w:sz w:val="14"/>
          <w:szCs w:val="14"/>
        </w:rPr>
      </w:pPr>
    </w:p>
  </w:footnote>
  <w:footnote w:id="35">
    <w:p w14:paraId="4AECDBD1" w14:textId="77777777" w:rsidR="005374E9" w:rsidRPr="00FB5770" w:rsidRDefault="005374E9" w:rsidP="005374E9">
      <w:pPr>
        <w:pStyle w:val="Textonotapie"/>
        <w:ind w:firstLine="709"/>
        <w:contextualSpacing/>
        <w:jc w:val="both"/>
        <w:rPr>
          <w:rFonts w:ascii="Verdana" w:hAnsi="Verdana" w:cs="Arial"/>
          <w:sz w:val="14"/>
          <w:szCs w:val="14"/>
        </w:rPr>
      </w:pPr>
      <w:r w:rsidRPr="00FB5770">
        <w:rPr>
          <w:rFonts w:ascii="Verdana" w:hAnsi="Verdana"/>
          <w:sz w:val="14"/>
          <w:szCs w:val="14"/>
          <w:vertAlign w:val="superscript"/>
        </w:rPr>
        <w:footnoteRef/>
      </w:r>
      <w:r w:rsidRPr="00FB5770">
        <w:rPr>
          <w:rFonts w:ascii="Verdana" w:hAnsi="Verdana" w:cs="Arial"/>
          <w:sz w:val="14"/>
          <w:szCs w:val="14"/>
          <w:vertAlign w:val="superscript"/>
        </w:rPr>
        <w:t xml:space="preserve"> </w:t>
      </w:r>
      <w:r w:rsidRPr="00FB5770">
        <w:rPr>
          <w:rFonts w:ascii="Verdana" w:hAnsi="Verdana" w:cs="Arial"/>
          <w:sz w:val="14"/>
          <w:szCs w:val="14"/>
        </w:rPr>
        <w:t>Código Civil: “Artículo 27. Cuando el sentido de la ley sea claro, no se desatenderá su tenor a pretexto de consultar su espíritu”.</w:t>
      </w:r>
    </w:p>
  </w:footnote>
  <w:footnote w:id="36">
    <w:p w14:paraId="7BB9BB83" w14:textId="77777777" w:rsidR="005374E9" w:rsidRPr="00FB5770" w:rsidRDefault="005374E9" w:rsidP="005374E9">
      <w:pPr>
        <w:pStyle w:val="Textonotapie"/>
        <w:ind w:firstLine="708"/>
        <w:jc w:val="both"/>
        <w:rPr>
          <w:rFonts w:ascii="Verdana" w:hAnsi="Verdana"/>
          <w:sz w:val="14"/>
          <w:szCs w:val="14"/>
          <w:lang w:val="es-ES"/>
        </w:rPr>
      </w:pPr>
      <w:r w:rsidRPr="00FB5770">
        <w:rPr>
          <w:rStyle w:val="Refdenotaalpie"/>
          <w:rFonts w:ascii="Verdana" w:hAnsi="Verdana"/>
          <w:sz w:val="14"/>
          <w:szCs w:val="14"/>
        </w:rPr>
        <w:footnoteRef/>
      </w:r>
      <w:r w:rsidRPr="00FB5770">
        <w:rPr>
          <w:rFonts w:ascii="Verdana" w:hAnsi="Verdana"/>
          <w:sz w:val="14"/>
          <w:szCs w:val="14"/>
        </w:rPr>
        <w:t xml:space="preserve"> </w:t>
      </w:r>
      <w:r w:rsidRPr="00FB5770">
        <w:rPr>
          <w:rFonts w:ascii="Verdana" w:hAnsi="Verdana"/>
          <w:sz w:val="14"/>
          <w:szCs w:val="14"/>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FB5770">
        <w:rPr>
          <w:rFonts w:ascii="Verdana" w:hAnsi="Verdana"/>
          <w:i/>
          <w:iCs/>
          <w:sz w:val="14"/>
          <w:szCs w:val="14"/>
          <w:lang w:val="es-ES"/>
        </w:rPr>
        <w:t>Ubi lex non distinguit nec nos distinguere debemus</w:t>
      </w:r>
      <w:r w:rsidRPr="00FB5770">
        <w:rPr>
          <w:rFonts w:ascii="Verdana" w:hAnsi="Verdana"/>
          <w:sz w:val="14"/>
          <w:szCs w:val="14"/>
          <w:lang w:val="es-ES"/>
        </w:rPr>
        <w:t>, ‘donde la ley no distingue no puede el hombre distinguir’. ‘La extensión que deba dársele a la ley se determinará por su genuino sentido y según las reglas de interpretación precedentes’, dice el artículo 23.</w:t>
      </w:r>
    </w:p>
    <w:p w14:paraId="1F5B8196" w14:textId="77777777" w:rsidR="005374E9" w:rsidRDefault="005374E9" w:rsidP="005374E9">
      <w:pPr>
        <w:pStyle w:val="Textonotapie"/>
        <w:ind w:firstLine="708"/>
        <w:jc w:val="both"/>
        <w:rPr>
          <w:rFonts w:ascii="Verdana" w:hAnsi="Verdana"/>
          <w:sz w:val="14"/>
          <w:szCs w:val="14"/>
        </w:rPr>
      </w:pPr>
      <w:r w:rsidRPr="00FB5770">
        <w:rPr>
          <w:rFonts w:ascii="Verdana" w:hAnsi="Verdana"/>
          <w:sz w:val="14"/>
          <w:szCs w:val="14"/>
          <w:lang w:val="es-ES"/>
        </w:rPr>
        <w:t xml:space="preserve">En el derecho antiguo y en el derecho canónico se distinguían las leyes en favorables y odiosas, para ampliar o restringir su interpretación. </w:t>
      </w:r>
      <w:r w:rsidRPr="00FB5770">
        <w:rPr>
          <w:rFonts w:ascii="Verdana" w:hAnsi="Verdana"/>
          <w:i/>
          <w:iCs/>
          <w:sz w:val="14"/>
          <w:szCs w:val="14"/>
          <w:lang w:val="es-ES"/>
        </w:rPr>
        <w:t>Odia restringí et favores convenit ampliari</w:t>
      </w:r>
      <w:r w:rsidRPr="00FB5770">
        <w:rPr>
          <w:rFonts w:ascii="Verdana" w:hAnsi="Verdana"/>
          <w:sz w:val="14"/>
          <w:szCs w:val="14"/>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FB5770">
        <w:rPr>
          <w:rFonts w:ascii="Verdana" w:hAnsi="Verdana"/>
          <w:sz w:val="14"/>
          <w:szCs w:val="14"/>
        </w:rPr>
        <w:t>CLARO SOLAR, Luis. Explicaciones de derecho civil chileno y comparado. Volumen I. Tomo I. Santiago: Editorial Jurídica de Chile, 2013. p. 119. Énfasis dentro del texto).</w:t>
      </w:r>
    </w:p>
    <w:p w14:paraId="148707AD" w14:textId="77777777" w:rsidR="005374E9" w:rsidRPr="00FB5770" w:rsidRDefault="005374E9" w:rsidP="005374E9">
      <w:pPr>
        <w:pStyle w:val="Textonotapie"/>
        <w:ind w:firstLine="708"/>
        <w:jc w:val="both"/>
        <w:rPr>
          <w:rFonts w:ascii="Verdana" w:hAnsi="Verdana"/>
          <w:sz w:val="14"/>
          <w:szCs w:val="14"/>
          <w:lang w:val="es-CO"/>
        </w:rPr>
      </w:pPr>
    </w:p>
  </w:footnote>
  <w:footnote w:id="37">
    <w:p w14:paraId="1B3E2375" w14:textId="77777777" w:rsidR="005374E9" w:rsidRPr="00FB5770" w:rsidRDefault="005374E9" w:rsidP="005374E9">
      <w:pPr>
        <w:spacing w:after="0" w:line="240" w:lineRule="auto"/>
        <w:ind w:firstLine="709"/>
        <w:jc w:val="both"/>
        <w:rPr>
          <w:rFonts w:ascii="Verdana" w:hAnsi="Verdana" w:cs="Arial"/>
          <w:sz w:val="14"/>
          <w:szCs w:val="14"/>
          <w:lang w:eastAsia="es-ES"/>
        </w:rPr>
      </w:pPr>
      <w:r w:rsidRPr="00FB5770">
        <w:rPr>
          <w:rStyle w:val="Refdenotaalpie"/>
          <w:rFonts w:ascii="Verdana" w:hAnsi="Verdana"/>
          <w:sz w:val="14"/>
          <w:szCs w:val="14"/>
        </w:rPr>
        <w:footnoteRef/>
      </w:r>
      <w:r w:rsidRPr="00FB5770">
        <w:rPr>
          <w:rFonts w:ascii="Verdana" w:hAnsi="Verdana"/>
          <w:sz w:val="14"/>
          <w:szCs w:val="14"/>
        </w:rPr>
        <w:t xml:space="preserve"> Consejo de Estado. Sala de lo Contencioso Administrativo. Sección Tercera. Subsección B. Auto del 4 de octubre de 2024. </w:t>
      </w:r>
      <w:r w:rsidRPr="00FB5770">
        <w:rPr>
          <w:rFonts w:ascii="Verdana" w:hAnsi="Verdana"/>
          <w:sz w:val="14"/>
          <w:szCs w:val="14"/>
        </w:rPr>
        <w:t>Exp. 70.313. C.P: Fredy Ibarra Martínez.</w:t>
      </w:r>
    </w:p>
    <w:p w14:paraId="39E30E67" w14:textId="77777777" w:rsidR="005374E9" w:rsidRPr="00FB5770" w:rsidRDefault="005374E9" w:rsidP="005374E9">
      <w:pPr>
        <w:pStyle w:val="Textonotapie"/>
        <w:ind w:firstLine="709"/>
        <w:contextualSpacing/>
        <w:jc w:val="both"/>
        <w:rPr>
          <w:rFonts w:ascii="Verdana" w:hAnsi="Verdana"/>
          <w:sz w:val="14"/>
          <w:szCs w:val="14"/>
          <w:lang w:val="es-CO"/>
        </w:rPr>
      </w:pPr>
    </w:p>
  </w:footnote>
  <w:footnote w:id="38">
    <w:p w14:paraId="56AC6985" w14:textId="77777777" w:rsidR="005374E9" w:rsidRPr="00FB5770" w:rsidRDefault="005374E9" w:rsidP="005374E9">
      <w:pPr>
        <w:pStyle w:val="Textonotapie"/>
        <w:ind w:firstLine="709"/>
        <w:contextualSpacing/>
        <w:jc w:val="both"/>
        <w:rPr>
          <w:rFonts w:ascii="Verdana" w:hAnsi="Verdana"/>
          <w:sz w:val="14"/>
          <w:szCs w:val="14"/>
          <w:lang w:val="es-CO"/>
        </w:rPr>
      </w:pPr>
      <w:r w:rsidRPr="00FB5770">
        <w:rPr>
          <w:rStyle w:val="Refdenotaalpie"/>
          <w:rFonts w:ascii="Verdana" w:hAnsi="Verdana"/>
          <w:sz w:val="14"/>
          <w:szCs w:val="14"/>
        </w:rPr>
        <w:footnoteRef/>
      </w:r>
      <w:r w:rsidRPr="00FB5770">
        <w:rPr>
          <w:rFonts w:ascii="Verdana" w:hAnsi="Verdana"/>
          <w:sz w:val="14"/>
          <w:szCs w:val="14"/>
        </w:rPr>
        <w:t xml:space="preserve"> La parte resolutiva del auto dispone lo siguiente; “</w:t>
      </w:r>
      <w:r w:rsidRPr="00FB5770">
        <w:rPr>
          <w:rFonts w:ascii="Verdana" w:hAnsi="Verdana"/>
          <w:b/>
          <w:sz w:val="14"/>
          <w:szCs w:val="14"/>
          <w:lang w:val="es-CO"/>
        </w:rPr>
        <w:t xml:space="preserve">PRIMERO: DECRETAR </w:t>
      </w:r>
      <w:r w:rsidRPr="00FB5770">
        <w:rPr>
          <w:rFonts w:ascii="Verdana" w:hAnsi="Verdana"/>
          <w:sz w:val="14"/>
          <w:szCs w:val="14"/>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FB5770">
        <w:rPr>
          <w:rFonts w:ascii="Verdana" w:hAnsi="Verdana"/>
          <w:i/>
          <w:sz w:val="14"/>
          <w:szCs w:val="14"/>
          <w:lang w:val="es-CO"/>
        </w:rPr>
        <w:t>“[e]</w:t>
      </w:r>
      <w:r w:rsidRPr="00FB5770">
        <w:rPr>
          <w:rFonts w:ascii="Verdana" w:hAnsi="Verdana"/>
          <w:i/>
          <w:sz w:val="14"/>
          <w:szCs w:val="14"/>
          <w:lang w:val="es-CO"/>
        </w:rPr>
        <w:t>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FB5770">
        <w:rPr>
          <w:rFonts w:ascii="Verdana" w:hAnsi="Verdana"/>
          <w:sz w:val="14"/>
          <w:szCs w:val="14"/>
          <w:lang w:val="es-CO"/>
        </w:rPr>
        <w:t xml:space="preserve">, por las razones expuestas en precedencia. </w:t>
      </w:r>
    </w:p>
    <w:p w14:paraId="2F5906EF" w14:textId="77777777" w:rsidR="005374E9" w:rsidRDefault="005374E9" w:rsidP="005374E9">
      <w:pPr>
        <w:pStyle w:val="Textonotapie"/>
        <w:ind w:firstLine="709"/>
        <w:contextualSpacing/>
        <w:jc w:val="both"/>
        <w:rPr>
          <w:rFonts w:ascii="Verdana" w:hAnsi="Verdana"/>
          <w:sz w:val="16"/>
          <w:szCs w:val="16"/>
          <w:lang w:val="es-CO"/>
        </w:rPr>
      </w:pPr>
      <w:r w:rsidRPr="00FB5770">
        <w:rPr>
          <w:rFonts w:ascii="Verdana" w:hAnsi="Verdana"/>
          <w:b/>
          <w:sz w:val="14"/>
          <w:szCs w:val="14"/>
          <w:lang w:val="es-CO"/>
        </w:rPr>
        <w:t xml:space="preserve">SEGUNDO: DECRETAR </w:t>
      </w:r>
      <w:r w:rsidRPr="00FB5770">
        <w:rPr>
          <w:rFonts w:ascii="Verdana" w:hAnsi="Verdana"/>
          <w:sz w:val="14"/>
          <w:szCs w:val="14"/>
          <w:lang w:val="es-CO"/>
        </w:rPr>
        <w:t>la suspensión provisional de la expresión “</w:t>
      </w:r>
      <w:r w:rsidRPr="00FB5770">
        <w:rPr>
          <w:rFonts w:ascii="Verdana" w:hAnsi="Verdana"/>
          <w:i/>
          <w:sz w:val="14"/>
          <w:szCs w:val="14"/>
          <w:lang w:val="es-CO"/>
        </w:rPr>
        <w:t>contratos</w:t>
      </w:r>
      <w:r w:rsidRPr="00FB5770">
        <w:rPr>
          <w:rFonts w:ascii="Verdana" w:hAnsi="Verdana"/>
          <w:sz w:val="14"/>
          <w:szCs w:val="14"/>
          <w:lang w:val="es-CO"/>
        </w:rPr>
        <w:t xml:space="preserve">” y del párrafo </w:t>
      </w:r>
      <w:r w:rsidRPr="00FB5770">
        <w:rPr>
          <w:rFonts w:ascii="Verdana" w:hAnsi="Verdana"/>
          <w:i/>
          <w:sz w:val="14"/>
          <w:szCs w:val="14"/>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FB5770">
        <w:rPr>
          <w:rFonts w:ascii="Verdana" w:hAnsi="Verdana"/>
          <w:sz w:val="14"/>
          <w:szCs w:val="14"/>
          <w:lang w:val="es-CO"/>
        </w:rPr>
        <w:t>”,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w:t>
      </w:r>
      <w:r w:rsidRPr="009D0D83">
        <w:rPr>
          <w:rFonts w:ascii="Verdana" w:hAnsi="Verdana"/>
          <w:sz w:val="16"/>
          <w:szCs w:val="16"/>
          <w:lang w:val="es-CO"/>
        </w:rPr>
        <w:t xml:space="preserve"> </w:t>
      </w:r>
    </w:p>
    <w:p w14:paraId="056BBCB8" w14:textId="77777777" w:rsidR="005374E9" w:rsidRPr="009D0D83" w:rsidRDefault="005374E9" w:rsidP="005374E9">
      <w:pPr>
        <w:pStyle w:val="Textonotapie"/>
        <w:ind w:firstLine="709"/>
        <w:contextualSpacing/>
        <w:jc w:val="both"/>
        <w:rPr>
          <w:rFonts w:ascii="Verdana" w:hAnsi="Verdana"/>
          <w:sz w:val="16"/>
          <w:szCs w:val="16"/>
          <w:lang w:val="es-CO"/>
        </w:rPr>
      </w:pPr>
    </w:p>
  </w:footnote>
  <w:footnote w:id="39">
    <w:p w14:paraId="113393AC" w14:textId="77777777" w:rsidR="005374E9" w:rsidRDefault="005374E9" w:rsidP="005374E9">
      <w:pPr>
        <w:spacing w:after="0" w:line="240" w:lineRule="auto"/>
        <w:ind w:firstLine="709"/>
        <w:contextualSpacing/>
        <w:jc w:val="both"/>
        <w:rPr>
          <w:rFonts w:ascii="Verdana" w:eastAsia="Times New Roman" w:hAnsi="Verdana" w:cs="Times New Roman"/>
          <w:sz w:val="14"/>
          <w:szCs w:val="14"/>
          <w:lang w:eastAsia="es-ES"/>
        </w:rPr>
      </w:pPr>
      <w:r w:rsidRPr="00FB5770">
        <w:rPr>
          <w:rStyle w:val="Refdenotaalpie"/>
          <w:rFonts w:ascii="Verdana" w:hAnsi="Verdana"/>
          <w:sz w:val="14"/>
          <w:szCs w:val="14"/>
        </w:rPr>
        <w:footnoteRef/>
      </w:r>
      <w:r w:rsidRPr="00FB5770">
        <w:rPr>
          <w:rFonts w:ascii="Verdana" w:hAnsi="Verdana"/>
          <w:sz w:val="14"/>
          <w:szCs w:val="14"/>
        </w:rPr>
        <w:t xml:space="preserve"> </w:t>
      </w:r>
      <w:r w:rsidRPr="00FB5770">
        <w:rPr>
          <w:rFonts w:ascii="Verdana" w:eastAsia="Times New Roman" w:hAnsi="Verdana" w:cs="Times New Roman"/>
          <w:sz w:val="14"/>
          <w:szCs w:val="14"/>
          <w:lang w:eastAsia="es-ES"/>
        </w:rPr>
        <w:t xml:space="preserve">Consejo de Estado. </w:t>
      </w:r>
      <w:r>
        <w:rPr>
          <w:rFonts w:ascii="Verdana" w:eastAsia="Times New Roman" w:hAnsi="Verdana" w:cs="Times New Roman"/>
          <w:sz w:val="14"/>
          <w:szCs w:val="14"/>
          <w:lang w:eastAsia="es-ES"/>
        </w:rPr>
        <w:t xml:space="preserve">Sala de lo Contencioso Administrativo. </w:t>
      </w:r>
      <w:r w:rsidRPr="00FB5770">
        <w:rPr>
          <w:rFonts w:ascii="Verdana" w:eastAsia="Times New Roman" w:hAnsi="Verdana" w:cs="Times New Roman"/>
          <w:sz w:val="14"/>
          <w:szCs w:val="14"/>
          <w:lang w:eastAsia="es-ES"/>
        </w:rPr>
        <w:t xml:space="preserve">Sección Tercera. Subsección B. 17 de octubre de 2025. C.P. Fredy Ibarra Martínez. </w:t>
      </w:r>
      <w:r w:rsidRPr="00FB5770">
        <w:rPr>
          <w:rFonts w:ascii="Verdana" w:hAnsi="Verdana"/>
          <w:sz w:val="14"/>
          <w:szCs w:val="14"/>
        </w:rPr>
        <w:t xml:space="preserve">La parte de la providencia señala: </w:t>
      </w:r>
      <w:r w:rsidRPr="00FB5770">
        <w:rPr>
          <w:rFonts w:ascii="Verdana" w:eastAsia="Times New Roman" w:hAnsi="Verdana" w:cs="Times New Roman"/>
          <w:sz w:val="14"/>
          <w:szCs w:val="14"/>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r w:rsidRPr="00FB5770">
        <w:rPr>
          <w:rFonts w:ascii="Verdana" w:eastAsia="Times New Roman" w:hAnsi="Verdana" w:cs="Times New Roman"/>
          <w:sz w:val="14"/>
          <w:szCs w:val="14"/>
          <w:lang w:eastAsia="es-ES"/>
        </w:rPr>
        <w:t>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02B4E323" w14:textId="77777777" w:rsidR="005374E9" w:rsidRPr="00FB5770" w:rsidRDefault="005374E9" w:rsidP="005374E9">
      <w:pPr>
        <w:spacing w:after="0" w:line="240" w:lineRule="auto"/>
        <w:ind w:firstLine="709"/>
        <w:contextualSpacing/>
        <w:jc w:val="both"/>
        <w:rPr>
          <w:rFonts w:ascii="Verdana" w:eastAsia="Times New Roman" w:hAnsi="Verdana" w:cs="Times New Roman"/>
          <w:sz w:val="14"/>
          <w:szCs w:val="14"/>
          <w:lang w:eastAsia="es-ES"/>
        </w:rPr>
      </w:pPr>
    </w:p>
  </w:footnote>
  <w:footnote w:id="40">
    <w:p w14:paraId="707A6B49" w14:textId="77777777" w:rsidR="005374E9" w:rsidRDefault="005374E9" w:rsidP="005374E9">
      <w:pPr>
        <w:pStyle w:val="Textonotapie"/>
        <w:ind w:firstLine="709"/>
        <w:jc w:val="both"/>
        <w:rPr>
          <w:rFonts w:ascii="Verdana" w:hAnsi="Verdana"/>
          <w:sz w:val="14"/>
          <w:szCs w:val="14"/>
        </w:rPr>
      </w:pPr>
      <w:r w:rsidRPr="00FB5770">
        <w:rPr>
          <w:rStyle w:val="Refdenotaalpie"/>
          <w:rFonts w:ascii="Verdana" w:hAnsi="Verdana"/>
          <w:sz w:val="14"/>
          <w:szCs w:val="14"/>
        </w:rPr>
        <w:footnoteRef/>
      </w:r>
      <w:r w:rsidRPr="00FB5770">
        <w:rPr>
          <w:rFonts w:ascii="Verdana" w:hAnsi="Verdana"/>
          <w:sz w:val="14"/>
          <w:szCs w:val="14"/>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2372CADB" w14:textId="77777777" w:rsidR="005374E9" w:rsidRPr="00FB5770" w:rsidRDefault="005374E9" w:rsidP="005374E9">
      <w:pPr>
        <w:pStyle w:val="Textonotapie"/>
        <w:ind w:firstLine="709"/>
        <w:jc w:val="both"/>
        <w:rPr>
          <w:rFonts w:ascii="Verdana" w:hAnsi="Verdana"/>
          <w:sz w:val="14"/>
          <w:szCs w:val="14"/>
          <w:lang w:val="es-CO"/>
        </w:rPr>
      </w:pPr>
    </w:p>
  </w:footnote>
  <w:footnote w:id="41">
    <w:p w14:paraId="05DCFD5E" w14:textId="77777777" w:rsidR="005374E9" w:rsidRPr="006A09E3" w:rsidRDefault="005374E9" w:rsidP="005374E9">
      <w:pPr>
        <w:pStyle w:val="Textonotapie"/>
        <w:ind w:firstLine="709"/>
        <w:rPr>
          <w:rFonts w:ascii="Verdana" w:hAnsi="Verdana"/>
          <w:sz w:val="14"/>
          <w:szCs w:val="14"/>
        </w:rPr>
      </w:pPr>
      <w:r w:rsidRPr="006A09E3">
        <w:rPr>
          <w:rStyle w:val="Refdenotaalpie"/>
          <w:rFonts w:ascii="Verdana" w:hAnsi="Verdana"/>
          <w:sz w:val="14"/>
          <w:szCs w:val="14"/>
        </w:rPr>
        <w:footnoteRef/>
      </w:r>
      <w:r w:rsidRPr="006A09E3">
        <w:rPr>
          <w:rFonts w:ascii="Verdana" w:hAnsi="Verdana"/>
          <w:sz w:val="14"/>
          <w:szCs w:val="14"/>
        </w:rPr>
        <w:t xml:space="preserve"> Esto en el entendido de la posición de la Agencia Nacional descrito en la presente comunicación. </w:t>
      </w:r>
    </w:p>
  </w:footnote>
  <w:footnote w:id="42">
    <w:p w14:paraId="09F0AF68" w14:textId="77777777" w:rsidR="005374E9" w:rsidRDefault="005374E9" w:rsidP="005374E9">
      <w:pPr>
        <w:pStyle w:val="Textonotapie"/>
        <w:ind w:firstLine="708"/>
        <w:jc w:val="both"/>
        <w:rPr>
          <w:rFonts w:ascii="Verdana" w:hAnsi="Verdana" w:cs="Arial"/>
          <w:sz w:val="14"/>
          <w:szCs w:val="14"/>
        </w:rPr>
      </w:pPr>
      <w:r w:rsidRPr="006E591E">
        <w:rPr>
          <w:rStyle w:val="Refdenotaalpie"/>
          <w:rFonts w:ascii="Verdana" w:hAnsi="Verdana" w:cs="Arial"/>
          <w:sz w:val="14"/>
          <w:szCs w:val="14"/>
        </w:rPr>
        <w:footnoteRef/>
      </w:r>
      <w:r w:rsidRPr="006E591E">
        <w:rPr>
          <w:rFonts w:ascii="Verdana" w:hAnsi="Verdana" w:cs="Arial"/>
          <w:sz w:val="14"/>
          <w:szCs w:val="14"/>
        </w:rPr>
        <w:t xml:space="preserve"> El inciso primero de norma disponía que, conforme al principio de transparencia, “</w:t>
      </w:r>
      <w:r w:rsidRPr="006E591E">
        <w:rPr>
          <w:rFonts w:ascii="Verdana" w:hAnsi="Verdana" w:cs="Arial"/>
          <w:i/>
          <w:iCs/>
          <w:sz w:val="14"/>
          <w:szCs w:val="14"/>
        </w:rPr>
        <w:t>La escogencia del contratista se efectuará siempre a través de licitación o concurso públicos</w:t>
      </w:r>
      <w:r w:rsidRPr="006E591E">
        <w:rPr>
          <w:rFonts w:ascii="Verdana" w:hAnsi="Verdana" w:cs="Arial"/>
          <w:sz w:val="14"/>
          <w:szCs w:val="14"/>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p w14:paraId="7185DB5B" w14:textId="77777777" w:rsidR="005374E9" w:rsidRPr="006E591E" w:rsidRDefault="005374E9" w:rsidP="005374E9">
      <w:pPr>
        <w:pStyle w:val="Textonotapie"/>
        <w:ind w:firstLine="708"/>
        <w:jc w:val="both"/>
        <w:rPr>
          <w:rFonts w:ascii="Verdana" w:hAnsi="Verdana" w:cs="Arial"/>
          <w:sz w:val="14"/>
          <w:szCs w:val="14"/>
        </w:rPr>
      </w:pPr>
    </w:p>
  </w:footnote>
  <w:footnote w:id="43">
    <w:p w14:paraId="373D2334" w14:textId="77777777" w:rsidR="005374E9" w:rsidRDefault="005374E9" w:rsidP="005374E9">
      <w:pPr>
        <w:pStyle w:val="Textonotapie"/>
        <w:ind w:firstLine="708"/>
        <w:jc w:val="both"/>
        <w:rPr>
          <w:rFonts w:ascii="Verdana" w:hAnsi="Verdana" w:cs="Arial"/>
          <w:sz w:val="14"/>
          <w:szCs w:val="14"/>
        </w:rPr>
      </w:pPr>
      <w:r w:rsidRPr="006E591E">
        <w:rPr>
          <w:rStyle w:val="Refdenotaalpie"/>
          <w:rFonts w:ascii="Verdana" w:hAnsi="Verdana" w:cs="Arial"/>
          <w:sz w:val="14"/>
          <w:szCs w:val="14"/>
        </w:rPr>
        <w:footnoteRef/>
      </w:r>
      <w:r w:rsidRPr="006E591E">
        <w:rPr>
          <w:rFonts w:ascii="Verdana" w:hAnsi="Verdana" w:cs="Arial"/>
          <w:sz w:val="14"/>
          <w:szCs w:val="14"/>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6E591E">
        <w:rPr>
          <w:rFonts w:ascii="Verdana" w:hAnsi="Verdana" w:cs="Arial"/>
          <w:i/>
          <w:iCs/>
          <w:sz w:val="14"/>
          <w:szCs w:val="14"/>
        </w:rPr>
        <w:t>Presentación de la oferta de manera dinámica</w:t>
      </w:r>
      <w:r w:rsidRPr="006E591E">
        <w:rPr>
          <w:rFonts w:ascii="Verdana" w:hAnsi="Verdana" w:cs="Arial"/>
          <w:sz w:val="14"/>
          <w:szCs w:val="14"/>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p w14:paraId="3F7C4028" w14:textId="77777777" w:rsidR="005374E9" w:rsidRPr="006E591E" w:rsidRDefault="005374E9" w:rsidP="005374E9">
      <w:pPr>
        <w:pStyle w:val="Textonotapie"/>
        <w:ind w:firstLine="708"/>
        <w:jc w:val="both"/>
        <w:rPr>
          <w:rFonts w:ascii="Verdana" w:hAnsi="Verdana" w:cs="Arial"/>
          <w:sz w:val="14"/>
          <w:szCs w:val="14"/>
        </w:rPr>
      </w:pPr>
    </w:p>
  </w:footnote>
  <w:footnote w:id="44">
    <w:p w14:paraId="1CB61633" w14:textId="77777777" w:rsidR="005374E9" w:rsidRDefault="005374E9" w:rsidP="005374E9">
      <w:pPr>
        <w:pStyle w:val="Textonotapie"/>
        <w:ind w:firstLine="567"/>
        <w:jc w:val="both"/>
        <w:rPr>
          <w:rFonts w:ascii="Verdana" w:hAnsi="Verdana" w:cs="Arial"/>
          <w:sz w:val="14"/>
          <w:szCs w:val="14"/>
          <w:lang w:val="es-ES"/>
        </w:rPr>
      </w:pPr>
      <w:r w:rsidRPr="006E591E">
        <w:rPr>
          <w:rStyle w:val="Refdenotaalpie"/>
          <w:rFonts w:ascii="Verdana" w:hAnsi="Verdana" w:cs="Arial"/>
          <w:sz w:val="14"/>
          <w:szCs w:val="14"/>
        </w:rPr>
        <w:footnoteRef/>
      </w:r>
      <w:r w:rsidRPr="006E591E">
        <w:rPr>
          <w:rFonts w:ascii="Verdana" w:hAnsi="Verdana" w:cs="Arial"/>
          <w:sz w:val="14"/>
          <w:szCs w:val="14"/>
        </w:rPr>
        <w:t xml:space="preserve"> </w:t>
      </w:r>
      <w:r w:rsidRPr="006E591E">
        <w:rPr>
          <w:rFonts w:ascii="Verdana" w:hAnsi="Verdana" w:cs="Arial"/>
          <w:sz w:val="14"/>
          <w:szCs w:val="14"/>
          <w:lang w:val="es-ES"/>
        </w:rPr>
        <w:t xml:space="preserve">Congreso de la República, Gaceta 466 del 2 de agosto de 2005. Exposición de motivos del Proyecto de Ley 19 de 2005 – Senado. </w:t>
      </w:r>
    </w:p>
    <w:p w14:paraId="107E69F0" w14:textId="77777777" w:rsidR="005374E9" w:rsidRPr="006E591E" w:rsidRDefault="005374E9" w:rsidP="005374E9">
      <w:pPr>
        <w:pStyle w:val="Textonotapie"/>
        <w:ind w:firstLine="567"/>
        <w:jc w:val="both"/>
        <w:rPr>
          <w:rFonts w:ascii="Verdana" w:hAnsi="Verdana" w:cs="Arial"/>
          <w:sz w:val="14"/>
          <w:szCs w:val="14"/>
          <w:lang w:val="es-ES"/>
        </w:rPr>
      </w:pPr>
    </w:p>
  </w:footnote>
  <w:footnote w:id="45">
    <w:p w14:paraId="5CB2D3A2" w14:textId="77777777" w:rsidR="005374E9" w:rsidRDefault="005374E9" w:rsidP="005374E9">
      <w:pPr>
        <w:pStyle w:val="Textonotapie"/>
        <w:ind w:firstLine="567"/>
        <w:jc w:val="both"/>
        <w:rPr>
          <w:rFonts w:ascii="Verdana" w:hAnsi="Verdana" w:cs="Arial"/>
          <w:sz w:val="14"/>
          <w:szCs w:val="14"/>
          <w:lang w:val="es-ES"/>
        </w:rPr>
      </w:pPr>
      <w:r w:rsidRPr="006E591E">
        <w:rPr>
          <w:rStyle w:val="Refdenotaalpie"/>
          <w:rFonts w:ascii="Verdana" w:hAnsi="Verdana" w:cs="Arial"/>
          <w:sz w:val="14"/>
          <w:szCs w:val="14"/>
        </w:rPr>
        <w:footnoteRef/>
      </w:r>
      <w:r w:rsidRPr="006E591E">
        <w:rPr>
          <w:rFonts w:ascii="Verdana" w:hAnsi="Verdana" w:cs="Arial"/>
          <w:sz w:val="14"/>
          <w:szCs w:val="14"/>
        </w:rPr>
        <w:t xml:space="preserve"> </w:t>
      </w:r>
      <w:r w:rsidRPr="006E591E">
        <w:rPr>
          <w:rFonts w:ascii="Verdana" w:hAnsi="Verdana" w:cs="Arial"/>
          <w:sz w:val="14"/>
          <w:szCs w:val="14"/>
          <w:lang w:val="es-ES"/>
        </w:rPr>
        <w:t xml:space="preserve">Agencia Nacional de Contratación Pública – Colombia Compra Eficiente, Guía de Competencia en las Compras Públicas. La Guía puede consultarse en el siguiente enlace: </w:t>
      </w:r>
      <w:hyperlink r:id="rId2" w:history="1">
        <w:r w:rsidRPr="006E591E">
          <w:rPr>
            <w:rStyle w:val="Hipervnculo"/>
            <w:rFonts w:ascii="Verdana" w:hAnsi="Verdana" w:cs="Arial"/>
            <w:sz w:val="14"/>
            <w:szCs w:val="14"/>
            <w:lang w:val="es-ES"/>
          </w:rPr>
          <w:t>https://colombiacompra.gov.co/sites/cce_public/files/cce_documents/cce_guia_competencia_0.pdf</w:t>
        </w:r>
      </w:hyperlink>
      <w:r w:rsidRPr="006E591E">
        <w:rPr>
          <w:rFonts w:ascii="Verdana" w:hAnsi="Verdana" w:cs="Arial"/>
          <w:sz w:val="14"/>
          <w:szCs w:val="14"/>
          <w:lang w:val="es-ES"/>
        </w:rPr>
        <w:t xml:space="preserve">. </w:t>
      </w:r>
    </w:p>
    <w:p w14:paraId="536DD793" w14:textId="77777777" w:rsidR="005374E9" w:rsidRPr="006E591E" w:rsidRDefault="005374E9" w:rsidP="005374E9">
      <w:pPr>
        <w:pStyle w:val="Textonotapie"/>
        <w:ind w:firstLine="567"/>
        <w:jc w:val="both"/>
        <w:rPr>
          <w:rFonts w:ascii="Verdana" w:hAnsi="Verdana" w:cs="Arial"/>
          <w:sz w:val="14"/>
          <w:szCs w:val="14"/>
          <w:lang w:val="es-ES"/>
        </w:rPr>
      </w:pPr>
    </w:p>
  </w:footnote>
  <w:footnote w:id="46">
    <w:p w14:paraId="37F4078E" w14:textId="77777777" w:rsidR="005374E9" w:rsidRDefault="005374E9" w:rsidP="005374E9">
      <w:pPr>
        <w:pStyle w:val="Textonotapie"/>
        <w:ind w:firstLine="708"/>
        <w:jc w:val="both"/>
        <w:rPr>
          <w:rFonts w:ascii="Verdana" w:hAnsi="Verdana" w:cs="Arial"/>
          <w:sz w:val="14"/>
          <w:szCs w:val="14"/>
        </w:rPr>
      </w:pPr>
      <w:r w:rsidRPr="006E591E">
        <w:rPr>
          <w:rStyle w:val="Refdenotaalpie"/>
          <w:rFonts w:ascii="Verdana" w:hAnsi="Verdana" w:cs="Arial"/>
          <w:sz w:val="14"/>
          <w:szCs w:val="14"/>
        </w:rPr>
        <w:footnoteRef/>
      </w:r>
      <w:r w:rsidRPr="006E591E">
        <w:rPr>
          <w:rFonts w:ascii="Verdana" w:hAnsi="Verdana" w:cs="Arial"/>
          <w:sz w:val="14"/>
          <w:szCs w:val="14"/>
          <w:lang w:val="pt-BR"/>
        </w:rPr>
        <w:t xml:space="preserve"> Corte Constitucional. </w:t>
      </w:r>
      <w:r w:rsidRPr="006E591E">
        <w:rPr>
          <w:rFonts w:ascii="Verdana" w:hAnsi="Verdana" w:cs="Arial"/>
          <w:sz w:val="14"/>
          <w:szCs w:val="14"/>
          <w:lang w:val="es-CO"/>
        </w:rPr>
        <w:t xml:space="preserve">Sentencia C-713 del 7 de octubre de 2009. </w:t>
      </w:r>
      <w:r w:rsidRPr="006E591E">
        <w:rPr>
          <w:rFonts w:ascii="Verdana" w:hAnsi="Verdana" w:cs="Arial"/>
          <w:sz w:val="14"/>
          <w:szCs w:val="14"/>
        </w:rPr>
        <w:t>M.P. María Victoria Calle Correa.</w:t>
      </w:r>
    </w:p>
    <w:p w14:paraId="27D2B4AB" w14:textId="77777777" w:rsidR="005374E9" w:rsidRPr="006E591E" w:rsidRDefault="005374E9" w:rsidP="005374E9">
      <w:pPr>
        <w:pStyle w:val="Textonotapie"/>
        <w:ind w:firstLine="708"/>
        <w:jc w:val="both"/>
        <w:rPr>
          <w:rFonts w:ascii="Verdana" w:hAnsi="Verdana" w:cs="Arial"/>
          <w:sz w:val="14"/>
          <w:szCs w:val="14"/>
        </w:rPr>
      </w:pPr>
    </w:p>
  </w:footnote>
  <w:footnote w:id="47">
    <w:p w14:paraId="5969D50B" w14:textId="77777777" w:rsidR="005374E9" w:rsidRDefault="005374E9" w:rsidP="005374E9">
      <w:pPr>
        <w:pStyle w:val="Textonotapie"/>
        <w:ind w:firstLine="709"/>
        <w:jc w:val="both"/>
        <w:rPr>
          <w:rFonts w:ascii="Verdana" w:hAnsi="Verdana" w:cs="Arial"/>
          <w:sz w:val="14"/>
          <w:szCs w:val="14"/>
        </w:rPr>
      </w:pPr>
      <w:r w:rsidRPr="006E591E">
        <w:rPr>
          <w:rStyle w:val="Refdenotaalpie"/>
          <w:rFonts w:ascii="Verdana" w:hAnsi="Verdana" w:cs="Arial"/>
          <w:sz w:val="14"/>
          <w:szCs w:val="14"/>
        </w:rPr>
        <w:footnoteRef/>
      </w:r>
      <w:r w:rsidRPr="006E591E">
        <w:rPr>
          <w:rFonts w:ascii="Verdana" w:hAnsi="Verdana" w:cs="Arial"/>
          <w:sz w:val="14"/>
          <w:szCs w:val="14"/>
        </w:rPr>
        <w:t xml:space="preserve"> Consejo de Estado. Sección Tercera. Subsección A. Sentencia del 24 de mayo de 2018. </w:t>
      </w:r>
      <w:r w:rsidRPr="006E591E">
        <w:rPr>
          <w:rFonts w:ascii="Verdana" w:hAnsi="Verdana" w:cs="Arial"/>
          <w:sz w:val="14"/>
          <w:szCs w:val="14"/>
        </w:rPr>
        <w:t>Exp. 50.222. C.P. Marta Nubia Velásquez Rico.</w:t>
      </w:r>
    </w:p>
    <w:p w14:paraId="4C1EE76E" w14:textId="77777777" w:rsidR="005374E9" w:rsidRPr="006E591E" w:rsidRDefault="005374E9" w:rsidP="005374E9">
      <w:pPr>
        <w:pStyle w:val="Textonotapie"/>
        <w:ind w:firstLine="709"/>
        <w:jc w:val="both"/>
        <w:rPr>
          <w:rFonts w:ascii="Verdana" w:hAnsi="Verdana" w:cs="Arial"/>
          <w:sz w:val="14"/>
          <w:szCs w:val="14"/>
        </w:rPr>
      </w:pPr>
    </w:p>
  </w:footnote>
  <w:footnote w:id="48">
    <w:p w14:paraId="58A13808" w14:textId="77777777" w:rsidR="005374E9" w:rsidRDefault="005374E9" w:rsidP="005374E9">
      <w:pPr>
        <w:pStyle w:val="Textonotapie"/>
        <w:ind w:firstLine="708"/>
        <w:jc w:val="both"/>
        <w:rPr>
          <w:rFonts w:ascii="Verdana" w:hAnsi="Verdana" w:cs="Arial"/>
          <w:sz w:val="14"/>
          <w:szCs w:val="14"/>
        </w:rPr>
      </w:pPr>
      <w:r w:rsidRPr="006E591E">
        <w:rPr>
          <w:rStyle w:val="Refdenotaalpie"/>
          <w:rFonts w:ascii="Verdana" w:hAnsi="Verdana" w:cs="Arial"/>
          <w:sz w:val="14"/>
          <w:szCs w:val="14"/>
        </w:rPr>
        <w:footnoteRef/>
      </w:r>
      <w:r w:rsidRPr="006E591E">
        <w:rPr>
          <w:rFonts w:ascii="Verdana" w:hAnsi="Verdana" w:cs="Arial"/>
          <w:sz w:val="14"/>
          <w:szCs w:val="14"/>
        </w:rPr>
        <w:t xml:space="preserve"> </w:t>
      </w:r>
      <w:r w:rsidRPr="006E591E">
        <w:rPr>
          <w:rFonts w:ascii="Verdana" w:hAnsi="Verdana" w:cs="Arial"/>
          <w:sz w:val="14"/>
          <w:szCs w:val="14"/>
          <w:lang w:val="es-ES_tradnl"/>
        </w:rPr>
        <w:t xml:space="preserve">En efecto, de acuerdo con el Consejo de Estado: </w:t>
      </w:r>
      <w:r w:rsidRPr="006E591E">
        <w:rPr>
          <w:rFonts w:ascii="Verdana" w:eastAsia="Times New Roman" w:hAnsi="Verdana" w:cs="Arial"/>
          <w:sz w:val="14"/>
          <w:szCs w:val="14"/>
          <w:lang w:val="es-CO" w:eastAsia="es-MX"/>
        </w:rPr>
        <w:t>“</w:t>
      </w:r>
      <w:r w:rsidRPr="006E591E">
        <w:rPr>
          <w:rFonts w:ascii="Verdana" w:hAnsi="Verdana" w:cs="Arial"/>
          <w:iCs/>
          <w:sz w:val="14"/>
          <w:szCs w:val="14"/>
          <w:lang w:val="es-ES_tradnl"/>
        </w:rPr>
        <w:t>[...] la administración se encuentra en la obligación de establecer, con antelación al inicio del proceso de contratación, los criterios objetivos de la futura contratación, tales como la necesidad a satisfacer y los mejores medios para tales propósitos, el presupuesto estimado de la contratación, el objeto contractual, las prestaciones específicas a cargo de las partes, las condiciones de calidad y oportunidad, así como las calidades del posible contratista. Con fundamento en tal ejercicio de planeación y estructuración de la contratación, la administración cuenta, sin duda, con criterios que le permitirían adoptar una decisión objetiva en relación con aquello que resulte más favorable para el cumplimiento de los fines ínsitos en la contratación.[…] Ante la ausencia de pluralidad de ofertas –situación que, por lo demás debería ser excepcional, así como lo debe ser acudir a la modalidad de contratación directa, pues memórese que la regla general es la licitación pública en garantía de la máxima publicidad y concurrencia en la contratación estatal–, será procedente comparar el único ofrecimiento con los criterios objetivos elaborados por la entidad. En este evento, por lo tanto, los métodos a los que se debe acudir para garantizar la selección objetiva se ven reducidos en comparación con las demás modalidades de contratación, en tanto no hay comparación de ofertas, sin que ello implique que se incumpla con tal regla, pues persiste, necesariamente una confrontación de la única oferta con los estudios previos que elaboró la entidad, lo cual ofrecerá la objetividad necesaria para evitar imparcialidad en la contratación de los bienes o servicios de que se trate</w:t>
      </w:r>
      <w:r w:rsidRPr="006E591E">
        <w:rPr>
          <w:rFonts w:ascii="Verdana" w:eastAsia="Times New Roman" w:hAnsi="Verdana" w:cs="Arial"/>
          <w:sz w:val="14"/>
          <w:szCs w:val="14"/>
          <w:lang w:val="es-CO" w:eastAsia="es-MX"/>
        </w:rPr>
        <w:t>”</w:t>
      </w:r>
      <w:r w:rsidRPr="006E591E">
        <w:rPr>
          <w:rFonts w:ascii="Verdana" w:hAnsi="Verdana" w:cs="Arial"/>
          <w:iCs/>
          <w:sz w:val="14"/>
          <w:szCs w:val="14"/>
          <w:lang w:val="es-ES_tradnl"/>
        </w:rPr>
        <w:t>.</w:t>
      </w:r>
      <w:r w:rsidRPr="006E591E">
        <w:rPr>
          <w:rFonts w:ascii="Verdana" w:hAnsi="Verdana" w:cs="Arial"/>
          <w:sz w:val="14"/>
          <w:szCs w:val="14"/>
        </w:rPr>
        <w:t xml:space="preserve"> Consejo de Estado. </w:t>
      </w:r>
      <w:r>
        <w:rPr>
          <w:rFonts w:ascii="Verdana" w:hAnsi="Verdana" w:cs="Arial"/>
          <w:sz w:val="14"/>
          <w:szCs w:val="14"/>
        </w:rPr>
        <w:t xml:space="preserve">Sala de lo Contencioso Administrativo. </w:t>
      </w:r>
      <w:r w:rsidRPr="006E591E">
        <w:rPr>
          <w:rFonts w:ascii="Verdana" w:hAnsi="Verdana" w:cs="Arial"/>
          <w:sz w:val="14"/>
          <w:szCs w:val="14"/>
        </w:rPr>
        <w:t xml:space="preserve">Sección Tercera. </w:t>
      </w:r>
      <w:r>
        <w:rPr>
          <w:rFonts w:ascii="Verdana" w:hAnsi="Verdana" w:cs="Arial"/>
          <w:sz w:val="14"/>
          <w:szCs w:val="14"/>
        </w:rPr>
        <w:t xml:space="preserve">Sibsección B. </w:t>
      </w:r>
      <w:r w:rsidRPr="006E591E">
        <w:rPr>
          <w:rFonts w:ascii="Verdana" w:hAnsi="Verdana" w:cs="Arial"/>
          <w:sz w:val="14"/>
          <w:szCs w:val="14"/>
        </w:rPr>
        <w:t xml:space="preserve">Sentencia del 23 de julio de 2015. </w:t>
      </w:r>
      <w:r w:rsidRPr="006E591E">
        <w:rPr>
          <w:rFonts w:ascii="Verdana" w:hAnsi="Verdana" w:cs="Arial"/>
          <w:sz w:val="14"/>
          <w:szCs w:val="14"/>
        </w:rPr>
        <w:t>Exp. 36.805. C.P. Hernán Andrade Rincón.</w:t>
      </w:r>
    </w:p>
    <w:p w14:paraId="3BEF7947" w14:textId="77777777" w:rsidR="005374E9" w:rsidRPr="006E591E" w:rsidRDefault="005374E9" w:rsidP="005374E9">
      <w:pPr>
        <w:pStyle w:val="Textonotapie"/>
        <w:ind w:firstLine="708"/>
        <w:jc w:val="both"/>
        <w:rPr>
          <w:rFonts w:ascii="Verdana" w:hAnsi="Verdana" w:cs="Arial"/>
          <w:iCs/>
          <w:sz w:val="14"/>
          <w:szCs w:val="14"/>
          <w:lang w:val="es-ES_tradnl"/>
        </w:rPr>
      </w:pPr>
    </w:p>
  </w:footnote>
  <w:footnote w:id="49">
    <w:p w14:paraId="6D0C619F" w14:textId="77777777" w:rsidR="005374E9" w:rsidRPr="006E591E" w:rsidRDefault="005374E9" w:rsidP="005374E9">
      <w:pPr>
        <w:pStyle w:val="Textonotapie"/>
        <w:ind w:firstLine="708"/>
        <w:jc w:val="both"/>
        <w:rPr>
          <w:rFonts w:ascii="Verdana" w:hAnsi="Verdana" w:cs="Arial"/>
          <w:sz w:val="14"/>
          <w:szCs w:val="14"/>
          <w:lang w:val="es-CO"/>
        </w:rPr>
      </w:pPr>
      <w:r w:rsidRPr="006E591E">
        <w:rPr>
          <w:rStyle w:val="Refdenotaalpie"/>
          <w:rFonts w:ascii="Verdana" w:hAnsi="Verdana" w:cs="Arial"/>
          <w:sz w:val="14"/>
          <w:szCs w:val="14"/>
        </w:rPr>
        <w:footnoteRef/>
      </w:r>
      <w:r w:rsidRPr="006E591E">
        <w:rPr>
          <w:rFonts w:ascii="Verdana" w:hAnsi="Verdana" w:cs="Arial"/>
          <w:sz w:val="14"/>
          <w:szCs w:val="14"/>
        </w:rPr>
        <w:t xml:space="preserve"> Consejo de Estado. Sala de consulta y </w:t>
      </w:r>
      <w:r>
        <w:rPr>
          <w:rFonts w:ascii="Verdana" w:hAnsi="Verdana" w:cs="Arial"/>
          <w:sz w:val="14"/>
          <w:szCs w:val="14"/>
        </w:rPr>
        <w:t>S</w:t>
      </w:r>
      <w:r w:rsidRPr="006E591E">
        <w:rPr>
          <w:rFonts w:ascii="Verdana" w:hAnsi="Verdana" w:cs="Arial"/>
          <w:sz w:val="14"/>
          <w:szCs w:val="14"/>
        </w:rPr>
        <w:t xml:space="preserve">ervicio </w:t>
      </w:r>
      <w:r>
        <w:rPr>
          <w:rFonts w:ascii="Verdana" w:hAnsi="Verdana" w:cs="Arial"/>
          <w:sz w:val="14"/>
          <w:szCs w:val="14"/>
        </w:rPr>
        <w:t>C</w:t>
      </w:r>
      <w:r w:rsidRPr="006E591E">
        <w:rPr>
          <w:rFonts w:ascii="Verdana" w:hAnsi="Verdana" w:cs="Arial"/>
          <w:sz w:val="14"/>
          <w:szCs w:val="14"/>
        </w:rPr>
        <w:t xml:space="preserve">ivil. Sentencia del 20 de febrero de 2006. </w:t>
      </w:r>
      <w:r w:rsidRPr="006E591E">
        <w:rPr>
          <w:rFonts w:ascii="Verdana" w:hAnsi="Verdana" w:cs="Arial"/>
          <w:sz w:val="14"/>
          <w:szCs w:val="14"/>
        </w:rPr>
        <w:t>Exp. 1.727. C.P. Enrique José Arboleda Perdomo.</w:t>
      </w:r>
    </w:p>
  </w:footnote>
  <w:footnote w:id="50">
    <w:p w14:paraId="0F09FFE2" w14:textId="77777777" w:rsidR="005374E9" w:rsidRDefault="005374E9" w:rsidP="005374E9">
      <w:pPr>
        <w:spacing w:after="0" w:line="240" w:lineRule="auto"/>
        <w:ind w:firstLine="709"/>
        <w:jc w:val="both"/>
        <w:rPr>
          <w:rFonts w:ascii="Verdana" w:hAnsi="Verdana" w:cs="Arial"/>
          <w:sz w:val="14"/>
          <w:szCs w:val="14"/>
        </w:rPr>
      </w:pPr>
      <w:r w:rsidRPr="00A659EB">
        <w:rPr>
          <w:rStyle w:val="Refdenotaalpie"/>
          <w:rFonts w:ascii="Verdana" w:hAnsi="Verdana" w:cs="Arial"/>
          <w:sz w:val="14"/>
          <w:szCs w:val="14"/>
        </w:rPr>
        <w:footnoteRef/>
      </w:r>
      <w:r w:rsidRPr="00A659EB">
        <w:rPr>
          <w:rFonts w:ascii="Verdana" w:hAnsi="Verdana" w:cs="Arial"/>
          <w:sz w:val="14"/>
          <w:szCs w:val="14"/>
        </w:rPr>
        <w:t xml:space="preserve"> </w:t>
      </w:r>
      <w:r w:rsidRPr="00A659EB">
        <w:rPr>
          <w:rFonts w:ascii="Verdana" w:eastAsia="Calibri" w:hAnsi="Verdana" w:cs="Arial"/>
          <w:sz w:val="14"/>
          <w:szCs w:val="14"/>
          <w:lang w:val="es-ES_tradnl"/>
        </w:rPr>
        <w:t>De conformidad con la exposición de motivos: “Si bien […] la utilización de procedimientos reglados de selección objetiva se constituye en la regla general, entre los casos de excepción se destaca el relativo a la urgencia manifiesta que el artículo 36 regula de una manera más precisa en orden a facilitar su legítima utilización. Con tal fin se elimina el requisito de la calificación del Consejo de Ministros y se incluye un detalle enunciativo de los posibles factores configurativos de dicha situación de excepción, los cuales se vinculan esencialmente con situaciones evidentes de calamidad pública o que afecten de manera inminente la prestación del servicio, circunstancias que, por su propia naturaleza, determinan la imposibilidad de acudir a procedimientos de escogencia reglada. Se pretende de esa forma, facilitar al máximo la actuación de la administración frente a eventos excepcionales que reclaman su pronta intervención” (</w:t>
      </w:r>
      <w:r w:rsidRPr="00A659EB">
        <w:rPr>
          <w:rFonts w:ascii="Verdana" w:hAnsi="Verdana" w:cs="Arial"/>
          <w:sz w:val="14"/>
          <w:szCs w:val="14"/>
        </w:rPr>
        <w:t>CONGRESO DE LA REPÚBLICA. Exposición de motivos de la Ley 80 de 1993. Gaceta del Congreso No. 75 del 23 de septiembre de 1992).</w:t>
      </w:r>
    </w:p>
    <w:p w14:paraId="0DAA42F8" w14:textId="77777777" w:rsidR="005374E9" w:rsidRPr="00A659EB" w:rsidRDefault="005374E9" w:rsidP="005374E9">
      <w:pPr>
        <w:spacing w:after="0" w:line="240" w:lineRule="auto"/>
        <w:ind w:firstLine="709"/>
        <w:jc w:val="both"/>
        <w:rPr>
          <w:rFonts w:ascii="Verdana" w:hAnsi="Verdana" w:cs="Arial"/>
          <w:sz w:val="14"/>
          <w:szCs w:val="14"/>
        </w:rPr>
      </w:pPr>
    </w:p>
  </w:footnote>
  <w:footnote w:id="51">
    <w:p w14:paraId="57D7CA9B" w14:textId="77777777" w:rsidR="005374E9" w:rsidRDefault="005374E9" w:rsidP="005374E9">
      <w:pPr>
        <w:pStyle w:val="Textonotapie"/>
        <w:ind w:firstLine="708"/>
        <w:jc w:val="both"/>
        <w:rPr>
          <w:rFonts w:ascii="Verdana" w:hAnsi="Verdana" w:cs="Arial"/>
          <w:sz w:val="14"/>
          <w:szCs w:val="14"/>
        </w:rPr>
      </w:pPr>
      <w:r w:rsidRPr="00A659EB">
        <w:rPr>
          <w:rStyle w:val="Refdenotaalpie"/>
          <w:rFonts w:ascii="Verdana" w:hAnsi="Verdana" w:cs="Arial"/>
          <w:sz w:val="14"/>
          <w:szCs w:val="14"/>
        </w:rPr>
        <w:footnoteRef/>
      </w:r>
      <w:r w:rsidRPr="00A659EB">
        <w:rPr>
          <w:rFonts w:ascii="Verdana" w:hAnsi="Verdana" w:cs="Arial"/>
          <w:sz w:val="14"/>
          <w:szCs w:val="14"/>
        </w:rPr>
        <w:t xml:space="preserve"> DROMI, José Roberto. La licitación pública. Buenos Aires: Ciudad Argentina, 1980. p. 166-168.</w:t>
      </w:r>
    </w:p>
    <w:p w14:paraId="0C848416" w14:textId="77777777" w:rsidR="005374E9" w:rsidRPr="00A659EB" w:rsidRDefault="005374E9" w:rsidP="005374E9">
      <w:pPr>
        <w:pStyle w:val="Textonotapie"/>
        <w:ind w:firstLine="708"/>
        <w:jc w:val="both"/>
        <w:rPr>
          <w:rFonts w:ascii="Verdana" w:hAnsi="Verdana" w:cs="Arial"/>
          <w:sz w:val="14"/>
          <w:szCs w:val="14"/>
        </w:rPr>
      </w:pPr>
    </w:p>
  </w:footnote>
  <w:footnote w:id="52">
    <w:p w14:paraId="52CC096C" w14:textId="77777777" w:rsidR="005374E9" w:rsidRDefault="005374E9" w:rsidP="005374E9">
      <w:pPr>
        <w:pStyle w:val="Textonotapie"/>
        <w:ind w:firstLine="708"/>
        <w:jc w:val="both"/>
        <w:rPr>
          <w:rFonts w:ascii="Verdana" w:hAnsi="Verdana" w:cs="Arial"/>
          <w:sz w:val="14"/>
          <w:szCs w:val="14"/>
        </w:rPr>
      </w:pPr>
      <w:r w:rsidRPr="00A659EB">
        <w:rPr>
          <w:rStyle w:val="Refdenotaalpie"/>
          <w:rFonts w:ascii="Verdana" w:hAnsi="Verdana" w:cs="Arial"/>
          <w:sz w:val="14"/>
          <w:szCs w:val="14"/>
        </w:rPr>
        <w:footnoteRef/>
      </w:r>
      <w:r w:rsidRPr="00A659EB">
        <w:rPr>
          <w:rFonts w:ascii="Verdana" w:hAnsi="Verdana" w:cs="Arial"/>
          <w:sz w:val="14"/>
          <w:szCs w:val="14"/>
        </w:rPr>
        <w:t xml:space="preserve"> </w:t>
      </w:r>
      <w:r>
        <w:rPr>
          <w:rFonts w:ascii="Verdana" w:hAnsi="Verdana" w:cs="Arial"/>
          <w:sz w:val="14"/>
          <w:szCs w:val="14"/>
        </w:rPr>
        <w:t>Consejo de Estado</w:t>
      </w:r>
      <w:r w:rsidRPr="00A659EB">
        <w:rPr>
          <w:rFonts w:ascii="Verdana" w:hAnsi="Verdana" w:cs="Arial"/>
          <w:sz w:val="14"/>
          <w:szCs w:val="14"/>
        </w:rPr>
        <w:t>. Sala de Consulta y de Servicio Civil. Concepto del 28 de enero de 1998. Rad. 1.073. C.P. Javier Henao Hidrón.</w:t>
      </w:r>
    </w:p>
    <w:p w14:paraId="78924E5F" w14:textId="77777777" w:rsidR="005374E9" w:rsidRPr="00A659EB" w:rsidRDefault="005374E9" w:rsidP="005374E9">
      <w:pPr>
        <w:pStyle w:val="Textonotapie"/>
        <w:ind w:firstLine="708"/>
        <w:jc w:val="both"/>
        <w:rPr>
          <w:rFonts w:ascii="Verdana" w:hAnsi="Verdana" w:cs="Arial"/>
          <w:sz w:val="14"/>
          <w:szCs w:val="14"/>
        </w:rPr>
      </w:pPr>
    </w:p>
  </w:footnote>
  <w:footnote w:id="53">
    <w:p w14:paraId="1FD5800F" w14:textId="77777777" w:rsidR="005374E9" w:rsidRDefault="005374E9" w:rsidP="005374E9">
      <w:pPr>
        <w:spacing w:after="0" w:line="240" w:lineRule="auto"/>
        <w:ind w:firstLine="708"/>
        <w:jc w:val="both"/>
        <w:rPr>
          <w:rFonts w:ascii="Verdana" w:hAnsi="Verdana" w:cs="Arial"/>
          <w:sz w:val="14"/>
          <w:szCs w:val="14"/>
        </w:rPr>
      </w:pPr>
      <w:r w:rsidRPr="00A659EB">
        <w:rPr>
          <w:rStyle w:val="Refdenotaalpie"/>
          <w:rFonts w:ascii="Verdana" w:hAnsi="Verdana" w:cs="Arial"/>
          <w:sz w:val="14"/>
          <w:szCs w:val="14"/>
        </w:rPr>
        <w:footnoteRef/>
      </w:r>
      <w:r w:rsidRPr="00A659EB">
        <w:rPr>
          <w:rFonts w:ascii="Verdana" w:hAnsi="Verdana" w:cs="Arial"/>
          <w:sz w:val="14"/>
          <w:szCs w:val="14"/>
        </w:rPr>
        <w:t xml:space="preserve"> </w:t>
      </w:r>
      <w:r w:rsidRPr="00A659EB">
        <w:rPr>
          <w:rFonts w:ascii="Verdana" w:eastAsia="Calibri" w:hAnsi="Verdana" w:cs="Arial"/>
          <w:sz w:val="14"/>
          <w:szCs w:val="14"/>
          <w:lang w:val="es-ES_tradnl"/>
        </w:rPr>
        <w:t>En resumen, la jurisprudencia explica que la urgencia manifiesta procede: “[...] en aquellos eventos en los cuales puede suscitarse la necesidad de remediar o evitar males presentes o futuros pero inminentes, provocados bien sea en virtud de los estados de excepción, o por la paralización de los servicios públicos, o provenientes de situaciones de calamidad o hechos constitutivos de fuerza mayor o desastres, o cualquier otra circunstancia similar que tampoco dé espera en su solución, de tal manera que resulte inconveniente el trámite del proceso licitatorio de selección de contratistas reglado en el estatuto contractual, por cuanto implica el agotamiento de una serie de etapas que se toman su tiempo y hacen más o menos largo el lapso para adjudicar el respectivo contrato, circunstancia que, frente a una situación de urgencia obviamente resulta entorpecedora, porque la solución en estas condiciones, puede llegar tardíamente, cuando ya se haya producido o agravado el daño” (</w:t>
      </w:r>
      <w:r>
        <w:rPr>
          <w:rFonts w:ascii="Verdana" w:hAnsi="Verdana" w:cs="Arial"/>
          <w:sz w:val="14"/>
          <w:szCs w:val="14"/>
        </w:rPr>
        <w:t>Consejo de Estado. Sala de lo Contencioso Administrativo</w:t>
      </w:r>
      <w:r w:rsidRPr="00A659EB">
        <w:rPr>
          <w:rFonts w:ascii="Verdana" w:hAnsi="Verdana" w:cs="Arial"/>
          <w:sz w:val="14"/>
          <w:szCs w:val="14"/>
        </w:rPr>
        <w:t xml:space="preserve">. Sección Tercera. Sentencia del 27 de abril de 2006. Rad. 5.229. C.P. Ramiro Saavedra Becerra). </w:t>
      </w:r>
    </w:p>
    <w:p w14:paraId="5C9E8881" w14:textId="77777777" w:rsidR="005374E9" w:rsidRPr="00A659EB" w:rsidRDefault="005374E9" w:rsidP="005374E9">
      <w:pPr>
        <w:spacing w:after="0" w:line="240" w:lineRule="auto"/>
        <w:ind w:firstLine="708"/>
        <w:jc w:val="both"/>
        <w:rPr>
          <w:rFonts w:ascii="Verdana" w:eastAsia="Calibri" w:hAnsi="Verdana" w:cs="Arial"/>
          <w:sz w:val="14"/>
          <w:szCs w:val="14"/>
          <w:lang w:val="es-ES_tradnl"/>
        </w:rPr>
      </w:pPr>
    </w:p>
  </w:footnote>
  <w:footnote w:id="54">
    <w:p w14:paraId="48E79A86" w14:textId="77777777" w:rsidR="005374E9" w:rsidRDefault="005374E9" w:rsidP="005374E9">
      <w:pPr>
        <w:pStyle w:val="Textonotapie"/>
        <w:ind w:firstLine="709"/>
        <w:jc w:val="both"/>
        <w:rPr>
          <w:rFonts w:ascii="Verdana" w:hAnsi="Verdana" w:cs="Arial"/>
          <w:sz w:val="14"/>
          <w:szCs w:val="14"/>
          <w:lang w:val="es-ES"/>
        </w:rPr>
      </w:pPr>
      <w:r w:rsidRPr="00A659EB">
        <w:rPr>
          <w:rStyle w:val="Refdenotaalpie"/>
          <w:rFonts w:ascii="Verdana" w:hAnsi="Verdana" w:cs="Arial"/>
          <w:sz w:val="14"/>
          <w:szCs w:val="14"/>
        </w:rPr>
        <w:footnoteRef/>
      </w:r>
      <w:r w:rsidRPr="00A659EB">
        <w:rPr>
          <w:rFonts w:ascii="Verdana" w:hAnsi="Verdana" w:cs="Arial"/>
          <w:sz w:val="14"/>
          <w:szCs w:val="14"/>
        </w:rPr>
        <w:t xml:space="preserve"> </w:t>
      </w:r>
      <w:r w:rsidRPr="00A659EB">
        <w:rPr>
          <w:rFonts w:ascii="Verdana" w:hAnsi="Verdana" w:cs="Arial"/>
          <w:sz w:val="14"/>
          <w:szCs w:val="14"/>
          <w:lang w:val="es-ES"/>
        </w:rPr>
        <w:t>C</w:t>
      </w:r>
      <w:r>
        <w:rPr>
          <w:rFonts w:ascii="Verdana" w:hAnsi="Verdana" w:cs="Arial"/>
          <w:sz w:val="14"/>
          <w:szCs w:val="14"/>
          <w:lang w:val="es-ES"/>
        </w:rPr>
        <w:t>orte Constitucional</w:t>
      </w:r>
      <w:r w:rsidRPr="00A659EB">
        <w:rPr>
          <w:rFonts w:ascii="Verdana" w:hAnsi="Verdana" w:cs="Arial"/>
          <w:sz w:val="14"/>
          <w:szCs w:val="14"/>
          <w:lang w:val="es-ES"/>
        </w:rPr>
        <w:t>. Sentencia C-772 de 1998. M.P. Fabio Morón Díaz.</w:t>
      </w:r>
    </w:p>
    <w:p w14:paraId="781FE277" w14:textId="77777777" w:rsidR="005374E9" w:rsidRPr="00A659EB" w:rsidRDefault="005374E9" w:rsidP="005374E9">
      <w:pPr>
        <w:pStyle w:val="Textonotapie"/>
        <w:ind w:firstLine="709"/>
        <w:jc w:val="both"/>
        <w:rPr>
          <w:rFonts w:ascii="Verdana" w:hAnsi="Verdana" w:cs="Arial"/>
          <w:sz w:val="14"/>
          <w:szCs w:val="14"/>
          <w:lang w:val="es-ES"/>
        </w:rPr>
      </w:pPr>
    </w:p>
  </w:footnote>
  <w:footnote w:id="55">
    <w:p w14:paraId="7A3FDC9F" w14:textId="77777777" w:rsidR="005374E9" w:rsidRPr="00A659EB" w:rsidRDefault="005374E9" w:rsidP="005374E9">
      <w:pPr>
        <w:spacing w:after="0" w:line="240" w:lineRule="auto"/>
        <w:ind w:firstLine="708"/>
        <w:jc w:val="both"/>
        <w:rPr>
          <w:rFonts w:ascii="Verdana" w:eastAsia="Calibri" w:hAnsi="Verdana" w:cs="Arial"/>
          <w:sz w:val="14"/>
          <w:szCs w:val="14"/>
          <w:lang w:val="es-ES_tradnl"/>
        </w:rPr>
      </w:pPr>
      <w:r w:rsidRPr="00A659EB">
        <w:rPr>
          <w:rStyle w:val="Refdenotaalpie"/>
          <w:rFonts w:ascii="Verdana" w:hAnsi="Verdana" w:cs="Arial"/>
          <w:sz w:val="14"/>
          <w:szCs w:val="14"/>
        </w:rPr>
        <w:footnoteRef/>
      </w:r>
      <w:r w:rsidRPr="00A659EB">
        <w:rPr>
          <w:rFonts w:ascii="Verdana" w:hAnsi="Verdana" w:cs="Arial"/>
          <w:sz w:val="14"/>
          <w:szCs w:val="14"/>
        </w:rPr>
        <w:t xml:space="preserve"> </w:t>
      </w:r>
      <w:r w:rsidRPr="00A659EB">
        <w:rPr>
          <w:rFonts w:ascii="Verdana" w:hAnsi="Verdana" w:cs="Arial"/>
          <w:sz w:val="14"/>
          <w:szCs w:val="14"/>
          <w:lang w:val="es-ES_tradnl"/>
        </w:rPr>
        <w:t>La jurisprudencia delimita su sentido y alcance de la siguiente manera –</w:t>
      </w:r>
      <w:r w:rsidRPr="00A659EB">
        <w:rPr>
          <w:rFonts w:ascii="Verdana" w:hAnsi="Verdana" w:cs="Arial"/>
          <w:sz w:val="14"/>
          <w:szCs w:val="14"/>
          <w:lang w:val="es-ES"/>
        </w:rPr>
        <w:t xml:space="preserve">Corte Suprema </w:t>
      </w:r>
      <w:r>
        <w:rPr>
          <w:rFonts w:ascii="Verdana" w:hAnsi="Verdana" w:cs="Arial"/>
          <w:sz w:val="14"/>
          <w:szCs w:val="14"/>
          <w:lang w:val="es-ES"/>
        </w:rPr>
        <w:t>d</w:t>
      </w:r>
      <w:r w:rsidRPr="00A659EB">
        <w:rPr>
          <w:rFonts w:ascii="Verdana" w:hAnsi="Verdana" w:cs="Arial"/>
          <w:sz w:val="14"/>
          <w:szCs w:val="14"/>
          <w:lang w:val="es-ES"/>
        </w:rPr>
        <w:t xml:space="preserve">e Justicia. Sala de Casación Civil. Sentencia 20 de noviembre de 1989. MP. Alberto Ospina Botero. Publicada en la Gaceta Judicial. Tomo CXCVI. </w:t>
      </w:r>
      <w:r w:rsidRPr="00A659EB">
        <w:rPr>
          <w:rFonts w:ascii="Verdana" w:hAnsi="Verdana" w:cs="Arial"/>
          <w:sz w:val="14"/>
          <w:szCs w:val="14"/>
          <w:lang w:val="es-ES"/>
        </w:rPr>
        <w:t>N° 2435. p. 93</w:t>
      </w:r>
      <w:r w:rsidRPr="00A659EB">
        <w:rPr>
          <w:rFonts w:ascii="Verdana" w:hAnsi="Verdana" w:cs="Arial"/>
          <w:sz w:val="14"/>
          <w:szCs w:val="14"/>
          <w:lang w:val="es-ES_tradnl"/>
        </w:rPr>
        <w:t>–:</w:t>
      </w:r>
    </w:p>
    <w:p w14:paraId="7EFFC774" w14:textId="77777777" w:rsidR="005374E9" w:rsidRPr="00A659EB" w:rsidRDefault="005374E9" w:rsidP="005374E9">
      <w:pPr>
        <w:spacing w:after="0" w:line="240" w:lineRule="auto"/>
        <w:ind w:right="49" w:firstLine="708"/>
        <w:jc w:val="both"/>
        <w:rPr>
          <w:rFonts w:ascii="Verdana" w:eastAsia="Calibri" w:hAnsi="Verdana" w:cs="Arial"/>
          <w:sz w:val="14"/>
          <w:szCs w:val="14"/>
          <w:lang w:val="es-ES_tradnl"/>
        </w:rPr>
      </w:pPr>
      <w:r w:rsidRPr="00A659EB">
        <w:rPr>
          <w:rFonts w:ascii="Verdana" w:eastAsia="Calibri" w:hAnsi="Verdana" w:cs="Arial"/>
          <w:sz w:val="14"/>
          <w:szCs w:val="14"/>
          <w:lang w:val="es-ES_tradnl"/>
        </w:rPr>
        <w:t>“6. […] la fuerza mayor o caso fortuito se configura por la concurrencia de dos factores:</w:t>
      </w:r>
    </w:p>
    <w:p w14:paraId="3593AB8C" w14:textId="77777777" w:rsidR="005374E9" w:rsidRPr="00A659EB" w:rsidRDefault="005374E9" w:rsidP="005374E9">
      <w:pPr>
        <w:spacing w:after="0" w:line="240" w:lineRule="auto"/>
        <w:ind w:right="49" w:firstLine="708"/>
        <w:jc w:val="both"/>
        <w:rPr>
          <w:rFonts w:ascii="Verdana" w:eastAsia="Calibri" w:hAnsi="Verdana" w:cs="Arial"/>
          <w:sz w:val="14"/>
          <w:szCs w:val="14"/>
          <w:lang w:val="es-ES_tradnl"/>
        </w:rPr>
      </w:pPr>
      <w:r w:rsidRPr="00A659EB">
        <w:rPr>
          <w:rFonts w:ascii="Verdana" w:eastAsia="Calibri" w:hAnsi="Verdana" w:cs="Arial"/>
          <w:sz w:val="14"/>
          <w:szCs w:val="14"/>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7D28DDD1" w14:textId="77777777" w:rsidR="005374E9" w:rsidRPr="00A659EB" w:rsidRDefault="005374E9" w:rsidP="005374E9">
      <w:pPr>
        <w:spacing w:after="0" w:line="240" w:lineRule="auto"/>
        <w:ind w:right="49" w:firstLine="708"/>
        <w:jc w:val="both"/>
        <w:rPr>
          <w:rFonts w:ascii="Verdana" w:eastAsia="Calibri" w:hAnsi="Verdana" w:cs="Arial"/>
          <w:sz w:val="14"/>
          <w:szCs w:val="14"/>
          <w:lang w:val="es-ES_tradnl"/>
        </w:rPr>
      </w:pPr>
      <w:r w:rsidRPr="00A659EB">
        <w:rPr>
          <w:rFonts w:ascii="Verdana" w:eastAsia="Calibri" w:hAnsi="Verdana" w:cs="Arial"/>
          <w:sz w:val="14"/>
          <w:szCs w:val="14"/>
          <w:lang w:val="es-ES_tradnl"/>
        </w:rPr>
        <w:t>b) Que el hecho sea irresistible, o sea, que el agente no pueda evitar su acaecimiento ni superar sus consecuencias.</w:t>
      </w:r>
    </w:p>
    <w:p w14:paraId="23D29177" w14:textId="77777777" w:rsidR="005374E9" w:rsidRPr="00A659EB" w:rsidRDefault="005374E9" w:rsidP="005374E9">
      <w:pPr>
        <w:spacing w:after="0" w:line="240" w:lineRule="auto"/>
        <w:ind w:right="49" w:firstLine="708"/>
        <w:jc w:val="both"/>
        <w:rPr>
          <w:rFonts w:ascii="Verdana" w:eastAsia="Calibri" w:hAnsi="Verdana" w:cs="Arial"/>
          <w:sz w:val="14"/>
          <w:szCs w:val="14"/>
          <w:lang w:val="es-ES_tradnl"/>
        </w:rPr>
      </w:pPr>
      <w:r w:rsidRPr="00A659EB">
        <w:rPr>
          <w:rFonts w:ascii="Verdana" w:eastAsia="Calibri" w:hAnsi="Verdana" w:cs="Arial"/>
          <w:sz w:val="14"/>
          <w:szCs w:val="14"/>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6023437E" w14:textId="77777777" w:rsidR="005374E9" w:rsidRPr="00A659EB" w:rsidRDefault="005374E9" w:rsidP="005374E9">
      <w:pPr>
        <w:spacing w:after="0" w:line="240" w:lineRule="auto"/>
        <w:ind w:right="49" w:firstLine="708"/>
        <w:jc w:val="both"/>
        <w:rPr>
          <w:rFonts w:ascii="Verdana" w:eastAsia="Calibri" w:hAnsi="Verdana" w:cs="Arial"/>
          <w:sz w:val="14"/>
          <w:szCs w:val="14"/>
          <w:lang w:val="es-ES_tradnl"/>
        </w:rPr>
      </w:pPr>
      <w:r w:rsidRPr="00A659EB">
        <w:rPr>
          <w:rFonts w:ascii="Verdana" w:eastAsia="Calibri" w:hAnsi="Verdana" w:cs="Arial"/>
          <w:sz w:val="14"/>
          <w:szCs w:val="14"/>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43E11AA1" w14:textId="77777777" w:rsidR="005374E9" w:rsidRDefault="005374E9" w:rsidP="005374E9">
      <w:pPr>
        <w:spacing w:after="0" w:line="240" w:lineRule="auto"/>
        <w:ind w:right="49"/>
        <w:jc w:val="both"/>
        <w:rPr>
          <w:rFonts w:ascii="Verdana" w:eastAsia="Calibri" w:hAnsi="Verdana" w:cs="Arial"/>
          <w:sz w:val="14"/>
          <w:szCs w:val="14"/>
          <w:lang w:val="es-ES_tradnl"/>
        </w:rPr>
      </w:pPr>
      <w:r w:rsidRPr="00A659EB">
        <w:rPr>
          <w:rFonts w:ascii="Verdana" w:eastAsia="Calibri" w:hAnsi="Verdana" w:cs="Arial"/>
          <w:sz w:val="14"/>
          <w:szCs w:val="14"/>
          <w:lang w:val="es-ES_tradnl"/>
        </w:rPr>
        <w:t>[…]</w:t>
      </w:r>
    </w:p>
    <w:p w14:paraId="2DC774DF" w14:textId="77777777" w:rsidR="005374E9" w:rsidRPr="00A659EB" w:rsidRDefault="005374E9" w:rsidP="005374E9">
      <w:pPr>
        <w:spacing w:after="0" w:line="240" w:lineRule="auto"/>
        <w:ind w:right="51" w:firstLine="709"/>
        <w:jc w:val="both"/>
        <w:rPr>
          <w:rFonts w:ascii="Verdana" w:eastAsia="Calibri" w:hAnsi="Verdana" w:cs="Arial"/>
          <w:sz w:val="14"/>
          <w:szCs w:val="14"/>
          <w:lang w:val="es-ES_tradnl"/>
        </w:rPr>
      </w:pPr>
      <w:r w:rsidRPr="00A659EB">
        <w:rPr>
          <w:rFonts w:ascii="Verdana" w:eastAsia="Calibri" w:hAnsi="Verdana" w:cs="Arial"/>
          <w:sz w:val="14"/>
          <w:szCs w:val="14"/>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56">
    <w:p w14:paraId="57DB5571" w14:textId="77777777" w:rsidR="005374E9" w:rsidRPr="00A659EB" w:rsidRDefault="005374E9" w:rsidP="005374E9">
      <w:pPr>
        <w:pStyle w:val="Textonotapie"/>
        <w:ind w:firstLine="708"/>
        <w:jc w:val="both"/>
        <w:rPr>
          <w:rFonts w:ascii="Verdana" w:hAnsi="Verdana" w:cs="Arial"/>
          <w:sz w:val="14"/>
          <w:szCs w:val="14"/>
          <w:lang w:val="es-ES"/>
        </w:rPr>
      </w:pPr>
      <w:r w:rsidRPr="00A659EB">
        <w:rPr>
          <w:rStyle w:val="Refdenotaalpie"/>
          <w:rFonts w:ascii="Verdana" w:hAnsi="Verdana" w:cs="Arial"/>
          <w:sz w:val="14"/>
          <w:szCs w:val="14"/>
        </w:rPr>
        <w:footnoteRef/>
      </w:r>
      <w:r w:rsidRPr="00A659EB">
        <w:rPr>
          <w:rFonts w:ascii="Verdana" w:hAnsi="Verdana" w:cs="Arial"/>
          <w:sz w:val="14"/>
          <w:szCs w:val="14"/>
        </w:rPr>
        <w:t xml:space="preserve"> “</w:t>
      </w:r>
      <w:r w:rsidRPr="00A659EB">
        <w:rPr>
          <w:rFonts w:ascii="Verdana" w:hAnsi="Verdana" w:cs="Arial"/>
          <w:sz w:val="14"/>
          <w:szCs w:val="14"/>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1469C65E" w14:textId="77777777" w:rsidR="005374E9" w:rsidRPr="00A659EB" w:rsidRDefault="005374E9" w:rsidP="005374E9">
      <w:pPr>
        <w:pStyle w:val="Textonotapie"/>
        <w:ind w:firstLine="708"/>
        <w:jc w:val="both"/>
        <w:rPr>
          <w:rFonts w:ascii="Verdana" w:hAnsi="Verdana" w:cs="Arial"/>
          <w:sz w:val="14"/>
          <w:szCs w:val="14"/>
          <w:lang w:val="es-ES"/>
        </w:rPr>
      </w:pPr>
      <w:r w:rsidRPr="00A659EB">
        <w:rPr>
          <w:rFonts w:ascii="Verdana" w:hAnsi="Verdana" w:cs="Arial"/>
          <w:sz w:val="14"/>
          <w:szCs w:val="14"/>
          <w:lang w:val="es-ES"/>
        </w:rPr>
        <w:t>1. Nacional. Existirá una situación de desastre nacional:</w:t>
      </w:r>
    </w:p>
    <w:p w14:paraId="38EBB05B" w14:textId="77777777" w:rsidR="005374E9" w:rsidRPr="00A659EB" w:rsidRDefault="005374E9" w:rsidP="005374E9">
      <w:pPr>
        <w:pStyle w:val="Textonotapie"/>
        <w:ind w:firstLine="708"/>
        <w:jc w:val="both"/>
        <w:rPr>
          <w:rFonts w:ascii="Verdana" w:hAnsi="Verdana" w:cs="Arial"/>
          <w:sz w:val="14"/>
          <w:szCs w:val="14"/>
          <w:lang w:val="es-ES"/>
        </w:rPr>
      </w:pPr>
      <w:r w:rsidRPr="00A659EB">
        <w:rPr>
          <w:rFonts w:ascii="Verdana" w:hAnsi="Verdana" w:cs="Arial"/>
          <w:sz w:val="14"/>
          <w:szCs w:val="14"/>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44D97357" w14:textId="77777777" w:rsidR="005374E9" w:rsidRPr="00A659EB" w:rsidRDefault="005374E9" w:rsidP="005374E9">
      <w:pPr>
        <w:pStyle w:val="Textonotapie"/>
        <w:ind w:firstLine="708"/>
        <w:jc w:val="both"/>
        <w:rPr>
          <w:rFonts w:ascii="Verdana" w:hAnsi="Verdana" w:cs="Arial"/>
          <w:sz w:val="14"/>
          <w:szCs w:val="14"/>
          <w:lang w:val="es-ES"/>
        </w:rPr>
      </w:pPr>
      <w:r w:rsidRPr="00A659EB">
        <w:rPr>
          <w:rFonts w:ascii="Verdana" w:hAnsi="Verdana" w:cs="Arial"/>
          <w:sz w:val="14"/>
          <w:szCs w:val="14"/>
          <w:lang w:val="es-ES"/>
        </w:rPr>
        <w:t>b). Cuando se hayan producido efectos adversos en uno (1) o más departamentos y su impacto rebase la capacidad técnica y los recursos de las administraciones departamentales y municipales involucradas.</w:t>
      </w:r>
    </w:p>
    <w:p w14:paraId="652ABA1A" w14:textId="77777777" w:rsidR="005374E9" w:rsidRPr="00A659EB" w:rsidRDefault="005374E9" w:rsidP="005374E9">
      <w:pPr>
        <w:pStyle w:val="Textonotapie"/>
        <w:ind w:firstLine="708"/>
        <w:jc w:val="both"/>
        <w:rPr>
          <w:rFonts w:ascii="Verdana" w:hAnsi="Verdana" w:cs="Arial"/>
          <w:sz w:val="14"/>
          <w:szCs w:val="14"/>
          <w:lang w:val="es-ES"/>
        </w:rPr>
      </w:pPr>
      <w:r w:rsidRPr="00A659EB">
        <w:rPr>
          <w:rFonts w:ascii="Verdana" w:hAnsi="Verdana" w:cs="Arial"/>
          <w:sz w:val="14"/>
          <w:szCs w:val="14"/>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33326E0F" w14:textId="77777777" w:rsidR="005374E9" w:rsidRPr="00A659EB" w:rsidRDefault="005374E9" w:rsidP="005374E9">
      <w:pPr>
        <w:pStyle w:val="Textonotapie"/>
        <w:ind w:firstLine="708"/>
        <w:jc w:val="both"/>
        <w:rPr>
          <w:rFonts w:ascii="Verdana" w:hAnsi="Verdana" w:cs="Arial"/>
          <w:sz w:val="14"/>
          <w:szCs w:val="14"/>
          <w:lang w:val="es-ES"/>
        </w:rPr>
      </w:pPr>
      <w:r w:rsidRPr="00A659EB">
        <w:rPr>
          <w:rFonts w:ascii="Verdana" w:hAnsi="Verdana" w:cs="Arial"/>
          <w:sz w:val="14"/>
          <w:szCs w:val="14"/>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30B4FD88" w14:textId="77777777" w:rsidR="005374E9" w:rsidRDefault="005374E9" w:rsidP="005374E9">
      <w:pPr>
        <w:pStyle w:val="Textonotapie"/>
        <w:ind w:firstLine="708"/>
        <w:jc w:val="both"/>
        <w:rPr>
          <w:rFonts w:ascii="Verdana" w:hAnsi="Verdana" w:cs="Arial"/>
          <w:sz w:val="14"/>
          <w:szCs w:val="14"/>
          <w:lang w:val="es-ES"/>
        </w:rPr>
      </w:pPr>
      <w:r w:rsidRPr="00A659EB">
        <w:rPr>
          <w:rFonts w:ascii="Verdana" w:hAnsi="Verdana" w:cs="Arial"/>
          <w:sz w:val="14"/>
          <w:szCs w:val="14"/>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p w14:paraId="2A6F1A35" w14:textId="77777777" w:rsidR="005374E9" w:rsidRPr="00A659EB" w:rsidRDefault="005374E9" w:rsidP="005374E9">
      <w:pPr>
        <w:pStyle w:val="Textonotapie"/>
        <w:ind w:firstLine="708"/>
        <w:jc w:val="both"/>
        <w:rPr>
          <w:rFonts w:ascii="Verdana" w:hAnsi="Verdana" w:cs="Arial"/>
          <w:sz w:val="14"/>
          <w:szCs w:val="14"/>
          <w:lang w:val="es-ES"/>
        </w:rPr>
      </w:pPr>
    </w:p>
  </w:footnote>
  <w:footnote w:id="57">
    <w:p w14:paraId="034D27E4" w14:textId="77777777" w:rsidR="005374E9" w:rsidRPr="00A659EB" w:rsidRDefault="005374E9" w:rsidP="005374E9">
      <w:pPr>
        <w:pStyle w:val="Textonotapie"/>
        <w:ind w:firstLine="708"/>
        <w:jc w:val="both"/>
        <w:rPr>
          <w:rFonts w:ascii="Verdana" w:hAnsi="Verdana" w:cs="Arial"/>
          <w:sz w:val="14"/>
          <w:szCs w:val="14"/>
          <w:lang w:val="es-CO"/>
        </w:rPr>
      </w:pPr>
      <w:r w:rsidRPr="00A659EB">
        <w:rPr>
          <w:rStyle w:val="Refdenotaalpie"/>
          <w:rFonts w:ascii="Verdana" w:hAnsi="Verdana" w:cs="Arial"/>
          <w:sz w:val="14"/>
          <w:szCs w:val="14"/>
        </w:rPr>
        <w:footnoteRef/>
      </w:r>
      <w:r w:rsidRPr="00A659EB">
        <w:rPr>
          <w:rFonts w:ascii="Verdana" w:hAnsi="Verdana" w:cs="Arial"/>
          <w:sz w:val="14"/>
          <w:szCs w:val="14"/>
        </w:rPr>
        <w:t xml:space="preserve"> “</w:t>
      </w:r>
      <w:r w:rsidRPr="00A659EB">
        <w:rPr>
          <w:rFonts w:ascii="Verdana" w:hAnsi="Verdana" w:cs="Arial"/>
          <w:sz w:val="14"/>
          <w:szCs w:val="14"/>
          <w:lang w:val="es-ES"/>
        </w:rPr>
        <w:t>Artículo 57. Declaratoria de situación de calamidad pública. 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CD61A18"/>
    <w:multiLevelType w:val="hybridMultilevel"/>
    <w:tmpl w:val="81D09C30"/>
    <w:lvl w:ilvl="0" w:tplc="240A0001">
      <w:start w:val="1"/>
      <w:numFmt w:val="bullet"/>
      <w:lvlText w:val=""/>
      <w:lvlJc w:val="left"/>
      <w:pPr>
        <w:ind w:left="1287" w:hanging="360"/>
      </w:pPr>
      <w:rPr>
        <w:rFonts w:ascii="Symbol" w:hAnsi="Symbol"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8960ED7"/>
    <w:multiLevelType w:val="hybridMultilevel"/>
    <w:tmpl w:val="FEC0AF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1"/>
  </w:num>
  <w:num w:numId="16" w16cid:durableId="341274352">
    <w:abstractNumId w:val="0"/>
  </w:num>
  <w:num w:numId="17" w16cid:durableId="1358431546">
    <w:abstractNumId w:val="3"/>
  </w:num>
  <w:num w:numId="18" w16cid:durableId="716048275">
    <w:abstractNumId w:val="10"/>
  </w:num>
  <w:num w:numId="19" w16cid:durableId="53453785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7C3"/>
    <w:rsid w:val="00016F78"/>
    <w:rsid w:val="00046945"/>
    <w:rsid w:val="00057446"/>
    <w:rsid w:val="00061B2A"/>
    <w:rsid w:val="00082362"/>
    <w:rsid w:val="000A683E"/>
    <w:rsid w:val="000B19B9"/>
    <w:rsid w:val="000D0334"/>
    <w:rsid w:val="000D5DA7"/>
    <w:rsid w:val="000F6486"/>
    <w:rsid w:val="00116940"/>
    <w:rsid w:val="00125105"/>
    <w:rsid w:val="00127233"/>
    <w:rsid w:val="00141E73"/>
    <w:rsid w:val="0015699B"/>
    <w:rsid w:val="001A33BF"/>
    <w:rsid w:val="001C7A72"/>
    <w:rsid w:val="001E4177"/>
    <w:rsid w:val="001F0B24"/>
    <w:rsid w:val="001F7DC6"/>
    <w:rsid w:val="0022400B"/>
    <w:rsid w:val="002421BB"/>
    <w:rsid w:val="0025796E"/>
    <w:rsid w:val="002707A2"/>
    <w:rsid w:val="002951A0"/>
    <w:rsid w:val="002962BC"/>
    <w:rsid w:val="002A093D"/>
    <w:rsid w:val="002A0DD0"/>
    <w:rsid w:val="002A49AC"/>
    <w:rsid w:val="002A64FD"/>
    <w:rsid w:val="002B1695"/>
    <w:rsid w:val="002C7A84"/>
    <w:rsid w:val="002E2BF8"/>
    <w:rsid w:val="002E317E"/>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374E9"/>
    <w:rsid w:val="005566E8"/>
    <w:rsid w:val="00574867"/>
    <w:rsid w:val="00591460"/>
    <w:rsid w:val="005A65E0"/>
    <w:rsid w:val="005C3777"/>
    <w:rsid w:val="005C5CDC"/>
    <w:rsid w:val="005D476C"/>
    <w:rsid w:val="006200BF"/>
    <w:rsid w:val="006219F8"/>
    <w:rsid w:val="006302F7"/>
    <w:rsid w:val="00646B9F"/>
    <w:rsid w:val="00647618"/>
    <w:rsid w:val="00665D70"/>
    <w:rsid w:val="006900D9"/>
    <w:rsid w:val="007032F0"/>
    <w:rsid w:val="00706C16"/>
    <w:rsid w:val="007340C3"/>
    <w:rsid w:val="00747654"/>
    <w:rsid w:val="0075235A"/>
    <w:rsid w:val="00756841"/>
    <w:rsid w:val="007649AB"/>
    <w:rsid w:val="00771D0C"/>
    <w:rsid w:val="007833AC"/>
    <w:rsid w:val="007B268C"/>
    <w:rsid w:val="007B7171"/>
    <w:rsid w:val="007C0C0F"/>
    <w:rsid w:val="007C36F3"/>
    <w:rsid w:val="007C3DC2"/>
    <w:rsid w:val="007E5497"/>
    <w:rsid w:val="00806F5F"/>
    <w:rsid w:val="00820278"/>
    <w:rsid w:val="008258C9"/>
    <w:rsid w:val="00844AE9"/>
    <w:rsid w:val="00867F95"/>
    <w:rsid w:val="008843B6"/>
    <w:rsid w:val="00891928"/>
    <w:rsid w:val="008A446D"/>
    <w:rsid w:val="008B25F1"/>
    <w:rsid w:val="008D180B"/>
    <w:rsid w:val="008E7C1B"/>
    <w:rsid w:val="008F0EA7"/>
    <w:rsid w:val="00923EEF"/>
    <w:rsid w:val="009419F9"/>
    <w:rsid w:val="0094453E"/>
    <w:rsid w:val="0095685E"/>
    <w:rsid w:val="00961B09"/>
    <w:rsid w:val="00965334"/>
    <w:rsid w:val="0097093E"/>
    <w:rsid w:val="009A0DFA"/>
    <w:rsid w:val="009A1C6F"/>
    <w:rsid w:val="009A4725"/>
    <w:rsid w:val="009B2D26"/>
    <w:rsid w:val="009C71FA"/>
    <w:rsid w:val="009C72E7"/>
    <w:rsid w:val="009C7F7E"/>
    <w:rsid w:val="009D3058"/>
    <w:rsid w:val="009F3A13"/>
    <w:rsid w:val="00A122D3"/>
    <w:rsid w:val="00A14468"/>
    <w:rsid w:val="00A162D7"/>
    <w:rsid w:val="00A17F13"/>
    <w:rsid w:val="00A20739"/>
    <w:rsid w:val="00A23AF9"/>
    <w:rsid w:val="00A33C78"/>
    <w:rsid w:val="00A61D9D"/>
    <w:rsid w:val="00AB0ADB"/>
    <w:rsid w:val="00B00C0E"/>
    <w:rsid w:val="00B0163F"/>
    <w:rsid w:val="00B01B1A"/>
    <w:rsid w:val="00B0381D"/>
    <w:rsid w:val="00B44A47"/>
    <w:rsid w:val="00B72CD3"/>
    <w:rsid w:val="00B72FFF"/>
    <w:rsid w:val="00BC1FE1"/>
    <w:rsid w:val="00BC3D36"/>
    <w:rsid w:val="00BD54A6"/>
    <w:rsid w:val="00BD7F72"/>
    <w:rsid w:val="00BF7425"/>
    <w:rsid w:val="00C04FB3"/>
    <w:rsid w:val="00C11D8B"/>
    <w:rsid w:val="00C15139"/>
    <w:rsid w:val="00C330EB"/>
    <w:rsid w:val="00C448E5"/>
    <w:rsid w:val="00C50D69"/>
    <w:rsid w:val="00C5365C"/>
    <w:rsid w:val="00C62C06"/>
    <w:rsid w:val="00C754BE"/>
    <w:rsid w:val="00C76B1C"/>
    <w:rsid w:val="00C925AC"/>
    <w:rsid w:val="00CB6357"/>
    <w:rsid w:val="00CC1B26"/>
    <w:rsid w:val="00D351C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38D9"/>
    <w:rsid w:val="00E75C92"/>
    <w:rsid w:val="00E771DC"/>
    <w:rsid w:val="00E8772A"/>
    <w:rsid w:val="00E90F6B"/>
    <w:rsid w:val="00E92C27"/>
    <w:rsid w:val="00EA0E3D"/>
    <w:rsid w:val="00EC38A7"/>
    <w:rsid w:val="00EE1AA8"/>
    <w:rsid w:val="00F23FEA"/>
    <w:rsid w:val="00F31EDC"/>
    <w:rsid w:val="00F43F55"/>
    <w:rsid w:val="00F462B3"/>
    <w:rsid w:val="00F4778B"/>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6DA87C3-B027-4282-9299-399AFE036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374E9"/>
    <w:rPr>
      <w:rFonts w:ascii="Geomanist Light" w:hAnsi="Geomanist Light"/>
      <w:lang w:val="es-ES"/>
    </w:rPr>
  </w:style>
  <w:style w:type="paragraph" w:customStyle="1" w:styleId="Appelnotedebasde">
    <w:name w:val="Appel note de bas de..."/>
    <w:basedOn w:val="Normal"/>
    <w:link w:val="Refdenotaalpie"/>
    <w:uiPriority w:val="99"/>
    <w:rsid w:val="005374E9"/>
    <w:pPr>
      <w:spacing w:line="240" w:lineRule="exact"/>
    </w:pPr>
    <w:rPr>
      <w:vertAlign w:val="superscript"/>
    </w:rPr>
  </w:style>
  <w:style w:type="character" w:customStyle="1" w:styleId="NormalWebCar">
    <w:name w:val="Normal (Web) Car"/>
    <w:link w:val="NormalWeb"/>
    <w:uiPriority w:val="99"/>
    <w:locked/>
    <w:rsid w:val="005374E9"/>
    <w:rPr>
      <w:rFonts w:ascii="Times New Roman" w:eastAsia="Times New Roman" w:hAnsi="Times New Roman" w:cs="Times New Roman"/>
      <w:sz w:val="24"/>
      <w:szCs w:val="24"/>
      <w:lang w:eastAsia="es-CO"/>
    </w:rPr>
  </w:style>
  <w:style w:type="character" w:customStyle="1" w:styleId="baj">
    <w:name w:val="b_aj"/>
    <w:basedOn w:val="Fuentedeprrafopredeter"/>
    <w:rsid w:val="005374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lombiacompra.gov.co/sites/cce_public/files/cce_documents/cce_guia_competencia_0.pdf"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hyperlink" Target="https://colombiacompra.gov.co/wp-content/uploads/2025/09/006-de-2025-Circular-Externa-L996-ajustado-comentarios-BM-BID-Rev-ARSC-V3.d-1.pdf"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ilmer.nova833@gmail.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colombiacompra.gov.co/pqrsd/informacion-importante-antes-de-formular-una-pqrs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colombiacompra.gov.co/sites/cce_public/files/cce_documents/cce_guia_competencia_0.pdf" TargetMode="External"/><Relationship Id="rId1"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74F80AD-817C-4984-A424-B893EB8B11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62</Pages>
  <Words>21085</Words>
  <Characters>115969</Characters>
  <Application>Microsoft Office Word</Application>
  <DocSecurity>0</DocSecurity>
  <Lines>966</Lines>
  <Paragraphs>273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3</cp:revision>
  <cp:lastPrinted>2023-01-10T21:18:00Z</cp:lastPrinted>
  <dcterms:created xsi:type="dcterms:W3CDTF">2026-03-27T01:10:00Z</dcterms:created>
  <dcterms:modified xsi:type="dcterms:W3CDTF">2026-03-28T00:28:00Z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