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439E7" w14:textId="77777777" w:rsidR="00A9075F" w:rsidRPr="003C1D23" w:rsidRDefault="00A9075F" w:rsidP="00A9075F">
      <w:pPr>
        <w:spacing w:after="0" w:line="240" w:lineRule="auto"/>
        <w:jc w:val="both"/>
        <w:rPr>
          <w:rFonts w:ascii="Verdana" w:eastAsia="Calibri" w:hAnsi="Verdana" w:cs="Arial"/>
          <w:b/>
          <w:color w:val="000000" w:themeColor="text1"/>
          <w:sz w:val="20"/>
          <w:szCs w:val="20"/>
          <w:lang w:val="es-ES"/>
        </w:rPr>
      </w:pPr>
    </w:p>
    <w:p w14:paraId="072E262B" w14:textId="77777777" w:rsidR="00A9075F" w:rsidRPr="00AF1555" w:rsidRDefault="00A9075F" w:rsidP="00A9075F">
      <w:pPr>
        <w:spacing w:after="0" w:line="240" w:lineRule="auto"/>
        <w:jc w:val="both"/>
        <w:rPr>
          <w:rFonts w:ascii="Verdana" w:eastAsia="Calibri" w:hAnsi="Verdana" w:cs="Arial"/>
          <w:b/>
          <w:color w:val="000000" w:themeColor="text1"/>
          <w:lang w:val="es-ES"/>
        </w:rPr>
      </w:pPr>
      <w:r w:rsidRPr="000B5B4A">
        <w:rPr>
          <w:rFonts w:ascii="Verdana" w:eastAsia="Calibri" w:hAnsi="Verdana" w:cs="Arial"/>
          <w:b/>
          <w:color w:val="000000" w:themeColor="text1"/>
          <w:lang w:val="es-ES"/>
        </w:rPr>
        <w:t>MODALIDADES DE SELECCIÓN – Selección abreviada de menor cuantía</w:t>
      </w:r>
      <w:r>
        <w:rPr>
          <w:rFonts w:ascii="Verdana" w:eastAsia="Calibri" w:hAnsi="Verdana" w:cs="Arial"/>
          <w:b/>
          <w:color w:val="000000" w:themeColor="text1"/>
          <w:lang w:val="es-ES"/>
        </w:rPr>
        <w:t xml:space="preserve"> – </w:t>
      </w:r>
      <w:r w:rsidRPr="000B5B4A">
        <w:rPr>
          <w:rFonts w:ascii="Verdana" w:eastAsia="Calibri" w:hAnsi="Verdana" w:cs="Arial"/>
          <w:b/>
          <w:color w:val="000000" w:themeColor="text1"/>
          <w:lang w:val="es-ES"/>
        </w:rPr>
        <w:t>Características</w:t>
      </w:r>
      <w:r w:rsidRPr="00AF1555">
        <w:rPr>
          <w:rFonts w:ascii="Verdana" w:eastAsia="Calibri" w:hAnsi="Verdana" w:cs="Arial"/>
          <w:b/>
          <w:color w:val="000000" w:themeColor="text1"/>
          <w:lang w:val="es-ES"/>
        </w:rPr>
        <w:t xml:space="preserve"> </w:t>
      </w:r>
    </w:p>
    <w:p w14:paraId="107AEB88" w14:textId="77777777" w:rsidR="00A9075F" w:rsidRPr="00AF1555" w:rsidRDefault="00A9075F" w:rsidP="00A9075F">
      <w:pPr>
        <w:spacing w:after="0" w:line="240" w:lineRule="auto"/>
        <w:jc w:val="both"/>
        <w:rPr>
          <w:rFonts w:ascii="Verdana" w:eastAsia="Calibri" w:hAnsi="Verdana" w:cs="Arial"/>
          <w:bCs/>
          <w:color w:val="000000" w:themeColor="text1"/>
          <w:sz w:val="20"/>
          <w:szCs w:val="20"/>
          <w:lang w:val="es-ES"/>
        </w:rPr>
      </w:pPr>
    </w:p>
    <w:p w14:paraId="56AA84D1" w14:textId="77777777" w:rsidR="00A9075F" w:rsidRPr="000B5B4A" w:rsidRDefault="00A9075F" w:rsidP="00A9075F">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 xml:space="preserve">Respecto a la selección abreviada, el numeral 2 del artículo 2 de la Ley 1150 de 2007 dispone que </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bCs/>
          <w:color w:val="000000" w:themeColor="text1"/>
          <w:sz w:val="20"/>
          <w:szCs w:val="20"/>
          <w:lang w:val="es-ES" w:eastAsia="es-ES_tradnl"/>
        </w:rPr>
        <w:t>”</w:t>
      </w:r>
      <w:r w:rsidRPr="000B5B4A">
        <w:rPr>
          <w:rFonts w:ascii="Verdana" w:eastAsia="Calibri" w:hAnsi="Verdana" w:cs="Arial"/>
          <w:bCs/>
          <w:color w:val="000000" w:themeColor="text1"/>
          <w:sz w:val="20"/>
          <w:szCs w:val="20"/>
          <w:lang w:val="es-ES" w:eastAsia="es-ES_tradnl"/>
        </w:rPr>
        <w:t xml:space="preserve">, regulando cada una de las causales. </w:t>
      </w:r>
    </w:p>
    <w:p w14:paraId="66B6198B" w14:textId="77777777" w:rsidR="00A9075F" w:rsidRPr="000B5B4A" w:rsidRDefault="00A9075F" w:rsidP="00A9075F">
      <w:pPr>
        <w:spacing w:after="0" w:line="240" w:lineRule="auto"/>
        <w:jc w:val="both"/>
        <w:rPr>
          <w:rFonts w:ascii="Verdana" w:eastAsia="Calibri" w:hAnsi="Verdana" w:cs="Arial"/>
          <w:bCs/>
          <w:color w:val="000000" w:themeColor="text1"/>
          <w:sz w:val="20"/>
          <w:szCs w:val="20"/>
          <w:lang w:val="es-ES" w:eastAsia="es-ES_tradnl"/>
        </w:rPr>
      </w:pPr>
    </w:p>
    <w:p w14:paraId="72FEDE9B" w14:textId="77777777" w:rsidR="00A9075F" w:rsidRDefault="00A9075F" w:rsidP="00A9075F">
      <w:pPr>
        <w:spacing w:after="0" w:line="240" w:lineRule="auto"/>
        <w:jc w:val="both"/>
        <w:rPr>
          <w:rFonts w:ascii="Verdana" w:eastAsia="Calibri" w:hAnsi="Verdana" w:cs="Arial"/>
          <w:bCs/>
          <w:color w:val="000000" w:themeColor="text1"/>
          <w:sz w:val="20"/>
          <w:szCs w:val="20"/>
          <w:lang w:val="es-ES" w:eastAsia="es-ES_tradnl"/>
        </w:rPr>
      </w:pPr>
      <w:r w:rsidRPr="000B5B4A">
        <w:rPr>
          <w:rFonts w:ascii="Verdana" w:eastAsia="Calibri" w:hAnsi="Verdana" w:cs="Arial"/>
          <w:bCs/>
          <w:color w:val="000000" w:themeColor="text1"/>
          <w:sz w:val="20"/>
          <w:szCs w:val="20"/>
          <w:lang w:val="es-ES" w:eastAsia="es-ES_tradn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p>
    <w:p w14:paraId="36AEDCD7" w14:textId="77777777" w:rsidR="00A9075F" w:rsidRPr="00AF1555" w:rsidRDefault="00A9075F" w:rsidP="00A9075F">
      <w:pPr>
        <w:spacing w:after="0" w:line="240" w:lineRule="auto"/>
        <w:rPr>
          <w:rFonts w:ascii="Verdana" w:eastAsia="Geomanist Light" w:hAnsi="Verdana" w:cs="Arial"/>
          <w:color w:val="000000" w:themeColor="text1"/>
          <w:sz w:val="20"/>
          <w:szCs w:val="20"/>
          <w:lang w:val="es-ES_tradnl"/>
        </w:rPr>
      </w:pPr>
    </w:p>
    <w:p w14:paraId="6D5AF999" w14:textId="77777777" w:rsidR="00A9075F" w:rsidRPr="009B46EA" w:rsidRDefault="00A9075F" w:rsidP="00A9075F">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MÍNIMA CUANTÍA</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Fundamento normativo</w:t>
      </w:r>
      <w:r w:rsidRPr="009B46EA">
        <w:rPr>
          <w:rFonts w:ascii="Verdana" w:eastAsia="Calibri" w:hAnsi="Verdana" w:cs="Arial"/>
          <w:b/>
          <w:color w:val="000000" w:themeColor="text1"/>
          <w:lang w:val="es-ES_tradnl"/>
        </w:rPr>
        <w:t xml:space="preserve"> </w:t>
      </w:r>
    </w:p>
    <w:p w14:paraId="56264616" w14:textId="77777777" w:rsidR="00A9075F" w:rsidRPr="009B46EA" w:rsidRDefault="00A9075F" w:rsidP="00A9075F">
      <w:pPr>
        <w:spacing w:after="0" w:line="240" w:lineRule="auto"/>
        <w:jc w:val="both"/>
        <w:rPr>
          <w:rFonts w:ascii="Verdana" w:eastAsia="Calibri" w:hAnsi="Verdana" w:cs="Arial"/>
          <w:bCs/>
          <w:color w:val="000000" w:themeColor="text1"/>
          <w:sz w:val="20"/>
          <w:szCs w:val="20"/>
          <w:lang w:val="es-ES_tradnl"/>
        </w:rPr>
      </w:pPr>
    </w:p>
    <w:p w14:paraId="155B9C3A" w14:textId="77777777" w:rsidR="00A9075F" w:rsidRPr="009B46EA" w:rsidRDefault="00A9075F" w:rsidP="00A9075F">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217168">
        <w:rPr>
          <w:rFonts w:ascii="Verdana" w:hAnsi="Verdana" w:cs="Arial"/>
          <w:color w:val="000000" w:themeColor="text1"/>
          <w:sz w:val="20"/>
          <w:szCs w:val="20"/>
          <w:lang w:val="es-ES_tradnl"/>
        </w:rPr>
        <w:t>s necesario tener en cuenta que el artículo 30 de la Ley 2069 de 2020 modifica el numeral 5 del artículo 2 de la Ley 1150 de 2007, el cual regula la mínima cuantía. En esta modalidad de selección, la entidad estatal realiza una convocatoria pública para recibir ofertas de bienes o servicios cuyo valor no excede el diez por ciento –10%– de la menor cuantía. Fue creada por el artículo 274 de la Ley 1450 de 2011 y modificada por el artículo 94 de la Ley 1474 de 2011,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9B46EA">
        <w:rPr>
          <w:rFonts w:ascii="Verdana" w:hAnsi="Verdana" w:cs="Arial"/>
          <w:color w:val="000000" w:themeColor="text1"/>
          <w:sz w:val="20"/>
          <w:szCs w:val="20"/>
          <w:lang w:val="es-ES_tradnl"/>
        </w:rPr>
        <w:t>.</w:t>
      </w:r>
    </w:p>
    <w:p w14:paraId="76851590" w14:textId="77777777" w:rsidR="00A9075F" w:rsidRPr="009B46EA" w:rsidRDefault="00A9075F" w:rsidP="00A9075F">
      <w:pPr>
        <w:spacing w:after="0" w:line="240" w:lineRule="auto"/>
        <w:jc w:val="both"/>
        <w:rPr>
          <w:rFonts w:ascii="Verdana" w:hAnsi="Verdana" w:cs="Arial"/>
          <w:color w:val="000000" w:themeColor="text1"/>
          <w:sz w:val="21"/>
          <w:szCs w:val="21"/>
          <w:lang w:val="es-ES_tradnl"/>
        </w:rPr>
      </w:pPr>
    </w:p>
    <w:p w14:paraId="6A9933DD" w14:textId="77777777" w:rsidR="00A9075F" w:rsidRPr="009B46EA" w:rsidRDefault="00A9075F" w:rsidP="00A9075F">
      <w:pPr>
        <w:spacing w:after="0" w:line="240" w:lineRule="auto"/>
        <w:jc w:val="both"/>
        <w:rPr>
          <w:rFonts w:ascii="Verdana" w:eastAsia="Calibri" w:hAnsi="Verdana" w:cs="Arial"/>
          <w:b/>
          <w:color w:val="000000" w:themeColor="text1"/>
          <w:lang w:val="es-ES_tradnl"/>
        </w:rPr>
      </w:pPr>
      <w:bookmarkStart w:id="0" w:name="_Hlk109118876"/>
      <w:r>
        <w:rPr>
          <w:rFonts w:ascii="Verdana" w:eastAsia="Calibri" w:hAnsi="Verdana" w:cs="Arial"/>
          <w:b/>
          <w:color w:val="000000" w:themeColor="text1"/>
          <w:lang w:val="es-ES_tradnl"/>
        </w:rPr>
        <w:t>SALARIO MÍNIMO</w:t>
      </w:r>
      <w:r w:rsidRPr="009B46EA">
        <w:rPr>
          <w:rFonts w:ascii="Verdana" w:eastAsia="Calibri" w:hAnsi="Verdana" w:cs="Arial"/>
          <w:b/>
          <w:color w:val="000000" w:themeColor="text1"/>
          <w:lang w:val="es-ES_tradnl"/>
        </w:rPr>
        <w:t xml:space="preserve"> –</w:t>
      </w:r>
      <w:bookmarkEnd w:id="0"/>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Vigencia 2026</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Suspensión provisional – Efectos</w:t>
      </w:r>
      <w:r w:rsidRPr="009B46EA">
        <w:rPr>
          <w:rFonts w:ascii="Verdana" w:eastAsia="Calibri" w:hAnsi="Verdana" w:cs="Arial"/>
          <w:b/>
          <w:color w:val="000000" w:themeColor="text1"/>
          <w:lang w:val="es-ES_tradnl"/>
        </w:rPr>
        <w:t xml:space="preserve"> </w:t>
      </w:r>
    </w:p>
    <w:p w14:paraId="12679D8C" w14:textId="77777777" w:rsidR="00A9075F" w:rsidRPr="009B46EA" w:rsidRDefault="00A9075F" w:rsidP="00A9075F">
      <w:pPr>
        <w:spacing w:after="0" w:line="240" w:lineRule="auto"/>
        <w:jc w:val="both"/>
        <w:rPr>
          <w:rFonts w:ascii="Verdana" w:eastAsia="Calibri" w:hAnsi="Verdana" w:cs="Arial"/>
          <w:b/>
          <w:color w:val="000000" w:themeColor="text1"/>
          <w:lang w:val="es-ES_tradnl"/>
        </w:rPr>
      </w:pPr>
    </w:p>
    <w:p w14:paraId="2C13CBCB" w14:textId="77777777" w:rsidR="00A9075F" w:rsidRDefault="00A9075F" w:rsidP="00A9075F">
      <w:pPr>
        <w:spacing w:after="0" w:line="240" w:lineRule="auto"/>
        <w:jc w:val="both"/>
        <w:rPr>
          <w:rFonts w:ascii="Verdana" w:hAnsi="Verdana" w:cs="Arial"/>
          <w:color w:val="000000" w:themeColor="text1"/>
          <w:sz w:val="20"/>
          <w:szCs w:val="20"/>
        </w:rPr>
      </w:pPr>
      <w:r w:rsidRPr="00F90929">
        <w:rPr>
          <w:rFonts w:ascii="Verdana" w:hAnsi="Verdana" w:cs="Arial"/>
          <w:color w:val="000000" w:themeColor="text1"/>
          <w:sz w:val="20"/>
          <w:szCs w:val="20"/>
        </w:rPr>
        <w:t>Para la estimación de la menor cuantía, así como para calcular diez por ciento –10%– de la mínima cuantía, es necesario el dato del salario mínimo legal mensual vigente. El artículo 1 del Decreto 1469 de 2025 fijó dicho valor por la suma de $1.750.905 para el 2026. Sin embargo, la Subsección A de la Sección Segunda del Consejo de Estado –mediante Auto del 12 de febrero de 2026 con ponencia del Consejero Juan Camilo Morales Trujillo– suspendió provisionalmente el mencionado acto administrativo. Por ello, ordenó a las entidades demandadas que “[…] 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p>
    <w:p w14:paraId="0E7DEC9D" w14:textId="77777777" w:rsidR="00A9075F" w:rsidRPr="00F90929" w:rsidRDefault="00A9075F" w:rsidP="00A9075F">
      <w:pPr>
        <w:spacing w:after="0" w:line="240" w:lineRule="auto"/>
        <w:jc w:val="both"/>
        <w:rPr>
          <w:rFonts w:ascii="Verdana" w:hAnsi="Verdana" w:cs="Arial"/>
          <w:color w:val="000000" w:themeColor="text1"/>
          <w:sz w:val="20"/>
          <w:szCs w:val="20"/>
        </w:rPr>
      </w:pPr>
    </w:p>
    <w:p w14:paraId="0FEAE98D" w14:textId="77777777" w:rsidR="00A9075F" w:rsidRPr="00F90929" w:rsidRDefault="00A9075F" w:rsidP="00A9075F">
      <w:pPr>
        <w:spacing w:after="0" w:line="240" w:lineRule="auto"/>
        <w:jc w:val="both"/>
        <w:rPr>
          <w:rFonts w:ascii="Verdana" w:hAnsi="Verdana" w:cs="Arial"/>
          <w:color w:val="000000" w:themeColor="text1"/>
          <w:sz w:val="20"/>
          <w:szCs w:val="20"/>
        </w:rPr>
      </w:pPr>
      <w:r w:rsidRPr="00F90929">
        <w:rPr>
          <w:rFonts w:ascii="Verdana" w:hAnsi="Verdana" w:cs="Arial"/>
          <w:color w:val="000000" w:themeColor="text1"/>
          <w:sz w:val="20"/>
          <w:szCs w:val="20"/>
        </w:rPr>
        <w:lastRenderedPageBreak/>
        <w:t>Ahora bien, el numeral cuarto de la providencia judicial precisó lo siguiente: “</w:t>
      </w:r>
      <w:r w:rsidRPr="00F90929">
        <w:rPr>
          <w:rFonts w:ascii="Verdana" w:hAnsi="Verdana" w:cs="Arial"/>
          <w:b/>
          <w:bCs/>
          <w:color w:val="000000" w:themeColor="text1"/>
          <w:sz w:val="20"/>
          <w:szCs w:val="20"/>
        </w:rPr>
        <w:t>DIFERIR</w:t>
      </w:r>
      <w:r w:rsidRPr="00F90929">
        <w:rPr>
          <w:rFonts w:ascii="Verdana" w:hAnsi="Verdana" w:cs="Arial"/>
          <w:color w:val="000000" w:themeColor="text1"/>
          <w:sz w:val="20"/>
          <w:szCs w:val="20"/>
        </w:rPr>
        <w:t xml:space="preserve"> los efectos de la suspensión provisional, que se hará efectiva únicamente a partir de la fecha en que se publique el decreto de que trata el numeral anterior mediante el cual se determine la cifra transitoria. </w:t>
      </w:r>
      <w:r w:rsidRPr="00F90929">
        <w:rPr>
          <w:rFonts w:ascii="Verdana" w:hAnsi="Verdana" w:cs="Arial"/>
          <w:i/>
          <w:iCs/>
          <w:color w:val="000000" w:themeColor="text1"/>
          <w:sz w:val="20"/>
          <w:szCs w:val="20"/>
        </w:rPr>
        <w:t>Durante el lapso comprendido entre la notificación de esta providencia y la fecha de publicación del referido acto administrativo, el valor del salario mínimo para la vigencia 2026 seguirá correspondiendo al establecido en el Decreto 1469 de 2025</w:t>
      </w:r>
      <w:r w:rsidRPr="00F90929">
        <w:rPr>
          <w:rFonts w:ascii="Verdana" w:hAnsi="Verdana" w:cs="Arial"/>
          <w:color w:val="000000" w:themeColor="text1"/>
          <w:sz w:val="20"/>
          <w:szCs w:val="20"/>
        </w:rPr>
        <w:t>” (Cursivas fuera de texto). Esto significa que, durante el mencionado periodo, la suma de $1.750.905 fue el salario mínimo mensual vigente para todos los efectos legales, lo que incluye también la influencia de este valor en el cálculo de la menor y mínima cuantía para efectos de la contratación de las entidades sometidas a la Ley 80 de 1993</w:t>
      </w:r>
      <w:r w:rsidRPr="009B46EA">
        <w:rPr>
          <w:rFonts w:ascii="Verdana" w:hAnsi="Verdana" w:cs="Arial"/>
          <w:color w:val="000000" w:themeColor="text1"/>
          <w:sz w:val="20"/>
          <w:szCs w:val="20"/>
          <w:lang w:val="es-ES_tradnl"/>
        </w:rPr>
        <w:t>.</w:t>
      </w:r>
    </w:p>
    <w:p w14:paraId="420E87A3"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427641A5"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4DC13114"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784B9D1"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9D92979"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B18B051"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2D30F775"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4A9209DC"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5F912C44"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5F5C0365"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7FB1999"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2711EF9B"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7621CBCC"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9943DAF"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170F1DB2"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39F2F534"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38B5A6EE"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2BD1C68A"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29BA59F3"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D19937F"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93C4F46"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9B9E5B4"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1BAE09DA"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7EBCB367"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283B7400"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BDDE7F7"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5B18988A"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59A0CD9C"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08FCAD98"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09C647A"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6AC7885D" w14:textId="77777777" w:rsidR="00A9075F" w:rsidRDefault="00A9075F" w:rsidP="00A9075F">
      <w:pPr>
        <w:spacing w:after="0" w:line="240" w:lineRule="auto"/>
        <w:jc w:val="both"/>
        <w:rPr>
          <w:rFonts w:ascii="Verdana" w:eastAsia="Calibri" w:hAnsi="Verdana" w:cs="Arial"/>
          <w:b/>
          <w:color w:val="000000" w:themeColor="text1"/>
          <w:lang w:val="es-ES_tradnl"/>
        </w:rPr>
      </w:pPr>
    </w:p>
    <w:p w14:paraId="732043F9" w14:textId="77777777" w:rsidR="00A9075F" w:rsidRDefault="00A9075F" w:rsidP="00610B93">
      <w:pPr>
        <w:spacing w:after="0" w:line="240" w:lineRule="auto"/>
        <w:rPr>
          <w:rFonts w:ascii="Verdana" w:eastAsia="Calibri" w:hAnsi="Verdana" w:cs="Arial"/>
          <w:b/>
          <w:color w:val="000000" w:themeColor="text1"/>
          <w:lang w:val="es-ES_tradnl"/>
        </w:rPr>
      </w:pPr>
    </w:p>
    <w:p w14:paraId="066E0A96" w14:textId="6E0FE710" w:rsidR="00610B93" w:rsidRPr="00593A5F" w:rsidRDefault="00610B93" w:rsidP="00610B9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5132B" w:rsidRPr="0075132B">
        <w:rPr>
          <w:rFonts w:ascii="Verdana" w:eastAsia="Geomanist Light" w:hAnsi="Verdana" w:cs="Arial"/>
          <w:color w:val="000000" w:themeColor="text1"/>
          <w:lang w:val="es-MX"/>
        </w:rPr>
        <w:t xml:space="preserve">04 de </w:t>
      </w:r>
      <w:r w:rsidR="0075132B">
        <w:rPr>
          <w:rFonts w:ascii="Verdana" w:eastAsia="Geomanist Light" w:hAnsi="Verdana" w:cs="Arial"/>
          <w:color w:val="000000" w:themeColor="text1"/>
          <w:lang w:val="es-MX"/>
        </w:rPr>
        <w:t>Marzo</w:t>
      </w:r>
      <w:r w:rsidR="0075132B" w:rsidRPr="0075132B">
        <w:rPr>
          <w:rFonts w:ascii="Verdana" w:eastAsia="Geomanist Light" w:hAnsi="Verdana" w:cs="Arial"/>
          <w:color w:val="000000" w:themeColor="text1"/>
          <w:lang w:val="es-MX"/>
        </w:rPr>
        <w:t xml:space="preserve"> de 2026</w:t>
      </w:r>
    </w:p>
    <w:p w14:paraId="4698BEF6" w14:textId="77777777" w:rsidR="00610B93" w:rsidRDefault="00610B93" w:rsidP="00610B93">
      <w:pPr>
        <w:spacing w:after="0" w:line="240" w:lineRule="auto"/>
        <w:jc w:val="both"/>
        <w:rPr>
          <w:rFonts w:ascii="Verdana" w:eastAsia="Calibri" w:hAnsi="Verdana" w:cs="Arial"/>
          <w:color w:val="000000"/>
          <w:lang w:val="es-ES"/>
        </w:rPr>
      </w:pPr>
    </w:p>
    <w:p w14:paraId="6CE2AC1F" w14:textId="01A658E7" w:rsidR="00610B93" w:rsidRDefault="00610B93" w:rsidP="009C4955">
      <w:pPr>
        <w:spacing w:after="0" w:line="240" w:lineRule="auto"/>
        <w:jc w:val="right"/>
        <w:rPr>
          <w:rFonts w:ascii="Verdana" w:eastAsia="Calibri" w:hAnsi="Verdana" w:cs="Arial"/>
          <w:color w:val="000000"/>
          <w:lang w:val="es-ES"/>
        </w:rPr>
      </w:pPr>
    </w:p>
    <w:p w14:paraId="5D05EFD5" w14:textId="66850C24" w:rsidR="009C4955" w:rsidRPr="00593A5F" w:rsidRDefault="009C4955" w:rsidP="00610B93">
      <w:pPr>
        <w:spacing w:after="0" w:line="240" w:lineRule="auto"/>
        <w:jc w:val="both"/>
        <w:rPr>
          <w:rFonts w:ascii="Verdana" w:eastAsia="Calibri" w:hAnsi="Verdana" w:cs="Arial"/>
          <w:color w:val="000000"/>
          <w:lang w:val="es-ES"/>
        </w:rPr>
      </w:pPr>
    </w:p>
    <w:p w14:paraId="4EF20969" w14:textId="65AD36E2" w:rsidR="00610B93" w:rsidRPr="00B96799" w:rsidRDefault="002B481A" w:rsidP="00610B93">
      <w:pPr>
        <w:spacing w:after="0" w:line="240" w:lineRule="auto"/>
        <w:jc w:val="both"/>
        <w:rPr>
          <w:rFonts w:ascii="Verdana" w:eastAsia="Calibri" w:hAnsi="Verdana" w:cs="Arial"/>
          <w:lang w:val="es-ES" w:eastAsia="es-ES"/>
        </w:rPr>
      </w:pPr>
      <w:r w:rsidRPr="009C4955">
        <w:rPr>
          <w:rFonts w:ascii="Verdana" w:eastAsia="Calibri" w:hAnsi="Verdana" w:cs="Arial"/>
          <w:noProof/>
          <w:color w:val="000000"/>
          <w:lang w:val="es-ES"/>
        </w:rPr>
        <w:drawing>
          <wp:anchor distT="0" distB="0" distL="114300" distR="114300" simplePos="0" relativeHeight="251658240" behindDoc="0" locked="0" layoutInCell="1" allowOverlap="1" wp14:anchorId="7C24F9AF" wp14:editId="449D752E">
            <wp:simplePos x="0" y="0"/>
            <wp:positionH relativeFrom="margin">
              <wp:align>right</wp:align>
            </wp:positionH>
            <wp:positionV relativeFrom="paragraph">
              <wp:posOffset>6350</wp:posOffset>
            </wp:positionV>
            <wp:extent cx="2916555" cy="731520"/>
            <wp:effectExtent l="0" t="0" r="0" b="0"/>
            <wp:wrapSquare wrapText="bothSides"/>
            <wp:docPr id="8595336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533651" name=""/>
                    <pic:cNvPicPr/>
                  </pic:nvPicPr>
                  <pic:blipFill>
                    <a:blip r:embed="rId10">
                      <a:extLst>
                        <a:ext uri="{28A0092B-C50C-407E-A947-70E740481C1C}">
                          <a14:useLocalDpi xmlns:a14="http://schemas.microsoft.com/office/drawing/2010/main" val="0"/>
                        </a:ext>
                      </a:extLst>
                    </a:blip>
                    <a:stretch>
                      <a:fillRect/>
                    </a:stretch>
                  </pic:blipFill>
                  <pic:spPr>
                    <a:xfrm>
                      <a:off x="0" y="0"/>
                      <a:ext cx="2916555" cy="731520"/>
                    </a:xfrm>
                    <a:prstGeom prst="rect">
                      <a:avLst/>
                    </a:prstGeom>
                  </pic:spPr>
                </pic:pic>
              </a:graphicData>
            </a:graphic>
            <wp14:sizeRelH relativeFrom="margin">
              <wp14:pctWidth>0</wp14:pctWidth>
            </wp14:sizeRelH>
            <wp14:sizeRelV relativeFrom="margin">
              <wp14:pctHeight>0</wp14:pctHeight>
            </wp14:sizeRelV>
          </wp:anchor>
        </w:drawing>
      </w:r>
      <w:r w:rsidR="00610B93">
        <w:rPr>
          <w:rFonts w:ascii="Verdana" w:eastAsia="Calibri" w:hAnsi="Verdana" w:cs="Arial"/>
          <w:lang w:val="es-ES" w:eastAsia="es-ES"/>
        </w:rPr>
        <w:t>Señor</w:t>
      </w:r>
    </w:p>
    <w:p w14:paraId="365FED6B" w14:textId="77777777" w:rsidR="00610B93" w:rsidRPr="0085423D" w:rsidRDefault="00610B93" w:rsidP="00610B93">
      <w:pPr>
        <w:spacing w:after="0" w:line="240" w:lineRule="auto"/>
        <w:rPr>
          <w:rFonts w:ascii="Verdana" w:eastAsia="Calibri" w:hAnsi="Verdana" w:cs="Arial"/>
          <w:b/>
          <w:lang w:val="es-ES_tradnl" w:eastAsia="es-ES_tradnl"/>
        </w:rPr>
      </w:pPr>
      <w:bookmarkStart w:id="1" w:name="OLE_LINK1"/>
      <w:r w:rsidRPr="00841646">
        <w:rPr>
          <w:rFonts w:ascii="Verdana" w:eastAsia="Calibri" w:hAnsi="Verdana" w:cs="Arial"/>
          <w:b/>
          <w:lang w:val="es-ES_tradnl" w:eastAsia="es-ES_tradnl"/>
        </w:rPr>
        <w:t>Erasmo Moreno López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1923E768" w14:textId="77777777" w:rsidR="00610B93" w:rsidRPr="00A804BA" w:rsidRDefault="00610B93" w:rsidP="00610B93">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841646">
        <w:rPr>
          <w:rFonts w:ascii="Verdana" w:hAnsi="Verdana"/>
        </w:rPr>
        <w:instrText>erasmoml10@hotmail.com</w:instrText>
      </w:r>
      <w:r>
        <w:rPr>
          <w:rFonts w:ascii="Verdana" w:hAnsi="Verdana"/>
        </w:rPr>
        <w:instrText>"</w:instrText>
      </w:r>
      <w:r>
        <w:rPr>
          <w:rFonts w:ascii="Verdana" w:hAnsi="Verdana"/>
        </w:rPr>
      </w:r>
      <w:r>
        <w:rPr>
          <w:rFonts w:ascii="Verdana" w:hAnsi="Verdana"/>
        </w:rPr>
        <w:fldChar w:fldCharType="separate"/>
      </w:r>
      <w:r w:rsidRPr="00AF4C6B">
        <w:rPr>
          <w:rStyle w:val="Hipervnculo"/>
          <w:rFonts w:ascii="Verdana" w:hAnsi="Verdana"/>
        </w:rPr>
        <w:t>erasmoml10@hotmail.com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117149D7" w14:textId="77777777" w:rsidR="00610B93" w:rsidRDefault="00610B93" w:rsidP="00610B93">
      <w:pPr>
        <w:spacing w:after="0" w:line="240" w:lineRule="auto"/>
        <w:rPr>
          <w:rFonts w:ascii="Verdana" w:eastAsia="Calibri" w:hAnsi="Verdana" w:cs="Arial"/>
          <w:lang w:val="es-ES" w:eastAsia="es-ES"/>
        </w:rPr>
      </w:pPr>
      <w:r w:rsidRPr="00841646">
        <w:rPr>
          <w:rFonts w:ascii="Verdana" w:eastAsia="Calibri" w:hAnsi="Verdana" w:cs="Arial"/>
          <w:lang w:val="es-ES" w:eastAsia="es-ES"/>
        </w:rPr>
        <w:t>Viotá</w:t>
      </w:r>
      <w:r>
        <w:rPr>
          <w:rFonts w:ascii="Verdana" w:eastAsia="Calibri" w:hAnsi="Verdana" w:cs="Arial"/>
          <w:lang w:val="es-ES" w:eastAsia="es-ES"/>
        </w:rPr>
        <w:t xml:space="preserve">, Cundinamarca </w:t>
      </w:r>
    </w:p>
    <w:p w14:paraId="422A7467" w14:textId="77777777" w:rsidR="00610B93" w:rsidRPr="00593A5F" w:rsidRDefault="00610B93" w:rsidP="00610B93">
      <w:pPr>
        <w:spacing w:after="0" w:line="240" w:lineRule="auto"/>
        <w:rPr>
          <w:rFonts w:ascii="Verdana" w:eastAsia="Calibri" w:hAnsi="Verdana" w:cs="Arial"/>
          <w:b/>
          <w:bCs/>
          <w:color w:val="000000"/>
          <w:lang w:val="es-ES_tradnl" w:eastAsia="es-ES_tradnl"/>
        </w:rPr>
      </w:pPr>
    </w:p>
    <w:p w14:paraId="71C06F34" w14:textId="77777777" w:rsidR="00610B93" w:rsidRPr="00593A5F" w:rsidRDefault="00610B93" w:rsidP="00610B9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10B93" w:rsidRPr="00593A5F" w14:paraId="5F71133C" w14:textId="77777777" w:rsidTr="004456BD">
        <w:trPr>
          <w:trHeight w:val="884"/>
        </w:trPr>
        <w:tc>
          <w:tcPr>
            <w:tcW w:w="2689" w:type="dxa"/>
          </w:tcPr>
          <w:p w14:paraId="7E770B48" w14:textId="77777777" w:rsidR="00610B93" w:rsidRPr="00C00976" w:rsidRDefault="00610B93" w:rsidP="004456BD">
            <w:pPr>
              <w:jc w:val="both"/>
              <w:rPr>
                <w:rFonts w:ascii="Verdana" w:eastAsia="Calibri" w:hAnsi="Verdana" w:cs="Arial"/>
                <w:b/>
                <w:bCs/>
                <w:color w:val="7030A0"/>
                <w:lang w:val="es-ES_tradnl" w:eastAsia="es-ES_tradnl"/>
              </w:rPr>
            </w:pPr>
          </w:p>
        </w:tc>
        <w:tc>
          <w:tcPr>
            <w:tcW w:w="6100" w:type="dxa"/>
          </w:tcPr>
          <w:p w14:paraId="37F8D0DA" w14:textId="77777777" w:rsidR="00610B93" w:rsidRPr="00C00976" w:rsidRDefault="00610B93" w:rsidP="004456B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222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610B93" w:rsidRPr="00593A5F" w14:paraId="69A8E930" w14:textId="77777777" w:rsidTr="004456BD">
        <w:trPr>
          <w:trHeight w:val="884"/>
        </w:trPr>
        <w:tc>
          <w:tcPr>
            <w:tcW w:w="2689" w:type="dxa"/>
          </w:tcPr>
          <w:p w14:paraId="0FFBCF0C" w14:textId="77777777" w:rsidR="00610B93" w:rsidRPr="00593A5F" w:rsidRDefault="00610B93" w:rsidP="004456B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A42C890" w14:textId="77777777" w:rsidR="00610B93" w:rsidRPr="00F90929" w:rsidRDefault="00610B93" w:rsidP="004456BD">
            <w:pPr>
              <w:spacing w:line="276" w:lineRule="auto"/>
              <w:jc w:val="both"/>
              <w:rPr>
                <w:rFonts w:ascii="Verdana" w:eastAsia="Calibri" w:hAnsi="Verdana" w:cs="Arial"/>
                <w:lang w:val="es-ES" w:eastAsia="es-ES"/>
              </w:rPr>
            </w:pPr>
            <w:r w:rsidRPr="00F90929">
              <w:rPr>
                <w:rFonts w:ascii="Verdana" w:eastAsia="Calibri" w:hAnsi="Verdana" w:cs="Arial"/>
                <w:lang w:val="es-ES" w:eastAsia="es-ES"/>
              </w:rPr>
              <w:t>MODALIDADES DE SELECCIÓN – Selección abreviada de menor cuantía – Características</w:t>
            </w:r>
            <w:r>
              <w:rPr>
                <w:rFonts w:ascii="Verdana" w:eastAsia="Calibri" w:hAnsi="Verdana" w:cs="Arial"/>
                <w:lang w:val="es-ES" w:eastAsia="es-ES"/>
              </w:rPr>
              <w:t xml:space="preserve"> / </w:t>
            </w:r>
            <w:r w:rsidRPr="00F90929">
              <w:rPr>
                <w:rFonts w:ascii="Verdana" w:eastAsia="Calibri" w:hAnsi="Verdana" w:cs="Arial"/>
                <w:lang w:val="es-ES" w:eastAsia="es-ES"/>
              </w:rPr>
              <w:t>MÍNIMA CUANTÍA – Fundamento normativo</w:t>
            </w:r>
            <w:r>
              <w:rPr>
                <w:rFonts w:ascii="Verdana" w:eastAsia="Calibri" w:hAnsi="Verdana" w:cs="Arial"/>
                <w:lang w:val="es-ES" w:eastAsia="es-ES"/>
              </w:rPr>
              <w:t xml:space="preserve"> / </w:t>
            </w:r>
            <w:r w:rsidRPr="00F90929">
              <w:rPr>
                <w:rFonts w:ascii="Verdana" w:eastAsia="Calibri" w:hAnsi="Verdana" w:cs="Arial"/>
                <w:lang w:val="es-ES" w:eastAsia="es-ES"/>
              </w:rPr>
              <w:t>SALARIO MÍNIMO – Vigencia 2026 – Suspensión provisional – Efectos</w:t>
            </w:r>
          </w:p>
          <w:p w14:paraId="7F1527E8" w14:textId="77777777" w:rsidR="00610B93" w:rsidRPr="00593A5F" w:rsidRDefault="00610B93" w:rsidP="004456B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10B93" w:rsidRPr="008E6AD9" w14:paraId="6E02E1E1" w14:textId="77777777" w:rsidTr="004456BD">
        <w:tc>
          <w:tcPr>
            <w:tcW w:w="2689" w:type="dxa"/>
          </w:tcPr>
          <w:p w14:paraId="1006C4A9" w14:textId="77777777" w:rsidR="00610B93" w:rsidRPr="008E6AD9" w:rsidRDefault="00610B93" w:rsidP="004456B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EB34249" w14:textId="77777777" w:rsidR="00610B93" w:rsidRPr="00B92340" w:rsidRDefault="00610B93" w:rsidP="004456B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276E00">
              <w:rPr>
                <w:rFonts w:ascii="Verdana" w:eastAsia="Calibri" w:hAnsi="Verdana" w:cs="Arial"/>
                <w:lang w:val="es-ES_tradnl" w:eastAsia="es-ES_tradnl"/>
              </w:rPr>
              <w:t>1_2026_02_14_001947</w:t>
            </w:r>
            <w:r>
              <w:rPr>
                <w:rFonts w:ascii="Verdana" w:eastAsia="Calibri" w:hAnsi="Verdana" w:cs="Arial"/>
                <w:lang w:val="es-ES_tradnl" w:eastAsia="es-ES_tradnl"/>
              </w:rPr>
              <w:t xml:space="preserve">                                   </w:t>
            </w:r>
          </w:p>
        </w:tc>
      </w:tr>
    </w:tbl>
    <w:p w14:paraId="7FA05C36" w14:textId="77777777" w:rsidR="00610B93" w:rsidRPr="00593A5F" w:rsidRDefault="00610B93" w:rsidP="00610B93">
      <w:pPr>
        <w:spacing w:after="0" w:line="240" w:lineRule="auto"/>
        <w:jc w:val="both"/>
        <w:rPr>
          <w:rFonts w:ascii="Verdana" w:eastAsia="Calibri" w:hAnsi="Verdana" w:cs="Arial"/>
          <w:color w:val="000000"/>
          <w:lang w:val="es-ES_tradnl" w:eastAsia="es-ES_tradnl"/>
        </w:rPr>
      </w:pPr>
    </w:p>
    <w:p w14:paraId="45FE7DFA" w14:textId="77777777" w:rsidR="00610B93" w:rsidRPr="00593A5F" w:rsidRDefault="00610B93" w:rsidP="00610B93">
      <w:pPr>
        <w:spacing w:after="0" w:line="240" w:lineRule="auto"/>
        <w:jc w:val="both"/>
        <w:rPr>
          <w:rFonts w:ascii="Verdana" w:eastAsia="Calibri" w:hAnsi="Verdana" w:cs="Arial"/>
          <w:color w:val="000000"/>
          <w:lang w:val="es-ES_tradnl" w:eastAsia="es-ES_tradnl"/>
        </w:rPr>
      </w:pPr>
    </w:p>
    <w:p w14:paraId="4F33AB1F" w14:textId="77777777" w:rsidR="00610B93" w:rsidRPr="008E6AD9" w:rsidRDefault="00610B93" w:rsidP="00610B9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184410">
        <w:rPr>
          <w:rFonts w:ascii="Verdana" w:eastAsia="Calibri" w:hAnsi="Verdana" w:cs="Arial"/>
          <w:lang w:val="es-ES" w:eastAsia="es-ES"/>
        </w:rPr>
        <w:t>Moreno López</w:t>
      </w:r>
      <w:r w:rsidRPr="008E6AD9">
        <w:rPr>
          <w:rFonts w:ascii="Verdana" w:eastAsia="Calibri" w:hAnsi="Verdana" w:cs="Arial"/>
          <w:lang w:val="es-ES" w:eastAsia="es-ES"/>
        </w:rPr>
        <w:t xml:space="preserve">: </w:t>
      </w:r>
    </w:p>
    <w:p w14:paraId="0C38B329" w14:textId="77777777" w:rsidR="00610B93" w:rsidRDefault="00610B93" w:rsidP="00610B9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63DD8C6" w14:textId="77777777" w:rsidR="00610B93" w:rsidRPr="00593A5F" w:rsidRDefault="00610B93" w:rsidP="00610B9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6C27D4">
        <w:rPr>
          <w:rFonts w:ascii="Verdana" w:hAnsi="Verdana" w:cs="Arial"/>
        </w:rPr>
        <w:t>así como lo establecido en el artículo 4 de la Resolución 469 de 2025 expedida por esta Entidad</w:t>
      </w:r>
      <w:r w:rsidRPr="00593A5F">
        <w:rPr>
          <w:rFonts w:ascii="Verdana" w:hAnsi="Verdana" w:cs="Arial"/>
        </w:rPr>
        <w:t xml:space="preserve">,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14 de febrero de 2026</w:t>
      </w:r>
      <w:r>
        <w:rPr>
          <w:rFonts w:ascii="Verdana" w:eastAsia="Calibri" w:hAnsi="Verdana" w:cs="Arial"/>
          <w:lang w:val="es-ES" w:eastAsia="es-ES"/>
        </w:rPr>
        <w:t>, donde solicita</w:t>
      </w:r>
      <w:r w:rsidRPr="008E6AD9">
        <w:rPr>
          <w:rFonts w:ascii="Verdana" w:eastAsia="Calibri" w:hAnsi="Verdana" w:cs="Arial"/>
          <w:lang w:val="es-ES" w:eastAsia="es-ES"/>
        </w:rPr>
        <w:t xml:space="preserve">: </w:t>
      </w:r>
    </w:p>
    <w:p w14:paraId="3DB21C91" w14:textId="77777777" w:rsidR="00610B93" w:rsidRPr="00272A7B" w:rsidRDefault="00610B93" w:rsidP="00610B93">
      <w:pPr>
        <w:pStyle w:val="Prrafodelista"/>
        <w:tabs>
          <w:tab w:val="left" w:pos="142"/>
          <w:tab w:val="left" w:pos="284"/>
        </w:tabs>
        <w:spacing w:after="0" w:line="276" w:lineRule="auto"/>
        <w:ind w:left="0"/>
        <w:jc w:val="both"/>
        <w:rPr>
          <w:rFonts w:ascii="Verdana" w:eastAsia="Century Gothic" w:hAnsi="Verdana" w:cs="Century Gothic"/>
          <w:b/>
          <w:bCs/>
        </w:rPr>
      </w:pPr>
    </w:p>
    <w:p w14:paraId="74FEAB15" w14:textId="77777777" w:rsidR="00610B93" w:rsidRPr="00184410" w:rsidRDefault="00610B93" w:rsidP="00610B93">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t>“</w:t>
      </w:r>
      <w:bookmarkEnd w:id="2"/>
      <w:r>
        <w:rPr>
          <w:rFonts w:ascii="Verdana" w:eastAsia="Century Gothic" w:hAnsi="Verdana" w:cs="Century Gothic"/>
          <w:sz w:val="20"/>
          <w:szCs w:val="20"/>
          <w:lang w:val="es-ES"/>
        </w:rPr>
        <w:t xml:space="preserve">[…] </w:t>
      </w:r>
      <w:r w:rsidRPr="00184410">
        <w:rPr>
          <w:rFonts w:ascii="Verdana" w:eastAsia="Century Gothic" w:hAnsi="Verdana" w:cs="Century Gothic"/>
          <w:sz w:val="20"/>
          <w:szCs w:val="20"/>
          <w:lang w:val="es-ES"/>
        </w:rPr>
        <w:t>concepto sobre alcance del Auto emitido por el Consejo de Estado el pasado 12 de febrero de 2026, en donde decretó medida cautelar de suspensión provisional de los efectos del Decreto 1469 de 2025, mediante el cual se fijó el salario mínimo legal mensual vigente para el 2026.</w:t>
      </w:r>
    </w:p>
    <w:p w14:paraId="68F63E9C" w14:textId="77777777" w:rsidR="00610B93" w:rsidRPr="00184410" w:rsidRDefault="00610B93" w:rsidP="00610B93">
      <w:pPr>
        <w:spacing w:after="120" w:line="240" w:lineRule="auto"/>
        <w:ind w:left="709" w:right="709"/>
        <w:jc w:val="both"/>
        <w:rPr>
          <w:rFonts w:ascii="Verdana" w:eastAsia="Century Gothic" w:hAnsi="Verdana" w:cs="Century Gothic"/>
          <w:sz w:val="20"/>
          <w:szCs w:val="20"/>
          <w:lang w:val="es-ES"/>
        </w:rPr>
      </w:pPr>
      <w:r w:rsidRPr="00184410">
        <w:rPr>
          <w:rFonts w:ascii="Verdana" w:eastAsia="Century Gothic" w:hAnsi="Verdana" w:cs="Century Gothic"/>
          <w:sz w:val="20"/>
          <w:szCs w:val="20"/>
          <w:lang w:val="es-ES"/>
        </w:rPr>
        <w:t>De acuerdo con lo anterior, solicito concepto sobre que salario debe tener en cuenta una Entidad Pública del Orden Territorial, para determinar las cuantías a contratar y poder contratar, sea por Contratación de Mínima Cuantía, Selección Abreviada o Licitación Pública, durante estos 8 días.</w:t>
      </w:r>
    </w:p>
    <w:p w14:paraId="49CCDBC9" w14:textId="77777777" w:rsidR="00610B93" w:rsidRPr="00AA6517" w:rsidRDefault="00610B93" w:rsidP="00610B93">
      <w:pPr>
        <w:spacing w:after="0" w:line="240" w:lineRule="auto"/>
        <w:ind w:left="709" w:right="709"/>
        <w:jc w:val="both"/>
        <w:rPr>
          <w:rFonts w:ascii="Verdana" w:eastAsia="Century Gothic" w:hAnsi="Verdana" w:cs="Century Gothic"/>
          <w:sz w:val="20"/>
          <w:szCs w:val="20"/>
          <w:lang w:val="es-ES"/>
        </w:rPr>
      </w:pPr>
      <w:r w:rsidRPr="00184410">
        <w:rPr>
          <w:rFonts w:ascii="Verdana" w:eastAsia="Century Gothic" w:hAnsi="Verdana" w:cs="Century Gothic"/>
          <w:sz w:val="20"/>
          <w:szCs w:val="20"/>
          <w:lang w:val="es-ES"/>
        </w:rPr>
        <w:lastRenderedPageBreak/>
        <w:t>Toda vez que el Auto en una parte del resuelve, indica que, dentro de los ocho (8) días calendario contados a partir del día siguiente a la notificación de esta providencia, realicen, expidan y publiquen un decreto en el que se fije el porcentaje transitorio de aumento del salario mínimo legal para el año 2026</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53188430" w14:textId="77777777" w:rsidR="00610B93" w:rsidRPr="008E6AD9" w:rsidRDefault="00610B93" w:rsidP="00610B93">
      <w:pPr>
        <w:pStyle w:val="Prrafodelista"/>
        <w:tabs>
          <w:tab w:val="left" w:pos="142"/>
          <w:tab w:val="left" w:pos="284"/>
        </w:tabs>
        <w:spacing w:after="0" w:line="276" w:lineRule="auto"/>
        <w:ind w:left="0"/>
        <w:jc w:val="both"/>
        <w:rPr>
          <w:rFonts w:ascii="Verdana" w:eastAsia="Century Gothic" w:hAnsi="Verdana" w:cs="Century Gothic"/>
          <w:b/>
          <w:bCs/>
        </w:rPr>
      </w:pPr>
    </w:p>
    <w:p w14:paraId="6E93FAEE" w14:textId="77777777" w:rsidR="00610B93" w:rsidRPr="00A652FF" w:rsidRDefault="00610B93" w:rsidP="00610B9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E0E5FF7" w14:textId="77777777" w:rsidR="00610B93" w:rsidRDefault="00610B93" w:rsidP="00610B9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88468F6" w14:textId="77777777" w:rsidR="00610B93" w:rsidRPr="00593A5F" w:rsidRDefault="00610B93" w:rsidP="00610B93">
      <w:pPr>
        <w:spacing w:after="0" w:line="276" w:lineRule="auto"/>
        <w:ind w:firstLine="709"/>
        <w:jc w:val="both"/>
        <w:rPr>
          <w:rFonts w:ascii="Verdana" w:eastAsia="Calibri" w:hAnsi="Verdana" w:cs="Arial"/>
          <w:color w:val="000000"/>
          <w:lang w:val="es-ES" w:eastAsia="es-ES"/>
        </w:rPr>
      </w:pPr>
    </w:p>
    <w:p w14:paraId="1ABB843B" w14:textId="77777777" w:rsidR="00610B93" w:rsidRPr="00593A5F" w:rsidRDefault="00610B93" w:rsidP="00610B9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6CC7D43" w14:textId="77777777" w:rsidR="00610B93" w:rsidRPr="00593A5F" w:rsidRDefault="00610B93" w:rsidP="00610B93">
      <w:pPr>
        <w:tabs>
          <w:tab w:val="left" w:pos="426"/>
        </w:tabs>
        <w:spacing w:after="0" w:line="276" w:lineRule="auto"/>
        <w:jc w:val="both"/>
        <w:rPr>
          <w:rFonts w:ascii="Verdana" w:eastAsia="Century Gothic" w:hAnsi="Verdana" w:cs="Century Gothic"/>
          <w:lang w:val="es-ES"/>
        </w:rPr>
      </w:pPr>
    </w:p>
    <w:p w14:paraId="0DEE452A" w14:textId="77777777" w:rsidR="00610B93" w:rsidRPr="00593A5F" w:rsidRDefault="00610B93" w:rsidP="00610B9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003E83">
        <w:rPr>
          <w:rFonts w:ascii="Verdana" w:eastAsia="Century Gothic" w:hAnsi="Verdana" w:cs="Century Gothic"/>
        </w:rPr>
        <w:t>¿cómo influye el Auto del 12 de febrero de 2026 en la estimación del salario mínimo legal mensual para el cálculo de la menor y mínima cuantía</w:t>
      </w:r>
      <w:r w:rsidRPr="00003E83">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8E01D39" w14:textId="77777777" w:rsidR="00610B93" w:rsidRPr="004B140F" w:rsidRDefault="00610B93" w:rsidP="00610B93">
      <w:pPr>
        <w:spacing w:after="0" w:line="276" w:lineRule="auto"/>
        <w:jc w:val="both"/>
        <w:rPr>
          <w:rFonts w:ascii="Verdana" w:eastAsia="Calibri" w:hAnsi="Verdana" w:cs="Arial"/>
          <w:color w:val="7030A0"/>
        </w:rPr>
      </w:pPr>
    </w:p>
    <w:p w14:paraId="18CDD9B1" w14:textId="77777777" w:rsidR="00610B93" w:rsidRPr="00593A5F" w:rsidRDefault="00610B93" w:rsidP="00610B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2527CE" w14:textId="77777777" w:rsidR="00610B93" w:rsidRPr="00593A5F" w:rsidRDefault="00610B93" w:rsidP="00610B9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0B93" w:rsidRPr="00593A5F" w14:paraId="6DEBBD23" w14:textId="77777777" w:rsidTr="004456BD">
        <w:trPr>
          <w:jc w:val="center"/>
        </w:trPr>
        <w:tc>
          <w:tcPr>
            <w:tcW w:w="8828" w:type="dxa"/>
          </w:tcPr>
          <w:p w14:paraId="2874CEC6" w14:textId="77777777" w:rsidR="00610B93" w:rsidRPr="001C6F0B" w:rsidRDefault="00610B93" w:rsidP="004456BD">
            <w:pPr>
              <w:tabs>
                <w:tab w:val="left" w:pos="0"/>
              </w:tabs>
              <w:spacing w:after="120" w:line="276" w:lineRule="auto"/>
              <w:jc w:val="both"/>
              <w:rPr>
                <w:rFonts w:ascii="Verdana" w:eastAsia="Times New Roman" w:hAnsi="Verdana" w:cs="Arial"/>
                <w:color w:val="000000" w:themeColor="text1"/>
                <w:lang w:eastAsia="es-CO"/>
              </w:rPr>
            </w:pPr>
            <w:bookmarkStart w:id="3" w:name="_Hlk171694685"/>
            <w:r>
              <w:rPr>
                <w:rFonts w:ascii="Verdana" w:eastAsia="Calibri" w:hAnsi="Verdana" w:cs="Arial"/>
                <w:bCs/>
                <w:color w:val="000000" w:themeColor="text1"/>
              </w:rPr>
              <w:t xml:space="preserve">Conforme a la interpretación general de las normas del sistema de compras públicas, </w:t>
            </w:r>
            <w:r>
              <w:rPr>
                <w:rFonts w:ascii="Verdana" w:eastAsia="Calibri" w:hAnsi="Verdana" w:cs="Arial"/>
                <w:color w:val="000000" w:themeColor="text1"/>
                <w:lang w:val="es-MX"/>
              </w:rPr>
              <w:t>de acuerdo</w:t>
            </w:r>
            <w:r w:rsidRPr="007D48B0">
              <w:rPr>
                <w:rFonts w:ascii="Verdana" w:eastAsia="Calibri" w:hAnsi="Verdana" w:cs="Arial"/>
                <w:color w:val="000000" w:themeColor="text1"/>
                <w:lang w:val="es-MX"/>
              </w:rPr>
              <w:t xml:space="preserve"> </w:t>
            </w:r>
            <w:r>
              <w:rPr>
                <w:rFonts w:ascii="Verdana" w:eastAsia="Calibri" w:hAnsi="Verdana" w:cs="Arial"/>
                <w:color w:val="000000" w:themeColor="text1"/>
                <w:lang w:val="es-MX"/>
              </w:rPr>
              <w:t>con el</w:t>
            </w:r>
            <w:r w:rsidRPr="007D48B0">
              <w:rPr>
                <w:rFonts w:ascii="Verdana" w:eastAsia="Calibri" w:hAnsi="Verdana" w:cs="Arial"/>
                <w:color w:val="000000" w:themeColor="text1"/>
                <w:lang w:val="es-MX"/>
              </w:rPr>
              <w:t xml:space="preserve"> literal b) del artículo 2.2 de la Ley 1150 de 2007, una de las causales de selección abreviada es la de menor cuantía. Esta se refiere a los procesos contractuales cuyo su valor es inferior a los topes que la </w:t>
            </w:r>
            <w:r w:rsidRPr="007D48B0">
              <w:rPr>
                <w:rFonts w:ascii="Verdana" w:eastAsia="Calibri" w:hAnsi="Verdana" w:cs="Arial"/>
                <w:color w:val="000000" w:themeColor="text1"/>
                <w:lang w:val="es-MX"/>
              </w:rPr>
              <w:lastRenderedPageBreak/>
              <w:t>norma señala respecto de su presupuesto anual, y se desarrolla en el Decreto único Reglamentario del Sector Planeación donde se establece su procedimiento</w:t>
            </w:r>
            <w:r>
              <w:rPr>
                <w:rFonts w:ascii="Verdana" w:eastAsia="Calibri" w:hAnsi="Verdana" w:cs="Arial"/>
                <w:color w:val="000000" w:themeColor="text1"/>
                <w:lang w:val="es-MX"/>
              </w:rPr>
              <w:t xml:space="preserve">. Asimismo, </w:t>
            </w:r>
            <w:r w:rsidRPr="008E1809">
              <w:rPr>
                <w:rFonts w:ascii="Verdana" w:eastAsia="Calibri" w:hAnsi="Verdana" w:cs="Arial"/>
                <w:color w:val="000000" w:themeColor="text1"/>
              </w:rPr>
              <w:t xml:space="preserve">es necesario tener en cuenta que </w:t>
            </w:r>
            <w:r>
              <w:rPr>
                <w:rFonts w:ascii="Verdana" w:eastAsia="Calibri" w:hAnsi="Verdana" w:cs="Arial"/>
                <w:color w:val="000000" w:themeColor="text1"/>
              </w:rPr>
              <w:t>e</w:t>
            </w:r>
            <w:r w:rsidRPr="008E1809">
              <w:rPr>
                <w:rFonts w:ascii="Verdana" w:hAnsi="Verdana"/>
              </w:rPr>
              <w:t>l artículo 30 de la Ley 2069 de 2020 modifica el numeral 5 del artículo 2 de la</w:t>
            </w:r>
            <w:r w:rsidRPr="008E1809">
              <w:rPr>
                <w:rFonts w:ascii="Verdana" w:hAnsi="Verdana"/>
                <w:spacing w:val="1"/>
              </w:rPr>
              <w:t xml:space="preserve"> </w:t>
            </w:r>
            <w:r w:rsidRPr="008E1809">
              <w:rPr>
                <w:rFonts w:ascii="Verdana" w:hAnsi="Verdana"/>
              </w:rPr>
              <w:t>Ley</w:t>
            </w:r>
            <w:r w:rsidRPr="008E1809">
              <w:rPr>
                <w:rFonts w:ascii="Verdana" w:hAnsi="Verdana"/>
                <w:spacing w:val="-3"/>
              </w:rPr>
              <w:t xml:space="preserve"> </w:t>
            </w:r>
            <w:r w:rsidRPr="008E1809">
              <w:rPr>
                <w:rFonts w:ascii="Verdana" w:hAnsi="Verdana"/>
              </w:rPr>
              <w:t>1150</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2007,</w:t>
            </w:r>
            <w:r w:rsidRPr="008E1809">
              <w:rPr>
                <w:rFonts w:ascii="Verdana" w:hAnsi="Verdana"/>
                <w:spacing w:val="-2"/>
              </w:rPr>
              <w:t xml:space="preserve"> </w:t>
            </w:r>
            <w:r w:rsidRPr="008E1809">
              <w:rPr>
                <w:rFonts w:ascii="Verdana" w:hAnsi="Verdana"/>
              </w:rPr>
              <w:t>el</w:t>
            </w:r>
            <w:r w:rsidRPr="008E1809">
              <w:rPr>
                <w:rFonts w:ascii="Verdana" w:hAnsi="Verdana"/>
                <w:spacing w:val="-3"/>
              </w:rPr>
              <w:t xml:space="preserve"> </w:t>
            </w:r>
            <w:r w:rsidRPr="008E1809">
              <w:rPr>
                <w:rFonts w:ascii="Verdana" w:hAnsi="Verdana"/>
              </w:rPr>
              <w:t>cual</w:t>
            </w:r>
            <w:r w:rsidRPr="008E1809">
              <w:rPr>
                <w:rFonts w:ascii="Verdana" w:hAnsi="Verdana"/>
                <w:spacing w:val="-2"/>
              </w:rPr>
              <w:t xml:space="preserve"> </w:t>
            </w:r>
            <w:r w:rsidRPr="008E1809">
              <w:rPr>
                <w:rFonts w:ascii="Verdana" w:hAnsi="Verdana"/>
              </w:rPr>
              <w:t>regula</w:t>
            </w:r>
            <w:r w:rsidRPr="008E1809">
              <w:rPr>
                <w:rFonts w:ascii="Verdana" w:hAnsi="Verdana"/>
                <w:spacing w:val="-2"/>
              </w:rPr>
              <w:t xml:space="preserve"> </w:t>
            </w:r>
            <w:r w:rsidRPr="008E1809">
              <w:rPr>
                <w:rFonts w:ascii="Verdana" w:hAnsi="Verdana"/>
              </w:rPr>
              <w:t>la</w:t>
            </w:r>
            <w:r w:rsidRPr="008E1809">
              <w:rPr>
                <w:rFonts w:ascii="Verdana" w:hAnsi="Verdana"/>
                <w:spacing w:val="-2"/>
              </w:rPr>
              <w:t xml:space="preserve"> </w:t>
            </w:r>
            <w:r w:rsidRPr="008E1809">
              <w:rPr>
                <w:rFonts w:ascii="Verdana" w:hAnsi="Verdana"/>
              </w:rPr>
              <w:t>mínima</w:t>
            </w:r>
            <w:r w:rsidRPr="008E1809">
              <w:rPr>
                <w:rFonts w:ascii="Verdana" w:hAnsi="Verdana"/>
                <w:spacing w:val="-3"/>
              </w:rPr>
              <w:t xml:space="preserve"> </w:t>
            </w:r>
            <w:r w:rsidRPr="008E1809">
              <w:rPr>
                <w:rFonts w:ascii="Verdana" w:hAnsi="Verdana"/>
              </w:rPr>
              <w:t>cuantía.</w:t>
            </w:r>
            <w:r w:rsidRPr="008E1809">
              <w:rPr>
                <w:rFonts w:ascii="Verdana" w:hAnsi="Verdana"/>
                <w:spacing w:val="-2"/>
              </w:rPr>
              <w:t xml:space="preserve"> </w:t>
            </w:r>
            <w:r w:rsidRPr="008E1809">
              <w:rPr>
                <w:rFonts w:ascii="Verdana" w:hAnsi="Verdana"/>
              </w:rPr>
              <w:t>En</w:t>
            </w:r>
            <w:r w:rsidRPr="008E1809">
              <w:rPr>
                <w:rFonts w:ascii="Verdana" w:hAnsi="Verdana"/>
                <w:spacing w:val="-2"/>
              </w:rPr>
              <w:t xml:space="preserve"> </w:t>
            </w:r>
            <w:r w:rsidRPr="008E1809">
              <w:rPr>
                <w:rFonts w:ascii="Verdana" w:hAnsi="Verdana"/>
              </w:rPr>
              <w:t>esta</w:t>
            </w:r>
            <w:r w:rsidRPr="008E1809">
              <w:rPr>
                <w:rFonts w:ascii="Verdana" w:hAnsi="Verdana"/>
                <w:spacing w:val="-2"/>
              </w:rPr>
              <w:t xml:space="preserve"> </w:t>
            </w:r>
            <w:r w:rsidRPr="008E1809">
              <w:rPr>
                <w:rFonts w:ascii="Verdana" w:hAnsi="Verdana"/>
              </w:rPr>
              <w:t>modalidad</w:t>
            </w:r>
            <w:r w:rsidRPr="008E1809">
              <w:rPr>
                <w:rFonts w:ascii="Verdana" w:hAnsi="Verdana"/>
                <w:spacing w:val="-2"/>
              </w:rPr>
              <w:t xml:space="preserve"> </w:t>
            </w:r>
            <w:r w:rsidRPr="008E1809">
              <w:rPr>
                <w:rFonts w:ascii="Verdana" w:hAnsi="Verdana"/>
              </w:rPr>
              <w:t>de</w:t>
            </w:r>
            <w:r w:rsidRPr="008E1809">
              <w:rPr>
                <w:rFonts w:ascii="Verdana" w:hAnsi="Verdana"/>
                <w:spacing w:val="-3"/>
              </w:rPr>
              <w:t xml:space="preserve"> </w:t>
            </w:r>
            <w:r w:rsidRPr="008E1809">
              <w:rPr>
                <w:rFonts w:ascii="Verdana" w:hAnsi="Verdana"/>
              </w:rPr>
              <w:t>selección,</w:t>
            </w:r>
            <w:r w:rsidRPr="008E1809">
              <w:rPr>
                <w:rFonts w:ascii="Verdana" w:hAnsi="Verdana"/>
                <w:spacing w:val="-2"/>
              </w:rPr>
              <w:t xml:space="preserve"> </w:t>
            </w:r>
            <w:r w:rsidRPr="008E1809">
              <w:rPr>
                <w:rFonts w:ascii="Verdana" w:hAnsi="Verdana"/>
              </w:rPr>
              <w:t>la</w:t>
            </w:r>
            <w:r w:rsidRPr="008E1809">
              <w:rPr>
                <w:rFonts w:ascii="Verdana" w:hAnsi="Verdana"/>
                <w:spacing w:val="-59"/>
              </w:rPr>
              <w:t xml:space="preserve"> </w:t>
            </w:r>
            <w:r>
              <w:rPr>
                <w:rFonts w:ascii="Verdana" w:hAnsi="Verdana"/>
                <w:spacing w:val="-59"/>
              </w:rPr>
              <w:t xml:space="preserve"> </w:t>
            </w:r>
            <w:r w:rsidRPr="008E1809">
              <w:rPr>
                <w:rFonts w:ascii="Verdana" w:hAnsi="Verdana"/>
              </w:rPr>
              <w:t>entidad</w:t>
            </w:r>
            <w:r w:rsidRPr="008E1809">
              <w:rPr>
                <w:rFonts w:ascii="Verdana" w:hAnsi="Verdana"/>
                <w:spacing w:val="-15"/>
              </w:rPr>
              <w:t xml:space="preserve"> </w:t>
            </w:r>
            <w:r w:rsidRPr="008E1809">
              <w:rPr>
                <w:rFonts w:ascii="Verdana" w:hAnsi="Verdana"/>
              </w:rPr>
              <w:t>estatal</w:t>
            </w:r>
            <w:r w:rsidRPr="008E1809">
              <w:rPr>
                <w:rFonts w:ascii="Verdana" w:hAnsi="Verdana"/>
                <w:spacing w:val="-15"/>
              </w:rPr>
              <w:t xml:space="preserve"> </w:t>
            </w:r>
            <w:r w:rsidRPr="008E1809">
              <w:rPr>
                <w:rFonts w:ascii="Verdana" w:hAnsi="Verdana"/>
              </w:rPr>
              <w:t>realiza</w:t>
            </w:r>
            <w:r w:rsidRPr="008E1809">
              <w:rPr>
                <w:rFonts w:ascii="Verdana" w:hAnsi="Verdana"/>
                <w:spacing w:val="-15"/>
              </w:rPr>
              <w:t xml:space="preserve"> </w:t>
            </w:r>
            <w:r w:rsidRPr="008E1809">
              <w:rPr>
                <w:rFonts w:ascii="Verdana" w:hAnsi="Verdana"/>
              </w:rPr>
              <w:t>una</w:t>
            </w:r>
            <w:r w:rsidRPr="008E1809">
              <w:rPr>
                <w:rFonts w:ascii="Verdana" w:hAnsi="Verdana"/>
                <w:spacing w:val="-14"/>
              </w:rPr>
              <w:t xml:space="preserve"> </w:t>
            </w:r>
            <w:r w:rsidRPr="008E1809">
              <w:rPr>
                <w:rFonts w:ascii="Verdana" w:hAnsi="Verdana"/>
              </w:rPr>
              <w:t>convocatoria</w:t>
            </w:r>
            <w:r w:rsidRPr="008E1809">
              <w:rPr>
                <w:rFonts w:ascii="Verdana" w:hAnsi="Verdana"/>
                <w:spacing w:val="-15"/>
              </w:rPr>
              <w:t xml:space="preserve"> </w:t>
            </w:r>
            <w:r w:rsidRPr="008E1809">
              <w:rPr>
                <w:rFonts w:ascii="Verdana" w:hAnsi="Verdana"/>
              </w:rPr>
              <w:t>pública</w:t>
            </w:r>
            <w:r w:rsidRPr="008E1809">
              <w:rPr>
                <w:rFonts w:ascii="Verdana" w:hAnsi="Verdana"/>
                <w:spacing w:val="-15"/>
              </w:rPr>
              <w:t xml:space="preserve"> </w:t>
            </w:r>
            <w:r w:rsidRPr="008E1809">
              <w:rPr>
                <w:rFonts w:ascii="Verdana" w:hAnsi="Verdana"/>
              </w:rPr>
              <w:t>para</w:t>
            </w:r>
            <w:r w:rsidRPr="008E1809">
              <w:rPr>
                <w:rFonts w:ascii="Verdana" w:hAnsi="Verdana"/>
                <w:spacing w:val="-15"/>
              </w:rPr>
              <w:t xml:space="preserve"> </w:t>
            </w:r>
            <w:r w:rsidRPr="008E1809">
              <w:rPr>
                <w:rFonts w:ascii="Verdana" w:hAnsi="Verdana"/>
              </w:rPr>
              <w:t>recibir</w:t>
            </w:r>
            <w:r w:rsidRPr="008E1809">
              <w:rPr>
                <w:rFonts w:ascii="Verdana" w:hAnsi="Verdana"/>
                <w:spacing w:val="-14"/>
              </w:rPr>
              <w:t xml:space="preserve"> </w:t>
            </w:r>
            <w:r w:rsidRPr="008E1809">
              <w:rPr>
                <w:rFonts w:ascii="Verdana" w:hAnsi="Verdana"/>
              </w:rPr>
              <w:t>ofertas</w:t>
            </w:r>
            <w:r w:rsidRPr="008E1809">
              <w:rPr>
                <w:rFonts w:ascii="Verdana" w:hAnsi="Verdana"/>
                <w:spacing w:val="-15"/>
              </w:rPr>
              <w:t xml:space="preserve"> </w:t>
            </w:r>
            <w:r w:rsidRPr="008E1809">
              <w:rPr>
                <w:rFonts w:ascii="Verdana" w:hAnsi="Verdana"/>
              </w:rPr>
              <w:t>de</w:t>
            </w:r>
            <w:r w:rsidRPr="008E1809">
              <w:rPr>
                <w:rFonts w:ascii="Verdana" w:hAnsi="Verdana"/>
                <w:spacing w:val="-15"/>
              </w:rPr>
              <w:t xml:space="preserve"> </w:t>
            </w:r>
            <w:r w:rsidRPr="008E1809">
              <w:rPr>
                <w:rFonts w:ascii="Verdana" w:hAnsi="Verdana"/>
              </w:rPr>
              <w:t>bienes</w:t>
            </w:r>
            <w:r w:rsidRPr="008E1809">
              <w:rPr>
                <w:rFonts w:ascii="Verdana" w:hAnsi="Verdana"/>
                <w:spacing w:val="-15"/>
              </w:rPr>
              <w:t xml:space="preserve"> </w:t>
            </w:r>
            <w:r w:rsidRPr="008E1809">
              <w:rPr>
                <w:rFonts w:ascii="Verdana" w:hAnsi="Verdana"/>
              </w:rPr>
              <w:t>o</w:t>
            </w:r>
            <w:r w:rsidRPr="008E1809">
              <w:rPr>
                <w:rFonts w:ascii="Verdana" w:hAnsi="Verdana"/>
                <w:spacing w:val="-14"/>
              </w:rPr>
              <w:t xml:space="preserve"> </w:t>
            </w:r>
            <w:r w:rsidRPr="008E1809">
              <w:rPr>
                <w:rFonts w:ascii="Verdana" w:hAnsi="Verdana"/>
              </w:rPr>
              <w:t>servicios</w:t>
            </w:r>
            <w:r w:rsidRPr="008E1809">
              <w:rPr>
                <w:rFonts w:ascii="Verdana" w:hAnsi="Verdana"/>
                <w:spacing w:val="-59"/>
              </w:rPr>
              <w:t xml:space="preserve"> </w:t>
            </w:r>
            <w:r w:rsidRPr="008E1809">
              <w:rPr>
                <w:rFonts w:ascii="Verdana" w:hAnsi="Verdana"/>
              </w:rPr>
              <w:t>cuyo valor no excede el diez por ciento –10%– de la menor cuantía</w:t>
            </w:r>
            <w:r>
              <w:rPr>
                <w:rFonts w:ascii="Verdana" w:hAnsi="Verdana"/>
              </w:rPr>
              <w:t>.</w:t>
            </w:r>
          </w:p>
          <w:p w14:paraId="242D399A" w14:textId="77777777" w:rsidR="00610B93" w:rsidRDefault="00610B93" w:rsidP="004456BD">
            <w:pPr>
              <w:pStyle w:val="Textoindependiente"/>
              <w:ind w:firstLine="709"/>
              <w:jc w:val="both"/>
              <w:rPr>
                <w:rFonts w:ascii="Verdana" w:hAnsi="Verdana"/>
              </w:rPr>
            </w:pPr>
            <w:r>
              <w:rPr>
                <w:rFonts w:ascii="Verdana" w:hAnsi="Verdana"/>
              </w:rPr>
              <w:t xml:space="preserve">Para la estimación de la menor cuantía, así como para calcular diez por ciento –10%– de la mínima cuantía, es necesario el dato del salario mínimo legal mensual vigente. El artículo 1 del </w:t>
            </w:r>
            <w:r w:rsidRPr="00CF43AF">
              <w:rPr>
                <w:rFonts w:ascii="Verdana" w:hAnsi="Verdana"/>
              </w:rPr>
              <w:t>Decreto 1469 de 2025</w:t>
            </w:r>
            <w:r>
              <w:rPr>
                <w:rFonts w:ascii="Verdana" w:hAnsi="Verdana"/>
              </w:rPr>
              <w:t xml:space="preserve"> fijó dicho valor por la suma de </w:t>
            </w:r>
            <w:r w:rsidRPr="00CF43AF">
              <w:rPr>
                <w:rFonts w:ascii="Verdana" w:hAnsi="Verdana"/>
              </w:rPr>
              <w:t>$1.750.905</w:t>
            </w:r>
            <w:r>
              <w:rPr>
                <w:rFonts w:ascii="Verdana" w:hAnsi="Verdana"/>
              </w:rPr>
              <w:t xml:space="preserve"> para el 2026. Sin embargo, la Subsección A de la Sección Segunda del Consejo de Estado –mediante Auto del 12 de febrero de 2026 con ponencia del Consejero </w:t>
            </w:r>
            <w:r w:rsidRPr="00977A26">
              <w:rPr>
                <w:rFonts w:ascii="Verdana" w:hAnsi="Verdana"/>
              </w:rPr>
              <w:t>Juan Camilo Morales Trujillo</w:t>
            </w:r>
            <w:r>
              <w:rPr>
                <w:rFonts w:ascii="Verdana" w:hAnsi="Verdana"/>
              </w:rPr>
              <w:t xml:space="preserve">– suspendió provisionalmente el mencionado acto administrativo. Por ello, ordenó a las entidades demandadas que “[…] </w:t>
            </w:r>
            <w:r w:rsidRPr="00977A26">
              <w:rPr>
                <w:rFonts w:ascii="Verdana" w:hAnsi="Verdana"/>
              </w:rPr>
              <w:t>dentro de los ocho (8) días calendario contados a partir del día siguiente a la notificación de esta providencia, realicen, expidan y publiquen un decreto en el que se fije el porcentaje transitorio de aumento del salario mínimo legal para el año 2026 y el consecuente valor total del mismo para esta vigencia, que regirá hasta tanto se dicte sentencia en el proceso</w:t>
            </w:r>
            <w:r>
              <w:rPr>
                <w:rFonts w:ascii="Verdana" w:hAnsi="Verdana"/>
              </w:rPr>
              <w:t>”</w:t>
            </w:r>
            <w:r w:rsidRPr="00977A26">
              <w:rPr>
                <w:rFonts w:ascii="Verdana" w:hAnsi="Verdana"/>
              </w:rPr>
              <w:t>.</w:t>
            </w:r>
          </w:p>
          <w:p w14:paraId="7607A135" w14:textId="77777777" w:rsidR="00610B93" w:rsidRDefault="00610B93" w:rsidP="004456BD">
            <w:pPr>
              <w:pStyle w:val="Textoindependiente"/>
              <w:ind w:firstLine="709"/>
              <w:jc w:val="both"/>
              <w:rPr>
                <w:rFonts w:ascii="Verdana" w:hAnsi="Verdana"/>
              </w:rPr>
            </w:pPr>
            <w:r>
              <w:rPr>
                <w:rFonts w:ascii="Verdana" w:hAnsi="Verdana"/>
              </w:rPr>
              <w:t>Ahora bien, el numeral cuarto de la providencia judicial precisó lo siguiente: “</w:t>
            </w:r>
            <w:r w:rsidRPr="006E56BD">
              <w:rPr>
                <w:rFonts w:ascii="Verdana" w:hAnsi="Verdana"/>
                <w:b/>
                <w:bCs/>
              </w:rPr>
              <w:t>DIFERIR</w:t>
            </w:r>
            <w:r w:rsidRPr="006E56BD">
              <w:rPr>
                <w:rFonts w:ascii="Verdana" w:hAnsi="Verdana"/>
              </w:rPr>
              <w:t xml:space="preserve"> los efectos de la suspensión provisional, que se hará efectiva únicamente a partir de la fecha en que se publique el decreto de que trata el numeral anterior mediante el cual se determine la cifra transitoria. </w:t>
            </w:r>
            <w:r w:rsidRPr="006E56BD">
              <w:rPr>
                <w:rFonts w:ascii="Verdana" w:hAnsi="Verdana"/>
                <w:i/>
                <w:iCs/>
              </w:rPr>
              <w:t>Durante el lapso comprendido entre la notificación de esta providencia y la fecha de publicación del referido acto administrativo, el valor del salario mínimo para la vigencia 2026 seguirá correspondiendo al establecido en el Decreto 1469 de 2025</w:t>
            </w:r>
            <w:r>
              <w:rPr>
                <w:rFonts w:ascii="Verdana" w:hAnsi="Verdana"/>
              </w:rPr>
              <w:t xml:space="preserve">” (Cursivas fuera de texto). Esto significa que, durante el mencionado periodo, la suma de </w:t>
            </w:r>
            <w:r w:rsidRPr="00CF43AF">
              <w:rPr>
                <w:rFonts w:ascii="Verdana" w:hAnsi="Verdana"/>
              </w:rPr>
              <w:t>$1.750.905</w:t>
            </w:r>
            <w:r>
              <w:rPr>
                <w:rFonts w:ascii="Verdana" w:hAnsi="Verdana"/>
              </w:rPr>
              <w:t xml:space="preserve"> fue el salario mínimo mensual vigente para todos los efectos legales, lo que incluye también la influencia de este valor en el cálculo de la menor y mínima cuantía para efectos de la contratación de las entidades sometidas a la Ley 80 de 1993.</w:t>
            </w:r>
          </w:p>
          <w:p w14:paraId="1DC06D69" w14:textId="77777777" w:rsidR="00610B93" w:rsidRPr="00E06938" w:rsidRDefault="00610B93" w:rsidP="004456BD">
            <w:pPr>
              <w:pStyle w:val="Textoindependiente"/>
              <w:ind w:firstLine="709"/>
              <w:jc w:val="both"/>
              <w:rPr>
                <w:rFonts w:ascii="Verdana" w:hAnsi="Verdana"/>
              </w:rPr>
            </w:pPr>
            <w:r>
              <w:rPr>
                <w:rFonts w:ascii="Verdana" w:hAnsi="Verdana"/>
              </w:rPr>
              <w:t xml:space="preserve">Por lo demás, el artículo 1 del Decreto 159 de 2026 –acto administrativo expedido por el Gobierno Nacional conforme a lo ordenado por el máximo órgano de la jurisdicción contenciosa administrativa– mantuvo la suma de </w:t>
            </w:r>
            <w:r w:rsidRPr="00CF43AF">
              <w:rPr>
                <w:rFonts w:ascii="Verdana" w:hAnsi="Verdana"/>
              </w:rPr>
              <w:lastRenderedPageBreak/>
              <w:t>$1.750.905</w:t>
            </w:r>
            <w:r>
              <w:rPr>
                <w:rFonts w:ascii="Verdana" w:hAnsi="Verdana"/>
              </w:rPr>
              <w:t xml:space="preserve"> con valor del salario mínimo legal mensual para el 2026. Luego, dicha cifra continúa siendo la base para estimar el monto de la menor cuantía en función del presupuesto oficial y, a partir de allí, calcular el diez por ciento –10%– de la mínima cuantía: para lo que no esté dentro de los umbrales correspondientes a alguna de estas dos (2) modalidades de selección, debe aplicarse la regla del inciso primero del artículo 2.1 de la Ley 1150 de 2007; razón por la cual, “</w:t>
            </w:r>
            <w:r w:rsidRPr="000933C7">
              <w:rPr>
                <w:rFonts w:ascii="Verdana" w:hAnsi="Verdana"/>
              </w:rPr>
              <w:t>La escogencia del contratista se efectuará por regla general a través de licitación pública, con las excepciones que se señalan en los numerales 2, 3 y 4 del presente artículo</w:t>
            </w:r>
            <w:r>
              <w:rPr>
                <w:rFonts w:ascii="Verdana" w:hAnsi="Verdana"/>
              </w:rPr>
              <w:t>”</w:t>
            </w:r>
            <w:r w:rsidRPr="000933C7">
              <w:rPr>
                <w:rFonts w:ascii="Verdana" w:hAnsi="Verdana"/>
              </w:rPr>
              <w:t>.</w:t>
            </w:r>
          </w:p>
          <w:p w14:paraId="7A32120F" w14:textId="77777777" w:rsidR="00610B93" w:rsidRPr="001941FD" w:rsidRDefault="00610B93" w:rsidP="004456BD">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07C3D2F1" w14:textId="77777777" w:rsidR="00610B93" w:rsidRPr="00593A5F" w:rsidRDefault="00610B93" w:rsidP="00610B93">
      <w:pPr>
        <w:tabs>
          <w:tab w:val="left" w:pos="142"/>
          <w:tab w:val="left" w:pos="284"/>
        </w:tabs>
        <w:spacing w:after="0" w:line="276" w:lineRule="auto"/>
        <w:jc w:val="both"/>
        <w:rPr>
          <w:rFonts w:ascii="Verdana" w:eastAsia="Century Gothic" w:hAnsi="Verdana" w:cs="Century Gothic"/>
          <w:b/>
          <w:bCs/>
          <w:lang w:val="es-ES"/>
        </w:rPr>
      </w:pPr>
    </w:p>
    <w:bookmarkEnd w:id="3"/>
    <w:p w14:paraId="7E801853" w14:textId="77777777" w:rsidR="00610B93" w:rsidRPr="00593A5F" w:rsidRDefault="00610B93" w:rsidP="00610B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33231E0" w14:textId="77777777" w:rsidR="00610B93" w:rsidRPr="00593A5F" w:rsidRDefault="00610B93" w:rsidP="00610B93">
      <w:pPr>
        <w:spacing w:after="0" w:line="276" w:lineRule="auto"/>
        <w:jc w:val="both"/>
        <w:rPr>
          <w:rFonts w:ascii="Verdana" w:eastAsia="Calibri" w:hAnsi="Verdana" w:cs="Arial"/>
          <w:color w:val="7030A0"/>
          <w:lang w:val="es-ES"/>
        </w:rPr>
      </w:pPr>
    </w:p>
    <w:p w14:paraId="07B00C4F" w14:textId="77777777" w:rsidR="00610B93" w:rsidRDefault="00610B93" w:rsidP="00610B9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7D4F371" w14:textId="77777777" w:rsidR="00610B93" w:rsidRPr="008305C9" w:rsidRDefault="00610B93" w:rsidP="00610B93">
      <w:pPr>
        <w:spacing w:after="0" w:line="276" w:lineRule="auto"/>
        <w:jc w:val="both"/>
        <w:rPr>
          <w:rFonts w:ascii="Verdana" w:eastAsia="Calibri" w:hAnsi="Verdana" w:cs="Arial"/>
          <w:lang w:val="es-ES"/>
        </w:rPr>
      </w:pPr>
    </w:p>
    <w:p w14:paraId="0F8BE722" w14:textId="77777777" w:rsidR="00610B93" w:rsidRPr="007D48B0" w:rsidRDefault="00610B93" w:rsidP="00610B93">
      <w:pPr>
        <w:spacing w:after="120" w:line="276" w:lineRule="auto"/>
        <w:jc w:val="both"/>
        <w:rPr>
          <w:rFonts w:ascii="Verdana" w:hAnsi="Verdana" w:cs="Arial"/>
          <w:bCs/>
          <w:sz w:val="21"/>
          <w:szCs w:val="21"/>
          <w:lang w:val="es-ES_tradnl"/>
        </w:rPr>
      </w:pPr>
      <w:r w:rsidRPr="007D48B0">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D48B0">
        <w:rPr>
          <w:rStyle w:val="Refdenotaalpie"/>
          <w:rFonts w:ascii="Verdana" w:hAnsi="Verdana" w:cs="Arial"/>
          <w:bCs/>
          <w:sz w:val="21"/>
          <w:szCs w:val="21"/>
          <w:lang w:val="es-ES_tradnl"/>
        </w:rPr>
        <w:footnoteReference w:id="1"/>
      </w:r>
      <w:r w:rsidRPr="007D48B0">
        <w:rPr>
          <w:rFonts w:ascii="Verdana" w:hAnsi="Verdana" w:cs="Arial"/>
          <w:bCs/>
          <w:sz w:val="21"/>
          <w:szCs w:val="21"/>
          <w:lang w:val="es-ES_tradnl"/>
        </w:rPr>
        <w:t>.</w:t>
      </w:r>
    </w:p>
    <w:p w14:paraId="052EB5DB" w14:textId="77777777" w:rsidR="00610B93" w:rsidRPr="007D48B0" w:rsidRDefault="00610B93" w:rsidP="00610B93">
      <w:pPr>
        <w:spacing w:after="120" w:line="276" w:lineRule="auto"/>
        <w:jc w:val="both"/>
        <w:rPr>
          <w:rFonts w:ascii="Verdana" w:hAnsi="Verdana" w:cs="Arial"/>
          <w:lang w:val="es-ES"/>
        </w:rPr>
      </w:pPr>
      <w:r w:rsidRPr="007D48B0">
        <w:rPr>
          <w:rFonts w:ascii="Verdana" w:hAnsi="Verdana" w:cs="Arial"/>
          <w:bCs/>
          <w:lang w:val="es-ES_tradnl"/>
        </w:rPr>
        <w:lastRenderedPageBreak/>
        <w:tab/>
      </w:r>
      <w:r w:rsidRPr="565FD971">
        <w:rPr>
          <w:rFonts w:ascii="Verdana" w:hAnsi="Verdana" w:cs="Arial"/>
          <w:lang w:val="es-ES"/>
        </w:rPr>
        <w:t xml:space="preserve">Inicialmente, la Ley 80 de 1993 estableció tres (3) procedimientos de selección: i) licitación o concurso público, </w:t>
      </w:r>
      <w:proofErr w:type="spellStart"/>
      <w:r w:rsidRPr="565FD971">
        <w:rPr>
          <w:rFonts w:ascii="Verdana" w:hAnsi="Verdana" w:cs="Arial"/>
          <w:lang w:val="es-ES"/>
        </w:rPr>
        <w:t>ii</w:t>
      </w:r>
      <w:proofErr w:type="spellEnd"/>
      <w:r w:rsidRPr="565FD971">
        <w:rPr>
          <w:rFonts w:ascii="Verdana" w:hAnsi="Verdana" w:cs="Arial"/>
          <w:lang w:val="es-ES"/>
        </w:rPr>
        <w:t xml:space="preserve">) contratación sin formalidades plenas y </w:t>
      </w:r>
      <w:proofErr w:type="spellStart"/>
      <w:r w:rsidRPr="565FD971">
        <w:rPr>
          <w:rFonts w:ascii="Verdana" w:hAnsi="Verdana" w:cs="Arial"/>
          <w:lang w:val="es-ES"/>
        </w:rPr>
        <w:t>iii</w:t>
      </w:r>
      <w:proofErr w:type="spellEnd"/>
      <w:r w:rsidRPr="565FD971">
        <w:rPr>
          <w:rFonts w:ascii="Verdana" w:hAnsi="Verdana" w:cs="Arial"/>
          <w:lang w:val="es-ES"/>
        </w:rPr>
        <w:t>) contratación directa. Dentro de este esquema, el primero era y continúa siendo la regla general, pues sólo es posible acudir a los demás frente a la configuración de las causales previamente establecidas por el ordenamiento, razón por la cual la Administración carece de discrecionalidad para establecer procedimientos</w:t>
      </w:r>
      <w:r w:rsidRPr="565FD971">
        <w:rPr>
          <w:rStyle w:val="Refdenotaalpie"/>
          <w:rFonts w:ascii="Verdana" w:hAnsi="Verdana" w:cs="Arial"/>
          <w:lang w:val="es-ES"/>
        </w:rPr>
        <w:footnoteReference w:id="2"/>
      </w:r>
      <w:r w:rsidRPr="565FD971">
        <w:rPr>
          <w:rFonts w:ascii="Verdana" w:hAnsi="Verdana" w:cs="Arial"/>
          <w:lang w:val="es-ES"/>
        </w:rPr>
        <w:t xml:space="preserve">. </w:t>
      </w:r>
    </w:p>
    <w:p w14:paraId="6C03565E" w14:textId="77777777" w:rsidR="00610B93" w:rsidRPr="00FC0529" w:rsidRDefault="00610B93" w:rsidP="00610B93">
      <w:pPr>
        <w:spacing w:after="120" w:line="276" w:lineRule="auto"/>
        <w:jc w:val="both"/>
        <w:rPr>
          <w:rFonts w:ascii="Verdana" w:hAnsi="Verdana" w:cs="Arial"/>
          <w:bCs/>
          <w:lang w:val="es-ES_tradnl"/>
        </w:rPr>
      </w:pPr>
      <w:r w:rsidRPr="007D48B0">
        <w:rPr>
          <w:rFonts w:ascii="Verdana" w:hAnsi="Verdana" w:cs="Arial"/>
          <w:bCs/>
          <w:lang w:val="es-ES_tradnl"/>
        </w:rPr>
        <w:tab/>
        <w:t xml:space="preserve">No obstante, después del 2007, el ordenamiento reguló nuevos procesos de selección. En efecto, con el artículo 2 de la Ley 1150 la licitación pública no solo es un procedimiento independiente del concurso de méritos, sino que también se creó el procedimiento de selección de selección abreviada. Finalmente, teniendo en cuenta la reforma introducida con la Ley 1474 de 2011, los procedimientos actualmente regulados son los siguientes: i) licitación pública, </w:t>
      </w:r>
      <w:proofErr w:type="spellStart"/>
      <w:r w:rsidRPr="007D48B0">
        <w:rPr>
          <w:rFonts w:ascii="Verdana" w:hAnsi="Verdana" w:cs="Arial"/>
          <w:bCs/>
          <w:lang w:val="es-ES_tradnl"/>
        </w:rPr>
        <w:t>ii</w:t>
      </w:r>
      <w:proofErr w:type="spellEnd"/>
      <w:r w:rsidRPr="007D48B0">
        <w:rPr>
          <w:rFonts w:ascii="Verdana" w:hAnsi="Verdana" w:cs="Arial"/>
          <w:bCs/>
          <w:lang w:val="es-ES_tradnl"/>
        </w:rPr>
        <w:t xml:space="preserve">) selección abreviada, </w:t>
      </w:r>
      <w:proofErr w:type="spellStart"/>
      <w:r w:rsidRPr="007D48B0">
        <w:rPr>
          <w:rFonts w:ascii="Verdana" w:hAnsi="Verdana" w:cs="Arial"/>
          <w:bCs/>
          <w:lang w:val="es-ES_tradnl"/>
        </w:rPr>
        <w:t>iii</w:t>
      </w:r>
      <w:proofErr w:type="spellEnd"/>
      <w:r w:rsidRPr="007D48B0">
        <w:rPr>
          <w:rFonts w:ascii="Verdana" w:hAnsi="Verdana" w:cs="Arial"/>
          <w:bCs/>
          <w:lang w:val="es-ES_tradnl"/>
        </w:rPr>
        <w:t xml:space="preserve">) concurso de méritos, </w:t>
      </w:r>
      <w:proofErr w:type="spellStart"/>
      <w:r w:rsidRPr="007D48B0">
        <w:rPr>
          <w:rFonts w:ascii="Verdana" w:hAnsi="Verdana" w:cs="Arial"/>
          <w:bCs/>
          <w:lang w:val="es-ES_tradnl"/>
        </w:rPr>
        <w:t>iv</w:t>
      </w:r>
      <w:proofErr w:type="spellEnd"/>
      <w:r w:rsidRPr="007D48B0">
        <w:rPr>
          <w:rFonts w:ascii="Verdana" w:hAnsi="Verdana" w:cs="Arial"/>
          <w:bCs/>
          <w:lang w:val="es-ES_tradnl"/>
        </w:rPr>
        <w:t>) mínima cuantía y v) contratación directa.</w:t>
      </w:r>
      <w:r>
        <w:rPr>
          <w:rFonts w:ascii="Verdana" w:hAnsi="Verdana" w:cs="Arial"/>
          <w:bCs/>
          <w:lang w:val="es-ES_tradnl"/>
        </w:rPr>
        <w:t xml:space="preserve"> </w:t>
      </w:r>
      <w:r w:rsidRPr="007D48B0">
        <w:rPr>
          <w:rFonts w:ascii="Verdana" w:hAnsi="Verdana" w:cs="Arial"/>
          <w:bCs/>
          <w:lang w:val="es-ES_tradnl"/>
        </w:rPr>
        <w:t xml:space="preserve">En dichos procedimientos constan </w:t>
      </w:r>
      <w:r w:rsidRPr="007D48B0">
        <w:rPr>
          <w:rFonts w:ascii="Verdana" w:eastAsia="Calibri" w:hAnsi="Verdana" w:cs="Arial"/>
        </w:rPr>
        <w:t>las etapas para la adquisición de obras, bienes y servicios, por lo que cada entidad es responsable de estructurar los procedimientos de contratación, siempre que respete el principio de legalidad.</w:t>
      </w:r>
      <w:bookmarkStart w:id="5" w:name="_Hlk39596760"/>
    </w:p>
    <w:p w14:paraId="57153CBF" w14:textId="77777777" w:rsidR="00610B93" w:rsidRPr="00C11001" w:rsidRDefault="00610B93" w:rsidP="00610B93">
      <w:pPr>
        <w:spacing w:after="120" w:line="276" w:lineRule="auto"/>
        <w:ind w:firstLine="709"/>
        <w:jc w:val="both"/>
        <w:rPr>
          <w:rFonts w:ascii="Verdana" w:hAnsi="Verdana" w:cs="Arial"/>
          <w:bCs/>
          <w:lang w:val="es-MX"/>
        </w:rPr>
      </w:pPr>
      <w:r>
        <w:rPr>
          <w:rFonts w:ascii="Verdana" w:hAnsi="Verdana" w:cs="Arial"/>
          <w:lang w:val="es-ES"/>
        </w:rPr>
        <w:t>En este contexto, p</w:t>
      </w:r>
      <w:r w:rsidRPr="00B47324">
        <w:rPr>
          <w:rFonts w:ascii="Verdana" w:hAnsi="Verdana" w:cs="Arial"/>
          <w:lang w:val="es-ES"/>
        </w:rPr>
        <w:t xml:space="preserve">ara las entidades </w:t>
      </w:r>
      <w:r>
        <w:rPr>
          <w:rFonts w:ascii="Verdana" w:hAnsi="Verdana" w:cs="Arial"/>
          <w:lang w:val="es-ES"/>
        </w:rPr>
        <w:t>sometidas a la Ley 80 de 1993,</w:t>
      </w:r>
      <w:r w:rsidRPr="00B47324">
        <w:rPr>
          <w:rFonts w:ascii="Verdana" w:hAnsi="Verdana" w:cs="Arial"/>
          <w:lang w:val="es-ES"/>
        </w:rPr>
        <w:t xml:space="preserve"> los procesos de selección 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3"/>
      </w:r>
      <w:r w:rsidRPr="00666B6A">
        <w:rPr>
          <w:rFonts w:ascii="Verdana" w:hAnsi="Verdana" w:cs="Arial"/>
          <w:bCs/>
          <w:lang w:val="es-MX"/>
        </w:rPr>
        <w:t xml:space="preserve">. </w:t>
      </w:r>
      <w:r>
        <w:rPr>
          <w:rFonts w:ascii="Verdana" w:hAnsi="Verdana" w:cs="Arial"/>
          <w:bCs/>
          <w:lang w:val="es-MX"/>
        </w:rPr>
        <w:t>Así</w:t>
      </w:r>
      <w:r w:rsidRPr="00666B6A">
        <w:rPr>
          <w:rFonts w:ascii="Verdana" w:hAnsi="Verdana" w:cs="Arial"/>
          <w:bCs/>
          <w:lang w:val="es-MX"/>
        </w:rPr>
        <w:t xml:space="preserve">, salvo norma especial que </w:t>
      </w:r>
      <w:r w:rsidRPr="00666B6A">
        <w:rPr>
          <w:rFonts w:ascii="Verdana" w:hAnsi="Verdana" w:cs="Arial"/>
          <w:bCs/>
          <w:lang w:val="es-MX"/>
        </w:rPr>
        <w:lastRenderedPageBreak/>
        <w:t>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
      </w:r>
      <w:r w:rsidRPr="00666B6A">
        <w:rPr>
          <w:rFonts w:ascii="Verdana" w:hAnsi="Verdana" w:cs="Arial"/>
          <w:bCs/>
          <w:lang w:val="es-MX"/>
        </w:rPr>
        <w:t>.</w:t>
      </w:r>
    </w:p>
    <w:p w14:paraId="64C85B1A" w14:textId="77777777" w:rsidR="00610B93" w:rsidRPr="004F0676" w:rsidRDefault="00610B93" w:rsidP="00610B93">
      <w:pPr>
        <w:spacing w:after="120" w:line="276" w:lineRule="auto"/>
        <w:ind w:firstLine="708"/>
        <w:jc w:val="both"/>
        <w:rPr>
          <w:rFonts w:ascii="Verdana" w:hAnsi="Verdana" w:cs="Arial"/>
          <w:bCs/>
          <w:lang w:val="es-ES_tradnl"/>
        </w:rPr>
      </w:pPr>
      <w:r w:rsidRPr="007D48B0">
        <w:rPr>
          <w:rFonts w:ascii="Verdana" w:eastAsia="Calibri" w:hAnsi="Verdana" w:cs="Arial"/>
        </w:rPr>
        <w:t xml:space="preserve">Respecto a la selección abreviada, </w:t>
      </w:r>
      <w:bookmarkStart w:id="6" w:name="_Hlk39070608"/>
      <w:r w:rsidRPr="007D48B0">
        <w:rPr>
          <w:rFonts w:ascii="Verdana" w:eastAsia="Calibri" w:hAnsi="Verdana" w:cs="Arial"/>
        </w:rPr>
        <w:t>el numeral 2 del artículo 2 de la Ley 1150 de 2007</w:t>
      </w:r>
      <w:bookmarkEnd w:id="6"/>
      <w:r w:rsidRPr="007D48B0">
        <w:rPr>
          <w:rFonts w:ascii="Verdana" w:eastAsia="Calibri" w:hAnsi="Verdana" w:cs="Arial"/>
        </w:rPr>
        <w:t xml:space="preserve"> dispone que </w:t>
      </w:r>
      <w:r>
        <w:rPr>
          <w:rFonts w:ascii="Verdana" w:eastAsia="Calibri" w:hAnsi="Verdana" w:cs="Arial"/>
        </w:rPr>
        <w:t>“</w:t>
      </w:r>
      <w:r w:rsidRPr="007D48B0">
        <w:rPr>
          <w:rFonts w:ascii="Verdana" w:eastAsia="Calibri" w:hAnsi="Verdana" w:cs="Arial"/>
        </w:rPr>
        <w:t>[…]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rPr>
        <w:t>”</w:t>
      </w:r>
      <w:r w:rsidRPr="007D48B0">
        <w:rPr>
          <w:rFonts w:ascii="Verdana" w:eastAsia="Calibri" w:hAnsi="Verdana" w:cs="Arial"/>
        </w:rPr>
        <w:t>, regulando cada una de las causales</w:t>
      </w:r>
      <w:r w:rsidRPr="007D48B0">
        <w:rPr>
          <w:rStyle w:val="Refdenotaalpie"/>
          <w:rFonts w:ascii="Verdana" w:eastAsia="Calibri" w:hAnsi="Verdana" w:cs="Arial"/>
        </w:rPr>
        <w:footnoteReference w:id="5"/>
      </w:r>
      <w:r w:rsidRPr="007D48B0">
        <w:rPr>
          <w:rFonts w:ascii="Verdana" w:eastAsia="Calibri" w:hAnsi="Verdana" w:cs="Arial"/>
        </w:rPr>
        <w:t xml:space="preserve">. </w:t>
      </w:r>
    </w:p>
    <w:p w14:paraId="755BEDFA" w14:textId="77777777" w:rsidR="00610B93" w:rsidRPr="007D48B0" w:rsidRDefault="00610B93" w:rsidP="00610B93">
      <w:pPr>
        <w:spacing w:after="0" w:line="276" w:lineRule="auto"/>
        <w:ind w:firstLine="708"/>
        <w:jc w:val="both"/>
        <w:rPr>
          <w:rFonts w:ascii="Verdana" w:eastAsia="Calibri" w:hAnsi="Verdana" w:cs="Arial"/>
        </w:rPr>
      </w:pPr>
      <w:bookmarkStart w:id="7" w:name="_Hlk39174727"/>
      <w:r w:rsidRPr="007D48B0">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5"/>
      <w:bookmarkEnd w:id="7"/>
      <w:r w:rsidRPr="007D48B0">
        <w:rPr>
          <w:rFonts w:ascii="Verdana" w:eastAsia="Calibri" w:hAnsi="Verdana" w:cs="Arial"/>
        </w:rPr>
        <w:t>. En la exposición de motivos se explica lo siguiente:</w:t>
      </w:r>
    </w:p>
    <w:p w14:paraId="62C5817C" w14:textId="77777777" w:rsidR="00610B93" w:rsidRPr="007D48B0" w:rsidRDefault="00610B93" w:rsidP="00610B93">
      <w:pPr>
        <w:spacing w:after="0" w:line="276" w:lineRule="auto"/>
        <w:jc w:val="both"/>
        <w:rPr>
          <w:rFonts w:ascii="Verdana" w:eastAsia="Calibri" w:hAnsi="Verdana" w:cs="Arial"/>
        </w:rPr>
      </w:pPr>
    </w:p>
    <w:p w14:paraId="4E056104" w14:textId="77777777" w:rsidR="00610B93" w:rsidRPr="00C11001" w:rsidRDefault="00610B93" w:rsidP="00610B93">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3F67B0AB" w14:textId="77777777" w:rsidR="00610B93" w:rsidRPr="00C11001" w:rsidRDefault="00610B93" w:rsidP="00610B93">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xml:space="preserve">– Se crea la llamada </w:t>
      </w:r>
      <w:r>
        <w:rPr>
          <w:rFonts w:ascii="Verdana" w:eastAsia="Calibri" w:hAnsi="Verdana" w:cs="Arial"/>
          <w:sz w:val="20"/>
          <w:szCs w:val="20"/>
        </w:rPr>
        <w:t>‘</w:t>
      </w:r>
      <w:r w:rsidRPr="00C11001">
        <w:rPr>
          <w:rFonts w:ascii="Verdana" w:eastAsia="Calibri" w:hAnsi="Verdana" w:cs="Arial"/>
          <w:sz w:val="20"/>
          <w:szCs w:val="20"/>
        </w:rPr>
        <w:t>selección abreviada</w:t>
      </w:r>
      <w:r>
        <w:rPr>
          <w:rFonts w:ascii="Verdana" w:eastAsia="Calibri" w:hAnsi="Verdana" w:cs="Arial"/>
          <w:sz w:val="20"/>
          <w:szCs w:val="20"/>
        </w:rPr>
        <w:t>’</w:t>
      </w:r>
      <w:r w:rsidRPr="00C11001">
        <w:rPr>
          <w:rFonts w:ascii="Verdana" w:eastAsia="Calibri" w:hAnsi="Verdana" w:cs="Arial"/>
          <w:sz w:val="20"/>
          <w:szCs w:val="20"/>
        </w:rPr>
        <w:t>,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07F15E46" w14:textId="77777777" w:rsidR="00610B93" w:rsidRPr="007D48B0" w:rsidRDefault="00610B93" w:rsidP="00610B93">
      <w:pPr>
        <w:spacing w:after="0" w:line="240" w:lineRule="auto"/>
        <w:ind w:left="709" w:right="709"/>
        <w:jc w:val="both"/>
        <w:rPr>
          <w:rFonts w:ascii="Verdana" w:eastAsia="Calibri" w:hAnsi="Verdana" w:cs="Arial"/>
          <w:sz w:val="21"/>
          <w:szCs w:val="21"/>
        </w:rPr>
      </w:pPr>
      <w:r w:rsidRPr="00C11001">
        <w:rPr>
          <w:rFonts w:ascii="Verdana" w:eastAsia="Calibri" w:hAnsi="Verdana" w:cs="Arial"/>
          <w:sz w:val="20"/>
          <w:szCs w:val="20"/>
        </w:rPr>
        <w:t xml:space="preserve">– Adicionalmente en esta categoría se recoge la llamada </w:t>
      </w:r>
      <w:r>
        <w:rPr>
          <w:rFonts w:ascii="Verdana" w:eastAsia="Calibri" w:hAnsi="Verdana" w:cs="Arial"/>
          <w:sz w:val="20"/>
          <w:szCs w:val="20"/>
        </w:rPr>
        <w:t>‘</w:t>
      </w:r>
      <w:r w:rsidRPr="00C11001">
        <w:rPr>
          <w:rFonts w:ascii="Verdana" w:eastAsia="Calibri" w:hAnsi="Verdana" w:cs="Arial"/>
          <w:sz w:val="20"/>
          <w:szCs w:val="20"/>
        </w:rPr>
        <w:t>menor cuantía</w:t>
      </w:r>
      <w:r>
        <w:rPr>
          <w:rFonts w:ascii="Verdana" w:eastAsia="Calibri" w:hAnsi="Verdana" w:cs="Arial"/>
          <w:sz w:val="20"/>
          <w:szCs w:val="20"/>
        </w:rPr>
        <w:t>’</w:t>
      </w:r>
      <w:r w:rsidRPr="00C11001">
        <w:rPr>
          <w:rFonts w:ascii="Verdana" w:eastAsia="Calibri" w:hAnsi="Verdana" w:cs="Arial"/>
          <w:sz w:val="20"/>
          <w:szCs w:val="20"/>
        </w:rPr>
        <w:t xml:space="preserve"> (sólo aplicable en lo sucesivo a bienes o servicios diferentes de los anteriores), así como otros procesos que por su naturaleza o circunstancias deben ser objeto de tratamiento expedido, tales como la defensa y seguridad nacional, entre otras”</w:t>
      </w:r>
      <w:r w:rsidRPr="00C11001">
        <w:rPr>
          <w:rStyle w:val="Refdenotaalpie"/>
          <w:rFonts w:ascii="Verdana" w:eastAsia="Calibri" w:hAnsi="Verdana" w:cs="Arial"/>
          <w:sz w:val="20"/>
          <w:szCs w:val="20"/>
        </w:rPr>
        <w:footnoteReference w:id="6"/>
      </w:r>
      <w:r w:rsidRPr="00C11001">
        <w:rPr>
          <w:rFonts w:ascii="Verdana" w:eastAsia="Calibri" w:hAnsi="Verdana" w:cs="Arial"/>
          <w:sz w:val="20"/>
          <w:szCs w:val="20"/>
        </w:rPr>
        <w:t>.</w:t>
      </w:r>
    </w:p>
    <w:p w14:paraId="51BA6837" w14:textId="77777777" w:rsidR="00610B93" w:rsidRPr="007D48B0" w:rsidRDefault="00610B93" w:rsidP="00610B93">
      <w:pPr>
        <w:spacing w:after="0" w:line="276" w:lineRule="auto"/>
        <w:jc w:val="both"/>
        <w:rPr>
          <w:rFonts w:ascii="Verdana" w:eastAsia="Calibri" w:hAnsi="Verdana" w:cs="Arial"/>
        </w:rPr>
      </w:pPr>
    </w:p>
    <w:p w14:paraId="773CD613" w14:textId="77777777" w:rsidR="00610B93" w:rsidRDefault="00610B93" w:rsidP="00610B93">
      <w:pPr>
        <w:spacing w:after="120" w:line="276" w:lineRule="auto"/>
        <w:ind w:firstLine="709"/>
        <w:jc w:val="both"/>
        <w:rPr>
          <w:rFonts w:ascii="Verdana" w:eastAsia="Calibri" w:hAnsi="Verdana" w:cs="Arial"/>
        </w:rPr>
      </w:pPr>
      <w:r w:rsidRPr="007D48B0">
        <w:rPr>
          <w:rFonts w:ascii="Verdana" w:eastAsia="Calibri" w:hAnsi="Verdana" w:cs="Arial"/>
        </w:rPr>
        <w:lastRenderedPageBreak/>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r w:rsidRPr="007D48B0">
        <w:rPr>
          <w:rStyle w:val="Refdenotaalpie"/>
          <w:rFonts w:ascii="Verdana" w:eastAsia="Calibri" w:hAnsi="Verdana" w:cs="Arial"/>
        </w:rPr>
        <w:footnoteReference w:id="7"/>
      </w:r>
      <w:r w:rsidRPr="007D48B0">
        <w:rPr>
          <w:rFonts w:ascii="Verdana" w:eastAsia="Calibri" w:hAnsi="Verdana" w:cs="Arial"/>
        </w:rPr>
        <w:t xml:space="preserve">. </w:t>
      </w:r>
    </w:p>
    <w:p w14:paraId="73ED9DC5" w14:textId="77777777" w:rsidR="00610B93" w:rsidRDefault="00610B93" w:rsidP="00610B93">
      <w:pPr>
        <w:spacing w:after="0" w:line="276" w:lineRule="auto"/>
        <w:ind w:firstLine="708"/>
        <w:jc w:val="both"/>
        <w:rPr>
          <w:rFonts w:ascii="Verdana" w:eastAsia="Calibri" w:hAnsi="Verdana" w:cs="Arial"/>
          <w:color w:val="000000" w:themeColor="text1"/>
          <w:lang w:val="es-MX"/>
        </w:rPr>
      </w:pPr>
      <w:r w:rsidRPr="007D48B0">
        <w:rPr>
          <w:rFonts w:ascii="Verdana" w:eastAsia="Calibri" w:hAnsi="Verdana" w:cs="Arial"/>
          <w:color w:val="000000" w:themeColor="text1"/>
          <w:lang w:val="es-MX"/>
        </w:rPr>
        <w:t>Conforme al literal b) del artículo 2.2 de la Ley 1150 de 2007, una de las causales de selección abreviada es la de menor cuantía. Esta se refiere a los procesos contractuales cuyo su valor es inferior a los topes que la norma señala respecto de su presupuesto anual, y se desarrolla en el Decreto único Reglamentario del Sector Planeación donde se establece su procedimiento</w:t>
      </w:r>
      <w:r>
        <w:rPr>
          <w:rFonts w:ascii="Verdana" w:eastAsia="Calibri" w:hAnsi="Verdana" w:cs="Arial"/>
          <w:color w:val="000000" w:themeColor="text1"/>
          <w:lang w:val="es-MX"/>
        </w:rPr>
        <w:t>. Conforme a la norma precitada, los rangos de la menor cuantía son los siguientes:</w:t>
      </w:r>
    </w:p>
    <w:p w14:paraId="7DCA8CF8" w14:textId="77777777" w:rsidR="00610B93" w:rsidRDefault="00610B93" w:rsidP="00610B93">
      <w:pPr>
        <w:spacing w:after="0" w:line="276" w:lineRule="auto"/>
        <w:ind w:firstLine="708"/>
        <w:jc w:val="both"/>
        <w:rPr>
          <w:rFonts w:ascii="Verdana" w:eastAsia="Calibri" w:hAnsi="Verdana" w:cs="Arial"/>
          <w:color w:val="000000" w:themeColor="text1"/>
          <w:lang w:val="es-MX"/>
        </w:rPr>
      </w:pPr>
    </w:p>
    <w:p w14:paraId="5E8EF06A"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w:t>
      </w:r>
    </w:p>
    <w:p w14:paraId="2CAA091F"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Para las entidades que tengan un presupuesto anual superior o igual a 1.200.000 salarios mínimos legales mensuales, la menor cuantía será hasta 1.000 salarios mínimos legales mensuales.</w:t>
      </w:r>
    </w:p>
    <w:p w14:paraId="122CB259"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850.000 salarios mínimos legales mensuales e inferiores a 1.200.000 salarios mínimos legales mensuales, la menor cuantía será hasta 850 salarios mínimos legales mensuales.</w:t>
      </w:r>
    </w:p>
    <w:p w14:paraId="57C2A9C4"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400.000 salarios mínimos legales mensuales e inferior a 850.000 salarios mínimos legales mensuales, la menor cuantía será hasta 650 salarios mínimos legales mensuales.</w:t>
      </w:r>
    </w:p>
    <w:p w14:paraId="61F7AF33"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t>Las que tengan un presupuesto anual superior o igual a 120.000 salarios mínimos legales mensuales e inferior a 400.000 salarios mínimos legales mensuales, la menor cuantía será hasta 450 salarios mínimos legales mensuales.</w:t>
      </w:r>
    </w:p>
    <w:p w14:paraId="7609200D" w14:textId="77777777" w:rsidR="00610B93" w:rsidRPr="00A14076" w:rsidRDefault="00610B93" w:rsidP="00610B93">
      <w:pPr>
        <w:spacing w:after="120" w:line="240" w:lineRule="auto"/>
        <w:ind w:left="709" w:right="709"/>
        <w:jc w:val="both"/>
        <w:rPr>
          <w:rFonts w:ascii="Verdana" w:hAnsi="Verdana" w:cs="Arial"/>
          <w:color w:val="000000" w:themeColor="text1"/>
          <w:sz w:val="20"/>
          <w:szCs w:val="20"/>
        </w:rPr>
      </w:pPr>
      <w:r w:rsidRPr="00A14076">
        <w:rPr>
          <w:rFonts w:ascii="Verdana" w:hAnsi="Verdana" w:cs="Arial"/>
          <w:color w:val="000000" w:themeColor="text1"/>
          <w:sz w:val="20"/>
          <w:szCs w:val="20"/>
        </w:rPr>
        <w:lastRenderedPageBreak/>
        <w:t>Las que tengan un presupuesto anual inferior a 120.000 salarios mínimos legales mensuales, la menor cuantía será hasta 280 salarios mínimos legales mensuales;</w:t>
      </w:r>
    </w:p>
    <w:p w14:paraId="571F7B79" w14:textId="77777777" w:rsidR="00610B93" w:rsidRDefault="00610B93" w:rsidP="00610B93">
      <w:pPr>
        <w:spacing w:after="0" w:line="240" w:lineRule="auto"/>
        <w:ind w:left="709" w:right="709"/>
        <w:jc w:val="both"/>
        <w:rPr>
          <w:rFonts w:ascii="Verdana" w:hAnsi="Verdana" w:cs="Arial"/>
          <w:color w:val="000000" w:themeColor="text1"/>
        </w:rPr>
      </w:pPr>
      <w:r w:rsidRPr="00A14076">
        <w:rPr>
          <w:rFonts w:ascii="Verdana" w:hAnsi="Verdana" w:cs="Arial"/>
          <w:color w:val="000000" w:themeColor="text1"/>
          <w:sz w:val="20"/>
          <w:szCs w:val="20"/>
        </w:rPr>
        <w:t>[…]”.</w:t>
      </w:r>
    </w:p>
    <w:p w14:paraId="6DD0A83F" w14:textId="77777777" w:rsidR="00610B93" w:rsidRDefault="00610B93" w:rsidP="00610B93">
      <w:pPr>
        <w:spacing w:after="0" w:line="276" w:lineRule="auto"/>
        <w:jc w:val="both"/>
        <w:rPr>
          <w:rFonts w:ascii="Verdana" w:hAnsi="Verdana" w:cs="Arial"/>
          <w:color w:val="000000" w:themeColor="text1"/>
        </w:rPr>
      </w:pPr>
    </w:p>
    <w:p w14:paraId="78D36A2D" w14:textId="77777777" w:rsidR="00610B93" w:rsidRDefault="00610B93" w:rsidP="00610B93">
      <w:pPr>
        <w:pStyle w:val="Textoindependiente"/>
        <w:ind w:firstLine="709"/>
        <w:jc w:val="both"/>
        <w:rPr>
          <w:rFonts w:ascii="Verdana" w:hAnsi="Verdana"/>
        </w:rPr>
      </w:pPr>
      <w:r>
        <w:rPr>
          <w:rFonts w:ascii="Verdana" w:hAnsi="Verdana" w:cs="Arial"/>
          <w:color w:val="000000" w:themeColor="text1"/>
        </w:rPr>
        <w:t xml:space="preserve">Asimismo, </w:t>
      </w:r>
      <w:r w:rsidRPr="008E1809">
        <w:rPr>
          <w:rFonts w:ascii="Verdana" w:eastAsia="Calibri" w:hAnsi="Verdana" w:cs="Arial"/>
          <w:color w:val="000000" w:themeColor="text1"/>
        </w:rPr>
        <w:t xml:space="preserve">es necesario tener en cuenta que </w:t>
      </w:r>
      <w:r>
        <w:rPr>
          <w:rFonts w:ascii="Verdana" w:eastAsia="Calibri" w:hAnsi="Verdana" w:cs="Arial"/>
          <w:color w:val="000000" w:themeColor="text1"/>
        </w:rPr>
        <w:t>e</w:t>
      </w:r>
      <w:r w:rsidRPr="008E1809">
        <w:rPr>
          <w:rFonts w:ascii="Verdana" w:hAnsi="Verdana"/>
        </w:rPr>
        <w:t>l artículo 30 de la Ley 2069 de 2020 modifica el numeral 5 del artículo 2 de la</w:t>
      </w:r>
      <w:r w:rsidRPr="008E1809">
        <w:rPr>
          <w:rFonts w:ascii="Verdana" w:hAnsi="Verdana"/>
          <w:spacing w:val="1"/>
        </w:rPr>
        <w:t xml:space="preserve"> </w:t>
      </w:r>
      <w:r w:rsidRPr="008E1809">
        <w:rPr>
          <w:rFonts w:ascii="Verdana" w:hAnsi="Verdana"/>
        </w:rPr>
        <w:t>Ley</w:t>
      </w:r>
      <w:r w:rsidRPr="008E1809">
        <w:rPr>
          <w:rFonts w:ascii="Verdana" w:hAnsi="Verdana"/>
          <w:spacing w:val="-3"/>
        </w:rPr>
        <w:t xml:space="preserve"> </w:t>
      </w:r>
      <w:r w:rsidRPr="008E1809">
        <w:rPr>
          <w:rFonts w:ascii="Verdana" w:hAnsi="Verdana"/>
        </w:rPr>
        <w:t>1150</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2007,</w:t>
      </w:r>
      <w:r w:rsidRPr="008E1809">
        <w:rPr>
          <w:rFonts w:ascii="Verdana" w:hAnsi="Verdana"/>
          <w:spacing w:val="-2"/>
        </w:rPr>
        <w:t xml:space="preserve"> </w:t>
      </w:r>
      <w:r w:rsidRPr="008E1809">
        <w:rPr>
          <w:rFonts w:ascii="Verdana" w:hAnsi="Verdana"/>
        </w:rPr>
        <w:t>el</w:t>
      </w:r>
      <w:r w:rsidRPr="008E1809">
        <w:rPr>
          <w:rFonts w:ascii="Verdana" w:hAnsi="Verdana"/>
          <w:spacing w:val="-3"/>
        </w:rPr>
        <w:t xml:space="preserve"> </w:t>
      </w:r>
      <w:r w:rsidRPr="008E1809">
        <w:rPr>
          <w:rFonts w:ascii="Verdana" w:hAnsi="Verdana"/>
        </w:rPr>
        <w:t>cual</w:t>
      </w:r>
      <w:r w:rsidRPr="008E1809">
        <w:rPr>
          <w:rFonts w:ascii="Verdana" w:hAnsi="Verdana"/>
          <w:spacing w:val="-2"/>
        </w:rPr>
        <w:t xml:space="preserve"> </w:t>
      </w:r>
      <w:r w:rsidRPr="008E1809">
        <w:rPr>
          <w:rFonts w:ascii="Verdana" w:hAnsi="Verdana"/>
        </w:rPr>
        <w:t>regula</w:t>
      </w:r>
      <w:r w:rsidRPr="008E1809">
        <w:rPr>
          <w:rFonts w:ascii="Verdana" w:hAnsi="Verdana"/>
          <w:spacing w:val="-2"/>
        </w:rPr>
        <w:t xml:space="preserve"> </w:t>
      </w:r>
      <w:r w:rsidRPr="008E1809">
        <w:rPr>
          <w:rFonts w:ascii="Verdana" w:hAnsi="Verdana"/>
        </w:rPr>
        <w:t>la</w:t>
      </w:r>
      <w:r w:rsidRPr="008E1809">
        <w:rPr>
          <w:rFonts w:ascii="Verdana" w:hAnsi="Verdana"/>
          <w:spacing w:val="-2"/>
        </w:rPr>
        <w:t xml:space="preserve"> </w:t>
      </w:r>
      <w:r w:rsidRPr="008E1809">
        <w:rPr>
          <w:rFonts w:ascii="Verdana" w:hAnsi="Verdana"/>
        </w:rPr>
        <w:t>mínima</w:t>
      </w:r>
      <w:r w:rsidRPr="008E1809">
        <w:rPr>
          <w:rFonts w:ascii="Verdana" w:hAnsi="Verdana"/>
          <w:spacing w:val="-3"/>
        </w:rPr>
        <w:t xml:space="preserve"> </w:t>
      </w:r>
      <w:r w:rsidRPr="008E1809">
        <w:rPr>
          <w:rFonts w:ascii="Verdana" w:hAnsi="Verdana"/>
        </w:rPr>
        <w:t>cuantía.</w:t>
      </w:r>
      <w:r w:rsidRPr="008E1809">
        <w:rPr>
          <w:rFonts w:ascii="Verdana" w:hAnsi="Verdana"/>
          <w:spacing w:val="-2"/>
        </w:rPr>
        <w:t xml:space="preserve"> </w:t>
      </w:r>
      <w:r w:rsidRPr="008E1809">
        <w:rPr>
          <w:rFonts w:ascii="Verdana" w:hAnsi="Verdana"/>
        </w:rPr>
        <w:t>En</w:t>
      </w:r>
      <w:r>
        <w:rPr>
          <w:rFonts w:ascii="Verdana" w:hAnsi="Verdana"/>
          <w:spacing w:val="-2"/>
        </w:rPr>
        <w:t xml:space="preserve"> </w:t>
      </w:r>
      <w:r w:rsidRPr="008E1809">
        <w:rPr>
          <w:rFonts w:ascii="Verdana" w:hAnsi="Verdana"/>
        </w:rPr>
        <w:t>esta</w:t>
      </w:r>
      <w:r w:rsidRPr="008E1809">
        <w:rPr>
          <w:rFonts w:ascii="Verdana" w:hAnsi="Verdana"/>
          <w:spacing w:val="-2"/>
        </w:rPr>
        <w:t xml:space="preserve"> </w:t>
      </w:r>
      <w:r w:rsidRPr="008E1809">
        <w:rPr>
          <w:rFonts w:ascii="Verdana" w:hAnsi="Verdana"/>
        </w:rPr>
        <w:t>modalidad</w:t>
      </w:r>
      <w:r w:rsidRPr="008E1809">
        <w:rPr>
          <w:rFonts w:ascii="Verdana" w:hAnsi="Verdana"/>
          <w:spacing w:val="-2"/>
        </w:rPr>
        <w:t xml:space="preserve"> </w:t>
      </w:r>
      <w:r w:rsidRPr="008E1809">
        <w:rPr>
          <w:rFonts w:ascii="Verdana" w:hAnsi="Verdana"/>
        </w:rPr>
        <w:t>de</w:t>
      </w:r>
      <w:r w:rsidRPr="008E1809">
        <w:rPr>
          <w:rFonts w:ascii="Verdana" w:hAnsi="Verdana"/>
          <w:spacing w:val="-3"/>
        </w:rPr>
        <w:t xml:space="preserve"> </w:t>
      </w:r>
      <w:r w:rsidRPr="008E1809">
        <w:rPr>
          <w:rFonts w:ascii="Verdana" w:hAnsi="Verdana"/>
        </w:rPr>
        <w:t>selección,</w:t>
      </w:r>
      <w:r w:rsidRPr="008E1809">
        <w:rPr>
          <w:rFonts w:ascii="Verdana" w:hAnsi="Verdana"/>
          <w:spacing w:val="-2"/>
        </w:rPr>
        <w:t xml:space="preserve"> </w:t>
      </w:r>
      <w:r w:rsidRPr="008E1809">
        <w:rPr>
          <w:rFonts w:ascii="Verdana" w:hAnsi="Verdana"/>
        </w:rPr>
        <w:t>la</w:t>
      </w:r>
      <w:r w:rsidRPr="008E1809">
        <w:rPr>
          <w:rFonts w:ascii="Verdana" w:hAnsi="Verdana"/>
          <w:spacing w:val="-59"/>
        </w:rPr>
        <w:t xml:space="preserve"> </w:t>
      </w:r>
      <w:r w:rsidRPr="008E1809">
        <w:rPr>
          <w:rFonts w:ascii="Verdana" w:hAnsi="Verdana"/>
        </w:rPr>
        <w:t>entidad</w:t>
      </w:r>
      <w:r w:rsidRPr="008E1809">
        <w:rPr>
          <w:rFonts w:ascii="Verdana" w:hAnsi="Verdana"/>
          <w:spacing w:val="-15"/>
        </w:rPr>
        <w:t xml:space="preserve"> </w:t>
      </w:r>
      <w:r w:rsidRPr="008E1809">
        <w:rPr>
          <w:rFonts w:ascii="Verdana" w:hAnsi="Verdana"/>
        </w:rPr>
        <w:t>estatal</w:t>
      </w:r>
      <w:r w:rsidRPr="008E1809">
        <w:rPr>
          <w:rFonts w:ascii="Verdana" w:hAnsi="Verdana"/>
          <w:spacing w:val="-15"/>
        </w:rPr>
        <w:t xml:space="preserve"> </w:t>
      </w:r>
      <w:r w:rsidRPr="008E1809">
        <w:rPr>
          <w:rFonts w:ascii="Verdana" w:hAnsi="Verdana"/>
        </w:rPr>
        <w:t>realiza</w:t>
      </w:r>
      <w:r w:rsidRPr="008E1809">
        <w:rPr>
          <w:rFonts w:ascii="Verdana" w:hAnsi="Verdana"/>
          <w:spacing w:val="-15"/>
        </w:rPr>
        <w:t xml:space="preserve"> </w:t>
      </w:r>
      <w:r w:rsidRPr="008E1809">
        <w:rPr>
          <w:rFonts w:ascii="Verdana" w:hAnsi="Verdana"/>
        </w:rPr>
        <w:t>una</w:t>
      </w:r>
      <w:r w:rsidRPr="008E1809">
        <w:rPr>
          <w:rFonts w:ascii="Verdana" w:hAnsi="Verdana"/>
          <w:spacing w:val="-14"/>
        </w:rPr>
        <w:t xml:space="preserve"> </w:t>
      </w:r>
      <w:r w:rsidRPr="008E1809">
        <w:rPr>
          <w:rFonts w:ascii="Verdana" w:hAnsi="Verdana"/>
        </w:rPr>
        <w:t>convocatoria</w:t>
      </w:r>
      <w:r w:rsidRPr="008E1809">
        <w:rPr>
          <w:rFonts w:ascii="Verdana" w:hAnsi="Verdana"/>
          <w:spacing w:val="-15"/>
        </w:rPr>
        <w:t xml:space="preserve"> </w:t>
      </w:r>
      <w:r w:rsidRPr="008E1809">
        <w:rPr>
          <w:rFonts w:ascii="Verdana" w:hAnsi="Verdana"/>
        </w:rPr>
        <w:t>pública</w:t>
      </w:r>
      <w:r w:rsidRPr="008E1809">
        <w:rPr>
          <w:rFonts w:ascii="Verdana" w:hAnsi="Verdana"/>
          <w:spacing w:val="-15"/>
        </w:rPr>
        <w:t xml:space="preserve"> </w:t>
      </w:r>
      <w:r w:rsidRPr="008E1809">
        <w:rPr>
          <w:rFonts w:ascii="Verdana" w:hAnsi="Verdana"/>
        </w:rPr>
        <w:t>para</w:t>
      </w:r>
      <w:r w:rsidRPr="008E1809">
        <w:rPr>
          <w:rFonts w:ascii="Verdana" w:hAnsi="Verdana"/>
          <w:spacing w:val="-15"/>
        </w:rPr>
        <w:t xml:space="preserve"> </w:t>
      </w:r>
      <w:r w:rsidRPr="008E1809">
        <w:rPr>
          <w:rFonts w:ascii="Verdana" w:hAnsi="Verdana"/>
        </w:rPr>
        <w:t>recibir</w:t>
      </w:r>
      <w:r w:rsidRPr="008E1809">
        <w:rPr>
          <w:rFonts w:ascii="Verdana" w:hAnsi="Verdana"/>
          <w:spacing w:val="-14"/>
        </w:rPr>
        <w:t xml:space="preserve"> </w:t>
      </w:r>
      <w:r w:rsidRPr="008E1809">
        <w:rPr>
          <w:rFonts w:ascii="Verdana" w:hAnsi="Verdana"/>
        </w:rPr>
        <w:t>ofertas</w:t>
      </w:r>
      <w:r w:rsidRPr="008E1809">
        <w:rPr>
          <w:rFonts w:ascii="Verdana" w:hAnsi="Verdana"/>
          <w:spacing w:val="-15"/>
        </w:rPr>
        <w:t xml:space="preserve"> </w:t>
      </w:r>
      <w:r w:rsidRPr="008E1809">
        <w:rPr>
          <w:rFonts w:ascii="Verdana" w:hAnsi="Verdana"/>
        </w:rPr>
        <w:t>de</w:t>
      </w:r>
      <w:r w:rsidRPr="008E1809">
        <w:rPr>
          <w:rFonts w:ascii="Verdana" w:hAnsi="Verdana"/>
          <w:spacing w:val="-15"/>
        </w:rPr>
        <w:t xml:space="preserve"> </w:t>
      </w:r>
      <w:r w:rsidRPr="008E1809">
        <w:rPr>
          <w:rFonts w:ascii="Verdana" w:hAnsi="Verdana"/>
        </w:rPr>
        <w:t>bienes</w:t>
      </w:r>
      <w:r w:rsidRPr="008E1809">
        <w:rPr>
          <w:rFonts w:ascii="Verdana" w:hAnsi="Verdana"/>
          <w:spacing w:val="-15"/>
        </w:rPr>
        <w:t xml:space="preserve"> </w:t>
      </w:r>
      <w:r w:rsidRPr="008E1809">
        <w:rPr>
          <w:rFonts w:ascii="Verdana" w:hAnsi="Verdana"/>
        </w:rPr>
        <w:t>o</w:t>
      </w:r>
      <w:r w:rsidRPr="008E1809">
        <w:rPr>
          <w:rFonts w:ascii="Verdana" w:hAnsi="Verdana"/>
          <w:spacing w:val="-14"/>
        </w:rPr>
        <w:t xml:space="preserve"> </w:t>
      </w:r>
      <w:r w:rsidRPr="008E1809">
        <w:rPr>
          <w:rFonts w:ascii="Verdana" w:hAnsi="Verdana"/>
        </w:rPr>
        <w:t>servicios</w:t>
      </w:r>
      <w:r w:rsidRPr="008E1809">
        <w:rPr>
          <w:rFonts w:ascii="Verdana" w:hAnsi="Verdana"/>
          <w:spacing w:val="-59"/>
        </w:rPr>
        <w:t xml:space="preserve"> </w:t>
      </w:r>
      <w:r w:rsidRPr="008E1809">
        <w:rPr>
          <w:rFonts w:ascii="Verdana" w:hAnsi="Verdana"/>
        </w:rPr>
        <w:t>cuyo valor no excede el diez por ciento –10%– de la menor cuantía. Fue creada por el</w:t>
      </w:r>
      <w:r w:rsidRPr="008E1809">
        <w:rPr>
          <w:rFonts w:ascii="Verdana" w:hAnsi="Verdana"/>
          <w:spacing w:val="1"/>
        </w:rPr>
        <w:t xml:space="preserve"> </w:t>
      </w:r>
      <w:r w:rsidRPr="008E1809">
        <w:rPr>
          <w:rFonts w:ascii="Verdana" w:hAnsi="Verdana"/>
        </w:rPr>
        <w:t>artículo 274 de la Ley 1450 de 2011 y modificada por el artículo 94 de la Ley 1474 de</w:t>
      </w:r>
      <w:r w:rsidRPr="008E1809">
        <w:rPr>
          <w:rFonts w:ascii="Verdana" w:hAnsi="Verdana"/>
          <w:spacing w:val="1"/>
        </w:rPr>
        <w:t xml:space="preserve"> </w:t>
      </w:r>
      <w:r w:rsidRPr="008E1809">
        <w:rPr>
          <w:rFonts w:ascii="Verdana" w:hAnsi="Verdana"/>
        </w:rPr>
        <w:t>2011,</w:t>
      </w:r>
      <w:r w:rsidRPr="008E1809">
        <w:rPr>
          <w:rFonts w:ascii="Verdana" w:hAnsi="Verdana"/>
          <w:spacing w:val="1"/>
        </w:rPr>
        <w:t xml:space="preserve"> </w:t>
      </w:r>
      <w:r w:rsidRPr="008E1809">
        <w:rPr>
          <w:rFonts w:ascii="Verdana" w:hAnsi="Verdana"/>
        </w:rPr>
        <w:t>disponiendo</w:t>
      </w:r>
      <w:r w:rsidRPr="008E1809">
        <w:rPr>
          <w:rFonts w:ascii="Verdana" w:hAnsi="Verdana"/>
          <w:spacing w:val="1"/>
        </w:rPr>
        <w:t xml:space="preserve"> </w:t>
      </w:r>
      <w:r w:rsidRPr="008E1809">
        <w:rPr>
          <w:rFonts w:ascii="Verdana" w:hAnsi="Verdana"/>
        </w:rPr>
        <w:t>que</w:t>
      </w:r>
      <w:r w:rsidRPr="008E1809">
        <w:rPr>
          <w:rFonts w:ascii="Verdana" w:hAnsi="Verdana"/>
          <w:spacing w:val="1"/>
        </w:rPr>
        <w:t xml:space="preserve"> </w:t>
      </w:r>
      <w:r w:rsidRPr="008E1809">
        <w:rPr>
          <w:rFonts w:ascii="Verdana" w:hAnsi="Verdana"/>
        </w:rPr>
        <w:t>el</w:t>
      </w:r>
      <w:r w:rsidRPr="008E1809">
        <w:rPr>
          <w:rFonts w:ascii="Verdana" w:hAnsi="Verdana"/>
          <w:spacing w:val="1"/>
        </w:rPr>
        <w:t xml:space="preserve"> </w:t>
      </w:r>
      <w:r w:rsidRPr="008E1809">
        <w:rPr>
          <w:rFonts w:ascii="Verdana" w:hAnsi="Verdana"/>
        </w:rPr>
        <w:t>factor</w:t>
      </w:r>
      <w:r w:rsidRPr="008E1809">
        <w:rPr>
          <w:rFonts w:ascii="Verdana" w:hAnsi="Verdana"/>
          <w:spacing w:val="1"/>
        </w:rPr>
        <w:t xml:space="preserve"> </w:t>
      </w:r>
      <w:r w:rsidRPr="008E1809">
        <w:rPr>
          <w:rFonts w:ascii="Verdana" w:hAnsi="Verdana"/>
        </w:rPr>
        <w:t>determinante</w:t>
      </w:r>
      <w:r w:rsidRPr="008E1809">
        <w:rPr>
          <w:rFonts w:ascii="Verdana" w:hAnsi="Verdana"/>
          <w:spacing w:val="1"/>
        </w:rPr>
        <w:t xml:space="preserve"> </w:t>
      </w:r>
      <w:r w:rsidRPr="008E1809">
        <w:rPr>
          <w:rFonts w:ascii="Verdana" w:hAnsi="Verdana"/>
        </w:rPr>
        <w:t>para</w:t>
      </w:r>
      <w:r w:rsidRPr="008E1809">
        <w:rPr>
          <w:rFonts w:ascii="Verdana" w:hAnsi="Verdana"/>
          <w:spacing w:val="1"/>
        </w:rPr>
        <w:t xml:space="preserve"> </w:t>
      </w:r>
      <w:r w:rsidRPr="008E1809">
        <w:rPr>
          <w:rFonts w:ascii="Verdana" w:hAnsi="Verdana"/>
        </w:rPr>
        <w:t>adelantarla</w:t>
      </w:r>
      <w:r w:rsidRPr="008E1809">
        <w:rPr>
          <w:rFonts w:ascii="Verdana" w:hAnsi="Verdana"/>
          <w:spacing w:val="1"/>
        </w:rPr>
        <w:t xml:space="preserve"> </w:t>
      </w:r>
      <w:r w:rsidRPr="008E1809">
        <w:rPr>
          <w:rFonts w:ascii="Verdana" w:hAnsi="Verdana"/>
        </w:rPr>
        <w:t>es</w:t>
      </w:r>
      <w:r w:rsidRPr="008E1809">
        <w:rPr>
          <w:rFonts w:ascii="Verdana" w:hAnsi="Verdana"/>
          <w:spacing w:val="1"/>
        </w:rPr>
        <w:t xml:space="preserve"> </w:t>
      </w:r>
      <w:r w:rsidRPr="008E1809">
        <w:rPr>
          <w:rFonts w:ascii="Verdana" w:hAnsi="Verdana"/>
        </w:rPr>
        <w:t>el</w:t>
      </w:r>
      <w:r w:rsidRPr="008E1809">
        <w:rPr>
          <w:rFonts w:ascii="Verdana" w:hAnsi="Verdana"/>
          <w:spacing w:val="1"/>
        </w:rPr>
        <w:t xml:space="preserve"> </w:t>
      </w:r>
      <w:r w:rsidRPr="008E1809">
        <w:rPr>
          <w:rFonts w:ascii="Verdana" w:hAnsi="Verdana"/>
        </w:rPr>
        <w:t>valor</w:t>
      </w:r>
      <w:r w:rsidRPr="008E1809">
        <w:rPr>
          <w:rFonts w:ascii="Verdana" w:hAnsi="Verdana"/>
          <w:spacing w:val="1"/>
        </w:rPr>
        <w:t xml:space="preserve"> </w:t>
      </w:r>
      <w:r w:rsidRPr="008E1809">
        <w:rPr>
          <w:rFonts w:ascii="Verdana" w:hAnsi="Verdana"/>
        </w:rPr>
        <w:t>del</w:t>
      </w:r>
      <w:r w:rsidRPr="008E1809">
        <w:rPr>
          <w:rFonts w:ascii="Verdana" w:hAnsi="Verdana"/>
          <w:spacing w:val="1"/>
        </w:rPr>
        <w:t xml:space="preserve"> </w:t>
      </w:r>
      <w:r w:rsidRPr="008E1809">
        <w:rPr>
          <w:rFonts w:ascii="Verdana" w:hAnsi="Verdana"/>
        </w:rPr>
        <w:t>presupuesto oficial con independencia de su objeto. Por lo demás, como en este</w:t>
      </w:r>
      <w:r w:rsidRPr="008E1809">
        <w:rPr>
          <w:rFonts w:ascii="Verdana" w:hAnsi="Verdana"/>
          <w:spacing w:val="1"/>
        </w:rPr>
        <w:t xml:space="preserve"> </w:t>
      </w:r>
      <w:r w:rsidRPr="008E1809">
        <w:rPr>
          <w:rFonts w:ascii="Verdana" w:hAnsi="Verdana"/>
        </w:rPr>
        <w:t>procedimiento</w:t>
      </w:r>
      <w:r w:rsidRPr="008E1809">
        <w:rPr>
          <w:rFonts w:ascii="Verdana" w:hAnsi="Verdana"/>
          <w:spacing w:val="-9"/>
        </w:rPr>
        <w:t xml:space="preserve"> </w:t>
      </w:r>
      <w:r w:rsidRPr="008E1809">
        <w:rPr>
          <w:rFonts w:ascii="Verdana" w:hAnsi="Verdana"/>
        </w:rPr>
        <w:t>el</w:t>
      </w:r>
      <w:r w:rsidRPr="008E1809">
        <w:rPr>
          <w:rFonts w:ascii="Verdana" w:hAnsi="Verdana"/>
          <w:spacing w:val="-9"/>
        </w:rPr>
        <w:t xml:space="preserve"> </w:t>
      </w:r>
      <w:r w:rsidRPr="008E1809">
        <w:rPr>
          <w:rFonts w:ascii="Verdana" w:hAnsi="Verdana"/>
        </w:rPr>
        <w:t>contrato</w:t>
      </w:r>
      <w:r w:rsidRPr="008E1809">
        <w:rPr>
          <w:rFonts w:ascii="Verdana" w:hAnsi="Verdana"/>
          <w:spacing w:val="-9"/>
        </w:rPr>
        <w:t xml:space="preserve"> </w:t>
      </w:r>
      <w:r w:rsidRPr="008E1809">
        <w:rPr>
          <w:rFonts w:ascii="Verdana" w:hAnsi="Verdana"/>
        </w:rPr>
        <w:t>se</w:t>
      </w:r>
      <w:r w:rsidRPr="008E1809">
        <w:rPr>
          <w:rFonts w:ascii="Verdana" w:hAnsi="Verdana"/>
          <w:spacing w:val="-9"/>
        </w:rPr>
        <w:t xml:space="preserve"> </w:t>
      </w:r>
      <w:r w:rsidRPr="008E1809">
        <w:rPr>
          <w:rFonts w:ascii="Verdana" w:hAnsi="Verdana"/>
        </w:rPr>
        <w:t>perfecciona</w:t>
      </w:r>
      <w:r w:rsidRPr="008E1809">
        <w:rPr>
          <w:rFonts w:ascii="Verdana" w:hAnsi="Verdana"/>
          <w:spacing w:val="-8"/>
        </w:rPr>
        <w:t xml:space="preserve"> </w:t>
      </w:r>
      <w:r w:rsidRPr="008E1809">
        <w:rPr>
          <w:rFonts w:ascii="Verdana" w:hAnsi="Verdana"/>
        </w:rPr>
        <w:t>con</w:t>
      </w:r>
      <w:r w:rsidRPr="008E1809">
        <w:rPr>
          <w:rFonts w:ascii="Verdana" w:hAnsi="Verdana"/>
          <w:spacing w:val="-9"/>
        </w:rPr>
        <w:t xml:space="preserve"> </w:t>
      </w:r>
      <w:r w:rsidRPr="008E1809">
        <w:rPr>
          <w:rFonts w:ascii="Verdana" w:hAnsi="Verdana"/>
        </w:rPr>
        <w:t>la</w:t>
      </w:r>
      <w:r w:rsidRPr="008E1809">
        <w:rPr>
          <w:rFonts w:ascii="Verdana" w:hAnsi="Verdana"/>
          <w:spacing w:val="-9"/>
        </w:rPr>
        <w:t xml:space="preserve"> </w:t>
      </w:r>
      <w:r w:rsidRPr="008E1809">
        <w:rPr>
          <w:rFonts w:ascii="Verdana" w:hAnsi="Verdana"/>
        </w:rPr>
        <w:t>aceptación</w:t>
      </w:r>
      <w:r w:rsidRPr="008E1809">
        <w:rPr>
          <w:rFonts w:ascii="Verdana" w:hAnsi="Verdana"/>
          <w:spacing w:val="-8"/>
        </w:rPr>
        <w:t xml:space="preserve"> </w:t>
      </w:r>
      <w:r w:rsidRPr="008E1809">
        <w:rPr>
          <w:rFonts w:ascii="Verdana" w:hAnsi="Verdana"/>
        </w:rPr>
        <w:t>de</w:t>
      </w:r>
      <w:r w:rsidRPr="008E1809">
        <w:rPr>
          <w:rFonts w:ascii="Verdana" w:hAnsi="Verdana"/>
          <w:spacing w:val="-9"/>
        </w:rPr>
        <w:t xml:space="preserve"> </w:t>
      </w:r>
      <w:r w:rsidRPr="008E1809">
        <w:rPr>
          <w:rFonts w:ascii="Verdana" w:hAnsi="Verdana"/>
        </w:rPr>
        <w:t>la</w:t>
      </w:r>
      <w:r w:rsidRPr="008E1809">
        <w:rPr>
          <w:rFonts w:ascii="Verdana" w:hAnsi="Verdana"/>
          <w:spacing w:val="-9"/>
        </w:rPr>
        <w:t xml:space="preserve"> </w:t>
      </w:r>
      <w:r w:rsidRPr="008E1809">
        <w:rPr>
          <w:rFonts w:ascii="Verdana" w:hAnsi="Verdana"/>
        </w:rPr>
        <w:t>oferta,</w:t>
      </w:r>
      <w:r w:rsidRPr="008E1809">
        <w:rPr>
          <w:rFonts w:ascii="Verdana" w:hAnsi="Verdana"/>
          <w:spacing w:val="-9"/>
        </w:rPr>
        <w:t xml:space="preserve"> </w:t>
      </w:r>
      <w:r w:rsidRPr="008E1809">
        <w:rPr>
          <w:rFonts w:ascii="Verdana" w:hAnsi="Verdana"/>
        </w:rPr>
        <w:t>se</w:t>
      </w:r>
      <w:r w:rsidRPr="008E1809">
        <w:rPr>
          <w:rFonts w:ascii="Verdana" w:hAnsi="Verdana"/>
          <w:spacing w:val="-10"/>
        </w:rPr>
        <w:t xml:space="preserve"> </w:t>
      </w:r>
      <w:r w:rsidRPr="008E1809">
        <w:rPr>
          <w:rFonts w:ascii="Verdana" w:hAnsi="Verdana"/>
        </w:rPr>
        <w:t>considera</w:t>
      </w:r>
      <w:r w:rsidRPr="008E1809">
        <w:rPr>
          <w:rFonts w:ascii="Verdana" w:hAnsi="Verdana"/>
          <w:spacing w:val="-9"/>
        </w:rPr>
        <w:t xml:space="preserve"> </w:t>
      </w:r>
      <w:r w:rsidRPr="008E1809">
        <w:rPr>
          <w:rFonts w:ascii="Verdana" w:hAnsi="Verdana"/>
        </w:rPr>
        <w:t>un</w:t>
      </w:r>
      <w:r w:rsidRPr="008E1809">
        <w:rPr>
          <w:rFonts w:ascii="Verdana" w:hAnsi="Verdana"/>
          <w:spacing w:val="-58"/>
        </w:rPr>
        <w:t xml:space="preserve"> </w:t>
      </w:r>
      <w:r w:rsidRPr="008E1809">
        <w:rPr>
          <w:rFonts w:ascii="Verdana" w:hAnsi="Verdana"/>
        </w:rPr>
        <w:t>sucedáneo</w:t>
      </w:r>
      <w:r w:rsidRPr="008E1809">
        <w:rPr>
          <w:rFonts w:ascii="Verdana" w:hAnsi="Verdana"/>
          <w:spacing w:val="-2"/>
        </w:rPr>
        <w:t xml:space="preserve"> </w:t>
      </w:r>
      <w:r w:rsidRPr="008E1809">
        <w:rPr>
          <w:rFonts w:ascii="Verdana" w:hAnsi="Verdana"/>
        </w:rPr>
        <w:t>de</w:t>
      </w:r>
      <w:r w:rsidRPr="008E1809">
        <w:rPr>
          <w:rFonts w:ascii="Verdana" w:hAnsi="Verdana"/>
          <w:spacing w:val="-2"/>
        </w:rPr>
        <w:t xml:space="preserve"> </w:t>
      </w:r>
      <w:r w:rsidRPr="008E1809">
        <w:rPr>
          <w:rFonts w:ascii="Verdana" w:hAnsi="Verdana"/>
        </w:rPr>
        <w:t>los</w:t>
      </w:r>
      <w:r w:rsidRPr="008E1809">
        <w:rPr>
          <w:rFonts w:ascii="Verdana" w:hAnsi="Verdana"/>
          <w:spacing w:val="-1"/>
        </w:rPr>
        <w:t xml:space="preserve"> </w:t>
      </w:r>
      <w:r w:rsidRPr="008E1809">
        <w:rPr>
          <w:rFonts w:ascii="Verdana" w:hAnsi="Verdana"/>
        </w:rPr>
        <w:t>denominados</w:t>
      </w:r>
      <w:r w:rsidRPr="008E1809">
        <w:rPr>
          <w:rFonts w:ascii="Verdana" w:hAnsi="Verdana"/>
          <w:spacing w:val="-2"/>
        </w:rPr>
        <w:t xml:space="preserve"> </w:t>
      </w:r>
      <w:r>
        <w:rPr>
          <w:rFonts w:ascii="Verdana" w:hAnsi="Verdana"/>
        </w:rPr>
        <w:t>“</w:t>
      </w:r>
      <w:r w:rsidRPr="008E1809">
        <w:rPr>
          <w:rFonts w:ascii="Verdana" w:hAnsi="Verdana"/>
        </w:rPr>
        <w:t>contratos</w:t>
      </w:r>
      <w:r w:rsidRPr="008E1809">
        <w:rPr>
          <w:rFonts w:ascii="Verdana" w:hAnsi="Verdana"/>
          <w:spacing w:val="-1"/>
        </w:rPr>
        <w:t xml:space="preserve"> </w:t>
      </w:r>
      <w:r w:rsidRPr="008E1809">
        <w:rPr>
          <w:rFonts w:ascii="Verdana" w:hAnsi="Verdana"/>
        </w:rPr>
        <w:t>sin</w:t>
      </w:r>
      <w:r w:rsidRPr="008E1809">
        <w:rPr>
          <w:rFonts w:ascii="Verdana" w:hAnsi="Verdana"/>
          <w:spacing w:val="-2"/>
        </w:rPr>
        <w:t xml:space="preserve"> </w:t>
      </w:r>
      <w:r w:rsidRPr="008E1809">
        <w:rPr>
          <w:rFonts w:ascii="Verdana" w:hAnsi="Verdana"/>
        </w:rPr>
        <w:t>formalidades</w:t>
      </w:r>
      <w:r w:rsidRPr="008E1809">
        <w:rPr>
          <w:rFonts w:ascii="Verdana" w:hAnsi="Verdana"/>
          <w:spacing w:val="-1"/>
        </w:rPr>
        <w:t xml:space="preserve"> </w:t>
      </w:r>
      <w:r w:rsidRPr="008E1809">
        <w:rPr>
          <w:rFonts w:ascii="Verdana" w:hAnsi="Verdana"/>
        </w:rPr>
        <w:t>plenas</w:t>
      </w:r>
      <w:r>
        <w:rPr>
          <w:rFonts w:ascii="Verdana" w:hAnsi="Verdana"/>
        </w:rPr>
        <w:t>”</w:t>
      </w:r>
      <w:r>
        <w:rPr>
          <w:rStyle w:val="Refdenotaalpie"/>
          <w:rFonts w:ascii="Verdana" w:hAnsi="Verdana"/>
        </w:rPr>
        <w:footnoteReference w:id="8"/>
      </w:r>
      <w:r w:rsidRPr="008E1809">
        <w:rPr>
          <w:rFonts w:ascii="Verdana" w:hAnsi="Verdana"/>
        </w:rPr>
        <w:t>.</w:t>
      </w:r>
    </w:p>
    <w:p w14:paraId="619D32C3" w14:textId="77777777" w:rsidR="00610B93" w:rsidRDefault="00610B93" w:rsidP="00610B93">
      <w:pPr>
        <w:pStyle w:val="Textoindependiente"/>
        <w:ind w:firstLine="709"/>
        <w:jc w:val="both"/>
        <w:rPr>
          <w:rFonts w:ascii="Verdana" w:hAnsi="Verdana"/>
        </w:rPr>
      </w:pPr>
      <w:r>
        <w:rPr>
          <w:rFonts w:ascii="Verdana" w:hAnsi="Verdana"/>
        </w:rPr>
        <w:t xml:space="preserve">Para la estimación de la menor cuantía, así como para calcular diez por ciento –10%– de la mínima cuantía, es necesario el dato del salario mínimo legal mensual vigente. El artículo 1 del </w:t>
      </w:r>
      <w:r w:rsidRPr="00CF43AF">
        <w:rPr>
          <w:rFonts w:ascii="Verdana" w:hAnsi="Verdana"/>
        </w:rPr>
        <w:t>Decreto 1469 de 2025</w:t>
      </w:r>
      <w:r>
        <w:rPr>
          <w:rFonts w:ascii="Verdana" w:hAnsi="Verdana"/>
        </w:rPr>
        <w:t xml:space="preserve"> fijó dicho valor por la suma de </w:t>
      </w:r>
      <w:r w:rsidRPr="00CF43AF">
        <w:rPr>
          <w:rFonts w:ascii="Verdana" w:hAnsi="Verdana"/>
        </w:rPr>
        <w:t>$1.750.905</w:t>
      </w:r>
      <w:r>
        <w:rPr>
          <w:rFonts w:ascii="Verdana" w:hAnsi="Verdana"/>
        </w:rPr>
        <w:t xml:space="preserve"> para el 2026. Sin embargo, la Subsección A de la Sección Segunda del Consejo de Estado –mediante Auto del 12 de febrero de 2026 con ponencia del Consejero </w:t>
      </w:r>
      <w:r w:rsidRPr="00977A26">
        <w:rPr>
          <w:rFonts w:ascii="Verdana" w:hAnsi="Verdana"/>
        </w:rPr>
        <w:t>Juan Camilo Morales Trujillo</w:t>
      </w:r>
      <w:r>
        <w:rPr>
          <w:rFonts w:ascii="Verdana" w:hAnsi="Verdana"/>
        </w:rPr>
        <w:t xml:space="preserve">– suspendió provisionalmente el mencionado acto administrativo. Por ello, ordenó a las entidades demandadas que “[…] </w:t>
      </w:r>
      <w:r w:rsidRPr="00977A26">
        <w:rPr>
          <w:rFonts w:ascii="Verdana" w:hAnsi="Verdana"/>
        </w:rPr>
        <w:t xml:space="preserve">dentro de los ocho (8) días calendario contados a partir del día siguiente a la notificación de esta providencia, realicen, expidan y publiquen un decreto en el que se fije el porcentaje transitorio de aumento del </w:t>
      </w:r>
      <w:r w:rsidRPr="00977A26">
        <w:rPr>
          <w:rFonts w:ascii="Verdana" w:hAnsi="Verdana"/>
        </w:rPr>
        <w:lastRenderedPageBreak/>
        <w:t>salario mínimo legal para el año 2026 y el consecuente valor total del mismo para esta vigencia, que regirá hasta tanto se dicte sentencia en el proceso</w:t>
      </w:r>
      <w:r>
        <w:rPr>
          <w:rFonts w:ascii="Verdana" w:hAnsi="Verdana"/>
        </w:rPr>
        <w:t>”</w:t>
      </w:r>
      <w:r w:rsidRPr="00977A26">
        <w:rPr>
          <w:rFonts w:ascii="Verdana" w:hAnsi="Verdana"/>
        </w:rPr>
        <w:t>.</w:t>
      </w:r>
    </w:p>
    <w:p w14:paraId="66B14AC3" w14:textId="77777777" w:rsidR="00610B93" w:rsidRDefault="00610B93" w:rsidP="00610B93">
      <w:pPr>
        <w:pStyle w:val="Textoindependiente"/>
        <w:ind w:firstLine="709"/>
        <w:jc w:val="both"/>
        <w:rPr>
          <w:rFonts w:ascii="Verdana" w:hAnsi="Verdana"/>
        </w:rPr>
      </w:pPr>
      <w:r>
        <w:rPr>
          <w:rFonts w:ascii="Verdana" w:hAnsi="Verdana"/>
        </w:rPr>
        <w:t>Ahora bien, el numeral cuarto de la providencia judicial precisó lo siguiente: “</w:t>
      </w:r>
      <w:r w:rsidRPr="006E56BD">
        <w:rPr>
          <w:rFonts w:ascii="Verdana" w:hAnsi="Verdana"/>
          <w:b/>
          <w:bCs/>
        </w:rPr>
        <w:t>DIFERIR</w:t>
      </w:r>
      <w:r w:rsidRPr="006E56BD">
        <w:rPr>
          <w:rFonts w:ascii="Verdana" w:hAnsi="Verdana"/>
        </w:rPr>
        <w:t xml:space="preserve"> los efectos de la suspensión provisional, que se hará efectiva únicamente a partir de la fecha en que se publique el decreto de que trata el numeral anterior mediante el cual se determine la cifra transitoria. </w:t>
      </w:r>
      <w:r w:rsidRPr="006E56BD">
        <w:rPr>
          <w:rFonts w:ascii="Verdana" w:hAnsi="Verdana"/>
          <w:i/>
          <w:iCs/>
        </w:rPr>
        <w:t>Durante el lapso comprendido entre la notificación de esta providencia y la fecha de publicación del referido acto administrativo, el valor del salario mínimo para la vigencia 2026 seguirá correspondiendo al establecido en el Decreto 1469 de 2025</w:t>
      </w:r>
      <w:r>
        <w:rPr>
          <w:rFonts w:ascii="Verdana" w:hAnsi="Verdana"/>
        </w:rPr>
        <w:t xml:space="preserve">” (Cursivas fuera de texto). Esto significa que, durante el mencionado periodo, la suma de </w:t>
      </w:r>
      <w:r w:rsidRPr="00CF43AF">
        <w:rPr>
          <w:rFonts w:ascii="Verdana" w:hAnsi="Verdana"/>
        </w:rPr>
        <w:t>$1.750.905</w:t>
      </w:r>
      <w:r>
        <w:rPr>
          <w:rFonts w:ascii="Verdana" w:hAnsi="Verdana"/>
        </w:rPr>
        <w:t xml:space="preserve"> fue el salario mínimo mensual vigente para todos los efectos legales, lo que incluye también la influencia de este valor en el cálculo de la menor y mínima cuantía para efectos de la contratación de las entidades sometidas a la Ley 80 de 1993.</w:t>
      </w:r>
    </w:p>
    <w:p w14:paraId="3A8E1892" w14:textId="77777777" w:rsidR="00610B93" w:rsidRPr="000933C7" w:rsidRDefault="00610B93" w:rsidP="00610B93">
      <w:pPr>
        <w:pStyle w:val="Textoindependiente"/>
        <w:ind w:firstLine="709"/>
        <w:jc w:val="both"/>
        <w:rPr>
          <w:rFonts w:ascii="Verdana" w:hAnsi="Verdana"/>
        </w:rPr>
      </w:pPr>
      <w:r>
        <w:rPr>
          <w:rFonts w:ascii="Verdana" w:hAnsi="Verdana"/>
        </w:rPr>
        <w:t xml:space="preserve">Por lo demás, el artículo 1 del Decreto 159 de 2026 –acto administrativo expedido por el Gobierno Nacional conforme a lo ordenado por el máximo órgano de la jurisdicción contenciosa administrativa– mantuvo la suma de </w:t>
      </w:r>
      <w:r w:rsidRPr="00CF43AF">
        <w:rPr>
          <w:rFonts w:ascii="Verdana" w:hAnsi="Verdana"/>
        </w:rPr>
        <w:t>$1.750.905</w:t>
      </w:r>
      <w:r>
        <w:rPr>
          <w:rFonts w:ascii="Verdana" w:hAnsi="Verdana"/>
        </w:rPr>
        <w:t xml:space="preserve"> con valor del salario mínimo legal mensual para el 2026. Luego, dicha cifra continúa siendo la base para estimar el monto de la menor cuantía en función del presupuesto oficial y, a partir de allí, calcular el diez por ciento –10%– de la mínima cuantía: para lo que no esté dentro de los umbrales correspondientes a alguna de estas dos (2) modalidades de selección, debe aplicarse la regla del inciso primero del artículo 2.1 de la Ley 1150 de 2007; razón por la cual, “</w:t>
      </w:r>
      <w:r w:rsidRPr="000933C7">
        <w:rPr>
          <w:rFonts w:ascii="Verdana" w:hAnsi="Verdana"/>
        </w:rPr>
        <w:t>La escogencia del contratista se efectuará por regla general a través de licitación pública, con las excepciones que se señalan en los numerales 2, 3 y 4 del presente artículo</w:t>
      </w:r>
      <w:r>
        <w:rPr>
          <w:rFonts w:ascii="Verdana" w:hAnsi="Verdana"/>
        </w:rPr>
        <w:t>”</w:t>
      </w:r>
      <w:r w:rsidRPr="000933C7">
        <w:rPr>
          <w:rFonts w:ascii="Verdana" w:hAnsi="Verdana"/>
        </w:rPr>
        <w:t>.</w:t>
      </w:r>
    </w:p>
    <w:p w14:paraId="78516AEF" w14:textId="77777777" w:rsidR="00610B93" w:rsidRDefault="00610B93" w:rsidP="00610B93">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w:t>
      </w:r>
      <w:r w:rsidRPr="006539F8">
        <w:rPr>
          <w:rFonts w:ascii="Verdana" w:hAnsi="Verdana" w:cs="Arial"/>
          <w:lang w:eastAsia="es-ES"/>
        </w:rPr>
        <w:lastRenderedPageBreak/>
        <w:t>disciplinarias.</w:t>
      </w:r>
    </w:p>
    <w:p w14:paraId="6680411E" w14:textId="77777777" w:rsidR="00610B93" w:rsidRPr="00301910" w:rsidRDefault="00610B93" w:rsidP="00610B93">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614F041F" w14:textId="77777777" w:rsidR="00610B93" w:rsidRPr="00182C89" w:rsidRDefault="00610B93" w:rsidP="00610B93">
      <w:pPr>
        <w:tabs>
          <w:tab w:val="left" w:pos="709"/>
        </w:tabs>
        <w:spacing w:after="0" w:line="276" w:lineRule="auto"/>
        <w:jc w:val="both"/>
        <w:rPr>
          <w:rFonts w:ascii="Verdana" w:eastAsia="Calibri" w:hAnsi="Verdana" w:cs="Arial"/>
          <w:color w:val="000000" w:themeColor="text1"/>
        </w:rPr>
      </w:pPr>
    </w:p>
    <w:p w14:paraId="2F5E0C81" w14:textId="77777777" w:rsidR="00610B93" w:rsidRPr="00AE65D5" w:rsidRDefault="00610B93" w:rsidP="00610B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6127247" w14:textId="77777777" w:rsidR="00610B93" w:rsidRPr="00593A5F" w:rsidRDefault="00610B93" w:rsidP="00610B9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0B93" w:rsidRPr="002407CE" w14:paraId="6AF3B55B" w14:textId="77777777" w:rsidTr="004456BD">
        <w:trPr>
          <w:trHeight w:val="870"/>
          <w:jc w:val="center"/>
        </w:trPr>
        <w:tc>
          <w:tcPr>
            <w:tcW w:w="8647" w:type="dxa"/>
          </w:tcPr>
          <w:p w14:paraId="4CB6D739" w14:textId="77777777" w:rsidR="00610B93" w:rsidRDefault="00610B93" w:rsidP="004456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1D6B7FD9" w14:textId="77777777" w:rsidR="00610B93" w:rsidRPr="00F90929" w:rsidRDefault="00610B93" w:rsidP="004456B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F43AF">
              <w:rPr>
                <w:rFonts w:ascii="Verdana" w:hAnsi="Verdana"/>
              </w:rPr>
              <w:t>Decreto 1469 de 2025</w:t>
            </w:r>
            <w:r>
              <w:rPr>
                <w:rFonts w:ascii="Verdana" w:hAnsi="Verdana"/>
              </w:rPr>
              <w:t>, artículo 1.</w:t>
            </w:r>
          </w:p>
          <w:p w14:paraId="40146F04" w14:textId="77777777" w:rsidR="00610B93" w:rsidRPr="00F90929" w:rsidRDefault="00610B93" w:rsidP="004456B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rPr>
              <w:t>Decreto 159 de 2026, artículo 1.</w:t>
            </w:r>
          </w:p>
        </w:tc>
      </w:tr>
    </w:tbl>
    <w:p w14:paraId="22815A26" w14:textId="77777777" w:rsidR="00610B93" w:rsidRPr="002407CE" w:rsidRDefault="00610B93" w:rsidP="00610B93">
      <w:pPr>
        <w:widowControl w:val="0"/>
        <w:autoSpaceDE w:val="0"/>
        <w:autoSpaceDN w:val="0"/>
        <w:spacing w:after="0" w:line="276" w:lineRule="auto"/>
        <w:jc w:val="both"/>
        <w:rPr>
          <w:rFonts w:ascii="Verdana" w:hAnsi="Verdana" w:cs="Arial"/>
        </w:rPr>
      </w:pPr>
    </w:p>
    <w:p w14:paraId="576C2178" w14:textId="77777777" w:rsidR="00610B93" w:rsidRPr="00593A5F" w:rsidRDefault="00610B93" w:rsidP="00610B9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A4CE53D" w14:textId="77777777" w:rsidR="00610B93" w:rsidRPr="00593A5F" w:rsidRDefault="00610B93" w:rsidP="00610B93">
      <w:pPr>
        <w:widowControl w:val="0"/>
        <w:autoSpaceDE w:val="0"/>
        <w:autoSpaceDN w:val="0"/>
        <w:spacing w:after="0" w:line="276" w:lineRule="auto"/>
        <w:jc w:val="both"/>
        <w:rPr>
          <w:rFonts w:ascii="Verdana" w:hAnsi="Verdana" w:cs="Arial"/>
        </w:rPr>
      </w:pPr>
    </w:p>
    <w:p w14:paraId="23033D8A" w14:textId="77777777" w:rsidR="00610B93" w:rsidRPr="007E4299" w:rsidRDefault="00610B93" w:rsidP="00610B93">
      <w:pPr>
        <w:widowControl w:val="0"/>
        <w:autoSpaceDE w:val="0"/>
        <w:autoSpaceDN w:val="0"/>
        <w:spacing w:after="0" w:line="276" w:lineRule="auto"/>
        <w:jc w:val="both"/>
        <w:rPr>
          <w:rStyle w:val="normaltextrun"/>
          <w:rFonts w:ascii="Verdana" w:hAnsi="Verdana"/>
        </w:rPr>
      </w:pPr>
      <w:r>
        <w:rPr>
          <w:rFonts w:ascii="Verdana" w:eastAsia="Calibri" w:hAnsi="Verdana" w:cs="Arial"/>
          <w:shd w:val="clear" w:color="auto" w:fill="FFFFFF"/>
        </w:rPr>
        <w:t>E</w:t>
      </w:r>
      <w:r w:rsidRPr="00DD0AFF">
        <w:rPr>
          <w:rFonts w:ascii="Verdana" w:hAnsi="Verdana" w:cs="Arial"/>
          <w:shd w:val="clear" w:color="auto" w:fill="FFFFFF"/>
        </w:rPr>
        <w:t>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E5C8B95" w14:textId="77777777" w:rsidR="00610B93" w:rsidRPr="00096788" w:rsidRDefault="00610B93" w:rsidP="00610B93">
      <w:pPr>
        <w:widowControl w:val="0"/>
        <w:autoSpaceDE w:val="0"/>
        <w:autoSpaceDN w:val="0"/>
        <w:spacing w:after="0" w:line="276" w:lineRule="auto"/>
        <w:jc w:val="both"/>
        <w:rPr>
          <w:rFonts w:ascii="Verdana" w:hAnsi="Verdana" w:cs="Arial"/>
          <w:color w:val="000000" w:themeColor="text1"/>
          <w:shd w:val="clear" w:color="auto" w:fill="FFFFFF"/>
        </w:rPr>
      </w:pPr>
    </w:p>
    <w:p w14:paraId="4F63B2A9" w14:textId="77777777" w:rsidR="00610B93" w:rsidRDefault="00610B93" w:rsidP="00610B93">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3EC9EDF0" w14:textId="77777777" w:rsidR="00610B93" w:rsidRPr="009A385A" w:rsidRDefault="00610B93" w:rsidP="00610B93">
      <w:pPr>
        <w:spacing w:after="0"/>
        <w:jc w:val="both"/>
        <w:rPr>
          <w:rFonts w:ascii="Verdana" w:hAnsi="Verdana"/>
        </w:rPr>
      </w:pPr>
    </w:p>
    <w:p w14:paraId="63B9E348" w14:textId="77777777" w:rsidR="00610B93" w:rsidRDefault="00610B93" w:rsidP="00610B93">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 xml:space="preserve">mediante las cuales </w:t>
      </w:r>
      <w:r w:rsidRPr="009A385A">
        <w:rPr>
          <w:rFonts w:ascii="Verdana" w:hAnsi="Verdana"/>
          <w:b/>
          <w:bCs/>
        </w:rPr>
        <w:lastRenderedPageBreak/>
        <w:t>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6D512BDA" w14:textId="77777777" w:rsidR="00610B93" w:rsidRDefault="00610B93" w:rsidP="00610B93">
      <w:pPr>
        <w:spacing w:after="0"/>
        <w:jc w:val="both"/>
        <w:rPr>
          <w:rFonts w:ascii="Verdana" w:hAnsi="Verdana"/>
        </w:rPr>
      </w:pPr>
    </w:p>
    <w:p w14:paraId="5E0C3D35" w14:textId="77777777" w:rsidR="00610B93" w:rsidRPr="008E1CD7" w:rsidRDefault="00610B93" w:rsidP="00610B93">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6951391" w14:textId="77777777" w:rsidR="00610B93" w:rsidRDefault="00610B93" w:rsidP="00610B93">
      <w:pPr>
        <w:shd w:val="clear" w:color="auto" w:fill="FFFFFF"/>
        <w:spacing w:after="0" w:line="276" w:lineRule="auto"/>
        <w:jc w:val="both"/>
        <w:rPr>
          <w:rFonts w:ascii="Verdana" w:hAnsi="Verdana"/>
          <w:color w:val="000000"/>
          <w:u w:val="single"/>
        </w:rPr>
      </w:pPr>
    </w:p>
    <w:p w14:paraId="701C5812" w14:textId="77777777" w:rsidR="00610B93" w:rsidRPr="0038088D" w:rsidRDefault="00610B93" w:rsidP="00610B9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0A6BA5CD" w14:textId="77777777" w:rsidR="00610B93" w:rsidRPr="0038088D" w:rsidRDefault="00610B93" w:rsidP="00610B93">
      <w:pPr>
        <w:spacing w:after="0"/>
        <w:jc w:val="both"/>
        <w:rPr>
          <w:rFonts w:ascii="Verdana" w:hAnsi="Verdana"/>
        </w:rPr>
      </w:pPr>
    </w:p>
    <w:p w14:paraId="5EC4554E" w14:textId="77777777" w:rsidR="00610B93" w:rsidRPr="0038088D" w:rsidRDefault="00610B93" w:rsidP="00610B9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D097524" w14:textId="77777777" w:rsidR="00610B93" w:rsidRPr="0038088D" w:rsidRDefault="00610B93" w:rsidP="00610B9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5EDFBDD1" w14:textId="77777777" w:rsidR="00610B93" w:rsidRPr="0038088D" w:rsidRDefault="00610B93" w:rsidP="00610B9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4881EFAA" w14:textId="77777777" w:rsidR="00610B93" w:rsidRPr="0038088D" w:rsidRDefault="00610B93" w:rsidP="00610B9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3BD42673" w14:textId="77777777" w:rsidR="00610B93" w:rsidRPr="0038088D" w:rsidRDefault="00610B93" w:rsidP="00610B93">
      <w:pPr>
        <w:spacing w:after="0" w:line="240" w:lineRule="auto"/>
        <w:ind w:left="720"/>
        <w:jc w:val="both"/>
        <w:rPr>
          <w:rFonts w:ascii="Verdana" w:hAnsi="Verdana"/>
        </w:rPr>
      </w:pPr>
    </w:p>
    <w:p w14:paraId="54D3CD83" w14:textId="77777777" w:rsidR="00610B93" w:rsidRPr="0038088D" w:rsidRDefault="00610B93" w:rsidP="00610B93">
      <w:pPr>
        <w:spacing w:after="0" w:line="240" w:lineRule="auto"/>
        <w:rPr>
          <w:rFonts w:ascii="Verdana" w:hAnsi="Verdana"/>
        </w:rPr>
      </w:pPr>
      <w:r w:rsidRPr="0038088D">
        <w:rPr>
          <w:rFonts w:ascii="Verdana" w:hAnsi="Verdana"/>
        </w:rPr>
        <w:lastRenderedPageBreak/>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C7FFC38" w14:textId="77777777" w:rsidR="00610B93" w:rsidRPr="0038088D" w:rsidRDefault="00610B93" w:rsidP="00610B93">
      <w:pPr>
        <w:spacing w:after="0" w:line="240" w:lineRule="auto"/>
        <w:rPr>
          <w:rFonts w:ascii="Verdana" w:hAnsi="Verdana"/>
        </w:rPr>
      </w:pPr>
    </w:p>
    <w:p w14:paraId="34FBE42F" w14:textId="77777777" w:rsidR="00610B93" w:rsidRPr="0038088D" w:rsidRDefault="00610B93" w:rsidP="00610B9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E6DB1DF" w14:textId="77777777" w:rsidR="00610B93" w:rsidRPr="00116940" w:rsidRDefault="00610B93" w:rsidP="00610B93">
      <w:pPr>
        <w:spacing w:after="0" w:line="240" w:lineRule="auto"/>
        <w:jc w:val="both"/>
        <w:rPr>
          <w:rFonts w:ascii="Verdana" w:hAnsi="Verdana"/>
        </w:rPr>
      </w:pPr>
    </w:p>
    <w:p w14:paraId="114D86D7" w14:textId="77777777" w:rsidR="00610B93" w:rsidRPr="00116940" w:rsidRDefault="00610B93" w:rsidP="00610B9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63A9CE0" w14:textId="77777777" w:rsidR="00610B93" w:rsidRPr="00116940" w:rsidRDefault="00610B93" w:rsidP="00610B9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1A1351C" w14:textId="77777777" w:rsidR="00610B93" w:rsidRPr="00E22E6E" w:rsidRDefault="00610B93" w:rsidP="00610B9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07F570D" w14:textId="77777777" w:rsidR="00610B93" w:rsidRPr="009C4035" w:rsidRDefault="00610B93" w:rsidP="00610B9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03B6C82" w14:textId="77777777" w:rsidR="00610B93" w:rsidRPr="00593A5F" w:rsidRDefault="00610B93" w:rsidP="00610B9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2BE8873" w14:textId="77777777" w:rsidR="00610B93" w:rsidRPr="00593A5F" w:rsidRDefault="00610B93" w:rsidP="00610B93">
      <w:pPr>
        <w:widowControl w:val="0"/>
        <w:autoSpaceDE w:val="0"/>
        <w:autoSpaceDN w:val="0"/>
        <w:spacing w:after="0" w:line="276" w:lineRule="auto"/>
        <w:jc w:val="both"/>
        <w:rPr>
          <w:rFonts w:ascii="Verdana" w:hAnsi="Verdana" w:cs="Arial"/>
        </w:rPr>
      </w:pPr>
    </w:p>
    <w:p w14:paraId="228579B9" w14:textId="77777777" w:rsidR="00610B93" w:rsidRPr="00593A5F" w:rsidRDefault="00610B93" w:rsidP="00610B9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59B6ECB" w14:textId="1BCD093E" w:rsidR="00610B93" w:rsidRPr="00593A5F" w:rsidRDefault="00EB46D7" w:rsidP="00610B93">
      <w:pPr>
        <w:spacing w:line="276" w:lineRule="auto"/>
        <w:jc w:val="center"/>
        <w:rPr>
          <w:rFonts w:ascii="Verdana" w:hAnsi="Verdana" w:cs="Arial"/>
          <w:color w:val="000000"/>
          <w:lang w:val="es-ES_tradnl" w:eastAsia="es-CO"/>
        </w:rPr>
      </w:pPr>
      <w:r>
        <w:rPr>
          <w:noProof/>
        </w:rPr>
        <w:drawing>
          <wp:inline distT="0" distB="0" distL="0" distR="0" wp14:anchorId="23E84F24" wp14:editId="2230D3B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0B93" w:rsidRPr="00593A5F" w14:paraId="14161B09" w14:textId="77777777" w:rsidTr="004456BD">
        <w:trPr>
          <w:trHeight w:val="315"/>
        </w:trPr>
        <w:tc>
          <w:tcPr>
            <w:tcW w:w="893" w:type="dxa"/>
            <w:vAlign w:val="center"/>
            <w:hideMark/>
          </w:tcPr>
          <w:p w14:paraId="66F6519D" w14:textId="77777777" w:rsidR="00610B93" w:rsidRPr="003751C7" w:rsidRDefault="00610B93" w:rsidP="004456B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2A5D538" w14:textId="77777777" w:rsidR="00610B93" w:rsidRPr="00254A7A" w:rsidRDefault="00610B93" w:rsidP="004456B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EF18F5F" w14:textId="77777777" w:rsidR="00610B93" w:rsidRPr="00254A7A" w:rsidRDefault="00610B93" w:rsidP="004456B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10B93" w:rsidRPr="00593A5F" w14:paraId="4BE80276" w14:textId="77777777" w:rsidTr="004456BD">
        <w:trPr>
          <w:trHeight w:val="330"/>
        </w:trPr>
        <w:tc>
          <w:tcPr>
            <w:tcW w:w="893" w:type="dxa"/>
            <w:vAlign w:val="center"/>
            <w:hideMark/>
          </w:tcPr>
          <w:p w14:paraId="2F17F4EC" w14:textId="77777777" w:rsidR="00610B93" w:rsidRPr="003751C7" w:rsidRDefault="00610B93" w:rsidP="004456B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1BD49B" w14:textId="77777777" w:rsidR="00610B93" w:rsidRPr="00D54D3D" w:rsidRDefault="00610B93" w:rsidP="004456BD">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57B8141A" w14:textId="77777777" w:rsidR="00610B93" w:rsidRPr="00254A7A" w:rsidRDefault="00610B93" w:rsidP="004456BD">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610B93" w:rsidRPr="00593A5F" w14:paraId="0EC81B3D" w14:textId="77777777" w:rsidTr="004456BD">
        <w:trPr>
          <w:trHeight w:val="300"/>
        </w:trPr>
        <w:tc>
          <w:tcPr>
            <w:tcW w:w="893" w:type="dxa"/>
            <w:vAlign w:val="center"/>
          </w:tcPr>
          <w:p w14:paraId="1EB33A9E" w14:textId="77777777" w:rsidR="00610B93" w:rsidRPr="003751C7" w:rsidRDefault="00610B93" w:rsidP="004456B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CDC7964" w14:textId="77777777" w:rsidR="00610B93" w:rsidRPr="001133D2" w:rsidRDefault="00610B93" w:rsidP="004456BD">
            <w:pPr>
              <w:contextualSpacing/>
              <w:rPr>
                <w:rFonts w:ascii="Verdana" w:eastAsia="Calibri" w:hAnsi="Verdana" w:cs="Arial"/>
                <w:sz w:val="16"/>
                <w:szCs w:val="16"/>
                <w:lang w:val="es-ES" w:eastAsia="es-ES"/>
              </w:rPr>
            </w:pPr>
            <w:r w:rsidRPr="565FD971">
              <w:rPr>
                <w:rFonts w:ascii="Verdana" w:eastAsia="Calibri" w:hAnsi="Verdana" w:cs="Arial"/>
                <w:sz w:val="16"/>
                <w:szCs w:val="16"/>
                <w:lang w:val="es-ES" w:eastAsia="es-ES"/>
              </w:rPr>
              <w:t>Carolina Quintero Gacharná</w:t>
            </w:r>
          </w:p>
          <w:p w14:paraId="1129E1CC" w14:textId="77777777" w:rsidR="00610B93" w:rsidRPr="003751C7" w:rsidRDefault="00610B93" w:rsidP="004456BD">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2DC9BB9E" w14:textId="77777777" w:rsidR="00610B93" w:rsidRDefault="00610B93" w:rsidP="00610B93"/>
    <w:p w14:paraId="2F2F68AD" w14:textId="577B559A" w:rsidR="00610B93" w:rsidRPr="00543BFE" w:rsidRDefault="00610B93" w:rsidP="00610B93"/>
    <w:p w14:paraId="48CF8B3D" w14:textId="77777777" w:rsidR="00610B93" w:rsidRPr="00543BFE" w:rsidRDefault="00610B93" w:rsidP="00610B93"/>
    <w:p w14:paraId="0F293BF4" w14:textId="003C4560" w:rsidR="00127233" w:rsidRPr="00610B93" w:rsidRDefault="00127233" w:rsidP="00610B93"/>
    <w:sectPr w:rsidR="00127233" w:rsidRPr="00610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981F2" w14:textId="77777777" w:rsidR="00EF1305" w:rsidRDefault="00EF1305" w:rsidP="004A1847">
      <w:pPr>
        <w:spacing w:after="0" w:line="240" w:lineRule="auto"/>
      </w:pPr>
      <w:r>
        <w:separator/>
      </w:r>
    </w:p>
  </w:endnote>
  <w:endnote w:type="continuationSeparator" w:id="0">
    <w:p w14:paraId="1819DB5F" w14:textId="77777777" w:rsidR="00EF1305" w:rsidRDefault="00EF13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9802F" w14:textId="77777777" w:rsidR="00EF1305" w:rsidRDefault="00EF1305" w:rsidP="004A1847">
      <w:pPr>
        <w:spacing w:after="0" w:line="240" w:lineRule="auto"/>
      </w:pPr>
      <w:r>
        <w:separator/>
      </w:r>
    </w:p>
  </w:footnote>
  <w:footnote w:type="continuationSeparator" w:id="0">
    <w:p w14:paraId="7E8DF994" w14:textId="77777777" w:rsidR="00EF1305" w:rsidRDefault="00EF1305" w:rsidP="004A1847">
      <w:pPr>
        <w:spacing w:after="0" w:line="240" w:lineRule="auto"/>
      </w:pPr>
      <w:r>
        <w:continuationSeparator/>
      </w:r>
    </w:p>
  </w:footnote>
  <w:footnote w:id="1">
    <w:p w14:paraId="5B8C483F" w14:textId="77777777" w:rsidR="00610B93" w:rsidRPr="007D48B0" w:rsidRDefault="00610B93" w:rsidP="00610B93">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Al respecto, la jurisprudencia explica que la garantía del debido proceso </w:t>
      </w:r>
      <w:r>
        <w:rPr>
          <w:rFonts w:ascii="Verdana" w:hAnsi="Verdana" w:cs="Arial"/>
          <w:sz w:val="16"/>
          <w:szCs w:val="16"/>
        </w:rPr>
        <w:t>“</w:t>
      </w:r>
      <w:r w:rsidRPr="007D48B0">
        <w:rPr>
          <w:rFonts w:ascii="Verdana" w:hAnsi="Verdana" w:cs="Arial"/>
          <w:sz w:val="16"/>
          <w:szCs w:val="16"/>
        </w:rPr>
        <w:t>[…]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w:t>
      </w:r>
      <w:r>
        <w:rPr>
          <w:rFonts w:ascii="Verdana" w:hAnsi="Verdana" w:cs="Arial"/>
          <w:sz w:val="16"/>
          <w:szCs w:val="16"/>
        </w:rPr>
        <w:t>”</w:t>
      </w:r>
      <w:r w:rsidRPr="007D48B0">
        <w:rPr>
          <w:rFonts w:ascii="Verdana" w:hAnsi="Verdana" w:cs="Arial"/>
          <w:sz w:val="16"/>
          <w:szCs w:val="16"/>
        </w:rPr>
        <w:t xml:space="preserve"> (CONSEJO DE ESTADO. Sección Tercera. Sentencia del 23 de junio de 2010. Rad. 16.367. C.P. Enrique Gil Botero). </w:t>
      </w:r>
    </w:p>
  </w:footnote>
  <w:footnote w:id="2">
    <w:p w14:paraId="2FBC7054" w14:textId="77777777" w:rsidR="00610B93" w:rsidRPr="007D48B0" w:rsidRDefault="00610B93" w:rsidP="00610B93">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De hecho, en la exposición de motivos se explicó lo siguiente: </w:t>
      </w:r>
      <w:r>
        <w:rPr>
          <w:rFonts w:ascii="Verdana" w:hAnsi="Verdana" w:cs="Arial"/>
          <w:sz w:val="16"/>
          <w:szCs w:val="16"/>
        </w:rPr>
        <w:t>“</w:t>
      </w:r>
      <w:r w:rsidRPr="007D48B0">
        <w:rPr>
          <w:rFonts w:ascii="Verdana" w:hAnsi="Verdana" w:cs="Arial"/>
          <w:sz w:val="16"/>
          <w:szCs w:val="16"/>
        </w:rPr>
        <w:t>El proyecto mantiene como regla general la utilización de procedimientos reglados de selección objetiva del contratista [...], lo que afirma la ordenación que sobre la materia ha mantenido nuestra legislación desde el Código Fiscal de 1873 en cuanto que su justificación estriba, esencialmente, en los conceptos de seguridad, corrección y moralidad administrativas, así como en el principio de igualdad de oportunidades para que cualquier persona que esté en posibilidad de contratar con la administración tenga acceso a ella</w:t>
      </w:r>
      <w:r>
        <w:rPr>
          <w:rFonts w:ascii="Verdana" w:hAnsi="Verdana" w:cs="Arial"/>
          <w:sz w:val="16"/>
          <w:szCs w:val="16"/>
        </w:rPr>
        <w:t>”</w:t>
      </w:r>
      <w:r w:rsidRPr="007D48B0">
        <w:rPr>
          <w:rFonts w:ascii="Verdana" w:hAnsi="Verdana" w:cs="Arial"/>
          <w:sz w:val="16"/>
          <w:szCs w:val="16"/>
        </w:rPr>
        <w:t xml:space="preserve"> (</w:t>
      </w:r>
      <w:bookmarkStart w:id="4" w:name="_Hlk39067926"/>
      <w:r w:rsidRPr="007D48B0">
        <w:rPr>
          <w:rFonts w:ascii="Verdana" w:hAnsi="Verdana" w:cs="Arial"/>
          <w:sz w:val="16"/>
          <w:szCs w:val="16"/>
        </w:rPr>
        <w:t>CONGRESO DE LA REPÚBLICA. Exposición de motivos de la Ley 80 de 1993. Gaceta del Congreso No. 75 del 23 de septiembre de 1992</w:t>
      </w:r>
      <w:bookmarkEnd w:id="4"/>
      <w:r w:rsidRPr="007D48B0">
        <w:rPr>
          <w:rFonts w:ascii="Verdana" w:hAnsi="Verdana" w:cs="Arial"/>
          <w:sz w:val="16"/>
          <w:szCs w:val="16"/>
        </w:rPr>
        <w:t>).</w:t>
      </w:r>
    </w:p>
  </w:footnote>
  <w:footnote w:id="3">
    <w:p w14:paraId="6B2E1F61" w14:textId="77777777" w:rsidR="00610B93" w:rsidRPr="00480D85" w:rsidRDefault="00610B93" w:rsidP="00610B93">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El inciso primero de norma disponía que, conforme al principio de transparencia, “</w:t>
      </w:r>
      <w:r w:rsidRPr="00480D85">
        <w:rPr>
          <w:rFonts w:ascii="Verdana" w:hAnsi="Verdana" w:cs="Arial"/>
          <w:i/>
          <w:iCs/>
          <w:sz w:val="16"/>
          <w:szCs w:val="16"/>
        </w:rPr>
        <w:t>La escogencia del contratista se efectuará siempre a través de licitación o concurso públicos</w:t>
      </w:r>
      <w:r w:rsidRPr="00480D85">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6376B669" w14:textId="77777777" w:rsidR="00610B93" w:rsidRPr="00480D85" w:rsidRDefault="00610B93" w:rsidP="00610B93">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80D85">
        <w:rPr>
          <w:rFonts w:ascii="Verdana" w:hAnsi="Verdana" w:cs="Arial"/>
          <w:i/>
          <w:iCs/>
          <w:sz w:val="16"/>
          <w:szCs w:val="16"/>
        </w:rPr>
        <w:t>Presentación de la oferta de manera dinámica</w:t>
      </w:r>
      <w:r w:rsidRPr="00480D85">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5C40C2D1" w14:textId="77777777" w:rsidR="00610B93" w:rsidRPr="007D48B0" w:rsidRDefault="00610B93" w:rsidP="00610B93">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El numeral 2 del artículo 2 de la Ley 1150 de 2007 prescribe: </w:t>
      </w:r>
      <w:r>
        <w:rPr>
          <w:rFonts w:ascii="Verdana" w:hAnsi="Verdana" w:cs="Arial"/>
          <w:sz w:val="16"/>
          <w:szCs w:val="16"/>
        </w:rPr>
        <w:t>“</w:t>
      </w:r>
      <w:r w:rsidRPr="007D48B0">
        <w:rPr>
          <w:rFonts w:ascii="Verdana" w:hAnsi="Verdana" w:cs="Arial"/>
          <w:sz w:val="16"/>
          <w:szCs w:val="16"/>
        </w:rPr>
        <w:t>[…] Serán causales de selección abreviada las siguientes:</w:t>
      </w:r>
    </w:p>
    <w:p w14:paraId="3B7EC29D"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8FCD017"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65C7A7AB"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3778367F"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w:t>
      </w:r>
    </w:p>
    <w:p w14:paraId="19CF64C8"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4459FA70"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4AE973DA"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e) La enajenación de bienes del Estado, con excepción de aquellos a que se refiere la Ley 226 de 1995.</w:t>
      </w:r>
    </w:p>
    <w:p w14:paraId="790E51E0"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 xml:space="preserve">[…]; </w:t>
      </w:r>
    </w:p>
    <w:p w14:paraId="3567FCDB"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 xml:space="preserve">f) Productos de origen o destinación agropecuarios que se ofrezcan en las bolsas de productos legalmente constituidas; </w:t>
      </w:r>
    </w:p>
    <w:p w14:paraId="715C2869"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77872F97" w14:textId="77777777" w:rsidR="00610B93" w:rsidRPr="007D48B0"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8399FD4" w14:textId="77777777" w:rsidR="00610B93" w:rsidRDefault="00610B93" w:rsidP="00610B93">
      <w:pPr>
        <w:pStyle w:val="Textonotapie"/>
        <w:ind w:firstLine="708"/>
        <w:jc w:val="both"/>
        <w:rPr>
          <w:rFonts w:ascii="Verdana" w:hAnsi="Verdana" w:cs="Arial"/>
          <w:sz w:val="16"/>
          <w:szCs w:val="16"/>
        </w:rPr>
      </w:pPr>
      <w:r w:rsidRPr="007D48B0">
        <w:rPr>
          <w:rFonts w:ascii="Verdana" w:hAnsi="Verdana" w:cs="Arial"/>
          <w:sz w:val="16"/>
          <w:szCs w:val="16"/>
        </w:rPr>
        <w:t>i) La contratación de bienes y servicios que se requieran para la defensa y seguridad nacional</w:t>
      </w:r>
      <w:r>
        <w:rPr>
          <w:rFonts w:ascii="Verdana" w:hAnsi="Verdana" w:cs="Arial"/>
          <w:sz w:val="16"/>
          <w:szCs w:val="16"/>
        </w:rPr>
        <w:t>.</w:t>
      </w:r>
    </w:p>
    <w:p w14:paraId="75B5581C" w14:textId="77777777" w:rsidR="00610B93" w:rsidRPr="007D48B0" w:rsidRDefault="00610B93" w:rsidP="00610B93">
      <w:pPr>
        <w:pStyle w:val="Textonotapie"/>
        <w:ind w:firstLine="708"/>
        <w:jc w:val="both"/>
        <w:rPr>
          <w:rFonts w:ascii="Verdana" w:hAnsi="Verdana" w:cs="Arial"/>
          <w:sz w:val="16"/>
          <w:szCs w:val="16"/>
        </w:rPr>
      </w:pPr>
      <w:r>
        <w:rPr>
          <w:rFonts w:ascii="Verdana" w:hAnsi="Verdana" w:cs="Arial"/>
          <w:sz w:val="16"/>
          <w:szCs w:val="16"/>
        </w:rPr>
        <w:t xml:space="preserve">j) </w:t>
      </w:r>
      <w:r w:rsidRPr="000B48EE">
        <w:rPr>
          <w:rFonts w:ascii="Verdana" w:hAnsi="Verdana" w:cs="Arial"/>
          <w:sz w:val="16"/>
          <w:szCs w:val="16"/>
        </w:rPr>
        <w:t>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r>
        <w:rPr>
          <w:rFonts w:ascii="Verdana" w:hAnsi="Verdana" w:cs="Arial"/>
          <w:sz w:val="16"/>
          <w:szCs w:val="16"/>
        </w:rPr>
        <w:t>”</w:t>
      </w:r>
      <w:r w:rsidRPr="007D48B0">
        <w:rPr>
          <w:rFonts w:ascii="Verdana" w:hAnsi="Verdana" w:cs="Arial"/>
          <w:sz w:val="16"/>
          <w:szCs w:val="16"/>
        </w:rPr>
        <w:t>.</w:t>
      </w:r>
    </w:p>
  </w:footnote>
  <w:footnote w:id="6">
    <w:p w14:paraId="4902310B" w14:textId="77777777" w:rsidR="00610B93" w:rsidRPr="00E75013" w:rsidRDefault="00610B93" w:rsidP="00610B93">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CONGRESO DE LA REPÚBLICA. Exposición de motivos de la Ley 1150 de 2007. Gaceta del Congreso No. 458 del 1º de agosto de 2005. p. 8. </w:t>
      </w:r>
    </w:p>
  </w:footnote>
  <w:footnote w:id="7">
    <w:p w14:paraId="74204B09" w14:textId="77777777" w:rsidR="00610B93" w:rsidRPr="007D48B0" w:rsidRDefault="00610B93" w:rsidP="00610B93">
      <w:pPr>
        <w:pStyle w:val="Textonotapie"/>
        <w:ind w:firstLine="708"/>
        <w:jc w:val="both"/>
        <w:rPr>
          <w:rFonts w:ascii="Verdana" w:hAnsi="Verdana" w:cs="Arial"/>
          <w:sz w:val="16"/>
          <w:szCs w:val="16"/>
        </w:rPr>
      </w:pPr>
      <w:r w:rsidRPr="007D48B0">
        <w:rPr>
          <w:rStyle w:val="Refdenotaalpie"/>
          <w:rFonts w:ascii="Verdana" w:hAnsi="Verdana" w:cs="Arial"/>
          <w:sz w:val="16"/>
          <w:szCs w:val="16"/>
        </w:rPr>
        <w:footnoteRef/>
      </w:r>
      <w:r w:rsidRPr="007D48B0">
        <w:rPr>
          <w:rFonts w:ascii="Verdana" w:hAnsi="Verdana" w:cs="Arial"/>
          <w:sz w:val="16"/>
          <w:szCs w:val="16"/>
        </w:rPr>
        <w:t xml:space="preserve"> CONSEJO DE ESTADO. Sección Tercera. Subsección A. Sentencia del 23 de julio de 2015. Exp. 36.805. C. P. Hernán Andrade Rincón. </w:t>
      </w:r>
    </w:p>
  </w:footnote>
  <w:footnote w:id="8">
    <w:p w14:paraId="15EB8285" w14:textId="77777777" w:rsidR="00610B93" w:rsidRPr="008C4371" w:rsidRDefault="00610B93" w:rsidP="00610B93">
      <w:pPr>
        <w:pStyle w:val="Textonotapie"/>
        <w:ind w:firstLine="708"/>
        <w:jc w:val="both"/>
        <w:rPr>
          <w:rFonts w:ascii="Verdana" w:hAnsi="Verdana"/>
          <w:sz w:val="16"/>
          <w:szCs w:val="16"/>
        </w:rPr>
      </w:pPr>
      <w:r w:rsidRPr="008C4371">
        <w:rPr>
          <w:rStyle w:val="Refdenotaalpie"/>
          <w:rFonts w:ascii="Verdana" w:hAnsi="Verdana"/>
          <w:sz w:val="16"/>
          <w:szCs w:val="16"/>
        </w:rPr>
        <w:footnoteRef/>
      </w:r>
      <w:r w:rsidRPr="008C4371">
        <w:rPr>
          <w:rFonts w:ascii="Verdana" w:hAnsi="Verdana"/>
          <w:sz w:val="16"/>
          <w:szCs w:val="16"/>
        </w:rPr>
        <w:t xml:space="preserve"> Al respecto, la jurisprudencia explica que </w:t>
      </w:r>
      <w:r>
        <w:rPr>
          <w:rFonts w:ascii="Verdana" w:hAnsi="Verdana"/>
          <w:sz w:val="16"/>
          <w:szCs w:val="16"/>
        </w:rPr>
        <w:t>“</w:t>
      </w:r>
      <w:r w:rsidRPr="008C4371">
        <w:rPr>
          <w:rFonts w:ascii="Verdana" w:hAnsi="Verdana"/>
          <w:sz w:val="16"/>
          <w:szCs w:val="16"/>
        </w:rPr>
        <w:t>[…]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w:t>
      </w:r>
      <w:r>
        <w:rPr>
          <w:rFonts w:ascii="Verdana" w:hAnsi="Verdana"/>
          <w:sz w:val="16"/>
          <w:szCs w:val="16"/>
        </w:rPr>
        <w:t>”</w:t>
      </w:r>
      <w:r w:rsidRPr="008C4371">
        <w:rPr>
          <w:rFonts w:ascii="Verdana" w:hAnsi="Verdana"/>
          <w:sz w:val="16"/>
          <w:szCs w:val="16"/>
        </w:rPr>
        <w:t xml:space="preserve"> (CONSEJO DE ESTADO. Sección Tercera. Subsección A. Sentencia del 3 de octubre de 2012. Exp. 26.140.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C7B"/>
    <w:rsid w:val="0009162A"/>
    <w:rsid w:val="000A683E"/>
    <w:rsid w:val="000B19B9"/>
    <w:rsid w:val="000D0334"/>
    <w:rsid w:val="000D5DA7"/>
    <w:rsid w:val="000F6486"/>
    <w:rsid w:val="00116940"/>
    <w:rsid w:val="00125105"/>
    <w:rsid w:val="00127233"/>
    <w:rsid w:val="0014242F"/>
    <w:rsid w:val="0015699B"/>
    <w:rsid w:val="001A33BF"/>
    <w:rsid w:val="001E4177"/>
    <w:rsid w:val="001F0B24"/>
    <w:rsid w:val="001F7DC6"/>
    <w:rsid w:val="0022400B"/>
    <w:rsid w:val="002421BB"/>
    <w:rsid w:val="0025796E"/>
    <w:rsid w:val="002707A2"/>
    <w:rsid w:val="002951A0"/>
    <w:rsid w:val="002962BC"/>
    <w:rsid w:val="00297919"/>
    <w:rsid w:val="002A093D"/>
    <w:rsid w:val="002A0DD0"/>
    <w:rsid w:val="002A49AC"/>
    <w:rsid w:val="002A64FD"/>
    <w:rsid w:val="002B481A"/>
    <w:rsid w:val="002C7A84"/>
    <w:rsid w:val="002E2BF8"/>
    <w:rsid w:val="002E4FD9"/>
    <w:rsid w:val="002F482F"/>
    <w:rsid w:val="0030657A"/>
    <w:rsid w:val="00322A85"/>
    <w:rsid w:val="003235FC"/>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0B93"/>
    <w:rsid w:val="006200BF"/>
    <w:rsid w:val="006219F8"/>
    <w:rsid w:val="006302F7"/>
    <w:rsid w:val="00646B9F"/>
    <w:rsid w:val="00665D70"/>
    <w:rsid w:val="0068040F"/>
    <w:rsid w:val="006900D9"/>
    <w:rsid w:val="00694F06"/>
    <w:rsid w:val="00706C16"/>
    <w:rsid w:val="007340C3"/>
    <w:rsid w:val="0075132B"/>
    <w:rsid w:val="0075235A"/>
    <w:rsid w:val="00756841"/>
    <w:rsid w:val="00757D79"/>
    <w:rsid w:val="007649AB"/>
    <w:rsid w:val="00771D0C"/>
    <w:rsid w:val="007833AC"/>
    <w:rsid w:val="007A538A"/>
    <w:rsid w:val="007B268C"/>
    <w:rsid w:val="007B7171"/>
    <w:rsid w:val="007C0C0F"/>
    <w:rsid w:val="007C3DC2"/>
    <w:rsid w:val="007D1B48"/>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4955"/>
    <w:rsid w:val="009C71FA"/>
    <w:rsid w:val="009C72E7"/>
    <w:rsid w:val="009C7F7E"/>
    <w:rsid w:val="009D3058"/>
    <w:rsid w:val="009F3A13"/>
    <w:rsid w:val="00A122D3"/>
    <w:rsid w:val="00A14468"/>
    <w:rsid w:val="00A17F13"/>
    <w:rsid w:val="00A20739"/>
    <w:rsid w:val="00A23AF9"/>
    <w:rsid w:val="00A33C78"/>
    <w:rsid w:val="00A473F2"/>
    <w:rsid w:val="00A9075F"/>
    <w:rsid w:val="00AB0ADB"/>
    <w:rsid w:val="00B00C0E"/>
    <w:rsid w:val="00B01B1A"/>
    <w:rsid w:val="00B0381D"/>
    <w:rsid w:val="00B44A47"/>
    <w:rsid w:val="00B72CD3"/>
    <w:rsid w:val="00B72FFF"/>
    <w:rsid w:val="00B84F8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51E4"/>
    <w:rsid w:val="00D361FD"/>
    <w:rsid w:val="00D423A2"/>
    <w:rsid w:val="00D44E26"/>
    <w:rsid w:val="00D520D8"/>
    <w:rsid w:val="00D63AC2"/>
    <w:rsid w:val="00D7383B"/>
    <w:rsid w:val="00D7788A"/>
    <w:rsid w:val="00DA231B"/>
    <w:rsid w:val="00DC39FC"/>
    <w:rsid w:val="00DD0D55"/>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46D7"/>
    <w:rsid w:val="00EC38A7"/>
    <w:rsid w:val="00EE1AA8"/>
    <w:rsid w:val="00EF1305"/>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65FD971"/>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10B9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0B93"/>
    <w:rPr>
      <w:rFonts w:ascii="Geomanist Light" w:hAnsi="Geomanist Light"/>
      <w:lang w:val="es-ES"/>
    </w:rPr>
  </w:style>
  <w:style w:type="paragraph" w:styleId="Textoindependiente">
    <w:name w:val="Body Text"/>
    <w:basedOn w:val="Normal"/>
    <w:link w:val="TextoindependienteCar"/>
    <w:uiPriority w:val="99"/>
    <w:unhideWhenUsed/>
    <w:rsid w:val="00610B9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10B93"/>
    <w:rPr>
      <w:rFonts w:eastAsiaTheme="minorEastAsia"/>
      <w:lang w:eastAsia="es-CO"/>
    </w:rPr>
  </w:style>
  <w:style w:type="character" w:customStyle="1" w:styleId="s15">
    <w:name w:val="s15"/>
    <w:basedOn w:val="Fuentedeprrafopredeter"/>
    <w:rsid w:val="00610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525E8D-1484-4C8B-8978-6A9ECA7E15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15</Pages>
  <Words>4443</Words>
  <Characters>24217</Characters>
  <Application>Microsoft Office Word</Application>
  <DocSecurity>0</DocSecurity>
  <Lines>515</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2026-03-03T21:41:00Z</dcterms:created>
  <dcterms:modified xsi:type="dcterms:W3CDTF">2026-03-04T22:10:00Z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