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3724F3" w14:textId="77777777" w:rsidR="00D62793" w:rsidRPr="00647611" w:rsidRDefault="00D62793" w:rsidP="00D62793">
      <w:pPr>
        <w:spacing w:after="0" w:line="240" w:lineRule="auto"/>
        <w:jc w:val="both"/>
        <w:rPr>
          <w:rFonts w:ascii="Verdana" w:hAnsi="Verdana" w:cs="Arial"/>
          <w:b/>
          <w:lang w:val="es-MX" w:eastAsia="es-ES_tradnl"/>
        </w:rPr>
      </w:pPr>
      <w:bookmarkStart w:id="0" w:name="_Hlk143780582"/>
      <w:r w:rsidRPr="00647611">
        <w:rPr>
          <w:rFonts w:ascii="Verdana" w:hAnsi="Verdana" w:cs="Arial"/>
          <w:b/>
          <w:lang w:val="es-MX" w:eastAsia="es-ES_tradnl"/>
        </w:rPr>
        <w:t xml:space="preserve">LEY DE GARANTÍAS ELECTORALES – Prohibición artículo 33 – Contratación directa – Alcance </w:t>
      </w:r>
    </w:p>
    <w:p w14:paraId="639151D2" w14:textId="77777777" w:rsidR="00D62793" w:rsidRPr="00647611" w:rsidRDefault="00D62793" w:rsidP="00D62793">
      <w:pPr>
        <w:spacing w:after="0" w:line="240" w:lineRule="auto"/>
        <w:jc w:val="both"/>
        <w:rPr>
          <w:rFonts w:ascii="Verdana" w:hAnsi="Verdana" w:cs="Arial"/>
          <w:b/>
          <w:sz w:val="20"/>
          <w:szCs w:val="20"/>
          <w:lang w:val="es-MX" w:eastAsia="es-ES_tradnl"/>
        </w:rPr>
      </w:pPr>
    </w:p>
    <w:p w14:paraId="58FCD36F" w14:textId="77777777" w:rsidR="00D62793" w:rsidRPr="00647611" w:rsidRDefault="00D62793" w:rsidP="00D62793">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cualquier sistema que no implique convocatoria pública y posibilidad de pluralidad de oferentes</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647611">
        <w:rPr>
          <w:rFonts w:ascii="Verdana" w:eastAsia="Times New Roman" w:hAnsi="Verdana" w:cs="Arial"/>
          <w:sz w:val="20"/>
          <w:szCs w:val="20"/>
          <w:lang w:val="es-ES_tradnl" w:eastAsia="x-none"/>
        </w:rPr>
        <w:t>y la mínima cuantía</w:t>
      </w:r>
      <w:r w:rsidRPr="00647611" w:rsidDel="00A85D9F">
        <w:rPr>
          <w:rFonts w:ascii="Verdana" w:eastAsia="Times New Roman" w:hAnsi="Verdana" w:cs="Arial"/>
          <w:sz w:val="20"/>
          <w:szCs w:val="20"/>
          <w:lang w:eastAsia="x-none"/>
        </w:rPr>
        <w:t xml:space="preserve"> </w:t>
      </w:r>
      <w:r w:rsidRPr="00647611">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647611">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7648239C" w14:textId="77777777" w:rsidR="00D62793" w:rsidRPr="00647611" w:rsidRDefault="00D62793" w:rsidP="00D62793">
      <w:pPr>
        <w:spacing w:after="0" w:line="240" w:lineRule="auto"/>
        <w:jc w:val="both"/>
        <w:rPr>
          <w:rFonts w:ascii="Verdana" w:hAnsi="Verdana" w:cs="Arial"/>
          <w:b/>
          <w:sz w:val="20"/>
          <w:szCs w:val="20"/>
          <w:lang w:eastAsia="es-ES_tradnl"/>
        </w:rPr>
      </w:pPr>
    </w:p>
    <w:p w14:paraId="488B1327" w14:textId="77777777" w:rsidR="00D62793" w:rsidRPr="00647611" w:rsidRDefault="00D62793" w:rsidP="00D62793">
      <w:pPr>
        <w:spacing w:after="0" w:line="240" w:lineRule="auto"/>
        <w:jc w:val="both"/>
        <w:rPr>
          <w:rFonts w:ascii="Verdana" w:hAnsi="Verdana" w:cs="Arial"/>
          <w:b/>
          <w:lang w:val="es-MX" w:eastAsia="es-ES_tradnl"/>
        </w:rPr>
      </w:pPr>
      <w:r w:rsidRPr="00647611">
        <w:rPr>
          <w:rFonts w:ascii="Verdana" w:hAnsi="Verdana" w:cs="Arial"/>
          <w:b/>
          <w:lang w:val="es-MX" w:eastAsia="es-ES_tradnl"/>
        </w:rPr>
        <w:t>LEY DE GARANTÍAS ELECTORALES – Excepciones</w:t>
      </w:r>
    </w:p>
    <w:p w14:paraId="1A6AA632" w14:textId="77777777" w:rsidR="00D62793" w:rsidRPr="00647611" w:rsidRDefault="00D62793" w:rsidP="00D62793">
      <w:pPr>
        <w:spacing w:after="0" w:line="240" w:lineRule="auto"/>
        <w:jc w:val="both"/>
        <w:rPr>
          <w:rFonts w:ascii="Verdana" w:hAnsi="Verdana" w:cs="Arial"/>
          <w:b/>
          <w:sz w:val="20"/>
          <w:szCs w:val="20"/>
          <w:lang w:val="es-MX" w:eastAsia="es-ES_tradnl"/>
        </w:rPr>
      </w:pPr>
    </w:p>
    <w:p w14:paraId="08769CA4" w14:textId="77777777" w:rsidR="00D62793" w:rsidRPr="00647611" w:rsidRDefault="00D62793" w:rsidP="00D62793">
      <w:pPr>
        <w:spacing w:after="0" w:line="240" w:lineRule="auto"/>
        <w:jc w:val="both"/>
        <w:rPr>
          <w:rFonts w:ascii="Verdana" w:eastAsia="Times New Roman" w:hAnsi="Verdana" w:cs="Arial"/>
          <w:bCs/>
          <w:sz w:val="20"/>
          <w:szCs w:val="20"/>
          <w:lang w:val="es-MX" w:eastAsia="es-CO"/>
        </w:rPr>
      </w:pPr>
      <w:r w:rsidRPr="00647611">
        <w:rPr>
          <w:rFonts w:ascii="Verdana" w:eastAsia="Times New Roman" w:hAnsi="Verdana" w:cs="Arial"/>
          <w:bCs/>
          <w:sz w:val="20"/>
          <w:szCs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647611">
        <w:rPr>
          <w:rFonts w:ascii="Verdana" w:eastAsia="Times New Roman" w:hAnsi="Verdana" w:cs="Arial"/>
          <w:bCs/>
          <w:sz w:val="20"/>
          <w:szCs w:val="20"/>
          <w:lang w:val="es-MX" w:eastAsia="x-none"/>
        </w:rPr>
        <w:t>ii</w:t>
      </w:r>
      <w:proofErr w:type="spellEnd"/>
      <w:r w:rsidRPr="00647611">
        <w:rPr>
          <w:rFonts w:ascii="Verdana" w:eastAsia="Times New Roman" w:hAnsi="Verdana" w:cs="Arial"/>
          <w:bCs/>
          <w:sz w:val="20"/>
          <w:szCs w:val="20"/>
          <w:lang w:val="es-MX" w:eastAsia="x-none"/>
        </w:rPr>
        <w:t xml:space="preserve">) los contratos de crédito público; </w:t>
      </w:r>
      <w:proofErr w:type="spellStart"/>
      <w:r w:rsidRPr="00647611">
        <w:rPr>
          <w:rFonts w:ascii="Verdana" w:eastAsia="Times New Roman" w:hAnsi="Verdana" w:cs="Arial"/>
          <w:bCs/>
          <w:sz w:val="20"/>
          <w:szCs w:val="20"/>
          <w:lang w:val="es-MX" w:eastAsia="x-none"/>
        </w:rPr>
        <w:t>iii</w:t>
      </w:r>
      <w:proofErr w:type="spellEnd"/>
      <w:r w:rsidRPr="00647611">
        <w:rPr>
          <w:rFonts w:ascii="Verdana" w:eastAsia="Times New Roman" w:hAnsi="Verdana" w:cs="Arial"/>
          <w:bCs/>
          <w:sz w:val="20"/>
          <w:szCs w:val="20"/>
          <w:lang w:val="es-MX" w:eastAsia="x-none"/>
        </w:rPr>
        <w:t xml:space="preserve">) los requeridos para cubrir las emergencias educativas, sanitarias y desastres; </w:t>
      </w:r>
      <w:proofErr w:type="spellStart"/>
      <w:r w:rsidRPr="00647611">
        <w:rPr>
          <w:rFonts w:ascii="Verdana" w:eastAsia="Times New Roman" w:hAnsi="Verdana" w:cs="Arial"/>
          <w:bCs/>
          <w:sz w:val="20"/>
          <w:szCs w:val="20"/>
          <w:lang w:val="es-MX" w:eastAsia="x-none"/>
        </w:rPr>
        <w:t>iv</w:t>
      </w:r>
      <w:proofErr w:type="spellEnd"/>
      <w:r w:rsidRPr="00647611">
        <w:rPr>
          <w:rFonts w:ascii="Verdana" w:eastAsia="Times New Roman" w:hAnsi="Verdana" w:cs="Arial"/>
          <w:bCs/>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47611">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963F633" w14:textId="77777777" w:rsidR="00D62793" w:rsidRPr="00647611" w:rsidRDefault="00D62793" w:rsidP="00D62793">
      <w:pPr>
        <w:spacing w:after="0" w:line="240" w:lineRule="auto"/>
        <w:jc w:val="both"/>
        <w:rPr>
          <w:rFonts w:ascii="Verdana" w:hAnsi="Verdana" w:cs="Arial"/>
          <w:b/>
          <w:sz w:val="20"/>
          <w:szCs w:val="20"/>
          <w:lang w:val="es-MX" w:eastAsia="es-ES_tradnl"/>
        </w:rPr>
      </w:pPr>
    </w:p>
    <w:p w14:paraId="1AE8EC54" w14:textId="77777777" w:rsidR="00D62793" w:rsidRPr="00647611" w:rsidRDefault="00D62793" w:rsidP="00D62793">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del artículo 33 – Destinatarios </w:t>
      </w:r>
    </w:p>
    <w:p w14:paraId="74BF1845" w14:textId="77777777" w:rsidR="00D62793" w:rsidRPr="00647611" w:rsidRDefault="00D62793" w:rsidP="00D62793">
      <w:pPr>
        <w:spacing w:after="0" w:line="240" w:lineRule="auto"/>
        <w:rPr>
          <w:rFonts w:ascii="Verdana" w:hAnsi="Verdana" w:cs="Arial"/>
          <w:sz w:val="20"/>
          <w:szCs w:val="20"/>
          <w:lang w:val="es-MX" w:eastAsia="es-ES_tradnl"/>
        </w:rPr>
      </w:pPr>
    </w:p>
    <w:p w14:paraId="62131363" w14:textId="77777777" w:rsidR="00D62793" w:rsidRPr="00647611" w:rsidRDefault="00D62793" w:rsidP="00D62793">
      <w:pPr>
        <w:spacing w:after="0" w:line="240" w:lineRule="auto"/>
        <w:jc w:val="both"/>
        <w:rPr>
          <w:rFonts w:ascii="Verdana" w:hAnsi="Verdana" w:cs="Arial"/>
          <w:sz w:val="20"/>
          <w:szCs w:val="20"/>
          <w:lang w:val="es-MX" w:eastAsia="es-ES_tradnl"/>
        </w:rPr>
      </w:pPr>
      <w:r w:rsidRPr="00647611">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47611">
        <w:rPr>
          <w:rFonts w:ascii="Verdana" w:eastAsia="Times New Roman" w:hAnsi="Verdana" w:cs="Arial"/>
          <w:bCs/>
          <w:sz w:val="20"/>
          <w:szCs w:val="20"/>
          <w:lang w:val="es-MX" w:eastAsia="x-none"/>
        </w:rPr>
        <w:t>establecimientos de crédito, las sociedades de servicios financieros y las entidades aseguradoras</w:t>
      </w:r>
      <w:r w:rsidRPr="00647611">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647611">
        <w:rPr>
          <w:rFonts w:ascii="Verdana" w:eastAsia="Calibri"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10DBB4C7" w14:textId="77777777" w:rsidR="00D62793" w:rsidRPr="00647611" w:rsidRDefault="00D62793" w:rsidP="00D62793">
      <w:pPr>
        <w:spacing w:after="0" w:line="240" w:lineRule="auto"/>
        <w:jc w:val="both"/>
        <w:rPr>
          <w:rFonts w:ascii="Verdana" w:hAnsi="Verdana"/>
          <w:b/>
          <w:sz w:val="20"/>
          <w:szCs w:val="20"/>
        </w:rPr>
      </w:pPr>
    </w:p>
    <w:p w14:paraId="57B2FAC7" w14:textId="77777777" w:rsidR="00D62793" w:rsidRPr="00647611" w:rsidRDefault="00D62793" w:rsidP="00D62793">
      <w:pPr>
        <w:spacing w:after="0" w:line="240" w:lineRule="auto"/>
        <w:jc w:val="both"/>
        <w:rPr>
          <w:rFonts w:ascii="Verdana" w:hAnsi="Verdana"/>
          <w:b/>
          <w:lang w:val="es-MX"/>
        </w:rPr>
      </w:pPr>
      <w:r w:rsidRPr="00647611">
        <w:rPr>
          <w:rFonts w:ascii="Verdana" w:hAnsi="Verdana"/>
          <w:b/>
          <w:lang w:val="es-ES"/>
        </w:rPr>
        <w:t xml:space="preserve">ENAJENACIÓN VOLUNTARIA </w:t>
      </w:r>
      <w:r w:rsidRPr="00647611">
        <w:rPr>
          <w:rFonts w:ascii="Verdana" w:hAnsi="Verdana"/>
          <w:b/>
          <w:lang w:val="es-MX"/>
        </w:rPr>
        <w:t>– Objeto – Aplicación – Ley de Garantías Electorales – Restricción</w:t>
      </w:r>
      <w:r>
        <w:rPr>
          <w:rFonts w:ascii="Verdana" w:hAnsi="Verdana"/>
          <w:b/>
          <w:lang w:val="es-MX"/>
        </w:rPr>
        <w:t xml:space="preserve"> –</w:t>
      </w:r>
      <w:r w:rsidRPr="00647611">
        <w:rPr>
          <w:rFonts w:ascii="Verdana" w:hAnsi="Verdana"/>
          <w:b/>
          <w:lang w:val="es-MX"/>
        </w:rPr>
        <w:t xml:space="preserve"> Contratación Directa</w:t>
      </w:r>
    </w:p>
    <w:p w14:paraId="084B7EE3" w14:textId="77777777" w:rsidR="00D62793" w:rsidRPr="00647611" w:rsidRDefault="00D62793" w:rsidP="00D62793">
      <w:pPr>
        <w:spacing w:after="0" w:line="240" w:lineRule="auto"/>
        <w:rPr>
          <w:rFonts w:ascii="Verdana" w:hAnsi="Verdana"/>
          <w:sz w:val="20"/>
          <w:szCs w:val="20"/>
          <w:lang w:val="es-MX"/>
        </w:rPr>
      </w:pPr>
    </w:p>
    <w:p w14:paraId="534F6EBB" w14:textId="77777777" w:rsidR="00D62793" w:rsidRPr="00256973" w:rsidRDefault="00D62793" w:rsidP="00D62793">
      <w:pPr>
        <w:spacing w:line="240" w:lineRule="auto"/>
        <w:jc w:val="both"/>
        <w:rPr>
          <w:rFonts w:ascii="Verdana" w:eastAsia="Times New Roman" w:hAnsi="Verdana" w:cs="Arial"/>
          <w:bCs/>
          <w:sz w:val="20"/>
          <w:szCs w:val="20"/>
          <w:lang w:eastAsia="x-none"/>
        </w:rPr>
      </w:pPr>
      <w:r w:rsidRPr="00256973">
        <w:rPr>
          <w:rFonts w:ascii="Verdana" w:eastAsia="Times New Roman" w:hAnsi="Verdana" w:cs="Arial"/>
          <w:sz w:val="20"/>
          <w:szCs w:val="20"/>
          <w:lang w:val="es-ES" w:eastAsia="es-ES_tradnl"/>
        </w:rPr>
        <w:t>En virtud de esta restricción y de acuerdo con lo señalado en los conceptos C-1799 y C-1501 de 2025</w:t>
      </w:r>
      <w:r w:rsidRPr="00256973">
        <w:rPr>
          <w:rFonts w:ascii="Verdana" w:eastAsia="Times New Roman" w:hAnsi="Verdana" w:cs="Arial"/>
          <w:bCs/>
          <w:sz w:val="20"/>
          <w:szCs w:val="20"/>
          <w:lang w:eastAsia="x-none"/>
        </w:rPr>
        <w:t>, se</w:t>
      </w:r>
      <w:r w:rsidRPr="00256973">
        <w:rPr>
          <w:rFonts w:ascii="Verdana" w:eastAsia="Calibri" w:hAnsi="Verdana" w:cs="Arial"/>
          <w:sz w:val="20"/>
          <w:szCs w:val="20"/>
        </w:rPr>
        <w:t xml:space="preserve"> precisa que la restricción prevista en el artículo 33 de la Ley 996 de 2005 no resulta aplicable al procedimiento </w:t>
      </w:r>
      <w:r w:rsidRPr="00256973">
        <w:rPr>
          <w:rFonts w:ascii="Verdana" w:eastAsia="Calibri" w:hAnsi="Verdana" w:cs="Arial"/>
          <w:sz w:val="20"/>
          <w:szCs w:val="20"/>
          <w:lang w:val="es-ES"/>
        </w:rPr>
        <w:t xml:space="preserve">administrativo de adquisición predial </w:t>
      </w:r>
      <w:r w:rsidRPr="00256973">
        <w:rPr>
          <w:rFonts w:ascii="Verdana" w:eastAsia="Calibri" w:hAnsi="Verdana" w:cs="Arial"/>
          <w:i/>
          <w:iCs/>
          <w:sz w:val="20"/>
          <w:szCs w:val="20"/>
        </w:rPr>
        <w:t>en sí mismo</w:t>
      </w:r>
      <w:r w:rsidRPr="00256973">
        <w:rPr>
          <w:rFonts w:ascii="Verdana" w:eastAsia="Calibri" w:hAnsi="Verdana" w:cs="Arial"/>
          <w:sz w:val="20"/>
          <w:szCs w:val="20"/>
        </w:rPr>
        <w:t xml:space="preserve">, en su etapa preparatoria o preliminar, en la medida en que dicho artículo se refiere a la </w:t>
      </w:r>
      <w:r w:rsidRPr="00256973">
        <w:rPr>
          <w:rFonts w:ascii="Verdana" w:eastAsia="Calibri" w:hAnsi="Verdana" w:cs="Arial"/>
          <w:bCs/>
          <w:sz w:val="20"/>
          <w:szCs w:val="20"/>
          <w:lang w:val="es-MX"/>
        </w:rPr>
        <w:t xml:space="preserve">celebración de contratos de forma directa, </w:t>
      </w:r>
      <w:r w:rsidRPr="00256973">
        <w:rPr>
          <w:rFonts w:ascii="Verdana" w:eastAsia="Calibri" w:hAnsi="Verdana" w:cs="Arial"/>
          <w:sz w:val="20"/>
          <w:szCs w:val="20"/>
        </w:rPr>
        <w:t>y no a las actuaciones administrativas que se puedan generar previamente</w:t>
      </w:r>
      <w:r w:rsidRPr="00256973">
        <w:rPr>
          <w:rFonts w:ascii="Verdana" w:eastAsia="Times New Roman" w:hAnsi="Verdana" w:cs="Arial"/>
          <w:bCs/>
          <w:sz w:val="20"/>
          <w:szCs w:val="20"/>
          <w:lang w:eastAsia="x-none"/>
        </w:rPr>
        <w:t>. En tal sentido, la gestión predial no se ve paralizada durante el período de restricción.</w:t>
      </w:r>
    </w:p>
    <w:p w14:paraId="2957D27A" w14:textId="77777777" w:rsidR="00D62793" w:rsidRDefault="00D62793" w:rsidP="00D62793">
      <w:pPr>
        <w:pStyle w:val="paragraph"/>
        <w:shd w:val="clear" w:color="auto" w:fill="FFFFFF"/>
        <w:spacing w:before="0" w:beforeAutospacing="0" w:after="0" w:afterAutospacing="0"/>
        <w:jc w:val="both"/>
        <w:textAlignment w:val="baseline"/>
        <w:rPr>
          <w:rFonts w:ascii="Verdana" w:eastAsia="Calibri" w:hAnsi="Verdana" w:cs="Arial"/>
          <w:sz w:val="20"/>
          <w:szCs w:val="20"/>
          <w:lang w:val="es-ES"/>
        </w:rPr>
      </w:pPr>
      <w:r w:rsidRPr="00256973">
        <w:rPr>
          <w:rFonts w:ascii="Verdana" w:eastAsia="Calibri" w:hAnsi="Verdana" w:cs="Arial"/>
          <w:sz w:val="20"/>
          <w:szCs w:val="20"/>
          <w:lang w:val="es-ES"/>
        </w:rPr>
        <w:t>Así, se reconoce que el procedimiento administrativo de adquisición predial por motivos de utilidad pública e interés social no constituye un procedimiento sometido al EGCAP, puesto que se trata de un procedimiento especial, dotado de finalidad, etapas y reglas propias, cuya regulación se encuentra prevista de manera específica en</w:t>
      </w:r>
      <w:r w:rsidRPr="00256973">
        <w:rPr>
          <w:rFonts w:asciiTheme="minorHAnsi" w:eastAsiaTheme="minorHAnsi" w:hAnsiTheme="minorHAnsi" w:cstheme="minorBidi"/>
          <w:sz w:val="20"/>
          <w:szCs w:val="20"/>
          <w:lang w:eastAsia="en-US"/>
        </w:rPr>
        <w:t xml:space="preserve"> </w:t>
      </w:r>
      <w:r w:rsidRPr="00256973">
        <w:rPr>
          <w:rFonts w:ascii="Verdana" w:eastAsia="Calibri" w:hAnsi="Verdana" w:cs="Arial"/>
          <w:sz w:val="20"/>
          <w:szCs w:val="20"/>
        </w:rPr>
        <w:t>Leyes 9 de 1989, 388 de 1997 y 1682 de 2013</w:t>
      </w:r>
      <w:r w:rsidRPr="00256973">
        <w:rPr>
          <w:rFonts w:ascii="Verdana" w:eastAsia="Calibri" w:hAnsi="Verdana" w:cs="Arial"/>
          <w:sz w:val="20"/>
          <w:szCs w:val="20"/>
          <w:lang w:val="es-ES"/>
        </w:rPr>
        <w:t xml:space="preserve">, lo que lo sustrae del régimen general de la contratación estatal. Esta caracterización ha sido reiterada en los conceptos previamente citados, en los cuales se concluyó que dicho procedimiento se rige por unas reglas especiales. </w:t>
      </w:r>
    </w:p>
    <w:p w14:paraId="2932644B" w14:textId="77777777" w:rsidR="00D62793" w:rsidRPr="00256973" w:rsidRDefault="00D62793" w:rsidP="00D62793">
      <w:pPr>
        <w:pStyle w:val="paragraph"/>
        <w:shd w:val="clear" w:color="auto" w:fill="FFFFFF"/>
        <w:spacing w:before="0" w:beforeAutospacing="0" w:after="0" w:afterAutospacing="0"/>
        <w:jc w:val="both"/>
        <w:textAlignment w:val="baseline"/>
        <w:rPr>
          <w:rFonts w:ascii="Verdana" w:eastAsia="Calibri" w:hAnsi="Verdana" w:cs="Arial"/>
          <w:sz w:val="20"/>
          <w:szCs w:val="20"/>
          <w:lang w:val="es-ES"/>
        </w:rPr>
      </w:pPr>
    </w:p>
    <w:p w14:paraId="0D3E6026" w14:textId="77777777" w:rsidR="00D62793" w:rsidRDefault="00D62793" w:rsidP="00D62793">
      <w:pPr>
        <w:tabs>
          <w:tab w:val="left" w:pos="709"/>
        </w:tabs>
        <w:spacing w:after="0" w:line="240" w:lineRule="auto"/>
        <w:jc w:val="both"/>
        <w:rPr>
          <w:rFonts w:ascii="Verdana" w:eastAsia="Times New Roman" w:hAnsi="Verdana" w:cs="Arial"/>
          <w:sz w:val="20"/>
          <w:szCs w:val="20"/>
        </w:rPr>
      </w:pPr>
      <w:r>
        <w:rPr>
          <w:rFonts w:ascii="Verdana" w:eastAsia="Century Gothic" w:hAnsi="Verdana" w:cs="Century Gothic"/>
          <w:sz w:val="20"/>
          <w:szCs w:val="20"/>
          <w:lang w:val="es-ES"/>
        </w:rPr>
        <w:t>[…]</w:t>
      </w:r>
    </w:p>
    <w:p w14:paraId="3B62641D" w14:textId="77777777" w:rsidR="000F66BA" w:rsidRDefault="000F66BA" w:rsidP="00D62793">
      <w:pPr>
        <w:tabs>
          <w:tab w:val="left" w:pos="709"/>
        </w:tabs>
        <w:spacing w:after="0" w:line="240" w:lineRule="auto"/>
        <w:jc w:val="both"/>
        <w:rPr>
          <w:rFonts w:ascii="Verdana" w:eastAsia="Times New Roman" w:hAnsi="Verdana" w:cs="Arial"/>
          <w:bCs/>
          <w:sz w:val="20"/>
          <w:szCs w:val="20"/>
          <w:lang w:eastAsia="x-none"/>
        </w:rPr>
      </w:pPr>
    </w:p>
    <w:p w14:paraId="2CFB4F8C" w14:textId="3505D252" w:rsidR="00D62793" w:rsidRPr="00256973" w:rsidRDefault="00D62793" w:rsidP="00D62793">
      <w:pPr>
        <w:tabs>
          <w:tab w:val="left" w:pos="709"/>
        </w:tabs>
        <w:spacing w:after="0" w:line="240" w:lineRule="auto"/>
        <w:jc w:val="both"/>
        <w:rPr>
          <w:rFonts w:ascii="Verdana" w:eastAsia="Calibri" w:hAnsi="Verdana" w:cs="Arial"/>
          <w:sz w:val="20"/>
          <w:szCs w:val="20"/>
          <w:lang w:eastAsia="es-CO"/>
        </w:rPr>
      </w:pPr>
      <w:r w:rsidRPr="00256973">
        <w:rPr>
          <w:rFonts w:ascii="Verdana" w:eastAsia="Times New Roman" w:hAnsi="Verdana" w:cs="Arial"/>
          <w:bCs/>
          <w:sz w:val="20"/>
          <w:szCs w:val="20"/>
          <w:lang w:eastAsia="x-none"/>
        </w:rPr>
        <w:t xml:space="preserve">No obstante, frente a la celebración de una promesa de compraventa o de un contrato de compraventa, sí resulta aplicable la restricción prevista en el citado artículo 33 ibidem, razón por la cual se reitera la postura sostenida en los conceptos C-1512 y C-1529, en tanto dichos negocios jurídicos comportan la celebración directa de un contrato estatal. </w:t>
      </w:r>
      <w:r w:rsidRPr="00256973">
        <w:rPr>
          <w:rFonts w:ascii="Verdana" w:eastAsia="Calibri" w:hAnsi="Verdana" w:cs="Arial"/>
          <w:sz w:val="20"/>
          <w:szCs w:val="20"/>
          <w:lang w:eastAsia="es-CO"/>
        </w:rPr>
        <w:t xml:space="preserve">En efecto, en la promesa de compraventa </w:t>
      </w:r>
      <w:r w:rsidRPr="00256973">
        <w:rPr>
          <w:rFonts w:ascii="Verdana" w:eastAsia="Calibri" w:hAnsi="Verdana" w:cs="Arial"/>
          <w:sz w:val="20"/>
          <w:szCs w:val="20"/>
        </w:rPr>
        <w:t>y</w:t>
      </w:r>
      <w:r w:rsidRPr="00256973">
        <w:rPr>
          <w:rFonts w:ascii="Verdana" w:eastAsia="Calibri" w:hAnsi="Verdana" w:cs="Arial"/>
          <w:sz w:val="20"/>
          <w:szCs w:val="20"/>
          <w:lang w:eastAsia="es-CO"/>
        </w:rPr>
        <w:t xml:space="preserve"> en el contrato de compraventa </w:t>
      </w:r>
      <w:r w:rsidRPr="00256973">
        <w:rPr>
          <w:rFonts w:ascii="Verdana" w:eastAsia="Times New Roman" w:hAnsi="Verdana" w:cs="Arial"/>
          <w:sz w:val="20"/>
          <w:szCs w:val="20"/>
          <w:lang w:val="es-ES" w:eastAsia="es-ES_tradnl"/>
        </w:rPr>
        <w:t xml:space="preserve">participan entidades estatales y se invierten recursos de naturaleza pública, por lo cual puede afirmarse que estos actos jurídicos negociales son auténticos contratos estatales, según el criterio orgánico establecido en el artículo 32 de la Ley 80 de 1993, en concordancia el artículo 2 </w:t>
      </w:r>
      <w:r w:rsidRPr="00256973">
        <w:rPr>
          <w:rFonts w:ascii="Verdana" w:eastAsia="Times New Roman" w:hAnsi="Verdana" w:cs="Arial"/>
          <w:i/>
          <w:iCs/>
          <w:sz w:val="20"/>
          <w:szCs w:val="20"/>
          <w:lang w:val="es-ES" w:eastAsia="es-ES_tradnl"/>
        </w:rPr>
        <w:t>ibidem.</w:t>
      </w:r>
      <w:r w:rsidRPr="00256973">
        <w:rPr>
          <w:rFonts w:ascii="Verdana" w:eastAsia="Times New Roman" w:hAnsi="Verdana" w:cs="Arial"/>
          <w:sz w:val="20"/>
          <w:szCs w:val="20"/>
          <w:lang w:val="es-ES" w:eastAsia="es-ES_tradnl"/>
        </w:rPr>
        <w:t xml:space="preserve"> Estos negocios jurídicos, así como los demás que se suscriban de forma directa como cesiones de inmueble o permutas entre entidades estatales, </w:t>
      </w:r>
      <w:r w:rsidRPr="00256973">
        <w:rPr>
          <w:rFonts w:ascii="Verdana" w:eastAsia="Calibri" w:hAnsi="Verdana" w:cs="Arial"/>
          <w:sz w:val="20"/>
          <w:szCs w:val="20"/>
          <w:lang w:eastAsia="es-CO"/>
        </w:rPr>
        <w:t xml:space="preserve">constituyen formas de contratación directa en cuanto su celebración se realiza con un sujeto determinado, sin convocatoria pública y sin posibilidad de concurrencia de una pluralidad de oferentes. </w:t>
      </w:r>
    </w:p>
    <w:p w14:paraId="40277B1C" w14:textId="77777777" w:rsidR="00D62793" w:rsidRDefault="00D62793" w:rsidP="00D62793">
      <w:pPr>
        <w:spacing w:after="0"/>
        <w:rPr>
          <w:rFonts w:ascii="Verdana" w:hAnsi="Verdana"/>
          <w:lang w:val="es-MX"/>
        </w:rPr>
      </w:pPr>
    </w:p>
    <w:p w14:paraId="45AAC56D" w14:textId="77777777" w:rsidR="00D62793" w:rsidRDefault="00D62793" w:rsidP="00D62793">
      <w:pPr>
        <w:spacing w:after="0"/>
        <w:rPr>
          <w:rFonts w:ascii="Verdana" w:hAnsi="Verdana"/>
          <w:lang w:val="es-MX"/>
        </w:rPr>
      </w:pPr>
    </w:p>
    <w:p w14:paraId="4364C1C9" w14:textId="77777777" w:rsidR="00D62793" w:rsidRDefault="00D62793" w:rsidP="00D62793">
      <w:pPr>
        <w:spacing w:after="0"/>
        <w:rPr>
          <w:rFonts w:ascii="Verdana" w:hAnsi="Verdana"/>
          <w:lang w:val="es-MX"/>
        </w:rPr>
      </w:pPr>
    </w:p>
    <w:p w14:paraId="668BA280" w14:textId="77777777" w:rsidR="007C31D6" w:rsidRDefault="007C31D6" w:rsidP="007C31D6">
      <w:pPr>
        <w:spacing w:after="0"/>
        <w:rPr>
          <w:rFonts w:ascii="Verdana" w:hAnsi="Verdana"/>
        </w:rPr>
      </w:pPr>
    </w:p>
    <w:p w14:paraId="15E5E617" w14:textId="77777777" w:rsidR="007C31D6" w:rsidRDefault="007C31D6" w:rsidP="007C31D6">
      <w:pPr>
        <w:spacing w:after="0"/>
        <w:rPr>
          <w:rFonts w:ascii="Verdana" w:hAnsi="Verdana"/>
        </w:rPr>
      </w:pPr>
    </w:p>
    <w:p w14:paraId="2FB8AED0" w14:textId="77777777" w:rsidR="007C31D6" w:rsidRDefault="007C31D6" w:rsidP="007C31D6">
      <w:pPr>
        <w:spacing w:after="0"/>
        <w:rPr>
          <w:rFonts w:ascii="Verdana" w:hAnsi="Verdana"/>
        </w:rPr>
      </w:pPr>
    </w:p>
    <w:p w14:paraId="5B172CB7" w14:textId="77777777" w:rsidR="007C31D6" w:rsidRDefault="007C31D6" w:rsidP="007C31D6">
      <w:pPr>
        <w:spacing w:after="0"/>
        <w:rPr>
          <w:rFonts w:ascii="Verdana" w:hAnsi="Verdana"/>
        </w:rPr>
      </w:pPr>
    </w:p>
    <w:p w14:paraId="2F19017A" w14:textId="77777777" w:rsidR="00D62793" w:rsidRDefault="00D62793" w:rsidP="007C31D6">
      <w:pPr>
        <w:spacing w:after="0" w:line="240" w:lineRule="auto"/>
        <w:rPr>
          <w:rFonts w:ascii="Century Gothic" w:eastAsia="Times New Roman" w:hAnsi="Century Gothic" w:cs="Arial"/>
          <w:sz w:val="20"/>
          <w:szCs w:val="20"/>
          <w:lang w:eastAsia="es-ES"/>
        </w:rPr>
      </w:pPr>
    </w:p>
    <w:p w14:paraId="46388048" w14:textId="77777777" w:rsidR="00D173FF" w:rsidRDefault="00D173FF" w:rsidP="007C31D6">
      <w:pPr>
        <w:spacing w:after="0" w:line="240" w:lineRule="auto"/>
        <w:rPr>
          <w:rFonts w:ascii="Verdana" w:eastAsia="Calibri" w:hAnsi="Verdana" w:cs="Arial"/>
          <w:lang w:eastAsia="es-ES_tradnl"/>
        </w:rPr>
      </w:pPr>
      <w:r w:rsidRPr="00D173FF">
        <w:rPr>
          <w:rFonts w:ascii="Verdana" w:eastAsia="Calibri" w:hAnsi="Verdana" w:cs="Arial"/>
          <w:lang w:eastAsia="es-ES_tradnl"/>
        </w:rPr>
        <w:t xml:space="preserve">Bogotá D.C., 26 de </w:t>
      </w:r>
      <w:proofErr w:type="gramStart"/>
      <w:r w:rsidRPr="00D173FF">
        <w:rPr>
          <w:rFonts w:ascii="Verdana" w:eastAsia="Calibri" w:hAnsi="Verdana" w:cs="Arial"/>
          <w:lang w:eastAsia="es-ES_tradnl"/>
        </w:rPr>
        <w:t>Marzo</w:t>
      </w:r>
      <w:proofErr w:type="gramEnd"/>
      <w:r w:rsidRPr="00D173FF">
        <w:rPr>
          <w:rFonts w:ascii="Verdana" w:eastAsia="Calibri" w:hAnsi="Verdana" w:cs="Arial"/>
          <w:lang w:eastAsia="es-ES_tradnl"/>
        </w:rPr>
        <w:t xml:space="preserve"> de 2026 </w:t>
      </w:r>
    </w:p>
    <w:p w14:paraId="08FBFB98" w14:textId="1FE0CFE4" w:rsidR="007C31D6" w:rsidRPr="00D173FF" w:rsidRDefault="007C31D6" w:rsidP="007C31D6">
      <w:pPr>
        <w:spacing w:after="0" w:line="240" w:lineRule="auto"/>
        <w:rPr>
          <w:rFonts w:ascii="Verdana" w:eastAsia="Calibri" w:hAnsi="Verdana" w:cs="Arial"/>
          <w:lang w:eastAsia="es-ES_tradnl"/>
        </w:rPr>
      </w:pPr>
    </w:p>
    <w:p w14:paraId="45EF9A42" w14:textId="0E943067" w:rsidR="007C31D6" w:rsidRDefault="000F66BA" w:rsidP="007C31D6">
      <w:pPr>
        <w:spacing w:after="0" w:line="240" w:lineRule="auto"/>
        <w:rPr>
          <w:rFonts w:ascii="Verdana" w:eastAsia="Calibri" w:hAnsi="Verdana" w:cs="Arial"/>
          <w:lang w:eastAsia="es-ES_tradnl"/>
        </w:rPr>
      </w:pPr>
      <w:r w:rsidRPr="00D173FF">
        <w:rPr>
          <w:rFonts w:ascii="Verdana" w:eastAsia="Calibri" w:hAnsi="Verdana" w:cs="Arial"/>
          <w:noProof/>
          <w:lang w:eastAsia="es-ES_tradnl"/>
        </w:rPr>
        <w:drawing>
          <wp:anchor distT="0" distB="0" distL="114300" distR="114300" simplePos="0" relativeHeight="251658240" behindDoc="1" locked="0" layoutInCell="1" allowOverlap="1" wp14:anchorId="71D409DC" wp14:editId="7F9BCF9F">
            <wp:simplePos x="0" y="0"/>
            <wp:positionH relativeFrom="margin">
              <wp:align>right</wp:align>
            </wp:positionH>
            <wp:positionV relativeFrom="paragraph">
              <wp:posOffset>13832</wp:posOffset>
            </wp:positionV>
            <wp:extent cx="2334260" cy="713105"/>
            <wp:effectExtent l="0" t="0" r="8890" b="0"/>
            <wp:wrapSquare wrapText="bothSides"/>
            <wp:docPr id="782939140" name="Imagen 1" descr="Interfaz de usuario gráfic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939140" name="Imagen 1" descr="Interfaz de usuario gráfica, 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34260" cy="713105"/>
                    </a:xfrm>
                    <a:prstGeom prst="rect">
                      <a:avLst/>
                    </a:prstGeom>
                  </pic:spPr>
                </pic:pic>
              </a:graphicData>
            </a:graphic>
            <wp14:sizeRelH relativeFrom="page">
              <wp14:pctWidth>0</wp14:pctWidth>
            </wp14:sizeRelH>
            <wp14:sizeRelV relativeFrom="page">
              <wp14:pctHeight>0</wp14:pctHeight>
            </wp14:sizeRelV>
          </wp:anchor>
        </w:drawing>
      </w:r>
      <w:r w:rsidR="007C31D6">
        <w:rPr>
          <w:rFonts w:ascii="Verdana" w:eastAsia="Calibri" w:hAnsi="Verdana" w:cs="Arial"/>
          <w:lang w:eastAsia="es-ES_tradnl"/>
        </w:rPr>
        <w:t>Señora</w:t>
      </w:r>
    </w:p>
    <w:p w14:paraId="13FDBDFB" w14:textId="698F6B70" w:rsidR="007C31D6" w:rsidRDefault="00D62793" w:rsidP="007C31D6">
      <w:pPr>
        <w:spacing w:after="0" w:line="240" w:lineRule="auto"/>
        <w:rPr>
          <w:rFonts w:ascii="Verdana" w:eastAsia="Calibri" w:hAnsi="Verdana" w:cs="Arial"/>
          <w:b/>
          <w:bCs/>
          <w:lang w:eastAsia="es-ES_tradnl"/>
        </w:rPr>
      </w:pPr>
      <w:r>
        <w:rPr>
          <w:rFonts w:ascii="Verdana" w:eastAsia="Calibri" w:hAnsi="Verdana" w:cs="Arial"/>
          <w:b/>
          <w:bCs/>
          <w:lang w:eastAsia="es-ES_tradnl"/>
        </w:rPr>
        <w:t>Leslie Antonia Rivas Bonilla</w:t>
      </w:r>
    </w:p>
    <w:p w14:paraId="086DFE29" w14:textId="56F931B9" w:rsidR="007C31D6" w:rsidRPr="007211E4" w:rsidRDefault="00D62793" w:rsidP="007C31D6">
      <w:pPr>
        <w:spacing w:after="0" w:line="240" w:lineRule="auto"/>
        <w:rPr>
          <w:rFonts w:ascii="Verdana" w:eastAsia="Calibri" w:hAnsi="Verdana" w:cs="Arial"/>
          <w:lang w:eastAsia="es-ES_tradnl"/>
        </w:rPr>
      </w:pPr>
      <w:r>
        <w:rPr>
          <w:rFonts w:ascii="Verdana" w:eastAsia="Calibri" w:hAnsi="Verdana" w:cs="Arial"/>
          <w:lang w:eastAsia="es-ES_tradnl"/>
        </w:rPr>
        <w:t>Leslie1306</w:t>
      </w:r>
      <w:r w:rsidR="007C31D6">
        <w:rPr>
          <w:rFonts w:ascii="Verdana" w:eastAsia="Calibri" w:hAnsi="Verdana" w:cs="Arial"/>
          <w:lang w:eastAsia="es-ES_tradnl"/>
        </w:rPr>
        <w:t>@gmail.com</w:t>
      </w:r>
    </w:p>
    <w:p w14:paraId="7EBC124E" w14:textId="4DEA8C62" w:rsidR="007C31D6" w:rsidRDefault="00D62793" w:rsidP="007C31D6">
      <w:pPr>
        <w:spacing w:after="0" w:line="240" w:lineRule="auto"/>
        <w:rPr>
          <w:rFonts w:ascii="Verdana" w:eastAsia="Calibri" w:hAnsi="Verdana" w:cs="Arial"/>
          <w:lang w:eastAsia="es-ES_tradnl"/>
        </w:rPr>
      </w:pPr>
      <w:r>
        <w:rPr>
          <w:rFonts w:ascii="Verdana" w:eastAsia="Calibri" w:hAnsi="Verdana" w:cs="Arial"/>
          <w:lang w:eastAsia="es-ES_tradnl"/>
        </w:rPr>
        <w:t>Quibdó, Chocó</w:t>
      </w:r>
    </w:p>
    <w:p w14:paraId="10172902" w14:textId="4C73537A" w:rsidR="007C31D6" w:rsidRPr="00514983" w:rsidRDefault="007C31D6" w:rsidP="007C31D6">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C31D6" w:rsidRPr="00960F72" w14:paraId="16601339" w14:textId="77777777" w:rsidTr="000E7260">
        <w:trPr>
          <w:trHeight w:val="190"/>
        </w:trPr>
        <w:tc>
          <w:tcPr>
            <w:tcW w:w="2689" w:type="dxa"/>
          </w:tcPr>
          <w:p w14:paraId="638CF024" w14:textId="77777777" w:rsidR="007C31D6" w:rsidRPr="00960F72" w:rsidRDefault="007C31D6" w:rsidP="000E7260">
            <w:pPr>
              <w:jc w:val="both"/>
              <w:rPr>
                <w:rFonts w:ascii="Verdana" w:eastAsia="Calibri" w:hAnsi="Verdana" w:cs="Arial"/>
                <w:b/>
                <w:bCs/>
                <w:lang w:eastAsia="es-ES_tradnl"/>
              </w:rPr>
            </w:pPr>
          </w:p>
        </w:tc>
        <w:tc>
          <w:tcPr>
            <w:tcW w:w="6100" w:type="dxa"/>
          </w:tcPr>
          <w:p w14:paraId="30E57AAF" w14:textId="3718B638" w:rsidR="007C31D6" w:rsidRPr="00960F72" w:rsidRDefault="007C31D6" w:rsidP="000E7260">
            <w:pPr>
              <w:jc w:val="both"/>
              <w:rPr>
                <w:rFonts w:ascii="Verdana" w:eastAsia="Calibri" w:hAnsi="Verdana" w:cs="Arial"/>
                <w:b/>
                <w:bCs/>
                <w:lang w:eastAsia="es-ES"/>
              </w:rPr>
            </w:pPr>
            <w:r w:rsidRPr="00960F72">
              <w:rPr>
                <w:rFonts w:ascii="Verdana" w:eastAsia="Calibri" w:hAnsi="Verdana" w:cs="Arial"/>
                <w:b/>
                <w:bCs/>
                <w:lang w:eastAsia="es-ES"/>
              </w:rPr>
              <w:t xml:space="preserve">Concepto C- </w:t>
            </w:r>
            <w:r w:rsidR="00AF223C">
              <w:rPr>
                <w:rFonts w:ascii="Verdana" w:eastAsia="Calibri" w:hAnsi="Verdana" w:cs="Arial"/>
                <w:b/>
                <w:bCs/>
                <w:lang w:eastAsia="es-ES"/>
              </w:rPr>
              <w:t>223</w:t>
            </w:r>
            <w:r>
              <w:rPr>
                <w:rFonts w:ascii="Verdana" w:eastAsia="Calibri" w:hAnsi="Verdana" w:cs="Arial"/>
                <w:b/>
                <w:bCs/>
                <w:lang w:eastAsia="es-ES"/>
              </w:rPr>
              <w:t xml:space="preserve"> </w:t>
            </w:r>
            <w:r w:rsidRPr="00960F72">
              <w:rPr>
                <w:rFonts w:ascii="Verdana" w:eastAsia="Calibri" w:hAnsi="Verdana" w:cs="Arial"/>
                <w:b/>
                <w:bCs/>
                <w:lang w:eastAsia="es-ES"/>
              </w:rPr>
              <w:t>de 202</w:t>
            </w:r>
            <w:r>
              <w:rPr>
                <w:rFonts w:ascii="Verdana" w:eastAsia="Calibri" w:hAnsi="Verdana" w:cs="Arial"/>
                <w:b/>
                <w:bCs/>
                <w:lang w:eastAsia="es-ES"/>
              </w:rPr>
              <w:t>6</w:t>
            </w:r>
          </w:p>
          <w:p w14:paraId="6EA04ABC" w14:textId="77777777" w:rsidR="007C31D6" w:rsidRPr="00960F72" w:rsidRDefault="007C31D6" w:rsidP="000E7260">
            <w:pPr>
              <w:jc w:val="both"/>
              <w:rPr>
                <w:rFonts w:ascii="Verdana" w:eastAsia="Calibri" w:hAnsi="Verdana" w:cs="Arial"/>
                <w:b/>
                <w:bCs/>
                <w:lang w:eastAsia="es-ES"/>
              </w:rPr>
            </w:pPr>
          </w:p>
        </w:tc>
      </w:tr>
      <w:tr w:rsidR="007C31D6" w:rsidRPr="00960F72" w14:paraId="42C90597" w14:textId="77777777" w:rsidTr="000E7260">
        <w:trPr>
          <w:trHeight w:val="884"/>
        </w:trPr>
        <w:tc>
          <w:tcPr>
            <w:tcW w:w="2689" w:type="dxa"/>
          </w:tcPr>
          <w:p w14:paraId="7ECE2E2C" w14:textId="77777777" w:rsidR="007C31D6" w:rsidRPr="00960F72" w:rsidRDefault="007C31D6" w:rsidP="000E7260">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41071983" w14:textId="77777777" w:rsidR="00D62793" w:rsidRDefault="00D62793" w:rsidP="00D62793">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LEY DE GARANTÍAS ELECTORALES – Prohibición artículo 33 – Contratación directa – Alcance / LEY DE GARANTÍAS ELECTORALES – Excepciones / LEY DE GARANTÍAS ELECTORALES – Prohibición del artículo 33 – Destinatarios / ENAJENACIÓN VOLUNTARIA – Objeto – Aplicación – Ley de Garantías Electorales – Restricción- Contratación Directa                     </w:t>
            </w:r>
          </w:p>
          <w:p w14:paraId="713614CE" w14:textId="77777777" w:rsidR="007C31D6" w:rsidRPr="001F1B6C" w:rsidRDefault="007C31D6" w:rsidP="000E7260">
            <w:pPr>
              <w:spacing w:line="276" w:lineRule="auto"/>
              <w:jc w:val="both"/>
              <w:rPr>
                <w:rFonts w:ascii="Verdana" w:eastAsia="Calibri" w:hAnsi="Verdana" w:cs="Arial"/>
                <w:lang w:val="es-ES" w:eastAsia="es-ES"/>
              </w:rPr>
            </w:pP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p>
        </w:tc>
      </w:tr>
      <w:tr w:rsidR="007C31D6" w:rsidRPr="00960F72" w14:paraId="6D1E6EE3" w14:textId="77777777" w:rsidTr="000E7260">
        <w:tc>
          <w:tcPr>
            <w:tcW w:w="2689" w:type="dxa"/>
          </w:tcPr>
          <w:p w14:paraId="34E85B48" w14:textId="77777777" w:rsidR="007C31D6" w:rsidRPr="008149BA" w:rsidRDefault="007C31D6" w:rsidP="000E7260">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100" w:type="dxa"/>
          </w:tcPr>
          <w:p w14:paraId="5102A26F" w14:textId="500155F1" w:rsidR="007C31D6" w:rsidRPr="008149BA" w:rsidRDefault="007C31D6" w:rsidP="000E7260">
            <w:pPr>
              <w:jc w:val="both"/>
              <w:rPr>
                <w:rFonts w:ascii="Verdana" w:eastAsia="Calibri" w:hAnsi="Verdana" w:cs="Arial"/>
                <w:lang w:eastAsia="es-ES_tradnl"/>
              </w:rPr>
            </w:pPr>
            <w:r w:rsidRPr="008149BA">
              <w:rPr>
                <w:rFonts w:ascii="Verdana" w:eastAsia="Calibri" w:hAnsi="Verdana" w:cs="Arial"/>
                <w:lang w:eastAsia="es-ES_tradnl"/>
              </w:rPr>
              <w:t>Respuesta a consulta con radicado No.</w:t>
            </w:r>
            <w:r w:rsidRPr="008149BA">
              <w:rPr>
                <w:rFonts w:ascii="Verdana" w:hAnsi="Verdana" w:cs="Segoe UI"/>
                <w:color w:val="2B2B2B"/>
                <w:shd w:val="clear" w:color="auto" w:fill="FFFFFF"/>
              </w:rPr>
              <w:t xml:space="preserve"> </w:t>
            </w:r>
            <w:r w:rsidR="00D62793" w:rsidRPr="00D62793">
              <w:rPr>
                <w:rFonts w:ascii="Verdana" w:hAnsi="Verdana" w:cs="Segoe UI"/>
                <w:color w:val="2B2B2B"/>
                <w:shd w:val="clear" w:color="auto" w:fill="FFFFFF"/>
              </w:rPr>
              <w:t>1_2026_02_15_001950</w:t>
            </w:r>
          </w:p>
        </w:tc>
      </w:tr>
    </w:tbl>
    <w:p w14:paraId="4390F041" w14:textId="77777777" w:rsidR="007C31D6" w:rsidRPr="00960F72" w:rsidRDefault="007C31D6" w:rsidP="007C31D6">
      <w:pPr>
        <w:spacing w:after="0" w:line="240" w:lineRule="auto"/>
        <w:jc w:val="both"/>
        <w:rPr>
          <w:rFonts w:ascii="Verdana" w:eastAsia="Calibri" w:hAnsi="Verdana" w:cs="Arial"/>
          <w:lang w:eastAsia="es-ES_tradnl"/>
        </w:rPr>
      </w:pPr>
    </w:p>
    <w:p w14:paraId="2A5DB5C5" w14:textId="588AE99B" w:rsidR="007C31D6" w:rsidRPr="00960F72" w:rsidRDefault="007C31D6" w:rsidP="007C31D6">
      <w:pPr>
        <w:spacing w:after="0" w:line="276" w:lineRule="auto"/>
        <w:jc w:val="both"/>
        <w:rPr>
          <w:rFonts w:ascii="Verdana" w:eastAsia="Calibri" w:hAnsi="Verdana" w:cs="Arial"/>
          <w:lang w:eastAsia="es-ES"/>
        </w:rPr>
      </w:pPr>
      <w:r>
        <w:rPr>
          <w:rFonts w:ascii="Verdana" w:eastAsia="Calibri" w:hAnsi="Verdana" w:cs="Arial"/>
          <w:lang w:eastAsia="es-ES"/>
        </w:rPr>
        <w:t xml:space="preserve">Estimada señora </w:t>
      </w:r>
      <w:r w:rsidR="00D62793">
        <w:rPr>
          <w:rFonts w:ascii="Verdana" w:eastAsia="Calibri" w:hAnsi="Verdana" w:cs="Arial"/>
          <w:lang w:eastAsia="es-ES"/>
        </w:rPr>
        <w:t>Rivas</w:t>
      </w:r>
      <w:r>
        <w:rPr>
          <w:rFonts w:ascii="Verdana" w:eastAsia="Calibri" w:hAnsi="Verdana" w:cs="Arial"/>
          <w:lang w:eastAsia="es-ES"/>
        </w:rPr>
        <w:t>:</w:t>
      </w:r>
    </w:p>
    <w:p w14:paraId="68131D55" w14:textId="77777777" w:rsidR="007C31D6" w:rsidRPr="00960F72" w:rsidRDefault="007C31D6" w:rsidP="007C31D6">
      <w:pPr>
        <w:tabs>
          <w:tab w:val="left" w:pos="3768"/>
        </w:tabs>
        <w:spacing w:after="0" w:line="276" w:lineRule="auto"/>
        <w:jc w:val="both"/>
        <w:rPr>
          <w:rFonts w:ascii="Verdana" w:eastAsia="Calibri" w:hAnsi="Verdana" w:cs="Arial"/>
          <w:lang w:eastAsia="es-ES"/>
        </w:rPr>
      </w:pPr>
    </w:p>
    <w:p w14:paraId="40592CC1" w14:textId="5A6D0BD8" w:rsidR="007C31D6" w:rsidRPr="00960F72" w:rsidRDefault="007C31D6" w:rsidP="007C31D6">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1</w:t>
      </w:r>
      <w:r w:rsidR="00D62793">
        <w:rPr>
          <w:rFonts w:ascii="Verdana" w:eastAsia="Calibri" w:hAnsi="Verdana" w:cs="Arial"/>
          <w:lang w:eastAsia="es-ES"/>
        </w:rPr>
        <w:t>5</w:t>
      </w:r>
      <w:r>
        <w:rPr>
          <w:rFonts w:ascii="Verdana" w:eastAsia="Calibri" w:hAnsi="Verdana" w:cs="Arial"/>
          <w:lang w:eastAsia="es-ES"/>
        </w:rPr>
        <w:t xml:space="preserve"> </w:t>
      </w:r>
      <w:r w:rsidRPr="00960F72">
        <w:rPr>
          <w:rFonts w:ascii="Verdana" w:eastAsia="Calibri" w:hAnsi="Verdana" w:cs="Arial"/>
          <w:lang w:eastAsia="es-ES"/>
        </w:rPr>
        <w:t xml:space="preserve">de </w:t>
      </w:r>
      <w:r>
        <w:rPr>
          <w:rFonts w:ascii="Verdana" w:eastAsia="Calibri" w:hAnsi="Verdana" w:cs="Arial"/>
          <w:lang w:eastAsia="es-ES"/>
        </w:rPr>
        <w:t>febrero</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3816D104" w14:textId="77777777" w:rsidR="007C31D6" w:rsidRPr="00960F72" w:rsidRDefault="007C31D6" w:rsidP="007C31D6">
      <w:pPr>
        <w:spacing w:after="0" w:line="276" w:lineRule="auto"/>
        <w:jc w:val="both"/>
        <w:rPr>
          <w:rFonts w:ascii="Verdana" w:eastAsia="Calibri" w:hAnsi="Verdana" w:cs="Arial"/>
          <w:lang w:eastAsia="es-ES"/>
        </w:rPr>
      </w:pPr>
    </w:p>
    <w:p w14:paraId="7E35BB9E" w14:textId="55621289" w:rsidR="00D62793" w:rsidRPr="00D62793" w:rsidRDefault="00D62793" w:rsidP="00D62793">
      <w:pPr>
        <w:spacing w:after="0" w:line="276"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D62793">
        <w:rPr>
          <w:rFonts w:ascii="Verdana" w:eastAsia="Calibri" w:hAnsi="Verdana" w:cs="Arial"/>
          <w:sz w:val="20"/>
          <w:szCs w:val="20"/>
          <w:lang w:eastAsia="es-ES"/>
        </w:rPr>
        <w:t>1. ¿Es jurídicamente procedente que las entidades</w:t>
      </w:r>
      <w:r>
        <w:rPr>
          <w:rFonts w:ascii="Verdana" w:eastAsia="Calibri" w:hAnsi="Verdana" w:cs="Arial"/>
          <w:sz w:val="20"/>
          <w:szCs w:val="20"/>
          <w:lang w:eastAsia="es-ES"/>
        </w:rPr>
        <w:t xml:space="preserve"> </w:t>
      </w:r>
      <w:r w:rsidRPr="00D62793">
        <w:rPr>
          <w:rFonts w:ascii="Verdana" w:eastAsia="Calibri" w:hAnsi="Verdana" w:cs="Arial"/>
          <w:sz w:val="20"/>
          <w:szCs w:val="20"/>
          <w:lang w:eastAsia="es-ES"/>
        </w:rPr>
        <w:t>territoriales realicen enajenación directa de predios fiscales</w:t>
      </w:r>
      <w:r>
        <w:rPr>
          <w:rFonts w:ascii="Verdana" w:eastAsia="Calibri" w:hAnsi="Verdana" w:cs="Arial"/>
          <w:sz w:val="20"/>
          <w:szCs w:val="20"/>
          <w:lang w:eastAsia="es-ES"/>
        </w:rPr>
        <w:t xml:space="preserve"> </w:t>
      </w:r>
      <w:r w:rsidRPr="00D62793">
        <w:rPr>
          <w:rFonts w:ascii="Verdana" w:eastAsia="Calibri" w:hAnsi="Verdana" w:cs="Arial"/>
          <w:sz w:val="20"/>
          <w:szCs w:val="20"/>
          <w:lang w:eastAsia="es-ES"/>
        </w:rPr>
        <w:t>a ciudadanos ocupantes, durante en vigencia de la ley de</w:t>
      </w:r>
      <w:r>
        <w:rPr>
          <w:rFonts w:ascii="Verdana" w:eastAsia="Calibri" w:hAnsi="Verdana" w:cs="Arial"/>
          <w:sz w:val="20"/>
          <w:szCs w:val="20"/>
          <w:lang w:eastAsia="es-ES"/>
        </w:rPr>
        <w:t xml:space="preserve"> </w:t>
      </w:r>
      <w:r w:rsidRPr="00D62793">
        <w:rPr>
          <w:rFonts w:ascii="Verdana" w:eastAsia="Calibri" w:hAnsi="Verdana" w:cs="Arial"/>
          <w:sz w:val="20"/>
          <w:szCs w:val="20"/>
          <w:lang w:eastAsia="es-ES"/>
        </w:rPr>
        <w:t>garantías?</w:t>
      </w:r>
    </w:p>
    <w:p w14:paraId="2C1BAAF6" w14:textId="042A8B8D" w:rsidR="00D62793" w:rsidRPr="00D62793" w:rsidRDefault="00D62793" w:rsidP="00D62793">
      <w:pPr>
        <w:spacing w:after="0" w:line="276" w:lineRule="auto"/>
        <w:ind w:left="709" w:right="709"/>
        <w:jc w:val="both"/>
        <w:rPr>
          <w:rFonts w:ascii="Verdana" w:eastAsia="Calibri" w:hAnsi="Verdana" w:cs="Arial"/>
          <w:sz w:val="20"/>
          <w:szCs w:val="20"/>
          <w:lang w:eastAsia="es-ES"/>
        </w:rPr>
      </w:pPr>
      <w:r w:rsidRPr="00D62793">
        <w:rPr>
          <w:rFonts w:ascii="Verdana" w:eastAsia="Calibri" w:hAnsi="Verdana" w:cs="Arial"/>
          <w:sz w:val="20"/>
          <w:szCs w:val="20"/>
          <w:lang w:eastAsia="es-ES"/>
        </w:rPr>
        <w:t>2. ¿Es jurídicamente procedente que las entidades</w:t>
      </w:r>
      <w:r>
        <w:rPr>
          <w:rFonts w:ascii="Verdana" w:eastAsia="Calibri" w:hAnsi="Verdana" w:cs="Arial"/>
          <w:sz w:val="20"/>
          <w:szCs w:val="20"/>
          <w:lang w:eastAsia="es-ES"/>
        </w:rPr>
        <w:t xml:space="preserve"> </w:t>
      </w:r>
      <w:r w:rsidRPr="00D62793">
        <w:rPr>
          <w:rFonts w:ascii="Verdana" w:eastAsia="Calibri" w:hAnsi="Verdana" w:cs="Arial"/>
          <w:sz w:val="20"/>
          <w:szCs w:val="20"/>
          <w:lang w:eastAsia="es-ES"/>
        </w:rPr>
        <w:t>territoriales realicen cesión de fiscales a particulares</w:t>
      </w:r>
      <w:r>
        <w:rPr>
          <w:rFonts w:ascii="Verdana" w:eastAsia="Calibri" w:hAnsi="Verdana" w:cs="Arial"/>
          <w:sz w:val="20"/>
          <w:szCs w:val="20"/>
          <w:lang w:eastAsia="es-ES"/>
        </w:rPr>
        <w:t xml:space="preserve"> </w:t>
      </w:r>
      <w:r w:rsidRPr="00D62793">
        <w:rPr>
          <w:rFonts w:ascii="Verdana" w:eastAsia="Calibri" w:hAnsi="Verdana" w:cs="Arial"/>
          <w:sz w:val="20"/>
          <w:szCs w:val="20"/>
          <w:lang w:eastAsia="es-ES"/>
        </w:rPr>
        <w:t>durante en vigencia de la ley de garantías?</w:t>
      </w:r>
    </w:p>
    <w:p w14:paraId="76F727F6" w14:textId="3DE93D39" w:rsidR="007C31D6" w:rsidRDefault="00D62793" w:rsidP="00D62793">
      <w:pPr>
        <w:spacing w:after="0" w:line="276" w:lineRule="auto"/>
        <w:ind w:left="709" w:right="709"/>
        <w:jc w:val="both"/>
        <w:rPr>
          <w:rFonts w:ascii="Verdana" w:eastAsia="Calibri" w:hAnsi="Verdana" w:cs="Arial"/>
          <w:sz w:val="20"/>
          <w:szCs w:val="20"/>
          <w:lang w:eastAsia="es-ES"/>
        </w:rPr>
      </w:pPr>
      <w:r w:rsidRPr="00D62793">
        <w:rPr>
          <w:rFonts w:ascii="Verdana" w:eastAsia="Calibri" w:hAnsi="Verdana" w:cs="Arial"/>
          <w:sz w:val="20"/>
          <w:szCs w:val="20"/>
          <w:lang w:eastAsia="es-ES"/>
        </w:rPr>
        <w:t>3. Qu</w:t>
      </w:r>
      <w:r>
        <w:rPr>
          <w:rFonts w:ascii="Verdana" w:eastAsia="Calibri" w:hAnsi="Verdana" w:cs="Arial"/>
          <w:sz w:val="20"/>
          <w:szCs w:val="20"/>
          <w:lang w:eastAsia="es-ES"/>
        </w:rPr>
        <w:t>é</w:t>
      </w:r>
      <w:r w:rsidRPr="00D62793">
        <w:rPr>
          <w:rFonts w:ascii="Verdana" w:eastAsia="Calibri" w:hAnsi="Verdana" w:cs="Arial"/>
          <w:sz w:val="20"/>
          <w:szCs w:val="20"/>
          <w:lang w:eastAsia="es-ES"/>
        </w:rPr>
        <w:t xml:space="preserve"> restricciones presenta la Ley de Garantías en torno a</w:t>
      </w:r>
      <w:r>
        <w:rPr>
          <w:rFonts w:ascii="Verdana" w:eastAsia="Calibri" w:hAnsi="Verdana" w:cs="Arial"/>
          <w:sz w:val="20"/>
          <w:szCs w:val="20"/>
          <w:lang w:eastAsia="es-ES"/>
        </w:rPr>
        <w:t xml:space="preserve"> </w:t>
      </w:r>
      <w:r w:rsidRPr="00D62793">
        <w:rPr>
          <w:rFonts w:ascii="Verdana" w:eastAsia="Calibri" w:hAnsi="Verdana" w:cs="Arial"/>
          <w:sz w:val="20"/>
          <w:szCs w:val="20"/>
          <w:lang w:eastAsia="es-ES"/>
        </w:rPr>
        <w:t>la gestión predial</w:t>
      </w:r>
      <w:r>
        <w:rPr>
          <w:rFonts w:ascii="Verdana" w:eastAsia="Calibri" w:hAnsi="Verdana" w:cs="Arial"/>
          <w:sz w:val="20"/>
          <w:szCs w:val="20"/>
          <w:lang w:eastAsia="es-ES"/>
        </w:rPr>
        <w:t>?</w:t>
      </w:r>
      <w:r w:rsidR="007C31D6">
        <w:rPr>
          <w:rFonts w:ascii="Verdana" w:eastAsia="Calibri" w:hAnsi="Verdana" w:cs="Arial"/>
          <w:sz w:val="20"/>
          <w:szCs w:val="20"/>
          <w:lang w:eastAsia="es-ES"/>
        </w:rPr>
        <w:t xml:space="preserve">”. </w:t>
      </w:r>
    </w:p>
    <w:p w14:paraId="02C50C52" w14:textId="77777777" w:rsidR="007C31D6" w:rsidRPr="00755387" w:rsidRDefault="007C31D6" w:rsidP="007C31D6">
      <w:pPr>
        <w:spacing w:after="0" w:line="276" w:lineRule="auto"/>
        <w:ind w:right="709"/>
        <w:jc w:val="both"/>
        <w:rPr>
          <w:rFonts w:ascii="Verdana" w:eastAsia="Calibri" w:hAnsi="Verdana" w:cs="Arial"/>
          <w:lang w:eastAsia="es-ES"/>
        </w:rPr>
      </w:pPr>
    </w:p>
    <w:p w14:paraId="5C765451" w14:textId="77777777" w:rsidR="007C31D6" w:rsidRPr="00960F72" w:rsidRDefault="007C31D6" w:rsidP="007C31D6">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w:t>
      </w:r>
      <w:r w:rsidRPr="00960F72">
        <w:rPr>
          <w:rFonts w:ascii="Verdana" w:eastAsia="Calibri" w:hAnsi="Verdana" w:cs="Arial"/>
          <w:lang w:eastAsia="es-ES"/>
        </w:rPr>
        <w:lastRenderedPageBreak/>
        <w:t xml:space="preserve">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428D9FEA" w14:textId="77777777" w:rsidR="007C31D6" w:rsidRDefault="007C31D6" w:rsidP="007C31D6">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1AD97762" w14:textId="77777777" w:rsidR="007C31D6" w:rsidRPr="00960F72" w:rsidRDefault="007C31D6" w:rsidP="00D62793">
      <w:pPr>
        <w:spacing w:after="0" w:line="276" w:lineRule="auto"/>
        <w:jc w:val="both"/>
        <w:rPr>
          <w:rFonts w:ascii="Verdana" w:eastAsia="Calibri" w:hAnsi="Verdana" w:cs="Arial"/>
          <w:lang w:eastAsia="es-ES"/>
        </w:rPr>
      </w:pPr>
    </w:p>
    <w:p w14:paraId="23C5BC0D" w14:textId="77777777" w:rsidR="007C31D6" w:rsidRPr="00960F72"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73CC0334" w14:textId="77777777" w:rsidR="007C31D6" w:rsidRPr="00960F72" w:rsidRDefault="007C31D6" w:rsidP="007C31D6">
      <w:pPr>
        <w:tabs>
          <w:tab w:val="left" w:pos="426"/>
        </w:tabs>
        <w:spacing w:after="0" w:line="276" w:lineRule="auto"/>
        <w:jc w:val="both"/>
        <w:rPr>
          <w:rFonts w:ascii="Verdana" w:eastAsia="Century Gothic" w:hAnsi="Verdana" w:cs="Century Gothic"/>
        </w:rPr>
      </w:pPr>
    </w:p>
    <w:p w14:paraId="74A3E2D7" w14:textId="22B5CF85" w:rsidR="007C31D6" w:rsidRPr="007801A6" w:rsidRDefault="007C31D6" w:rsidP="007C31D6">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7801A6">
        <w:rPr>
          <w:rFonts w:ascii="Verdana" w:eastAsia="Century Gothic" w:hAnsi="Verdana" w:cs="Century Gothic"/>
        </w:rPr>
        <w:t>¿</w:t>
      </w:r>
      <w:r w:rsidR="00D62793" w:rsidRPr="00D62793">
        <w:rPr>
          <w:rFonts w:ascii="Verdana" w:eastAsia="Century Gothic" w:hAnsi="Verdana" w:cs="Century Gothic"/>
        </w:rPr>
        <w:t>Las entidades territoriales pueden adelantar procesos de enajenación directa o cesión de bienes fiscales a particulares durante la vigencia de la Ley de Garantías Electorales, o dichas actuaciones se encuentran restringidas por dicha normativa?</w:t>
      </w:r>
      <w:r>
        <w:rPr>
          <w:rFonts w:ascii="Verdana" w:eastAsia="Century Gothic" w:hAnsi="Verdana" w:cs="Century Gothic"/>
        </w:rPr>
        <w:t xml:space="preserve"> </w:t>
      </w:r>
    </w:p>
    <w:p w14:paraId="4E42432C" w14:textId="77777777" w:rsidR="007C31D6" w:rsidRPr="00960F72" w:rsidRDefault="007C31D6" w:rsidP="007C31D6">
      <w:pPr>
        <w:spacing w:after="0" w:line="276" w:lineRule="auto"/>
        <w:jc w:val="both"/>
        <w:rPr>
          <w:rFonts w:ascii="Verdana" w:eastAsia="Century Gothic" w:hAnsi="Verdana" w:cs="Century Gothic"/>
        </w:rPr>
      </w:pPr>
    </w:p>
    <w:p w14:paraId="5F17CC91" w14:textId="77777777" w:rsidR="007C31D6"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2F0FD1DC" w14:textId="77777777" w:rsidR="007C31D6" w:rsidRPr="00027E7B" w:rsidRDefault="007C31D6" w:rsidP="007C31D6">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C31D6" w:rsidRPr="00960F72" w14:paraId="3CC15C7C" w14:textId="77777777" w:rsidTr="000E7260">
        <w:tc>
          <w:tcPr>
            <w:tcW w:w="8828" w:type="dxa"/>
          </w:tcPr>
          <w:p w14:paraId="57A6C39D" w14:textId="77777777" w:rsidR="00D62793" w:rsidRDefault="00D62793" w:rsidP="00D62793">
            <w:pPr>
              <w:spacing w:after="120" w:line="276" w:lineRule="auto"/>
              <w:jc w:val="both"/>
              <w:rPr>
                <w:rFonts w:ascii="Verdana" w:eastAsia="Calibri" w:hAnsi="Verdana" w:cs="Arial"/>
                <w:lang w:val="es-MX"/>
              </w:rPr>
            </w:pPr>
            <w:r>
              <w:rPr>
                <w:rFonts w:ascii="Verdana" w:eastAsia="Calibri" w:hAnsi="Verdana" w:cs="Arial"/>
                <w:lang w:val="es-MX"/>
              </w:rPr>
              <w:t xml:space="preserve">Conforme a la interpretación general de las normas del sistema de compras públicas, </w:t>
            </w:r>
            <w:r>
              <w:rPr>
                <w:rFonts w:ascii="Verdana" w:eastAsia="Times New Roman" w:hAnsi="Verdana" w:cs="Arial"/>
                <w:bCs/>
                <w:lang w:val="es-MX" w:eastAsia="x-none"/>
              </w:rPr>
              <w:t>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33AB3481" w14:textId="77777777" w:rsidR="00D62793" w:rsidRDefault="00D62793" w:rsidP="00D62793">
            <w:pPr>
              <w:spacing w:after="120" w:line="276" w:lineRule="auto"/>
              <w:ind w:firstLine="743"/>
              <w:jc w:val="both"/>
              <w:rPr>
                <w:rFonts w:ascii="Verdana" w:eastAsia="Times New Roman" w:hAnsi="Verdana" w:cs="Arial"/>
                <w:bCs/>
                <w:lang w:eastAsia="x-none"/>
              </w:rPr>
            </w:pPr>
            <w:r>
              <w:rPr>
                <w:rFonts w:ascii="Verdana" w:eastAsia="Times New Roman" w:hAnsi="Verdana" w:cs="Arial"/>
                <w:lang w:val="es-ES" w:eastAsia="es-ES_tradnl"/>
              </w:rPr>
              <w:lastRenderedPageBreak/>
              <w:t>En virtud de esta restricción y de acuerdo con lo señalado en los conceptos C-1799 y C-1501 de 2025</w:t>
            </w:r>
            <w:r>
              <w:rPr>
                <w:rFonts w:ascii="Verdana" w:eastAsia="Times New Roman" w:hAnsi="Verdana" w:cs="Arial"/>
                <w:bCs/>
                <w:lang w:eastAsia="x-none"/>
              </w:rPr>
              <w:t>, se</w:t>
            </w:r>
            <w:r w:rsidRPr="00611BBF">
              <w:rPr>
                <w:rFonts w:ascii="Verdana" w:eastAsia="Calibri" w:hAnsi="Verdana" w:cs="Arial"/>
              </w:rPr>
              <w:t xml:space="preserve"> precisa que </w:t>
            </w:r>
            <w:r w:rsidRPr="00ED2EBA">
              <w:rPr>
                <w:rFonts w:ascii="Verdana" w:eastAsia="Calibri" w:hAnsi="Verdana" w:cs="Arial"/>
              </w:rPr>
              <w:t xml:space="preserve">la restricción prevista en el artículo 33 de la Ley 996 de 2005 no resulta aplicable al </w:t>
            </w:r>
            <w:r>
              <w:rPr>
                <w:rFonts w:ascii="Verdana" w:eastAsia="Calibri" w:hAnsi="Verdana" w:cs="Arial"/>
              </w:rPr>
              <w:t xml:space="preserve">procedimiento </w:t>
            </w:r>
            <w:r w:rsidRPr="0013781B">
              <w:rPr>
                <w:rFonts w:ascii="Verdana" w:eastAsia="Calibri" w:hAnsi="Verdana" w:cs="Arial"/>
                <w:lang w:val="es-ES"/>
              </w:rPr>
              <w:t>administrativo de adquisición</w:t>
            </w:r>
            <w:r>
              <w:rPr>
                <w:rFonts w:ascii="Verdana" w:eastAsia="Calibri" w:hAnsi="Verdana" w:cs="Arial"/>
                <w:lang w:val="es-ES"/>
              </w:rPr>
              <w:t xml:space="preserve"> predial</w:t>
            </w:r>
            <w:r w:rsidRPr="0013781B">
              <w:rPr>
                <w:rFonts w:ascii="Verdana" w:eastAsia="Calibri" w:hAnsi="Verdana" w:cs="Arial"/>
                <w:lang w:val="es-ES"/>
              </w:rPr>
              <w:t xml:space="preserve"> </w:t>
            </w:r>
            <w:r w:rsidRPr="00DF2532">
              <w:rPr>
                <w:rFonts w:ascii="Verdana" w:eastAsia="Calibri" w:hAnsi="Verdana" w:cs="Arial"/>
                <w:i/>
                <w:iCs/>
              </w:rPr>
              <w:t>en sí mismo</w:t>
            </w:r>
            <w:r w:rsidRPr="00ED2EBA">
              <w:rPr>
                <w:rFonts w:ascii="Verdana" w:eastAsia="Calibri" w:hAnsi="Verdana" w:cs="Arial"/>
              </w:rPr>
              <w:t>,</w:t>
            </w:r>
            <w:r>
              <w:rPr>
                <w:rFonts w:ascii="Verdana" w:eastAsia="Calibri" w:hAnsi="Verdana" w:cs="Arial"/>
              </w:rPr>
              <w:t xml:space="preserve"> en su etapa preparatoria o preliminar, </w:t>
            </w:r>
            <w:r w:rsidRPr="00ED2EBA">
              <w:rPr>
                <w:rFonts w:ascii="Verdana" w:eastAsia="Calibri" w:hAnsi="Verdana" w:cs="Arial"/>
              </w:rPr>
              <w:t>en la medida en que dicho artículo se refiere a</w:t>
            </w:r>
            <w:r>
              <w:rPr>
                <w:rFonts w:ascii="Verdana" w:eastAsia="Calibri" w:hAnsi="Verdana" w:cs="Arial"/>
              </w:rPr>
              <w:t xml:space="preserve"> la </w:t>
            </w:r>
            <w:r w:rsidRPr="0087731C">
              <w:rPr>
                <w:rFonts w:ascii="Verdana" w:eastAsia="Calibri" w:hAnsi="Verdana" w:cs="Arial"/>
                <w:bCs/>
                <w:lang w:val="es-MX"/>
              </w:rPr>
              <w:t>celebra</w:t>
            </w:r>
            <w:r>
              <w:rPr>
                <w:rFonts w:ascii="Verdana" w:eastAsia="Calibri" w:hAnsi="Verdana" w:cs="Arial"/>
                <w:bCs/>
                <w:lang w:val="es-MX"/>
              </w:rPr>
              <w:t xml:space="preserve">ción de </w:t>
            </w:r>
            <w:r w:rsidRPr="0087731C">
              <w:rPr>
                <w:rFonts w:ascii="Verdana" w:eastAsia="Calibri" w:hAnsi="Verdana" w:cs="Arial"/>
                <w:bCs/>
                <w:lang w:val="es-MX"/>
              </w:rPr>
              <w:t>contrato</w:t>
            </w:r>
            <w:r>
              <w:rPr>
                <w:rFonts w:ascii="Verdana" w:eastAsia="Calibri" w:hAnsi="Verdana" w:cs="Arial"/>
                <w:bCs/>
                <w:lang w:val="es-MX"/>
              </w:rPr>
              <w:t>s</w:t>
            </w:r>
            <w:r w:rsidRPr="0087731C">
              <w:rPr>
                <w:rFonts w:ascii="Verdana" w:eastAsia="Calibri" w:hAnsi="Verdana" w:cs="Arial"/>
                <w:bCs/>
                <w:lang w:val="es-MX"/>
              </w:rPr>
              <w:t xml:space="preserve"> de forma directa, </w:t>
            </w:r>
            <w:r w:rsidRPr="00ED2EBA">
              <w:rPr>
                <w:rFonts w:ascii="Verdana" w:eastAsia="Calibri" w:hAnsi="Verdana" w:cs="Arial"/>
              </w:rPr>
              <w:t>y</w:t>
            </w:r>
            <w:r w:rsidRPr="00611BBF">
              <w:rPr>
                <w:rFonts w:ascii="Verdana" w:eastAsia="Calibri" w:hAnsi="Verdana" w:cs="Arial"/>
              </w:rPr>
              <w:t xml:space="preserve"> no a</w:t>
            </w:r>
            <w:r>
              <w:rPr>
                <w:rFonts w:ascii="Verdana" w:eastAsia="Calibri" w:hAnsi="Verdana" w:cs="Arial"/>
              </w:rPr>
              <w:t xml:space="preserve"> las</w:t>
            </w:r>
            <w:r w:rsidRPr="00611BBF">
              <w:rPr>
                <w:rFonts w:ascii="Verdana" w:eastAsia="Calibri" w:hAnsi="Verdana" w:cs="Arial"/>
              </w:rPr>
              <w:t xml:space="preserve"> actuaciones administrativas</w:t>
            </w:r>
            <w:r>
              <w:rPr>
                <w:rFonts w:ascii="Verdana" w:eastAsia="Calibri" w:hAnsi="Verdana" w:cs="Arial"/>
              </w:rPr>
              <w:t xml:space="preserve"> que se puedan generar previamente</w:t>
            </w:r>
            <w:r w:rsidRPr="00494FAF">
              <w:rPr>
                <w:rFonts w:ascii="Verdana" w:eastAsia="Times New Roman" w:hAnsi="Verdana" w:cs="Arial"/>
                <w:bCs/>
                <w:lang w:eastAsia="x-none"/>
              </w:rPr>
              <w:t xml:space="preserve">. En tal sentido, la gestión predial no se ve paralizada durante el período de restricción. </w:t>
            </w:r>
          </w:p>
          <w:p w14:paraId="4A0A03DE" w14:textId="77777777" w:rsidR="00D62793" w:rsidRPr="00FD2412" w:rsidRDefault="00D62793" w:rsidP="00D62793">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lang w:val="es-ES"/>
              </w:rPr>
            </w:pPr>
            <w:r>
              <w:rPr>
                <w:rFonts w:ascii="Verdana" w:eastAsia="Calibri" w:hAnsi="Verdana" w:cs="Arial"/>
                <w:sz w:val="22"/>
                <w:szCs w:val="22"/>
                <w:lang w:val="es-ES"/>
              </w:rPr>
              <w:t xml:space="preserve">Así, se reconoce que </w:t>
            </w:r>
            <w:r w:rsidRPr="0013781B">
              <w:rPr>
                <w:rFonts w:ascii="Verdana" w:eastAsia="Calibri" w:hAnsi="Verdana" w:cs="Arial"/>
                <w:sz w:val="22"/>
                <w:szCs w:val="22"/>
                <w:lang w:val="es-ES"/>
              </w:rPr>
              <w:t>el procedimiento administrativo de adquisición</w:t>
            </w:r>
            <w:r>
              <w:rPr>
                <w:rFonts w:ascii="Verdana" w:eastAsia="Calibri" w:hAnsi="Verdana" w:cs="Arial"/>
                <w:sz w:val="22"/>
                <w:szCs w:val="22"/>
                <w:lang w:val="es-ES"/>
              </w:rPr>
              <w:t xml:space="preserve"> predial</w:t>
            </w:r>
            <w:r w:rsidRPr="0013781B">
              <w:rPr>
                <w:rFonts w:ascii="Verdana" w:eastAsia="Calibri" w:hAnsi="Verdana" w:cs="Arial"/>
                <w:sz w:val="22"/>
                <w:szCs w:val="22"/>
                <w:lang w:val="es-ES"/>
              </w:rPr>
              <w:t xml:space="preserve"> por motivos de utilidad pública e interés social no constituye un procedimiento sometido al E</w:t>
            </w:r>
            <w:r>
              <w:rPr>
                <w:rFonts w:ascii="Verdana" w:eastAsia="Calibri" w:hAnsi="Verdana" w:cs="Arial"/>
                <w:sz w:val="22"/>
                <w:szCs w:val="22"/>
                <w:lang w:val="es-ES"/>
              </w:rPr>
              <w:t xml:space="preserve">GCAP, puesto que se </w:t>
            </w:r>
            <w:r w:rsidRPr="0013781B">
              <w:rPr>
                <w:rFonts w:ascii="Verdana" w:eastAsia="Calibri" w:hAnsi="Verdana" w:cs="Arial"/>
                <w:sz w:val="22"/>
                <w:szCs w:val="22"/>
                <w:lang w:val="es-ES"/>
              </w:rPr>
              <w:t>trata de un procedimiento especial, dotado de finalidad, etapas y reglas propias, cuya regulación se encuentra prevista de manera específica en</w:t>
            </w:r>
            <w:r w:rsidRPr="007B37F8">
              <w:rPr>
                <w:rFonts w:asciiTheme="minorHAnsi" w:eastAsiaTheme="minorHAnsi" w:hAnsiTheme="minorHAnsi" w:cstheme="minorBidi"/>
                <w:sz w:val="22"/>
                <w:szCs w:val="22"/>
                <w:lang w:eastAsia="en-US"/>
              </w:rPr>
              <w:t xml:space="preserve"> </w:t>
            </w:r>
            <w:r w:rsidRPr="007B37F8">
              <w:rPr>
                <w:rFonts w:ascii="Verdana" w:eastAsia="Calibri" w:hAnsi="Verdana" w:cs="Arial"/>
                <w:sz w:val="22"/>
                <w:szCs w:val="22"/>
              </w:rPr>
              <w:t>Leyes 9 de 1989, 388 de 1997 y 1682 de 2013</w:t>
            </w:r>
            <w:r w:rsidRPr="0013781B">
              <w:rPr>
                <w:rFonts w:ascii="Verdana" w:eastAsia="Calibri" w:hAnsi="Verdana" w:cs="Arial"/>
                <w:sz w:val="22"/>
                <w:szCs w:val="22"/>
                <w:lang w:val="es-ES"/>
              </w:rPr>
              <w:t>, lo que lo sustrae del régimen general de la contratación estatal.</w:t>
            </w:r>
            <w:r>
              <w:rPr>
                <w:rFonts w:ascii="Verdana" w:eastAsia="Calibri" w:hAnsi="Verdana" w:cs="Arial"/>
                <w:sz w:val="22"/>
                <w:szCs w:val="22"/>
                <w:lang w:val="es-ES"/>
              </w:rPr>
              <w:t xml:space="preserve"> </w:t>
            </w:r>
            <w:r w:rsidRPr="0013781B">
              <w:rPr>
                <w:rFonts w:ascii="Verdana" w:eastAsia="Calibri" w:hAnsi="Verdana" w:cs="Arial"/>
                <w:sz w:val="22"/>
                <w:szCs w:val="22"/>
                <w:lang w:val="es-ES"/>
              </w:rPr>
              <w:t>Esta caracterización ha sido reiterada en los conceptos previamente citados, en los cuales se concluyó que dicho procedimiento se rige por un</w:t>
            </w:r>
            <w:r>
              <w:rPr>
                <w:rFonts w:ascii="Verdana" w:eastAsia="Calibri" w:hAnsi="Verdana" w:cs="Arial"/>
                <w:sz w:val="22"/>
                <w:szCs w:val="22"/>
                <w:lang w:val="es-ES"/>
              </w:rPr>
              <w:t xml:space="preserve">as reglas especiales. </w:t>
            </w:r>
          </w:p>
          <w:p w14:paraId="7D432EAA" w14:textId="77777777" w:rsidR="00D62793" w:rsidRDefault="00D62793" w:rsidP="00D62793">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Pr>
                <w:rFonts w:ascii="Verdana" w:eastAsia="Calibri" w:hAnsi="Verdana" w:cs="Arial"/>
                <w:sz w:val="22"/>
                <w:szCs w:val="22"/>
              </w:rPr>
              <w:t>De esta manera</w:t>
            </w:r>
            <w:r w:rsidRPr="00B61452">
              <w:rPr>
                <w:rFonts w:ascii="Verdana" w:eastAsia="Calibri" w:hAnsi="Verdana" w:cs="Arial"/>
                <w:sz w:val="22"/>
                <w:szCs w:val="22"/>
              </w:rPr>
              <w:t xml:space="preserve">, </w:t>
            </w:r>
            <w:r w:rsidRPr="009C69E1">
              <w:rPr>
                <w:rFonts w:ascii="Verdana" w:eastAsia="Calibri" w:hAnsi="Verdana" w:cs="Arial"/>
                <w:sz w:val="22"/>
                <w:szCs w:val="22"/>
              </w:rPr>
              <w:t xml:space="preserve">todos los trámites preparatorios y actuaciones administrativas </w:t>
            </w:r>
            <w:r>
              <w:rPr>
                <w:rFonts w:ascii="Verdana" w:eastAsia="Calibri" w:hAnsi="Verdana" w:cs="Arial"/>
                <w:sz w:val="22"/>
                <w:szCs w:val="22"/>
              </w:rPr>
              <w:t xml:space="preserve">de gestión predial </w:t>
            </w:r>
            <w:r w:rsidRPr="00B61452">
              <w:rPr>
                <w:rFonts w:ascii="Verdana" w:eastAsia="Calibri" w:hAnsi="Verdana" w:cs="Arial"/>
                <w:sz w:val="22"/>
                <w:szCs w:val="22"/>
              </w:rPr>
              <w:t>que se surtan dentro de este procedimiento especial</w:t>
            </w:r>
            <w:r>
              <w:rPr>
                <w:rFonts w:ascii="Verdana" w:eastAsia="Calibri" w:hAnsi="Verdana" w:cs="Arial"/>
                <w:sz w:val="22"/>
                <w:szCs w:val="22"/>
              </w:rPr>
              <w:t xml:space="preserve">, </w:t>
            </w:r>
            <w:r w:rsidRPr="00B61452">
              <w:rPr>
                <w:rFonts w:ascii="Verdana" w:eastAsia="Calibri" w:hAnsi="Verdana" w:cs="Arial"/>
                <w:sz w:val="22"/>
                <w:szCs w:val="22"/>
              </w:rPr>
              <w:t xml:space="preserve">tales como los avalúos, las ofertas de compra, las negociaciones preliminares y demás actuaciones que no impliquen la celebración de </w:t>
            </w:r>
            <w:r w:rsidRPr="0044553E">
              <w:rPr>
                <w:rFonts w:ascii="Verdana" w:eastAsia="Calibri" w:hAnsi="Verdana" w:cs="Arial"/>
                <w:sz w:val="22"/>
                <w:szCs w:val="22"/>
              </w:rPr>
              <w:t>u</w:t>
            </w:r>
            <w:r>
              <w:rPr>
                <w:rFonts w:ascii="Verdana" w:eastAsia="Calibri" w:hAnsi="Verdana" w:cs="Arial"/>
                <w:sz w:val="22"/>
                <w:szCs w:val="22"/>
              </w:rPr>
              <w:t>na promesa de compraventa o contrato compraventa o cualquier otro contrato,</w:t>
            </w:r>
            <w:r w:rsidRPr="0044553E">
              <w:rPr>
                <w:rFonts w:ascii="Verdana" w:eastAsia="Calibri" w:hAnsi="Verdana" w:cs="Arial"/>
                <w:sz w:val="22"/>
                <w:szCs w:val="22"/>
              </w:rPr>
              <w:t xml:space="preserve"> pueden adelantarse válidamente, incluso durante el período de restricción previsto en la </w:t>
            </w:r>
            <w:r>
              <w:rPr>
                <w:rFonts w:ascii="Verdana" w:eastAsia="Calibri" w:hAnsi="Verdana" w:cs="Arial"/>
                <w:sz w:val="22"/>
                <w:szCs w:val="22"/>
              </w:rPr>
              <w:t>L</w:t>
            </w:r>
            <w:r w:rsidRPr="0044553E">
              <w:rPr>
                <w:rFonts w:ascii="Verdana" w:eastAsia="Calibri" w:hAnsi="Verdana" w:cs="Arial"/>
                <w:sz w:val="22"/>
                <w:szCs w:val="22"/>
              </w:rPr>
              <w:t xml:space="preserve">ey de </w:t>
            </w:r>
            <w:r>
              <w:rPr>
                <w:rFonts w:ascii="Verdana" w:eastAsia="Calibri" w:hAnsi="Verdana" w:cs="Arial"/>
                <w:sz w:val="22"/>
                <w:szCs w:val="22"/>
              </w:rPr>
              <w:t>G</w:t>
            </w:r>
            <w:r w:rsidRPr="0044553E">
              <w:rPr>
                <w:rFonts w:ascii="Verdana" w:eastAsia="Calibri" w:hAnsi="Verdana" w:cs="Arial"/>
                <w:sz w:val="22"/>
                <w:szCs w:val="22"/>
              </w:rPr>
              <w:t>arantías</w:t>
            </w:r>
            <w:r>
              <w:rPr>
                <w:rFonts w:ascii="Verdana" w:eastAsia="Calibri" w:hAnsi="Verdana" w:cs="Arial"/>
                <w:sz w:val="22"/>
                <w:szCs w:val="22"/>
              </w:rPr>
              <w:t xml:space="preserve"> Electorales</w:t>
            </w:r>
            <w:r w:rsidRPr="0044553E">
              <w:rPr>
                <w:rFonts w:ascii="Verdana" w:eastAsia="Calibri" w:hAnsi="Verdana" w:cs="Arial"/>
                <w:sz w:val="22"/>
                <w:szCs w:val="22"/>
              </w:rPr>
              <w:t>, por cuanto no configuran</w:t>
            </w:r>
            <w:r>
              <w:rPr>
                <w:rFonts w:ascii="Verdana" w:eastAsia="Calibri" w:hAnsi="Verdana" w:cs="Arial"/>
                <w:sz w:val="22"/>
                <w:szCs w:val="22"/>
              </w:rPr>
              <w:t xml:space="preserve"> los</w:t>
            </w:r>
            <w:r w:rsidRPr="0044553E">
              <w:rPr>
                <w:rFonts w:ascii="Verdana" w:eastAsia="Calibri" w:hAnsi="Verdana" w:cs="Arial"/>
                <w:sz w:val="22"/>
                <w:szCs w:val="22"/>
              </w:rPr>
              <w:t xml:space="preserve"> supuestos de contratación </w:t>
            </w:r>
            <w:r>
              <w:rPr>
                <w:rFonts w:ascii="Verdana" w:eastAsia="Calibri" w:hAnsi="Verdana" w:cs="Arial"/>
                <w:sz w:val="22"/>
                <w:szCs w:val="22"/>
              </w:rPr>
              <w:t>directa al que se refiere el artículo en comento</w:t>
            </w:r>
            <w:r w:rsidRPr="0044553E">
              <w:rPr>
                <w:rFonts w:ascii="Verdana" w:eastAsia="Calibri" w:hAnsi="Verdana" w:cs="Arial"/>
                <w:sz w:val="22"/>
                <w:szCs w:val="22"/>
              </w:rPr>
              <w:t>.</w:t>
            </w:r>
          </w:p>
          <w:p w14:paraId="156239DB" w14:textId="77777777" w:rsidR="00D62793" w:rsidRPr="000D58B6" w:rsidRDefault="00D62793" w:rsidP="00D62793">
            <w:pPr>
              <w:spacing w:after="120" w:line="276" w:lineRule="auto"/>
              <w:ind w:firstLine="709"/>
              <w:jc w:val="both"/>
              <w:rPr>
                <w:rFonts w:ascii="Verdana" w:hAnsi="Verdana" w:cs="Arial"/>
                <w:bCs/>
                <w:lang w:eastAsia="es-CO"/>
              </w:rPr>
            </w:pPr>
            <w:r>
              <w:rPr>
                <w:rFonts w:ascii="Verdana" w:eastAsia="Times New Roman" w:hAnsi="Verdana" w:cs="Arial"/>
              </w:rPr>
              <w:t>E</w:t>
            </w:r>
            <w:r w:rsidRPr="00FB77DC">
              <w:rPr>
                <w:rFonts w:ascii="Verdana" w:eastAsia="Times New Roman" w:hAnsi="Verdana" w:cs="Arial"/>
              </w:rPr>
              <w:t xml:space="preserve">n ese orden de ideas, corresponde a la entidad verificar la naturaleza jurídica de las actuaciones </w:t>
            </w:r>
            <w:r>
              <w:rPr>
                <w:rFonts w:ascii="Verdana" w:eastAsia="Times New Roman" w:hAnsi="Verdana" w:cs="Arial"/>
              </w:rPr>
              <w:t xml:space="preserve">preliminares </w:t>
            </w:r>
            <w:r w:rsidRPr="00FB77DC">
              <w:rPr>
                <w:rFonts w:ascii="Verdana" w:eastAsia="Times New Roman" w:hAnsi="Verdana" w:cs="Arial"/>
              </w:rPr>
              <w:t xml:space="preserve">de gestión predial que se adelantarán en el marco </w:t>
            </w:r>
            <w:r>
              <w:rPr>
                <w:rFonts w:ascii="Verdana" w:eastAsia="Times New Roman" w:hAnsi="Verdana" w:cs="Arial"/>
              </w:rPr>
              <w:t>del</w:t>
            </w:r>
            <w:r w:rsidRPr="00FB77DC">
              <w:rPr>
                <w:rFonts w:ascii="Verdana" w:eastAsia="Times New Roman" w:hAnsi="Verdana" w:cs="Arial"/>
              </w:rPr>
              <w:t xml:space="preserve"> procedimiento administrativo</w:t>
            </w:r>
            <w:r>
              <w:rPr>
                <w:rFonts w:ascii="Verdana" w:eastAsia="Times New Roman" w:hAnsi="Verdana" w:cs="Arial"/>
              </w:rPr>
              <w:t xml:space="preserve"> referido</w:t>
            </w:r>
            <w:r w:rsidRPr="00FB77DC">
              <w:rPr>
                <w:rFonts w:ascii="Verdana" w:eastAsia="Times New Roman" w:hAnsi="Verdana" w:cs="Arial"/>
              </w:rPr>
              <w:t>, precis</w:t>
            </w:r>
            <w:r>
              <w:rPr>
                <w:rFonts w:ascii="Verdana" w:eastAsia="Times New Roman" w:hAnsi="Verdana" w:cs="Arial"/>
              </w:rPr>
              <w:t>ando</w:t>
            </w:r>
            <w:r w:rsidRPr="00FB77DC">
              <w:rPr>
                <w:rFonts w:ascii="Verdana" w:eastAsia="Times New Roman" w:hAnsi="Verdana" w:cs="Arial"/>
              </w:rPr>
              <w:t xml:space="preserve"> que dichas actuaciones no implican, por sí mismas, la celebración directa de un contrato estatal</w:t>
            </w:r>
            <w:r w:rsidRPr="00724D86">
              <w:rPr>
                <w:rFonts w:ascii="Verdana" w:eastAsia="Times New Roman" w:hAnsi="Verdana" w:cs="Arial"/>
                <w:lang w:val="es-ES"/>
              </w:rPr>
              <w:t>. Esta diferenciación resulta esencial, en la medida en que la prohibici</w:t>
            </w:r>
            <w:r>
              <w:rPr>
                <w:rFonts w:ascii="Verdana" w:eastAsia="Times New Roman" w:hAnsi="Verdana" w:cs="Arial"/>
                <w:lang w:val="es-ES"/>
              </w:rPr>
              <w:t>ón</w:t>
            </w:r>
            <w:r w:rsidRPr="00724D86">
              <w:rPr>
                <w:rFonts w:ascii="Verdana" w:eastAsia="Times New Roman" w:hAnsi="Verdana" w:cs="Arial"/>
                <w:lang w:val="es-ES"/>
              </w:rPr>
              <w:t xml:space="preserve"> prevista en el artículo 33 de la Ley 996 de 2005 se</w:t>
            </w:r>
            <w:r w:rsidRPr="00BC1926">
              <w:rPr>
                <w:rFonts w:ascii="Verdana" w:eastAsia="Times New Roman" w:hAnsi="Verdana" w:cs="Arial"/>
                <w:lang w:val="es-ES"/>
              </w:rPr>
              <w:t xml:space="preserve"> </w:t>
            </w:r>
            <w:r>
              <w:rPr>
                <w:rFonts w:ascii="Verdana" w:eastAsia="Times New Roman" w:hAnsi="Verdana" w:cs="Arial"/>
                <w:lang w:val="es-ES"/>
              </w:rPr>
              <w:t xml:space="preserve">configura </w:t>
            </w:r>
            <w:r w:rsidRPr="001C7B22">
              <w:rPr>
                <w:rFonts w:ascii="Verdana" w:eastAsia="Times New Roman" w:hAnsi="Verdana" w:cs="Arial"/>
                <w:lang w:val="es-ES"/>
              </w:rPr>
              <w:t xml:space="preserve">cuando </w:t>
            </w:r>
            <w:r>
              <w:rPr>
                <w:rFonts w:ascii="Verdana" w:eastAsia="Times New Roman" w:hAnsi="Verdana" w:cs="Arial"/>
                <w:lang w:val="es-ES"/>
              </w:rPr>
              <w:t>se refiera a la celebración de un</w:t>
            </w:r>
            <w:r w:rsidRPr="001C7B22">
              <w:rPr>
                <w:rFonts w:ascii="Verdana" w:eastAsia="Times New Roman" w:hAnsi="Verdana" w:cs="Arial"/>
                <w:lang w:val="es-ES"/>
              </w:rPr>
              <w:t xml:space="preserve"> contrato en sentido estricto</w:t>
            </w:r>
            <w:r w:rsidRPr="00724D86">
              <w:rPr>
                <w:rFonts w:ascii="Verdana" w:eastAsia="Times New Roman" w:hAnsi="Verdana" w:cs="Arial"/>
                <w:lang w:val="es-ES"/>
              </w:rPr>
              <w:t>, mas no frente a actuaciones administrativas que no genera</w:t>
            </w:r>
            <w:r>
              <w:rPr>
                <w:rFonts w:ascii="Verdana" w:eastAsia="Times New Roman" w:hAnsi="Verdana" w:cs="Arial"/>
                <w:lang w:val="es-ES"/>
              </w:rPr>
              <w:t>n propiamente u</w:t>
            </w:r>
            <w:r w:rsidRPr="00724D86">
              <w:rPr>
                <w:rFonts w:ascii="Verdana" w:eastAsia="Times New Roman" w:hAnsi="Verdana" w:cs="Arial"/>
                <w:lang w:val="es-ES"/>
              </w:rPr>
              <w:t xml:space="preserve">na relación contractual entre la entidad </w:t>
            </w:r>
            <w:r>
              <w:rPr>
                <w:rFonts w:ascii="Verdana" w:eastAsia="Times New Roman" w:hAnsi="Verdana" w:cs="Arial"/>
                <w:lang w:val="es-ES"/>
              </w:rPr>
              <w:t xml:space="preserve">y el particular. </w:t>
            </w:r>
          </w:p>
          <w:p w14:paraId="7452310A" w14:textId="441C1BFC" w:rsidR="00D62793" w:rsidRDefault="00D62793" w:rsidP="00D62793">
            <w:pPr>
              <w:tabs>
                <w:tab w:val="left" w:pos="709"/>
              </w:tabs>
              <w:spacing w:before="120" w:after="120" w:line="276" w:lineRule="auto"/>
              <w:ind w:firstLine="709"/>
              <w:jc w:val="both"/>
              <w:rPr>
                <w:rFonts w:ascii="Verdana" w:eastAsia="Calibri" w:hAnsi="Verdana" w:cs="Arial"/>
                <w:lang w:eastAsia="es-CO"/>
              </w:rPr>
            </w:pPr>
            <w:r w:rsidRPr="00494FAF">
              <w:rPr>
                <w:rFonts w:ascii="Verdana" w:eastAsia="Times New Roman" w:hAnsi="Verdana" w:cs="Arial"/>
                <w:bCs/>
                <w:lang w:eastAsia="x-none"/>
              </w:rPr>
              <w:lastRenderedPageBreak/>
              <w:t>No obstante, frente a la celebración de una promesa de compraventa</w:t>
            </w:r>
            <w:r w:rsidR="00AF223C">
              <w:rPr>
                <w:rFonts w:ascii="Verdana" w:eastAsia="Times New Roman" w:hAnsi="Verdana" w:cs="Arial"/>
                <w:bCs/>
                <w:lang w:eastAsia="x-none"/>
              </w:rPr>
              <w:t>,</w:t>
            </w:r>
            <w:r>
              <w:rPr>
                <w:rFonts w:ascii="Verdana" w:eastAsia="Times New Roman" w:hAnsi="Verdana" w:cs="Arial"/>
                <w:bCs/>
                <w:lang w:eastAsia="x-none"/>
              </w:rPr>
              <w:t xml:space="preserve"> </w:t>
            </w:r>
            <w:r w:rsidRPr="00494FAF">
              <w:rPr>
                <w:rFonts w:ascii="Verdana" w:eastAsia="Times New Roman" w:hAnsi="Verdana" w:cs="Arial"/>
                <w:bCs/>
                <w:lang w:eastAsia="x-none"/>
              </w:rPr>
              <w:t>de un contrato de compraventa</w:t>
            </w:r>
            <w:r>
              <w:rPr>
                <w:rFonts w:ascii="Verdana" w:eastAsia="Times New Roman" w:hAnsi="Verdana" w:cs="Arial"/>
                <w:bCs/>
                <w:lang w:eastAsia="x-none"/>
              </w:rPr>
              <w:t xml:space="preserve"> o cesión</w:t>
            </w:r>
            <w:r w:rsidRPr="00494FAF">
              <w:rPr>
                <w:rFonts w:ascii="Verdana" w:eastAsia="Times New Roman" w:hAnsi="Verdana" w:cs="Arial"/>
                <w:bCs/>
                <w:lang w:eastAsia="x-none"/>
              </w:rPr>
              <w:t>, sí resulta aplicable la restricción prevista en el citado artículo 33</w:t>
            </w:r>
            <w:r>
              <w:rPr>
                <w:rFonts w:ascii="Verdana" w:eastAsia="Times New Roman" w:hAnsi="Verdana" w:cs="Arial"/>
                <w:bCs/>
                <w:lang w:eastAsia="x-none"/>
              </w:rPr>
              <w:t xml:space="preserve"> ibidem</w:t>
            </w:r>
            <w:r w:rsidRPr="00494FAF">
              <w:rPr>
                <w:rFonts w:ascii="Verdana" w:eastAsia="Times New Roman" w:hAnsi="Verdana" w:cs="Arial"/>
                <w:bCs/>
                <w:lang w:eastAsia="x-none"/>
              </w:rPr>
              <w:t xml:space="preserve">, razón por la cual se reitera la postura sostenida en los conceptos C-1512 y C-1529, en tanto dichos negocios jurídicos comportan la celebración </w:t>
            </w:r>
            <w:r>
              <w:rPr>
                <w:rFonts w:ascii="Verdana" w:eastAsia="Times New Roman" w:hAnsi="Verdana" w:cs="Arial"/>
                <w:bCs/>
                <w:lang w:eastAsia="x-none"/>
              </w:rPr>
              <w:t xml:space="preserve">directa </w:t>
            </w:r>
            <w:r w:rsidRPr="00494FAF">
              <w:rPr>
                <w:rFonts w:ascii="Verdana" w:eastAsia="Times New Roman" w:hAnsi="Verdana" w:cs="Arial"/>
                <w:bCs/>
                <w:lang w:eastAsia="x-none"/>
              </w:rPr>
              <w:t>de un contrato estatal</w:t>
            </w:r>
            <w:r>
              <w:rPr>
                <w:rFonts w:ascii="Verdana" w:eastAsia="Times New Roman" w:hAnsi="Verdana" w:cs="Arial"/>
                <w:bCs/>
                <w:lang w:eastAsia="x-none"/>
              </w:rPr>
              <w:t xml:space="preserve">. </w:t>
            </w:r>
            <w:r w:rsidRPr="00A00771">
              <w:rPr>
                <w:rFonts w:ascii="Verdana" w:eastAsia="Calibri" w:hAnsi="Verdana" w:cs="Arial"/>
                <w:lang w:eastAsia="es-CO"/>
              </w:rPr>
              <w:t>En efecto,</w:t>
            </w:r>
            <w:r>
              <w:rPr>
                <w:rFonts w:ascii="Verdana" w:eastAsia="Calibri" w:hAnsi="Verdana" w:cs="Arial"/>
                <w:lang w:eastAsia="es-CO"/>
              </w:rPr>
              <w:t xml:space="preserve"> en</w:t>
            </w:r>
            <w:r w:rsidRPr="00A00771">
              <w:rPr>
                <w:rFonts w:ascii="Verdana" w:eastAsia="Calibri" w:hAnsi="Verdana" w:cs="Arial"/>
                <w:lang w:eastAsia="es-CO"/>
              </w:rPr>
              <w:t xml:space="preserve"> la promesa de compraventa</w:t>
            </w:r>
            <w:r w:rsidR="00AF223C">
              <w:rPr>
                <w:rFonts w:ascii="Verdana" w:eastAsia="Calibri" w:hAnsi="Verdana" w:cs="Arial"/>
                <w:lang w:eastAsia="es-CO"/>
              </w:rPr>
              <w:t>,</w:t>
            </w:r>
            <w:r w:rsidRPr="00A00771">
              <w:rPr>
                <w:rFonts w:ascii="Verdana" w:eastAsia="Calibri" w:hAnsi="Verdana" w:cs="Arial"/>
                <w:lang w:eastAsia="es-CO"/>
              </w:rPr>
              <w:t xml:space="preserve"> </w:t>
            </w:r>
            <w:r>
              <w:rPr>
                <w:rFonts w:ascii="Verdana" w:eastAsia="Calibri" w:hAnsi="Verdana" w:cs="Arial"/>
                <w:lang w:eastAsia="es-CO"/>
              </w:rPr>
              <w:t xml:space="preserve">en </w:t>
            </w:r>
            <w:r w:rsidRPr="00A00771">
              <w:rPr>
                <w:rFonts w:ascii="Verdana" w:eastAsia="Calibri" w:hAnsi="Verdana" w:cs="Arial"/>
                <w:lang w:eastAsia="es-CO"/>
              </w:rPr>
              <w:t>el contrato de compraventa</w:t>
            </w:r>
            <w:r w:rsidR="00AF223C">
              <w:rPr>
                <w:rFonts w:ascii="Verdana" w:eastAsia="Calibri" w:hAnsi="Verdana" w:cs="Arial"/>
                <w:lang w:eastAsia="es-CO"/>
              </w:rPr>
              <w:t xml:space="preserve"> </w:t>
            </w:r>
            <w:proofErr w:type="gramStart"/>
            <w:r w:rsidR="00AF223C">
              <w:rPr>
                <w:rFonts w:ascii="Verdana" w:eastAsia="Calibri" w:hAnsi="Verdana" w:cs="Arial"/>
                <w:lang w:eastAsia="es-CO"/>
              </w:rPr>
              <w:t xml:space="preserve">o </w:t>
            </w:r>
            <w:r w:rsidRPr="00A00771">
              <w:rPr>
                <w:rFonts w:ascii="Verdana" w:eastAsia="Calibri" w:hAnsi="Verdana" w:cs="Arial"/>
                <w:lang w:eastAsia="es-CO"/>
              </w:rPr>
              <w:t xml:space="preserve"> </w:t>
            </w:r>
            <w:r>
              <w:rPr>
                <w:rFonts w:ascii="Verdana" w:eastAsia="Times New Roman" w:hAnsi="Verdana" w:cs="Arial"/>
                <w:lang w:val="es-ES" w:eastAsia="es-ES_tradnl"/>
              </w:rPr>
              <w:t>participan</w:t>
            </w:r>
            <w:proofErr w:type="gramEnd"/>
            <w:r>
              <w:rPr>
                <w:rFonts w:ascii="Verdana" w:eastAsia="Times New Roman" w:hAnsi="Verdana" w:cs="Arial"/>
                <w:lang w:val="es-ES" w:eastAsia="es-ES_tradnl"/>
              </w:rPr>
              <w:t xml:space="preserve"> entidades estatales y se invierten recursos de naturaleza pública, por lo cual puede afirmarse que estos actos jurídicos negociales son auténticos contratos estatales, según el criterio orgánico establecido en el artículo 32 de la Ley 80 de 1993, en concordancia el artículo 2 </w:t>
            </w:r>
            <w:r>
              <w:rPr>
                <w:rFonts w:ascii="Verdana" w:eastAsia="Times New Roman" w:hAnsi="Verdana" w:cs="Arial"/>
                <w:i/>
                <w:iCs/>
                <w:lang w:val="es-ES" w:eastAsia="es-ES_tradnl"/>
              </w:rPr>
              <w:t>ibidem.</w:t>
            </w:r>
            <w:r>
              <w:rPr>
                <w:rFonts w:ascii="Verdana" w:eastAsia="Times New Roman" w:hAnsi="Verdana" w:cs="Arial"/>
                <w:lang w:val="es-ES" w:eastAsia="es-ES_tradnl"/>
              </w:rPr>
              <w:t xml:space="preserve"> Estos negocios jurídicos, así como los demás que se suscriban de forma directa como cesiones de inmueble o permutas entre entidades estatales, </w:t>
            </w:r>
            <w:r w:rsidRPr="00A00771">
              <w:rPr>
                <w:rFonts w:ascii="Verdana" w:eastAsia="Calibri" w:hAnsi="Verdana" w:cs="Arial"/>
                <w:lang w:eastAsia="es-CO"/>
              </w:rPr>
              <w:t>constituyen formas de contratación directa en cuanto su celebración se realiza con un sujeto determinado, sin convocatoria pública y sin posibilidad de concurrencia de una pluralidad de oferentes</w:t>
            </w:r>
            <w:r>
              <w:rPr>
                <w:rFonts w:ascii="Verdana" w:eastAsia="Calibri" w:hAnsi="Verdana" w:cs="Arial"/>
                <w:lang w:eastAsia="es-CO"/>
              </w:rPr>
              <w:t xml:space="preserve">. </w:t>
            </w:r>
          </w:p>
          <w:p w14:paraId="10304C77" w14:textId="77777777" w:rsidR="00D62793" w:rsidRPr="001747EF" w:rsidRDefault="00D62793" w:rsidP="00D62793">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7806D8">
              <w:rPr>
                <w:rFonts w:ascii="Verdana" w:eastAsia="Calibri" w:hAnsi="Verdana" w:cs="Arial"/>
                <w:sz w:val="22"/>
                <w:szCs w:val="22"/>
              </w:rPr>
              <w:t>Adicionalmente, dentro de las excepciones expresamente previstas por el legislador en dicha norma no se encuentran comprendidos los contratos que se deriven del procedimiento administrativo de adquisición</w:t>
            </w:r>
            <w:r>
              <w:rPr>
                <w:rFonts w:ascii="Verdana" w:eastAsia="Calibri" w:hAnsi="Verdana" w:cs="Arial"/>
                <w:sz w:val="22"/>
                <w:szCs w:val="22"/>
              </w:rPr>
              <w:t xml:space="preserve"> predial</w:t>
            </w:r>
            <w:r w:rsidRPr="007806D8">
              <w:rPr>
                <w:rFonts w:ascii="Verdana" w:eastAsia="Calibri" w:hAnsi="Verdana" w:cs="Arial"/>
                <w:sz w:val="22"/>
                <w:szCs w:val="22"/>
              </w:rPr>
              <w:t>, lo cual resulta relevante, pues de haber sido la intención del legislador exceptuar este tipo de negocios jurídicos, así lo habría señalado de manera expresa, tal como lo hizo respecto de otras hipótesis exceptuadas.</w:t>
            </w:r>
          </w:p>
          <w:p w14:paraId="27F22036" w14:textId="77777777" w:rsidR="00D62793" w:rsidRPr="00785125" w:rsidRDefault="00D62793" w:rsidP="00D62793">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En suma, </w:t>
            </w:r>
            <w:r w:rsidRPr="00494FAF">
              <w:rPr>
                <w:rFonts w:ascii="Verdana" w:eastAsia="Times New Roman" w:hAnsi="Verdana" w:cs="Arial"/>
                <w:bCs/>
                <w:lang w:eastAsia="x-none"/>
              </w:rPr>
              <w:t xml:space="preserve">debe precisarse que la restricción establecida en el artículo 33 de la Ley 996 de 2005 no resulta aplicable al procedimiento administrativo de adquisición </w:t>
            </w:r>
            <w:r>
              <w:rPr>
                <w:rFonts w:ascii="Verdana" w:eastAsia="Times New Roman" w:hAnsi="Verdana" w:cs="Arial"/>
                <w:bCs/>
                <w:lang w:eastAsia="x-none"/>
              </w:rPr>
              <w:t xml:space="preserve">predial </w:t>
            </w:r>
            <w:r w:rsidRPr="00494FAF">
              <w:rPr>
                <w:rFonts w:ascii="Verdana" w:eastAsia="Times New Roman" w:hAnsi="Verdana" w:cs="Arial"/>
                <w:bCs/>
                <w:lang w:eastAsia="x-none"/>
              </w:rPr>
              <w:t>considerado en sí mismo, ni a su etapa preparatoria o preliminar, en la medida en que dicha disposición se circunscribe a la celebración de contratos de manera directa y no a las actuaciones administrativas previas que puedan adelantarse con ese propósito</w:t>
            </w:r>
            <w:r>
              <w:rPr>
                <w:rFonts w:ascii="Verdana" w:eastAsia="Times New Roman" w:hAnsi="Verdana" w:cs="Arial"/>
                <w:bCs/>
                <w:lang w:eastAsia="x-none"/>
              </w:rPr>
              <w:t>, siempre que estas no impliquen la celebración de un contrato directo</w:t>
            </w:r>
            <w:r w:rsidRPr="00494FAF">
              <w:rPr>
                <w:rFonts w:ascii="Verdana" w:eastAsia="Times New Roman" w:hAnsi="Verdana" w:cs="Arial"/>
                <w:bCs/>
                <w:lang w:eastAsia="x-none"/>
              </w:rPr>
              <w:t>. En tal sentido, la gestión predial no se ve paralizada durante el período de restricción. No obstante, frente a la celebración de una promesa de compraventa o de un contrato de compraventa</w:t>
            </w:r>
            <w:r>
              <w:rPr>
                <w:rFonts w:ascii="Verdana" w:eastAsia="Times New Roman" w:hAnsi="Verdana" w:cs="Arial"/>
                <w:bCs/>
                <w:lang w:eastAsia="x-none"/>
              </w:rPr>
              <w:t xml:space="preserve"> o cualquier otro contrato directo</w:t>
            </w:r>
            <w:r w:rsidRPr="00494FAF">
              <w:rPr>
                <w:rFonts w:ascii="Verdana" w:eastAsia="Times New Roman" w:hAnsi="Verdana" w:cs="Arial"/>
                <w:bCs/>
                <w:lang w:eastAsia="x-none"/>
              </w:rPr>
              <w:t xml:space="preserve">, sí resulta aplicable la restricción prevista en el citado artículo 33, razón por la cual se reitera la postura sostenida en los conceptos C-1512 y C-1529, en tanto dichos negocios jurídicos comportan la celebración </w:t>
            </w:r>
            <w:r>
              <w:rPr>
                <w:rFonts w:ascii="Verdana" w:eastAsia="Times New Roman" w:hAnsi="Verdana" w:cs="Arial"/>
                <w:bCs/>
                <w:lang w:eastAsia="x-none"/>
              </w:rPr>
              <w:t xml:space="preserve">directa </w:t>
            </w:r>
            <w:r w:rsidRPr="00494FAF">
              <w:rPr>
                <w:rFonts w:ascii="Verdana" w:eastAsia="Times New Roman" w:hAnsi="Verdana" w:cs="Arial"/>
                <w:bCs/>
                <w:lang w:eastAsia="x-none"/>
              </w:rPr>
              <w:t>de un contrato estatal.</w:t>
            </w:r>
          </w:p>
          <w:p w14:paraId="5D41B4C9" w14:textId="3F0C7C5B" w:rsidR="007C31D6" w:rsidRPr="00D62793" w:rsidRDefault="00D62793" w:rsidP="00D62793">
            <w:pPr>
              <w:spacing w:after="120" w:line="276" w:lineRule="auto"/>
              <w:ind w:firstLine="709"/>
              <w:jc w:val="both"/>
              <w:rPr>
                <w:rFonts w:ascii="Verdana" w:eastAsia="Times New Roman" w:hAnsi="Verdana" w:cs="Arial"/>
                <w:bCs/>
                <w:lang w:val="es-MX" w:eastAsia="x-none"/>
              </w:rPr>
            </w:pPr>
            <w:r w:rsidRPr="00DE6146">
              <w:rPr>
                <w:rFonts w:ascii="Verdana" w:eastAsia="Times New Roman" w:hAnsi="Verdana" w:cs="Arial"/>
                <w:bCs/>
                <w:lang w:val="es-MX" w:eastAsia="x-none"/>
              </w:rPr>
              <w:lastRenderedPageBreak/>
              <w:t>En consecuencia, la interpretación contenida en e</w:t>
            </w:r>
            <w:r>
              <w:rPr>
                <w:rFonts w:ascii="Verdana" w:eastAsia="Times New Roman" w:hAnsi="Verdana" w:cs="Arial"/>
                <w:bCs/>
                <w:lang w:val="es-MX" w:eastAsia="x-none"/>
              </w:rPr>
              <w:t>ste</w:t>
            </w:r>
            <w:r w:rsidRPr="00DE6146">
              <w:rPr>
                <w:rFonts w:ascii="Verdana" w:eastAsia="Times New Roman" w:hAnsi="Verdana" w:cs="Arial"/>
                <w:bCs/>
                <w:lang w:val="es-MX" w:eastAsia="x-none"/>
              </w:rPr>
              <w:t xml:space="preserve"> concepto</w:t>
            </w:r>
            <w:r>
              <w:rPr>
                <w:rFonts w:ascii="Verdana" w:eastAsia="Times New Roman" w:hAnsi="Verdana" w:cs="Arial"/>
                <w:bCs/>
                <w:lang w:val="es-MX" w:eastAsia="x-none"/>
              </w:rPr>
              <w:t xml:space="preserve"> no</w:t>
            </w:r>
            <w:r w:rsidRPr="00DE6146">
              <w:rPr>
                <w:rFonts w:ascii="Verdana" w:eastAsia="Times New Roman" w:hAnsi="Verdana" w:cs="Arial"/>
                <w:bCs/>
                <w:lang w:val="es-MX" w:eastAsia="x-none"/>
              </w:rPr>
              <w:t xml:space="preserve"> impli</w:t>
            </w:r>
            <w:r>
              <w:rPr>
                <w:rFonts w:ascii="Verdana" w:eastAsia="Times New Roman" w:hAnsi="Verdana" w:cs="Arial"/>
                <w:bCs/>
                <w:lang w:val="es-MX" w:eastAsia="x-none"/>
              </w:rPr>
              <w:t>ca</w:t>
            </w:r>
            <w:r w:rsidRPr="00DE6146">
              <w:rPr>
                <w:rFonts w:ascii="Verdana" w:eastAsia="Times New Roman" w:hAnsi="Verdana" w:cs="Arial"/>
                <w:bCs/>
                <w:lang w:val="es-MX" w:eastAsia="x-none"/>
              </w:rPr>
              <w:t xml:space="preserve"> la paralización de procedimientos administrativos o contractuales como los relacionados con la gestión predial para proyectos de infraestructura. La determinación sobre la forma de adelantar dichos procedimientos, así como la valoración de las normas aplicables en cada caso concreto, corresponde </w:t>
            </w:r>
            <w:r w:rsidRPr="002F1004">
              <w:rPr>
                <w:rFonts w:ascii="Verdana" w:eastAsia="Times New Roman" w:hAnsi="Verdana" w:cs="Arial"/>
                <w:b/>
                <w:i/>
                <w:iCs/>
                <w:lang w:val="es-MX" w:eastAsia="x-none"/>
              </w:rPr>
              <w:t>exclusivamente</w:t>
            </w:r>
            <w:r w:rsidRPr="00784B93">
              <w:rPr>
                <w:rFonts w:ascii="Verdana" w:eastAsia="Times New Roman" w:hAnsi="Verdana" w:cs="Arial"/>
                <w:b/>
                <w:lang w:val="es-MX" w:eastAsia="x-none"/>
              </w:rPr>
              <w:t xml:space="preserve"> </w:t>
            </w:r>
            <w:r w:rsidRPr="00DE6146">
              <w:rPr>
                <w:rFonts w:ascii="Verdana" w:eastAsia="Times New Roman" w:hAnsi="Verdana" w:cs="Arial"/>
                <w:bCs/>
                <w:lang w:val="es-MX" w:eastAsia="x-none"/>
              </w:rPr>
              <w:t>a las entidades estatales en el marco de sus competencias funcionales, quienes deben adoptar las decisiones que estimen pertinentes con fundamento en su propio análisis jurídico y en el principio de responsabilidad en el ejercicio de la función administrativa</w:t>
            </w:r>
            <w:r>
              <w:rPr>
                <w:rFonts w:ascii="Verdana" w:eastAsia="Times New Roman" w:hAnsi="Verdana" w:cs="Arial"/>
                <w:bCs/>
                <w:lang w:val="es-MX" w:eastAsia="x-none"/>
              </w:rPr>
              <w:t>.</w:t>
            </w:r>
          </w:p>
        </w:tc>
      </w:tr>
    </w:tbl>
    <w:p w14:paraId="6105D63D" w14:textId="77777777" w:rsidR="007C31D6" w:rsidRPr="00960F72" w:rsidRDefault="007C31D6" w:rsidP="007C31D6">
      <w:pPr>
        <w:tabs>
          <w:tab w:val="left" w:pos="142"/>
          <w:tab w:val="left" w:pos="284"/>
        </w:tabs>
        <w:spacing w:after="0" w:line="276" w:lineRule="auto"/>
        <w:jc w:val="both"/>
        <w:rPr>
          <w:rFonts w:ascii="Verdana" w:eastAsia="Century Gothic" w:hAnsi="Verdana" w:cs="Century Gothic"/>
          <w:b/>
          <w:bCs/>
        </w:rPr>
      </w:pPr>
    </w:p>
    <w:p w14:paraId="37F8D028" w14:textId="77777777" w:rsidR="007C31D6"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5F565AE2" w14:textId="77777777" w:rsidR="007C31D6" w:rsidRDefault="007C31D6" w:rsidP="007C31D6">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097785BD" w14:textId="77777777" w:rsidR="00AF223C" w:rsidRPr="00FC6F34" w:rsidRDefault="00AF223C" w:rsidP="00AF223C">
      <w:pPr>
        <w:tabs>
          <w:tab w:val="left" w:pos="426"/>
        </w:tabs>
        <w:spacing w:after="120" w:line="276" w:lineRule="auto"/>
        <w:jc w:val="both"/>
        <w:rPr>
          <w:rFonts w:ascii="Verdana" w:eastAsia="Times New Roman" w:hAnsi="Verdana" w:cs="Arial"/>
          <w:lang w:val="es-ES" w:eastAsia="es-CO"/>
        </w:rPr>
      </w:pPr>
      <w:r>
        <w:rPr>
          <w:rFonts w:ascii="Verdana" w:eastAsia="Calibri" w:hAnsi="Verdana" w:cs="Arial"/>
        </w:rPr>
        <w:t xml:space="preserve">i. </w:t>
      </w:r>
      <w:r w:rsidRPr="00FC6F34">
        <w:rPr>
          <w:rFonts w:ascii="Verdana" w:eastAsia="Calibri" w:hAnsi="Verdana" w:cs="Arial"/>
          <w:lang w:val="es-ES"/>
        </w:rPr>
        <w:t>El ordenamiento jurídico colombiano contempla medidas para evitar la obtención de beneficios personales en asuntos propios de la administración pública</w:t>
      </w:r>
      <w:r w:rsidRPr="00FC6F34">
        <w:rPr>
          <w:rFonts w:ascii="Verdana" w:eastAsia="Calibri" w:hAnsi="Verdana" w:cs="Arial"/>
          <w:i/>
          <w:lang w:val="es-ES"/>
        </w:rPr>
        <w:t xml:space="preserve">. </w:t>
      </w:r>
      <w:r w:rsidRPr="00FC6F34">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FC6F34">
        <w:rPr>
          <w:rFonts w:ascii="Verdana" w:hAnsi="Verdana"/>
          <w:vertAlign w:val="superscript"/>
          <w:lang w:val="es-ES"/>
        </w:rPr>
        <w:footnoteReference w:id="1"/>
      </w:r>
      <w:r w:rsidRPr="00FC6F34">
        <w:rPr>
          <w:rFonts w:ascii="Verdana" w:eastAsia="Calibri" w:hAnsi="Verdana" w:cs="Arial"/>
          <w:lang w:val="es-ES"/>
        </w:rPr>
        <w:t xml:space="preserve">. </w:t>
      </w:r>
    </w:p>
    <w:p w14:paraId="49525A95" w14:textId="77777777" w:rsidR="00AF223C" w:rsidRPr="00FC6F34" w:rsidRDefault="00AF223C" w:rsidP="00AF223C">
      <w:pPr>
        <w:tabs>
          <w:tab w:val="left" w:pos="426"/>
        </w:tabs>
        <w:spacing w:after="12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2"/>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7769E56F" w14:textId="77777777" w:rsidR="00AF223C" w:rsidRPr="00FC6F34" w:rsidRDefault="00AF223C" w:rsidP="00AF223C">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lastRenderedPageBreak/>
        <w:t>En armonía con lo anterior, la Corte Constitucional ha abordado la definición de la Ley de Garantías Electorales. De esta manera, explica que tiene como propósito:</w:t>
      </w:r>
    </w:p>
    <w:p w14:paraId="3493D553" w14:textId="77777777" w:rsidR="00AF223C" w:rsidRPr="00FC6F34" w:rsidRDefault="00AF223C" w:rsidP="00AF223C">
      <w:pPr>
        <w:spacing w:after="0" w:line="276" w:lineRule="auto"/>
        <w:ind w:right="709"/>
        <w:jc w:val="both"/>
        <w:rPr>
          <w:rFonts w:ascii="Verdana" w:eastAsia="Times New Roman" w:hAnsi="Verdana" w:cs="Arial"/>
          <w:lang w:val="es-ES" w:eastAsia="es-CO"/>
        </w:rPr>
      </w:pPr>
    </w:p>
    <w:p w14:paraId="266BB0B0" w14:textId="77777777" w:rsidR="00AF223C" w:rsidRPr="00FC6F34" w:rsidRDefault="00AF223C" w:rsidP="00AF223C">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0C661A1F" w14:textId="77777777" w:rsidR="00AF223C" w:rsidRPr="00FC6F34" w:rsidRDefault="00AF223C" w:rsidP="00AF223C">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4404C3FE" w14:textId="77777777" w:rsidR="00AF223C" w:rsidRPr="00FC6F34" w:rsidRDefault="00AF223C" w:rsidP="00AF223C">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3"/>
      </w:r>
    </w:p>
    <w:p w14:paraId="05DFD1FA" w14:textId="77777777" w:rsidR="00AF223C" w:rsidRPr="00FC6F34" w:rsidRDefault="00AF223C" w:rsidP="00AF223C">
      <w:pPr>
        <w:spacing w:after="0" w:line="276" w:lineRule="auto"/>
        <w:ind w:firstLine="709"/>
        <w:jc w:val="both"/>
        <w:rPr>
          <w:rFonts w:ascii="Verdana" w:eastAsia="Times New Roman" w:hAnsi="Verdana" w:cs="Arial"/>
          <w:lang w:val="es-ES" w:eastAsia="es-CO"/>
        </w:rPr>
      </w:pPr>
    </w:p>
    <w:p w14:paraId="76870A1B" w14:textId="77777777" w:rsidR="00AF223C" w:rsidRPr="00FC6F34" w:rsidRDefault="00AF223C" w:rsidP="00AF223C">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359BA70B" w14:textId="77777777" w:rsidR="00AF223C" w:rsidRPr="00FC6F34" w:rsidRDefault="00AF223C" w:rsidP="00AF223C">
      <w:pPr>
        <w:spacing w:after="0" w:line="276" w:lineRule="auto"/>
        <w:ind w:firstLine="709"/>
        <w:jc w:val="both"/>
        <w:rPr>
          <w:rFonts w:ascii="Verdana" w:eastAsia="Times New Roman" w:hAnsi="Verdana" w:cs="Arial"/>
          <w:lang w:val="es-ES" w:eastAsia="es-CO"/>
        </w:rPr>
      </w:pPr>
    </w:p>
    <w:p w14:paraId="2F6426F1" w14:textId="77777777" w:rsidR="00AF223C" w:rsidRPr="00FC6F34" w:rsidRDefault="00AF223C" w:rsidP="00AF223C">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036AC24" w14:textId="77777777" w:rsidR="00AF223C" w:rsidRPr="00FC6F34" w:rsidRDefault="00AF223C" w:rsidP="00AF223C">
      <w:pPr>
        <w:spacing w:after="0" w:line="240" w:lineRule="auto"/>
        <w:ind w:right="709"/>
        <w:jc w:val="both"/>
        <w:rPr>
          <w:rFonts w:ascii="Verdana" w:eastAsia="Times New Roman" w:hAnsi="Verdana" w:cs="Arial"/>
          <w:lang w:val="es-ES" w:eastAsia="es-CO"/>
        </w:rPr>
      </w:pPr>
    </w:p>
    <w:p w14:paraId="3C76AA95" w14:textId="77777777" w:rsidR="00AF223C" w:rsidRPr="00FC6F34" w:rsidRDefault="00AF223C" w:rsidP="00AF223C">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lastRenderedPageBreak/>
        <w:t>La jurisprudencia de la Corte Constitucional</w:t>
      </w:r>
      <w:r w:rsidRPr="00FC6F34">
        <w:rPr>
          <w:rFonts w:ascii="Verdana" w:eastAsia="Times New Roman" w:hAnsi="Verdana" w:cs="Arial"/>
          <w:sz w:val="20"/>
          <w:szCs w:val="20"/>
          <w:vertAlign w:val="superscript"/>
          <w:lang w:val="es-ES" w:eastAsia="es-CO"/>
        </w:rPr>
        <w:footnoteReference w:id="4"/>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w:t>
      </w:r>
    </w:p>
    <w:p w14:paraId="2F7AF73D" w14:textId="77777777" w:rsidR="00AF223C" w:rsidRPr="00FC6F34" w:rsidRDefault="00AF223C" w:rsidP="00AF223C">
      <w:pPr>
        <w:spacing w:after="0" w:line="276" w:lineRule="auto"/>
        <w:jc w:val="both"/>
        <w:rPr>
          <w:rFonts w:ascii="Verdana" w:eastAsia="Calibri" w:hAnsi="Verdana" w:cs="Arial"/>
          <w:bCs/>
          <w:lang w:val="es-ES"/>
        </w:rPr>
      </w:pPr>
    </w:p>
    <w:p w14:paraId="1B6BA239" w14:textId="77777777" w:rsidR="00AF223C" w:rsidRPr="00FC6F34" w:rsidRDefault="00AF223C" w:rsidP="00AF223C">
      <w:pPr>
        <w:spacing w:after="12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0B3B2DFE" w14:textId="77777777" w:rsidR="00AF223C" w:rsidRPr="00FB5047" w:rsidRDefault="00AF223C" w:rsidP="00AF223C">
      <w:pPr>
        <w:spacing w:after="120" w:line="276" w:lineRule="auto"/>
        <w:jc w:val="both"/>
        <w:rPr>
          <w:rFonts w:ascii="Verdana" w:eastAsia="Arial" w:hAnsi="Verdana" w:cs="Arial"/>
          <w:lang w:val="es-ES" w:eastAsia="es-ES" w:bidi="es-ES"/>
        </w:rPr>
      </w:pPr>
      <w:proofErr w:type="spellStart"/>
      <w:r>
        <w:rPr>
          <w:rFonts w:ascii="Verdana" w:eastAsia="Arial" w:hAnsi="Verdana" w:cs="Arial"/>
          <w:lang w:val="es-ES" w:eastAsia="es-ES" w:bidi="es-ES"/>
        </w:rPr>
        <w:t>ii</w:t>
      </w:r>
      <w:proofErr w:type="spellEnd"/>
      <w:r>
        <w:rPr>
          <w:rFonts w:ascii="Verdana" w:eastAsia="Arial" w:hAnsi="Verdana" w:cs="Arial"/>
          <w:lang w:val="es-ES" w:eastAsia="es-ES" w:bidi="es-ES"/>
        </w:rPr>
        <w:t xml:space="preserve">. </w:t>
      </w:r>
      <w:r w:rsidRPr="00FC6F34">
        <w:rPr>
          <w:rFonts w:ascii="Verdana" w:eastAsia="Arial" w:hAnsi="Verdana" w:cs="Arial"/>
          <w:lang w:val="es-ES" w:eastAsia="es-ES" w:bidi="es-ES"/>
        </w:rPr>
        <w:t>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78600F1C" w14:textId="77777777" w:rsidR="00AF223C" w:rsidRDefault="00AF223C" w:rsidP="00AF223C">
      <w:pPr>
        <w:tabs>
          <w:tab w:val="left" w:pos="426"/>
        </w:tabs>
        <w:spacing w:after="120" w:line="276" w:lineRule="auto"/>
        <w:ind w:firstLine="709"/>
        <w:jc w:val="both"/>
        <w:rPr>
          <w:rFonts w:ascii="Verdana" w:eastAsia="Arial" w:hAnsi="Verdana" w:cs="Arial"/>
          <w:lang w:val="es-ES" w:eastAsia="es-ES" w:bidi="es-ES"/>
        </w:rPr>
      </w:pPr>
      <w:r w:rsidRPr="00FC6F34">
        <w:rPr>
          <w:rFonts w:ascii="Verdana" w:eastAsia="Calibri" w:hAnsi="Verdana" w:cs="Arial"/>
          <w:lang w:val="es-ES"/>
        </w:rPr>
        <w:t xml:space="preserve">Por un lado, </w:t>
      </w:r>
      <w:bookmarkStart w:id="1" w:name="_Hlk100679383"/>
      <w:r>
        <w:rPr>
          <w:rFonts w:ascii="Verdana" w:eastAsia="Calibri" w:hAnsi="Verdana" w:cs="Arial"/>
        </w:rPr>
        <w:t xml:space="preserve">el </w:t>
      </w:r>
      <w:r>
        <w:rPr>
          <w:rFonts w:ascii="Verdana" w:eastAsia="Calibri" w:hAnsi="Verdana" w:cs="Arial"/>
          <w:i/>
          <w:iCs/>
        </w:rPr>
        <w:t>artículo 33 de la Ley 996 de 2005</w:t>
      </w:r>
      <w:r>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Pr>
          <w:rFonts w:ascii="Verdana" w:eastAsia="Calibri" w:hAnsi="Verdana" w:cs="Arial"/>
        </w:rPr>
        <w:lastRenderedPageBreak/>
        <w:t>acciones terroristas, desastres naturales o casos de fuerza mayor, y los que deban realizar las entidades sanitarias y hospitalarias”</w:t>
      </w:r>
      <w:r>
        <w:rPr>
          <w:vertAlign w:val="superscript"/>
        </w:rPr>
        <w:footnoteReference w:id="7"/>
      </w:r>
      <w:r>
        <w:rPr>
          <w:rFonts w:ascii="Verdana" w:eastAsia="Calibri" w:hAnsi="Verdana" w:cs="Arial"/>
        </w:rPr>
        <w:t>.</w:t>
      </w:r>
      <w:bookmarkEnd w:id="1"/>
      <w:r>
        <w:rPr>
          <w:rFonts w:ascii="Verdana" w:eastAsia="Arial" w:hAnsi="Verdana" w:cs="Arial"/>
          <w:lang w:val="es-ES" w:eastAsia="es-ES" w:bidi="es-ES"/>
        </w:rPr>
        <w:t xml:space="preserve"> </w:t>
      </w:r>
      <w:bookmarkStart w:id="3" w:name="_Hlk78820161"/>
    </w:p>
    <w:p w14:paraId="18309AF6" w14:textId="77777777" w:rsidR="00AF223C" w:rsidRDefault="00AF223C" w:rsidP="00AF223C">
      <w:pPr>
        <w:tabs>
          <w:tab w:val="left" w:pos="426"/>
        </w:tabs>
        <w:spacing w:after="120" w:line="276" w:lineRule="auto"/>
        <w:ind w:firstLine="709"/>
        <w:jc w:val="both"/>
        <w:rPr>
          <w:rFonts w:ascii="Verdana" w:eastAsia="Calibri" w:hAnsi="Verdana" w:cs="Arial"/>
          <w:lang w:val="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p>
    <w:p w14:paraId="1BB59787" w14:textId="77777777" w:rsidR="00AF223C" w:rsidRPr="00FC6F34" w:rsidRDefault="00AF223C" w:rsidP="00AF223C">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2082C673" w14:textId="77777777" w:rsidR="00AF223C" w:rsidRPr="00FC6F34" w:rsidRDefault="00AF223C" w:rsidP="00AF223C">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5403EA4A" w14:textId="77777777" w:rsidR="00AF223C" w:rsidRPr="00FC6F34" w:rsidRDefault="00AF223C" w:rsidP="00AF223C">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FC6F34">
        <w:rPr>
          <w:rFonts w:ascii="Verdana" w:eastAsia="Arial" w:hAnsi="Verdana" w:cs="Arial"/>
          <w:sz w:val="20"/>
          <w:szCs w:val="20"/>
          <w:lang w:val="es-ES" w:eastAsia="es-ES" w:bidi="es-ES"/>
        </w:rPr>
        <w:t>Presidente</w:t>
      </w:r>
      <w:proofErr w:type="gramEnd"/>
      <w:r w:rsidRPr="00FC6F34">
        <w:rPr>
          <w:rFonts w:ascii="Verdana" w:eastAsia="Arial" w:hAnsi="Verdana" w:cs="Arial"/>
          <w:sz w:val="20"/>
          <w:szCs w:val="20"/>
          <w:lang w:val="es-ES" w:eastAsia="es-ES" w:bidi="es-ES"/>
        </w:rPr>
        <w:t xml:space="preserve"> de la República, a las </w:t>
      </w:r>
      <w:r w:rsidRPr="00FC6F34">
        <w:rPr>
          <w:rFonts w:ascii="Verdana" w:eastAsia="Arial" w:hAnsi="Verdana" w:cs="Arial"/>
          <w:sz w:val="20"/>
          <w:szCs w:val="20"/>
          <w:lang w:val="es-ES" w:eastAsia="es-ES" w:bidi="es-ES"/>
        </w:rPr>
        <w:lastRenderedPageBreak/>
        <w:t>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9"/>
      </w:r>
    </w:p>
    <w:p w14:paraId="354001C9" w14:textId="77777777" w:rsidR="00AF223C" w:rsidRPr="00FC6F34" w:rsidRDefault="00AF223C" w:rsidP="00AF223C">
      <w:pPr>
        <w:widowControl w:val="0"/>
        <w:autoSpaceDE w:val="0"/>
        <w:autoSpaceDN w:val="0"/>
        <w:spacing w:after="0" w:line="276" w:lineRule="auto"/>
        <w:contextualSpacing/>
        <w:rPr>
          <w:rFonts w:ascii="Verdana" w:eastAsia="Arial" w:hAnsi="Verdana" w:cs="Arial"/>
          <w:lang w:val="es-ES" w:eastAsia="es-ES" w:bidi="es-ES"/>
        </w:rPr>
      </w:pPr>
    </w:p>
    <w:p w14:paraId="73913AE2" w14:textId="77777777" w:rsidR="00AF223C" w:rsidRPr="00FC6F34" w:rsidRDefault="00AF223C" w:rsidP="00AF223C">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258CD927" w14:textId="77777777" w:rsidR="00AF223C" w:rsidRPr="00FC6F34" w:rsidRDefault="00AF223C" w:rsidP="00AF223C">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27737A1F" w14:textId="77777777" w:rsidR="00AF223C" w:rsidRDefault="00AF223C" w:rsidP="00AF223C">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o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y el </w:t>
      </w:r>
      <w:proofErr w:type="gramStart"/>
      <w:r w:rsidRPr="00FC6F34">
        <w:rPr>
          <w:rFonts w:ascii="Verdana" w:eastAsia="Arial" w:hAnsi="Verdana" w:cs="Arial"/>
          <w:lang w:val="es-ES" w:eastAsia="es-ES" w:bidi="es-ES"/>
        </w:rPr>
        <w:lastRenderedPageBreak/>
        <w:t>Vicepresidente</w:t>
      </w:r>
      <w:proofErr w:type="gramEnd"/>
      <w:r w:rsidRPr="00FC6F34">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1420BFA5" w14:textId="77777777" w:rsidR="00AF223C" w:rsidRPr="00A15DDF" w:rsidRDefault="00AF223C" w:rsidP="00AF223C">
      <w:pPr>
        <w:spacing w:after="120" w:line="276" w:lineRule="auto"/>
        <w:jc w:val="both"/>
        <w:rPr>
          <w:rFonts w:ascii="Verdana" w:eastAsia="Arial" w:hAnsi="Verdana" w:cs="Arial"/>
          <w:lang w:val="es-ES" w:eastAsia="es-ES" w:bidi="es-ES"/>
        </w:rPr>
      </w:pPr>
      <w:proofErr w:type="spellStart"/>
      <w:r>
        <w:rPr>
          <w:rFonts w:ascii="Verdana" w:eastAsia="Calibri" w:hAnsi="Verdana" w:cs="Arial"/>
        </w:rPr>
        <w:t>iii</w:t>
      </w:r>
      <w:proofErr w:type="spellEnd"/>
      <w:r>
        <w:rPr>
          <w:rFonts w:ascii="Verdana" w:eastAsia="Calibri" w:hAnsi="Verdana" w:cs="Arial"/>
        </w:rPr>
        <w:t xml:space="preserve">. </w:t>
      </w:r>
      <w:r>
        <w:rPr>
          <w:rFonts w:ascii="Verdana" w:eastAsia="Times New Roman" w:hAnsi="Verdana" w:cs="Arial"/>
          <w:bCs/>
          <w:lang w:val="es-MX" w:eastAsia="x-none"/>
        </w:rPr>
        <w:t xml:space="preserve">Respecto del ámbito material de la prohibición contenida en el artículo 33 de la ley 996 de 2005, está delimitado por la expresión </w:t>
      </w:r>
      <w:r>
        <w:rPr>
          <w:rFonts w:ascii="Verdana" w:eastAsia="Calibri" w:hAnsi="Verdana" w:cs="Arial"/>
          <w:bCs/>
          <w:sz w:val="20"/>
          <w:szCs w:val="20"/>
          <w:lang w:val="es-MX"/>
        </w:rPr>
        <w:t>“</w:t>
      </w:r>
      <w:r>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Pr>
          <w:rFonts w:ascii="Verdana" w:eastAsia="Times New Roman" w:hAnsi="Verdana" w:cs="Arial"/>
          <w:bCs/>
          <w:lang w:val="es-MX" w:eastAsia="x-none"/>
        </w:rPr>
        <w:t xml:space="preserve">. </w:t>
      </w:r>
      <w:r>
        <w:rPr>
          <w:rFonts w:ascii="Verdana" w:eastAsia="Times New Roman" w:hAnsi="Verdana" w:cs="Arial"/>
          <w:lang w:val="es-MX" w:eastAsia="es-CO"/>
        </w:rPr>
        <w:t xml:space="preserve"> A propósito de </w:t>
      </w:r>
      <w:r>
        <w:rPr>
          <w:rFonts w:ascii="Verdana" w:eastAsia="Times New Roman" w:hAnsi="Verdana" w:cs="Arial"/>
          <w:lang w:eastAsia="es-CO"/>
        </w:rPr>
        <w:t>esta restricción de la Ley de Garantías Electorales, la Sala de Consulta y Servicio Civil del Consejo de Estado ha considerado que:</w:t>
      </w:r>
    </w:p>
    <w:p w14:paraId="4764E240" w14:textId="77777777" w:rsidR="00AF223C" w:rsidRDefault="00AF223C" w:rsidP="00AF223C">
      <w:pPr>
        <w:spacing w:after="0" w:line="276" w:lineRule="auto"/>
        <w:ind w:left="708" w:right="709"/>
        <w:jc w:val="both"/>
        <w:rPr>
          <w:rFonts w:ascii="Verdana" w:eastAsia="Calibri" w:hAnsi="Verdana" w:cs="Arial"/>
          <w:lang w:val="es-MX"/>
        </w:rPr>
      </w:pPr>
    </w:p>
    <w:p w14:paraId="04488BC4" w14:textId="77777777" w:rsidR="00AF223C" w:rsidRDefault="00AF223C" w:rsidP="00AF223C">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Pr>
          <w:rFonts w:ascii="Verdana" w:eastAsia="Times New Roman" w:hAnsi="Verdana" w:cs="Arial"/>
          <w:sz w:val="20"/>
          <w:szCs w:val="20"/>
          <w:vertAlign w:val="superscript"/>
          <w:lang w:eastAsia="es-CO"/>
        </w:rPr>
        <w:footnoteReference w:id="10"/>
      </w:r>
      <w:r>
        <w:rPr>
          <w:rFonts w:ascii="Verdana" w:eastAsia="Calibri" w:hAnsi="Verdana" w:cs="Arial"/>
          <w:sz w:val="20"/>
          <w:szCs w:val="20"/>
          <w:lang w:val="es-MX"/>
        </w:rPr>
        <w:t>.</w:t>
      </w:r>
    </w:p>
    <w:p w14:paraId="6E26A1DC" w14:textId="77777777" w:rsidR="00AF223C" w:rsidRDefault="00AF223C" w:rsidP="00AF223C">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 xml:space="preserve">Esta Sala ha entendido </w:t>
      </w:r>
      <w:proofErr w:type="gramStart"/>
      <w:r>
        <w:rPr>
          <w:rFonts w:ascii="Verdana" w:eastAsia="Calibri" w:hAnsi="Verdana" w:cs="Arial"/>
          <w:sz w:val="20"/>
          <w:szCs w:val="20"/>
          <w:lang w:val="es-MX"/>
        </w:rPr>
        <w:t>que</w:t>
      </w:r>
      <w:proofErr w:type="gramEnd"/>
      <w:r>
        <w:rPr>
          <w:rFonts w:ascii="Verdana" w:eastAsia="Calibri"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w:t>
      </w:r>
      <w:r w:rsidRPr="008601ED">
        <w:rPr>
          <w:rFonts w:ascii="Verdana" w:eastAsia="Calibri" w:hAnsi="Verdana" w:cs="Arial"/>
          <w:b/>
          <w:bCs/>
          <w:i/>
          <w:iCs/>
          <w:sz w:val="20"/>
          <w:szCs w:val="20"/>
          <w:lang w:val="es-MX"/>
        </w:rPr>
        <w:t>no necesariamente hace referencia al procedimiento especial regulado por la ley de contratación estatal, sino a cualquier otro que prescinda de un proceso de licitación pública o concurso</w:t>
      </w:r>
      <w:r>
        <w:rPr>
          <w:rFonts w:ascii="Verdana" w:eastAsia="Times New Roman" w:hAnsi="Verdana" w:cs="Arial"/>
          <w:sz w:val="20"/>
          <w:szCs w:val="20"/>
          <w:vertAlign w:val="superscript"/>
          <w:lang w:val="es-MX"/>
        </w:rPr>
        <w:footnoteReference w:id="11"/>
      </w:r>
      <w:r>
        <w:rPr>
          <w:rFonts w:ascii="Verdana" w:eastAsia="Times New Roman" w:hAnsi="Verdana" w:cs="Arial"/>
          <w:sz w:val="20"/>
          <w:szCs w:val="20"/>
          <w:vertAlign w:val="superscript"/>
          <w:lang w:val="es-MX"/>
        </w:rPr>
        <w:t>.</w:t>
      </w:r>
      <w:r>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Times New Roman" w:hAnsi="Verdana" w:cs="Arial"/>
          <w:sz w:val="20"/>
          <w:szCs w:val="20"/>
          <w:vertAlign w:val="superscript"/>
          <w:lang w:eastAsia="es-CO"/>
        </w:rPr>
        <w:footnoteReference w:id="12"/>
      </w:r>
      <w:r>
        <w:rPr>
          <w:rFonts w:ascii="Verdana" w:eastAsia="Calibri" w:hAnsi="Verdana" w:cs="Arial"/>
          <w:sz w:val="20"/>
          <w:szCs w:val="20"/>
          <w:lang w:val="es-MX"/>
        </w:rPr>
        <w:t>.[Énfasis por fuera de texto]</w:t>
      </w:r>
    </w:p>
    <w:p w14:paraId="5B1C75F2" w14:textId="77777777" w:rsidR="00AF223C" w:rsidRDefault="00AF223C" w:rsidP="00AF223C">
      <w:pPr>
        <w:shd w:val="clear" w:color="auto" w:fill="FFFFFF"/>
        <w:spacing w:after="0" w:line="276" w:lineRule="auto"/>
        <w:ind w:firstLine="709"/>
        <w:jc w:val="both"/>
        <w:rPr>
          <w:rFonts w:ascii="Verdana" w:eastAsia="Times New Roman" w:hAnsi="Verdana" w:cs="Arial"/>
          <w:lang w:eastAsia="x-none"/>
        </w:rPr>
      </w:pPr>
    </w:p>
    <w:p w14:paraId="6DE5BD06" w14:textId="77777777" w:rsidR="00AF223C" w:rsidRDefault="00AF223C" w:rsidP="00AF223C">
      <w:pPr>
        <w:spacing w:after="120" w:line="276" w:lineRule="auto"/>
        <w:ind w:firstLine="708"/>
        <w:jc w:val="both"/>
        <w:rPr>
          <w:rFonts w:ascii="Verdana" w:eastAsia="Times New Roman" w:hAnsi="Verdana" w:cs="Arial"/>
          <w:bCs/>
          <w:lang w:eastAsia="x-none"/>
        </w:rPr>
      </w:pPr>
      <w:r>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Pr>
          <w:rFonts w:ascii="Verdana" w:eastAsia="Times New Roman" w:hAnsi="Verdana" w:cs="Arial"/>
          <w:lang w:eastAsia="x-none"/>
        </w:rPr>
        <w:t xml:space="preserve">cualquier sistema que no implique </w:t>
      </w:r>
      <w:r>
        <w:rPr>
          <w:rFonts w:ascii="Verdana" w:eastAsia="Times New Roman" w:hAnsi="Verdana" w:cs="Arial"/>
          <w:lang w:eastAsia="x-none"/>
        </w:rPr>
        <w:lastRenderedPageBreak/>
        <w:t>convocatoria pública y posibilidad de pluralidad de oferentes</w:t>
      </w:r>
      <w:r>
        <w:rPr>
          <w:rFonts w:ascii="Verdana" w:eastAsia="Times New Roman" w:hAnsi="Verdana" w:cs="Arial"/>
          <w:lang w:eastAsia="en-GB"/>
        </w:rPr>
        <w:t>”</w:t>
      </w:r>
      <w:r>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Pr>
          <w:rFonts w:ascii="Verdana" w:eastAsia="Times New Roman" w:hAnsi="Verdana" w:cs="Arial"/>
          <w:lang w:val="es-ES_tradnl" w:eastAsia="x-none"/>
        </w:rPr>
        <w:t xml:space="preserve">y la mínima cuantía </w:t>
      </w:r>
      <w:r>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Pr>
          <w:rFonts w:ascii="Verdana" w:eastAsia="Times New Roman" w:hAnsi="Verdana" w:cs="Arial"/>
          <w:vertAlign w:val="superscript"/>
          <w:lang w:val="en-GB" w:eastAsia="x-none"/>
        </w:rPr>
        <w:footnoteReference w:id="13"/>
      </w:r>
      <w:r>
        <w:rPr>
          <w:rFonts w:ascii="Verdana" w:eastAsia="Times New Roman" w:hAnsi="Verdana" w:cs="Arial"/>
          <w:lang w:eastAsia="x-none"/>
        </w:rPr>
        <w:t xml:space="preserve"> y sistematizó las causales de contratación directa</w:t>
      </w:r>
      <w:r>
        <w:rPr>
          <w:rFonts w:ascii="Verdana" w:eastAsia="Times New Roman" w:hAnsi="Verdana" w:cs="Arial"/>
          <w:vertAlign w:val="superscript"/>
          <w:lang w:val="en-GB" w:eastAsia="x-none"/>
        </w:rPr>
        <w:footnoteReference w:id="14"/>
      </w:r>
      <w:r>
        <w:rPr>
          <w:rFonts w:ascii="Verdana" w:eastAsia="Times New Roman" w:hAnsi="Verdana" w:cs="Arial"/>
          <w:lang w:eastAsia="x-none"/>
        </w:rPr>
        <w:t xml:space="preserve">, </w:t>
      </w:r>
      <w:r>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21916F8A" w14:textId="77777777" w:rsidR="00AF223C" w:rsidRDefault="00AF223C" w:rsidP="00AF223C">
      <w:pPr>
        <w:spacing w:after="120" w:line="276" w:lineRule="auto"/>
        <w:ind w:firstLine="708"/>
        <w:jc w:val="both"/>
        <w:rPr>
          <w:rFonts w:ascii="Verdana" w:eastAsia="Times New Roman" w:hAnsi="Verdana" w:cs="Arial"/>
          <w:lang w:val="es-MX" w:eastAsia="x-none"/>
        </w:rPr>
      </w:pPr>
      <w:r>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Pr>
          <w:rFonts w:ascii="Verdana" w:eastAsia="Times New Roman" w:hAnsi="Verdana" w:cs="Arial"/>
          <w:lang w:eastAsia="x-none"/>
        </w:rPr>
        <w:t>contratación directa</w:t>
      </w:r>
      <w:r>
        <w:rPr>
          <w:rFonts w:ascii="Verdana" w:eastAsia="Times New Roman" w:hAnsi="Verdana" w:cs="Arial"/>
          <w:lang w:eastAsia="en-GB"/>
        </w:rPr>
        <w:t>”</w:t>
      </w:r>
      <w:r>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Pr>
          <w:rFonts w:ascii="Verdana" w:eastAsia="Times New Roman" w:hAnsi="Verdana" w:cs="Arial"/>
          <w:vertAlign w:val="superscript"/>
          <w:lang w:val="en-GB" w:eastAsia="x-none"/>
        </w:rPr>
        <w:footnoteReference w:id="15"/>
      </w:r>
      <w:r>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Pr>
          <w:rFonts w:ascii="Verdana" w:eastAsia="Times New Roman" w:hAnsi="Verdana" w:cs="Arial"/>
          <w:lang w:eastAsia="x-none"/>
        </w:rPr>
        <w:t xml:space="preserve">. </w:t>
      </w:r>
    </w:p>
    <w:p w14:paraId="6370CB63" w14:textId="77777777" w:rsidR="00AF223C" w:rsidRDefault="00AF223C" w:rsidP="00AF223C">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t>E</w:t>
      </w:r>
      <w:r>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vertAlign w:val="superscript"/>
        </w:rPr>
        <w:footnoteReference w:id="16"/>
      </w:r>
      <w:r>
        <w:rPr>
          <w:rFonts w:ascii="Verdana" w:eastAsia="Times New Roman" w:hAnsi="Verdana" w:cs="Arial"/>
          <w:lang w:eastAsia="x-none"/>
        </w:rPr>
        <w:t xml:space="preserve">. </w:t>
      </w:r>
    </w:p>
    <w:p w14:paraId="79376F07" w14:textId="77777777" w:rsidR="00AF223C" w:rsidRDefault="00AF223C" w:rsidP="00AF223C">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es-CO"/>
        </w:rPr>
        <w:lastRenderedPageBreak/>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5EAB461E" w14:textId="77777777" w:rsidR="00AF223C" w:rsidRDefault="00AF223C" w:rsidP="00AF223C">
      <w:pPr>
        <w:spacing w:after="120" w:line="276" w:lineRule="auto"/>
        <w:ind w:firstLine="708"/>
        <w:jc w:val="both"/>
        <w:rPr>
          <w:rFonts w:ascii="Verdana" w:eastAsia="Times New Roman" w:hAnsi="Verdana" w:cs="Arial"/>
          <w:bCs/>
          <w:lang w:val="es-MX" w:eastAsia="x-none"/>
        </w:rPr>
      </w:pPr>
      <w:r>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vertAlign w:val="superscript"/>
          <w:lang w:eastAsia="x-none"/>
        </w:rPr>
        <w:footnoteReference w:id="17"/>
      </w:r>
      <w:r>
        <w:rPr>
          <w:rFonts w:ascii="Verdana" w:eastAsia="Times New Roman" w:hAnsi="Verdana" w:cs="Arial"/>
          <w:bCs/>
          <w:lang w:val="es-MX" w:eastAsia="x-none"/>
        </w:rPr>
        <w:t>.</w:t>
      </w:r>
      <w:r>
        <w:rPr>
          <w:rFonts w:ascii="Verdana" w:eastAsia="Times New Roman" w:hAnsi="Verdana" w:cs="Arial"/>
          <w:vertAlign w:val="superscript"/>
          <w:lang w:val="es-MX" w:eastAsia="x-none"/>
        </w:rPr>
        <w:t xml:space="preserve"> </w:t>
      </w:r>
    </w:p>
    <w:p w14:paraId="6BADE05C" w14:textId="77777777" w:rsidR="00AF223C" w:rsidRDefault="00AF223C" w:rsidP="00AF223C">
      <w:pPr>
        <w:spacing w:after="120" w:line="276" w:lineRule="auto"/>
        <w:ind w:firstLine="708"/>
        <w:jc w:val="both"/>
        <w:rPr>
          <w:rFonts w:ascii="Verdana" w:eastAsia="Times New Roman" w:hAnsi="Verdana" w:cs="Arial"/>
          <w:lang w:eastAsia="x-none"/>
        </w:rPr>
      </w:pPr>
      <w:r>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0885261B" w14:textId="77777777" w:rsidR="00AF223C" w:rsidRDefault="00AF223C" w:rsidP="00AF223C">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t xml:space="preserve">En este contexto,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Pr>
          <w:rFonts w:ascii="Verdana" w:eastAsia="Times New Roman" w:hAnsi="Verdana" w:cs="Arial"/>
          <w:bCs/>
          <w:lang w:val="es-MX" w:eastAsia="x-none"/>
        </w:rPr>
        <w:t>ii</w:t>
      </w:r>
      <w:proofErr w:type="spellEnd"/>
      <w:r>
        <w:rPr>
          <w:rFonts w:ascii="Verdana" w:eastAsia="Times New Roman" w:hAnsi="Verdana" w:cs="Arial"/>
          <w:bCs/>
          <w:lang w:val="es-MX" w:eastAsia="x-none"/>
        </w:rPr>
        <w:t xml:space="preserve">) los contratos de crédito público; </w:t>
      </w:r>
      <w:proofErr w:type="spellStart"/>
      <w:r>
        <w:rPr>
          <w:rFonts w:ascii="Verdana" w:eastAsia="Times New Roman" w:hAnsi="Verdana" w:cs="Arial"/>
          <w:bCs/>
          <w:lang w:val="es-MX" w:eastAsia="x-none"/>
        </w:rPr>
        <w:t>iii</w:t>
      </w:r>
      <w:proofErr w:type="spellEnd"/>
      <w:r>
        <w:rPr>
          <w:rFonts w:ascii="Verdana" w:eastAsia="Times New Roman" w:hAnsi="Verdana" w:cs="Arial"/>
          <w:bCs/>
          <w:lang w:val="es-MX" w:eastAsia="x-none"/>
        </w:rPr>
        <w:t xml:space="preserve">) los requeridos para cubrir las emergencias educativas, sanitarias y desastres; </w:t>
      </w:r>
      <w:proofErr w:type="spellStart"/>
      <w:r>
        <w:rPr>
          <w:rFonts w:ascii="Verdana" w:eastAsia="Times New Roman" w:hAnsi="Verdana" w:cs="Arial"/>
          <w:bCs/>
          <w:lang w:val="es-MX" w:eastAsia="x-none"/>
        </w:rPr>
        <w:t>iv</w:t>
      </w:r>
      <w:proofErr w:type="spellEnd"/>
      <w:r>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eastAsia="Times New Roman" w:hAnsi="Verdana" w:cs="Arial"/>
          <w:bCs/>
          <w:lang w:val="es-MX" w:eastAsia="es-CO"/>
        </w:rPr>
        <w:t xml:space="preserve"> Es responsabilidad del respectivo </w:t>
      </w:r>
      <w:r>
        <w:rPr>
          <w:rFonts w:ascii="Verdana" w:eastAsia="Times New Roman" w:hAnsi="Verdana" w:cs="Arial"/>
          <w:bCs/>
          <w:lang w:val="es-MX" w:eastAsia="es-CO"/>
        </w:rPr>
        <w:lastRenderedPageBreak/>
        <w:t>ente del Estado, examinar en cada caso la naturaleza de las actividades que adelanta y determinar si las mismas se enmarcan en alguna de las mencionadas excepciones, de manera que se le permita realizar la contratación que necesite en forma directa.</w:t>
      </w:r>
    </w:p>
    <w:p w14:paraId="771396DF" w14:textId="77777777" w:rsidR="00AF223C" w:rsidRDefault="00AF223C" w:rsidP="00AF223C">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Pr>
          <w:rFonts w:ascii="Verdana" w:eastAsia="Calibri" w:hAnsi="Verdana" w:cs="Arial"/>
          <w:vertAlign w:val="superscript"/>
          <w:lang w:val="es-MX"/>
        </w:rPr>
        <w:footnoteReference w:id="18"/>
      </w:r>
      <w:r>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458FEAA3" w14:textId="77777777" w:rsidR="00AF223C" w:rsidRDefault="00AF223C" w:rsidP="00AF223C">
      <w:pPr>
        <w:spacing w:after="120" w:line="276" w:lineRule="auto"/>
        <w:ind w:firstLine="708"/>
        <w:jc w:val="both"/>
        <w:rPr>
          <w:rFonts w:ascii="Verdana" w:eastAsia="Calibri" w:hAnsi="Verdana" w:cs="Arial"/>
          <w:lang w:val="es-MX"/>
        </w:rPr>
      </w:pPr>
      <w:r>
        <w:rPr>
          <w:rFonts w:ascii="Verdana" w:eastAsia="Times New Roman" w:hAnsi="Verdana" w:cs="Arial"/>
          <w:bCs/>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Pr>
          <w:rFonts w:ascii="Verdana" w:eastAsia="Calibri" w:hAnsi="Verdana" w:cs="Arial"/>
          <w:sz w:val="24"/>
          <w:lang w:val="es-MX"/>
        </w:rPr>
        <w:t xml:space="preserve"> </w:t>
      </w:r>
      <w:r>
        <w:rPr>
          <w:rFonts w:ascii="Verdana" w:eastAsia="Times New Roman" w:hAnsi="Verdana" w:cs="Arial"/>
          <w:bCs/>
          <w:lang w:val="es-MX" w:eastAsia="x-none"/>
        </w:rPr>
        <w:t>En efecto, tal como lo ha sostenido el Consejo de Estado, el vocablo “todos” utilizado por el legislador comprende</w:t>
      </w:r>
      <w:r>
        <w:rPr>
          <w:rFonts w:ascii="Verdana" w:eastAsia="Calibri" w:hAnsi="Verdana" w:cs="Arial"/>
          <w:sz w:val="24"/>
          <w:lang w:val="es-MX"/>
        </w:rPr>
        <w:t xml:space="preserve"> </w:t>
      </w:r>
      <w:r>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3D295258" w14:textId="77777777" w:rsidR="00AF223C" w:rsidRPr="005E6430" w:rsidRDefault="00AF223C" w:rsidP="00AF223C">
      <w:pPr>
        <w:spacing w:after="120" w:line="276" w:lineRule="auto"/>
        <w:ind w:firstLine="708"/>
        <w:jc w:val="both"/>
        <w:rPr>
          <w:rFonts w:ascii="Verdana" w:eastAsia="Calibri" w:hAnsi="Verdana" w:cs="Arial"/>
          <w:lang w:val="es-MX"/>
        </w:rPr>
      </w:pPr>
      <w:r>
        <w:rPr>
          <w:rFonts w:ascii="Verdana" w:eastAsia="Calibri" w:hAnsi="Verdana" w:cs="Arial"/>
          <w:lang w:val="es-MX"/>
        </w:rPr>
        <w:t>Así las cosas, de acuerdo con los pronunciamientos de la Sala de Consulta y Servicio Civil del Consejo de Estado</w:t>
      </w:r>
      <w:r>
        <w:rPr>
          <w:rStyle w:val="Refdenotaalpie"/>
          <w:rFonts w:eastAsia="Calibri" w:cs="Arial"/>
          <w:lang w:val="es-MX"/>
        </w:rPr>
        <w:footnoteReference w:id="19"/>
      </w:r>
      <w:r>
        <w:rPr>
          <w:rFonts w:ascii="Verdana" w:eastAsia="Calibri" w:hAnsi="Verdana" w:cs="Arial"/>
          <w:lang w:val="es-MX"/>
        </w:rPr>
        <w:t xml:space="preserve">,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Pr>
          <w:rFonts w:ascii="Verdana" w:eastAsia="Times New Roman" w:hAnsi="Verdana" w:cs="Arial"/>
          <w:bCs/>
          <w:lang w:val="es-MX" w:eastAsia="x-none"/>
        </w:rPr>
        <w:t xml:space="preserve">establecimientos de crédito, las sociedades de </w:t>
      </w:r>
      <w:r>
        <w:rPr>
          <w:rFonts w:ascii="Verdana" w:eastAsia="Times New Roman" w:hAnsi="Verdana" w:cs="Arial"/>
          <w:bCs/>
          <w:lang w:val="es-MX" w:eastAsia="x-none"/>
        </w:rPr>
        <w:lastRenderedPageBreak/>
        <w:t>servicios financieros y las entidades aseguradoras</w:t>
      </w:r>
      <w:r>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vertAlign w:val="superscript"/>
        </w:rPr>
        <w:footnoteReference w:id="20"/>
      </w:r>
      <w:r>
        <w:rPr>
          <w:rFonts w:ascii="Verdana" w:eastAsia="Calibri" w:hAnsi="Verdana" w:cs="Arial"/>
          <w:lang w:val="es-MX"/>
        </w:rPr>
        <w:t>.</w:t>
      </w:r>
      <w:r>
        <w:rPr>
          <w:rFonts w:ascii="Verdana" w:eastAsia="Times New Roman" w:hAnsi="Verdana" w:cs="Arial"/>
          <w:lang w:val="es-MX" w:eastAsia="es-CO"/>
        </w:rPr>
        <w:t xml:space="preserve"> </w:t>
      </w:r>
    </w:p>
    <w:p w14:paraId="7548DFB8" w14:textId="77777777" w:rsidR="00AF223C" w:rsidRDefault="00AF223C" w:rsidP="00AF223C">
      <w:pPr>
        <w:spacing w:after="120" w:line="276" w:lineRule="auto"/>
        <w:ind w:firstLine="709"/>
        <w:jc w:val="both"/>
        <w:rPr>
          <w:rFonts w:ascii="Verdana" w:eastAsia="Times New Roman" w:hAnsi="Verdana" w:cs="Arial"/>
          <w:bCs/>
          <w:lang w:val="es-MX" w:eastAsia="x-none"/>
        </w:rPr>
      </w:pPr>
      <w:r>
        <w:rPr>
          <w:rFonts w:ascii="Verdana" w:eastAsia="Times New Roman" w:hAnsi="Verdana" w:cs="Arial"/>
          <w:lang w:eastAsia="es-CO"/>
        </w:rPr>
        <w:t>Sin perjuicio de estos pronunciamientos de la Sala de Consulta y Servicio Civil</w:t>
      </w:r>
      <w:r>
        <w:rPr>
          <w:rFonts w:ascii="Verdana" w:eastAsia="Calibri" w:hAnsi="Verdana" w:cs="Arial"/>
          <w:lang w:val="es-MX"/>
        </w:rPr>
        <w:t xml:space="preserve">, como la ha señalado esa misma Corporación, la restricción prevista en la Ley 996 de 2005 </w:t>
      </w:r>
      <w:r>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07BB8950" w14:textId="77777777" w:rsidR="00AF223C" w:rsidRDefault="00AF223C" w:rsidP="00AF223C">
      <w:pPr>
        <w:pStyle w:val="paragraph"/>
        <w:shd w:val="clear" w:color="auto" w:fill="FFFFFF"/>
        <w:spacing w:before="0" w:beforeAutospacing="0" w:after="120" w:afterAutospacing="0" w:line="276" w:lineRule="auto"/>
        <w:jc w:val="both"/>
        <w:textAlignment w:val="baseline"/>
        <w:rPr>
          <w:rFonts w:ascii="Verdana" w:eastAsia="Calibri" w:hAnsi="Verdana" w:cs="Arial"/>
          <w:sz w:val="22"/>
          <w:szCs w:val="22"/>
          <w:lang w:val="es-ES"/>
        </w:rPr>
      </w:pPr>
      <w:proofErr w:type="spellStart"/>
      <w:r>
        <w:rPr>
          <w:rFonts w:ascii="Verdana" w:eastAsia="Calibri" w:hAnsi="Verdana" w:cs="Arial"/>
          <w:sz w:val="22"/>
          <w:szCs w:val="22"/>
          <w:lang w:val="es-ES"/>
        </w:rPr>
        <w:t>iv</w:t>
      </w:r>
      <w:proofErr w:type="spellEnd"/>
      <w:r>
        <w:rPr>
          <w:rFonts w:ascii="Verdana" w:eastAsia="Calibri" w:hAnsi="Verdana" w:cs="Arial"/>
          <w:sz w:val="22"/>
          <w:szCs w:val="22"/>
          <w:lang w:val="es-ES"/>
        </w:rPr>
        <w:t>. E</w:t>
      </w:r>
      <w:r w:rsidRPr="006C389A">
        <w:rPr>
          <w:rFonts w:ascii="Verdana" w:eastAsia="Calibri" w:hAnsi="Verdana" w:cs="Arial"/>
          <w:sz w:val="22"/>
          <w:szCs w:val="22"/>
          <w:lang w:val="es-ES"/>
        </w:rPr>
        <w:t xml:space="preserve">n relación con el procedimiento administrativo </w:t>
      </w:r>
      <w:r>
        <w:rPr>
          <w:rFonts w:ascii="Verdana" w:eastAsia="Calibri" w:hAnsi="Verdana" w:cs="Arial"/>
          <w:sz w:val="22"/>
          <w:szCs w:val="22"/>
          <w:lang w:val="es-ES"/>
        </w:rPr>
        <w:t xml:space="preserve">de </w:t>
      </w:r>
      <w:r w:rsidRPr="006C389A">
        <w:rPr>
          <w:rFonts w:ascii="Verdana" w:eastAsia="Calibri" w:hAnsi="Verdana" w:cs="Arial"/>
          <w:sz w:val="22"/>
          <w:szCs w:val="22"/>
          <w:lang w:val="es-ES"/>
        </w:rPr>
        <w:t xml:space="preserve">adquisición </w:t>
      </w:r>
      <w:r>
        <w:rPr>
          <w:rFonts w:ascii="Verdana" w:eastAsia="Calibri" w:hAnsi="Verdana" w:cs="Arial"/>
          <w:sz w:val="22"/>
          <w:szCs w:val="22"/>
          <w:lang w:val="es-ES"/>
        </w:rPr>
        <w:t>predial p</w:t>
      </w:r>
      <w:r w:rsidRPr="006C389A">
        <w:rPr>
          <w:rFonts w:ascii="Verdana" w:eastAsia="Calibri" w:hAnsi="Verdana" w:cs="Arial"/>
          <w:sz w:val="22"/>
          <w:szCs w:val="22"/>
          <w:lang w:val="es-ES"/>
        </w:rPr>
        <w:t>or motivos de utilidad pública e interés social mediante enajenación voluntaria, en los conceptos C-1512 y C-1529 de 2025 se concluyó que dicho procedimiento se encuentra excluido de la aplicación del EGCAP, en la medida en que está regulado por un régimen especial y exceptuado. No obstante, se precisó que este procedimiento puede culminar en la celebración de una promesa de compraventa o de un contrato de compraventa entre la entidad y el particular, lo cual implica que, en tales eventos, se está frente a un procedimiento de contratación estatal de naturaleza no competitiva, sujeto a la restricción prevista en el artículo 33 de la Ley 996 de 2005, conforme al alcance explicado</w:t>
      </w:r>
      <w:r>
        <w:rPr>
          <w:rFonts w:ascii="Verdana" w:eastAsia="Calibri" w:hAnsi="Verdana" w:cs="Arial"/>
          <w:sz w:val="22"/>
          <w:szCs w:val="22"/>
          <w:lang w:val="es-ES"/>
        </w:rPr>
        <w:t xml:space="preserve">. </w:t>
      </w:r>
      <w:r w:rsidRPr="006C389A">
        <w:rPr>
          <w:rFonts w:ascii="Verdana" w:eastAsia="Calibri" w:hAnsi="Verdana" w:cs="Arial"/>
          <w:sz w:val="22"/>
          <w:szCs w:val="22"/>
          <w:lang w:val="es-ES"/>
        </w:rPr>
        <w:t xml:space="preserve">En contraste, </w:t>
      </w:r>
      <w:r w:rsidRPr="006A3D18">
        <w:rPr>
          <w:rFonts w:ascii="Verdana" w:eastAsia="Calibri" w:hAnsi="Verdana" w:cs="Arial"/>
          <w:sz w:val="22"/>
          <w:szCs w:val="22"/>
          <w:lang w:val="es-ES"/>
        </w:rPr>
        <w:t>cuando la adquisición ocurra por el procedimiento expropiatorio no se materializa en la celebración de un contrato.</w:t>
      </w:r>
    </w:p>
    <w:p w14:paraId="408F7218" w14:textId="77777777" w:rsidR="00AF223C" w:rsidRDefault="00AF223C" w:rsidP="00AF223C">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lang w:val="es-ES"/>
        </w:rPr>
      </w:pPr>
      <w:r w:rsidRPr="006C389A">
        <w:rPr>
          <w:rFonts w:ascii="Verdana" w:eastAsia="Calibri" w:hAnsi="Verdana" w:cs="Arial"/>
          <w:sz w:val="22"/>
          <w:szCs w:val="22"/>
          <w:lang w:val="es-ES"/>
        </w:rPr>
        <w:lastRenderedPageBreak/>
        <w:t xml:space="preserve">Con fundamento en lo anterior, esta Subdirección </w:t>
      </w:r>
      <w:r>
        <w:rPr>
          <w:rFonts w:ascii="Verdana" w:eastAsia="Calibri" w:hAnsi="Verdana" w:cs="Arial"/>
          <w:sz w:val="22"/>
          <w:szCs w:val="22"/>
          <w:lang w:val="es-ES"/>
        </w:rPr>
        <w:t>en conceptos C-1799 y C-1501 de 2025 reiteró</w:t>
      </w:r>
      <w:r w:rsidRPr="006C389A">
        <w:rPr>
          <w:rFonts w:ascii="Verdana" w:eastAsia="Calibri" w:hAnsi="Verdana" w:cs="Arial"/>
          <w:sz w:val="22"/>
          <w:szCs w:val="22"/>
          <w:lang w:val="es-ES"/>
        </w:rPr>
        <w:t xml:space="preserve"> la posición sostenida en los conceptos mencionados, </w:t>
      </w:r>
      <w:r>
        <w:rPr>
          <w:rFonts w:ascii="Verdana" w:eastAsia="Calibri" w:hAnsi="Verdana" w:cs="Arial"/>
          <w:sz w:val="22"/>
          <w:szCs w:val="22"/>
          <w:lang w:val="es-ES"/>
        </w:rPr>
        <w:t xml:space="preserve">realizando a continuación </w:t>
      </w:r>
      <w:r w:rsidRPr="006C389A">
        <w:rPr>
          <w:rFonts w:ascii="Verdana" w:eastAsia="Calibri" w:hAnsi="Verdana" w:cs="Arial"/>
          <w:sz w:val="22"/>
          <w:szCs w:val="22"/>
          <w:lang w:val="es-ES"/>
        </w:rPr>
        <w:t>algunas precisiones sobre el alcance de su aplicación</w:t>
      </w:r>
      <w:r>
        <w:rPr>
          <w:rFonts w:ascii="Verdana" w:eastAsia="Calibri" w:hAnsi="Verdana" w:cs="Arial"/>
          <w:sz w:val="22"/>
          <w:szCs w:val="22"/>
          <w:lang w:val="es-ES"/>
        </w:rPr>
        <w:t xml:space="preserve">. </w:t>
      </w:r>
      <w:r w:rsidRPr="0013781B">
        <w:rPr>
          <w:rFonts w:ascii="Verdana" w:eastAsia="Calibri" w:hAnsi="Verdana" w:cs="Arial"/>
          <w:sz w:val="22"/>
          <w:szCs w:val="22"/>
          <w:lang w:val="es-ES"/>
        </w:rPr>
        <w:t xml:space="preserve">En primer </w:t>
      </w:r>
      <w:proofErr w:type="gramStart"/>
      <w:r w:rsidRPr="0013781B">
        <w:rPr>
          <w:rFonts w:ascii="Verdana" w:eastAsia="Calibri" w:hAnsi="Verdana" w:cs="Arial"/>
          <w:sz w:val="22"/>
          <w:szCs w:val="22"/>
          <w:lang w:val="es-ES"/>
        </w:rPr>
        <w:t>lugar</w:t>
      </w:r>
      <w:proofErr w:type="gramEnd"/>
      <w:r w:rsidRPr="0013781B">
        <w:rPr>
          <w:rFonts w:ascii="Verdana" w:eastAsia="Calibri" w:hAnsi="Verdana" w:cs="Arial"/>
          <w:sz w:val="22"/>
          <w:szCs w:val="22"/>
          <w:lang w:val="es-ES"/>
        </w:rPr>
        <w:t xml:space="preserve"> </w:t>
      </w:r>
      <w:r>
        <w:rPr>
          <w:rFonts w:ascii="Verdana" w:eastAsia="Calibri" w:hAnsi="Verdana" w:cs="Arial"/>
          <w:sz w:val="22"/>
          <w:szCs w:val="22"/>
          <w:lang w:val="es-ES"/>
        </w:rPr>
        <w:t xml:space="preserve">se reconoce que </w:t>
      </w:r>
      <w:r w:rsidRPr="0013781B">
        <w:rPr>
          <w:rFonts w:ascii="Verdana" w:eastAsia="Calibri" w:hAnsi="Verdana" w:cs="Arial"/>
          <w:sz w:val="22"/>
          <w:szCs w:val="22"/>
          <w:lang w:val="es-ES"/>
        </w:rPr>
        <w:t>el procedimiento administrativo de adquisición</w:t>
      </w:r>
      <w:r>
        <w:rPr>
          <w:rFonts w:ascii="Verdana" w:eastAsia="Calibri" w:hAnsi="Verdana" w:cs="Arial"/>
          <w:sz w:val="22"/>
          <w:szCs w:val="22"/>
          <w:lang w:val="es-ES"/>
        </w:rPr>
        <w:t xml:space="preserve"> predial</w:t>
      </w:r>
      <w:r w:rsidRPr="0013781B">
        <w:rPr>
          <w:rFonts w:ascii="Verdana" w:eastAsia="Calibri" w:hAnsi="Verdana" w:cs="Arial"/>
          <w:sz w:val="22"/>
          <w:szCs w:val="22"/>
          <w:lang w:val="es-ES"/>
        </w:rPr>
        <w:t xml:space="preserve"> por motivos de utilidad pública e interés social no constituye un procedimiento sometido al E</w:t>
      </w:r>
      <w:r>
        <w:rPr>
          <w:rFonts w:ascii="Verdana" w:eastAsia="Calibri" w:hAnsi="Verdana" w:cs="Arial"/>
          <w:sz w:val="22"/>
          <w:szCs w:val="22"/>
          <w:lang w:val="es-ES"/>
        </w:rPr>
        <w:t xml:space="preserve">GCAP, puesto que se </w:t>
      </w:r>
      <w:r w:rsidRPr="0013781B">
        <w:rPr>
          <w:rFonts w:ascii="Verdana" w:eastAsia="Calibri" w:hAnsi="Verdana" w:cs="Arial"/>
          <w:sz w:val="22"/>
          <w:szCs w:val="22"/>
          <w:lang w:val="es-ES"/>
        </w:rPr>
        <w:t>trata de un procedimiento especial, dotado de finalidad, etapas y reglas propias, cuya regulación se encuentra prevista de manera específica en</w:t>
      </w:r>
      <w:r w:rsidRPr="007B37F8">
        <w:rPr>
          <w:rFonts w:asciiTheme="minorHAnsi" w:eastAsiaTheme="minorHAnsi" w:hAnsiTheme="minorHAnsi" w:cstheme="minorBidi"/>
          <w:sz w:val="22"/>
          <w:szCs w:val="22"/>
          <w:lang w:eastAsia="en-US"/>
        </w:rPr>
        <w:t xml:space="preserve"> </w:t>
      </w:r>
      <w:r w:rsidRPr="007B37F8">
        <w:rPr>
          <w:rFonts w:ascii="Verdana" w:eastAsia="Calibri" w:hAnsi="Verdana" w:cs="Arial"/>
          <w:sz w:val="22"/>
          <w:szCs w:val="22"/>
        </w:rPr>
        <w:t>Leyes 9 de 1989, 388 de 1997 y 1682 de 2013</w:t>
      </w:r>
      <w:r w:rsidRPr="0013781B">
        <w:rPr>
          <w:rFonts w:ascii="Verdana" w:eastAsia="Calibri" w:hAnsi="Verdana" w:cs="Arial"/>
          <w:sz w:val="22"/>
          <w:szCs w:val="22"/>
          <w:lang w:val="es-ES"/>
        </w:rPr>
        <w:t>, lo que lo sustrae del régimen general de la contratación estatal.</w:t>
      </w:r>
      <w:r>
        <w:rPr>
          <w:rFonts w:ascii="Verdana" w:eastAsia="Calibri" w:hAnsi="Verdana" w:cs="Arial"/>
          <w:sz w:val="22"/>
          <w:szCs w:val="22"/>
          <w:lang w:val="es-ES"/>
        </w:rPr>
        <w:t xml:space="preserve"> </w:t>
      </w:r>
      <w:r w:rsidRPr="0013781B">
        <w:rPr>
          <w:rFonts w:ascii="Verdana" w:eastAsia="Calibri" w:hAnsi="Verdana" w:cs="Arial"/>
          <w:sz w:val="22"/>
          <w:szCs w:val="22"/>
          <w:lang w:val="es-ES"/>
        </w:rPr>
        <w:t>Esta caracterización ha sido reiterada en los conceptos previamente citados, en los cuales se concluyó que dicho procedimiento se rige por un</w:t>
      </w:r>
      <w:r>
        <w:rPr>
          <w:rFonts w:ascii="Verdana" w:eastAsia="Calibri" w:hAnsi="Verdana" w:cs="Arial"/>
          <w:sz w:val="22"/>
          <w:szCs w:val="22"/>
          <w:lang w:val="es-ES"/>
        </w:rPr>
        <w:t xml:space="preserve">as reglas especiales. </w:t>
      </w:r>
    </w:p>
    <w:p w14:paraId="5A18C6C1" w14:textId="77777777" w:rsidR="00AF223C" w:rsidRPr="00E47785" w:rsidRDefault="00AF223C" w:rsidP="00AF223C">
      <w:pPr>
        <w:spacing w:before="120" w:after="120" w:line="276" w:lineRule="auto"/>
        <w:ind w:firstLine="709"/>
        <w:jc w:val="both"/>
        <w:rPr>
          <w:rFonts w:ascii="Verdana" w:eastAsia="Times New Roman" w:hAnsi="Verdana" w:cs="Arial"/>
          <w:lang w:val="es-ES" w:eastAsia="es-ES_tradnl"/>
        </w:rPr>
      </w:pPr>
      <w:r>
        <w:rPr>
          <w:rFonts w:ascii="Verdana" w:eastAsia="Calibri" w:hAnsi="Verdana" w:cs="Arial"/>
          <w:lang w:val="es-ES"/>
        </w:rPr>
        <w:t xml:space="preserve">En efecto, </w:t>
      </w:r>
      <w:r>
        <w:rPr>
          <w:rFonts w:ascii="Verdana" w:eastAsia="Times New Roman" w:hAnsi="Verdana" w:cs="Arial"/>
          <w:lang w:val="es-ES" w:eastAsia="es-ES_tradnl"/>
        </w:rPr>
        <w:t>en los procesos de expropiación judicial o expropiación administrativa existe una etapa previa de negociación, en la cual la administración intenta adquirir voluntariamente el bien, de suerte que se evite iniciar el proceso forzoso expropiatorio. Esta etapa comienza con una oferta de la entidad al particular para adquirir el bien por el precio base fijado con fundamento en un avalúo. Posteriormente, pasa a una etapa de negociación directa con el particular. En caso de que el proceso de negociación directa se concrete, culmina con la etapa de transferencia del bien y de pago del precio acordado. Pero, si el proceso de negociación se frustra, inicia la etapa expropiatoria, mediante los procesos judicial o administrativo, según el caso, hasta obtener el título traslaticio de dominio al Estado, la tradición del bien y realizar el pago de la indemnización al particular expropiado.</w:t>
      </w:r>
    </w:p>
    <w:p w14:paraId="038DB142" w14:textId="77777777" w:rsidR="00AF223C" w:rsidRDefault="00AF223C" w:rsidP="00AF223C">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611BBF">
        <w:rPr>
          <w:rFonts w:ascii="Verdana" w:eastAsia="Calibri" w:hAnsi="Verdana" w:cs="Arial"/>
          <w:sz w:val="22"/>
          <w:szCs w:val="22"/>
        </w:rPr>
        <w:t xml:space="preserve">Como consecuencia de lo anterior, debe precisarse que </w:t>
      </w:r>
      <w:r w:rsidRPr="00ED2EBA">
        <w:rPr>
          <w:rFonts w:ascii="Verdana" w:eastAsia="Calibri" w:hAnsi="Verdana" w:cs="Arial"/>
          <w:sz w:val="22"/>
          <w:szCs w:val="22"/>
        </w:rPr>
        <w:t xml:space="preserve">la restricción prevista en el artículo 33 de la Ley 996 de 2005 no resulta aplicable al </w:t>
      </w:r>
      <w:r w:rsidRPr="0013781B">
        <w:rPr>
          <w:rFonts w:ascii="Verdana" w:eastAsia="Calibri" w:hAnsi="Verdana" w:cs="Arial"/>
          <w:sz w:val="22"/>
          <w:szCs w:val="22"/>
          <w:lang w:val="es-ES"/>
        </w:rPr>
        <w:t>administrativo de adquisición</w:t>
      </w:r>
      <w:r>
        <w:rPr>
          <w:rFonts w:ascii="Verdana" w:eastAsia="Calibri" w:hAnsi="Verdana" w:cs="Arial"/>
          <w:sz w:val="22"/>
          <w:szCs w:val="22"/>
          <w:lang w:val="es-ES"/>
        </w:rPr>
        <w:t xml:space="preserve"> predial</w:t>
      </w:r>
      <w:r w:rsidRPr="0013781B">
        <w:rPr>
          <w:rFonts w:ascii="Verdana" w:eastAsia="Calibri" w:hAnsi="Verdana" w:cs="Arial"/>
          <w:sz w:val="22"/>
          <w:szCs w:val="22"/>
          <w:lang w:val="es-ES"/>
        </w:rPr>
        <w:t xml:space="preserve"> </w:t>
      </w:r>
      <w:r w:rsidRPr="00DF2532">
        <w:rPr>
          <w:rFonts w:ascii="Verdana" w:eastAsia="Calibri" w:hAnsi="Verdana" w:cs="Arial"/>
          <w:i/>
          <w:iCs/>
          <w:sz w:val="22"/>
          <w:szCs w:val="22"/>
        </w:rPr>
        <w:t>en sí mismo</w:t>
      </w:r>
      <w:r w:rsidRPr="00ED2EBA">
        <w:rPr>
          <w:rFonts w:ascii="Verdana" w:eastAsia="Calibri" w:hAnsi="Verdana" w:cs="Arial"/>
          <w:sz w:val="22"/>
          <w:szCs w:val="22"/>
        </w:rPr>
        <w:t>,</w:t>
      </w:r>
      <w:r>
        <w:rPr>
          <w:rFonts w:ascii="Verdana" w:eastAsia="Calibri" w:hAnsi="Verdana" w:cs="Arial"/>
          <w:sz w:val="22"/>
          <w:szCs w:val="22"/>
        </w:rPr>
        <w:t xml:space="preserve"> en su etapa preparatoria o preliminar,</w:t>
      </w:r>
      <w:r w:rsidRPr="00ED2EBA">
        <w:rPr>
          <w:rFonts w:ascii="Verdana" w:eastAsia="Calibri" w:hAnsi="Verdana" w:cs="Arial"/>
          <w:sz w:val="22"/>
          <w:szCs w:val="22"/>
        </w:rPr>
        <w:t xml:space="preserve"> en la medida en que dicho artículo se refiere a</w:t>
      </w:r>
      <w:r>
        <w:rPr>
          <w:rFonts w:ascii="Verdana" w:eastAsia="Calibri" w:hAnsi="Verdana" w:cs="Arial"/>
          <w:sz w:val="22"/>
          <w:szCs w:val="22"/>
        </w:rPr>
        <w:t xml:space="preserve"> la </w:t>
      </w:r>
      <w:r w:rsidRPr="0087731C">
        <w:rPr>
          <w:rFonts w:ascii="Verdana" w:eastAsia="Calibri" w:hAnsi="Verdana" w:cs="Arial"/>
          <w:bCs/>
          <w:sz w:val="22"/>
          <w:szCs w:val="22"/>
          <w:lang w:val="es-MX"/>
        </w:rPr>
        <w:t>celebra</w:t>
      </w:r>
      <w:r>
        <w:rPr>
          <w:rFonts w:ascii="Verdana" w:eastAsia="Calibri" w:hAnsi="Verdana" w:cs="Arial"/>
          <w:bCs/>
          <w:sz w:val="22"/>
          <w:szCs w:val="22"/>
          <w:lang w:val="es-MX"/>
        </w:rPr>
        <w:t xml:space="preserve">ción de </w:t>
      </w:r>
      <w:r w:rsidRPr="0087731C">
        <w:rPr>
          <w:rFonts w:ascii="Verdana" w:eastAsia="Calibri" w:hAnsi="Verdana" w:cs="Arial"/>
          <w:bCs/>
          <w:sz w:val="22"/>
          <w:szCs w:val="22"/>
          <w:lang w:val="es-MX"/>
        </w:rPr>
        <w:t>contrato</w:t>
      </w:r>
      <w:r>
        <w:rPr>
          <w:rFonts w:ascii="Verdana" w:eastAsia="Calibri" w:hAnsi="Verdana" w:cs="Arial"/>
          <w:bCs/>
          <w:sz w:val="22"/>
          <w:szCs w:val="22"/>
          <w:lang w:val="es-MX"/>
        </w:rPr>
        <w:t>s</w:t>
      </w:r>
      <w:r w:rsidRPr="0087731C">
        <w:rPr>
          <w:rFonts w:ascii="Verdana" w:eastAsia="Calibri" w:hAnsi="Verdana" w:cs="Arial"/>
          <w:bCs/>
          <w:sz w:val="22"/>
          <w:szCs w:val="22"/>
          <w:lang w:val="es-MX"/>
        </w:rPr>
        <w:t xml:space="preserve"> de forma directa, </w:t>
      </w:r>
      <w:r w:rsidRPr="00ED2EBA">
        <w:rPr>
          <w:rFonts w:ascii="Verdana" w:eastAsia="Calibri" w:hAnsi="Verdana" w:cs="Arial"/>
          <w:sz w:val="22"/>
          <w:szCs w:val="22"/>
        </w:rPr>
        <w:t>y</w:t>
      </w:r>
      <w:r w:rsidRPr="00611BBF">
        <w:rPr>
          <w:rFonts w:ascii="Verdana" w:eastAsia="Calibri" w:hAnsi="Verdana" w:cs="Arial"/>
          <w:sz w:val="22"/>
          <w:szCs w:val="22"/>
        </w:rPr>
        <w:t xml:space="preserve"> no a</w:t>
      </w:r>
      <w:r>
        <w:rPr>
          <w:rFonts w:ascii="Verdana" w:eastAsia="Calibri" w:hAnsi="Verdana" w:cs="Arial"/>
          <w:sz w:val="22"/>
          <w:szCs w:val="22"/>
        </w:rPr>
        <w:t xml:space="preserve"> las</w:t>
      </w:r>
      <w:r w:rsidRPr="00611BBF">
        <w:rPr>
          <w:rFonts w:ascii="Verdana" w:eastAsia="Calibri" w:hAnsi="Verdana" w:cs="Arial"/>
          <w:sz w:val="22"/>
          <w:szCs w:val="22"/>
        </w:rPr>
        <w:t xml:space="preserve"> actuaciones administrativas</w:t>
      </w:r>
      <w:r>
        <w:rPr>
          <w:rFonts w:ascii="Verdana" w:eastAsia="Calibri" w:hAnsi="Verdana" w:cs="Arial"/>
          <w:sz w:val="22"/>
          <w:szCs w:val="22"/>
        </w:rPr>
        <w:t xml:space="preserve"> que se puedan generar previamente. </w:t>
      </w:r>
    </w:p>
    <w:p w14:paraId="6DD5EDF7" w14:textId="77777777" w:rsidR="00AF223C" w:rsidRDefault="00AF223C" w:rsidP="00AF223C">
      <w:pPr>
        <w:spacing w:after="120" w:line="276" w:lineRule="auto"/>
        <w:ind w:firstLine="709"/>
        <w:jc w:val="both"/>
        <w:rPr>
          <w:rFonts w:ascii="Verdana" w:hAnsi="Verdana" w:cs="Arial"/>
          <w:bCs/>
          <w:lang w:eastAsia="es-CO"/>
        </w:rPr>
      </w:pPr>
      <w:r>
        <w:rPr>
          <w:rFonts w:ascii="Verdana" w:eastAsia="Times New Roman" w:hAnsi="Verdana" w:cs="Arial"/>
          <w:lang w:val="es-ES"/>
        </w:rPr>
        <w:t xml:space="preserve">Respecto de la celebración de otros instrumentos jurídicos distintos de contratos directos que impliquen la expedición de actos administrativos y otras actuaciones administrativas, es importante señalar que en estos casos </w:t>
      </w:r>
      <w:r>
        <w:rPr>
          <w:rFonts w:ascii="Verdana" w:hAnsi="Verdana" w:cs="Arial"/>
          <w:bCs/>
          <w:lang w:val="es-ES_tradnl" w:eastAsia="es-CO"/>
        </w:rPr>
        <w:t xml:space="preserve">no le resulta aplicable las restricciones previstas en el artículo 33 de la Ley 996 de 2005, porque lo que este precepto prohíbe es </w:t>
      </w:r>
      <w:r>
        <w:rPr>
          <w:rFonts w:ascii="Verdana" w:hAnsi="Verdana" w:cs="Arial"/>
          <w:bCs/>
          <w:lang w:val="es-MX" w:eastAsia="x-none"/>
        </w:rPr>
        <w:t xml:space="preserve">celebrar cualquier contrato de </w:t>
      </w:r>
      <w:r>
        <w:rPr>
          <w:rFonts w:ascii="Verdana" w:hAnsi="Verdana" w:cs="Arial"/>
          <w:bCs/>
          <w:lang w:val="es-MX" w:eastAsia="x-none"/>
        </w:rPr>
        <w:lastRenderedPageBreak/>
        <w:t>forma directa</w:t>
      </w:r>
      <w:r>
        <w:rPr>
          <w:rFonts w:ascii="Verdana" w:hAnsi="Verdana" w:cs="Arial"/>
          <w:bCs/>
          <w:lang w:val="es-ES_tradnl" w:eastAsia="es-CO"/>
        </w:rPr>
        <w:t xml:space="preserve">. En este sentido, </w:t>
      </w:r>
      <w:r>
        <w:rPr>
          <w:rFonts w:ascii="Verdana" w:eastAsia="Times New Roman" w:hAnsi="Verdana" w:cs="Arial"/>
          <w:lang w:val="es-ES"/>
        </w:rPr>
        <w:t xml:space="preserve">la celebración de contratos de forma directa </w:t>
      </w:r>
      <w:r>
        <w:rPr>
          <w:rFonts w:ascii="Verdana" w:hAnsi="Verdana" w:cs="Arial"/>
          <w:bCs/>
          <w:lang w:val="es-ES_tradnl" w:eastAsia="es-CO"/>
        </w:rPr>
        <w:t xml:space="preserve">son </w:t>
      </w:r>
      <w:r>
        <w:rPr>
          <w:rFonts w:ascii="Verdana" w:hAnsi="Verdana" w:cs="Arial"/>
          <w:bCs/>
          <w:i/>
          <w:iCs/>
          <w:lang w:val="es-ES_tradnl" w:eastAsia="es-CO"/>
        </w:rPr>
        <w:t>acuerdos de voluntades</w:t>
      </w:r>
      <w:r>
        <w:rPr>
          <w:rFonts w:ascii="Verdana" w:hAnsi="Verdana" w:cs="Arial"/>
          <w:bCs/>
          <w:lang w:val="es-ES_tradnl" w:eastAsia="es-CO"/>
        </w:rPr>
        <w:t xml:space="preserve">, o sea un acto jurídico </w:t>
      </w:r>
      <w:r>
        <w:rPr>
          <w:rFonts w:ascii="Verdana" w:hAnsi="Verdana" w:cs="Arial"/>
          <w:bCs/>
          <w:i/>
          <w:iCs/>
          <w:lang w:val="es-ES_tradnl" w:eastAsia="es-CO"/>
        </w:rPr>
        <w:t>bilateral</w:t>
      </w:r>
      <w:r>
        <w:rPr>
          <w:rFonts w:ascii="Verdana" w:hAnsi="Verdana" w:cs="Arial"/>
          <w:bCs/>
          <w:lang w:val="es-ES_tradnl" w:eastAsia="es-CO"/>
        </w:rPr>
        <w:t xml:space="preserve"> o que participa de la forma contractual, de conformidad con el artículo 1495 del Código Civil. En cambio, </w:t>
      </w:r>
      <w:r w:rsidRPr="00F12276">
        <w:rPr>
          <w:rFonts w:ascii="Verdana" w:hAnsi="Verdana" w:cs="Arial"/>
          <w:bCs/>
          <w:lang w:eastAsia="es-CO"/>
        </w:rPr>
        <w:t>los actos administrativos son declaraciones unilaterales de voluntad encaminadas a la producción de efectos jurídicos vinculantes</w:t>
      </w:r>
      <w:r w:rsidRPr="00F12276">
        <w:rPr>
          <w:rFonts w:ascii="Verdana" w:hAnsi="Verdana" w:cs="Arial"/>
          <w:bCs/>
          <w:vertAlign w:val="superscript"/>
          <w:lang w:eastAsia="es-CO"/>
        </w:rPr>
        <w:footnoteReference w:id="21"/>
      </w:r>
      <w:r>
        <w:rPr>
          <w:rFonts w:ascii="Verdana" w:hAnsi="Verdana" w:cs="Arial"/>
          <w:bCs/>
          <w:lang w:eastAsia="es-CO"/>
        </w:rPr>
        <w:t xml:space="preserve">. En tal sentido, </w:t>
      </w:r>
      <w:r>
        <w:rPr>
          <w:rFonts w:ascii="Verdana" w:hAnsi="Verdana" w:cs="Arial"/>
          <w:bCs/>
          <w:lang w:val="es-ES_tradnl" w:eastAsia="es-CO"/>
        </w:rPr>
        <w:t xml:space="preserve">si el artículo 33 </w:t>
      </w:r>
      <w:r w:rsidRPr="00A72ADC">
        <w:rPr>
          <w:rFonts w:ascii="Verdana" w:hAnsi="Verdana" w:cs="Arial"/>
          <w:bCs/>
          <w:i/>
          <w:iCs/>
          <w:lang w:val="es-ES_tradnl" w:eastAsia="es-CO"/>
        </w:rPr>
        <w:t>ibidem</w:t>
      </w:r>
      <w:r>
        <w:rPr>
          <w:rFonts w:ascii="Verdana" w:hAnsi="Verdana" w:cs="Arial"/>
          <w:bCs/>
          <w:lang w:val="es-ES_tradnl" w:eastAsia="es-CO"/>
        </w:rPr>
        <w:t xml:space="preserve"> prohibió la celebración directa de contratos, no puede entenderse </w:t>
      </w:r>
      <w:r w:rsidRPr="00A72ADC">
        <w:rPr>
          <w:rFonts w:ascii="Verdana" w:hAnsi="Verdana" w:cs="Arial"/>
          <w:bCs/>
          <w:lang w:val="es-ES_tradnl" w:eastAsia="es-CO"/>
        </w:rPr>
        <w:t>también</w:t>
      </w:r>
      <w:r>
        <w:rPr>
          <w:rFonts w:ascii="Verdana" w:hAnsi="Verdana" w:cs="Arial"/>
          <w:bCs/>
          <w:lang w:val="es-ES_tradnl" w:eastAsia="es-CO"/>
        </w:rPr>
        <w:t xml:space="preserve"> prohibida la expedición de actos administrativos u otros instrumentos jurídicos, porque se estaría incluyendo una circunstancia que el supuesto de hecho de la restricción no contempla. </w:t>
      </w:r>
    </w:p>
    <w:p w14:paraId="43171763" w14:textId="77777777" w:rsidR="00AF223C" w:rsidRDefault="00AF223C" w:rsidP="00AF223C">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B61452">
        <w:rPr>
          <w:rFonts w:ascii="Verdana" w:eastAsia="Calibri" w:hAnsi="Verdana" w:cs="Arial"/>
          <w:sz w:val="22"/>
          <w:szCs w:val="22"/>
        </w:rPr>
        <w:t xml:space="preserve">En ese sentido, </w:t>
      </w:r>
      <w:r w:rsidRPr="009C69E1">
        <w:rPr>
          <w:rFonts w:ascii="Verdana" w:eastAsia="Calibri" w:hAnsi="Verdana" w:cs="Arial"/>
          <w:sz w:val="22"/>
          <w:szCs w:val="22"/>
        </w:rPr>
        <w:t xml:space="preserve">todos los trámites preparatorios y actuaciones administrativas </w:t>
      </w:r>
      <w:r>
        <w:rPr>
          <w:rFonts w:ascii="Verdana" w:eastAsia="Calibri" w:hAnsi="Verdana" w:cs="Arial"/>
          <w:sz w:val="22"/>
          <w:szCs w:val="22"/>
        </w:rPr>
        <w:t xml:space="preserve">de gestión predial </w:t>
      </w:r>
      <w:r w:rsidRPr="00B61452">
        <w:rPr>
          <w:rFonts w:ascii="Verdana" w:eastAsia="Calibri" w:hAnsi="Verdana" w:cs="Arial"/>
          <w:sz w:val="22"/>
          <w:szCs w:val="22"/>
        </w:rPr>
        <w:t>que se surtan dentro de este procedimiento especial</w:t>
      </w:r>
      <w:r>
        <w:rPr>
          <w:rFonts w:ascii="Verdana" w:eastAsia="Calibri" w:hAnsi="Verdana" w:cs="Arial"/>
          <w:sz w:val="22"/>
          <w:szCs w:val="22"/>
        </w:rPr>
        <w:t xml:space="preserve">, </w:t>
      </w:r>
      <w:r w:rsidRPr="00B61452">
        <w:rPr>
          <w:rFonts w:ascii="Verdana" w:eastAsia="Calibri" w:hAnsi="Verdana" w:cs="Arial"/>
          <w:sz w:val="22"/>
          <w:szCs w:val="22"/>
        </w:rPr>
        <w:t xml:space="preserve">tales como los avalúos, las ofertas de compra, las negociaciones preliminares y demás actuaciones que no impliquen la celebración de </w:t>
      </w:r>
      <w:r w:rsidRPr="0044553E">
        <w:rPr>
          <w:rFonts w:ascii="Verdana" w:eastAsia="Calibri" w:hAnsi="Verdana" w:cs="Arial"/>
          <w:sz w:val="22"/>
          <w:szCs w:val="22"/>
        </w:rPr>
        <w:t>u</w:t>
      </w:r>
      <w:r>
        <w:rPr>
          <w:rFonts w:ascii="Verdana" w:eastAsia="Calibri" w:hAnsi="Verdana" w:cs="Arial"/>
          <w:sz w:val="22"/>
          <w:szCs w:val="22"/>
        </w:rPr>
        <w:t>na promesa de compraventa o contrato compraventa o cualquier otro contrato,</w:t>
      </w:r>
      <w:r w:rsidRPr="0044553E">
        <w:rPr>
          <w:rFonts w:ascii="Verdana" w:eastAsia="Calibri" w:hAnsi="Verdana" w:cs="Arial"/>
          <w:sz w:val="22"/>
          <w:szCs w:val="22"/>
        </w:rPr>
        <w:t xml:space="preserve"> pueden adelantarse válidamente, incluso durante el período de restricción previsto en la </w:t>
      </w:r>
      <w:r>
        <w:rPr>
          <w:rFonts w:ascii="Verdana" w:eastAsia="Calibri" w:hAnsi="Verdana" w:cs="Arial"/>
          <w:sz w:val="22"/>
          <w:szCs w:val="22"/>
        </w:rPr>
        <w:t>L</w:t>
      </w:r>
      <w:r w:rsidRPr="0044553E">
        <w:rPr>
          <w:rFonts w:ascii="Verdana" w:eastAsia="Calibri" w:hAnsi="Verdana" w:cs="Arial"/>
          <w:sz w:val="22"/>
          <w:szCs w:val="22"/>
        </w:rPr>
        <w:t xml:space="preserve">ey de </w:t>
      </w:r>
      <w:r>
        <w:rPr>
          <w:rFonts w:ascii="Verdana" w:eastAsia="Calibri" w:hAnsi="Verdana" w:cs="Arial"/>
          <w:sz w:val="22"/>
          <w:szCs w:val="22"/>
        </w:rPr>
        <w:t>G</w:t>
      </w:r>
      <w:r w:rsidRPr="0044553E">
        <w:rPr>
          <w:rFonts w:ascii="Verdana" w:eastAsia="Calibri" w:hAnsi="Verdana" w:cs="Arial"/>
          <w:sz w:val="22"/>
          <w:szCs w:val="22"/>
        </w:rPr>
        <w:t>arantías</w:t>
      </w:r>
      <w:r>
        <w:rPr>
          <w:rFonts w:ascii="Verdana" w:eastAsia="Calibri" w:hAnsi="Verdana" w:cs="Arial"/>
          <w:sz w:val="22"/>
          <w:szCs w:val="22"/>
        </w:rPr>
        <w:t xml:space="preserve"> Electorales</w:t>
      </w:r>
      <w:r w:rsidRPr="0044553E">
        <w:rPr>
          <w:rFonts w:ascii="Verdana" w:eastAsia="Calibri" w:hAnsi="Verdana" w:cs="Arial"/>
          <w:sz w:val="22"/>
          <w:szCs w:val="22"/>
        </w:rPr>
        <w:t>, por cuanto no configuran</w:t>
      </w:r>
      <w:r>
        <w:rPr>
          <w:rFonts w:ascii="Verdana" w:eastAsia="Calibri" w:hAnsi="Verdana" w:cs="Arial"/>
          <w:sz w:val="22"/>
          <w:szCs w:val="22"/>
        </w:rPr>
        <w:t xml:space="preserve"> los</w:t>
      </w:r>
      <w:r w:rsidRPr="0044553E">
        <w:rPr>
          <w:rFonts w:ascii="Verdana" w:eastAsia="Calibri" w:hAnsi="Verdana" w:cs="Arial"/>
          <w:sz w:val="22"/>
          <w:szCs w:val="22"/>
        </w:rPr>
        <w:t xml:space="preserve"> supuestos de contratación </w:t>
      </w:r>
      <w:r>
        <w:rPr>
          <w:rFonts w:ascii="Verdana" w:eastAsia="Calibri" w:hAnsi="Verdana" w:cs="Arial"/>
          <w:sz w:val="22"/>
          <w:szCs w:val="22"/>
        </w:rPr>
        <w:t>directa al que se refiere el artículo en comento</w:t>
      </w:r>
      <w:r w:rsidRPr="0044553E">
        <w:rPr>
          <w:rFonts w:ascii="Verdana" w:eastAsia="Calibri" w:hAnsi="Verdana" w:cs="Arial"/>
          <w:sz w:val="22"/>
          <w:szCs w:val="22"/>
        </w:rPr>
        <w:t>.</w:t>
      </w:r>
    </w:p>
    <w:p w14:paraId="67E91824" w14:textId="77777777" w:rsidR="00AF223C" w:rsidRPr="00323979" w:rsidRDefault="00AF223C" w:rsidP="00AF223C">
      <w:pPr>
        <w:spacing w:before="120" w:line="276" w:lineRule="auto"/>
        <w:ind w:firstLine="709"/>
        <w:jc w:val="both"/>
        <w:rPr>
          <w:rFonts w:ascii="Verdana" w:hAnsi="Verdana" w:cs="Arial"/>
          <w:bCs/>
          <w:lang w:eastAsia="es-CO"/>
        </w:rPr>
      </w:pPr>
      <w:r>
        <w:rPr>
          <w:rFonts w:ascii="Verdana" w:eastAsia="Times New Roman" w:hAnsi="Verdana" w:cs="Arial"/>
        </w:rPr>
        <w:t>E</w:t>
      </w:r>
      <w:r w:rsidRPr="00FB77DC">
        <w:rPr>
          <w:rFonts w:ascii="Verdana" w:eastAsia="Times New Roman" w:hAnsi="Verdana" w:cs="Arial"/>
        </w:rPr>
        <w:t xml:space="preserve">n ese orden de ideas, corresponde a la entidad verificar la naturaleza jurídica de las actuaciones </w:t>
      </w:r>
      <w:r>
        <w:rPr>
          <w:rFonts w:ascii="Verdana" w:eastAsia="Times New Roman" w:hAnsi="Verdana" w:cs="Arial"/>
        </w:rPr>
        <w:t xml:space="preserve">preliminares </w:t>
      </w:r>
      <w:r w:rsidRPr="00FB77DC">
        <w:rPr>
          <w:rFonts w:ascii="Verdana" w:eastAsia="Times New Roman" w:hAnsi="Verdana" w:cs="Arial"/>
        </w:rPr>
        <w:t xml:space="preserve">de gestión predial que se adelantarán en el marco </w:t>
      </w:r>
      <w:r>
        <w:rPr>
          <w:rFonts w:ascii="Verdana" w:eastAsia="Times New Roman" w:hAnsi="Verdana" w:cs="Arial"/>
        </w:rPr>
        <w:t>del</w:t>
      </w:r>
      <w:r w:rsidRPr="00FB77DC">
        <w:rPr>
          <w:rFonts w:ascii="Verdana" w:eastAsia="Times New Roman" w:hAnsi="Verdana" w:cs="Arial"/>
        </w:rPr>
        <w:t xml:space="preserve"> procedimiento administrativo</w:t>
      </w:r>
      <w:r>
        <w:rPr>
          <w:rFonts w:ascii="Verdana" w:eastAsia="Times New Roman" w:hAnsi="Verdana" w:cs="Arial"/>
        </w:rPr>
        <w:t xml:space="preserve"> referido</w:t>
      </w:r>
      <w:r w:rsidRPr="00FB77DC">
        <w:rPr>
          <w:rFonts w:ascii="Verdana" w:eastAsia="Times New Roman" w:hAnsi="Verdana" w:cs="Arial"/>
        </w:rPr>
        <w:t>, precis</w:t>
      </w:r>
      <w:r>
        <w:rPr>
          <w:rFonts w:ascii="Verdana" w:eastAsia="Times New Roman" w:hAnsi="Verdana" w:cs="Arial"/>
        </w:rPr>
        <w:t>ando</w:t>
      </w:r>
      <w:r w:rsidRPr="00FB77DC">
        <w:rPr>
          <w:rFonts w:ascii="Verdana" w:eastAsia="Times New Roman" w:hAnsi="Verdana" w:cs="Arial"/>
        </w:rPr>
        <w:t xml:space="preserve"> que dichas actuaciones no implican, por sí mismas, la celebración directa de un contrato estatal</w:t>
      </w:r>
      <w:r w:rsidRPr="00724D86">
        <w:rPr>
          <w:rFonts w:ascii="Verdana" w:eastAsia="Times New Roman" w:hAnsi="Verdana" w:cs="Arial"/>
          <w:lang w:val="es-ES"/>
        </w:rPr>
        <w:t>. Esta diferenciación resulta esencial, en la medida en que la prohibici</w:t>
      </w:r>
      <w:r>
        <w:rPr>
          <w:rFonts w:ascii="Verdana" w:eastAsia="Times New Roman" w:hAnsi="Verdana" w:cs="Arial"/>
          <w:lang w:val="es-ES"/>
        </w:rPr>
        <w:t>ón</w:t>
      </w:r>
      <w:r w:rsidRPr="00724D86">
        <w:rPr>
          <w:rFonts w:ascii="Verdana" w:eastAsia="Times New Roman" w:hAnsi="Verdana" w:cs="Arial"/>
          <w:lang w:val="es-ES"/>
        </w:rPr>
        <w:t xml:space="preserve"> prevista en el artículo 33 de la Ley 996 de 2005 se</w:t>
      </w:r>
      <w:r w:rsidRPr="00BC1926">
        <w:rPr>
          <w:rFonts w:ascii="Verdana" w:eastAsia="Times New Roman" w:hAnsi="Verdana" w:cs="Arial"/>
          <w:lang w:val="es-ES"/>
        </w:rPr>
        <w:t xml:space="preserve"> </w:t>
      </w:r>
      <w:r>
        <w:rPr>
          <w:rFonts w:ascii="Verdana" w:eastAsia="Times New Roman" w:hAnsi="Verdana" w:cs="Arial"/>
          <w:lang w:val="es-ES"/>
        </w:rPr>
        <w:t xml:space="preserve">configura </w:t>
      </w:r>
      <w:r w:rsidRPr="001C7B22">
        <w:rPr>
          <w:rFonts w:ascii="Verdana" w:eastAsia="Times New Roman" w:hAnsi="Verdana" w:cs="Arial"/>
          <w:lang w:val="es-ES"/>
        </w:rPr>
        <w:t xml:space="preserve">cuando </w:t>
      </w:r>
      <w:r>
        <w:rPr>
          <w:rFonts w:ascii="Verdana" w:eastAsia="Times New Roman" w:hAnsi="Verdana" w:cs="Arial"/>
          <w:lang w:val="es-ES"/>
        </w:rPr>
        <w:t>se refiera a la celebración de un</w:t>
      </w:r>
      <w:r w:rsidRPr="001C7B22">
        <w:rPr>
          <w:rFonts w:ascii="Verdana" w:eastAsia="Times New Roman" w:hAnsi="Verdana" w:cs="Arial"/>
          <w:lang w:val="es-ES"/>
        </w:rPr>
        <w:t xml:space="preserve"> contrato en sentido estricto</w:t>
      </w:r>
      <w:r w:rsidRPr="00724D86">
        <w:rPr>
          <w:rFonts w:ascii="Verdana" w:eastAsia="Times New Roman" w:hAnsi="Verdana" w:cs="Arial"/>
          <w:lang w:val="es-ES"/>
        </w:rPr>
        <w:t>, mas no frente a actuaciones administrativas, que no genera</w:t>
      </w:r>
      <w:r>
        <w:rPr>
          <w:rFonts w:ascii="Verdana" w:eastAsia="Times New Roman" w:hAnsi="Verdana" w:cs="Arial"/>
          <w:lang w:val="es-ES"/>
        </w:rPr>
        <w:t>n propiamente u</w:t>
      </w:r>
      <w:r w:rsidRPr="00724D86">
        <w:rPr>
          <w:rFonts w:ascii="Verdana" w:eastAsia="Times New Roman" w:hAnsi="Verdana" w:cs="Arial"/>
          <w:lang w:val="es-ES"/>
        </w:rPr>
        <w:t xml:space="preserve">na relación contractual entre la entidad </w:t>
      </w:r>
      <w:r>
        <w:rPr>
          <w:rFonts w:ascii="Verdana" w:eastAsia="Times New Roman" w:hAnsi="Verdana" w:cs="Arial"/>
          <w:lang w:val="es-ES"/>
        </w:rPr>
        <w:t xml:space="preserve">y el particular. </w:t>
      </w:r>
    </w:p>
    <w:p w14:paraId="744FFB7C" w14:textId="77777777" w:rsidR="00AF223C" w:rsidRPr="0044553E" w:rsidRDefault="00AF223C" w:rsidP="00AF223C">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lang w:val="es-ES"/>
        </w:rPr>
      </w:pPr>
      <w:r w:rsidRPr="0044553E">
        <w:rPr>
          <w:rFonts w:ascii="Verdana" w:eastAsia="Calibri" w:hAnsi="Verdana" w:cs="Arial"/>
          <w:sz w:val="22"/>
          <w:szCs w:val="22"/>
        </w:rPr>
        <w:lastRenderedPageBreak/>
        <w:t xml:space="preserve">En segundo lugar, respecto de la afirmación según la cual cuando el procedimiento administrativo de adquisición </w:t>
      </w:r>
      <w:r>
        <w:rPr>
          <w:rFonts w:ascii="Verdana" w:eastAsia="Calibri" w:hAnsi="Verdana" w:cs="Arial"/>
          <w:sz w:val="22"/>
          <w:szCs w:val="22"/>
        </w:rPr>
        <w:t xml:space="preserve">predial </w:t>
      </w:r>
      <w:r w:rsidRPr="0044553E">
        <w:rPr>
          <w:rFonts w:ascii="Verdana" w:eastAsia="Calibri" w:hAnsi="Verdana" w:cs="Arial"/>
          <w:sz w:val="22"/>
          <w:szCs w:val="22"/>
        </w:rPr>
        <w:t>culmina en la celebración de una promesa de compraventa o de un contrato de compraventa sí resulta aplicable la restricción del artículo 33 de la Ley 996 de 2005, se reitera la postura previamente sostenida</w:t>
      </w:r>
      <w:r>
        <w:rPr>
          <w:rFonts w:ascii="Verdana" w:eastAsia="Calibri" w:hAnsi="Verdana" w:cs="Arial"/>
          <w:sz w:val="22"/>
          <w:szCs w:val="22"/>
        </w:rPr>
        <w:t xml:space="preserve"> en los conceptos C-1512 y C-1529 </w:t>
      </w:r>
      <w:r w:rsidRPr="0044553E">
        <w:rPr>
          <w:rFonts w:ascii="Verdana" w:eastAsia="Calibri" w:hAnsi="Verdana" w:cs="Arial"/>
          <w:sz w:val="22"/>
          <w:szCs w:val="22"/>
        </w:rPr>
        <w:t>en la medida en que dichos negocios jurídicos implican la celebración de un contrato estatal</w:t>
      </w:r>
      <w:r>
        <w:rPr>
          <w:rFonts w:ascii="Verdana" w:eastAsia="Calibri" w:hAnsi="Verdana" w:cs="Arial"/>
          <w:sz w:val="22"/>
          <w:szCs w:val="22"/>
        </w:rPr>
        <w:t xml:space="preserve"> de forma directa</w:t>
      </w:r>
      <w:r w:rsidRPr="0044553E">
        <w:rPr>
          <w:rFonts w:ascii="Verdana" w:eastAsia="Calibri" w:hAnsi="Verdana" w:cs="Arial"/>
          <w:sz w:val="22"/>
          <w:szCs w:val="22"/>
        </w:rPr>
        <w:t>.</w:t>
      </w:r>
    </w:p>
    <w:p w14:paraId="3B6FBF28" w14:textId="77777777" w:rsidR="00AF223C" w:rsidRPr="00A00771" w:rsidRDefault="00AF223C" w:rsidP="00AF223C">
      <w:pPr>
        <w:tabs>
          <w:tab w:val="left" w:pos="709"/>
        </w:tabs>
        <w:spacing w:before="120" w:after="120" w:line="276" w:lineRule="auto"/>
        <w:ind w:firstLine="709"/>
        <w:jc w:val="both"/>
        <w:rPr>
          <w:rFonts w:ascii="Verdana" w:eastAsia="Times New Roman" w:hAnsi="Verdana" w:cs="Arial"/>
          <w:lang w:val="es-ES" w:eastAsia="es-ES_tradnl"/>
        </w:rPr>
      </w:pPr>
      <w:r w:rsidRPr="00A00771">
        <w:rPr>
          <w:rFonts w:ascii="Verdana" w:eastAsia="Calibri" w:hAnsi="Verdana" w:cs="Arial"/>
          <w:lang w:eastAsia="es-CO"/>
        </w:rPr>
        <w:t>En efecto,</w:t>
      </w:r>
      <w:r>
        <w:rPr>
          <w:rFonts w:ascii="Verdana" w:eastAsia="Calibri" w:hAnsi="Verdana" w:cs="Arial"/>
          <w:lang w:eastAsia="es-CO"/>
        </w:rPr>
        <w:t xml:space="preserve"> en</w:t>
      </w:r>
      <w:r w:rsidRPr="00A00771">
        <w:rPr>
          <w:rFonts w:ascii="Verdana" w:eastAsia="Calibri" w:hAnsi="Verdana" w:cs="Arial"/>
          <w:lang w:eastAsia="es-CO"/>
        </w:rPr>
        <w:t xml:space="preserve"> la promesa de compraventa </w:t>
      </w:r>
      <w:r>
        <w:rPr>
          <w:rFonts w:ascii="Verdana" w:eastAsia="Calibri" w:hAnsi="Verdana" w:cs="Arial"/>
        </w:rPr>
        <w:t>y</w:t>
      </w:r>
      <w:r w:rsidRPr="00A00771">
        <w:rPr>
          <w:rFonts w:ascii="Verdana" w:eastAsia="Calibri" w:hAnsi="Verdana" w:cs="Arial"/>
          <w:lang w:eastAsia="es-CO"/>
        </w:rPr>
        <w:t xml:space="preserve"> </w:t>
      </w:r>
      <w:r>
        <w:rPr>
          <w:rFonts w:ascii="Verdana" w:eastAsia="Calibri" w:hAnsi="Verdana" w:cs="Arial"/>
          <w:lang w:eastAsia="es-CO"/>
        </w:rPr>
        <w:t xml:space="preserve">en </w:t>
      </w:r>
      <w:r w:rsidRPr="00A00771">
        <w:rPr>
          <w:rFonts w:ascii="Verdana" w:eastAsia="Calibri" w:hAnsi="Verdana" w:cs="Arial"/>
          <w:lang w:eastAsia="es-CO"/>
        </w:rPr>
        <w:t xml:space="preserve">el contrato de compraventa </w:t>
      </w:r>
      <w:r>
        <w:rPr>
          <w:rFonts w:ascii="Verdana" w:eastAsia="Times New Roman" w:hAnsi="Verdana" w:cs="Arial"/>
          <w:lang w:val="es-ES" w:eastAsia="es-ES_tradnl"/>
        </w:rPr>
        <w:t xml:space="preserve">participan entidades estatales y se invierten recursos de naturaleza pública, por lo cual puede afirmarse que estos actos jurídicos negociales son auténticos contratos estatales, según el criterio orgánico establecido en el artículo 32 de la Ley 80 de 1993, en concordancia el artículo 2 </w:t>
      </w:r>
      <w:r>
        <w:rPr>
          <w:rFonts w:ascii="Verdana" w:eastAsia="Times New Roman" w:hAnsi="Verdana" w:cs="Arial"/>
          <w:i/>
          <w:iCs/>
          <w:lang w:val="es-ES" w:eastAsia="es-ES_tradnl"/>
        </w:rPr>
        <w:t>ibidem</w:t>
      </w:r>
      <w:r>
        <w:rPr>
          <w:rFonts w:ascii="Verdana" w:eastAsia="Times New Roman" w:hAnsi="Verdana" w:cs="Arial"/>
          <w:lang w:val="es-ES" w:eastAsia="es-ES_tradnl"/>
        </w:rPr>
        <w:t xml:space="preserve">. Estos negocios jurídicos, así como los demás que se suscriban de forma directa como cesiones de inmueble o permutas entre entidades estatales, </w:t>
      </w:r>
      <w:r w:rsidRPr="00A00771">
        <w:rPr>
          <w:rFonts w:ascii="Verdana" w:eastAsia="Calibri" w:hAnsi="Verdana" w:cs="Arial"/>
          <w:lang w:eastAsia="es-CO"/>
        </w:rPr>
        <w:t>constituyen formas de contratación directa en cuanto su celebración se realiza con un sujeto determinado, sin convocatoria pública y sin posibilidad de concurrencia de una pluralidad de oferentes</w:t>
      </w:r>
      <w:r>
        <w:rPr>
          <w:rFonts w:ascii="Verdana" w:eastAsia="Calibri" w:hAnsi="Verdana" w:cs="Arial"/>
          <w:lang w:eastAsia="es-CO"/>
        </w:rPr>
        <w:t xml:space="preserve">. </w:t>
      </w:r>
    </w:p>
    <w:p w14:paraId="490525CA" w14:textId="77777777" w:rsidR="00AF223C" w:rsidRPr="0044553E" w:rsidRDefault="00AF223C" w:rsidP="00AF223C">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A00771">
        <w:rPr>
          <w:rFonts w:ascii="Verdana" w:eastAsia="Calibri" w:hAnsi="Verdana" w:cs="Arial"/>
          <w:sz w:val="22"/>
          <w:szCs w:val="22"/>
        </w:rPr>
        <w:t>Para sustentar esta conclusión, debe tenerse en cuenta que el alcance del artículo 33 de la Ley 996 de 2005, conforme a la interpretación realizada por el Consejo de Estado</w:t>
      </w:r>
      <w:r>
        <w:rPr>
          <w:rFonts w:ascii="Verdana" w:eastAsia="Calibri" w:hAnsi="Verdana" w:cs="Arial"/>
          <w:sz w:val="22"/>
          <w:szCs w:val="22"/>
        </w:rPr>
        <w:t xml:space="preserve"> explicada previamente</w:t>
      </w:r>
      <w:r w:rsidRPr="00A00771">
        <w:rPr>
          <w:rFonts w:ascii="Verdana" w:eastAsia="Calibri" w:hAnsi="Verdana" w:cs="Arial"/>
          <w:sz w:val="22"/>
          <w:szCs w:val="22"/>
        </w:rPr>
        <w:t>, no se limita a la figura formal de “contratación directa” prevista en el EGCAP. Por el contrario, comprende cualquier sistema de selección o procedimiento de contratación utilizado por las entidades estatales que no incluya convocatoria pública</w:t>
      </w:r>
      <w:r w:rsidRPr="0044553E">
        <w:rPr>
          <w:sz w:val="22"/>
          <w:szCs w:val="22"/>
        </w:rPr>
        <w:t xml:space="preserve"> </w:t>
      </w:r>
      <w:r w:rsidRPr="0044553E">
        <w:rPr>
          <w:rFonts w:ascii="Verdana" w:eastAsia="Calibri" w:hAnsi="Verdana" w:cs="Arial"/>
          <w:sz w:val="22"/>
          <w:szCs w:val="22"/>
        </w:rPr>
        <w:t xml:space="preserve">en alguna de sus etapas ni permita la participación de una pluralidad de oferentes, ya sea que se trate de mecanismos regulados por el Estatuto General de Contratación </w:t>
      </w:r>
      <w:r w:rsidRPr="004B02A6">
        <w:rPr>
          <w:rFonts w:ascii="Verdana" w:eastAsia="Calibri" w:hAnsi="Verdana" w:cs="Arial"/>
          <w:i/>
          <w:iCs/>
          <w:sz w:val="22"/>
          <w:szCs w:val="22"/>
        </w:rPr>
        <w:t>o por regímenes especiales.</w:t>
      </w:r>
    </w:p>
    <w:p w14:paraId="6587A26D" w14:textId="77777777" w:rsidR="00AF223C" w:rsidRPr="0044553E" w:rsidRDefault="00AF223C" w:rsidP="00AF223C">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EF7387">
        <w:rPr>
          <w:rFonts w:ascii="Verdana" w:eastAsia="Calibri" w:hAnsi="Verdana" w:cs="Arial"/>
          <w:sz w:val="22"/>
          <w:szCs w:val="22"/>
        </w:rPr>
        <w:t xml:space="preserve">Desde esta perspectiva, lo relevante no es el régimen jurídico del cual se derive el negocio jurídico, sino su naturaleza no competitiva y la ausencia de concurrencia, elementos que justifican la restricción impuesta por la </w:t>
      </w:r>
      <w:r>
        <w:rPr>
          <w:rFonts w:ascii="Verdana" w:eastAsia="Calibri" w:hAnsi="Verdana" w:cs="Arial"/>
          <w:sz w:val="22"/>
          <w:szCs w:val="22"/>
        </w:rPr>
        <w:t>L</w:t>
      </w:r>
      <w:r w:rsidRPr="00EF7387">
        <w:rPr>
          <w:rFonts w:ascii="Verdana" w:eastAsia="Calibri" w:hAnsi="Verdana" w:cs="Arial"/>
          <w:sz w:val="22"/>
          <w:szCs w:val="22"/>
        </w:rPr>
        <w:t xml:space="preserve">ey de </w:t>
      </w:r>
      <w:r>
        <w:rPr>
          <w:rFonts w:ascii="Verdana" w:eastAsia="Calibri" w:hAnsi="Verdana" w:cs="Arial"/>
          <w:sz w:val="22"/>
          <w:szCs w:val="22"/>
        </w:rPr>
        <w:t>G</w:t>
      </w:r>
      <w:r w:rsidRPr="00EF7387">
        <w:rPr>
          <w:rFonts w:ascii="Verdana" w:eastAsia="Calibri" w:hAnsi="Verdana" w:cs="Arial"/>
          <w:sz w:val="22"/>
          <w:szCs w:val="22"/>
        </w:rPr>
        <w:t>arantías.</w:t>
      </w:r>
      <w:r>
        <w:rPr>
          <w:rFonts w:ascii="Verdana" w:eastAsia="Calibri" w:hAnsi="Verdana" w:cs="Arial"/>
          <w:sz w:val="22"/>
          <w:szCs w:val="22"/>
        </w:rPr>
        <w:t xml:space="preserve"> </w:t>
      </w:r>
      <w:r w:rsidRPr="0044553E">
        <w:rPr>
          <w:rFonts w:ascii="Verdana" w:eastAsia="Calibri" w:hAnsi="Verdana" w:cs="Arial"/>
          <w:sz w:val="22"/>
          <w:szCs w:val="22"/>
        </w:rPr>
        <w:t xml:space="preserve">En este sentido, si bien la celebración de la promesa de compraventa o del contrato de compraventa se deriva de un procedimiento administrativo </w:t>
      </w:r>
      <w:r>
        <w:rPr>
          <w:rFonts w:ascii="Verdana" w:eastAsia="Calibri" w:hAnsi="Verdana" w:cs="Arial"/>
          <w:sz w:val="22"/>
          <w:szCs w:val="22"/>
        </w:rPr>
        <w:t xml:space="preserve">que se regula por reglas </w:t>
      </w:r>
      <w:r w:rsidRPr="0044553E">
        <w:rPr>
          <w:rFonts w:ascii="Verdana" w:eastAsia="Calibri" w:hAnsi="Verdana" w:cs="Arial"/>
          <w:sz w:val="22"/>
          <w:szCs w:val="22"/>
        </w:rPr>
        <w:t>especial</w:t>
      </w:r>
      <w:r>
        <w:rPr>
          <w:rFonts w:ascii="Verdana" w:eastAsia="Calibri" w:hAnsi="Verdana" w:cs="Arial"/>
          <w:sz w:val="22"/>
          <w:szCs w:val="22"/>
        </w:rPr>
        <w:t>es</w:t>
      </w:r>
      <w:r w:rsidRPr="0044553E">
        <w:rPr>
          <w:rFonts w:ascii="Verdana" w:eastAsia="Calibri" w:hAnsi="Verdana" w:cs="Arial"/>
          <w:sz w:val="22"/>
          <w:szCs w:val="22"/>
        </w:rPr>
        <w:t>, ello no desvirtúa su carácter de cont</w:t>
      </w:r>
      <w:r>
        <w:rPr>
          <w:rFonts w:ascii="Verdana" w:eastAsia="Calibri" w:hAnsi="Verdana" w:cs="Arial"/>
          <w:sz w:val="22"/>
          <w:szCs w:val="22"/>
        </w:rPr>
        <w:t>rato</w:t>
      </w:r>
      <w:r w:rsidRPr="0044553E">
        <w:rPr>
          <w:rFonts w:ascii="Verdana" w:eastAsia="Calibri" w:hAnsi="Verdana" w:cs="Arial"/>
          <w:sz w:val="22"/>
          <w:szCs w:val="22"/>
        </w:rPr>
        <w:t xml:space="preserve"> direct</w:t>
      </w:r>
      <w:r>
        <w:rPr>
          <w:rFonts w:ascii="Verdana" w:eastAsia="Calibri" w:hAnsi="Verdana" w:cs="Arial"/>
          <w:sz w:val="22"/>
          <w:szCs w:val="22"/>
        </w:rPr>
        <w:t>o</w:t>
      </w:r>
      <w:r w:rsidRPr="0044553E">
        <w:rPr>
          <w:rFonts w:ascii="Verdana" w:eastAsia="Calibri" w:hAnsi="Verdana" w:cs="Arial"/>
          <w:sz w:val="22"/>
          <w:szCs w:val="22"/>
        </w:rPr>
        <w:t>, en la medida en que la entidad estatal negocia y contrata con un único propietario, sin competencia entre oferentes, independientemente del contexto normativo que rodea la adquisición del inmueble.</w:t>
      </w:r>
      <w:r>
        <w:rPr>
          <w:rFonts w:ascii="Verdana" w:eastAsia="Calibri" w:hAnsi="Verdana" w:cs="Arial"/>
          <w:sz w:val="22"/>
          <w:szCs w:val="22"/>
        </w:rPr>
        <w:t xml:space="preserve"> </w:t>
      </w:r>
    </w:p>
    <w:p w14:paraId="1F6F2CF4" w14:textId="77777777" w:rsidR="00AF223C" w:rsidRDefault="00AF223C" w:rsidP="00AF223C">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7806D8">
        <w:rPr>
          <w:rFonts w:ascii="Verdana" w:eastAsia="Calibri" w:hAnsi="Verdana" w:cs="Arial"/>
          <w:sz w:val="22"/>
          <w:szCs w:val="22"/>
        </w:rPr>
        <w:lastRenderedPageBreak/>
        <w:t xml:space="preserve">En consecuencia, si bien el procedimiento administrativo de adquisición predial, </w:t>
      </w:r>
      <w:r>
        <w:rPr>
          <w:rFonts w:ascii="Verdana" w:eastAsia="Calibri" w:hAnsi="Verdana" w:cs="Arial"/>
          <w:sz w:val="22"/>
          <w:szCs w:val="22"/>
        </w:rPr>
        <w:t>por sí mismo</w:t>
      </w:r>
      <w:r w:rsidRPr="007806D8">
        <w:rPr>
          <w:rFonts w:ascii="Verdana" w:eastAsia="Calibri" w:hAnsi="Verdana" w:cs="Arial"/>
          <w:sz w:val="22"/>
          <w:szCs w:val="22"/>
        </w:rPr>
        <w:t xml:space="preserve">, no se encuentra sometido a las disposiciones </w:t>
      </w:r>
      <w:r>
        <w:rPr>
          <w:rFonts w:ascii="Verdana" w:eastAsia="Calibri" w:hAnsi="Verdana" w:cs="Arial"/>
          <w:sz w:val="22"/>
          <w:szCs w:val="22"/>
        </w:rPr>
        <w:t xml:space="preserve">al EGCAP </w:t>
      </w:r>
      <w:r w:rsidRPr="007806D8">
        <w:rPr>
          <w:rFonts w:ascii="Verdana" w:eastAsia="Calibri" w:hAnsi="Verdana" w:cs="Arial"/>
          <w:sz w:val="22"/>
          <w:szCs w:val="22"/>
        </w:rPr>
        <w:t xml:space="preserve">ni a la Ley de Garantías </w:t>
      </w:r>
      <w:r>
        <w:rPr>
          <w:rFonts w:ascii="Verdana" w:eastAsia="Calibri" w:hAnsi="Verdana" w:cs="Arial"/>
          <w:sz w:val="22"/>
          <w:szCs w:val="22"/>
        </w:rPr>
        <w:t xml:space="preserve">Electorales </w:t>
      </w:r>
      <w:r w:rsidRPr="007806D8">
        <w:rPr>
          <w:rFonts w:ascii="Verdana" w:eastAsia="Calibri" w:hAnsi="Verdana" w:cs="Arial"/>
          <w:sz w:val="22"/>
          <w:szCs w:val="22"/>
        </w:rPr>
        <w:t>en los términos previamente analizados, lo cierto es que el contrato de compraventa que pone fin a dicho procedimiento sí da lugar a la aplicación de la restricción prevista en el artículo 33 de la Ley 996 de 2005. Ello, en la medida en que se trata de un contrato estatal celebrado sin pluralidad de oferentes</w:t>
      </w:r>
      <w:r>
        <w:rPr>
          <w:rFonts w:ascii="Verdana" w:eastAsia="Calibri" w:hAnsi="Verdana" w:cs="Arial"/>
          <w:sz w:val="22"/>
          <w:szCs w:val="22"/>
        </w:rPr>
        <w:t xml:space="preserve"> y sin convocatoria pública, </w:t>
      </w:r>
      <w:r w:rsidRPr="007806D8">
        <w:rPr>
          <w:rFonts w:ascii="Verdana" w:eastAsia="Calibri" w:hAnsi="Verdana" w:cs="Arial"/>
          <w:sz w:val="22"/>
          <w:szCs w:val="22"/>
        </w:rPr>
        <w:t>circunstancia</w:t>
      </w:r>
      <w:r>
        <w:rPr>
          <w:rFonts w:ascii="Verdana" w:eastAsia="Calibri" w:hAnsi="Verdana" w:cs="Arial"/>
          <w:sz w:val="22"/>
          <w:szCs w:val="22"/>
        </w:rPr>
        <w:t>s</w:t>
      </w:r>
      <w:r w:rsidRPr="007806D8">
        <w:rPr>
          <w:rFonts w:ascii="Verdana" w:eastAsia="Calibri" w:hAnsi="Verdana" w:cs="Arial"/>
          <w:sz w:val="22"/>
          <w:szCs w:val="22"/>
        </w:rPr>
        <w:t xml:space="preserve"> que activa</w:t>
      </w:r>
      <w:r>
        <w:rPr>
          <w:rFonts w:ascii="Verdana" w:eastAsia="Calibri" w:hAnsi="Verdana" w:cs="Arial"/>
          <w:sz w:val="22"/>
          <w:szCs w:val="22"/>
        </w:rPr>
        <w:t>n</w:t>
      </w:r>
      <w:r w:rsidRPr="007806D8">
        <w:rPr>
          <w:rFonts w:ascii="Verdana" w:eastAsia="Calibri" w:hAnsi="Verdana" w:cs="Arial"/>
          <w:sz w:val="22"/>
          <w:szCs w:val="22"/>
        </w:rPr>
        <w:t xml:space="preserve"> la prohibición allí consagrada. Adicionalmente, dentro de las excepciones expresamente previstas por el legislador en dicha norma no se encuentran comprendidos los contratos que se deriven del procedimiento administrativo de adquisición</w:t>
      </w:r>
      <w:r>
        <w:rPr>
          <w:rFonts w:ascii="Verdana" w:eastAsia="Calibri" w:hAnsi="Verdana" w:cs="Arial"/>
          <w:sz w:val="22"/>
          <w:szCs w:val="22"/>
        </w:rPr>
        <w:t xml:space="preserve"> predial</w:t>
      </w:r>
      <w:r w:rsidRPr="007806D8">
        <w:rPr>
          <w:rFonts w:ascii="Verdana" w:eastAsia="Calibri" w:hAnsi="Verdana" w:cs="Arial"/>
          <w:sz w:val="22"/>
          <w:szCs w:val="22"/>
        </w:rPr>
        <w:t>, lo cual resulta relevante, pues de haber sido la intención del legislador exceptuar este tipo de negocios jurídicos, así lo habría señalado de manera expresa, tal como lo hizo respecto de otras hipótesis exceptuadas.</w:t>
      </w:r>
    </w:p>
    <w:p w14:paraId="071C6210" w14:textId="77777777" w:rsidR="00AF223C" w:rsidRPr="001D031E" w:rsidRDefault="00AF223C" w:rsidP="00AF223C">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Pr>
          <w:rFonts w:ascii="Verdana" w:eastAsia="Calibri" w:hAnsi="Verdana" w:cs="Arial"/>
          <w:sz w:val="22"/>
          <w:szCs w:val="22"/>
        </w:rPr>
        <w:t>Sobre el particular, se precisa que la Sala de Consulta y Servicio Civil del Consejo de Estado, en concepto del 21 de mayo del 2014</w:t>
      </w:r>
      <w:r>
        <w:rPr>
          <w:rStyle w:val="Refdenotaalpie"/>
          <w:rFonts w:eastAsia="Calibri" w:cs="Arial"/>
          <w:sz w:val="22"/>
          <w:szCs w:val="22"/>
        </w:rPr>
        <w:footnoteReference w:id="22"/>
      </w:r>
      <w:r>
        <w:rPr>
          <w:rFonts w:ascii="Verdana" w:eastAsia="Calibri" w:hAnsi="Verdana" w:cs="Arial"/>
          <w:sz w:val="22"/>
          <w:szCs w:val="22"/>
        </w:rPr>
        <w:t>, respecto de una consulta relacionada con la aplicación d</w:t>
      </w:r>
      <w:r w:rsidRPr="000634B9">
        <w:rPr>
          <w:rFonts w:ascii="Verdana" w:eastAsia="Calibri" w:hAnsi="Verdana" w:cs="Arial"/>
          <w:sz w:val="22"/>
          <w:szCs w:val="22"/>
        </w:rPr>
        <w:t>el artículo 33 de la Ley 996 de 2005, a los procesos que debe adelantar el INCODER para realizar la compraventa de algunos predios destinados a las Comunidades Étnicas</w:t>
      </w:r>
      <w:r>
        <w:rPr>
          <w:rFonts w:ascii="Verdana" w:eastAsia="Calibri" w:hAnsi="Verdana" w:cs="Arial"/>
          <w:sz w:val="22"/>
          <w:szCs w:val="22"/>
        </w:rPr>
        <w:t>, concluyó que “</w:t>
      </w:r>
      <w:r w:rsidRPr="00BB7F22">
        <w:rPr>
          <w:rFonts w:ascii="Verdana" w:eastAsia="Calibri" w:hAnsi="Verdana" w:cs="Arial"/>
          <w:sz w:val="22"/>
          <w:szCs w:val="22"/>
        </w:rPr>
        <w:t>el Instituto Colombiano de Desarrollo Rural –INCODER- no puede adelantar las contrataciones directas para adquirir los terrenos de que trata la Ley 160 de 1994, por cuanto se trata de una hipótesis que no cabe dentro de las excepciones previstas en el inciso último del artículo 33 de la Ley 996 de 2005</w:t>
      </w:r>
      <w:r>
        <w:rPr>
          <w:rFonts w:ascii="Verdana" w:eastAsia="Calibri" w:hAnsi="Verdana" w:cs="Arial"/>
          <w:sz w:val="22"/>
          <w:szCs w:val="22"/>
        </w:rPr>
        <w:t xml:space="preserve">”. </w:t>
      </w:r>
      <w:r>
        <w:rPr>
          <w:rFonts w:ascii="Verdana" w:hAnsi="Verdana" w:cs="Arial"/>
          <w:sz w:val="22"/>
          <w:szCs w:val="22"/>
          <w:lang w:val="es-ES" w:eastAsia="es-ES_tradnl"/>
        </w:rPr>
        <w:t>P</w:t>
      </w:r>
      <w:r w:rsidRPr="001D031E">
        <w:rPr>
          <w:rFonts w:ascii="Verdana" w:hAnsi="Verdana" w:cs="Arial"/>
          <w:sz w:val="22"/>
          <w:szCs w:val="22"/>
          <w:lang w:val="es-ES" w:eastAsia="es-ES_tradnl"/>
        </w:rPr>
        <w:t>ara argumentar dicha postura, el Consejo de Estado señaló lo siguiente:</w:t>
      </w:r>
      <w:r>
        <w:rPr>
          <w:rFonts w:ascii="Verdana" w:hAnsi="Verdana" w:cs="Arial"/>
          <w:lang w:val="es-ES" w:eastAsia="es-ES_tradnl"/>
        </w:rPr>
        <w:t xml:space="preserve"> </w:t>
      </w:r>
    </w:p>
    <w:p w14:paraId="66EAB5FC" w14:textId="77777777" w:rsidR="00AF223C" w:rsidRDefault="00AF223C" w:rsidP="00AF223C">
      <w:pPr>
        <w:tabs>
          <w:tab w:val="left" w:pos="426"/>
        </w:tabs>
        <w:spacing w:after="0" w:line="276" w:lineRule="auto"/>
        <w:jc w:val="both"/>
        <w:rPr>
          <w:rFonts w:ascii="Verdana" w:eastAsia="Times New Roman" w:hAnsi="Verdana" w:cs="Arial"/>
          <w:lang w:val="es-ES" w:eastAsia="es-ES_tradnl"/>
        </w:rPr>
      </w:pPr>
    </w:p>
    <w:p w14:paraId="55546AE6" w14:textId="77777777" w:rsidR="00AF223C" w:rsidRPr="00D85C95" w:rsidRDefault="00AF223C" w:rsidP="00AF223C">
      <w:pPr>
        <w:spacing w:after="120" w:line="240" w:lineRule="auto"/>
        <w:ind w:left="709" w:right="709"/>
        <w:jc w:val="both"/>
        <w:rPr>
          <w:rFonts w:ascii="Verdana" w:eastAsia="Calibri" w:hAnsi="Verdana" w:cs="Arial"/>
          <w:b/>
          <w:bCs/>
          <w:i/>
          <w:iCs/>
          <w:sz w:val="20"/>
          <w:szCs w:val="20"/>
        </w:rPr>
      </w:pPr>
      <w:r>
        <w:rPr>
          <w:rFonts w:ascii="Verdana" w:eastAsia="Calibri" w:hAnsi="Verdana" w:cs="Arial"/>
          <w:sz w:val="20"/>
          <w:szCs w:val="20"/>
          <w:lang w:val="es-MX"/>
        </w:rPr>
        <w:t>“</w:t>
      </w:r>
      <w:r w:rsidRPr="00CC7726">
        <w:rPr>
          <w:rFonts w:ascii="Verdana" w:eastAsia="Calibri" w:hAnsi="Verdana" w:cs="Arial"/>
          <w:sz w:val="20"/>
          <w:szCs w:val="20"/>
        </w:rPr>
        <w:t xml:space="preserve">Así, en los casos de negociación directa de la Ley 160 de 1994 se tiene que la identificación y valoración de los predios la hace el INCODER. De igual forma, el instituto adelanta los trámites para hacer la oferta al propietario del predio y cumple con la obligación de pago frente al vendedor. </w:t>
      </w:r>
      <w:r w:rsidRPr="00D85C95">
        <w:rPr>
          <w:rFonts w:ascii="Verdana" w:eastAsia="Calibri" w:hAnsi="Verdana" w:cs="Arial"/>
          <w:b/>
          <w:bCs/>
          <w:i/>
          <w:iCs/>
          <w:sz w:val="20"/>
          <w:szCs w:val="20"/>
        </w:rPr>
        <w:t>Como se advierte, este proceso de compra de los predios obviamente no admite la posibilidad de que concurra pluralidad de oferentes ni de llevar a cabo un proceso de licitación pública.</w:t>
      </w:r>
    </w:p>
    <w:p w14:paraId="2295D80B" w14:textId="77777777" w:rsidR="00AF223C" w:rsidRPr="009D26DE" w:rsidRDefault="00AF223C" w:rsidP="00AF223C">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 xml:space="preserve">Por tanto, </w:t>
      </w:r>
      <w:r w:rsidRPr="009D26DE">
        <w:rPr>
          <w:rFonts w:ascii="Verdana" w:eastAsia="Calibri" w:hAnsi="Verdana" w:cs="Arial"/>
          <w:sz w:val="20"/>
          <w:szCs w:val="20"/>
          <w:lang w:val="es-MX"/>
        </w:rPr>
        <w:t xml:space="preserve">si dentro de la etapa de negociación directa el INCODER logra el acuerdo de un particular para adquirir un predio con destino a las comunidades destinatarias de la Ley 160 de 1994, </w:t>
      </w:r>
      <w:r w:rsidRPr="00396998">
        <w:rPr>
          <w:rFonts w:ascii="Verdana" w:eastAsia="Calibri" w:hAnsi="Verdana" w:cs="Arial"/>
          <w:b/>
          <w:bCs/>
          <w:i/>
          <w:iCs/>
          <w:sz w:val="20"/>
          <w:szCs w:val="20"/>
          <w:lang w:val="es-MX"/>
        </w:rPr>
        <w:t xml:space="preserve">el negocio jurídico de compraventa de esos predios queda afectado por la prohibición </w:t>
      </w:r>
      <w:r w:rsidRPr="00396998">
        <w:rPr>
          <w:rFonts w:ascii="Verdana" w:eastAsia="Calibri" w:hAnsi="Verdana" w:cs="Arial"/>
          <w:b/>
          <w:bCs/>
          <w:i/>
          <w:iCs/>
          <w:sz w:val="20"/>
          <w:szCs w:val="20"/>
          <w:lang w:val="es-MX"/>
        </w:rPr>
        <w:lastRenderedPageBreak/>
        <w:t>temporal a la contratación directa, durante los cuatro (4) meses anteriores a la elección presidencial y hasta la realización de la elección en la segunda vuelta, consagrada en el artículo 33 de la Ley 996 de 2005.</w:t>
      </w:r>
      <w:r w:rsidRPr="009D26DE">
        <w:rPr>
          <w:rFonts w:ascii="Verdana" w:eastAsia="Calibri" w:hAnsi="Verdana" w:cs="Arial"/>
          <w:sz w:val="20"/>
          <w:szCs w:val="20"/>
          <w:lang w:val="es-MX"/>
        </w:rPr>
        <w:t xml:space="preserve"> </w:t>
      </w:r>
    </w:p>
    <w:p w14:paraId="698DD358" w14:textId="77777777" w:rsidR="00AF223C" w:rsidRDefault="00AF223C" w:rsidP="00AF223C">
      <w:pPr>
        <w:spacing w:after="120" w:line="240" w:lineRule="auto"/>
        <w:ind w:left="709" w:right="709"/>
        <w:jc w:val="both"/>
        <w:rPr>
          <w:rFonts w:ascii="Verdana" w:eastAsia="Calibri" w:hAnsi="Verdana" w:cs="Arial"/>
          <w:sz w:val="20"/>
          <w:szCs w:val="20"/>
          <w:lang w:val="es-MX"/>
        </w:rPr>
      </w:pPr>
      <w:r w:rsidRPr="009D26DE">
        <w:rPr>
          <w:rFonts w:ascii="Verdana" w:eastAsia="Calibri" w:hAnsi="Verdana" w:cs="Arial"/>
          <w:sz w:val="20"/>
          <w:szCs w:val="20"/>
          <w:lang w:val="es-MX"/>
        </w:rPr>
        <w:t>Ahora bien, esta Sala ha sido enfática al señalar que las excepciones consagradas en el inciso segundo del artículo 33 son taxativas y su interpretación debe ser de carácter restrictivo. A partir de esta premisa concluye la Sala que la actividad contractual del INCODER en relación con la compraventa de los predios destinados a las Comunidades Étnicas no se ajusta a ninguna de las hipótesis exceptivas que consagra el artículo 33 de la Ley de Garantías Electorales</w:t>
      </w:r>
      <w:r>
        <w:rPr>
          <w:rFonts w:ascii="Verdana" w:eastAsia="Calibri" w:hAnsi="Verdana" w:cs="Arial"/>
          <w:sz w:val="20"/>
          <w:szCs w:val="20"/>
          <w:lang w:val="es-MX"/>
        </w:rPr>
        <w:t>”</w:t>
      </w:r>
      <w:r w:rsidRPr="009D26DE">
        <w:rPr>
          <w:rFonts w:ascii="Verdana" w:eastAsia="Calibri" w:hAnsi="Verdana" w:cs="Arial"/>
          <w:sz w:val="20"/>
          <w:szCs w:val="20"/>
          <w:lang w:val="es-MX"/>
        </w:rPr>
        <w:t>.</w:t>
      </w:r>
    </w:p>
    <w:p w14:paraId="00F1BD66" w14:textId="77777777" w:rsidR="00AF223C" w:rsidRPr="009D26DE" w:rsidRDefault="00AF223C" w:rsidP="00AF223C">
      <w:pPr>
        <w:spacing w:after="0" w:line="240" w:lineRule="auto"/>
        <w:ind w:left="709" w:right="709"/>
        <w:jc w:val="both"/>
        <w:rPr>
          <w:rFonts w:ascii="Verdana" w:eastAsia="Calibri" w:hAnsi="Verdana" w:cs="Arial"/>
          <w:sz w:val="20"/>
          <w:szCs w:val="20"/>
          <w:lang w:val="es-MX"/>
        </w:rPr>
      </w:pPr>
    </w:p>
    <w:bookmarkEnd w:id="3"/>
    <w:p w14:paraId="54FBB125" w14:textId="77777777" w:rsidR="00AF223C" w:rsidRDefault="00AF223C" w:rsidP="00AF223C">
      <w:pPr>
        <w:spacing w:after="120" w:line="276" w:lineRule="auto"/>
        <w:ind w:firstLine="709"/>
        <w:jc w:val="both"/>
        <w:rPr>
          <w:rFonts w:ascii="Verdana" w:eastAsia="Calibri" w:hAnsi="Verdana" w:cs="Arial"/>
        </w:rPr>
      </w:pPr>
      <w:r>
        <w:rPr>
          <w:rFonts w:ascii="Verdana" w:eastAsia="Times New Roman" w:hAnsi="Verdana" w:cs="Arial"/>
          <w:bCs/>
          <w:lang w:val="es-MX" w:eastAsia="x-none"/>
        </w:rPr>
        <w:t xml:space="preserve">Conforme se desprende de lo anterior, el Consejo de Estado concluyó la aplicación del artículo 33 de la Ley de Garantías Electorales al procedimiento </w:t>
      </w:r>
      <w:r w:rsidRPr="00740990">
        <w:rPr>
          <w:rFonts w:ascii="Verdana" w:eastAsia="Times New Roman" w:hAnsi="Verdana" w:cs="Arial"/>
          <w:bCs/>
          <w:lang w:eastAsia="x-none"/>
        </w:rPr>
        <w:t>administrativo de adquisición de predios para las comunidades indígenas, afrocolombianas y demás minorías étnicas a cargo del INCODER</w:t>
      </w:r>
      <w:r>
        <w:rPr>
          <w:rFonts w:ascii="Verdana" w:eastAsia="Times New Roman" w:hAnsi="Verdana" w:cs="Arial"/>
          <w:bCs/>
          <w:lang w:eastAsia="x-none"/>
        </w:rPr>
        <w:t>, teniendo en cuenta que en este</w:t>
      </w:r>
      <w:r w:rsidRPr="00EB50CC">
        <w:rPr>
          <w:rFonts w:ascii="Verdana" w:eastAsia="Calibri" w:hAnsi="Verdana" w:cs="Arial"/>
          <w:b/>
          <w:bCs/>
          <w:i/>
          <w:iCs/>
          <w:sz w:val="20"/>
          <w:szCs w:val="20"/>
        </w:rPr>
        <w:t xml:space="preserve"> </w:t>
      </w:r>
      <w:r w:rsidRPr="007C4B33">
        <w:rPr>
          <w:rFonts w:ascii="Verdana" w:eastAsia="Calibri" w:hAnsi="Verdana" w:cs="Arial"/>
        </w:rPr>
        <w:t xml:space="preserve">no se admite la posibilidad de que concurra pluralidad de oferentes ni de llevar a cabo un proceso de licitación pública y </w:t>
      </w:r>
      <w:r>
        <w:rPr>
          <w:rFonts w:ascii="Verdana" w:eastAsia="Calibri" w:hAnsi="Verdana" w:cs="Arial"/>
        </w:rPr>
        <w:t>que</w:t>
      </w:r>
      <w:r w:rsidRPr="007C4B33">
        <w:rPr>
          <w:rFonts w:ascii="Verdana" w:eastAsia="Calibri" w:hAnsi="Verdana" w:cs="Arial"/>
        </w:rPr>
        <w:t xml:space="preserve"> conlleva</w:t>
      </w:r>
      <w:r>
        <w:rPr>
          <w:rFonts w:ascii="Verdana" w:eastAsia="Calibri" w:hAnsi="Verdana" w:cs="Arial"/>
        </w:rPr>
        <w:t xml:space="preserve"> la celebración de una compraventa en caso de que se logre acuerdo con el particular para adquirir el predio.</w:t>
      </w:r>
    </w:p>
    <w:p w14:paraId="56C7B008" w14:textId="77777777" w:rsidR="00AF223C" w:rsidRDefault="00AF223C" w:rsidP="00AF223C">
      <w:pPr>
        <w:spacing w:after="120" w:line="276" w:lineRule="auto"/>
        <w:ind w:firstLine="709"/>
        <w:jc w:val="both"/>
        <w:rPr>
          <w:rFonts w:ascii="Verdana" w:eastAsia="Calibri" w:hAnsi="Verdana" w:cs="Arial"/>
        </w:rPr>
      </w:pPr>
      <w:r w:rsidRPr="009B6C64">
        <w:rPr>
          <w:rFonts w:ascii="Verdana" w:eastAsia="Calibri" w:hAnsi="Verdana" w:cs="Arial"/>
        </w:rPr>
        <w:t xml:space="preserve">Lo anterior resulta especialmente </w:t>
      </w:r>
      <w:r>
        <w:rPr>
          <w:rFonts w:ascii="Verdana" w:eastAsia="Calibri" w:hAnsi="Verdana" w:cs="Arial"/>
        </w:rPr>
        <w:t>importante</w:t>
      </w:r>
      <w:r w:rsidRPr="009B6C64">
        <w:rPr>
          <w:rFonts w:ascii="Verdana" w:eastAsia="Calibri" w:hAnsi="Verdana" w:cs="Arial"/>
        </w:rPr>
        <w:t xml:space="preserve"> para el caso bajo estudio, ya que, aunque el procedimiento administrativo de adquisición </w:t>
      </w:r>
      <w:r>
        <w:rPr>
          <w:rFonts w:ascii="Verdana" w:eastAsia="Calibri" w:hAnsi="Verdana" w:cs="Arial"/>
        </w:rPr>
        <w:t xml:space="preserve">predial </w:t>
      </w:r>
      <w:r w:rsidRPr="009B6C64">
        <w:rPr>
          <w:rFonts w:ascii="Verdana" w:eastAsia="Calibri" w:hAnsi="Verdana" w:cs="Arial"/>
        </w:rPr>
        <w:t>adelantado por el INCODER presenta diferencias sustanciales frente al procedimiento de adquisición predial por razones de utilidad pública</w:t>
      </w:r>
      <w:r>
        <w:rPr>
          <w:rFonts w:ascii="Verdana" w:eastAsia="Calibri" w:hAnsi="Verdana" w:cs="Arial"/>
        </w:rPr>
        <w:t xml:space="preserve">, concretamente </w:t>
      </w:r>
      <w:r w:rsidRPr="009B6C64">
        <w:rPr>
          <w:rFonts w:ascii="Verdana" w:eastAsia="Calibri" w:hAnsi="Verdana" w:cs="Arial"/>
        </w:rPr>
        <w:t xml:space="preserve">en lo relativo a su objeto, </w:t>
      </w:r>
      <w:r>
        <w:rPr>
          <w:rFonts w:ascii="Verdana" w:eastAsia="Calibri" w:hAnsi="Verdana" w:cs="Arial"/>
        </w:rPr>
        <w:t xml:space="preserve">reglas, </w:t>
      </w:r>
      <w:r w:rsidRPr="009B6C64">
        <w:rPr>
          <w:rFonts w:ascii="Verdana" w:eastAsia="Calibri" w:hAnsi="Verdana" w:cs="Arial"/>
        </w:rPr>
        <w:t xml:space="preserve">a los sujetos destinatarios y a las autoridades competentes para su desarrollo, debe tenerse en cuenta que, </w:t>
      </w:r>
      <w:r>
        <w:rPr>
          <w:rFonts w:ascii="Verdana" w:eastAsia="Calibri" w:hAnsi="Verdana" w:cs="Arial"/>
        </w:rPr>
        <w:t xml:space="preserve">de acuerdo con </w:t>
      </w:r>
      <w:r w:rsidRPr="009B6C64">
        <w:rPr>
          <w:rFonts w:ascii="Verdana" w:eastAsia="Calibri" w:hAnsi="Verdana" w:cs="Arial"/>
        </w:rPr>
        <w:t>el análisis realizado por el Consejo de Estado en torno a la interpretación y aplicación del artículo 33 de la Ley 996 de 2005, ambos procedimientos coinciden en elementos estructurales esenciales que adquieren relevancia para efectos de la aplicación de la Ley de Garantías.</w:t>
      </w:r>
    </w:p>
    <w:p w14:paraId="45B9152C" w14:textId="77777777" w:rsidR="00AF223C" w:rsidRDefault="00AF223C" w:rsidP="00AF223C">
      <w:pPr>
        <w:spacing w:after="120" w:line="276" w:lineRule="auto"/>
        <w:ind w:firstLine="709"/>
        <w:jc w:val="both"/>
        <w:rPr>
          <w:rFonts w:ascii="Verdana" w:eastAsia="Calibri" w:hAnsi="Verdana" w:cs="Arial"/>
        </w:rPr>
      </w:pPr>
      <w:r w:rsidRPr="00654C01">
        <w:rPr>
          <w:rFonts w:ascii="Verdana" w:eastAsia="Calibri" w:hAnsi="Verdana" w:cs="Arial"/>
        </w:rPr>
        <w:t>En particular, co</w:t>
      </w:r>
      <w:r>
        <w:rPr>
          <w:rFonts w:ascii="Verdana" w:eastAsia="Calibri" w:hAnsi="Verdana" w:cs="Arial"/>
        </w:rPr>
        <w:t>nvergen</w:t>
      </w:r>
      <w:r w:rsidRPr="00654C01">
        <w:rPr>
          <w:rFonts w:ascii="Verdana" w:eastAsia="Calibri" w:hAnsi="Verdana" w:cs="Arial"/>
        </w:rPr>
        <w:t xml:space="preserve"> en dos aspectos fundamentales: (i) no admiten la concurrencia de pluralidad de oferentes ni la realización de un proceso licitación pública, y (</w:t>
      </w:r>
      <w:proofErr w:type="spellStart"/>
      <w:r w:rsidRPr="00654C01">
        <w:rPr>
          <w:rFonts w:ascii="Verdana" w:eastAsia="Calibri" w:hAnsi="Verdana" w:cs="Arial"/>
        </w:rPr>
        <w:t>ii</w:t>
      </w:r>
      <w:proofErr w:type="spellEnd"/>
      <w:r w:rsidRPr="00654C01">
        <w:rPr>
          <w:rFonts w:ascii="Verdana" w:eastAsia="Calibri" w:hAnsi="Verdana" w:cs="Arial"/>
        </w:rPr>
        <w:t xml:space="preserve">) en caso de que la etapa de negociación directa resulte exitosa, el procedimiento culmina con la suscripción de una promesa de compraventa y el posterior perfeccionamiento del contrato de compraventa. En ese sentido, aun cuando se trate de procedimientos administrativos distintos, la lógica interpretativa </w:t>
      </w:r>
      <w:r>
        <w:rPr>
          <w:rFonts w:ascii="Verdana" w:eastAsia="Calibri" w:hAnsi="Verdana" w:cs="Arial"/>
        </w:rPr>
        <w:t xml:space="preserve">de aplicación del artículo 33 </w:t>
      </w:r>
      <w:r w:rsidRPr="0004219C">
        <w:rPr>
          <w:rFonts w:ascii="Verdana" w:eastAsia="Calibri" w:hAnsi="Verdana" w:cs="Arial"/>
          <w:i/>
          <w:iCs/>
        </w:rPr>
        <w:t>ibidem</w:t>
      </w:r>
      <w:r>
        <w:rPr>
          <w:rFonts w:ascii="Verdana" w:eastAsia="Calibri" w:hAnsi="Verdana" w:cs="Arial"/>
        </w:rPr>
        <w:t xml:space="preserve"> </w:t>
      </w:r>
      <w:r w:rsidRPr="00654C01">
        <w:rPr>
          <w:rFonts w:ascii="Verdana" w:eastAsia="Calibri" w:hAnsi="Verdana" w:cs="Arial"/>
        </w:rPr>
        <w:t xml:space="preserve">empleada por el Consejo </w:t>
      </w:r>
      <w:r w:rsidRPr="00654C01">
        <w:rPr>
          <w:rFonts w:ascii="Verdana" w:eastAsia="Calibri" w:hAnsi="Verdana" w:cs="Arial"/>
        </w:rPr>
        <w:lastRenderedPageBreak/>
        <w:t>de Estado resulta plenamente aplicable al procedimiento de adquisición predial</w:t>
      </w:r>
      <w:r>
        <w:rPr>
          <w:rFonts w:ascii="Verdana" w:eastAsia="Calibri" w:hAnsi="Verdana" w:cs="Arial"/>
        </w:rPr>
        <w:t xml:space="preserve"> regulado por </w:t>
      </w:r>
      <w:r w:rsidRPr="007B37F8">
        <w:rPr>
          <w:rFonts w:ascii="Verdana" w:eastAsia="Calibri" w:hAnsi="Verdana" w:cs="Arial"/>
        </w:rPr>
        <w:t>Leyes 9 de 1989, 388 de 1997 y 1682 de 2013</w:t>
      </w:r>
      <w:r w:rsidRPr="00654C01">
        <w:rPr>
          <w:rFonts w:ascii="Verdana" w:eastAsia="Calibri" w:hAnsi="Verdana" w:cs="Arial"/>
        </w:rPr>
        <w:t>, en tanto este último tampoco contempla, por expresa disposición legal, una convocatoria pública</w:t>
      </w:r>
      <w:r>
        <w:rPr>
          <w:rFonts w:ascii="Verdana" w:eastAsia="Calibri" w:hAnsi="Verdana" w:cs="Arial"/>
        </w:rPr>
        <w:t>, ni concurrencia de oferentes</w:t>
      </w:r>
      <w:r w:rsidRPr="00654C01">
        <w:rPr>
          <w:rFonts w:ascii="Verdana" w:eastAsia="Calibri" w:hAnsi="Verdana" w:cs="Arial"/>
        </w:rPr>
        <w:t xml:space="preserve"> y puede igualmente concluir con la celebración de un contrato de compraventa</w:t>
      </w:r>
      <w:r>
        <w:rPr>
          <w:rFonts w:ascii="Verdana" w:eastAsia="Calibri" w:hAnsi="Verdana" w:cs="Arial"/>
        </w:rPr>
        <w:t xml:space="preserve"> cuando se llegue a un acuerdo con el particular</w:t>
      </w:r>
      <w:r w:rsidRPr="00654C01">
        <w:rPr>
          <w:rFonts w:ascii="Verdana" w:eastAsia="Calibri" w:hAnsi="Verdana" w:cs="Arial"/>
        </w:rPr>
        <w:t>.</w:t>
      </w:r>
    </w:p>
    <w:p w14:paraId="686E12E5" w14:textId="77777777" w:rsidR="00AF223C" w:rsidRDefault="00AF223C" w:rsidP="00AF223C">
      <w:pPr>
        <w:spacing w:after="120" w:line="276" w:lineRule="auto"/>
        <w:ind w:firstLine="709"/>
        <w:jc w:val="both"/>
        <w:rPr>
          <w:rFonts w:ascii="Verdana" w:eastAsia="Calibri" w:hAnsi="Verdana" w:cs="Arial"/>
        </w:rPr>
      </w:pPr>
      <w:r w:rsidRPr="00B1274A">
        <w:rPr>
          <w:rFonts w:ascii="Verdana" w:eastAsia="Calibri" w:hAnsi="Verdana" w:cs="Arial"/>
        </w:rPr>
        <w:t xml:space="preserve">Lo anterior no supone, en modo alguno, una transgresión al criterio de interpretación restrictiva que rige este tipo de prohibiciones. Por el contrario, se ajusta plenamente a la hermenéutica adoptada por el Consejo de Estado en sus distintos pronunciamientos, en los cuales ha precisado de manera inequívoca que </w:t>
      </w:r>
      <w:r>
        <w:rPr>
          <w:rFonts w:ascii="Verdana" w:eastAsia="Calibri" w:hAnsi="Verdana" w:cs="Arial"/>
        </w:rPr>
        <w:t>“</w:t>
      </w:r>
      <w:r w:rsidRPr="002273D0">
        <w:rPr>
          <w:rFonts w:ascii="Verdana" w:eastAsia="Calibri" w:hAnsi="Verdana" w:cs="Arial"/>
          <w:lang w:val="es-MX"/>
        </w:rPr>
        <w:t xml:space="preserve">el enunciado ´contratación directa´ es sinónimo de </w:t>
      </w:r>
      <w:r w:rsidRPr="00E44CB8">
        <w:rPr>
          <w:rFonts w:ascii="Verdana" w:eastAsia="Calibri" w:hAnsi="Verdana" w:cs="Arial"/>
          <w:i/>
          <w:iCs/>
          <w:lang w:val="es-MX"/>
        </w:rPr>
        <w:t>cualquier sistema que no implique convocatoria pública y posibilidad de pluralidad de oferentes, y que, además, no necesariamente hace referencia al procedimiento especial regulado por la ley de contratación estatal</w:t>
      </w:r>
      <w:r>
        <w:rPr>
          <w:rFonts w:ascii="Verdana" w:eastAsia="Calibri" w:hAnsi="Verdana" w:cs="Arial"/>
          <w:lang w:val="es-MX"/>
        </w:rPr>
        <w:t>”</w:t>
      </w:r>
      <w:r w:rsidRPr="002273D0">
        <w:rPr>
          <w:rFonts w:ascii="Verdana" w:eastAsia="Calibri" w:hAnsi="Verdana" w:cs="Arial"/>
        </w:rPr>
        <w:t>.</w:t>
      </w:r>
      <w:r w:rsidRPr="00B1274A">
        <w:rPr>
          <w:rFonts w:ascii="Verdana" w:eastAsia="Calibri" w:hAnsi="Verdana" w:cs="Arial"/>
        </w:rPr>
        <w:t xml:space="preserve"> Tales consideraciones, por lo demás, han sido reiteradas en el concepto previamente citado.</w:t>
      </w:r>
    </w:p>
    <w:p w14:paraId="61D7DA31" w14:textId="77777777" w:rsidR="00AF223C" w:rsidRDefault="00AF223C" w:rsidP="00AF223C">
      <w:pPr>
        <w:spacing w:after="120" w:line="276" w:lineRule="auto"/>
        <w:ind w:firstLine="709"/>
        <w:jc w:val="both"/>
        <w:rPr>
          <w:rFonts w:ascii="Verdana" w:eastAsia="Times New Roman" w:hAnsi="Verdana" w:cs="Arial"/>
          <w:bCs/>
          <w:lang w:val="es-MX" w:eastAsia="x-none"/>
        </w:rPr>
      </w:pPr>
      <w:r w:rsidRPr="00654C01">
        <w:rPr>
          <w:rFonts w:ascii="Verdana" w:eastAsia="Calibri" w:hAnsi="Verdana" w:cs="Arial"/>
        </w:rPr>
        <w:t xml:space="preserve"> Por consiguiente, para efectos del presente análisis, se considera que los argumentos desarrollados por el Consejo de Estado son válidos y suficientes para sostener la aplicación de la Ley de Garantías al contrato de compraventa que se derive de dicho procedimiento</w:t>
      </w:r>
      <w:r>
        <w:rPr>
          <w:rFonts w:ascii="Verdana" w:eastAsia="Calibri" w:hAnsi="Verdana" w:cs="Arial"/>
        </w:rPr>
        <w:t xml:space="preserve">. </w:t>
      </w:r>
      <w:proofErr w:type="gramStart"/>
      <w:r>
        <w:rPr>
          <w:rFonts w:ascii="Verdana" w:eastAsia="Calibri" w:hAnsi="Verdana" w:cs="Arial"/>
        </w:rPr>
        <w:t>Además</w:t>
      </w:r>
      <w:proofErr w:type="gramEnd"/>
      <w:r>
        <w:rPr>
          <w:rFonts w:ascii="Verdana" w:eastAsia="Calibri" w:hAnsi="Verdana" w:cs="Arial"/>
        </w:rPr>
        <w:t xml:space="preserve"> se reitera que dentro de las excepciones </w:t>
      </w:r>
      <w:r>
        <w:rPr>
          <w:rFonts w:ascii="Verdana" w:eastAsia="Times New Roman" w:hAnsi="Verdana" w:cs="Arial"/>
          <w:bCs/>
          <w:lang w:val="es-MX" w:eastAsia="x-none"/>
        </w:rPr>
        <w:t xml:space="preserve">establecidas en el inciso segundo del mismo artículo 33, no se contempló dicha contratación. </w:t>
      </w:r>
    </w:p>
    <w:p w14:paraId="30DA856F" w14:textId="77777777" w:rsidR="00AF223C" w:rsidRDefault="00AF223C" w:rsidP="00AF223C">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Aunado a lo anterior, vale la pena traer a colación lo dispuesto por el Consejo de Estado sobre la importancia de que </w:t>
      </w:r>
      <w:r w:rsidRPr="008D09BD">
        <w:rPr>
          <w:rFonts w:ascii="Verdana" w:eastAsia="Times New Roman" w:hAnsi="Verdana" w:cs="Arial"/>
          <w:bCs/>
          <w:lang w:eastAsia="x-none"/>
        </w:rPr>
        <w:t xml:space="preserve">las entidades </w:t>
      </w:r>
      <w:r>
        <w:rPr>
          <w:rFonts w:ascii="Verdana" w:eastAsia="Times New Roman" w:hAnsi="Verdana" w:cs="Arial"/>
          <w:bCs/>
          <w:lang w:eastAsia="x-none"/>
        </w:rPr>
        <w:t xml:space="preserve">planeen y prevean </w:t>
      </w:r>
      <w:r w:rsidRPr="008D09BD">
        <w:rPr>
          <w:rFonts w:ascii="Verdana" w:eastAsia="Times New Roman" w:hAnsi="Verdana" w:cs="Arial"/>
          <w:bCs/>
          <w:lang w:eastAsia="x-none"/>
        </w:rPr>
        <w:t xml:space="preserve">con suficiente antelación las gestiones necesarias para garantizar </w:t>
      </w:r>
      <w:r>
        <w:rPr>
          <w:rFonts w:ascii="Verdana" w:eastAsia="Times New Roman" w:hAnsi="Verdana" w:cs="Arial"/>
          <w:bCs/>
          <w:lang w:eastAsia="x-none"/>
        </w:rPr>
        <w:t>los objetivos “</w:t>
      </w:r>
      <w:r w:rsidRPr="008D09BD">
        <w:rPr>
          <w:rFonts w:ascii="Verdana" w:eastAsia="Times New Roman" w:hAnsi="Verdana" w:cs="Arial"/>
          <w:bCs/>
          <w:lang w:eastAsia="x-none"/>
        </w:rPr>
        <w:t xml:space="preserve">de manera que no se vean afectados los derechos de las comunidades beneficiarias por circunstancias </w:t>
      </w:r>
      <w:proofErr w:type="spellStart"/>
      <w:r w:rsidRPr="008D09BD">
        <w:rPr>
          <w:rFonts w:ascii="Verdana" w:eastAsia="Times New Roman" w:hAnsi="Verdana" w:cs="Arial"/>
          <w:bCs/>
          <w:lang w:eastAsia="x-none"/>
        </w:rPr>
        <w:t>anticipables</w:t>
      </w:r>
      <w:proofErr w:type="spellEnd"/>
      <w:r w:rsidRPr="008D09BD">
        <w:rPr>
          <w:rFonts w:ascii="Verdana" w:eastAsia="Times New Roman" w:hAnsi="Verdana" w:cs="Arial"/>
          <w:bCs/>
          <w:lang w:eastAsia="x-none"/>
        </w:rPr>
        <w:t xml:space="preserve"> como las que dan origen a la legislación protectora de la igualdad política</w:t>
      </w:r>
      <w:r>
        <w:rPr>
          <w:rFonts w:ascii="Verdana" w:eastAsia="Times New Roman" w:hAnsi="Verdana" w:cs="Arial"/>
          <w:bCs/>
          <w:lang w:eastAsia="x-none"/>
        </w:rPr>
        <w:t>”</w:t>
      </w:r>
      <w:r w:rsidRPr="008D09BD">
        <w:rPr>
          <w:rFonts w:ascii="Verdana" w:eastAsia="Times New Roman" w:hAnsi="Verdana" w:cs="Arial"/>
          <w:bCs/>
          <w:lang w:eastAsia="x-none"/>
        </w:rPr>
        <w:t>.</w:t>
      </w:r>
    </w:p>
    <w:p w14:paraId="4A3DC1EC" w14:textId="77777777" w:rsidR="00AF223C" w:rsidRDefault="00AF223C" w:rsidP="00AF223C">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En suma, </w:t>
      </w:r>
      <w:r w:rsidRPr="00494FAF">
        <w:rPr>
          <w:rFonts w:ascii="Verdana" w:eastAsia="Times New Roman" w:hAnsi="Verdana" w:cs="Arial"/>
          <w:bCs/>
          <w:lang w:eastAsia="x-none"/>
        </w:rPr>
        <w:t xml:space="preserve">debe precisarse que la restricción establecida en el artículo 33 de la Ley 996 de 2005 no resulta aplicable al procedimiento administrativo de adquisición </w:t>
      </w:r>
      <w:r>
        <w:rPr>
          <w:rFonts w:ascii="Verdana" w:eastAsia="Times New Roman" w:hAnsi="Verdana" w:cs="Arial"/>
          <w:bCs/>
          <w:lang w:eastAsia="x-none"/>
        </w:rPr>
        <w:t xml:space="preserve">predial </w:t>
      </w:r>
      <w:r w:rsidRPr="00494FAF">
        <w:rPr>
          <w:rFonts w:ascii="Verdana" w:eastAsia="Times New Roman" w:hAnsi="Verdana" w:cs="Arial"/>
          <w:bCs/>
          <w:lang w:eastAsia="x-none"/>
        </w:rPr>
        <w:t>considerado en sí mismo, ni a su etapa preparatoria o preliminar, en la medida en que dicha disposición se circunscribe a la celebración de contratos de manera directa y no a las actuaciones administrativas previas que puedan adelantarse con ese propósito</w:t>
      </w:r>
      <w:r>
        <w:rPr>
          <w:rFonts w:ascii="Verdana" w:eastAsia="Times New Roman" w:hAnsi="Verdana" w:cs="Arial"/>
          <w:bCs/>
          <w:lang w:eastAsia="x-none"/>
        </w:rPr>
        <w:t>, siempre que estas no impliquen la celebración de un contrato directo</w:t>
      </w:r>
      <w:r w:rsidRPr="00494FAF">
        <w:rPr>
          <w:rFonts w:ascii="Verdana" w:eastAsia="Times New Roman" w:hAnsi="Verdana" w:cs="Arial"/>
          <w:bCs/>
          <w:lang w:eastAsia="x-none"/>
        </w:rPr>
        <w:t xml:space="preserve">. En tal sentido, la gestión predial no se ve paralizada durante el período de restricción. No obstante, frente a la celebración de una promesa de compraventa o de un contrato de compraventa, sí resulta </w:t>
      </w:r>
      <w:r w:rsidRPr="00494FAF">
        <w:rPr>
          <w:rFonts w:ascii="Verdana" w:eastAsia="Times New Roman" w:hAnsi="Verdana" w:cs="Arial"/>
          <w:bCs/>
          <w:lang w:eastAsia="x-none"/>
        </w:rPr>
        <w:lastRenderedPageBreak/>
        <w:t xml:space="preserve">aplicable la restricción prevista en el citado artículo 33, razón por la cual se reitera la postura sostenida en los conceptos C-1512 y C-1529, en tanto dichos negocios jurídicos comportan la celebración </w:t>
      </w:r>
      <w:r>
        <w:rPr>
          <w:rFonts w:ascii="Verdana" w:eastAsia="Times New Roman" w:hAnsi="Verdana" w:cs="Arial"/>
          <w:bCs/>
          <w:lang w:eastAsia="x-none"/>
        </w:rPr>
        <w:t xml:space="preserve">directa </w:t>
      </w:r>
      <w:r w:rsidRPr="00494FAF">
        <w:rPr>
          <w:rFonts w:ascii="Verdana" w:eastAsia="Times New Roman" w:hAnsi="Verdana" w:cs="Arial"/>
          <w:bCs/>
          <w:lang w:eastAsia="x-none"/>
        </w:rPr>
        <w:t>de un contrato estatal.</w:t>
      </w:r>
    </w:p>
    <w:p w14:paraId="3E456954" w14:textId="77777777" w:rsidR="00AF223C" w:rsidRDefault="00AF223C" w:rsidP="00AF223C">
      <w:pPr>
        <w:tabs>
          <w:tab w:val="left" w:pos="426"/>
        </w:tabs>
        <w:spacing w:after="120" w:line="276" w:lineRule="auto"/>
        <w:jc w:val="both"/>
        <w:rPr>
          <w:rFonts w:ascii="Verdana" w:eastAsia="Calibri" w:hAnsi="Verdana" w:cs="Arial"/>
          <w:lang w:val="es-ES"/>
        </w:rPr>
      </w:pPr>
      <w:r>
        <w:rPr>
          <w:rFonts w:ascii="Verdana" w:eastAsia="Calibri" w:hAnsi="Verdana" w:cs="Arial"/>
          <w:lang w:val="es-ES"/>
        </w:rPr>
        <w:t xml:space="preserve">v. Al margen de lo expuesto, </w:t>
      </w:r>
      <w:r>
        <w:rPr>
          <w:rFonts w:ascii="Verdana" w:eastAsia="Calibri" w:hAnsi="Verdana" w:cs="Arial"/>
          <w:bCs/>
          <w:lang w:val="es-ES_tradnl"/>
        </w:rPr>
        <w:t xml:space="preserve">debe precisarse que la </w:t>
      </w:r>
      <w:r w:rsidRPr="008F0413">
        <w:rPr>
          <w:rFonts w:ascii="Verdana" w:eastAsia="Calibri" w:hAnsi="Verdana" w:cs="Arial"/>
          <w:bCs/>
          <w:lang w:val="es-ES_tradnl"/>
        </w:rPr>
        <w:t>competencia consultiva</w:t>
      </w:r>
      <w:r>
        <w:rPr>
          <w:rFonts w:ascii="Verdana" w:eastAsia="Calibri" w:hAnsi="Verdana" w:cs="Arial"/>
          <w:bCs/>
          <w:lang w:val="es-ES_tradnl"/>
        </w:rPr>
        <w:t xml:space="preserve"> contemplada en</w:t>
      </w:r>
      <w:r w:rsidRPr="00F47E0C">
        <w:rPr>
          <w:rFonts w:ascii="Verdana" w:eastAsia="Calibri" w:hAnsi="Verdana" w:cs="Arial"/>
          <w:color w:val="000000" w:themeColor="text1"/>
          <w:lang w:val="es-ES"/>
        </w:rPr>
        <w:t xml:space="preserve"> el numeral 5 del artículo 3 </w:t>
      </w:r>
      <w:r>
        <w:rPr>
          <w:rFonts w:ascii="Verdana" w:eastAsia="Calibri" w:hAnsi="Verdana" w:cs="Arial"/>
          <w:color w:val="000000" w:themeColor="text1"/>
          <w:lang w:val="es-ES"/>
        </w:rPr>
        <w:t xml:space="preserve">y numeral 11 artículo 8 </w:t>
      </w:r>
      <w:r>
        <w:rPr>
          <w:rFonts w:ascii="Verdana" w:eastAsia="Calibri" w:hAnsi="Verdana" w:cs="Arial"/>
          <w:color w:val="000000"/>
          <w:lang w:eastAsia="es-ES"/>
        </w:rPr>
        <w:t xml:space="preserve">del Decreto 4170 de 2011 </w:t>
      </w:r>
      <w:r w:rsidRPr="00E71075">
        <w:rPr>
          <w:rFonts w:ascii="Verdana" w:eastAsia="Calibri" w:hAnsi="Verdana" w:cs="Arial"/>
          <w:lang w:val="es-ES" w:eastAsia="es-ES_tradnl"/>
        </w:rPr>
        <w:t xml:space="preserve">quedó </w:t>
      </w:r>
      <w:r>
        <w:rPr>
          <w:rFonts w:ascii="Verdana" w:eastAsia="Calibri" w:hAnsi="Verdana" w:cs="Arial"/>
          <w:lang w:val="es-ES" w:eastAsia="es-ES_tradnl"/>
        </w:rPr>
        <w:t>determinada</w:t>
      </w:r>
      <w:r w:rsidRPr="00E71075">
        <w:rPr>
          <w:rFonts w:ascii="Verdana" w:eastAsia="Calibri" w:hAnsi="Verdana" w:cs="Arial"/>
          <w:lang w:val="es-ES" w:eastAsia="es-ES_tradnl"/>
        </w:rPr>
        <w:t xml:space="preserve"> dentro de unos límites precisos. </w:t>
      </w:r>
      <w:r>
        <w:rPr>
          <w:rFonts w:ascii="Verdana" w:eastAsia="Calibri" w:hAnsi="Verdana" w:cs="Arial"/>
          <w:lang w:val="es-ES" w:eastAsia="es-ES_tradnl"/>
        </w:rPr>
        <w:t>Esta competencia</w:t>
      </w:r>
      <w:r w:rsidRPr="00E71075">
        <w:rPr>
          <w:rFonts w:ascii="Verdana" w:eastAsia="Calibri" w:hAnsi="Verdana" w:cs="Arial"/>
          <w:lang w:val="es-ES" w:eastAsia="es-ES_tradnl"/>
        </w:rPr>
        <w:t xml:space="preserve"> </w:t>
      </w:r>
      <w:r>
        <w:rPr>
          <w:rFonts w:ascii="Verdana" w:eastAsia="Calibri" w:hAnsi="Verdana" w:cs="Arial"/>
          <w:lang w:val="es-ES" w:eastAsia="es-ES_tradnl"/>
        </w:rPr>
        <w:t>está</w:t>
      </w:r>
      <w:r w:rsidRPr="00E71075">
        <w:rPr>
          <w:rFonts w:ascii="Verdana" w:eastAsia="Calibri" w:hAnsi="Verdana" w:cs="Arial"/>
          <w:lang w:val="es-ES" w:eastAsia="es-ES_tradnl"/>
        </w:rPr>
        <w:t xml:space="preserve"> claramente delimitada en la expresión “</w:t>
      </w:r>
      <w:r>
        <w:rPr>
          <w:rFonts w:ascii="Verdana" w:eastAsia="Calibri" w:hAnsi="Verdana" w:cs="Arial"/>
          <w:lang w:eastAsia="es-ES_tradnl"/>
        </w:rPr>
        <w:t>A</w:t>
      </w:r>
      <w:r w:rsidRPr="003435F6">
        <w:rPr>
          <w:rFonts w:ascii="Verdana" w:eastAsia="Calibri" w:hAnsi="Verdana" w:cs="Arial"/>
          <w:lang w:eastAsia="es-ES_tradnl"/>
        </w:rPr>
        <w:t xml:space="preserve">bsolver consultas sobre la </w:t>
      </w:r>
      <w:r w:rsidRPr="003435F6">
        <w:rPr>
          <w:rFonts w:ascii="Verdana" w:eastAsia="Calibri" w:hAnsi="Verdana" w:cs="Arial"/>
          <w:i/>
          <w:iCs/>
          <w:lang w:eastAsia="es-ES_tradnl"/>
        </w:rPr>
        <w:t xml:space="preserve">aplicación </w:t>
      </w:r>
      <w:r w:rsidRPr="003435F6">
        <w:rPr>
          <w:rFonts w:ascii="Verdana" w:eastAsia="Calibri" w:hAnsi="Verdana" w:cs="Arial"/>
          <w:i/>
          <w:iCs/>
          <w:lang w:val="es-ES" w:eastAsia="es-ES_tradnl"/>
        </w:rPr>
        <w:t>de normas de carácter general</w:t>
      </w:r>
      <w:r w:rsidRPr="00E71075">
        <w:rPr>
          <w:rFonts w:ascii="Verdana" w:eastAsia="Calibri" w:hAnsi="Verdana" w:cs="Arial"/>
          <w:lang w:val="es-ES" w:eastAsia="es-ES_tradnl"/>
        </w:rPr>
        <w:t>”</w:t>
      </w:r>
      <w:r>
        <w:rPr>
          <w:rFonts w:ascii="Verdana" w:eastAsia="Calibri" w:hAnsi="Verdana" w:cs="Arial"/>
          <w:lang w:val="es-ES" w:eastAsia="es-ES_tradnl"/>
        </w:rPr>
        <w:t xml:space="preserve">, lo que significa </w:t>
      </w:r>
      <w:r w:rsidRPr="00E71075">
        <w:rPr>
          <w:rFonts w:ascii="Verdana" w:eastAsia="Calibri" w:hAnsi="Verdana" w:cs="Arial"/>
          <w:lang w:val="es-ES" w:eastAsia="es-ES_tradnl"/>
        </w:rPr>
        <w:t>no son admisibles las consultas que busquen la solución de problemas generados en procesos de contratación particulares o cuyo propósito implique la validación de las decisiones y/o actuaciones que “</w:t>
      </w:r>
      <w:r w:rsidRPr="00E71075">
        <w:rPr>
          <w:rFonts w:ascii="Verdana" w:eastAsia="Calibri" w:hAnsi="Verdana" w:cs="Arial"/>
          <w:i/>
          <w:iCs/>
          <w:lang w:val="es-ES" w:eastAsia="es-ES_tradnl"/>
        </w:rPr>
        <w:t>pueden</w:t>
      </w:r>
      <w:r w:rsidRPr="00E71075">
        <w:rPr>
          <w:rFonts w:ascii="Verdana" w:eastAsia="Calibri" w:hAnsi="Verdana" w:cs="Arial"/>
          <w:lang w:val="es-ES" w:eastAsia="es-ES_tradnl"/>
        </w:rPr>
        <w:t>” adelantar las autoridades y/o los part</w:t>
      </w:r>
      <w:r>
        <w:rPr>
          <w:rFonts w:ascii="Verdana" w:eastAsia="Calibri" w:hAnsi="Verdana" w:cs="Arial"/>
          <w:lang w:val="es-ES" w:eastAsia="es-ES_tradnl"/>
        </w:rPr>
        <w:t>ícipes</w:t>
      </w:r>
      <w:r w:rsidRPr="00E71075">
        <w:rPr>
          <w:rFonts w:ascii="Verdana" w:eastAsia="Calibri" w:hAnsi="Verdana" w:cs="Arial"/>
          <w:lang w:val="es-ES" w:eastAsia="es-ES_tradnl"/>
        </w:rPr>
        <w:t xml:space="preserve"> del sistema de compras públicas, en ejercicio de la actividad contractual de las autoridades</w:t>
      </w:r>
      <w:r>
        <w:rPr>
          <w:rFonts w:ascii="Verdana" w:eastAsia="Calibri" w:hAnsi="Verdana" w:cs="Arial"/>
          <w:lang w:val="es-ES" w:eastAsia="es-ES_tradnl"/>
        </w:rPr>
        <w:t xml:space="preserve">. </w:t>
      </w:r>
    </w:p>
    <w:p w14:paraId="07E69941" w14:textId="77777777" w:rsidR="00AF223C" w:rsidRDefault="00AF223C" w:rsidP="00AF223C">
      <w:pPr>
        <w:tabs>
          <w:tab w:val="left" w:pos="426"/>
        </w:tabs>
        <w:spacing w:after="120" w:line="276" w:lineRule="auto"/>
        <w:ind w:firstLine="709"/>
        <w:jc w:val="both"/>
        <w:rPr>
          <w:rFonts w:ascii="Verdana" w:eastAsiaTheme="minorEastAsia" w:hAnsi="Verdana" w:cs="Arial"/>
          <w:spacing w:val="-9"/>
          <w:szCs w:val="24"/>
          <w:lang w:eastAsia="es-CO"/>
        </w:rPr>
      </w:pPr>
      <w:r>
        <w:rPr>
          <w:rFonts w:ascii="Verdana" w:eastAsia="Calibri" w:hAnsi="Verdana" w:cs="Arial"/>
          <w:color w:val="000000"/>
          <w:lang w:val="es-ES" w:eastAsia="es-ES"/>
        </w:rPr>
        <w:t xml:space="preserve">Asimismo, esas competencias </w:t>
      </w:r>
      <w:r w:rsidRPr="008F0413">
        <w:rPr>
          <w:rFonts w:ascii="Verdana" w:eastAsia="Calibri" w:hAnsi="Verdana" w:cs="Arial"/>
          <w:bCs/>
          <w:lang w:val="es-ES_tradnl"/>
        </w:rPr>
        <w:t>se relaciona con el artículo 28 de la Ley 1437 de 2011, sustituido por el artículo 1 de la Ley 1755,</w:t>
      </w:r>
      <w:r>
        <w:rPr>
          <w:rFonts w:ascii="Verdana" w:eastAsia="Calibri" w:hAnsi="Verdana" w:cs="Arial"/>
          <w:bCs/>
          <w:lang w:val="es-ES_tradnl"/>
        </w:rPr>
        <w:t xml:space="preserve"> por lo que</w:t>
      </w:r>
      <w:r w:rsidRPr="008F0413">
        <w:rPr>
          <w:rFonts w:ascii="Verdana" w:eastAsia="Calibri" w:hAnsi="Verdana" w:cs="Arial"/>
          <w:bCs/>
          <w:lang w:val="es-ES_tradnl"/>
        </w:rPr>
        <w:t xml:space="preserve"> </w:t>
      </w:r>
      <w:r>
        <w:rPr>
          <w:rFonts w:ascii="Verdana" w:eastAsia="Calibri" w:hAnsi="Verdana" w:cs="Arial"/>
          <w:color w:val="000000"/>
          <w:lang w:val="es-ES" w:eastAsia="es-ES"/>
        </w:rPr>
        <w:t xml:space="preserve">los conceptos emitidos por esta Subdirección en el marco de la función consultiva </w:t>
      </w:r>
      <w:bookmarkStart w:id="4" w:name="_Hlk200718672"/>
      <w:r>
        <w:rPr>
          <w:rFonts w:ascii="Verdana" w:eastAsia="Calibri" w:hAnsi="Verdana" w:cs="Arial"/>
          <w:color w:val="000000"/>
          <w:lang w:val="es-ES" w:eastAsia="es-ES"/>
        </w:rPr>
        <w:t>representan</w:t>
      </w:r>
      <w:r>
        <w:rPr>
          <w:rFonts w:ascii="Verdana" w:hAnsi="Verdana" w:cs="Arial"/>
          <w:lang w:eastAsia="es-ES"/>
        </w:rPr>
        <w:t xml:space="preserve"> una </w:t>
      </w:r>
      <w:r w:rsidRPr="008F0413">
        <w:rPr>
          <w:rFonts w:ascii="Verdana" w:eastAsia="Calibri" w:hAnsi="Verdana" w:cs="Arial"/>
          <w:bCs/>
          <w:lang w:val="es-ES_tradnl"/>
        </w:rPr>
        <w:t>posición hermenéutica respecto a las disposiciones normativas</w:t>
      </w:r>
      <w:r>
        <w:rPr>
          <w:rFonts w:ascii="Verdana" w:eastAsia="Calibri" w:hAnsi="Verdana" w:cs="Arial"/>
          <w:bCs/>
          <w:lang w:val="es-ES_tradnl"/>
        </w:rPr>
        <w:t xml:space="preserve"> del Sistema de Compras Públicas,</w:t>
      </w:r>
      <w:r w:rsidRPr="004E32E1">
        <w:rPr>
          <w:rFonts w:ascii="Verdana" w:hAnsi="Verdana" w:cs="Arial"/>
          <w:lang w:eastAsia="es-ES"/>
        </w:rPr>
        <w:t xml:space="preserve"> </w:t>
      </w:r>
      <w:bookmarkStart w:id="5" w:name="_Hlk42100007"/>
      <w:r>
        <w:rPr>
          <w:rFonts w:ascii="Verdana" w:hAnsi="Verdana" w:cs="Arial"/>
          <w:lang w:eastAsia="es-ES"/>
        </w:rPr>
        <w:t xml:space="preserve">que </w:t>
      </w:r>
      <w:r w:rsidRPr="00DF1D83">
        <w:rPr>
          <w:rFonts w:ascii="Verdana" w:eastAsia="Calibri" w:hAnsi="Verdana" w:cs="Arial"/>
          <w:bCs/>
          <w:lang w:val="es-ES_tradnl"/>
        </w:rPr>
        <w:t xml:space="preserve">no tienen efectos vinculantes </w:t>
      </w:r>
      <w:bookmarkEnd w:id="4"/>
      <w:r w:rsidRPr="00DF1D83">
        <w:rPr>
          <w:rFonts w:ascii="Verdana" w:eastAsia="Calibri" w:hAnsi="Verdana" w:cs="Arial"/>
          <w:bCs/>
          <w:lang w:val="es-ES_tradnl"/>
        </w:rPr>
        <w:t>en relación con una situación jurídica particular y concreta, y exponen un criterio que, aunque jurídicamente fundamentado, no representan la única interpretación válida del ordenamiento jurídico.</w:t>
      </w:r>
      <w:bookmarkEnd w:id="5"/>
      <w:r w:rsidRPr="0084273B">
        <w:rPr>
          <w:rFonts w:ascii="Verdana" w:eastAsiaTheme="minorEastAsia" w:hAnsi="Verdana" w:cs="Arial"/>
          <w:szCs w:val="24"/>
          <w:lang w:eastAsia="es-CO"/>
        </w:rPr>
        <w:t xml:space="preserve"> </w:t>
      </w:r>
      <w:r>
        <w:rPr>
          <w:rFonts w:ascii="Verdana" w:eastAsiaTheme="minorEastAsia" w:hAnsi="Verdana" w:cs="Arial"/>
          <w:szCs w:val="24"/>
          <w:lang w:eastAsia="es-CO"/>
        </w:rPr>
        <w:t>De este modo, las autoridades que ejercen funciones consultivas pueden expresar su</w:t>
      </w:r>
      <w:r>
        <w:rPr>
          <w:rFonts w:ascii="Verdana" w:eastAsiaTheme="minorEastAsia" w:hAnsi="Verdana" w:cs="Arial"/>
          <w:spacing w:val="1"/>
          <w:szCs w:val="24"/>
          <w:lang w:eastAsia="es-CO"/>
        </w:rPr>
        <w:t xml:space="preserve"> </w:t>
      </w:r>
      <w:r>
        <w:rPr>
          <w:rFonts w:ascii="Verdana" w:eastAsiaTheme="minorEastAsia" w:hAnsi="Verdana" w:cs="Arial"/>
          <w:szCs w:val="24"/>
          <w:lang w:eastAsia="es-CO"/>
        </w:rPr>
        <w:t>interpretación de un precepto normativo, que no excluye otras interpretaciones posibles, pues el derecho, como sistema normativo, es un lenguaje que, en ocasiones, se tiñe de vaguedad, en</w:t>
      </w:r>
      <w:r>
        <w:rPr>
          <w:rFonts w:ascii="Verdana" w:eastAsiaTheme="minorEastAsia" w:hAnsi="Verdana" w:cs="Arial"/>
          <w:spacing w:val="1"/>
          <w:szCs w:val="24"/>
          <w:lang w:eastAsia="es-CO"/>
        </w:rPr>
        <w:t xml:space="preserve"> </w:t>
      </w:r>
      <w:r>
        <w:rPr>
          <w:rFonts w:ascii="Verdana" w:eastAsiaTheme="minorEastAsia" w:hAnsi="Verdana" w:cs="Arial"/>
          <w:szCs w:val="24"/>
          <w:lang w:eastAsia="es-CO"/>
        </w:rPr>
        <w:t>virtud</w:t>
      </w:r>
      <w:r>
        <w:rPr>
          <w:rFonts w:ascii="Verdana" w:eastAsiaTheme="minorEastAsia" w:hAnsi="Verdana" w:cs="Arial"/>
          <w:spacing w:val="-10"/>
          <w:szCs w:val="24"/>
          <w:lang w:eastAsia="es-CO"/>
        </w:rPr>
        <w:t xml:space="preserve"> </w:t>
      </w:r>
      <w:r>
        <w:rPr>
          <w:rFonts w:ascii="Verdana" w:eastAsiaTheme="minorEastAsia" w:hAnsi="Verdana" w:cs="Arial"/>
          <w:szCs w:val="24"/>
          <w:lang w:eastAsia="es-CO"/>
        </w:rPr>
        <w:t>de</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la</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utilización</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de</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conceptos</w:t>
      </w:r>
      <w:r>
        <w:rPr>
          <w:rFonts w:ascii="Verdana" w:eastAsiaTheme="minorEastAsia" w:hAnsi="Verdana" w:cs="Arial"/>
          <w:spacing w:val="-10"/>
          <w:szCs w:val="24"/>
          <w:lang w:eastAsia="es-CO"/>
        </w:rPr>
        <w:t xml:space="preserve"> </w:t>
      </w:r>
      <w:r>
        <w:rPr>
          <w:rFonts w:ascii="Verdana" w:eastAsiaTheme="minorEastAsia" w:hAnsi="Verdana" w:cs="Arial"/>
          <w:szCs w:val="24"/>
          <w:lang w:eastAsia="es-CO"/>
        </w:rPr>
        <w:t>jurídicos</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indeterminados.</w:t>
      </w:r>
      <w:r>
        <w:rPr>
          <w:rFonts w:ascii="Verdana" w:eastAsiaTheme="minorEastAsia" w:hAnsi="Verdana" w:cs="Arial"/>
          <w:spacing w:val="-9"/>
          <w:szCs w:val="24"/>
          <w:lang w:eastAsia="es-CO"/>
        </w:rPr>
        <w:t xml:space="preserve"> </w:t>
      </w:r>
    </w:p>
    <w:p w14:paraId="34920F02" w14:textId="77777777" w:rsidR="00AF223C" w:rsidRDefault="00AF223C" w:rsidP="00AF223C">
      <w:pPr>
        <w:tabs>
          <w:tab w:val="left" w:pos="426"/>
        </w:tabs>
        <w:spacing w:after="120" w:line="276" w:lineRule="auto"/>
        <w:ind w:firstLine="709"/>
        <w:jc w:val="both"/>
        <w:rPr>
          <w:rFonts w:ascii="Verdana" w:eastAsia="Calibri" w:hAnsi="Verdana" w:cs="Arial"/>
          <w:bCs/>
          <w:lang w:val="es-ES_tradnl"/>
        </w:rPr>
      </w:pPr>
      <w:r w:rsidRPr="008F0413">
        <w:rPr>
          <w:rFonts w:ascii="Verdana" w:eastAsia="Calibri" w:hAnsi="Verdana" w:cs="Arial"/>
          <w:bCs/>
          <w:lang w:val="es-ES_tradnl"/>
        </w:rPr>
        <w:t>En términos generales, lo que se busca es que la opinión jurídica de la entidad sirva a los ciudadanos y a la administración pública para el ejercicio de sus derechos y la defensa de sus intereses, y como criterio de orientación para el cumplimiento de sus competencias legales, sin que tome partida por uno u otro, pues a la autoridad que emite el concepto no le compete resolver una controversia o prevenir una problemática, esto es, no le corresponde determinar quién tienen la razón en su interpretación normativa.</w:t>
      </w:r>
    </w:p>
    <w:p w14:paraId="625682A3" w14:textId="77777777" w:rsidR="00AF223C" w:rsidRPr="00970824" w:rsidRDefault="00AF223C" w:rsidP="00AF223C">
      <w:pPr>
        <w:spacing w:after="120" w:line="276" w:lineRule="auto"/>
        <w:ind w:firstLine="709"/>
        <w:jc w:val="both"/>
        <w:rPr>
          <w:rFonts w:ascii="Verdana" w:eastAsia="Times New Roman" w:hAnsi="Verdana" w:cs="Arial"/>
          <w:bCs/>
          <w:lang w:val="es-MX" w:eastAsia="x-none"/>
        </w:rPr>
      </w:pPr>
      <w:r w:rsidRPr="00DE6146">
        <w:rPr>
          <w:rFonts w:ascii="Verdana" w:eastAsia="Times New Roman" w:hAnsi="Verdana" w:cs="Arial"/>
          <w:bCs/>
          <w:lang w:val="es-MX" w:eastAsia="x-none"/>
        </w:rPr>
        <w:t>En consecuencia, la interpretación contenida en e</w:t>
      </w:r>
      <w:r>
        <w:rPr>
          <w:rFonts w:ascii="Verdana" w:eastAsia="Times New Roman" w:hAnsi="Verdana" w:cs="Arial"/>
          <w:bCs/>
          <w:lang w:val="es-MX" w:eastAsia="x-none"/>
        </w:rPr>
        <w:t>ste</w:t>
      </w:r>
      <w:r w:rsidRPr="00DE6146">
        <w:rPr>
          <w:rFonts w:ascii="Verdana" w:eastAsia="Times New Roman" w:hAnsi="Verdana" w:cs="Arial"/>
          <w:bCs/>
          <w:lang w:val="es-MX" w:eastAsia="x-none"/>
        </w:rPr>
        <w:t xml:space="preserve"> concepto</w:t>
      </w:r>
      <w:r>
        <w:rPr>
          <w:rFonts w:ascii="Verdana" w:eastAsia="Times New Roman" w:hAnsi="Verdana" w:cs="Arial"/>
          <w:bCs/>
          <w:lang w:val="es-MX" w:eastAsia="x-none"/>
        </w:rPr>
        <w:t xml:space="preserve"> no</w:t>
      </w:r>
      <w:r w:rsidRPr="00DE6146">
        <w:rPr>
          <w:rFonts w:ascii="Verdana" w:eastAsia="Times New Roman" w:hAnsi="Verdana" w:cs="Arial"/>
          <w:bCs/>
          <w:lang w:val="es-MX" w:eastAsia="x-none"/>
        </w:rPr>
        <w:t xml:space="preserve"> impli</w:t>
      </w:r>
      <w:r>
        <w:rPr>
          <w:rFonts w:ascii="Verdana" w:eastAsia="Times New Roman" w:hAnsi="Verdana" w:cs="Arial"/>
          <w:bCs/>
          <w:lang w:val="es-MX" w:eastAsia="x-none"/>
        </w:rPr>
        <w:t>ca</w:t>
      </w:r>
      <w:r w:rsidRPr="00DE6146">
        <w:rPr>
          <w:rFonts w:ascii="Verdana" w:eastAsia="Times New Roman" w:hAnsi="Verdana" w:cs="Arial"/>
          <w:bCs/>
          <w:lang w:val="es-MX" w:eastAsia="x-none"/>
        </w:rPr>
        <w:t xml:space="preserve"> la paralización de procedimientos administrativos o contractuales como los relacionados con la gestión predial para proyectos de infraestructura. La </w:t>
      </w:r>
      <w:r w:rsidRPr="00DE6146">
        <w:rPr>
          <w:rFonts w:ascii="Verdana" w:eastAsia="Times New Roman" w:hAnsi="Verdana" w:cs="Arial"/>
          <w:bCs/>
          <w:lang w:val="es-MX" w:eastAsia="x-none"/>
        </w:rPr>
        <w:lastRenderedPageBreak/>
        <w:t xml:space="preserve">determinación sobre la forma de adelantar dichos procedimientos, así como la valoración de las normas aplicables en cada caso concreto, corresponde </w:t>
      </w:r>
      <w:r w:rsidRPr="002F1004">
        <w:rPr>
          <w:rFonts w:ascii="Verdana" w:eastAsia="Times New Roman" w:hAnsi="Verdana" w:cs="Arial"/>
          <w:b/>
          <w:i/>
          <w:iCs/>
          <w:lang w:val="es-MX" w:eastAsia="x-none"/>
        </w:rPr>
        <w:t>exclusivamente</w:t>
      </w:r>
      <w:r w:rsidRPr="00784B93">
        <w:rPr>
          <w:rFonts w:ascii="Verdana" w:eastAsia="Times New Roman" w:hAnsi="Verdana" w:cs="Arial"/>
          <w:b/>
          <w:lang w:val="es-MX" w:eastAsia="x-none"/>
        </w:rPr>
        <w:t xml:space="preserve"> </w:t>
      </w:r>
      <w:r w:rsidRPr="00DE6146">
        <w:rPr>
          <w:rFonts w:ascii="Verdana" w:eastAsia="Times New Roman" w:hAnsi="Verdana" w:cs="Arial"/>
          <w:bCs/>
          <w:lang w:val="es-MX" w:eastAsia="x-none"/>
        </w:rPr>
        <w:t>a las entidades estatales en el marco de sus competencias funcionales, quienes deben adoptar las decisiones que estimen pertinentes con fundamento en su propio análisis jurídico y en el principio de responsabilidad en el ejercicio de la función administrativa.</w:t>
      </w:r>
    </w:p>
    <w:p w14:paraId="2BDE88EC" w14:textId="77777777" w:rsidR="00AF223C" w:rsidRPr="00086CBB" w:rsidRDefault="00AF223C" w:rsidP="00AF223C">
      <w:pPr>
        <w:tabs>
          <w:tab w:val="left" w:pos="426"/>
        </w:tabs>
        <w:spacing w:after="120" w:line="276" w:lineRule="auto"/>
        <w:ind w:firstLine="709"/>
        <w:jc w:val="both"/>
        <w:rPr>
          <w:rFonts w:ascii="Verdana" w:eastAsia="Calibri" w:hAnsi="Verdana" w:cs="Arial"/>
          <w:bCs/>
          <w:color w:val="000000" w:themeColor="text1"/>
        </w:rPr>
      </w:pPr>
      <w:r w:rsidRPr="00F60A0F">
        <w:rPr>
          <w:rFonts w:ascii="Verdana" w:hAnsi="Verdana"/>
        </w:rPr>
        <w:t xml:space="preserve">Por tanto, </w:t>
      </w:r>
      <w:r>
        <w:rPr>
          <w:rFonts w:ascii="Verdana" w:hAnsi="Verdana"/>
        </w:rPr>
        <w:t xml:space="preserve">se reitera que </w:t>
      </w:r>
      <w:r>
        <w:rPr>
          <w:rFonts w:ascii="Verdana" w:eastAsia="Calibri" w:hAnsi="Verdana" w:cs="Arial"/>
          <w:bCs/>
          <w:color w:val="000000" w:themeColor="text1"/>
        </w:rPr>
        <w:t>el análisis requerido para resolver problemas específicos en torno a la gestión contractual de las entidades públicas y concretamente sobre la situación expuesta debe ser realizado por quienes tengan interés en ello, de acuerdo con lo explicado en este concepto.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3379A2E" w14:textId="77777777" w:rsidR="00AF223C" w:rsidRDefault="00AF223C" w:rsidP="00AF223C">
      <w:pPr>
        <w:spacing w:after="12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722A562" w14:textId="77777777" w:rsidR="00AF223C" w:rsidRDefault="00AF223C" w:rsidP="00AF223C">
      <w:pPr>
        <w:spacing w:after="0" w:line="276" w:lineRule="auto"/>
        <w:ind w:firstLine="709"/>
        <w:jc w:val="both"/>
        <w:rPr>
          <w:rFonts w:ascii="Verdana" w:eastAsia="Calibri" w:hAnsi="Verdana" w:cs="Arial"/>
          <w:bCs/>
          <w:color w:val="000000" w:themeColor="text1"/>
        </w:rPr>
      </w:pPr>
    </w:p>
    <w:p w14:paraId="672F9629" w14:textId="77777777" w:rsidR="00AF223C" w:rsidRDefault="00AF223C" w:rsidP="00AF223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Referencias normativas:</w:t>
      </w:r>
    </w:p>
    <w:p w14:paraId="27A0A2E0" w14:textId="77777777" w:rsidR="00AF223C" w:rsidRDefault="00AF223C" w:rsidP="00AF223C">
      <w:pPr>
        <w:widowControl w:val="0"/>
        <w:autoSpaceDE w:val="0"/>
        <w:autoSpaceDN w:val="0"/>
        <w:spacing w:after="0" w:line="276" w:lineRule="auto"/>
        <w:jc w:val="both"/>
        <w:rPr>
          <w:rFonts w:ascii="Verdana" w:hAnsi="Verdana" w:cs="Arial"/>
        </w:rPr>
      </w:pPr>
    </w:p>
    <w:tbl>
      <w:tblPr>
        <w:tblStyle w:val="Tablaconcuadrcula"/>
        <w:tblW w:w="864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AF223C" w14:paraId="5C0F8EE4" w14:textId="77777777" w:rsidTr="00A40198">
        <w:trPr>
          <w:trHeight w:val="870"/>
          <w:jc w:val="center"/>
        </w:trPr>
        <w:tc>
          <w:tcPr>
            <w:tcW w:w="8647" w:type="dxa"/>
            <w:tcBorders>
              <w:top w:val="dotted" w:sz="4" w:space="0" w:color="auto"/>
              <w:left w:val="dotted" w:sz="4" w:space="0" w:color="auto"/>
              <w:bottom w:val="dotted" w:sz="4" w:space="0" w:color="auto"/>
              <w:right w:val="dotted" w:sz="4" w:space="0" w:color="auto"/>
            </w:tcBorders>
            <w:hideMark/>
          </w:tcPr>
          <w:p w14:paraId="58952824" w14:textId="77777777" w:rsidR="00AF223C" w:rsidRDefault="00AF223C" w:rsidP="00AF223C">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Constitución Política de 1991, artículos 127, 197 y 209.</w:t>
            </w:r>
          </w:p>
          <w:p w14:paraId="6D31D2D4" w14:textId="77777777" w:rsidR="00AF223C" w:rsidRDefault="00AF223C" w:rsidP="00AF223C">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80 de 1993, artículos 2, 32, 39 y 41.</w:t>
            </w:r>
          </w:p>
          <w:p w14:paraId="2B72027B" w14:textId="77777777" w:rsidR="00AF223C" w:rsidRDefault="00AF223C" w:rsidP="00AF223C">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338 de 1997, artículos 58 y ss.</w:t>
            </w:r>
          </w:p>
          <w:p w14:paraId="4FD5FF13" w14:textId="77777777" w:rsidR="00AF223C" w:rsidRDefault="00AF223C" w:rsidP="00AF223C">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 xml:space="preserve">Ley 996 de 2005, artículo 33 </w:t>
            </w:r>
          </w:p>
          <w:p w14:paraId="5FA7664D" w14:textId="77777777" w:rsidR="00AF223C" w:rsidRDefault="00AF223C" w:rsidP="00AF223C">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1150 de 2007, artículos 1 y 2.</w:t>
            </w:r>
          </w:p>
          <w:p w14:paraId="340C6F1E" w14:textId="77777777" w:rsidR="00AF223C" w:rsidRDefault="00AF223C" w:rsidP="00AF223C">
            <w:pPr>
              <w:pStyle w:val="Prrafodelista"/>
              <w:widowControl w:val="0"/>
              <w:numPr>
                <w:ilvl w:val="0"/>
                <w:numId w:val="17"/>
              </w:numPr>
              <w:autoSpaceDE w:val="0"/>
              <w:autoSpaceDN w:val="0"/>
              <w:spacing w:line="276" w:lineRule="auto"/>
              <w:ind w:left="714" w:hanging="357"/>
              <w:jc w:val="both"/>
              <w:rPr>
                <w:rFonts w:ascii="Verdana" w:hAnsi="Verdana" w:cs="Arial"/>
              </w:rPr>
            </w:pPr>
            <w:r>
              <w:rPr>
                <w:rFonts w:ascii="Verdana" w:hAnsi="Verdana" w:cs="Arial"/>
              </w:rPr>
              <w:t>Código Civil, artículo 1501.</w:t>
            </w:r>
          </w:p>
        </w:tc>
      </w:tr>
    </w:tbl>
    <w:p w14:paraId="5BE9951F" w14:textId="77777777" w:rsidR="00AF223C" w:rsidRDefault="00AF223C" w:rsidP="00AF223C">
      <w:pPr>
        <w:widowControl w:val="0"/>
        <w:autoSpaceDE w:val="0"/>
        <w:autoSpaceDN w:val="0"/>
        <w:spacing w:after="0" w:line="276" w:lineRule="auto"/>
        <w:jc w:val="both"/>
        <w:rPr>
          <w:rFonts w:ascii="Verdana" w:hAnsi="Verdana" w:cs="Arial"/>
        </w:rPr>
      </w:pPr>
    </w:p>
    <w:p w14:paraId="2B0AAD5D" w14:textId="77777777" w:rsidR="00AF223C" w:rsidRDefault="00AF223C" w:rsidP="00AF223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lastRenderedPageBreak/>
        <w:t>Doctrina de la Agencia Nacional de Contratación Pública:</w:t>
      </w:r>
    </w:p>
    <w:p w14:paraId="53A9A03A" w14:textId="77777777" w:rsidR="00AF223C" w:rsidRDefault="00AF223C" w:rsidP="00AF223C">
      <w:pPr>
        <w:widowControl w:val="0"/>
        <w:autoSpaceDE w:val="0"/>
        <w:autoSpaceDN w:val="0"/>
        <w:spacing w:after="0" w:line="276" w:lineRule="auto"/>
        <w:jc w:val="both"/>
        <w:rPr>
          <w:rFonts w:ascii="Verdana" w:hAnsi="Verdana" w:cs="Arial"/>
        </w:rPr>
      </w:pPr>
    </w:p>
    <w:p w14:paraId="2D74A9F0" w14:textId="77777777" w:rsidR="00AF223C" w:rsidRDefault="00AF223C" w:rsidP="00AF223C">
      <w:pPr>
        <w:widowControl w:val="0"/>
        <w:autoSpaceDE w:val="0"/>
        <w:autoSpaceDN w:val="0"/>
        <w:spacing w:after="0" w:line="276" w:lineRule="auto"/>
        <w:jc w:val="both"/>
        <w:rPr>
          <w:rStyle w:val="normaltextrun"/>
          <w:shd w:val="clear" w:color="auto" w:fill="FFFFFF"/>
        </w:rPr>
      </w:pPr>
      <w:r>
        <w:rPr>
          <w:rFonts w:ascii="Verdana" w:hAnsi="Verdana" w:cs="Arial"/>
          <w:shd w:val="clear" w:color="auto" w:fill="FFFFFF"/>
        </w:rPr>
        <w:t>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C-1512 del 27 de octubre de 2025, C-1529 del 4 de noviembre de 2025, C-1799 y C-1501 de 2026, C-091 del 27 de enero de 2026, entre otros</w:t>
      </w:r>
      <w:r>
        <w:rPr>
          <w:rFonts w:ascii="Verdana" w:hAnsi="Verdana"/>
        </w:rPr>
        <w:t>.</w:t>
      </w:r>
      <w:r>
        <w:rPr>
          <w:rFonts w:ascii="Verdana" w:hAnsi="Verdana" w:cs="Arial"/>
          <w:shd w:val="clear" w:color="auto" w:fill="FFFFFF"/>
        </w:rPr>
        <w:t xml:space="preserve"> Estos y otros </w:t>
      </w:r>
      <w:r>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FA81FFF" w14:textId="77777777" w:rsidR="00AF223C" w:rsidRPr="00C15525" w:rsidRDefault="00AF223C" w:rsidP="00AF223C">
      <w:pPr>
        <w:widowControl w:val="0"/>
        <w:autoSpaceDE w:val="0"/>
        <w:autoSpaceDN w:val="0"/>
        <w:spacing w:after="0" w:line="276" w:lineRule="auto"/>
        <w:jc w:val="both"/>
        <w:rPr>
          <w:color w:val="000000" w:themeColor="text1"/>
        </w:rPr>
      </w:pPr>
    </w:p>
    <w:p w14:paraId="1FE0623D" w14:textId="77777777" w:rsidR="00AF223C" w:rsidRPr="00C15525" w:rsidRDefault="00AF223C" w:rsidP="00AF223C">
      <w:pPr>
        <w:jc w:val="both"/>
        <w:rPr>
          <w:rFonts w:ascii="Verdana" w:hAnsi="Verdana"/>
        </w:rPr>
      </w:pPr>
      <w:r w:rsidRPr="00C15525">
        <w:rPr>
          <w:rFonts w:ascii="Verdana" w:hAnsi="Verdana"/>
        </w:rPr>
        <w:t xml:space="preserve">La sostenibilidad no es una opción, es una obligación. Por ello, la Agencia Nacional de Contratación Pública –Colombia Compra Eficiente– te invita a realizar el </w:t>
      </w:r>
      <w:r w:rsidRPr="00C15525">
        <w:rPr>
          <w:rFonts w:ascii="Verdana" w:hAnsi="Verdana"/>
          <w:b/>
          <w:bCs/>
        </w:rPr>
        <w:t>Curso de Contratación Pública Sostenible y Socialmente Responsable</w:t>
      </w:r>
      <w:r w:rsidRPr="00C1552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15525">
        <w:rPr>
          <w:rFonts w:ascii="Verdana" w:hAnsi="Verdana"/>
        </w:rPr>
        <w:br/>
      </w:r>
      <w:hyperlink r:id="rId12" w:tgtFrame="_new" w:history="1">
        <w:r w:rsidRPr="00C15525">
          <w:rPr>
            <w:rFonts w:ascii="Verdana" w:hAnsi="Verdana"/>
            <w:color w:val="0000FF"/>
            <w:u w:val="single"/>
          </w:rPr>
          <w:t>https://formacionvirtual.colombiacompra.gov.co/mod/page/view.php?id=3718</w:t>
        </w:r>
      </w:hyperlink>
    </w:p>
    <w:p w14:paraId="7E258783" w14:textId="77777777" w:rsidR="00AF223C" w:rsidRPr="00C15525" w:rsidRDefault="00AF223C" w:rsidP="00AF223C">
      <w:pPr>
        <w:jc w:val="both"/>
        <w:rPr>
          <w:rFonts w:ascii="Verdana" w:hAnsi="Verdana"/>
        </w:rPr>
      </w:pPr>
      <w:r w:rsidRPr="00C15525">
        <w:rPr>
          <w:rFonts w:ascii="Verdana" w:hAnsi="Verdana"/>
        </w:rPr>
        <w:t xml:space="preserve">De otro lado, te contamos que esta Agencia ha da un paso decisivo en la estandarización y modernización del </w:t>
      </w:r>
      <w:r w:rsidRPr="00C15525">
        <w:rPr>
          <w:rFonts w:ascii="Verdana" w:hAnsi="Verdana"/>
          <w:b/>
          <w:bCs/>
        </w:rPr>
        <w:t>sector  social</w:t>
      </w:r>
      <w:r w:rsidRPr="00C15525">
        <w:rPr>
          <w:rFonts w:ascii="Verdana" w:hAnsi="Verdana"/>
        </w:rPr>
        <w:t xml:space="preserve"> con la expedición de las </w:t>
      </w:r>
      <w:r w:rsidRPr="00C15525">
        <w:rPr>
          <w:rFonts w:ascii="Verdana" w:hAnsi="Verdana"/>
          <w:b/>
          <w:bCs/>
        </w:rPr>
        <w:lastRenderedPageBreak/>
        <w:t>Resoluciones 539, 540, 541, 952 y 953 de 2025</w:t>
      </w:r>
      <w:r w:rsidRPr="00C15525">
        <w:rPr>
          <w:rFonts w:ascii="Verdana" w:hAnsi="Verdana"/>
        </w:rPr>
        <w:t xml:space="preserve">, </w:t>
      </w:r>
      <w:r w:rsidRPr="00C15525">
        <w:rPr>
          <w:rFonts w:ascii="Verdana" w:hAnsi="Verdana"/>
          <w:b/>
          <w:bCs/>
        </w:rPr>
        <w:t>mediante las cuales adoptó Documentos Tipo</w:t>
      </w:r>
      <w:r w:rsidRPr="00C15525">
        <w:rPr>
          <w:rFonts w:ascii="Verdana" w:hAnsi="Verdana"/>
        </w:rPr>
        <w:t xml:space="preserve"> para las modalidades de selección de</w:t>
      </w:r>
      <w:r w:rsidRPr="00C15525">
        <w:rPr>
          <w:rFonts w:ascii="Verdana" w:hAnsi="Verdana"/>
          <w:b/>
          <w:bCs/>
        </w:rPr>
        <w:t xml:space="preserve"> licitación pública (versión 2), selección abreviada de menor cuantía, mínima cuantía, consultoría e interventoría</w:t>
      </w:r>
      <w:r w:rsidRPr="00C1552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3" w:tgtFrame="_new" w:history="1">
        <w:r w:rsidRPr="00C15525">
          <w:rPr>
            <w:rFonts w:ascii="Verdana" w:hAnsi="Verdana"/>
            <w:color w:val="0000FF"/>
            <w:u w:val="single"/>
          </w:rPr>
          <w:t>https://www.colombiacompra.gov.co/normativa-y-relatoria/documentos-tipo</w:t>
        </w:r>
      </w:hyperlink>
    </w:p>
    <w:p w14:paraId="00CCA621" w14:textId="77777777" w:rsidR="00AF223C" w:rsidRPr="00C15525" w:rsidRDefault="00AF223C" w:rsidP="00AF223C">
      <w:pPr>
        <w:jc w:val="both"/>
        <w:rPr>
          <w:rFonts w:ascii="Verdana" w:hAnsi="Verdana"/>
          <w:color w:val="000000"/>
          <w:lang w:val="es-ES_tradnl"/>
        </w:rPr>
      </w:pPr>
      <w:r w:rsidRPr="00C15525">
        <w:rPr>
          <w:rFonts w:ascii="Verdana" w:hAnsi="Verdana"/>
        </w:rPr>
        <w:t xml:space="preserve">Si quieres conocer más sobre la aplicación de Documentos Tipo puedes consultar la última versión de la </w:t>
      </w:r>
      <w:r w:rsidRPr="00C15525">
        <w:rPr>
          <w:rFonts w:ascii="Verdana" w:hAnsi="Verdana"/>
          <w:b/>
          <w:bCs/>
        </w:rPr>
        <w:t>Guía para la comprensión e implementación de los Documentos Tipo de obra pública de infraestructura de transporte</w:t>
      </w:r>
      <w:r w:rsidRPr="00C1552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15525">
        <w:rPr>
          <w:rFonts w:ascii="Verdana" w:hAnsi="Verdana"/>
        </w:rPr>
        <w:br/>
      </w:r>
      <w:hyperlink r:id="rId14" w:tgtFrame="_new" w:history="1">
        <w:r w:rsidRPr="00C15525">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460DE514" w14:textId="77777777" w:rsidR="00AF223C" w:rsidRPr="00C15525" w:rsidRDefault="00AF223C" w:rsidP="00AF223C">
      <w:pPr>
        <w:spacing w:after="0"/>
        <w:jc w:val="both"/>
        <w:rPr>
          <w:rFonts w:ascii="Verdana" w:hAnsi="Verdana"/>
        </w:rPr>
      </w:pPr>
      <w:r w:rsidRPr="00C15525">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E1A06BD" w14:textId="77777777" w:rsidR="00AF223C" w:rsidRPr="00C15525" w:rsidRDefault="00AF223C" w:rsidP="00AF223C">
      <w:pPr>
        <w:spacing w:after="0"/>
        <w:jc w:val="both"/>
        <w:rPr>
          <w:rFonts w:ascii="Verdana" w:hAnsi="Verdana"/>
        </w:rPr>
      </w:pPr>
    </w:p>
    <w:p w14:paraId="678130C3" w14:textId="77777777" w:rsidR="00AF223C" w:rsidRPr="00C15525" w:rsidRDefault="00AF223C" w:rsidP="00AF223C">
      <w:pPr>
        <w:numPr>
          <w:ilvl w:val="0"/>
          <w:numId w:val="15"/>
        </w:numPr>
        <w:spacing w:after="0" w:line="240" w:lineRule="auto"/>
        <w:contextualSpacing/>
        <w:jc w:val="both"/>
        <w:rPr>
          <w:rFonts w:ascii="Verdana" w:eastAsia="Verdana" w:hAnsi="Verdana" w:cs="Verdana"/>
          <w:color w:val="4472C4" w:themeColor="accent1"/>
          <w:u w:val="single"/>
          <w:lang w:val="es-MX"/>
        </w:rPr>
      </w:pPr>
      <w:r w:rsidRPr="00C15525">
        <w:rPr>
          <w:rFonts w:ascii="Verdana" w:eastAsia="Verdana" w:hAnsi="Verdana" w:cs="Verdana"/>
          <w:lang w:val="es-MX"/>
        </w:rPr>
        <w:t xml:space="preserve">Línea nacional gratuita o servicio a la ciudadanía (Mesa de servicio): </w:t>
      </w:r>
      <w:r w:rsidRPr="00C15525">
        <w:rPr>
          <w:rFonts w:ascii="Verdana" w:hAnsi="Verdana"/>
          <w:color w:val="0000FF"/>
          <w:u w:val="single"/>
          <w:lang w:val="es-ES"/>
        </w:rPr>
        <w:t>01800 0520808</w:t>
      </w:r>
    </w:p>
    <w:p w14:paraId="62389A34" w14:textId="77777777" w:rsidR="00AF223C" w:rsidRPr="00C15525" w:rsidRDefault="00AF223C" w:rsidP="00AF223C">
      <w:pPr>
        <w:numPr>
          <w:ilvl w:val="0"/>
          <w:numId w:val="15"/>
        </w:numPr>
        <w:spacing w:after="0" w:line="256" w:lineRule="auto"/>
        <w:contextualSpacing/>
        <w:rPr>
          <w:rFonts w:ascii="Verdana" w:eastAsia="Verdana" w:hAnsi="Verdana" w:cs="Verdana"/>
          <w:color w:val="4472C4" w:themeColor="accent1"/>
          <w:u w:val="single"/>
          <w:lang w:val="es-MX"/>
        </w:rPr>
      </w:pPr>
      <w:r w:rsidRPr="00C15525">
        <w:rPr>
          <w:rFonts w:ascii="Verdana" w:eastAsia="Verdana" w:hAnsi="Verdana" w:cs="Verdana"/>
          <w:lang w:val="es-MX"/>
        </w:rPr>
        <w:t>Línea en Bogotá (Mesa de servicio</w:t>
      </w:r>
      <w:proofErr w:type="gramStart"/>
      <w:r w:rsidRPr="00C15525">
        <w:rPr>
          <w:rFonts w:ascii="Verdana" w:eastAsia="Verdana" w:hAnsi="Verdana" w:cs="Verdana"/>
          <w:lang w:val="es-MX"/>
        </w:rPr>
        <w:t>):</w:t>
      </w:r>
      <w:r w:rsidRPr="00C15525">
        <w:rPr>
          <w:rFonts w:ascii="Verdana" w:hAnsi="Verdana"/>
          <w:color w:val="0000FF"/>
          <w:u w:val="single"/>
          <w:lang w:val="es-ES"/>
        </w:rPr>
        <w:t>+</w:t>
      </w:r>
      <w:proofErr w:type="gramEnd"/>
      <w:r w:rsidRPr="00C15525">
        <w:rPr>
          <w:rFonts w:ascii="Verdana" w:hAnsi="Verdana"/>
          <w:color w:val="0000FF"/>
          <w:u w:val="single"/>
          <w:lang w:val="es-ES"/>
        </w:rPr>
        <w:t>57 601 7456788</w:t>
      </w:r>
    </w:p>
    <w:p w14:paraId="3080B647" w14:textId="77777777" w:rsidR="00AF223C" w:rsidRPr="00C15525" w:rsidRDefault="00AF223C" w:rsidP="00AF223C">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MX"/>
        </w:rPr>
        <w:t xml:space="preserve">Correo de radicación de correspondencia: </w:t>
      </w:r>
      <w:hyperlink r:id="rId15" w:history="1">
        <w:r w:rsidRPr="00C15525">
          <w:rPr>
            <w:rFonts w:ascii="Verdana" w:eastAsia="Verdana" w:hAnsi="Verdana" w:cs="Verdana"/>
            <w:color w:val="0000FF"/>
            <w:u w:val="single"/>
            <w:lang w:val="es-MX"/>
          </w:rPr>
          <w:t>ventanilladeradicacion@colombiacompra.gov.co</w:t>
        </w:r>
      </w:hyperlink>
    </w:p>
    <w:p w14:paraId="54DD7F29" w14:textId="77777777" w:rsidR="00AF223C" w:rsidRPr="00C15525" w:rsidRDefault="00AF223C" w:rsidP="00AF223C">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ES"/>
        </w:rPr>
        <w:t xml:space="preserve">Formulario web para PQRSD: </w:t>
      </w:r>
      <w:hyperlink r:id="rId16" w:history="1">
        <w:r w:rsidRPr="00C15525">
          <w:rPr>
            <w:rFonts w:ascii="Verdana" w:eastAsia="Verdana" w:hAnsi="Verdana" w:cs="Verdana"/>
            <w:color w:val="0000FF"/>
            <w:u w:val="single"/>
            <w:lang w:val="es-MX"/>
          </w:rPr>
          <w:t>https://www.colombiacompra.gov.co/pqrsd/informacion-importante-antes-de-formular-una-pqrsd</w:t>
        </w:r>
      </w:hyperlink>
    </w:p>
    <w:p w14:paraId="506418AB" w14:textId="77777777" w:rsidR="00AF223C" w:rsidRPr="00C15525" w:rsidRDefault="00AF223C" w:rsidP="00AF223C">
      <w:pPr>
        <w:spacing w:after="0" w:line="240" w:lineRule="auto"/>
        <w:ind w:left="720"/>
        <w:jc w:val="both"/>
        <w:rPr>
          <w:rFonts w:ascii="Verdana" w:hAnsi="Verdana"/>
        </w:rPr>
      </w:pPr>
    </w:p>
    <w:p w14:paraId="2B132A9E" w14:textId="77777777" w:rsidR="00AF223C" w:rsidRPr="00C15525" w:rsidRDefault="00AF223C" w:rsidP="00AF223C">
      <w:pPr>
        <w:spacing w:after="0" w:line="240" w:lineRule="auto"/>
        <w:rPr>
          <w:rFonts w:ascii="Verdana" w:hAnsi="Verdana"/>
        </w:rPr>
      </w:pPr>
      <w:r w:rsidRPr="00C15525">
        <w:rPr>
          <w:rFonts w:ascii="Verdana" w:hAnsi="Verdana"/>
        </w:rPr>
        <w:lastRenderedPageBreak/>
        <w:t xml:space="preserve">Evalúa el servicio que ofrece la Agencia por el canal de atención de PQRSD en el siguiente </w:t>
      </w:r>
      <w:proofErr w:type="gramStart"/>
      <w:r w:rsidRPr="00C15525">
        <w:rPr>
          <w:rFonts w:ascii="Verdana" w:hAnsi="Verdana"/>
        </w:rPr>
        <w:t>enlace :</w:t>
      </w:r>
      <w:proofErr w:type="gramEnd"/>
      <w:hyperlink r:id="rId17" w:tgtFrame="_blank" w:tooltip="https://forms.office.com/r/pphywvs2sz" w:history="1">
        <w:r w:rsidRPr="00C15525">
          <w:rPr>
            <w:rFonts w:ascii="Verdana" w:hAnsi="Verdana"/>
            <w:color w:val="0000FF"/>
            <w:u w:val="single"/>
          </w:rPr>
          <w:t>https://forms.office.com/r/pPHyWVs2SZ</w:t>
        </w:r>
      </w:hyperlink>
      <w:r w:rsidRPr="00C15525">
        <w:rPr>
          <w:rFonts w:ascii="Verdana" w:hAnsi="Verdana"/>
        </w:rPr>
        <w:t xml:space="preserve"> .¡Ayúdanos a mejorar porque el compromiso es de todos!</w:t>
      </w:r>
    </w:p>
    <w:p w14:paraId="1956C8B7" w14:textId="77777777" w:rsidR="00AF223C" w:rsidRPr="00C15525" w:rsidRDefault="00AF223C" w:rsidP="00AF223C">
      <w:pPr>
        <w:spacing w:after="0" w:line="240" w:lineRule="auto"/>
        <w:rPr>
          <w:rFonts w:ascii="Verdana" w:hAnsi="Verdana"/>
        </w:rPr>
      </w:pPr>
    </w:p>
    <w:p w14:paraId="315EDBBD" w14:textId="77777777" w:rsidR="00AF223C" w:rsidRPr="00C15525" w:rsidRDefault="00AF223C" w:rsidP="00AF223C">
      <w:pPr>
        <w:spacing w:after="0" w:line="240" w:lineRule="auto"/>
        <w:jc w:val="both"/>
        <w:rPr>
          <w:rFonts w:ascii="Verdana" w:hAnsi="Verdana"/>
        </w:rPr>
      </w:pPr>
      <w:r w:rsidRPr="00C15525">
        <w:rPr>
          <w:rFonts w:ascii="Verdana" w:hAnsi="Verdana"/>
        </w:rPr>
        <w:t xml:space="preserve">Por último, lo invitamos a seguirnos en las redes sociales en las cuales se difunde información institucional: </w:t>
      </w:r>
    </w:p>
    <w:p w14:paraId="1F20B189" w14:textId="77777777" w:rsidR="00AF223C" w:rsidRPr="00C15525" w:rsidRDefault="00AF223C" w:rsidP="00AF223C">
      <w:pPr>
        <w:spacing w:after="0" w:line="240" w:lineRule="auto"/>
        <w:jc w:val="both"/>
        <w:rPr>
          <w:rFonts w:ascii="Verdana" w:hAnsi="Verdana"/>
        </w:rPr>
      </w:pPr>
    </w:p>
    <w:p w14:paraId="4447A05F" w14:textId="77777777" w:rsidR="00AF223C" w:rsidRPr="00C15525" w:rsidRDefault="00AF223C" w:rsidP="00AF223C">
      <w:pPr>
        <w:spacing w:after="0" w:line="240" w:lineRule="auto"/>
        <w:jc w:val="both"/>
        <w:rPr>
          <w:rFonts w:ascii="Verdana" w:hAnsi="Verdana"/>
        </w:rPr>
      </w:pPr>
      <w:r w:rsidRPr="00C15525">
        <w:rPr>
          <w:rFonts w:ascii="Verdana" w:hAnsi="Verdana"/>
        </w:rPr>
        <w:t xml:space="preserve">Twitter: </w:t>
      </w:r>
      <w:r w:rsidRPr="00C15525">
        <w:rPr>
          <w:rFonts w:ascii="Verdana" w:hAnsi="Verdana"/>
          <w:color w:val="0000FF"/>
          <w:u w:val="single"/>
        </w:rPr>
        <w:t>@colombiacompra</w:t>
      </w:r>
      <w:r w:rsidRPr="00C15525">
        <w:rPr>
          <w:rFonts w:ascii="Verdana" w:hAnsi="Verdana"/>
        </w:rPr>
        <w:t xml:space="preserve"> </w:t>
      </w:r>
    </w:p>
    <w:p w14:paraId="0AE040EB" w14:textId="77777777" w:rsidR="00AF223C" w:rsidRPr="00C15525" w:rsidRDefault="00AF223C" w:rsidP="00AF223C">
      <w:pPr>
        <w:spacing w:after="0" w:line="240" w:lineRule="auto"/>
        <w:jc w:val="both"/>
        <w:rPr>
          <w:rFonts w:ascii="Verdana" w:hAnsi="Verdana"/>
        </w:rPr>
      </w:pPr>
      <w:r w:rsidRPr="00C15525">
        <w:rPr>
          <w:rFonts w:ascii="Verdana" w:hAnsi="Verdana"/>
        </w:rPr>
        <w:t xml:space="preserve">Facebook: </w:t>
      </w:r>
      <w:proofErr w:type="spellStart"/>
      <w:r w:rsidRPr="00C15525">
        <w:rPr>
          <w:rFonts w:ascii="Verdana" w:hAnsi="Verdana"/>
          <w:color w:val="0000FF"/>
          <w:u w:val="single"/>
        </w:rPr>
        <w:t>ColombiaCompraEficiente</w:t>
      </w:r>
      <w:proofErr w:type="spellEnd"/>
    </w:p>
    <w:p w14:paraId="58273A22" w14:textId="77777777" w:rsidR="00AF223C" w:rsidRPr="00C15525" w:rsidRDefault="00AF223C" w:rsidP="00AF223C">
      <w:pPr>
        <w:spacing w:after="0" w:line="240" w:lineRule="auto"/>
        <w:jc w:val="both"/>
        <w:rPr>
          <w:rFonts w:ascii="Verdana" w:hAnsi="Verdana"/>
        </w:rPr>
      </w:pPr>
      <w:r w:rsidRPr="00C15525">
        <w:rPr>
          <w:rFonts w:ascii="Verdana" w:hAnsi="Verdana"/>
        </w:rPr>
        <w:t xml:space="preserve">LinkedIn: </w:t>
      </w:r>
      <w:r w:rsidRPr="00C15525">
        <w:rPr>
          <w:rFonts w:ascii="Verdana" w:hAnsi="Verdana"/>
          <w:color w:val="0000FF"/>
          <w:u w:val="single"/>
        </w:rPr>
        <w:t>Agencia Nacional de Contratación Pública - Colombia Compra Eficiente</w:t>
      </w:r>
      <w:r w:rsidRPr="00C15525">
        <w:rPr>
          <w:rFonts w:ascii="Verdana" w:hAnsi="Verdana"/>
        </w:rPr>
        <w:t xml:space="preserve"> Instagram: </w:t>
      </w:r>
      <w:r w:rsidRPr="00C15525">
        <w:rPr>
          <w:rFonts w:ascii="Verdana" w:hAnsi="Verdana"/>
          <w:color w:val="0000FF"/>
          <w:u w:val="single"/>
        </w:rPr>
        <w:t>@colombiacompraeficiente_cce</w:t>
      </w:r>
    </w:p>
    <w:p w14:paraId="73EDFE1E" w14:textId="77777777" w:rsidR="00AF223C" w:rsidRPr="008278B1" w:rsidRDefault="00AF223C" w:rsidP="00AF223C">
      <w:pPr>
        <w:widowControl w:val="0"/>
        <w:autoSpaceDE w:val="0"/>
        <w:autoSpaceDN w:val="0"/>
        <w:spacing w:after="120" w:line="276" w:lineRule="auto"/>
        <w:jc w:val="both"/>
        <w:rPr>
          <w:rFonts w:ascii="Verdana" w:hAnsi="Verdana" w:cs="Arial"/>
          <w:lang w:val="es-ES"/>
        </w:rPr>
      </w:pPr>
      <w:r w:rsidRPr="00C15525">
        <w:rPr>
          <w:rFonts w:ascii="Verdana" w:hAnsi="Verdana" w:cs="Arial"/>
          <w:color w:val="FF0000"/>
          <w:shd w:val="clear" w:color="auto" w:fill="FFFFFF"/>
          <w:lang w:val="es-ES_tradnl"/>
        </w:rPr>
        <w:t xml:space="preserve">        </w:t>
      </w:r>
    </w:p>
    <w:p w14:paraId="0C3AC7F4" w14:textId="77777777" w:rsidR="00AF223C" w:rsidRPr="008278B1" w:rsidRDefault="00AF223C" w:rsidP="00AF223C">
      <w:pPr>
        <w:widowControl w:val="0"/>
        <w:autoSpaceDE w:val="0"/>
        <w:autoSpaceDN w:val="0"/>
        <w:spacing w:after="0" w:line="276" w:lineRule="auto"/>
        <w:jc w:val="both"/>
        <w:rPr>
          <w:rFonts w:ascii="Verdana" w:hAnsi="Verdana" w:cs="Arial"/>
          <w:lang w:val="es-ES"/>
        </w:rPr>
      </w:pPr>
      <w:r w:rsidRPr="008278B1">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6158347" w14:textId="77777777" w:rsidR="00AF223C" w:rsidRPr="008278B1" w:rsidRDefault="00AF223C" w:rsidP="00AF223C">
      <w:pPr>
        <w:widowControl w:val="0"/>
        <w:autoSpaceDE w:val="0"/>
        <w:autoSpaceDN w:val="0"/>
        <w:spacing w:after="0" w:line="276" w:lineRule="auto"/>
        <w:jc w:val="both"/>
        <w:rPr>
          <w:rFonts w:ascii="Verdana" w:hAnsi="Verdana" w:cs="Arial"/>
          <w:lang w:val="es-ES"/>
        </w:rPr>
      </w:pPr>
    </w:p>
    <w:p w14:paraId="425A1801" w14:textId="77777777" w:rsidR="00AF223C" w:rsidRPr="00BF2B1C" w:rsidRDefault="00AF223C" w:rsidP="00AF223C">
      <w:pPr>
        <w:spacing w:after="0" w:line="276" w:lineRule="auto"/>
        <w:rPr>
          <w:rFonts w:ascii="Verdana" w:hAnsi="Verdana" w:cs="Arial"/>
          <w:lang w:val="es-ES" w:eastAsia="es-CO"/>
        </w:rPr>
      </w:pPr>
      <w:r w:rsidRPr="008278B1">
        <w:rPr>
          <w:rFonts w:ascii="Verdana" w:eastAsia="Times New Roman" w:hAnsi="Verdana" w:cs="Arial"/>
          <w:lang w:val="es-ES" w:eastAsia="es-CO"/>
        </w:rPr>
        <w:t>Atentamente,</w:t>
      </w:r>
      <w:r w:rsidRPr="008278B1">
        <w:rPr>
          <w:rFonts w:ascii="Verdana" w:hAnsi="Verdana" w:cs="Arial"/>
          <w:lang w:val="es-ES" w:eastAsia="es-CO"/>
        </w:rPr>
        <w:t xml:space="preserve"> </w:t>
      </w:r>
    </w:p>
    <w:p w14:paraId="234FF485" w14:textId="602513DA" w:rsidR="007C31D6" w:rsidRPr="00C15525" w:rsidRDefault="007C31D6" w:rsidP="007C31D6">
      <w:pPr>
        <w:spacing w:after="0" w:line="240" w:lineRule="auto"/>
        <w:rPr>
          <w:rFonts w:ascii="Verdana" w:hAnsi="Verdana" w:cs="Arial"/>
          <w:lang w:val="es-ES_tradnl" w:eastAsia="es-CO"/>
        </w:rPr>
      </w:pPr>
      <w:r w:rsidRPr="00C15525">
        <w:rPr>
          <w:rFonts w:ascii="Verdana" w:hAnsi="Verdana" w:cs="Arial"/>
          <w:lang w:val="es-ES" w:eastAsia="es-CO"/>
        </w:rPr>
        <w:t xml:space="preserve"> </w:t>
      </w:r>
    </w:p>
    <w:p w14:paraId="4D644E69" w14:textId="77777777" w:rsidR="007C31D6" w:rsidRDefault="007C31D6" w:rsidP="007C31D6">
      <w:pPr>
        <w:spacing w:after="0"/>
        <w:rPr>
          <w:rFonts w:ascii="Verdana" w:hAnsi="Verdana"/>
        </w:rPr>
      </w:pPr>
    </w:p>
    <w:p w14:paraId="1C20DF8C" w14:textId="37FE33A0" w:rsidR="007C31D6" w:rsidRDefault="00D173FF" w:rsidP="007C31D6">
      <w:pPr>
        <w:spacing w:after="0" w:line="276" w:lineRule="auto"/>
        <w:jc w:val="center"/>
        <w:rPr>
          <w:rFonts w:ascii="Verdana" w:hAnsi="Verdana"/>
          <w:lang w:val="es-ES_tradnl"/>
        </w:rPr>
      </w:pPr>
      <w:r>
        <w:rPr>
          <w:rFonts w:ascii="Verdana" w:hAnsi="Verdana"/>
          <w:noProof/>
          <w:lang w:val="es-ES_tradnl"/>
        </w:rPr>
        <w:drawing>
          <wp:inline distT="0" distB="0" distL="0" distR="0" wp14:anchorId="2E0F53D9" wp14:editId="754FBB8F">
            <wp:extent cx="3639058" cy="1343212"/>
            <wp:effectExtent l="0" t="0" r="0" b="0"/>
            <wp:docPr id="119251730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517309" name="Imagen 1" descr="Texto&#10;&#10;Descripción generada automáticamente"/>
                    <pic:cNvPicPr/>
                  </pic:nvPicPr>
                  <pic:blipFill>
                    <a:blip r:embed="rId18">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C31D6" w:rsidRPr="00D53651" w14:paraId="275BB42E" w14:textId="77777777" w:rsidTr="000E7260">
        <w:trPr>
          <w:trHeight w:val="315"/>
        </w:trPr>
        <w:tc>
          <w:tcPr>
            <w:tcW w:w="893" w:type="dxa"/>
            <w:vAlign w:val="center"/>
            <w:hideMark/>
          </w:tcPr>
          <w:p w14:paraId="342CC9B0"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354237E2" w14:textId="77777777" w:rsidR="007C31D6" w:rsidRPr="00D53651" w:rsidRDefault="007C31D6" w:rsidP="000E7260">
            <w:pPr>
              <w:spacing w:line="276" w:lineRule="auto"/>
              <w:jc w:val="both"/>
              <w:rPr>
                <w:rFonts w:ascii="Verdana" w:hAnsi="Verdana"/>
                <w:sz w:val="16"/>
                <w:szCs w:val="16"/>
              </w:rPr>
            </w:pPr>
            <w:r>
              <w:rPr>
                <w:rFonts w:ascii="Verdana" w:hAnsi="Verdana"/>
                <w:sz w:val="16"/>
                <w:szCs w:val="16"/>
              </w:rPr>
              <w:t>Gloria Elizabeth Arango Builes</w:t>
            </w:r>
          </w:p>
          <w:p w14:paraId="4866B5DD"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7C31D6" w:rsidRPr="00D53651" w14:paraId="283ACB79" w14:textId="77777777" w:rsidTr="000E7260">
        <w:trPr>
          <w:trHeight w:val="330"/>
        </w:trPr>
        <w:tc>
          <w:tcPr>
            <w:tcW w:w="893" w:type="dxa"/>
            <w:vAlign w:val="center"/>
            <w:hideMark/>
          </w:tcPr>
          <w:p w14:paraId="041C1AD6"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453E3A37" w14:textId="77777777" w:rsidR="007C31D6" w:rsidRPr="00D53651" w:rsidRDefault="007C31D6" w:rsidP="000E7260">
            <w:pPr>
              <w:spacing w:line="276" w:lineRule="auto"/>
              <w:jc w:val="both"/>
              <w:rPr>
                <w:rFonts w:ascii="Verdana" w:hAnsi="Verdana"/>
                <w:sz w:val="16"/>
                <w:szCs w:val="16"/>
              </w:rPr>
            </w:pPr>
            <w:r>
              <w:rPr>
                <w:rFonts w:ascii="Verdana" w:hAnsi="Verdana"/>
                <w:sz w:val="16"/>
                <w:szCs w:val="16"/>
              </w:rPr>
              <w:t>Diana Lucía Saavedra Castañeda</w:t>
            </w:r>
          </w:p>
          <w:p w14:paraId="7F4C2BD7"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7C31D6" w:rsidRPr="00D53651" w14:paraId="0A66432D" w14:textId="77777777" w:rsidTr="000E7260">
        <w:trPr>
          <w:trHeight w:val="300"/>
        </w:trPr>
        <w:tc>
          <w:tcPr>
            <w:tcW w:w="893" w:type="dxa"/>
            <w:vAlign w:val="center"/>
            <w:hideMark/>
          </w:tcPr>
          <w:p w14:paraId="729C97E0"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7C7B720B" w14:textId="77777777" w:rsidR="007C31D6" w:rsidRPr="00D53651" w:rsidRDefault="007C31D6" w:rsidP="000E7260">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26D31200" w14:textId="77777777" w:rsidR="007C31D6" w:rsidRPr="00D53651" w:rsidRDefault="007C31D6" w:rsidP="000E7260">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102BB92B" w14:textId="77777777" w:rsidR="007C31D6" w:rsidRPr="000931E9" w:rsidRDefault="007C31D6" w:rsidP="007C31D6"/>
    <w:p w14:paraId="786B535A" w14:textId="77777777" w:rsidR="007C31D6" w:rsidRPr="0044528D" w:rsidRDefault="007C31D6" w:rsidP="007C31D6">
      <w:pPr>
        <w:spacing w:after="0"/>
        <w:rPr>
          <w:rFonts w:ascii="Verdana" w:hAnsi="Verdana"/>
        </w:rPr>
      </w:pPr>
    </w:p>
    <w:p w14:paraId="48698E65" w14:textId="77777777" w:rsidR="007C31D6" w:rsidRPr="00FA01E0" w:rsidRDefault="007C31D6" w:rsidP="007C31D6">
      <w:pPr>
        <w:spacing w:after="0" w:line="276" w:lineRule="auto"/>
        <w:jc w:val="both"/>
        <w:rPr>
          <w:rFonts w:ascii="Verdana" w:eastAsia="Calibri" w:hAnsi="Verdana" w:cs="Arial"/>
          <w:lang w:val="es-ES"/>
        </w:rPr>
      </w:pP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17E978FA"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5E087A" w14:textId="77777777" w:rsidR="00287A6F" w:rsidRDefault="00287A6F" w:rsidP="004A1847">
      <w:pPr>
        <w:spacing w:after="0" w:line="240" w:lineRule="auto"/>
      </w:pPr>
      <w:r>
        <w:separator/>
      </w:r>
    </w:p>
  </w:endnote>
  <w:endnote w:type="continuationSeparator" w:id="0">
    <w:p w14:paraId="6E470040" w14:textId="77777777" w:rsidR="00287A6F" w:rsidRDefault="00287A6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3670BD" w14:textId="77777777" w:rsidR="00287A6F" w:rsidRDefault="00287A6F" w:rsidP="004A1847">
      <w:pPr>
        <w:spacing w:after="0" w:line="240" w:lineRule="auto"/>
      </w:pPr>
      <w:r>
        <w:separator/>
      </w:r>
    </w:p>
  </w:footnote>
  <w:footnote w:type="continuationSeparator" w:id="0">
    <w:p w14:paraId="53F3ED35" w14:textId="77777777" w:rsidR="00287A6F" w:rsidRDefault="00287A6F" w:rsidP="004A1847">
      <w:pPr>
        <w:spacing w:after="0" w:line="240" w:lineRule="auto"/>
      </w:pPr>
      <w:r>
        <w:continuationSeparator/>
      </w:r>
    </w:p>
  </w:footnote>
  <w:footnote w:id="1">
    <w:p w14:paraId="1557B6B5" w14:textId="77777777" w:rsidR="00AF223C" w:rsidRPr="0016660C" w:rsidRDefault="00AF223C" w:rsidP="00AF223C">
      <w:pPr>
        <w:pStyle w:val="Textonotapie"/>
        <w:ind w:firstLine="709"/>
        <w:contextualSpacing/>
        <w:jc w:val="both"/>
        <w:rPr>
          <w:rFonts w:ascii="Verdana" w:hAnsi="Verdana" w:cs="Arial"/>
          <w:sz w:val="16"/>
          <w:szCs w:val="16"/>
        </w:rPr>
      </w:pPr>
      <w:r w:rsidRPr="0016660C">
        <w:rPr>
          <w:rStyle w:val="Refdenotaalpie"/>
          <w:rFonts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108F726" w14:textId="77777777" w:rsidR="00AF223C" w:rsidRPr="0016660C" w:rsidRDefault="00AF223C" w:rsidP="00AF223C">
      <w:pPr>
        <w:pStyle w:val="Textonotapie"/>
        <w:ind w:firstLine="709"/>
        <w:contextualSpacing/>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2FFE4BE4" w14:textId="77777777" w:rsidR="00AF223C" w:rsidRPr="0016660C" w:rsidRDefault="00AF223C" w:rsidP="00AF223C">
      <w:pPr>
        <w:pStyle w:val="Textonotapie"/>
        <w:ind w:firstLine="709"/>
        <w:contextualSpacing/>
        <w:jc w:val="both"/>
        <w:rPr>
          <w:rFonts w:ascii="Verdana" w:hAnsi="Verdana" w:cs="Arial"/>
          <w:sz w:val="16"/>
          <w:szCs w:val="16"/>
        </w:rPr>
      </w:pPr>
      <w:r w:rsidRPr="0016660C">
        <w:rPr>
          <w:rStyle w:val="Refdenotaalpie"/>
          <w:rFonts w:cs="Arial"/>
          <w:sz w:val="16"/>
          <w:szCs w:val="16"/>
        </w:rPr>
        <w:footnoteRef/>
      </w:r>
      <w:r w:rsidRPr="0016660C">
        <w:rPr>
          <w:rFonts w:ascii="Verdana" w:hAnsi="Verdana" w:cs="Arial"/>
          <w:sz w:val="16"/>
          <w:szCs w:val="16"/>
        </w:rPr>
        <w:t xml:space="preserve"> Gaceta del Congreso de la República No. 71 del 2005.</w:t>
      </w:r>
    </w:p>
  </w:footnote>
  <w:footnote w:id="3">
    <w:p w14:paraId="49B2308F" w14:textId="77777777" w:rsidR="00AF223C" w:rsidRPr="0016660C" w:rsidRDefault="00AF223C" w:rsidP="00AF223C">
      <w:pPr>
        <w:pStyle w:val="Textonotapie"/>
        <w:ind w:firstLine="709"/>
        <w:contextualSpacing/>
        <w:jc w:val="both"/>
        <w:rPr>
          <w:rFonts w:ascii="Verdana" w:hAnsi="Verdana" w:cs="Arial"/>
          <w:sz w:val="16"/>
          <w:szCs w:val="16"/>
          <w:lang w:val="pt-BR"/>
        </w:rPr>
      </w:pPr>
      <w:r w:rsidRPr="0016660C">
        <w:rPr>
          <w:rStyle w:val="Refdenotaalpie"/>
          <w:rFonts w:cs="Arial"/>
          <w:sz w:val="16"/>
          <w:szCs w:val="16"/>
        </w:rPr>
        <w:footnoteRef/>
      </w:r>
      <w:r w:rsidRPr="0016660C">
        <w:rPr>
          <w:rFonts w:ascii="Verdana" w:hAnsi="Verdana" w:cs="Arial"/>
          <w:sz w:val="16"/>
          <w:szCs w:val="16"/>
          <w:lang w:val="pt-BR"/>
        </w:rPr>
        <w:t xml:space="preserve"> Corte Constitucional, Sentencia C- 1153 de 2005, M.P. Marco Gerardo Monroy Cabra.</w:t>
      </w:r>
    </w:p>
  </w:footnote>
  <w:footnote w:id="4">
    <w:p w14:paraId="53FDC9C5" w14:textId="77777777" w:rsidR="00AF223C" w:rsidRPr="0016660C" w:rsidRDefault="00AF223C" w:rsidP="00AF223C">
      <w:pPr>
        <w:pStyle w:val="Textonotapie"/>
        <w:ind w:firstLine="709"/>
        <w:contextualSpacing/>
        <w:jc w:val="both"/>
        <w:rPr>
          <w:rFonts w:ascii="Verdana" w:hAnsi="Verdana" w:cs="Arial"/>
          <w:sz w:val="16"/>
          <w:szCs w:val="16"/>
          <w:lang w:val="pt-BR"/>
        </w:rPr>
      </w:pPr>
      <w:r w:rsidRPr="0016660C">
        <w:rPr>
          <w:rStyle w:val="Refdenotaalpie"/>
          <w:rFonts w:cs="Arial"/>
          <w:sz w:val="16"/>
          <w:szCs w:val="16"/>
        </w:rPr>
        <w:footnoteRef/>
      </w:r>
      <w:r w:rsidRPr="0016660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4A327304" w14:textId="77777777" w:rsidR="00AF223C" w:rsidRPr="0016660C" w:rsidRDefault="00AF223C" w:rsidP="00AF223C">
      <w:pPr>
        <w:pStyle w:val="Textonotapie"/>
        <w:ind w:firstLine="709"/>
        <w:contextualSpacing/>
        <w:jc w:val="both"/>
        <w:rPr>
          <w:rFonts w:ascii="Verdana" w:hAnsi="Verdana" w:cs="Arial"/>
          <w:sz w:val="16"/>
          <w:szCs w:val="16"/>
          <w:lang w:val="es-CO"/>
        </w:rPr>
      </w:pPr>
      <w:r w:rsidRPr="0016660C">
        <w:rPr>
          <w:rStyle w:val="Refdenotaalpie"/>
          <w:rFonts w:cs="Arial"/>
          <w:sz w:val="16"/>
          <w:szCs w:val="16"/>
        </w:rPr>
        <w:footnoteRef/>
      </w:r>
      <w:r w:rsidRPr="0016660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0C73423D" w14:textId="77777777" w:rsidR="00AF223C" w:rsidRPr="0016660C" w:rsidRDefault="00AF223C" w:rsidP="00AF223C">
      <w:pPr>
        <w:pStyle w:val="Textonotapie"/>
        <w:ind w:firstLine="709"/>
        <w:contextualSpacing/>
        <w:jc w:val="both"/>
        <w:rPr>
          <w:rFonts w:ascii="Verdana" w:hAnsi="Verdana" w:cs="Arial"/>
          <w:sz w:val="16"/>
          <w:szCs w:val="16"/>
        </w:rPr>
      </w:pPr>
      <w:r w:rsidRPr="0016660C">
        <w:rPr>
          <w:rStyle w:val="Refdenotaalpie"/>
          <w:rFonts w:cs="Arial"/>
          <w:sz w:val="16"/>
          <w:szCs w:val="16"/>
        </w:rPr>
        <w:footnoteRef/>
      </w:r>
      <w:r w:rsidRPr="0016660C">
        <w:rPr>
          <w:rFonts w:ascii="Verdana" w:hAnsi="Verdana" w:cs="Arial"/>
          <w:sz w:val="16"/>
          <w:szCs w:val="16"/>
        </w:rPr>
        <w:t xml:space="preserve"> Consejo de Estado, Sala de Consulta y Servicio Civil de fecha 24 de julio de 2013, Rad. 2166, C. P. Álvaro Namén Vargas.  </w:t>
      </w:r>
    </w:p>
  </w:footnote>
  <w:footnote w:id="7">
    <w:p w14:paraId="3CC0D336" w14:textId="77777777" w:rsidR="00AF223C" w:rsidRDefault="00AF223C" w:rsidP="00AF223C">
      <w:pPr>
        <w:spacing w:after="0" w:line="240" w:lineRule="auto"/>
        <w:ind w:firstLine="709"/>
        <w:jc w:val="both"/>
        <w:rPr>
          <w:rFonts w:ascii="Verdana" w:eastAsia="Times New Roman" w:hAnsi="Verdana" w:cs="Arial"/>
          <w:sz w:val="16"/>
          <w:szCs w:val="16"/>
        </w:rPr>
      </w:pPr>
      <w:r>
        <w:rPr>
          <w:rStyle w:val="Refdenotaalpie"/>
          <w:rFonts w:cs="Arial"/>
          <w:sz w:val="16"/>
          <w:szCs w:val="16"/>
        </w:rPr>
        <w:footnoteRef/>
      </w:r>
      <w:r>
        <w:rPr>
          <w:rFonts w:ascii="Verdana" w:hAnsi="Verdana" w:cs="Arial"/>
          <w:sz w:val="16"/>
          <w:szCs w:val="16"/>
        </w:rPr>
        <w:t xml:space="preserve"> </w:t>
      </w:r>
      <w:r>
        <w:rPr>
          <w:rFonts w:ascii="Verdana" w:eastAsia="Calibri" w:hAnsi="Verdana" w:cs="Arial"/>
          <w:color w:val="000000"/>
          <w:sz w:val="16"/>
          <w:szCs w:val="16"/>
        </w:rPr>
        <w:t>“</w:t>
      </w:r>
      <w:bookmarkStart w:id="2" w:name="33"/>
      <w:r>
        <w:rPr>
          <w:rFonts w:ascii="Verdana" w:eastAsia="Times New Roman" w:hAnsi="Verdana" w:cs="Arial"/>
          <w:sz w:val="16"/>
          <w:szCs w:val="16"/>
        </w:rPr>
        <w:t>Artículo 33. Restricciones a la contratación pública.</w:t>
      </w:r>
      <w:bookmarkEnd w:id="2"/>
      <w:r>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4C73892C" w14:textId="77777777" w:rsidR="00AF223C" w:rsidRDefault="00AF223C" w:rsidP="00AF223C">
      <w:pPr>
        <w:spacing w:after="0" w:line="240" w:lineRule="auto"/>
        <w:ind w:firstLine="709"/>
        <w:jc w:val="both"/>
        <w:rPr>
          <w:rFonts w:ascii="Verdana" w:eastAsia="Times New Roman" w:hAnsi="Verdana" w:cs="Arial"/>
          <w:sz w:val="16"/>
          <w:szCs w:val="16"/>
        </w:rPr>
      </w:pPr>
      <w:r>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color w:val="000000"/>
          <w:sz w:val="16"/>
          <w:szCs w:val="16"/>
        </w:rPr>
        <w:t>”</w:t>
      </w:r>
      <w:r>
        <w:rPr>
          <w:rFonts w:ascii="Verdana" w:eastAsia="Times New Roman" w:hAnsi="Verdana" w:cs="Arial"/>
          <w:sz w:val="16"/>
          <w:szCs w:val="16"/>
        </w:rPr>
        <w:t>.</w:t>
      </w:r>
    </w:p>
  </w:footnote>
  <w:footnote w:id="8">
    <w:p w14:paraId="07622C90" w14:textId="77777777" w:rsidR="00AF223C" w:rsidRPr="0016660C" w:rsidRDefault="00AF223C" w:rsidP="00AF223C">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eastAsiaTheme="majorEastAsi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5C54400A" w14:textId="77777777" w:rsidR="00AF223C" w:rsidRPr="0016660C" w:rsidRDefault="00AF223C" w:rsidP="00AF223C">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footnote>
  <w:footnote w:id="9">
    <w:p w14:paraId="2729B486" w14:textId="77777777" w:rsidR="00AF223C" w:rsidRPr="0016660C" w:rsidRDefault="00AF223C" w:rsidP="00AF223C">
      <w:pPr>
        <w:spacing w:after="0" w:line="240" w:lineRule="auto"/>
        <w:ind w:left="100" w:right="244" w:firstLine="709"/>
        <w:contextualSpacing/>
        <w:jc w:val="both"/>
        <w:rPr>
          <w:rFonts w:ascii="Verdana" w:hAnsi="Verdana" w:cs="Arial"/>
          <w:sz w:val="16"/>
          <w:szCs w:val="16"/>
          <w:lang w:val="es-ES"/>
        </w:rPr>
      </w:pPr>
      <w:r w:rsidRPr="0016660C">
        <w:rPr>
          <w:rStyle w:val="Refdenotaalpie"/>
          <w:rFonts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05FF39F2" w14:textId="77777777" w:rsidR="00AF223C" w:rsidRDefault="00AF223C" w:rsidP="00AF223C">
      <w:pPr>
        <w:pStyle w:val="Textonotapie"/>
        <w:ind w:right="51" w:firstLine="709"/>
        <w:jc w:val="both"/>
        <w:rPr>
          <w:rFonts w:ascii="Verdana" w:hAnsi="Verdana" w:cs="Arial"/>
          <w:sz w:val="16"/>
          <w:szCs w:val="16"/>
        </w:rPr>
      </w:pPr>
      <w:r>
        <w:rPr>
          <w:rStyle w:val="Refdenotaalpie"/>
          <w:rFonts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[25] </w:t>
      </w:r>
      <w:r>
        <w:rPr>
          <w:rFonts w:ascii="Verdana" w:hAnsi="Verdana" w:cs="Arial"/>
          <w:sz w:val="16"/>
          <w:szCs w:val="16"/>
        </w:rPr>
        <w:t>Cfr. Consejo de Estado. Sección Tercera. Sentencia de 3 de diciembre de 2007. Radicados: 24.715, 25.206, 25.409, 24.524, 27.834, 25.410, 26.105, 28.244, 31.447 -acumulados-“.</w:t>
      </w:r>
    </w:p>
  </w:footnote>
  <w:footnote w:id="11">
    <w:p w14:paraId="2B5EB469" w14:textId="77777777" w:rsidR="00AF223C" w:rsidRDefault="00AF223C" w:rsidP="00AF223C">
      <w:pPr>
        <w:pStyle w:val="Textonotapie"/>
        <w:ind w:right="51" w:firstLine="709"/>
        <w:jc w:val="both"/>
        <w:rPr>
          <w:rFonts w:ascii="Verdana" w:hAnsi="Verdana" w:cs="Arial"/>
          <w:sz w:val="16"/>
          <w:szCs w:val="16"/>
        </w:rPr>
      </w:pPr>
      <w:r>
        <w:rPr>
          <w:rStyle w:val="Refdenotaalpie"/>
          <w:rFonts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[26] </w:t>
      </w:r>
      <w:r>
        <w:rPr>
          <w:rFonts w:ascii="Verdana" w:hAnsi="Verdana" w:cs="Arial"/>
          <w:sz w:val="16"/>
          <w:szCs w:val="16"/>
        </w:rPr>
        <w:t>Al respecto ver el concepto 1712 de 2 de febrero de 2006. Consejo de Estado Sala de Consulta y Servicio Civil”.</w:t>
      </w:r>
    </w:p>
  </w:footnote>
  <w:footnote w:id="12">
    <w:p w14:paraId="6B3BDC29" w14:textId="77777777" w:rsidR="00AF223C" w:rsidRDefault="00AF223C" w:rsidP="00AF223C">
      <w:pPr>
        <w:pStyle w:val="Textonotapie"/>
        <w:ind w:firstLine="709"/>
        <w:jc w:val="both"/>
        <w:rPr>
          <w:rFonts w:ascii="Verdana" w:hAnsi="Verdana" w:cs="Arial"/>
          <w:sz w:val="16"/>
          <w:szCs w:val="16"/>
        </w:rPr>
      </w:pPr>
      <w:r>
        <w:rPr>
          <w:rStyle w:val="Refdenotaalpie"/>
          <w:rFonts w:cs="Arial"/>
          <w:sz w:val="16"/>
          <w:szCs w:val="16"/>
        </w:rPr>
        <w:footnoteRef/>
      </w:r>
      <w:r>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7279FDB0" w14:textId="77777777" w:rsidR="00AF223C" w:rsidRDefault="00AF223C" w:rsidP="00AF223C">
      <w:pPr>
        <w:pStyle w:val="Textonotapie"/>
        <w:ind w:firstLine="709"/>
        <w:jc w:val="both"/>
        <w:rPr>
          <w:rFonts w:ascii="Verdana" w:hAnsi="Verdana" w:cs="Arial"/>
          <w:sz w:val="16"/>
          <w:szCs w:val="16"/>
          <w:lang w:val="es-ES"/>
        </w:rPr>
      </w:pPr>
      <w:r>
        <w:rPr>
          <w:rStyle w:val="Refdenotaalpie"/>
          <w:rFonts w:cs="Arial"/>
          <w:sz w:val="16"/>
          <w:szCs w:val="16"/>
        </w:rPr>
        <w:footnoteRef/>
      </w:r>
      <w:r>
        <w:rPr>
          <w:rFonts w:ascii="Verdana" w:hAnsi="Verdana" w:cs="Arial"/>
          <w:sz w:val="16"/>
          <w:szCs w:val="16"/>
        </w:rPr>
        <w:t xml:space="preserve"> </w:t>
      </w:r>
      <w:r>
        <w:rPr>
          <w:rFonts w:ascii="Verdana" w:hAnsi="Verdana" w:cs="Arial"/>
          <w:sz w:val="16"/>
          <w:szCs w:val="16"/>
          <w:lang w:val="es-ES"/>
        </w:rPr>
        <w:t xml:space="preserve">Artículo 2. </w:t>
      </w:r>
    </w:p>
  </w:footnote>
  <w:footnote w:id="14">
    <w:p w14:paraId="4D063F40" w14:textId="77777777" w:rsidR="00AF223C" w:rsidRDefault="00AF223C" w:rsidP="00AF223C">
      <w:pPr>
        <w:pStyle w:val="Textonotapie"/>
        <w:ind w:firstLine="709"/>
        <w:jc w:val="both"/>
        <w:rPr>
          <w:rFonts w:ascii="Verdana" w:hAnsi="Verdana" w:cs="Arial"/>
          <w:sz w:val="16"/>
          <w:szCs w:val="16"/>
          <w:lang w:val="es-ES"/>
        </w:rPr>
      </w:pPr>
      <w:r>
        <w:rPr>
          <w:rStyle w:val="Refdenotaalpie"/>
          <w:rFonts w:cs="Arial"/>
          <w:sz w:val="16"/>
          <w:szCs w:val="16"/>
        </w:rPr>
        <w:footnoteRef/>
      </w:r>
      <w:r>
        <w:rPr>
          <w:rFonts w:ascii="Verdana" w:hAnsi="Verdana" w:cs="Arial"/>
          <w:sz w:val="16"/>
          <w:szCs w:val="16"/>
        </w:rPr>
        <w:t xml:space="preserve"> </w:t>
      </w:r>
      <w:r>
        <w:rPr>
          <w:rFonts w:ascii="Verdana" w:hAnsi="Verdana" w:cs="Arial"/>
          <w:i/>
          <w:sz w:val="16"/>
          <w:szCs w:val="16"/>
          <w:lang w:val="es-ES"/>
        </w:rPr>
        <w:t>Ídem</w:t>
      </w:r>
      <w:r>
        <w:rPr>
          <w:rFonts w:ascii="Verdana" w:hAnsi="Verdana" w:cs="Arial"/>
          <w:sz w:val="16"/>
          <w:szCs w:val="16"/>
          <w:lang w:val="es-ES"/>
        </w:rPr>
        <w:t>.</w:t>
      </w:r>
    </w:p>
  </w:footnote>
  <w:footnote w:id="15">
    <w:p w14:paraId="03B54CE6" w14:textId="77777777" w:rsidR="00AF223C" w:rsidRDefault="00AF223C" w:rsidP="00AF223C">
      <w:pPr>
        <w:pStyle w:val="Textonotapie"/>
        <w:ind w:firstLine="709"/>
        <w:jc w:val="both"/>
        <w:rPr>
          <w:rFonts w:ascii="Verdana" w:hAnsi="Verdana" w:cs="Arial"/>
          <w:sz w:val="16"/>
          <w:szCs w:val="16"/>
          <w:lang w:val="es-ES"/>
        </w:rPr>
      </w:pPr>
      <w:r>
        <w:rPr>
          <w:rStyle w:val="Refdenotaalpie"/>
          <w:rFonts w:cs="Arial"/>
          <w:sz w:val="16"/>
          <w:szCs w:val="16"/>
        </w:rPr>
        <w:footnoteRef/>
      </w:r>
      <w:r>
        <w:rPr>
          <w:rStyle w:val="Refdenotaalpie"/>
          <w:rFonts w:cs="Arial"/>
          <w:sz w:val="16"/>
          <w:szCs w:val="16"/>
        </w:rPr>
        <w:t xml:space="preserve"> </w:t>
      </w:r>
      <w:r>
        <w:rPr>
          <w:rFonts w:ascii="Verdana" w:hAnsi="Verdana" w:cs="Arial"/>
          <w:sz w:val="16"/>
          <w:szCs w:val="16"/>
          <w:lang w:val="es-ES"/>
        </w:rPr>
        <w:t xml:space="preserve">“[…] A este respecto, cabe recordar que el artículo 860 del Código de Comercio regula la licitación en el derecho privado”. </w:t>
      </w:r>
    </w:p>
  </w:footnote>
  <w:footnote w:id="16">
    <w:p w14:paraId="5D53D471" w14:textId="77777777" w:rsidR="00AF223C" w:rsidRDefault="00AF223C" w:rsidP="00AF223C">
      <w:pPr>
        <w:shd w:val="clear" w:color="auto" w:fill="FFFFFF"/>
        <w:spacing w:after="0" w:line="240" w:lineRule="auto"/>
        <w:ind w:firstLine="709"/>
        <w:jc w:val="both"/>
        <w:rPr>
          <w:rFonts w:ascii="Verdana" w:hAnsi="Verdana" w:cs="Arial"/>
          <w:sz w:val="16"/>
          <w:szCs w:val="16"/>
          <w:lang w:val="es-ES"/>
        </w:rPr>
      </w:pPr>
      <w:r>
        <w:rPr>
          <w:rStyle w:val="Refdenotaalpie"/>
          <w:rFonts w:cs="Arial"/>
          <w:sz w:val="16"/>
          <w:szCs w:val="16"/>
        </w:rPr>
        <w:footnoteRef/>
      </w:r>
      <w:r>
        <w:rPr>
          <w:rStyle w:val="Refdenotaalpie"/>
          <w:rFonts w:cs="Arial"/>
          <w:sz w:val="16"/>
          <w:szCs w:val="16"/>
        </w:rPr>
        <w:t xml:space="preserve"> </w:t>
      </w:r>
      <w:r>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7">
    <w:p w14:paraId="7409D86D" w14:textId="77777777" w:rsidR="00AF223C" w:rsidRDefault="00AF223C" w:rsidP="00AF223C">
      <w:pPr>
        <w:pStyle w:val="Textonotapie"/>
        <w:ind w:firstLine="709"/>
        <w:jc w:val="both"/>
        <w:rPr>
          <w:rFonts w:ascii="Verdana" w:hAnsi="Verdana" w:cs="Arial"/>
          <w:sz w:val="16"/>
          <w:szCs w:val="16"/>
        </w:rPr>
      </w:pPr>
      <w:r>
        <w:rPr>
          <w:rStyle w:val="Refdenotaalpie"/>
          <w:rFonts w:cs="Arial"/>
          <w:sz w:val="16"/>
          <w:szCs w:val="16"/>
        </w:rPr>
        <w:footnoteRef/>
      </w:r>
      <w:r>
        <w:rPr>
          <w:rFonts w:ascii="Verdana" w:hAnsi="Verdana" w:cs="Arial"/>
          <w:sz w:val="16"/>
          <w:szCs w:val="16"/>
        </w:rPr>
        <w:t xml:space="preserve"> Consejo de Estado. Sala de Consulta y Servicio Civil. Concepto del 08 de mayo de 2018. Exp. 2.382. C.P. Álvaro Namén Vargas.</w:t>
      </w:r>
    </w:p>
  </w:footnote>
  <w:footnote w:id="18">
    <w:p w14:paraId="38C0C496" w14:textId="77777777" w:rsidR="00AF223C" w:rsidRDefault="00AF223C" w:rsidP="00AF223C">
      <w:pPr>
        <w:pStyle w:val="Textonotapie"/>
        <w:ind w:firstLine="709"/>
        <w:jc w:val="both"/>
        <w:rPr>
          <w:rFonts w:ascii="Verdana" w:hAnsi="Verdana" w:cs="Arial"/>
          <w:sz w:val="16"/>
          <w:szCs w:val="16"/>
        </w:rPr>
      </w:pPr>
      <w:r>
        <w:rPr>
          <w:rStyle w:val="Refdenotaalpie"/>
          <w:rFonts w:cs="Arial"/>
          <w:sz w:val="16"/>
          <w:szCs w:val="16"/>
        </w:rPr>
        <w:footnoteRef/>
      </w:r>
      <w:r>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9">
    <w:p w14:paraId="5642730D" w14:textId="77777777" w:rsidR="00AF223C" w:rsidRPr="005E6430" w:rsidRDefault="00AF223C" w:rsidP="00AF223C">
      <w:pPr>
        <w:pStyle w:val="Textonotapie"/>
        <w:ind w:firstLine="709"/>
        <w:jc w:val="both"/>
        <w:rPr>
          <w:lang w:val="es-CO"/>
        </w:rPr>
      </w:pPr>
      <w:r>
        <w:rPr>
          <w:rStyle w:val="Refdenotaalpie"/>
        </w:rPr>
        <w:footnoteRef/>
      </w:r>
      <w:r>
        <w:t xml:space="preserve"> </w:t>
      </w:r>
      <w:r>
        <w:rPr>
          <w:rFonts w:ascii="Verdana" w:hAnsi="Verdana" w:cs="Arial"/>
          <w:sz w:val="16"/>
          <w:szCs w:val="16"/>
        </w:rPr>
        <w:t xml:space="preserve">Consejo de Estado. Sala de </w:t>
      </w:r>
      <w:r w:rsidRPr="00DD3C4B">
        <w:rPr>
          <w:rFonts w:ascii="Verdana" w:hAnsi="Verdana" w:cs="Arial"/>
          <w:sz w:val="16"/>
          <w:szCs w:val="16"/>
        </w:rPr>
        <w:t>Consulta y Servicio Civil</w:t>
      </w:r>
      <w:r w:rsidRPr="00DD3C4B">
        <w:rPr>
          <w:rFonts w:ascii="Verdana" w:eastAsia="Times New Roman" w:hAnsi="Verdana" w:cs="Arial"/>
          <w:bCs/>
          <w:sz w:val="16"/>
          <w:szCs w:val="16"/>
          <w:lang w:val="es-ES_tradnl" w:eastAsia="x-none"/>
        </w:rPr>
        <w:t xml:space="preserve">. Conceptos 1727 de fecha 20 de febrero de 2006, </w:t>
      </w:r>
      <w:r w:rsidRPr="00DD3C4B">
        <w:rPr>
          <w:rFonts w:ascii="Verdana" w:eastAsia="Times New Roman" w:hAnsi="Verdana" w:cs="Arial"/>
          <w:bCs/>
          <w:sz w:val="16"/>
          <w:szCs w:val="16"/>
          <w:lang w:eastAsia="x-none"/>
        </w:rPr>
        <w:t>1738 del 6 de abril de 2006</w:t>
      </w:r>
    </w:p>
  </w:footnote>
  <w:footnote w:id="20">
    <w:p w14:paraId="4E449B47" w14:textId="77777777" w:rsidR="00AF223C" w:rsidRDefault="00AF223C" w:rsidP="00AF223C">
      <w:pPr>
        <w:pStyle w:val="Textonotapie"/>
        <w:ind w:right="51" w:firstLine="709"/>
        <w:jc w:val="both"/>
        <w:rPr>
          <w:rFonts w:ascii="Verdana" w:hAnsi="Verdana" w:cs="Arial"/>
          <w:sz w:val="16"/>
          <w:szCs w:val="16"/>
        </w:rPr>
      </w:pPr>
      <w:r>
        <w:rPr>
          <w:rStyle w:val="Refdenotaalpie"/>
          <w:rFonts w:cs="Arial"/>
          <w:sz w:val="16"/>
          <w:szCs w:val="16"/>
        </w:rPr>
        <w:footnoteRef/>
      </w:r>
      <w:r>
        <w:rPr>
          <w:rFonts w:ascii="Verdana" w:hAnsi="Verdana" w:cs="Arial"/>
          <w:sz w:val="16"/>
          <w:szCs w:val="16"/>
        </w:rPr>
        <w:t xml:space="preserve"> Consejo de Estado. Sala de Consulta y Servicio Civil, ídem.</w:t>
      </w:r>
    </w:p>
  </w:footnote>
  <w:footnote w:id="21">
    <w:p w14:paraId="3905DFAA" w14:textId="77777777" w:rsidR="00AF223C" w:rsidRDefault="00AF223C" w:rsidP="00AF223C">
      <w:pPr>
        <w:pStyle w:val="Textonotapie"/>
        <w:ind w:firstLine="708"/>
        <w:jc w:val="both"/>
        <w:rPr>
          <w:rFonts w:ascii="Verdana" w:hAnsi="Verdana"/>
          <w:sz w:val="16"/>
          <w:szCs w:val="16"/>
          <w:lang w:val="es-ES"/>
        </w:rPr>
      </w:pPr>
      <w:r>
        <w:rPr>
          <w:rStyle w:val="Refdenotaalpie"/>
          <w:sz w:val="16"/>
          <w:szCs w:val="16"/>
        </w:rPr>
        <w:footnoteRef/>
      </w:r>
      <w:r>
        <w:rPr>
          <w:rFonts w:ascii="Verdana" w:hAnsi="Verdana"/>
          <w:sz w:val="16"/>
          <w:szCs w:val="16"/>
        </w:rPr>
        <w:t xml:space="preserve"> Para Berrocal Guerrero, el acto administrativo es entendido como: […] TODA </w:t>
      </w:r>
      <w:r>
        <w:rPr>
          <w:rFonts w:ascii="Verdana" w:hAnsi="Verdana"/>
          <w:b/>
          <w:bCs/>
          <w:sz w:val="16"/>
          <w:szCs w:val="16"/>
        </w:rPr>
        <w:t>DECLARACIÓN</w:t>
      </w:r>
      <w:r>
        <w:rPr>
          <w:rFonts w:ascii="Verdana" w:hAnsi="Verdana"/>
          <w:sz w:val="16"/>
          <w:szCs w:val="16"/>
        </w:rPr>
        <w:t xml:space="preserve"> DE VOLUNTAD, JUICIO, COGNICIÓN O DESEO QUE SE PROFIERE DE MANERA </w:t>
      </w:r>
      <w:r>
        <w:rPr>
          <w:rFonts w:ascii="Verdana" w:hAnsi="Verdana"/>
          <w:b/>
          <w:bCs/>
          <w:sz w:val="16"/>
          <w:szCs w:val="16"/>
        </w:rPr>
        <w:t>UNILATERAL</w:t>
      </w:r>
      <w:r>
        <w:rPr>
          <w:rFonts w:ascii="Verdana" w:hAnsi="Verdana"/>
          <w:sz w:val="16"/>
          <w:szCs w:val="16"/>
        </w:rPr>
        <w:t xml:space="preserve">, EN EJERCICIO DE LA </w:t>
      </w:r>
      <w:r>
        <w:rPr>
          <w:rFonts w:ascii="Verdana" w:hAnsi="Verdana"/>
          <w:b/>
          <w:bCs/>
          <w:sz w:val="16"/>
          <w:szCs w:val="16"/>
        </w:rPr>
        <w:t>FUNCIÓN ADMINISTRATIVA</w:t>
      </w:r>
      <w:r>
        <w:rPr>
          <w:rFonts w:ascii="Verdana" w:hAnsi="Verdana"/>
          <w:sz w:val="16"/>
          <w:szCs w:val="16"/>
        </w:rPr>
        <w:t xml:space="preserve">, Y PRODUCE </w:t>
      </w:r>
      <w:r>
        <w:rPr>
          <w:rFonts w:ascii="Verdana" w:hAnsi="Verdana"/>
          <w:b/>
          <w:bCs/>
          <w:sz w:val="16"/>
          <w:szCs w:val="16"/>
        </w:rPr>
        <w:t>EFECTOS JURÍDICOS DIRECTOS O DEFINITIVOS</w:t>
      </w:r>
      <w:r>
        <w:rPr>
          <w:rFonts w:ascii="Verdana" w:hAnsi="Verdana"/>
          <w:sz w:val="16"/>
          <w:szCs w:val="16"/>
        </w:rPr>
        <w:t xml:space="preserve"> […] (Mayúsculas y negrillas propios del texto) (</w:t>
      </w:r>
      <w:r>
        <w:rPr>
          <w:rFonts w:ascii="Verdana" w:hAnsi="Verdana"/>
          <w:sz w:val="16"/>
          <w:szCs w:val="16"/>
          <w:lang w:val="es-ES"/>
        </w:rPr>
        <w:t>BERROCAL GUERRERO, Luis Enrique. Manual del acto administrativo. Según la Ley, la jurisprudencia y la doctrina. 7° ed. Bogotá: Librería Ediciones del Profesional Ltda, 2019, p. 114)</w:t>
      </w:r>
      <w:r>
        <w:rPr>
          <w:rFonts w:ascii="Verdana" w:hAnsi="Verdana"/>
          <w:sz w:val="16"/>
          <w:szCs w:val="16"/>
        </w:rPr>
        <w:t xml:space="preserve">. De igual modo, Marín Cortés expresa: “[…] </w:t>
      </w:r>
      <w:r>
        <w:rPr>
          <w:rFonts w:ascii="Verdana" w:hAnsi="Verdana"/>
          <w:sz w:val="16"/>
          <w:szCs w:val="16"/>
          <w:lang w:val="es-ES"/>
        </w:rPr>
        <w:t xml:space="preserve">i) una declaración de voluntad -y excepcionalmente la omisión que representa el silencio-, ii) de carácter unilateral, iii) que proviene de cualquier órgano del Estado cuando ejerce la función administrativa (a), o también cuando cumple funciones de control o electoral b), al igual que de los particulares cuando desempeñan las anteriores funciones públicas (c); y iv) produce efectos jurídicos” (MARÍN CORTÉS, Fabián Gonzalo. El concepto de acto administrativo. Texto inédito, p. 9).  </w:t>
      </w:r>
    </w:p>
  </w:footnote>
  <w:footnote w:id="22">
    <w:p w14:paraId="316253AD" w14:textId="77777777" w:rsidR="00AF223C" w:rsidRPr="00C9638B" w:rsidRDefault="00AF223C" w:rsidP="00AF223C">
      <w:pPr>
        <w:pStyle w:val="Textonotapie"/>
        <w:ind w:firstLine="709"/>
        <w:rPr>
          <w:lang w:val="es-CO"/>
        </w:rPr>
      </w:pPr>
      <w:r>
        <w:rPr>
          <w:rStyle w:val="Refdenotaalpie"/>
        </w:rPr>
        <w:footnoteRef/>
      </w:r>
      <w:r>
        <w:t xml:space="preserve"> </w:t>
      </w:r>
      <w:r>
        <w:rPr>
          <w:rFonts w:ascii="Verdana" w:hAnsi="Verdana" w:cs="Arial"/>
          <w:sz w:val="16"/>
          <w:szCs w:val="16"/>
        </w:rPr>
        <w:t xml:space="preserve">Consejo de Estado. Sala de </w:t>
      </w:r>
      <w:r w:rsidRPr="00DD3C4B">
        <w:rPr>
          <w:rFonts w:ascii="Verdana" w:hAnsi="Verdana" w:cs="Arial"/>
          <w:sz w:val="16"/>
          <w:szCs w:val="16"/>
        </w:rPr>
        <w:t>Consulta y Servicio Civil</w:t>
      </w:r>
      <w:r w:rsidRPr="00DD3C4B">
        <w:rPr>
          <w:rFonts w:ascii="Verdana" w:eastAsia="Times New Roman" w:hAnsi="Verdana" w:cs="Arial"/>
          <w:bCs/>
          <w:sz w:val="16"/>
          <w:szCs w:val="16"/>
          <w:lang w:val="es-ES_tradnl" w:eastAsia="x-none"/>
        </w:rPr>
        <w:t>. Concepto</w:t>
      </w:r>
      <w:r>
        <w:rPr>
          <w:rFonts w:ascii="Verdana" w:eastAsia="Times New Roman" w:hAnsi="Verdana" w:cs="Arial"/>
          <w:bCs/>
          <w:sz w:val="16"/>
          <w:szCs w:val="16"/>
          <w:lang w:val="es-ES_tradnl" w:eastAsia="x-none"/>
        </w:rPr>
        <w:t xml:space="preserve"> del 21 de mayo del 2014. </w:t>
      </w:r>
      <w:r w:rsidRPr="00CE1DD5">
        <w:rPr>
          <w:rFonts w:ascii="Verdana" w:eastAsia="Times New Roman" w:hAnsi="Verdana" w:cs="Arial"/>
          <w:bCs/>
          <w:sz w:val="16"/>
          <w:szCs w:val="16"/>
          <w:lang w:val="es-CO" w:eastAsia="x-none"/>
        </w:rPr>
        <w:t>Radicación número: 11001-03-06-000-2014-00119-00(2212)</w:t>
      </w:r>
      <w:r>
        <w:rPr>
          <w:rFonts w:ascii="Verdana" w:eastAsia="Times New Roman" w:hAnsi="Verdana" w:cs="Arial"/>
          <w:bCs/>
          <w:sz w:val="16"/>
          <w:szCs w:val="16"/>
          <w:lang w:val="es-CO" w:eastAsia="x-none"/>
        </w:rPr>
        <w:t>. C.P: Alvaro Namén Vargas.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1290623316">
    <w:abstractNumId w:val="3"/>
  </w:num>
  <w:num w:numId="19" w16cid:durableId="78403917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0F66BA"/>
    <w:rsid w:val="00116940"/>
    <w:rsid w:val="00125105"/>
    <w:rsid w:val="00127233"/>
    <w:rsid w:val="0015699B"/>
    <w:rsid w:val="001A33BF"/>
    <w:rsid w:val="001E4177"/>
    <w:rsid w:val="001F0B24"/>
    <w:rsid w:val="001F7DC6"/>
    <w:rsid w:val="0022400B"/>
    <w:rsid w:val="002421BB"/>
    <w:rsid w:val="0025796E"/>
    <w:rsid w:val="002707A2"/>
    <w:rsid w:val="00287A6F"/>
    <w:rsid w:val="002951A0"/>
    <w:rsid w:val="002962BC"/>
    <w:rsid w:val="002A093D"/>
    <w:rsid w:val="002A0DD0"/>
    <w:rsid w:val="002A49AC"/>
    <w:rsid w:val="002A64FD"/>
    <w:rsid w:val="002B253C"/>
    <w:rsid w:val="002B5085"/>
    <w:rsid w:val="002C7A84"/>
    <w:rsid w:val="002E2BF8"/>
    <w:rsid w:val="002E4FD9"/>
    <w:rsid w:val="0030657A"/>
    <w:rsid w:val="00322A85"/>
    <w:rsid w:val="00324168"/>
    <w:rsid w:val="00330834"/>
    <w:rsid w:val="003448F4"/>
    <w:rsid w:val="00366A6E"/>
    <w:rsid w:val="00374F5E"/>
    <w:rsid w:val="0037799F"/>
    <w:rsid w:val="00377E3E"/>
    <w:rsid w:val="003A779E"/>
    <w:rsid w:val="003D0F4D"/>
    <w:rsid w:val="003D5B0D"/>
    <w:rsid w:val="003E0499"/>
    <w:rsid w:val="003E4F80"/>
    <w:rsid w:val="003E6439"/>
    <w:rsid w:val="003F3941"/>
    <w:rsid w:val="00406575"/>
    <w:rsid w:val="00414C74"/>
    <w:rsid w:val="0042722E"/>
    <w:rsid w:val="0044528D"/>
    <w:rsid w:val="00466E39"/>
    <w:rsid w:val="00485824"/>
    <w:rsid w:val="004A1847"/>
    <w:rsid w:val="004A305D"/>
    <w:rsid w:val="004F21C4"/>
    <w:rsid w:val="004F685F"/>
    <w:rsid w:val="005566E8"/>
    <w:rsid w:val="00574867"/>
    <w:rsid w:val="00591460"/>
    <w:rsid w:val="005A65E0"/>
    <w:rsid w:val="005C3777"/>
    <w:rsid w:val="005C4CBB"/>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1D6"/>
    <w:rsid w:val="007C3DC2"/>
    <w:rsid w:val="007E5497"/>
    <w:rsid w:val="00806F5F"/>
    <w:rsid w:val="00820278"/>
    <w:rsid w:val="008258C9"/>
    <w:rsid w:val="00844AE9"/>
    <w:rsid w:val="00867F95"/>
    <w:rsid w:val="008843B6"/>
    <w:rsid w:val="00891928"/>
    <w:rsid w:val="008A446D"/>
    <w:rsid w:val="008B25F1"/>
    <w:rsid w:val="008D180B"/>
    <w:rsid w:val="008F0EA7"/>
    <w:rsid w:val="00905C3F"/>
    <w:rsid w:val="00913733"/>
    <w:rsid w:val="00923EEF"/>
    <w:rsid w:val="009419F9"/>
    <w:rsid w:val="0095685E"/>
    <w:rsid w:val="00961B09"/>
    <w:rsid w:val="00965334"/>
    <w:rsid w:val="0097093E"/>
    <w:rsid w:val="009765C2"/>
    <w:rsid w:val="009A0DFA"/>
    <w:rsid w:val="009A1C6F"/>
    <w:rsid w:val="009B2D26"/>
    <w:rsid w:val="009C71FA"/>
    <w:rsid w:val="009C72E7"/>
    <w:rsid w:val="009C7F7E"/>
    <w:rsid w:val="009D3058"/>
    <w:rsid w:val="009F3A13"/>
    <w:rsid w:val="009F569E"/>
    <w:rsid w:val="00A122D3"/>
    <w:rsid w:val="00A14468"/>
    <w:rsid w:val="00A17F13"/>
    <w:rsid w:val="00A20739"/>
    <w:rsid w:val="00A23AF9"/>
    <w:rsid w:val="00A33C78"/>
    <w:rsid w:val="00A4105A"/>
    <w:rsid w:val="00AB0ADB"/>
    <w:rsid w:val="00AF223C"/>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0616C"/>
    <w:rsid w:val="00D173FF"/>
    <w:rsid w:val="00D361FD"/>
    <w:rsid w:val="00D423A2"/>
    <w:rsid w:val="00D44E26"/>
    <w:rsid w:val="00D520D8"/>
    <w:rsid w:val="00D62793"/>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00A9"/>
    <w:rsid w:val="00F23FEA"/>
    <w:rsid w:val="00F31EDC"/>
    <w:rsid w:val="00F367FD"/>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uiPriority w:val="99"/>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C31D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7C31D6"/>
    <w:rPr>
      <w:rFonts w:ascii="Geomanist Light" w:hAnsi="Geomanist Light"/>
      <w:lang w:val="es-ES"/>
    </w:rPr>
  </w:style>
  <w:style w:type="paragraph" w:styleId="Textoindependiente">
    <w:name w:val="Body Text"/>
    <w:basedOn w:val="Normal"/>
    <w:link w:val="TextoindependienteCar"/>
    <w:uiPriority w:val="1"/>
    <w:qFormat/>
    <w:rsid w:val="007C31D6"/>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7C31D6"/>
    <w:rPr>
      <w:rFonts w:ascii="Verdana" w:eastAsia="Verdana" w:hAnsi="Verdana" w:cs="Verdana"/>
      <w:lang w:val="es-ES"/>
    </w:rPr>
  </w:style>
  <w:style w:type="character" w:customStyle="1" w:styleId="baj">
    <w:name w:val="b_aj"/>
    <w:basedOn w:val="Fuentedeprrafopredeter"/>
    <w:rsid w:val="00AF223C"/>
  </w:style>
  <w:style w:type="character" w:customStyle="1" w:styleId="NormalWebCar">
    <w:name w:val="Normal (Web) Car"/>
    <w:link w:val="NormalWeb"/>
    <w:uiPriority w:val="99"/>
    <w:locked/>
    <w:rsid w:val="00AF223C"/>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201C783-AE2F-4DD8-92AD-AAB2112D3A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27</Pages>
  <Words>9534</Words>
  <Characters>52344</Characters>
  <Application>Microsoft Office Word</Application>
  <DocSecurity>0</DocSecurity>
  <Lines>951</Lines>
  <Paragraphs>161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2026-03-26T14:45:00Z</dcterms:created>
  <dcterms:modified xsi:type="dcterms:W3CDTF">2026-03-26T19:58:00Z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