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1DC47" w14:textId="77777777" w:rsidR="002941CC" w:rsidRPr="000B7176" w:rsidRDefault="002941CC" w:rsidP="00B56A37">
      <w:pPr>
        <w:spacing w:after="0" w:line="240" w:lineRule="auto"/>
        <w:jc w:val="both"/>
        <w:rPr>
          <w:rFonts w:ascii="Verdana" w:hAnsi="Verdana" w:cs="Arial"/>
          <w:b/>
          <w:lang w:val="es-ES" w:eastAsia="es-ES"/>
        </w:rPr>
      </w:pPr>
      <w:bookmarkStart w:id="0" w:name="_Hlk143780582"/>
      <w:r w:rsidRPr="000B7176">
        <w:rPr>
          <w:rFonts w:ascii="Verdana" w:hAnsi="Verdana" w:cs="Arial"/>
          <w:b/>
          <w:lang w:val="es-ES" w:eastAsia="es-ES"/>
        </w:rPr>
        <w:t xml:space="preserve">LIQUIDACIÓN – Definición – Objetivo </w:t>
      </w:r>
    </w:p>
    <w:p w14:paraId="2F7C36D5" w14:textId="77777777" w:rsidR="002941CC" w:rsidRDefault="002941CC" w:rsidP="00B56A37">
      <w:pPr>
        <w:spacing w:after="0" w:line="240" w:lineRule="auto"/>
        <w:jc w:val="both"/>
        <w:rPr>
          <w:rFonts w:ascii="Verdana" w:hAnsi="Verdana" w:cs="Arial"/>
          <w:b/>
          <w:lang w:val="es-ES" w:eastAsia="es-ES"/>
        </w:rPr>
      </w:pPr>
    </w:p>
    <w:p w14:paraId="4B505535" w14:textId="77777777" w:rsidR="002941CC" w:rsidRPr="000B7176" w:rsidRDefault="002941CC" w:rsidP="00B56A37">
      <w:pPr>
        <w:spacing w:after="0" w:line="240" w:lineRule="auto"/>
        <w:jc w:val="both"/>
        <w:rPr>
          <w:rFonts w:ascii="Verdana" w:eastAsia="Times New Roman" w:hAnsi="Verdana" w:cs="Arial"/>
          <w:color w:val="000000"/>
          <w:sz w:val="20"/>
          <w:szCs w:val="24"/>
          <w:lang w:val="es-ES_tradnl" w:eastAsia="es-ES_tradnl"/>
        </w:rPr>
      </w:pPr>
      <w:r w:rsidRPr="000B7176">
        <w:rPr>
          <w:rFonts w:ascii="Verdana" w:eastAsia="Times New Roman" w:hAnsi="Verdana" w:cs="Arial"/>
          <w:color w:val="000000"/>
          <w:sz w:val="20"/>
          <w:szCs w:val="24"/>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0B7176">
        <w:rPr>
          <w:rFonts w:ascii="Verdana" w:eastAsia="Times New Roman" w:hAnsi="Verdana" w:cs="Arial"/>
          <w:i/>
          <w:iCs/>
          <w:color w:val="000000"/>
          <w:sz w:val="20"/>
          <w:szCs w:val="24"/>
          <w:lang w:val="es-ES_tradnl" w:eastAsia="es-ES_tradnl"/>
        </w:rPr>
        <w:t>liquidar</w:t>
      </w:r>
      <w:r w:rsidRPr="000B7176">
        <w:rPr>
          <w:rFonts w:ascii="Verdana" w:eastAsia="Times New Roman" w:hAnsi="Verdana" w:cs="Arial"/>
          <w:color w:val="000000"/>
          <w:sz w:val="20"/>
          <w:szCs w:val="24"/>
          <w:lang w:val="es-ES_tradnl" w:eastAsia="es-ES_tradnl"/>
        </w:rPr>
        <w:t xml:space="preserve"> supone un ajuste en relación con las cuentas y el estado de cumplimiento del contrato estatal y, por el otro, que la </w:t>
      </w:r>
      <w:r w:rsidRPr="000B7176">
        <w:rPr>
          <w:rFonts w:ascii="Verdana" w:eastAsia="Times New Roman" w:hAnsi="Verdana" w:cs="Arial"/>
          <w:i/>
          <w:iCs/>
          <w:color w:val="000000"/>
          <w:sz w:val="20"/>
          <w:szCs w:val="24"/>
          <w:lang w:val="es-ES_tradnl" w:eastAsia="es-ES_tradnl"/>
        </w:rPr>
        <w:t>liquidación</w:t>
      </w:r>
      <w:r w:rsidRPr="000B7176">
        <w:rPr>
          <w:rFonts w:ascii="Verdana" w:eastAsia="Times New Roman" w:hAnsi="Verdana" w:cs="Arial"/>
          <w:color w:val="000000"/>
          <w:sz w:val="20"/>
          <w:szCs w:val="24"/>
          <w:lang w:val="es-ES_tradnl" w:eastAsia="es-ES_tradnl"/>
        </w:rPr>
        <w:t xml:space="preserve"> debe incluir el análisis de las condiciones de calidad y oportunidad en la entrega de los bienes, obras o servicios, así como el balance económico y el comportamiento financiero del negocio. </w:t>
      </w:r>
    </w:p>
    <w:p w14:paraId="63E1A533" w14:textId="77777777" w:rsidR="002941CC" w:rsidRPr="000B7176" w:rsidRDefault="002941CC" w:rsidP="00B56A37">
      <w:pPr>
        <w:spacing w:after="0" w:line="240" w:lineRule="auto"/>
        <w:jc w:val="both"/>
        <w:rPr>
          <w:rFonts w:ascii="Verdana" w:hAnsi="Verdana" w:cs="Arial"/>
          <w:b/>
          <w:lang w:val="es-ES" w:eastAsia="es-ES"/>
        </w:rPr>
      </w:pPr>
    </w:p>
    <w:p w14:paraId="628B7249" w14:textId="1C8CA9C6" w:rsidR="002941CC" w:rsidRDefault="002941CC" w:rsidP="00B56A37">
      <w:pPr>
        <w:spacing w:after="0" w:line="240" w:lineRule="auto"/>
        <w:jc w:val="both"/>
        <w:rPr>
          <w:rFonts w:ascii="Verdana" w:hAnsi="Verdana" w:cs="Arial"/>
          <w:b/>
          <w:lang w:val="es-ES" w:eastAsia="es-ES"/>
        </w:rPr>
      </w:pPr>
      <w:r w:rsidRPr="000B7176">
        <w:rPr>
          <w:rFonts w:ascii="Verdana" w:hAnsi="Verdana" w:cs="Arial"/>
          <w:b/>
          <w:lang w:val="es-ES" w:eastAsia="es-ES"/>
        </w:rPr>
        <w:t xml:space="preserve">LIQUIDACIÓN – Tipos – Bilateral </w:t>
      </w:r>
      <w:r w:rsidR="00286A65" w:rsidRPr="00286A65">
        <w:rPr>
          <w:rFonts w:ascii="Verdana" w:hAnsi="Verdana" w:cs="Arial"/>
          <w:b/>
          <w:bCs/>
          <w:lang w:eastAsia="es-ES"/>
        </w:rPr>
        <w:t>–</w:t>
      </w:r>
      <w:r w:rsidRPr="000B7176">
        <w:rPr>
          <w:rFonts w:ascii="Verdana" w:hAnsi="Verdana" w:cs="Arial"/>
          <w:b/>
          <w:lang w:val="es-ES" w:eastAsia="es-ES"/>
        </w:rPr>
        <w:t xml:space="preserve"> Unilateral – Judicial </w:t>
      </w:r>
    </w:p>
    <w:p w14:paraId="1AAC55C7" w14:textId="77777777" w:rsidR="002941CC" w:rsidRDefault="002941CC" w:rsidP="00B56A37">
      <w:pPr>
        <w:spacing w:after="0" w:line="240" w:lineRule="auto"/>
        <w:jc w:val="both"/>
        <w:rPr>
          <w:rFonts w:ascii="Verdana" w:hAnsi="Verdana" w:cs="Arial"/>
          <w:b/>
          <w:lang w:val="es-ES" w:eastAsia="es-ES"/>
        </w:rPr>
      </w:pPr>
    </w:p>
    <w:p w14:paraId="6063856A" w14:textId="77777777" w:rsidR="002941CC" w:rsidRPr="002249C4" w:rsidRDefault="002941CC" w:rsidP="00B56A37">
      <w:pPr>
        <w:spacing w:after="0" w:line="240" w:lineRule="auto"/>
        <w:jc w:val="both"/>
        <w:rPr>
          <w:rFonts w:ascii="Verdana" w:eastAsia="Times New Roman" w:hAnsi="Verdana" w:cs="Arial"/>
          <w:sz w:val="20"/>
          <w:szCs w:val="20"/>
          <w:lang w:val="es-ES" w:eastAsia="es-ES"/>
        </w:rPr>
      </w:pPr>
      <w:r w:rsidRPr="002249C4">
        <w:rPr>
          <w:rFonts w:ascii="Verdana" w:eastAsia="Times New Roman" w:hAnsi="Verdana" w:cs="Arial"/>
          <w:sz w:val="20"/>
          <w:szCs w:val="20"/>
          <w:lang w:val="es-ES" w:eastAsia="es-ES"/>
        </w:rPr>
        <w:t>De otra parte, cuando el artículo 11 de la Ley 1150 de 2007 se refiere al término que “acuerden las partes”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implica una modificación del contrato. Por tal razón, su celebración debe cumplir con los requisitos del negocio jurídico, ameritando la concurrencia de capacidad jurídica de los agentes, un consentimiento libre de vicios, un objeto y causa lícita, así como la formalidad escrita requerida en materia de contratación estatal.</w:t>
      </w:r>
    </w:p>
    <w:p w14:paraId="65021058" w14:textId="77777777" w:rsidR="002941CC" w:rsidRPr="002249C4" w:rsidRDefault="002941CC" w:rsidP="00B56A37">
      <w:pPr>
        <w:spacing w:after="0" w:line="240" w:lineRule="auto"/>
        <w:jc w:val="both"/>
        <w:rPr>
          <w:rFonts w:ascii="Verdana" w:eastAsia="Times New Roman" w:hAnsi="Verdana" w:cs="Arial"/>
          <w:sz w:val="20"/>
          <w:szCs w:val="20"/>
          <w:lang w:val="es-ES" w:eastAsia="es-ES"/>
        </w:rPr>
      </w:pPr>
      <w:r>
        <w:rPr>
          <w:rFonts w:ascii="Verdana" w:eastAsia="Times New Roman" w:hAnsi="Verdana" w:cs="Arial"/>
          <w:sz w:val="20"/>
          <w:szCs w:val="20"/>
          <w:lang w:val="es-ES" w:eastAsia="es-ES"/>
        </w:rPr>
        <w:t>[…]</w:t>
      </w:r>
    </w:p>
    <w:p w14:paraId="1B39DBD5" w14:textId="77777777" w:rsidR="002941CC" w:rsidRPr="002249C4" w:rsidRDefault="002941CC" w:rsidP="00B56A37">
      <w:pPr>
        <w:spacing w:after="0" w:line="240" w:lineRule="auto"/>
        <w:jc w:val="both"/>
        <w:rPr>
          <w:rFonts w:ascii="Verdana" w:hAnsi="Verdana" w:cs="Arial"/>
          <w:sz w:val="20"/>
          <w:szCs w:val="20"/>
          <w:lang w:val="es-ES_tradnl" w:eastAsia="es-ES"/>
        </w:rPr>
      </w:pPr>
      <w:r w:rsidRPr="002249C4">
        <w:rPr>
          <w:rFonts w:ascii="Verdana" w:hAnsi="Verdana" w:cs="Arial"/>
          <w:sz w:val="20"/>
          <w:szCs w:val="20"/>
          <w:lang w:val="es-ES" w:eastAsia="es-ES"/>
        </w:rPr>
        <w:t xml:space="preserve">En este sentido, la liquidación unilateral </w:t>
      </w:r>
      <w:r w:rsidRPr="002249C4">
        <w:rPr>
          <w:rFonts w:ascii="Verdana" w:hAnsi="Verdana" w:cs="Arial"/>
          <w:sz w:val="20"/>
          <w:szCs w:val="20"/>
          <w:lang w:val="es-ES_tradnl" w:eastAsia="es-ES"/>
        </w:rPr>
        <w:t>es una habilitación legal que no requiere una estipulación contractual para ejercerla en los contratos estatales sometidos al EGCAP en que sea procedente</w:t>
      </w:r>
      <w:r w:rsidRPr="002249C4">
        <w:rPr>
          <w:rFonts w:ascii="Verdana" w:hAnsi="Verdana" w:cs="Arial"/>
          <w:sz w:val="20"/>
          <w:szCs w:val="20"/>
          <w:lang w:val="es-ES" w:eastAsia="es-ES"/>
        </w:rPr>
        <w:t xml:space="preserve">, es decir, en </w:t>
      </w:r>
      <w:r w:rsidRPr="002249C4">
        <w:rPr>
          <w:rFonts w:ascii="Verdana" w:hAnsi="Verdana" w:cs="Arial"/>
          <w:sz w:val="20"/>
          <w:szCs w:val="20"/>
          <w:lang w:val="es-ES_tradnl" w:eastAsia="es-ES"/>
        </w:rPr>
        <w:t>los contratos de tracto sucesivo, aquellos cuyo cumplimiento o ejecución se prolongue en el tiempo y los demás que lo requieran, conforme al artículo 60 de la Ley 80 de 1993.</w:t>
      </w:r>
      <w:r w:rsidRPr="002249C4">
        <w:rPr>
          <w:rFonts w:ascii="Verdana" w:hAnsi="Verdana" w:cs="Arial"/>
          <w:sz w:val="20"/>
          <w:szCs w:val="20"/>
          <w:lang w:val="es-ES" w:eastAsia="es-ES"/>
        </w:rPr>
        <w:t xml:space="preserve"> De esta manera, liquidación unilateral es </w:t>
      </w:r>
      <w:proofErr w:type="spellStart"/>
      <w:r w:rsidRPr="002249C4">
        <w:rPr>
          <w:rFonts w:ascii="Verdana" w:hAnsi="Verdana" w:cs="Arial"/>
          <w:sz w:val="20"/>
          <w:szCs w:val="20"/>
          <w:lang w:val="es-ES" w:eastAsia="es-ES"/>
        </w:rPr>
        <w:t>subsidiria</w:t>
      </w:r>
      <w:proofErr w:type="spellEnd"/>
      <w:r w:rsidRPr="002249C4">
        <w:rPr>
          <w:rFonts w:ascii="Verdana" w:hAnsi="Verdana" w:cs="Arial"/>
          <w:sz w:val="20"/>
          <w:szCs w:val="20"/>
          <w:lang w:val="es-ES" w:eastAsia="es-ES"/>
        </w:rPr>
        <w:t xml:space="preserve"> del intento de la liquidación bilateral, como manifestación de la garantía del debido proceso, puesto que la primera solo procede si el contratista particular no se presenta, previo requerimiento de la entidad, o si las partes no tienen un acuerdo sobre el contenido. En efecto, la entidad expedirá un acto administrativo previamente motivado, que contenga la liquidación del contrato. Por otro lado, la doctrina señala que la liquidación unilateral también procede en otros supuestos: </w:t>
      </w:r>
    </w:p>
    <w:p w14:paraId="15B34862" w14:textId="77777777" w:rsidR="002941CC" w:rsidRPr="002249C4" w:rsidRDefault="002941CC" w:rsidP="00B56A37">
      <w:pPr>
        <w:spacing w:after="0" w:line="240" w:lineRule="auto"/>
        <w:jc w:val="both"/>
        <w:rPr>
          <w:rFonts w:ascii="Verdana" w:hAnsi="Verdana" w:cs="Arial"/>
          <w:sz w:val="20"/>
          <w:szCs w:val="20"/>
          <w:lang w:val="es-ES" w:eastAsia="es-ES"/>
        </w:rPr>
      </w:pPr>
    </w:p>
    <w:p w14:paraId="19EC8E74" w14:textId="77777777" w:rsidR="002941CC" w:rsidRPr="002249C4" w:rsidRDefault="002941CC" w:rsidP="00B56A37">
      <w:pPr>
        <w:spacing w:after="0" w:line="240" w:lineRule="auto"/>
        <w:jc w:val="both"/>
        <w:rPr>
          <w:rFonts w:ascii="Verdana" w:hAnsi="Verdana" w:cs="Arial"/>
          <w:sz w:val="20"/>
          <w:szCs w:val="20"/>
          <w:lang w:eastAsia="es-ES"/>
        </w:rPr>
      </w:pPr>
      <w:r w:rsidRPr="002249C4">
        <w:rPr>
          <w:rFonts w:ascii="Verdana" w:hAnsi="Verdana" w:cs="Arial"/>
          <w:sz w:val="20"/>
          <w:szCs w:val="20"/>
          <w:lang w:eastAsia="es-ES"/>
        </w:rPr>
        <w:t xml:space="preserve">A su turno, la liquidación judicial hace parte de una de las pretensiones que admite el medio de control de controversias contractuales. Al respecto, el artículo 141 de la Ley 1437 de 2011 dispone que “[…] el interesado podrá solicitar la liquidación judicial del contrato cuando esta no se haya logrado de mutuo acuerdo y la entidad estatal no lo haya liquidado unilateralmente dentro de los dos (2) meses siguientes al vencimiento </w:t>
      </w:r>
      <w:r w:rsidRPr="002249C4">
        <w:rPr>
          <w:rFonts w:ascii="Verdana" w:hAnsi="Verdana" w:cs="Arial"/>
          <w:sz w:val="20"/>
          <w:szCs w:val="20"/>
          <w:lang w:eastAsia="es-ES"/>
        </w:rPr>
        <w:lastRenderedPageBreak/>
        <w:t>del plazo convenido para liquidar de mutuo acuerdo o, en su defecto, del término establecido por la ley”. Bajo esta perspectiva, para la entidad cesa la facultad de liquidar bilateral o unilateralmente, ya que el tema pasa de la administración a la jurisdicción.</w:t>
      </w:r>
    </w:p>
    <w:p w14:paraId="2321AA1F" w14:textId="77777777" w:rsidR="002941CC" w:rsidRPr="002249C4" w:rsidRDefault="002941CC" w:rsidP="00B56A37">
      <w:pPr>
        <w:spacing w:after="0" w:line="240" w:lineRule="auto"/>
        <w:jc w:val="both"/>
        <w:rPr>
          <w:rFonts w:ascii="Verdana" w:hAnsi="Verdana" w:cs="Arial"/>
          <w:b/>
          <w:sz w:val="20"/>
          <w:szCs w:val="20"/>
          <w:lang w:eastAsia="es-ES"/>
        </w:rPr>
      </w:pPr>
    </w:p>
    <w:p w14:paraId="5D8820A8" w14:textId="77777777" w:rsidR="002941CC" w:rsidRDefault="002941CC" w:rsidP="00B56A37">
      <w:pPr>
        <w:spacing w:after="0" w:line="240" w:lineRule="auto"/>
        <w:jc w:val="both"/>
        <w:rPr>
          <w:rFonts w:ascii="Verdana" w:hAnsi="Verdana" w:cs="Arial"/>
          <w:b/>
          <w:lang w:val="es-ES" w:eastAsia="es-ES"/>
        </w:rPr>
      </w:pPr>
      <w:r w:rsidRPr="000B7176">
        <w:rPr>
          <w:rFonts w:ascii="Verdana" w:hAnsi="Verdana" w:cs="Arial"/>
          <w:b/>
          <w:lang w:val="es-ES" w:eastAsia="es-ES"/>
        </w:rPr>
        <w:t xml:space="preserve">LIQUIDACIÓN – Unilateral – Procedencia – Oportunidad </w:t>
      </w:r>
    </w:p>
    <w:p w14:paraId="4A59AC1D" w14:textId="77777777" w:rsidR="002941CC" w:rsidRDefault="002941CC" w:rsidP="00B56A37">
      <w:pPr>
        <w:spacing w:after="0" w:line="240" w:lineRule="auto"/>
        <w:jc w:val="both"/>
        <w:rPr>
          <w:rFonts w:ascii="Verdana" w:hAnsi="Verdana" w:cs="Arial"/>
          <w:b/>
          <w:lang w:val="es-ES" w:eastAsia="es-ES"/>
        </w:rPr>
      </w:pPr>
    </w:p>
    <w:p w14:paraId="6D2CC1A1" w14:textId="77777777" w:rsidR="002941CC" w:rsidRPr="00957293" w:rsidRDefault="002941CC" w:rsidP="00B56A37">
      <w:pPr>
        <w:spacing w:after="0" w:line="240" w:lineRule="auto"/>
        <w:jc w:val="both"/>
        <w:rPr>
          <w:rFonts w:ascii="Verdana" w:eastAsia="Times New Roman" w:hAnsi="Verdana" w:cs="Arial"/>
          <w:color w:val="000000"/>
          <w:sz w:val="20"/>
          <w:bdr w:val="none" w:sz="0" w:space="0" w:color="auto" w:frame="1"/>
          <w:shd w:val="clear" w:color="auto" w:fill="FFFFFF"/>
          <w:lang w:val="es-ES" w:eastAsia="es-ES_tradnl"/>
        </w:rPr>
      </w:pPr>
      <w:r w:rsidRPr="00957293">
        <w:rPr>
          <w:rFonts w:ascii="Verdana" w:eastAsia="Times New Roman" w:hAnsi="Verdana" w:cs="Arial"/>
          <w:color w:val="000000"/>
          <w:sz w:val="20"/>
          <w:bdr w:val="none" w:sz="0" w:space="0" w:color="auto" w:frame="1"/>
          <w:shd w:val="clear" w:color="auto" w:fill="FFFFFF"/>
          <w:lang w:val="es-ES" w:eastAsia="es-ES_tradnl"/>
        </w:rPr>
        <w:t xml:space="preserve">De esta manera, puede inferirse que la liquidación unilateral procede en aquellos casos de terminación anormal del contrato como es la declaratoria de caducidad, así como en aquellos supuestos de terminación del contrato, como en caso de renuncia por parte del contratista a la ejecución del contrato, así como por causa de la modificación unilateral. En todo caso, la entidad debe revisar </w:t>
      </w:r>
      <w:proofErr w:type="gramStart"/>
      <w:r w:rsidRPr="00957293">
        <w:rPr>
          <w:rFonts w:ascii="Verdana" w:eastAsia="Times New Roman" w:hAnsi="Verdana" w:cs="Arial"/>
          <w:color w:val="000000"/>
          <w:sz w:val="20"/>
          <w:bdr w:val="none" w:sz="0" w:space="0" w:color="auto" w:frame="1"/>
          <w:shd w:val="clear" w:color="auto" w:fill="FFFFFF"/>
          <w:lang w:val="es-ES" w:eastAsia="es-ES_tradnl"/>
        </w:rPr>
        <w:t>de acuerdo a</w:t>
      </w:r>
      <w:proofErr w:type="gramEnd"/>
      <w:r w:rsidRPr="00957293">
        <w:rPr>
          <w:rFonts w:ascii="Verdana" w:eastAsia="Times New Roman" w:hAnsi="Verdana" w:cs="Arial"/>
          <w:color w:val="000000"/>
          <w:sz w:val="20"/>
          <w:bdr w:val="none" w:sz="0" w:space="0" w:color="auto" w:frame="1"/>
          <w:shd w:val="clear" w:color="auto" w:fill="FFFFFF"/>
          <w:lang w:val="es-ES" w:eastAsia="es-ES_tradnl"/>
        </w:rPr>
        <w:t xml:space="preserve"> los supuestos que se exponen y a las normas de las compras públicas la procedencia de la liquidación unilateral. </w:t>
      </w:r>
    </w:p>
    <w:p w14:paraId="690D294F" w14:textId="77777777" w:rsidR="002941CC" w:rsidRPr="000B7176" w:rsidRDefault="002941CC" w:rsidP="00B56A37">
      <w:pPr>
        <w:spacing w:after="0" w:line="240" w:lineRule="auto"/>
        <w:jc w:val="both"/>
        <w:rPr>
          <w:rFonts w:ascii="Verdana" w:hAnsi="Verdana" w:cs="Arial"/>
          <w:b/>
          <w:lang w:val="es-ES" w:eastAsia="es-ES"/>
        </w:rPr>
      </w:pPr>
    </w:p>
    <w:p w14:paraId="38F6A43A" w14:textId="77777777" w:rsidR="002941CC" w:rsidRDefault="002941CC" w:rsidP="00B56A37">
      <w:pPr>
        <w:spacing w:after="0" w:line="240" w:lineRule="auto"/>
        <w:jc w:val="both"/>
        <w:rPr>
          <w:rFonts w:ascii="Verdana" w:hAnsi="Verdana" w:cs="Arial"/>
          <w:b/>
          <w:lang w:val="es-ES" w:eastAsia="es-ES"/>
        </w:rPr>
      </w:pPr>
      <w:r w:rsidRPr="000B7176">
        <w:rPr>
          <w:rFonts w:ascii="Verdana" w:hAnsi="Verdana" w:cs="Arial"/>
          <w:b/>
          <w:lang w:val="es-ES" w:eastAsia="es-ES"/>
        </w:rPr>
        <w:t xml:space="preserve">LIQUIDACIÓN - Procedencia – Oportunidad –EGCAP </w:t>
      </w:r>
    </w:p>
    <w:p w14:paraId="69070774" w14:textId="77777777" w:rsidR="002941CC" w:rsidRDefault="002941CC" w:rsidP="00B56A37">
      <w:pPr>
        <w:spacing w:after="0" w:line="240" w:lineRule="auto"/>
        <w:jc w:val="both"/>
        <w:rPr>
          <w:rFonts w:ascii="Verdana" w:hAnsi="Verdana" w:cs="Arial"/>
          <w:b/>
          <w:lang w:val="es-ES" w:eastAsia="es-ES"/>
        </w:rPr>
      </w:pPr>
    </w:p>
    <w:p w14:paraId="4DB5EACB" w14:textId="77777777" w:rsidR="002941CC" w:rsidRPr="00957293" w:rsidRDefault="002941CC" w:rsidP="00B56A37">
      <w:pPr>
        <w:spacing w:after="0" w:line="240" w:lineRule="auto"/>
        <w:jc w:val="both"/>
        <w:rPr>
          <w:rFonts w:ascii="Verdana" w:eastAsia="Times New Roman" w:hAnsi="Verdana" w:cs="Arial"/>
          <w:color w:val="000000"/>
          <w:sz w:val="20"/>
          <w:bdr w:val="none" w:sz="0" w:space="0" w:color="auto" w:frame="1"/>
          <w:shd w:val="clear" w:color="auto" w:fill="FFFFFF"/>
          <w:lang w:val="es-ES" w:eastAsia="es-ES_tradnl"/>
        </w:rPr>
      </w:pPr>
      <w:r w:rsidRPr="00957293">
        <w:rPr>
          <w:rFonts w:ascii="Verdana" w:eastAsia="Times New Roman" w:hAnsi="Verdana" w:cs="Arial"/>
          <w:color w:val="000000"/>
          <w:sz w:val="20"/>
          <w:bdr w:val="none" w:sz="0" w:space="0" w:color="auto" w:frame="1"/>
          <w:shd w:val="clear" w:color="auto" w:fill="FFFFFF"/>
          <w:lang w:val="es-ES_tradnl" w:eastAsia="es-ES_tradnl"/>
        </w:rPr>
        <w:t xml:space="preserve">Teniendo en cuenta la precisión anterior, para efectos de la oportunidad judicial, </w:t>
      </w:r>
      <w:r w:rsidRPr="00957293">
        <w:rPr>
          <w:rFonts w:ascii="Verdana" w:eastAsia="Times New Roman" w:hAnsi="Verdana" w:cs="Arial"/>
          <w:color w:val="000000"/>
          <w:sz w:val="20"/>
          <w:bdr w:val="none" w:sz="0" w:space="0" w:color="auto" w:frame="1"/>
          <w:shd w:val="clear" w:color="auto" w:fill="FFFFFF"/>
          <w:lang w:val="es-ES" w:eastAsia="es-ES_tradnl"/>
        </w:rPr>
        <w:t xml:space="preserve">si no se logra la liquidación bilateral del contrato, la entidad pública contratante tiene la facultad de liquidarlo unilateralmente dentro del término de 2 meses contados a partir del vencimiento del plazo que acuerden las partes para liquidar bilateralmente o, ante el silencio de estas, del vencimiento de los 4 meses supletivo establecido por la ley. </w:t>
      </w:r>
      <w:r w:rsidRPr="00957293">
        <w:rPr>
          <w:rFonts w:ascii="Verdana" w:eastAsia="Calibri" w:hAnsi="Verdana" w:cs="Arial"/>
          <w:sz w:val="20"/>
          <w:lang w:val="es-ES"/>
        </w:rPr>
        <w:t>Finalmente, transcurridos estos meses, la liquidación podrá realizarse en cualquier tiempo dentro de los dos años siguientes al vencimiento del término referido, de mutuo acuerdo o unilateralmente, salvo que el contratista haya presentado la demanda con la cual pretenda la liquidación judicial del contrato.</w:t>
      </w:r>
    </w:p>
    <w:p w14:paraId="2643DF5A" w14:textId="77777777" w:rsidR="002941CC" w:rsidRPr="002941CC" w:rsidRDefault="002941CC" w:rsidP="00B56A37">
      <w:pPr>
        <w:spacing w:after="0" w:line="240" w:lineRule="auto"/>
        <w:jc w:val="both"/>
        <w:rPr>
          <w:rFonts w:ascii="Verdana" w:eastAsia="Verdana" w:hAnsi="Verdana" w:cs="Verdana"/>
          <w:b/>
          <w:lang w:val="es-ES"/>
        </w:rPr>
      </w:pPr>
    </w:p>
    <w:p w14:paraId="7856D778" w14:textId="77777777" w:rsidR="002941CC" w:rsidRPr="002941CC" w:rsidRDefault="002941CC" w:rsidP="00B56A37">
      <w:pPr>
        <w:spacing w:after="0" w:line="240" w:lineRule="auto"/>
        <w:jc w:val="both"/>
        <w:rPr>
          <w:rFonts w:ascii="Verdana" w:eastAsia="Verdana" w:hAnsi="Verdana" w:cs="Verdana"/>
          <w:b/>
          <w:lang w:val="es-ES"/>
        </w:rPr>
      </w:pPr>
      <w:r w:rsidRPr="002941CC">
        <w:rPr>
          <w:rFonts w:ascii="Verdana" w:eastAsia="Verdana" w:hAnsi="Verdana" w:cs="Verdana"/>
          <w:b/>
          <w:lang w:val="es-ES"/>
        </w:rPr>
        <w:t xml:space="preserve">CONTRATOS Y CONVENIOS INTERADMINISTRATIVOS – Noción – Diferencias </w:t>
      </w:r>
    </w:p>
    <w:p w14:paraId="1AA16A24" w14:textId="77777777" w:rsidR="002941CC" w:rsidRPr="002941CC" w:rsidRDefault="002941CC" w:rsidP="00B56A37">
      <w:pPr>
        <w:spacing w:after="0" w:line="240" w:lineRule="auto"/>
        <w:jc w:val="both"/>
        <w:rPr>
          <w:rFonts w:ascii="Verdana" w:eastAsia="Verdana" w:hAnsi="Verdana" w:cs="Verdana"/>
          <w:b/>
          <w:lang w:val="es-ES"/>
        </w:rPr>
      </w:pPr>
    </w:p>
    <w:p w14:paraId="7905CF04" w14:textId="58060BA5" w:rsidR="00B56A37" w:rsidRPr="00B56A37" w:rsidRDefault="00B56A37" w:rsidP="00B56A37">
      <w:pPr>
        <w:spacing w:after="0" w:line="240" w:lineRule="auto"/>
        <w:jc w:val="both"/>
        <w:rPr>
          <w:rFonts w:ascii="Verdana" w:eastAsia="Verdana" w:hAnsi="Verdana" w:cs="Verdana"/>
          <w:sz w:val="20"/>
        </w:rPr>
      </w:pPr>
      <w:r w:rsidRPr="00B56A37">
        <w:rPr>
          <w:rFonts w:ascii="Verdana" w:eastAsia="Verdana" w:hAnsi="Verdana" w:cs="Verdana"/>
          <w:sz w:val="20"/>
        </w:rPr>
        <w:t>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6EE3C469" w14:textId="77777777" w:rsidR="00B56A37" w:rsidRPr="00B56A37" w:rsidRDefault="00B56A37" w:rsidP="00B56A37">
      <w:pPr>
        <w:spacing w:after="0" w:line="240" w:lineRule="auto"/>
        <w:jc w:val="both"/>
        <w:rPr>
          <w:rFonts w:ascii="Verdana" w:eastAsia="Verdana" w:hAnsi="Verdana" w:cs="Verdana"/>
          <w:sz w:val="20"/>
        </w:rPr>
      </w:pPr>
      <w:r w:rsidRPr="00B56A37">
        <w:rPr>
          <w:rFonts w:ascii="Verdana" w:eastAsia="Verdana" w:hAnsi="Verdana" w:cs="Verdana"/>
          <w:sz w:val="20"/>
        </w:rPr>
        <w:t>[…]</w:t>
      </w:r>
    </w:p>
    <w:p w14:paraId="32F2E901" w14:textId="22CB57C3" w:rsidR="00B56A37" w:rsidRPr="00B56A37" w:rsidRDefault="00B56A37" w:rsidP="00B56A37">
      <w:pPr>
        <w:spacing w:after="0" w:line="240" w:lineRule="auto"/>
        <w:jc w:val="both"/>
        <w:rPr>
          <w:rFonts w:ascii="Verdana" w:eastAsia="Verdana" w:hAnsi="Verdana" w:cs="Verdana"/>
          <w:sz w:val="20"/>
        </w:rPr>
      </w:pPr>
      <w:r w:rsidRPr="00B56A37">
        <w:rPr>
          <w:rFonts w:ascii="Verdana" w:eastAsia="Verdana" w:hAnsi="Verdana" w:cs="Verdana"/>
          <w:sz w:val="20"/>
        </w:rPr>
        <w:t xml:space="preserve">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w:t>
      </w:r>
      <w:r w:rsidRPr="00B56A37">
        <w:rPr>
          <w:rFonts w:ascii="Verdana" w:eastAsia="Verdana" w:hAnsi="Verdana" w:cs="Verdana"/>
          <w:sz w:val="20"/>
        </w:rPr>
        <w:lastRenderedPageBreak/>
        <w:t>contratista, y el segundo, aunque persona pública, tiene intereses y está en un mercado de forma similar a como lo hace el particular”.</w:t>
      </w:r>
    </w:p>
    <w:p w14:paraId="2BE1A4C1" w14:textId="77777777" w:rsidR="00B56A37" w:rsidRPr="00B56A37" w:rsidRDefault="00B56A37" w:rsidP="00B56A37">
      <w:pPr>
        <w:spacing w:after="0" w:line="240" w:lineRule="auto"/>
        <w:jc w:val="both"/>
        <w:rPr>
          <w:rFonts w:ascii="Verdana" w:eastAsia="Verdana" w:hAnsi="Verdana" w:cs="Verdana"/>
          <w:sz w:val="20"/>
        </w:rPr>
      </w:pPr>
    </w:p>
    <w:p w14:paraId="1E5E5186" w14:textId="0146AC38" w:rsidR="002941CC" w:rsidRPr="00B56A37" w:rsidRDefault="00B56A37" w:rsidP="00B56A37">
      <w:pPr>
        <w:spacing w:after="0" w:line="240" w:lineRule="auto"/>
        <w:jc w:val="both"/>
        <w:rPr>
          <w:rFonts w:ascii="Verdana" w:eastAsia="Verdana" w:hAnsi="Verdana" w:cs="Verdana"/>
          <w:sz w:val="20"/>
        </w:rPr>
      </w:pPr>
      <w:r w:rsidRPr="00B56A37">
        <w:rPr>
          <w:rFonts w:ascii="Verdana" w:eastAsia="Verdana" w:hAnsi="Verdana" w:cs="Verdana"/>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2684D1F3" w14:textId="77777777" w:rsidR="00B56A37" w:rsidRPr="002941CC" w:rsidRDefault="00B56A37" w:rsidP="00B56A37">
      <w:pPr>
        <w:spacing w:after="0" w:line="240" w:lineRule="auto"/>
        <w:jc w:val="both"/>
        <w:rPr>
          <w:rFonts w:ascii="Verdana" w:eastAsia="Verdana" w:hAnsi="Verdana" w:cs="Verdana"/>
          <w:b/>
          <w:lang w:val="es-ES"/>
        </w:rPr>
      </w:pPr>
    </w:p>
    <w:p w14:paraId="7DD02F82" w14:textId="232A9C5F" w:rsidR="002941CC" w:rsidRPr="002941CC" w:rsidRDefault="002941CC" w:rsidP="00B56A37">
      <w:pPr>
        <w:spacing w:after="0" w:line="240" w:lineRule="auto"/>
        <w:jc w:val="both"/>
        <w:rPr>
          <w:rFonts w:ascii="Verdana" w:eastAsia="Verdana" w:hAnsi="Verdana" w:cs="Verdana"/>
          <w:b/>
          <w:lang w:val="es-ES"/>
        </w:rPr>
      </w:pPr>
      <w:r w:rsidRPr="002941CC">
        <w:rPr>
          <w:rFonts w:ascii="Verdana" w:eastAsia="Verdana" w:hAnsi="Verdana" w:cs="Verdana"/>
          <w:b/>
          <w:lang w:val="es-ES"/>
        </w:rPr>
        <w:t xml:space="preserve"> LIQUIDACIÓN – Liquidación unilateral – </w:t>
      </w:r>
      <w:r w:rsidR="00286A65">
        <w:rPr>
          <w:rFonts w:ascii="Verdana" w:eastAsia="Verdana" w:hAnsi="Verdana" w:cs="Verdana"/>
          <w:b/>
          <w:lang w:val="es-ES"/>
        </w:rPr>
        <w:t>C</w:t>
      </w:r>
      <w:r w:rsidRPr="002941CC">
        <w:rPr>
          <w:rFonts w:ascii="Verdana" w:eastAsia="Verdana" w:hAnsi="Verdana" w:cs="Verdana"/>
          <w:b/>
          <w:lang w:val="es-ES"/>
        </w:rPr>
        <w:t>onvenios interadministrativos – contratos interadministrativos</w:t>
      </w:r>
    </w:p>
    <w:p w14:paraId="5A7414C6" w14:textId="77777777" w:rsidR="002941CC" w:rsidRPr="002941CC" w:rsidRDefault="002941CC" w:rsidP="00B56A37">
      <w:pPr>
        <w:spacing w:after="0" w:line="240" w:lineRule="auto"/>
        <w:jc w:val="both"/>
        <w:rPr>
          <w:rFonts w:ascii="Verdana" w:eastAsia="Verdana" w:hAnsi="Verdana" w:cs="Verdana"/>
          <w:bCs/>
          <w:sz w:val="20"/>
        </w:rPr>
      </w:pPr>
    </w:p>
    <w:p w14:paraId="0B0A25E1" w14:textId="5E5A447E" w:rsidR="002941CC" w:rsidRDefault="002941CC" w:rsidP="00B56A37">
      <w:pPr>
        <w:spacing w:after="0" w:line="240" w:lineRule="auto"/>
        <w:jc w:val="both"/>
        <w:rPr>
          <w:rFonts w:ascii="Verdana" w:eastAsia="Verdana" w:hAnsi="Verdana" w:cs="Verdana"/>
          <w:bCs/>
          <w:sz w:val="20"/>
        </w:rPr>
      </w:pPr>
      <w:r w:rsidRPr="002941CC">
        <w:rPr>
          <w:rFonts w:ascii="Verdana" w:eastAsia="Verdana" w:hAnsi="Verdana" w:cs="Verdana"/>
          <w:bCs/>
          <w:sz w:val="20"/>
        </w:rPr>
        <w:t>En esta línea, es inevitable la distinción entre contratos y convenios interadministrativos: mientras los primeros se someten a las reglas de la Ley 80 de 1993 y pueden ser objeto de liquidación unilateral en caso de que no sea posible la liquidación bilateral, los convenios interadministrativos no se encuentran sujetos a dichas disposiciones, por lo que la posibilidad de liquidación unilateral depende de su estipulación contractual. Esta diferenciación, respaldada por recientes pronunciamientos del Consejo de Estado, resulta determinante para efectos de contabilizar el término de caducidad judicial y delimitar las facultades de las entidades públicas en la etapa de liquidación.</w:t>
      </w:r>
    </w:p>
    <w:p w14:paraId="48026F3D" w14:textId="77777777" w:rsidR="002941CC" w:rsidRPr="002941CC" w:rsidRDefault="002941CC" w:rsidP="00B56A37">
      <w:pPr>
        <w:spacing w:after="0" w:line="240" w:lineRule="auto"/>
        <w:jc w:val="both"/>
        <w:rPr>
          <w:rFonts w:ascii="Verdana" w:eastAsia="Verdana" w:hAnsi="Verdana" w:cs="Verdana"/>
          <w:sz w:val="20"/>
        </w:rPr>
      </w:pPr>
    </w:p>
    <w:p w14:paraId="1F5BD9BE" w14:textId="18E8538E" w:rsidR="002941CC" w:rsidRDefault="002941CC" w:rsidP="00B56A37">
      <w:pPr>
        <w:spacing w:after="0" w:line="240" w:lineRule="auto"/>
        <w:jc w:val="both"/>
        <w:rPr>
          <w:rFonts w:ascii="Verdana" w:eastAsia="Verdana" w:hAnsi="Verdana" w:cs="Verdana"/>
          <w:sz w:val="20"/>
          <w:vertAlign w:val="superscript"/>
          <w:lang w:val="es-ES"/>
        </w:rPr>
      </w:pPr>
      <w:r w:rsidRPr="002941CC">
        <w:rPr>
          <w:rFonts w:ascii="Verdana" w:eastAsia="Verdana" w:hAnsi="Verdana" w:cs="Verdana"/>
          <w:sz w:val="20"/>
        </w:rPr>
        <w:t xml:space="preserve">De acuerdo con lo expuesto, cabe </w:t>
      </w:r>
      <w:r w:rsidRPr="002941CC">
        <w:rPr>
          <w:rFonts w:ascii="Verdana" w:eastAsia="Verdana" w:hAnsi="Verdana" w:cs="Verdana"/>
          <w:sz w:val="20"/>
          <w:lang w:val="es-ES"/>
        </w:rPr>
        <w:t>precisar que la facultad de liquidar unilateralmente un contrato interadministrativo no configura una potestad excepcional, según lo expuesto por el Consejo de Estado, sino que responde directamente a una regla general que rige los contratos estatales de tracto sucesivo, frente a la que no aplica excepción legal que restrinja de algún modo su ejercicio. Sin embargo, el Consejo de Estado también ha señalado que la facultad de liquidar unilateralmente un contrato interadministrativo no se haya en cabeza de las dos entidades estatales que conforman el negocio jurídico, sino que esta facultad radica exclusivamente en la entidad que se encuentra en la posición de contratante: “Dicha facultad se halla reservada a la entidad estatal que hubiera desempeñado el rol de contratante en el vínculo negocial, esto es, a aquella que hubiera demandado de otro la prestación de un servicio para el cumplimiento de su cometido misional”</w:t>
      </w:r>
      <w:r>
        <w:rPr>
          <w:rFonts w:ascii="Verdana" w:eastAsia="Verdana" w:hAnsi="Verdana" w:cs="Verdana"/>
          <w:sz w:val="20"/>
          <w:vertAlign w:val="superscript"/>
          <w:lang w:val="es-ES"/>
        </w:rPr>
        <w:t>.</w:t>
      </w:r>
    </w:p>
    <w:p w14:paraId="23DA25F6" w14:textId="77777777" w:rsidR="002941CC" w:rsidRPr="002941CC" w:rsidRDefault="002941CC" w:rsidP="00B56A37">
      <w:pPr>
        <w:spacing w:after="0" w:line="240" w:lineRule="auto"/>
        <w:jc w:val="both"/>
        <w:rPr>
          <w:rFonts w:ascii="Verdana" w:eastAsia="Verdana" w:hAnsi="Verdana" w:cs="Verdana"/>
          <w:sz w:val="20"/>
          <w:lang w:val="es-ES"/>
        </w:rPr>
      </w:pPr>
    </w:p>
    <w:p w14:paraId="1D0FAA31" w14:textId="45426EBB" w:rsidR="002941CC" w:rsidRDefault="002941CC" w:rsidP="00B56A37">
      <w:pPr>
        <w:spacing w:after="0" w:line="240" w:lineRule="auto"/>
        <w:jc w:val="both"/>
        <w:rPr>
          <w:rFonts w:ascii="Verdana" w:eastAsia="Verdana" w:hAnsi="Verdana" w:cs="Verdana"/>
          <w:sz w:val="20"/>
          <w:lang w:val="es-ES"/>
        </w:rPr>
      </w:pPr>
      <w:r w:rsidRPr="002941CC">
        <w:rPr>
          <w:rFonts w:ascii="Verdana" w:eastAsia="Verdana" w:hAnsi="Verdana" w:cs="Verdana"/>
          <w:sz w:val="20"/>
          <w:lang w:val="es-ES"/>
        </w:rPr>
        <w:t xml:space="preserve">En ese sentido, tal como lo ha señalado el Consejo de Estado, por ministerio legal, todo contrato de tracto sucesivo sometido a las prescripciones del Estatuto General de Contratación de la Administración Pública, [...] está en la obligación de liquidarse, para lo cual la entidad pública contratante podrá recurrir a la liquidación unilateral, en los términos del artículo 11 de la Ley 1150 de 2007 -en caso de que no se logre la liquidación de mutuo acuerdo. De este modo, en los contratos interadministrativos no aplica una regla de horizontalidad como la que caracteriza a los convenios interadministrativos que se basan en una finalidad asociativa, en los cuales las entidades públicas actúan en </w:t>
      </w:r>
      <w:r w:rsidRPr="002941CC">
        <w:rPr>
          <w:rFonts w:ascii="Verdana" w:eastAsia="Verdana" w:hAnsi="Verdana" w:cs="Verdana"/>
          <w:sz w:val="20"/>
          <w:lang w:val="es-ES"/>
        </w:rPr>
        <w:lastRenderedPageBreak/>
        <w:t>condiciones de igualdad y cooperación. En cambio, en los contratos interadministrativos se configura una relación conmutativa, en la que una entidad asume la posición de contratante y la otra la de contratista, generándose obligaciones recíprocas de prestación de bienes o servicios que permiten el ejercicio de competencias propias de la contratación estatal.</w:t>
      </w:r>
    </w:p>
    <w:p w14:paraId="209ECAFC" w14:textId="5F93F120" w:rsidR="00B56A37" w:rsidRDefault="00B56A37" w:rsidP="00B56A37">
      <w:pPr>
        <w:spacing w:after="0" w:line="240" w:lineRule="auto"/>
        <w:jc w:val="both"/>
        <w:rPr>
          <w:rFonts w:ascii="Verdana" w:eastAsia="Verdana" w:hAnsi="Verdana" w:cs="Verdana"/>
          <w:sz w:val="20"/>
          <w:lang w:val="es-ES"/>
        </w:rPr>
      </w:pPr>
    </w:p>
    <w:p w14:paraId="4996390F" w14:textId="02682696" w:rsidR="00B56A37" w:rsidRDefault="00B56A37" w:rsidP="00B56A37">
      <w:pPr>
        <w:spacing w:after="0" w:line="240" w:lineRule="auto"/>
        <w:jc w:val="both"/>
        <w:rPr>
          <w:rFonts w:ascii="Verdana" w:eastAsia="Verdana" w:hAnsi="Verdana" w:cs="Verdana"/>
          <w:sz w:val="20"/>
          <w:lang w:val="es-ES"/>
        </w:rPr>
      </w:pPr>
    </w:p>
    <w:p w14:paraId="709D0136" w14:textId="0E961A47" w:rsidR="00B56A37" w:rsidRDefault="00B56A37" w:rsidP="002941CC">
      <w:pPr>
        <w:spacing w:after="0" w:line="240" w:lineRule="auto"/>
        <w:jc w:val="both"/>
        <w:rPr>
          <w:rFonts w:ascii="Verdana" w:eastAsia="Verdana" w:hAnsi="Verdana" w:cs="Verdana"/>
          <w:sz w:val="20"/>
          <w:lang w:val="es-ES"/>
        </w:rPr>
      </w:pPr>
    </w:p>
    <w:p w14:paraId="2F7ACA05" w14:textId="0DD71EAF" w:rsidR="00B56A37" w:rsidRDefault="00B56A37" w:rsidP="002941CC">
      <w:pPr>
        <w:spacing w:after="0" w:line="240" w:lineRule="auto"/>
        <w:jc w:val="both"/>
        <w:rPr>
          <w:rFonts w:ascii="Verdana" w:eastAsia="Verdana" w:hAnsi="Verdana" w:cs="Verdana"/>
          <w:sz w:val="20"/>
          <w:lang w:val="es-ES"/>
        </w:rPr>
      </w:pPr>
    </w:p>
    <w:p w14:paraId="10C0CD95" w14:textId="6969710F" w:rsidR="00B56A37" w:rsidRDefault="00B56A37" w:rsidP="002941CC">
      <w:pPr>
        <w:spacing w:after="0" w:line="240" w:lineRule="auto"/>
        <w:jc w:val="both"/>
        <w:rPr>
          <w:rFonts w:ascii="Verdana" w:eastAsia="Verdana" w:hAnsi="Verdana" w:cs="Verdana"/>
          <w:sz w:val="20"/>
          <w:lang w:val="es-ES"/>
        </w:rPr>
      </w:pPr>
    </w:p>
    <w:p w14:paraId="0D232CF6" w14:textId="00144CFB" w:rsidR="00B56A37" w:rsidRDefault="00B56A37" w:rsidP="002941CC">
      <w:pPr>
        <w:spacing w:after="0" w:line="240" w:lineRule="auto"/>
        <w:jc w:val="both"/>
        <w:rPr>
          <w:rFonts w:ascii="Verdana" w:eastAsia="Verdana" w:hAnsi="Verdana" w:cs="Verdana"/>
          <w:sz w:val="20"/>
          <w:lang w:val="es-ES"/>
        </w:rPr>
      </w:pPr>
    </w:p>
    <w:p w14:paraId="25D9F8A6" w14:textId="03928E85" w:rsidR="00B56A37" w:rsidRDefault="00B56A37" w:rsidP="002941CC">
      <w:pPr>
        <w:spacing w:after="0" w:line="240" w:lineRule="auto"/>
        <w:jc w:val="both"/>
        <w:rPr>
          <w:rFonts w:ascii="Verdana" w:eastAsia="Verdana" w:hAnsi="Verdana" w:cs="Verdana"/>
          <w:sz w:val="20"/>
          <w:lang w:val="es-ES"/>
        </w:rPr>
      </w:pPr>
    </w:p>
    <w:p w14:paraId="287232C6" w14:textId="5A9DAC74" w:rsidR="00B56A37" w:rsidRDefault="00B56A37" w:rsidP="002941CC">
      <w:pPr>
        <w:spacing w:after="0" w:line="240" w:lineRule="auto"/>
        <w:jc w:val="both"/>
        <w:rPr>
          <w:rFonts w:ascii="Verdana" w:eastAsia="Verdana" w:hAnsi="Verdana" w:cs="Verdana"/>
          <w:sz w:val="20"/>
          <w:lang w:val="es-ES"/>
        </w:rPr>
      </w:pPr>
    </w:p>
    <w:p w14:paraId="6DEDBB33" w14:textId="306D363B" w:rsidR="00B56A37" w:rsidRDefault="00B56A37" w:rsidP="002941CC">
      <w:pPr>
        <w:spacing w:after="0" w:line="240" w:lineRule="auto"/>
        <w:jc w:val="both"/>
        <w:rPr>
          <w:rFonts w:ascii="Verdana" w:eastAsia="Verdana" w:hAnsi="Verdana" w:cs="Verdana"/>
          <w:sz w:val="20"/>
          <w:lang w:val="es-ES"/>
        </w:rPr>
      </w:pPr>
    </w:p>
    <w:p w14:paraId="68C64AED" w14:textId="292C0CDE" w:rsidR="00B56A37" w:rsidRDefault="00B56A37" w:rsidP="002941CC">
      <w:pPr>
        <w:spacing w:after="0" w:line="240" w:lineRule="auto"/>
        <w:jc w:val="both"/>
        <w:rPr>
          <w:rFonts w:ascii="Verdana" w:eastAsia="Verdana" w:hAnsi="Verdana" w:cs="Verdana"/>
          <w:sz w:val="20"/>
          <w:lang w:val="es-ES"/>
        </w:rPr>
      </w:pPr>
    </w:p>
    <w:p w14:paraId="19F66D61" w14:textId="1B48132A" w:rsidR="00B56A37" w:rsidRDefault="00B56A37" w:rsidP="002941CC">
      <w:pPr>
        <w:spacing w:after="0" w:line="240" w:lineRule="auto"/>
        <w:jc w:val="both"/>
        <w:rPr>
          <w:rFonts w:ascii="Verdana" w:eastAsia="Verdana" w:hAnsi="Verdana" w:cs="Verdana"/>
          <w:sz w:val="20"/>
          <w:lang w:val="es-ES"/>
        </w:rPr>
      </w:pPr>
    </w:p>
    <w:p w14:paraId="3713EFB3" w14:textId="633E078A" w:rsidR="00B56A37" w:rsidRDefault="00B56A37" w:rsidP="002941CC">
      <w:pPr>
        <w:spacing w:after="0" w:line="240" w:lineRule="auto"/>
        <w:jc w:val="both"/>
        <w:rPr>
          <w:rFonts w:ascii="Verdana" w:eastAsia="Verdana" w:hAnsi="Verdana" w:cs="Verdana"/>
          <w:sz w:val="20"/>
          <w:lang w:val="es-ES"/>
        </w:rPr>
      </w:pPr>
    </w:p>
    <w:p w14:paraId="5DB42A20" w14:textId="2100310A" w:rsidR="00B56A37" w:rsidRDefault="00B56A37" w:rsidP="002941CC">
      <w:pPr>
        <w:spacing w:after="0" w:line="240" w:lineRule="auto"/>
        <w:jc w:val="both"/>
        <w:rPr>
          <w:rFonts w:ascii="Verdana" w:eastAsia="Verdana" w:hAnsi="Verdana" w:cs="Verdana"/>
          <w:sz w:val="20"/>
          <w:lang w:val="es-ES"/>
        </w:rPr>
      </w:pPr>
    </w:p>
    <w:p w14:paraId="1F660761" w14:textId="7CDD5D3B" w:rsidR="00B56A37" w:rsidRDefault="00B56A37" w:rsidP="002941CC">
      <w:pPr>
        <w:spacing w:after="0" w:line="240" w:lineRule="auto"/>
        <w:jc w:val="both"/>
        <w:rPr>
          <w:rFonts w:ascii="Verdana" w:eastAsia="Verdana" w:hAnsi="Verdana" w:cs="Verdana"/>
          <w:sz w:val="20"/>
          <w:lang w:val="es-ES"/>
        </w:rPr>
      </w:pPr>
    </w:p>
    <w:p w14:paraId="534EA98D" w14:textId="2C3B12DD" w:rsidR="00B56A37" w:rsidRDefault="00B56A37" w:rsidP="002941CC">
      <w:pPr>
        <w:spacing w:after="0" w:line="240" w:lineRule="auto"/>
        <w:jc w:val="both"/>
        <w:rPr>
          <w:rFonts w:ascii="Verdana" w:eastAsia="Verdana" w:hAnsi="Verdana" w:cs="Verdana"/>
          <w:sz w:val="20"/>
          <w:lang w:val="es-ES"/>
        </w:rPr>
      </w:pPr>
    </w:p>
    <w:p w14:paraId="714F8245" w14:textId="348230B1" w:rsidR="00B56A37" w:rsidRDefault="00B56A37" w:rsidP="002941CC">
      <w:pPr>
        <w:spacing w:after="0" w:line="240" w:lineRule="auto"/>
        <w:jc w:val="both"/>
        <w:rPr>
          <w:rFonts w:ascii="Verdana" w:eastAsia="Verdana" w:hAnsi="Verdana" w:cs="Verdana"/>
          <w:sz w:val="20"/>
          <w:lang w:val="es-ES"/>
        </w:rPr>
      </w:pPr>
    </w:p>
    <w:p w14:paraId="0192B95E" w14:textId="5F602B02" w:rsidR="00B56A37" w:rsidRDefault="00B56A37" w:rsidP="002941CC">
      <w:pPr>
        <w:spacing w:after="0" w:line="240" w:lineRule="auto"/>
        <w:jc w:val="both"/>
        <w:rPr>
          <w:rFonts w:ascii="Verdana" w:eastAsia="Verdana" w:hAnsi="Verdana" w:cs="Verdana"/>
          <w:sz w:val="20"/>
          <w:lang w:val="es-ES"/>
        </w:rPr>
      </w:pPr>
    </w:p>
    <w:p w14:paraId="075ECFC2" w14:textId="3FD0087F" w:rsidR="00B56A37" w:rsidRDefault="00B56A37" w:rsidP="002941CC">
      <w:pPr>
        <w:spacing w:after="0" w:line="240" w:lineRule="auto"/>
        <w:jc w:val="both"/>
        <w:rPr>
          <w:rFonts w:ascii="Verdana" w:eastAsia="Verdana" w:hAnsi="Verdana" w:cs="Verdana"/>
          <w:sz w:val="20"/>
          <w:lang w:val="es-ES"/>
        </w:rPr>
      </w:pPr>
    </w:p>
    <w:p w14:paraId="2AE2BF90" w14:textId="50C80409" w:rsidR="00B56A37" w:rsidRDefault="00B56A37" w:rsidP="002941CC">
      <w:pPr>
        <w:spacing w:after="0" w:line="240" w:lineRule="auto"/>
        <w:jc w:val="both"/>
        <w:rPr>
          <w:rFonts w:ascii="Verdana" w:eastAsia="Verdana" w:hAnsi="Verdana" w:cs="Verdana"/>
          <w:sz w:val="20"/>
          <w:lang w:val="es-ES"/>
        </w:rPr>
      </w:pPr>
    </w:p>
    <w:p w14:paraId="244FBD5D" w14:textId="1786A064" w:rsidR="00B56A37" w:rsidRDefault="00B56A37" w:rsidP="002941CC">
      <w:pPr>
        <w:spacing w:after="0" w:line="240" w:lineRule="auto"/>
        <w:jc w:val="both"/>
        <w:rPr>
          <w:rFonts w:ascii="Verdana" w:eastAsia="Verdana" w:hAnsi="Verdana" w:cs="Verdana"/>
          <w:sz w:val="20"/>
          <w:lang w:val="es-ES"/>
        </w:rPr>
      </w:pPr>
    </w:p>
    <w:p w14:paraId="22C3E0BD" w14:textId="5552C2A1" w:rsidR="00B56A37" w:rsidRDefault="00B56A37" w:rsidP="002941CC">
      <w:pPr>
        <w:spacing w:after="0" w:line="240" w:lineRule="auto"/>
        <w:jc w:val="both"/>
        <w:rPr>
          <w:rFonts w:ascii="Verdana" w:eastAsia="Verdana" w:hAnsi="Verdana" w:cs="Verdana"/>
          <w:sz w:val="20"/>
          <w:lang w:val="es-ES"/>
        </w:rPr>
      </w:pPr>
    </w:p>
    <w:p w14:paraId="63018B67" w14:textId="07B70EDE" w:rsidR="00B56A37" w:rsidRDefault="00B56A37" w:rsidP="002941CC">
      <w:pPr>
        <w:spacing w:after="0" w:line="240" w:lineRule="auto"/>
        <w:jc w:val="both"/>
        <w:rPr>
          <w:rFonts w:ascii="Verdana" w:eastAsia="Verdana" w:hAnsi="Verdana" w:cs="Verdana"/>
          <w:sz w:val="20"/>
          <w:lang w:val="es-ES"/>
        </w:rPr>
      </w:pPr>
    </w:p>
    <w:p w14:paraId="14C21C83" w14:textId="028BC381" w:rsidR="00B56A37" w:rsidRDefault="00B56A37" w:rsidP="002941CC">
      <w:pPr>
        <w:spacing w:after="0" w:line="240" w:lineRule="auto"/>
        <w:jc w:val="both"/>
        <w:rPr>
          <w:rFonts w:ascii="Verdana" w:eastAsia="Verdana" w:hAnsi="Verdana" w:cs="Verdana"/>
          <w:sz w:val="20"/>
          <w:lang w:val="es-ES"/>
        </w:rPr>
      </w:pPr>
    </w:p>
    <w:p w14:paraId="46D7D4DA" w14:textId="7A1D90EB" w:rsidR="00B56A37" w:rsidRDefault="00B56A37" w:rsidP="002941CC">
      <w:pPr>
        <w:spacing w:after="0" w:line="240" w:lineRule="auto"/>
        <w:jc w:val="both"/>
        <w:rPr>
          <w:rFonts w:ascii="Verdana" w:eastAsia="Verdana" w:hAnsi="Verdana" w:cs="Verdana"/>
          <w:sz w:val="20"/>
          <w:lang w:val="es-ES"/>
        </w:rPr>
      </w:pPr>
    </w:p>
    <w:p w14:paraId="5B4D839A" w14:textId="5832DDE5" w:rsidR="00B56A37" w:rsidRDefault="00B56A37" w:rsidP="002941CC">
      <w:pPr>
        <w:spacing w:after="0" w:line="240" w:lineRule="auto"/>
        <w:jc w:val="both"/>
        <w:rPr>
          <w:rFonts w:ascii="Verdana" w:eastAsia="Verdana" w:hAnsi="Verdana" w:cs="Verdana"/>
          <w:sz w:val="20"/>
          <w:lang w:val="es-ES"/>
        </w:rPr>
      </w:pPr>
    </w:p>
    <w:p w14:paraId="327786D7" w14:textId="15F323B9" w:rsidR="00B56A37" w:rsidRDefault="00B56A37" w:rsidP="002941CC">
      <w:pPr>
        <w:spacing w:after="0" w:line="240" w:lineRule="auto"/>
        <w:jc w:val="both"/>
        <w:rPr>
          <w:rFonts w:ascii="Verdana" w:eastAsia="Verdana" w:hAnsi="Verdana" w:cs="Verdana"/>
          <w:sz w:val="20"/>
          <w:lang w:val="es-ES"/>
        </w:rPr>
      </w:pPr>
    </w:p>
    <w:p w14:paraId="2BAE2CD3" w14:textId="1D5BD1EA" w:rsidR="00B56A37" w:rsidRDefault="00B56A37" w:rsidP="002941CC">
      <w:pPr>
        <w:spacing w:after="0" w:line="240" w:lineRule="auto"/>
        <w:jc w:val="both"/>
        <w:rPr>
          <w:rFonts w:ascii="Verdana" w:eastAsia="Verdana" w:hAnsi="Verdana" w:cs="Verdana"/>
          <w:sz w:val="20"/>
          <w:lang w:val="es-ES"/>
        </w:rPr>
      </w:pPr>
    </w:p>
    <w:p w14:paraId="6690C94F" w14:textId="48443731" w:rsidR="00B56A37" w:rsidRDefault="00B56A37" w:rsidP="002941CC">
      <w:pPr>
        <w:spacing w:after="0" w:line="240" w:lineRule="auto"/>
        <w:jc w:val="both"/>
        <w:rPr>
          <w:rFonts w:ascii="Verdana" w:eastAsia="Verdana" w:hAnsi="Verdana" w:cs="Verdana"/>
          <w:sz w:val="20"/>
          <w:lang w:val="es-ES"/>
        </w:rPr>
      </w:pPr>
    </w:p>
    <w:p w14:paraId="7C063EC5" w14:textId="54799A01" w:rsidR="00B56A37" w:rsidRDefault="00B56A37" w:rsidP="002941CC">
      <w:pPr>
        <w:spacing w:after="0" w:line="240" w:lineRule="auto"/>
        <w:jc w:val="both"/>
        <w:rPr>
          <w:rFonts w:ascii="Verdana" w:eastAsia="Verdana" w:hAnsi="Verdana" w:cs="Verdana"/>
          <w:sz w:val="20"/>
          <w:lang w:val="es-ES"/>
        </w:rPr>
      </w:pPr>
    </w:p>
    <w:p w14:paraId="58160B9A" w14:textId="12301C02" w:rsidR="00B56A37" w:rsidRDefault="00B56A37" w:rsidP="002941CC">
      <w:pPr>
        <w:spacing w:after="0" w:line="240" w:lineRule="auto"/>
        <w:jc w:val="both"/>
        <w:rPr>
          <w:rFonts w:ascii="Verdana" w:eastAsia="Verdana" w:hAnsi="Verdana" w:cs="Verdana"/>
          <w:sz w:val="20"/>
          <w:lang w:val="es-ES"/>
        </w:rPr>
      </w:pPr>
    </w:p>
    <w:p w14:paraId="5AAF3950" w14:textId="140924EF" w:rsidR="00B56A37" w:rsidRDefault="00B56A37" w:rsidP="002941CC">
      <w:pPr>
        <w:spacing w:after="0" w:line="240" w:lineRule="auto"/>
        <w:jc w:val="both"/>
        <w:rPr>
          <w:rFonts w:ascii="Verdana" w:eastAsia="Verdana" w:hAnsi="Verdana" w:cs="Verdana"/>
          <w:sz w:val="20"/>
          <w:lang w:val="es-ES"/>
        </w:rPr>
      </w:pPr>
    </w:p>
    <w:p w14:paraId="3DDAB0E0" w14:textId="34581421" w:rsidR="00B56A37" w:rsidRDefault="00B56A37" w:rsidP="002941CC">
      <w:pPr>
        <w:spacing w:after="0" w:line="240" w:lineRule="auto"/>
        <w:jc w:val="both"/>
        <w:rPr>
          <w:rFonts w:ascii="Verdana" w:eastAsia="Verdana" w:hAnsi="Verdana" w:cs="Verdana"/>
          <w:sz w:val="20"/>
          <w:lang w:val="es-ES"/>
        </w:rPr>
      </w:pPr>
    </w:p>
    <w:p w14:paraId="3208F634" w14:textId="4C7EEC64" w:rsidR="00B56A37" w:rsidRDefault="00B56A37" w:rsidP="002941CC">
      <w:pPr>
        <w:spacing w:after="0" w:line="240" w:lineRule="auto"/>
        <w:jc w:val="both"/>
        <w:rPr>
          <w:rFonts w:ascii="Verdana" w:eastAsia="Verdana" w:hAnsi="Verdana" w:cs="Verdana"/>
          <w:sz w:val="20"/>
          <w:lang w:val="es-ES"/>
        </w:rPr>
      </w:pPr>
    </w:p>
    <w:p w14:paraId="3C3F98D6" w14:textId="408BD129" w:rsidR="00B56A37" w:rsidRDefault="00B56A37" w:rsidP="002941CC">
      <w:pPr>
        <w:spacing w:after="0" w:line="240" w:lineRule="auto"/>
        <w:jc w:val="both"/>
        <w:rPr>
          <w:rFonts w:ascii="Verdana" w:eastAsia="Verdana" w:hAnsi="Verdana" w:cs="Verdana"/>
          <w:sz w:val="20"/>
          <w:lang w:val="es-ES"/>
        </w:rPr>
      </w:pPr>
    </w:p>
    <w:p w14:paraId="4EE3FAB8" w14:textId="3F11E370" w:rsidR="00B56A37" w:rsidRDefault="00B56A37" w:rsidP="002941CC">
      <w:pPr>
        <w:spacing w:after="0" w:line="240" w:lineRule="auto"/>
        <w:jc w:val="both"/>
        <w:rPr>
          <w:rFonts w:ascii="Verdana" w:eastAsia="Verdana" w:hAnsi="Verdana" w:cs="Verdana"/>
          <w:sz w:val="20"/>
          <w:lang w:val="es-ES"/>
        </w:rPr>
      </w:pPr>
    </w:p>
    <w:p w14:paraId="2C4F1854" w14:textId="5FFD4835" w:rsidR="00B56A37" w:rsidRDefault="00B56A37" w:rsidP="002941CC">
      <w:pPr>
        <w:spacing w:after="0" w:line="240" w:lineRule="auto"/>
        <w:jc w:val="both"/>
        <w:rPr>
          <w:rFonts w:ascii="Verdana" w:eastAsia="Verdana" w:hAnsi="Verdana" w:cs="Verdana"/>
          <w:sz w:val="20"/>
          <w:lang w:val="es-ES"/>
        </w:rPr>
      </w:pPr>
    </w:p>
    <w:p w14:paraId="12C80DD8" w14:textId="17F164DD" w:rsidR="00B56A37" w:rsidRDefault="00B56A37" w:rsidP="002941CC">
      <w:pPr>
        <w:spacing w:after="0" w:line="240" w:lineRule="auto"/>
        <w:jc w:val="both"/>
        <w:rPr>
          <w:rFonts w:ascii="Verdana" w:eastAsia="Verdana" w:hAnsi="Verdana" w:cs="Verdana"/>
          <w:sz w:val="20"/>
          <w:lang w:val="es-ES"/>
        </w:rPr>
      </w:pPr>
    </w:p>
    <w:p w14:paraId="30CEDB90" w14:textId="2078B7BD" w:rsidR="00B56A37" w:rsidRDefault="00B56A37" w:rsidP="002941CC">
      <w:pPr>
        <w:spacing w:after="0" w:line="240" w:lineRule="auto"/>
        <w:jc w:val="both"/>
        <w:rPr>
          <w:rFonts w:ascii="Verdana" w:eastAsia="Verdana" w:hAnsi="Verdana" w:cs="Verdana"/>
          <w:sz w:val="20"/>
          <w:lang w:val="es-ES"/>
        </w:rPr>
      </w:pPr>
    </w:p>
    <w:p w14:paraId="522DA33A" w14:textId="77777777" w:rsidR="00B56A37" w:rsidRPr="002941CC" w:rsidRDefault="00B56A37" w:rsidP="002941CC">
      <w:pPr>
        <w:spacing w:after="0" w:line="240" w:lineRule="auto"/>
        <w:jc w:val="both"/>
        <w:rPr>
          <w:rFonts w:ascii="Verdana" w:eastAsia="Verdana" w:hAnsi="Verdana" w:cs="Verdana"/>
          <w:sz w:val="20"/>
          <w:lang w:val="es-ES"/>
        </w:rPr>
      </w:pPr>
    </w:p>
    <w:p w14:paraId="3C61B7CF" w14:textId="654E8876" w:rsidR="005D61A0" w:rsidRDefault="00B56A37" w:rsidP="005D61A0">
      <w:pPr>
        <w:spacing w:after="0" w:line="240" w:lineRule="auto"/>
        <w:rPr>
          <w:rFonts w:ascii="Verdana" w:hAnsi="Verdana"/>
        </w:rPr>
      </w:pPr>
      <w:r w:rsidRPr="00B56A37">
        <w:rPr>
          <w:rFonts w:ascii="Verdana" w:hAnsi="Verdana"/>
          <w:noProof/>
          <w:lang w:val="en-US"/>
        </w:rPr>
        <w:lastRenderedPageBreak/>
        <w:drawing>
          <wp:anchor distT="0" distB="0" distL="114300" distR="114300" simplePos="0" relativeHeight="251658240" behindDoc="0" locked="0" layoutInCell="1" allowOverlap="1" wp14:anchorId="29266881" wp14:editId="02DB4492">
            <wp:simplePos x="0" y="0"/>
            <wp:positionH relativeFrom="margin">
              <wp:posOffset>2950845</wp:posOffset>
            </wp:positionH>
            <wp:positionV relativeFrom="paragraph">
              <wp:posOffset>151765</wp:posOffset>
            </wp:positionV>
            <wp:extent cx="2649855" cy="92202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9855" cy="922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61A0" w:rsidRPr="30821638">
        <w:rPr>
          <w:rFonts w:ascii="Verdana" w:eastAsia="Verdana" w:hAnsi="Verdana" w:cs="Verdana"/>
        </w:rPr>
        <w:t>Bogotá D.C.,</w:t>
      </w:r>
      <w:r w:rsidR="002941CC">
        <w:rPr>
          <w:rFonts w:ascii="Verdana" w:eastAsia="Verdana" w:hAnsi="Verdana" w:cs="Verdana"/>
        </w:rPr>
        <w:t xml:space="preserve"> 11 de marzo de 2026</w:t>
      </w:r>
      <w:r w:rsidR="005D61A0">
        <w:tab/>
      </w:r>
      <w:r w:rsidR="005D61A0">
        <w:br/>
      </w:r>
    </w:p>
    <w:p w14:paraId="0BD54AE8" w14:textId="46BD400A" w:rsidR="005D61A0" w:rsidRPr="00B64355" w:rsidRDefault="005D61A0" w:rsidP="005D61A0">
      <w:pPr>
        <w:spacing w:after="0" w:line="240" w:lineRule="auto"/>
        <w:rPr>
          <w:rFonts w:ascii="Verdana" w:hAnsi="Verdana"/>
        </w:rPr>
      </w:pPr>
    </w:p>
    <w:p w14:paraId="10A75D6F" w14:textId="77777777" w:rsidR="005D61A0" w:rsidRDefault="005D61A0" w:rsidP="005D61A0">
      <w:pPr>
        <w:spacing w:after="0" w:line="240" w:lineRule="auto"/>
        <w:rPr>
          <w:rFonts w:ascii="Verdana" w:eastAsia="Calibri" w:hAnsi="Verdana" w:cs="Times New Roman"/>
          <w:lang w:val="es-MX"/>
        </w:rPr>
      </w:pPr>
      <w:r>
        <w:rPr>
          <w:rFonts w:ascii="Verdana" w:eastAsia="Calibri" w:hAnsi="Verdana" w:cs="Times New Roman"/>
          <w:lang w:val="es-MX"/>
        </w:rPr>
        <w:t xml:space="preserve">Señor </w:t>
      </w:r>
    </w:p>
    <w:p w14:paraId="7FB812CF" w14:textId="77777777" w:rsidR="005D61A0" w:rsidRPr="00EA6D0E" w:rsidRDefault="005D61A0" w:rsidP="005D61A0">
      <w:pPr>
        <w:spacing w:after="0" w:line="240" w:lineRule="auto"/>
        <w:rPr>
          <w:rFonts w:ascii="Verdana" w:eastAsia="Calibri" w:hAnsi="Verdana" w:cs="Times New Roman"/>
          <w:b/>
          <w:lang w:val="es-MX"/>
        </w:rPr>
      </w:pPr>
      <w:r w:rsidRPr="00EA6D0E">
        <w:rPr>
          <w:rFonts w:ascii="Verdana" w:eastAsia="Calibri" w:hAnsi="Verdana" w:cs="Times New Roman"/>
          <w:b/>
          <w:lang w:val="es-MX"/>
        </w:rPr>
        <w:t>Luis Alexander Arboleda Zapata</w:t>
      </w:r>
    </w:p>
    <w:p w14:paraId="53B684D6" w14:textId="77777777" w:rsidR="005D61A0" w:rsidRDefault="005D61A0" w:rsidP="005D61A0">
      <w:pPr>
        <w:spacing w:after="0" w:line="240" w:lineRule="auto"/>
        <w:rPr>
          <w:rFonts w:ascii="Verdana" w:eastAsia="Calibri" w:hAnsi="Verdana" w:cs="Times New Roman"/>
        </w:rPr>
      </w:pPr>
      <w:hyperlink r:id="rId12" w:history="1">
        <w:r w:rsidRPr="00106DD3">
          <w:rPr>
            <w:rStyle w:val="Hipervnculo"/>
            <w:rFonts w:ascii="Verdana" w:eastAsia="Calibri" w:hAnsi="Verdana" w:cs="Times New Roman"/>
          </w:rPr>
          <w:t>alexanderarboledazapata@gmail.com</w:t>
        </w:r>
      </w:hyperlink>
    </w:p>
    <w:p w14:paraId="1C12E67A" w14:textId="77777777" w:rsidR="005D61A0" w:rsidRDefault="005D61A0" w:rsidP="005D61A0">
      <w:pPr>
        <w:spacing w:after="0" w:line="240" w:lineRule="auto"/>
        <w:rPr>
          <w:rFonts w:ascii="Verdana" w:eastAsia="Calibri" w:hAnsi="Verdana" w:cs="Times New Roman"/>
        </w:rPr>
      </w:pPr>
      <w:r>
        <w:rPr>
          <w:rFonts w:ascii="Verdana" w:eastAsia="Calibri" w:hAnsi="Verdana" w:cs="Times New Roman"/>
        </w:rPr>
        <w:t xml:space="preserve">Bello, Antioquia </w:t>
      </w:r>
    </w:p>
    <w:p w14:paraId="1C209CE8" w14:textId="77777777" w:rsidR="005D61A0" w:rsidRDefault="005D61A0" w:rsidP="005D61A0">
      <w:pPr>
        <w:spacing w:after="0" w:line="240" w:lineRule="auto"/>
        <w:rPr>
          <w:rFonts w:ascii="Verdana" w:eastAsia="Calibri" w:hAnsi="Verdana" w:cs="Times New Roman"/>
        </w:rPr>
      </w:pPr>
    </w:p>
    <w:p w14:paraId="2A3027CE" w14:textId="77777777" w:rsidR="005D61A0" w:rsidRPr="00A12CB6" w:rsidRDefault="005D61A0" w:rsidP="005D61A0">
      <w:pPr>
        <w:spacing w:after="0" w:line="240" w:lineRule="auto"/>
        <w:rPr>
          <w:rFonts w:ascii="Verdana" w:eastAsia="Calibri" w:hAnsi="Verdana" w:cs="Times New Roman"/>
        </w:rPr>
      </w:pPr>
    </w:p>
    <w:p w14:paraId="1473D42B" w14:textId="77777777" w:rsidR="005D61A0" w:rsidRPr="00A12CB6" w:rsidRDefault="005D61A0" w:rsidP="005D61A0">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C–224 de 2026 </w:t>
      </w:r>
    </w:p>
    <w:p w14:paraId="3A9F304A" w14:textId="77777777" w:rsidR="005D61A0" w:rsidRPr="00A12CB6" w:rsidRDefault="005D61A0" w:rsidP="005D61A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D61A0" w:rsidRPr="00A12CB6" w14:paraId="09BEAE89" w14:textId="77777777" w:rsidTr="00E4026F">
        <w:trPr>
          <w:trHeight w:val="645"/>
        </w:trPr>
        <w:tc>
          <w:tcPr>
            <w:tcW w:w="2685" w:type="dxa"/>
            <w:hideMark/>
          </w:tcPr>
          <w:p w14:paraId="080C6958" w14:textId="77777777" w:rsidR="005D61A0" w:rsidRPr="00A12CB6" w:rsidRDefault="005D61A0" w:rsidP="00E4026F">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5F31FC01" w14:textId="77777777" w:rsidR="005D61A0" w:rsidRPr="00AA1328" w:rsidRDefault="005D61A0" w:rsidP="00E4026F">
            <w:pPr>
              <w:spacing w:line="276" w:lineRule="auto"/>
              <w:jc w:val="both"/>
              <w:rPr>
                <w:rFonts w:ascii="Verdana" w:hAnsi="Verdana" w:cs="Arial"/>
                <w:lang w:val="es-ES" w:eastAsia="es-ES"/>
              </w:rPr>
            </w:pPr>
            <w:r w:rsidRPr="000E7B67">
              <w:rPr>
                <w:rFonts w:ascii="Verdana" w:hAnsi="Verdana" w:cs="Arial"/>
                <w:lang w:val="es-ES" w:eastAsia="es-ES"/>
              </w:rPr>
              <w:t xml:space="preserve">LIQUIDACIÓN – Definición – Objetivo </w:t>
            </w:r>
            <w:r>
              <w:rPr>
                <w:rFonts w:ascii="Verdana" w:hAnsi="Verdana" w:cs="Arial"/>
                <w:lang w:val="es-ES" w:eastAsia="es-ES"/>
              </w:rPr>
              <w:t xml:space="preserve">/ LIQUIDACIÓN – Tipos – Bilateral - Unilateral – Judicial / </w:t>
            </w:r>
            <w:r w:rsidRPr="000E7B67">
              <w:rPr>
                <w:rFonts w:ascii="Verdana" w:hAnsi="Verdana" w:cs="Arial"/>
                <w:lang w:val="es-ES" w:eastAsia="es-ES"/>
              </w:rPr>
              <w:t xml:space="preserve">LIQUIDACIÓN – Unilateral – Procedencia – Oportunidad </w:t>
            </w:r>
            <w:r>
              <w:rPr>
                <w:rFonts w:ascii="Verdana" w:hAnsi="Verdana" w:cs="Arial"/>
                <w:lang w:val="es-ES" w:eastAsia="es-ES"/>
              </w:rPr>
              <w:t xml:space="preserve">/ LIQUIDACIÓN - Procedencia – Oportunidad –EGCAP / CONTRATOS Y CONVENIOS INTERADMINISTRATIVOS – Noción – Diferencias / LIQUIDACIÓN – Liquidación unilateral – convenios interadministrativos – contratos interadministrativos. </w:t>
            </w:r>
          </w:p>
        </w:tc>
        <w:tc>
          <w:tcPr>
            <w:tcW w:w="6237" w:type="dxa"/>
          </w:tcPr>
          <w:p w14:paraId="1B9DA48E" w14:textId="77777777" w:rsidR="005D61A0" w:rsidRPr="00A12CB6" w:rsidRDefault="005D61A0" w:rsidP="00E4026F">
            <w:pPr>
              <w:spacing w:line="256" w:lineRule="auto"/>
              <w:rPr>
                <w:rFonts w:ascii="Verdana" w:hAnsi="Verdana"/>
              </w:rPr>
            </w:pPr>
          </w:p>
        </w:tc>
      </w:tr>
      <w:tr w:rsidR="005D61A0" w:rsidRPr="00A12CB6" w14:paraId="28AC45CB" w14:textId="77777777" w:rsidTr="00E4026F">
        <w:tc>
          <w:tcPr>
            <w:tcW w:w="2685" w:type="dxa"/>
          </w:tcPr>
          <w:p w14:paraId="733A742A" w14:textId="77777777" w:rsidR="005D61A0" w:rsidRDefault="005D61A0" w:rsidP="00E4026F">
            <w:pPr>
              <w:spacing w:line="256" w:lineRule="auto"/>
              <w:rPr>
                <w:rFonts w:ascii="Verdana" w:hAnsi="Verdana"/>
                <w:lang w:val="es-ES_tradnl"/>
              </w:rPr>
            </w:pPr>
          </w:p>
          <w:p w14:paraId="24876A84" w14:textId="77777777" w:rsidR="005D61A0" w:rsidRPr="00A12CB6" w:rsidRDefault="005D61A0" w:rsidP="00E4026F">
            <w:pPr>
              <w:spacing w:line="256" w:lineRule="auto"/>
              <w:rPr>
                <w:rFonts w:ascii="Verdana" w:hAnsi="Verdana"/>
                <w:lang w:val="es-ES_tradnl"/>
              </w:rPr>
            </w:pPr>
          </w:p>
          <w:p w14:paraId="7A0E1C25" w14:textId="77777777" w:rsidR="005D61A0" w:rsidRPr="00A12CB6" w:rsidRDefault="005D61A0" w:rsidP="00E4026F">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0A5AC19D" w14:textId="77777777" w:rsidR="005D61A0" w:rsidRDefault="005D61A0" w:rsidP="00E4026F">
            <w:pPr>
              <w:spacing w:line="257" w:lineRule="auto"/>
              <w:rPr>
                <w:rFonts w:ascii="Verdana" w:hAnsi="Verdana"/>
                <w:lang w:val="es-ES_tradnl"/>
              </w:rPr>
            </w:pPr>
          </w:p>
          <w:p w14:paraId="56C25569" w14:textId="77777777" w:rsidR="005D61A0" w:rsidRPr="00A12CB6" w:rsidRDefault="005D61A0" w:rsidP="00E4026F">
            <w:pPr>
              <w:spacing w:line="257" w:lineRule="auto"/>
              <w:rPr>
                <w:rFonts w:ascii="Verdana" w:hAnsi="Verdana"/>
                <w:lang w:val="es-ES_tradnl"/>
              </w:rPr>
            </w:pPr>
          </w:p>
          <w:p w14:paraId="785391E1" w14:textId="77777777" w:rsidR="005D61A0" w:rsidRPr="00630891" w:rsidRDefault="005D61A0" w:rsidP="00E4026F">
            <w:pPr>
              <w:spacing w:line="257" w:lineRule="auto"/>
              <w:jc w:val="both"/>
              <w:rPr>
                <w:rFonts w:ascii="Verdana" w:hAnsi="Verdana"/>
              </w:rPr>
            </w:pPr>
            <w:r w:rsidRPr="00A12CB6">
              <w:rPr>
                <w:rFonts w:ascii="Verdana" w:hAnsi="Verdana"/>
                <w:lang w:val="es-ES_tradnl"/>
              </w:rPr>
              <w:t xml:space="preserve">Respuesta a consulta con radicado No. </w:t>
            </w:r>
            <w:r w:rsidRPr="00F575AE">
              <w:rPr>
                <w:rFonts w:ascii="Verdana" w:hAnsi="Verdana"/>
              </w:rPr>
              <w:t>1_2026_02_14_001949</w:t>
            </w:r>
          </w:p>
          <w:p w14:paraId="391064CB" w14:textId="77777777" w:rsidR="005D61A0" w:rsidRPr="00630891" w:rsidRDefault="005D61A0" w:rsidP="00E4026F">
            <w:pPr>
              <w:spacing w:line="257" w:lineRule="auto"/>
              <w:jc w:val="both"/>
              <w:rPr>
                <w:rFonts w:ascii="Verdana" w:hAnsi="Verdana"/>
              </w:rPr>
            </w:pPr>
          </w:p>
          <w:p w14:paraId="44F7838E" w14:textId="77777777" w:rsidR="005D61A0" w:rsidRPr="00A12CB6" w:rsidRDefault="005D61A0" w:rsidP="00E4026F">
            <w:pPr>
              <w:spacing w:line="257" w:lineRule="auto"/>
              <w:jc w:val="both"/>
              <w:rPr>
                <w:rFonts w:ascii="Verdana" w:hAnsi="Verdana"/>
              </w:rPr>
            </w:pPr>
          </w:p>
        </w:tc>
        <w:tc>
          <w:tcPr>
            <w:tcW w:w="6237" w:type="dxa"/>
          </w:tcPr>
          <w:p w14:paraId="667EC72F" w14:textId="77777777" w:rsidR="005D61A0" w:rsidRPr="00A12CB6" w:rsidRDefault="005D61A0" w:rsidP="00E4026F">
            <w:pPr>
              <w:spacing w:line="256" w:lineRule="auto"/>
              <w:rPr>
                <w:rFonts w:ascii="Verdana" w:hAnsi="Verdana"/>
                <w:lang w:val="es-ES_tradnl"/>
              </w:rPr>
            </w:pPr>
          </w:p>
        </w:tc>
      </w:tr>
    </w:tbl>
    <w:p w14:paraId="73FE4FEA" w14:textId="77777777" w:rsidR="005D61A0" w:rsidRPr="009037F6" w:rsidRDefault="005D61A0" w:rsidP="005D61A0">
      <w:pPr>
        <w:spacing w:after="0" w:line="256" w:lineRule="auto"/>
        <w:rPr>
          <w:rFonts w:ascii="Verdana" w:eastAsia="Calibri" w:hAnsi="Verdana" w:cs="Times New Roman"/>
          <w:lang w:val="es-ES"/>
        </w:rPr>
      </w:pPr>
      <w:r>
        <w:rPr>
          <w:rFonts w:ascii="Verdana" w:eastAsia="Calibri" w:hAnsi="Verdana" w:cs="Times New Roman"/>
          <w:lang w:val="es-ES"/>
        </w:rPr>
        <w:t>Estimado Señor Arboleda</w:t>
      </w:r>
      <w:r w:rsidRPr="009037F6">
        <w:rPr>
          <w:rFonts w:ascii="Verdana" w:eastAsia="Calibri" w:hAnsi="Verdana" w:cs="Times New Roman"/>
          <w:lang w:val="es-ES"/>
        </w:rPr>
        <w:t xml:space="preserve">: </w:t>
      </w:r>
    </w:p>
    <w:p w14:paraId="7E4CB5AC" w14:textId="77777777" w:rsidR="005D61A0" w:rsidRPr="009037F6" w:rsidRDefault="005D61A0" w:rsidP="005D61A0">
      <w:pPr>
        <w:spacing w:after="0" w:line="276" w:lineRule="auto"/>
        <w:rPr>
          <w:rFonts w:ascii="Verdana" w:eastAsia="Calibri" w:hAnsi="Verdana" w:cs="Times New Roman"/>
          <w:lang w:val="es-ES"/>
        </w:rPr>
      </w:pPr>
    </w:p>
    <w:p w14:paraId="5FE27674" w14:textId="77777777" w:rsidR="005D61A0" w:rsidRDefault="005D61A0" w:rsidP="005D61A0">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9037F6">
        <w:rPr>
          <w:rFonts w:ascii="Verdana" w:eastAsia="Calibri" w:hAnsi="Verdana" w:cs="Times New Roman"/>
          <w:bCs/>
          <w:lang w:bidi="es-ES"/>
        </w:rPr>
        <w:t>N°</w:t>
      </w:r>
      <w:proofErr w:type="spellEnd"/>
      <w:r w:rsidRPr="009037F6">
        <w:rPr>
          <w:rFonts w:ascii="Verdana" w:eastAsia="Calibri" w:hAnsi="Verdana" w:cs="Times New Roman"/>
          <w:bCs/>
          <w:lang w:bidi="es-ES"/>
        </w:rPr>
        <w:t xml:space="preserve">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14 de febrero de 2026</w:t>
      </w:r>
      <w:r w:rsidRPr="009037F6">
        <w:rPr>
          <w:rFonts w:ascii="Verdana" w:eastAsia="Calibri" w:hAnsi="Verdana" w:cs="Times New Roman"/>
          <w:bCs/>
          <w:lang w:val="es-ES" w:bidi="es-ES"/>
        </w:rPr>
        <w:t xml:space="preserve">, en la cual manifiesta: </w:t>
      </w:r>
    </w:p>
    <w:p w14:paraId="0DE71A6F" w14:textId="77777777" w:rsidR="005D61A0" w:rsidRPr="009037F6" w:rsidRDefault="005D61A0" w:rsidP="005D61A0">
      <w:pPr>
        <w:spacing w:after="0" w:line="276" w:lineRule="auto"/>
        <w:jc w:val="both"/>
        <w:rPr>
          <w:rFonts w:ascii="Verdana" w:eastAsia="Calibri" w:hAnsi="Verdana" w:cs="Times New Roman"/>
          <w:bCs/>
          <w:lang w:val="es-ES" w:bidi="es-ES"/>
        </w:rPr>
      </w:pPr>
    </w:p>
    <w:p w14:paraId="75EDC314" w14:textId="77777777" w:rsidR="005D61A0" w:rsidRPr="00EA6D0E" w:rsidRDefault="005D61A0" w:rsidP="005D61A0">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EA6D0E">
        <w:rPr>
          <w:rFonts w:ascii="Verdana" w:eastAsia="Calibri" w:hAnsi="Verdana" w:cs="Times New Roman"/>
          <w:bCs/>
          <w:sz w:val="20"/>
          <w:szCs w:val="20"/>
          <w:lang w:bidi="es-ES"/>
        </w:rPr>
        <w:t>1. Si en los contratos interadministrativos, vencido el término de cuatr</w:t>
      </w:r>
      <w:r>
        <w:rPr>
          <w:rFonts w:ascii="Verdana" w:eastAsia="Calibri" w:hAnsi="Verdana" w:cs="Times New Roman"/>
          <w:bCs/>
          <w:sz w:val="20"/>
          <w:szCs w:val="20"/>
          <w:lang w:bidi="es-ES"/>
        </w:rPr>
        <w:t xml:space="preserve">o (4) meses para la liquidación </w:t>
      </w:r>
      <w:r w:rsidRPr="00EA6D0E">
        <w:rPr>
          <w:rFonts w:ascii="Verdana" w:eastAsia="Calibri" w:hAnsi="Verdana" w:cs="Times New Roman"/>
          <w:bCs/>
          <w:sz w:val="20"/>
          <w:szCs w:val="20"/>
          <w:lang w:bidi="es-ES"/>
        </w:rPr>
        <w:t>bilateral sin que se haya logrado acuerdo, procede jurídicamente la liquidación unilateral dentro de los</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dos (2) meses siguientes, conforme al artículo 11 de la Ley 1150 de 2007.</w:t>
      </w:r>
    </w:p>
    <w:p w14:paraId="3D61BD4B" w14:textId="77777777" w:rsidR="005D61A0" w:rsidRPr="00EA6D0E" w:rsidRDefault="005D61A0" w:rsidP="005D61A0">
      <w:pPr>
        <w:spacing w:after="0" w:line="240" w:lineRule="auto"/>
        <w:ind w:left="709" w:right="709"/>
        <w:jc w:val="both"/>
        <w:rPr>
          <w:rFonts w:ascii="Verdana" w:eastAsia="Calibri" w:hAnsi="Verdana" w:cs="Times New Roman"/>
          <w:bCs/>
          <w:sz w:val="20"/>
          <w:szCs w:val="20"/>
          <w:lang w:bidi="es-ES"/>
        </w:rPr>
      </w:pPr>
      <w:r w:rsidRPr="00EA6D0E">
        <w:rPr>
          <w:rFonts w:ascii="Verdana" w:eastAsia="Calibri" w:hAnsi="Verdana" w:cs="Times New Roman"/>
          <w:bCs/>
          <w:sz w:val="20"/>
          <w:szCs w:val="20"/>
          <w:lang w:bidi="es-ES"/>
        </w:rPr>
        <w:lastRenderedPageBreak/>
        <w:t>2. Si la naturaleza de la liquidación unilateral debe entenderse como una cláusula excepcional de</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carácter exorbitante o como una competencia legal reglada orientada al cierre administrativo y</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financiero del contrato.</w:t>
      </w:r>
    </w:p>
    <w:p w14:paraId="69A7B6CB" w14:textId="77777777" w:rsidR="005D61A0" w:rsidRPr="00EA6D0E" w:rsidRDefault="005D61A0" w:rsidP="005D61A0">
      <w:pPr>
        <w:spacing w:after="0" w:line="240" w:lineRule="auto"/>
        <w:ind w:left="709" w:right="709"/>
        <w:jc w:val="both"/>
        <w:rPr>
          <w:rFonts w:ascii="Verdana" w:eastAsia="Calibri" w:hAnsi="Verdana" w:cs="Times New Roman"/>
          <w:bCs/>
          <w:sz w:val="20"/>
          <w:szCs w:val="20"/>
          <w:lang w:bidi="es-ES"/>
        </w:rPr>
      </w:pPr>
      <w:r w:rsidRPr="00EA6D0E">
        <w:rPr>
          <w:rFonts w:ascii="Verdana" w:eastAsia="Calibri" w:hAnsi="Verdana" w:cs="Times New Roman"/>
          <w:bCs/>
          <w:sz w:val="20"/>
          <w:szCs w:val="20"/>
          <w:lang w:bidi="es-ES"/>
        </w:rPr>
        <w:t>3. Cómo debe interpretarse el principio de horizontalidad en contratos interadministrativos frente al</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deber legal de liquidar, teniendo en cuenta que las entidades contratantes se encuentran en un mismo</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nivel institucional y no existe subordinación jerárquica.</w:t>
      </w:r>
    </w:p>
    <w:p w14:paraId="621C6DB3" w14:textId="77777777" w:rsidR="005D61A0" w:rsidRPr="00EA6D0E" w:rsidRDefault="005D61A0" w:rsidP="005D61A0">
      <w:pPr>
        <w:spacing w:after="0" w:line="240" w:lineRule="auto"/>
        <w:ind w:left="709" w:right="709"/>
        <w:jc w:val="both"/>
        <w:rPr>
          <w:rFonts w:ascii="Verdana" w:eastAsia="Calibri" w:hAnsi="Verdana" w:cs="Times New Roman"/>
          <w:bCs/>
          <w:sz w:val="20"/>
          <w:szCs w:val="20"/>
          <w:lang w:bidi="es-ES"/>
        </w:rPr>
      </w:pPr>
      <w:r w:rsidRPr="00EA6D0E">
        <w:rPr>
          <w:rFonts w:ascii="Verdana" w:eastAsia="Calibri" w:hAnsi="Verdana" w:cs="Times New Roman"/>
          <w:bCs/>
          <w:sz w:val="20"/>
          <w:szCs w:val="20"/>
          <w:lang w:bidi="es-ES"/>
        </w:rPr>
        <w:t>4. Si la ausencia de verticalidad entre entidades públicas impide el ejercicio de la liquidación unilateral</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o si, por el contrario, el carácter estatal del contrato mantiene incólume la aplicación del régimen de</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liquidación previsto en la Ley 80 de 1993 y la Ley 1150 de 2007.</w:t>
      </w:r>
    </w:p>
    <w:p w14:paraId="77A951B4" w14:textId="77777777" w:rsidR="005D61A0" w:rsidRPr="005000A1" w:rsidRDefault="005D61A0" w:rsidP="005D61A0">
      <w:pPr>
        <w:spacing w:after="0" w:line="240" w:lineRule="auto"/>
        <w:ind w:left="709" w:right="709"/>
        <w:jc w:val="both"/>
        <w:rPr>
          <w:rFonts w:ascii="Verdana" w:eastAsia="Calibri" w:hAnsi="Verdana" w:cs="Times New Roman"/>
          <w:bCs/>
          <w:sz w:val="20"/>
          <w:szCs w:val="20"/>
          <w:lang w:bidi="es-ES"/>
        </w:rPr>
      </w:pPr>
      <w:r w:rsidRPr="00EA6D0E">
        <w:rPr>
          <w:rFonts w:ascii="Verdana" w:eastAsia="Calibri" w:hAnsi="Verdana" w:cs="Times New Roman"/>
          <w:bCs/>
          <w:sz w:val="20"/>
          <w:szCs w:val="20"/>
          <w:lang w:bidi="es-ES"/>
        </w:rPr>
        <w:t>5. Qué lineamientos, circulares, conceptos previos o doctrina administrativa ha emitido esa Agencia</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relacionados con la aplicación del principio de horizontalidad en contratos interadministrativos y su</w:t>
      </w:r>
      <w:r>
        <w:rPr>
          <w:rFonts w:ascii="Verdana" w:eastAsia="Calibri" w:hAnsi="Verdana" w:cs="Times New Roman"/>
          <w:bCs/>
          <w:sz w:val="20"/>
          <w:szCs w:val="20"/>
          <w:lang w:bidi="es-ES"/>
        </w:rPr>
        <w:t xml:space="preserve"> </w:t>
      </w:r>
      <w:r w:rsidRPr="00EA6D0E">
        <w:rPr>
          <w:rFonts w:ascii="Verdana" w:eastAsia="Calibri" w:hAnsi="Verdana" w:cs="Times New Roman"/>
          <w:bCs/>
          <w:sz w:val="20"/>
          <w:szCs w:val="20"/>
          <w:lang w:bidi="es-ES"/>
        </w:rPr>
        <w:t>imp</w:t>
      </w:r>
      <w:r>
        <w:rPr>
          <w:rFonts w:ascii="Verdana" w:eastAsia="Calibri" w:hAnsi="Verdana" w:cs="Times New Roman"/>
          <w:bCs/>
          <w:sz w:val="20"/>
          <w:szCs w:val="20"/>
          <w:lang w:bidi="es-ES"/>
        </w:rPr>
        <w:t>acto en la etapa de liquidación”</w:t>
      </w:r>
    </w:p>
    <w:p w14:paraId="35B052E3" w14:textId="77777777" w:rsidR="005D61A0" w:rsidRPr="005000A1" w:rsidRDefault="005D61A0" w:rsidP="005D61A0">
      <w:pPr>
        <w:spacing w:after="0" w:line="240" w:lineRule="auto"/>
        <w:ind w:right="709"/>
        <w:jc w:val="both"/>
        <w:rPr>
          <w:rFonts w:ascii="Verdana" w:eastAsia="Calibri" w:hAnsi="Verdana" w:cs="Times New Roman"/>
          <w:bCs/>
          <w:sz w:val="21"/>
          <w:szCs w:val="21"/>
          <w:lang w:bidi="es-ES"/>
        </w:rPr>
      </w:pPr>
    </w:p>
    <w:p w14:paraId="4868A8E7" w14:textId="77777777" w:rsidR="005D61A0" w:rsidRPr="009037F6" w:rsidRDefault="005D61A0" w:rsidP="005D61A0">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22488F8" w14:textId="77777777" w:rsidR="005D61A0" w:rsidRPr="009037F6" w:rsidRDefault="005D61A0" w:rsidP="005D61A0">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7EA7973D" w14:textId="3ECB5773" w:rsidR="005D61A0" w:rsidRDefault="005D61A0" w:rsidP="005D61A0">
      <w:pPr>
        <w:spacing w:after="0" w:line="276" w:lineRule="auto"/>
        <w:rPr>
          <w:rFonts w:ascii="Verdana" w:eastAsia="Calibri" w:hAnsi="Verdana" w:cs="Times New Roman"/>
          <w:lang w:val="es-ES"/>
        </w:rPr>
      </w:pPr>
    </w:p>
    <w:p w14:paraId="19E6B663" w14:textId="5DA06860" w:rsidR="005D61A0" w:rsidRDefault="005D61A0" w:rsidP="005D61A0">
      <w:pPr>
        <w:spacing w:after="0" w:line="276" w:lineRule="auto"/>
        <w:rPr>
          <w:rFonts w:ascii="Verdana" w:eastAsia="Calibri" w:hAnsi="Verdana" w:cs="Times New Roman"/>
          <w:lang w:val="es-ES"/>
        </w:rPr>
      </w:pPr>
    </w:p>
    <w:p w14:paraId="6DD107B5" w14:textId="77777777" w:rsidR="005D61A0" w:rsidRPr="009037F6" w:rsidRDefault="005D61A0" w:rsidP="005D61A0">
      <w:pPr>
        <w:spacing w:after="0" w:line="276" w:lineRule="auto"/>
        <w:rPr>
          <w:rFonts w:ascii="Verdana" w:eastAsia="Calibri" w:hAnsi="Verdana" w:cs="Times New Roman"/>
          <w:lang w:val="es-ES"/>
        </w:rPr>
      </w:pPr>
    </w:p>
    <w:p w14:paraId="7E61F6D1" w14:textId="77777777" w:rsidR="005D61A0" w:rsidRPr="009037F6" w:rsidRDefault="005D61A0" w:rsidP="005D61A0">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lastRenderedPageBreak/>
        <w:t>Problema planteado:</w:t>
      </w:r>
    </w:p>
    <w:p w14:paraId="0F46B347" w14:textId="77777777" w:rsidR="005D61A0" w:rsidRPr="009037F6" w:rsidRDefault="005D61A0" w:rsidP="005D61A0">
      <w:pPr>
        <w:spacing w:after="0" w:line="276" w:lineRule="auto"/>
        <w:rPr>
          <w:rFonts w:ascii="Verdana" w:eastAsia="Calibri" w:hAnsi="Verdana" w:cs="Times New Roman"/>
        </w:rPr>
      </w:pPr>
    </w:p>
    <w:p w14:paraId="26586E4E" w14:textId="77777777" w:rsidR="005D61A0" w:rsidRPr="00EA6D0E" w:rsidRDefault="005D61A0" w:rsidP="005D61A0">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los siguientes problemas jurídicos: i) ¿</w:t>
      </w:r>
      <w:r w:rsidRPr="00113184">
        <w:rPr>
          <w:rFonts w:ascii="Verdana" w:eastAsia="Calibri" w:hAnsi="Verdana" w:cs="Times New Roman"/>
        </w:rPr>
        <w:t>En los contratos interadministrativos procede la liquidación unilateral cuando no se logra acuerdo en la liquidación bilateral dentro del término legal, entendida como competencia legal reglada más que como cláusula exorbitante</w:t>
      </w:r>
      <w:r>
        <w:rPr>
          <w:rFonts w:ascii="Verdana" w:eastAsia="Calibri" w:hAnsi="Verdana" w:cs="Times New Roman"/>
        </w:rPr>
        <w:t>? ¿</w:t>
      </w:r>
      <w:r w:rsidRPr="00113184">
        <w:rPr>
          <w:rFonts w:ascii="Verdana" w:eastAsia="Calibri" w:hAnsi="Verdana" w:cs="Times New Roman"/>
        </w:rPr>
        <w:t>cómo se armoniza esta facultad con el principio de horizontalidad entre entidades públicas?</w:t>
      </w:r>
      <w:r>
        <w:rPr>
          <w:rFonts w:ascii="Verdana" w:eastAsia="Calibri" w:hAnsi="Verdana" w:cs="Times New Roman"/>
        </w:rPr>
        <w:t xml:space="preserve">; y </w:t>
      </w:r>
      <w:proofErr w:type="spellStart"/>
      <w:r>
        <w:rPr>
          <w:rFonts w:ascii="Verdana" w:eastAsia="Calibri" w:hAnsi="Verdana" w:cs="Times New Roman"/>
        </w:rPr>
        <w:t>ii</w:t>
      </w:r>
      <w:proofErr w:type="spellEnd"/>
      <w:r>
        <w:rPr>
          <w:rFonts w:ascii="Verdana" w:eastAsia="Calibri" w:hAnsi="Verdana" w:cs="Times New Roman"/>
        </w:rPr>
        <w:t xml:space="preserve">) </w:t>
      </w:r>
      <w:r w:rsidRPr="00C134D9">
        <w:rPr>
          <w:rFonts w:ascii="Verdana" w:eastAsia="Calibri" w:hAnsi="Verdana" w:cs="Times New Roman"/>
        </w:rPr>
        <w:t>¿Qué doctrina administrativa, lineamientos, circulares o conceptos previos han sido emitidos sobre la aplicación del principio de horizontalidad en contratos interadministrativo</w:t>
      </w:r>
      <w:r>
        <w:rPr>
          <w:rFonts w:ascii="Verdana" w:eastAsia="Calibri" w:hAnsi="Verdana" w:cs="Times New Roman"/>
        </w:rPr>
        <w:t>?</w:t>
      </w:r>
      <w:r w:rsidRPr="00C134D9">
        <w:rPr>
          <w:rFonts w:ascii="Verdana" w:eastAsia="Calibri" w:hAnsi="Verdana" w:cs="Times New Roman"/>
        </w:rPr>
        <w:t xml:space="preserve"> </w:t>
      </w:r>
      <w:r>
        <w:rPr>
          <w:rFonts w:ascii="Verdana" w:eastAsia="Calibri" w:hAnsi="Verdana" w:cs="Times New Roman"/>
        </w:rPr>
        <w:t>¿</w:t>
      </w:r>
      <w:r w:rsidRPr="00C134D9">
        <w:rPr>
          <w:rFonts w:ascii="Verdana" w:eastAsia="Calibri" w:hAnsi="Verdana" w:cs="Times New Roman"/>
        </w:rPr>
        <w:t>cuál es su impacto en la etapa de liquidación?</w:t>
      </w:r>
    </w:p>
    <w:p w14:paraId="298C7310" w14:textId="77777777" w:rsidR="005D61A0" w:rsidRPr="00277150" w:rsidRDefault="005D61A0" w:rsidP="005D61A0">
      <w:pPr>
        <w:spacing w:after="0" w:line="276" w:lineRule="auto"/>
        <w:jc w:val="both"/>
        <w:rPr>
          <w:rFonts w:ascii="Verdana" w:eastAsia="Calibri" w:hAnsi="Verdana" w:cs="Times New Roman"/>
          <w:i/>
          <w:iCs/>
          <w:lang w:val="es-ES"/>
        </w:rPr>
      </w:pPr>
    </w:p>
    <w:p w14:paraId="0C2706A8" w14:textId="77777777" w:rsidR="005D61A0" w:rsidRDefault="005D61A0" w:rsidP="005D61A0">
      <w:pPr>
        <w:numPr>
          <w:ilvl w:val="0"/>
          <w:numId w:val="16"/>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50370657" w14:textId="77777777" w:rsidR="005D61A0" w:rsidRPr="00A12CB6" w:rsidRDefault="005D61A0" w:rsidP="005D61A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5D61A0" w:rsidRPr="001205D1" w14:paraId="17F4E2C3" w14:textId="77777777" w:rsidTr="00E4026F">
        <w:trPr>
          <w:trHeight w:val="345"/>
          <w:jc w:val="center"/>
        </w:trPr>
        <w:tc>
          <w:tcPr>
            <w:tcW w:w="8784" w:type="dxa"/>
            <w:tcBorders>
              <w:bottom w:val="single" w:sz="4" w:space="0" w:color="auto"/>
            </w:tcBorders>
          </w:tcPr>
          <w:p w14:paraId="69FB10FE" w14:textId="77777777" w:rsidR="005D61A0" w:rsidRDefault="005D61A0" w:rsidP="00E4026F">
            <w:pPr>
              <w:spacing w:line="276" w:lineRule="auto"/>
              <w:jc w:val="both"/>
              <w:rPr>
                <w:rFonts w:ascii="Verdana" w:eastAsia="Calibri" w:hAnsi="Verdana" w:cs="Times New Roman"/>
              </w:rPr>
            </w:pPr>
            <w:r>
              <w:rPr>
                <w:rFonts w:ascii="Verdana" w:eastAsia="Calibri" w:hAnsi="Verdana" w:cs="Times New Roman"/>
              </w:rPr>
              <w:t>En cuanto a los problemas jurídicos, objeto de consulta, se señala lo siguiente:</w:t>
            </w:r>
          </w:p>
          <w:p w14:paraId="5FC7D4DC" w14:textId="77777777" w:rsidR="005D61A0" w:rsidRDefault="005D61A0" w:rsidP="00E4026F">
            <w:pPr>
              <w:spacing w:line="276" w:lineRule="auto"/>
              <w:jc w:val="both"/>
              <w:rPr>
                <w:rFonts w:ascii="Verdana" w:eastAsia="Calibri" w:hAnsi="Verdana" w:cs="Times New Roman"/>
              </w:rPr>
            </w:pPr>
          </w:p>
          <w:p w14:paraId="103DEE0A" w14:textId="77777777" w:rsidR="005D61A0" w:rsidRPr="007D5866" w:rsidRDefault="005D61A0" w:rsidP="00E4026F">
            <w:pPr>
              <w:spacing w:after="120" w:line="276" w:lineRule="auto"/>
              <w:jc w:val="both"/>
              <w:rPr>
                <w:rFonts w:ascii="Verdana" w:eastAsia="Calibri" w:hAnsi="Verdana" w:cs="Arial"/>
                <w:lang w:val="es-ES"/>
              </w:rPr>
            </w:pPr>
            <w:r>
              <w:rPr>
                <w:rFonts w:ascii="Verdana" w:eastAsia="Calibri" w:hAnsi="Verdana" w:cs="Times New Roman"/>
              </w:rPr>
              <w:t xml:space="preserve">i. </w:t>
            </w:r>
            <w:r>
              <w:rPr>
                <w:rFonts w:ascii="Verdana" w:eastAsia="Calibri" w:hAnsi="Verdana" w:cs="Arial"/>
              </w:rPr>
              <w:t xml:space="preserve">En torno al primer problema jurídico, cabe </w:t>
            </w:r>
            <w:r w:rsidRPr="007D5866">
              <w:rPr>
                <w:rFonts w:ascii="Verdana" w:eastAsia="Calibri" w:hAnsi="Verdana" w:cs="Arial"/>
                <w:lang w:val="es-ES"/>
              </w:rPr>
              <w:t>precisar que la facultad de liquidar unilateralmente un contrato interadministrativo no configura una potestad excepcional</w:t>
            </w:r>
            <w:r>
              <w:rPr>
                <w:rFonts w:ascii="Verdana" w:eastAsia="Calibri" w:hAnsi="Verdana" w:cs="Arial"/>
                <w:lang w:val="es-ES"/>
              </w:rPr>
              <w:t>, según lo expuesto por el Consejo de Estado</w:t>
            </w:r>
            <w:r w:rsidRPr="007D5866">
              <w:rPr>
                <w:rFonts w:ascii="Verdana" w:eastAsia="Calibri" w:hAnsi="Verdana" w:cs="Arial"/>
                <w:lang w:val="es-ES"/>
              </w:rPr>
              <w:t xml:space="preserve">, sino que responde directamente a una regla general que rige los contratos estatales de tracto </w:t>
            </w:r>
            <w:r>
              <w:rPr>
                <w:rFonts w:ascii="Verdana" w:eastAsia="Calibri" w:hAnsi="Verdana" w:cs="Arial"/>
                <w:lang w:val="es-ES"/>
              </w:rPr>
              <w:t>sucesivo, frente a la que no aplica</w:t>
            </w:r>
            <w:r w:rsidRPr="007D5866">
              <w:rPr>
                <w:rFonts w:ascii="Verdana" w:eastAsia="Calibri" w:hAnsi="Verdana" w:cs="Arial"/>
                <w:lang w:val="es-ES"/>
              </w:rPr>
              <w:t xml:space="preserve"> excepción legal que restrinja de algún modo su ejercicio. Sin embargo, el Consejo de Estado</w:t>
            </w:r>
            <w:r>
              <w:rPr>
                <w:rFonts w:ascii="Verdana" w:eastAsia="Calibri" w:hAnsi="Verdana" w:cs="Arial"/>
                <w:lang w:val="es-ES"/>
              </w:rPr>
              <w:t xml:space="preserve"> en sentencias más recientes –</w:t>
            </w:r>
            <w:proofErr w:type="spellStart"/>
            <w:r>
              <w:rPr>
                <w:rFonts w:ascii="Verdana" w:eastAsia="Calibri" w:hAnsi="Verdana" w:cs="Arial"/>
                <w:lang w:val="es-ES"/>
              </w:rPr>
              <w:t>Exp</w:t>
            </w:r>
            <w:proofErr w:type="spellEnd"/>
            <w:r>
              <w:rPr>
                <w:rFonts w:ascii="Verdana" w:eastAsia="Calibri" w:hAnsi="Verdana" w:cs="Arial"/>
                <w:lang w:val="es-ES"/>
              </w:rPr>
              <w:t xml:space="preserve">. </w:t>
            </w:r>
            <w:r>
              <w:rPr>
                <w:rFonts w:ascii="Verdana" w:eastAsia="Calibri" w:hAnsi="Verdana" w:cs="Arial"/>
              </w:rPr>
              <w:t xml:space="preserve">68.535 y </w:t>
            </w:r>
            <w:r>
              <w:rPr>
                <w:rFonts w:ascii="Verdana" w:eastAsia="Calibri" w:hAnsi="Verdana" w:cs="Arial"/>
                <w:iCs/>
              </w:rPr>
              <w:t>61.491-</w:t>
            </w:r>
            <w:r>
              <w:rPr>
                <w:rFonts w:ascii="Verdana" w:eastAsia="Calibri" w:hAnsi="Verdana" w:cs="Arial"/>
                <w:lang w:val="es-ES"/>
              </w:rPr>
              <w:t xml:space="preserve"> </w:t>
            </w:r>
            <w:r w:rsidRPr="007D5866">
              <w:rPr>
                <w:rFonts w:ascii="Verdana" w:eastAsia="Calibri" w:hAnsi="Verdana" w:cs="Arial"/>
                <w:lang w:val="es-ES"/>
              </w:rPr>
              <w:t>también ha</w:t>
            </w:r>
            <w:r>
              <w:rPr>
                <w:rFonts w:ascii="Verdana" w:eastAsia="Calibri" w:hAnsi="Verdana" w:cs="Arial"/>
                <w:lang w:val="es-ES"/>
              </w:rPr>
              <w:t>n</w:t>
            </w:r>
            <w:r w:rsidRPr="007D5866">
              <w:rPr>
                <w:rFonts w:ascii="Verdana" w:eastAsia="Calibri" w:hAnsi="Verdana" w:cs="Arial"/>
                <w:lang w:val="es-ES"/>
              </w:rPr>
              <w:t xml:space="preserve"> señalado que la facultad de liquidar unilateralmente un contrato interadministrativo no se haya en cabeza de las dos entidades estatales que conforman el negocio jurídico, sino que esta facultad radica exclusivamente en la entidad que se encuentra en la posición de contratante: </w:t>
            </w:r>
            <w:r>
              <w:rPr>
                <w:rFonts w:ascii="Verdana" w:eastAsia="Calibri" w:hAnsi="Verdana" w:cs="Arial"/>
                <w:lang w:val="es-ES"/>
              </w:rPr>
              <w:t>“</w:t>
            </w:r>
            <w:r w:rsidRPr="007D5866">
              <w:rPr>
                <w:rFonts w:ascii="Verdana" w:eastAsia="Calibri" w:hAnsi="Verdana" w:cs="Arial"/>
                <w:lang w:val="es-ES"/>
              </w:rPr>
              <w:t>Dicha facultad se halla reservada a la entidad estatal que hubiera desempeñado el rol de contratante en el vínculo negocial, esto es, a aquella que hubiera demandado de otro la prestación de un servicio para el cumplimiento de su cometido misional</w:t>
            </w:r>
            <w:r>
              <w:rPr>
                <w:rFonts w:ascii="Verdana" w:eastAsia="Calibri" w:hAnsi="Verdana" w:cs="Arial"/>
                <w:lang w:val="es-ES"/>
              </w:rPr>
              <w:t>”.</w:t>
            </w:r>
            <w:r w:rsidRPr="007D5866">
              <w:rPr>
                <w:rFonts w:ascii="Verdana" w:eastAsia="Calibri" w:hAnsi="Verdana" w:cs="Arial"/>
                <w:lang w:val="es-ES"/>
              </w:rPr>
              <w:t xml:space="preserve"> </w:t>
            </w:r>
          </w:p>
          <w:p w14:paraId="32E1C19C" w14:textId="77777777" w:rsidR="005D61A0" w:rsidRPr="00B44EF5" w:rsidRDefault="005D61A0" w:rsidP="00E4026F">
            <w:pPr>
              <w:spacing w:after="120" w:line="276" w:lineRule="auto"/>
              <w:ind w:firstLine="709"/>
              <w:jc w:val="both"/>
              <w:rPr>
                <w:rFonts w:ascii="Verdana" w:eastAsia="Calibri" w:hAnsi="Verdana" w:cs="Arial"/>
                <w:lang w:val="es-ES"/>
              </w:rPr>
            </w:pPr>
            <w:r w:rsidRPr="007D5866">
              <w:rPr>
                <w:rFonts w:ascii="Verdana" w:eastAsia="Calibri" w:hAnsi="Verdana" w:cs="Arial"/>
                <w:lang w:val="es-ES"/>
              </w:rPr>
              <w:t xml:space="preserve">En ese sentido, tal como lo ha señalado el Consejo de Estado, por ministerio legal, todo contrato de tracto sucesivo sometido a las prescripciones del Estatuto General de Contratación de la Administración Pública, </w:t>
            </w:r>
            <w:r>
              <w:rPr>
                <w:rFonts w:ascii="Verdana" w:eastAsia="Calibri" w:hAnsi="Verdana" w:cs="Arial"/>
                <w:lang w:val="es-ES"/>
              </w:rPr>
              <w:t>[...]</w:t>
            </w:r>
            <w:r w:rsidRPr="007D5866">
              <w:rPr>
                <w:rFonts w:ascii="Verdana" w:eastAsia="Calibri" w:hAnsi="Verdana" w:cs="Arial"/>
                <w:lang w:val="es-ES"/>
              </w:rPr>
              <w:t xml:space="preserve"> está en la obligación de liquidarse, para lo cual la entidad pública contratante podrá recurrir a la liquidación unilateral, en los términos del artículo 11 de la Ley </w:t>
            </w:r>
            <w:r w:rsidRPr="007D5866">
              <w:rPr>
                <w:rFonts w:ascii="Verdana" w:eastAsia="Calibri" w:hAnsi="Verdana" w:cs="Arial"/>
                <w:lang w:val="es-ES"/>
              </w:rPr>
              <w:lastRenderedPageBreak/>
              <w:t xml:space="preserve">1150 de 2007 -en caso de que no se logre la liquidación de mutuo acuerdo. </w:t>
            </w:r>
            <w:r>
              <w:rPr>
                <w:rFonts w:ascii="Verdana" w:eastAsia="Calibri" w:hAnsi="Verdana" w:cs="Arial"/>
                <w:lang w:val="es-ES"/>
              </w:rPr>
              <w:t>De este modo, e</w:t>
            </w:r>
            <w:r w:rsidRPr="00B44EF5">
              <w:rPr>
                <w:rFonts w:ascii="Verdana" w:eastAsia="Calibri" w:hAnsi="Verdana" w:cs="Arial"/>
                <w:lang w:val="es-ES"/>
              </w:rPr>
              <w:t>n los contratos interadministrativos no</w:t>
            </w:r>
            <w:r>
              <w:rPr>
                <w:rFonts w:ascii="Verdana" w:eastAsia="Calibri" w:hAnsi="Verdana" w:cs="Arial"/>
                <w:lang w:val="es-ES"/>
              </w:rPr>
              <w:t xml:space="preserve"> aplica</w:t>
            </w:r>
            <w:r w:rsidRPr="00B44EF5">
              <w:rPr>
                <w:rFonts w:ascii="Verdana" w:eastAsia="Calibri" w:hAnsi="Verdana" w:cs="Arial"/>
                <w:lang w:val="es-ES"/>
              </w:rPr>
              <w:t xml:space="preserve"> una regla de horizontalidad como la que caracteriza a los </w:t>
            </w:r>
            <w:r>
              <w:rPr>
                <w:rFonts w:ascii="Verdana" w:eastAsia="Calibri" w:hAnsi="Verdana" w:cs="Arial"/>
                <w:lang w:val="es-ES"/>
              </w:rPr>
              <w:t xml:space="preserve">convenios interadministrativos que se basan en una </w:t>
            </w:r>
            <w:r w:rsidRPr="00B44EF5">
              <w:rPr>
                <w:rFonts w:ascii="Verdana" w:eastAsia="Calibri" w:hAnsi="Verdana" w:cs="Arial"/>
                <w:lang w:val="es-ES"/>
              </w:rPr>
              <w:t xml:space="preserve">finalidad asociativa, en los cuales las entidades públicas actúan en condiciones de igualdad y cooperación. En cambio, en los contratos interadministrativos se configura una relación conmutativa, en la que una entidad asume la posición de contratante y la otra la de contratista, generándose obligaciones recíprocas de prestación de bienes o servicios que permiten el ejercicio de </w:t>
            </w:r>
            <w:r>
              <w:rPr>
                <w:rFonts w:ascii="Verdana" w:eastAsia="Calibri" w:hAnsi="Verdana" w:cs="Arial"/>
                <w:lang w:val="es-ES"/>
              </w:rPr>
              <w:t xml:space="preserve">competencias </w:t>
            </w:r>
            <w:r w:rsidRPr="00B44EF5">
              <w:rPr>
                <w:rFonts w:ascii="Verdana" w:eastAsia="Calibri" w:hAnsi="Verdana" w:cs="Arial"/>
                <w:lang w:val="es-ES"/>
              </w:rPr>
              <w:t>propias de la contratación estatal.</w:t>
            </w:r>
          </w:p>
          <w:p w14:paraId="19CD5E8F" w14:textId="77777777" w:rsidR="005D61A0" w:rsidRDefault="005D61A0" w:rsidP="00E4026F">
            <w:pPr>
              <w:spacing w:after="120" w:line="276" w:lineRule="auto"/>
              <w:ind w:firstLine="709"/>
              <w:jc w:val="both"/>
              <w:rPr>
                <w:rFonts w:ascii="Verdana" w:eastAsia="Calibri" w:hAnsi="Verdana" w:cs="Arial"/>
                <w:lang w:val="es-ES"/>
              </w:rPr>
            </w:pPr>
            <w:r w:rsidRPr="00B44EF5">
              <w:rPr>
                <w:rFonts w:ascii="Verdana" w:eastAsia="Calibri" w:hAnsi="Verdana" w:cs="Arial"/>
                <w:lang w:val="es-ES"/>
              </w:rPr>
              <w:t>Por ello, cuando el contrato interadministrativo reviste la naturaleza de tracto sucesivo, resulta procedente la liquidación unilateral por parte de la entidad estatal</w:t>
            </w:r>
            <w:r>
              <w:rPr>
                <w:rFonts w:ascii="Verdana" w:eastAsia="Calibri" w:hAnsi="Verdana" w:cs="Arial"/>
                <w:lang w:val="es-ES"/>
              </w:rPr>
              <w:t xml:space="preserve"> sometida al EGCAP</w:t>
            </w:r>
            <w:r w:rsidRPr="00B44EF5">
              <w:rPr>
                <w:rFonts w:ascii="Verdana" w:eastAsia="Calibri" w:hAnsi="Verdana" w:cs="Arial"/>
                <w:lang w:val="es-ES"/>
              </w:rPr>
              <w:t xml:space="preserve">, en tanto se reconoce su facultad de imponer el balance de cuentas derivado de </w:t>
            </w:r>
            <w:r>
              <w:rPr>
                <w:rFonts w:ascii="Verdana" w:eastAsia="Calibri" w:hAnsi="Verdana" w:cs="Arial"/>
                <w:lang w:val="es-ES"/>
              </w:rPr>
              <w:t xml:space="preserve">la ejecución contractual. Esta competencia </w:t>
            </w:r>
            <w:r w:rsidRPr="00B44EF5">
              <w:rPr>
                <w:rFonts w:ascii="Verdana" w:eastAsia="Calibri" w:hAnsi="Verdana" w:cs="Arial"/>
                <w:lang w:val="es-ES"/>
              </w:rPr>
              <w:t xml:space="preserve">se justifica en la ausencia de un propósito asociativo y en la existencia de una relación sinalagmática, donde la equivalencia de prestaciones </w:t>
            </w:r>
            <w:r>
              <w:rPr>
                <w:rFonts w:ascii="Verdana" w:eastAsia="Calibri" w:hAnsi="Verdana" w:cs="Arial"/>
                <w:lang w:val="es-ES"/>
              </w:rPr>
              <w:t xml:space="preserve">permite a </w:t>
            </w:r>
            <w:r w:rsidRPr="00B44EF5">
              <w:rPr>
                <w:rFonts w:ascii="Verdana" w:eastAsia="Calibri" w:hAnsi="Verdana" w:cs="Arial"/>
                <w:lang w:val="es-ES"/>
              </w:rPr>
              <w:t xml:space="preserve">la administración para ejercer mecanismos de control y cierre contractual propios del </w:t>
            </w:r>
            <w:r>
              <w:rPr>
                <w:rFonts w:ascii="Verdana" w:eastAsia="Calibri" w:hAnsi="Verdana" w:cs="Arial"/>
                <w:lang w:val="es-ES"/>
              </w:rPr>
              <w:t xml:space="preserve">Estatuto General de Contratación de la Administración Pública. Esto, sin perjuicio de que en los convenios interadministrativos pueda ejercerse la liquidación unilateral, previo acuerdo de las partes, como lo ha expresado el Consejo de Estado en su jurisprudencia más reciente. </w:t>
            </w:r>
          </w:p>
          <w:p w14:paraId="76B1421A" w14:textId="77777777" w:rsidR="005D61A0" w:rsidRDefault="005D61A0" w:rsidP="00E4026F">
            <w:pPr>
              <w:spacing w:after="120" w:line="276" w:lineRule="auto"/>
              <w:ind w:firstLine="709"/>
              <w:jc w:val="both"/>
              <w:rPr>
                <w:rFonts w:ascii="Verdana" w:eastAsia="Calibri" w:hAnsi="Verdana" w:cs="Arial"/>
                <w:lang w:val="es-ES"/>
              </w:rPr>
            </w:pPr>
            <w:r>
              <w:rPr>
                <w:rFonts w:ascii="Verdana" w:eastAsia="Calibri" w:hAnsi="Verdana" w:cs="Arial"/>
                <w:lang w:val="es-ES"/>
              </w:rPr>
              <w:t>Teniendo en cuenta lo expuesto, s</w:t>
            </w:r>
            <w:r w:rsidRPr="00956010">
              <w:rPr>
                <w:rFonts w:ascii="Verdana" w:eastAsia="Calibri" w:hAnsi="Verdana" w:cs="Arial"/>
                <w:lang w:val="es-ES"/>
              </w:rPr>
              <w:t>i no se logra la liquidación bila</w:t>
            </w:r>
            <w:r>
              <w:rPr>
                <w:rFonts w:ascii="Verdana" w:eastAsia="Calibri" w:hAnsi="Verdana" w:cs="Arial"/>
                <w:lang w:val="es-ES"/>
              </w:rPr>
              <w:t xml:space="preserve">teral del contrato, la entidad pública contratante </w:t>
            </w:r>
            <w:r w:rsidRPr="00956010">
              <w:rPr>
                <w:rFonts w:ascii="Verdana" w:eastAsia="Calibri" w:hAnsi="Verdana" w:cs="Arial"/>
                <w:lang w:val="es-ES"/>
              </w:rPr>
              <w:t>tiene la facultad de liquidarlo unilateralmente dentro del término de 2 meses contados a partir del vencimiento del plazo que acuerden las partes para liquidar bilateralmente o, ante el silencio de estas, del vencimiento de los 4 meses supletivo establecido por la ley. En este sentido, la liquidación unilateral es subsidiaria del intento de la liquidación bilateral, como manifestación de la garantía del debido proceso, puesto que la primera solo procede si el contratista particular no se presenta, previo requerimiento de la entidad, o si las partes no tienen un acuerdo sobre el</w:t>
            </w:r>
            <w:r>
              <w:rPr>
                <w:rFonts w:ascii="Verdana" w:eastAsia="Calibri" w:hAnsi="Verdana" w:cs="Arial"/>
                <w:lang w:val="es-ES"/>
              </w:rPr>
              <w:t xml:space="preserve"> contenido. Por último</w:t>
            </w:r>
            <w:r w:rsidRPr="000E471A">
              <w:rPr>
                <w:rFonts w:ascii="Verdana" w:eastAsia="Calibri" w:hAnsi="Verdana" w:cs="Arial"/>
                <w:lang w:val="es-ES"/>
              </w:rPr>
              <w:t xml:space="preserve">, transcurridos estos meses, la liquidación podrá realizarse en cualquier tiempo dentro de los dos años siguientes al vencimiento del término referido, de mutuo acuerdo o unilateralmente, salvo que el contratista haya presentado la demanda con la cual pretenda la liquidación judicial del contrato. De esta manera, durante </w:t>
            </w:r>
            <w:r w:rsidRPr="000E471A">
              <w:rPr>
                <w:rFonts w:ascii="Verdana" w:eastAsia="Calibri" w:hAnsi="Verdana" w:cs="Arial"/>
                <w:lang w:val="es-ES"/>
              </w:rPr>
              <w:lastRenderedPageBreak/>
              <w:t xml:space="preserve">estos dos años la liquidación podrá hacerse de mutuo acuerdo, unilateralmente por la entidad, o podrá </w:t>
            </w:r>
            <w:r>
              <w:rPr>
                <w:rFonts w:ascii="Verdana" w:eastAsia="Calibri" w:hAnsi="Verdana" w:cs="Arial"/>
                <w:lang w:val="es-ES"/>
              </w:rPr>
              <w:t xml:space="preserve">solicitarse </w:t>
            </w:r>
            <w:r w:rsidRPr="000E471A">
              <w:rPr>
                <w:rFonts w:ascii="Verdana" w:eastAsia="Calibri" w:hAnsi="Verdana" w:cs="Arial"/>
                <w:lang w:val="es-ES"/>
              </w:rPr>
              <w:t>judicialmente por el interesado.</w:t>
            </w:r>
          </w:p>
          <w:p w14:paraId="0941DB75" w14:textId="77777777" w:rsidR="005D61A0" w:rsidRDefault="005D61A0" w:rsidP="00E4026F">
            <w:pPr>
              <w:spacing w:after="120" w:line="276" w:lineRule="auto"/>
              <w:jc w:val="both"/>
              <w:rPr>
                <w:rFonts w:ascii="Verdana" w:eastAsia="Calibri" w:hAnsi="Verdana" w:cs="Times New Roman"/>
                <w:lang w:val="es-ES"/>
              </w:rPr>
            </w:pPr>
          </w:p>
          <w:p w14:paraId="3E8CBC4B" w14:textId="77777777" w:rsidR="005D61A0" w:rsidRDefault="005D61A0" w:rsidP="00E4026F">
            <w:pPr>
              <w:spacing w:after="120" w:line="276" w:lineRule="auto"/>
              <w:jc w:val="both"/>
              <w:rPr>
                <w:rFonts w:ascii="Verdana" w:hAnsi="Verdana" w:cs="Arial"/>
                <w:bCs/>
                <w:shd w:val="clear" w:color="auto" w:fill="FFFFFF"/>
              </w:rPr>
            </w:pPr>
            <w:proofErr w:type="spellStart"/>
            <w:r>
              <w:rPr>
                <w:rFonts w:ascii="Verdana" w:eastAsia="Calibri" w:hAnsi="Verdana" w:cs="Times New Roman"/>
                <w:lang w:val="es-ES"/>
              </w:rPr>
              <w:t>ii</w:t>
            </w:r>
            <w:proofErr w:type="spellEnd"/>
            <w:r>
              <w:rPr>
                <w:rFonts w:ascii="Verdana" w:eastAsia="Calibri" w:hAnsi="Verdana" w:cs="Times New Roman"/>
                <w:lang w:val="es-ES"/>
              </w:rPr>
              <w:t xml:space="preserve">. En torno al segundo problema jurídico, objeto de consulta, se expresa que </w:t>
            </w:r>
            <w:r>
              <w:rPr>
                <w:rFonts w:ascii="Verdana" w:eastAsia="Calibri" w:hAnsi="Verdana" w:cs="Arial"/>
              </w:rPr>
              <w:t xml:space="preserve">frente a los contratos interadministrativos es procedente las reglas dispuestas en el EGCAP, y por consiguiente, </w:t>
            </w:r>
            <w:r w:rsidRPr="00956010">
              <w:rPr>
                <w:rFonts w:ascii="Verdana" w:eastAsia="Calibri" w:hAnsi="Verdana" w:cs="Arial"/>
              </w:rPr>
              <w:t>la liquidación de este tipo de contratos debe llevarse a cabo de manera bilateral siempre que sea posible, respetando los derechos de la entidad pública contratista al debido proceso</w:t>
            </w:r>
            <w:r>
              <w:rPr>
                <w:rFonts w:ascii="Verdana" w:eastAsia="Calibri" w:hAnsi="Verdana" w:cs="Arial"/>
              </w:rPr>
              <w:t xml:space="preserve">, como se señaló en la Doctrina Oficial de la Agencia, en especial en el Concepto C-605 del 27 de junio de 2026, en la que se expuso </w:t>
            </w:r>
            <w:r>
              <w:rPr>
                <w:rFonts w:ascii="Verdana" w:hAnsi="Verdana" w:cs="Arial"/>
                <w:bCs/>
                <w:shd w:val="clear" w:color="auto" w:fill="FFFFFF"/>
              </w:rPr>
              <w:t>sobre la procedencia de liquidar unilateralmente los contratos interadministrativos, así como la procedencia la liquidación unilateral de  los convenios interadministrativos, si se estipuló en esta última</w:t>
            </w:r>
            <w:r w:rsidRPr="00EB3BB3">
              <w:rPr>
                <w:rFonts w:ascii="Verdana" w:eastAsia="Aptos" w:hAnsi="Verdana" w:cs="Arial"/>
                <w:shd w:val="clear" w:color="auto" w:fill="FFFFFF"/>
                <w:lang w:val="es-ES"/>
              </w:rPr>
              <w:t>.</w:t>
            </w:r>
            <w:r>
              <w:rPr>
                <w:rFonts w:ascii="Verdana" w:hAnsi="Verdana" w:cs="Arial"/>
                <w:bCs/>
                <w:shd w:val="clear" w:color="auto" w:fill="FFFFFF"/>
              </w:rPr>
              <w:t xml:space="preserve"> </w:t>
            </w:r>
          </w:p>
          <w:p w14:paraId="38206A34" w14:textId="77777777" w:rsidR="005D61A0" w:rsidRDefault="005D61A0" w:rsidP="00E4026F">
            <w:pPr>
              <w:spacing w:after="120" w:line="276" w:lineRule="auto"/>
              <w:ind w:firstLine="709"/>
              <w:jc w:val="both"/>
              <w:rPr>
                <w:rFonts w:ascii="Verdana" w:hAnsi="Verdana" w:cs="Arial"/>
                <w:bCs/>
                <w:shd w:val="clear" w:color="auto" w:fill="FFFFFF"/>
              </w:rPr>
            </w:pPr>
            <w:r>
              <w:rPr>
                <w:rFonts w:ascii="Verdana" w:hAnsi="Verdana" w:cs="Arial"/>
                <w:bCs/>
                <w:shd w:val="clear" w:color="auto" w:fill="FFFFFF"/>
              </w:rPr>
              <w:t xml:space="preserve">En esta línea, es necesario exponer la distinción </w:t>
            </w:r>
            <w:r w:rsidRPr="00C12C3E">
              <w:rPr>
                <w:rFonts w:ascii="Verdana" w:hAnsi="Verdana" w:cs="Arial"/>
                <w:bCs/>
                <w:shd w:val="clear" w:color="auto" w:fill="FFFFFF"/>
              </w:rPr>
              <w:t>entre contratos y convenios interadministrativos</w:t>
            </w:r>
            <w:r>
              <w:rPr>
                <w:rFonts w:ascii="Verdana" w:hAnsi="Verdana" w:cs="Arial"/>
                <w:bCs/>
                <w:shd w:val="clear" w:color="auto" w:fill="FFFFFF"/>
              </w:rPr>
              <w:t xml:space="preserve"> que ha adquirido relevancia dentro del Consejo de Estado</w:t>
            </w:r>
            <w:r w:rsidRPr="00C12C3E">
              <w:rPr>
                <w:rFonts w:ascii="Verdana" w:hAnsi="Verdana" w:cs="Arial"/>
                <w:bCs/>
                <w:shd w:val="clear" w:color="auto" w:fill="FFFFFF"/>
              </w:rPr>
              <w:t>: mientras los primeros se someten a las reglas de la Ley 80 de 1993 y pueden ser objeto de l</w:t>
            </w:r>
            <w:r>
              <w:rPr>
                <w:rFonts w:ascii="Verdana" w:hAnsi="Verdana" w:cs="Arial"/>
                <w:bCs/>
                <w:shd w:val="clear" w:color="auto" w:fill="FFFFFF"/>
              </w:rPr>
              <w:t>iquidación unilateral en caso de que no sea posible la liquidación bilateral,</w:t>
            </w:r>
            <w:r w:rsidRPr="00C12C3E">
              <w:rPr>
                <w:rFonts w:ascii="Verdana" w:hAnsi="Verdana" w:cs="Arial"/>
                <w:bCs/>
                <w:shd w:val="clear" w:color="auto" w:fill="FFFFFF"/>
              </w:rPr>
              <w:t xml:space="preserve"> los convenios interadministrativos no se encuentran sujetos a dichas disposiciones, por lo que la posibilidad de liquidación unilateral depende de su estipulación contractual. Esta diferenciación, respaldada por recientes pronunciamientos del Consejo de Estado</w:t>
            </w:r>
            <w:r>
              <w:rPr>
                <w:rFonts w:ascii="Verdana" w:hAnsi="Verdana" w:cs="Arial"/>
                <w:bCs/>
                <w:shd w:val="clear" w:color="auto" w:fill="FFFFFF"/>
              </w:rPr>
              <w:t xml:space="preserve"> que se referencian en este concepto</w:t>
            </w:r>
            <w:r w:rsidRPr="00C12C3E">
              <w:rPr>
                <w:rFonts w:ascii="Verdana" w:hAnsi="Verdana" w:cs="Arial"/>
                <w:bCs/>
                <w:shd w:val="clear" w:color="auto" w:fill="FFFFFF"/>
              </w:rPr>
              <w:t>, resulta determinante para efectos de contabilizar el término de caducidad judicial y delimitar las facultades de las entidades públicas en la etapa de liquidación</w:t>
            </w:r>
            <w:r>
              <w:rPr>
                <w:rFonts w:ascii="Verdana" w:hAnsi="Verdana" w:cs="Arial"/>
                <w:bCs/>
                <w:shd w:val="clear" w:color="auto" w:fill="FFFFFF"/>
              </w:rPr>
              <w:t xml:space="preserve"> –bilateral, unilateral o judicial-</w:t>
            </w:r>
            <w:r w:rsidRPr="00C12C3E">
              <w:rPr>
                <w:rFonts w:ascii="Verdana" w:hAnsi="Verdana" w:cs="Arial"/>
                <w:bCs/>
                <w:shd w:val="clear" w:color="auto" w:fill="FFFFFF"/>
              </w:rPr>
              <w:t>.</w:t>
            </w:r>
          </w:p>
          <w:p w14:paraId="4E972861" w14:textId="77777777" w:rsidR="005D61A0" w:rsidRPr="00703A14" w:rsidRDefault="005D61A0" w:rsidP="00E4026F">
            <w:pPr>
              <w:spacing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 xml:space="preserve">definirá </w:t>
            </w:r>
            <w:r w:rsidRPr="00B17041">
              <w:rPr>
                <w:rFonts w:ascii="Verdana" w:hAnsi="Verdana" w:cs="Arial"/>
                <w:lang w:val="es-ES" w:eastAsia="es-ES"/>
              </w:rPr>
              <w:t xml:space="preserve">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w:t>
            </w:r>
            <w:r w:rsidRPr="00B17041">
              <w:rPr>
                <w:rFonts w:ascii="Verdana" w:hAnsi="Verdana" w:cs="Arial"/>
                <w:lang w:val="es-ES" w:eastAsia="es-ES"/>
              </w:rPr>
              <w:lastRenderedPageBreak/>
              <w:t>de adelantar su gestión contractual, sin que sea atribución de Colombia Compra Eficiente validar sus actuaciones.</w:t>
            </w:r>
          </w:p>
        </w:tc>
      </w:tr>
    </w:tbl>
    <w:p w14:paraId="28AC1E4B" w14:textId="77777777" w:rsidR="005D61A0" w:rsidRPr="00A12CB6" w:rsidRDefault="005D61A0" w:rsidP="005D61A0">
      <w:pPr>
        <w:spacing w:after="0" w:line="276" w:lineRule="auto"/>
        <w:jc w:val="both"/>
        <w:rPr>
          <w:rFonts w:ascii="Verdana" w:eastAsia="Calibri" w:hAnsi="Verdana" w:cs="Arial"/>
          <w:bCs/>
          <w:color w:val="000000" w:themeColor="text1"/>
        </w:rPr>
      </w:pPr>
    </w:p>
    <w:p w14:paraId="6E12F9B6" w14:textId="77777777" w:rsidR="005D61A0" w:rsidRPr="0093558D" w:rsidRDefault="005D61A0" w:rsidP="005D61A0">
      <w:pPr>
        <w:numPr>
          <w:ilvl w:val="0"/>
          <w:numId w:val="16"/>
        </w:numPr>
        <w:tabs>
          <w:tab w:val="left" w:pos="2268"/>
        </w:tabs>
        <w:spacing w:after="0" w:line="25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6902AC7B" w14:textId="77777777" w:rsidR="005D61A0" w:rsidRPr="00A12CB6" w:rsidRDefault="005D61A0" w:rsidP="005D61A0">
      <w:pPr>
        <w:spacing w:after="0" w:line="256" w:lineRule="auto"/>
        <w:rPr>
          <w:rFonts w:ascii="Verdana" w:eastAsia="Calibri" w:hAnsi="Verdana" w:cs="Times New Roman"/>
          <w:b/>
          <w:bCs/>
          <w:lang w:val="es-ES"/>
        </w:rPr>
      </w:pPr>
    </w:p>
    <w:p w14:paraId="269FE425" w14:textId="77777777" w:rsidR="005D61A0" w:rsidRPr="00A12CB6" w:rsidRDefault="005D61A0" w:rsidP="005D61A0">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5F0023C6" w14:textId="77777777" w:rsidR="005D61A0" w:rsidRPr="00303985" w:rsidRDefault="005D61A0" w:rsidP="005D61A0">
      <w:pPr>
        <w:spacing w:after="0" w:line="276" w:lineRule="auto"/>
        <w:jc w:val="both"/>
        <w:rPr>
          <w:rFonts w:ascii="Verdana" w:eastAsia="Calibri" w:hAnsi="Verdana" w:cs="Arial"/>
          <w:color w:val="000000" w:themeColor="text1"/>
          <w:lang w:val="es-ES"/>
        </w:rPr>
      </w:pPr>
    </w:p>
    <w:p w14:paraId="236955F2" w14:textId="77777777" w:rsidR="005D61A0" w:rsidRPr="00303985" w:rsidRDefault="005D61A0" w:rsidP="005D61A0">
      <w:pPr>
        <w:spacing w:after="0" w:line="276" w:lineRule="auto"/>
        <w:jc w:val="both"/>
        <w:rPr>
          <w:rFonts w:ascii="Verdana" w:eastAsia="Times New Roman" w:hAnsi="Verdana" w:cs="Arial"/>
          <w:color w:val="000000"/>
          <w:lang w:val="es-ES"/>
        </w:rPr>
      </w:pPr>
      <w:r>
        <w:rPr>
          <w:rFonts w:ascii="Verdana" w:eastAsia="Times New Roman" w:hAnsi="Verdana" w:cs="Arial"/>
          <w:color w:val="000000"/>
          <w:lang w:val="es-ES"/>
        </w:rPr>
        <w:t xml:space="preserve">i. </w:t>
      </w:r>
      <w:r w:rsidRPr="00303985">
        <w:rPr>
          <w:rFonts w:ascii="Verdana" w:eastAsia="Times New Roman" w:hAnsi="Verdana" w:cs="Arial"/>
          <w:color w:val="000000"/>
          <w:lang w:val="es-ES"/>
        </w:rPr>
        <w:t>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303985">
        <w:rPr>
          <w:rFonts w:ascii="Verdana" w:eastAsia="Times New Roman" w:hAnsi="Verdana" w:cs="Arial"/>
          <w:color w:val="000000"/>
          <w:vertAlign w:val="superscript"/>
          <w:lang w:val="es-ES"/>
        </w:rPr>
        <w:footnoteReference w:id="1"/>
      </w:r>
      <w:r w:rsidRPr="00303985">
        <w:rPr>
          <w:rFonts w:ascii="Verdana" w:eastAsia="Times New Roman" w:hAnsi="Verdana" w:cs="Arial"/>
          <w:color w:val="000000"/>
          <w:lang w:val="es-ES"/>
        </w:rPr>
        <w:t>. En armonía con lo anterior, la doctrina ha definido la liquidación de la siguiente manera:</w:t>
      </w:r>
    </w:p>
    <w:p w14:paraId="1B12F7CA" w14:textId="77777777" w:rsidR="005D61A0" w:rsidRPr="00303985" w:rsidRDefault="005D61A0" w:rsidP="005D61A0">
      <w:pPr>
        <w:spacing w:after="0" w:line="276" w:lineRule="auto"/>
        <w:jc w:val="both"/>
        <w:rPr>
          <w:rFonts w:ascii="Verdana" w:eastAsia="Times New Roman" w:hAnsi="Verdana" w:cs="Arial"/>
          <w:color w:val="000000"/>
          <w:lang w:val="es-ES_tradnl"/>
        </w:rPr>
      </w:pPr>
    </w:p>
    <w:p w14:paraId="41B8AFD0" w14:textId="77777777" w:rsidR="005D61A0" w:rsidRPr="006F234B" w:rsidRDefault="005D61A0" w:rsidP="005D61A0">
      <w:pPr>
        <w:spacing w:after="0" w:line="240" w:lineRule="auto"/>
        <w:ind w:left="709" w:right="758"/>
        <w:jc w:val="both"/>
        <w:rPr>
          <w:rFonts w:ascii="Verdana" w:eastAsia="Times New Roman" w:hAnsi="Verdana" w:cs="Arial"/>
          <w:sz w:val="20"/>
          <w:szCs w:val="20"/>
          <w:lang w:val="es-MX"/>
        </w:rPr>
      </w:pPr>
      <w:r w:rsidRPr="006F234B">
        <w:rPr>
          <w:rFonts w:ascii="Verdana" w:eastAsia="Times New Roman" w:hAnsi="Verdana" w:cs="Arial"/>
          <w:i/>
          <w:iCs/>
          <w:color w:val="000000"/>
          <w:sz w:val="20"/>
          <w:szCs w:val="20"/>
          <w:lang w:val="es-ES_tradnl"/>
        </w:rPr>
        <w:t>“</w:t>
      </w:r>
      <w:r w:rsidRPr="006F234B">
        <w:rPr>
          <w:rFonts w:ascii="Verdana" w:eastAsia="Times New Roman"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6F234B">
        <w:rPr>
          <w:rFonts w:ascii="Verdana" w:eastAsia="Times New Roman" w:hAnsi="Verdana" w:cs="Arial"/>
          <w:sz w:val="20"/>
          <w:szCs w:val="20"/>
          <w:lang w:val="es-MX"/>
        </w:rPr>
        <w:t>ii</w:t>
      </w:r>
      <w:proofErr w:type="spellEnd"/>
      <w:r w:rsidRPr="006F234B">
        <w:rPr>
          <w:rFonts w:ascii="Verdana" w:eastAsia="Times New Roman" w:hAnsi="Verdana" w:cs="Arial"/>
          <w:sz w:val="20"/>
          <w:szCs w:val="20"/>
          <w:lang w:val="es-MX"/>
        </w:rPr>
        <w:t xml:space="preserve">) definir la situación jurídica de las partes, estableciendo si pueden constituirse o no a paz y </w:t>
      </w:r>
      <w:r w:rsidRPr="006F234B">
        <w:rPr>
          <w:rFonts w:ascii="Verdana" w:eastAsia="Times New Roman" w:hAnsi="Verdana" w:cs="Arial"/>
          <w:sz w:val="20"/>
          <w:szCs w:val="20"/>
          <w:lang w:val="es-MX"/>
        </w:rPr>
        <w:lastRenderedPageBreak/>
        <w:t>salvo; lo que exige, en la práctica, que los negociantes dialoguen e intenten ponerse de acuerdo (aspecto subjetivo)”</w:t>
      </w:r>
      <w:r w:rsidRPr="006F234B">
        <w:rPr>
          <w:rFonts w:ascii="Verdana" w:eastAsia="Times New Roman" w:hAnsi="Verdana" w:cs="Arial"/>
          <w:sz w:val="20"/>
          <w:szCs w:val="20"/>
          <w:vertAlign w:val="superscript"/>
          <w:lang w:val="es-MX"/>
        </w:rPr>
        <w:footnoteReference w:id="2"/>
      </w:r>
      <w:r w:rsidRPr="006F234B">
        <w:rPr>
          <w:rFonts w:ascii="Verdana" w:eastAsia="Times New Roman" w:hAnsi="Verdana" w:cs="Arial"/>
          <w:sz w:val="20"/>
          <w:szCs w:val="20"/>
          <w:lang w:val="es-MX"/>
        </w:rPr>
        <w:t>.</w:t>
      </w:r>
    </w:p>
    <w:p w14:paraId="653D9793" w14:textId="77777777" w:rsidR="005D61A0" w:rsidRPr="006F234B" w:rsidRDefault="005D61A0" w:rsidP="005D61A0">
      <w:pPr>
        <w:spacing w:after="0" w:line="276" w:lineRule="auto"/>
        <w:jc w:val="both"/>
        <w:rPr>
          <w:rFonts w:ascii="Verdana" w:eastAsia="Times New Roman" w:hAnsi="Verdana" w:cs="Arial"/>
          <w:color w:val="000000"/>
          <w:sz w:val="20"/>
          <w:szCs w:val="20"/>
          <w:lang w:val="es-ES_tradnl"/>
        </w:rPr>
      </w:pPr>
    </w:p>
    <w:p w14:paraId="06ECDA84" w14:textId="77777777" w:rsidR="005D61A0" w:rsidRPr="00303985" w:rsidRDefault="005D61A0" w:rsidP="005D61A0">
      <w:pPr>
        <w:spacing w:after="120" w:line="276" w:lineRule="auto"/>
        <w:ind w:firstLine="709"/>
        <w:jc w:val="both"/>
        <w:rPr>
          <w:rFonts w:ascii="Verdana" w:eastAsia="Times New Roman" w:hAnsi="Verdana" w:cs="Arial"/>
          <w:color w:val="000000"/>
          <w:sz w:val="21"/>
          <w:szCs w:val="21"/>
          <w:lang w:val="es-ES_tradnl" w:eastAsia="es-ES_tradnl"/>
        </w:rPr>
      </w:pPr>
      <w:r w:rsidRPr="00303985">
        <w:rPr>
          <w:rFonts w:ascii="Verdana" w:eastAsia="Times New Roman" w:hAnsi="Verdana" w:cs="Arial"/>
          <w:color w:val="000000"/>
          <w:szCs w:val="24"/>
          <w:lang w:val="es-ES_tradnl"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303985">
        <w:rPr>
          <w:rFonts w:ascii="Verdana" w:eastAsia="Times New Roman" w:hAnsi="Verdana" w:cs="Arial"/>
          <w:i/>
          <w:iCs/>
          <w:color w:val="000000"/>
          <w:szCs w:val="24"/>
          <w:lang w:val="es-ES_tradnl" w:eastAsia="es-ES_tradnl"/>
        </w:rPr>
        <w:t>liquidar</w:t>
      </w:r>
      <w:r w:rsidRPr="00303985">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303985">
        <w:rPr>
          <w:rFonts w:ascii="Verdana" w:eastAsia="Times New Roman" w:hAnsi="Verdana" w:cs="Arial"/>
          <w:i/>
          <w:iCs/>
          <w:color w:val="000000"/>
          <w:szCs w:val="24"/>
          <w:lang w:val="es-ES_tradnl" w:eastAsia="es-ES_tradnl"/>
        </w:rPr>
        <w:t>liquidación</w:t>
      </w:r>
      <w:r w:rsidRPr="00303985">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303985">
        <w:rPr>
          <w:rFonts w:ascii="Verdana" w:eastAsia="Times New Roman" w:hAnsi="Verdana" w:cs="Arial"/>
          <w:color w:val="000000"/>
          <w:szCs w:val="24"/>
          <w:vertAlign w:val="superscript"/>
          <w:lang w:val="es-ES_tradnl" w:eastAsia="es-ES_tradnl"/>
        </w:rPr>
        <w:footnoteReference w:id="3"/>
      </w:r>
      <w:r w:rsidRPr="00303985">
        <w:rPr>
          <w:rFonts w:ascii="Verdana" w:eastAsia="Times New Roman" w:hAnsi="Verdana" w:cs="Arial"/>
          <w:color w:val="000000"/>
          <w:szCs w:val="24"/>
          <w:lang w:val="es-ES_tradnl" w:eastAsia="es-ES_tradnl"/>
        </w:rPr>
        <w:t xml:space="preserve">. </w:t>
      </w:r>
    </w:p>
    <w:p w14:paraId="4787B3F3" w14:textId="77777777" w:rsidR="005D61A0" w:rsidRPr="00303985" w:rsidRDefault="005D61A0" w:rsidP="005D61A0">
      <w:pPr>
        <w:spacing w:after="0" w:line="276" w:lineRule="auto"/>
        <w:ind w:firstLine="709"/>
        <w:jc w:val="both"/>
        <w:rPr>
          <w:rFonts w:ascii="Verdana" w:eastAsia="Times New Roman" w:hAnsi="Verdana" w:cs="Arial"/>
          <w:color w:val="000000"/>
          <w:lang w:val="es-ES_tradnl"/>
        </w:rPr>
      </w:pPr>
      <w:r w:rsidRPr="00303985">
        <w:rPr>
          <w:rFonts w:ascii="Verdana" w:eastAsia="Times New Roman" w:hAnsi="Verdana" w:cs="Arial"/>
          <w:color w:val="000000"/>
          <w:lang w:val="es-ES_tradnl"/>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3C0F3B62" w14:textId="77777777" w:rsidR="005D61A0" w:rsidRPr="00303985" w:rsidRDefault="005D61A0" w:rsidP="005D61A0">
      <w:pPr>
        <w:spacing w:after="0" w:line="276" w:lineRule="auto"/>
        <w:ind w:firstLine="708"/>
        <w:jc w:val="both"/>
        <w:rPr>
          <w:rFonts w:ascii="Verdana" w:eastAsia="Times New Roman" w:hAnsi="Verdana" w:cs="Arial"/>
          <w:lang w:val="es-ES"/>
        </w:rPr>
      </w:pPr>
    </w:p>
    <w:p w14:paraId="2F65EABB" w14:textId="77777777" w:rsidR="005D61A0" w:rsidRPr="006F234B" w:rsidRDefault="005D61A0" w:rsidP="005D61A0">
      <w:pPr>
        <w:spacing w:after="0" w:line="240" w:lineRule="auto"/>
        <w:ind w:left="709" w:right="758"/>
        <w:jc w:val="both"/>
        <w:rPr>
          <w:rFonts w:ascii="Verdana" w:eastAsia="Times New Roman" w:hAnsi="Verdana" w:cs="Arial"/>
          <w:sz w:val="20"/>
          <w:szCs w:val="20"/>
          <w:lang w:val="es-MX"/>
        </w:rPr>
      </w:pPr>
      <w:r w:rsidRPr="006F234B">
        <w:rPr>
          <w:rFonts w:ascii="Verdana" w:eastAsia="Times New Roman" w:hAnsi="Verdana" w:cs="Arial"/>
          <w:sz w:val="20"/>
          <w:szCs w:val="20"/>
          <w:lang w:val="es-ES"/>
        </w:rPr>
        <w:t>“</w:t>
      </w:r>
      <w:r w:rsidRPr="006F234B">
        <w:rPr>
          <w:rFonts w:ascii="Verdana" w:eastAsia="Times New Roman" w:hAnsi="Verdana" w:cs="Arial"/>
          <w:sz w:val="20"/>
          <w:szCs w:val="20"/>
          <w:lang w:val="es-MX"/>
        </w:rPr>
        <w:t>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Pr="006F234B">
        <w:rPr>
          <w:rFonts w:ascii="Verdana" w:eastAsia="Times New Roman" w:hAnsi="Verdana" w:cs="Arial"/>
          <w:sz w:val="20"/>
          <w:szCs w:val="20"/>
          <w:vertAlign w:val="superscript"/>
          <w:lang w:val="es-MX"/>
        </w:rPr>
        <w:footnoteReference w:id="4"/>
      </w:r>
      <w:r w:rsidRPr="006F234B">
        <w:rPr>
          <w:rFonts w:ascii="Verdana" w:eastAsia="Times New Roman" w:hAnsi="Verdana" w:cs="Arial"/>
          <w:sz w:val="20"/>
          <w:szCs w:val="20"/>
          <w:lang w:val="es-MX"/>
        </w:rPr>
        <w:t>.</w:t>
      </w:r>
    </w:p>
    <w:p w14:paraId="73EAD063" w14:textId="77777777" w:rsidR="005D61A0" w:rsidRPr="006F234B" w:rsidRDefault="005D61A0" w:rsidP="005D61A0">
      <w:pPr>
        <w:spacing w:after="0" w:line="276" w:lineRule="auto"/>
        <w:ind w:left="709" w:right="758"/>
        <w:jc w:val="both"/>
        <w:rPr>
          <w:rFonts w:ascii="Verdana" w:eastAsia="Times New Roman" w:hAnsi="Verdana" w:cs="Arial"/>
          <w:sz w:val="20"/>
          <w:szCs w:val="20"/>
          <w:lang w:val="es-MX"/>
        </w:rPr>
      </w:pPr>
    </w:p>
    <w:p w14:paraId="1249589C" w14:textId="77777777" w:rsidR="005D61A0" w:rsidRPr="00303985" w:rsidRDefault="005D61A0" w:rsidP="005D61A0">
      <w:pPr>
        <w:spacing w:after="120" w:line="276" w:lineRule="auto"/>
        <w:ind w:firstLine="708"/>
        <w:jc w:val="both"/>
        <w:rPr>
          <w:rFonts w:ascii="Verdana" w:eastAsia="Times New Roman" w:hAnsi="Verdana" w:cs="Arial"/>
          <w:color w:val="000000"/>
          <w:lang w:val="es-ES_tradnl"/>
        </w:rPr>
      </w:pPr>
      <w:r>
        <w:rPr>
          <w:rFonts w:ascii="Verdana" w:eastAsia="Times New Roman" w:hAnsi="Verdana" w:cs="Arial"/>
          <w:color w:val="000000"/>
          <w:lang w:val="es-MX"/>
        </w:rPr>
        <w:t xml:space="preserve">De </w:t>
      </w:r>
      <w:r w:rsidRPr="00303985">
        <w:rPr>
          <w:rFonts w:ascii="Verdana" w:eastAsia="Times New Roman" w:hAnsi="Verdana" w:cs="Arial"/>
          <w:color w:val="000000"/>
          <w:lang w:val="es-ES_tradnl"/>
        </w:rPr>
        <w:t>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303985">
        <w:rPr>
          <w:rFonts w:ascii="Verdana" w:eastAsia="Times New Roman" w:hAnsi="Verdana" w:cs="Arial"/>
          <w:color w:val="000000"/>
          <w:vertAlign w:val="superscript"/>
          <w:lang w:val="es-ES_tradnl"/>
        </w:rPr>
        <w:footnoteReference w:id="5"/>
      </w:r>
      <w:r w:rsidRPr="00303985">
        <w:rPr>
          <w:rFonts w:ascii="Verdana" w:eastAsia="Times New Roman" w:hAnsi="Verdana" w:cs="Arial"/>
          <w:color w:val="000000"/>
          <w:lang w:val="es-ES_tradnl"/>
        </w:rPr>
        <w:t xml:space="preserve">, así como la probabilidad de que puedan surgir diferencias durante la ejecución del contrato; sin perjuicio de que, como se indicó, todos los contratos estatales de </w:t>
      </w:r>
      <w:r w:rsidRPr="00303985">
        <w:rPr>
          <w:rFonts w:ascii="Verdana" w:eastAsia="Times New Roman" w:hAnsi="Verdana" w:cs="Arial"/>
          <w:i/>
          <w:iCs/>
          <w:color w:val="000000"/>
          <w:lang w:val="es-ES_tradnl"/>
        </w:rPr>
        <w:t>tracto sucesivo</w:t>
      </w:r>
      <w:r w:rsidRPr="00303985">
        <w:rPr>
          <w:rFonts w:ascii="Verdana" w:eastAsia="Times New Roman" w:hAnsi="Verdana" w:cs="Arial"/>
          <w:color w:val="000000"/>
          <w:lang w:val="es-ES_tradnl"/>
        </w:rPr>
        <w:t xml:space="preserve"> o aquellos cuya ejecución se prolongue en el tiempo siempre deban liquidarse, convirtiéndose en estos contratos en una cláusula de la naturaleza, conforme a la clasificación prevista en el Código Civil.</w:t>
      </w:r>
    </w:p>
    <w:p w14:paraId="22D908DA" w14:textId="77777777" w:rsidR="005D61A0" w:rsidRDefault="005D61A0" w:rsidP="005D61A0">
      <w:pPr>
        <w:spacing w:after="120" w:line="276" w:lineRule="auto"/>
        <w:jc w:val="both"/>
        <w:rPr>
          <w:rFonts w:ascii="Verdana" w:eastAsia="Times New Roman" w:hAnsi="Verdana" w:cs="Arial"/>
          <w:color w:val="000000"/>
          <w:lang w:val="es-ES"/>
        </w:rPr>
      </w:pPr>
    </w:p>
    <w:p w14:paraId="7B35652A" w14:textId="77777777" w:rsidR="005D61A0" w:rsidRPr="00303985" w:rsidRDefault="005D61A0" w:rsidP="005D61A0">
      <w:pPr>
        <w:spacing w:after="120" w:line="276" w:lineRule="auto"/>
        <w:jc w:val="both"/>
        <w:rPr>
          <w:rFonts w:ascii="Verdana" w:eastAsia="Times New Roman" w:hAnsi="Verdana" w:cs="Arial"/>
          <w:color w:val="000000"/>
          <w:lang w:val="es-ES"/>
        </w:rPr>
      </w:pPr>
      <w:proofErr w:type="spellStart"/>
      <w:r>
        <w:rPr>
          <w:rFonts w:ascii="Verdana" w:eastAsia="Times New Roman" w:hAnsi="Verdana" w:cs="Arial"/>
          <w:color w:val="000000"/>
          <w:lang w:val="es-ES"/>
        </w:rPr>
        <w:t>ii</w:t>
      </w:r>
      <w:proofErr w:type="spellEnd"/>
      <w:r>
        <w:rPr>
          <w:rFonts w:ascii="Verdana" w:eastAsia="Times New Roman" w:hAnsi="Verdana" w:cs="Arial"/>
          <w:color w:val="000000"/>
          <w:lang w:val="es-ES"/>
        </w:rPr>
        <w:t xml:space="preserve">. El </w:t>
      </w:r>
      <w:r w:rsidRPr="00303985">
        <w:rPr>
          <w:rFonts w:ascii="Verdana" w:eastAsia="Times New Roman" w:hAnsi="Verdana" w:cs="Arial"/>
          <w:color w:val="000000"/>
          <w:lang w:val="es-ES"/>
        </w:rPr>
        <w:t>artículo 11 de la Ley 1150 de 2007 contiene las reglas de tipo procedimental para liquidar los contratos estatales, las cuales se pasan a explicar</w:t>
      </w:r>
      <w:r w:rsidRPr="00303985">
        <w:rPr>
          <w:rFonts w:ascii="Verdana" w:eastAsia="Times New Roman" w:hAnsi="Verdana" w:cs="Arial"/>
          <w:color w:val="000000"/>
          <w:vertAlign w:val="superscript"/>
          <w:lang w:val="es-ES"/>
        </w:rPr>
        <w:footnoteReference w:id="6"/>
      </w:r>
      <w:r w:rsidRPr="00303985">
        <w:rPr>
          <w:rFonts w:ascii="Verdana" w:eastAsia="Times New Roman" w:hAnsi="Verdana" w:cs="Arial"/>
          <w:color w:val="000000"/>
          <w:lang w:val="es-ES"/>
        </w:rPr>
        <w:t xml:space="preserve">.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00303985">
        <w:rPr>
          <w:rFonts w:ascii="Verdana" w:eastAsia="Times New Roman" w:hAnsi="Verdana" w:cs="Arial"/>
          <w:color w:val="000000"/>
          <w:lang w:val="es-ES"/>
        </w:rPr>
        <w:t>ii</w:t>
      </w:r>
      <w:proofErr w:type="spellEnd"/>
      <w:r w:rsidRPr="00303985">
        <w:rPr>
          <w:rFonts w:ascii="Verdana" w:eastAsia="Times New Roman" w:hAnsi="Verdana" w:cs="Arial"/>
          <w:color w:val="000000"/>
          <w:lang w:val="es-ES"/>
        </w:rPr>
        <w:t xml:space="preserve">) la expedición </w:t>
      </w:r>
      <w:r w:rsidRPr="00303985">
        <w:rPr>
          <w:rFonts w:ascii="Verdana" w:eastAsia="Times New Roman" w:hAnsi="Verdana" w:cs="Arial"/>
          <w:color w:val="000000"/>
          <w:lang w:val="es-ES"/>
        </w:rPr>
        <w:lastRenderedPageBreak/>
        <w:t xml:space="preserve">del acto administrativo que ordene la terminación del contrato; o, </w:t>
      </w:r>
      <w:proofErr w:type="spellStart"/>
      <w:r w:rsidRPr="00303985">
        <w:rPr>
          <w:rFonts w:ascii="Verdana" w:eastAsia="Times New Roman" w:hAnsi="Verdana" w:cs="Arial"/>
          <w:color w:val="000000"/>
          <w:lang w:val="es-ES"/>
        </w:rPr>
        <w:t>iii</w:t>
      </w:r>
      <w:proofErr w:type="spellEnd"/>
      <w:r w:rsidRPr="00303985">
        <w:rPr>
          <w:rFonts w:ascii="Verdana" w:eastAsia="Times New Roman" w:hAnsi="Verdana" w:cs="Arial"/>
          <w:color w:val="000000"/>
          <w:lang w:val="es-ES"/>
        </w:rPr>
        <w:t>) la fecha del acuerdo que disponga la terminación del contrato.</w:t>
      </w:r>
    </w:p>
    <w:p w14:paraId="4A76F185" w14:textId="77777777" w:rsidR="005D61A0" w:rsidRPr="00303985" w:rsidRDefault="005D61A0" w:rsidP="005D61A0">
      <w:pPr>
        <w:spacing w:after="120" w:line="276" w:lineRule="auto"/>
        <w:ind w:firstLine="709"/>
        <w:jc w:val="both"/>
        <w:rPr>
          <w:rFonts w:ascii="Verdana" w:eastAsia="Times New Roman" w:hAnsi="Verdana" w:cs="Arial"/>
          <w:lang w:val="es-ES_tradnl" w:eastAsia="es-ES_tradnl"/>
        </w:rPr>
      </w:pPr>
      <w:r w:rsidRPr="00303985">
        <w:rPr>
          <w:rFonts w:ascii="Verdana" w:eastAsia="Times New Roman" w:hAnsi="Verdana" w:cs="Arial"/>
          <w:szCs w:val="24"/>
          <w:lang w:val="es-ES_tradnl" w:eastAsia="es-ES_tradnl"/>
        </w:rPr>
        <w:t xml:space="preserve">El artículo </w:t>
      </w:r>
      <w:r>
        <w:rPr>
          <w:rFonts w:ascii="Verdana" w:eastAsia="Times New Roman" w:hAnsi="Verdana" w:cs="Arial"/>
          <w:szCs w:val="24"/>
          <w:lang w:val="es-ES_tradnl" w:eastAsia="es-ES_tradnl"/>
        </w:rPr>
        <w:t>11 de la Ley 1150 de 2007 prescribe</w:t>
      </w:r>
      <w:r w:rsidRPr="00303985">
        <w:rPr>
          <w:rFonts w:ascii="Verdana" w:eastAsia="Times New Roman" w:hAnsi="Verdana" w:cs="Arial"/>
          <w:szCs w:val="24"/>
          <w:lang w:val="es-ES_tradnl" w:eastAsia="es-ES_tradnl"/>
        </w:rPr>
        <w:t xml:space="preserve"> que la liquidación de mutuo acuerdo deberá realizar dentro del plazo previsto en “</w:t>
      </w:r>
      <w:r w:rsidRPr="00303985">
        <w:rPr>
          <w:rFonts w:ascii="Verdana" w:eastAsia="Times New Roman" w:hAnsi="Verdana" w:cs="Arial"/>
          <w:lang w:val="es-ES_tradnl" w:eastAsia="es-ES_tradnl"/>
        </w:rPr>
        <w:t>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w:t>
      </w:r>
      <w:r w:rsidRPr="00303985">
        <w:rPr>
          <w:rFonts w:ascii="Verdana" w:eastAsia="Times New Roman" w:hAnsi="Verdana" w:cs="Arial"/>
          <w:szCs w:val="24"/>
          <w:lang w:val="es-ES_tradnl" w:eastAsia="es-ES_tradnl"/>
        </w:rPr>
        <w:t>materializa los principios de planeación contractual y de trasparencia, comoquiera que su adecuada formulación permite o garantiza la selección objetiva del contratista de acuerdo con los parámetros de calificación correspondientes para cada tipo de procedimiento [y que</w:t>
      </w:r>
      <w:r w:rsidRPr="00303985">
        <w:rPr>
          <w:rFonts w:ascii="Verdana" w:eastAsia="Times New Roman" w:hAnsi="Verdana" w:cs="Arial"/>
          <w:lang w:val="es-ES_tradnl" w:eastAsia="es-ES_tradnl"/>
        </w:rPr>
        <w:t>] constituye la ley tanto del procedimiento administrativo de selección del contratista, como del contrato a</w:t>
      </w:r>
      <w:r w:rsidRPr="00303985">
        <w:rPr>
          <w:rFonts w:ascii="Verdana" w:eastAsia="Times New Roman" w:hAnsi="Verdana" w:cs="Arial"/>
          <w:spacing w:val="-7"/>
          <w:lang w:val="es-ES_tradnl" w:eastAsia="es-ES_tradnl"/>
        </w:rPr>
        <w:t xml:space="preserve"> </w:t>
      </w:r>
      <w:r w:rsidRPr="00303985">
        <w:rPr>
          <w:rFonts w:ascii="Verdana" w:eastAsia="Times New Roman" w:hAnsi="Verdana" w:cs="Arial"/>
          <w:lang w:val="es-ES_tradnl" w:eastAsia="es-ES_tradnl"/>
        </w:rPr>
        <w:t>celebrar”</w:t>
      </w:r>
      <w:r w:rsidRPr="00303985">
        <w:rPr>
          <w:rFonts w:ascii="Verdana" w:eastAsia="Times New Roman" w:hAnsi="Verdana" w:cs="Arial"/>
          <w:vertAlign w:val="superscript"/>
          <w:lang w:val="es-ES_tradnl" w:eastAsia="es-ES_tradnl"/>
        </w:rPr>
        <w:footnoteReference w:id="7"/>
      </w:r>
      <w:r w:rsidRPr="00303985">
        <w:rPr>
          <w:rFonts w:ascii="Verdana" w:eastAsia="Times New Roman" w:hAnsi="Verdana" w:cs="Arial"/>
          <w:lang w:val="es-ES_tradnl" w:eastAsia="es-ES_tradnl"/>
        </w:rPr>
        <w:t>. A partir de tales características debe determinarse la equivalencia de un documento con un pliego de condiciones, la cual puede ejemplificarse con la invitación a participar en los procesos de mínima cuantía</w:t>
      </w:r>
      <w:r w:rsidRPr="00303985">
        <w:rPr>
          <w:rFonts w:ascii="Verdana" w:eastAsia="Times New Roman" w:hAnsi="Verdana" w:cs="Arial"/>
          <w:vertAlign w:val="superscript"/>
          <w:lang w:val="es-ES_tradnl" w:eastAsia="es-ES_tradnl"/>
        </w:rPr>
        <w:footnoteReference w:id="8"/>
      </w:r>
      <w:r w:rsidRPr="00303985">
        <w:rPr>
          <w:rFonts w:ascii="Verdana" w:eastAsia="Times New Roman" w:hAnsi="Verdana" w:cs="Arial"/>
          <w:lang w:val="es-ES_tradnl" w:eastAsia="es-ES_tradnl"/>
        </w:rPr>
        <w:t xml:space="preserve">, documento dentro del cual la entidad contratante debe fijar las reglas aplicables al procedimiento de selección, cumpliendo con la función del pliego de condiciones. En tal sentido, es un documento “equivalente” del mismo en los términos del artículo 11 </w:t>
      </w:r>
      <w:r w:rsidRPr="00303985">
        <w:rPr>
          <w:rFonts w:ascii="Verdana" w:eastAsia="Times New Roman" w:hAnsi="Verdana" w:cs="Arial"/>
          <w:i/>
          <w:iCs/>
          <w:lang w:val="es-ES_tradnl" w:eastAsia="es-ES_tradnl"/>
        </w:rPr>
        <w:t>ibidem</w:t>
      </w:r>
      <w:r w:rsidRPr="00303985">
        <w:rPr>
          <w:rFonts w:ascii="Verdana" w:eastAsia="Times New Roman" w:hAnsi="Verdana" w:cs="Arial"/>
          <w:lang w:val="es-ES_tradnl" w:eastAsia="es-ES_tradnl"/>
        </w:rPr>
        <w:t xml:space="preserve">, dentro del cual es viable establecer el plazo para la liquidación de mutuo acuerdo. </w:t>
      </w:r>
    </w:p>
    <w:p w14:paraId="501C5F7F" w14:textId="77777777" w:rsidR="005D61A0" w:rsidRPr="00303985" w:rsidRDefault="005D61A0" w:rsidP="005D61A0">
      <w:pPr>
        <w:spacing w:after="120" w:line="276" w:lineRule="auto"/>
        <w:ind w:firstLine="709"/>
        <w:jc w:val="both"/>
        <w:rPr>
          <w:rFonts w:ascii="Verdana" w:eastAsia="Times New Roman" w:hAnsi="Verdana" w:cs="Arial"/>
          <w:lang w:val="es-ES" w:eastAsia="es-ES"/>
        </w:rPr>
      </w:pPr>
      <w:r w:rsidRPr="00303985">
        <w:rPr>
          <w:rFonts w:ascii="Verdana" w:eastAsia="Times New Roman" w:hAnsi="Verdana" w:cs="Arial"/>
          <w:lang w:val="es-ES" w:eastAsia="es-ES"/>
        </w:rPr>
        <w:t xml:space="preserve">De otra parte, cuando el artículo 11 de la Ley 1150 de 2007 </w:t>
      </w:r>
      <w:r>
        <w:rPr>
          <w:rFonts w:ascii="Verdana" w:eastAsia="Times New Roman" w:hAnsi="Verdana" w:cs="Arial"/>
          <w:lang w:val="es-ES" w:eastAsia="es-ES"/>
        </w:rPr>
        <w:t>se refiere</w:t>
      </w:r>
      <w:r w:rsidRPr="00303985">
        <w:rPr>
          <w:rFonts w:ascii="Verdana" w:eastAsia="Times New Roman" w:hAnsi="Verdana" w:cs="Arial"/>
          <w:lang w:val="es-ES" w:eastAsia="es-ES"/>
        </w:rPr>
        <w:t xml:space="preserve"> al término que “acuerden las partes”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w:t>
      </w:r>
      <w:r w:rsidRPr="00303985">
        <w:rPr>
          <w:rFonts w:ascii="Verdana" w:eastAsia="Times New Roman" w:hAnsi="Verdana" w:cs="Arial"/>
          <w:lang w:val="es-ES" w:eastAsia="es-ES"/>
        </w:rPr>
        <w:lastRenderedPageBreak/>
        <w:t>Este hecho no impide que, en el marco de la ejecución del contrato, las partes acuerden fijar el referido plazo; acuerdo que, en tanto significa una alteración de las reglas que orientan la relación contractual, implica una modificación del contrato. Por tal razón, su celebración debe cumplir con los requisitos del negocio jurídico, ameritando la concurrencia de capacidad jurídica de los agentes, un consentimiento libre de vicios, un objeto y causa lícita, así como la formalidad escrita requerida en materia de contratación estatal</w:t>
      </w:r>
      <w:r w:rsidRPr="00303985">
        <w:rPr>
          <w:rFonts w:ascii="Verdana" w:eastAsia="Times New Roman" w:hAnsi="Verdana" w:cs="Arial"/>
          <w:vertAlign w:val="superscript"/>
          <w:lang w:val="es-ES" w:eastAsia="es-ES"/>
        </w:rPr>
        <w:footnoteReference w:id="9"/>
      </w:r>
      <w:r w:rsidRPr="00303985">
        <w:rPr>
          <w:rFonts w:ascii="Verdana" w:eastAsia="Times New Roman" w:hAnsi="Verdana" w:cs="Arial"/>
          <w:lang w:val="es-ES" w:eastAsia="es-ES"/>
        </w:rPr>
        <w:t xml:space="preserve">. </w:t>
      </w:r>
    </w:p>
    <w:p w14:paraId="6B885F5B" w14:textId="77777777" w:rsidR="005D61A0" w:rsidRPr="00303985" w:rsidRDefault="005D61A0" w:rsidP="005D61A0">
      <w:pPr>
        <w:spacing w:after="120" w:line="276" w:lineRule="auto"/>
        <w:ind w:firstLine="709"/>
        <w:jc w:val="both"/>
        <w:rPr>
          <w:rFonts w:ascii="Verdana" w:eastAsia="Times New Roman" w:hAnsi="Verdana" w:cs="Arial"/>
          <w:lang w:val="es-ES"/>
        </w:rPr>
      </w:pPr>
      <w:r w:rsidRPr="00303985">
        <w:rPr>
          <w:rFonts w:ascii="Verdana" w:eastAsia="Times New Roman" w:hAnsi="Verdana" w:cs="Arial"/>
          <w:lang w:val="es-ES"/>
        </w:rPr>
        <w:t xml:space="preserve">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w:t>
      </w:r>
      <w:r>
        <w:rPr>
          <w:rFonts w:ascii="Verdana" w:eastAsia="Times New Roman" w:hAnsi="Verdana" w:cs="Arial"/>
          <w:lang w:val="es-ES"/>
        </w:rPr>
        <w:t xml:space="preserve">están </w:t>
      </w:r>
      <w:r w:rsidRPr="00303985">
        <w:rPr>
          <w:rFonts w:ascii="Verdana" w:eastAsia="Times New Roman" w:hAnsi="Verdana" w:cs="Arial"/>
          <w:lang w:val="es-ES"/>
        </w:rPr>
        <w:t>sometidas a los principios de la función administrativa</w:t>
      </w:r>
      <w:r w:rsidRPr="00303985">
        <w:rPr>
          <w:rFonts w:ascii="Verdana" w:eastAsia="Times New Roman" w:hAnsi="Verdana" w:cs="Arial"/>
          <w:vertAlign w:val="superscript"/>
          <w:lang w:val="es-ES"/>
        </w:rPr>
        <w:footnoteReference w:id="10"/>
      </w:r>
      <w:r w:rsidRPr="00303985">
        <w:rPr>
          <w:rFonts w:ascii="Verdana" w:eastAsia="Times New Roman" w:hAnsi="Verdana" w:cs="Arial"/>
          <w:lang w:val="es-ES"/>
        </w:rPr>
        <w:t>, lo cual implica que las mismas se desarrollen en procura de la economía y la celeridad</w:t>
      </w:r>
      <w:r w:rsidRPr="00303985">
        <w:rPr>
          <w:rFonts w:ascii="Verdana" w:eastAsia="Times New Roman" w:hAnsi="Verdana" w:cs="Arial"/>
          <w:vertAlign w:val="superscript"/>
          <w:lang w:val="es-ES"/>
        </w:rPr>
        <w:footnoteReference w:id="11"/>
      </w:r>
      <w:r w:rsidRPr="00303985">
        <w:rPr>
          <w:rFonts w:ascii="Verdana" w:eastAsia="Times New Roman" w:hAnsi="Verdana" w:cs="Arial"/>
          <w:lang w:val="es-ES"/>
        </w:rPr>
        <w:t xml:space="preserve">. Esto significa que, en ejercicio de la facultad que les asiste para fijar el plazo para la liquidación </w:t>
      </w:r>
      <w:r w:rsidRPr="00303985">
        <w:rPr>
          <w:rFonts w:ascii="Verdana" w:eastAsia="Times New Roman" w:hAnsi="Verdana" w:cs="Arial"/>
          <w:lang w:val="es-ES"/>
        </w:rPr>
        <w:lastRenderedPageBreak/>
        <w:t>bilateral, las partes deben actuar en garantía de estos principios, por lo que el término que se acuerde debe fijarse de manera razonable.</w:t>
      </w:r>
    </w:p>
    <w:p w14:paraId="69BF0630" w14:textId="77777777" w:rsidR="005D61A0" w:rsidRPr="002C3A66" w:rsidRDefault="005D61A0" w:rsidP="005D61A0">
      <w:pPr>
        <w:spacing w:after="120" w:line="276" w:lineRule="auto"/>
        <w:ind w:firstLine="709"/>
        <w:jc w:val="both"/>
        <w:rPr>
          <w:rFonts w:ascii="Verdana" w:eastAsia="Times New Roman" w:hAnsi="Verdana" w:cs="Arial"/>
          <w:color w:val="000000"/>
          <w:lang w:val="es-ES_tradnl"/>
        </w:rPr>
      </w:pPr>
      <w:r w:rsidRPr="00303985">
        <w:rPr>
          <w:rFonts w:ascii="Verdana" w:eastAsia="Times New Roman" w:hAnsi="Verdana" w:cs="Arial"/>
          <w:color w:val="000000"/>
          <w:lang w:val="es-ES_tradn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303985">
        <w:rPr>
          <w:rFonts w:ascii="Verdana" w:eastAsia="Times New Roman" w:hAnsi="Verdana" w:cs="Arial"/>
          <w:color w:val="000000"/>
          <w:vertAlign w:val="superscript"/>
          <w:lang w:val="es-ES_tradnl"/>
        </w:rPr>
        <w:footnoteReference w:id="12"/>
      </w:r>
      <w:r w:rsidRPr="00303985">
        <w:rPr>
          <w:rFonts w:ascii="Verdana" w:eastAsia="Times New Roman" w:hAnsi="Verdana" w:cs="Arial"/>
          <w:color w:val="000000"/>
          <w:lang w:val="es-ES_tradnl"/>
        </w:rPr>
        <w:t>, de manera que el contrato pueda liquidarse bilateralmente, bien sea en el plazo previsto en el pliego de condiciones, el acordado por las partes, o</w:t>
      </w:r>
      <w:r>
        <w:rPr>
          <w:rFonts w:ascii="Verdana" w:eastAsia="Times New Roman" w:hAnsi="Verdana" w:cs="Arial"/>
          <w:color w:val="000000"/>
          <w:lang w:val="es-ES_tradnl"/>
        </w:rPr>
        <w:t xml:space="preserve"> el supletivo de cuatro meses dispuesto</w:t>
      </w:r>
      <w:r w:rsidRPr="00303985">
        <w:rPr>
          <w:rFonts w:ascii="Verdana" w:eastAsia="Times New Roman" w:hAnsi="Verdana" w:cs="Arial"/>
          <w:color w:val="000000"/>
          <w:lang w:val="es-ES_tradnl"/>
        </w:rPr>
        <w:t xml:space="preserve"> en la ley, según corresponda. Esta liquidación bilateral puede ser total o parcial</w:t>
      </w:r>
      <w:r w:rsidRPr="00303985">
        <w:rPr>
          <w:rFonts w:ascii="Verdana" w:eastAsia="Times New Roman" w:hAnsi="Verdana" w:cs="Arial"/>
          <w:iCs/>
          <w:color w:val="000000"/>
          <w:vertAlign w:val="superscript"/>
          <w:lang w:val="es-ES_tradnl"/>
        </w:rPr>
        <w:footnoteReference w:id="13"/>
      </w:r>
      <w:r w:rsidRPr="00303985">
        <w:rPr>
          <w:rFonts w:ascii="Verdana" w:eastAsia="Times New Roman" w:hAnsi="Verdana" w:cs="Arial"/>
          <w:color w:val="000000"/>
          <w:lang w:val="es-ES_tradnl"/>
        </w:rPr>
        <w:t xml:space="preserve">, y </w:t>
      </w:r>
      <w:r w:rsidRPr="00303985">
        <w:rPr>
          <w:rFonts w:ascii="Verdana" w:eastAsia="Times New Roman" w:hAnsi="Verdana" w:cs="Arial"/>
          <w:iCs/>
          <w:color w:val="000000"/>
          <w:lang w:val="es-ES_tradnl"/>
        </w:rPr>
        <w:t>el documento que la contiene presta mérito ejecutivo, siempre que se satisfagan los elementos para considerarlo como tal</w:t>
      </w:r>
      <w:r w:rsidRPr="00303985">
        <w:rPr>
          <w:rFonts w:ascii="Verdana" w:eastAsia="Times New Roman" w:hAnsi="Verdana" w:cs="Arial"/>
          <w:color w:val="000000"/>
          <w:lang w:val="es-ES_tradnl"/>
        </w:rPr>
        <w:t>.</w:t>
      </w:r>
      <w:r>
        <w:rPr>
          <w:rFonts w:ascii="Verdana" w:eastAsia="Times New Roman" w:hAnsi="Verdana" w:cs="Arial"/>
          <w:color w:val="000000"/>
          <w:lang w:val="es-ES_tradnl"/>
        </w:rPr>
        <w:t xml:space="preserve"> </w:t>
      </w:r>
      <w:r w:rsidRPr="00303985">
        <w:rPr>
          <w:rFonts w:ascii="Verdana" w:eastAsia="Times New Roman" w:hAnsi="Verdana" w:cs="Arial"/>
          <w:color w:val="000000"/>
          <w:bdr w:val="none" w:sz="0" w:space="0" w:color="auto" w:frame="1"/>
          <w:shd w:val="clear" w:color="auto" w:fill="FFFFFF"/>
          <w:lang w:val="es-ES" w:eastAsia="es-ES_tradnl"/>
        </w:rPr>
        <w:t xml:space="preserve">Si no es posible efectuar la liquidación de manera bilateral, el ordenamiento jurídico prevé una facultad, de carácter subsidiario, para que la Entidad Estatal realice la liquidación unilateralmente. En relación con este aspecto, la </w:t>
      </w:r>
      <w:r w:rsidRPr="00303985">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303985">
        <w:rPr>
          <w:rFonts w:ascii="Verdana" w:eastAsia="Times New Roman" w:hAnsi="Verdana" w:cs="Arial"/>
          <w:color w:val="000000"/>
          <w:bdr w:val="none" w:sz="0" w:space="0" w:color="auto" w:frame="1"/>
          <w:shd w:val="clear" w:color="auto" w:fill="FFFFFF"/>
          <w:lang w:val="es-ES" w:eastAsia="es-ES_tradnl"/>
        </w:rPr>
        <w:t>Consejo de Estado</w:t>
      </w:r>
      <w:r w:rsidRPr="00303985">
        <w:rPr>
          <w:rFonts w:ascii="Verdana" w:eastAsia="Times New Roman" w:hAnsi="Verdana" w:cs="Arial"/>
          <w:color w:val="000000"/>
          <w:bdr w:val="none" w:sz="0" w:space="0" w:color="auto" w:frame="1"/>
          <w:shd w:val="clear" w:color="auto" w:fill="FFFFFF"/>
          <w:lang w:val="es-MX" w:eastAsia="es-ES_tradnl"/>
        </w:rPr>
        <w:t xml:space="preserve">, en </w:t>
      </w:r>
      <w:r>
        <w:rPr>
          <w:rFonts w:ascii="Verdana" w:eastAsia="Times New Roman" w:hAnsi="Verdana" w:cs="Arial"/>
          <w:color w:val="000000"/>
          <w:bdr w:val="none" w:sz="0" w:space="0" w:color="auto" w:frame="1"/>
          <w:shd w:val="clear" w:color="auto" w:fill="FFFFFF"/>
          <w:lang w:val="es-MX" w:eastAsia="es-ES_tradnl"/>
        </w:rPr>
        <w:t>C</w:t>
      </w:r>
      <w:r w:rsidRPr="00303985">
        <w:rPr>
          <w:rFonts w:ascii="Verdana" w:eastAsia="Times New Roman" w:hAnsi="Verdana" w:cs="Arial"/>
          <w:color w:val="000000"/>
          <w:bdr w:val="none" w:sz="0" w:space="0" w:color="auto" w:frame="1"/>
          <w:shd w:val="clear" w:color="auto" w:fill="FFFFFF"/>
          <w:lang w:val="es-MX" w:eastAsia="es-ES_tradnl"/>
        </w:rPr>
        <w:t>oncepto del 28 de junio de 2016, manifestó que:  </w:t>
      </w:r>
    </w:p>
    <w:p w14:paraId="605D6170" w14:textId="77777777" w:rsidR="005D61A0" w:rsidRPr="006F234B" w:rsidRDefault="005D61A0" w:rsidP="005D61A0">
      <w:pPr>
        <w:spacing w:after="0" w:line="276" w:lineRule="auto"/>
        <w:ind w:left="705" w:right="750"/>
        <w:jc w:val="both"/>
        <w:rPr>
          <w:rFonts w:ascii="Verdana" w:eastAsia="Times New Roman" w:hAnsi="Verdana" w:cs="Arial"/>
          <w:color w:val="000000"/>
          <w:sz w:val="20"/>
          <w:szCs w:val="20"/>
          <w:lang w:eastAsia="es-ES_tradnl"/>
        </w:rPr>
      </w:pPr>
    </w:p>
    <w:p w14:paraId="796FE525" w14:textId="77777777" w:rsidR="005D61A0" w:rsidRPr="006F234B" w:rsidRDefault="005D61A0" w:rsidP="005D61A0">
      <w:pPr>
        <w:spacing w:after="0" w:line="240" w:lineRule="auto"/>
        <w:ind w:left="705" w:right="750"/>
        <w:jc w:val="both"/>
        <w:rPr>
          <w:rFonts w:ascii="Verdana" w:eastAsia="Times New Roman" w:hAnsi="Verdana" w:cs="Arial"/>
          <w:color w:val="000000"/>
          <w:sz w:val="20"/>
          <w:szCs w:val="20"/>
          <w:lang w:eastAsia="es-ES_tradnl"/>
        </w:rPr>
      </w:pPr>
      <w:r w:rsidRPr="006F234B">
        <w:rPr>
          <w:rFonts w:ascii="Verdana" w:eastAsia="Times New Roman" w:hAnsi="Verdana" w:cs="Arial"/>
          <w:i/>
          <w:iCs/>
          <w:sz w:val="20"/>
          <w:szCs w:val="20"/>
          <w:lang w:val="es-ES_tradnl" w:eastAsia="es-ES_tradnl"/>
        </w:rPr>
        <w:t>“</w:t>
      </w:r>
      <w:r w:rsidRPr="006F234B">
        <w:rPr>
          <w:rFonts w:ascii="Verdana" w:eastAsia="Times New Roman" w:hAnsi="Verdana" w:cs="Arial"/>
          <w:color w:val="000000"/>
          <w:sz w:val="20"/>
          <w:szCs w:val="20"/>
          <w:lang w:val="es-ES" w:eastAsia="es-ES_tradnl"/>
        </w:rPr>
        <w:t>[</w:t>
      </w:r>
      <w:r w:rsidRPr="006F234B">
        <w:rPr>
          <w:rFonts w:ascii="Verdana" w:eastAsia="Times New Roman" w:hAnsi="Verdana" w:cs="Arial"/>
          <w:color w:val="000000"/>
          <w:sz w:val="20"/>
          <w:szCs w:val="20"/>
          <w:bdr w:val="none" w:sz="0" w:space="0" w:color="auto" w:frame="1"/>
          <w:shd w:val="clear" w:color="auto" w:fill="FFFFFF"/>
          <w:lang w:eastAsia="es-ES_tradnl"/>
        </w:rPr>
        <w:t>…]</w:t>
      </w:r>
      <w:r w:rsidRPr="006F234B">
        <w:rPr>
          <w:rFonts w:ascii="Verdana" w:eastAsia="Times New Roman" w:hAnsi="Verdana" w:cs="Arial"/>
          <w:color w:val="000000"/>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6F234B">
        <w:rPr>
          <w:rFonts w:ascii="Verdana" w:eastAsia="Times New Roman" w:hAnsi="Verdana" w:cs="Arial"/>
          <w:color w:val="000000"/>
          <w:sz w:val="20"/>
          <w:szCs w:val="20"/>
          <w:bdr w:val="none" w:sz="0" w:space="0" w:color="auto" w:frame="1"/>
          <w:shd w:val="clear" w:color="auto" w:fill="FFFFFF"/>
          <w:vertAlign w:val="superscript"/>
          <w:lang w:val="es-MX" w:eastAsia="es-ES_tradnl"/>
        </w:rPr>
        <w:footnoteReference w:id="14"/>
      </w:r>
      <w:r w:rsidRPr="006F234B">
        <w:rPr>
          <w:rFonts w:ascii="Verdana" w:eastAsia="Times New Roman" w:hAnsi="Verdana" w:cs="Arial"/>
          <w:color w:val="000000"/>
          <w:sz w:val="20"/>
          <w:szCs w:val="20"/>
          <w:bdr w:val="none" w:sz="0" w:space="0" w:color="auto" w:frame="1"/>
          <w:shd w:val="clear" w:color="auto" w:fill="FFFFFF"/>
          <w:lang w:val="es-ES" w:eastAsia="es-ES_tradnl"/>
        </w:rPr>
        <w:t>. </w:t>
      </w:r>
      <w:r w:rsidRPr="006F234B">
        <w:rPr>
          <w:rFonts w:ascii="Verdana" w:eastAsia="Times New Roman" w:hAnsi="Verdana" w:cs="Arial"/>
          <w:color w:val="000000"/>
          <w:sz w:val="20"/>
          <w:szCs w:val="20"/>
          <w:bdr w:val="none" w:sz="0" w:space="0" w:color="auto" w:frame="1"/>
          <w:shd w:val="clear" w:color="auto" w:fill="FFFFFF"/>
          <w:lang w:eastAsia="es-ES_tradnl"/>
        </w:rPr>
        <w:t>  </w:t>
      </w:r>
    </w:p>
    <w:p w14:paraId="54B6A604" w14:textId="77777777" w:rsidR="005D61A0" w:rsidRPr="00303985" w:rsidRDefault="005D61A0" w:rsidP="005D61A0">
      <w:pPr>
        <w:spacing w:after="120" w:line="276" w:lineRule="auto"/>
        <w:ind w:left="705" w:right="750"/>
        <w:jc w:val="both"/>
        <w:rPr>
          <w:rFonts w:ascii="Verdana" w:eastAsia="Times New Roman" w:hAnsi="Verdana" w:cs="Arial"/>
          <w:color w:val="000000"/>
          <w:lang w:eastAsia="es-ES_tradnl"/>
        </w:rPr>
      </w:pPr>
    </w:p>
    <w:p w14:paraId="7E0BBEBE" w14:textId="77777777" w:rsidR="005D61A0" w:rsidRPr="00A53F57" w:rsidRDefault="005D61A0" w:rsidP="005D61A0">
      <w:pPr>
        <w:spacing w:after="120" w:line="276" w:lineRule="auto"/>
        <w:ind w:firstLine="703"/>
        <w:jc w:val="both"/>
        <w:rPr>
          <w:rFonts w:ascii="Verdana" w:eastAsia="Times New Roman" w:hAnsi="Verdana" w:cs="Arial"/>
          <w:color w:val="000000"/>
          <w:bdr w:val="none" w:sz="0" w:space="0" w:color="auto" w:frame="1"/>
          <w:shd w:val="clear" w:color="auto" w:fill="FFFFFF"/>
          <w:lang w:val="es-ES_tradnl" w:eastAsia="es-ES_tradnl"/>
        </w:rPr>
      </w:pPr>
      <w:bookmarkStart w:id="8" w:name="_Hlk141851266"/>
      <w:r w:rsidRPr="00303985">
        <w:rPr>
          <w:rFonts w:ascii="Verdana" w:eastAsia="Times New Roman" w:hAnsi="Verdana" w:cs="Arial"/>
          <w:color w:val="000000"/>
          <w:bdr w:val="none" w:sz="0" w:space="0" w:color="auto" w:frame="1"/>
          <w:shd w:val="clear" w:color="auto" w:fill="FFFFFF"/>
          <w:lang w:val="es-ES" w:eastAsia="es-ES_tradnl"/>
        </w:rPr>
        <w:t xml:space="preserve">Si no se logra la liquidación bilateral del contrato, la entidad estatal tiene la facultad de liquidarlo unilateralmente dentro del término de 2 meses </w:t>
      </w:r>
      <w:r w:rsidRPr="00303985">
        <w:rPr>
          <w:rFonts w:ascii="Verdana" w:eastAsia="Times New Roman" w:hAnsi="Verdana" w:cs="Arial"/>
          <w:color w:val="000000"/>
          <w:bdr w:val="none" w:sz="0" w:space="0" w:color="auto" w:frame="1"/>
          <w:shd w:val="clear" w:color="auto" w:fill="FFFFFF"/>
          <w:lang w:val="es-ES" w:eastAsia="es-ES_tradnl"/>
        </w:rPr>
        <w:lastRenderedPageBreak/>
        <w:t>contados a partir del vencimiento del plazo que acuerden las partes para liquidar bilateralmente o, ante el silencio de estas, del vencimiento de los 4 meses su</w:t>
      </w:r>
      <w:r>
        <w:rPr>
          <w:rFonts w:ascii="Verdana" w:eastAsia="Times New Roman" w:hAnsi="Verdana" w:cs="Arial"/>
          <w:color w:val="000000"/>
          <w:bdr w:val="none" w:sz="0" w:space="0" w:color="auto" w:frame="1"/>
          <w:shd w:val="clear" w:color="auto" w:fill="FFFFFF"/>
          <w:lang w:val="es-ES" w:eastAsia="es-ES_tradnl"/>
        </w:rPr>
        <w:t xml:space="preserve">pletivo establecido por la ley. En este sentido, la liquidación unilateral </w:t>
      </w:r>
      <w:r w:rsidRPr="00A53F57">
        <w:rPr>
          <w:rFonts w:ascii="Verdana" w:eastAsia="Times New Roman" w:hAnsi="Verdana" w:cs="Arial"/>
          <w:color w:val="000000"/>
          <w:bdr w:val="none" w:sz="0" w:space="0" w:color="auto" w:frame="1"/>
          <w:shd w:val="clear" w:color="auto" w:fill="FFFFFF"/>
          <w:lang w:val="es-ES_tradnl" w:eastAsia="es-ES_tradnl"/>
        </w:rPr>
        <w:t>es una habilitación legal que no requiere una estipulación contractual para ejercerla en los contratos estatales sometidos al EGCAP en que sea procedente</w:t>
      </w:r>
      <w:r w:rsidRPr="00A53F57">
        <w:rPr>
          <w:rFonts w:ascii="Verdana" w:eastAsia="Times New Roman" w:hAnsi="Verdana" w:cs="Arial"/>
          <w:color w:val="000000"/>
          <w:bdr w:val="none" w:sz="0" w:space="0" w:color="auto" w:frame="1"/>
          <w:shd w:val="clear" w:color="auto" w:fill="FFFFFF"/>
          <w:lang w:val="es-ES" w:eastAsia="es-ES_tradnl"/>
        </w:rPr>
        <w:t xml:space="preserve">, es decir, en </w:t>
      </w:r>
      <w:r w:rsidRPr="00A53F57">
        <w:rPr>
          <w:rFonts w:ascii="Verdana" w:eastAsia="Times New Roman" w:hAnsi="Verdana" w:cs="Arial"/>
          <w:color w:val="000000"/>
          <w:bdr w:val="none" w:sz="0" w:space="0" w:color="auto" w:frame="1"/>
          <w:shd w:val="clear" w:color="auto" w:fill="FFFFFF"/>
          <w:lang w:val="es-ES_tradnl" w:eastAsia="es-ES_tradnl"/>
        </w:rPr>
        <w:t>los contratos de tracto sucesivo, aquellos cuyo cumplimiento o ejecución se prolongue en el tiempo y los demás que lo requieran, conforme al artículo 60 de la Ley 80 de 1993</w:t>
      </w:r>
      <w:r>
        <w:rPr>
          <w:rFonts w:ascii="Verdana" w:eastAsia="Times New Roman" w:hAnsi="Verdana" w:cs="Arial"/>
          <w:color w:val="000000"/>
          <w:bdr w:val="none" w:sz="0" w:space="0" w:color="auto" w:frame="1"/>
          <w:shd w:val="clear" w:color="auto" w:fill="FFFFFF"/>
          <w:lang w:val="es-ES_tradnl" w:eastAsia="es-ES_tradnl"/>
        </w:rPr>
        <w:t>.</w:t>
      </w:r>
      <w:r w:rsidRPr="00A53F57">
        <w:rPr>
          <w:rFonts w:ascii="Verdana" w:eastAsia="Times New Roman" w:hAnsi="Verdana" w:cs="Arial"/>
          <w:color w:val="000000"/>
          <w:bdr w:val="none" w:sz="0" w:space="0" w:color="auto" w:frame="1"/>
          <w:shd w:val="clear" w:color="auto" w:fill="FFFFFF"/>
          <w:lang w:val="es-ES" w:eastAsia="es-ES_tradnl"/>
        </w:rPr>
        <w:t xml:space="preserve"> </w:t>
      </w:r>
      <w:r>
        <w:rPr>
          <w:rFonts w:ascii="Verdana" w:eastAsia="Times New Roman" w:hAnsi="Verdana" w:cs="Arial"/>
          <w:color w:val="000000"/>
          <w:bdr w:val="none" w:sz="0" w:space="0" w:color="auto" w:frame="1"/>
          <w:shd w:val="clear" w:color="auto" w:fill="FFFFFF"/>
          <w:lang w:val="es-ES" w:eastAsia="es-ES_tradnl"/>
        </w:rPr>
        <w:t xml:space="preserve">De esta manera, liquidación unilateral es </w:t>
      </w:r>
      <w:proofErr w:type="spellStart"/>
      <w:r>
        <w:rPr>
          <w:rFonts w:ascii="Verdana" w:eastAsia="Times New Roman" w:hAnsi="Verdana" w:cs="Arial"/>
          <w:color w:val="000000"/>
          <w:bdr w:val="none" w:sz="0" w:space="0" w:color="auto" w:frame="1"/>
          <w:shd w:val="clear" w:color="auto" w:fill="FFFFFF"/>
          <w:lang w:val="es-ES" w:eastAsia="es-ES_tradnl"/>
        </w:rPr>
        <w:t>subsidiria</w:t>
      </w:r>
      <w:proofErr w:type="spellEnd"/>
      <w:r>
        <w:rPr>
          <w:rFonts w:ascii="Verdana" w:eastAsia="Times New Roman" w:hAnsi="Verdana" w:cs="Arial"/>
          <w:color w:val="000000"/>
          <w:bdr w:val="none" w:sz="0" w:space="0" w:color="auto" w:frame="1"/>
          <w:shd w:val="clear" w:color="auto" w:fill="FFFFFF"/>
          <w:lang w:val="es-ES" w:eastAsia="es-ES_tradnl"/>
        </w:rPr>
        <w:t xml:space="preserve"> del intento de la liquidación bilateral, como manifestación de la garantía del debido proceso, puesto que la primera solo procede si el contratista particular no se presenta, previo requerimiento de la entidad, o si las partes no tienen un acuerdo sobre el contenido</w:t>
      </w:r>
      <w:r>
        <w:rPr>
          <w:rStyle w:val="Refdenotaalpie"/>
          <w:rFonts w:ascii="Verdana" w:eastAsia="Times New Roman" w:hAnsi="Verdana" w:cs="Arial"/>
          <w:color w:val="000000"/>
          <w:bdr w:val="none" w:sz="0" w:space="0" w:color="auto" w:frame="1"/>
          <w:shd w:val="clear" w:color="auto" w:fill="FFFFFF"/>
          <w:lang w:val="es-ES" w:eastAsia="es-ES_tradnl"/>
        </w:rPr>
        <w:footnoteReference w:id="15"/>
      </w:r>
      <w:r>
        <w:rPr>
          <w:rFonts w:ascii="Verdana" w:eastAsia="Times New Roman" w:hAnsi="Verdana" w:cs="Arial"/>
          <w:color w:val="000000"/>
          <w:bdr w:val="none" w:sz="0" w:space="0" w:color="auto" w:frame="1"/>
          <w:shd w:val="clear" w:color="auto" w:fill="FFFFFF"/>
          <w:lang w:val="es-ES" w:eastAsia="es-ES_tradnl"/>
        </w:rPr>
        <w:t xml:space="preserve">. En efecto, la entidad expedirá un acto administrativo previamente motivado, que contenga la liquidación del contrato. Por otro lado, la doctrina señala que la liquidación unilateral también procede en otros supuestos: </w:t>
      </w:r>
    </w:p>
    <w:p w14:paraId="23A17051" w14:textId="77777777" w:rsidR="005D61A0" w:rsidRPr="006F234B" w:rsidRDefault="005D61A0" w:rsidP="005D61A0">
      <w:pPr>
        <w:spacing w:after="0" w:line="276" w:lineRule="auto"/>
        <w:ind w:firstLine="703"/>
        <w:jc w:val="both"/>
        <w:rPr>
          <w:rFonts w:ascii="Verdana" w:eastAsia="Times New Roman" w:hAnsi="Verdana" w:cs="Arial"/>
          <w:color w:val="000000"/>
          <w:sz w:val="20"/>
          <w:szCs w:val="20"/>
          <w:bdr w:val="none" w:sz="0" w:space="0" w:color="auto" w:frame="1"/>
          <w:shd w:val="clear" w:color="auto" w:fill="FFFFFF"/>
          <w:lang w:val="es-ES" w:eastAsia="es-ES_tradnl"/>
        </w:rPr>
      </w:pPr>
    </w:p>
    <w:p w14:paraId="035E9F7B" w14:textId="77777777" w:rsidR="005D61A0" w:rsidRPr="006F234B" w:rsidRDefault="005D61A0" w:rsidP="005D61A0">
      <w:pPr>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val="es-ES" w:eastAsia="es-ES_tradnl"/>
        </w:rPr>
      </w:pPr>
      <w:r w:rsidRPr="006F234B">
        <w:rPr>
          <w:rFonts w:ascii="Verdana" w:eastAsia="Times New Roman" w:hAnsi="Verdana" w:cs="Arial"/>
          <w:color w:val="000000"/>
          <w:sz w:val="20"/>
          <w:szCs w:val="20"/>
          <w:bdr w:val="none" w:sz="0" w:space="0" w:color="auto" w:frame="1"/>
          <w:shd w:val="clear" w:color="auto" w:fill="FFFFFF"/>
          <w:lang w:val="es-ES" w:eastAsia="es-ES_tradnl"/>
        </w:rPr>
        <w:t>Incluso, la liquidación unilateral es subsidiaria de la bilateral cuando se procede la terminación anormal del contrato, por incumplimiento grave del contratista, que conduzca a la declaratoria de caducidad. Dentro de tal supuesto, la liquidación del contrato estatal también puede sobrevenir como una consecuencia anticipada del incumplimiento del contratista […]</w:t>
      </w:r>
    </w:p>
    <w:p w14:paraId="6018F32B" w14:textId="77777777" w:rsidR="005D61A0" w:rsidRPr="006F234B" w:rsidRDefault="005D61A0" w:rsidP="005D61A0">
      <w:pPr>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val="es-ES" w:eastAsia="es-ES_tradnl"/>
        </w:rPr>
      </w:pPr>
    </w:p>
    <w:p w14:paraId="3835AF62" w14:textId="77777777" w:rsidR="005D61A0" w:rsidRPr="006F234B" w:rsidRDefault="005D61A0" w:rsidP="005D61A0">
      <w:pPr>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val="es-ES" w:eastAsia="es-ES_tradnl"/>
        </w:rPr>
      </w:pPr>
      <w:r w:rsidRPr="006F234B">
        <w:rPr>
          <w:rFonts w:ascii="Verdana" w:eastAsia="Times New Roman" w:hAnsi="Verdana" w:cs="Arial"/>
          <w:color w:val="000000"/>
          <w:sz w:val="20"/>
          <w:szCs w:val="20"/>
          <w:bdr w:val="none" w:sz="0" w:space="0" w:color="auto" w:frame="1"/>
          <w:shd w:val="clear" w:color="auto" w:fill="FFFFFF"/>
          <w:lang w:val="es-ES" w:eastAsia="es-ES_tradnl"/>
        </w:rPr>
        <w:t>En efecto, varias disposiciones de la Ley 80 de 1993 permiten la liquidación por terminación anticipada del contrato: así, en caso de renuncia a la ejecución del contrato, por parte del contratista, por alteración de su valor en un 20% como consecuencia de la modificación unilateral efectuada por la entidad contratante, el artículo 16 de la Ley 80 de 1993 establece que ´se ordenará la liquidación del contrato´. Nada obsta para que la entidad también esté obligada a intentar acordar con el contratista el contenido de dicha liquidación, de tal manera que esta sea bilateral, pues de la expresión ’se ordenará la liquidación del contrato´ no se desprende que tenga que ser, automáticamente, unilateral</w:t>
      </w:r>
      <w:r w:rsidRPr="006F234B">
        <w:rPr>
          <w:rStyle w:val="Refdenotaalpie"/>
          <w:rFonts w:ascii="Verdana" w:eastAsia="Times New Roman" w:hAnsi="Verdana" w:cs="Arial"/>
          <w:color w:val="000000"/>
          <w:sz w:val="20"/>
          <w:szCs w:val="20"/>
          <w:bdr w:val="none" w:sz="0" w:space="0" w:color="auto" w:frame="1"/>
          <w:shd w:val="clear" w:color="auto" w:fill="FFFFFF"/>
          <w:lang w:val="es-ES" w:eastAsia="es-ES_tradnl"/>
        </w:rPr>
        <w:footnoteReference w:id="16"/>
      </w:r>
      <w:r w:rsidRPr="006F234B">
        <w:rPr>
          <w:rFonts w:ascii="Verdana" w:eastAsia="Times New Roman" w:hAnsi="Verdana" w:cs="Arial"/>
          <w:color w:val="000000"/>
          <w:sz w:val="20"/>
          <w:szCs w:val="20"/>
          <w:bdr w:val="none" w:sz="0" w:space="0" w:color="auto" w:frame="1"/>
          <w:shd w:val="clear" w:color="auto" w:fill="FFFFFF"/>
          <w:lang w:val="es-ES" w:eastAsia="es-ES_tradnl"/>
        </w:rPr>
        <w:t xml:space="preserve">. </w:t>
      </w:r>
    </w:p>
    <w:p w14:paraId="7E96189E" w14:textId="77777777" w:rsidR="005D61A0" w:rsidRPr="00354FEA" w:rsidRDefault="005D61A0" w:rsidP="005D61A0">
      <w:pPr>
        <w:spacing w:after="0" w:line="240" w:lineRule="auto"/>
        <w:ind w:left="709" w:right="709"/>
        <w:jc w:val="both"/>
        <w:rPr>
          <w:rFonts w:ascii="Verdana" w:eastAsia="Times New Roman" w:hAnsi="Verdana" w:cs="Arial"/>
          <w:color w:val="000000"/>
          <w:bdr w:val="none" w:sz="0" w:space="0" w:color="auto" w:frame="1"/>
          <w:shd w:val="clear" w:color="auto" w:fill="FFFFFF"/>
          <w:lang w:val="es-ES" w:eastAsia="es-ES_tradnl"/>
        </w:rPr>
      </w:pPr>
    </w:p>
    <w:p w14:paraId="5F3B5351" w14:textId="77777777" w:rsidR="005D61A0" w:rsidRDefault="005D61A0" w:rsidP="005D61A0">
      <w:pPr>
        <w:spacing w:after="120" w:line="276" w:lineRule="auto"/>
        <w:ind w:firstLine="703"/>
        <w:jc w:val="both"/>
        <w:rPr>
          <w:rFonts w:ascii="Verdana" w:eastAsia="Times New Roman" w:hAnsi="Verdana" w:cs="Arial"/>
          <w:color w:val="000000"/>
          <w:bdr w:val="none" w:sz="0" w:space="0" w:color="auto" w:frame="1"/>
          <w:shd w:val="clear" w:color="auto" w:fill="FFFFFF"/>
          <w:lang w:val="es-ES" w:eastAsia="es-ES_tradnl"/>
        </w:rPr>
      </w:pPr>
      <w:r>
        <w:rPr>
          <w:rFonts w:ascii="Verdana" w:eastAsia="Times New Roman" w:hAnsi="Verdana" w:cs="Arial"/>
          <w:color w:val="000000"/>
          <w:bdr w:val="none" w:sz="0" w:space="0" w:color="auto" w:frame="1"/>
          <w:shd w:val="clear" w:color="auto" w:fill="FFFFFF"/>
          <w:lang w:val="es-ES" w:eastAsia="es-ES_tradnl"/>
        </w:rPr>
        <w:t xml:space="preserve">De esta manera, puede inferirse que la liquidación unilateral procede en aquellos casos de terminación anormal del contrato como es la declaratoria de caducidad, así como en aquellos supuestos de terminación del contrato, como en caso de renuncia por parte del contratista a la ejecución del contrato, así como por causa de la modificación unilateral. En todo caso, la entidad debe </w:t>
      </w:r>
      <w:r>
        <w:rPr>
          <w:rFonts w:ascii="Verdana" w:eastAsia="Times New Roman" w:hAnsi="Verdana" w:cs="Arial"/>
          <w:color w:val="000000"/>
          <w:bdr w:val="none" w:sz="0" w:space="0" w:color="auto" w:frame="1"/>
          <w:shd w:val="clear" w:color="auto" w:fill="FFFFFF"/>
          <w:lang w:val="es-ES" w:eastAsia="es-ES_tradnl"/>
        </w:rPr>
        <w:lastRenderedPageBreak/>
        <w:t xml:space="preserve">revisar </w:t>
      </w:r>
      <w:proofErr w:type="gramStart"/>
      <w:r>
        <w:rPr>
          <w:rFonts w:ascii="Verdana" w:eastAsia="Times New Roman" w:hAnsi="Verdana" w:cs="Arial"/>
          <w:color w:val="000000"/>
          <w:bdr w:val="none" w:sz="0" w:space="0" w:color="auto" w:frame="1"/>
          <w:shd w:val="clear" w:color="auto" w:fill="FFFFFF"/>
          <w:lang w:val="es-ES" w:eastAsia="es-ES_tradnl"/>
        </w:rPr>
        <w:t>de acuerdo a</w:t>
      </w:r>
      <w:proofErr w:type="gramEnd"/>
      <w:r>
        <w:rPr>
          <w:rFonts w:ascii="Verdana" w:eastAsia="Times New Roman" w:hAnsi="Verdana" w:cs="Arial"/>
          <w:color w:val="000000"/>
          <w:bdr w:val="none" w:sz="0" w:space="0" w:color="auto" w:frame="1"/>
          <w:shd w:val="clear" w:color="auto" w:fill="FFFFFF"/>
          <w:lang w:val="es-ES" w:eastAsia="es-ES_tradnl"/>
        </w:rPr>
        <w:t xml:space="preserve"> los supuestos que se exponen y a las normas de las compras públicas la procedencia de la liquidación unilateral. </w:t>
      </w:r>
    </w:p>
    <w:p w14:paraId="01F83640" w14:textId="77777777" w:rsidR="005D61A0" w:rsidRPr="007374E9" w:rsidRDefault="005D61A0" w:rsidP="005D61A0">
      <w:pPr>
        <w:spacing w:after="120" w:line="276" w:lineRule="auto"/>
        <w:ind w:firstLine="703"/>
        <w:jc w:val="both"/>
        <w:rPr>
          <w:rFonts w:ascii="Verdana" w:eastAsia="Times New Roman" w:hAnsi="Verdana" w:cs="Arial"/>
          <w:color w:val="000000"/>
          <w:bdr w:val="none" w:sz="0" w:space="0" w:color="auto" w:frame="1"/>
          <w:shd w:val="clear" w:color="auto" w:fill="FFFFFF"/>
          <w:lang w:val="es-ES" w:eastAsia="es-ES_tradnl"/>
        </w:rPr>
      </w:pPr>
      <w:r w:rsidRPr="00303985">
        <w:rPr>
          <w:rFonts w:ascii="Verdana" w:eastAsia="Times New Roman" w:hAnsi="Verdana" w:cs="Arial"/>
          <w:color w:val="000000"/>
          <w:bdr w:val="none" w:sz="0" w:space="0" w:color="auto" w:frame="1"/>
          <w:shd w:val="clear" w:color="auto" w:fill="FFFFFF"/>
          <w:lang w:val="es-ES" w:eastAsia="es-ES_tradnl"/>
        </w:rPr>
        <w:t xml:space="preserve">Finalmente, transcurridos estos meses, la liquidación podrá </w:t>
      </w:r>
      <w:r>
        <w:rPr>
          <w:rFonts w:ascii="Verdana" w:eastAsia="Times New Roman" w:hAnsi="Verdana" w:cs="Arial"/>
          <w:color w:val="000000"/>
          <w:bdr w:val="none" w:sz="0" w:space="0" w:color="auto" w:frame="1"/>
          <w:shd w:val="clear" w:color="auto" w:fill="FFFFFF"/>
          <w:lang w:val="es-ES" w:eastAsia="es-ES_tradnl"/>
        </w:rPr>
        <w:t xml:space="preserve">realizarse </w:t>
      </w:r>
      <w:r w:rsidRPr="00303985">
        <w:rPr>
          <w:rFonts w:ascii="Verdana" w:eastAsia="Times New Roman" w:hAnsi="Verdana" w:cs="Arial"/>
          <w:color w:val="000000"/>
          <w:bdr w:val="none" w:sz="0" w:space="0" w:color="auto" w:frame="1"/>
          <w:shd w:val="clear" w:color="auto" w:fill="FFFFFF"/>
          <w:lang w:val="es-ES" w:eastAsia="es-ES_tradnl"/>
        </w:rPr>
        <w:t xml:space="preserve">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8"/>
      <w:r w:rsidRPr="00303985">
        <w:rPr>
          <w:rFonts w:ascii="Verdana" w:eastAsia="Times New Roman" w:hAnsi="Verdana" w:cs="Arial"/>
          <w:color w:val="000000"/>
          <w:bdr w:val="none" w:sz="0" w:space="0" w:color="auto" w:frame="1"/>
          <w:shd w:val="clear" w:color="auto" w:fill="FFFFFF"/>
          <w:lang w:val="es-ES" w:eastAsia="es-ES_tradnl"/>
        </w:rPr>
        <w:t xml:space="preserve">En este sentido, en decisión de unificación de la </w:t>
      </w:r>
      <w:r w:rsidRPr="00303985">
        <w:rPr>
          <w:rFonts w:ascii="Verdana" w:eastAsia="Times New Roman" w:hAnsi="Verdana" w:cs="Arial"/>
          <w:color w:val="000000"/>
          <w:bdr w:val="none" w:sz="0" w:space="0" w:color="auto" w:frame="1"/>
          <w:shd w:val="clear" w:color="auto" w:fill="FFFFFF"/>
          <w:lang w:val="es-MX" w:eastAsia="es-ES_tradnl"/>
        </w:rPr>
        <w:t>Sección Tercera</w:t>
      </w:r>
      <w:r w:rsidRPr="00303985">
        <w:rPr>
          <w:rFonts w:ascii="Verdana" w:eastAsia="Times New Roman" w:hAnsi="Verdana" w:cs="Arial"/>
          <w:color w:val="000000"/>
          <w:bdr w:val="none" w:sz="0" w:space="0" w:color="auto" w:frame="1"/>
          <w:shd w:val="clear" w:color="auto" w:fill="FFFFFF"/>
          <w:lang w:val="es-ES" w:eastAsia="es-ES_tradnl"/>
        </w:rPr>
        <w:t xml:space="preserve"> del Consejo de Estado del</w:t>
      </w:r>
      <w:r w:rsidRPr="00303985">
        <w:rPr>
          <w:rFonts w:ascii="Verdana" w:eastAsia="Times New Roman" w:hAnsi="Verdana" w:cs="Arial"/>
          <w:color w:val="000000"/>
          <w:bdr w:val="none" w:sz="0" w:space="0" w:color="auto" w:frame="1"/>
          <w:shd w:val="clear" w:color="auto" w:fill="FFFFFF"/>
          <w:lang w:val="es-MX" w:eastAsia="es-ES_tradnl"/>
        </w:rPr>
        <w:t> </w:t>
      </w:r>
      <w:r w:rsidRPr="00303985">
        <w:rPr>
          <w:rFonts w:ascii="Verdana" w:eastAsia="Times New Roman" w:hAnsi="Verdana" w:cs="Arial"/>
          <w:color w:val="000000"/>
          <w:bdr w:val="none" w:sz="0" w:space="0" w:color="auto" w:frame="1"/>
          <w:shd w:val="clear" w:color="auto" w:fill="FFFFFF"/>
          <w:lang w:eastAsia="es-ES_tradnl"/>
        </w:rPr>
        <w:t>1 de agosto de 2019, se expresó: </w:t>
      </w:r>
    </w:p>
    <w:p w14:paraId="2A45F757" w14:textId="77777777" w:rsidR="005D61A0" w:rsidRPr="006F234B" w:rsidRDefault="005D61A0" w:rsidP="005D61A0">
      <w:pPr>
        <w:spacing w:after="0" w:line="276" w:lineRule="auto"/>
        <w:ind w:firstLine="705"/>
        <w:jc w:val="both"/>
        <w:rPr>
          <w:rFonts w:ascii="Verdana" w:eastAsia="Times New Roman" w:hAnsi="Verdana" w:cs="Arial"/>
          <w:color w:val="000000"/>
          <w:sz w:val="20"/>
          <w:szCs w:val="20"/>
          <w:lang w:eastAsia="es-ES_tradnl"/>
        </w:rPr>
      </w:pPr>
    </w:p>
    <w:p w14:paraId="592E8006" w14:textId="77777777" w:rsidR="005D61A0" w:rsidRPr="006F234B" w:rsidRDefault="005D61A0" w:rsidP="005D61A0">
      <w:pPr>
        <w:spacing w:after="0" w:line="240" w:lineRule="auto"/>
        <w:ind w:left="705" w:right="750"/>
        <w:jc w:val="both"/>
        <w:rPr>
          <w:rFonts w:ascii="Verdana" w:eastAsia="Times New Roman" w:hAnsi="Verdana" w:cs="Arial"/>
          <w:color w:val="000000"/>
          <w:sz w:val="20"/>
          <w:szCs w:val="20"/>
          <w:lang w:eastAsia="es-ES_tradnl"/>
        </w:rPr>
      </w:pPr>
      <w:r w:rsidRPr="006F234B">
        <w:rPr>
          <w:rFonts w:ascii="Verdana" w:eastAsia="Times New Roman" w:hAnsi="Verdana" w:cs="Arial"/>
          <w:sz w:val="20"/>
          <w:szCs w:val="20"/>
          <w:lang w:val="es-ES_tradnl" w:eastAsia="es-ES_tradnl"/>
        </w:rPr>
        <w:t>“</w:t>
      </w:r>
      <w:r w:rsidRPr="006F234B">
        <w:rPr>
          <w:rFonts w:ascii="Verdana" w:eastAsia="Times New Roman" w:hAnsi="Verdana" w:cs="Arial"/>
          <w:color w:val="000000"/>
          <w:sz w:val="20"/>
          <w:szCs w:val="20"/>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6F234B">
        <w:rPr>
          <w:rFonts w:ascii="Verdana" w:eastAsia="Times New Roman" w:hAnsi="Verdana" w:cs="Arial"/>
          <w:color w:val="000000"/>
          <w:sz w:val="20"/>
          <w:szCs w:val="20"/>
          <w:bdr w:val="none" w:sz="0" w:space="0" w:color="auto" w:frame="1"/>
          <w:shd w:val="clear" w:color="auto" w:fill="FFFFFF"/>
          <w:lang w:val="es-ES" w:eastAsia="es-ES_tradnl"/>
        </w:rPr>
        <w:t>liquidatorio</w:t>
      </w:r>
      <w:proofErr w:type="spellEnd"/>
      <w:r w:rsidRPr="006F234B">
        <w:rPr>
          <w:rFonts w:ascii="Verdana" w:eastAsia="Times New Roman" w:hAnsi="Verdana" w:cs="Arial"/>
          <w:color w:val="000000"/>
          <w:sz w:val="20"/>
          <w:szCs w:val="20"/>
          <w:bdr w:val="none" w:sz="0" w:space="0" w:color="auto" w:frame="1"/>
          <w:shd w:val="clear" w:color="auto" w:fill="FFFFFF"/>
          <w:lang w:val="es-ES" w:eastAsia="es-ES_tradnl"/>
        </w:rPr>
        <w:t> se logre dentro del lapso de dos años contados a partir del vencimiento del término legalmente conocido para la liquidación unilateral, pues ese es el lapso que el ordenamiento ha fijado para el ejercicio oportuno de la acción</w:t>
      </w:r>
      <w:r w:rsidRPr="006F234B">
        <w:rPr>
          <w:rFonts w:ascii="Verdana" w:eastAsia="Times New Roman" w:hAnsi="Verdana" w:cs="Arial"/>
          <w:sz w:val="20"/>
          <w:szCs w:val="20"/>
          <w:lang w:val="es-ES_tradnl" w:eastAsia="es-ES_tradnl"/>
        </w:rPr>
        <w:t>”</w:t>
      </w:r>
      <w:r w:rsidRPr="006F234B">
        <w:rPr>
          <w:rFonts w:ascii="Verdana" w:eastAsia="Times New Roman" w:hAnsi="Verdana" w:cs="Arial"/>
          <w:color w:val="000000"/>
          <w:sz w:val="20"/>
          <w:szCs w:val="20"/>
          <w:bdr w:val="none" w:sz="0" w:space="0" w:color="auto" w:frame="1"/>
          <w:shd w:val="clear" w:color="auto" w:fill="FFFFFF"/>
          <w:vertAlign w:val="superscript"/>
          <w:lang w:eastAsia="es-ES_tradnl"/>
        </w:rPr>
        <w:t xml:space="preserve"> </w:t>
      </w:r>
      <w:r w:rsidRPr="006F234B">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7"/>
      </w:r>
      <w:r w:rsidRPr="006F234B">
        <w:rPr>
          <w:rFonts w:ascii="Verdana" w:eastAsia="Times New Roman" w:hAnsi="Verdana" w:cs="Arial"/>
          <w:sz w:val="20"/>
          <w:szCs w:val="20"/>
          <w:lang w:val="es-ES_tradnl" w:eastAsia="es-ES_tradnl"/>
        </w:rPr>
        <w:t>.</w:t>
      </w:r>
      <w:r w:rsidRPr="006F234B">
        <w:rPr>
          <w:rFonts w:ascii="Verdana" w:eastAsia="Times New Roman" w:hAnsi="Verdana" w:cs="Arial"/>
          <w:color w:val="000000"/>
          <w:sz w:val="20"/>
          <w:szCs w:val="20"/>
          <w:bdr w:val="none" w:sz="0" w:space="0" w:color="auto" w:frame="1"/>
          <w:shd w:val="clear" w:color="auto" w:fill="FFFFFF"/>
          <w:lang w:val="es-ES" w:eastAsia="es-ES_tradnl"/>
        </w:rPr>
        <w:t> </w:t>
      </w:r>
    </w:p>
    <w:p w14:paraId="67F25898" w14:textId="77777777" w:rsidR="005D61A0" w:rsidRPr="00303985" w:rsidRDefault="005D61A0" w:rsidP="005D61A0">
      <w:pPr>
        <w:spacing w:after="120" w:line="276" w:lineRule="auto"/>
        <w:ind w:firstLine="708"/>
        <w:jc w:val="both"/>
        <w:rPr>
          <w:rFonts w:ascii="Verdana" w:eastAsia="Times New Roman" w:hAnsi="Verdana" w:cs="Arial"/>
          <w:color w:val="000000"/>
          <w:lang w:eastAsia="es-ES_tradnl"/>
        </w:rPr>
      </w:pPr>
    </w:p>
    <w:p w14:paraId="573DA711" w14:textId="77777777" w:rsidR="005D61A0" w:rsidRPr="00303985" w:rsidRDefault="005D61A0" w:rsidP="005D61A0">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303985">
        <w:rPr>
          <w:rFonts w:ascii="Verdana" w:eastAsia="Times New Roman" w:hAnsi="Verdana" w:cs="Arial"/>
          <w:color w:val="000000"/>
          <w:bdr w:val="none" w:sz="0" w:space="0" w:color="auto" w:frame="1"/>
          <w:shd w:val="clear" w:color="auto" w:fill="FFFFFF"/>
          <w:lang w:eastAsia="es-ES_tradnl"/>
        </w:rPr>
        <w:tab/>
        <w:t xml:space="preserve">A su turno, la liquidación judicial hace parte de una de las pretensiones que admite el medio de control de controversias contractuales. Al respecto, el artículo 141 de la Ley 1437 de 2011 dispone que “[…] el interesado podrá </w:t>
      </w:r>
      <w:bookmarkStart w:id="9" w:name="_Hlk172560769"/>
      <w:r w:rsidRPr="00303985">
        <w:rPr>
          <w:rFonts w:ascii="Verdana" w:eastAsia="Times New Roman" w:hAnsi="Verdana" w:cs="Arial"/>
          <w:color w:val="000000"/>
          <w:bdr w:val="none" w:sz="0" w:space="0" w:color="auto" w:frame="1"/>
          <w:shd w:val="clear" w:color="auto" w:fill="FFFFFF"/>
          <w:lang w:eastAsia="es-ES_tradnl"/>
        </w:rPr>
        <w:t>solicitar la liquidación judicial</w:t>
      </w:r>
      <w:bookmarkEnd w:id="9"/>
      <w:r w:rsidRPr="00303985">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perspectiva, para la entidad cesa la facultad de liquidar bilateral o unilateralmente, ya que el tema pasa de la administración a la jurisdicción.</w:t>
      </w:r>
    </w:p>
    <w:p w14:paraId="733F2DEF" w14:textId="77777777" w:rsidR="005D61A0" w:rsidRPr="00F308B8" w:rsidRDefault="005D61A0" w:rsidP="005D61A0">
      <w:pPr>
        <w:tabs>
          <w:tab w:val="left" w:pos="709"/>
        </w:tabs>
        <w:spacing w:after="120" w:line="276" w:lineRule="auto"/>
        <w:jc w:val="both"/>
        <w:rPr>
          <w:rFonts w:ascii="Verdana" w:eastAsia="Times New Roman" w:hAnsi="Verdana" w:cs="Times New Roman"/>
        </w:rPr>
      </w:pPr>
      <w:r w:rsidRPr="00303985">
        <w:rPr>
          <w:rFonts w:ascii="Verdana" w:eastAsia="Times New Roman" w:hAnsi="Verdana" w:cs="Arial"/>
          <w:color w:val="000000"/>
          <w:bdr w:val="none" w:sz="0" w:space="0" w:color="auto" w:frame="1"/>
          <w:shd w:val="clear" w:color="auto" w:fill="FFFFFF"/>
          <w:lang w:eastAsia="es-ES_tradnl"/>
        </w:rPr>
        <w:tab/>
        <w:t xml:space="preserve">En conclusión, la liquidación de un contrato público debe llevarse a cabo de manera bilateral siempre que sea posible, respetando los derechos del contratista al debido proceso. Si no se llega a un acuerdo bilateral, la entidad </w:t>
      </w:r>
      <w:r w:rsidRPr="00303985">
        <w:rPr>
          <w:rFonts w:ascii="Verdana" w:eastAsia="Times New Roman" w:hAnsi="Verdana" w:cs="Arial"/>
          <w:color w:val="000000"/>
          <w:bdr w:val="none" w:sz="0" w:space="0" w:color="auto" w:frame="1"/>
          <w:shd w:val="clear" w:color="auto" w:fill="FFFFFF"/>
          <w:lang w:eastAsia="es-ES_tradnl"/>
        </w:rPr>
        <w:lastRenderedPageBreak/>
        <w:t>estatal tiene la facultad de proceder a una liquidación unilateral dentro de un plazo específico, aunque esta solo puede realizarse si el contratista no ha solicitado la liquidación judicial del contrato dentro de los dos años posteriores al vencimiento de los plazos acordados. Si transcurrido este plazo el contratista no ha solicitado la liquidación judicial, la entidad puede liquidar unilateralmente, y si no lo hace, la acción pasa a la jurisdicción para que sea resuelta judicialmente por solicitud del interesado. Esto subraya el principio de que la liquidación del contrato debe ser realizada en un marco de acuerdo o de intervención judicial, priorizando la transparencia y el respeto de los derechos de las partes involucradas.</w:t>
      </w:r>
    </w:p>
    <w:p w14:paraId="59D22634" w14:textId="77777777" w:rsidR="005D61A0" w:rsidRDefault="005D61A0" w:rsidP="005D61A0">
      <w:pPr>
        <w:spacing w:after="0" w:line="276" w:lineRule="auto"/>
        <w:ind w:firstLine="708"/>
        <w:jc w:val="both"/>
        <w:rPr>
          <w:rFonts w:ascii="Verdana" w:eastAsia="Times New Roman" w:hAnsi="Verdana" w:cs="Arial"/>
          <w:color w:val="000000"/>
          <w:lang w:val="es-ES" w:eastAsia="es-ES"/>
        </w:rPr>
      </w:pPr>
      <w:r w:rsidRPr="006B14B5">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Times New Roman" w:hAnsi="Verdana" w:cs="Arial"/>
          <w:color w:val="000000"/>
          <w:lang w:val="es-ES" w:eastAsia="es-ES"/>
        </w:rPr>
        <w:t>establecerá</w:t>
      </w:r>
      <w:r w:rsidRPr="006B14B5">
        <w:rPr>
          <w:rFonts w:ascii="Verdana" w:eastAsia="Times New Roman" w:hAnsi="Verdana" w:cs="Arial"/>
          <w:color w:val="000000"/>
          <w:lang w:val="es-ES" w:eastAsia="es-ES"/>
        </w:rPr>
        <w:t xml:space="preserve"> la forma de adelantar su gestión contractual, sin que sea atribución de la Agencia Nacional de Contratación Pública - Colombia Compra Eficiente</w:t>
      </w:r>
      <w:r>
        <w:rPr>
          <w:rFonts w:ascii="Verdana" w:eastAsia="Times New Roman" w:hAnsi="Verdana" w:cs="Arial"/>
          <w:color w:val="000000"/>
          <w:lang w:val="es-ES" w:eastAsia="es-ES"/>
        </w:rPr>
        <w:t xml:space="preserve"> validarla</w:t>
      </w:r>
      <w:r w:rsidRPr="006B14B5">
        <w:rPr>
          <w:rFonts w:ascii="Verdana" w:eastAsia="Times New Roman" w:hAnsi="Verdana" w:cs="Arial"/>
          <w:color w:val="000000"/>
          <w:lang w:val="es-ES" w:eastAsia="es-ES"/>
        </w:rPr>
        <w:t xml:space="preserve">. </w:t>
      </w:r>
    </w:p>
    <w:p w14:paraId="6E1086CF" w14:textId="77777777" w:rsidR="005D61A0" w:rsidRDefault="005D61A0" w:rsidP="005D61A0">
      <w:pPr>
        <w:spacing w:after="0" w:line="276" w:lineRule="auto"/>
        <w:jc w:val="both"/>
        <w:rPr>
          <w:rFonts w:ascii="Verdana" w:eastAsia="Times New Roman" w:hAnsi="Verdana" w:cs="Arial"/>
          <w:color w:val="000000"/>
          <w:lang w:val="es-ES" w:eastAsia="es-ES"/>
        </w:rPr>
      </w:pPr>
    </w:p>
    <w:p w14:paraId="0B109EF3" w14:textId="77777777" w:rsidR="005D61A0" w:rsidRPr="002C3A66" w:rsidRDefault="005D61A0" w:rsidP="005D61A0">
      <w:pPr>
        <w:spacing w:after="120" w:line="276" w:lineRule="auto"/>
        <w:jc w:val="both"/>
        <w:rPr>
          <w:rFonts w:ascii="Verdana" w:eastAsia="Calibri" w:hAnsi="Verdana" w:cs="Arial"/>
          <w:color w:val="000000" w:themeColor="text1"/>
          <w:lang w:val="es-ES"/>
        </w:rPr>
      </w:pPr>
      <w:proofErr w:type="spellStart"/>
      <w:r w:rsidRPr="00F24580">
        <w:rPr>
          <w:rFonts w:ascii="Verdana" w:eastAsia="Times New Roman" w:hAnsi="Verdana" w:cs="Arial"/>
          <w:color w:val="000000"/>
          <w:lang w:eastAsia="es-ES"/>
        </w:rPr>
        <w:t>iii</w:t>
      </w:r>
      <w:proofErr w:type="spellEnd"/>
      <w:r>
        <w:rPr>
          <w:rFonts w:ascii="Verdana" w:eastAsia="Times New Roman" w:hAnsi="Verdana" w:cs="Arial"/>
          <w:color w:val="000000"/>
          <w:lang w:eastAsia="es-ES"/>
        </w:rPr>
        <w:t xml:space="preserve">.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18"/>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17AE8B8C" w14:textId="77777777" w:rsidR="005D61A0" w:rsidRPr="00B57A1B" w:rsidRDefault="005D61A0" w:rsidP="005D61A0">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lastRenderedPageBreak/>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1E2C4756" w14:textId="77777777" w:rsidR="005D61A0" w:rsidRPr="00B57A1B" w:rsidRDefault="005D61A0" w:rsidP="005D61A0">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19"/>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23B9810A" w14:textId="77777777" w:rsidR="005D61A0" w:rsidRPr="00B57A1B" w:rsidRDefault="005D61A0" w:rsidP="005D61A0">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20"/>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1E982B76" w14:textId="77777777" w:rsidR="005D61A0" w:rsidRPr="00B57A1B" w:rsidRDefault="005D61A0" w:rsidP="005D61A0">
      <w:pPr>
        <w:spacing w:after="0" w:line="276" w:lineRule="auto"/>
        <w:ind w:firstLine="709"/>
        <w:jc w:val="both"/>
        <w:rPr>
          <w:rFonts w:ascii="Verdana" w:eastAsiaTheme="minorEastAsia" w:hAnsi="Verdana" w:cs="Arial"/>
          <w:lang w:eastAsia="es-CO"/>
        </w:rPr>
      </w:pPr>
    </w:p>
    <w:p w14:paraId="4EC804A4" w14:textId="77777777" w:rsidR="005D61A0" w:rsidRPr="000E225C" w:rsidRDefault="005D61A0" w:rsidP="005D61A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6A66D8F3" w14:textId="77777777" w:rsidR="005D61A0" w:rsidRPr="000E225C" w:rsidRDefault="005D61A0" w:rsidP="005D61A0">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069DC629" w14:textId="77777777" w:rsidR="005D61A0" w:rsidRPr="000E225C" w:rsidRDefault="005D61A0" w:rsidP="005D61A0">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6DC7CB3D" w14:textId="77777777" w:rsidR="005D61A0" w:rsidRPr="000E225C" w:rsidRDefault="005D61A0" w:rsidP="005D61A0">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21"/>
      </w:r>
      <w:r w:rsidRPr="000E225C">
        <w:rPr>
          <w:rFonts w:ascii="Verdana" w:eastAsiaTheme="minorEastAsia" w:hAnsi="Verdana" w:cs="Arial"/>
          <w:sz w:val="20"/>
          <w:szCs w:val="20"/>
          <w:lang w:eastAsia="es-CO"/>
        </w:rPr>
        <w:t>.</w:t>
      </w:r>
    </w:p>
    <w:p w14:paraId="24CCD3C8" w14:textId="77777777" w:rsidR="005D61A0" w:rsidRPr="00B57A1B" w:rsidRDefault="005D61A0" w:rsidP="005D61A0">
      <w:pPr>
        <w:spacing w:after="0" w:line="276" w:lineRule="auto"/>
        <w:ind w:right="709"/>
        <w:jc w:val="both"/>
        <w:rPr>
          <w:rFonts w:ascii="Verdana" w:eastAsia="Times New Roman" w:hAnsi="Verdana" w:cs="Arial"/>
          <w:lang w:eastAsia="es-ES_tradnl"/>
        </w:rPr>
      </w:pPr>
    </w:p>
    <w:p w14:paraId="60E5536E" w14:textId="77777777" w:rsidR="005D61A0" w:rsidRPr="00B57A1B" w:rsidRDefault="005D61A0" w:rsidP="005D61A0">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w:t>
      </w:r>
      <w:r w:rsidRPr="00B57A1B">
        <w:rPr>
          <w:rFonts w:ascii="Verdana" w:eastAsiaTheme="minorEastAsia" w:hAnsi="Verdana" w:cs="Arial"/>
          <w:lang w:eastAsia="es-CO"/>
        </w:rPr>
        <w:lastRenderedPageBreak/>
        <w:t xml:space="preserve">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58BE9081" w14:textId="77777777" w:rsidR="005D61A0" w:rsidRPr="00B57A1B" w:rsidRDefault="005D61A0" w:rsidP="005D61A0">
      <w:pPr>
        <w:spacing w:after="0" w:line="276" w:lineRule="auto"/>
        <w:ind w:firstLine="709"/>
        <w:jc w:val="both"/>
        <w:rPr>
          <w:rFonts w:ascii="Verdana" w:eastAsiaTheme="minorEastAsia" w:hAnsi="Verdana" w:cs="Arial"/>
          <w:lang w:eastAsia="es-CO"/>
        </w:rPr>
      </w:pPr>
    </w:p>
    <w:p w14:paraId="21BA9422" w14:textId="77777777" w:rsidR="005D61A0" w:rsidRPr="000E225C" w:rsidRDefault="005D61A0" w:rsidP="005D61A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0DD1AC14" w14:textId="77777777" w:rsidR="005D61A0" w:rsidRPr="000E225C" w:rsidRDefault="005D61A0" w:rsidP="005D61A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3FC338EF" w14:textId="77777777" w:rsidR="005D61A0" w:rsidRPr="000E225C" w:rsidRDefault="005D61A0" w:rsidP="005D61A0">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22"/>
      </w:r>
      <w:r w:rsidRPr="000E225C">
        <w:rPr>
          <w:rFonts w:ascii="Verdana" w:hAnsi="Verdana" w:cs="Weiss"/>
          <w:sz w:val="20"/>
          <w:szCs w:val="19"/>
        </w:rPr>
        <w:t>.</w:t>
      </w:r>
    </w:p>
    <w:p w14:paraId="3F6BEF1B" w14:textId="77777777" w:rsidR="005D61A0" w:rsidRPr="00B57A1B" w:rsidRDefault="005D61A0" w:rsidP="005D61A0">
      <w:pPr>
        <w:spacing w:after="120" w:line="276" w:lineRule="auto"/>
        <w:jc w:val="both"/>
        <w:rPr>
          <w:rFonts w:ascii="Verdana" w:eastAsiaTheme="minorEastAsia" w:hAnsi="Verdana" w:cs="Arial"/>
          <w:lang w:eastAsia="es-CO"/>
        </w:rPr>
      </w:pPr>
    </w:p>
    <w:p w14:paraId="2AC0C72F" w14:textId="77777777" w:rsidR="005D61A0" w:rsidRPr="00B57A1B" w:rsidRDefault="005D61A0" w:rsidP="005D61A0">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23"/>
      </w:r>
      <w:r w:rsidRPr="00B57A1B">
        <w:rPr>
          <w:rFonts w:ascii="Verdana" w:eastAsiaTheme="minorEastAsia" w:hAnsi="Verdana" w:cs="Arial"/>
          <w:lang w:eastAsia="es-CO"/>
        </w:rPr>
        <w:t xml:space="preserve">. De esta manera, el Consejo de Estado expresa:  </w:t>
      </w:r>
    </w:p>
    <w:p w14:paraId="40A630E3" w14:textId="77777777" w:rsidR="005D61A0" w:rsidRPr="00B57A1B" w:rsidRDefault="005D61A0" w:rsidP="005D61A0">
      <w:pPr>
        <w:widowControl w:val="0"/>
        <w:autoSpaceDE w:val="0"/>
        <w:autoSpaceDN w:val="0"/>
        <w:spacing w:after="120" w:line="276" w:lineRule="auto"/>
        <w:jc w:val="both"/>
        <w:rPr>
          <w:rFonts w:ascii="Verdana" w:eastAsia="Arial MT" w:hAnsi="Verdana" w:cs="Arial MT"/>
        </w:rPr>
      </w:pPr>
    </w:p>
    <w:p w14:paraId="42AE5400" w14:textId="77777777" w:rsidR="005D61A0" w:rsidRPr="000E225C" w:rsidRDefault="005D61A0" w:rsidP="005D61A0">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lastRenderedPageBreak/>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34D94E2E" w14:textId="77777777" w:rsidR="005D61A0" w:rsidRPr="000E225C" w:rsidRDefault="005D61A0" w:rsidP="005D61A0">
      <w:pPr>
        <w:widowControl w:val="0"/>
        <w:autoSpaceDE w:val="0"/>
        <w:autoSpaceDN w:val="0"/>
        <w:spacing w:after="0" w:line="240" w:lineRule="auto"/>
        <w:ind w:left="709" w:right="709"/>
        <w:jc w:val="both"/>
        <w:rPr>
          <w:rFonts w:ascii="Verdana" w:eastAsia="Arial MT" w:hAnsi="Verdana" w:cs="Arial MT"/>
          <w:sz w:val="20"/>
          <w:szCs w:val="19"/>
        </w:rPr>
      </w:pPr>
    </w:p>
    <w:p w14:paraId="0F990DCF" w14:textId="77777777" w:rsidR="005D61A0" w:rsidRPr="000E225C" w:rsidRDefault="005D61A0" w:rsidP="005D61A0">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7DB38288" w14:textId="77777777" w:rsidR="005D61A0" w:rsidRPr="000E225C" w:rsidRDefault="005D61A0" w:rsidP="005D61A0">
      <w:pPr>
        <w:widowControl w:val="0"/>
        <w:autoSpaceDE w:val="0"/>
        <w:autoSpaceDN w:val="0"/>
        <w:spacing w:after="0" w:line="240" w:lineRule="auto"/>
        <w:ind w:left="709" w:right="709"/>
        <w:jc w:val="both"/>
        <w:rPr>
          <w:rFonts w:ascii="Verdana" w:eastAsia="Arial MT" w:hAnsi="Verdana" w:cs="Arial MT"/>
          <w:sz w:val="20"/>
          <w:szCs w:val="19"/>
        </w:rPr>
      </w:pPr>
    </w:p>
    <w:p w14:paraId="6AA38E6B" w14:textId="77777777" w:rsidR="005D61A0" w:rsidRPr="000E225C" w:rsidRDefault="005D61A0" w:rsidP="005D61A0">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24"/>
      </w:r>
      <w:r w:rsidRPr="000E225C">
        <w:rPr>
          <w:rFonts w:ascii="Verdana" w:eastAsia="Arial MT" w:hAnsi="Verdana" w:cs="Arial MT"/>
          <w:i/>
          <w:iCs/>
          <w:sz w:val="20"/>
          <w:szCs w:val="19"/>
        </w:rPr>
        <w:t>.</w:t>
      </w:r>
    </w:p>
    <w:p w14:paraId="1F9B982F" w14:textId="77777777" w:rsidR="005D61A0" w:rsidRDefault="005D61A0" w:rsidP="005D61A0">
      <w:pPr>
        <w:spacing w:after="120" w:line="276" w:lineRule="auto"/>
        <w:jc w:val="both"/>
        <w:rPr>
          <w:rFonts w:ascii="Verdana" w:eastAsia="Calibri" w:hAnsi="Verdana" w:cs="Arial"/>
          <w:color w:val="000000" w:themeColor="text1"/>
          <w:lang w:val="es-ES"/>
        </w:rPr>
      </w:pPr>
    </w:p>
    <w:p w14:paraId="2F29F979" w14:textId="77777777" w:rsidR="005D61A0" w:rsidRDefault="005D61A0" w:rsidP="005D61A0">
      <w:pPr>
        <w:tabs>
          <w:tab w:val="left" w:pos="7851"/>
        </w:tabs>
        <w:spacing w:after="120" w:line="276" w:lineRule="auto"/>
        <w:ind w:firstLine="680"/>
        <w:jc w:val="both"/>
        <w:rPr>
          <w:rFonts w:ascii="Verdana" w:eastAsiaTheme="minorEastAsia" w:hAnsi="Verdana" w:cs="Arial"/>
          <w:lang w:eastAsia="es-CO"/>
        </w:rPr>
      </w:pPr>
      <w:r w:rsidRPr="00B57A1B">
        <w:rPr>
          <w:rFonts w:ascii="Verdana" w:eastAsiaTheme="minorEastAsia" w:hAnsi="Verdana" w:cs="Arial"/>
          <w:lang w:eastAsia="es-CO"/>
        </w:rPr>
        <w:t xml:space="preserve">Teniendo en cuenta, este entendimiento sobre los </w:t>
      </w:r>
      <w:proofErr w:type="gramStart"/>
      <w:r w:rsidRPr="00B57A1B">
        <w:rPr>
          <w:rFonts w:ascii="Verdana" w:eastAsiaTheme="minorEastAsia" w:hAnsi="Verdana" w:cs="Arial"/>
          <w:lang w:eastAsia="es-CO"/>
        </w:rPr>
        <w:t>convenios</w:t>
      </w:r>
      <w:r>
        <w:rPr>
          <w:rFonts w:ascii="Verdana" w:eastAsiaTheme="minorEastAsia" w:hAnsi="Verdana" w:cs="Arial"/>
          <w:lang w:eastAsia="es-CO"/>
        </w:rPr>
        <w:t xml:space="preserve"> interadministrativos</w:t>
      </w:r>
      <w:r w:rsidRPr="00B57A1B">
        <w:rPr>
          <w:rFonts w:ascii="Verdana" w:eastAsiaTheme="minorEastAsia" w:hAnsi="Verdana" w:cs="Arial"/>
          <w:lang w:eastAsia="es-CO"/>
        </w:rPr>
        <w:t xml:space="preserve"> y contratos interadministrativos</w:t>
      </w:r>
      <w:proofErr w:type="gramEnd"/>
      <w:r>
        <w:rPr>
          <w:rFonts w:ascii="Verdana" w:eastAsia="Calibri" w:hAnsi="Verdana" w:cs="Times New Roman"/>
          <w:iCs/>
          <w:lang w:val="es-ES"/>
        </w:rPr>
        <w:t xml:space="preserve"> se infiere que su denominación parte de que ambos actores son entidades públicas. Ahora bien, será necesario analizar la posibilidad de la liquidación unilateral de contratos interadministrativos y de convenios interadministrativos, acudiendo a la línea más reciente expuesta en el Concepto C-605 del 27 de junio de 2026. </w:t>
      </w:r>
    </w:p>
    <w:p w14:paraId="78546BD9" w14:textId="77777777" w:rsidR="005D61A0" w:rsidRPr="000D10DC" w:rsidRDefault="005D61A0" w:rsidP="005D61A0">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 </w:t>
      </w:r>
    </w:p>
    <w:p w14:paraId="59BA5C51" w14:textId="77777777" w:rsidR="005D61A0" w:rsidRDefault="005D61A0" w:rsidP="005D61A0">
      <w:pPr>
        <w:spacing w:after="120" w:line="276" w:lineRule="auto"/>
        <w:jc w:val="both"/>
        <w:rPr>
          <w:rFonts w:ascii="Verdana" w:eastAsia="Times New Roman" w:hAnsi="Verdana" w:cs="Arial"/>
          <w:color w:val="000000" w:themeColor="text1"/>
          <w:szCs w:val="24"/>
          <w:lang w:val="es-ES_tradnl" w:eastAsia="es-ES_tradnl"/>
        </w:rPr>
      </w:pPr>
      <w:proofErr w:type="spellStart"/>
      <w:r>
        <w:rPr>
          <w:rFonts w:ascii="Verdana" w:eastAsiaTheme="minorEastAsia" w:hAnsi="Verdana" w:cs="Arial"/>
          <w:lang w:eastAsia="es-CO"/>
        </w:rPr>
        <w:t>iv</w:t>
      </w:r>
      <w:proofErr w:type="spellEnd"/>
      <w:r>
        <w:rPr>
          <w:rFonts w:ascii="Verdana" w:eastAsiaTheme="minorEastAsia" w:hAnsi="Verdana" w:cs="Arial"/>
          <w:lang w:eastAsia="es-CO"/>
        </w:rPr>
        <w:t xml:space="preserve">. </w:t>
      </w:r>
      <w:r>
        <w:rPr>
          <w:rFonts w:ascii="Verdana" w:eastAsia="Times New Roman" w:hAnsi="Verdana" w:cs="Arial"/>
          <w:color w:val="000000" w:themeColor="text1"/>
          <w:szCs w:val="24"/>
          <w:lang w:val="es-ES_tradnl" w:eastAsia="es-ES_tradnl"/>
        </w:rPr>
        <w:t xml:space="preserve">Como lo prescribe el </w:t>
      </w:r>
      <w:r w:rsidRPr="00F24580">
        <w:rPr>
          <w:rFonts w:ascii="Verdana" w:eastAsia="Times New Roman" w:hAnsi="Verdana" w:cs="Arial"/>
          <w:color w:val="000000" w:themeColor="text1"/>
          <w:szCs w:val="24"/>
          <w:lang w:val="es-ES_tradnl" w:eastAsia="es-ES_tradnl"/>
        </w:rPr>
        <w:t>artículo 60 de la Ley 80 de 1993 y el artículo 11 de la Ley 1150 de 2007</w:t>
      </w:r>
      <w:r>
        <w:rPr>
          <w:rFonts w:ascii="Verdana" w:eastAsia="Times New Roman" w:hAnsi="Verdana" w:cs="Arial"/>
          <w:color w:val="000000" w:themeColor="text1"/>
          <w:szCs w:val="24"/>
          <w:lang w:val="es-ES_tradnl" w:eastAsia="es-ES_tradnl"/>
        </w:rPr>
        <w:t xml:space="preserve"> se exige que la</w:t>
      </w:r>
      <w:r w:rsidRPr="00F24580">
        <w:rPr>
          <w:rFonts w:ascii="Verdana" w:eastAsia="Times New Roman" w:hAnsi="Verdana" w:cs="Arial"/>
          <w:color w:val="000000" w:themeColor="text1"/>
          <w:szCs w:val="24"/>
          <w:lang w:val="es-ES_tradnl" w:eastAsia="es-ES_tradnl"/>
        </w:rPr>
        <w:t xml:space="preserve"> liquidación </w:t>
      </w:r>
      <w:r>
        <w:rPr>
          <w:rFonts w:ascii="Verdana" w:eastAsia="Times New Roman" w:hAnsi="Verdana" w:cs="Arial"/>
          <w:color w:val="000000" w:themeColor="text1"/>
          <w:szCs w:val="24"/>
          <w:lang w:val="es-ES_tradnl" w:eastAsia="es-ES_tradnl"/>
        </w:rPr>
        <w:t>procede en aquellos</w:t>
      </w:r>
      <w:r w:rsidRPr="00F24580">
        <w:rPr>
          <w:rFonts w:ascii="Verdana" w:eastAsia="Times New Roman" w:hAnsi="Verdana" w:cs="Arial"/>
          <w:color w:val="000000" w:themeColor="text1"/>
          <w:szCs w:val="24"/>
          <w:lang w:val="es-ES_tradnl" w:eastAsia="es-ES_tradnl"/>
        </w:rPr>
        <w:t xml:space="preserve"> contratos de tracto sucesivo, </w:t>
      </w:r>
      <w:r w:rsidRPr="00F36EE8">
        <w:rPr>
          <w:rFonts w:ascii="Verdana" w:eastAsia="Times New Roman" w:hAnsi="Verdana" w:cs="Arial"/>
          <w:color w:val="000000" w:themeColor="text1"/>
          <w:szCs w:val="24"/>
          <w:lang w:eastAsia="es-ES_tradnl"/>
        </w:rPr>
        <w:t xml:space="preserve">aquellos cuya ejecución o cumplimiento se prolongue en el </w:t>
      </w:r>
      <w:r w:rsidRPr="00F36EE8">
        <w:rPr>
          <w:rFonts w:ascii="Verdana" w:eastAsia="Times New Roman" w:hAnsi="Verdana" w:cs="Arial"/>
          <w:color w:val="000000" w:themeColor="text1"/>
          <w:szCs w:val="24"/>
          <w:lang w:eastAsia="es-ES_tradnl"/>
        </w:rPr>
        <w:lastRenderedPageBreak/>
        <w:t>tiempo y los demás que lo requieran</w:t>
      </w:r>
      <w:r>
        <w:rPr>
          <w:rFonts w:ascii="Verdana" w:eastAsia="Times New Roman" w:hAnsi="Verdana" w:cs="Arial"/>
          <w:color w:val="000000" w:themeColor="text1"/>
          <w:szCs w:val="24"/>
          <w:lang w:eastAsia="es-ES_tradnl"/>
        </w:rPr>
        <w:t xml:space="preserve">. Dicho mandato de liquidación implica que, </w:t>
      </w:r>
      <w:r w:rsidRPr="00222906">
        <w:rPr>
          <w:rFonts w:ascii="Verdana" w:eastAsia="Times New Roman" w:hAnsi="Verdana" w:cs="Arial"/>
          <w:color w:val="000000" w:themeColor="text1"/>
          <w:szCs w:val="24"/>
          <w:lang w:val="es-ES_tradnl" w:eastAsia="es-ES_tradnl"/>
        </w:rPr>
        <w:t xml:space="preserve">primero, se intente la liquidación de mutuo acuerdo, en el término indicado en el pliego de condiciones o en el documento equivalente o en el pactado por las partes, o, subsidiariamente, en el término de cuatro meses. Si la liquidación </w:t>
      </w:r>
      <w:r>
        <w:rPr>
          <w:rFonts w:ascii="Verdana" w:eastAsia="Times New Roman" w:hAnsi="Verdana" w:cs="Arial"/>
          <w:color w:val="000000" w:themeColor="text1"/>
          <w:szCs w:val="24"/>
          <w:lang w:val="es-ES_tradnl" w:eastAsia="es-ES_tradnl"/>
        </w:rPr>
        <w:t xml:space="preserve">no se logra en este término, </w:t>
      </w:r>
      <w:r w:rsidRPr="00222906">
        <w:rPr>
          <w:rFonts w:ascii="Verdana" w:eastAsia="Times New Roman" w:hAnsi="Verdana" w:cs="Arial"/>
          <w:color w:val="000000" w:themeColor="text1"/>
          <w:szCs w:val="24"/>
          <w:lang w:val="es-ES_tradnl" w:eastAsia="es-ES_tradnl"/>
        </w:rPr>
        <w:t>puede proceder</w:t>
      </w:r>
      <w:r>
        <w:rPr>
          <w:rFonts w:ascii="Verdana" w:eastAsia="Times New Roman" w:hAnsi="Verdana" w:cs="Arial"/>
          <w:color w:val="000000" w:themeColor="text1"/>
          <w:szCs w:val="24"/>
          <w:lang w:val="es-ES_tradnl" w:eastAsia="es-ES_tradnl"/>
        </w:rPr>
        <w:t>se</w:t>
      </w:r>
      <w:r w:rsidRPr="00222906">
        <w:rPr>
          <w:rFonts w:ascii="Verdana" w:eastAsia="Times New Roman" w:hAnsi="Verdana" w:cs="Arial"/>
          <w:color w:val="000000" w:themeColor="text1"/>
          <w:szCs w:val="24"/>
          <w:lang w:val="es-ES_tradnl" w:eastAsia="es-ES_tradnl"/>
        </w:rPr>
        <w:t xml:space="preserve"> con la liquidación unilateral dentro de los dos meses siguientes. En los dos añ</w:t>
      </w:r>
      <w:r>
        <w:rPr>
          <w:rFonts w:ascii="Verdana" w:eastAsia="Times New Roman" w:hAnsi="Verdana" w:cs="Arial"/>
          <w:color w:val="000000" w:themeColor="text1"/>
          <w:szCs w:val="24"/>
          <w:lang w:val="es-ES_tradnl" w:eastAsia="es-ES_tradnl"/>
        </w:rPr>
        <w:t xml:space="preserve">os posteriores </w:t>
      </w:r>
      <w:r w:rsidRPr="00222906">
        <w:rPr>
          <w:rFonts w:ascii="Verdana" w:eastAsia="Times New Roman" w:hAnsi="Verdana" w:cs="Arial"/>
          <w:color w:val="000000" w:themeColor="text1"/>
          <w:szCs w:val="24"/>
          <w:lang w:val="es-ES_tradnl" w:eastAsia="es-ES_tradnl"/>
        </w:rPr>
        <w:t>puede efectuar</w:t>
      </w:r>
      <w:r>
        <w:rPr>
          <w:rFonts w:ascii="Verdana" w:eastAsia="Times New Roman" w:hAnsi="Verdana" w:cs="Arial"/>
          <w:color w:val="000000" w:themeColor="text1"/>
          <w:szCs w:val="24"/>
          <w:lang w:val="es-ES_tradnl" w:eastAsia="es-ES_tradnl"/>
        </w:rPr>
        <w:t>se</w:t>
      </w:r>
      <w:r w:rsidRPr="00222906">
        <w:rPr>
          <w:rFonts w:ascii="Verdana" w:eastAsia="Times New Roman" w:hAnsi="Verdana" w:cs="Arial"/>
          <w:color w:val="000000" w:themeColor="text1"/>
          <w:szCs w:val="24"/>
          <w:lang w:val="es-ES_tradnl" w:eastAsia="es-ES_tradnl"/>
        </w:rPr>
        <w:t xml:space="preserve"> la liquidación bilateral, unilateral o judicial. </w:t>
      </w:r>
    </w:p>
    <w:p w14:paraId="5D746C43" w14:textId="77777777" w:rsidR="005D61A0" w:rsidRPr="00222906" w:rsidRDefault="005D61A0" w:rsidP="005D61A0">
      <w:pPr>
        <w:spacing w:after="120" w:line="276" w:lineRule="auto"/>
        <w:ind w:firstLine="708"/>
        <w:jc w:val="both"/>
        <w:rPr>
          <w:rFonts w:ascii="Verdana" w:eastAsia="Times New Roman" w:hAnsi="Verdana" w:cs="Arial"/>
          <w:color w:val="000000" w:themeColor="text1"/>
          <w:lang w:val="es-ES" w:eastAsia="es-ES"/>
        </w:rPr>
      </w:pPr>
      <w:r w:rsidRPr="4508359B">
        <w:rPr>
          <w:rFonts w:ascii="Verdana" w:eastAsia="Times New Roman" w:hAnsi="Verdana" w:cs="Arial"/>
          <w:color w:val="000000" w:themeColor="text1"/>
          <w:lang w:val="es-ES" w:eastAsia="es-ES"/>
        </w:rPr>
        <w:t xml:space="preserve">Dichas reglas se entendían que eran aplicables a los </w:t>
      </w:r>
      <w:proofErr w:type="gramStart"/>
      <w:r w:rsidRPr="4508359B">
        <w:rPr>
          <w:rFonts w:ascii="Verdana" w:eastAsia="Times New Roman" w:hAnsi="Verdana" w:cs="Arial"/>
          <w:color w:val="000000" w:themeColor="text1"/>
          <w:lang w:val="es-ES" w:eastAsia="es-ES"/>
        </w:rPr>
        <w:t>contratos interadministrativos y convenios interadministrativos</w:t>
      </w:r>
      <w:proofErr w:type="gramEnd"/>
      <w:r w:rsidRPr="4508359B">
        <w:rPr>
          <w:rFonts w:ascii="Verdana" w:eastAsia="Times New Roman" w:hAnsi="Verdana" w:cs="Arial"/>
          <w:color w:val="000000" w:themeColor="text1"/>
          <w:lang w:val="es-ES" w:eastAsia="es-ES"/>
        </w:rPr>
        <w:t xml:space="preserve">. Sin embargo, el Consejo de Estado ha modificado sus posturas frente a la posibilidad de aplicar las reglas de la liquidación de los contratos a los convenios interadministrativos, en especial la liquidación unilateral, lo cual implica analizar su evolución jurisprudencial, para efectos de clarificar y resolver los problemas jurídicos, en torno al término y oportunidad para la liquidación judicial. </w:t>
      </w:r>
    </w:p>
    <w:p w14:paraId="566A2233" w14:textId="77777777" w:rsidR="005D61A0" w:rsidRDefault="005D61A0" w:rsidP="005D61A0">
      <w:pPr>
        <w:spacing w:after="0" w:line="276" w:lineRule="auto"/>
        <w:jc w:val="both"/>
        <w:rPr>
          <w:rFonts w:ascii="Verdana" w:eastAsia="Times New Roman" w:hAnsi="Verdana" w:cs="Arial"/>
          <w:color w:val="000000" w:themeColor="text1"/>
          <w:szCs w:val="24"/>
          <w:lang w:val="es-ES_tradnl" w:eastAsia="es-ES_tradnl"/>
        </w:rPr>
      </w:pPr>
      <w:r>
        <w:rPr>
          <w:rFonts w:ascii="Verdana" w:eastAsia="Times New Roman" w:hAnsi="Verdana" w:cs="Arial"/>
          <w:color w:val="000000" w:themeColor="text1"/>
          <w:szCs w:val="24"/>
          <w:lang w:val="es-ES_tradnl" w:eastAsia="es-ES_tradnl"/>
        </w:rPr>
        <w:tab/>
        <w:t xml:space="preserve">La Sección Tercera del Consejo de Estado en su momento expresó que </w:t>
      </w:r>
      <w:r w:rsidRPr="00F24580">
        <w:rPr>
          <w:rFonts w:ascii="Verdana" w:eastAsia="Times New Roman" w:hAnsi="Verdana" w:cs="Arial"/>
          <w:color w:val="000000" w:themeColor="text1"/>
          <w:szCs w:val="24"/>
          <w:lang w:val="es-ES_tradnl" w:eastAsia="es-ES_tradnl"/>
        </w:rPr>
        <w:t xml:space="preserve">tratándose de convenios de asociación entre entidades públicas, en </w:t>
      </w:r>
      <w:r>
        <w:rPr>
          <w:rFonts w:ascii="Verdana" w:eastAsia="Times New Roman" w:hAnsi="Verdana" w:cs="Arial"/>
          <w:color w:val="000000" w:themeColor="text1"/>
          <w:szCs w:val="24"/>
          <w:lang w:val="es-ES_tradnl" w:eastAsia="es-ES_tradnl"/>
        </w:rPr>
        <w:t xml:space="preserve">un </w:t>
      </w:r>
      <w:r w:rsidRPr="00F24580">
        <w:rPr>
          <w:rFonts w:ascii="Verdana" w:eastAsia="Times New Roman" w:hAnsi="Verdana" w:cs="Arial"/>
          <w:color w:val="000000" w:themeColor="text1"/>
          <w:szCs w:val="24"/>
          <w:lang w:val="es-ES_tradnl" w:eastAsia="es-ES_tradnl"/>
        </w:rPr>
        <w:t>pronunciamiento, indicó que la liquidación unilateral no resulta procedente en aquellos convenios en los que las entidades tienen la “finalidad asociativa”, actuando en pie de igualdad, como sucede en los regulado en el artículo 95 de la Ley 489 de 1998, pues “[…] de obrar en el pacto una finalidad asociativa entre las partes, ninguna de estas podría imponerle a la otra su propio balance de cuentas, porque la situación de paridad entre ambas entidades públicas asociadas en virtud el convenio, es incompatible con el ejercicio de prerrogativas como la liquidación unilateral, […]”, en la misma sentencia se aclara y vigente del Consejo de Estado</w:t>
      </w:r>
      <w:r w:rsidRPr="00F24580">
        <w:rPr>
          <w:rFonts w:ascii="Verdana" w:eastAsia="Times New Roman" w:hAnsi="Verdana" w:cs="Arial"/>
          <w:color w:val="000000" w:themeColor="text1"/>
          <w:szCs w:val="24"/>
          <w:vertAlign w:val="superscript"/>
          <w:lang w:val="es-ES_tradnl" w:eastAsia="es-ES_tradnl"/>
        </w:rPr>
        <w:footnoteReference w:id="25"/>
      </w:r>
      <w:r w:rsidRPr="00F24580">
        <w:rPr>
          <w:rFonts w:ascii="Verdana" w:eastAsia="Times New Roman" w:hAnsi="Verdana" w:cs="Arial"/>
          <w:color w:val="000000" w:themeColor="text1"/>
          <w:szCs w:val="24"/>
          <w:lang w:val="es-ES_tradnl" w:eastAsia="es-ES_tradnl"/>
        </w:rPr>
        <w:t xml:space="preserve"> que si en contrato interadministrativo no hay finalidad asociativa, sino una verdadera relación conmutativa en virtud de la cual una entidad estatal presta un  servicio a la otra o le suministra un bien, por ejemplo, la liquidac</w:t>
      </w:r>
      <w:r>
        <w:rPr>
          <w:rFonts w:ascii="Verdana" w:eastAsia="Times New Roman" w:hAnsi="Verdana" w:cs="Arial"/>
          <w:color w:val="000000" w:themeColor="text1"/>
          <w:szCs w:val="24"/>
          <w:lang w:val="es-ES_tradnl" w:eastAsia="es-ES_tradnl"/>
        </w:rPr>
        <w:t>ión unilateral si resulta procedente</w:t>
      </w:r>
      <w:r w:rsidRPr="00F24580">
        <w:rPr>
          <w:rFonts w:ascii="Verdana" w:eastAsia="Times New Roman" w:hAnsi="Verdana" w:cs="Arial"/>
          <w:color w:val="000000" w:themeColor="text1"/>
          <w:szCs w:val="24"/>
          <w:lang w:val="es-ES_tradnl" w:eastAsia="es-ES_tradnl"/>
        </w:rPr>
        <w:t>.</w:t>
      </w:r>
      <w:r>
        <w:rPr>
          <w:lang w:val="es-ES_tradnl"/>
        </w:rPr>
        <w:t xml:space="preserve"> </w:t>
      </w:r>
      <w:r>
        <w:rPr>
          <w:rFonts w:ascii="Verdana" w:eastAsia="Times New Roman" w:hAnsi="Verdana" w:cs="Arial"/>
          <w:color w:val="000000" w:themeColor="text1"/>
          <w:szCs w:val="24"/>
          <w:lang w:val="es-ES_tradnl" w:eastAsia="es-ES_tradnl"/>
        </w:rPr>
        <w:t>En otras palabras, la tesis que se ha venido sosteniendo es que, en los contratos interadministrativos, al fundarse en</w:t>
      </w:r>
      <w:r w:rsidRPr="009B43BD">
        <w:rPr>
          <w:rFonts w:ascii="Verdana" w:eastAsia="Times New Roman" w:hAnsi="Verdana" w:cs="Arial"/>
          <w:color w:val="000000" w:themeColor="text1"/>
          <w:szCs w:val="24"/>
          <w:lang w:val="es-ES_tradnl" w:eastAsia="es-ES_tradnl"/>
        </w:rPr>
        <w:t xml:space="preserve"> una relación conmutativa</w:t>
      </w:r>
      <w:r>
        <w:rPr>
          <w:rFonts w:ascii="Verdana" w:eastAsia="Times New Roman" w:hAnsi="Verdana" w:cs="Arial"/>
          <w:color w:val="000000" w:themeColor="text1"/>
          <w:szCs w:val="24"/>
          <w:lang w:val="es-ES_tradnl" w:eastAsia="es-ES_tradnl"/>
        </w:rPr>
        <w:t>,</w:t>
      </w:r>
      <w:r w:rsidRPr="009B43BD">
        <w:rPr>
          <w:rFonts w:ascii="Verdana" w:eastAsia="Times New Roman" w:hAnsi="Verdana" w:cs="Arial"/>
          <w:color w:val="000000" w:themeColor="text1"/>
          <w:szCs w:val="24"/>
          <w:lang w:val="es-ES_tradnl" w:eastAsia="es-ES_tradnl"/>
        </w:rPr>
        <w:t xml:space="preserve"> en la que una entidad presta un servicio o suministra un bien a la otra, </w:t>
      </w:r>
      <w:r>
        <w:rPr>
          <w:rFonts w:ascii="Verdana" w:eastAsia="Times New Roman" w:hAnsi="Verdana" w:cs="Arial"/>
          <w:color w:val="000000" w:themeColor="text1"/>
          <w:szCs w:val="24"/>
          <w:lang w:val="es-ES_tradnl" w:eastAsia="es-ES_tradnl"/>
        </w:rPr>
        <w:t>se reconoce que es posible la liquidación unilateral. Frente a dicha tesis, el Consejo de Estado expresó:</w:t>
      </w:r>
    </w:p>
    <w:p w14:paraId="40AEF2E4" w14:textId="77777777" w:rsidR="005D61A0" w:rsidRDefault="005D61A0" w:rsidP="005D61A0">
      <w:pPr>
        <w:spacing w:after="0" w:line="276" w:lineRule="auto"/>
        <w:jc w:val="both"/>
        <w:rPr>
          <w:rFonts w:ascii="Verdana" w:eastAsia="Times New Roman" w:hAnsi="Verdana" w:cs="Arial"/>
          <w:color w:val="000000" w:themeColor="text1"/>
          <w:szCs w:val="24"/>
          <w:lang w:val="es-ES_tradnl" w:eastAsia="es-ES_tradnl"/>
        </w:rPr>
      </w:pPr>
      <w:r>
        <w:rPr>
          <w:rFonts w:ascii="Verdana" w:eastAsia="Times New Roman" w:hAnsi="Verdana" w:cs="Arial"/>
          <w:color w:val="000000" w:themeColor="text1"/>
          <w:szCs w:val="24"/>
          <w:lang w:val="es-ES_tradnl" w:eastAsia="es-ES_tradnl"/>
        </w:rPr>
        <w:t xml:space="preserve"> </w:t>
      </w:r>
    </w:p>
    <w:p w14:paraId="12A8F20B" w14:textId="77777777" w:rsidR="005D61A0" w:rsidRPr="006F234B" w:rsidRDefault="005D61A0" w:rsidP="005D61A0">
      <w:pPr>
        <w:spacing w:after="0" w:line="240" w:lineRule="auto"/>
        <w:ind w:left="709" w:right="709"/>
        <w:jc w:val="both"/>
        <w:rPr>
          <w:rFonts w:ascii="Verdana" w:eastAsia="Times New Roman" w:hAnsi="Verdana" w:cs="Arial"/>
          <w:iCs/>
          <w:color w:val="000000" w:themeColor="text1"/>
          <w:sz w:val="20"/>
          <w:szCs w:val="20"/>
          <w:lang w:eastAsia="es-ES_tradnl"/>
        </w:rPr>
      </w:pPr>
      <w:r w:rsidRPr="006F234B">
        <w:rPr>
          <w:rFonts w:ascii="Verdana" w:eastAsia="Times New Roman" w:hAnsi="Verdana" w:cs="Arial"/>
          <w:iCs/>
          <w:color w:val="000000" w:themeColor="text1"/>
          <w:sz w:val="20"/>
          <w:szCs w:val="20"/>
          <w:lang w:eastAsia="es-ES_tradnl"/>
        </w:rPr>
        <w:lastRenderedPageBreak/>
        <w:t>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w:t>
      </w:r>
    </w:p>
    <w:p w14:paraId="765A41F8" w14:textId="77777777" w:rsidR="005D61A0" w:rsidRPr="006F234B" w:rsidRDefault="005D61A0" w:rsidP="005D61A0">
      <w:pPr>
        <w:spacing w:after="0" w:line="240" w:lineRule="auto"/>
        <w:ind w:left="709" w:right="709"/>
        <w:jc w:val="both"/>
        <w:rPr>
          <w:rFonts w:ascii="Verdana" w:eastAsia="Times New Roman" w:hAnsi="Verdana" w:cs="Arial"/>
          <w:color w:val="000000" w:themeColor="text1"/>
          <w:sz w:val="20"/>
          <w:szCs w:val="20"/>
          <w:lang w:eastAsia="es-ES_tradnl"/>
        </w:rPr>
      </w:pPr>
      <w:r w:rsidRPr="006F234B">
        <w:rPr>
          <w:rFonts w:ascii="Verdana" w:eastAsia="Times New Roman" w:hAnsi="Verdana" w:cs="Arial"/>
          <w:iCs/>
          <w:color w:val="000000" w:themeColor="text1"/>
          <w:sz w:val="20"/>
          <w:szCs w:val="20"/>
          <w:lang w:eastAsia="es-ES_tradnl"/>
        </w:rPr>
        <w:t xml:space="preserve"> </w:t>
      </w:r>
    </w:p>
    <w:p w14:paraId="7FA1CD36" w14:textId="77777777" w:rsidR="005D61A0" w:rsidRPr="006F234B" w:rsidRDefault="005D61A0" w:rsidP="005D61A0">
      <w:pPr>
        <w:spacing w:after="0" w:line="240" w:lineRule="auto"/>
        <w:ind w:left="709" w:right="709"/>
        <w:jc w:val="both"/>
        <w:rPr>
          <w:rFonts w:ascii="Verdana" w:eastAsia="Times New Roman" w:hAnsi="Verdana" w:cs="Arial"/>
          <w:iCs/>
          <w:color w:val="000000" w:themeColor="text1"/>
          <w:sz w:val="20"/>
          <w:szCs w:val="20"/>
          <w:lang w:eastAsia="es-ES_tradnl"/>
        </w:rPr>
      </w:pPr>
      <w:r w:rsidRPr="006F234B">
        <w:rPr>
          <w:rFonts w:ascii="Verdana" w:eastAsia="Times New Roman" w:hAnsi="Verdana" w:cs="Arial"/>
          <w:iCs/>
          <w:color w:val="000000" w:themeColor="text1"/>
          <w:sz w:val="20"/>
          <w:szCs w:val="20"/>
          <w:lang w:eastAsia="es-ES_tradnl"/>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7D4A9636" w14:textId="77777777" w:rsidR="005D61A0" w:rsidRPr="006F234B" w:rsidRDefault="005D61A0" w:rsidP="005D61A0">
      <w:pPr>
        <w:spacing w:after="0" w:line="240" w:lineRule="auto"/>
        <w:ind w:left="709" w:right="709"/>
        <w:jc w:val="both"/>
        <w:rPr>
          <w:rFonts w:ascii="Verdana" w:eastAsia="Times New Roman" w:hAnsi="Verdana" w:cs="Arial"/>
          <w:color w:val="000000" w:themeColor="text1"/>
          <w:sz w:val="20"/>
          <w:szCs w:val="20"/>
          <w:lang w:eastAsia="es-ES_tradnl"/>
        </w:rPr>
      </w:pPr>
    </w:p>
    <w:p w14:paraId="317190BA" w14:textId="77777777" w:rsidR="005D61A0" w:rsidRPr="006F234B" w:rsidRDefault="005D61A0" w:rsidP="005D61A0">
      <w:pPr>
        <w:spacing w:after="0" w:line="240" w:lineRule="auto"/>
        <w:ind w:left="709" w:right="709"/>
        <w:jc w:val="both"/>
        <w:rPr>
          <w:rFonts w:ascii="Verdana" w:eastAsia="Times New Roman" w:hAnsi="Verdana" w:cs="Arial"/>
          <w:color w:val="000000" w:themeColor="text1"/>
          <w:sz w:val="20"/>
          <w:szCs w:val="20"/>
          <w:lang w:val="es-ES_tradnl" w:eastAsia="es-ES_tradnl"/>
        </w:rPr>
      </w:pPr>
      <w:r w:rsidRPr="006F234B">
        <w:rPr>
          <w:rFonts w:ascii="Verdana" w:eastAsia="Times New Roman" w:hAnsi="Verdana" w:cs="Arial"/>
          <w:iCs/>
          <w:color w:val="000000" w:themeColor="text1"/>
          <w:sz w:val="20"/>
          <w:szCs w:val="20"/>
          <w:lang w:eastAsia="es-ES_tradnl"/>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6F234B">
        <w:rPr>
          <w:rStyle w:val="Refdenotaalpie"/>
          <w:rFonts w:ascii="Verdana" w:eastAsia="Times New Roman" w:hAnsi="Verdana" w:cs="Arial"/>
          <w:iCs/>
          <w:color w:val="000000" w:themeColor="text1"/>
          <w:sz w:val="20"/>
          <w:szCs w:val="20"/>
          <w:lang w:eastAsia="es-ES_tradnl"/>
        </w:rPr>
        <w:footnoteReference w:id="26"/>
      </w:r>
      <w:r w:rsidRPr="006F234B">
        <w:rPr>
          <w:rFonts w:ascii="Verdana" w:eastAsia="Times New Roman" w:hAnsi="Verdana" w:cs="Arial"/>
          <w:iCs/>
          <w:color w:val="000000" w:themeColor="text1"/>
          <w:sz w:val="20"/>
          <w:szCs w:val="20"/>
          <w:lang w:eastAsia="es-ES_tradnl"/>
        </w:rPr>
        <w:t>.</w:t>
      </w:r>
    </w:p>
    <w:p w14:paraId="6CC9F3D4" w14:textId="77777777" w:rsidR="005D61A0" w:rsidRPr="00993A7C" w:rsidRDefault="005D61A0" w:rsidP="005D61A0">
      <w:pPr>
        <w:spacing w:after="120" w:line="276" w:lineRule="auto"/>
        <w:ind w:firstLine="709"/>
        <w:jc w:val="both"/>
        <w:rPr>
          <w:rFonts w:ascii="Verdana" w:eastAsiaTheme="minorEastAsia" w:hAnsi="Verdana" w:cs="Arial"/>
          <w:lang w:val="es-ES_tradnl" w:eastAsia="es-CO"/>
        </w:rPr>
      </w:pPr>
    </w:p>
    <w:p w14:paraId="1A9BF811" w14:textId="77777777" w:rsidR="005D61A0" w:rsidRDefault="005D61A0" w:rsidP="005D61A0">
      <w:pPr>
        <w:spacing w:after="120" w:line="276" w:lineRule="auto"/>
        <w:ind w:firstLine="709"/>
        <w:jc w:val="both"/>
        <w:rPr>
          <w:rFonts w:ascii="Verdana" w:eastAsiaTheme="minorEastAsia" w:hAnsi="Verdana" w:cs="Arial"/>
          <w:lang w:eastAsia="es-CO"/>
        </w:rPr>
      </w:pPr>
      <w:r>
        <w:rPr>
          <w:rFonts w:ascii="Verdana" w:eastAsiaTheme="minorEastAsia" w:hAnsi="Verdana" w:cs="Arial"/>
          <w:lang w:val="es-ES_tradnl" w:eastAsia="es-CO"/>
        </w:rPr>
        <w:t xml:space="preserve">Teniendo en cuenta la postura jurisprudencial, el Consejo de Estado ha expresado en varias sentencias que </w:t>
      </w:r>
      <w:r w:rsidRPr="0058337B">
        <w:rPr>
          <w:rFonts w:ascii="Verdana" w:eastAsiaTheme="minorEastAsia" w:hAnsi="Verdana" w:cs="Arial"/>
          <w:lang w:eastAsia="es-CO"/>
        </w:rPr>
        <w:t>los conve</w:t>
      </w:r>
      <w:r>
        <w:rPr>
          <w:rFonts w:ascii="Verdana" w:eastAsiaTheme="minorEastAsia" w:hAnsi="Verdana" w:cs="Arial"/>
          <w:lang w:eastAsia="es-CO"/>
        </w:rPr>
        <w:t xml:space="preserve">nios interadministrativos no están sometidos </w:t>
      </w:r>
      <w:r w:rsidRPr="0058337B">
        <w:rPr>
          <w:rFonts w:ascii="Verdana" w:eastAsiaTheme="minorEastAsia" w:hAnsi="Verdana" w:cs="Arial"/>
          <w:lang w:eastAsia="es-CO"/>
        </w:rPr>
        <w:t>a las normas de la Ley 80 de 1993 sobre li</w:t>
      </w:r>
      <w:r>
        <w:rPr>
          <w:rFonts w:ascii="Verdana" w:eastAsiaTheme="minorEastAsia" w:hAnsi="Verdana" w:cs="Arial"/>
          <w:lang w:eastAsia="es-CO"/>
        </w:rPr>
        <w:t xml:space="preserve">quidación de los contratos. Ahora bien, para el término </w:t>
      </w:r>
      <w:r w:rsidRPr="0058337B">
        <w:rPr>
          <w:rFonts w:ascii="Verdana" w:eastAsiaTheme="minorEastAsia" w:hAnsi="Verdana" w:cs="Arial"/>
          <w:lang w:eastAsia="es-CO"/>
        </w:rPr>
        <w:t>de caducidad, debe verificarse si las partes regularon cómo hacer la liquidación en l</w:t>
      </w:r>
      <w:r>
        <w:rPr>
          <w:rFonts w:ascii="Verdana" w:eastAsiaTheme="minorEastAsia" w:hAnsi="Verdana" w:cs="Arial"/>
          <w:lang w:eastAsia="es-CO"/>
        </w:rPr>
        <w:t>as estipulaciones del convenio</w:t>
      </w:r>
      <w:r>
        <w:rPr>
          <w:rStyle w:val="Refdenotaalpie"/>
          <w:rFonts w:ascii="Verdana" w:eastAsiaTheme="minorEastAsia" w:hAnsi="Verdana" w:cs="Arial"/>
          <w:lang w:eastAsia="es-CO"/>
        </w:rPr>
        <w:footnoteReference w:id="27"/>
      </w:r>
      <w:r>
        <w:rPr>
          <w:rFonts w:ascii="Verdana" w:eastAsiaTheme="minorEastAsia" w:hAnsi="Verdana" w:cs="Arial"/>
          <w:lang w:eastAsia="es-CO"/>
        </w:rPr>
        <w:t>.</w:t>
      </w:r>
      <w:r w:rsidRPr="0058337B">
        <w:rPr>
          <w:rFonts w:ascii="Verdana" w:eastAsiaTheme="minorEastAsia" w:hAnsi="Verdana" w:cs="Arial"/>
          <w:lang w:eastAsia="es-CO"/>
        </w:rPr>
        <w:t xml:space="preserve"> </w:t>
      </w:r>
      <w:r>
        <w:rPr>
          <w:rFonts w:ascii="Verdana" w:eastAsiaTheme="minorEastAsia" w:hAnsi="Verdana" w:cs="Arial"/>
          <w:lang w:eastAsia="es-CO"/>
        </w:rPr>
        <w:t xml:space="preserve">En tal sentido, en </w:t>
      </w:r>
      <w:r>
        <w:rPr>
          <w:rFonts w:ascii="Verdana" w:eastAsiaTheme="minorEastAsia" w:hAnsi="Verdana" w:cs="Arial"/>
          <w:lang w:eastAsia="es-CO"/>
        </w:rPr>
        <w:lastRenderedPageBreak/>
        <w:t>los eventos en que</w:t>
      </w:r>
      <w:r w:rsidRPr="0058337B">
        <w:rPr>
          <w:rFonts w:ascii="Verdana" w:eastAsiaTheme="minorEastAsia" w:hAnsi="Verdana" w:cs="Arial"/>
          <w:lang w:eastAsia="es-CO"/>
        </w:rPr>
        <w:t xml:space="preserve"> este tipo de convenios, así como en los contratos no sometidos a la Ley 80 de 1993, el cómputo de</w:t>
      </w:r>
      <w:r>
        <w:rPr>
          <w:rFonts w:ascii="Verdana" w:eastAsiaTheme="minorEastAsia" w:hAnsi="Verdana" w:cs="Arial"/>
          <w:lang w:eastAsia="es-CO"/>
        </w:rPr>
        <w:t xml:space="preserve">l término de caducidad regulados en </w:t>
      </w:r>
      <w:r w:rsidRPr="0058337B">
        <w:rPr>
          <w:rFonts w:ascii="Verdana" w:eastAsiaTheme="minorEastAsia" w:hAnsi="Verdana" w:cs="Arial"/>
          <w:lang w:eastAsia="es-CO"/>
        </w:rPr>
        <w:t>el</w:t>
      </w:r>
      <w:r>
        <w:rPr>
          <w:rFonts w:ascii="Verdana" w:eastAsiaTheme="minorEastAsia" w:hAnsi="Verdana" w:cs="Arial"/>
          <w:lang w:eastAsia="es-CO"/>
        </w:rPr>
        <w:t xml:space="preserve"> numeral v</w:t>
      </w:r>
      <w:r w:rsidRPr="0058337B">
        <w:rPr>
          <w:rFonts w:ascii="Verdana" w:eastAsiaTheme="minorEastAsia" w:hAnsi="Verdana" w:cs="Arial"/>
          <w:lang w:eastAsia="es-CO"/>
        </w:rPr>
        <w:t xml:space="preserve"> literal j) del numera</w:t>
      </w:r>
      <w:r>
        <w:rPr>
          <w:rFonts w:ascii="Verdana" w:eastAsiaTheme="minorEastAsia" w:hAnsi="Verdana" w:cs="Arial"/>
          <w:lang w:eastAsia="es-CO"/>
        </w:rPr>
        <w:t>l 2 del artículo 164 del CPACA</w:t>
      </w:r>
      <w:r w:rsidRPr="0058337B">
        <w:rPr>
          <w:rFonts w:ascii="Verdana" w:eastAsiaTheme="minorEastAsia" w:hAnsi="Verdana" w:cs="Arial"/>
          <w:lang w:eastAsia="es-CO"/>
        </w:rPr>
        <w:t xml:space="preserve">, debe sujetarse a la forma en que las partes hayan regulado la liquidación en el convenio o contrato. </w:t>
      </w:r>
      <w:r>
        <w:rPr>
          <w:rFonts w:ascii="Verdana" w:eastAsiaTheme="minorEastAsia" w:hAnsi="Verdana" w:cs="Arial"/>
          <w:lang w:eastAsia="es-CO"/>
        </w:rPr>
        <w:t>Si las partes estipularon</w:t>
      </w:r>
      <w:r w:rsidRPr="0058337B">
        <w:rPr>
          <w:rFonts w:ascii="Verdana" w:eastAsiaTheme="minorEastAsia" w:hAnsi="Verdana" w:cs="Arial"/>
          <w:lang w:eastAsia="es-CO"/>
        </w:rPr>
        <w:t xml:space="preserve"> la liquidación bilateral, el término de caducidad se computará desde el ve</w:t>
      </w:r>
      <w:r>
        <w:rPr>
          <w:rFonts w:ascii="Verdana" w:eastAsiaTheme="minorEastAsia" w:hAnsi="Verdana" w:cs="Arial"/>
          <w:lang w:eastAsia="es-CO"/>
        </w:rPr>
        <w:t>ncimiento del plazo pactado</w:t>
      </w:r>
      <w:r w:rsidRPr="0058337B">
        <w:rPr>
          <w:rFonts w:ascii="Verdana" w:eastAsiaTheme="minorEastAsia" w:hAnsi="Verdana" w:cs="Arial"/>
          <w:lang w:eastAsia="es-CO"/>
        </w:rPr>
        <w:t>, o en su defecto, desde los 4</w:t>
      </w:r>
      <w:r>
        <w:rPr>
          <w:rFonts w:ascii="Verdana" w:eastAsiaTheme="minorEastAsia" w:hAnsi="Verdana" w:cs="Arial"/>
          <w:lang w:eastAsia="es-CO"/>
        </w:rPr>
        <w:t xml:space="preserve"> meses previstos en el numeral v, </w:t>
      </w:r>
      <w:r w:rsidRPr="0058337B">
        <w:rPr>
          <w:rFonts w:ascii="Verdana" w:eastAsiaTheme="minorEastAsia" w:hAnsi="Verdana" w:cs="Arial"/>
          <w:lang w:eastAsia="es-CO"/>
        </w:rPr>
        <w:t>literal j) del numeral 2 del artículo 164 del CPACA. S</w:t>
      </w:r>
      <w:r>
        <w:rPr>
          <w:rFonts w:ascii="Verdana" w:eastAsiaTheme="minorEastAsia" w:hAnsi="Verdana" w:cs="Arial"/>
          <w:lang w:eastAsia="es-CO"/>
        </w:rPr>
        <w:t xml:space="preserve">i las partes estipularon la </w:t>
      </w:r>
      <w:r w:rsidRPr="0058337B">
        <w:rPr>
          <w:rFonts w:ascii="Verdana" w:eastAsiaTheme="minorEastAsia" w:hAnsi="Verdana" w:cs="Arial"/>
          <w:lang w:eastAsia="es-CO"/>
        </w:rPr>
        <w:t>liquidación bilateral como unilateral, la caducidad se contará desde el vencimiento del plazo pactado en el contrato y, en su defecto</w:t>
      </w:r>
      <w:r>
        <w:rPr>
          <w:rFonts w:ascii="Verdana" w:eastAsiaTheme="minorEastAsia" w:hAnsi="Verdana" w:cs="Arial"/>
          <w:lang w:eastAsia="es-CO"/>
        </w:rPr>
        <w:t xml:space="preserve">, </w:t>
      </w:r>
      <w:r w:rsidRPr="00D9383B">
        <w:rPr>
          <w:rFonts w:ascii="Verdana" w:eastAsiaTheme="minorEastAsia" w:hAnsi="Verdana" w:cs="Arial"/>
          <w:lang w:eastAsia="es-CO"/>
        </w:rPr>
        <w:t xml:space="preserve">desde el vencimiento de los 2 meses previstos en el aparte v del literal j) del numeral 2 del artículo 164 del CPACA para realizar la liquidación unilateral. </w:t>
      </w:r>
    </w:p>
    <w:p w14:paraId="6C8854F4" w14:textId="77777777" w:rsidR="005D61A0" w:rsidRDefault="005D61A0" w:rsidP="005D61A0">
      <w:pPr>
        <w:spacing w:after="0" w:line="276" w:lineRule="auto"/>
        <w:ind w:firstLine="709"/>
        <w:jc w:val="both"/>
        <w:rPr>
          <w:rFonts w:ascii="Verdana" w:eastAsiaTheme="minorEastAsia" w:hAnsi="Verdana" w:cs="Arial"/>
          <w:lang w:eastAsia="es-CO"/>
        </w:rPr>
      </w:pPr>
      <w:r>
        <w:rPr>
          <w:rFonts w:ascii="Verdana" w:eastAsiaTheme="minorEastAsia" w:hAnsi="Verdana" w:cs="Arial"/>
          <w:lang w:val="es-ES_tradnl" w:eastAsia="es-CO"/>
        </w:rPr>
        <w:t xml:space="preserve">A pesar de esta postura jurisprudencial, </w:t>
      </w:r>
      <w:r>
        <w:rPr>
          <w:rFonts w:ascii="Verdana" w:eastAsiaTheme="minorEastAsia" w:hAnsi="Verdana" w:cs="Arial"/>
          <w:lang w:eastAsia="es-CO"/>
        </w:rPr>
        <w:t xml:space="preserve">la Sección Tercera en varias de providencias previas, </w:t>
      </w:r>
      <w:r w:rsidRPr="005556B3">
        <w:rPr>
          <w:rFonts w:ascii="Verdana" w:eastAsiaTheme="minorEastAsia" w:hAnsi="Verdana" w:cs="Arial"/>
          <w:lang w:eastAsia="es-CO"/>
        </w:rPr>
        <w:t>en las cuales, pese a no ser procedente la liquidación unilateral, se sumaron al término de caducidad los dos meses previstos</w:t>
      </w:r>
      <w:r>
        <w:rPr>
          <w:rFonts w:ascii="Verdana" w:eastAsiaTheme="minorEastAsia" w:hAnsi="Verdana" w:cs="Arial"/>
          <w:lang w:eastAsia="es-CO"/>
        </w:rPr>
        <w:t xml:space="preserve"> para el ejercicio de dicha facultad</w:t>
      </w:r>
      <w:r>
        <w:rPr>
          <w:rStyle w:val="Refdenotaalpie"/>
          <w:rFonts w:ascii="Verdana" w:eastAsiaTheme="minorEastAsia" w:hAnsi="Verdana" w:cs="Arial"/>
          <w:lang w:eastAsia="es-CO"/>
        </w:rPr>
        <w:footnoteReference w:id="28"/>
      </w:r>
      <w:r w:rsidRPr="005556B3">
        <w:rPr>
          <w:rFonts w:ascii="Verdana" w:eastAsiaTheme="minorEastAsia" w:hAnsi="Verdana" w:cs="Arial"/>
          <w:lang w:eastAsia="es-CO"/>
        </w:rPr>
        <w:t>. Esta precisión se adopta teniendo en c</w:t>
      </w:r>
      <w:r>
        <w:rPr>
          <w:rFonts w:ascii="Verdana" w:eastAsiaTheme="minorEastAsia" w:hAnsi="Verdana" w:cs="Arial"/>
          <w:lang w:eastAsia="es-CO"/>
        </w:rPr>
        <w:t xml:space="preserve">uenta las disposiciones legales, y en especial, </w:t>
      </w:r>
      <w:r w:rsidRPr="005556B3">
        <w:rPr>
          <w:rFonts w:ascii="Verdana" w:eastAsiaTheme="minorEastAsia" w:hAnsi="Verdana" w:cs="Arial"/>
          <w:lang w:eastAsia="es-CO"/>
        </w:rPr>
        <w:t>el plazo adicional</w:t>
      </w:r>
      <w:r>
        <w:rPr>
          <w:rFonts w:ascii="Verdana" w:eastAsiaTheme="minorEastAsia" w:hAnsi="Verdana" w:cs="Arial"/>
          <w:lang w:eastAsia="es-CO"/>
        </w:rPr>
        <w:t xml:space="preserve"> de los dos meses solo tiene fundamento</w:t>
      </w:r>
      <w:r w:rsidRPr="005556B3">
        <w:rPr>
          <w:rFonts w:ascii="Verdana" w:eastAsiaTheme="minorEastAsia" w:hAnsi="Verdana" w:cs="Arial"/>
          <w:lang w:eastAsia="es-CO"/>
        </w:rPr>
        <w:t xml:space="preserve"> cuando se haya </w:t>
      </w:r>
      <w:r>
        <w:rPr>
          <w:rFonts w:ascii="Verdana" w:eastAsiaTheme="minorEastAsia" w:hAnsi="Verdana" w:cs="Arial"/>
          <w:lang w:eastAsia="es-CO"/>
        </w:rPr>
        <w:t xml:space="preserve">estipulado </w:t>
      </w:r>
      <w:r w:rsidRPr="005556B3">
        <w:rPr>
          <w:rFonts w:ascii="Verdana" w:eastAsiaTheme="minorEastAsia" w:hAnsi="Verdana" w:cs="Arial"/>
          <w:lang w:eastAsia="es-CO"/>
        </w:rPr>
        <w:t xml:space="preserve">la liquidación unilateral y no se </w:t>
      </w:r>
      <w:r>
        <w:rPr>
          <w:rFonts w:ascii="Verdana" w:eastAsiaTheme="minorEastAsia" w:hAnsi="Verdana" w:cs="Arial"/>
          <w:lang w:eastAsia="es-CO"/>
        </w:rPr>
        <w:t xml:space="preserve">fija </w:t>
      </w:r>
      <w:r w:rsidRPr="005556B3">
        <w:rPr>
          <w:rFonts w:ascii="Verdana" w:eastAsiaTheme="minorEastAsia" w:hAnsi="Verdana" w:cs="Arial"/>
          <w:lang w:eastAsia="es-CO"/>
        </w:rPr>
        <w:t>un término contractual para hacerla</w:t>
      </w:r>
      <w:r>
        <w:rPr>
          <w:rStyle w:val="Refdenotaalpie"/>
          <w:rFonts w:ascii="Verdana" w:eastAsiaTheme="minorEastAsia" w:hAnsi="Verdana" w:cs="Arial"/>
          <w:lang w:eastAsia="es-CO"/>
        </w:rPr>
        <w:footnoteReference w:id="29"/>
      </w:r>
      <w:r>
        <w:rPr>
          <w:rFonts w:ascii="Verdana" w:eastAsiaTheme="minorEastAsia" w:hAnsi="Verdana" w:cs="Arial"/>
          <w:lang w:eastAsia="es-CO"/>
        </w:rPr>
        <w:t xml:space="preserve">. De este modo, se consolida una postura por parte del Consejo de Estado en varios pronunciamientos judiciales, en la que se precisa </w:t>
      </w:r>
      <w:proofErr w:type="gramStart"/>
      <w:r>
        <w:rPr>
          <w:rFonts w:ascii="Verdana" w:eastAsiaTheme="minorEastAsia" w:hAnsi="Verdana" w:cs="Arial"/>
          <w:lang w:eastAsia="es-CO"/>
        </w:rPr>
        <w:t>que</w:t>
      </w:r>
      <w:proofErr w:type="gramEnd"/>
      <w:r>
        <w:rPr>
          <w:rFonts w:ascii="Verdana" w:eastAsiaTheme="minorEastAsia" w:hAnsi="Verdana" w:cs="Arial"/>
          <w:lang w:eastAsia="es-CO"/>
        </w:rPr>
        <w:t xml:space="preserve"> si no se estipuló la facultad contractual para que las entidades liquiden de forma unilateral el convenio interadministrativo, no es posible aplicar automáticamente las disposiciones que regulan la liquidación unilateral en el EGCAP, </w:t>
      </w:r>
      <w:proofErr w:type="gramStart"/>
      <w:r>
        <w:rPr>
          <w:rFonts w:ascii="Verdana" w:eastAsiaTheme="minorEastAsia" w:hAnsi="Verdana" w:cs="Arial"/>
          <w:lang w:eastAsia="es-CO"/>
        </w:rPr>
        <w:t>y</w:t>
      </w:r>
      <w:proofErr w:type="gramEnd"/>
      <w:r>
        <w:rPr>
          <w:rFonts w:ascii="Verdana" w:eastAsiaTheme="minorEastAsia" w:hAnsi="Verdana" w:cs="Arial"/>
          <w:lang w:eastAsia="es-CO"/>
        </w:rPr>
        <w:t xml:space="preserve"> por tanto, procederá el término para la liquidación bilateral sumado a los dos (2) años para la liquidación judicial. En esta línea, se destaca el siguiente apartado expresado en el Consejo de Estado:</w:t>
      </w:r>
    </w:p>
    <w:p w14:paraId="452FF7FF" w14:textId="77777777" w:rsidR="005D61A0" w:rsidRPr="00865414" w:rsidRDefault="005D61A0" w:rsidP="005D61A0">
      <w:pPr>
        <w:spacing w:after="0" w:line="276" w:lineRule="auto"/>
        <w:ind w:firstLine="709"/>
        <w:jc w:val="both"/>
        <w:rPr>
          <w:rFonts w:ascii="Verdana" w:eastAsiaTheme="minorEastAsia" w:hAnsi="Verdana" w:cs="Arial"/>
          <w:lang w:eastAsia="es-CO"/>
        </w:rPr>
      </w:pPr>
    </w:p>
    <w:p w14:paraId="5C49C614" w14:textId="77777777" w:rsidR="005D61A0" w:rsidRPr="006F234B" w:rsidRDefault="005D61A0" w:rsidP="005D61A0">
      <w:pPr>
        <w:spacing w:after="0" w:line="240" w:lineRule="auto"/>
        <w:ind w:left="709" w:right="709"/>
        <w:jc w:val="both"/>
        <w:rPr>
          <w:rFonts w:ascii="Verdana" w:eastAsiaTheme="minorEastAsia" w:hAnsi="Verdana" w:cs="Arial"/>
          <w:iCs/>
          <w:sz w:val="20"/>
          <w:szCs w:val="20"/>
          <w:lang w:eastAsia="es-CO"/>
        </w:rPr>
      </w:pPr>
      <w:r w:rsidRPr="006F234B">
        <w:rPr>
          <w:rFonts w:ascii="Verdana" w:eastAsiaTheme="minorEastAsia" w:hAnsi="Verdana" w:cs="Arial"/>
          <w:iCs/>
          <w:sz w:val="20"/>
          <w:szCs w:val="20"/>
          <w:lang w:eastAsia="es-CO"/>
        </w:rPr>
        <w:t xml:space="preserve">56. En efecto, con la sola mención abstracta a esos cuerpos normativos no puede entenderse que las partes otorgaron la potestad para liquidar unilateralmente el acuerdo al Ministerio, en tanto las facultades convencionales de carácter unilateral deben ser pactadas de manera </w:t>
      </w:r>
      <w:r w:rsidRPr="006F234B">
        <w:rPr>
          <w:rFonts w:ascii="Verdana" w:eastAsiaTheme="minorEastAsia" w:hAnsi="Verdana" w:cs="Arial"/>
          <w:iCs/>
          <w:sz w:val="20"/>
          <w:szCs w:val="20"/>
          <w:lang w:eastAsia="es-CO"/>
        </w:rPr>
        <w:lastRenderedPageBreak/>
        <w:t xml:space="preserve">expresa y con una claridad suficiente que evidencie el consentimiento explícito, que no dé lugar a equívocos y que no suponga el ejercicio de una posición dominante de una parte hacia la otra. Sobre el particular, esta Subsección ha señalado que la adopción de decisiones unilaterales en relaciones jurídicas en igualdad es válida, únicamente si se produce en virtud de la anuencia previa de los contratantes. </w:t>
      </w:r>
    </w:p>
    <w:p w14:paraId="1540E24E" w14:textId="77777777" w:rsidR="005D61A0" w:rsidRPr="006F234B" w:rsidRDefault="005D61A0" w:rsidP="005D61A0">
      <w:pPr>
        <w:spacing w:after="0" w:line="240" w:lineRule="auto"/>
        <w:ind w:left="709" w:right="709"/>
        <w:jc w:val="both"/>
        <w:rPr>
          <w:rFonts w:ascii="Verdana" w:eastAsiaTheme="minorEastAsia" w:hAnsi="Verdana" w:cs="Arial"/>
          <w:sz w:val="20"/>
          <w:szCs w:val="20"/>
          <w:lang w:eastAsia="es-CO"/>
        </w:rPr>
      </w:pPr>
    </w:p>
    <w:p w14:paraId="75369988" w14:textId="77777777" w:rsidR="005D61A0" w:rsidRPr="006F234B" w:rsidRDefault="005D61A0" w:rsidP="005D61A0">
      <w:pPr>
        <w:spacing w:after="0" w:line="240" w:lineRule="auto"/>
        <w:ind w:left="709" w:right="709"/>
        <w:jc w:val="both"/>
        <w:rPr>
          <w:rFonts w:ascii="Verdana" w:eastAsiaTheme="minorEastAsia" w:hAnsi="Verdana" w:cs="Arial"/>
          <w:sz w:val="20"/>
          <w:szCs w:val="20"/>
          <w:lang w:eastAsia="es-CO"/>
        </w:rPr>
      </w:pPr>
      <w:r w:rsidRPr="006F234B">
        <w:rPr>
          <w:rFonts w:ascii="Verdana" w:eastAsiaTheme="minorEastAsia" w:hAnsi="Verdana" w:cs="Arial"/>
          <w:sz w:val="20"/>
          <w:szCs w:val="20"/>
          <w:lang w:eastAsia="es-CO"/>
        </w:rPr>
        <w:t xml:space="preserve">57. En ese sentido, no se discute que en los convenios interadministrativos </w:t>
      </w:r>
      <w:r w:rsidRPr="006F234B">
        <w:rPr>
          <w:rFonts w:ascii="Verdana" w:eastAsiaTheme="minorEastAsia" w:hAnsi="Verdana" w:cs="Arial"/>
          <w:iCs/>
          <w:sz w:val="20"/>
          <w:szCs w:val="20"/>
          <w:lang w:eastAsia="es-CO"/>
        </w:rPr>
        <w:t>resulta válido que una de las partes realice la liquidación unilateral, siempre y cuando ello esté expresamente acordado, sin equívocos y de manera clara y precisa, según el acuerdo de voluntades</w:t>
      </w:r>
      <w:r w:rsidRPr="006F234B">
        <w:rPr>
          <w:rStyle w:val="Refdenotaalpie"/>
          <w:rFonts w:ascii="Verdana" w:eastAsiaTheme="minorEastAsia" w:hAnsi="Verdana" w:cs="Arial"/>
          <w:iCs/>
          <w:sz w:val="20"/>
          <w:szCs w:val="20"/>
          <w:lang w:eastAsia="es-CO"/>
        </w:rPr>
        <w:footnoteReference w:id="30"/>
      </w:r>
      <w:r w:rsidRPr="006F234B">
        <w:rPr>
          <w:rFonts w:ascii="Verdana" w:eastAsiaTheme="minorEastAsia" w:hAnsi="Verdana" w:cs="Arial"/>
          <w:iCs/>
          <w:sz w:val="20"/>
          <w:szCs w:val="20"/>
          <w:lang w:eastAsia="es-CO"/>
        </w:rPr>
        <w:t xml:space="preserve">. </w:t>
      </w:r>
    </w:p>
    <w:p w14:paraId="4AACF662" w14:textId="77777777" w:rsidR="005D61A0" w:rsidRDefault="005D61A0" w:rsidP="005D61A0">
      <w:pPr>
        <w:spacing w:after="120" w:line="276" w:lineRule="auto"/>
        <w:jc w:val="both"/>
        <w:rPr>
          <w:rFonts w:ascii="Verdana" w:eastAsia="Calibri" w:hAnsi="Verdana" w:cs="Arial"/>
        </w:rPr>
      </w:pPr>
    </w:p>
    <w:p w14:paraId="6874F0BB" w14:textId="77777777" w:rsidR="005D61A0" w:rsidRDefault="005D61A0" w:rsidP="005D61A0">
      <w:pPr>
        <w:spacing w:after="120" w:line="276" w:lineRule="auto"/>
        <w:ind w:firstLine="708"/>
        <w:jc w:val="both"/>
        <w:rPr>
          <w:rFonts w:ascii="Verdana" w:eastAsia="Calibri" w:hAnsi="Verdana" w:cs="Arial"/>
        </w:rPr>
      </w:pPr>
      <w:r>
        <w:rPr>
          <w:rFonts w:ascii="Verdana" w:eastAsia="Calibri" w:hAnsi="Verdana" w:cs="Arial"/>
        </w:rPr>
        <w:t xml:space="preserve">Sí se estipuló la liquidación unilateral en el convenio interadministrativo debe tenerse en cuenta para efectos de caducidad judicial, como lo expone el Consejo de Estado. En cuanto a la forma de estipular la liquidación unilateral en los convenios interadministrativos, es importante tener en cuenta que en este tipo de negocios jurídicos no es posible aludir a contratante o contratista, sino de partes cooperantes o colaboradoras. En este escenario de los convenios interadministrativos, fundamentados bajo el principio de la autonomía de la voluntad privada deben estipularse en que supuestos, cada una de las partes puede liquidar unilateralmente. En este aspecto, debe pactarse en el convenio interadministrativo, en que eventos una parte cooperante liquida unilateralmente, y en que otros supuestos, la otra parte cooperante también lo hace. En todo caso, esta estipulación de liquidación unilateral fundada en la autonomía de la voluntad </w:t>
      </w:r>
      <w:proofErr w:type="gramStart"/>
      <w:r>
        <w:rPr>
          <w:rFonts w:ascii="Verdana" w:eastAsia="Calibri" w:hAnsi="Verdana" w:cs="Arial"/>
        </w:rPr>
        <w:t>privada,</w:t>
      </w:r>
      <w:proofErr w:type="gramEnd"/>
      <w:r>
        <w:rPr>
          <w:rFonts w:ascii="Verdana" w:eastAsia="Calibri" w:hAnsi="Verdana" w:cs="Arial"/>
        </w:rPr>
        <w:t xml:space="preserve"> tiene como límite las normas de orden público. </w:t>
      </w:r>
    </w:p>
    <w:p w14:paraId="69441BAF" w14:textId="77777777" w:rsidR="005D61A0" w:rsidRDefault="005D61A0" w:rsidP="005D61A0">
      <w:pPr>
        <w:spacing w:after="120" w:line="276" w:lineRule="auto"/>
        <w:ind w:firstLine="709"/>
        <w:jc w:val="both"/>
        <w:rPr>
          <w:rFonts w:ascii="Verdana" w:hAnsi="Verdana" w:cs="Arial"/>
          <w:bCs/>
          <w:shd w:val="clear" w:color="auto" w:fill="FFFFFF"/>
        </w:rPr>
      </w:pPr>
      <w:r>
        <w:rPr>
          <w:rFonts w:ascii="Verdana" w:eastAsia="Calibri" w:hAnsi="Verdana" w:cs="Arial"/>
        </w:rPr>
        <w:t xml:space="preserve">Ahora bien, frente a los contratos interadministrativos es pertinente señalar que es procedente las reglas dispuestas en el EGCAP, y por consiguiente, </w:t>
      </w:r>
      <w:r w:rsidRPr="00956010">
        <w:rPr>
          <w:rFonts w:ascii="Verdana" w:eastAsia="Calibri" w:hAnsi="Verdana" w:cs="Arial"/>
        </w:rPr>
        <w:t>la liquidación de este tipo de contratos debe llevarse a cabo de manera bilateral siempre que sea posible, respetando los derechos de la entidad pública contratista al debido proceso</w:t>
      </w:r>
      <w:r>
        <w:rPr>
          <w:rFonts w:ascii="Verdana" w:eastAsia="Calibri" w:hAnsi="Verdana" w:cs="Arial"/>
        </w:rPr>
        <w:t xml:space="preserve">, como se señaló en la Doctrina Oficial de la Agencia, en especial en el Concepto C-605 del 27 de junio de 2026, en la que se expuso </w:t>
      </w:r>
      <w:r>
        <w:rPr>
          <w:rFonts w:ascii="Verdana" w:hAnsi="Verdana" w:cs="Arial"/>
          <w:bCs/>
          <w:shd w:val="clear" w:color="auto" w:fill="FFFFFF"/>
        </w:rPr>
        <w:t>sobre la procedencia de liquidar unilateralmente los contratos interadministrativos, así como la procedencia la liquidación unilateral de  los convenios interadministrativos, si se estipuló en esta última</w:t>
      </w:r>
      <w:r w:rsidRPr="00EB3BB3">
        <w:rPr>
          <w:rFonts w:ascii="Verdana" w:eastAsia="Aptos" w:hAnsi="Verdana" w:cs="Arial"/>
          <w:shd w:val="clear" w:color="auto" w:fill="FFFFFF"/>
          <w:lang w:val="es-ES"/>
        </w:rPr>
        <w:t>.</w:t>
      </w:r>
      <w:r>
        <w:rPr>
          <w:rFonts w:ascii="Verdana" w:hAnsi="Verdana" w:cs="Arial"/>
          <w:bCs/>
          <w:shd w:val="clear" w:color="auto" w:fill="FFFFFF"/>
        </w:rPr>
        <w:t xml:space="preserve"> </w:t>
      </w:r>
    </w:p>
    <w:p w14:paraId="74E6FC09" w14:textId="77777777" w:rsidR="005D61A0" w:rsidRDefault="005D61A0" w:rsidP="005D61A0">
      <w:pPr>
        <w:spacing w:after="120" w:line="276" w:lineRule="auto"/>
        <w:ind w:firstLine="709"/>
        <w:jc w:val="both"/>
        <w:rPr>
          <w:rFonts w:ascii="Verdana" w:eastAsia="Calibri" w:hAnsi="Verdana" w:cs="Arial"/>
        </w:rPr>
      </w:pPr>
      <w:r>
        <w:rPr>
          <w:rFonts w:ascii="Verdana" w:hAnsi="Verdana" w:cs="Arial"/>
          <w:bCs/>
          <w:shd w:val="clear" w:color="auto" w:fill="FFFFFF"/>
        </w:rPr>
        <w:lastRenderedPageBreak/>
        <w:t xml:space="preserve">En esta línea, es inevitable la distinción </w:t>
      </w:r>
      <w:r w:rsidRPr="00C12C3E">
        <w:rPr>
          <w:rFonts w:ascii="Verdana" w:hAnsi="Verdana" w:cs="Arial"/>
          <w:bCs/>
          <w:shd w:val="clear" w:color="auto" w:fill="FFFFFF"/>
        </w:rPr>
        <w:t>entre contratos y convenios interadministrativos: mientras los primeros se someten a las reglas de la Ley 80 de 1993 y pueden ser objeto de l</w:t>
      </w:r>
      <w:r>
        <w:rPr>
          <w:rFonts w:ascii="Verdana" w:hAnsi="Verdana" w:cs="Arial"/>
          <w:bCs/>
          <w:shd w:val="clear" w:color="auto" w:fill="FFFFFF"/>
        </w:rPr>
        <w:t>iquidación unilateral en caso de que no sea posible la liquidación bilateral,</w:t>
      </w:r>
      <w:r w:rsidRPr="00C12C3E">
        <w:rPr>
          <w:rFonts w:ascii="Verdana" w:hAnsi="Verdana" w:cs="Arial"/>
          <w:bCs/>
          <w:shd w:val="clear" w:color="auto" w:fill="FFFFFF"/>
        </w:rPr>
        <w:t xml:space="preserve"> los convenios interadministrativos no se encuentran sujetos a dichas disposiciones, por lo que la posibilidad de liquidación unilateral depende de su estipulación contractual. Esta diferenciación, respaldada por recientes pronunciamientos del Consejo de Estado, resulta determinante para efectos de contabilizar el término de caducidad judicial y delimitar las facultades de las entidades públicas en la etapa de liquidación.</w:t>
      </w:r>
    </w:p>
    <w:p w14:paraId="5C5FE1F3" w14:textId="77777777" w:rsidR="005D61A0" w:rsidRPr="007D5866" w:rsidRDefault="005D61A0" w:rsidP="005D61A0">
      <w:pPr>
        <w:spacing w:after="120" w:line="276" w:lineRule="auto"/>
        <w:ind w:firstLine="709"/>
        <w:jc w:val="both"/>
        <w:rPr>
          <w:rFonts w:ascii="Verdana" w:eastAsia="Calibri" w:hAnsi="Verdana" w:cs="Arial"/>
          <w:lang w:val="es-ES"/>
        </w:rPr>
      </w:pPr>
      <w:r>
        <w:rPr>
          <w:rFonts w:ascii="Verdana" w:eastAsia="Calibri" w:hAnsi="Verdana" w:cs="Arial"/>
        </w:rPr>
        <w:t xml:space="preserve">De acuerdo con lo expuesto, cabe </w:t>
      </w:r>
      <w:r w:rsidRPr="007D5866">
        <w:rPr>
          <w:rFonts w:ascii="Verdana" w:eastAsia="Calibri" w:hAnsi="Verdana" w:cs="Arial"/>
          <w:lang w:val="es-ES"/>
        </w:rPr>
        <w:t>precisar que</w:t>
      </w:r>
      <w:r>
        <w:rPr>
          <w:rFonts w:ascii="Verdana" w:eastAsia="Calibri" w:hAnsi="Verdana" w:cs="Arial"/>
          <w:lang w:val="es-ES"/>
        </w:rPr>
        <w:t xml:space="preserve"> </w:t>
      </w:r>
      <w:r w:rsidRPr="007D5866">
        <w:rPr>
          <w:rFonts w:ascii="Verdana" w:eastAsia="Calibri" w:hAnsi="Verdana" w:cs="Arial"/>
          <w:lang w:val="es-ES"/>
        </w:rPr>
        <w:t>la facultad de liquidar unilateralmente un contrato interadministrativo no configura una potestad excepcional</w:t>
      </w:r>
      <w:r>
        <w:rPr>
          <w:rFonts w:ascii="Verdana" w:eastAsia="Calibri" w:hAnsi="Verdana" w:cs="Arial"/>
          <w:lang w:val="es-ES"/>
        </w:rPr>
        <w:t>, según lo expuesto por el Consejo de Estado</w:t>
      </w:r>
      <w:r w:rsidRPr="007D5866">
        <w:rPr>
          <w:rFonts w:ascii="Verdana" w:eastAsia="Calibri" w:hAnsi="Verdana" w:cs="Arial"/>
          <w:lang w:val="es-ES"/>
        </w:rPr>
        <w:t xml:space="preserve">, sino que responde directamente a una regla general que rige los contratos estatales de tracto </w:t>
      </w:r>
      <w:r>
        <w:rPr>
          <w:rFonts w:ascii="Verdana" w:eastAsia="Calibri" w:hAnsi="Verdana" w:cs="Arial"/>
          <w:lang w:val="es-ES"/>
        </w:rPr>
        <w:t>sucesivo, frente a la que no aplica</w:t>
      </w:r>
      <w:r w:rsidRPr="007D5866">
        <w:rPr>
          <w:rFonts w:ascii="Verdana" w:eastAsia="Calibri" w:hAnsi="Verdana" w:cs="Arial"/>
          <w:lang w:val="es-ES"/>
        </w:rPr>
        <w:t xml:space="preserve"> excepción legal que restrinja de algún modo su ejercicio. Sin embargo, el Consejo de Estado también ha señalado que la facultad de liquidar unilateralmente un contrato interadministrativo no se haya en cabeza de las dos entidades estatales que conforman el negocio jurídico, sino que esta facultad radica exclusivamente en la entidad que se encuentra en la posición de contratante: </w:t>
      </w:r>
      <w:r>
        <w:rPr>
          <w:rFonts w:ascii="Verdana" w:eastAsia="Calibri" w:hAnsi="Verdana" w:cs="Arial"/>
          <w:lang w:val="es-ES"/>
        </w:rPr>
        <w:t>“</w:t>
      </w:r>
      <w:r w:rsidRPr="007D5866">
        <w:rPr>
          <w:rFonts w:ascii="Verdana" w:eastAsia="Calibri" w:hAnsi="Verdana" w:cs="Arial"/>
          <w:lang w:val="es-ES"/>
        </w:rPr>
        <w:t>Dicha facultad se halla reservada a la entidad estatal que hubiera desempeñado el rol de contratante en el vínculo negocial, esto es, a aquella que hubiera demandado de otro la prestación de un servicio para el cumplimiento de su cometido misional</w:t>
      </w:r>
      <w:r>
        <w:rPr>
          <w:rFonts w:ascii="Verdana" w:eastAsia="Calibri" w:hAnsi="Verdana" w:cs="Arial"/>
          <w:lang w:val="es-ES"/>
        </w:rPr>
        <w:t>”</w:t>
      </w:r>
      <w:r w:rsidRPr="007D5866">
        <w:rPr>
          <w:rFonts w:ascii="Verdana" w:eastAsia="Calibri" w:hAnsi="Verdana" w:cs="Arial"/>
          <w:vertAlign w:val="superscript"/>
          <w:lang w:val="es-ES"/>
        </w:rPr>
        <w:footnoteReference w:id="31"/>
      </w:r>
      <w:r w:rsidRPr="007D5866">
        <w:rPr>
          <w:rFonts w:ascii="Verdana" w:eastAsia="Calibri" w:hAnsi="Verdana" w:cs="Arial"/>
          <w:lang w:val="es-ES"/>
        </w:rPr>
        <w:t xml:space="preserve"> </w:t>
      </w:r>
    </w:p>
    <w:p w14:paraId="656C0AB5" w14:textId="77777777" w:rsidR="005D61A0" w:rsidRPr="00B44EF5" w:rsidRDefault="005D61A0" w:rsidP="005D61A0">
      <w:pPr>
        <w:spacing w:after="120" w:line="276" w:lineRule="auto"/>
        <w:ind w:firstLine="709"/>
        <w:jc w:val="both"/>
        <w:rPr>
          <w:rFonts w:ascii="Verdana" w:eastAsia="Calibri" w:hAnsi="Verdana" w:cs="Arial"/>
          <w:lang w:val="es-ES"/>
        </w:rPr>
      </w:pPr>
      <w:r w:rsidRPr="007D5866">
        <w:rPr>
          <w:rFonts w:ascii="Verdana" w:eastAsia="Calibri" w:hAnsi="Verdana" w:cs="Arial"/>
          <w:lang w:val="es-ES"/>
        </w:rPr>
        <w:t xml:space="preserve">En ese sentido, tal como lo ha señalado el Consejo de Estado, por ministerio legal, todo contrato de tracto sucesivo sometido a las prescripciones del Estatuto General de Contratación de la Administración Pública, </w:t>
      </w:r>
      <w:r>
        <w:rPr>
          <w:rFonts w:ascii="Verdana" w:eastAsia="Calibri" w:hAnsi="Verdana" w:cs="Arial"/>
          <w:lang w:val="es-ES"/>
        </w:rPr>
        <w:t>[...]</w:t>
      </w:r>
      <w:r w:rsidRPr="007D5866">
        <w:rPr>
          <w:rFonts w:ascii="Verdana" w:eastAsia="Calibri" w:hAnsi="Verdana" w:cs="Arial"/>
          <w:lang w:val="es-ES"/>
        </w:rPr>
        <w:t xml:space="preserve"> está en la obligación de liquidarse, para lo cual la entidad pública contratante podrá recurrir a la liquidación unilateral, en los términos del artículo 11 de la Ley 1150 de 2007 -en caso de que no se logre la liquidación de mutuo acuerdo</w:t>
      </w:r>
      <w:r w:rsidRPr="007D5866">
        <w:rPr>
          <w:rFonts w:ascii="Verdana" w:eastAsia="Calibri" w:hAnsi="Verdana" w:cs="Arial"/>
          <w:vertAlign w:val="superscript"/>
          <w:lang w:val="es-ES"/>
        </w:rPr>
        <w:footnoteReference w:id="32"/>
      </w:r>
      <w:r w:rsidRPr="007D5866">
        <w:rPr>
          <w:rFonts w:ascii="Verdana" w:eastAsia="Calibri" w:hAnsi="Verdana" w:cs="Arial"/>
          <w:lang w:val="es-ES"/>
        </w:rPr>
        <w:t xml:space="preserve">. </w:t>
      </w:r>
      <w:r>
        <w:rPr>
          <w:rFonts w:ascii="Verdana" w:eastAsia="Calibri" w:hAnsi="Verdana" w:cs="Arial"/>
          <w:lang w:val="es-ES"/>
        </w:rPr>
        <w:t>De este modo, e</w:t>
      </w:r>
      <w:r w:rsidRPr="00B44EF5">
        <w:rPr>
          <w:rFonts w:ascii="Verdana" w:eastAsia="Calibri" w:hAnsi="Verdana" w:cs="Arial"/>
          <w:lang w:val="es-ES"/>
        </w:rPr>
        <w:t>n los contratos interadministrativos no</w:t>
      </w:r>
      <w:r>
        <w:rPr>
          <w:rFonts w:ascii="Verdana" w:eastAsia="Calibri" w:hAnsi="Verdana" w:cs="Arial"/>
          <w:lang w:val="es-ES"/>
        </w:rPr>
        <w:t xml:space="preserve"> aplica</w:t>
      </w:r>
      <w:r w:rsidRPr="00B44EF5">
        <w:rPr>
          <w:rFonts w:ascii="Verdana" w:eastAsia="Calibri" w:hAnsi="Verdana" w:cs="Arial"/>
          <w:lang w:val="es-ES"/>
        </w:rPr>
        <w:t xml:space="preserve"> una regla de horizontalidad como la que caracteriza a los </w:t>
      </w:r>
      <w:r>
        <w:rPr>
          <w:rFonts w:ascii="Verdana" w:eastAsia="Calibri" w:hAnsi="Verdana" w:cs="Arial"/>
          <w:lang w:val="es-ES"/>
        </w:rPr>
        <w:t xml:space="preserve">convenios interadministrativos que se basan en </w:t>
      </w:r>
      <w:r>
        <w:rPr>
          <w:rFonts w:ascii="Verdana" w:eastAsia="Calibri" w:hAnsi="Verdana" w:cs="Arial"/>
          <w:lang w:val="es-ES"/>
        </w:rPr>
        <w:lastRenderedPageBreak/>
        <w:t xml:space="preserve">una </w:t>
      </w:r>
      <w:r w:rsidRPr="00B44EF5">
        <w:rPr>
          <w:rFonts w:ascii="Verdana" w:eastAsia="Calibri" w:hAnsi="Verdana" w:cs="Arial"/>
          <w:lang w:val="es-ES"/>
        </w:rPr>
        <w:t xml:space="preserve">finalidad asociativa, en los cuales las entidades públicas actúan en condiciones de igualdad y cooperación. En cambio, en los contratos interadministrativos se configura una relación conmutativa, en la que una entidad asume la posición de contratante y la otra la de contratista, generándose obligaciones recíprocas de prestación de bienes o servicios que permiten el ejercicio de </w:t>
      </w:r>
      <w:r>
        <w:rPr>
          <w:rFonts w:ascii="Verdana" w:eastAsia="Calibri" w:hAnsi="Verdana" w:cs="Arial"/>
          <w:lang w:val="es-ES"/>
        </w:rPr>
        <w:t xml:space="preserve">competencias </w:t>
      </w:r>
      <w:r w:rsidRPr="00B44EF5">
        <w:rPr>
          <w:rFonts w:ascii="Verdana" w:eastAsia="Calibri" w:hAnsi="Verdana" w:cs="Arial"/>
          <w:lang w:val="es-ES"/>
        </w:rPr>
        <w:t>propias de la contratación estatal.</w:t>
      </w:r>
    </w:p>
    <w:p w14:paraId="7CE39D03" w14:textId="77777777" w:rsidR="005D61A0" w:rsidRDefault="005D61A0" w:rsidP="005D61A0">
      <w:pPr>
        <w:spacing w:after="120" w:line="276" w:lineRule="auto"/>
        <w:ind w:firstLine="709"/>
        <w:jc w:val="both"/>
        <w:rPr>
          <w:rFonts w:ascii="Verdana" w:eastAsia="Calibri" w:hAnsi="Verdana" w:cs="Arial"/>
          <w:lang w:val="es-ES"/>
        </w:rPr>
      </w:pPr>
      <w:r w:rsidRPr="00B44EF5">
        <w:rPr>
          <w:rFonts w:ascii="Verdana" w:eastAsia="Calibri" w:hAnsi="Verdana" w:cs="Arial"/>
          <w:lang w:val="es-ES"/>
        </w:rPr>
        <w:t>Por ello, cuando el contrato interadministrativo reviste la naturaleza de tracto sucesivo, resulta procedente la liquidación unilateral por parte de la entidad estatal</w:t>
      </w:r>
      <w:r>
        <w:rPr>
          <w:rFonts w:ascii="Verdana" w:eastAsia="Calibri" w:hAnsi="Verdana" w:cs="Arial"/>
          <w:lang w:val="es-ES"/>
        </w:rPr>
        <w:t xml:space="preserve"> sometida al EGCAP</w:t>
      </w:r>
      <w:r w:rsidRPr="00B44EF5">
        <w:rPr>
          <w:rFonts w:ascii="Verdana" w:eastAsia="Calibri" w:hAnsi="Verdana" w:cs="Arial"/>
          <w:lang w:val="es-ES"/>
        </w:rPr>
        <w:t xml:space="preserve">, en tanto se reconoce su facultad de imponer el balance de cuentas derivado de </w:t>
      </w:r>
      <w:r>
        <w:rPr>
          <w:rFonts w:ascii="Verdana" w:eastAsia="Calibri" w:hAnsi="Verdana" w:cs="Arial"/>
          <w:lang w:val="es-ES"/>
        </w:rPr>
        <w:t xml:space="preserve">la ejecución contractual. Esta competencia </w:t>
      </w:r>
      <w:r w:rsidRPr="00B44EF5">
        <w:rPr>
          <w:rFonts w:ascii="Verdana" w:eastAsia="Calibri" w:hAnsi="Verdana" w:cs="Arial"/>
          <w:lang w:val="es-ES"/>
        </w:rPr>
        <w:t xml:space="preserve">se justifica en la ausencia de un propósito asociativo y en la existencia de una relación sinalagmática, donde la equivalencia de prestaciones habilita a la administración para ejercer mecanismos de control y cierre contractual propios del </w:t>
      </w:r>
      <w:r>
        <w:rPr>
          <w:rFonts w:ascii="Verdana" w:eastAsia="Calibri" w:hAnsi="Verdana" w:cs="Arial"/>
          <w:lang w:val="es-ES"/>
        </w:rPr>
        <w:t xml:space="preserve">Estatuto General de Contratación de la Administración Pública. Esto, sin perjuicio de que en los convenios interadministrativos pueda ejercerse la liquidación unilateral, previo acuerdo de las partes, como lo ha expresado el Consejo de Estado en su jurisprudencia más reciente. </w:t>
      </w:r>
    </w:p>
    <w:p w14:paraId="430B856F" w14:textId="77777777" w:rsidR="005D61A0" w:rsidRDefault="005D61A0" w:rsidP="005D61A0">
      <w:pPr>
        <w:spacing w:after="120" w:line="276" w:lineRule="auto"/>
        <w:ind w:firstLine="709"/>
        <w:jc w:val="both"/>
        <w:rPr>
          <w:rFonts w:ascii="Verdana" w:eastAsia="Calibri" w:hAnsi="Verdana" w:cs="Arial"/>
          <w:lang w:val="es-ES"/>
        </w:rPr>
      </w:pPr>
      <w:r>
        <w:rPr>
          <w:rFonts w:ascii="Verdana" w:eastAsia="Calibri" w:hAnsi="Verdana" w:cs="Arial"/>
          <w:lang w:val="es-ES"/>
        </w:rPr>
        <w:t>Teniendo en cuenta lo expuesto, s</w:t>
      </w:r>
      <w:r w:rsidRPr="00956010">
        <w:rPr>
          <w:rFonts w:ascii="Verdana" w:eastAsia="Calibri" w:hAnsi="Verdana" w:cs="Arial"/>
          <w:lang w:val="es-ES"/>
        </w:rPr>
        <w:t>i no se logra la liquidación bila</w:t>
      </w:r>
      <w:r>
        <w:rPr>
          <w:rFonts w:ascii="Verdana" w:eastAsia="Calibri" w:hAnsi="Verdana" w:cs="Arial"/>
          <w:lang w:val="es-ES"/>
        </w:rPr>
        <w:t xml:space="preserve">teral del contrato, la entidad pública contratante </w:t>
      </w:r>
      <w:r w:rsidRPr="00956010">
        <w:rPr>
          <w:rFonts w:ascii="Verdana" w:eastAsia="Calibri" w:hAnsi="Verdana" w:cs="Arial"/>
          <w:lang w:val="es-ES"/>
        </w:rPr>
        <w:t>tiene la facultad de liquidarlo unilateralmente dentro del término de 2 meses contados a partir del vencimiento del plazo que acuerden las partes para liquidar bilateralmente o, ante el silencio de estas, del vencimiento de los 4 meses supletivo establecido por la ley. En este sentido, la liquidación unilateral es subsidiaria del intento de la liquidación bilateral, como manifestación de la garantía del debido proceso, puesto que la primera solo procede si el contratista particular no se presenta, previo requerimiento de la entidad, o si las partes no tienen un acuerdo sobre el</w:t>
      </w:r>
      <w:r>
        <w:rPr>
          <w:rFonts w:ascii="Verdana" w:eastAsia="Calibri" w:hAnsi="Verdana" w:cs="Arial"/>
          <w:lang w:val="es-ES"/>
        </w:rPr>
        <w:t xml:space="preserve"> contenido. Por último</w:t>
      </w:r>
      <w:r w:rsidRPr="000E471A">
        <w:rPr>
          <w:rFonts w:ascii="Verdana" w:eastAsia="Calibri" w:hAnsi="Verdana" w:cs="Arial"/>
          <w:lang w:val="es-ES"/>
        </w:rPr>
        <w:t xml:space="preserve">, transcurridos estos meses, la liquidación podrá realizarse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w:t>
      </w:r>
      <w:r>
        <w:rPr>
          <w:rFonts w:ascii="Verdana" w:eastAsia="Calibri" w:hAnsi="Verdana" w:cs="Arial"/>
          <w:lang w:val="es-ES"/>
        </w:rPr>
        <w:t xml:space="preserve">solicitarse </w:t>
      </w:r>
      <w:r w:rsidRPr="000E471A">
        <w:rPr>
          <w:rFonts w:ascii="Verdana" w:eastAsia="Calibri" w:hAnsi="Verdana" w:cs="Arial"/>
          <w:lang w:val="es-ES"/>
        </w:rPr>
        <w:t>judicialmente por el interesado.</w:t>
      </w:r>
    </w:p>
    <w:p w14:paraId="2C0ACB37" w14:textId="77777777" w:rsidR="005D61A0" w:rsidRDefault="005D61A0" w:rsidP="005D61A0">
      <w:pPr>
        <w:spacing w:after="0" w:line="276" w:lineRule="auto"/>
        <w:jc w:val="both"/>
        <w:rPr>
          <w:rFonts w:ascii="Verdana" w:eastAsia="Calibri" w:hAnsi="Verdana" w:cs="Arial"/>
          <w:lang w:eastAsia="es-MX"/>
        </w:rPr>
      </w:pPr>
    </w:p>
    <w:p w14:paraId="3522D94B" w14:textId="77777777" w:rsidR="005D61A0" w:rsidRPr="00B16AC6" w:rsidRDefault="005D61A0" w:rsidP="005D61A0">
      <w:pPr>
        <w:spacing w:after="120" w:line="276" w:lineRule="auto"/>
        <w:jc w:val="both"/>
        <w:rPr>
          <w:rFonts w:ascii="Verdana" w:eastAsia="Calibri" w:hAnsi="Verdana" w:cs="Arial"/>
          <w:color w:val="000000" w:themeColor="text1"/>
          <w:lang w:val="es-ES"/>
        </w:rPr>
      </w:pPr>
      <w:r>
        <w:rPr>
          <w:rFonts w:ascii="Verdana" w:eastAsia="Calibri" w:hAnsi="Verdana" w:cs="Arial"/>
          <w:lang w:eastAsia="es-MX"/>
        </w:rPr>
        <w:lastRenderedPageBreak/>
        <w:t xml:space="preserve">v. </w:t>
      </w:r>
      <w:r>
        <w:rPr>
          <w:rFonts w:ascii="Verdana" w:eastAsia="Calibri" w:hAnsi="Verdana" w:cs="Arial"/>
          <w:color w:val="000000" w:themeColor="text1"/>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w:t>
      </w:r>
      <w:r w:rsidRPr="00B17041">
        <w:rPr>
          <w:rFonts w:ascii="Verdana" w:hAnsi="Verdana" w:cs="Arial"/>
          <w:lang w:val="es-ES_tradnl" w:eastAsia="es-ES"/>
        </w:rPr>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4F6E3B2" w14:textId="77777777" w:rsidR="005D61A0" w:rsidRPr="00B17041" w:rsidRDefault="005D61A0" w:rsidP="005D61A0">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 xml:space="preserve">definirá </w:t>
      </w:r>
      <w:r w:rsidRPr="00B17041">
        <w:rPr>
          <w:rFonts w:ascii="Verdana" w:hAnsi="Verdana" w:cs="Arial"/>
          <w:lang w:val="es-ES" w:eastAsia="es-ES"/>
        </w:rPr>
        <w:t>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E89E826" w14:textId="77777777" w:rsidR="005D61A0" w:rsidRPr="00703A14" w:rsidRDefault="005D61A0" w:rsidP="005D61A0">
      <w:pPr>
        <w:spacing w:after="0" w:line="276" w:lineRule="auto"/>
        <w:jc w:val="both"/>
        <w:rPr>
          <w:rFonts w:ascii="Verdana" w:eastAsia="Calibri" w:hAnsi="Verdana" w:cs="Arial"/>
          <w:lang w:val="es-ES" w:eastAsia="es-MX"/>
        </w:rPr>
      </w:pPr>
    </w:p>
    <w:p w14:paraId="6B9BD464" w14:textId="77777777" w:rsidR="005D61A0" w:rsidRPr="008853C1" w:rsidRDefault="005D61A0" w:rsidP="005D61A0">
      <w:pPr>
        <w:pStyle w:val="Prrafodelista"/>
        <w:numPr>
          <w:ilvl w:val="0"/>
          <w:numId w:val="16"/>
        </w:numPr>
        <w:tabs>
          <w:tab w:val="left" w:pos="142"/>
          <w:tab w:val="left" w:pos="284"/>
        </w:tabs>
        <w:spacing w:after="0" w:line="276" w:lineRule="auto"/>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doctrinales</w:t>
      </w:r>
      <w:r w:rsidRPr="008853C1">
        <w:rPr>
          <w:rFonts w:ascii="Verdana" w:eastAsia="Century Gothic" w:hAnsi="Verdana" w:cs="Century Gothic"/>
          <w:b/>
          <w:bCs/>
        </w:rPr>
        <w:t xml:space="preserve"> </w:t>
      </w:r>
    </w:p>
    <w:p w14:paraId="542FF152" w14:textId="77777777" w:rsidR="005D61A0" w:rsidRPr="00E2397D" w:rsidRDefault="005D61A0" w:rsidP="005D61A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61A0" w:rsidRPr="00E2397D" w14:paraId="77A8CF54" w14:textId="77777777" w:rsidTr="00E4026F">
        <w:trPr>
          <w:trHeight w:val="595"/>
          <w:jc w:val="center"/>
        </w:trPr>
        <w:tc>
          <w:tcPr>
            <w:tcW w:w="8647" w:type="dxa"/>
          </w:tcPr>
          <w:p w14:paraId="4E49AD55" w14:textId="77777777" w:rsidR="005D61A0" w:rsidRPr="00CE04FF" w:rsidRDefault="005D61A0" w:rsidP="00E4026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Ley 80 de 1993, artículos 39, 41, 60. 61. </w:t>
            </w:r>
          </w:p>
          <w:p w14:paraId="7B8B67D9" w14:textId="77777777" w:rsidR="005D61A0" w:rsidRDefault="005D61A0" w:rsidP="00E4026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Ley 1150 de 2007, artículos 2 y 11. </w:t>
            </w:r>
          </w:p>
          <w:p w14:paraId="2E1BE519" w14:textId="77777777" w:rsidR="005D61A0" w:rsidRPr="00CE04FF" w:rsidRDefault="005D61A0" w:rsidP="00E4026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Ley 019 de 2012, artículo 217. </w:t>
            </w:r>
          </w:p>
          <w:p w14:paraId="7F30ADE5" w14:textId="77777777" w:rsidR="005D61A0" w:rsidRPr="00CE04FF" w:rsidRDefault="005D61A0" w:rsidP="00E4026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CE04FF">
              <w:rPr>
                <w:rFonts w:ascii="Verdana" w:eastAsia="Arial MT" w:hAnsi="Verdana" w:cs="Arial"/>
                <w:lang w:val="es-ES" w:eastAsia="es-ES" w:bidi="es-ES"/>
              </w:rPr>
              <w:t>Decreto 1082 de 2015, a</w:t>
            </w:r>
            <w:proofErr w:type="spellStart"/>
            <w:r w:rsidRPr="00CE04FF">
              <w:rPr>
                <w:rFonts w:ascii="Verdana" w:eastAsia="Arial MT" w:hAnsi="Verdana" w:cs="Arial"/>
                <w:lang w:eastAsia="es-ES" w:bidi="es-ES"/>
              </w:rPr>
              <w:t>rtículos</w:t>
            </w:r>
            <w:proofErr w:type="spellEnd"/>
            <w:r w:rsidRPr="00CE04FF">
              <w:rPr>
                <w:rFonts w:ascii="Verdana" w:eastAsia="Arial MT" w:hAnsi="Verdana" w:cs="Arial"/>
                <w:lang w:eastAsia="es-ES" w:bidi="es-ES"/>
              </w:rPr>
              <w:t xml:space="preserve"> </w:t>
            </w:r>
            <w:r w:rsidRPr="00CE04FF">
              <w:rPr>
                <w:rFonts w:ascii="Verdana" w:eastAsia="Calibri" w:hAnsi="Verdana" w:cs="Arial"/>
              </w:rPr>
              <w:t xml:space="preserve">2.2.1.2.1.4.1, </w:t>
            </w:r>
            <w:r w:rsidRPr="00CE04FF">
              <w:rPr>
                <w:rFonts w:ascii="Verdana" w:eastAsia="Arial MT" w:hAnsi="Verdana" w:cs="Arial"/>
                <w:lang w:eastAsia="es-ES" w:bidi="es-ES"/>
              </w:rPr>
              <w:t>2.2.1.2.1.4.4</w:t>
            </w:r>
            <w:r>
              <w:rPr>
                <w:rFonts w:ascii="Verdana" w:eastAsia="Arial MT" w:hAnsi="Verdana" w:cs="Arial"/>
                <w:lang w:eastAsia="es-ES" w:bidi="es-ES"/>
              </w:rPr>
              <w:t>.</w:t>
            </w:r>
          </w:p>
          <w:p w14:paraId="098C24C7"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Subsección A. Sentencia del 23 de junio de 2010. C.P. Mauricio Fajardo Gómez. Rad. 66001-23-31-000-1998-00261-01 (17860). </w:t>
            </w:r>
          </w:p>
          <w:p w14:paraId="606BA010"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Subsección C. Sentencia del 20 de octubre de 2014, C.P: Enrique Gil Botero. 05001-23-31-000-1998-00038-01 (27.777). </w:t>
            </w:r>
          </w:p>
          <w:p w14:paraId="1BE86161"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Sala de Consulta y Servicio Civil. Concepto de </w:t>
            </w:r>
            <w:r w:rsidRPr="00CE04FF">
              <w:rPr>
                <w:rFonts w:ascii="Verdana" w:eastAsia="Arial MT" w:hAnsi="Verdana" w:cs="Arial"/>
                <w:lang w:val="es-ES" w:eastAsia="es-ES" w:bidi="es-ES"/>
              </w:rPr>
              <w:lastRenderedPageBreak/>
              <w:t>6 de agosto de 2003. C.P. Augusto Trejos. Rad. No. 1453.</w:t>
            </w:r>
          </w:p>
          <w:p w14:paraId="3CEC785E"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Subsección C. Sentencia del 24 de julio de 2013. C.P. Enrique Gil Botero. Rad. No. 050012331000199800833 01 (25.642). </w:t>
            </w:r>
          </w:p>
          <w:p w14:paraId="56D2757B"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Sala de Consulta y Servicio Civil. Concepto no. 2257 del 26 de julio de 2016, C.P. Álvaro Namén Vargas; CONSEJO DE ESTADO, </w:t>
            </w:r>
          </w:p>
          <w:p w14:paraId="62F1C686"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Sala de Consulta y Servicio Civil. Concepto de 28 de </w:t>
            </w:r>
            <w:proofErr w:type="gramStart"/>
            <w:r w:rsidRPr="00CE04FF">
              <w:rPr>
                <w:rFonts w:ascii="Verdana" w:eastAsia="Arial MT" w:hAnsi="Verdana" w:cs="Arial"/>
                <w:lang w:val="es-ES" w:eastAsia="es-ES" w:bidi="es-ES"/>
              </w:rPr>
              <w:t>Junio</w:t>
            </w:r>
            <w:proofErr w:type="gramEnd"/>
            <w:r w:rsidRPr="00CE04FF">
              <w:rPr>
                <w:rFonts w:ascii="Verdana" w:eastAsia="Arial MT" w:hAnsi="Verdana" w:cs="Arial"/>
                <w:lang w:val="es-ES" w:eastAsia="es-ES" w:bidi="es-ES"/>
              </w:rPr>
              <w:t xml:space="preserve"> de 2016. C.P. Álvaro Namén Vargas. Rad. No 2253. </w:t>
            </w:r>
          </w:p>
          <w:p w14:paraId="7059F086"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CONSEJO DE ESTADO, Sección Tercera, Sala Plena.</w:t>
            </w:r>
            <w:r w:rsidRPr="00F36DF8">
              <w:rPr>
                <w:rFonts w:ascii="Verdana" w:hAnsi="Verdana" w:cs="Arial"/>
                <w:sz w:val="16"/>
                <w:szCs w:val="16"/>
              </w:rPr>
              <w:t xml:space="preserve"> </w:t>
            </w:r>
            <w:r w:rsidRPr="00F36DF8">
              <w:rPr>
                <w:rFonts w:ascii="Verdana" w:eastAsia="Arial MT" w:hAnsi="Verdana" w:cs="Arial"/>
                <w:lang w:eastAsia="es-ES" w:bidi="es-ES"/>
              </w:rPr>
              <w:t>Auto del 1 de agosto de 2019. C.P. Jaime Enrique Rodríguez Navas. Rad. 05001-23-33-000-2018-00342-01 (62009).</w:t>
            </w:r>
          </w:p>
          <w:p w14:paraId="456D2975"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CONSEJO DE ESTADO, Sección Tercera, Subsección A. Sentencia del 14 de junio de 2019, C.P. Marta Nubia Velásquez Rico. Rad. 25000-23-37-000-2010-02552-01 (AP).</w:t>
            </w:r>
          </w:p>
          <w:p w14:paraId="07DC532F"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Auto del 4 de octubre de 2024. Rad. 11001-03-26-000-2023-00139-00 (70.313). </w:t>
            </w:r>
          </w:p>
          <w:p w14:paraId="2A6FF835"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Subsección B. Sentencia del 23 de noviembre de 2022, C.P. Alberto Montaña Plata. Rad. 52001-23-33-000-2019-00230-01 (67523). </w:t>
            </w:r>
          </w:p>
          <w:p w14:paraId="2491E3B2" w14:textId="77777777" w:rsidR="005D61A0" w:rsidRPr="00292FDC"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292FDC">
              <w:rPr>
                <w:rFonts w:ascii="Verdana" w:eastAsia="Arial MT" w:hAnsi="Verdana" w:cs="Arial"/>
                <w:lang w:val="es-ES" w:eastAsia="es-ES" w:bidi="es-ES"/>
              </w:rPr>
              <w:t>CONSEJO DE ESTADO. Sección Tercera, Subsección A. Sentencia del 31 de marzo de 2023. C.P. María Adriana Marín. Rad. 25000-23-36-000-2014-00674-01 (56.002).</w:t>
            </w:r>
          </w:p>
          <w:p w14:paraId="0BD8E05C"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Subsección B. Sentencia de 14 de julio de 2023. C.P. Alberto Montaña Plata. Rad. 52001-23-33-000-2019-00230-01 (69094).  </w:t>
            </w:r>
          </w:p>
          <w:p w14:paraId="1A23E1D8"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CONSEJO DE ESTADO, Sección Tercera, Subsección B, sentencia de 19 de octubre de 2023. C.P. Martín Bermúdez Muñoz. Rad. 08001-23-33-000-2019-00487-01 (69991).</w:t>
            </w:r>
          </w:p>
          <w:p w14:paraId="6D9BECB0"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CONSEJO DE ESTADO, Sección Tercera, Subsección B. Sentencia del 20 de mayo de 2024, C.P. Martín Bermúdez Muñoz. Rad. 47001-23-</w:t>
            </w:r>
            <w:r w:rsidRPr="00CE04FF">
              <w:rPr>
                <w:rFonts w:ascii="Verdana" w:eastAsia="Arial MT" w:hAnsi="Verdana" w:cs="Arial"/>
                <w:lang w:val="es-ES" w:eastAsia="es-ES" w:bidi="es-ES"/>
              </w:rPr>
              <w:lastRenderedPageBreak/>
              <w:t>33-000-2020-00580-01 (70.086).</w:t>
            </w:r>
          </w:p>
          <w:p w14:paraId="11D4183F"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CONSEJO DE ESTADO, Sección Tercera, Subsección A. Sentencia del 13 de agosto de 2024, C.P. Fernando Alexei Pardo Flórez. Rad.: 52001-23-33-000-2017-00470-01 (70.405).</w:t>
            </w:r>
          </w:p>
          <w:p w14:paraId="10B2E98E" w14:textId="77777777" w:rsidR="005D61A0"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C5051">
              <w:rPr>
                <w:rFonts w:ascii="Verdana" w:eastAsia="Arial MT" w:hAnsi="Verdana" w:cs="Arial"/>
                <w:lang w:val="es-ES" w:eastAsia="es-ES" w:bidi="es-ES"/>
              </w:rPr>
              <w:t>CONSEJO DE ESTADO. Sección Tercera, Subsección B. Auto del 4 de octubre de 2024. C.P. Fredy Ibarra Martínez. Rad. 11001-03-26-000-2023-00139-00 (70.313).</w:t>
            </w:r>
          </w:p>
          <w:p w14:paraId="3AB696B2" w14:textId="77777777" w:rsidR="005D61A0"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CONSEJO DE ESTADO, Sección Tercera, Subsección A. Sentencia del 19 de mayo de 2025. C.P. Adriana Marín </w:t>
            </w:r>
            <w:proofErr w:type="spellStart"/>
            <w:r w:rsidRPr="00CE04FF">
              <w:rPr>
                <w:rFonts w:ascii="Verdana" w:eastAsia="Arial MT" w:hAnsi="Verdana" w:cs="Arial"/>
                <w:lang w:val="es-ES" w:eastAsia="es-ES" w:bidi="es-ES"/>
              </w:rPr>
              <w:t>Marín</w:t>
            </w:r>
            <w:proofErr w:type="spellEnd"/>
            <w:r w:rsidRPr="00CE04FF">
              <w:rPr>
                <w:rFonts w:ascii="Verdana" w:eastAsia="Arial MT" w:hAnsi="Verdana" w:cs="Arial"/>
                <w:lang w:val="es-ES" w:eastAsia="es-ES" w:bidi="es-ES"/>
              </w:rPr>
              <w:t xml:space="preserve">. Rad. 54001-23-33-000-2020-00501-01 (70.504). </w:t>
            </w:r>
          </w:p>
          <w:p w14:paraId="09C007A7" w14:textId="77777777" w:rsidR="005D61A0" w:rsidRPr="00703A14"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03A14">
              <w:rPr>
                <w:rFonts w:ascii="Verdana" w:eastAsia="Arial MT" w:hAnsi="Verdana" w:cs="Arial"/>
                <w:lang w:val="es-ES" w:eastAsia="es-ES" w:bidi="es-ES"/>
              </w:rPr>
              <w:t>CONSEJO DE ESTADO. Sección Tercera, Subsección C. Sentencia del 11 de agosto de 2025. C.P. Nicolás Yepes Corrales. Rad. 25000-23-36-000-2015-02601-01 (61.491).</w:t>
            </w:r>
          </w:p>
          <w:p w14:paraId="26F2551B" w14:textId="77777777" w:rsidR="005D61A0" w:rsidRPr="00703A14"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03A14">
              <w:rPr>
                <w:rFonts w:ascii="Verdana" w:eastAsia="Arial MT" w:hAnsi="Verdana" w:cs="Arial"/>
                <w:lang w:val="es-ES" w:eastAsia="es-ES" w:bidi="es-ES"/>
              </w:rPr>
              <w:t>CONSEJO DE ESTADO. Sección Tercera, Subsección C. Sentencia del 17 de septiembre de 2025. C.P. Nicolás Yepes Corrales. Rad. 52001-23-33-000-2017-00265-01 (68.535)</w:t>
            </w:r>
            <w:r>
              <w:rPr>
                <w:rFonts w:ascii="Verdana" w:eastAsia="Arial MT" w:hAnsi="Verdana" w:cs="Arial"/>
                <w:lang w:val="es-ES" w:eastAsia="es-ES" w:bidi="es-ES"/>
              </w:rPr>
              <w:t>.</w:t>
            </w:r>
          </w:p>
          <w:p w14:paraId="39B7B291" w14:textId="77777777" w:rsidR="005D61A0"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292FDC">
              <w:rPr>
                <w:rFonts w:ascii="Verdana" w:eastAsia="Arial MT" w:hAnsi="Verdana" w:cs="Arial"/>
                <w:lang w:val="es-ES" w:eastAsia="es-ES" w:bidi="es-ES"/>
              </w:rPr>
              <w:t>CHAVÉZ MARÍN, Augusto Ramón. Los convenios de la Administración. Entre la gestión pública y la actividad contractual. Bogotá: Temis, 2020.</w:t>
            </w:r>
          </w:p>
          <w:p w14:paraId="574A42A2"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DÍAZ DÍEZ, Cristian Andrés. La liquidación. Serie: Las Cláusulas del Contrato Estatal. Medellín: Librería Jurídica Sánchez y Centro de Estudios de Derecho Administrativo –CEDA–, 2013. </w:t>
            </w:r>
          </w:p>
          <w:p w14:paraId="56EB3883" w14:textId="77777777" w:rsidR="005D61A0" w:rsidRPr="00CE04FF"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 xml:space="preserve">EXPOSITO, Juan Carlos. Forma y contenido del contrato estatal. Bogotá: Universidad Externado de Colombia. </w:t>
            </w:r>
          </w:p>
          <w:p w14:paraId="18E3D681" w14:textId="77777777" w:rsidR="005D61A0" w:rsidRPr="00347E58" w:rsidRDefault="005D61A0" w:rsidP="00E4026F">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E04FF">
              <w:rPr>
                <w:rFonts w:ascii="Verdana" w:eastAsia="Arial MT" w:hAnsi="Verdana" w:cs="Arial"/>
                <w:lang w:val="es-ES" w:eastAsia="es-ES" w:bidi="es-ES"/>
              </w:rPr>
              <w:t>SANTOS RODRÍGUEZ, Jorge Enrique. Consideraciones sobre los contratos y convenios interadministrativos. En: Revista Digital de Derecho Administrativo, 2008.</w:t>
            </w:r>
          </w:p>
        </w:tc>
      </w:tr>
    </w:tbl>
    <w:p w14:paraId="2226B9C3" w14:textId="77777777" w:rsidR="005D61A0" w:rsidRDefault="005D61A0" w:rsidP="005D61A0">
      <w:pPr>
        <w:pStyle w:val="Prrafodelista"/>
        <w:tabs>
          <w:tab w:val="left" w:pos="142"/>
          <w:tab w:val="left" w:pos="284"/>
        </w:tabs>
        <w:spacing w:after="0" w:line="276" w:lineRule="auto"/>
        <w:ind w:left="0"/>
        <w:jc w:val="both"/>
        <w:rPr>
          <w:rFonts w:ascii="Verdana" w:hAnsi="Verdana" w:cs="Arial"/>
          <w:color w:val="000000"/>
          <w:lang w:val="es-CO" w:eastAsia="es-ES"/>
        </w:rPr>
      </w:pPr>
    </w:p>
    <w:p w14:paraId="42B12536" w14:textId="77777777" w:rsidR="005D61A0" w:rsidRPr="00593914" w:rsidRDefault="005D61A0" w:rsidP="005D61A0">
      <w:pPr>
        <w:pStyle w:val="Prrafodelista"/>
        <w:numPr>
          <w:ilvl w:val="0"/>
          <w:numId w:val="16"/>
        </w:numPr>
        <w:tabs>
          <w:tab w:val="left" w:pos="142"/>
          <w:tab w:val="left" w:pos="284"/>
        </w:tabs>
        <w:spacing w:after="0" w:line="276" w:lineRule="auto"/>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20ED6B60" w14:textId="77777777" w:rsidR="005D61A0" w:rsidRPr="00606FF7" w:rsidRDefault="005D61A0" w:rsidP="005D61A0">
      <w:pPr>
        <w:widowControl w:val="0"/>
        <w:autoSpaceDE w:val="0"/>
        <w:autoSpaceDN w:val="0"/>
        <w:spacing w:after="0" w:line="276" w:lineRule="auto"/>
        <w:jc w:val="both"/>
        <w:rPr>
          <w:rFonts w:ascii="Verdana" w:hAnsi="Verdana" w:cs="Arial"/>
        </w:rPr>
      </w:pPr>
    </w:p>
    <w:p w14:paraId="4F3D04C9" w14:textId="77777777" w:rsidR="005D61A0" w:rsidRPr="009C0E03" w:rsidRDefault="005D61A0" w:rsidP="005D61A0">
      <w:pPr>
        <w:widowControl w:val="0"/>
        <w:autoSpaceDE w:val="0"/>
        <w:autoSpaceDN w:val="0"/>
        <w:spacing w:after="0" w:line="276" w:lineRule="auto"/>
        <w:jc w:val="both"/>
        <w:rPr>
          <w:rFonts w:ascii="Verdana" w:hAnsi="Verdana" w:cs="Arial"/>
          <w:bCs/>
          <w:shd w:val="clear" w:color="auto" w:fill="FFFFFF"/>
        </w:rPr>
      </w:pPr>
      <w:r w:rsidRPr="0062005D">
        <w:rPr>
          <w:rFonts w:ascii="Verdana" w:hAnsi="Verdana" w:cs="Arial"/>
          <w:shd w:val="clear" w:color="auto" w:fill="FFFFFF"/>
        </w:rPr>
        <w:t xml:space="preserve">Esta Subdirección se ha pronunciado sobre la liquidación en los conceptos 4201912000004908 del 27 de septiembre de 2019, CU-028 de 25 de febrero de </w:t>
      </w:r>
      <w:r w:rsidRPr="0062005D">
        <w:rPr>
          <w:rFonts w:ascii="Verdana" w:hAnsi="Verdana" w:cs="Arial"/>
          <w:shd w:val="clear" w:color="auto" w:fill="FFFFFF"/>
        </w:rPr>
        <w:lastRenderedPageBreak/>
        <w:t>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w:t>
      </w:r>
      <w:r>
        <w:rPr>
          <w:rFonts w:ascii="Verdana" w:hAnsi="Verdana" w:cs="Arial"/>
          <w:shd w:val="clear" w:color="auto" w:fill="FFFFFF"/>
        </w:rPr>
        <w:t xml:space="preserve">, C-510 del 4 de junio de 2025, entre otros. </w:t>
      </w:r>
      <w:r>
        <w:rPr>
          <w:rFonts w:ascii="Verdana" w:hAnsi="Verdana" w:cs="Arial"/>
          <w:bCs/>
          <w:shd w:val="clear" w:color="auto" w:fill="FFFFFF"/>
        </w:rPr>
        <w:t>En torno a la liquidación en convenios interadministrativos se ha pronunciado en los conceptos C-168 del 21 de abril de 2021, C-427 del 27 de noviembre de 2023, la cual se unificó y condensó en el Concepto C-605 del 27 de junio de 2025.</w:t>
      </w:r>
      <w:r>
        <w:rPr>
          <w:rFonts w:ascii="Verdana" w:hAnsi="Verdana"/>
        </w:rPr>
        <w:t xml:space="preserve">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2ED74B9" w14:textId="77777777" w:rsidR="005D61A0" w:rsidRPr="005D2193" w:rsidRDefault="005D61A0" w:rsidP="005D61A0">
      <w:pPr>
        <w:spacing w:after="0" w:line="256" w:lineRule="auto"/>
        <w:jc w:val="both"/>
        <w:rPr>
          <w:rStyle w:val="normaltextrun"/>
          <w:rFonts w:ascii="Verdana" w:eastAsia="Calibri" w:hAnsi="Verdana" w:cs="Times New Roman"/>
        </w:rPr>
      </w:pPr>
      <w:hyperlink r:id="rId13"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1AA3D804" w14:textId="77777777" w:rsidR="005D61A0" w:rsidRDefault="005D61A0" w:rsidP="005D61A0">
      <w:pPr>
        <w:spacing w:after="0" w:line="240" w:lineRule="auto"/>
        <w:rPr>
          <w:rFonts w:ascii="Verdana" w:eastAsia="Verdana" w:hAnsi="Verdana" w:cs="Verdana"/>
          <w:bCs/>
        </w:rPr>
      </w:pPr>
    </w:p>
    <w:p w14:paraId="1AA2E035" w14:textId="77777777" w:rsidR="005D61A0" w:rsidRPr="00231A97" w:rsidRDefault="005D61A0" w:rsidP="005D61A0">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7580010E" w14:textId="77777777" w:rsidR="005D61A0" w:rsidRDefault="005D61A0" w:rsidP="005D61A0">
      <w:pPr>
        <w:spacing w:after="0" w:line="256" w:lineRule="auto"/>
        <w:jc w:val="both"/>
        <w:rPr>
          <w:rFonts w:ascii="Verdana" w:eastAsia="Calibri" w:hAnsi="Verdana" w:cs="Times New Roman"/>
        </w:rPr>
      </w:pPr>
    </w:p>
    <w:p w14:paraId="4AB571F1" w14:textId="77777777" w:rsidR="005D61A0" w:rsidRPr="00231A97" w:rsidRDefault="005D61A0" w:rsidP="005D61A0">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2DE10E22" w14:textId="77777777" w:rsidR="005D61A0" w:rsidRDefault="005D61A0" w:rsidP="005D61A0">
      <w:pPr>
        <w:spacing w:after="0" w:line="256" w:lineRule="auto"/>
        <w:jc w:val="both"/>
        <w:rPr>
          <w:rFonts w:ascii="Verdana" w:eastAsia="Calibri" w:hAnsi="Verdana" w:cs="Times New Roman"/>
        </w:rPr>
      </w:pPr>
    </w:p>
    <w:p w14:paraId="2DE7F130" w14:textId="77777777" w:rsidR="005D61A0" w:rsidRPr="00231A97" w:rsidRDefault="005D61A0" w:rsidP="005D61A0">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 xml:space="preserve">Guía para la comprensión e implementación de los </w:t>
      </w:r>
      <w:r w:rsidRPr="00231A97">
        <w:rPr>
          <w:rFonts w:ascii="Verdana" w:eastAsia="Calibri" w:hAnsi="Verdana" w:cs="Times New Roman"/>
          <w:b/>
          <w:bCs/>
        </w:rPr>
        <w:lastRenderedPageBreak/>
        <w:t>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361C992D" w14:textId="77777777" w:rsidR="005D61A0" w:rsidRPr="009037F6" w:rsidRDefault="005D61A0" w:rsidP="005D61A0">
      <w:pPr>
        <w:spacing w:after="0" w:line="240" w:lineRule="auto"/>
        <w:jc w:val="both"/>
        <w:rPr>
          <w:rFonts w:ascii="Verdana" w:hAnsi="Verdana"/>
        </w:rPr>
      </w:pPr>
    </w:p>
    <w:p w14:paraId="022D2BEB" w14:textId="77777777" w:rsidR="005D61A0" w:rsidRPr="00116940" w:rsidRDefault="005D61A0" w:rsidP="005D61A0">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9FA7E4F" w14:textId="77777777" w:rsidR="005D61A0" w:rsidRPr="00116940" w:rsidRDefault="005D61A0" w:rsidP="005D61A0">
      <w:pPr>
        <w:spacing w:after="0"/>
        <w:jc w:val="both"/>
        <w:rPr>
          <w:rFonts w:ascii="Verdana" w:hAnsi="Verdana"/>
        </w:rPr>
      </w:pPr>
    </w:p>
    <w:p w14:paraId="39CC6F6C" w14:textId="77777777" w:rsidR="005D61A0" w:rsidRPr="00116940" w:rsidRDefault="005D61A0" w:rsidP="005D61A0">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2DB6117" w14:textId="77777777" w:rsidR="005D61A0" w:rsidRPr="00116940" w:rsidRDefault="005D61A0" w:rsidP="005D61A0">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528ADE8" w14:textId="77777777" w:rsidR="005D61A0" w:rsidRPr="00116940" w:rsidRDefault="005D61A0" w:rsidP="005D61A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64A4958A" w14:textId="77777777" w:rsidR="005D61A0" w:rsidRPr="00116940" w:rsidRDefault="005D61A0" w:rsidP="005D61A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1909BD6E" w14:textId="77777777" w:rsidR="005D61A0" w:rsidRPr="00116940" w:rsidRDefault="005D61A0" w:rsidP="005D61A0">
      <w:pPr>
        <w:spacing w:after="0" w:line="240" w:lineRule="auto"/>
        <w:ind w:left="720"/>
        <w:jc w:val="both"/>
        <w:rPr>
          <w:rFonts w:ascii="Verdana" w:hAnsi="Verdana"/>
        </w:rPr>
      </w:pPr>
    </w:p>
    <w:p w14:paraId="25B4E6D3" w14:textId="77777777" w:rsidR="005D61A0" w:rsidRPr="00116940" w:rsidRDefault="005D61A0" w:rsidP="005D61A0">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807F988" w14:textId="77777777" w:rsidR="005D61A0" w:rsidRPr="00116940" w:rsidRDefault="005D61A0" w:rsidP="005D61A0">
      <w:pPr>
        <w:spacing w:after="0" w:line="240" w:lineRule="auto"/>
        <w:rPr>
          <w:rFonts w:ascii="Verdana" w:hAnsi="Verdana"/>
        </w:rPr>
      </w:pPr>
    </w:p>
    <w:p w14:paraId="54FC97D1" w14:textId="77777777" w:rsidR="005D61A0" w:rsidRPr="00116940" w:rsidRDefault="005D61A0" w:rsidP="005D61A0">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9591CB7" w14:textId="77777777" w:rsidR="005D61A0" w:rsidRPr="00116940" w:rsidRDefault="005D61A0" w:rsidP="005D61A0">
      <w:pPr>
        <w:spacing w:after="0" w:line="240" w:lineRule="auto"/>
        <w:jc w:val="both"/>
        <w:rPr>
          <w:rFonts w:ascii="Verdana" w:hAnsi="Verdana"/>
        </w:rPr>
      </w:pPr>
    </w:p>
    <w:p w14:paraId="6AAF98FB" w14:textId="77777777" w:rsidR="005D61A0" w:rsidRPr="00116940" w:rsidRDefault="005D61A0" w:rsidP="005D61A0">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D8CC2CD" w14:textId="77777777" w:rsidR="005D61A0" w:rsidRPr="00116940" w:rsidRDefault="005D61A0" w:rsidP="005D61A0">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C1A28B6" w14:textId="77777777" w:rsidR="005D61A0" w:rsidRPr="00116940" w:rsidRDefault="005D61A0" w:rsidP="005D61A0">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29899DF" w14:textId="77777777" w:rsidR="005D61A0" w:rsidRPr="00116940" w:rsidRDefault="005D61A0" w:rsidP="005D61A0">
      <w:pPr>
        <w:spacing w:after="0" w:line="240" w:lineRule="auto"/>
        <w:jc w:val="both"/>
        <w:rPr>
          <w:rFonts w:ascii="Verdana" w:hAnsi="Verdana"/>
        </w:rPr>
      </w:pPr>
    </w:p>
    <w:p w14:paraId="5353CBFD" w14:textId="77777777" w:rsidR="005D61A0" w:rsidRPr="009037F6" w:rsidRDefault="005D61A0" w:rsidP="005D61A0">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0C589CB" w14:textId="77777777" w:rsidR="005D61A0" w:rsidRPr="00492C4A" w:rsidRDefault="005D61A0" w:rsidP="005D61A0">
      <w:pPr>
        <w:spacing w:after="0" w:line="256" w:lineRule="auto"/>
        <w:jc w:val="both"/>
        <w:rPr>
          <w:rFonts w:ascii="Verdana" w:eastAsia="Calibri" w:hAnsi="Verdana" w:cs="Times New Roman"/>
          <w:lang w:val="es-ES_tradnl"/>
        </w:rPr>
      </w:pPr>
    </w:p>
    <w:p w14:paraId="45440544" w14:textId="77777777" w:rsidR="005D61A0" w:rsidRPr="002961A6" w:rsidRDefault="005D61A0" w:rsidP="005D61A0">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5D8AD758" w14:textId="77777777" w:rsidR="005D61A0" w:rsidRPr="006F234B" w:rsidRDefault="005D61A0" w:rsidP="005D61A0">
      <w:pPr>
        <w:spacing w:after="0" w:line="256" w:lineRule="auto"/>
        <w:jc w:val="center"/>
        <w:rPr>
          <w:rFonts w:ascii="Verdana" w:hAnsi="Verdana"/>
          <w:noProof/>
          <w:sz w:val="16"/>
          <w:szCs w:val="16"/>
          <w:lang w:val="en-US"/>
        </w:rPr>
      </w:pPr>
    </w:p>
    <w:p w14:paraId="32743C69" w14:textId="00DD490C" w:rsidR="005D61A0" w:rsidRDefault="002941CC" w:rsidP="005D61A0">
      <w:pPr>
        <w:spacing w:after="0" w:line="256" w:lineRule="auto"/>
        <w:jc w:val="center"/>
        <w:rPr>
          <w:rFonts w:ascii="Century Gothic" w:hAnsi="Century Gothic"/>
          <w:noProof/>
          <w:sz w:val="16"/>
          <w:szCs w:val="16"/>
          <w:lang w:val="en-US"/>
        </w:rPr>
      </w:pPr>
      <w:r w:rsidRPr="002C3AD6">
        <w:rPr>
          <w:rFonts w:ascii="Century Gothic" w:hAnsi="Century Gothic"/>
          <w:noProof/>
          <w:lang w:val="en-US"/>
        </w:rPr>
        <w:drawing>
          <wp:inline distT="0" distB="0" distL="0" distR="0" wp14:anchorId="4447F194" wp14:editId="28AE9650">
            <wp:extent cx="3765708" cy="1397876"/>
            <wp:effectExtent l="0" t="0" r="6350" b="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807575" cy="1413418"/>
                    </a:xfrm>
                    <a:prstGeom prst="rect">
                      <a:avLst/>
                    </a:prstGeom>
                  </pic:spPr>
                </pic:pic>
              </a:graphicData>
            </a:graphic>
          </wp:inline>
        </w:drawing>
      </w:r>
    </w:p>
    <w:p w14:paraId="303E6222" w14:textId="77777777" w:rsidR="005D61A0" w:rsidRPr="002961A6" w:rsidRDefault="005D61A0" w:rsidP="005D61A0">
      <w:pPr>
        <w:spacing w:after="0" w:line="256" w:lineRule="auto"/>
        <w:jc w:val="center"/>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D61A0" w:rsidRPr="00D56F8A" w14:paraId="0770602D" w14:textId="77777777" w:rsidTr="00E4026F">
        <w:trPr>
          <w:trHeight w:val="409"/>
        </w:trPr>
        <w:tc>
          <w:tcPr>
            <w:tcW w:w="817" w:type="dxa"/>
            <w:tcBorders>
              <w:top w:val="nil"/>
              <w:left w:val="nil"/>
              <w:bottom w:val="nil"/>
              <w:right w:val="nil"/>
            </w:tcBorders>
            <w:vAlign w:val="center"/>
            <w:hideMark/>
          </w:tcPr>
          <w:p w14:paraId="644791F5"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8B75B84"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José Luis Sánchez Cardona</w:t>
            </w:r>
          </w:p>
          <w:p w14:paraId="1D3EA5EE"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Contratista de la Subdirección de Gestión Contractual</w:t>
            </w:r>
          </w:p>
        </w:tc>
      </w:tr>
      <w:tr w:rsidR="005D61A0" w:rsidRPr="00D56F8A" w14:paraId="2D4BAF60" w14:textId="77777777" w:rsidTr="00E4026F">
        <w:trPr>
          <w:trHeight w:val="409"/>
        </w:trPr>
        <w:tc>
          <w:tcPr>
            <w:tcW w:w="817" w:type="dxa"/>
            <w:tcBorders>
              <w:top w:val="nil"/>
              <w:left w:val="nil"/>
              <w:bottom w:val="nil"/>
              <w:right w:val="nil"/>
            </w:tcBorders>
            <w:vAlign w:val="center"/>
            <w:hideMark/>
          </w:tcPr>
          <w:p w14:paraId="7D26411C"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F9CDA2A"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Alejandro R. Sarmiento Cantillo</w:t>
            </w:r>
          </w:p>
          <w:p w14:paraId="7F6A54FF"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Gestor T1-15 de la Subdirección de Gestión Contractual </w:t>
            </w:r>
          </w:p>
        </w:tc>
      </w:tr>
      <w:tr w:rsidR="005D61A0" w:rsidRPr="00D56F8A" w14:paraId="122C422E" w14:textId="77777777" w:rsidTr="00E4026F">
        <w:trPr>
          <w:trHeight w:val="389"/>
        </w:trPr>
        <w:tc>
          <w:tcPr>
            <w:tcW w:w="817" w:type="dxa"/>
            <w:tcBorders>
              <w:top w:val="nil"/>
              <w:left w:val="nil"/>
              <w:bottom w:val="nil"/>
              <w:right w:val="nil"/>
            </w:tcBorders>
            <w:vAlign w:val="center"/>
            <w:hideMark/>
          </w:tcPr>
          <w:p w14:paraId="4B93CFB7"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0947128"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Carolina Quintero Gacharná</w:t>
            </w:r>
          </w:p>
          <w:p w14:paraId="59C5BE8E" w14:textId="77777777" w:rsidR="005D61A0" w:rsidRPr="00D56F8A" w:rsidRDefault="005D61A0" w:rsidP="00E4026F">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Subdirectora de Gestión Contractual ANCP – CCE</w:t>
            </w:r>
          </w:p>
        </w:tc>
      </w:tr>
      <w:bookmarkEnd w:id="0"/>
    </w:tbl>
    <w:p w14:paraId="46F38F90" w14:textId="7137F11C" w:rsidR="005D61A0" w:rsidRPr="0024624F" w:rsidRDefault="005D61A0" w:rsidP="005D61A0">
      <w:pPr>
        <w:spacing w:after="0"/>
        <w:rPr>
          <w:rFonts w:ascii="Verdana" w:eastAsia="Verdana" w:hAnsi="Verdana" w:cs="Verdana"/>
        </w:rPr>
      </w:pPr>
    </w:p>
    <w:p w14:paraId="73C61EC8" w14:textId="6F72BE13" w:rsidR="00EB224C" w:rsidRPr="005D61A0" w:rsidRDefault="00EB224C" w:rsidP="005D61A0"/>
    <w:sectPr w:rsidR="00EB224C" w:rsidRPr="005D61A0"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FE018" w14:textId="77777777" w:rsidR="00BE5004" w:rsidRDefault="00BE5004" w:rsidP="004A1847">
      <w:pPr>
        <w:spacing w:after="0" w:line="240" w:lineRule="auto"/>
      </w:pPr>
      <w:r>
        <w:separator/>
      </w:r>
    </w:p>
  </w:endnote>
  <w:endnote w:type="continuationSeparator" w:id="0">
    <w:p w14:paraId="0DC5FA91" w14:textId="77777777" w:rsidR="00BE5004" w:rsidRDefault="00BE500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5146BA10"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B56A37" w:rsidRPr="00B56A37">
      <w:rPr>
        <w:rFonts w:ascii="Verdana" w:eastAsiaTheme="minorEastAsia" w:hAnsi="Verdana"/>
        <w:b/>
        <w:bCs/>
        <w:noProof/>
        <w:sz w:val="16"/>
        <w:szCs w:val="16"/>
      </w:rPr>
      <w:t>34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222E4" w14:textId="77777777" w:rsidR="00BE5004" w:rsidRDefault="00BE5004" w:rsidP="004A1847">
      <w:pPr>
        <w:spacing w:after="0" w:line="240" w:lineRule="auto"/>
      </w:pPr>
      <w:r>
        <w:separator/>
      </w:r>
    </w:p>
  </w:footnote>
  <w:footnote w:type="continuationSeparator" w:id="0">
    <w:p w14:paraId="5727388D" w14:textId="77777777" w:rsidR="00BE5004" w:rsidRDefault="00BE5004" w:rsidP="004A1847">
      <w:pPr>
        <w:spacing w:after="0" w:line="240" w:lineRule="auto"/>
      </w:pPr>
      <w:r>
        <w:continuationSeparator/>
      </w:r>
    </w:p>
  </w:footnote>
  <w:footnote w:id="1">
    <w:p w14:paraId="12DA65B8" w14:textId="77777777" w:rsidR="005D61A0" w:rsidRPr="00065970" w:rsidRDefault="005D61A0" w:rsidP="005D61A0">
      <w:pPr>
        <w:pStyle w:val="Textonotapie"/>
        <w:ind w:firstLine="708"/>
        <w:jc w:val="both"/>
        <w:rPr>
          <w:rFonts w:ascii="Verdana" w:hAnsi="Verdana"/>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065970">
        <w:rPr>
          <w:rFonts w:ascii="Verdana" w:hAnsi="Verdana" w:cs="Arial"/>
          <w:color w:val="000000"/>
          <w:sz w:val="15"/>
          <w:szCs w:val="15"/>
          <w:shd w:val="clear" w:color="auto" w:fill="FFFFFF"/>
        </w:rPr>
        <w:t>” (</w:t>
      </w:r>
      <w:r w:rsidRPr="00065970">
        <w:rPr>
          <w:rFonts w:ascii="Verdana" w:hAnsi="Verdana" w:cs="Arial"/>
          <w:color w:val="000000"/>
          <w:sz w:val="15"/>
          <w:szCs w:val="15"/>
        </w:rPr>
        <w:t>EXPOSITO, Juan Carlos. Forma y contenido del contrato estatal. Bogotá: Universidad Externado de Colombia, p. 89 y 90).</w:t>
      </w:r>
    </w:p>
  </w:footnote>
  <w:footnote w:id="2">
    <w:p w14:paraId="5F7D0987" w14:textId="77777777" w:rsidR="005D61A0" w:rsidRPr="00065970" w:rsidRDefault="005D61A0" w:rsidP="005D61A0">
      <w:pPr>
        <w:pStyle w:val="Textonotapie"/>
        <w:ind w:firstLine="708"/>
        <w:jc w:val="both"/>
        <w:rPr>
          <w:rFonts w:ascii="Verdana" w:hAnsi="Verdana" w:cs="Arial"/>
          <w:color w:val="000000"/>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DÍAZ DÍEZ, Cristian Andrés. La liquidación. Serie: Las Cláusulas del Contrato Estatal. Medellín: Librería Jurídica Sánchez y Centro de Estudios de Derecho Administrativo –CEDA–, 2013, pp. 53-54.</w:t>
      </w:r>
    </w:p>
  </w:footnote>
  <w:footnote w:id="3">
    <w:p w14:paraId="5AE36E09" w14:textId="77777777" w:rsidR="005D61A0" w:rsidRPr="00065970" w:rsidRDefault="005D61A0" w:rsidP="005D61A0">
      <w:pPr>
        <w:spacing w:after="0" w:line="240" w:lineRule="auto"/>
        <w:ind w:firstLine="708"/>
        <w:jc w:val="both"/>
        <w:rPr>
          <w:rFonts w:ascii="Verdana" w:hAnsi="Verdana" w:cs="Arial"/>
          <w:color w:val="000000"/>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CONSEJO DE ESTADO. Sección Tercera. Subsección C. Sentencia del 20 de octubre de 2014, C.P: Enrique Gil Botero.</w:t>
      </w:r>
      <w:r w:rsidRPr="00065970">
        <w:rPr>
          <w:sz w:val="15"/>
          <w:szCs w:val="15"/>
        </w:rPr>
        <w:t xml:space="preserve"> </w:t>
      </w:r>
      <w:r w:rsidRPr="00065970">
        <w:rPr>
          <w:rFonts w:ascii="Verdana" w:hAnsi="Verdana" w:cs="Arial"/>
          <w:color w:val="000000"/>
          <w:sz w:val="15"/>
          <w:szCs w:val="15"/>
        </w:rPr>
        <w:t>05001-23-31-000-1998-00038-01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4">
    <w:p w14:paraId="620141FC" w14:textId="77777777" w:rsidR="005D61A0" w:rsidRPr="00065970" w:rsidRDefault="005D61A0" w:rsidP="005D61A0">
      <w:pPr>
        <w:pStyle w:val="Textonotapie"/>
        <w:ind w:firstLine="708"/>
        <w:jc w:val="both"/>
        <w:rPr>
          <w:rFonts w:ascii="Verdana" w:hAnsi="Verdana"/>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EXPÓSITO VÉLEZ, Juan Carlos. Forma y contenido del contrato estatal, p. 90.</w:t>
      </w:r>
    </w:p>
  </w:footnote>
  <w:footnote w:id="5">
    <w:p w14:paraId="654D3DE8" w14:textId="77777777" w:rsidR="005D61A0" w:rsidRPr="00065970" w:rsidRDefault="005D61A0" w:rsidP="005D61A0">
      <w:pPr>
        <w:pStyle w:val="Textonotapie"/>
        <w:ind w:firstLine="708"/>
        <w:jc w:val="both"/>
        <w:rPr>
          <w:rFonts w:ascii="Verdana" w:hAnsi="Verdana" w:cs="Arial"/>
          <w:color w:val="000000"/>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CONSEJO DE ESTADO, Sala de Consulta y Servicio Civil. Concepto de 6 de agosto de 2003. C.P. Augusto Trejos. Rad. No. 1453.</w:t>
      </w:r>
    </w:p>
    <w:p w14:paraId="5F4CD38F" w14:textId="77777777" w:rsidR="005D61A0" w:rsidRPr="00065970" w:rsidRDefault="005D61A0" w:rsidP="005D61A0">
      <w:pPr>
        <w:pStyle w:val="Textonotapie"/>
        <w:ind w:firstLine="708"/>
        <w:jc w:val="both"/>
        <w:rPr>
          <w:rFonts w:ascii="Verdana" w:hAnsi="Verdana"/>
          <w:sz w:val="15"/>
          <w:szCs w:val="15"/>
        </w:rPr>
      </w:pPr>
    </w:p>
  </w:footnote>
  <w:footnote w:id="6">
    <w:p w14:paraId="215CEC78" w14:textId="77777777" w:rsidR="005D61A0" w:rsidRPr="00065970" w:rsidRDefault="005D61A0" w:rsidP="005D61A0">
      <w:pPr>
        <w:pStyle w:val="Textonotapie"/>
        <w:ind w:firstLine="708"/>
        <w:jc w:val="both"/>
        <w:rPr>
          <w:rFonts w:ascii="Verdana" w:hAnsi="Verdana" w:cs="Arial"/>
          <w:color w:val="000000"/>
          <w:sz w:val="15"/>
          <w:szCs w:val="15"/>
          <w:lang w:val="es-ES"/>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w:t>
      </w:r>
      <w:r w:rsidRPr="00065970">
        <w:rPr>
          <w:rFonts w:ascii="Verdana" w:hAnsi="Verdana" w:cs="Arial"/>
          <w:color w:val="000000"/>
          <w:sz w:val="15"/>
          <w:szCs w:val="15"/>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04E87111" w14:textId="77777777" w:rsidR="005D61A0" w:rsidRPr="00065970" w:rsidRDefault="005D61A0" w:rsidP="005D61A0">
      <w:pPr>
        <w:pStyle w:val="Textonotapie"/>
        <w:ind w:firstLine="708"/>
        <w:jc w:val="both"/>
        <w:rPr>
          <w:rFonts w:ascii="Verdana" w:hAnsi="Verdana" w:cs="Arial"/>
          <w:color w:val="000000"/>
          <w:sz w:val="15"/>
          <w:szCs w:val="15"/>
          <w:lang w:val="es-ES"/>
        </w:rPr>
      </w:pPr>
      <w:r w:rsidRPr="00065970">
        <w:rPr>
          <w:rFonts w:ascii="Verdana" w:hAnsi="Verdana" w:cs="Arial"/>
          <w:color w:val="000000"/>
          <w:sz w:val="15"/>
          <w:szCs w:val="15"/>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644658DD" w14:textId="77777777" w:rsidR="005D61A0" w:rsidRPr="00065970" w:rsidRDefault="005D61A0" w:rsidP="005D61A0">
      <w:pPr>
        <w:pStyle w:val="Textonotapie"/>
        <w:ind w:firstLine="708"/>
        <w:jc w:val="both"/>
        <w:rPr>
          <w:rFonts w:ascii="Verdana" w:hAnsi="Verdana" w:cs="Arial"/>
          <w:color w:val="000000"/>
          <w:sz w:val="15"/>
          <w:szCs w:val="15"/>
          <w:lang w:val="es-ES"/>
        </w:rPr>
      </w:pPr>
      <w:r w:rsidRPr="00065970">
        <w:rPr>
          <w:rFonts w:ascii="Verdana" w:hAnsi="Verdana" w:cs="Arial"/>
          <w:color w:val="000000"/>
          <w:sz w:val="15"/>
          <w:szCs w:val="15"/>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79CBFF42" w14:textId="77777777" w:rsidR="005D61A0" w:rsidRPr="00065970" w:rsidRDefault="005D61A0" w:rsidP="005D61A0">
      <w:pPr>
        <w:pStyle w:val="Textonotapie"/>
        <w:ind w:firstLine="708"/>
        <w:jc w:val="both"/>
        <w:rPr>
          <w:rFonts w:ascii="Verdana" w:hAnsi="Verdana"/>
          <w:sz w:val="15"/>
          <w:szCs w:val="15"/>
        </w:rPr>
      </w:pPr>
      <w:r w:rsidRPr="00065970">
        <w:rPr>
          <w:rFonts w:ascii="Verdana" w:hAnsi="Verdana" w:cs="Arial"/>
          <w:color w:val="000000"/>
          <w:sz w:val="15"/>
          <w:szCs w:val="15"/>
          <w:lang w:val="es-ES"/>
        </w:rPr>
        <w:t>Los contratistas tendrán derecho a efectuar salvedades a la liquidación por mutuo acuerdo, y en este evento la liquidación unilateral solo procederá en relación con los aspectos que no hayan sido objeto de acuerdo”.</w:t>
      </w:r>
    </w:p>
  </w:footnote>
  <w:footnote w:id="7">
    <w:p w14:paraId="220C732D" w14:textId="77777777" w:rsidR="005D61A0" w:rsidRPr="00065970" w:rsidRDefault="005D61A0" w:rsidP="005D61A0">
      <w:pPr>
        <w:pStyle w:val="Textonotapie"/>
        <w:ind w:firstLine="709"/>
        <w:jc w:val="both"/>
        <w:rPr>
          <w:rFonts w:ascii="Verdana" w:hAnsi="Verdana"/>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CONSEJO DE ESTADO, Sección Tercera, Subsección C. Sentencia del 24 de julio de 2013. C.P. Enrique Gil Botero. Rad. No. </w:t>
      </w:r>
      <w:r w:rsidRPr="00065970">
        <w:rPr>
          <w:rFonts w:ascii="Verdana" w:hAnsi="Verdana" w:cs="Arial"/>
          <w:color w:val="000000"/>
          <w:sz w:val="15"/>
          <w:szCs w:val="15"/>
          <w:lang w:val="es-CO"/>
        </w:rPr>
        <w:t>050012331000199800833 01 (</w:t>
      </w:r>
      <w:r w:rsidRPr="00065970">
        <w:rPr>
          <w:rFonts w:ascii="Verdana" w:hAnsi="Verdana" w:cs="Arial"/>
          <w:color w:val="000000"/>
          <w:sz w:val="15"/>
          <w:szCs w:val="15"/>
        </w:rPr>
        <w:t xml:space="preserve">25.642). </w:t>
      </w:r>
    </w:p>
  </w:footnote>
  <w:footnote w:id="8">
    <w:p w14:paraId="52AB43E9" w14:textId="77777777" w:rsidR="005D61A0" w:rsidRPr="00065970" w:rsidRDefault="005D61A0" w:rsidP="005D61A0">
      <w:pPr>
        <w:pStyle w:val="NormalWeb"/>
        <w:spacing w:before="0" w:beforeAutospacing="0" w:after="0" w:afterAutospacing="0"/>
        <w:ind w:firstLine="709"/>
        <w:jc w:val="both"/>
        <w:rPr>
          <w:rFonts w:ascii="Verdana" w:hAnsi="Verdana" w:cs="Arial"/>
          <w:color w:val="000000"/>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Decreto 1082 de 2015 “</w:t>
      </w:r>
      <w:r w:rsidRPr="00065970">
        <w:rPr>
          <w:rStyle w:val="Fuerte"/>
          <w:rFonts w:ascii="Verdana" w:hAnsi="Verdana" w:cs="Arial"/>
          <w:color w:val="000000"/>
          <w:sz w:val="15"/>
          <w:szCs w:val="15"/>
        </w:rPr>
        <w:t>Artículo 2.2.1.2.1.5.2. </w:t>
      </w:r>
      <w:r w:rsidRPr="00065970">
        <w:rPr>
          <w:rStyle w:val="nfasis"/>
          <w:rFonts w:ascii="Verdana" w:eastAsia="MS Mincho" w:hAnsi="Verdana" w:cs="Arial"/>
          <w:color w:val="000000"/>
          <w:sz w:val="15"/>
          <w:szCs w:val="15"/>
        </w:rPr>
        <w:t>Procedimiento para la contratación de mínima cuantía. </w:t>
      </w:r>
      <w:r w:rsidRPr="00065970">
        <w:rPr>
          <w:rFonts w:ascii="Verdana" w:hAnsi="Verdana" w:cs="Arial"/>
          <w:color w:val="000000"/>
          <w:sz w:val="15"/>
          <w:szCs w:val="15"/>
        </w:rPr>
        <w:t>Las siguientes reglas son aplicables a la contratación cuyo valor no excede del 10% de la menor cuantía de la Entidad Estatal, independientemente de su objeto: </w:t>
      </w:r>
    </w:p>
    <w:p w14:paraId="0F593530" w14:textId="77777777" w:rsidR="005D61A0" w:rsidRPr="00065970" w:rsidRDefault="005D61A0" w:rsidP="005D61A0">
      <w:pPr>
        <w:pStyle w:val="NormalWeb"/>
        <w:spacing w:before="0" w:beforeAutospacing="0" w:after="0" w:afterAutospacing="0"/>
        <w:jc w:val="both"/>
        <w:rPr>
          <w:rFonts w:ascii="Verdana" w:hAnsi="Verdana"/>
          <w:sz w:val="15"/>
          <w:szCs w:val="15"/>
        </w:rPr>
      </w:pPr>
      <w:r w:rsidRPr="00065970">
        <w:rPr>
          <w:rFonts w:ascii="Verdana" w:hAnsi="Verdana" w:cs="Arial"/>
          <w:color w:val="000000"/>
          <w:sz w:val="15"/>
          <w:szCs w:val="15"/>
        </w:rPr>
        <w:t>  </w:t>
      </w:r>
      <w:r w:rsidRPr="00065970">
        <w:rPr>
          <w:rFonts w:ascii="Verdana" w:hAnsi="Verdana" w:cs="Arial"/>
          <w:color w:val="000000"/>
          <w:sz w:val="15"/>
          <w:szCs w:val="15"/>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 </w:t>
      </w:r>
    </w:p>
  </w:footnote>
  <w:footnote w:id="9">
    <w:p w14:paraId="6C5A295C" w14:textId="77777777" w:rsidR="005D61A0" w:rsidRPr="00065970" w:rsidRDefault="005D61A0" w:rsidP="005D61A0">
      <w:pPr>
        <w:pStyle w:val="NormalWeb"/>
        <w:spacing w:before="0" w:beforeAutospacing="0" w:after="0" w:afterAutospacing="0"/>
        <w:ind w:firstLine="720"/>
        <w:jc w:val="both"/>
        <w:rPr>
          <w:rFonts w:ascii="Verdana" w:hAnsi="Verdana" w:cs="Arial"/>
          <w:color w:val="000000"/>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Ley 80 de 1993 “</w:t>
      </w:r>
      <w:r w:rsidRPr="00065970">
        <w:rPr>
          <w:rStyle w:val="Fuerte"/>
          <w:rFonts w:ascii="Verdana" w:hAnsi="Verdana" w:cs="Arial"/>
          <w:color w:val="000000"/>
          <w:sz w:val="15"/>
          <w:szCs w:val="15"/>
        </w:rPr>
        <w:t>Articulo 39. De la forma del contrato estatal. </w:t>
      </w:r>
      <w:r w:rsidRPr="00065970">
        <w:rPr>
          <w:rFonts w:ascii="Verdana" w:hAnsi="Verdana" w:cs="Arial"/>
          <w:color w:val="000000"/>
          <w:sz w:val="15"/>
          <w:szCs w:val="15"/>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p>
    <w:p w14:paraId="59F18DBB" w14:textId="77777777" w:rsidR="005D61A0" w:rsidRPr="00065970" w:rsidRDefault="005D61A0" w:rsidP="005D61A0">
      <w:pPr>
        <w:pStyle w:val="NormalWeb"/>
        <w:spacing w:before="0" w:beforeAutospacing="0" w:after="0" w:afterAutospacing="0"/>
        <w:jc w:val="both"/>
        <w:rPr>
          <w:rFonts w:ascii="Verdana" w:hAnsi="Verdana" w:cs="Arial"/>
          <w:color w:val="000000"/>
          <w:sz w:val="15"/>
          <w:szCs w:val="15"/>
        </w:rPr>
      </w:pPr>
      <w:r w:rsidRPr="00065970">
        <w:rPr>
          <w:rFonts w:ascii="Verdana" w:hAnsi="Verdana" w:cs="Arial"/>
          <w:color w:val="000000"/>
          <w:sz w:val="15"/>
          <w:szCs w:val="15"/>
        </w:rPr>
        <w:t>  </w:t>
      </w:r>
      <w:r w:rsidRPr="00065970">
        <w:rPr>
          <w:rFonts w:ascii="Verdana" w:hAnsi="Verdana" w:cs="Arial"/>
          <w:color w:val="000000"/>
          <w:sz w:val="15"/>
          <w:szCs w:val="15"/>
        </w:rPr>
        <w:tab/>
        <w:t>[…]</w:t>
      </w:r>
      <w:bookmarkStart w:id="1" w:name="ver_1790147"/>
      <w:bookmarkStart w:id="2" w:name="ver_30220791"/>
      <w:bookmarkStart w:id="3" w:name="ver_1790148"/>
      <w:bookmarkEnd w:id="1"/>
      <w:bookmarkEnd w:id="2"/>
    </w:p>
    <w:p w14:paraId="22D71A93" w14:textId="77777777" w:rsidR="005D61A0" w:rsidRPr="00065970" w:rsidRDefault="005D61A0" w:rsidP="005D61A0">
      <w:pPr>
        <w:pStyle w:val="NormalWeb"/>
        <w:spacing w:before="0" w:beforeAutospacing="0" w:after="0" w:afterAutospacing="0"/>
        <w:ind w:firstLine="720"/>
        <w:jc w:val="both"/>
        <w:rPr>
          <w:rFonts w:ascii="Verdana" w:hAnsi="Verdana" w:cs="Arial"/>
          <w:color w:val="000000"/>
          <w:sz w:val="15"/>
          <w:szCs w:val="15"/>
        </w:rPr>
      </w:pPr>
      <w:r w:rsidRPr="00065970">
        <w:rPr>
          <w:rStyle w:val="Fuerte"/>
          <w:rFonts w:ascii="Verdana" w:hAnsi="Verdana" w:cs="Arial"/>
          <w:color w:val="000000"/>
          <w:sz w:val="15"/>
          <w:szCs w:val="15"/>
        </w:rPr>
        <w:t>Artículo 40. Del contenido del contrato estatal.</w:t>
      </w:r>
      <w:r w:rsidRPr="00065970">
        <w:rPr>
          <w:rFonts w:ascii="Verdana" w:hAnsi="Verdana" w:cs="Arial"/>
          <w:color w:val="000000"/>
          <w:sz w:val="15"/>
          <w:szCs w:val="15"/>
        </w:rPr>
        <w:t xml:space="preserve"> Las estipulaciones de los contratos serán las </w:t>
      </w:r>
      <w:proofErr w:type="gramStart"/>
      <w:r w:rsidRPr="00065970">
        <w:rPr>
          <w:rFonts w:ascii="Verdana" w:hAnsi="Verdana" w:cs="Arial"/>
          <w:color w:val="000000"/>
          <w:sz w:val="15"/>
          <w:szCs w:val="15"/>
        </w:rPr>
        <w:t>que</w:t>
      </w:r>
      <w:proofErr w:type="gramEnd"/>
      <w:r w:rsidRPr="00065970">
        <w:rPr>
          <w:rFonts w:ascii="Verdana" w:hAnsi="Verdana" w:cs="Arial"/>
          <w:color w:val="000000"/>
          <w:sz w:val="15"/>
          <w:szCs w:val="15"/>
        </w:rPr>
        <w:t xml:space="preserve"> de acuerdo con las normas civiles, comerciales y las previstas en esta ley, correspondan a su esencia y naturaleza. </w:t>
      </w:r>
    </w:p>
    <w:p w14:paraId="31233280" w14:textId="77777777" w:rsidR="005D61A0" w:rsidRPr="00065970" w:rsidRDefault="005D61A0" w:rsidP="005D61A0">
      <w:pPr>
        <w:pStyle w:val="NormalWeb"/>
        <w:spacing w:before="0" w:beforeAutospacing="0" w:after="0" w:afterAutospacing="0"/>
        <w:ind w:firstLine="720"/>
        <w:jc w:val="both"/>
        <w:rPr>
          <w:rFonts w:ascii="Verdana" w:hAnsi="Verdana" w:cs="Arial"/>
          <w:color w:val="000000"/>
          <w:sz w:val="15"/>
          <w:szCs w:val="15"/>
        </w:rPr>
      </w:pPr>
      <w:r w:rsidRPr="00065970">
        <w:rPr>
          <w:rFonts w:ascii="Verdana" w:hAnsi="Verdana" w:cs="Arial"/>
          <w:color w:val="000000"/>
          <w:sz w:val="15"/>
          <w:szCs w:val="15"/>
        </w:rPr>
        <w:t>Las entidades podrán celebrar los contratos y acuerdos que permitan la autonomía de la voluntad y requieran el cumplimiento de los fines estatales. </w:t>
      </w:r>
    </w:p>
    <w:p w14:paraId="2E551BB6" w14:textId="77777777" w:rsidR="005D61A0" w:rsidRPr="00065970" w:rsidRDefault="005D61A0" w:rsidP="005D61A0">
      <w:pPr>
        <w:pStyle w:val="NormalWeb"/>
        <w:spacing w:before="0" w:beforeAutospacing="0" w:after="0" w:afterAutospacing="0"/>
        <w:jc w:val="both"/>
        <w:rPr>
          <w:rFonts w:ascii="Verdana" w:hAnsi="Verdana" w:cs="Arial"/>
          <w:color w:val="000000"/>
          <w:sz w:val="15"/>
          <w:szCs w:val="15"/>
        </w:rPr>
      </w:pPr>
      <w:r w:rsidRPr="00065970">
        <w:rPr>
          <w:rFonts w:ascii="Verdana" w:hAnsi="Verdana" w:cs="Arial"/>
          <w:color w:val="000000"/>
          <w:sz w:val="15"/>
          <w:szCs w:val="15"/>
        </w:rPr>
        <w:t>  </w:t>
      </w:r>
      <w:r w:rsidRPr="00065970">
        <w:rPr>
          <w:rFonts w:ascii="Verdana" w:hAnsi="Verdana" w:cs="Arial"/>
          <w:color w:val="000000"/>
          <w:sz w:val="15"/>
          <w:szCs w:val="15"/>
        </w:rPr>
        <w:tab/>
        <w:t>[…]  </w:t>
      </w:r>
    </w:p>
    <w:p w14:paraId="1214EC56" w14:textId="77777777" w:rsidR="005D61A0" w:rsidRPr="00065970" w:rsidRDefault="005D61A0" w:rsidP="005D61A0">
      <w:pPr>
        <w:pStyle w:val="NormalWeb"/>
        <w:spacing w:before="0" w:beforeAutospacing="0" w:after="0" w:afterAutospacing="0"/>
        <w:ind w:firstLine="720"/>
        <w:jc w:val="both"/>
        <w:rPr>
          <w:rFonts w:ascii="Verdana" w:hAnsi="Verdana"/>
          <w:sz w:val="15"/>
          <w:szCs w:val="15"/>
        </w:rPr>
      </w:pPr>
      <w:bookmarkStart w:id="4" w:name="ver_30161420"/>
      <w:bookmarkStart w:id="5" w:name="ver_1790149"/>
      <w:bookmarkStart w:id="6" w:name="ver_30161408"/>
      <w:bookmarkStart w:id="7" w:name="ver_30161443"/>
      <w:bookmarkEnd w:id="3"/>
      <w:bookmarkEnd w:id="4"/>
      <w:bookmarkEnd w:id="5"/>
      <w:bookmarkEnd w:id="6"/>
      <w:bookmarkEnd w:id="7"/>
      <w:r w:rsidRPr="00065970">
        <w:rPr>
          <w:rStyle w:val="Fuerte"/>
          <w:rFonts w:ascii="Verdana" w:hAnsi="Verdana" w:cs="Arial"/>
          <w:color w:val="000000"/>
          <w:sz w:val="15"/>
          <w:szCs w:val="15"/>
        </w:rPr>
        <w:t>Artículo 41. Del perfeccionamiento del contrato.</w:t>
      </w:r>
      <w:r w:rsidRPr="00065970">
        <w:rPr>
          <w:rFonts w:ascii="Verdana" w:hAnsi="Verdana" w:cs="Arial"/>
          <w:color w:val="000000"/>
          <w:sz w:val="15"/>
          <w:szCs w:val="15"/>
        </w:rPr>
        <w:t> Los contratos del Estado se perfeccionan cuando se logre acuerdo sobre el objeto y la contraprestación y éste se eleve a escrito […]”.</w:t>
      </w:r>
    </w:p>
  </w:footnote>
  <w:footnote w:id="10">
    <w:p w14:paraId="47BB6334" w14:textId="77777777" w:rsidR="005D61A0" w:rsidRPr="00065970" w:rsidRDefault="005D61A0" w:rsidP="005D61A0">
      <w:pPr>
        <w:pStyle w:val="Textonotapie"/>
        <w:ind w:firstLine="709"/>
        <w:jc w:val="both"/>
        <w:rPr>
          <w:rFonts w:ascii="Verdana" w:hAnsi="Verdana"/>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Ley 80 de 1993 “</w:t>
      </w:r>
      <w:r w:rsidRPr="00065970">
        <w:rPr>
          <w:rStyle w:val="Fuerte"/>
          <w:rFonts w:ascii="Verdana" w:hAnsi="Verdana" w:cs="Arial"/>
          <w:color w:val="000000"/>
          <w:sz w:val="15"/>
          <w:szCs w:val="15"/>
        </w:rPr>
        <w:t>Artículo 77. De la normatividad aplicable en las actuaciones administrativas.</w:t>
      </w:r>
      <w:r w:rsidRPr="00065970">
        <w:rPr>
          <w:rFonts w:ascii="Verdana" w:hAnsi="Verdana" w:cs="Arial"/>
          <w:color w:val="000000"/>
          <w:sz w:val="15"/>
          <w:szCs w:val="15"/>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1">
    <w:p w14:paraId="7AD99210" w14:textId="77777777" w:rsidR="005D61A0" w:rsidRPr="00065970" w:rsidRDefault="005D61A0" w:rsidP="005D61A0">
      <w:pPr>
        <w:pStyle w:val="NormalWeb"/>
        <w:spacing w:before="0" w:beforeAutospacing="0" w:after="0" w:afterAutospacing="0"/>
        <w:ind w:firstLine="709"/>
        <w:jc w:val="both"/>
        <w:rPr>
          <w:rFonts w:ascii="Verdana" w:hAnsi="Verdana" w:cs="Arial"/>
          <w:color w:val="000000"/>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Ley 80 de 1993 “</w:t>
      </w:r>
      <w:r w:rsidRPr="00065970">
        <w:rPr>
          <w:rStyle w:val="Fuerte"/>
          <w:rFonts w:ascii="Verdana" w:hAnsi="Verdana" w:cs="Arial"/>
          <w:color w:val="000000"/>
          <w:sz w:val="15"/>
          <w:szCs w:val="15"/>
        </w:rPr>
        <w:t>Artículo 25. Del principio de economía.</w:t>
      </w:r>
      <w:r w:rsidRPr="00065970">
        <w:rPr>
          <w:rFonts w:ascii="Verdana" w:hAnsi="Verdana" w:cs="Arial"/>
          <w:color w:val="000000"/>
          <w:sz w:val="15"/>
          <w:szCs w:val="15"/>
        </w:rPr>
        <w:t> En virtud de este principio: </w:t>
      </w:r>
    </w:p>
    <w:p w14:paraId="07C5574B" w14:textId="77777777" w:rsidR="005D61A0" w:rsidRPr="00065970" w:rsidRDefault="005D61A0" w:rsidP="005D61A0">
      <w:pPr>
        <w:pStyle w:val="NormalWeb"/>
        <w:spacing w:before="0" w:beforeAutospacing="0" w:after="0" w:afterAutospacing="0"/>
        <w:ind w:firstLine="709"/>
        <w:jc w:val="both"/>
        <w:rPr>
          <w:rFonts w:ascii="Verdana" w:hAnsi="Verdana" w:cs="Arial"/>
          <w:color w:val="000000"/>
          <w:sz w:val="15"/>
          <w:szCs w:val="15"/>
        </w:rPr>
      </w:pPr>
      <w:r w:rsidRPr="00065970">
        <w:rPr>
          <w:rFonts w:ascii="Verdana" w:hAnsi="Verdana" w:cs="Arial"/>
          <w:color w:val="000000"/>
          <w:sz w:val="15"/>
          <w:szCs w:val="15"/>
        </w:rPr>
        <w:t>[…]</w:t>
      </w:r>
    </w:p>
    <w:p w14:paraId="38B285E1" w14:textId="77777777" w:rsidR="005D61A0" w:rsidRPr="00065970" w:rsidRDefault="005D61A0" w:rsidP="005D61A0">
      <w:pPr>
        <w:pStyle w:val="NormalWeb"/>
        <w:spacing w:before="0" w:beforeAutospacing="0" w:after="0" w:afterAutospacing="0"/>
        <w:ind w:firstLine="709"/>
        <w:jc w:val="both"/>
        <w:rPr>
          <w:rFonts w:ascii="Verdana" w:hAnsi="Verdana" w:cs="Arial"/>
          <w:color w:val="000000"/>
          <w:sz w:val="15"/>
          <w:szCs w:val="15"/>
        </w:rPr>
      </w:pPr>
      <w:r w:rsidRPr="00065970">
        <w:rPr>
          <w:rFonts w:ascii="Verdana" w:hAnsi="Verdana" w:cs="Arial"/>
          <w:color w:val="000000"/>
          <w:sz w:val="15"/>
          <w:szCs w:val="15"/>
        </w:rPr>
        <w:t>4o. Los trámites se adelantarán con austeridad de tiempo, medios y gastos y se impedirán las dilaciones y los retardos en la ejecución del contrato. </w:t>
      </w:r>
    </w:p>
    <w:p w14:paraId="33C6D3F8" w14:textId="77777777" w:rsidR="005D61A0" w:rsidRPr="00065970" w:rsidRDefault="005D61A0" w:rsidP="005D61A0">
      <w:pPr>
        <w:pStyle w:val="NormalWeb"/>
        <w:spacing w:before="0" w:beforeAutospacing="0" w:after="0" w:afterAutospacing="0"/>
        <w:jc w:val="both"/>
        <w:rPr>
          <w:rFonts w:ascii="Verdana" w:hAnsi="Verdana"/>
          <w:sz w:val="15"/>
          <w:szCs w:val="15"/>
        </w:rPr>
      </w:pPr>
      <w:r w:rsidRPr="00065970">
        <w:rPr>
          <w:rFonts w:ascii="Verdana" w:hAnsi="Verdana" w:cs="Arial"/>
          <w:color w:val="000000"/>
          <w:sz w:val="15"/>
          <w:szCs w:val="15"/>
        </w:rPr>
        <w:t>  </w:t>
      </w:r>
      <w:r w:rsidRPr="00065970">
        <w:rPr>
          <w:rFonts w:ascii="Verdana" w:hAnsi="Verdana" w:cs="Arial"/>
          <w:color w:val="000000"/>
          <w:sz w:val="15"/>
          <w:szCs w:val="15"/>
        </w:rPr>
        <w:tab/>
        <w:t>5o. Se adoptarán procedimientos que garanticen la pronta solución de las diferencias y controversias que con motivo de la celebración y ejecución del contrato se presenten […]”.</w:t>
      </w:r>
    </w:p>
  </w:footnote>
  <w:footnote w:id="12">
    <w:p w14:paraId="6DBE92A7" w14:textId="77777777" w:rsidR="005D61A0" w:rsidRPr="00065970" w:rsidRDefault="005D61A0" w:rsidP="005D61A0">
      <w:pPr>
        <w:pStyle w:val="Textonotapie"/>
        <w:ind w:firstLine="708"/>
        <w:jc w:val="both"/>
        <w:rPr>
          <w:rFonts w:ascii="Verdana" w:hAnsi="Verdana" w:cs="Arial"/>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COLOMBIA COMPRA EFICIENTE. Guía para la Liquidación de los Procesos de Contratación. página 5, disponible en: </w:t>
      </w:r>
      <w:hyperlink r:id="rId1" w:history="1">
        <w:r w:rsidRPr="00065970">
          <w:rPr>
            <w:rStyle w:val="Hipervnculo"/>
            <w:rFonts w:ascii="Verdana" w:hAnsi="Verdana" w:cs="Arial"/>
            <w:sz w:val="15"/>
            <w:szCs w:val="15"/>
          </w:rPr>
          <w:t>https://www.colombiacompra.gov.co/sites/cce_public/files/cce_documents/cce_guia_liquidacion_procesos.pdf</w:t>
        </w:r>
      </w:hyperlink>
      <w:r w:rsidRPr="00065970">
        <w:rPr>
          <w:rFonts w:ascii="Verdana" w:hAnsi="Verdana" w:cs="Arial"/>
          <w:sz w:val="15"/>
          <w:szCs w:val="15"/>
        </w:rPr>
        <w:t xml:space="preserve"> </w:t>
      </w:r>
    </w:p>
    <w:p w14:paraId="430D0E66" w14:textId="77777777" w:rsidR="005D61A0" w:rsidRPr="00065970" w:rsidRDefault="005D61A0" w:rsidP="005D61A0">
      <w:pPr>
        <w:pStyle w:val="Textonotapie"/>
        <w:ind w:firstLine="708"/>
        <w:jc w:val="both"/>
        <w:rPr>
          <w:rFonts w:ascii="Verdana" w:hAnsi="Verdana"/>
          <w:sz w:val="15"/>
          <w:szCs w:val="15"/>
        </w:rPr>
      </w:pPr>
    </w:p>
  </w:footnote>
  <w:footnote w:id="13">
    <w:p w14:paraId="66EE3119" w14:textId="77777777" w:rsidR="005D61A0" w:rsidRPr="00065970" w:rsidRDefault="005D61A0" w:rsidP="005D61A0">
      <w:pPr>
        <w:pStyle w:val="Textonotapie"/>
        <w:ind w:firstLine="708"/>
        <w:jc w:val="both"/>
        <w:rPr>
          <w:rFonts w:ascii="Verdana" w:hAnsi="Verdana"/>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4">
    <w:p w14:paraId="5ADE8850" w14:textId="77777777" w:rsidR="005D61A0" w:rsidRPr="00065970" w:rsidRDefault="005D61A0" w:rsidP="005D61A0">
      <w:pPr>
        <w:pStyle w:val="Textonotapie"/>
        <w:ind w:firstLine="708"/>
        <w:jc w:val="both"/>
        <w:rPr>
          <w:rFonts w:ascii="Verdana" w:hAnsi="Verdana" w:cs="Arial"/>
          <w:color w:val="000000"/>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CONSEJO DE ESTADO. Sala de Consulta y Servicio Civil. Concepto de 28 de </w:t>
      </w:r>
      <w:proofErr w:type="gramStart"/>
      <w:r w:rsidRPr="00065970">
        <w:rPr>
          <w:rFonts w:ascii="Verdana" w:hAnsi="Verdana" w:cs="Arial"/>
          <w:color w:val="000000"/>
          <w:sz w:val="15"/>
          <w:szCs w:val="15"/>
        </w:rPr>
        <w:t>Junio</w:t>
      </w:r>
      <w:proofErr w:type="gramEnd"/>
      <w:r w:rsidRPr="00065970">
        <w:rPr>
          <w:rFonts w:ascii="Verdana" w:hAnsi="Verdana" w:cs="Arial"/>
          <w:color w:val="000000"/>
          <w:sz w:val="15"/>
          <w:szCs w:val="15"/>
        </w:rPr>
        <w:t xml:space="preserve"> de 2016. C.P. Álvaro Namén Vargas. Rad. No 2253. </w:t>
      </w:r>
    </w:p>
  </w:footnote>
  <w:footnote w:id="15">
    <w:p w14:paraId="2620450C" w14:textId="77777777" w:rsidR="005D61A0" w:rsidRPr="00065970" w:rsidRDefault="005D61A0" w:rsidP="005D61A0">
      <w:pPr>
        <w:pStyle w:val="Textonotapie"/>
        <w:ind w:firstLine="708"/>
        <w:jc w:val="both"/>
        <w:rPr>
          <w:rFonts w:ascii="Verdana" w:hAnsi="Verdana"/>
          <w:sz w:val="15"/>
          <w:szCs w:val="15"/>
          <w:lang w:val="es-ES"/>
        </w:rPr>
      </w:pPr>
      <w:r w:rsidRPr="00065970">
        <w:rPr>
          <w:rStyle w:val="Refdenotaalpie"/>
          <w:rFonts w:ascii="Verdana" w:hAnsi="Verdana"/>
          <w:sz w:val="15"/>
          <w:szCs w:val="15"/>
        </w:rPr>
        <w:footnoteRef/>
      </w:r>
      <w:r w:rsidRPr="00065970">
        <w:rPr>
          <w:rFonts w:ascii="Verdana" w:hAnsi="Verdana"/>
          <w:sz w:val="15"/>
          <w:szCs w:val="15"/>
        </w:rPr>
        <w:t xml:space="preserve"> </w:t>
      </w:r>
      <w:r w:rsidRPr="00065970">
        <w:rPr>
          <w:rFonts w:ascii="Verdana" w:hAnsi="Verdana" w:cs="Arial"/>
          <w:color w:val="000000"/>
          <w:sz w:val="15"/>
          <w:szCs w:val="15"/>
        </w:rPr>
        <w:t xml:space="preserve">DÍAZ DÍEZ, Cristian Andrés. La liquidación. </w:t>
      </w:r>
      <w:proofErr w:type="spellStart"/>
      <w:r w:rsidRPr="00065970">
        <w:rPr>
          <w:rFonts w:ascii="Verdana" w:hAnsi="Verdana" w:cs="Arial"/>
          <w:color w:val="000000"/>
          <w:sz w:val="15"/>
          <w:szCs w:val="15"/>
        </w:rPr>
        <w:t>Op</w:t>
      </w:r>
      <w:proofErr w:type="spellEnd"/>
      <w:r w:rsidRPr="00065970">
        <w:rPr>
          <w:rFonts w:ascii="Verdana" w:hAnsi="Verdana" w:cs="Arial"/>
          <w:color w:val="000000"/>
          <w:sz w:val="15"/>
          <w:szCs w:val="15"/>
        </w:rPr>
        <w:t xml:space="preserve">. cit. p. 207. </w:t>
      </w:r>
    </w:p>
  </w:footnote>
  <w:footnote w:id="16">
    <w:p w14:paraId="3F05AAFC" w14:textId="77777777" w:rsidR="005D61A0" w:rsidRPr="00065970" w:rsidRDefault="005D61A0" w:rsidP="005D61A0">
      <w:pPr>
        <w:pStyle w:val="Textonotapie"/>
        <w:ind w:firstLine="708"/>
        <w:jc w:val="both"/>
        <w:rPr>
          <w:rFonts w:ascii="Verdana" w:hAnsi="Verdana"/>
          <w:sz w:val="15"/>
          <w:szCs w:val="15"/>
          <w:lang w:val="es-ES"/>
        </w:rPr>
      </w:pPr>
      <w:r w:rsidRPr="00065970">
        <w:rPr>
          <w:rStyle w:val="Refdenotaalpie"/>
          <w:rFonts w:ascii="Verdana" w:hAnsi="Verdana"/>
          <w:sz w:val="15"/>
          <w:szCs w:val="15"/>
        </w:rPr>
        <w:footnoteRef/>
      </w:r>
      <w:r w:rsidRPr="00065970">
        <w:rPr>
          <w:rFonts w:ascii="Verdana" w:hAnsi="Verdana"/>
          <w:sz w:val="15"/>
          <w:szCs w:val="15"/>
        </w:rPr>
        <w:t xml:space="preserve"> </w:t>
      </w:r>
      <w:proofErr w:type="spellStart"/>
      <w:r w:rsidRPr="00065970">
        <w:rPr>
          <w:rFonts w:ascii="Verdana" w:hAnsi="Verdana"/>
          <w:sz w:val="15"/>
          <w:szCs w:val="15"/>
        </w:rPr>
        <w:t>Ibídem</w:t>
      </w:r>
      <w:proofErr w:type="spellEnd"/>
      <w:r w:rsidRPr="00065970">
        <w:rPr>
          <w:rFonts w:ascii="Verdana" w:hAnsi="Verdana"/>
          <w:sz w:val="15"/>
          <w:szCs w:val="15"/>
        </w:rPr>
        <w:t xml:space="preserve">., pp.208-209. </w:t>
      </w:r>
    </w:p>
  </w:footnote>
  <w:footnote w:id="17">
    <w:p w14:paraId="577D6647" w14:textId="77777777" w:rsidR="005D61A0" w:rsidRPr="00065970" w:rsidRDefault="005D61A0" w:rsidP="005D61A0">
      <w:pPr>
        <w:pStyle w:val="Textonotapie"/>
        <w:ind w:firstLine="708"/>
        <w:jc w:val="both"/>
        <w:rPr>
          <w:rFonts w:ascii="Verdana" w:hAnsi="Verdana"/>
          <w:sz w:val="15"/>
          <w:szCs w:val="15"/>
        </w:rPr>
      </w:pPr>
      <w:r w:rsidRPr="00065970">
        <w:rPr>
          <w:rFonts w:ascii="Verdana" w:hAnsi="Verdana" w:cs="Arial"/>
          <w:color w:val="000000"/>
          <w:sz w:val="15"/>
          <w:szCs w:val="15"/>
          <w:vertAlign w:val="superscript"/>
        </w:rPr>
        <w:footnoteRef/>
      </w:r>
      <w:r w:rsidRPr="00065970">
        <w:rPr>
          <w:rFonts w:ascii="Verdana" w:hAnsi="Verdana" w:cs="Arial"/>
          <w:color w:val="000000"/>
          <w:sz w:val="15"/>
          <w:szCs w:val="15"/>
        </w:rPr>
        <w:t xml:space="preserve"> CONSEJO DE ESTADO. Sección Tercera. </w:t>
      </w:r>
      <w:r w:rsidRPr="00065970">
        <w:rPr>
          <w:rFonts w:ascii="Verdana" w:hAnsi="Verdana" w:cs="Arial"/>
          <w:color w:val="000000"/>
          <w:sz w:val="15"/>
          <w:szCs w:val="15"/>
          <w:lang w:val="es-CO"/>
        </w:rPr>
        <w:t>Sala Plena. Auto del 1 de agosto de 2019. C.P. Jaime Enrique Rodríguez Navas. Rad. 05001-23-33-000-2018-00342-01 (62009).</w:t>
      </w:r>
      <w:r w:rsidRPr="00065970">
        <w:rPr>
          <w:rFonts w:ascii="Verdana" w:hAnsi="Verdana"/>
          <w:color w:val="000000"/>
          <w:sz w:val="15"/>
          <w:szCs w:val="15"/>
          <w:lang w:val="es-ES"/>
        </w:rPr>
        <w:t xml:space="preserve"> </w:t>
      </w:r>
    </w:p>
  </w:footnote>
  <w:footnote w:id="18">
    <w:p w14:paraId="00C99EBE" w14:textId="77777777" w:rsidR="005D61A0" w:rsidRPr="00065970" w:rsidRDefault="005D61A0" w:rsidP="005D61A0">
      <w:pPr>
        <w:spacing w:after="0" w:line="240" w:lineRule="auto"/>
        <w:ind w:firstLine="709"/>
        <w:jc w:val="both"/>
        <w:rPr>
          <w:rFonts w:ascii="Verdana" w:hAnsi="Verdana" w:cs="Arial"/>
          <w:sz w:val="15"/>
          <w:szCs w:val="15"/>
        </w:rPr>
      </w:pPr>
      <w:r w:rsidRPr="00065970">
        <w:rPr>
          <w:rStyle w:val="Refdenotaalpie"/>
          <w:rFonts w:ascii="Verdana" w:hAnsi="Verdana" w:cs="Arial"/>
          <w:sz w:val="15"/>
          <w:szCs w:val="15"/>
        </w:rPr>
        <w:footnoteRef/>
      </w:r>
      <w:r w:rsidRPr="00065970">
        <w:rPr>
          <w:rFonts w:ascii="Verdana" w:hAnsi="Verdana" w:cs="Arial"/>
          <w:sz w:val="15"/>
          <w:szCs w:val="15"/>
        </w:rPr>
        <w:t xml:space="preserve"> Decreto 1082 de 2015: “Artículo 2.2.1.2.1.4.4. Convenios o contratos interadministrativos. La modalidad de selección para la contratación entre Entidades Estatales es la contratación directa; </w:t>
      </w:r>
      <w:proofErr w:type="gramStart"/>
      <w:r w:rsidRPr="00065970">
        <w:rPr>
          <w:rFonts w:ascii="Verdana" w:hAnsi="Verdana" w:cs="Arial"/>
          <w:sz w:val="15"/>
          <w:szCs w:val="15"/>
        </w:rPr>
        <w:t>y</w:t>
      </w:r>
      <w:proofErr w:type="gramEnd"/>
      <w:r w:rsidRPr="00065970">
        <w:rPr>
          <w:rFonts w:ascii="Verdana" w:hAnsi="Verdana" w:cs="Arial"/>
          <w:sz w:val="15"/>
          <w:szCs w:val="15"/>
        </w:rPr>
        <w:t xml:space="preserve"> en consecuencia, le es aplicable lo establecido en el artículo 2.2.1.2.1.4.1 del presente decreto.</w:t>
      </w:r>
    </w:p>
    <w:p w14:paraId="51DB968B" w14:textId="77777777" w:rsidR="005D61A0" w:rsidRPr="00065970" w:rsidRDefault="005D61A0" w:rsidP="005D61A0">
      <w:pPr>
        <w:spacing w:after="0" w:line="240" w:lineRule="auto"/>
        <w:ind w:firstLine="709"/>
        <w:jc w:val="both"/>
        <w:rPr>
          <w:rFonts w:ascii="Verdana" w:hAnsi="Verdana" w:cs="Arial"/>
          <w:sz w:val="15"/>
          <w:szCs w:val="15"/>
        </w:rPr>
      </w:pPr>
      <w:r w:rsidRPr="00065970">
        <w:rPr>
          <w:rFonts w:ascii="Verdana" w:hAnsi="Verdana" w:cs="Arial"/>
          <w:sz w:val="15"/>
          <w:szCs w:val="15"/>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065970">
        <w:rPr>
          <w:rFonts w:ascii="Verdana" w:hAnsi="Verdana" w:cs="Arial"/>
          <w:spacing w:val="-1"/>
          <w:sz w:val="15"/>
          <w:szCs w:val="15"/>
        </w:rPr>
        <w:t xml:space="preserve"> </w:t>
      </w:r>
      <w:r w:rsidRPr="00065970">
        <w:rPr>
          <w:rFonts w:ascii="Verdana" w:hAnsi="Verdana" w:cs="Arial"/>
          <w:sz w:val="15"/>
          <w:szCs w:val="15"/>
        </w:rPr>
        <w:t>Estatales”.</w:t>
      </w:r>
    </w:p>
  </w:footnote>
  <w:footnote w:id="19">
    <w:p w14:paraId="702B4330" w14:textId="77777777" w:rsidR="005D61A0" w:rsidRPr="00065970" w:rsidRDefault="005D61A0" w:rsidP="005D61A0">
      <w:pPr>
        <w:spacing w:after="0" w:line="240" w:lineRule="auto"/>
        <w:ind w:firstLine="709"/>
        <w:jc w:val="both"/>
        <w:rPr>
          <w:rFonts w:ascii="Verdana" w:hAnsi="Verdana" w:cs="Arial"/>
          <w:sz w:val="15"/>
          <w:szCs w:val="15"/>
        </w:rPr>
      </w:pPr>
      <w:r w:rsidRPr="00065970">
        <w:rPr>
          <w:rStyle w:val="Refdenotaalpie"/>
          <w:rFonts w:ascii="Verdana" w:hAnsi="Verdana" w:cs="Arial"/>
          <w:sz w:val="15"/>
          <w:szCs w:val="15"/>
        </w:rPr>
        <w:footnoteRef/>
      </w:r>
      <w:r w:rsidRPr="00065970">
        <w:rPr>
          <w:rFonts w:ascii="Verdana" w:hAnsi="Verdana" w:cs="Arial"/>
          <w:sz w:val="15"/>
          <w:szCs w:val="15"/>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065970">
        <w:rPr>
          <w:rFonts w:ascii="Verdana" w:hAnsi="Verdana" w:cs="Arial"/>
          <w:spacing w:val="-6"/>
          <w:sz w:val="15"/>
          <w:szCs w:val="15"/>
        </w:rPr>
        <w:t xml:space="preserve"> </w:t>
      </w:r>
      <w:r w:rsidRPr="00065970">
        <w:rPr>
          <w:rFonts w:ascii="Verdana" w:hAnsi="Verdana" w:cs="Arial"/>
          <w:sz w:val="15"/>
          <w:szCs w:val="15"/>
        </w:rPr>
        <w:t>artículo”.</w:t>
      </w:r>
    </w:p>
  </w:footnote>
  <w:footnote w:id="20">
    <w:p w14:paraId="46BD74EF" w14:textId="77777777" w:rsidR="005D61A0" w:rsidRPr="00065970" w:rsidRDefault="005D61A0" w:rsidP="005D61A0">
      <w:pPr>
        <w:pStyle w:val="Textonotapie"/>
        <w:ind w:firstLine="708"/>
        <w:rPr>
          <w:rFonts w:ascii="Verdana" w:hAnsi="Verdana"/>
          <w:sz w:val="15"/>
          <w:szCs w:val="15"/>
        </w:rPr>
      </w:pPr>
      <w:r w:rsidRPr="00065970">
        <w:rPr>
          <w:rStyle w:val="Refdenotaalpie"/>
          <w:rFonts w:ascii="Verdana" w:hAnsi="Verdana"/>
          <w:sz w:val="15"/>
          <w:szCs w:val="15"/>
        </w:rPr>
        <w:footnoteRef/>
      </w:r>
      <w:r w:rsidRPr="00065970">
        <w:rPr>
          <w:rFonts w:ascii="Verdana" w:hAnsi="Verdana"/>
          <w:sz w:val="15"/>
          <w:szCs w:val="15"/>
          <w:lang w:val="pt-BR"/>
        </w:rPr>
        <w:t xml:space="preserve"> CORTE CONSTITUCIONAL. Sentencia C-671 de 2005. </w:t>
      </w:r>
      <w:r w:rsidRPr="00065970">
        <w:rPr>
          <w:rFonts w:ascii="Verdana" w:hAnsi="Verdana"/>
          <w:sz w:val="15"/>
          <w:szCs w:val="15"/>
        </w:rPr>
        <w:t xml:space="preserve">M.P. Álvaro Tafur Galvis. </w:t>
      </w:r>
    </w:p>
  </w:footnote>
  <w:footnote w:id="21">
    <w:p w14:paraId="6D3BCF43" w14:textId="77777777" w:rsidR="005D61A0" w:rsidRPr="00065970" w:rsidRDefault="005D61A0" w:rsidP="005D61A0">
      <w:pPr>
        <w:pStyle w:val="Textonotapie"/>
        <w:ind w:firstLine="708"/>
        <w:jc w:val="both"/>
        <w:rPr>
          <w:rFonts w:ascii="Verdana" w:hAnsi="Verdana"/>
          <w:sz w:val="15"/>
          <w:szCs w:val="15"/>
          <w:lang w:bidi="es-ES"/>
        </w:rPr>
      </w:pPr>
      <w:r w:rsidRPr="00065970">
        <w:rPr>
          <w:rStyle w:val="Refdenotaalpie"/>
          <w:rFonts w:ascii="Verdana" w:hAnsi="Verdana"/>
          <w:sz w:val="15"/>
          <w:szCs w:val="15"/>
        </w:rPr>
        <w:footnoteRef/>
      </w:r>
      <w:r w:rsidRPr="00065970">
        <w:rPr>
          <w:rFonts w:ascii="Verdana" w:hAnsi="Verdana"/>
          <w:sz w:val="15"/>
          <w:szCs w:val="15"/>
        </w:rPr>
        <w:t xml:space="preserve"> </w:t>
      </w:r>
      <w:r w:rsidRPr="00065970">
        <w:rPr>
          <w:rFonts w:ascii="Verdana" w:hAnsi="Verdana"/>
          <w:sz w:val="15"/>
          <w:szCs w:val="15"/>
          <w:lang w:val="es-CO"/>
        </w:rPr>
        <w:t xml:space="preserve">CONSEJO DE ESTADO. Sala de Consulta y Servicio Civil. Concepto no. 2257 del 26 de julio de 2016, C.P. Álvaro Namén Vargas; </w:t>
      </w:r>
      <w:r w:rsidRPr="00065970">
        <w:rPr>
          <w:rFonts w:ascii="Verdana" w:hAnsi="Verdana"/>
          <w:sz w:val="15"/>
          <w:szCs w:val="15"/>
          <w:lang w:bidi="es-ES"/>
        </w:rPr>
        <w:t>CONSEJO DE ESTADO, Sección Tercera, Subsección A. Sentencia del 23 de junio de 2010. C.P. Mauricio Fajardo Gómez. Rad. 66001-23-31-000-1998-00261-01 (17860)</w:t>
      </w:r>
      <w:r w:rsidRPr="00065970">
        <w:rPr>
          <w:rFonts w:ascii="Verdana" w:hAnsi="Verdana"/>
          <w:sz w:val="15"/>
          <w:szCs w:val="15"/>
          <w:lang w:val="es-CO"/>
        </w:rPr>
        <w:t>; CONSEJO DE ESTADO. Sección Tercera, Subsección B. Auto del 4 de octubre de 2024. C.P. Fredy Ibarra Martínez.</w:t>
      </w:r>
      <w:r w:rsidRPr="00065970">
        <w:rPr>
          <w:rFonts w:ascii="Verdana" w:hAnsi="Verdana" w:cs="Arial"/>
          <w:bCs/>
          <w:color w:val="1E1E1E"/>
          <w:spacing w:val="2"/>
          <w:sz w:val="15"/>
          <w:szCs w:val="15"/>
          <w:shd w:val="clear" w:color="auto" w:fill="FFFFFF"/>
          <w:lang w:val="es-CO"/>
        </w:rPr>
        <w:t xml:space="preserve"> Rad. </w:t>
      </w:r>
      <w:r w:rsidRPr="00065970">
        <w:rPr>
          <w:rFonts w:ascii="Verdana" w:hAnsi="Verdana"/>
          <w:bCs/>
          <w:sz w:val="15"/>
          <w:szCs w:val="15"/>
          <w:lang w:val="es-CO"/>
        </w:rPr>
        <w:t>11001-03-26-000-2023-00139-00 (70.313)</w:t>
      </w:r>
      <w:r w:rsidRPr="00065970">
        <w:rPr>
          <w:rFonts w:ascii="Verdana" w:hAnsi="Verdana"/>
          <w:sz w:val="15"/>
          <w:szCs w:val="15"/>
          <w:lang w:val="es-CO"/>
        </w:rPr>
        <w:t xml:space="preserve">. </w:t>
      </w:r>
    </w:p>
  </w:footnote>
  <w:footnote w:id="22">
    <w:p w14:paraId="2A8B2066" w14:textId="77777777" w:rsidR="005D61A0" w:rsidRPr="00065970" w:rsidRDefault="005D61A0" w:rsidP="005D61A0">
      <w:pPr>
        <w:pStyle w:val="Textonotapie"/>
        <w:ind w:firstLine="708"/>
        <w:jc w:val="both"/>
        <w:rPr>
          <w:rFonts w:ascii="Verdana" w:hAnsi="Verdana"/>
          <w:sz w:val="15"/>
          <w:szCs w:val="15"/>
          <w:lang w:val="es-CO"/>
        </w:rPr>
      </w:pPr>
      <w:r w:rsidRPr="00065970">
        <w:rPr>
          <w:rStyle w:val="Refdenotaalpie"/>
          <w:rFonts w:ascii="Verdana" w:hAnsi="Verdana"/>
          <w:sz w:val="15"/>
          <w:szCs w:val="15"/>
        </w:rPr>
        <w:footnoteRef/>
      </w:r>
      <w:r w:rsidRPr="00065970">
        <w:rPr>
          <w:rFonts w:ascii="Verdana" w:hAnsi="Verdana"/>
          <w:sz w:val="15"/>
          <w:szCs w:val="15"/>
        </w:rPr>
        <w:t xml:space="preserve"> SANTOS RODRÍGUEZ, Jorge Enrique. Consideraciones sobre los contratos y convenios interadministrativos. En: Revista Digital de Derecho Administrativo, 2008. p.p. 10-11. De igual forma, Augusto Ramón Chavéz Marín expresa: “</w:t>
      </w:r>
      <w:r w:rsidRPr="00065970">
        <w:rPr>
          <w:rFonts w:ascii="Verdana" w:hAnsi="Verdana"/>
          <w:sz w:val="15"/>
          <w:szCs w:val="15"/>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23">
    <w:p w14:paraId="3666A1A0" w14:textId="77777777" w:rsidR="005D61A0" w:rsidRPr="00065970" w:rsidRDefault="005D61A0" w:rsidP="005D61A0">
      <w:pPr>
        <w:pStyle w:val="Textonotapie"/>
        <w:ind w:firstLine="708"/>
        <w:jc w:val="both"/>
        <w:rPr>
          <w:rFonts w:ascii="Verdana" w:hAnsi="Verdana"/>
          <w:sz w:val="15"/>
          <w:szCs w:val="15"/>
          <w:lang w:bidi="es-ES"/>
        </w:rPr>
      </w:pPr>
      <w:r w:rsidRPr="00065970">
        <w:rPr>
          <w:rStyle w:val="Refdenotaalpie"/>
          <w:rFonts w:ascii="Verdana" w:hAnsi="Verdana"/>
          <w:sz w:val="15"/>
          <w:szCs w:val="15"/>
        </w:rPr>
        <w:footnoteRef/>
      </w:r>
      <w:r w:rsidRPr="00065970">
        <w:rPr>
          <w:rFonts w:ascii="Verdana" w:hAnsi="Verdana"/>
          <w:sz w:val="15"/>
          <w:szCs w:val="15"/>
        </w:rPr>
        <w:t xml:space="preserve"> </w:t>
      </w:r>
      <w:r w:rsidRPr="00065970">
        <w:rPr>
          <w:rFonts w:ascii="Verdana" w:hAnsi="Verdana"/>
          <w:sz w:val="15"/>
          <w:szCs w:val="15"/>
          <w:lang w:bidi="es-ES"/>
        </w:rPr>
        <w:t>CONSEJO DE ESTADO, Sección Tercera, Subsección A. Sentencia del 19 de mayo de 2025. C.P. María Adriana Marín. Rad. 54001-23-33-000-2020-00501-01 (70.504)</w:t>
      </w:r>
      <w:r w:rsidRPr="00065970">
        <w:rPr>
          <w:rFonts w:ascii="Verdana" w:hAnsi="Verdana"/>
          <w:sz w:val="15"/>
          <w:szCs w:val="15"/>
        </w:rPr>
        <w:t xml:space="preserve">; CONSEJO DE ESTADO. Sección Tercera, Subsección A. Sentencia del 16 de agosto de 2022, C.P.: María Adriana Marín. Rad. </w:t>
      </w:r>
      <w:r w:rsidRPr="00065970">
        <w:rPr>
          <w:rFonts w:ascii="Verdana" w:hAnsi="Verdana"/>
          <w:sz w:val="15"/>
          <w:szCs w:val="15"/>
          <w:lang w:val="es-CO"/>
        </w:rPr>
        <w:t>08001-23-31-000-2011-00506-01 (60.434)</w:t>
      </w:r>
    </w:p>
  </w:footnote>
  <w:footnote w:id="24">
    <w:p w14:paraId="1A535649" w14:textId="77777777" w:rsidR="005D61A0" w:rsidRPr="00065970" w:rsidRDefault="005D61A0" w:rsidP="005D61A0">
      <w:pPr>
        <w:pStyle w:val="Textonotapie"/>
        <w:ind w:firstLine="708"/>
        <w:jc w:val="both"/>
        <w:rPr>
          <w:rFonts w:ascii="Verdana" w:hAnsi="Verdana"/>
          <w:sz w:val="15"/>
          <w:szCs w:val="15"/>
          <w:lang w:val="es-CO"/>
        </w:rPr>
      </w:pPr>
      <w:r w:rsidRPr="00065970">
        <w:rPr>
          <w:rStyle w:val="Refdenotaalpie"/>
          <w:rFonts w:ascii="Verdana" w:hAnsi="Verdana"/>
          <w:sz w:val="15"/>
          <w:szCs w:val="15"/>
        </w:rPr>
        <w:footnoteRef/>
      </w:r>
      <w:r w:rsidRPr="00065970">
        <w:rPr>
          <w:rFonts w:ascii="Verdana" w:hAnsi="Verdana"/>
          <w:sz w:val="15"/>
          <w:szCs w:val="15"/>
        </w:rPr>
        <w:t xml:space="preserve"> </w:t>
      </w:r>
      <w:r w:rsidRPr="00065970">
        <w:rPr>
          <w:rFonts w:ascii="Verdana" w:hAnsi="Verdana"/>
          <w:sz w:val="15"/>
          <w:szCs w:val="15"/>
          <w:lang w:val="es-CO"/>
        </w:rPr>
        <w:t xml:space="preserve">CONSEJO DE ESTADO. Sección Tercera, Subsección A. Sentencia del 14 de junio de 2019, C.P.: Marta Nubia Velásquez Rico. Rad.: 25000-23-37-000-2010-02552-01 (AP); CONSEJO DE ESTADO. Sección Tercera, Subsección A. Sentencia del 25 de mayo de 2025. C.P. María Adriana Marín Hernández. </w:t>
      </w:r>
      <w:proofErr w:type="spellStart"/>
      <w:r w:rsidRPr="00065970">
        <w:rPr>
          <w:rFonts w:ascii="Verdana" w:hAnsi="Verdana"/>
          <w:sz w:val="15"/>
          <w:szCs w:val="15"/>
          <w:lang w:val="es-CO"/>
        </w:rPr>
        <w:t>Exp</w:t>
      </w:r>
      <w:proofErr w:type="spellEnd"/>
      <w:r w:rsidRPr="00065970">
        <w:rPr>
          <w:rFonts w:ascii="Verdana" w:hAnsi="Verdana"/>
          <w:sz w:val="15"/>
          <w:szCs w:val="15"/>
          <w:lang w:val="es-CO"/>
        </w:rPr>
        <w:t>. 70.504.</w:t>
      </w:r>
    </w:p>
  </w:footnote>
  <w:footnote w:id="25">
    <w:p w14:paraId="0A21FC39" w14:textId="77777777" w:rsidR="005D61A0" w:rsidRPr="00065970" w:rsidRDefault="005D61A0" w:rsidP="005D61A0">
      <w:pPr>
        <w:pStyle w:val="Textonotapie"/>
        <w:ind w:firstLine="708"/>
        <w:jc w:val="both"/>
        <w:rPr>
          <w:rFonts w:ascii="Verdana" w:hAnsi="Verdana"/>
          <w:sz w:val="15"/>
          <w:szCs w:val="15"/>
        </w:rPr>
      </w:pPr>
      <w:r w:rsidRPr="00065970">
        <w:rPr>
          <w:rStyle w:val="Refdenotaalpie"/>
          <w:rFonts w:ascii="Verdana" w:hAnsi="Verdana"/>
          <w:sz w:val="15"/>
          <w:szCs w:val="15"/>
        </w:rPr>
        <w:footnoteRef/>
      </w:r>
      <w:r w:rsidRPr="00065970">
        <w:rPr>
          <w:rFonts w:ascii="Verdana" w:hAnsi="Verdana"/>
          <w:sz w:val="15"/>
          <w:szCs w:val="15"/>
        </w:rPr>
        <w:t xml:space="preserve"> </w:t>
      </w:r>
      <w:r w:rsidRPr="00065970">
        <w:rPr>
          <w:rFonts w:ascii="Verdana" w:hAnsi="Verdana"/>
          <w:spacing w:val="-9"/>
          <w:sz w:val="15"/>
          <w:szCs w:val="15"/>
        </w:rPr>
        <w:t xml:space="preserve">CONSEJO DE ESTADO, </w:t>
      </w:r>
      <w:r w:rsidRPr="00065970">
        <w:rPr>
          <w:rFonts w:ascii="Verdana" w:hAnsi="Verdana" w:cs="Arial"/>
          <w:sz w:val="15"/>
          <w:szCs w:val="15"/>
        </w:rPr>
        <w:t>Sección</w:t>
      </w:r>
      <w:r w:rsidRPr="00065970">
        <w:rPr>
          <w:rFonts w:ascii="Verdana" w:hAnsi="Verdana" w:cs="Arial"/>
          <w:spacing w:val="-7"/>
          <w:sz w:val="15"/>
          <w:szCs w:val="15"/>
        </w:rPr>
        <w:t xml:space="preserve"> </w:t>
      </w:r>
      <w:r w:rsidRPr="00065970">
        <w:rPr>
          <w:rFonts w:ascii="Verdana" w:hAnsi="Verdana" w:cs="Arial"/>
          <w:sz w:val="15"/>
          <w:szCs w:val="15"/>
        </w:rPr>
        <w:t>Tercera, Sala Plena. Auto del 1 de agosto de 2019. C.P. Jaime Enrique Rodríguez Navas. Rad.</w:t>
      </w:r>
      <w:r w:rsidRPr="00065970">
        <w:rPr>
          <w:rFonts w:ascii="Verdana" w:hAnsi="Verdana" w:cs="Arial"/>
          <w:spacing w:val="1"/>
          <w:sz w:val="15"/>
          <w:szCs w:val="15"/>
        </w:rPr>
        <w:t xml:space="preserve"> </w:t>
      </w:r>
      <w:r w:rsidRPr="00065970">
        <w:rPr>
          <w:rFonts w:ascii="Verdana" w:hAnsi="Verdana" w:cs="Arial"/>
          <w:sz w:val="15"/>
          <w:szCs w:val="15"/>
        </w:rPr>
        <w:t>05001-23-33-000-2018-00342-01</w:t>
      </w:r>
      <w:r w:rsidRPr="00065970">
        <w:rPr>
          <w:rFonts w:ascii="Verdana" w:hAnsi="Verdana" w:cs="Arial"/>
          <w:spacing w:val="1"/>
          <w:sz w:val="15"/>
          <w:szCs w:val="15"/>
        </w:rPr>
        <w:t xml:space="preserve"> </w:t>
      </w:r>
      <w:r w:rsidRPr="00065970">
        <w:rPr>
          <w:rFonts w:ascii="Verdana" w:hAnsi="Verdana" w:cs="Arial"/>
          <w:sz w:val="15"/>
          <w:szCs w:val="15"/>
        </w:rPr>
        <w:t>(62009)</w:t>
      </w:r>
      <w:r w:rsidRPr="00065970">
        <w:rPr>
          <w:rFonts w:ascii="Verdana" w:hAnsi="Verdana" w:cs="Arial"/>
          <w:spacing w:val="1"/>
          <w:sz w:val="15"/>
          <w:szCs w:val="15"/>
        </w:rPr>
        <w:t>.</w:t>
      </w:r>
    </w:p>
  </w:footnote>
  <w:footnote w:id="26">
    <w:p w14:paraId="54D5D80B" w14:textId="77777777" w:rsidR="005D61A0" w:rsidRPr="00065970" w:rsidRDefault="005D61A0" w:rsidP="005D61A0">
      <w:pPr>
        <w:pStyle w:val="Textonotapie"/>
        <w:ind w:firstLine="708"/>
        <w:jc w:val="both"/>
        <w:rPr>
          <w:rFonts w:ascii="Verdana" w:hAnsi="Verdana"/>
          <w:sz w:val="15"/>
          <w:szCs w:val="15"/>
          <w:lang w:val="es-ES"/>
        </w:rPr>
      </w:pPr>
      <w:r w:rsidRPr="00065970">
        <w:rPr>
          <w:rStyle w:val="Refdenotaalpie"/>
          <w:rFonts w:ascii="Verdana" w:hAnsi="Verdana"/>
          <w:sz w:val="15"/>
          <w:szCs w:val="15"/>
        </w:rPr>
        <w:footnoteRef/>
      </w:r>
      <w:r w:rsidRPr="00065970">
        <w:rPr>
          <w:rFonts w:ascii="Verdana" w:hAnsi="Verdana"/>
          <w:sz w:val="15"/>
          <w:szCs w:val="15"/>
        </w:rPr>
        <w:t xml:space="preserve"> CONSEJO DE ESTADO, Sección Tercera, Subsección A. Sentencia del 14 de junio de 2019, C.P. Marta Nubia Velásquez Rico. Rad. 25000-23-37-000-2010-02552-01 (AP).</w:t>
      </w:r>
    </w:p>
  </w:footnote>
  <w:footnote w:id="27">
    <w:p w14:paraId="2ACE06D3" w14:textId="77777777" w:rsidR="005D61A0" w:rsidRPr="00065970" w:rsidRDefault="005D61A0" w:rsidP="005D61A0">
      <w:pPr>
        <w:pStyle w:val="Textonotapie"/>
        <w:ind w:firstLine="708"/>
        <w:jc w:val="both"/>
        <w:rPr>
          <w:rFonts w:ascii="Verdana" w:hAnsi="Verdana"/>
          <w:sz w:val="15"/>
          <w:szCs w:val="15"/>
          <w:lang w:val="es-CO"/>
        </w:rPr>
      </w:pPr>
      <w:r w:rsidRPr="00065970">
        <w:rPr>
          <w:rStyle w:val="Refdenotaalpie"/>
          <w:rFonts w:ascii="Verdana" w:hAnsi="Verdana"/>
          <w:sz w:val="15"/>
          <w:szCs w:val="15"/>
        </w:rPr>
        <w:footnoteRef/>
      </w:r>
      <w:r w:rsidRPr="00065970">
        <w:rPr>
          <w:rFonts w:ascii="Verdana" w:hAnsi="Verdana"/>
          <w:sz w:val="15"/>
          <w:szCs w:val="15"/>
        </w:rPr>
        <w:t xml:space="preserve"> CONSEJO DE ESTADO, Sección Tercera, Subsección A. Sentencia del 19 de mayo de 2025. C.P. Adriana Marín </w:t>
      </w:r>
      <w:proofErr w:type="spellStart"/>
      <w:r w:rsidRPr="00065970">
        <w:rPr>
          <w:rFonts w:ascii="Verdana" w:hAnsi="Verdana"/>
          <w:sz w:val="15"/>
          <w:szCs w:val="15"/>
        </w:rPr>
        <w:t>Marín</w:t>
      </w:r>
      <w:proofErr w:type="spellEnd"/>
      <w:r w:rsidRPr="00065970">
        <w:rPr>
          <w:rFonts w:ascii="Verdana" w:hAnsi="Verdana"/>
          <w:sz w:val="15"/>
          <w:szCs w:val="15"/>
        </w:rPr>
        <w:t>. Rad.</w:t>
      </w:r>
      <w:r w:rsidRPr="00065970">
        <w:rPr>
          <w:rFonts w:ascii="Verdana" w:hAnsi="Verdana" w:cs="Arial"/>
          <w:color w:val="000000"/>
          <w:sz w:val="15"/>
          <w:szCs w:val="15"/>
          <w:lang w:val="es-CO"/>
        </w:rPr>
        <w:t xml:space="preserve"> </w:t>
      </w:r>
      <w:r w:rsidRPr="00065970">
        <w:rPr>
          <w:rFonts w:ascii="Verdana" w:hAnsi="Verdana"/>
          <w:bCs/>
          <w:sz w:val="15"/>
          <w:szCs w:val="15"/>
          <w:lang w:val="es-CO"/>
        </w:rPr>
        <w:t>54001-23-33-000-2020-00501-01 (70.504). Al respecto,</w:t>
      </w:r>
      <w:r w:rsidRPr="00065970">
        <w:rPr>
          <w:rFonts w:ascii="Verdana" w:hAnsi="Verdana"/>
          <w:b/>
          <w:bCs/>
          <w:sz w:val="15"/>
          <w:szCs w:val="15"/>
          <w:lang w:val="es-CO"/>
        </w:rPr>
        <w:t xml:space="preserve"> </w:t>
      </w:r>
      <w:r w:rsidRPr="00065970">
        <w:rPr>
          <w:rFonts w:ascii="Verdana" w:hAnsi="Verdana"/>
          <w:sz w:val="15"/>
          <w:szCs w:val="15"/>
          <w:lang w:val="es-CO"/>
        </w:rPr>
        <w:t xml:space="preserve">La Subsección B de la Sección Tercera expresó: </w:t>
      </w:r>
      <w:r w:rsidRPr="00065970">
        <w:rPr>
          <w:rFonts w:ascii="Verdana" w:hAnsi="Verdana"/>
          <w:iCs/>
          <w:sz w:val="15"/>
          <w:szCs w:val="15"/>
          <w:lang w:val="es-CO"/>
        </w:rPr>
        <w:t>“12.- Por su naturaleza, los convenios interadministrativos no se encuentran sujetos a las normas de la Ley 80 de 1993 sobre liquidación de los contratos. Así las cosas, para definir desde cuándo se computa el término de caducidad, debe verificarse si las partes regularon cómo hacer la liquidación en las estipulaciones del convenio. // 12.1.- Teniendo en cuenta lo anterior, la Sala estima necesario precisar que, en los casos de este tipo de convenios, así como en los contratos no sometidos a la Ley 80 de 1993, el cómputo del término de caducidad previsto en el aparte v del literal j) del numeral 2 del artículo 164 del CPACA, debe sujetarse a la forma en que las partes hayan regulado la liquidación en el convenio o contrato”</w:t>
      </w:r>
      <w:r w:rsidRPr="00065970">
        <w:rPr>
          <w:rFonts w:ascii="Verdana" w:hAnsi="Verdana"/>
          <w:i/>
          <w:iCs/>
          <w:sz w:val="15"/>
          <w:szCs w:val="15"/>
          <w:lang w:val="es-CO"/>
        </w:rPr>
        <w:t xml:space="preserve"> </w:t>
      </w:r>
      <w:r w:rsidRPr="00065970">
        <w:rPr>
          <w:rFonts w:ascii="Verdana" w:hAnsi="Verdana"/>
          <w:sz w:val="15"/>
          <w:szCs w:val="15"/>
          <w:lang w:val="es-CO"/>
        </w:rPr>
        <w:t>(CONSEJO DE ESTADO, Sección Tercera, Subsección B. Sentencia del 20 de mayo de 2024, C.P. Martín Bermúdez Muñoz. Rad. 47001-23-33-000-2020-00580-01 (70.086)).</w:t>
      </w:r>
    </w:p>
  </w:footnote>
  <w:footnote w:id="28">
    <w:p w14:paraId="3CE8848D" w14:textId="77777777" w:rsidR="005D61A0" w:rsidRPr="00065970" w:rsidRDefault="005D61A0" w:rsidP="005D61A0">
      <w:pPr>
        <w:pStyle w:val="Textonotapie"/>
        <w:ind w:firstLine="708"/>
        <w:jc w:val="both"/>
        <w:rPr>
          <w:rFonts w:ascii="Verdana" w:hAnsi="Verdana"/>
          <w:sz w:val="15"/>
          <w:szCs w:val="15"/>
          <w:lang w:val="es-CO"/>
        </w:rPr>
      </w:pPr>
      <w:r w:rsidRPr="00065970">
        <w:rPr>
          <w:rStyle w:val="Refdenotaalpie"/>
          <w:rFonts w:ascii="Verdana" w:hAnsi="Verdana"/>
          <w:sz w:val="15"/>
          <w:szCs w:val="15"/>
        </w:rPr>
        <w:footnoteRef/>
      </w:r>
      <w:r w:rsidRPr="00065970">
        <w:rPr>
          <w:rFonts w:ascii="Verdana" w:hAnsi="Verdana"/>
          <w:sz w:val="15"/>
          <w:szCs w:val="15"/>
        </w:rPr>
        <w:t xml:space="preserve"> </w:t>
      </w:r>
      <w:r w:rsidRPr="00065970">
        <w:rPr>
          <w:rFonts w:ascii="Verdana" w:hAnsi="Verdana"/>
          <w:sz w:val="15"/>
          <w:szCs w:val="15"/>
          <w:lang w:val="es-CO"/>
        </w:rPr>
        <w:t xml:space="preserve">CONSEJO DE ESTADO, Sección Tercera, Subsección B, sentencia de 19 de octubre de 2023. C.P. Martín Bermúdez Muñoz. Rad. </w:t>
      </w:r>
      <w:r w:rsidRPr="00065970">
        <w:rPr>
          <w:rFonts w:ascii="Verdana" w:hAnsi="Verdana"/>
          <w:sz w:val="15"/>
          <w:szCs w:val="15"/>
        </w:rPr>
        <w:t>08001-23-33-000-2019-00487-01</w:t>
      </w:r>
      <w:r w:rsidRPr="00065970">
        <w:rPr>
          <w:rFonts w:ascii="Verdana" w:hAnsi="Verdana"/>
          <w:sz w:val="15"/>
          <w:szCs w:val="15"/>
          <w:lang w:val="es-CO"/>
        </w:rPr>
        <w:t xml:space="preserve"> (69991); Sección Tercera, Subsección B. Sentencia del 23 de noviembre de 2022, C.P. Alberto Montaña Plata. Rad.</w:t>
      </w:r>
      <w:r w:rsidRPr="00065970">
        <w:rPr>
          <w:sz w:val="15"/>
          <w:szCs w:val="15"/>
          <w:lang w:val="es-CO"/>
        </w:rPr>
        <w:t xml:space="preserve"> </w:t>
      </w:r>
      <w:r w:rsidRPr="00065970">
        <w:rPr>
          <w:rFonts w:ascii="Verdana" w:hAnsi="Verdana"/>
          <w:sz w:val="15"/>
          <w:szCs w:val="15"/>
          <w:lang w:val="es-CO"/>
        </w:rPr>
        <w:t>52001-23-33-000-2019-00230-01 (67523); Sección Tercera, Subsección B. Sentencia de 14 de julio de 2023. C.P. Alberto Montaña Plata. Rad.</w:t>
      </w:r>
      <w:r w:rsidRPr="00065970">
        <w:rPr>
          <w:sz w:val="15"/>
          <w:szCs w:val="15"/>
          <w:lang w:val="es-CO"/>
        </w:rPr>
        <w:t xml:space="preserve"> </w:t>
      </w:r>
      <w:r w:rsidRPr="00065970">
        <w:rPr>
          <w:rFonts w:ascii="Verdana" w:hAnsi="Verdana"/>
          <w:sz w:val="15"/>
          <w:szCs w:val="15"/>
          <w:lang w:val="es-CO"/>
        </w:rPr>
        <w:t xml:space="preserve">52001-23-33-000-2019-00230-01 (69094).  </w:t>
      </w:r>
    </w:p>
  </w:footnote>
  <w:footnote w:id="29">
    <w:p w14:paraId="3F31DC08" w14:textId="77777777" w:rsidR="005D61A0" w:rsidRPr="00065970" w:rsidRDefault="005D61A0" w:rsidP="005D61A0">
      <w:pPr>
        <w:pStyle w:val="Textonotapie"/>
        <w:ind w:firstLine="708"/>
        <w:jc w:val="both"/>
        <w:rPr>
          <w:rFonts w:ascii="Verdana" w:hAnsi="Verdana"/>
          <w:sz w:val="15"/>
          <w:szCs w:val="15"/>
        </w:rPr>
      </w:pPr>
      <w:r w:rsidRPr="00065970">
        <w:rPr>
          <w:rStyle w:val="Refdenotaalpie"/>
          <w:rFonts w:ascii="Verdana" w:hAnsi="Verdana"/>
          <w:sz w:val="15"/>
          <w:szCs w:val="15"/>
        </w:rPr>
        <w:footnoteRef/>
      </w:r>
      <w:r w:rsidRPr="00065970">
        <w:rPr>
          <w:rFonts w:ascii="Verdana" w:hAnsi="Verdana"/>
          <w:sz w:val="15"/>
          <w:szCs w:val="15"/>
        </w:rPr>
        <w:t xml:space="preserve"> </w:t>
      </w:r>
      <w:r w:rsidRPr="00065970">
        <w:rPr>
          <w:rFonts w:ascii="Verdana" w:hAnsi="Verdana"/>
          <w:sz w:val="15"/>
          <w:szCs w:val="15"/>
          <w:lang w:val="es-CO"/>
        </w:rPr>
        <w:t>CONSEJO DE ESTADO, Sección Tercera, Subsección B. Sentencia del 20 de mayo de 2024, C.P. Martín Bermúdez Muñoz. Rad. 47001-23-33-000-2020-00580-01 (70.086)</w:t>
      </w:r>
    </w:p>
  </w:footnote>
  <w:footnote w:id="30">
    <w:p w14:paraId="76D2EB55" w14:textId="77777777" w:rsidR="005D61A0" w:rsidRPr="00065970" w:rsidRDefault="005D61A0" w:rsidP="005D61A0">
      <w:pPr>
        <w:pStyle w:val="Default"/>
        <w:ind w:firstLine="708"/>
        <w:jc w:val="both"/>
        <w:rPr>
          <w:rFonts w:ascii="Verdana" w:hAnsi="Verdana"/>
          <w:sz w:val="15"/>
          <w:szCs w:val="15"/>
        </w:rPr>
      </w:pPr>
      <w:r w:rsidRPr="00065970">
        <w:rPr>
          <w:rStyle w:val="Refdenotaalpie"/>
          <w:rFonts w:ascii="Verdana" w:hAnsi="Verdana"/>
          <w:sz w:val="15"/>
          <w:szCs w:val="15"/>
        </w:rPr>
        <w:footnoteRef/>
      </w:r>
      <w:r w:rsidRPr="00065970">
        <w:rPr>
          <w:rFonts w:ascii="Verdana" w:hAnsi="Verdana"/>
          <w:sz w:val="15"/>
          <w:szCs w:val="15"/>
        </w:rPr>
        <w:t xml:space="preserve"> CONSEJO DE ESTADO, Sección Tercera, Subsección A. Sentencia del 13 de agosto de 2024, C.P. Fernando Alexei Pardo Flórez. Rad.: 52001-23-33-000-2017-00470-01 (70.405). </w:t>
      </w:r>
    </w:p>
  </w:footnote>
  <w:footnote w:id="31">
    <w:p w14:paraId="149B0036" w14:textId="77777777" w:rsidR="005D61A0" w:rsidRPr="00065970" w:rsidRDefault="005D61A0" w:rsidP="005D61A0">
      <w:pPr>
        <w:pStyle w:val="Textonotapie"/>
        <w:ind w:firstLine="708"/>
        <w:jc w:val="both"/>
        <w:rPr>
          <w:rFonts w:ascii="Verdana" w:hAnsi="Verdana"/>
          <w:sz w:val="15"/>
          <w:szCs w:val="15"/>
        </w:rPr>
      </w:pPr>
      <w:r w:rsidRPr="00065970">
        <w:rPr>
          <w:rStyle w:val="Refdenotaalpie"/>
          <w:rFonts w:ascii="Verdana" w:hAnsi="Verdana"/>
          <w:sz w:val="15"/>
          <w:szCs w:val="15"/>
        </w:rPr>
        <w:footnoteRef/>
      </w:r>
      <w:r w:rsidRPr="00065970">
        <w:rPr>
          <w:rFonts w:ascii="Verdana" w:hAnsi="Verdana"/>
          <w:sz w:val="15"/>
          <w:szCs w:val="15"/>
        </w:rPr>
        <w:t xml:space="preserve"> CONSEJO DE ESTADO. Sección Tercera, Sentencia del 25 de octubre de 2019, Rad.: 60.304, reiterado en la sentencia CONSEJO DE ESTADO. Sección Tercera, Subsección C. Sentencia del 17 de septiembre de 2025. C.P. Nicolás Yepes Corrales. Rad. 52001-23-33-000-2017-00265-01 (68.535); CONSEJO DE ESTADO. Sección Tercera, Subsección C. Sentencia del 11 de agosto de 2025. C.P. Nicolás Yepes Corrales. Rad. </w:t>
      </w:r>
      <w:r w:rsidRPr="00065970">
        <w:rPr>
          <w:rFonts w:ascii="Verdana" w:hAnsi="Verdana"/>
          <w:iCs/>
          <w:sz w:val="15"/>
          <w:szCs w:val="15"/>
        </w:rPr>
        <w:t>25000-23-36-000-2015-02601-01 (61.491)</w:t>
      </w:r>
      <w:r w:rsidRPr="00065970">
        <w:rPr>
          <w:rFonts w:ascii="Verdana" w:hAnsi="Verdana"/>
          <w:sz w:val="15"/>
          <w:szCs w:val="15"/>
        </w:rPr>
        <w:t>.</w:t>
      </w:r>
    </w:p>
  </w:footnote>
  <w:footnote w:id="32">
    <w:p w14:paraId="1963D37D" w14:textId="77777777" w:rsidR="005D61A0" w:rsidRDefault="005D61A0" w:rsidP="005D61A0">
      <w:pPr>
        <w:pStyle w:val="Textonotapie"/>
        <w:ind w:firstLine="708"/>
        <w:jc w:val="both"/>
      </w:pPr>
      <w:r w:rsidRPr="00065970">
        <w:rPr>
          <w:rStyle w:val="Refdenotaalpie"/>
          <w:rFonts w:ascii="Verdana" w:hAnsi="Verdana"/>
          <w:sz w:val="15"/>
          <w:szCs w:val="15"/>
        </w:rPr>
        <w:footnoteRef/>
      </w:r>
      <w:r w:rsidRPr="00065970">
        <w:rPr>
          <w:rFonts w:ascii="Verdana" w:hAnsi="Verdana"/>
          <w:sz w:val="15"/>
          <w:szCs w:val="15"/>
        </w:rPr>
        <w:t xml:space="preserve"> CONSEJO DE ESTADO. Sección Tercera, Subsección A. Sentencia del 31 de marzo de 2023. C.P. María Adriana Marín. Rad. </w:t>
      </w:r>
      <w:r w:rsidRPr="00065970">
        <w:rPr>
          <w:rFonts w:ascii="Verdana" w:hAnsi="Verdana"/>
          <w:iCs/>
          <w:sz w:val="15"/>
          <w:szCs w:val="15"/>
        </w:rPr>
        <w:t>25000-23-36-000-2014-00674-01 (56.002)</w:t>
      </w:r>
      <w:r w:rsidRPr="00065970">
        <w:rPr>
          <w:rFonts w:ascii="Verdana" w:hAnsi="Verdana"/>
          <w:sz w:val="15"/>
          <w:szCs w:val="15"/>
        </w:rPr>
        <w:t>.</w:t>
      </w:r>
      <w:r w:rsidRPr="00703A14">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10.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44193185">
    <w:abstractNumId w:val="11"/>
  </w:num>
  <w:num w:numId="2" w16cid:durableId="193231847">
    <w:abstractNumId w:val="3"/>
  </w:num>
  <w:num w:numId="3" w16cid:durableId="1096943890">
    <w:abstractNumId w:val="9"/>
  </w:num>
  <w:num w:numId="4" w16cid:durableId="40993176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20367354">
    <w:abstractNumId w:val="3"/>
  </w:num>
  <w:num w:numId="6" w16cid:durableId="793476298">
    <w:abstractNumId w:val="18"/>
  </w:num>
  <w:num w:numId="7" w16cid:durableId="1388140985">
    <w:abstractNumId w:val="10"/>
  </w:num>
  <w:num w:numId="8" w16cid:durableId="8221745">
    <w:abstractNumId w:val="17"/>
  </w:num>
  <w:num w:numId="9" w16cid:durableId="44108025">
    <w:abstractNumId w:val="12"/>
  </w:num>
  <w:num w:numId="10" w16cid:durableId="1696543001">
    <w:abstractNumId w:val="16"/>
  </w:num>
  <w:num w:numId="11" w16cid:durableId="78798313">
    <w:abstractNumId w:val="13"/>
  </w:num>
  <w:num w:numId="12" w16cid:durableId="1454789457">
    <w:abstractNumId w:val="1"/>
  </w:num>
  <w:num w:numId="13" w16cid:durableId="1691956119">
    <w:abstractNumId w:val="6"/>
  </w:num>
  <w:num w:numId="14" w16cid:durableId="2087654391">
    <w:abstractNumId w:val="19"/>
  </w:num>
  <w:num w:numId="15" w16cid:durableId="1096054913">
    <w:abstractNumId w:val="15"/>
  </w:num>
  <w:num w:numId="16" w16cid:durableId="336543805">
    <w:abstractNumId w:val="7"/>
  </w:num>
  <w:num w:numId="17" w16cid:durableId="1497068304">
    <w:abstractNumId w:val="14"/>
  </w:num>
  <w:num w:numId="18" w16cid:durableId="1424061722">
    <w:abstractNumId w:val="22"/>
  </w:num>
  <w:num w:numId="19" w16cid:durableId="1329286817">
    <w:abstractNumId w:val="21"/>
  </w:num>
  <w:num w:numId="20" w16cid:durableId="648248107">
    <w:abstractNumId w:val="2"/>
  </w:num>
  <w:num w:numId="21" w16cid:durableId="64300868">
    <w:abstractNumId w:val="5"/>
  </w:num>
  <w:num w:numId="22" w16cid:durableId="277875109">
    <w:abstractNumId w:val="8"/>
  </w:num>
  <w:num w:numId="23" w16cid:durableId="1614360989">
    <w:abstractNumId w:val="4"/>
  </w:num>
  <w:num w:numId="24" w16cid:durableId="465394615">
    <w:abstractNumId w:val="20"/>
  </w:num>
  <w:num w:numId="25" w16cid:durableId="361709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353BD"/>
    <w:rsid w:val="00046945"/>
    <w:rsid w:val="00061B2A"/>
    <w:rsid w:val="000711CF"/>
    <w:rsid w:val="00076D52"/>
    <w:rsid w:val="00080B1D"/>
    <w:rsid w:val="00082362"/>
    <w:rsid w:val="00085193"/>
    <w:rsid w:val="0009079C"/>
    <w:rsid w:val="000A1642"/>
    <w:rsid w:val="000A66E5"/>
    <w:rsid w:val="000A683E"/>
    <w:rsid w:val="000B0FAA"/>
    <w:rsid w:val="000B19B9"/>
    <w:rsid w:val="000B27F0"/>
    <w:rsid w:val="000C5A9E"/>
    <w:rsid w:val="000D0334"/>
    <w:rsid w:val="000D1DC8"/>
    <w:rsid w:val="000D4734"/>
    <w:rsid w:val="000D5DA7"/>
    <w:rsid w:val="000E6E2C"/>
    <w:rsid w:val="000F01E9"/>
    <w:rsid w:val="000F078F"/>
    <w:rsid w:val="000F3444"/>
    <w:rsid w:val="000F512E"/>
    <w:rsid w:val="000F6486"/>
    <w:rsid w:val="000F7FD4"/>
    <w:rsid w:val="00105C57"/>
    <w:rsid w:val="00113184"/>
    <w:rsid w:val="001161CA"/>
    <w:rsid w:val="001168F2"/>
    <w:rsid w:val="00116940"/>
    <w:rsid w:val="00125105"/>
    <w:rsid w:val="00127233"/>
    <w:rsid w:val="001328F3"/>
    <w:rsid w:val="001428DC"/>
    <w:rsid w:val="0015699B"/>
    <w:rsid w:val="001615EA"/>
    <w:rsid w:val="00171640"/>
    <w:rsid w:val="00174D6E"/>
    <w:rsid w:val="0019787F"/>
    <w:rsid w:val="001A12F0"/>
    <w:rsid w:val="001A33BF"/>
    <w:rsid w:val="001C5AE4"/>
    <w:rsid w:val="001C61B3"/>
    <w:rsid w:val="001D02CC"/>
    <w:rsid w:val="001D64AE"/>
    <w:rsid w:val="001E2E05"/>
    <w:rsid w:val="001E4177"/>
    <w:rsid w:val="001F0B24"/>
    <w:rsid w:val="001F7DC6"/>
    <w:rsid w:val="00207466"/>
    <w:rsid w:val="00211E12"/>
    <w:rsid w:val="00212AD1"/>
    <w:rsid w:val="00217FCA"/>
    <w:rsid w:val="002209DE"/>
    <w:rsid w:val="0022400B"/>
    <w:rsid w:val="002421BB"/>
    <w:rsid w:val="00251160"/>
    <w:rsid w:val="00253436"/>
    <w:rsid w:val="0025796E"/>
    <w:rsid w:val="0026579C"/>
    <w:rsid w:val="002707A2"/>
    <w:rsid w:val="00275482"/>
    <w:rsid w:val="00277C07"/>
    <w:rsid w:val="00286A65"/>
    <w:rsid w:val="0028778F"/>
    <w:rsid w:val="00292FDC"/>
    <w:rsid w:val="002941CC"/>
    <w:rsid w:val="002951A0"/>
    <w:rsid w:val="002962BC"/>
    <w:rsid w:val="002975A4"/>
    <w:rsid w:val="002A093D"/>
    <w:rsid w:val="002A0DD0"/>
    <w:rsid w:val="002A49AC"/>
    <w:rsid w:val="002A64FD"/>
    <w:rsid w:val="002B730F"/>
    <w:rsid w:val="002C3A66"/>
    <w:rsid w:val="002C7A84"/>
    <w:rsid w:val="002E05EF"/>
    <w:rsid w:val="002E2BF8"/>
    <w:rsid w:val="002E4FD9"/>
    <w:rsid w:val="002F0847"/>
    <w:rsid w:val="0030657A"/>
    <w:rsid w:val="003136DC"/>
    <w:rsid w:val="003156BF"/>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C0ED7"/>
    <w:rsid w:val="003D0F4D"/>
    <w:rsid w:val="003D494E"/>
    <w:rsid w:val="003D5B0D"/>
    <w:rsid w:val="003E0499"/>
    <w:rsid w:val="003E4F80"/>
    <w:rsid w:val="003E6439"/>
    <w:rsid w:val="003F18C5"/>
    <w:rsid w:val="003F1FD8"/>
    <w:rsid w:val="003F3941"/>
    <w:rsid w:val="00403EFA"/>
    <w:rsid w:val="00406575"/>
    <w:rsid w:val="004140B3"/>
    <w:rsid w:val="00414C74"/>
    <w:rsid w:val="0042722E"/>
    <w:rsid w:val="0044528D"/>
    <w:rsid w:val="00451137"/>
    <w:rsid w:val="004555EA"/>
    <w:rsid w:val="0045785F"/>
    <w:rsid w:val="00466E39"/>
    <w:rsid w:val="00484E40"/>
    <w:rsid w:val="0048787A"/>
    <w:rsid w:val="00492C4A"/>
    <w:rsid w:val="00494F04"/>
    <w:rsid w:val="004A0A0B"/>
    <w:rsid w:val="004A0E5C"/>
    <w:rsid w:val="004A1847"/>
    <w:rsid w:val="004A305D"/>
    <w:rsid w:val="004B3DAC"/>
    <w:rsid w:val="004B73B9"/>
    <w:rsid w:val="004C0DBB"/>
    <w:rsid w:val="004D2B6F"/>
    <w:rsid w:val="004E2B92"/>
    <w:rsid w:val="004F21C4"/>
    <w:rsid w:val="004F685F"/>
    <w:rsid w:val="005000A1"/>
    <w:rsid w:val="00511182"/>
    <w:rsid w:val="00513BF7"/>
    <w:rsid w:val="00517955"/>
    <w:rsid w:val="005229DB"/>
    <w:rsid w:val="00534886"/>
    <w:rsid w:val="00536A0E"/>
    <w:rsid w:val="0055262A"/>
    <w:rsid w:val="00553040"/>
    <w:rsid w:val="005566E8"/>
    <w:rsid w:val="00560892"/>
    <w:rsid w:val="00570B00"/>
    <w:rsid w:val="00572622"/>
    <w:rsid w:val="00573280"/>
    <w:rsid w:val="00574867"/>
    <w:rsid w:val="00591460"/>
    <w:rsid w:val="00592C94"/>
    <w:rsid w:val="005A2CAB"/>
    <w:rsid w:val="005A52A7"/>
    <w:rsid w:val="005A65E0"/>
    <w:rsid w:val="005C0881"/>
    <w:rsid w:val="005C3777"/>
    <w:rsid w:val="005C5CDC"/>
    <w:rsid w:val="005D2566"/>
    <w:rsid w:val="005D476C"/>
    <w:rsid w:val="005D61A0"/>
    <w:rsid w:val="005E55A7"/>
    <w:rsid w:val="005F20A4"/>
    <w:rsid w:val="00600D92"/>
    <w:rsid w:val="00603C5B"/>
    <w:rsid w:val="00611CE6"/>
    <w:rsid w:val="006137E1"/>
    <w:rsid w:val="00617200"/>
    <w:rsid w:val="00617E91"/>
    <w:rsid w:val="006200BF"/>
    <w:rsid w:val="0062143E"/>
    <w:rsid w:val="006219F8"/>
    <w:rsid w:val="00624A89"/>
    <w:rsid w:val="00624EEC"/>
    <w:rsid w:val="006302F7"/>
    <w:rsid w:val="00646B9F"/>
    <w:rsid w:val="00646F24"/>
    <w:rsid w:val="006547C3"/>
    <w:rsid w:val="00660C46"/>
    <w:rsid w:val="00663A04"/>
    <w:rsid w:val="00665D70"/>
    <w:rsid w:val="00684F67"/>
    <w:rsid w:val="0068758B"/>
    <w:rsid w:val="006900D9"/>
    <w:rsid w:val="0069741A"/>
    <w:rsid w:val="006A2BE4"/>
    <w:rsid w:val="006B4707"/>
    <w:rsid w:val="006D0F23"/>
    <w:rsid w:val="006D13BA"/>
    <w:rsid w:val="006D591D"/>
    <w:rsid w:val="006D64EE"/>
    <w:rsid w:val="006F2238"/>
    <w:rsid w:val="006F234B"/>
    <w:rsid w:val="006F4199"/>
    <w:rsid w:val="007009D7"/>
    <w:rsid w:val="007025D7"/>
    <w:rsid w:val="00703A14"/>
    <w:rsid w:val="00706C16"/>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5086"/>
    <w:rsid w:val="007A037B"/>
    <w:rsid w:val="007A1830"/>
    <w:rsid w:val="007B268C"/>
    <w:rsid w:val="007B7171"/>
    <w:rsid w:val="007C0C0F"/>
    <w:rsid w:val="007C3DC2"/>
    <w:rsid w:val="007C4353"/>
    <w:rsid w:val="007C51DA"/>
    <w:rsid w:val="007D3058"/>
    <w:rsid w:val="007D4B12"/>
    <w:rsid w:val="007D5866"/>
    <w:rsid w:val="007E43AC"/>
    <w:rsid w:val="007E5497"/>
    <w:rsid w:val="00803584"/>
    <w:rsid w:val="00806F5F"/>
    <w:rsid w:val="008103F6"/>
    <w:rsid w:val="00820278"/>
    <w:rsid w:val="008258C9"/>
    <w:rsid w:val="00830893"/>
    <w:rsid w:val="00833286"/>
    <w:rsid w:val="00836232"/>
    <w:rsid w:val="00841E29"/>
    <w:rsid w:val="00844AE9"/>
    <w:rsid w:val="0085545E"/>
    <w:rsid w:val="00867F95"/>
    <w:rsid w:val="00871AAC"/>
    <w:rsid w:val="008843B6"/>
    <w:rsid w:val="00886410"/>
    <w:rsid w:val="00891928"/>
    <w:rsid w:val="008A446D"/>
    <w:rsid w:val="008B0D0F"/>
    <w:rsid w:val="008B25F1"/>
    <w:rsid w:val="008C11FD"/>
    <w:rsid w:val="008C2316"/>
    <w:rsid w:val="008C4DD5"/>
    <w:rsid w:val="008C517A"/>
    <w:rsid w:val="008C6AE5"/>
    <w:rsid w:val="008D1660"/>
    <w:rsid w:val="008D180B"/>
    <w:rsid w:val="008F0EA7"/>
    <w:rsid w:val="008F17DC"/>
    <w:rsid w:val="008F4334"/>
    <w:rsid w:val="008F553F"/>
    <w:rsid w:val="008F6705"/>
    <w:rsid w:val="00901213"/>
    <w:rsid w:val="009037F6"/>
    <w:rsid w:val="0091143C"/>
    <w:rsid w:val="00920817"/>
    <w:rsid w:val="00923EEF"/>
    <w:rsid w:val="00933E3F"/>
    <w:rsid w:val="009419F9"/>
    <w:rsid w:val="0095685E"/>
    <w:rsid w:val="00961B09"/>
    <w:rsid w:val="00963E12"/>
    <w:rsid w:val="00964321"/>
    <w:rsid w:val="00965334"/>
    <w:rsid w:val="0097093E"/>
    <w:rsid w:val="009722DE"/>
    <w:rsid w:val="00984DB3"/>
    <w:rsid w:val="00992E19"/>
    <w:rsid w:val="009A0486"/>
    <w:rsid w:val="009A0DFA"/>
    <w:rsid w:val="009B28B9"/>
    <w:rsid w:val="009B2D26"/>
    <w:rsid w:val="009B43BD"/>
    <w:rsid w:val="009C71FA"/>
    <w:rsid w:val="009C72E7"/>
    <w:rsid w:val="009C7F7E"/>
    <w:rsid w:val="009D23F2"/>
    <w:rsid w:val="009D3058"/>
    <w:rsid w:val="009E1F28"/>
    <w:rsid w:val="009E6924"/>
    <w:rsid w:val="009E7AED"/>
    <w:rsid w:val="009F3A13"/>
    <w:rsid w:val="009F4B67"/>
    <w:rsid w:val="009F7A6E"/>
    <w:rsid w:val="00A0334B"/>
    <w:rsid w:val="00A0526C"/>
    <w:rsid w:val="00A122D3"/>
    <w:rsid w:val="00A14468"/>
    <w:rsid w:val="00A17F13"/>
    <w:rsid w:val="00A20739"/>
    <w:rsid w:val="00A23AF9"/>
    <w:rsid w:val="00A31A76"/>
    <w:rsid w:val="00A33C78"/>
    <w:rsid w:val="00A53338"/>
    <w:rsid w:val="00A73F45"/>
    <w:rsid w:val="00AA1E47"/>
    <w:rsid w:val="00AB0ADB"/>
    <w:rsid w:val="00AB436E"/>
    <w:rsid w:val="00AD173A"/>
    <w:rsid w:val="00AD7D5F"/>
    <w:rsid w:val="00AE1F6E"/>
    <w:rsid w:val="00AE3513"/>
    <w:rsid w:val="00AE5DD2"/>
    <w:rsid w:val="00AF1348"/>
    <w:rsid w:val="00AF5A10"/>
    <w:rsid w:val="00AF7207"/>
    <w:rsid w:val="00AF7B1D"/>
    <w:rsid w:val="00B00C0E"/>
    <w:rsid w:val="00B01B1A"/>
    <w:rsid w:val="00B04DA1"/>
    <w:rsid w:val="00B11075"/>
    <w:rsid w:val="00B234CF"/>
    <w:rsid w:val="00B358CD"/>
    <w:rsid w:val="00B37EB5"/>
    <w:rsid w:val="00B43658"/>
    <w:rsid w:val="00B44A47"/>
    <w:rsid w:val="00B44EF5"/>
    <w:rsid w:val="00B54271"/>
    <w:rsid w:val="00B5550F"/>
    <w:rsid w:val="00B56A37"/>
    <w:rsid w:val="00B6149C"/>
    <w:rsid w:val="00B64484"/>
    <w:rsid w:val="00B71FD5"/>
    <w:rsid w:val="00B72CD3"/>
    <w:rsid w:val="00B72FFF"/>
    <w:rsid w:val="00B74092"/>
    <w:rsid w:val="00B95DAC"/>
    <w:rsid w:val="00BA2EB9"/>
    <w:rsid w:val="00BA703D"/>
    <w:rsid w:val="00BC3D36"/>
    <w:rsid w:val="00BC5D42"/>
    <w:rsid w:val="00BC70CB"/>
    <w:rsid w:val="00BD13AC"/>
    <w:rsid w:val="00BD54A6"/>
    <w:rsid w:val="00BD7F72"/>
    <w:rsid w:val="00BE5004"/>
    <w:rsid w:val="00BF056C"/>
    <w:rsid w:val="00BF3B66"/>
    <w:rsid w:val="00BF5C08"/>
    <w:rsid w:val="00BF7425"/>
    <w:rsid w:val="00C04FB3"/>
    <w:rsid w:val="00C11D8B"/>
    <w:rsid w:val="00C12C3E"/>
    <w:rsid w:val="00C134D9"/>
    <w:rsid w:val="00C251B0"/>
    <w:rsid w:val="00C330EB"/>
    <w:rsid w:val="00C419DF"/>
    <w:rsid w:val="00C50D69"/>
    <w:rsid w:val="00C5365C"/>
    <w:rsid w:val="00C619D4"/>
    <w:rsid w:val="00C61D93"/>
    <w:rsid w:val="00C754BE"/>
    <w:rsid w:val="00C76B1C"/>
    <w:rsid w:val="00C82667"/>
    <w:rsid w:val="00C90C96"/>
    <w:rsid w:val="00C925AC"/>
    <w:rsid w:val="00C94828"/>
    <w:rsid w:val="00C963BE"/>
    <w:rsid w:val="00C96B64"/>
    <w:rsid w:val="00CA2858"/>
    <w:rsid w:val="00CB02F1"/>
    <w:rsid w:val="00CB6357"/>
    <w:rsid w:val="00CB72F3"/>
    <w:rsid w:val="00CC1B26"/>
    <w:rsid w:val="00CD4C85"/>
    <w:rsid w:val="00CE3C1C"/>
    <w:rsid w:val="00CE4026"/>
    <w:rsid w:val="00CF3E87"/>
    <w:rsid w:val="00D06146"/>
    <w:rsid w:val="00D0699E"/>
    <w:rsid w:val="00D1210B"/>
    <w:rsid w:val="00D22D2B"/>
    <w:rsid w:val="00D334DD"/>
    <w:rsid w:val="00D34EA3"/>
    <w:rsid w:val="00D361FD"/>
    <w:rsid w:val="00D423A2"/>
    <w:rsid w:val="00D44E26"/>
    <w:rsid w:val="00D51A5D"/>
    <w:rsid w:val="00D520D8"/>
    <w:rsid w:val="00D532D4"/>
    <w:rsid w:val="00D56F8A"/>
    <w:rsid w:val="00D62B9C"/>
    <w:rsid w:val="00D63AC2"/>
    <w:rsid w:val="00D64111"/>
    <w:rsid w:val="00D64AFC"/>
    <w:rsid w:val="00D7383B"/>
    <w:rsid w:val="00D73DBD"/>
    <w:rsid w:val="00D7541C"/>
    <w:rsid w:val="00D7788A"/>
    <w:rsid w:val="00D85F06"/>
    <w:rsid w:val="00D936A2"/>
    <w:rsid w:val="00DA231B"/>
    <w:rsid w:val="00DB13F4"/>
    <w:rsid w:val="00DB55DA"/>
    <w:rsid w:val="00DC39FC"/>
    <w:rsid w:val="00DC7CCB"/>
    <w:rsid w:val="00DE39BF"/>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77E2"/>
    <w:rsid w:val="00E615C4"/>
    <w:rsid w:val="00E71E1B"/>
    <w:rsid w:val="00E75C92"/>
    <w:rsid w:val="00E771DC"/>
    <w:rsid w:val="00E8772A"/>
    <w:rsid w:val="00E90F6B"/>
    <w:rsid w:val="00E91AED"/>
    <w:rsid w:val="00E92C27"/>
    <w:rsid w:val="00E96B5C"/>
    <w:rsid w:val="00EA0229"/>
    <w:rsid w:val="00EA0E3D"/>
    <w:rsid w:val="00EA2DC0"/>
    <w:rsid w:val="00EA426C"/>
    <w:rsid w:val="00EA6D0E"/>
    <w:rsid w:val="00EB224C"/>
    <w:rsid w:val="00EC006D"/>
    <w:rsid w:val="00EC297F"/>
    <w:rsid w:val="00EC38A7"/>
    <w:rsid w:val="00EC5051"/>
    <w:rsid w:val="00ED4980"/>
    <w:rsid w:val="00EE1AA8"/>
    <w:rsid w:val="00EE265D"/>
    <w:rsid w:val="00EE3D99"/>
    <w:rsid w:val="00EF1D4F"/>
    <w:rsid w:val="00EF5E13"/>
    <w:rsid w:val="00EF647F"/>
    <w:rsid w:val="00F03314"/>
    <w:rsid w:val="00F0580C"/>
    <w:rsid w:val="00F23FEA"/>
    <w:rsid w:val="00F27B7B"/>
    <w:rsid w:val="00F31EDC"/>
    <w:rsid w:val="00F34294"/>
    <w:rsid w:val="00F462B3"/>
    <w:rsid w:val="00F5664F"/>
    <w:rsid w:val="00F575AE"/>
    <w:rsid w:val="00F666C4"/>
    <w:rsid w:val="00F76AFC"/>
    <w:rsid w:val="00F81BF0"/>
    <w:rsid w:val="00F82E88"/>
    <w:rsid w:val="00F86E11"/>
    <w:rsid w:val="00F86E3E"/>
    <w:rsid w:val="00F95C74"/>
    <w:rsid w:val="00FA47C0"/>
    <w:rsid w:val="00FA5FFD"/>
    <w:rsid w:val="00FB5DD1"/>
    <w:rsid w:val="00FC2B5D"/>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61A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styleId="Fuerte">
    <w:name w:val="Strong"/>
    <w:basedOn w:val="Fuentedeprrafopredeter"/>
    <w:uiPriority w:val="22"/>
    <w:qFormat/>
    <w:rsid w:val="00F575AE"/>
    <w:rPr>
      <w:b/>
      <w:bCs/>
    </w:rPr>
  </w:style>
  <w:style w:type="character" w:customStyle="1" w:styleId="NormalWebCar">
    <w:name w:val="Normal (Web) Car"/>
    <w:link w:val="NormalWeb"/>
    <w:uiPriority w:val="99"/>
    <w:locked/>
    <w:rsid w:val="00F575AE"/>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F575A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onoce-la-relatoria"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alexanderarboledazapata@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E3D7AA2-1C8F-471C-8355-18073CB703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4E8E21-5770-4F3E-B957-A333756C0F50}">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34</Pages>
  <Words>11229</Words>
  <Characters>61765</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2026-03-11T02:24:00Z</dcterms:created>
  <dcterms:modified xsi:type="dcterms:W3CDTF">2026-03-11T16:36:00Z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