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18BED" w14:textId="77777777" w:rsidR="007D0C7B" w:rsidRPr="00112C88" w:rsidRDefault="007D0C7B" w:rsidP="007D0C7B">
      <w:pPr>
        <w:spacing w:after="0" w:line="240" w:lineRule="auto"/>
        <w:rPr>
          <w:rFonts w:ascii="Verdana" w:eastAsia="Calibri" w:hAnsi="Verdana" w:cs="Arial"/>
          <w:b/>
          <w:bCs/>
          <w:sz w:val="20"/>
          <w:szCs w:val="20"/>
          <w:lang w:val="es-ES" w:eastAsia="es-ES"/>
        </w:rPr>
      </w:pPr>
      <w:bookmarkStart w:id="0" w:name="_Hlk186494164"/>
      <w:r w:rsidRPr="00112C88">
        <w:rPr>
          <w:rFonts w:ascii="Verdana" w:eastAsia="Calibri" w:hAnsi="Verdana" w:cs="Arial"/>
          <w:b/>
          <w:bCs/>
          <w:sz w:val="20"/>
          <w:szCs w:val="20"/>
          <w:lang w:val="es-ES" w:eastAsia="es-ES"/>
        </w:rPr>
        <w:t xml:space="preserve">SISTEMA GENERAL DE REGALÍAS – Ley 2056 de 2020 – artículo 37 </w:t>
      </w:r>
    </w:p>
    <w:p w14:paraId="1DB1E076" w14:textId="77777777" w:rsidR="007D0C7B" w:rsidRDefault="007D0C7B" w:rsidP="007D0C7B">
      <w:pPr>
        <w:spacing w:after="0" w:line="240" w:lineRule="auto"/>
        <w:jc w:val="both"/>
        <w:rPr>
          <w:rFonts w:ascii="Verdana" w:hAnsi="Verdana" w:cs="Arial"/>
          <w:noProof/>
          <w:sz w:val="20"/>
          <w:szCs w:val="20"/>
          <w:lang w:val="es-ES_tradnl"/>
        </w:rPr>
      </w:pPr>
    </w:p>
    <w:p w14:paraId="4BFCCEC8" w14:textId="77777777" w:rsidR="007D0C7B" w:rsidRPr="00112C88" w:rsidRDefault="007D0C7B" w:rsidP="007D0C7B">
      <w:pPr>
        <w:spacing w:after="0" w:line="240" w:lineRule="auto"/>
        <w:jc w:val="both"/>
        <w:rPr>
          <w:rFonts w:ascii="Verdana" w:hAnsi="Verdana" w:cs="Arial"/>
          <w:noProof/>
          <w:sz w:val="20"/>
          <w:szCs w:val="20"/>
          <w:lang w:val="es-ES_tradnl"/>
        </w:rPr>
      </w:pPr>
      <w:r>
        <w:rPr>
          <w:rFonts w:ascii="Verdana" w:hAnsi="Verdana" w:cs="Arial"/>
          <w:noProof/>
          <w:sz w:val="20"/>
          <w:szCs w:val="20"/>
          <w:lang w:val="es-ES_tradnl"/>
        </w:rPr>
        <w:t>E</w:t>
      </w:r>
      <w:r w:rsidRPr="00112C88">
        <w:rPr>
          <w:rFonts w:ascii="Verdana" w:hAnsi="Verdana" w:cs="Arial"/>
          <w:noProof/>
          <w:sz w:val="20"/>
          <w:szCs w:val="20"/>
          <w:lang w:val="es-ES_tradnl"/>
        </w:rPr>
        <w:t xml:space="preserve">n </w:t>
      </w:r>
      <w:r w:rsidRPr="00112C88">
        <w:rPr>
          <w:rFonts w:ascii="Verdana" w:hAnsi="Verdana" w:cs="Arial"/>
          <w:noProof/>
          <w:sz w:val="20"/>
          <w:szCs w:val="20"/>
        </w:rPr>
        <w:t>el Título IV, Capítulo I, la Ley 2056 de 2020 establece las reglas generales para los proyectos de inversión en el Sistema General de Regalías. En esta línea, regula la destinación de los proyectos del Sistema General de Regalías –artículo 28–, las características de los proyectos de inversión –artículo 29–, los ejercicios de planeación –artículo 30–, el ciclo de los proyectos de inversión –artículo 31–, el registro de proyectos –artículo 32–, formulación y presentación de los proyectos de inversión –artículo 33–, viabilidad de los proyectos de inversión–artículo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–artículo 37–.</w:t>
      </w:r>
    </w:p>
    <w:p w14:paraId="3C95A62C" w14:textId="77777777" w:rsidR="007D0C7B" w:rsidRDefault="007D0C7B" w:rsidP="007D0C7B">
      <w:pPr>
        <w:spacing w:after="0" w:line="240" w:lineRule="auto"/>
        <w:jc w:val="both"/>
        <w:rPr>
          <w:rFonts w:ascii="Verdana" w:hAnsi="Verdana" w:cs="Arial"/>
          <w:noProof/>
          <w:sz w:val="20"/>
          <w:szCs w:val="20"/>
        </w:rPr>
      </w:pPr>
    </w:p>
    <w:p w14:paraId="5414C5D1" w14:textId="77777777" w:rsidR="007D0C7B" w:rsidRPr="00112C88" w:rsidRDefault="007D0C7B" w:rsidP="007D0C7B">
      <w:pPr>
        <w:spacing w:after="0" w:line="240" w:lineRule="auto"/>
        <w:jc w:val="both"/>
        <w:rPr>
          <w:rFonts w:ascii="Verdana" w:hAnsi="Verdana" w:cs="Arial"/>
          <w:sz w:val="20"/>
          <w:szCs w:val="20"/>
        </w:rPr>
      </w:pPr>
      <w:r w:rsidRPr="00112C88">
        <w:rPr>
          <w:rFonts w:ascii="Verdana" w:hAnsi="Verdana" w:cs="Arial"/>
          <w:noProof/>
          <w:sz w:val="20"/>
          <w:szCs w:val="20"/>
        </w:rPr>
        <w:t xml:space="preserve">Particularmente, el artículo 37 </w:t>
      </w:r>
      <w:r w:rsidRPr="00112C88">
        <w:rPr>
          <w:rFonts w:ascii="Verdana" w:hAnsi="Verdana" w:cs="Arial"/>
          <w:sz w:val="20"/>
          <w:szCs w:val="20"/>
        </w:rPr>
        <w:t xml:space="preserve">de la Ley 2056 de 2020 dispone que los proyectos de inversión que se financien con cargo al Sistema General de Regalías serán ejecutados por quien designe las entidades u órganos de que tratan los artículos 35 y 36 </w:t>
      </w:r>
      <w:r w:rsidRPr="00112C88">
        <w:rPr>
          <w:rFonts w:ascii="Verdana" w:hAnsi="Verdana" w:cs="Arial"/>
          <w:i/>
          <w:iCs/>
          <w:sz w:val="20"/>
          <w:szCs w:val="20"/>
        </w:rPr>
        <w:t>ibidem</w:t>
      </w:r>
      <w:r w:rsidRPr="00112C88">
        <w:rPr>
          <w:rFonts w:ascii="Verdana" w:hAnsi="Verdana" w:cs="Arial"/>
          <w:sz w:val="20"/>
          <w:szCs w:val="20"/>
        </w:rPr>
        <w:t xml:space="preserve">. También agrega que la entidad pública ejecutora tiene el deber de adelantar la contratación de la interventoría, de conformidad con lo previsto en la presente ley. 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de manera motivada, sobre la continuidad de </w:t>
      </w:r>
      <w:proofErr w:type="gramStart"/>
      <w:r w:rsidRPr="00112C88">
        <w:rPr>
          <w:rFonts w:ascii="Verdana" w:hAnsi="Verdana" w:cs="Arial"/>
          <w:sz w:val="20"/>
          <w:szCs w:val="20"/>
        </w:rPr>
        <w:t>los mismos</w:t>
      </w:r>
      <w:proofErr w:type="gramEnd"/>
      <w:r w:rsidRPr="00112C88">
        <w:rPr>
          <w:rFonts w:ascii="Verdana" w:hAnsi="Verdana" w:cs="Arial"/>
          <w:sz w:val="20"/>
          <w:szCs w:val="20"/>
        </w:rPr>
        <w:t xml:space="preserve">, sin perjuicio de las acciones de control a las que haya lugar. El parágrafo primero del artículo 37 </w:t>
      </w:r>
      <w:r w:rsidRPr="00112C88">
        <w:rPr>
          <w:rFonts w:ascii="Verdana" w:hAnsi="Verdana" w:cs="Arial"/>
          <w:i/>
          <w:iCs/>
          <w:sz w:val="20"/>
          <w:szCs w:val="20"/>
        </w:rPr>
        <w:t>ibidem</w:t>
      </w:r>
      <w:r w:rsidRPr="00112C88">
        <w:rPr>
          <w:rFonts w:ascii="Verdana" w:hAnsi="Verdana" w:cs="Arial"/>
          <w:sz w:val="20"/>
          <w:szCs w:val="20"/>
        </w:rPr>
        <w:t xml:space="preserve"> dispone lo siguiente: “La ejecución de proyectos de que trata este artículo, se adelantará, con estricta sujeción al régimen presupuestal definido en esta ley, </w:t>
      </w:r>
      <w:r w:rsidRPr="00112C88">
        <w:rPr>
          <w:rFonts w:ascii="Verdana" w:hAnsi="Verdana" w:cs="Arial"/>
          <w:i/>
          <w:iCs/>
          <w:sz w:val="20"/>
          <w:szCs w:val="20"/>
          <w:u w:val="single"/>
        </w:rPr>
        <w:t>al de contratación pública</w:t>
      </w:r>
      <w:r w:rsidRPr="00112C88">
        <w:rPr>
          <w:rFonts w:ascii="Verdana" w:hAnsi="Verdana" w:cs="Arial"/>
          <w:sz w:val="20"/>
          <w:szCs w:val="20"/>
        </w:rPr>
        <w:t xml:space="preserve"> y las demás normas legales vigentes. El ejecutor garantizará la correcta ejecución de los recursos asignados al proyecto de inversión, así como el suministro y registro de la información requerida por el sistema de seguimiento, evaluación y control”.</w:t>
      </w:r>
    </w:p>
    <w:p w14:paraId="3BF5C8FB" w14:textId="77777777" w:rsidR="007D0C7B" w:rsidRPr="00112C88" w:rsidRDefault="007D0C7B" w:rsidP="007D0C7B">
      <w:pPr>
        <w:rPr>
          <w:rFonts w:ascii="Verdana" w:eastAsia="Calibri" w:hAnsi="Verdana" w:cs="Arial"/>
          <w:b/>
          <w:bCs/>
          <w:lang w:val="es-ES" w:eastAsia="es-ES"/>
        </w:rPr>
      </w:pPr>
    </w:p>
    <w:p w14:paraId="5F2C07CB" w14:textId="77777777" w:rsidR="007D0C7B" w:rsidRPr="00112C88" w:rsidRDefault="007D0C7B" w:rsidP="007D0C7B">
      <w:pPr>
        <w:jc w:val="both"/>
        <w:rPr>
          <w:rFonts w:ascii="Verdana" w:eastAsia="Calibri" w:hAnsi="Verdana" w:cs="Arial"/>
          <w:b/>
          <w:bCs/>
          <w:lang w:val="es-ES" w:eastAsia="es-ES"/>
        </w:rPr>
      </w:pPr>
      <w:r w:rsidRPr="00112C88">
        <w:rPr>
          <w:rFonts w:ascii="Verdana" w:eastAsia="Calibri" w:hAnsi="Verdana" w:cs="Arial"/>
          <w:b/>
          <w:bCs/>
          <w:lang w:val="es-ES" w:eastAsia="es-ES"/>
        </w:rPr>
        <w:t xml:space="preserve">RÉGIMEN CONTRACTUAL – Entidades ejecutoras – Aplicación del Estatuto General de Contratación de la Administración Pública         </w:t>
      </w:r>
    </w:p>
    <w:p w14:paraId="3733E2F2" w14:textId="77777777" w:rsidR="007D0C7B" w:rsidRPr="00112C88" w:rsidRDefault="007D0C7B" w:rsidP="007D0C7B">
      <w:pPr>
        <w:spacing w:after="0" w:line="240" w:lineRule="auto"/>
        <w:jc w:val="both"/>
        <w:rPr>
          <w:rFonts w:ascii="Verdana" w:hAnsi="Verdana" w:cs="Arial"/>
          <w:sz w:val="20"/>
          <w:szCs w:val="20"/>
          <w:bdr w:val="none" w:sz="0" w:space="0" w:color="auto" w:frame="1"/>
        </w:rPr>
      </w:pPr>
      <w:r w:rsidRPr="00112C88">
        <w:rPr>
          <w:rFonts w:ascii="Verdana" w:hAnsi="Verdana" w:cs="Arial"/>
          <w:sz w:val="20"/>
          <w:szCs w:val="20"/>
        </w:rPr>
        <w:t xml:space="preserve">En caso de que se realicen proyectos de inversión en el marco del Sistema General de Regalías, como también aquellos proyectos especiales referenciados </w:t>
      </w:r>
      <w:r w:rsidRPr="00112C88">
        <w:rPr>
          <w:rFonts w:ascii="Verdana" w:hAnsi="Verdana" w:cs="Arial"/>
          <w:i/>
          <w:iCs/>
          <w:sz w:val="20"/>
          <w:szCs w:val="20"/>
        </w:rPr>
        <w:t>ut supra</w:t>
      </w:r>
      <w:r w:rsidRPr="00112C88">
        <w:rPr>
          <w:rFonts w:ascii="Verdana" w:hAnsi="Verdana" w:cs="Arial"/>
          <w:sz w:val="20"/>
          <w:szCs w:val="20"/>
        </w:rPr>
        <w:t>, los ejecutores designados para desarrollarlos deben sujetarse al Estatuto General de Contratación de la Administración Pública</w:t>
      </w:r>
      <w:r w:rsidRPr="00112C88">
        <w:rPr>
          <w:rFonts w:ascii="Verdana" w:eastAsia="Calibri" w:hAnsi="Verdana" w:cs="Arial"/>
          <w:sz w:val="20"/>
          <w:szCs w:val="20"/>
        </w:rPr>
        <w:t>.</w:t>
      </w:r>
      <w:r w:rsidRPr="00112C88">
        <w:rPr>
          <w:rFonts w:ascii="Verdana" w:hAnsi="Verdana" w:cs="Arial"/>
          <w:sz w:val="20"/>
          <w:szCs w:val="20"/>
        </w:rPr>
        <w:t xml:space="preserve"> </w:t>
      </w:r>
      <w:r w:rsidRPr="00112C88">
        <w:rPr>
          <w:rFonts w:ascii="Verdana" w:hAnsi="Verdana" w:cs="Arial"/>
          <w:sz w:val="20"/>
          <w:szCs w:val="20"/>
          <w:bdr w:val="none" w:sz="0" w:space="0" w:color="auto" w:frame="1"/>
        </w:rPr>
        <w:t xml:space="preserve">En el evento en que determinados asuntos estén sometidos por norma especial al Estatuto General de Contratación Pública, la ejecución de los contratos deberá realizarse conforme a este régimen. </w:t>
      </w:r>
    </w:p>
    <w:p w14:paraId="5C961C7A" w14:textId="77777777" w:rsidR="007D0C7B" w:rsidRDefault="007D0C7B" w:rsidP="007D0C7B">
      <w:pPr>
        <w:spacing w:after="0" w:line="240" w:lineRule="auto"/>
        <w:jc w:val="both"/>
        <w:rPr>
          <w:rFonts w:ascii="Verdana" w:eastAsia="Calibri" w:hAnsi="Verdana" w:cs="Arial"/>
          <w:color w:val="000000"/>
          <w:sz w:val="20"/>
          <w:szCs w:val="20"/>
          <w:lang w:val="es-ES" w:eastAsia="es-ES"/>
        </w:rPr>
      </w:pPr>
    </w:p>
    <w:p w14:paraId="05CF67DD" w14:textId="77777777" w:rsidR="007D0C7B" w:rsidRPr="00112C88" w:rsidRDefault="007D0C7B" w:rsidP="007D0C7B">
      <w:pPr>
        <w:spacing w:after="0" w:line="240" w:lineRule="auto"/>
        <w:jc w:val="both"/>
        <w:rPr>
          <w:rFonts w:ascii="Verdana" w:eastAsia="Calibri" w:hAnsi="Verdana" w:cs="Arial"/>
          <w:color w:val="000000"/>
          <w:sz w:val="20"/>
          <w:szCs w:val="20"/>
          <w:lang w:val="es-ES" w:eastAsia="es-ES"/>
        </w:rPr>
      </w:pPr>
      <w:r w:rsidRPr="00112C88">
        <w:rPr>
          <w:rFonts w:ascii="Verdana" w:eastAsia="Calibri" w:hAnsi="Verdana" w:cs="Arial"/>
          <w:color w:val="000000"/>
          <w:sz w:val="20"/>
          <w:szCs w:val="20"/>
          <w:lang w:val="es-ES" w:eastAsia="es-ES"/>
        </w:rPr>
        <w:t xml:space="preserve">Así las cosas, se ha sostenido que si la entidad ejecutora es de régimen especial, no podrá apoyarse en las excepciones a la aplicación de la Ley 80 de 1993 para la ejecución de los proyectos. De esta manera, el artículo 37 citado excluye la posibilidad de que los recursos se ejecuten con prevalencia del derecho privado, pues quienes tengan la calidad </w:t>
      </w:r>
      <w:r w:rsidRPr="00112C88">
        <w:rPr>
          <w:rFonts w:ascii="Verdana" w:eastAsia="Calibri" w:hAnsi="Verdana" w:cs="Arial"/>
          <w:color w:val="000000"/>
          <w:sz w:val="20"/>
          <w:szCs w:val="20"/>
          <w:lang w:val="es-ES" w:eastAsia="es-ES"/>
        </w:rPr>
        <w:lastRenderedPageBreak/>
        <w:t>de entidades ejecutoras para efectos del SGR deben sujetarse a las normas donde prevalece el derecho público, esto es, al EGCAP, sin perjuicio de que en sus demás actividades apliquen el régimen especial que les corresponda.</w:t>
      </w:r>
    </w:p>
    <w:p w14:paraId="00D04036" w14:textId="77777777" w:rsidR="007D0C7B" w:rsidRDefault="007D0C7B" w:rsidP="007D0C7B">
      <w:pPr>
        <w:spacing w:after="0" w:line="240" w:lineRule="auto"/>
        <w:rPr>
          <w:rFonts w:ascii="Verdana" w:eastAsia="Geomanist Light" w:hAnsi="Verdana" w:cs="Arial"/>
          <w:color w:val="000000" w:themeColor="text1"/>
        </w:rPr>
      </w:pPr>
    </w:p>
    <w:p w14:paraId="2209393C" w14:textId="77777777" w:rsidR="004A767C" w:rsidRDefault="004A767C" w:rsidP="00B56BD0">
      <w:pPr>
        <w:spacing w:after="0" w:line="240" w:lineRule="auto"/>
        <w:rPr>
          <w:rFonts w:ascii="Verdana" w:eastAsia="Geomanist Light" w:hAnsi="Verdana" w:cs="Arial"/>
          <w:color w:val="000000" w:themeColor="text1"/>
        </w:rPr>
      </w:pPr>
    </w:p>
    <w:p w14:paraId="3D3D52D0" w14:textId="77777777" w:rsidR="004A767C" w:rsidRDefault="004A767C" w:rsidP="00B56BD0">
      <w:pPr>
        <w:spacing w:after="0" w:line="240" w:lineRule="auto"/>
        <w:rPr>
          <w:rFonts w:ascii="Verdana" w:eastAsia="Geomanist Light" w:hAnsi="Verdana" w:cs="Arial"/>
          <w:color w:val="000000" w:themeColor="text1"/>
        </w:rPr>
      </w:pPr>
    </w:p>
    <w:p w14:paraId="0ABB5D47" w14:textId="77777777" w:rsidR="004A767C" w:rsidRDefault="004A767C" w:rsidP="00B56BD0">
      <w:pPr>
        <w:spacing w:after="0" w:line="240" w:lineRule="auto"/>
        <w:rPr>
          <w:rFonts w:ascii="Verdana" w:eastAsia="Geomanist Light" w:hAnsi="Verdana" w:cs="Arial"/>
          <w:color w:val="000000" w:themeColor="text1"/>
        </w:rPr>
      </w:pPr>
    </w:p>
    <w:p w14:paraId="0B0D6217" w14:textId="77777777" w:rsidR="004A767C" w:rsidRDefault="004A767C" w:rsidP="00B56BD0">
      <w:pPr>
        <w:spacing w:after="0" w:line="240" w:lineRule="auto"/>
        <w:rPr>
          <w:rFonts w:ascii="Verdana" w:eastAsia="Geomanist Light" w:hAnsi="Verdana" w:cs="Arial"/>
          <w:color w:val="000000" w:themeColor="text1"/>
        </w:rPr>
      </w:pPr>
    </w:p>
    <w:p w14:paraId="02A35D36" w14:textId="77777777" w:rsidR="004A767C" w:rsidRDefault="004A767C" w:rsidP="00B56BD0">
      <w:pPr>
        <w:spacing w:after="0" w:line="240" w:lineRule="auto"/>
        <w:rPr>
          <w:rFonts w:ascii="Verdana" w:eastAsia="Geomanist Light" w:hAnsi="Verdana" w:cs="Arial"/>
          <w:color w:val="000000" w:themeColor="text1"/>
        </w:rPr>
      </w:pPr>
    </w:p>
    <w:p w14:paraId="1685473A" w14:textId="77777777" w:rsidR="004A767C" w:rsidRDefault="004A767C" w:rsidP="00B56BD0">
      <w:pPr>
        <w:spacing w:after="0" w:line="240" w:lineRule="auto"/>
        <w:rPr>
          <w:rFonts w:ascii="Verdana" w:eastAsia="Geomanist Light" w:hAnsi="Verdana" w:cs="Arial"/>
          <w:color w:val="000000" w:themeColor="text1"/>
        </w:rPr>
      </w:pPr>
    </w:p>
    <w:p w14:paraId="2D083170" w14:textId="77777777" w:rsidR="004A767C" w:rsidRDefault="004A767C" w:rsidP="00B56BD0">
      <w:pPr>
        <w:spacing w:after="0" w:line="240" w:lineRule="auto"/>
        <w:rPr>
          <w:rFonts w:ascii="Verdana" w:eastAsia="Geomanist Light" w:hAnsi="Verdana" w:cs="Arial"/>
          <w:color w:val="000000" w:themeColor="text1"/>
        </w:rPr>
      </w:pPr>
    </w:p>
    <w:p w14:paraId="4D67AF70" w14:textId="77777777" w:rsidR="004A767C" w:rsidRDefault="004A767C" w:rsidP="00B56BD0">
      <w:pPr>
        <w:spacing w:after="0" w:line="240" w:lineRule="auto"/>
        <w:rPr>
          <w:rFonts w:ascii="Verdana" w:eastAsia="Geomanist Light" w:hAnsi="Verdana" w:cs="Arial"/>
          <w:color w:val="000000" w:themeColor="text1"/>
        </w:rPr>
      </w:pPr>
    </w:p>
    <w:p w14:paraId="3C67466B" w14:textId="77777777" w:rsidR="004A767C" w:rsidRDefault="004A767C" w:rsidP="00B56BD0">
      <w:pPr>
        <w:spacing w:after="0" w:line="240" w:lineRule="auto"/>
        <w:rPr>
          <w:rFonts w:ascii="Verdana" w:eastAsia="Geomanist Light" w:hAnsi="Verdana" w:cs="Arial"/>
          <w:color w:val="000000" w:themeColor="text1"/>
        </w:rPr>
      </w:pPr>
    </w:p>
    <w:p w14:paraId="211EE883" w14:textId="77777777" w:rsidR="004A767C" w:rsidRDefault="004A767C" w:rsidP="00B56BD0">
      <w:pPr>
        <w:spacing w:after="0" w:line="240" w:lineRule="auto"/>
        <w:rPr>
          <w:rFonts w:ascii="Verdana" w:eastAsia="Geomanist Light" w:hAnsi="Verdana" w:cs="Arial"/>
          <w:color w:val="000000" w:themeColor="text1"/>
        </w:rPr>
      </w:pPr>
    </w:p>
    <w:p w14:paraId="2DECBBDB" w14:textId="77777777" w:rsidR="004A767C" w:rsidRDefault="004A767C" w:rsidP="00B56BD0">
      <w:pPr>
        <w:spacing w:after="0" w:line="240" w:lineRule="auto"/>
        <w:rPr>
          <w:rFonts w:ascii="Verdana" w:eastAsia="Geomanist Light" w:hAnsi="Verdana" w:cs="Arial"/>
          <w:color w:val="000000" w:themeColor="text1"/>
        </w:rPr>
      </w:pPr>
    </w:p>
    <w:p w14:paraId="1B31362B" w14:textId="77777777" w:rsidR="004A767C" w:rsidRDefault="004A767C" w:rsidP="00B56BD0">
      <w:pPr>
        <w:spacing w:after="0" w:line="240" w:lineRule="auto"/>
        <w:rPr>
          <w:rFonts w:ascii="Verdana" w:eastAsia="Geomanist Light" w:hAnsi="Verdana" w:cs="Arial"/>
          <w:color w:val="000000" w:themeColor="text1"/>
        </w:rPr>
      </w:pPr>
    </w:p>
    <w:p w14:paraId="45CCF0A9" w14:textId="77777777" w:rsidR="004A767C" w:rsidRDefault="004A767C" w:rsidP="00B56BD0">
      <w:pPr>
        <w:spacing w:after="0" w:line="240" w:lineRule="auto"/>
        <w:rPr>
          <w:rFonts w:ascii="Verdana" w:eastAsia="Geomanist Light" w:hAnsi="Verdana" w:cs="Arial"/>
          <w:color w:val="000000" w:themeColor="text1"/>
        </w:rPr>
      </w:pPr>
    </w:p>
    <w:p w14:paraId="4F080977" w14:textId="77777777" w:rsidR="004A767C" w:rsidRDefault="004A767C" w:rsidP="00B56BD0">
      <w:pPr>
        <w:spacing w:after="0" w:line="240" w:lineRule="auto"/>
        <w:rPr>
          <w:rFonts w:ascii="Verdana" w:eastAsia="Geomanist Light" w:hAnsi="Verdana" w:cs="Arial"/>
          <w:color w:val="000000" w:themeColor="text1"/>
        </w:rPr>
      </w:pPr>
    </w:p>
    <w:p w14:paraId="392B454B" w14:textId="77777777" w:rsidR="004A767C" w:rsidRDefault="004A767C" w:rsidP="00B56BD0">
      <w:pPr>
        <w:spacing w:after="0" w:line="240" w:lineRule="auto"/>
        <w:rPr>
          <w:rFonts w:ascii="Verdana" w:eastAsia="Geomanist Light" w:hAnsi="Verdana" w:cs="Arial"/>
          <w:color w:val="000000" w:themeColor="text1"/>
        </w:rPr>
      </w:pPr>
    </w:p>
    <w:p w14:paraId="560DBDB3" w14:textId="77777777" w:rsidR="004A767C" w:rsidRDefault="004A767C" w:rsidP="00B56BD0">
      <w:pPr>
        <w:spacing w:after="0" w:line="240" w:lineRule="auto"/>
        <w:rPr>
          <w:rFonts w:ascii="Verdana" w:eastAsia="Geomanist Light" w:hAnsi="Verdana" w:cs="Arial"/>
          <w:color w:val="000000" w:themeColor="text1"/>
        </w:rPr>
      </w:pPr>
    </w:p>
    <w:p w14:paraId="17F5AED8" w14:textId="77777777" w:rsidR="004A767C" w:rsidRDefault="004A767C" w:rsidP="00B56BD0">
      <w:pPr>
        <w:spacing w:after="0" w:line="240" w:lineRule="auto"/>
        <w:rPr>
          <w:rFonts w:ascii="Verdana" w:eastAsia="Geomanist Light" w:hAnsi="Verdana" w:cs="Arial"/>
          <w:color w:val="000000" w:themeColor="text1"/>
        </w:rPr>
      </w:pPr>
    </w:p>
    <w:p w14:paraId="308B6867" w14:textId="77777777" w:rsidR="004A767C" w:rsidRDefault="004A767C" w:rsidP="00B56BD0">
      <w:pPr>
        <w:spacing w:after="0" w:line="240" w:lineRule="auto"/>
        <w:rPr>
          <w:rFonts w:ascii="Verdana" w:eastAsia="Geomanist Light" w:hAnsi="Verdana" w:cs="Arial"/>
          <w:color w:val="000000" w:themeColor="text1"/>
        </w:rPr>
      </w:pPr>
    </w:p>
    <w:p w14:paraId="47DD493E" w14:textId="77777777" w:rsidR="004A767C" w:rsidRDefault="004A767C" w:rsidP="00B56BD0">
      <w:pPr>
        <w:spacing w:after="0" w:line="240" w:lineRule="auto"/>
        <w:rPr>
          <w:rFonts w:ascii="Verdana" w:eastAsia="Geomanist Light" w:hAnsi="Verdana" w:cs="Arial"/>
          <w:color w:val="000000" w:themeColor="text1"/>
        </w:rPr>
      </w:pPr>
    </w:p>
    <w:p w14:paraId="00D3076C" w14:textId="77777777" w:rsidR="004A767C" w:rsidRDefault="004A767C" w:rsidP="00B56BD0">
      <w:pPr>
        <w:spacing w:after="0" w:line="240" w:lineRule="auto"/>
        <w:rPr>
          <w:rFonts w:ascii="Verdana" w:eastAsia="Geomanist Light" w:hAnsi="Verdana" w:cs="Arial"/>
          <w:color w:val="000000" w:themeColor="text1"/>
        </w:rPr>
      </w:pPr>
    </w:p>
    <w:p w14:paraId="6A3E6314" w14:textId="77777777" w:rsidR="004A767C" w:rsidRDefault="004A767C" w:rsidP="00B56BD0">
      <w:pPr>
        <w:spacing w:after="0" w:line="240" w:lineRule="auto"/>
        <w:rPr>
          <w:rFonts w:ascii="Verdana" w:eastAsia="Geomanist Light" w:hAnsi="Verdana" w:cs="Arial"/>
          <w:color w:val="000000" w:themeColor="text1"/>
        </w:rPr>
      </w:pPr>
    </w:p>
    <w:p w14:paraId="264891DD" w14:textId="77777777" w:rsidR="004A767C" w:rsidRDefault="004A767C" w:rsidP="00B56BD0">
      <w:pPr>
        <w:spacing w:after="0" w:line="240" w:lineRule="auto"/>
        <w:rPr>
          <w:rFonts w:ascii="Verdana" w:eastAsia="Geomanist Light" w:hAnsi="Verdana" w:cs="Arial"/>
          <w:color w:val="000000" w:themeColor="text1"/>
        </w:rPr>
      </w:pPr>
    </w:p>
    <w:p w14:paraId="1B8DB17A" w14:textId="77777777" w:rsidR="004A767C" w:rsidRDefault="004A767C" w:rsidP="00B56BD0">
      <w:pPr>
        <w:spacing w:after="0" w:line="240" w:lineRule="auto"/>
        <w:rPr>
          <w:rFonts w:ascii="Verdana" w:eastAsia="Geomanist Light" w:hAnsi="Verdana" w:cs="Arial"/>
          <w:color w:val="000000" w:themeColor="text1"/>
        </w:rPr>
      </w:pPr>
    </w:p>
    <w:p w14:paraId="5CCC3E12" w14:textId="77777777" w:rsidR="004A767C" w:rsidRDefault="004A767C" w:rsidP="00B56BD0">
      <w:pPr>
        <w:spacing w:after="0" w:line="240" w:lineRule="auto"/>
        <w:rPr>
          <w:rFonts w:ascii="Verdana" w:eastAsia="Geomanist Light" w:hAnsi="Verdana" w:cs="Arial"/>
          <w:color w:val="000000" w:themeColor="text1"/>
        </w:rPr>
      </w:pPr>
    </w:p>
    <w:p w14:paraId="2A213D14" w14:textId="77777777" w:rsidR="004A767C" w:rsidRDefault="004A767C" w:rsidP="00B56BD0">
      <w:pPr>
        <w:spacing w:after="0" w:line="240" w:lineRule="auto"/>
        <w:rPr>
          <w:rFonts w:ascii="Verdana" w:eastAsia="Geomanist Light" w:hAnsi="Verdana" w:cs="Arial"/>
          <w:color w:val="000000" w:themeColor="text1"/>
        </w:rPr>
      </w:pPr>
    </w:p>
    <w:p w14:paraId="6A9ADDF2" w14:textId="77777777" w:rsidR="004A767C" w:rsidRDefault="004A767C" w:rsidP="00B56BD0">
      <w:pPr>
        <w:spacing w:after="0" w:line="240" w:lineRule="auto"/>
        <w:rPr>
          <w:rFonts w:ascii="Verdana" w:eastAsia="Geomanist Light" w:hAnsi="Verdana" w:cs="Arial"/>
          <w:color w:val="000000" w:themeColor="text1"/>
        </w:rPr>
      </w:pPr>
    </w:p>
    <w:p w14:paraId="3420B3FD" w14:textId="77777777" w:rsidR="004A767C" w:rsidRDefault="004A767C" w:rsidP="00B56BD0">
      <w:pPr>
        <w:spacing w:after="0" w:line="240" w:lineRule="auto"/>
        <w:rPr>
          <w:rFonts w:ascii="Verdana" w:eastAsia="Geomanist Light" w:hAnsi="Verdana" w:cs="Arial"/>
          <w:color w:val="000000" w:themeColor="text1"/>
        </w:rPr>
      </w:pPr>
    </w:p>
    <w:p w14:paraId="25A7AAAE" w14:textId="77777777" w:rsidR="004A767C" w:rsidRDefault="004A767C" w:rsidP="00B56BD0">
      <w:pPr>
        <w:spacing w:after="0" w:line="240" w:lineRule="auto"/>
        <w:rPr>
          <w:rFonts w:ascii="Verdana" w:eastAsia="Geomanist Light" w:hAnsi="Verdana" w:cs="Arial"/>
          <w:color w:val="000000" w:themeColor="text1"/>
        </w:rPr>
      </w:pPr>
    </w:p>
    <w:p w14:paraId="6D0BE877" w14:textId="77777777" w:rsidR="004A767C" w:rsidRDefault="004A767C" w:rsidP="00B56BD0">
      <w:pPr>
        <w:spacing w:after="0" w:line="240" w:lineRule="auto"/>
        <w:rPr>
          <w:rFonts w:ascii="Verdana" w:eastAsia="Geomanist Light" w:hAnsi="Verdana" w:cs="Arial"/>
          <w:color w:val="000000" w:themeColor="text1"/>
        </w:rPr>
      </w:pPr>
    </w:p>
    <w:p w14:paraId="04C7742B" w14:textId="77777777" w:rsidR="004A767C" w:rsidRDefault="004A767C" w:rsidP="00B56BD0">
      <w:pPr>
        <w:spacing w:after="0" w:line="240" w:lineRule="auto"/>
        <w:rPr>
          <w:rFonts w:ascii="Verdana" w:eastAsia="Geomanist Light" w:hAnsi="Verdana" w:cs="Arial"/>
          <w:color w:val="000000" w:themeColor="text1"/>
        </w:rPr>
      </w:pPr>
    </w:p>
    <w:p w14:paraId="555F5A26" w14:textId="77777777" w:rsidR="004A767C" w:rsidRDefault="004A767C" w:rsidP="00B56BD0">
      <w:pPr>
        <w:spacing w:after="0" w:line="240" w:lineRule="auto"/>
        <w:rPr>
          <w:rFonts w:ascii="Verdana" w:eastAsia="Geomanist Light" w:hAnsi="Verdana" w:cs="Arial"/>
          <w:color w:val="000000" w:themeColor="text1"/>
        </w:rPr>
      </w:pPr>
    </w:p>
    <w:p w14:paraId="48828A32" w14:textId="77777777" w:rsidR="004A767C" w:rsidRDefault="004A767C" w:rsidP="00B56BD0">
      <w:pPr>
        <w:spacing w:after="0" w:line="240" w:lineRule="auto"/>
        <w:rPr>
          <w:rFonts w:ascii="Verdana" w:eastAsia="Geomanist Light" w:hAnsi="Verdana" w:cs="Arial"/>
          <w:color w:val="000000" w:themeColor="text1"/>
        </w:rPr>
      </w:pPr>
    </w:p>
    <w:p w14:paraId="39771A55" w14:textId="77777777" w:rsidR="004A767C" w:rsidRDefault="004A767C" w:rsidP="00B56BD0">
      <w:pPr>
        <w:spacing w:after="0" w:line="240" w:lineRule="auto"/>
        <w:rPr>
          <w:rFonts w:ascii="Verdana" w:eastAsia="Geomanist Light" w:hAnsi="Verdana" w:cs="Arial"/>
          <w:color w:val="000000" w:themeColor="text1"/>
        </w:rPr>
      </w:pPr>
    </w:p>
    <w:p w14:paraId="2FAFEC13" w14:textId="77777777" w:rsidR="004A767C" w:rsidRDefault="004A767C" w:rsidP="00B56BD0">
      <w:pPr>
        <w:spacing w:after="0" w:line="240" w:lineRule="auto"/>
        <w:rPr>
          <w:rFonts w:ascii="Verdana" w:eastAsia="Geomanist Light" w:hAnsi="Verdana" w:cs="Arial"/>
          <w:color w:val="000000" w:themeColor="text1"/>
        </w:rPr>
      </w:pPr>
    </w:p>
    <w:p w14:paraId="260AB5B9" w14:textId="77777777" w:rsidR="004A767C" w:rsidRDefault="004A767C" w:rsidP="00B56BD0">
      <w:pPr>
        <w:spacing w:after="0" w:line="240" w:lineRule="auto"/>
        <w:rPr>
          <w:rFonts w:ascii="Verdana" w:eastAsia="Geomanist Light" w:hAnsi="Verdana" w:cs="Arial"/>
          <w:color w:val="000000" w:themeColor="text1"/>
        </w:rPr>
      </w:pPr>
    </w:p>
    <w:p w14:paraId="4A15622D" w14:textId="77777777" w:rsidR="004A767C" w:rsidRDefault="004A767C" w:rsidP="00B56BD0">
      <w:pPr>
        <w:spacing w:after="0" w:line="240" w:lineRule="auto"/>
        <w:rPr>
          <w:rFonts w:ascii="Verdana" w:eastAsia="Geomanist Light" w:hAnsi="Verdana" w:cs="Arial"/>
          <w:color w:val="000000" w:themeColor="text1"/>
        </w:rPr>
      </w:pPr>
    </w:p>
    <w:p w14:paraId="2607A76E" w14:textId="77777777" w:rsidR="007B743D" w:rsidRDefault="007B743D" w:rsidP="007B743D">
      <w:pPr>
        <w:spacing w:after="0" w:line="240" w:lineRule="auto"/>
        <w:rPr>
          <w:rFonts w:ascii="Verdana" w:eastAsia="Geomanist Light" w:hAnsi="Verdana" w:cs="Arial"/>
          <w:color w:val="000000" w:themeColor="text1"/>
        </w:rPr>
      </w:pPr>
      <w:bookmarkStart w:id="1" w:name="_Hlk143780582"/>
    </w:p>
    <w:p w14:paraId="6B93EBC3" w14:textId="77777777" w:rsidR="007B743D" w:rsidRDefault="007B743D" w:rsidP="007B743D">
      <w:pPr>
        <w:spacing w:after="0" w:line="240" w:lineRule="auto"/>
        <w:rPr>
          <w:rFonts w:ascii="Verdana" w:eastAsia="Geomanist Light" w:hAnsi="Verdana" w:cs="Arial"/>
          <w:color w:val="000000" w:themeColor="text1"/>
        </w:rPr>
      </w:pPr>
    </w:p>
    <w:p w14:paraId="5602FF90" w14:textId="2B9BB7C9" w:rsidR="007B743D" w:rsidRPr="007B743D" w:rsidRDefault="007B743D" w:rsidP="007B743D">
      <w:pPr>
        <w:spacing w:after="0" w:line="240" w:lineRule="auto"/>
        <w:rPr>
          <w:rFonts w:ascii="Verdana" w:eastAsia="Geomanist Light" w:hAnsi="Verdana" w:cs="Arial"/>
          <w:color w:val="201F1E"/>
        </w:rPr>
      </w:pPr>
      <w:r w:rsidRPr="007B743D">
        <w:rPr>
          <w:rFonts w:ascii="Verdana" w:eastAsia="Geomanist Light" w:hAnsi="Verdana" w:cs="Arial"/>
          <w:color w:val="000000" w:themeColor="text1"/>
        </w:rPr>
        <w:lastRenderedPageBreak/>
        <w:t>Bogotá D.C., </w:t>
      </w:r>
      <w:r w:rsidR="00F42CFE">
        <w:rPr>
          <w:rFonts w:ascii="Verdana" w:eastAsia="Geomanist Light" w:hAnsi="Verdana" w:cs="Arial"/>
          <w:color w:val="201F1E"/>
        </w:rPr>
        <w:t>27 de febrero de 2025</w:t>
      </w:r>
    </w:p>
    <w:p w14:paraId="4C1323BC" w14:textId="77777777" w:rsidR="007B743D" w:rsidRPr="007B743D" w:rsidRDefault="007B743D" w:rsidP="007B743D">
      <w:pPr>
        <w:spacing w:after="0" w:line="240" w:lineRule="auto"/>
        <w:jc w:val="both"/>
        <w:rPr>
          <w:rFonts w:ascii="Verdana" w:eastAsia="Calibri" w:hAnsi="Verdana" w:cs="Arial"/>
          <w:color w:val="000000"/>
        </w:rPr>
      </w:pPr>
    </w:p>
    <w:p w14:paraId="154EB6C5" w14:textId="27191769" w:rsidR="007B743D" w:rsidRDefault="00F42CFE" w:rsidP="00F42CFE">
      <w:pPr>
        <w:spacing w:after="0" w:line="240" w:lineRule="auto"/>
        <w:jc w:val="right"/>
        <w:rPr>
          <w:rFonts w:ascii="Verdana" w:eastAsia="Calibri" w:hAnsi="Verdana" w:cs="Arial"/>
          <w:color w:val="000000"/>
        </w:rPr>
      </w:pPr>
      <w:r w:rsidRPr="00F42CFE">
        <w:rPr>
          <w:rFonts w:ascii="Verdana" w:eastAsia="Calibri" w:hAnsi="Verdana" w:cs="Arial"/>
          <w:noProof/>
          <w:color w:val="000000"/>
        </w:rPr>
        <w:drawing>
          <wp:anchor distT="0" distB="0" distL="114300" distR="114300" simplePos="0" relativeHeight="251658240" behindDoc="0" locked="0" layoutInCell="1" allowOverlap="1" wp14:anchorId="11BB8D75" wp14:editId="0C1704CB">
            <wp:simplePos x="0" y="0"/>
            <wp:positionH relativeFrom="column">
              <wp:posOffset>3423285</wp:posOffset>
            </wp:positionH>
            <wp:positionV relativeFrom="paragraph">
              <wp:posOffset>2540</wp:posOffset>
            </wp:positionV>
            <wp:extent cx="2186940" cy="762000"/>
            <wp:effectExtent l="0" t="0" r="3810" b="0"/>
            <wp:wrapSquare wrapText="bothSides"/>
            <wp:docPr id="10673995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86940" cy="762000"/>
                    </a:xfrm>
                    <a:prstGeom prst="rect">
                      <a:avLst/>
                    </a:prstGeom>
                    <a:noFill/>
                    <a:ln>
                      <a:noFill/>
                    </a:ln>
                  </pic:spPr>
                </pic:pic>
              </a:graphicData>
            </a:graphic>
          </wp:anchor>
        </w:drawing>
      </w:r>
    </w:p>
    <w:p w14:paraId="7003C162" w14:textId="77777777" w:rsidR="00F42CFE" w:rsidRPr="007B743D" w:rsidRDefault="00F42CFE" w:rsidP="00F42CFE">
      <w:pPr>
        <w:spacing w:after="0" w:line="240" w:lineRule="auto"/>
        <w:jc w:val="right"/>
        <w:rPr>
          <w:rFonts w:ascii="Verdana" w:eastAsia="Calibri" w:hAnsi="Verdana" w:cs="Arial"/>
          <w:color w:val="000000"/>
        </w:rPr>
      </w:pPr>
    </w:p>
    <w:p w14:paraId="07C66462" w14:textId="77777777" w:rsidR="007B743D" w:rsidRPr="007B743D" w:rsidRDefault="007B743D" w:rsidP="007B743D">
      <w:pPr>
        <w:spacing w:after="0" w:line="240" w:lineRule="auto"/>
        <w:jc w:val="both"/>
        <w:rPr>
          <w:rFonts w:ascii="Verdana" w:eastAsia="Calibri" w:hAnsi="Verdana" w:cs="Arial"/>
          <w:lang w:eastAsia="es-ES"/>
        </w:rPr>
      </w:pPr>
      <w:r w:rsidRPr="007B743D">
        <w:rPr>
          <w:rFonts w:ascii="Verdana" w:eastAsia="Calibri" w:hAnsi="Verdana" w:cs="Arial"/>
          <w:lang w:eastAsia="es-ES"/>
        </w:rPr>
        <w:t>Señor</w:t>
      </w:r>
    </w:p>
    <w:p w14:paraId="6105BBA5" w14:textId="77777777" w:rsidR="007B743D" w:rsidRPr="007B743D" w:rsidRDefault="007B743D" w:rsidP="007B743D">
      <w:pPr>
        <w:spacing w:after="0" w:line="240" w:lineRule="auto"/>
        <w:rPr>
          <w:rFonts w:ascii="Verdana" w:hAnsi="Verdana"/>
          <w:b/>
          <w:bCs/>
        </w:rPr>
      </w:pPr>
      <w:r w:rsidRPr="007B743D">
        <w:rPr>
          <w:rFonts w:ascii="Verdana" w:hAnsi="Verdana"/>
          <w:b/>
          <w:bCs/>
        </w:rPr>
        <w:t xml:space="preserve">Ricardo Antonio Ramírez Aranguren </w:t>
      </w:r>
    </w:p>
    <w:p w14:paraId="33FCA40D" w14:textId="77777777" w:rsidR="007B743D" w:rsidRPr="007B743D" w:rsidRDefault="007B743D" w:rsidP="007B743D">
      <w:pPr>
        <w:spacing w:after="0" w:line="240" w:lineRule="auto"/>
        <w:rPr>
          <w:rFonts w:ascii="Verdana" w:hAnsi="Verdana"/>
        </w:rPr>
      </w:pPr>
      <w:hyperlink r:id="rId12" w:history="1"/>
      <w:hyperlink r:id="rId13" w:history="1">
        <w:r w:rsidRPr="007B743D">
          <w:rPr>
            <w:rFonts w:ascii="Verdana" w:hAnsi="Verdana"/>
            <w:color w:val="0563C1" w:themeColor="hyperlink"/>
            <w:u w:val="single"/>
          </w:rPr>
          <w:t>ricardo.ramirez.aranguren@gmail.com</w:t>
        </w:r>
      </w:hyperlink>
      <w:r w:rsidRPr="007B743D">
        <w:rPr>
          <w:rFonts w:ascii="Verdana" w:hAnsi="Verdana"/>
        </w:rPr>
        <w:t xml:space="preserve"> </w:t>
      </w:r>
    </w:p>
    <w:p w14:paraId="7E2E4AE7" w14:textId="77777777" w:rsidR="007B743D" w:rsidRPr="007B743D" w:rsidRDefault="007B743D" w:rsidP="007B743D">
      <w:pPr>
        <w:spacing w:after="0" w:line="240" w:lineRule="auto"/>
        <w:rPr>
          <w:rFonts w:ascii="Verdana" w:eastAsia="Calibri" w:hAnsi="Verdana" w:cs="Arial"/>
          <w:lang w:eastAsia="es-ES"/>
        </w:rPr>
      </w:pPr>
      <w:r w:rsidRPr="007B743D">
        <w:rPr>
          <w:rFonts w:ascii="Verdana" w:hAnsi="Verdana"/>
        </w:rPr>
        <w:t>Bogotá D.C</w:t>
      </w:r>
    </w:p>
    <w:p w14:paraId="50FC8B5C" w14:textId="77777777" w:rsidR="007B743D" w:rsidRPr="007B743D" w:rsidRDefault="007B743D" w:rsidP="007B743D">
      <w:pPr>
        <w:spacing w:after="0" w:line="240" w:lineRule="auto"/>
        <w:rPr>
          <w:rFonts w:ascii="Verdana" w:eastAsia="Calibri" w:hAnsi="Verdana" w:cs="Arial"/>
          <w:b/>
          <w:bCs/>
          <w:color w:val="000000"/>
          <w:lang w:eastAsia="es-ES_tradnl"/>
        </w:rPr>
      </w:pPr>
    </w:p>
    <w:p w14:paraId="037B239D" w14:textId="77777777" w:rsidR="007B743D" w:rsidRPr="007B743D" w:rsidRDefault="007B743D" w:rsidP="007B743D">
      <w:pPr>
        <w:spacing w:after="0" w:line="240" w:lineRule="auto"/>
        <w:jc w:val="center"/>
        <w:rPr>
          <w:rFonts w:ascii="Verdana" w:eastAsia="Calibri" w:hAnsi="Verdana" w:cs="Arial"/>
          <w:b/>
          <w:bCs/>
          <w:lang w:eastAsia="es-ES"/>
        </w:rPr>
      </w:pPr>
      <w:r w:rsidRPr="007B743D">
        <w:rPr>
          <w:rFonts w:ascii="Verdana" w:eastAsia="Calibri" w:hAnsi="Verdana" w:cs="Arial"/>
          <w:b/>
          <w:bCs/>
          <w:lang w:eastAsia="es-ES"/>
        </w:rPr>
        <w:t>Concepto C – 225 de 2026</w:t>
      </w:r>
    </w:p>
    <w:p w14:paraId="2611F3B0" w14:textId="77777777" w:rsidR="007B743D" w:rsidRPr="007B743D" w:rsidRDefault="007B743D" w:rsidP="007B743D">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B743D" w:rsidRPr="007B743D" w14:paraId="673E9559" w14:textId="77777777" w:rsidTr="006417DE">
        <w:trPr>
          <w:trHeight w:val="884"/>
        </w:trPr>
        <w:tc>
          <w:tcPr>
            <w:tcW w:w="2689" w:type="dxa"/>
          </w:tcPr>
          <w:p w14:paraId="19BE5C84" w14:textId="77777777" w:rsidR="007B743D" w:rsidRPr="007B743D" w:rsidRDefault="007B743D" w:rsidP="007B743D">
            <w:pPr>
              <w:jc w:val="both"/>
              <w:rPr>
                <w:rFonts w:ascii="Verdana" w:eastAsia="Calibri" w:hAnsi="Verdana" w:cs="Arial"/>
                <w:color w:val="000000"/>
                <w:lang w:eastAsia="es-ES_tradnl"/>
              </w:rPr>
            </w:pPr>
            <w:r w:rsidRPr="007B743D">
              <w:rPr>
                <w:rFonts w:ascii="Verdana" w:eastAsia="Calibri" w:hAnsi="Verdana" w:cs="Arial"/>
                <w:b/>
                <w:color w:val="000000"/>
                <w:lang w:eastAsia="es-ES_tradnl"/>
              </w:rPr>
              <w:t>Temas:</w:t>
            </w:r>
            <w:r w:rsidRPr="007B743D">
              <w:rPr>
                <w:rFonts w:ascii="Verdana" w:eastAsia="Calibri" w:hAnsi="Verdana" w:cs="Arial"/>
                <w:color w:val="000000"/>
                <w:lang w:eastAsia="es-ES_tradnl"/>
              </w:rPr>
              <w:t xml:space="preserve">                   </w:t>
            </w:r>
          </w:p>
        </w:tc>
        <w:tc>
          <w:tcPr>
            <w:tcW w:w="6100" w:type="dxa"/>
          </w:tcPr>
          <w:p w14:paraId="36EFE28F" w14:textId="77777777" w:rsidR="007B743D" w:rsidRPr="007B743D" w:rsidRDefault="007B743D" w:rsidP="007B743D">
            <w:pPr>
              <w:jc w:val="both"/>
              <w:rPr>
                <w:rFonts w:ascii="Verdana" w:eastAsia="Calibri" w:hAnsi="Verdana" w:cs="Arial"/>
                <w:lang w:val="es-ES" w:eastAsia="es-ES"/>
              </w:rPr>
            </w:pPr>
            <w:r w:rsidRPr="007B743D">
              <w:rPr>
                <w:rFonts w:ascii="Verdana" w:eastAsia="Calibri" w:hAnsi="Verdana" w:cs="Arial"/>
                <w:lang w:val="es-ES" w:eastAsia="es-ES"/>
              </w:rPr>
              <w:t xml:space="preserve">SISTEMA GENERAL DE REGALÍAS – Ley 2056 de 2020 – artículo 37 / RÉGIMEN CONTRACTUAL – Entidades ejecutoras – Aplicación del Estatuto General de Contratación de la Administración Pública         </w:t>
            </w:r>
            <w:r w:rsidRPr="007B743D">
              <w:rPr>
                <w:rFonts w:ascii="Verdana" w:eastAsia="Calibri" w:hAnsi="Verdana" w:cs="Arial"/>
                <w:bCs/>
                <w:lang w:val="es-ES_tradnl"/>
              </w:rPr>
              <w:t xml:space="preserve"> </w:t>
            </w:r>
          </w:p>
          <w:p w14:paraId="2BD3610A" w14:textId="77777777" w:rsidR="007B743D" w:rsidRPr="007B743D" w:rsidRDefault="007B743D" w:rsidP="007B743D">
            <w:pPr>
              <w:spacing w:line="276" w:lineRule="auto"/>
              <w:contextualSpacing/>
              <w:jc w:val="both"/>
              <w:rPr>
                <w:rFonts w:ascii="Verdana" w:eastAsia="Calibri" w:hAnsi="Verdana" w:cs="Arial"/>
                <w:lang w:eastAsia="es-ES"/>
              </w:rPr>
            </w:pPr>
          </w:p>
        </w:tc>
      </w:tr>
      <w:tr w:rsidR="007B743D" w:rsidRPr="007B743D" w14:paraId="403700EC" w14:textId="77777777" w:rsidTr="006417DE">
        <w:tc>
          <w:tcPr>
            <w:tcW w:w="2689" w:type="dxa"/>
          </w:tcPr>
          <w:p w14:paraId="66F45391" w14:textId="77777777" w:rsidR="007B743D" w:rsidRPr="007B743D" w:rsidRDefault="007B743D" w:rsidP="007B743D">
            <w:pPr>
              <w:jc w:val="both"/>
              <w:rPr>
                <w:rFonts w:ascii="Verdana" w:eastAsia="Calibri" w:hAnsi="Verdana" w:cs="Arial"/>
                <w:b/>
                <w:lang w:eastAsia="es-ES_tradnl"/>
              </w:rPr>
            </w:pPr>
            <w:r w:rsidRPr="007B743D">
              <w:rPr>
                <w:rFonts w:ascii="Verdana" w:eastAsia="Calibri" w:hAnsi="Verdana" w:cs="Arial"/>
                <w:b/>
                <w:lang w:eastAsia="es-ES_tradnl"/>
              </w:rPr>
              <w:t>Radicación:</w:t>
            </w:r>
            <w:r w:rsidRPr="007B743D">
              <w:rPr>
                <w:rFonts w:ascii="Verdana" w:eastAsia="Calibri" w:hAnsi="Verdana" w:cs="Arial"/>
                <w:lang w:eastAsia="es-ES_tradnl"/>
              </w:rPr>
              <w:t xml:space="preserve">               </w:t>
            </w:r>
          </w:p>
        </w:tc>
        <w:tc>
          <w:tcPr>
            <w:tcW w:w="6100" w:type="dxa"/>
          </w:tcPr>
          <w:p w14:paraId="4636D285" w14:textId="77777777" w:rsidR="007B743D" w:rsidRPr="007B743D" w:rsidRDefault="007B743D" w:rsidP="007B743D">
            <w:pPr>
              <w:spacing w:line="276" w:lineRule="auto"/>
              <w:jc w:val="both"/>
              <w:rPr>
                <w:rFonts w:ascii="Verdana" w:eastAsia="Calibri" w:hAnsi="Verdana" w:cs="Arial"/>
                <w:lang w:eastAsia="es-ES_tradnl"/>
              </w:rPr>
            </w:pPr>
            <w:r w:rsidRPr="007B743D">
              <w:rPr>
                <w:rFonts w:ascii="Verdana" w:eastAsia="Calibri" w:hAnsi="Verdana" w:cs="Arial"/>
                <w:lang w:eastAsia="es-ES_tradnl"/>
              </w:rPr>
              <w:t xml:space="preserve">Respuesta a las consultas con radicado Nos. 1_2026_02_16_002014 y 1_2026_02_18_002115 </w:t>
            </w:r>
          </w:p>
        </w:tc>
      </w:tr>
    </w:tbl>
    <w:p w14:paraId="192B37F3" w14:textId="77777777" w:rsidR="007B743D" w:rsidRPr="007B743D" w:rsidRDefault="007B743D" w:rsidP="007B743D">
      <w:pPr>
        <w:spacing w:after="0" w:line="240" w:lineRule="auto"/>
        <w:jc w:val="both"/>
        <w:rPr>
          <w:rFonts w:ascii="Verdana" w:eastAsia="Calibri" w:hAnsi="Verdana" w:cs="Arial"/>
          <w:color w:val="000000"/>
          <w:lang w:eastAsia="es-ES_tradnl"/>
        </w:rPr>
      </w:pPr>
    </w:p>
    <w:p w14:paraId="2A0E336E" w14:textId="77777777" w:rsidR="007B743D" w:rsidRPr="007B743D" w:rsidRDefault="007B743D" w:rsidP="007B743D">
      <w:pPr>
        <w:spacing w:after="0" w:line="276" w:lineRule="auto"/>
        <w:jc w:val="both"/>
        <w:rPr>
          <w:rFonts w:ascii="Verdana" w:eastAsia="Calibri" w:hAnsi="Verdana" w:cs="Arial"/>
          <w:lang w:eastAsia="es-ES"/>
        </w:rPr>
      </w:pPr>
      <w:r w:rsidRPr="007B743D">
        <w:rPr>
          <w:rFonts w:ascii="Verdana" w:eastAsia="Calibri" w:hAnsi="Verdana" w:cs="Arial"/>
          <w:lang w:eastAsia="es-ES"/>
        </w:rPr>
        <w:t xml:space="preserve">Estimado señor Ramírez: </w:t>
      </w:r>
    </w:p>
    <w:p w14:paraId="7DD7C7BE" w14:textId="77777777" w:rsidR="007B743D" w:rsidRPr="007B743D" w:rsidRDefault="007B743D" w:rsidP="007B743D">
      <w:pPr>
        <w:tabs>
          <w:tab w:val="left" w:pos="3768"/>
        </w:tabs>
        <w:spacing w:after="0" w:line="276" w:lineRule="auto"/>
        <w:jc w:val="both"/>
        <w:rPr>
          <w:rFonts w:ascii="Verdana" w:eastAsia="Calibri" w:hAnsi="Verdana" w:cs="Arial"/>
          <w:color w:val="000000" w:themeColor="text1"/>
          <w:lang w:eastAsia="es-ES"/>
        </w:rPr>
      </w:pPr>
      <w:r w:rsidRPr="007B743D">
        <w:rPr>
          <w:rFonts w:ascii="Verdana" w:eastAsia="Calibri" w:hAnsi="Verdana" w:cs="Arial"/>
          <w:color w:val="000000" w:themeColor="text1"/>
          <w:lang w:eastAsia="es-ES"/>
        </w:rPr>
        <w:tab/>
      </w:r>
    </w:p>
    <w:p w14:paraId="5A16BA7C" w14:textId="77777777" w:rsidR="007B743D" w:rsidRPr="007B743D" w:rsidRDefault="007B743D" w:rsidP="007B743D">
      <w:pPr>
        <w:spacing w:after="0" w:line="276" w:lineRule="auto"/>
        <w:jc w:val="both"/>
        <w:rPr>
          <w:rFonts w:ascii="Verdana" w:eastAsia="Calibri" w:hAnsi="Verdana" w:cs="Arial"/>
          <w:i/>
          <w:iCs/>
          <w:lang w:eastAsia="es-ES"/>
        </w:rPr>
      </w:pPr>
      <w:r w:rsidRPr="007B743D">
        <w:rPr>
          <w:rFonts w:ascii="Verdana" w:eastAsia="Calibri" w:hAnsi="Verdana" w:cs="Arial"/>
          <w:color w:val="000000" w:themeColor="text1"/>
          <w:lang w:eastAsia="es-ES"/>
        </w:rPr>
        <w:t>En ejercicio de la competencia otorgada por los artículos 3, numeral 5º, y 11, numeral 8º, del Decreto Ley 4170 de 2011,</w:t>
      </w:r>
      <w:r w:rsidRPr="007B743D">
        <w:rPr>
          <w:rFonts w:ascii="Verdana" w:hAnsi="Verdana" w:cs="Arial"/>
          <w:lang w:val="es-ES_tradnl"/>
        </w:rPr>
        <w:t xml:space="preserve"> así como lo establecido en</w:t>
      </w:r>
      <w:r w:rsidRPr="007B743D">
        <w:rPr>
          <w:rFonts w:ascii="Verdana" w:hAnsi="Verdana" w:cs="Arial"/>
        </w:rPr>
        <w:t xml:space="preserve"> la Resolución 469 de 2025 expedida por esta Entidad, </w:t>
      </w:r>
      <w:r w:rsidRPr="007B743D">
        <w:rPr>
          <w:rFonts w:ascii="Verdana" w:eastAsia="Calibri" w:hAnsi="Verdana" w:cs="Arial"/>
          <w:color w:val="000000" w:themeColor="text1"/>
          <w:lang w:eastAsia="es-ES"/>
        </w:rPr>
        <w:t xml:space="preserve">la Agencia Nacional de Contratación Pública – Colombia Compra Eficiente responde su solicitud de concepto trasladada por competencia por el Departamento Administrativo de la Función Pública el 16 de febrero de 2026, </w:t>
      </w:r>
      <w:r w:rsidRPr="007B743D">
        <w:rPr>
          <w:rFonts w:ascii="Verdana" w:eastAsia="Calibri" w:hAnsi="Verdana" w:cs="Arial"/>
          <w:lang w:eastAsia="es-ES"/>
        </w:rPr>
        <w:t>en la cual consulta sobre lo siguiente:</w:t>
      </w:r>
      <w:r w:rsidRPr="007B743D">
        <w:rPr>
          <w:rFonts w:ascii="Verdana" w:eastAsia="Calibri" w:hAnsi="Verdana" w:cs="Arial"/>
          <w:i/>
          <w:iCs/>
          <w:lang w:eastAsia="es-ES"/>
        </w:rPr>
        <w:t xml:space="preserve"> </w:t>
      </w:r>
      <w:bookmarkStart w:id="2" w:name="_Hlk95313578"/>
    </w:p>
    <w:p w14:paraId="34FD07A1" w14:textId="77777777" w:rsidR="007B743D" w:rsidRPr="007B743D" w:rsidRDefault="007B743D" w:rsidP="007B743D">
      <w:pPr>
        <w:spacing w:after="0" w:line="276" w:lineRule="auto"/>
        <w:jc w:val="both"/>
        <w:rPr>
          <w:rFonts w:ascii="Verdana" w:eastAsia="Calibri" w:hAnsi="Verdana" w:cs="Arial"/>
          <w:i/>
          <w:iCs/>
          <w:lang w:eastAsia="es-ES"/>
        </w:rPr>
      </w:pPr>
    </w:p>
    <w:p w14:paraId="6A1A8A7F" w14:textId="77777777" w:rsidR="007B743D" w:rsidRPr="007B743D" w:rsidRDefault="007B743D" w:rsidP="007B743D">
      <w:pPr>
        <w:spacing w:after="0" w:line="240" w:lineRule="auto"/>
        <w:ind w:left="709" w:right="709"/>
        <w:jc w:val="both"/>
        <w:rPr>
          <w:rFonts w:ascii="Verdana" w:hAnsi="Verdana"/>
          <w:sz w:val="20"/>
          <w:szCs w:val="20"/>
        </w:rPr>
      </w:pPr>
      <w:r w:rsidRPr="007B743D">
        <w:rPr>
          <w:rFonts w:ascii="Verdana" w:eastAsia="Arial" w:hAnsi="Verdana" w:cs="Arial"/>
          <w:i/>
          <w:color w:val="000000"/>
          <w:sz w:val="20"/>
          <w:szCs w:val="20"/>
        </w:rPr>
        <w:t>“</w:t>
      </w:r>
      <w:bookmarkEnd w:id="2"/>
      <w:r w:rsidRPr="007B743D">
        <w:rPr>
          <w:rFonts w:ascii="Verdana" w:eastAsia="Arial" w:hAnsi="Verdana" w:cs="Arial"/>
          <w:i/>
          <w:iCs/>
          <w:color w:val="000000"/>
          <w:sz w:val="20"/>
          <w:szCs w:val="20"/>
        </w:rPr>
        <w:t xml:space="preserve">Solicito de manera atenta que el Departamento Nacional de Planeación emita un concepto técnico que brinde certeza sobre el marco legal exacto que rige la contratación de bienes y servicios por parte de universidades de naturaleza jurídica privada, cuando actúa como ejecutora de proyectos financiados con recursos del Sistema General de Regalías. Específicamente agradezco se precise si las universidades de naturaleza privada están obligadas a aplicar el Estatuto General de Contratación de la Administración Pública, contenido en la Ley 80 de 1993 y sus normas complementarias, o si su gestión se rige por el </w:t>
      </w:r>
      <w:r w:rsidRPr="007B743D">
        <w:rPr>
          <w:rFonts w:ascii="Verdana" w:eastAsia="Arial" w:hAnsi="Verdana" w:cs="Arial"/>
          <w:i/>
          <w:color w:val="000000"/>
          <w:sz w:val="20"/>
          <w:szCs w:val="20"/>
        </w:rPr>
        <w:t xml:space="preserve">(sic) </w:t>
      </w:r>
      <w:r w:rsidRPr="007B743D">
        <w:rPr>
          <w:rFonts w:ascii="Verdana" w:eastAsia="Arial" w:hAnsi="Verdana" w:cs="Arial"/>
          <w:i/>
          <w:iCs/>
          <w:color w:val="000000"/>
          <w:sz w:val="20"/>
          <w:szCs w:val="20"/>
        </w:rPr>
        <w:t xml:space="preserve">sus manuales de contratación, en aplicación de la autonomía universitaria consagrada en el artículo 69 de la Constitución Política. Agradezco se indique de forma expresa el fundamento jurídico de la conclusión". </w:t>
      </w:r>
    </w:p>
    <w:p w14:paraId="17401044" w14:textId="77777777" w:rsidR="007B743D" w:rsidRPr="007B743D" w:rsidRDefault="007B743D" w:rsidP="007B743D">
      <w:pPr>
        <w:spacing w:after="0" w:line="276" w:lineRule="auto"/>
        <w:ind w:left="709" w:right="709"/>
        <w:jc w:val="both"/>
      </w:pPr>
    </w:p>
    <w:p w14:paraId="0FBCCA49" w14:textId="77777777" w:rsidR="007B743D" w:rsidRPr="007B743D" w:rsidRDefault="007B743D" w:rsidP="007B743D">
      <w:pPr>
        <w:spacing w:after="120" w:line="276" w:lineRule="auto"/>
        <w:ind w:firstLine="709"/>
        <w:jc w:val="both"/>
        <w:rPr>
          <w:rFonts w:ascii="Verdana" w:eastAsia="Calibri" w:hAnsi="Verdana" w:cs="Arial"/>
          <w:color w:val="000000"/>
          <w:lang w:eastAsia="es-ES"/>
        </w:rPr>
      </w:pPr>
      <w:r w:rsidRPr="007B743D">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B743D">
        <w:rPr>
          <w:rFonts w:ascii="Verdana" w:eastAsia="Calibri" w:hAnsi="Verdana" w:cs="Arial"/>
          <w:color w:val="000000"/>
          <w:szCs w:val="24"/>
          <w:lang w:eastAsia="es-ES_tradnl"/>
        </w:rPr>
        <w:tab/>
      </w:r>
    </w:p>
    <w:p w14:paraId="58A9143B" w14:textId="77777777" w:rsidR="007B743D" w:rsidRPr="007B743D" w:rsidRDefault="007B743D" w:rsidP="007B743D">
      <w:pPr>
        <w:spacing w:after="0" w:line="276" w:lineRule="auto"/>
        <w:ind w:firstLine="709"/>
        <w:jc w:val="both"/>
        <w:rPr>
          <w:rFonts w:ascii="Verdana" w:eastAsia="Calibri" w:hAnsi="Verdana" w:cs="Arial"/>
          <w:color w:val="000000"/>
          <w:lang w:eastAsia="es-ES"/>
        </w:rPr>
      </w:pPr>
      <w:r w:rsidRPr="007B743D">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en materias de compras y contratación pública relacionadas con los</w:t>
      </w:r>
      <w:r w:rsidRPr="007B743D">
        <w:rPr>
          <w:rFonts w:ascii="Verdana" w:eastAsia="Calibri" w:hAnsi="Verdana" w:cs="Arial"/>
          <w:color w:val="7030A0"/>
          <w:lang w:eastAsia="es-ES"/>
        </w:rPr>
        <w:t xml:space="preserve"> </w:t>
      </w:r>
      <w:r w:rsidRPr="007B743D">
        <w:rPr>
          <w:rFonts w:ascii="Verdana" w:eastAsia="Calibri" w:hAnsi="Verdana" w:cs="Arial"/>
          <w:color w:val="000000"/>
          <w:lang w:eastAsia="es-ES"/>
        </w:rPr>
        <w:t>problemas</w:t>
      </w:r>
      <w:r w:rsidRPr="007B743D">
        <w:rPr>
          <w:rFonts w:ascii="Verdana" w:eastAsia="Calibri" w:hAnsi="Verdana" w:cs="Arial"/>
          <w:color w:val="7030A0"/>
          <w:lang w:eastAsia="es-ES"/>
        </w:rPr>
        <w:t xml:space="preserve"> </w:t>
      </w:r>
      <w:r w:rsidRPr="007B743D">
        <w:rPr>
          <w:rFonts w:ascii="Verdana" w:eastAsia="Calibri" w:hAnsi="Verdana" w:cs="Arial"/>
          <w:color w:val="000000"/>
          <w:lang w:eastAsia="es-ES"/>
        </w:rPr>
        <w:t>jurídicos</w:t>
      </w:r>
      <w:r w:rsidRPr="007B743D">
        <w:rPr>
          <w:rFonts w:ascii="Verdana" w:eastAsia="Calibri" w:hAnsi="Verdana" w:cs="Arial"/>
          <w:color w:val="7030A0"/>
          <w:lang w:eastAsia="es-ES"/>
        </w:rPr>
        <w:t xml:space="preserve"> </w:t>
      </w:r>
      <w:r w:rsidRPr="007B743D">
        <w:rPr>
          <w:rFonts w:ascii="Verdana" w:eastAsia="Calibri" w:hAnsi="Verdana" w:cs="Arial"/>
          <w:color w:val="000000"/>
          <w:lang w:eastAsia="es-ES"/>
        </w:rPr>
        <w:t xml:space="preserve">de su consulta. </w:t>
      </w:r>
    </w:p>
    <w:p w14:paraId="697A00BC" w14:textId="77777777" w:rsidR="007B743D" w:rsidRPr="007B743D" w:rsidRDefault="007B743D" w:rsidP="007B743D">
      <w:pPr>
        <w:spacing w:after="0" w:line="276" w:lineRule="auto"/>
        <w:ind w:firstLine="709"/>
        <w:jc w:val="both"/>
        <w:rPr>
          <w:rFonts w:ascii="Verdana" w:eastAsia="Calibri" w:hAnsi="Verdana" w:cs="Arial"/>
          <w:color w:val="000000"/>
          <w:lang w:eastAsia="es-ES"/>
        </w:rPr>
      </w:pPr>
    </w:p>
    <w:p w14:paraId="087B1C52" w14:textId="77777777" w:rsidR="007B743D" w:rsidRPr="007B743D" w:rsidRDefault="007B743D" w:rsidP="007B743D">
      <w:pPr>
        <w:numPr>
          <w:ilvl w:val="0"/>
          <w:numId w:val="1"/>
        </w:numPr>
        <w:tabs>
          <w:tab w:val="left" w:pos="142"/>
          <w:tab w:val="left" w:pos="284"/>
        </w:tabs>
        <w:spacing w:after="0" w:line="276" w:lineRule="auto"/>
        <w:jc w:val="both"/>
        <w:rPr>
          <w:rFonts w:ascii="Verdana" w:eastAsia="Century Gothic" w:hAnsi="Verdana" w:cs="Century Gothic"/>
          <w:b/>
          <w:bCs/>
        </w:rPr>
      </w:pPr>
      <w:r w:rsidRPr="007B743D">
        <w:rPr>
          <w:rFonts w:ascii="Verdana" w:eastAsia="Century Gothic" w:hAnsi="Verdana" w:cs="Century Gothic"/>
          <w:b/>
          <w:bCs/>
        </w:rPr>
        <w:t>Problemas planteados:</w:t>
      </w:r>
    </w:p>
    <w:p w14:paraId="75FA181A" w14:textId="77777777" w:rsidR="007B743D" w:rsidRPr="007B743D" w:rsidRDefault="007B743D" w:rsidP="007B743D">
      <w:pPr>
        <w:tabs>
          <w:tab w:val="left" w:pos="426"/>
        </w:tabs>
        <w:spacing w:after="0" w:line="276" w:lineRule="auto"/>
        <w:jc w:val="both"/>
        <w:rPr>
          <w:rFonts w:ascii="Verdana" w:eastAsia="Century Gothic" w:hAnsi="Verdana" w:cs="Century Gothic"/>
        </w:rPr>
      </w:pPr>
    </w:p>
    <w:p w14:paraId="167BA4FE" w14:textId="77777777" w:rsidR="007B743D" w:rsidRPr="007B743D" w:rsidRDefault="007B743D" w:rsidP="007B743D">
      <w:pPr>
        <w:spacing w:after="0" w:line="276" w:lineRule="auto"/>
        <w:jc w:val="both"/>
        <w:rPr>
          <w:rFonts w:ascii="Verdana" w:eastAsia="Century Gothic" w:hAnsi="Verdana" w:cs="Century Gothic"/>
        </w:rPr>
      </w:pPr>
      <w:r w:rsidRPr="007B743D">
        <w:rPr>
          <w:rFonts w:ascii="Verdana" w:eastAsia="Century Gothic" w:hAnsi="Verdana" w:cs="Century Gothic"/>
        </w:rPr>
        <w:t xml:space="preserve">De acuerdo con el contenido de su solicitud, esta Agencia resolverá el siguiente problema jurídico: ¿Cuándo </w:t>
      </w:r>
      <w:r w:rsidRPr="007B743D">
        <w:rPr>
          <w:rFonts w:ascii="Verdana" w:eastAsia="Calibri" w:hAnsi="Verdana" w:cs="Times New Roman"/>
        </w:rPr>
        <w:t xml:space="preserve">las entidades ejecutoras del SGR están sujetas al derecho privado, deben aplicar sus manuales de contratación o las disposiciones del Estatuto General de Contratación de la Administración Pública?  </w:t>
      </w:r>
    </w:p>
    <w:p w14:paraId="20756E61" w14:textId="77777777" w:rsidR="007B743D" w:rsidRPr="007B743D" w:rsidRDefault="007B743D" w:rsidP="007B743D">
      <w:pPr>
        <w:spacing w:after="0" w:line="276" w:lineRule="auto"/>
        <w:jc w:val="both"/>
        <w:rPr>
          <w:rFonts w:ascii="Verdana" w:eastAsia="Calibri" w:hAnsi="Verdana" w:cs="Arial"/>
          <w:color w:val="7030A0"/>
        </w:rPr>
      </w:pPr>
    </w:p>
    <w:p w14:paraId="54184B5D" w14:textId="77777777" w:rsidR="007B743D" w:rsidRPr="007B743D" w:rsidRDefault="007B743D" w:rsidP="007B743D">
      <w:pPr>
        <w:numPr>
          <w:ilvl w:val="0"/>
          <w:numId w:val="1"/>
        </w:numPr>
        <w:tabs>
          <w:tab w:val="left" w:pos="142"/>
          <w:tab w:val="left" w:pos="284"/>
        </w:tabs>
        <w:spacing w:after="0" w:line="276" w:lineRule="auto"/>
        <w:jc w:val="both"/>
        <w:rPr>
          <w:rFonts w:ascii="Verdana" w:eastAsia="Century Gothic" w:hAnsi="Verdana" w:cs="Century Gothic"/>
          <w:b/>
          <w:bCs/>
        </w:rPr>
      </w:pPr>
      <w:r w:rsidRPr="007B743D">
        <w:rPr>
          <w:rFonts w:ascii="Verdana" w:eastAsia="Century Gothic" w:hAnsi="Verdana" w:cs="Century Gothic"/>
          <w:b/>
          <w:bCs/>
        </w:rPr>
        <w:t>Respuestas:</w:t>
      </w:r>
    </w:p>
    <w:p w14:paraId="43101D9B" w14:textId="77777777" w:rsidR="007B743D" w:rsidRPr="007B743D" w:rsidRDefault="007B743D" w:rsidP="007B743D">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B743D" w:rsidRPr="007B743D" w14:paraId="6622AD51" w14:textId="77777777" w:rsidTr="006417DE">
        <w:trPr>
          <w:trHeight w:val="694"/>
          <w:jc w:val="center"/>
        </w:trPr>
        <w:tc>
          <w:tcPr>
            <w:tcW w:w="8828" w:type="dxa"/>
          </w:tcPr>
          <w:p w14:paraId="5C4C8F96" w14:textId="77777777" w:rsidR="007B743D" w:rsidRPr="007B743D" w:rsidRDefault="007B743D" w:rsidP="007B743D">
            <w:pPr>
              <w:spacing w:after="120" w:line="276" w:lineRule="auto"/>
              <w:jc w:val="both"/>
              <w:rPr>
                <w:rFonts w:ascii="Verdana" w:eastAsia="Calibri" w:hAnsi="Verdana" w:cs="Arial"/>
                <w:color w:val="000000"/>
                <w:lang w:val="es-ES" w:eastAsia="es-ES"/>
              </w:rPr>
            </w:pPr>
            <w:bookmarkStart w:id="3" w:name="_Hlk171694685"/>
            <w:r w:rsidRPr="007B743D">
              <w:rPr>
                <w:rFonts w:ascii="Verdana" w:eastAsia="Calibri" w:hAnsi="Verdana" w:cs="Arial"/>
                <w:color w:val="000000"/>
                <w:lang w:val="es-ES" w:eastAsia="es-ES"/>
              </w:rPr>
              <w:t xml:space="preserve">Conforme a la interpretación general de las normas del sistema de compras públicas, esta Subdirección en </w:t>
            </w:r>
            <w:r w:rsidRPr="007B743D">
              <w:rPr>
                <w:rFonts w:ascii="Verdana" w:hAnsi="Verdana" w:cs="Arial"/>
              </w:rPr>
              <w:t xml:space="preserve">los conceptos </w:t>
            </w:r>
            <w:r w:rsidRPr="007B743D">
              <w:rPr>
                <w:rFonts w:ascii="Verdana" w:hAnsi="Verdana"/>
              </w:rPr>
              <w:t>C-370 del 2021,</w:t>
            </w:r>
            <w:r w:rsidRPr="007B743D">
              <w:rPr>
                <w:rFonts w:ascii="Verdana" w:hAnsi="Verdana"/>
                <w:shd w:val="clear" w:color="auto" w:fill="FFFFFF"/>
              </w:rPr>
              <w:t xml:space="preserve"> C-353 del 2 de junio de 2022, C-918 del 9 de diciembre de 2024, C-504 del 1 de octubre 2024, C-951 del 16 de diciembre de 2024, C-285 del 14 de abril de 2025, C-348 del 25 de abril de 2025, C-370 del 2 de mayo de 2025, C-680 del 8 de julio de 2025, C-914 del 15 de agosto de 2025 y C-1065 del 8 de septiembre de 2025</w:t>
            </w:r>
            <w:r w:rsidRPr="007B743D">
              <w:rPr>
                <w:rFonts w:ascii="Verdana" w:hAnsi="Verdana" w:cs="Arial"/>
                <w:shd w:val="clear" w:color="auto" w:fill="FFFFFF"/>
              </w:rPr>
              <w:t xml:space="preserve">, ha mantenido la postura en virtud de la cual </w:t>
            </w:r>
            <w:r w:rsidRPr="007B743D">
              <w:rPr>
                <w:rFonts w:ascii="Verdana" w:eastAsia="Calibri" w:hAnsi="Verdana" w:cs="Arial"/>
                <w:color w:val="000000"/>
                <w:lang w:val="es-ES" w:eastAsia="es-ES"/>
              </w:rPr>
              <w:t xml:space="preserve">de acuerdo con el parágrafo primero del artículo 37 de la Ley 2056 de 2020, el ejecutor de los </w:t>
            </w:r>
            <w:r w:rsidRPr="007B743D">
              <w:rPr>
                <w:rFonts w:ascii="Verdana" w:eastAsia="Calibri" w:hAnsi="Verdana" w:cs="Arial"/>
                <w:color w:val="000000"/>
                <w:lang w:val="es-ES" w:eastAsia="es-ES"/>
              </w:rPr>
              <w:lastRenderedPageBreak/>
              <w:t>proyectos de inversión del Sistema General de Regalías, independiente del régimen contractual al cuál se encuentre sujeto de manera general, deberá aplicar las reglas de contratación pública, es decir, las prescripciones establecidas en el Estatuto General de Contratación de la Administración Pública-EGCAP, así como las normas que lo modifiquen, sustituyan o reglamenten.</w:t>
            </w:r>
          </w:p>
          <w:p w14:paraId="002D43E4" w14:textId="77777777" w:rsidR="007B743D" w:rsidRPr="007B743D" w:rsidRDefault="007B743D" w:rsidP="007B743D">
            <w:pPr>
              <w:spacing w:after="120" w:line="276" w:lineRule="auto"/>
              <w:ind w:firstLine="709"/>
              <w:jc w:val="both"/>
              <w:rPr>
                <w:rFonts w:ascii="Verdana" w:eastAsia="Calibri" w:hAnsi="Verdana" w:cs="Arial"/>
                <w:color w:val="000000"/>
                <w:lang w:val="es-ES" w:eastAsia="es-ES"/>
              </w:rPr>
            </w:pPr>
            <w:r w:rsidRPr="007B743D">
              <w:rPr>
                <w:rFonts w:ascii="Verdana" w:eastAsia="Calibri" w:hAnsi="Verdana" w:cs="Arial"/>
                <w:color w:val="000000"/>
                <w:lang w:val="es-ES" w:eastAsia="es-ES"/>
              </w:rPr>
              <w:t>En este sentido, si la entidad ejecutora es de régimen especial, no podrá apoyarse en las excepciones a la aplicación de la Ley 80 de 1993 para la ejecución de los proyectos. De esta manera, el artículo 37 citado excluye la posibilidad de que los recursos se ejecuten con prevalencia del derecho privado, pues quienes tengan la calidad de entidades ejecutoras para efectos del SGR deben sujetarse a las normas donde prevalece el derecho público, esto es, al EGCAP, sin perjuicio de que en sus demás actividades apliquen el régimen especial que les corresponda.</w:t>
            </w:r>
          </w:p>
          <w:p w14:paraId="63921F7F" w14:textId="77777777" w:rsidR="007B743D" w:rsidRPr="007B743D" w:rsidRDefault="007B743D" w:rsidP="007B743D">
            <w:pPr>
              <w:spacing w:after="120" w:line="276" w:lineRule="auto"/>
              <w:ind w:firstLine="709"/>
              <w:jc w:val="both"/>
              <w:rPr>
                <w:rFonts w:ascii="Verdana" w:eastAsia="Calibri" w:hAnsi="Verdana" w:cs="Arial"/>
              </w:rPr>
            </w:pPr>
            <w:r w:rsidRPr="007B743D">
              <w:rPr>
                <w:rFonts w:ascii="Verdana" w:eastAsia="Calibri" w:hAnsi="Verdana" w:cs="Arial"/>
                <w:color w:val="000000" w:themeColor="text1"/>
                <w:lang w:eastAsia="es-ES"/>
              </w:rPr>
              <w:t xml:space="preserve">En este contexto, se enfatiza en que la aplicación del EGCAP para la ejecución de recursos de regalías conforme lo dispone el parágrafo 1 del artículo 37 de la Ley 2056 de 2020 no desconoce lo dispuesto en </w:t>
            </w:r>
            <w:r w:rsidRPr="007B743D">
              <w:rPr>
                <w:rFonts w:ascii="Verdana" w:eastAsia="Calibri" w:hAnsi="Verdana" w:cs="Arial"/>
              </w:rPr>
              <w:t xml:space="preserve">los artículos 57, 93 y 94 de la Ley 30 de 1992, así como tampoco altera o modifica el régimen de contratación especial de las universidades públicas. Sin embargo, debido a que la Ley 2056 de 2020 es una norma especial y posterior, puede válidamente establecer reglas contractuales diferenciadas para determinados tipos de recursos, sin que ello afecte la estructura general del régimen contractual aplicable a las entidades. </w:t>
            </w:r>
          </w:p>
          <w:p w14:paraId="77CF48A4" w14:textId="77777777" w:rsidR="007B743D" w:rsidRPr="007B743D" w:rsidRDefault="007B743D" w:rsidP="007B743D">
            <w:pPr>
              <w:spacing w:after="120" w:line="276" w:lineRule="auto"/>
              <w:ind w:firstLine="709"/>
              <w:jc w:val="both"/>
              <w:rPr>
                <w:rFonts w:ascii="Verdana" w:eastAsia="Calibri" w:hAnsi="Verdana" w:cs="Arial"/>
                <w:color w:val="000000"/>
                <w:lang w:val="es-ES" w:eastAsia="es-ES"/>
              </w:rPr>
            </w:pPr>
            <w:r w:rsidRPr="007B743D">
              <w:rPr>
                <w:rFonts w:ascii="Verdana" w:hAnsi="Verdana" w:cs="Arial"/>
                <w:lang w:eastAsia="es-ES"/>
              </w:rPr>
              <w:t xml:space="preserve">Al margen de lo anterior, debe advertirse que el llamado a emitir lineamientos respecto a </w:t>
            </w:r>
            <w:r w:rsidRPr="007B743D">
              <w:rPr>
                <w:rFonts w:ascii="Verdana" w:eastAsia="Calibri" w:hAnsi="Verdana" w:cs="Arial"/>
                <w:bCs/>
                <w:color w:val="000000" w:themeColor="text1"/>
              </w:rPr>
              <w:t>los proyectos adelantados con cargo al Sistema General de Regalías</w:t>
            </w:r>
            <w:r w:rsidRPr="007B743D">
              <w:rPr>
                <w:rFonts w:ascii="Verdana" w:hAnsi="Verdana" w:cs="Arial"/>
                <w:lang w:eastAsia="es-ES"/>
              </w:rPr>
              <w:t xml:space="preserve"> debe ser realizado por el Departamento Nacional de Planeación</w:t>
            </w:r>
            <w:r w:rsidRPr="007B743D">
              <w:rPr>
                <w:rFonts w:ascii="Verdana" w:eastAsia="Calibri" w:hAnsi="Verdana" w:cs="Arial"/>
                <w:color w:val="000000"/>
                <w:lang w:val="es-ES" w:eastAsia="es-ES"/>
              </w:rPr>
              <w:t xml:space="preserve">, el cual tiene a su cargo el deber de </w:t>
            </w:r>
            <w:r w:rsidRPr="007B743D">
              <w:rPr>
                <w:rFonts w:ascii="Verdana" w:eastAsia="Calibri" w:hAnsi="Verdana" w:cs="Arial"/>
                <w:color w:val="000000"/>
                <w:lang w:eastAsia="es-ES"/>
              </w:rPr>
              <w:t xml:space="preserve">impartir las directrices jurídicas y adoptar los instrumentos para la interpretación y aplicación de las normas por parte de las dependencias y demás organismos y entidades del Estado y de establecer criterios de interpretación legal de última instancia, así como fijar la posición jurídica institucional del Departamento Nacional de Planeación y de las normas legales relacionadas con el Sistema General de Regalías, de </w:t>
            </w:r>
            <w:r w:rsidRPr="007B743D">
              <w:rPr>
                <w:rFonts w:ascii="Verdana" w:eastAsia="Calibri" w:hAnsi="Verdana" w:cs="Arial"/>
                <w:color w:val="000000"/>
                <w:lang w:val="es-ES" w:eastAsia="es-ES"/>
              </w:rPr>
              <w:t>conformidad con lo señalado en los numeral 2 y 3 del artículo 8 del Decreto 1893 de 2021.</w:t>
            </w:r>
          </w:p>
        </w:tc>
      </w:tr>
    </w:tbl>
    <w:p w14:paraId="5B5FF270" w14:textId="77777777" w:rsidR="007B743D" w:rsidRPr="007B743D" w:rsidRDefault="007B743D" w:rsidP="007B743D">
      <w:pPr>
        <w:tabs>
          <w:tab w:val="left" w:pos="142"/>
          <w:tab w:val="left" w:pos="284"/>
        </w:tabs>
        <w:spacing w:after="0" w:line="276" w:lineRule="auto"/>
        <w:jc w:val="both"/>
        <w:rPr>
          <w:rFonts w:ascii="Verdana" w:eastAsia="Century Gothic" w:hAnsi="Verdana" w:cs="Century Gothic"/>
          <w:b/>
          <w:bCs/>
        </w:rPr>
      </w:pPr>
    </w:p>
    <w:bookmarkEnd w:id="3"/>
    <w:p w14:paraId="0AE48FC1" w14:textId="77777777" w:rsidR="007B743D" w:rsidRPr="007B743D" w:rsidRDefault="007B743D" w:rsidP="007B743D">
      <w:pPr>
        <w:numPr>
          <w:ilvl w:val="0"/>
          <w:numId w:val="1"/>
        </w:numPr>
        <w:tabs>
          <w:tab w:val="left" w:pos="142"/>
          <w:tab w:val="left" w:pos="284"/>
        </w:tabs>
        <w:spacing w:after="0" w:line="276" w:lineRule="auto"/>
        <w:jc w:val="both"/>
        <w:rPr>
          <w:rFonts w:ascii="Verdana" w:eastAsia="Century Gothic" w:hAnsi="Verdana" w:cs="Century Gothic"/>
          <w:b/>
          <w:bCs/>
        </w:rPr>
      </w:pPr>
      <w:r w:rsidRPr="007B743D">
        <w:rPr>
          <w:rFonts w:ascii="Verdana" w:eastAsia="Century Gothic" w:hAnsi="Verdana" w:cs="Century Gothic"/>
          <w:b/>
          <w:bCs/>
        </w:rPr>
        <w:lastRenderedPageBreak/>
        <w:t>Razones de las respuestas:</w:t>
      </w:r>
    </w:p>
    <w:p w14:paraId="7D6B8326" w14:textId="77777777" w:rsidR="007B743D" w:rsidRPr="007B743D" w:rsidRDefault="007B743D" w:rsidP="007B743D">
      <w:pPr>
        <w:spacing w:after="0" w:line="276" w:lineRule="auto"/>
        <w:jc w:val="both"/>
        <w:rPr>
          <w:rFonts w:ascii="Verdana" w:eastAsia="Calibri" w:hAnsi="Verdana" w:cs="Arial"/>
          <w:color w:val="7030A0"/>
        </w:rPr>
      </w:pPr>
    </w:p>
    <w:p w14:paraId="2093572C" w14:textId="77777777" w:rsidR="007B743D" w:rsidRPr="007B743D" w:rsidRDefault="007B743D" w:rsidP="007B743D">
      <w:pPr>
        <w:spacing w:after="0" w:line="276" w:lineRule="auto"/>
        <w:jc w:val="both"/>
        <w:rPr>
          <w:rFonts w:ascii="Verdana" w:eastAsia="Calibri" w:hAnsi="Verdana" w:cs="Arial"/>
        </w:rPr>
      </w:pPr>
      <w:r w:rsidRPr="007B743D">
        <w:rPr>
          <w:rFonts w:ascii="Verdana" w:eastAsia="Calibri" w:hAnsi="Verdana" w:cs="Arial"/>
        </w:rPr>
        <w:t>Lo anterior se sustenta en las siguientes consideraciones:</w:t>
      </w:r>
    </w:p>
    <w:p w14:paraId="4F83EAF5" w14:textId="77777777" w:rsidR="007B743D" w:rsidRPr="007B743D" w:rsidRDefault="007B743D" w:rsidP="007B743D">
      <w:pPr>
        <w:spacing w:after="0" w:line="276" w:lineRule="auto"/>
        <w:jc w:val="both"/>
        <w:rPr>
          <w:rFonts w:ascii="Verdana" w:eastAsia="Calibri" w:hAnsi="Verdana" w:cs="Arial"/>
        </w:rPr>
      </w:pPr>
    </w:p>
    <w:p w14:paraId="12D986C8" w14:textId="77777777" w:rsidR="007B743D" w:rsidRPr="007B743D" w:rsidRDefault="007B743D" w:rsidP="007B743D">
      <w:pPr>
        <w:spacing w:after="120" w:line="276" w:lineRule="auto"/>
        <w:jc w:val="both"/>
        <w:rPr>
          <w:rFonts w:ascii="Verdana" w:eastAsia="Calibri" w:hAnsi="Verdana" w:cs="Arial"/>
          <w:color w:val="000000"/>
          <w:lang w:val="es-ES" w:eastAsia="es-ES"/>
        </w:rPr>
      </w:pPr>
      <w:r w:rsidRPr="007B743D">
        <w:rPr>
          <w:rFonts w:ascii="Verdana" w:eastAsia="Calibri" w:hAnsi="Verdana" w:cs="Arial"/>
          <w:color w:val="000000"/>
          <w:lang w:val="es-ES" w:eastAsia="es-ES"/>
        </w:rPr>
        <w:t xml:space="preserve">Conforme a la interpretación general de las normas del sistema de compras públicas, esta Subdirección en </w:t>
      </w:r>
      <w:r w:rsidRPr="007B743D">
        <w:rPr>
          <w:rFonts w:ascii="Verdana" w:hAnsi="Verdana" w:cs="Arial"/>
        </w:rPr>
        <w:t>los conceptos C-370 del 2021,</w:t>
      </w:r>
      <w:r w:rsidRPr="007B743D">
        <w:rPr>
          <w:rFonts w:ascii="Verdana" w:hAnsi="Verdana" w:cs="Arial"/>
          <w:shd w:val="clear" w:color="auto" w:fill="FFFFFF"/>
        </w:rPr>
        <w:t xml:space="preserve"> C-353 del 2 de junio de 2022, C-918 del 9 de diciembre de 2024, C-951 del 16 de diciembre de 2024, C-285 del 14 de abril de 2025, C-348 del 25 de abril de 2025, C-370 del 2 de mayo de 2025, </w:t>
      </w:r>
      <w:r w:rsidRPr="007B743D">
        <w:rPr>
          <w:rFonts w:ascii="Verdana" w:hAnsi="Verdana"/>
          <w:shd w:val="clear" w:color="auto" w:fill="FFFFFF"/>
        </w:rPr>
        <w:t>C-680 del 8 de julio de 2025, C-914 del 15 de agosto de 2025 y C-1065 del 8 de septiembre de 2025</w:t>
      </w:r>
      <w:r w:rsidRPr="007B743D">
        <w:rPr>
          <w:rFonts w:ascii="Verdana" w:hAnsi="Verdana" w:cs="Arial"/>
          <w:shd w:val="clear" w:color="auto" w:fill="FFFFFF"/>
        </w:rPr>
        <w:t xml:space="preserve">ha mantenido la postura en virtud de la cual </w:t>
      </w:r>
      <w:r w:rsidRPr="007B743D">
        <w:rPr>
          <w:rFonts w:ascii="Verdana" w:eastAsia="Calibri" w:hAnsi="Verdana" w:cs="Arial"/>
          <w:color w:val="000000"/>
          <w:lang w:val="es-ES" w:eastAsia="es-ES"/>
        </w:rPr>
        <w:t>de acuerdo con el parágrafo primero del artículo 37 de la Ley 2056 de 2020, el ejecutor de los proyectos de inversión del Sistema General de Regalías, independiente del régimen contractual al cuál se encuentre sujeto de manera general, deberá aplicar las reglas de contratación pública, es decir, a las prescripciones establecidas en el Estatuto General de Contratación de la Administración Pública-EGCAP, así como las normas que lo modifiquen, sustituyan o reglamenten.</w:t>
      </w:r>
    </w:p>
    <w:p w14:paraId="3E146EF6" w14:textId="77777777" w:rsidR="007B743D" w:rsidRPr="007B743D" w:rsidRDefault="007B743D" w:rsidP="007B743D">
      <w:pPr>
        <w:spacing w:after="120" w:line="276" w:lineRule="auto"/>
        <w:ind w:firstLine="709"/>
        <w:jc w:val="both"/>
        <w:rPr>
          <w:rFonts w:ascii="Verdana" w:hAnsi="Verdana" w:cs="Arial"/>
          <w:noProof/>
        </w:rPr>
      </w:pPr>
      <w:r w:rsidRPr="007B743D">
        <w:rPr>
          <w:rFonts w:ascii="Verdana" w:eastAsia="Calibri" w:hAnsi="Verdana" w:cs="Arial"/>
          <w:color w:val="000000"/>
          <w:lang w:val="es-ES" w:eastAsia="es-ES"/>
        </w:rPr>
        <w:t xml:space="preserve">En efecto, conforme se ha explicado en estos conceptos, </w:t>
      </w:r>
      <w:r w:rsidRPr="007B743D">
        <w:rPr>
          <w:rFonts w:ascii="Verdana" w:hAnsi="Verdana" w:cs="Arial"/>
          <w:noProof/>
          <w:lang w:val="es-ES_tradnl"/>
        </w:rPr>
        <w:t xml:space="preserve">en </w:t>
      </w:r>
      <w:r w:rsidRPr="007B743D">
        <w:rPr>
          <w:rFonts w:ascii="Verdana" w:hAnsi="Verdana" w:cs="Arial"/>
          <w:noProof/>
        </w:rPr>
        <w:t>el Título IV, Capítulo I, la Ley 2056 de 2020 establece las reglas generales para los proyectos de inversión en el Sistema General de Regalías. En esta línea, regula la destinación de los proyectos del Sistema General de Regalías –artículo 28–, las características de los proyectos de inversión –artículo 29–, los ejercicios de planeación –artículo 30–, el ciclo de los proyectos de inversión –artículo 31–, el registro de proyectos –artículo 32–, formulación y presentación de los proyectos de inversión –artículo 33–, viabilidad de los proyectos de inversión–artículo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–artículo 37–.</w:t>
      </w:r>
    </w:p>
    <w:p w14:paraId="30F1B812" w14:textId="77777777" w:rsidR="007B743D" w:rsidRPr="007B743D" w:rsidRDefault="007B743D" w:rsidP="007B743D">
      <w:pPr>
        <w:spacing w:after="120" w:line="276" w:lineRule="auto"/>
        <w:ind w:firstLine="709"/>
        <w:jc w:val="both"/>
        <w:rPr>
          <w:rFonts w:ascii="Verdana" w:hAnsi="Verdana" w:cs="Arial"/>
        </w:rPr>
      </w:pPr>
      <w:r w:rsidRPr="007B743D">
        <w:rPr>
          <w:rFonts w:ascii="Verdana" w:hAnsi="Verdana" w:cs="Arial"/>
          <w:noProof/>
        </w:rPr>
        <w:t xml:space="preserve">Particularmente, el artículo 37 </w:t>
      </w:r>
      <w:r w:rsidRPr="007B743D">
        <w:rPr>
          <w:rFonts w:ascii="Verdana" w:hAnsi="Verdana" w:cs="Arial"/>
        </w:rPr>
        <w:t xml:space="preserve">de la Ley 2056 de 2020 dispone que los proyectos de inversión que se financien con cargo al Sistema General de Regalías serán ejecutados por quien designe las entidades u órganos de que tratan los artículos 35 y 36 </w:t>
      </w:r>
      <w:r w:rsidRPr="007B743D">
        <w:rPr>
          <w:rFonts w:ascii="Verdana" w:hAnsi="Verdana" w:cs="Arial"/>
          <w:i/>
          <w:iCs/>
        </w:rPr>
        <w:t>ibidem</w:t>
      </w:r>
      <w:r w:rsidRPr="007B743D">
        <w:rPr>
          <w:rFonts w:ascii="Verdana" w:hAnsi="Verdana" w:cs="Arial"/>
        </w:rPr>
        <w:t xml:space="preserve">. También agrega que la entidad pública ejecutora tiene el deber de adelantar la contratación de la interventoría, de conformidad con lo previsto en la presente ley. Las entidades ejecutoras de recursos del Sistema </w:t>
      </w:r>
      <w:r w:rsidRPr="007B743D">
        <w:rPr>
          <w:rFonts w:ascii="Verdana" w:hAnsi="Verdana" w:cs="Arial"/>
        </w:rPr>
        <w:lastRenderedPageBreak/>
        <w:t xml:space="preserve">son responsables de suministrar de forma veraz, oportuna e idónea, la información de la gestión de los proyectos que se requiera e implementar las actuaciones pertinentes para encauzar el desempeño de los proyectos de inversión y decidir, de manera motivada, sobre la continuidad de </w:t>
      </w:r>
      <w:proofErr w:type="gramStart"/>
      <w:r w:rsidRPr="007B743D">
        <w:rPr>
          <w:rFonts w:ascii="Verdana" w:hAnsi="Verdana" w:cs="Arial"/>
        </w:rPr>
        <w:t>los mismos</w:t>
      </w:r>
      <w:proofErr w:type="gramEnd"/>
      <w:r w:rsidRPr="007B743D">
        <w:rPr>
          <w:rFonts w:ascii="Verdana" w:hAnsi="Verdana" w:cs="Arial"/>
        </w:rPr>
        <w:t xml:space="preserve">, sin perjuicio de las acciones de control a las que haya lugar. </w:t>
      </w:r>
    </w:p>
    <w:p w14:paraId="442F692C" w14:textId="77777777" w:rsidR="007B743D" w:rsidRPr="007B743D" w:rsidRDefault="007B743D" w:rsidP="007B743D">
      <w:pPr>
        <w:spacing w:after="120" w:line="276" w:lineRule="auto"/>
        <w:ind w:firstLine="709"/>
        <w:jc w:val="both"/>
        <w:rPr>
          <w:rFonts w:ascii="Verdana" w:hAnsi="Verdana" w:cs="Arial"/>
        </w:rPr>
      </w:pPr>
      <w:r w:rsidRPr="007B743D">
        <w:rPr>
          <w:rFonts w:ascii="Verdana" w:hAnsi="Verdana" w:cs="Arial"/>
        </w:rPr>
        <w:t xml:space="preserve">El parágrafo primero del artículo 37 </w:t>
      </w:r>
      <w:r w:rsidRPr="007B743D">
        <w:rPr>
          <w:rFonts w:ascii="Verdana" w:hAnsi="Verdana" w:cs="Arial"/>
          <w:i/>
          <w:iCs/>
        </w:rPr>
        <w:t>ibidem</w:t>
      </w:r>
      <w:r w:rsidRPr="007B743D">
        <w:rPr>
          <w:rFonts w:ascii="Verdana" w:hAnsi="Verdana" w:cs="Arial"/>
        </w:rPr>
        <w:t xml:space="preserve"> dispone lo siguiente: “La ejecución de proyectos de que trata este artículo, se adelantará, con estricta sujeción al régimen presupuestal definido en esta ley, </w:t>
      </w:r>
      <w:r w:rsidRPr="007B743D">
        <w:rPr>
          <w:rFonts w:ascii="Verdana" w:hAnsi="Verdana" w:cs="Arial"/>
          <w:i/>
          <w:iCs/>
          <w:u w:val="single"/>
        </w:rPr>
        <w:t>al de contratación pública</w:t>
      </w:r>
      <w:r w:rsidRPr="007B743D">
        <w:rPr>
          <w:rFonts w:ascii="Verdana" w:hAnsi="Verdana" w:cs="Arial"/>
        </w:rPr>
        <w:t xml:space="preserve"> y las demás normas legales vigentes. El ejecutor garantizará la correcta ejecución de los recursos asignados al proyecto de inversión, así como el suministro y registro de la información requerida por el sistema de seguimiento, evaluación y control”</w:t>
      </w:r>
      <w:r w:rsidRPr="007B743D">
        <w:rPr>
          <w:rFonts w:ascii="Verdana" w:hAnsi="Verdana" w:cs="Arial"/>
          <w:vertAlign w:val="superscript"/>
        </w:rPr>
        <w:footnoteReference w:id="2"/>
      </w:r>
      <w:r w:rsidRPr="007B743D">
        <w:rPr>
          <w:rFonts w:ascii="Verdana" w:hAnsi="Verdana" w:cs="Arial"/>
        </w:rPr>
        <w:t>.</w:t>
      </w:r>
      <w:r w:rsidRPr="007B743D">
        <w:rPr>
          <w:rFonts w:ascii="Verdana" w:hAnsi="Verdana" w:cs="Arial"/>
          <w:noProof/>
        </w:rPr>
        <w:t xml:space="preserve"> A partir de esta norma, el ejercutor de los proyectos de inversion en el SGR debe sujetarse a las reglas de contratación pública, es decir, a las prescripciones establecidas en el Estatuto General de Contratación Pública, </w:t>
      </w:r>
      <w:r w:rsidRPr="007B743D">
        <w:rPr>
          <w:rFonts w:ascii="Verdana" w:hAnsi="Verdana" w:cs="Arial"/>
          <w:noProof/>
        </w:rPr>
        <w:lastRenderedPageBreak/>
        <w:t xml:space="preserve">así como las normas que lo modifiquen, sustituyan o reglamenten. En efecto, el ejecutor debe someterse a las reglas generales de la contratación pública cuando desarrolle proyectos en el marco del Sistema General de Regalías. </w:t>
      </w:r>
    </w:p>
    <w:p w14:paraId="69E2A6A2" w14:textId="77777777" w:rsidR="007B743D" w:rsidRPr="007B743D" w:rsidRDefault="007B743D" w:rsidP="007B743D">
      <w:pPr>
        <w:spacing w:after="120" w:line="276" w:lineRule="auto"/>
        <w:ind w:firstLine="709"/>
        <w:jc w:val="both"/>
        <w:rPr>
          <w:rFonts w:ascii="Verdana" w:hAnsi="Verdana" w:cs="Arial"/>
          <w:bdr w:val="none" w:sz="0" w:space="0" w:color="auto" w:frame="1"/>
        </w:rPr>
      </w:pPr>
      <w:r w:rsidRPr="007B743D">
        <w:rPr>
          <w:rFonts w:ascii="Verdana" w:hAnsi="Verdana" w:cs="Arial"/>
        </w:rPr>
        <w:t xml:space="preserve">Por tanto, en caso de que se realicen proyectos de inversión en el marco del Sistema General de Regalías, como también aquellos proyectos especiales referenciados </w:t>
      </w:r>
      <w:r w:rsidRPr="007B743D">
        <w:rPr>
          <w:rFonts w:ascii="Verdana" w:hAnsi="Verdana" w:cs="Arial"/>
          <w:i/>
          <w:iCs/>
        </w:rPr>
        <w:t>ut supra</w:t>
      </w:r>
      <w:r w:rsidRPr="007B743D">
        <w:rPr>
          <w:rFonts w:ascii="Verdana" w:hAnsi="Verdana" w:cs="Arial"/>
        </w:rPr>
        <w:t>, los ejecutores designados para desarrollarlos deben sujetarse al Estatuto General de Contratación de la Administración Pública</w:t>
      </w:r>
      <w:r w:rsidRPr="007B743D">
        <w:rPr>
          <w:rFonts w:ascii="Verdana" w:eastAsia="Calibri" w:hAnsi="Verdana" w:cs="Arial"/>
        </w:rPr>
        <w:t>.</w:t>
      </w:r>
      <w:r w:rsidRPr="007B743D">
        <w:rPr>
          <w:rFonts w:ascii="Verdana" w:hAnsi="Verdana" w:cs="Arial"/>
        </w:rPr>
        <w:t xml:space="preserve"> </w:t>
      </w:r>
      <w:r w:rsidRPr="007B743D">
        <w:rPr>
          <w:rFonts w:ascii="Verdana" w:hAnsi="Verdana" w:cs="Arial"/>
          <w:bdr w:val="none" w:sz="0" w:space="0" w:color="auto" w:frame="1"/>
        </w:rPr>
        <w:t xml:space="preserve">En el evento en que determinados asuntos estén sometidos por norma especial al Estatuto General de Contratación Pública, la ejecución de los contratos deberá realizarse conforme a este régimen. </w:t>
      </w:r>
    </w:p>
    <w:p w14:paraId="371F730A" w14:textId="77777777" w:rsidR="007B743D" w:rsidRPr="007B743D" w:rsidRDefault="007B743D" w:rsidP="007B743D">
      <w:pPr>
        <w:spacing w:after="120" w:line="276" w:lineRule="auto"/>
        <w:ind w:firstLine="709"/>
        <w:jc w:val="both"/>
        <w:rPr>
          <w:rFonts w:ascii="Verdana" w:eastAsia="Calibri" w:hAnsi="Verdana" w:cs="Arial"/>
          <w:color w:val="000000"/>
          <w:lang w:val="es-ES" w:eastAsia="es-ES"/>
        </w:rPr>
      </w:pPr>
      <w:r w:rsidRPr="007B743D">
        <w:rPr>
          <w:rFonts w:ascii="Verdana" w:eastAsia="Calibri" w:hAnsi="Verdana" w:cs="Arial"/>
          <w:color w:val="000000"/>
          <w:lang w:val="es-ES" w:eastAsia="es-ES"/>
        </w:rPr>
        <w:t>Así las cosas, se ha sostenido que si la entidad ejecutora es de régimen especial, no podrá apoyarse en las excepciones a la aplicación de la Ley 80 de 1993 para la ejecución de los proyectos. De esta manera, el artículo 37 citado excluye la posibilidad de que los recursos se ejecuten con prevalencia del derecho privado, pues quienes tengan la calidad de entidades ejecutoras para efectos del SGR deben sujetarse a las normas donde prevalece el derecho público, esto es, al EGCAP, sin perjuicio de que en sus demás actividades apliquen el régimen especial que les corresponda.</w:t>
      </w:r>
    </w:p>
    <w:p w14:paraId="4C8D0679" w14:textId="77777777" w:rsidR="007B743D" w:rsidRPr="007B743D" w:rsidRDefault="007B743D" w:rsidP="007B743D">
      <w:pPr>
        <w:spacing w:after="120" w:line="276" w:lineRule="auto"/>
        <w:ind w:firstLine="709"/>
        <w:jc w:val="both"/>
        <w:rPr>
          <w:rFonts w:ascii="Verdana" w:eastAsia="Calibri" w:hAnsi="Verdana" w:cs="Arial"/>
        </w:rPr>
      </w:pPr>
      <w:r w:rsidRPr="007B743D">
        <w:rPr>
          <w:rFonts w:ascii="Verdana" w:eastAsia="Calibri" w:hAnsi="Verdana" w:cs="Arial"/>
        </w:rPr>
        <w:t xml:space="preserve">En este contexto, la ANCP – CCE si bien reconoce que de conformidad con los artículos 57, 93 y 94 de la Ley 30 de 1992, el régimen de contratación de las universidades públicas es de derecho privado, lo que implica que son consideradas entidades con régimen especial en materia contractual, cuando actúan como entidades ejecutoras de proyectos financiados con recursos del SGR, deben sujetarse a la norma especial prevista para dichos recursos, la cual impone la aplicación obligatoria del Estatuto General de Contratación de la Administración Pública, tal como lo establece de forma expresa el artículo 37 de la Ley 2056 de 2020. </w:t>
      </w:r>
    </w:p>
    <w:p w14:paraId="593E2081" w14:textId="77777777" w:rsidR="007B743D" w:rsidRPr="007B743D" w:rsidRDefault="007B743D" w:rsidP="007B743D">
      <w:pPr>
        <w:spacing w:after="120" w:line="276" w:lineRule="auto"/>
        <w:ind w:firstLine="709"/>
        <w:jc w:val="both"/>
        <w:rPr>
          <w:rFonts w:ascii="Verdana" w:eastAsia="Calibri" w:hAnsi="Verdana" w:cs="Arial"/>
          <w:color w:val="000000" w:themeColor="text1"/>
          <w:lang w:eastAsia="es-ES"/>
        </w:rPr>
      </w:pPr>
      <w:r w:rsidRPr="007B743D">
        <w:rPr>
          <w:rFonts w:ascii="Verdana" w:eastAsia="Calibri" w:hAnsi="Verdana" w:cs="Arial"/>
        </w:rPr>
        <w:t xml:space="preserve">De acuerdo con esta interpretación, esta Subdirección considera que el </w:t>
      </w:r>
      <w:r w:rsidRPr="007B743D">
        <w:rPr>
          <w:rFonts w:ascii="Verdana" w:eastAsia="Calibri" w:hAnsi="Verdana" w:cs="Arial"/>
          <w:color w:val="000000" w:themeColor="text1"/>
          <w:lang w:eastAsia="es-ES"/>
        </w:rPr>
        <w:t>parágrafo primero del artículo 37 de la Ley 2056 de 2020 incorpora una remisión normativa expresa y categórica al régimen de contratación pública, es decir, a las reglas contenidas principalmente en la Ley 80 de 1993 y sus normas complementarias - Ley 1150 de 2007, Decreto 1082 de 2015, entre otras-. Además, el uso de la expresión “estricta sujeción” refuerza la intención del legislador de conferir un carácter obligatorio a dicha remisión.</w:t>
      </w:r>
    </w:p>
    <w:p w14:paraId="3F71D8D1" w14:textId="77777777" w:rsidR="007B743D" w:rsidRPr="007B743D" w:rsidRDefault="007B743D" w:rsidP="007B743D">
      <w:pPr>
        <w:spacing w:after="120" w:line="276" w:lineRule="auto"/>
        <w:ind w:firstLine="709"/>
        <w:jc w:val="both"/>
        <w:rPr>
          <w:rFonts w:ascii="Verdana" w:eastAsia="Calibri" w:hAnsi="Verdana" w:cs="Arial"/>
          <w:color w:val="000000" w:themeColor="text1"/>
          <w:lang w:eastAsia="es-ES"/>
        </w:rPr>
      </w:pPr>
      <w:r w:rsidRPr="007B743D">
        <w:rPr>
          <w:rFonts w:ascii="Verdana" w:eastAsia="Calibri" w:hAnsi="Verdana" w:cs="Arial"/>
          <w:color w:val="000000" w:themeColor="text1"/>
          <w:lang w:eastAsia="es-ES"/>
        </w:rPr>
        <w:lastRenderedPageBreak/>
        <w:t xml:space="preserve">El alcance de esta remisión normativa implica que, para efectos de la ejecución de proyectos financiados con recursos del Sistema General de Regalías, las entidades ejecutoras deben sujetarse a las reglas y principios establecidos en el Estatuto General de Contratación de la Administración Pública y sus disposiciones reglamentarias. En tal sentido, esta remisión impone la aplicación del régimen general de contratación pública como garantía de transparencia y eficiencia configurando un marco jurídico específico que se activa por el uso de los recursos de regalías, lo que excluye la aplicación de regímenes especiales. </w:t>
      </w:r>
    </w:p>
    <w:p w14:paraId="0D97AF9B" w14:textId="77777777" w:rsidR="007B743D" w:rsidRPr="007B743D" w:rsidRDefault="007B743D" w:rsidP="007B743D">
      <w:pPr>
        <w:spacing w:after="120" w:line="276" w:lineRule="auto"/>
        <w:ind w:firstLine="709"/>
        <w:jc w:val="both"/>
        <w:rPr>
          <w:rFonts w:ascii="Verdana" w:eastAsia="Calibri" w:hAnsi="Verdana" w:cs="Arial"/>
          <w:color w:val="000000" w:themeColor="text1"/>
          <w:lang w:eastAsia="es-ES"/>
        </w:rPr>
      </w:pPr>
      <w:r w:rsidRPr="007B743D">
        <w:rPr>
          <w:rFonts w:ascii="Verdana" w:eastAsia="Calibri" w:hAnsi="Verdana" w:cs="Arial"/>
          <w:color w:val="000000" w:themeColor="text1"/>
          <w:lang w:eastAsia="es-ES"/>
        </w:rPr>
        <w:t>Así pues, se parte de una lectura literal del texto normativo, en la que la remisión al EGCAP refleja de manera directa la voluntad del legislador de someter tales asuntos a la ley 80 de 1993 y normas reglamentarias vigentes. De igual forma, esta remisión expresa al EGCAP establecida en el parágrafo 1 del artículo 37 se contempla en diferentes disposiciones de la Ley 2056 de 2020, como son los artículos 84</w:t>
      </w:r>
      <w:r w:rsidRPr="007B743D">
        <w:rPr>
          <w:rFonts w:ascii="Verdana" w:eastAsia="Calibri" w:hAnsi="Verdana" w:cs="Arial"/>
          <w:color w:val="000000" w:themeColor="text1"/>
          <w:vertAlign w:val="superscript"/>
          <w:lang w:eastAsia="es-ES"/>
        </w:rPr>
        <w:footnoteReference w:id="3"/>
      </w:r>
      <w:r w:rsidRPr="007B743D">
        <w:rPr>
          <w:rFonts w:ascii="Verdana" w:eastAsia="Calibri" w:hAnsi="Verdana" w:cs="Arial"/>
          <w:color w:val="000000" w:themeColor="text1"/>
          <w:lang w:eastAsia="es-ES"/>
        </w:rPr>
        <w:t>, 85</w:t>
      </w:r>
      <w:r w:rsidRPr="007B743D">
        <w:rPr>
          <w:rFonts w:ascii="Verdana" w:eastAsia="Calibri" w:hAnsi="Verdana" w:cs="Arial"/>
          <w:color w:val="000000" w:themeColor="text1"/>
          <w:vertAlign w:val="superscript"/>
          <w:lang w:eastAsia="es-ES"/>
        </w:rPr>
        <w:footnoteReference w:id="4"/>
      </w:r>
      <w:r w:rsidRPr="007B743D">
        <w:rPr>
          <w:rFonts w:ascii="Verdana" w:eastAsia="Calibri" w:hAnsi="Verdana" w:cs="Arial"/>
          <w:color w:val="000000" w:themeColor="text1"/>
          <w:lang w:eastAsia="es-ES"/>
        </w:rPr>
        <w:t>, 98</w:t>
      </w:r>
      <w:r w:rsidRPr="007B743D">
        <w:rPr>
          <w:rFonts w:ascii="Verdana" w:eastAsia="Calibri" w:hAnsi="Verdana" w:cs="Arial"/>
          <w:color w:val="000000" w:themeColor="text1"/>
          <w:vertAlign w:val="superscript"/>
          <w:lang w:eastAsia="es-ES"/>
        </w:rPr>
        <w:footnoteReference w:id="5"/>
      </w:r>
      <w:r w:rsidRPr="007B743D">
        <w:rPr>
          <w:rFonts w:ascii="Verdana" w:eastAsia="Calibri" w:hAnsi="Verdana" w:cs="Arial"/>
          <w:color w:val="000000" w:themeColor="text1"/>
          <w:lang w:eastAsia="es-ES"/>
        </w:rPr>
        <w:t>, 99</w:t>
      </w:r>
      <w:r w:rsidRPr="007B743D">
        <w:rPr>
          <w:rFonts w:ascii="Verdana" w:eastAsia="Calibri" w:hAnsi="Verdana" w:cs="Arial"/>
          <w:color w:val="000000" w:themeColor="text1"/>
          <w:vertAlign w:val="superscript"/>
          <w:lang w:eastAsia="es-ES"/>
        </w:rPr>
        <w:footnoteReference w:id="6"/>
      </w:r>
      <w:r w:rsidRPr="007B743D">
        <w:rPr>
          <w:rFonts w:ascii="Verdana" w:eastAsia="Calibri" w:hAnsi="Verdana" w:cs="Arial"/>
          <w:color w:val="000000" w:themeColor="text1"/>
          <w:lang w:eastAsia="es-ES"/>
        </w:rPr>
        <w:t>, 108</w:t>
      </w:r>
      <w:r w:rsidRPr="007B743D">
        <w:rPr>
          <w:rFonts w:ascii="Verdana" w:eastAsia="Calibri" w:hAnsi="Verdana" w:cs="Arial"/>
          <w:color w:val="000000" w:themeColor="text1"/>
          <w:vertAlign w:val="superscript"/>
          <w:lang w:eastAsia="es-ES"/>
        </w:rPr>
        <w:footnoteReference w:id="7"/>
      </w:r>
      <w:r w:rsidRPr="007B743D">
        <w:rPr>
          <w:rFonts w:ascii="Verdana" w:eastAsia="Calibri" w:hAnsi="Verdana" w:cs="Arial"/>
          <w:color w:val="000000" w:themeColor="text1"/>
          <w:lang w:eastAsia="es-ES"/>
        </w:rPr>
        <w:t xml:space="preserve"> y 109</w:t>
      </w:r>
      <w:r w:rsidRPr="007B743D">
        <w:rPr>
          <w:rFonts w:ascii="Verdana" w:eastAsia="Calibri" w:hAnsi="Verdana" w:cs="Arial"/>
          <w:color w:val="000000" w:themeColor="text1"/>
          <w:vertAlign w:val="superscript"/>
          <w:lang w:eastAsia="es-ES"/>
        </w:rPr>
        <w:footnoteReference w:id="8"/>
      </w:r>
      <w:r w:rsidRPr="007B743D">
        <w:rPr>
          <w:rFonts w:ascii="Verdana" w:eastAsia="Calibri" w:hAnsi="Verdana" w:cs="Arial"/>
          <w:color w:val="000000" w:themeColor="text1"/>
          <w:lang w:eastAsia="es-ES"/>
        </w:rPr>
        <w:t>, lo que evidencia una voluntad legislativa clara y reiterada de aplicar el EGCAP, sin distinción o salvedades sobre el régimen de contratación de las entidades ejecutoras.</w:t>
      </w:r>
    </w:p>
    <w:p w14:paraId="0F389372" w14:textId="77777777" w:rsidR="007B743D" w:rsidRPr="007B743D" w:rsidRDefault="007B743D" w:rsidP="007B743D">
      <w:pPr>
        <w:spacing w:after="120" w:line="276" w:lineRule="auto"/>
        <w:ind w:firstLine="709"/>
        <w:jc w:val="both"/>
        <w:rPr>
          <w:rFonts w:ascii="Verdana" w:eastAsia="Calibri" w:hAnsi="Verdana" w:cs="Arial"/>
          <w:color w:val="000000" w:themeColor="text1"/>
          <w:lang w:eastAsia="es-ES"/>
        </w:rPr>
      </w:pPr>
      <w:r w:rsidRPr="007B743D">
        <w:rPr>
          <w:rFonts w:ascii="Verdana" w:eastAsia="Calibri" w:hAnsi="Verdana" w:cs="Arial"/>
          <w:color w:val="000000" w:themeColor="text1"/>
          <w:lang w:eastAsia="es-ES"/>
        </w:rPr>
        <w:lastRenderedPageBreak/>
        <w:t>Desde una lectura sistemática de la Ley 2056 de 2020, estas múltiples remisiones a las normas del régimen general de contratación pública no deben considerarse como simples alusiones formales sin efectos jurídicos. Por el contrario, configuran un mandato normativo concreto que impone la aplicación del EGCAP en la contratación de proyectos financiados con recursos de regalías. De esta manera, una lectura sistemática de todas las normas señaladas conlleva a interpretar la ley en su conjunto, atendiendo no solo a su tenor literal, sino a su estructura interna, lo que permite identificar una intención legislativa de sujetar la ejecución de los recursos del SGR al EGCAP, sin excepciones.</w:t>
      </w:r>
    </w:p>
    <w:p w14:paraId="087D307E" w14:textId="77777777" w:rsidR="007B743D" w:rsidRPr="007B743D" w:rsidRDefault="007B743D" w:rsidP="007B743D">
      <w:pPr>
        <w:spacing w:after="120" w:line="276" w:lineRule="auto"/>
        <w:ind w:firstLine="709"/>
        <w:jc w:val="both"/>
        <w:rPr>
          <w:rFonts w:ascii="Verdana" w:eastAsia="Calibri" w:hAnsi="Verdana" w:cs="Arial"/>
          <w:color w:val="000000" w:themeColor="text1"/>
          <w:lang w:eastAsia="es-ES"/>
        </w:rPr>
      </w:pPr>
      <w:r w:rsidRPr="007B743D">
        <w:rPr>
          <w:rFonts w:ascii="Verdana" w:eastAsia="Calibri" w:hAnsi="Verdana" w:cs="Arial"/>
          <w:color w:val="000000" w:themeColor="text1"/>
          <w:lang w:eastAsia="es-ES"/>
        </w:rPr>
        <w:t xml:space="preserve">Aunado a lo anterior, se precisa que el parágrafo 1 del artículo 37 de la Ley 2056 de 2020 no distingue sobre el tipo de régimen de contratación aplicable a las entidades ejecutoras de los recursos del SGR, sin embargo, si realiza la remisión expresa al EGCAP. Por tanto, en desarrollo del principio general de interpretación jurídica según el cual </w:t>
      </w:r>
      <w:r w:rsidRPr="007B743D">
        <w:rPr>
          <w:rFonts w:ascii="Verdana" w:eastAsia="Calibri" w:hAnsi="Verdana" w:cs="Arial"/>
          <w:i/>
          <w:iCs/>
          <w:color w:val="000000" w:themeColor="text1"/>
          <w:lang w:eastAsia="es-ES"/>
        </w:rPr>
        <w:t>donde la norma no distingue, no le corresponde distinguir al intérprete,</w:t>
      </w:r>
      <w:r w:rsidRPr="007B743D">
        <w:rPr>
          <w:rFonts w:ascii="Verdana" w:eastAsia="Calibri" w:hAnsi="Verdana" w:cs="Arial"/>
          <w:color w:val="000000" w:themeColor="text1"/>
          <w:lang w:eastAsia="es-ES"/>
        </w:rPr>
        <w:t xml:space="preserve"> no resulta viable concluir que es posible la aplicación de un régimen distinto al del EGCAP. Esta regla cobra particular relevancia por el carácter público de los recursos, en los que se impone garantizar</w:t>
      </w:r>
      <w:r w:rsidRPr="007B743D">
        <w:t xml:space="preserve"> </w:t>
      </w:r>
      <w:r w:rsidRPr="007B743D">
        <w:rPr>
          <w:rFonts w:ascii="Verdana" w:eastAsia="Calibri" w:hAnsi="Verdana" w:cs="Arial"/>
          <w:color w:val="000000" w:themeColor="text1"/>
          <w:lang w:eastAsia="es-ES"/>
        </w:rPr>
        <w:t xml:space="preserve">la eficiencia, transparencia y responsabilidad en la gestión del gasto público.  </w:t>
      </w:r>
    </w:p>
    <w:p w14:paraId="45BA0E77" w14:textId="77777777" w:rsidR="007B743D" w:rsidRPr="007B743D" w:rsidRDefault="007B743D" w:rsidP="007B743D">
      <w:pPr>
        <w:spacing w:after="120" w:line="276" w:lineRule="auto"/>
        <w:ind w:firstLine="709"/>
        <w:jc w:val="both"/>
        <w:rPr>
          <w:rFonts w:ascii="Verdana" w:eastAsia="Calibri" w:hAnsi="Verdana" w:cs="Arial"/>
          <w:color w:val="000000" w:themeColor="text1"/>
          <w:lang w:eastAsia="es-ES"/>
        </w:rPr>
      </w:pPr>
      <w:r w:rsidRPr="007B743D">
        <w:rPr>
          <w:rFonts w:ascii="Verdana" w:eastAsia="Calibri" w:hAnsi="Verdana" w:cs="Arial"/>
          <w:color w:val="000000" w:themeColor="text1"/>
          <w:lang w:eastAsia="es-ES"/>
        </w:rPr>
        <w:t xml:space="preserve">En este sentido, con base en la lectura literal y sistemática de las disposiciones contenidas en la Ley 2056 de 2020, así como la aplicación de principios generales del derecho, se colige que la remisión al EGCAP que se consagra en el artículo 37 de la Ley 2056 de 2020 debe entenderse como una disposición con efectos jurídicos y no meramente referencial, lo que significa que somete a todas las entidades ejecutoras, sin distinción de su naturaleza jurídica o régimen de contratación, a la aplicación del EGCAP para la contratación con recursos con cargo al SGR. </w:t>
      </w:r>
    </w:p>
    <w:p w14:paraId="0DC9CA05" w14:textId="77777777" w:rsidR="007B743D" w:rsidRPr="007B743D" w:rsidRDefault="007B743D" w:rsidP="007B743D">
      <w:pPr>
        <w:spacing w:after="120" w:line="276" w:lineRule="auto"/>
        <w:ind w:firstLine="709"/>
        <w:jc w:val="both"/>
        <w:rPr>
          <w:rFonts w:ascii="Verdana" w:eastAsia="Calibri" w:hAnsi="Verdana" w:cs="Arial"/>
          <w:color w:val="000000" w:themeColor="text1"/>
          <w:lang w:eastAsia="es-ES"/>
        </w:rPr>
      </w:pPr>
      <w:r w:rsidRPr="007B743D">
        <w:rPr>
          <w:rFonts w:ascii="Verdana" w:eastAsia="Calibri" w:hAnsi="Verdana" w:cs="Arial"/>
          <w:color w:val="000000" w:themeColor="text1"/>
          <w:lang w:eastAsia="es-ES"/>
        </w:rPr>
        <w:t xml:space="preserve">Adicionalmente, resulta pertinente indicar que el hecho de que el parágrafo primero del artículo 37 de la Ley 2056 de 2020 haga referencia a “las demás normas legales aplicables” no puede interpretarse como una exclusión de la remisión expresa que realiza al EGCAP. En otras palabras, dicha inclusión no niega que hay una remisión expresa y prevalente al EGCAP. Por el contrario, debe entenderse como una manifestación clara de la voluntad del legislador de establecer un marco normativo específico para la ejecución de los recursos del SGR, sin que ello implique desconocer o derogar de manera general los </w:t>
      </w:r>
      <w:r w:rsidRPr="007B743D">
        <w:rPr>
          <w:rFonts w:ascii="Verdana" w:eastAsia="Calibri" w:hAnsi="Verdana" w:cs="Arial"/>
          <w:color w:val="000000" w:themeColor="text1"/>
          <w:lang w:eastAsia="es-ES"/>
        </w:rPr>
        <w:lastRenderedPageBreak/>
        <w:t>regímenes de contratación propios de las entidades que tienen regímenes especiales.</w:t>
      </w:r>
    </w:p>
    <w:p w14:paraId="1157CCAE" w14:textId="77777777" w:rsidR="007B743D" w:rsidRPr="007B743D" w:rsidRDefault="007B743D" w:rsidP="007B743D">
      <w:pPr>
        <w:spacing w:after="120" w:line="276" w:lineRule="auto"/>
        <w:ind w:firstLine="709"/>
        <w:jc w:val="both"/>
        <w:rPr>
          <w:rFonts w:ascii="Verdana" w:eastAsia="Calibri" w:hAnsi="Verdana" w:cs="Arial"/>
          <w:color w:val="000000" w:themeColor="text1"/>
          <w:lang w:eastAsia="es-ES"/>
        </w:rPr>
      </w:pPr>
      <w:r w:rsidRPr="007B743D">
        <w:rPr>
          <w:rFonts w:ascii="Verdana" w:eastAsia="Calibri" w:hAnsi="Verdana" w:cs="Arial"/>
          <w:color w:val="000000" w:themeColor="text1"/>
          <w:lang w:eastAsia="es-ES"/>
        </w:rPr>
        <w:t>Por lo tanto, lejos de generar una contradicción normativa, la remisión al EGCAP debe entenderse como una disposición especial y prevalente frente a la aplicación de otras normas contractuales, y como un instrumento para garantizar la unidad, el control y la eficiencia en el manejo de los recursos del Sistema General de Regalías.</w:t>
      </w:r>
    </w:p>
    <w:p w14:paraId="7053DECA" w14:textId="77777777" w:rsidR="007B743D" w:rsidRPr="007B743D" w:rsidRDefault="007B743D" w:rsidP="007B743D">
      <w:pPr>
        <w:spacing w:after="120" w:line="276" w:lineRule="auto"/>
        <w:ind w:firstLine="709"/>
        <w:jc w:val="both"/>
        <w:rPr>
          <w:rFonts w:ascii="Verdana" w:eastAsia="Calibri" w:hAnsi="Verdana" w:cs="Arial"/>
          <w:color w:val="000000" w:themeColor="text1"/>
          <w:lang w:eastAsia="es-ES"/>
        </w:rPr>
      </w:pPr>
      <w:r w:rsidRPr="007B743D">
        <w:rPr>
          <w:rFonts w:ascii="Verdana" w:eastAsia="Calibri" w:hAnsi="Verdana" w:cs="Arial"/>
          <w:color w:val="000000" w:themeColor="text1"/>
          <w:lang w:eastAsia="es-ES"/>
        </w:rPr>
        <w:t>A lo anterior debe agregarse que en este marco también cobra relevancia el principio de hermenéutica jurídica del efecto útil de las normas, conforme al cual “debe preferir la interpretación que permita dotarlas de sentido y eficacia, frente a otra u otras que lo impidan”</w:t>
      </w:r>
      <w:r w:rsidRPr="007B743D">
        <w:rPr>
          <w:rFonts w:ascii="Verdana" w:eastAsia="Calibri" w:hAnsi="Verdana" w:cs="Arial"/>
          <w:color w:val="000000" w:themeColor="text1"/>
          <w:vertAlign w:val="superscript"/>
          <w:lang w:eastAsia="es-ES"/>
        </w:rPr>
        <w:footnoteReference w:id="9"/>
      </w:r>
      <w:r w:rsidRPr="007B743D">
        <w:rPr>
          <w:rFonts w:ascii="Verdana" w:eastAsia="Calibri" w:hAnsi="Verdana" w:cs="Arial"/>
          <w:color w:val="000000" w:themeColor="text1"/>
          <w:lang w:eastAsia="es-ES"/>
        </w:rPr>
        <w:t>, es decir, que su aplicación y efectividad debe estar ligada al propósito para el cual fueron promulgadas. En este sentido, desconocer la aplicación del EGCAP en el marco de la Ley 2056 de 2020 implicaría privar de eficacia la remisión expresa que esta ley establece en materia de contratación pública, contrariando tanto su tenor literal como su finalidad normativa. En este caso, la voluntad del legislador ha sido la de establecer mecanismos que garanticen la transparencia, eficiencia y control en la ejecución de los recursos del SGR mediante la aplicación del EGCAP, lo cual se refleja no solo en la redacción del articulado, sino también en los antecedentes legislativos que dieron lugar a su expedición</w:t>
      </w:r>
      <w:r w:rsidRPr="007B743D">
        <w:rPr>
          <w:rFonts w:ascii="Verdana" w:eastAsia="Calibri" w:hAnsi="Verdana" w:cs="Arial"/>
          <w:color w:val="000000" w:themeColor="text1"/>
          <w:vertAlign w:val="superscript"/>
          <w:lang w:eastAsia="es-ES"/>
        </w:rPr>
        <w:footnoteReference w:id="10"/>
      </w:r>
      <w:r w:rsidRPr="007B743D">
        <w:rPr>
          <w:rFonts w:ascii="Verdana" w:eastAsia="Calibri" w:hAnsi="Verdana" w:cs="Arial"/>
          <w:color w:val="000000" w:themeColor="text1"/>
          <w:lang w:eastAsia="es-ES"/>
        </w:rPr>
        <w:t>.</w:t>
      </w:r>
    </w:p>
    <w:p w14:paraId="5C96D255" w14:textId="77777777" w:rsidR="007B743D" w:rsidRPr="007B743D" w:rsidRDefault="007B743D" w:rsidP="007B743D">
      <w:pPr>
        <w:spacing w:after="120" w:line="276" w:lineRule="auto"/>
        <w:ind w:firstLine="709"/>
        <w:jc w:val="both"/>
        <w:rPr>
          <w:rFonts w:ascii="Verdana" w:eastAsia="Calibri" w:hAnsi="Verdana" w:cs="Arial"/>
          <w:color w:val="000000" w:themeColor="text1"/>
          <w:lang w:eastAsia="es-ES"/>
        </w:rPr>
      </w:pPr>
      <w:r w:rsidRPr="007B743D">
        <w:rPr>
          <w:rFonts w:ascii="Verdana" w:eastAsia="Calibri" w:hAnsi="Verdana" w:cs="Arial"/>
          <w:color w:val="000000" w:themeColor="text1"/>
          <w:lang w:eastAsia="es-ES"/>
        </w:rPr>
        <w:t xml:space="preserve">De acuerdo con lo señalado, el legislador optó claramente por un criterio funcional o finalista, según el cual el régimen de contratación aplicable se determina por el origen de los recursos públicos y no por la naturaleza orgánica de la entidad ejecutora. Este enfoque parte de la premisa de que los recursos públicos de regalías deben estar sometidos a un marco normativo concreto. De esta forma, el legislador privilegia la naturaleza pública de recursos de regalías como criterio rector, por encima de cualquier particularidad orgánica o régimen especial que pudiera ostentar la entidad ejecutora. Esto se refuerza con el hecho </w:t>
      </w:r>
      <w:r w:rsidRPr="007B743D">
        <w:rPr>
          <w:rFonts w:ascii="Verdana" w:eastAsia="Calibri" w:hAnsi="Verdana" w:cs="Arial"/>
          <w:color w:val="000000" w:themeColor="text1"/>
          <w:lang w:eastAsia="es-ES"/>
        </w:rPr>
        <w:lastRenderedPageBreak/>
        <w:t xml:space="preserve">de que la norma no hace ninguna distinción respecto de la ejecución de recurso por parte las entidades con régimen especial. </w:t>
      </w:r>
    </w:p>
    <w:p w14:paraId="210FF6E6" w14:textId="77777777" w:rsidR="007B743D" w:rsidRPr="007B743D" w:rsidRDefault="007B743D" w:rsidP="007B743D">
      <w:pPr>
        <w:spacing w:after="120" w:line="276" w:lineRule="auto"/>
        <w:ind w:firstLine="709"/>
        <w:jc w:val="both"/>
        <w:rPr>
          <w:rFonts w:ascii="Verdana" w:eastAsia="Calibri" w:hAnsi="Verdana" w:cs="Arial"/>
          <w:color w:val="000000" w:themeColor="text1"/>
          <w:lang w:eastAsia="es-ES"/>
        </w:rPr>
      </w:pPr>
      <w:r w:rsidRPr="007B743D">
        <w:rPr>
          <w:rFonts w:ascii="Verdana" w:eastAsia="Calibri" w:hAnsi="Verdana" w:cs="Arial"/>
          <w:color w:val="000000" w:themeColor="text1"/>
          <w:lang w:eastAsia="es-ES"/>
        </w:rPr>
        <w:t xml:space="preserve">Finalmente, resulta indispensable precisar que la remisión al EGCAP de la ejecución de los proyectos financiados con recursos de regalías no implica una alteración estructural del régimen especial de las entidades ejecutoras ni desconoce las normas que lo regulan. Tal y como se ha expuesto, la interpretación literal, sistemática y teleológica de la norma, armonizada con el principio general del </w:t>
      </w:r>
      <w:r w:rsidRPr="007B743D">
        <w:rPr>
          <w:rFonts w:ascii="Verdana" w:eastAsia="Calibri" w:hAnsi="Verdana" w:cs="Arial"/>
          <w:i/>
          <w:iCs/>
          <w:color w:val="000000" w:themeColor="text1"/>
          <w:lang w:eastAsia="es-ES"/>
        </w:rPr>
        <w:t>efecto útil</w:t>
      </w:r>
      <w:r w:rsidRPr="007B743D">
        <w:rPr>
          <w:rFonts w:ascii="Verdana" w:eastAsia="Calibri" w:hAnsi="Verdana" w:cs="Arial"/>
          <w:color w:val="000000" w:themeColor="text1"/>
          <w:lang w:eastAsia="es-ES"/>
        </w:rPr>
        <w:t xml:space="preserve">, conduce a concluir que cuando estas entidades actúan en calidad de ejecutoras en el marco de la Ley 2056 de 2020, deben sujetarse al EGCAP. </w:t>
      </w:r>
    </w:p>
    <w:p w14:paraId="7C7F9E3B" w14:textId="77777777" w:rsidR="007B743D" w:rsidRPr="007B743D" w:rsidRDefault="007B743D" w:rsidP="007B743D">
      <w:pPr>
        <w:spacing w:after="120" w:line="276" w:lineRule="auto"/>
        <w:ind w:firstLine="709"/>
        <w:jc w:val="both"/>
        <w:rPr>
          <w:rFonts w:ascii="Verdana" w:eastAsia="Calibri" w:hAnsi="Verdana" w:cs="Arial"/>
          <w:color w:val="000000" w:themeColor="text1"/>
          <w:lang w:eastAsia="es-ES"/>
        </w:rPr>
      </w:pPr>
      <w:r w:rsidRPr="007B743D">
        <w:rPr>
          <w:rFonts w:ascii="Verdana" w:eastAsia="Calibri" w:hAnsi="Verdana" w:cs="Arial"/>
          <w:color w:val="000000" w:themeColor="text1"/>
          <w:lang w:eastAsia="es-ES"/>
        </w:rPr>
        <w:t>Este régimen particular no sustituye ni deroga el régimen especial de contratación al que está sujeta la entidad ejecutora, pero sí superpone válidamente un conjunto de reglas especiales aplicables de manera preferente respecto de los contratos financiados con recursos de regalías, porque la Ley 2056 de 2020 contiene disposiciones específicas que regulan un aspecto puntual. En ese contexto, la remisión al régimen de contratación pública contenida en el artículo 37, y reiterada en otras disposiciones de la ley, despliega un efecto de aplicación preferente, no solo por su especialidad temática, sino también por su carácter imperativo y por estar dirigida a una función específica que es la ejecución de proyectos con recursos de regalías.</w:t>
      </w:r>
    </w:p>
    <w:p w14:paraId="46E644FB" w14:textId="77777777" w:rsidR="007B743D" w:rsidRPr="007B743D" w:rsidRDefault="007B743D" w:rsidP="007B743D">
      <w:pPr>
        <w:spacing w:after="120" w:line="276" w:lineRule="auto"/>
        <w:ind w:firstLine="709"/>
        <w:jc w:val="both"/>
        <w:rPr>
          <w:rFonts w:ascii="Verdana" w:eastAsia="Calibri" w:hAnsi="Verdana" w:cs="Arial"/>
          <w:color w:val="000000" w:themeColor="text1"/>
          <w:lang w:eastAsia="es-ES"/>
        </w:rPr>
      </w:pPr>
      <w:r w:rsidRPr="007B743D">
        <w:rPr>
          <w:rFonts w:ascii="Verdana" w:eastAsia="Calibri" w:hAnsi="Verdana" w:cs="Arial"/>
          <w:color w:val="000000" w:themeColor="text1"/>
          <w:lang w:eastAsia="es-ES"/>
        </w:rPr>
        <w:t>Debido a que esta remisión normativa no es una mera referencia indicativa sino que tiene pleno efectos jurídicos, impone la aplicación de régimen de contratación específico en virtud del principio de especialidad y de legalidad. Es decir, mientras actúan como ejecutoras del SGR, dichas entidades deben sujetarse al régimen previsto en la Ley 2056, incluyendo su remisión expresa al EGCAP, sin que ello implique una derogatoria general de su régimen contractual ordinario.</w:t>
      </w:r>
    </w:p>
    <w:p w14:paraId="0AF11B4B" w14:textId="77777777" w:rsidR="007B743D" w:rsidRPr="007B743D" w:rsidRDefault="007B743D" w:rsidP="007B743D">
      <w:pPr>
        <w:spacing w:after="120" w:line="276" w:lineRule="auto"/>
        <w:ind w:firstLine="709"/>
        <w:jc w:val="both"/>
        <w:rPr>
          <w:rFonts w:ascii="Verdana" w:eastAsia="Calibri" w:hAnsi="Verdana" w:cs="Arial"/>
        </w:rPr>
      </w:pPr>
      <w:r w:rsidRPr="007B743D">
        <w:rPr>
          <w:rFonts w:ascii="Verdana" w:eastAsia="Calibri" w:hAnsi="Verdana" w:cs="Arial"/>
          <w:color w:val="000000" w:themeColor="text1"/>
          <w:lang w:eastAsia="es-ES"/>
        </w:rPr>
        <w:t xml:space="preserve">En este contexto, se enfatiza en que la aplicación del EGCAP para la ejecución de recursos de regalías conforme lo dispone el parágrafo 1 del artículo 37 de la Ley 2056 de 2020 no desconoce lo dispuesto en </w:t>
      </w:r>
      <w:r w:rsidRPr="007B743D">
        <w:rPr>
          <w:rFonts w:ascii="Verdana" w:eastAsia="Calibri" w:hAnsi="Verdana" w:cs="Arial"/>
        </w:rPr>
        <w:t xml:space="preserve">los artículos 57, 93 y 94 de la Ley 30 de 1992, así como tampoco altera o modifica el régimen de contratación especial de las universidades públicas. Sin embargo, debido a que la Ley 2056 de 2020 es una norma especial y posterior, puede válidamente establecer reglas contractuales diferenciadas para determinados tipos de </w:t>
      </w:r>
      <w:r w:rsidRPr="007B743D">
        <w:rPr>
          <w:rFonts w:ascii="Verdana" w:eastAsia="Calibri" w:hAnsi="Verdana" w:cs="Arial"/>
        </w:rPr>
        <w:lastRenderedPageBreak/>
        <w:t xml:space="preserve">recursos, sin que ello afecte la estructura general del régimen contractual aplicable a las entidades. </w:t>
      </w:r>
    </w:p>
    <w:p w14:paraId="5EB0B202" w14:textId="77777777" w:rsidR="007B743D" w:rsidRPr="007B743D" w:rsidRDefault="007B743D" w:rsidP="007B743D">
      <w:pPr>
        <w:spacing w:after="120" w:line="276" w:lineRule="auto"/>
        <w:ind w:firstLine="709"/>
        <w:jc w:val="both"/>
        <w:rPr>
          <w:rFonts w:ascii="Verdana" w:eastAsiaTheme="minorEastAsia" w:hAnsi="Verdana" w:cs="Arial"/>
          <w:spacing w:val="-9"/>
          <w:szCs w:val="24"/>
          <w:lang w:eastAsia="es-CO"/>
        </w:rPr>
      </w:pPr>
      <w:r w:rsidRPr="007B743D">
        <w:rPr>
          <w:rFonts w:ascii="Verdana" w:hAnsi="Verdana" w:cs="Arial"/>
          <w:lang w:eastAsia="es-ES"/>
        </w:rPr>
        <w:t>Así las cosas, al margen de la postura de la ANCP – CCE en torno a</w:t>
      </w:r>
      <w:r w:rsidRPr="007B743D">
        <w:rPr>
          <w:rFonts w:ascii="Verdana" w:eastAsia="Calibri" w:hAnsi="Verdana" w:cs="Arial"/>
          <w:color w:val="000000"/>
          <w:lang w:val="es-ES" w:eastAsia="es-ES"/>
        </w:rPr>
        <w:t xml:space="preserve">l régimen de contratación aplicable a la ejecución de proyectos financiados con recursos del Sistema General de Regalías -SGR, se reitera que los conceptos emitidos por esta Subdirección en el marco de la función consultiva </w:t>
      </w:r>
      <w:bookmarkStart w:id="4" w:name="_Hlk200718672"/>
      <w:r w:rsidRPr="007B743D">
        <w:rPr>
          <w:rFonts w:ascii="Verdana" w:eastAsia="Calibri" w:hAnsi="Verdana" w:cs="Arial"/>
          <w:color w:val="000000"/>
          <w:lang w:val="es-ES" w:eastAsia="es-ES"/>
        </w:rPr>
        <w:t>representan</w:t>
      </w:r>
      <w:r w:rsidRPr="007B743D">
        <w:rPr>
          <w:rFonts w:ascii="Verdana" w:hAnsi="Verdana" w:cs="Arial"/>
          <w:lang w:eastAsia="es-ES"/>
        </w:rPr>
        <w:t xml:space="preserve"> una </w:t>
      </w:r>
      <w:r w:rsidRPr="007B743D">
        <w:rPr>
          <w:rFonts w:ascii="Verdana" w:eastAsia="Calibri" w:hAnsi="Verdana" w:cs="Arial"/>
          <w:bCs/>
          <w:lang w:val="es-ES_tradnl"/>
        </w:rPr>
        <w:t>posición hermenéutica respecto a las disposiciones normativas del Sistema de Compras Públicas,</w:t>
      </w:r>
      <w:r w:rsidRPr="007B743D">
        <w:rPr>
          <w:rFonts w:ascii="Verdana" w:hAnsi="Verdana" w:cs="Arial"/>
          <w:lang w:eastAsia="es-ES"/>
        </w:rPr>
        <w:t xml:space="preserve"> </w:t>
      </w:r>
      <w:bookmarkStart w:id="5" w:name="_Hlk42100007"/>
      <w:r w:rsidRPr="007B743D">
        <w:rPr>
          <w:rFonts w:ascii="Verdana" w:hAnsi="Verdana" w:cs="Arial"/>
          <w:lang w:eastAsia="es-ES"/>
        </w:rPr>
        <w:t xml:space="preserve">que </w:t>
      </w:r>
      <w:r w:rsidRPr="007B743D">
        <w:rPr>
          <w:rFonts w:ascii="Verdana" w:eastAsia="Calibri" w:hAnsi="Verdana" w:cs="Arial"/>
          <w:bCs/>
          <w:lang w:val="es-ES_tradnl"/>
        </w:rPr>
        <w:t xml:space="preserve">no tienen efectos vinculantes </w:t>
      </w:r>
      <w:bookmarkEnd w:id="4"/>
      <w:r w:rsidRPr="007B743D">
        <w:rPr>
          <w:rFonts w:ascii="Verdana" w:eastAsia="Calibri" w:hAnsi="Verdana" w:cs="Arial"/>
          <w:bCs/>
          <w:lang w:val="es-ES_tradnl"/>
        </w:rPr>
        <w:t>en relación con una situación jurídica particular y concreta, y exponen un criterio que, aunque jurídicamente fundamentado, no representan la única interpretación válida del ordenamiento jurídico.</w:t>
      </w:r>
      <w:bookmarkEnd w:id="5"/>
      <w:r w:rsidRPr="007B743D">
        <w:rPr>
          <w:rFonts w:ascii="Verdana" w:eastAsiaTheme="minorEastAsia" w:hAnsi="Verdana" w:cs="Arial"/>
          <w:szCs w:val="24"/>
          <w:lang w:eastAsia="es-CO"/>
        </w:rPr>
        <w:t xml:space="preserve"> De este modo, las autoridades que ejercen funciones consultivas pueden expresar su</w:t>
      </w:r>
      <w:r w:rsidRPr="007B743D">
        <w:rPr>
          <w:rFonts w:ascii="Verdana" w:eastAsiaTheme="minorEastAsia" w:hAnsi="Verdana" w:cs="Arial"/>
          <w:spacing w:val="1"/>
          <w:szCs w:val="24"/>
          <w:lang w:eastAsia="es-CO"/>
        </w:rPr>
        <w:t xml:space="preserve"> </w:t>
      </w:r>
      <w:r w:rsidRPr="007B743D">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sidRPr="007B743D">
        <w:rPr>
          <w:rFonts w:ascii="Verdana" w:eastAsiaTheme="minorEastAsia" w:hAnsi="Verdana" w:cs="Arial"/>
          <w:spacing w:val="1"/>
          <w:szCs w:val="24"/>
          <w:lang w:eastAsia="es-CO"/>
        </w:rPr>
        <w:t xml:space="preserve"> </w:t>
      </w:r>
      <w:r w:rsidRPr="007B743D">
        <w:rPr>
          <w:rFonts w:ascii="Verdana" w:eastAsiaTheme="minorEastAsia" w:hAnsi="Verdana" w:cs="Arial"/>
          <w:szCs w:val="24"/>
          <w:lang w:eastAsia="es-CO"/>
        </w:rPr>
        <w:t>virtud</w:t>
      </w:r>
      <w:r w:rsidRPr="007B743D">
        <w:rPr>
          <w:rFonts w:ascii="Verdana" w:eastAsiaTheme="minorEastAsia" w:hAnsi="Verdana" w:cs="Arial"/>
          <w:spacing w:val="-10"/>
          <w:szCs w:val="24"/>
          <w:lang w:eastAsia="es-CO"/>
        </w:rPr>
        <w:t xml:space="preserve"> </w:t>
      </w:r>
      <w:r w:rsidRPr="007B743D">
        <w:rPr>
          <w:rFonts w:ascii="Verdana" w:eastAsiaTheme="minorEastAsia" w:hAnsi="Verdana" w:cs="Arial"/>
          <w:szCs w:val="24"/>
          <w:lang w:eastAsia="es-CO"/>
        </w:rPr>
        <w:t>de</w:t>
      </w:r>
      <w:r w:rsidRPr="007B743D">
        <w:rPr>
          <w:rFonts w:ascii="Verdana" w:eastAsiaTheme="minorEastAsia" w:hAnsi="Verdana" w:cs="Arial"/>
          <w:spacing w:val="-9"/>
          <w:szCs w:val="24"/>
          <w:lang w:eastAsia="es-CO"/>
        </w:rPr>
        <w:t xml:space="preserve"> </w:t>
      </w:r>
      <w:r w:rsidRPr="007B743D">
        <w:rPr>
          <w:rFonts w:ascii="Verdana" w:eastAsiaTheme="minorEastAsia" w:hAnsi="Verdana" w:cs="Arial"/>
          <w:szCs w:val="24"/>
          <w:lang w:eastAsia="es-CO"/>
        </w:rPr>
        <w:t>la</w:t>
      </w:r>
      <w:r w:rsidRPr="007B743D">
        <w:rPr>
          <w:rFonts w:ascii="Verdana" w:eastAsiaTheme="minorEastAsia" w:hAnsi="Verdana" w:cs="Arial"/>
          <w:spacing w:val="-9"/>
          <w:szCs w:val="24"/>
          <w:lang w:eastAsia="es-CO"/>
        </w:rPr>
        <w:t xml:space="preserve"> </w:t>
      </w:r>
      <w:r w:rsidRPr="007B743D">
        <w:rPr>
          <w:rFonts w:ascii="Verdana" w:eastAsiaTheme="minorEastAsia" w:hAnsi="Verdana" w:cs="Arial"/>
          <w:szCs w:val="24"/>
          <w:lang w:eastAsia="es-CO"/>
        </w:rPr>
        <w:t>utilización</w:t>
      </w:r>
      <w:r w:rsidRPr="007B743D">
        <w:rPr>
          <w:rFonts w:ascii="Verdana" w:eastAsiaTheme="minorEastAsia" w:hAnsi="Verdana" w:cs="Arial"/>
          <w:spacing w:val="-9"/>
          <w:szCs w:val="24"/>
          <w:lang w:eastAsia="es-CO"/>
        </w:rPr>
        <w:t xml:space="preserve"> </w:t>
      </w:r>
      <w:r w:rsidRPr="007B743D">
        <w:rPr>
          <w:rFonts w:ascii="Verdana" w:eastAsiaTheme="minorEastAsia" w:hAnsi="Verdana" w:cs="Arial"/>
          <w:szCs w:val="24"/>
          <w:lang w:eastAsia="es-CO"/>
        </w:rPr>
        <w:t>de</w:t>
      </w:r>
      <w:r w:rsidRPr="007B743D">
        <w:rPr>
          <w:rFonts w:ascii="Verdana" w:eastAsiaTheme="minorEastAsia" w:hAnsi="Verdana" w:cs="Arial"/>
          <w:spacing w:val="-9"/>
          <w:szCs w:val="24"/>
          <w:lang w:eastAsia="es-CO"/>
        </w:rPr>
        <w:t xml:space="preserve"> </w:t>
      </w:r>
      <w:r w:rsidRPr="007B743D">
        <w:rPr>
          <w:rFonts w:ascii="Verdana" w:eastAsiaTheme="minorEastAsia" w:hAnsi="Verdana" w:cs="Arial"/>
          <w:szCs w:val="24"/>
          <w:lang w:eastAsia="es-CO"/>
        </w:rPr>
        <w:t>conceptos</w:t>
      </w:r>
      <w:r w:rsidRPr="007B743D">
        <w:rPr>
          <w:rFonts w:ascii="Verdana" w:eastAsiaTheme="minorEastAsia" w:hAnsi="Verdana" w:cs="Arial"/>
          <w:spacing w:val="-10"/>
          <w:szCs w:val="24"/>
          <w:lang w:eastAsia="es-CO"/>
        </w:rPr>
        <w:t xml:space="preserve"> </w:t>
      </w:r>
      <w:r w:rsidRPr="007B743D">
        <w:rPr>
          <w:rFonts w:ascii="Verdana" w:eastAsiaTheme="minorEastAsia" w:hAnsi="Verdana" w:cs="Arial"/>
          <w:szCs w:val="24"/>
          <w:lang w:eastAsia="es-CO"/>
        </w:rPr>
        <w:t>jurídicos</w:t>
      </w:r>
      <w:r w:rsidRPr="007B743D">
        <w:rPr>
          <w:rFonts w:ascii="Verdana" w:eastAsiaTheme="minorEastAsia" w:hAnsi="Verdana" w:cs="Arial"/>
          <w:spacing w:val="-9"/>
          <w:szCs w:val="24"/>
          <w:lang w:eastAsia="es-CO"/>
        </w:rPr>
        <w:t xml:space="preserve"> </w:t>
      </w:r>
      <w:r w:rsidRPr="007B743D">
        <w:rPr>
          <w:rFonts w:ascii="Verdana" w:eastAsiaTheme="minorEastAsia" w:hAnsi="Verdana" w:cs="Arial"/>
          <w:szCs w:val="24"/>
          <w:lang w:eastAsia="es-CO"/>
        </w:rPr>
        <w:t>indeterminados.</w:t>
      </w:r>
      <w:r w:rsidRPr="007B743D">
        <w:rPr>
          <w:rFonts w:ascii="Verdana" w:eastAsiaTheme="minorEastAsia" w:hAnsi="Verdana" w:cs="Arial"/>
          <w:spacing w:val="-9"/>
          <w:szCs w:val="24"/>
          <w:lang w:eastAsia="es-CO"/>
        </w:rPr>
        <w:t xml:space="preserve"> </w:t>
      </w:r>
    </w:p>
    <w:p w14:paraId="3BA9E58C" w14:textId="77777777" w:rsidR="007B743D" w:rsidRPr="007B743D" w:rsidRDefault="007B743D" w:rsidP="007B743D">
      <w:pPr>
        <w:spacing w:after="120" w:line="276" w:lineRule="auto"/>
        <w:ind w:firstLine="709"/>
        <w:jc w:val="both"/>
        <w:rPr>
          <w:rFonts w:ascii="Verdana" w:hAnsi="Verdana" w:cs="Arial"/>
          <w:lang w:eastAsia="es-ES"/>
        </w:rPr>
      </w:pPr>
      <w:r w:rsidRPr="007B743D">
        <w:rPr>
          <w:rFonts w:ascii="Verdana" w:hAnsi="Verdana" w:cs="Arial"/>
          <w:lang w:eastAsia="es-ES"/>
        </w:rPr>
        <w:t xml:space="preserve">Por consiguiente, debe advertirse que el llamado a emitir lineamientos respecto a </w:t>
      </w:r>
      <w:r w:rsidRPr="007B743D">
        <w:rPr>
          <w:rFonts w:ascii="Verdana" w:eastAsia="Calibri" w:hAnsi="Verdana" w:cs="Arial"/>
          <w:bCs/>
          <w:color w:val="000000" w:themeColor="text1"/>
        </w:rPr>
        <w:t>los proyectos adelantados con cargo al Sistema General de Regalías</w:t>
      </w:r>
      <w:r w:rsidRPr="007B743D">
        <w:rPr>
          <w:rFonts w:ascii="Verdana" w:hAnsi="Verdana" w:cs="Arial"/>
          <w:lang w:eastAsia="es-ES"/>
        </w:rPr>
        <w:t xml:space="preserve"> debe ser realizado por el Departamento Nacional de Planeación</w:t>
      </w:r>
      <w:r w:rsidRPr="007B743D">
        <w:rPr>
          <w:rFonts w:ascii="Verdana" w:eastAsia="Calibri" w:hAnsi="Verdana" w:cs="Arial"/>
          <w:color w:val="000000"/>
          <w:lang w:val="es-ES" w:eastAsia="es-ES"/>
        </w:rPr>
        <w:t xml:space="preserve">, el cual tiene a su cargo el deber de </w:t>
      </w:r>
      <w:r w:rsidRPr="007B743D">
        <w:rPr>
          <w:rFonts w:ascii="Verdana" w:eastAsia="Calibri" w:hAnsi="Verdana" w:cs="Arial"/>
          <w:color w:val="000000"/>
          <w:lang w:eastAsia="es-ES"/>
        </w:rPr>
        <w:t xml:space="preserve">impartir las directrices jurídicas y adoptar los instrumentos para la interpretación y aplicación de las normas por parte de las dependencias y demás organismos y entidades del Estado y de establecer criterios de interpretación legal de última instancia, así como fijar la posición jurídica institucional del Departamento Nacional de Planeación y de las normas legales relacionadas con el Sistema General de Regalías, de </w:t>
      </w:r>
      <w:r w:rsidRPr="007B743D">
        <w:rPr>
          <w:rFonts w:ascii="Verdana" w:eastAsia="Calibri" w:hAnsi="Verdana" w:cs="Arial"/>
          <w:color w:val="000000"/>
          <w:lang w:val="es-ES" w:eastAsia="es-ES"/>
        </w:rPr>
        <w:t xml:space="preserve">conformidad con lo señalado en los numeral 2 y 3 del artículo 8 del Decreto 1893 de 2021. </w:t>
      </w:r>
    </w:p>
    <w:p w14:paraId="7FD7F822" w14:textId="77777777" w:rsidR="007B743D" w:rsidRPr="007B743D" w:rsidRDefault="007B743D" w:rsidP="007B743D">
      <w:pPr>
        <w:spacing w:after="0" w:line="276" w:lineRule="auto"/>
        <w:ind w:firstLine="709"/>
        <w:jc w:val="both"/>
        <w:rPr>
          <w:rFonts w:ascii="Verdana" w:hAnsi="Verdana" w:cs="Arial"/>
          <w:lang w:eastAsia="es-ES"/>
        </w:rPr>
      </w:pPr>
    </w:p>
    <w:p w14:paraId="1B572D1C" w14:textId="77777777" w:rsidR="007B743D" w:rsidRPr="007B743D" w:rsidRDefault="007B743D" w:rsidP="007B743D">
      <w:pPr>
        <w:numPr>
          <w:ilvl w:val="0"/>
          <w:numId w:val="1"/>
        </w:numPr>
        <w:tabs>
          <w:tab w:val="left" w:pos="142"/>
          <w:tab w:val="left" w:pos="284"/>
        </w:tabs>
        <w:spacing w:after="0" w:line="276" w:lineRule="auto"/>
        <w:jc w:val="both"/>
        <w:rPr>
          <w:rFonts w:ascii="Verdana" w:eastAsia="Century Gothic" w:hAnsi="Verdana" w:cs="Century Gothic"/>
          <w:b/>
          <w:bCs/>
        </w:rPr>
      </w:pPr>
      <w:r w:rsidRPr="007B743D">
        <w:rPr>
          <w:rFonts w:ascii="Verdana" w:eastAsia="Century Gothic" w:hAnsi="Verdana" w:cs="Century Gothic"/>
          <w:b/>
          <w:bCs/>
        </w:rPr>
        <w:t>Referencias normativas y jurisprudenciales:</w:t>
      </w:r>
    </w:p>
    <w:p w14:paraId="7A6A4F47" w14:textId="77777777" w:rsidR="007B743D" w:rsidRPr="007B743D" w:rsidRDefault="007B743D" w:rsidP="007B743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B743D" w:rsidRPr="007B743D" w14:paraId="47810224" w14:textId="77777777" w:rsidTr="006417DE">
        <w:trPr>
          <w:trHeight w:val="410"/>
          <w:jc w:val="center"/>
        </w:trPr>
        <w:tc>
          <w:tcPr>
            <w:tcW w:w="8647" w:type="dxa"/>
          </w:tcPr>
          <w:p w14:paraId="5B705B44" w14:textId="77777777" w:rsidR="007B743D" w:rsidRPr="007B743D" w:rsidRDefault="007B743D" w:rsidP="007B743D">
            <w:pPr>
              <w:widowControl w:val="0"/>
              <w:numPr>
                <w:ilvl w:val="0"/>
                <w:numId w:val="3"/>
              </w:numPr>
              <w:autoSpaceDE w:val="0"/>
              <w:autoSpaceDN w:val="0"/>
              <w:spacing w:after="120" w:line="276" w:lineRule="auto"/>
              <w:ind w:left="317" w:hanging="357"/>
              <w:contextualSpacing/>
              <w:jc w:val="both"/>
              <w:rPr>
                <w:rFonts w:ascii="Verdana" w:hAnsi="Verdana" w:cs="Arial"/>
                <w:lang w:val="es-ES"/>
              </w:rPr>
            </w:pPr>
            <w:r w:rsidRPr="007B743D">
              <w:rPr>
                <w:rFonts w:ascii="Verdana" w:hAnsi="Verdana" w:cs="Arial"/>
                <w:lang w:val="es-ES"/>
              </w:rPr>
              <w:t xml:space="preserve">Constitución Política de 1991, artículos 360 y 361. </w:t>
            </w:r>
          </w:p>
          <w:p w14:paraId="006A1EF1" w14:textId="77777777" w:rsidR="007B743D" w:rsidRPr="007B743D" w:rsidRDefault="007B743D" w:rsidP="007B743D">
            <w:pPr>
              <w:widowControl w:val="0"/>
              <w:numPr>
                <w:ilvl w:val="0"/>
                <w:numId w:val="3"/>
              </w:numPr>
              <w:autoSpaceDE w:val="0"/>
              <w:autoSpaceDN w:val="0"/>
              <w:spacing w:line="276" w:lineRule="auto"/>
              <w:ind w:left="318" w:hanging="284"/>
              <w:contextualSpacing/>
              <w:jc w:val="both"/>
              <w:rPr>
                <w:rFonts w:ascii="Verdana" w:eastAsia="Aptos" w:hAnsi="Verdana" w:cs="Arial"/>
              </w:rPr>
            </w:pPr>
            <w:r w:rsidRPr="007B743D">
              <w:rPr>
                <w:rFonts w:ascii="Verdana" w:hAnsi="Verdana" w:cs="Arial"/>
              </w:rPr>
              <w:t>Ley 2056 de 2020, artículos 28 a 37, 83, 87, 98, 99, 101, 108 y 109</w:t>
            </w:r>
          </w:p>
          <w:p w14:paraId="0231B1DC" w14:textId="77777777" w:rsidR="007B743D" w:rsidRPr="007B743D" w:rsidRDefault="007B743D" w:rsidP="007B743D">
            <w:pPr>
              <w:numPr>
                <w:ilvl w:val="0"/>
                <w:numId w:val="3"/>
              </w:numPr>
              <w:spacing w:after="120"/>
              <w:ind w:left="318" w:hanging="284"/>
              <w:jc w:val="both"/>
              <w:rPr>
                <w:rFonts w:ascii="Verdana" w:hAnsi="Verdana" w:cs="Arial"/>
                <w:lang w:val="es-MX"/>
              </w:rPr>
            </w:pPr>
            <w:r w:rsidRPr="007B743D">
              <w:rPr>
                <w:rFonts w:ascii="Verdana" w:eastAsia="Aptos" w:hAnsi="Verdana" w:cs="Arial"/>
              </w:rPr>
              <w:t>Consejo De Estado. Sección tercera. Sentencia del 7 de marzo de 2025. Radicación No.69.941. C.P: José Roberto Sáchica.</w:t>
            </w:r>
          </w:p>
        </w:tc>
      </w:tr>
    </w:tbl>
    <w:p w14:paraId="3B3BED6A" w14:textId="77777777" w:rsidR="007B743D" w:rsidRPr="007B743D" w:rsidRDefault="007B743D" w:rsidP="007B743D">
      <w:pPr>
        <w:widowControl w:val="0"/>
        <w:autoSpaceDE w:val="0"/>
        <w:autoSpaceDN w:val="0"/>
        <w:spacing w:after="0" w:line="276" w:lineRule="auto"/>
        <w:jc w:val="both"/>
        <w:rPr>
          <w:rFonts w:ascii="Verdana" w:hAnsi="Verdana" w:cs="Arial"/>
        </w:rPr>
      </w:pPr>
    </w:p>
    <w:p w14:paraId="050FCDEF" w14:textId="77777777" w:rsidR="007B743D" w:rsidRPr="007B743D" w:rsidRDefault="007B743D" w:rsidP="007B743D">
      <w:pPr>
        <w:numPr>
          <w:ilvl w:val="0"/>
          <w:numId w:val="1"/>
        </w:numPr>
        <w:tabs>
          <w:tab w:val="left" w:pos="142"/>
          <w:tab w:val="left" w:pos="284"/>
        </w:tabs>
        <w:spacing w:after="0" w:line="276" w:lineRule="auto"/>
        <w:jc w:val="both"/>
        <w:rPr>
          <w:rFonts w:ascii="Verdana" w:eastAsia="Century Gothic" w:hAnsi="Verdana" w:cs="Century Gothic"/>
          <w:b/>
          <w:bCs/>
        </w:rPr>
      </w:pPr>
      <w:r w:rsidRPr="007B743D">
        <w:rPr>
          <w:rFonts w:ascii="Verdana" w:eastAsia="Century Gothic" w:hAnsi="Verdana" w:cs="Century Gothic"/>
          <w:b/>
          <w:bCs/>
        </w:rPr>
        <w:t>Doctrina de la Agencia Nacional de Contratación Pública:</w:t>
      </w:r>
    </w:p>
    <w:p w14:paraId="4A5BF5CF" w14:textId="77777777" w:rsidR="007B743D" w:rsidRPr="007B743D" w:rsidRDefault="007B743D" w:rsidP="007B743D">
      <w:pPr>
        <w:widowControl w:val="0"/>
        <w:autoSpaceDE w:val="0"/>
        <w:autoSpaceDN w:val="0"/>
        <w:spacing w:after="0" w:line="276" w:lineRule="auto"/>
        <w:jc w:val="both"/>
        <w:rPr>
          <w:rFonts w:ascii="Verdana" w:hAnsi="Verdana" w:cs="Arial"/>
        </w:rPr>
      </w:pPr>
    </w:p>
    <w:p w14:paraId="44F1D194" w14:textId="77777777" w:rsidR="007B743D" w:rsidRPr="007B743D" w:rsidRDefault="007B743D" w:rsidP="007B743D">
      <w:pPr>
        <w:widowControl w:val="0"/>
        <w:autoSpaceDE w:val="0"/>
        <w:autoSpaceDN w:val="0"/>
        <w:spacing w:after="120" w:line="276" w:lineRule="auto"/>
        <w:jc w:val="both"/>
        <w:rPr>
          <w:rFonts w:ascii="Verdana" w:eastAsia="Aptos" w:hAnsi="Verdana" w:cs="Segoe UI"/>
          <w:kern w:val="2"/>
          <w14:ligatures w14:val="standardContextual"/>
        </w:rPr>
      </w:pPr>
      <w:r w:rsidRPr="007B743D">
        <w:rPr>
          <w:rFonts w:ascii="Verdana" w:hAnsi="Verdana" w:cs="Arial"/>
          <w:shd w:val="clear" w:color="auto" w:fill="FFFFFF"/>
        </w:rPr>
        <w:lastRenderedPageBreak/>
        <w:t xml:space="preserve">Esta Subdirección se ha pronunciado sobre el régimen de contratación de las entidades ejecutoras cuando ejecutan recursos del SGR en los </w:t>
      </w:r>
      <w:r w:rsidRPr="007B743D">
        <w:rPr>
          <w:rFonts w:ascii="Verdana" w:hAnsi="Verdana" w:cs="Arial"/>
        </w:rPr>
        <w:t>C-370 del 2021,</w:t>
      </w:r>
      <w:r w:rsidRPr="007B743D">
        <w:rPr>
          <w:rFonts w:ascii="Verdana" w:hAnsi="Verdana" w:cs="Arial"/>
          <w:shd w:val="clear" w:color="auto" w:fill="FFFFFF"/>
        </w:rPr>
        <w:t xml:space="preserve"> C-353 del 2 de junio de 2022, C-918 del 9 de diciembre de 2024, C-951 del 16 de diciembre de 2024, C-285 del 14 de abril de 2025, C-348 del 25 de abril de 2025, C-370 del 2 de mayo de 2025,</w:t>
      </w:r>
      <w:r w:rsidRPr="007B743D">
        <w:rPr>
          <w:rFonts w:ascii="Verdana" w:hAnsi="Verdana"/>
          <w:shd w:val="clear" w:color="auto" w:fill="FFFFFF"/>
        </w:rPr>
        <w:t xml:space="preserve"> C-680 del 8 de julio de 2025, C-914 del 15 de agosto de 2025 y C-1065 del 8 de septiembre de 2025</w:t>
      </w:r>
      <w:r w:rsidRPr="007B743D">
        <w:rPr>
          <w:rFonts w:ascii="Verdana" w:eastAsia="Aptos" w:hAnsi="Verdana" w:cs="Segoe UI"/>
          <w:kern w:val="2"/>
          <w14:ligatures w14:val="standardContextual"/>
        </w:rPr>
        <w:t>.</w:t>
      </w:r>
      <w:r w:rsidRPr="007B743D">
        <w:rPr>
          <w:rFonts w:ascii="Verdana" w:eastAsia="Aptos" w:hAnsi="Verdana" w:cs="Arial"/>
          <w:shd w:val="clear" w:color="auto" w:fill="FFFFFF"/>
        </w:rPr>
        <w:t xml:space="preserve"> </w:t>
      </w:r>
      <w:r w:rsidRPr="007B743D">
        <w:rPr>
          <w:rFonts w:ascii="Verdana" w:hAnsi="Verdana" w:cs="Arial"/>
          <w:shd w:val="clear" w:color="auto" w:fill="FFFFFF"/>
        </w:rPr>
        <w:t>Es</w:t>
      </w:r>
      <w:r w:rsidRPr="007B743D">
        <w:rPr>
          <w:rFonts w:ascii="Verdana" w:hAnsi="Verdana"/>
        </w:rPr>
        <w:t>te y otros conceptos se encuentran disponibles para consulta en el Sistema de relatoría de la Agencia, al cual se puede acceder a través del siguiente enlace:</w:t>
      </w:r>
      <w:r w:rsidRPr="007B743D">
        <w:rPr>
          <w:rFonts w:ascii="Verdana" w:hAnsi="Verdana" w:cs="Arial"/>
          <w:shd w:val="clear" w:color="auto" w:fill="FFFFFF"/>
        </w:rPr>
        <w:t xml:space="preserve"> </w:t>
      </w:r>
      <w:hyperlink r:id="rId14" w:history="1">
        <w:r w:rsidRPr="007B743D">
          <w:rPr>
            <w:rFonts w:ascii="Verdana" w:hAnsi="Verdana" w:cs="Arial"/>
            <w:color w:val="0000FF"/>
            <w:u w:val="single"/>
            <w:shd w:val="clear" w:color="auto" w:fill="FFFFFF"/>
          </w:rPr>
          <w:t>https://relatoria.colombiacompra.gov.co/</w:t>
        </w:r>
      </w:hyperlink>
      <w:r w:rsidRPr="007B743D">
        <w:rPr>
          <w:rFonts w:ascii="Verdana" w:hAnsi="Verdana" w:cs="Arial"/>
          <w:shd w:val="clear" w:color="auto" w:fill="FFFFFF"/>
        </w:rPr>
        <w:t xml:space="preserve"> </w:t>
      </w:r>
    </w:p>
    <w:p w14:paraId="0C01EA45" w14:textId="77777777" w:rsidR="007B743D" w:rsidRPr="007B743D" w:rsidRDefault="007B743D" w:rsidP="007B743D">
      <w:pPr>
        <w:jc w:val="both"/>
        <w:rPr>
          <w:rFonts w:ascii="Verdana" w:hAnsi="Verdana"/>
        </w:rPr>
      </w:pPr>
      <w:r w:rsidRPr="007B743D">
        <w:rPr>
          <w:rFonts w:ascii="Verdana" w:hAnsi="Verdana"/>
        </w:rPr>
        <w:t xml:space="preserve">La sostenibilidad no es una opción, es una obligación. Por ello, la Agencia Nacional de Contratación Pública –Colombia Compra Eficiente– te invita a realizar el </w:t>
      </w:r>
      <w:r w:rsidRPr="007B743D">
        <w:rPr>
          <w:rFonts w:ascii="Verdana" w:hAnsi="Verdana"/>
          <w:b/>
          <w:bCs/>
        </w:rPr>
        <w:t>Curso de Contratación Pública Sostenible y Socialmente Responsable</w:t>
      </w:r>
      <w:r w:rsidRPr="007B743D">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B743D">
        <w:rPr>
          <w:rFonts w:ascii="Verdana" w:hAnsi="Verdana"/>
        </w:rPr>
        <w:br/>
      </w:r>
      <w:hyperlink r:id="rId15" w:tgtFrame="_new" w:history="1">
        <w:r w:rsidRPr="007B743D">
          <w:rPr>
            <w:rFonts w:ascii="Verdana" w:hAnsi="Verdana"/>
            <w:color w:val="0000FF"/>
            <w:u w:val="single"/>
          </w:rPr>
          <w:t>https://formacionvirtual.colombiacompra.gov.co/mod/page/view.php?id=3718</w:t>
        </w:r>
      </w:hyperlink>
    </w:p>
    <w:p w14:paraId="408501D4" w14:textId="77777777" w:rsidR="007B743D" w:rsidRPr="007B743D" w:rsidRDefault="007B743D" w:rsidP="007B743D">
      <w:pPr>
        <w:jc w:val="both"/>
        <w:rPr>
          <w:rFonts w:ascii="Verdana" w:hAnsi="Verdana"/>
        </w:rPr>
      </w:pPr>
      <w:r w:rsidRPr="007B743D">
        <w:rPr>
          <w:rFonts w:ascii="Verdana" w:hAnsi="Verdana"/>
        </w:rPr>
        <w:t xml:space="preserve">De otro lado, te contamos que esta Agencia ha da un paso decisivo en la estandarización y modernización del </w:t>
      </w:r>
      <w:r w:rsidRPr="007B743D">
        <w:rPr>
          <w:rFonts w:ascii="Verdana" w:hAnsi="Verdana"/>
          <w:b/>
          <w:bCs/>
        </w:rPr>
        <w:t>sector  social</w:t>
      </w:r>
      <w:r w:rsidRPr="007B743D">
        <w:rPr>
          <w:rFonts w:ascii="Verdana" w:hAnsi="Verdana"/>
        </w:rPr>
        <w:t xml:space="preserve"> con la expedición de las </w:t>
      </w:r>
      <w:r w:rsidRPr="007B743D">
        <w:rPr>
          <w:rFonts w:ascii="Verdana" w:hAnsi="Verdana"/>
          <w:b/>
          <w:bCs/>
        </w:rPr>
        <w:t>Resoluciones 539, 540, 541, 952 y 953 de 2025</w:t>
      </w:r>
      <w:r w:rsidRPr="007B743D">
        <w:rPr>
          <w:rFonts w:ascii="Verdana" w:hAnsi="Verdana"/>
        </w:rPr>
        <w:t xml:space="preserve">, </w:t>
      </w:r>
      <w:r w:rsidRPr="007B743D">
        <w:rPr>
          <w:rFonts w:ascii="Verdana" w:hAnsi="Verdana"/>
          <w:b/>
          <w:bCs/>
        </w:rPr>
        <w:t>mediante las cuales adoptó Documentos Tipo</w:t>
      </w:r>
      <w:r w:rsidRPr="007B743D">
        <w:rPr>
          <w:rFonts w:ascii="Verdana" w:hAnsi="Verdana"/>
        </w:rPr>
        <w:t xml:space="preserve"> para las modalidades de selección de</w:t>
      </w:r>
      <w:r w:rsidRPr="007B743D">
        <w:rPr>
          <w:rFonts w:ascii="Verdana" w:hAnsi="Verdana"/>
          <w:b/>
          <w:bCs/>
        </w:rPr>
        <w:t xml:space="preserve"> licitación pública (versión 2), selección abreviada de menor cuantía, mínima cuantía, consultoría e interventoría</w:t>
      </w:r>
      <w:r w:rsidRPr="007B743D">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7B743D">
          <w:rPr>
            <w:rFonts w:ascii="Verdana" w:hAnsi="Verdana"/>
            <w:color w:val="0000FF"/>
            <w:u w:val="single"/>
          </w:rPr>
          <w:t>https://www.colombiacompra.gov.co/normativa-y-relatoria/documentos-tipo</w:t>
        </w:r>
      </w:hyperlink>
    </w:p>
    <w:p w14:paraId="49A3F4A9" w14:textId="77777777" w:rsidR="007B743D" w:rsidRPr="007B743D" w:rsidRDefault="007B743D" w:rsidP="007B743D">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7B743D">
        <w:rPr>
          <w:rFonts w:ascii="Verdana" w:hAnsi="Verdana"/>
        </w:rPr>
        <w:t xml:space="preserve">Si quieres conocer más sobre la aplicación de Documentos Tipo puedes consultar la última versión de la </w:t>
      </w:r>
      <w:r w:rsidRPr="007B743D">
        <w:rPr>
          <w:rFonts w:ascii="Verdana" w:hAnsi="Verdana"/>
          <w:b/>
          <w:bCs/>
        </w:rPr>
        <w:t>Guía para la comprensión e implementación de los Documentos Tipo de obra pública de infraestructura de transporte</w:t>
      </w:r>
      <w:r w:rsidRPr="007B743D">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B743D">
        <w:rPr>
          <w:rFonts w:ascii="Verdana" w:hAnsi="Verdana"/>
        </w:rPr>
        <w:br/>
      </w:r>
      <w:hyperlink r:id="rId17" w:tgtFrame="_new" w:history="1">
        <w:r w:rsidRPr="007B743D">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31EDDEA6" w14:textId="77777777" w:rsidR="007B743D" w:rsidRPr="007B743D" w:rsidRDefault="007B743D" w:rsidP="007B743D">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0D834553" w14:textId="77777777" w:rsidR="007B743D" w:rsidRPr="007B743D" w:rsidRDefault="007B743D" w:rsidP="007B743D">
      <w:pPr>
        <w:widowControl w:val="0"/>
        <w:autoSpaceDE w:val="0"/>
        <w:autoSpaceDN w:val="0"/>
        <w:spacing w:after="0" w:line="276" w:lineRule="auto"/>
        <w:jc w:val="both"/>
        <w:rPr>
          <w:rFonts w:ascii="Verdana" w:hAnsi="Verdana" w:cs="Arial"/>
        </w:rPr>
      </w:pPr>
      <w:r w:rsidRPr="007B743D">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0072B6B" w14:textId="77777777" w:rsidR="007B743D" w:rsidRPr="007B743D" w:rsidRDefault="007B743D" w:rsidP="007B743D">
      <w:pPr>
        <w:widowControl w:val="0"/>
        <w:autoSpaceDE w:val="0"/>
        <w:autoSpaceDN w:val="0"/>
        <w:spacing w:after="0" w:line="276" w:lineRule="auto"/>
        <w:jc w:val="both"/>
        <w:rPr>
          <w:rFonts w:ascii="Verdana" w:hAnsi="Verdana" w:cs="Arial"/>
        </w:rPr>
      </w:pPr>
    </w:p>
    <w:p w14:paraId="2E194612" w14:textId="77777777" w:rsidR="007B743D" w:rsidRPr="007B743D" w:rsidRDefault="007B743D" w:rsidP="007B743D">
      <w:pPr>
        <w:spacing w:after="0" w:line="276" w:lineRule="auto"/>
        <w:rPr>
          <w:rFonts w:ascii="Verdana" w:hAnsi="Verdana" w:cs="Arial"/>
          <w:lang w:eastAsia="es-CO"/>
        </w:rPr>
      </w:pPr>
      <w:r w:rsidRPr="007B743D">
        <w:rPr>
          <w:rFonts w:ascii="Verdana" w:eastAsia="Times New Roman" w:hAnsi="Verdana" w:cs="Arial"/>
          <w:lang w:eastAsia="es-CO"/>
        </w:rPr>
        <w:t>Atentamente,</w:t>
      </w:r>
      <w:r w:rsidRPr="007B743D">
        <w:rPr>
          <w:rFonts w:ascii="Verdana" w:hAnsi="Verdana" w:cs="Arial"/>
          <w:lang w:eastAsia="es-CO"/>
        </w:rPr>
        <w:t xml:space="preserve"> </w:t>
      </w:r>
    </w:p>
    <w:bookmarkEnd w:id="0"/>
    <w:bookmarkEnd w:id="1"/>
    <w:p w14:paraId="4F6078D9" w14:textId="77777777" w:rsidR="002018B3" w:rsidRPr="00F21F0B" w:rsidRDefault="002018B3" w:rsidP="002018B3">
      <w:pPr>
        <w:spacing w:line="276" w:lineRule="auto"/>
        <w:jc w:val="center"/>
        <w:rPr>
          <w:rFonts w:ascii="Verdana" w:eastAsia="Calibri" w:hAnsi="Verdana" w:cs="Arial"/>
          <w:color w:val="000000"/>
          <w:lang w:val="es-ES_tradnl" w:eastAsia="es-CO"/>
        </w:rPr>
      </w:pPr>
      <w:r w:rsidRPr="00F21F0B">
        <w:rPr>
          <w:rFonts w:ascii="Century Gothic" w:hAnsi="Century Gothic"/>
          <w:noProof/>
        </w:rPr>
        <w:drawing>
          <wp:inline distT="0" distB="0" distL="0" distR="0" wp14:anchorId="23303B49" wp14:editId="0C5F1A6B">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112"/>
        <w:tblW w:w="6521" w:type="dxa"/>
        <w:tblLook w:val="04A0" w:firstRow="1" w:lastRow="0" w:firstColumn="1" w:lastColumn="0" w:noHBand="0" w:noVBand="1"/>
      </w:tblPr>
      <w:tblGrid>
        <w:gridCol w:w="893"/>
        <w:gridCol w:w="5628"/>
      </w:tblGrid>
      <w:tr w:rsidR="002018B3" w:rsidRPr="00F21F0B" w14:paraId="74B6A409" w14:textId="77777777" w:rsidTr="00E615C0">
        <w:trPr>
          <w:trHeight w:val="315"/>
        </w:trPr>
        <w:tc>
          <w:tcPr>
            <w:tcW w:w="893" w:type="dxa"/>
            <w:vAlign w:val="center"/>
            <w:hideMark/>
          </w:tcPr>
          <w:p w14:paraId="4308F360" w14:textId="77777777" w:rsidR="002018B3" w:rsidRPr="00F21F0B" w:rsidRDefault="002018B3" w:rsidP="00E615C0">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96D7BD9" w14:textId="77777777" w:rsidR="002018B3" w:rsidRPr="00F21F0B" w:rsidRDefault="002018B3" w:rsidP="00E615C0">
            <w:pPr>
              <w:spacing w:after="255" w:line="254" w:lineRule="auto"/>
              <w:contextualSpacing/>
              <w:rPr>
                <w:rFonts w:ascii="Verdana" w:eastAsia="Calibri" w:hAnsi="Verdana" w:cs="Times New Roman"/>
                <w:sz w:val="16"/>
                <w:szCs w:val="16"/>
              </w:rPr>
            </w:pPr>
            <w:r w:rsidRPr="00F21F0B">
              <w:rPr>
                <w:rFonts w:ascii="Verdana" w:eastAsia="Calibri" w:hAnsi="Verdana" w:cs="Times New Roman"/>
                <w:sz w:val="16"/>
                <w:szCs w:val="16"/>
              </w:rPr>
              <w:t>Tatiana Baquero Iguarán</w:t>
            </w:r>
          </w:p>
          <w:p w14:paraId="083502BC" w14:textId="77777777" w:rsidR="002018B3" w:rsidRPr="00F21F0B" w:rsidRDefault="002018B3" w:rsidP="00E615C0">
            <w:pPr>
              <w:spacing w:after="255" w:line="254" w:lineRule="auto"/>
              <w:contextualSpacing/>
              <w:rPr>
                <w:rFonts w:ascii="Verdana" w:hAnsi="Verdana"/>
                <w:sz w:val="16"/>
                <w:szCs w:val="16"/>
              </w:rPr>
            </w:pPr>
            <w:r w:rsidRPr="00F21F0B">
              <w:rPr>
                <w:rFonts w:ascii="Verdana" w:eastAsia="Calibri" w:hAnsi="Verdana" w:cs="Times New Roman"/>
                <w:sz w:val="16"/>
                <w:szCs w:val="16"/>
              </w:rPr>
              <w:t>Contratista de la Subdirección de Gestión Contractual</w:t>
            </w:r>
          </w:p>
        </w:tc>
      </w:tr>
      <w:tr w:rsidR="002018B3" w:rsidRPr="00F21F0B" w14:paraId="07602ECB" w14:textId="77777777" w:rsidTr="00E615C0">
        <w:trPr>
          <w:trHeight w:val="330"/>
        </w:trPr>
        <w:tc>
          <w:tcPr>
            <w:tcW w:w="893" w:type="dxa"/>
            <w:vAlign w:val="center"/>
            <w:hideMark/>
          </w:tcPr>
          <w:p w14:paraId="1DBFE0E3" w14:textId="77777777" w:rsidR="002018B3" w:rsidRPr="00F21F0B" w:rsidRDefault="002018B3" w:rsidP="00E615C0">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523226E" w14:textId="77777777" w:rsidR="002018B3" w:rsidRPr="00F21F0B" w:rsidRDefault="002018B3" w:rsidP="00E615C0">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F21F0B">
              <w:rPr>
                <w:rFonts w:ascii="Verdana" w:eastAsia="Times New Roman" w:hAnsi="Verdana"/>
                <w:sz w:val="16"/>
                <w:szCs w:val="16"/>
                <w:lang w:eastAsia="es-ES_tradnl"/>
              </w:rPr>
              <w:t>Alejandro Sarmiento Cantillo</w:t>
            </w:r>
          </w:p>
          <w:p w14:paraId="0FECB81F" w14:textId="77777777" w:rsidR="002018B3" w:rsidRPr="00F21F0B" w:rsidRDefault="002018B3" w:rsidP="00E615C0">
            <w:pPr>
              <w:spacing w:after="255" w:line="254" w:lineRule="auto"/>
              <w:contextualSpacing/>
              <w:textAlignment w:val="baseline"/>
              <w:rPr>
                <w:rFonts w:ascii="Verdana" w:eastAsia="Times New Roman" w:hAnsi="Verdana" w:cs="Segoe UI"/>
                <w:sz w:val="16"/>
                <w:szCs w:val="16"/>
                <w:lang w:eastAsia="es-ES_tradnl"/>
              </w:rPr>
            </w:pPr>
            <w:r w:rsidRPr="00F21F0B">
              <w:rPr>
                <w:rFonts w:ascii="Verdana" w:eastAsia="Times New Roman" w:hAnsi="Verdana"/>
                <w:sz w:val="16"/>
                <w:szCs w:val="16"/>
                <w:lang w:eastAsia="es-ES_tradnl"/>
              </w:rPr>
              <w:t>Gestor T1 ‒ 15 de la Subdirección de Gestión Contractual </w:t>
            </w:r>
          </w:p>
        </w:tc>
      </w:tr>
      <w:tr w:rsidR="002018B3" w:rsidRPr="00F21F0B" w14:paraId="5B42448E" w14:textId="77777777" w:rsidTr="00E615C0">
        <w:trPr>
          <w:trHeight w:val="300"/>
        </w:trPr>
        <w:tc>
          <w:tcPr>
            <w:tcW w:w="893" w:type="dxa"/>
            <w:vAlign w:val="center"/>
            <w:hideMark/>
          </w:tcPr>
          <w:p w14:paraId="0FEFD7B3" w14:textId="77777777" w:rsidR="002018B3" w:rsidRPr="00F21F0B" w:rsidRDefault="002018B3" w:rsidP="00E615C0">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F32991C" w14:textId="77777777" w:rsidR="002018B3" w:rsidRPr="00F21F0B" w:rsidRDefault="002018B3" w:rsidP="00E615C0">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val="pt-BR" w:eastAsia="es-ES"/>
              </w:rPr>
              <w:t xml:space="preserve">Carolina Quintero </w:t>
            </w:r>
            <w:proofErr w:type="spellStart"/>
            <w:r w:rsidRPr="00F21F0B">
              <w:rPr>
                <w:rFonts w:ascii="Verdana" w:eastAsia="Calibri" w:hAnsi="Verdana"/>
                <w:sz w:val="16"/>
                <w:szCs w:val="16"/>
                <w:lang w:val="pt-BR" w:eastAsia="es-ES"/>
              </w:rPr>
              <w:t>Gacharná</w:t>
            </w:r>
            <w:proofErr w:type="spellEnd"/>
          </w:p>
          <w:p w14:paraId="5328B205" w14:textId="77777777" w:rsidR="002018B3" w:rsidRPr="00F21F0B" w:rsidRDefault="002018B3" w:rsidP="00E615C0">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eastAsia="es-ES"/>
              </w:rPr>
              <w:t>Subdirectora</w:t>
            </w:r>
            <w:r w:rsidRPr="00F21F0B">
              <w:rPr>
                <w:rFonts w:ascii="Verdana" w:eastAsia="Calibri" w:hAnsi="Verdana"/>
                <w:sz w:val="16"/>
                <w:szCs w:val="16"/>
                <w:lang w:val="pt-BR" w:eastAsia="es-ES"/>
              </w:rPr>
              <w:t xml:space="preserve"> de Gestión Contratual ANCP – CCE</w:t>
            </w:r>
          </w:p>
        </w:tc>
      </w:tr>
    </w:tbl>
    <w:p w14:paraId="184CD427" w14:textId="77777777" w:rsidR="002018B3" w:rsidRPr="00F21F0B" w:rsidRDefault="002018B3" w:rsidP="002018B3">
      <w:pPr>
        <w:spacing w:after="0" w:line="240" w:lineRule="auto"/>
        <w:rPr>
          <w:rFonts w:ascii="Verdana" w:eastAsia="Times New Roman" w:hAnsi="Verdana" w:cs="Arial"/>
          <w:sz w:val="24"/>
          <w:szCs w:val="24"/>
          <w:lang w:eastAsia="es-ES"/>
        </w:rPr>
      </w:pPr>
    </w:p>
    <w:p w14:paraId="5673AA78" w14:textId="77777777" w:rsidR="002018B3" w:rsidRPr="00F21F0B" w:rsidRDefault="002018B3" w:rsidP="002018B3">
      <w:pPr>
        <w:spacing w:after="0"/>
        <w:rPr>
          <w:rFonts w:ascii="Verdana" w:hAnsi="Verdana"/>
        </w:rPr>
      </w:pPr>
    </w:p>
    <w:p w14:paraId="2E5F9051" w14:textId="77777777" w:rsidR="002018B3" w:rsidRPr="00F21F0B" w:rsidRDefault="002018B3" w:rsidP="002018B3"/>
    <w:p w14:paraId="790AF297" w14:textId="77777777" w:rsidR="004A767C" w:rsidRDefault="004A767C" w:rsidP="00B56BD0">
      <w:pPr>
        <w:spacing w:after="0" w:line="240" w:lineRule="auto"/>
        <w:rPr>
          <w:rFonts w:ascii="Verdana" w:eastAsia="Geomanist Light" w:hAnsi="Verdana" w:cs="Arial"/>
          <w:color w:val="000000" w:themeColor="text1"/>
        </w:rPr>
      </w:pPr>
    </w:p>
    <w:sectPr w:rsidR="004A767C" w:rsidSect="00C44B4C">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5D2D1D" w14:textId="77777777" w:rsidR="00992CC5" w:rsidRPr="009B7987" w:rsidRDefault="00992CC5" w:rsidP="00B30448">
      <w:pPr>
        <w:spacing w:after="0" w:line="240" w:lineRule="auto"/>
      </w:pPr>
      <w:r w:rsidRPr="009B7987">
        <w:separator/>
      </w:r>
    </w:p>
  </w:endnote>
  <w:endnote w:type="continuationSeparator" w:id="0">
    <w:p w14:paraId="2D84B478" w14:textId="77777777" w:rsidR="00992CC5" w:rsidRPr="009B7987" w:rsidRDefault="00992CC5" w:rsidP="00B30448">
      <w:pPr>
        <w:spacing w:after="0" w:line="240" w:lineRule="auto"/>
      </w:pPr>
      <w:r w:rsidRPr="009B7987">
        <w:continuationSeparator/>
      </w:r>
    </w:p>
  </w:endnote>
  <w:endnote w:type="continuationNotice" w:id="1">
    <w:p w14:paraId="0A85AEB1" w14:textId="77777777" w:rsidR="00992CC5" w:rsidRPr="009B7987" w:rsidRDefault="00992C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109E1B" w14:textId="77777777" w:rsidR="00992CC5" w:rsidRPr="009B7987" w:rsidRDefault="00992CC5" w:rsidP="00B30448">
      <w:pPr>
        <w:spacing w:after="0" w:line="240" w:lineRule="auto"/>
      </w:pPr>
      <w:r w:rsidRPr="009B7987">
        <w:separator/>
      </w:r>
    </w:p>
  </w:footnote>
  <w:footnote w:type="continuationSeparator" w:id="0">
    <w:p w14:paraId="412F8E85" w14:textId="77777777" w:rsidR="00992CC5" w:rsidRPr="009B7987" w:rsidRDefault="00992CC5" w:rsidP="00B30448">
      <w:pPr>
        <w:spacing w:after="0" w:line="240" w:lineRule="auto"/>
      </w:pPr>
      <w:r w:rsidRPr="009B7987">
        <w:continuationSeparator/>
      </w:r>
    </w:p>
  </w:footnote>
  <w:footnote w:type="continuationNotice" w:id="1">
    <w:p w14:paraId="0F8D3992" w14:textId="77777777" w:rsidR="00992CC5" w:rsidRPr="009B7987" w:rsidRDefault="00992CC5">
      <w:pPr>
        <w:spacing w:after="0" w:line="240" w:lineRule="auto"/>
      </w:pPr>
    </w:p>
  </w:footnote>
  <w:footnote w:id="2">
    <w:p w14:paraId="4A70B3D4" w14:textId="77777777" w:rsidR="007B743D" w:rsidRPr="00591347" w:rsidRDefault="007B743D" w:rsidP="007B743D">
      <w:pPr>
        <w:spacing w:after="0"/>
        <w:ind w:firstLine="708"/>
        <w:jc w:val="both"/>
        <w:rPr>
          <w:rFonts w:ascii="Verdana" w:hAnsi="Verdana" w:cs="Arial"/>
          <w:sz w:val="16"/>
          <w:szCs w:val="16"/>
        </w:rPr>
      </w:pPr>
      <w:r w:rsidRPr="00591347">
        <w:rPr>
          <w:rStyle w:val="Refdenotaalpie"/>
          <w:rFonts w:ascii="Verdana" w:hAnsi="Verdana" w:cs="Arial"/>
          <w:sz w:val="16"/>
          <w:szCs w:val="16"/>
        </w:rPr>
        <w:footnoteRef/>
      </w:r>
      <w:r w:rsidRPr="00591347">
        <w:rPr>
          <w:rFonts w:ascii="Verdana" w:hAnsi="Verdana" w:cs="Arial"/>
          <w:sz w:val="16"/>
          <w:szCs w:val="16"/>
        </w:rPr>
        <w:t xml:space="preserve"> “</w:t>
      </w:r>
      <w:r w:rsidRPr="00591347">
        <w:rPr>
          <w:rFonts w:ascii="Verdana" w:hAnsi="Verdana" w:cs="Arial"/>
          <w:bCs/>
          <w:sz w:val="16"/>
          <w:szCs w:val="16"/>
        </w:rPr>
        <w:t>Artículo 37. ejecución de proyectos de inversión.</w:t>
      </w:r>
      <w:r w:rsidRPr="00591347">
        <w:rPr>
          <w:rFonts w:ascii="Verdana" w:hAnsi="Verdana" w:cs="Arial"/>
          <w:sz w:val="16"/>
          <w:szCs w:val="16"/>
        </w:rPr>
        <w:t> los proyectos de inversión que se financien con cargo al sistema general de regalías serán ejecutados por quien designe las entidades u órganos de que tratan los artículos </w:t>
      </w:r>
      <w:hyperlink r:id="rId1" w:anchor="35" w:history="1">
        <w:r w:rsidRPr="00591347">
          <w:rPr>
            <w:rFonts w:ascii="Verdana" w:hAnsi="Verdana" w:cs="Arial"/>
            <w:sz w:val="16"/>
            <w:szCs w:val="16"/>
          </w:rPr>
          <w:t>35</w:t>
        </w:r>
      </w:hyperlink>
      <w:r w:rsidRPr="00591347">
        <w:rPr>
          <w:rFonts w:ascii="Verdana" w:hAnsi="Verdana" w:cs="Arial"/>
          <w:sz w:val="16"/>
          <w:szCs w:val="16"/>
        </w:rPr>
        <w:t> y </w:t>
      </w:r>
      <w:hyperlink r:id="rId2" w:anchor="36" w:history="1">
        <w:r w:rsidRPr="00591347">
          <w:rPr>
            <w:rFonts w:ascii="Verdana" w:hAnsi="Verdana" w:cs="Arial"/>
            <w:sz w:val="16"/>
            <w:szCs w:val="16"/>
          </w:rPr>
          <w:t>36</w:t>
        </w:r>
      </w:hyperlink>
      <w:r w:rsidRPr="00591347">
        <w:rPr>
          <w:rFonts w:ascii="Verdana" w:hAnsi="Verdana" w:cs="Arial"/>
          <w:sz w:val="16"/>
          <w:szCs w:val="16"/>
        </w:rPr>
        <w:t> de la presente ley. así mismo, la entidad ejecutora estará a cargo de la contratación de la interventoría, de conformidad con lo previsto en la presente ley.</w:t>
      </w:r>
    </w:p>
    <w:p w14:paraId="60AFA627" w14:textId="77777777" w:rsidR="007B743D" w:rsidRPr="00591347" w:rsidRDefault="007B743D" w:rsidP="007B743D">
      <w:pPr>
        <w:spacing w:after="0"/>
        <w:ind w:firstLine="708"/>
        <w:jc w:val="both"/>
        <w:rPr>
          <w:rFonts w:ascii="Verdana" w:hAnsi="Verdana" w:cs="Arial"/>
          <w:sz w:val="16"/>
          <w:szCs w:val="16"/>
        </w:rPr>
      </w:pPr>
      <w:r w:rsidRPr="00591347">
        <w:rPr>
          <w:rFonts w:ascii="Verdana" w:hAnsi="Verdana" w:cs="Arial"/>
          <w:sz w:val="16"/>
          <w:szCs w:val="16"/>
        </w:rPr>
        <w:t>Las entidades ejecutoras de recursos del sistema son responsables de suministrar de forma veraz, oportuna e idónea, la información de la gestión de los proyectos que se requiera e implementar las acciones que sean pertinentes para encauzar el desempeño de los proyectos de inversión y decidir, de manera motivada, sobre la continuidad de los mismos, sin perjuicio de las acciones de control a las que haya lugar.</w:t>
      </w:r>
    </w:p>
    <w:p w14:paraId="4D8613B6" w14:textId="77777777" w:rsidR="007B743D" w:rsidRPr="00591347" w:rsidRDefault="007B743D" w:rsidP="007B743D">
      <w:pPr>
        <w:spacing w:after="0"/>
        <w:ind w:firstLine="708"/>
        <w:jc w:val="both"/>
        <w:rPr>
          <w:rFonts w:ascii="Verdana" w:hAnsi="Verdana" w:cs="Arial"/>
          <w:sz w:val="16"/>
          <w:szCs w:val="16"/>
        </w:rPr>
      </w:pPr>
      <w:r w:rsidRPr="00591347">
        <w:rPr>
          <w:rFonts w:ascii="Verdana" w:hAnsi="Verdana" w:cs="Arial"/>
          <w:bCs/>
          <w:sz w:val="16"/>
          <w:szCs w:val="16"/>
        </w:rPr>
        <w:t>Parágrafo 1o.</w:t>
      </w:r>
      <w:r w:rsidRPr="00591347">
        <w:rPr>
          <w:rFonts w:ascii="Verdana" w:hAnsi="Verdana" w:cs="Arial"/>
          <w:sz w:val="16"/>
          <w:szCs w:val="16"/>
        </w:rPr>
        <w:t xml:space="preserve"> La ejecución de proyectos de que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p>
    <w:p w14:paraId="2BAF1C63" w14:textId="77777777" w:rsidR="007B743D" w:rsidRPr="00591347" w:rsidRDefault="007B743D" w:rsidP="007B743D">
      <w:pPr>
        <w:spacing w:after="0"/>
        <w:ind w:firstLine="708"/>
        <w:jc w:val="both"/>
        <w:rPr>
          <w:rFonts w:ascii="Verdana" w:hAnsi="Verdana" w:cs="Arial"/>
          <w:sz w:val="16"/>
          <w:szCs w:val="16"/>
        </w:rPr>
      </w:pPr>
      <w:r w:rsidRPr="00591347">
        <w:rPr>
          <w:rFonts w:ascii="Verdana" w:hAnsi="Verdana" w:cs="Arial"/>
          <w:bCs/>
          <w:sz w:val="16"/>
          <w:szCs w:val="16"/>
        </w:rPr>
        <w:t>Parágrafo 2o.</w:t>
      </w:r>
      <w:r w:rsidRPr="00591347">
        <w:rPr>
          <w:rFonts w:ascii="Verdana" w:hAnsi="Verdana" w:cs="Arial"/>
          <w:sz w:val="16"/>
          <w:szCs w:val="16"/>
        </w:rPr>
        <w:t xml:space="preserve"> Las entidades territoriales beneficiarias de asignaciones directas, la asignación para la inversión local y del 60% de la asignación para la inversión regional en cabeza de los departamentos podrán ejecutar directamente estos recursos o la entidad ejecutora que designe.</w:t>
      </w:r>
    </w:p>
    <w:p w14:paraId="77E0D1AF" w14:textId="77777777" w:rsidR="007B743D" w:rsidRPr="00591347" w:rsidRDefault="007B743D" w:rsidP="007B743D">
      <w:pPr>
        <w:spacing w:after="0"/>
        <w:ind w:firstLine="708"/>
        <w:jc w:val="both"/>
        <w:rPr>
          <w:rFonts w:ascii="Verdana" w:hAnsi="Verdana" w:cs="Arial"/>
          <w:sz w:val="16"/>
          <w:szCs w:val="16"/>
        </w:rPr>
      </w:pPr>
      <w:r w:rsidRPr="00591347">
        <w:rPr>
          <w:rFonts w:ascii="Verdana" w:hAnsi="Verdana" w:cs="Arial"/>
          <w:bCs/>
          <w:sz w:val="16"/>
          <w:szCs w:val="16"/>
        </w:rPr>
        <w:t>Parágrafo 3o.</w:t>
      </w:r>
      <w:r w:rsidRPr="00591347">
        <w:rPr>
          <w:rFonts w:ascii="Verdana" w:hAnsi="Verdana" w:cs="Arial"/>
          <w:sz w:val="16"/>
          <w:szCs w:val="16"/>
        </w:rPr>
        <w:t xml:space="preserve"> La entidad designada ejecutora por las entidades u órganos de que tratan los artículos </w:t>
      </w:r>
      <w:hyperlink r:id="rId3" w:anchor="35" w:history="1">
        <w:r w:rsidRPr="00591347">
          <w:rPr>
            <w:rFonts w:ascii="Verdana" w:hAnsi="Verdana" w:cs="Arial"/>
            <w:sz w:val="16"/>
            <w:szCs w:val="16"/>
          </w:rPr>
          <w:t>35</w:t>
        </w:r>
      </w:hyperlink>
      <w:r w:rsidRPr="00591347">
        <w:rPr>
          <w:rFonts w:ascii="Verdana" w:hAnsi="Verdana" w:cs="Arial"/>
          <w:sz w:val="16"/>
          <w:szCs w:val="16"/>
        </w:rPr>
        <w:t xml:space="preserve"> y </w:t>
      </w:r>
      <w:hyperlink r:id="rId4" w:anchor="36" w:history="1">
        <w:r w:rsidRPr="00591347">
          <w:rPr>
            <w:rFonts w:ascii="Verdana" w:hAnsi="Verdana" w:cs="Arial"/>
            <w:sz w:val="16"/>
            <w:szCs w:val="16"/>
          </w:rPr>
          <w:t>36</w:t>
        </w:r>
      </w:hyperlink>
      <w:r w:rsidRPr="00591347">
        <w:rPr>
          <w:rFonts w:ascii="Verdana" w:hAnsi="Verdana" w:cs="Arial"/>
          <w:sz w:val="16"/>
          <w:szCs w:val="16"/>
        </w:rPr>
        <w:t>, deberá expedir el acto administrativo que ordena la apertura del proceso de selección o acto administrativo unilateral que decreta el gasto con cargo a los recursos asignados, a más tardar dentro de los seis (6) meses contados a partir de la publicación del acuerdo de aprobación del proyecto de inversión que emita la entidad o instancia, según corresponda, y será la responsable de verificar el cumplimiento de los requisitos legales para el inicio de la ejecución del proyecto de inversión.</w:t>
      </w:r>
    </w:p>
    <w:p w14:paraId="06D930F8" w14:textId="77777777" w:rsidR="007B743D" w:rsidRPr="00591347" w:rsidRDefault="007B743D" w:rsidP="007B743D">
      <w:pPr>
        <w:spacing w:after="0"/>
        <w:ind w:firstLine="708"/>
        <w:jc w:val="both"/>
        <w:rPr>
          <w:rFonts w:ascii="Verdana" w:hAnsi="Verdana" w:cs="Arial"/>
          <w:sz w:val="16"/>
          <w:szCs w:val="16"/>
        </w:rPr>
      </w:pPr>
      <w:r w:rsidRPr="00591347">
        <w:rPr>
          <w:rFonts w:ascii="Verdana" w:hAnsi="Verdana" w:cs="Arial"/>
          <w:sz w:val="16"/>
          <w:szCs w:val="16"/>
        </w:rPr>
        <w:t>En caso de no cumplirse lo anterior, las entidades u órganos liberarán automáticamente los recursos para la aprobación de nuevos proyectos de inversión y reportarán estos casos al sistema de seguimiento, evaluación y control para que se tengan en cuenta en la medición del desempeño en la gestión de los recursos del sistema general de regalías y a los órganos de control.</w:t>
      </w:r>
    </w:p>
    <w:p w14:paraId="55386073" w14:textId="77777777" w:rsidR="007B743D" w:rsidRPr="00591347" w:rsidRDefault="007B743D" w:rsidP="007B743D">
      <w:pPr>
        <w:spacing w:after="0"/>
        <w:ind w:firstLine="708"/>
        <w:jc w:val="both"/>
        <w:rPr>
          <w:rFonts w:ascii="Verdana" w:hAnsi="Verdana"/>
          <w:sz w:val="16"/>
          <w:szCs w:val="16"/>
        </w:rPr>
      </w:pPr>
      <w:r w:rsidRPr="00591347">
        <w:rPr>
          <w:rFonts w:ascii="Verdana" w:hAnsi="Verdana" w:cs="Arial"/>
          <w:sz w:val="16"/>
          <w:szCs w:val="16"/>
        </w:rPr>
        <w:t>Se exceptúan los casos en los que por causas no atribuibles a la entidad designada como ejecutora no se logre expedir el acto administrativo que ordena la apertura del proceso de selección o acto administrativo unilateral que decreta el gasto con cargo a los recursos asignados en los seis (6) meses, caso en el cual las entidades u órganos podrán prorrogar hasta por doce (12) meses más lo estipulado en este parágrafo. la comisión rectora del sistema general de regalías reglamentará estos casos</w:t>
      </w:r>
      <w:r w:rsidRPr="00591347">
        <w:rPr>
          <w:rFonts w:ascii="Verdana" w:hAnsi="Verdana" w:cs="Arial"/>
          <w:sz w:val="16"/>
          <w:szCs w:val="16"/>
          <w:lang w:val="es-ES"/>
        </w:rPr>
        <w:t>”</w:t>
      </w:r>
      <w:r w:rsidRPr="00591347">
        <w:rPr>
          <w:rFonts w:ascii="Verdana" w:hAnsi="Verdana" w:cs="Arial"/>
          <w:sz w:val="16"/>
          <w:szCs w:val="16"/>
        </w:rPr>
        <w:t>.</w:t>
      </w:r>
    </w:p>
  </w:footnote>
  <w:footnote w:id="3">
    <w:p w14:paraId="6ED90B1E" w14:textId="77777777" w:rsidR="007B743D" w:rsidRPr="00591347" w:rsidRDefault="007B743D" w:rsidP="007B743D">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r w:rsidRPr="00591347">
        <w:rPr>
          <w:rFonts w:ascii="Verdana" w:hAnsi="Verdana"/>
          <w:color w:val="000000" w:themeColor="text1"/>
          <w:sz w:val="16"/>
          <w:szCs w:val="16"/>
        </w:rPr>
        <w:t>Artículo 84.</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color w:val="000000" w:themeColor="text1"/>
          <w:sz w:val="16"/>
          <w:szCs w:val="16"/>
        </w:rPr>
        <w:t xml:space="preserve"> </w:t>
      </w:r>
      <w:r w:rsidRPr="00591347">
        <w:rPr>
          <w:rStyle w:val="baj"/>
          <w:rFonts w:ascii="Verdana" w:hAnsi="Verdana" w:cs="Arial"/>
          <w:color w:val="000000" w:themeColor="text1"/>
          <w:sz w:val="16"/>
          <w:szCs w:val="16"/>
        </w:rPr>
        <w:t>PARÁGRAFO 2o.</w:t>
      </w:r>
      <w:r w:rsidRPr="00591347">
        <w:rPr>
          <w:rFonts w:ascii="Verdana" w:hAnsi="Verdana" w:cs="Arial"/>
          <w:color w:val="000000" w:themeColor="text1"/>
          <w:sz w:val="16"/>
          <w:szCs w:val="16"/>
        </w:rPr>
        <w:t xml:space="preserve"> La ejecución de los proyectos de inversión financiados con recursos del Sistema General de Regalías se adelantará con estricta sujeción al régimen presupuestal definido en esta ley </w:t>
      </w:r>
      <w:r w:rsidRPr="00591347">
        <w:rPr>
          <w:rFonts w:ascii="Verdana" w:hAnsi="Verdana" w:cs="Arial"/>
          <w:i/>
          <w:iCs/>
          <w:color w:val="000000" w:themeColor="text1"/>
          <w:sz w:val="16"/>
          <w:szCs w:val="16"/>
        </w:rPr>
        <w:t>y al de contratación pública</w:t>
      </w:r>
      <w:r w:rsidRPr="00591347">
        <w:rPr>
          <w:rFonts w:ascii="Verdana" w:hAnsi="Verdana" w:cs="Arial"/>
          <w:color w:val="000000" w:themeColor="text1"/>
          <w:sz w:val="16"/>
          <w:szCs w:val="16"/>
        </w:rPr>
        <w:t xml:space="preserve"> y a las normas legales vigentes. El ejecutor será el ordenador del gasto y garantizará la correcta ejecución de los recursos asignados al proyecto de inversión, así como el suministro y registro de la información requerida por el Sistema de Seguimiento, Evaluación y Control.</w:t>
      </w:r>
    </w:p>
  </w:footnote>
  <w:footnote w:id="4">
    <w:p w14:paraId="178C7AF5" w14:textId="77777777" w:rsidR="007B743D" w:rsidRPr="00591347" w:rsidRDefault="007B743D" w:rsidP="007B743D">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r w:rsidRPr="00591347">
        <w:rPr>
          <w:rFonts w:ascii="Verdana" w:hAnsi="Verdana"/>
          <w:b/>
          <w:bCs/>
          <w:sz w:val="16"/>
          <w:szCs w:val="16"/>
          <w:lang w:val="es-CO"/>
        </w:rPr>
        <w:t xml:space="preserve"> </w:t>
      </w:r>
      <w:r w:rsidRPr="00591347">
        <w:rPr>
          <w:rFonts w:ascii="Verdana" w:hAnsi="Verdana"/>
          <w:sz w:val="16"/>
          <w:szCs w:val="16"/>
          <w:lang w:val="es-CO"/>
        </w:rPr>
        <w:t xml:space="preserve">Artículo 85.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sz w:val="16"/>
          <w:szCs w:val="16"/>
          <w:lang w:val="es-CO"/>
        </w:rPr>
        <w:t>Ejecución De Recursos. Los actos o contratos que expidan o celebren los ejecutores se regirán po</w:t>
      </w:r>
      <w:r w:rsidRPr="00591347">
        <w:rPr>
          <w:rFonts w:ascii="Verdana" w:hAnsi="Verdana"/>
          <w:color w:val="000000" w:themeColor="text1"/>
          <w:sz w:val="16"/>
          <w:szCs w:val="16"/>
          <w:lang w:val="es-CO"/>
        </w:rPr>
        <w:t xml:space="preserve">r las normas presupuestales contenidas en la presente ley, </w:t>
      </w:r>
      <w:r w:rsidRPr="00591347">
        <w:rPr>
          <w:rFonts w:ascii="Verdana" w:hAnsi="Verdana"/>
          <w:i/>
          <w:iCs/>
          <w:color w:val="000000" w:themeColor="text1"/>
          <w:sz w:val="16"/>
          <w:szCs w:val="16"/>
          <w:lang w:val="es-CO"/>
        </w:rPr>
        <w:t>el Estatuto de Contratación Estatal</w:t>
      </w:r>
      <w:r w:rsidRPr="00591347">
        <w:rPr>
          <w:rFonts w:ascii="Verdana" w:hAnsi="Verdana"/>
          <w:color w:val="000000" w:themeColor="text1"/>
          <w:sz w:val="16"/>
          <w:szCs w:val="16"/>
          <w:lang w:val="es-CO"/>
        </w:rPr>
        <w:t>, los Decretos </w:t>
      </w:r>
      <w:hyperlink r:id="rId5" w:anchor="INICIO" w:history="1">
        <w:r w:rsidRPr="00591347">
          <w:rPr>
            <w:rStyle w:val="Hipervnculo"/>
            <w:rFonts w:ascii="Verdana" w:hAnsi="Verdana"/>
            <w:color w:val="000000" w:themeColor="text1"/>
            <w:sz w:val="16"/>
            <w:szCs w:val="16"/>
            <w:lang w:val="es-CO"/>
          </w:rPr>
          <w:t>1088</w:t>
        </w:r>
      </w:hyperlink>
      <w:r w:rsidRPr="00591347">
        <w:rPr>
          <w:rFonts w:ascii="Verdana" w:hAnsi="Verdana"/>
          <w:color w:val="000000" w:themeColor="text1"/>
          <w:sz w:val="16"/>
          <w:szCs w:val="16"/>
          <w:lang w:val="es-CO"/>
        </w:rPr>
        <w:t> de 1993 y </w:t>
      </w:r>
      <w:hyperlink r:id="rId6" w:anchor="INICIO" w:history="1">
        <w:r w:rsidRPr="00591347">
          <w:rPr>
            <w:rStyle w:val="Hipervnculo"/>
            <w:rFonts w:ascii="Verdana" w:hAnsi="Verdana"/>
            <w:color w:val="000000" w:themeColor="text1"/>
            <w:sz w:val="16"/>
            <w:szCs w:val="16"/>
            <w:lang w:val="es-CO"/>
          </w:rPr>
          <w:t>252</w:t>
        </w:r>
      </w:hyperlink>
      <w:r w:rsidRPr="00591347">
        <w:rPr>
          <w:rFonts w:ascii="Verdana" w:hAnsi="Verdana"/>
          <w:color w:val="000000" w:themeColor="text1"/>
          <w:sz w:val="16"/>
          <w:szCs w:val="16"/>
          <w:lang w:val="es-CO"/>
        </w:rPr>
        <w:t> de 2020, las normas contables que para este efecto defina la Contaduría General de la Nación y las demás disposiciones complementarias</w:t>
      </w:r>
      <w:r w:rsidRPr="00591347">
        <w:rPr>
          <w:rFonts w:ascii="Verdana" w:hAnsi="Verdana"/>
          <w:sz w:val="16"/>
          <w:szCs w:val="16"/>
          <w:lang w:val="es-CO"/>
        </w:rPr>
        <w:t>.</w:t>
      </w:r>
    </w:p>
  </w:footnote>
  <w:footnote w:id="5">
    <w:p w14:paraId="0355C2A1" w14:textId="77777777" w:rsidR="007B743D" w:rsidRPr="00591347" w:rsidRDefault="007B743D" w:rsidP="007B743D">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r w:rsidRPr="00591347">
        <w:rPr>
          <w:rFonts w:ascii="Verdana" w:hAnsi="Verdana"/>
          <w:color w:val="000000" w:themeColor="text1"/>
          <w:sz w:val="16"/>
          <w:szCs w:val="16"/>
        </w:rPr>
        <w:t xml:space="preserve">Artículo 98.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sz w:val="16"/>
          <w:szCs w:val="16"/>
          <w:lang w:val="es-CO"/>
        </w:rPr>
        <w:t xml:space="preserve">PARÁGRAFO 2o. La ejecución de proyectos de inversión de que trata este artículo, se adelantará, con estricta sujeción al régimen presupuestal definido en esta ley y </w:t>
      </w:r>
      <w:r w:rsidRPr="00591347">
        <w:rPr>
          <w:rFonts w:ascii="Verdana" w:hAnsi="Verdana"/>
          <w:i/>
          <w:iCs/>
          <w:sz w:val="16"/>
          <w:szCs w:val="16"/>
          <w:lang w:val="es-CO"/>
        </w:rPr>
        <w:t>al de contratación pública</w:t>
      </w:r>
      <w:r w:rsidRPr="00591347">
        <w:rPr>
          <w:rFonts w:ascii="Verdana" w:hAnsi="Verdana"/>
          <w:sz w:val="16"/>
          <w:szCs w:val="16"/>
          <w:lang w:val="es-CO"/>
        </w:rPr>
        <w:t xml:space="preserve"> o a las normas legales vigentes. El ejecutor será el ordenador del gasto y garantizará la correcta ejecución de los recursos asignados al proyecto de inversión, así como el suministro y registro de la información requerida por el Sistema de Seguimiento, Evaluación y Control.</w:t>
      </w:r>
    </w:p>
  </w:footnote>
  <w:footnote w:id="6">
    <w:p w14:paraId="0C1841C1" w14:textId="77777777" w:rsidR="007B743D" w:rsidRPr="00591347" w:rsidRDefault="007B743D" w:rsidP="007B743D">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r w:rsidRPr="00591347">
        <w:rPr>
          <w:rFonts w:ascii="Verdana" w:hAnsi="Verdana"/>
          <w:sz w:val="16"/>
          <w:szCs w:val="16"/>
          <w:lang w:val="es-CO"/>
        </w:rPr>
        <w:t xml:space="preserve">Artículo 99.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sz w:val="16"/>
          <w:szCs w:val="16"/>
          <w:lang w:val="es-CO"/>
        </w:rPr>
        <w:t xml:space="preserve">Ejecución De Recursos. Los actos o contratos que expidan o celebren los ejecutores se regirán por las normas presupuestales contenidas en la presente ley, </w:t>
      </w:r>
      <w:r w:rsidRPr="00591347">
        <w:rPr>
          <w:rFonts w:ascii="Verdana" w:hAnsi="Verdana"/>
          <w:i/>
          <w:iCs/>
          <w:sz w:val="16"/>
          <w:szCs w:val="16"/>
          <w:lang w:val="es-CO"/>
        </w:rPr>
        <w:t>el Estatuto de Contratación Estatal</w:t>
      </w:r>
      <w:r w:rsidRPr="00591347">
        <w:rPr>
          <w:rFonts w:ascii="Verdana" w:hAnsi="Verdana"/>
          <w:sz w:val="16"/>
          <w:szCs w:val="16"/>
          <w:lang w:val="es-CO"/>
        </w:rPr>
        <w:t>, las normas contables que para este efecto defina la Contaduría General de la Nación y las demás disposiciones complementarias.</w:t>
      </w:r>
    </w:p>
  </w:footnote>
  <w:footnote w:id="7">
    <w:p w14:paraId="199F437C" w14:textId="77777777" w:rsidR="007B743D" w:rsidRPr="00591347" w:rsidRDefault="007B743D" w:rsidP="007B743D">
      <w:pPr>
        <w:pStyle w:val="Textonotapie"/>
        <w:ind w:firstLine="709"/>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r w:rsidRPr="00591347">
        <w:rPr>
          <w:rFonts w:ascii="Verdana" w:hAnsi="Verdana"/>
          <w:color w:val="000000" w:themeColor="text1"/>
          <w:sz w:val="16"/>
          <w:szCs w:val="16"/>
        </w:rPr>
        <w:t xml:space="preserve">Artículo 108.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sz w:val="16"/>
          <w:szCs w:val="16"/>
          <w:lang w:val="es-CO"/>
        </w:rPr>
        <w:t>PARÁGRAFO 2o. La ejecución de proyectos de inversión de que trata este artículo, se adelantará, con estricta sujeción al régimen presupuestal definido en esta ley y al de contratación pública o a las normas legales vigentes. El ejecutor será el ordenador del gasto y garantizará la correcta ejecución de los recursos asignados al proyecto de inversión, así como el suministro y registro de la información requerida por el Sistema de Seguimiento, Evaluación y Control.</w:t>
      </w:r>
    </w:p>
  </w:footnote>
  <w:footnote w:id="8">
    <w:p w14:paraId="0DECB2A2" w14:textId="77777777" w:rsidR="007B743D" w:rsidRPr="00591347" w:rsidRDefault="007B743D" w:rsidP="007B743D">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w:t>
      </w:r>
      <w:r w:rsidRPr="00591347">
        <w:rPr>
          <w:rFonts w:ascii="Verdana" w:hAnsi="Verdana" w:cs="Arial"/>
          <w:color w:val="000000" w:themeColor="text1"/>
          <w:sz w:val="16"/>
          <w:szCs w:val="16"/>
        </w:rPr>
        <w:t xml:space="preserve">Artículo 109. </w:t>
      </w:r>
      <w:r w:rsidRPr="00591347">
        <w:rPr>
          <w:rFonts w:ascii="Verdana" w:eastAsia="Calibri" w:hAnsi="Verdana" w:cs="Arial"/>
          <w:color w:val="000000" w:themeColor="text1"/>
          <w:sz w:val="16"/>
          <w:szCs w:val="16"/>
          <w:lang w:val="es-ES_tradnl" w:eastAsia="es-ES"/>
        </w:rPr>
        <w:t xml:space="preserve">[…] </w:t>
      </w:r>
      <w:r w:rsidRPr="00591347">
        <w:rPr>
          <w:rFonts w:ascii="Verdana" w:hAnsi="Verdana" w:cs="Arial"/>
          <w:color w:val="000000" w:themeColor="text1"/>
          <w:sz w:val="16"/>
          <w:szCs w:val="16"/>
        </w:rPr>
        <w:t xml:space="preserve">Ejecución De Recursos. Los actos o contratos que expidan o celebren los ejecutores se regirán por las normas presupuestales contenidas en la presente ley, </w:t>
      </w:r>
      <w:r w:rsidRPr="00591347">
        <w:rPr>
          <w:rFonts w:ascii="Verdana" w:hAnsi="Verdana" w:cs="Arial"/>
          <w:i/>
          <w:iCs/>
          <w:color w:val="000000" w:themeColor="text1"/>
          <w:sz w:val="16"/>
          <w:szCs w:val="16"/>
        </w:rPr>
        <w:t>el Estatuto de Contratación Estatal,</w:t>
      </w:r>
      <w:r w:rsidRPr="00591347">
        <w:rPr>
          <w:rFonts w:ascii="Verdana" w:hAnsi="Verdana" w:cs="Arial"/>
          <w:color w:val="000000" w:themeColor="text1"/>
          <w:sz w:val="16"/>
          <w:szCs w:val="16"/>
        </w:rPr>
        <w:t xml:space="preserve"> las normas contables que para este efecto defina la Contaduría General de la Nación y las demás disposiciones complementarias.</w:t>
      </w:r>
    </w:p>
  </w:footnote>
  <w:footnote w:id="9">
    <w:p w14:paraId="4C8DA85F" w14:textId="77777777" w:rsidR="007B743D" w:rsidRPr="00591347" w:rsidRDefault="007B743D" w:rsidP="007B743D">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Consejo De Estado. Sección tercera. Sentencia del 7 de marzo de 2025. Radicación No.69.941. C.P: José Roberto Sáchica. </w:t>
      </w:r>
    </w:p>
  </w:footnote>
  <w:footnote w:id="10">
    <w:p w14:paraId="71813533" w14:textId="77777777" w:rsidR="007B743D" w:rsidRPr="00591347" w:rsidRDefault="007B743D" w:rsidP="007B743D">
      <w:pPr>
        <w:pStyle w:val="Textonotapie"/>
        <w:ind w:firstLine="709"/>
        <w:jc w:val="both"/>
        <w:rPr>
          <w:rFonts w:ascii="Verdana" w:hAnsi="Verdana"/>
          <w:sz w:val="16"/>
          <w:szCs w:val="16"/>
          <w:lang w:val="es-CO"/>
        </w:rPr>
      </w:pPr>
      <w:r w:rsidRPr="00591347">
        <w:rPr>
          <w:rStyle w:val="Refdenotaalpie"/>
          <w:rFonts w:ascii="Verdana" w:hAnsi="Verdana"/>
          <w:sz w:val="16"/>
          <w:szCs w:val="16"/>
        </w:rPr>
        <w:footnoteRef/>
      </w:r>
      <w:r w:rsidRPr="00591347">
        <w:rPr>
          <w:rFonts w:ascii="Verdana" w:hAnsi="Verdana"/>
          <w:sz w:val="16"/>
          <w:szCs w:val="16"/>
        </w:rPr>
        <w:t xml:space="preserve">  La exposición de motivos de la Ley 2056 de 2020 explica que “el proyecto de ley prevé que los proyectos de inversión que se financien con cargo al SGR serán ejecutados por quien designe la entidad u órgano que apruebe y priorice el respetivo proyecto, y que la entidad ejecutora estará a cargo de la contratación de la interventoría, la cual se regirá por los establecido en el Estatuto General de Contratación de la Administración Pública vigente</w:t>
      </w:r>
      <w:r w:rsidRPr="00591347">
        <w:rPr>
          <w:rFonts w:ascii="Verdana" w:hAnsi="Verdana" w:cs="Arial"/>
          <w:sz w:val="16"/>
          <w:szCs w:val="16"/>
          <w:lang w:val="es-ES"/>
        </w:rPr>
        <w:t xml:space="preserve">. Gaceta 638 del 2020 Disponible en: </w:t>
      </w:r>
      <w:hyperlink r:id="rId7" w:history="1">
        <w:r w:rsidRPr="00591347">
          <w:rPr>
            <w:rStyle w:val="Hipervnculo"/>
            <w:rFonts w:ascii="Verdana" w:hAnsi="Verdana" w:cs="Arial"/>
            <w:sz w:val="16"/>
            <w:szCs w:val="16"/>
            <w:lang w:val="es-ES"/>
          </w:rPr>
          <w:t>https://leyes.senado.gov.co/proyectos/index.php/proyectos-ley/cuatrenio-2018-2022/2020-2021/article/200-por-el-cual-se-regula-la-organizacion-y-el-funcionamiento-del-sistema-general-de-regalias-mensaje-de-urgencia</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764EF3"/>
    <w:multiLevelType w:val="hybridMultilevel"/>
    <w:tmpl w:val="1F80E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6"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9"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0"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9"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6"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BE57BDE"/>
    <w:multiLevelType w:val="hybridMultilevel"/>
    <w:tmpl w:val="DE26EC5E"/>
    <w:lvl w:ilvl="0" w:tplc="0248F79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9"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3"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2"/>
  </w:num>
  <w:num w:numId="3" w16cid:durableId="679089576">
    <w:abstractNumId w:val="16"/>
  </w:num>
  <w:num w:numId="4" w16cid:durableId="893472101">
    <w:abstractNumId w:val="8"/>
  </w:num>
  <w:num w:numId="5" w16cid:durableId="1982299905">
    <w:abstractNumId w:val="33"/>
  </w:num>
  <w:num w:numId="6" w16cid:durableId="130758360">
    <w:abstractNumId w:val="19"/>
  </w:num>
  <w:num w:numId="7" w16cid:durableId="262541512">
    <w:abstractNumId w:val="30"/>
  </w:num>
  <w:num w:numId="8" w16cid:durableId="1947226218">
    <w:abstractNumId w:val="15"/>
  </w:num>
  <w:num w:numId="9" w16cid:durableId="1180706126">
    <w:abstractNumId w:val="18"/>
  </w:num>
  <w:num w:numId="10" w16cid:durableId="2097506960">
    <w:abstractNumId w:val="24"/>
  </w:num>
  <w:num w:numId="11" w16cid:durableId="1977490869">
    <w:abstractNumId w:val="22"/>
  </w:num>
  <w:num w:numId="12" w16cid:durableId="158663248">
    <w:abstractNumId w:val="21"/>
  </w:num>
  <w:num w:numId="13" w16cid:durableId="2024085788">
    <w:abstractNumId w:val="2"/>
  </w:num>
  <w:num w:numId="14" w16cid:durableId="1885099950">
    <w:abstractNumId w:val="14"/>
  </w:num>
  <w:num w:numId="15" w16cid:durableId="32047459">
    <w:abstractNumId w:val="9"/>
  </w:num>
  <w:num w:numId="16" w16cid:durableId="1192261824">
    <w:abstractNumId w:val="10"/>
  </w:num>
  <w:num w:numId="17" w16cid:durableId="375933272">
    <w:abstractNumId w:val="17"/>
  </w:num>
  <w:num w:numId="18" w16cid:durableId="610939998">
    <w:abstractNumId w:val="25"/>
  </w:num>
  <w:num w:numId="19" w16cid:durableId="1910656144">
    <w:abstractNumId w:val="3"/>
  </w:num>
  <w:num w:numId="20" w16cid:durableId="947545103">
    <w:abstractNumId w:val="13"/>
  </w:num>
  <w:num w:numId="21" w16cid:durableId="1851335222">
    <w:abstractNumId w:val="32"/>
  </w:num>
  <w:num w:numId="22" w16cid:durableId="578707994">
    <w:abstractNumId w:val="5"/>
  </w:num>
  <w:num w:numId="23" w16cid:durableId="876742304">
    <w:abstractNumId w:val="11"/>
  </w:num>
  <w:num w:numId="24" w16cid:durableId="1994095851">
    <w:abstractNumId w:val="6"/>
  </w:num>
  <w:num w:numId="25" w16cid:durableId="1567109325">
    <w:abstractNumId w:val="26"/>
  </w:num>
  <w:num w:numId="26" w16cid:durableId="1116487847">
    <w:abstractNumId w:val="20"/>
  </w:num>
  <w:num w:numId="27" w16cid:durableId="611326471">
    <w:abstractNumId w:val="28"/>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1"/>
  </w:num>
  <w:num w:numId="30" w16cid:durableId="363991975">
    <w:abstractNumId w:val="29"/>
  </w:num>
  <w:num w:numId="31" w16cid:durableId="1509440290">
    <w:abstractNumId w:val="23"/>
  </w:num>
  <w:num w:numId="32" w16cid:durableId="1601723362">
    <w:abstractNumId w:val="7"/>
  </w:num>
  <w:num w:numId="33" w16cid:durableId="1484539021">
    <w:abstractNumId w:val="4"/>
  </w:num>
  <w:num w:numId="34" w16cid:durableId="58329931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C3E"/>
    <w:rsid w:val="00002D55"/>
    <w:rsid w:val="0000399A"/>
    <w:rsid w:val="00005225"/>
    <w:rsid w:val="000054DB"/>
    <w:rsid w:val="0000587D"/>
    <w:rsid w:val="000059AE"/>
    <w:rsid w:val="00005BB0"/>
    <w:rsid w:val="00006492"/>
    <w:rsid w:val="00006F59"/>
    <w:rsid w:val="00007086"/>
    <w:rsid w:val="00007382"/>
    <w:rsid w:val="00007576"/>
    <w:rsid w:val="0001025F"/>
    <w:rsid w:val="0001155E"/>
    <w:rsid w:val="00011613"/>
    <w:rsid w:val="00011D3C"/>
    <w:rsid w:val="0001222D"/>
    <w:rsid w:val="00012679"/>
    <w:rsid w:val="00012EDA"/>
    <w:rsid w:val="00013B3F"/>
    <w:rsid w:val="00014981"/>
    <w:rsid w:val="00014B0D"/>
    <w:rsid w:val="00016280"/>
    <w:rsid w:val="0001672C"/>
    <w:rsid w:val="000167D3"/>
    <w:rsid w:val="00016F04"/>
    <w:rsid w:val="00017870"/>
    <w:rsid w:val="00021068"/>
    <w:rsid w:val="00021595"/>
    <w:rsid w:val="000219D1"/>
    <w:rsid w:val="00021BDF"/>
    <w:rsid w:val="00021C3A"/>
    <w:rsid w:val="0002202D"/>
    <w:rsid w:val="00022C23"/>
    <w:rsid w:val="00023DF7"/>
    <w:rsid w:val="000267DD"/>
    <w:rsid w:val="000273EA"/>
    <w:rsid w:val="00027AD6"/>
    <w:rsid w:val="00027B63"/>
    <w:rsid w:val="00027CA9"/>
    <w:rsid w:val="00030B3D"/>
    <w:rsid w:val="00030BC5"/>
    <w:rsid w:val="00030BFB"/>
    <w:rsid w:val="00030C05"/>
    <w:rsid w:val="00031DA1"/>
    <w:rsid w:val="00031EAF"/>
    <w:rsid w:val="00033038"/>
    <w:rsid w:val="00033390"/>
    <w:rsid w:val="000361EA"/>
    <w:rsid w:val="0003699E"/>
    <w:rsid w:val="000369C0"/>
    <w:rsid w:val="0003731A"/>
    <w:rsid w:val="00037A8B"/>
    <w:rsid w:val="00040372"/>
    <w:rsid w:val="000408AD"/>
    <w:rsid w:val="00041469"/>
    <w:rsid w:val="0004180C"/>
    <w:rsid w:val="000419D7"/>
    <w:rsid w:val="00042DD7"/>
    <w:rsid w:val="00043EE5"/>
    <w:rsid w:val="000442CC"/>
    <w:rsid w:val="000442DE"/>
    <w:rsid w:val="00044B24"/>
    <w:rsid w:val="0004508D"/>
    <w:rsid w:val="00045B37"/>
    <w:rsid w:val="0004709D"/>
    <w:rsid w:val="0004732C"/>
    <w:rsid w:val="000504AA"/>
    <w:rsid w:val="0005086B"/>
    <w:rsid w:val="00050C95"/>
    <w:rsid w:val="00050CAD"/>
    <w:rsid w:val="0005142D"/>
    <w:rsid w:val="00051A3C"/>
    <w:rsid w:val="00051BE4"/>
    <w:rsid w:val="00051E96"/>
    <w:rsid w:val="000526A8"/>
    <w:rsid w:val="00052EF1"/>
    <w:rsid w:val="0005420B"/>
    <w:rsid w:val="0005468C"/>
    <w:rsid w:val="000551CB"/>
    <w:rsid w:val="00055B2B"/>
    <w:rsid w:val="0005620B"/>
    <w:rsid w:val="00057392"/>
    <w:rsid w:val="00057480"/>
    <w:rsid w:val="000577A2"/>
    <w:rsid w:val="000577D3"/>
    <w:rsid w:val="00057963"/>
    <w:rsid w:val="000579AB"/>
    <w:rsid w:val="00060AE4"/>
    <w:rsid w:val="000622B9"/>
    <w:rsid w:val="000631E9"/>
    <w:rsid w:val="00063B4B"/>
    <w:rsid w:val="00064721"/>
    <w:rsid w:val="00064D60"/>
    <w:rsid w:val="00065973"/>
    <w:rsid w:val="00065C6D"/>
    <w:rsid w:val="000665D3"/>
    <w:rsid w:val="00066646"/>
    <w:rsid w:val="00066C7A"/>
    <w:rsid w:val="00066CF1"/>
    <w:rsid w:val="0007144A"/>
    <w:rsid w:val="000716AB"/>
    <w:rsid w:val="00071AB8"/>
    <w:rsid w:val="0007243A"/>
    <w:rsid w:val="000734CB"/>
    <w:rsid w:val="000762C0"/>
    <w:rsid w:val="00076737"/>
    <w:rsid w:val="00076C2B"/>
    <w:rsid w:val="00076C73"/>
    <w:rsid w:val="00076F81"/>
    <w:rsid w:val="000772B1"/>
    <w:rsid w:val="000779DE"/>
    <w:rsid w:val="000800B6"/>
    <w:rsid w:val="00080D15"/>
    <w:rsid w:val="00081B03"/>
    <w:rsid w:val="000847A0"/>
    <w:rsid w:val="000847C2"/>
    <w:rsid w:val="00084BB4"/>
    <w:rsid w:val="00084BFD"/>
    <w:rsid w:val="00087073"/>
    <w:rsid w:val="0008739A"/>
    <w:rsid w:val="000875BD"/>
    <w:rsid w:val="000878E7"/>
    <w:rsid w:val="00087A3B"/>
    <w:rsid w:val="00087C01"/>
    <w:rsid w:val="000903E4"/>
    <w:rsid w:val="000906E3"/>
    <w:rsid w:val="00091D73"/>
    <w:rsid w:val="00092ADE"/>
    <w:rsid w:val="000933B5"/>
    <w:rsid w:val="000933BC"/>
    <w:rsid w:val="00093544"/>
    <w:rsid w:val="00093D95"/>
    <w:rsid w:val="00094663"/>
    <w:rsid w:val="00095410"/>
    <w:rsid w:val="00095E48"/>
    <w:rsid w:val="00096019"/>
    <w:rsid w:val="00096291"/>
    <w:rsid w:val="00096637"/>
    <w:rsid w:val="0009726B"/>
    <w:rsid w:val="00097285"/>
    <w:rsid w:val="000975EA"/>
    <w:rsid w:val="000A021A"/>
    <w:rsid w:val="000A1828"/>
    <w:rsid w:val="000A19C1"/>
    <w:rsid w:val="000A1D06"/>
    <w:rsid w:val="000A1F38"/>
    <w:rsid w:val="000A2030"/>
    <w:rsid w:val="000A37F5"/>
    <w:rsid w:val="000A413A"/>
    <w:rsid w:val="000A48DD"/>
    <w:rsid w:val="000A4F1E"/>
    <w:rsid w:val="000A5881"/>
    <w:rsid w:val="000A5B09"/>
    <w:rsid w:val="000A66A1"/>
    <w:rsid w:val="000A69FB"/>
    <w:rsid w:val="000B1087"/>
    <w:rsid w:val="000B199A"/>
    <w:rsid w:val="000B1FF7"/>
    <w:rsid w:val="000B2529"/>
    <w:rsid w:val="000B2B7C"/>
    <w:rsid w:val="000B377E"/>
    <w:rsid w:val="000B381D"/>
    <w:rsid w:val="000B3DD4"/>
    <w:rsid w:val="000B4024"/>
    <w:rsid w:val="000B44BA"/>
    <w:rsid w:val="000B4C9C"/>
    <w:rsid w:val="000B5311"/>
    <w:rsid w:val="000B5313"/>
    <w:rsid w:val="000B5C65"/>
    <w:rsid w:val="000B5F1D"/>
    <w:rsid w:val="000B6BE9"/>
    <w:rsid w:val="000C02AD"/>
    <w:rsid w:val="000C060A"/>
    <w:rsid w:val="000C07B0"/>
    <w:rsid w:val="000C09DF"/>
    <w:rsid w:val="000C0AA8"/>
    <w:rsid w:val="000C18BD"/>
    <w:rsid w:val="000C1FC8"/>
    <w:rsid w:val="000C270D"/>
    <w:rsid w:val="000C36E1"/>
    <w:rsid w:val="000C42A9"/>
    <w:rsid w:val="000C42C6"/>
    <w:rsid w:val="000C50D6"/>
    <w:rsid w:val="000C557B"/>
    <w:rsid w:val="000C5A85"/>
    <w:rsid w:val="000C5EF2"/>
    <w:rsid w:val="000C5F29"/>
    <w:rsid w:val="000C5F48"/>
    <w:rsid w:val="000C66BF"/>
    <w:rsid w:val="000C6FC1"/>
    <w:rsid w:val="000C7FF8"/>
    <w:rsid w:val="000D0372"/>
    <w:rsid w:val="000D0ADE"/>
    <w:rsid w:val="000D1A8F"/>
    <w:rsid w:val="000D1B76"/>
    <w:rsid w:val="000D2914"/>
    <w:rsid w:val="000D2CE6"/>
    <w:rsid w:val="000D2E60"/>
    <w:rsid w:val="000D2F50"/>
    <w:rsid w:val="000D3275"/>
    <w:rsid w:val="000D3A1B"/>
    <w:rsid w:val="000D3B86"/>
    <w:rsid w:val="000D3EE0"/>
    <w:rsid w:val="000D4E64"/>
    <w:rsid w:val="000D5008"/>
    <w:rsid w:val="000D570C"/>
    <w:rsid w:val="000D5A0F"/>
    <w:rsid w:val="000D5B1E"/>
    <w:rsid w:val="000D5D9B"/>
    <w:rsid w:val="000D5E3F"/>
    <w:rsid w:val="000D6532"/>
    <w:rsid w:val="000D6E33"/>
    <w:rsid w:val="000D774B"/>
    <w:rsid w:val="000E0622"/>
    <w:rsid w:val="000E07AA"/>
    <w:rsid w:val="000E176F"/>
    <w:rsid w:val="000E1D6F"/>
    <w:rsid w:val="000E2D0D"/>
    <w:rsid w:val="000E3381"/>
    <w:rsid w:val="000E3744"/>
    <w:rsid w:val="000E3CD9"/>
    <w:rsid w:val="000E481D"/>
    <w:rsid w:val="000E4DBF"/>
    <w:rsid w:val="000E4DF2"/>
    <w:rsid w:val="000E5844"/>
    <w:rsid w:val="000E7349"/>
    <w:rsid w:val="000E762D"/>
    <w:rsid w:val="000E77CC"/>
    <w:rsid w:val="000F0144"/>
    <w:rsid w:val="000F0807"/>
    <w:rsid w:val="000F080D"/>
    <w:rsid w:val="000F0B3C"/>
    <w:rsid w:val="000F13D5"/>
    <w:rsid w:val="000F175F"/>
    <w:rsid w:val="000F1AD8"/>
    <w:rsid w:val="000F2F4C"/>
    <w:rsid w:val="000F3720"/>
    <w:rsid w:val="000F38D9"/>
    <w:rsid w:val="000F3CED"/>
    <w:rsid w:val="000F414C"/>
    <w:rsid w:val="000F6320"/>
    <w:rsid w:val="000F64FC"/>
    <w:rsid w:val="000F696E"/>
    <w:rsid w:val="000F6C10"/>
    <w:rsid w:val="000F718E"/>
    <w:rsid w:val="001001F2"/>
    <w:rsid w:val="00100207"/>
    <w:rsid w:val="001003C6"/>
    <w:rsid w:val="00100682"/>
    <w:rsid w:val="001010D3"/>
    <w:rsid w:val="0010144A"/>
    <w:rsid w:val="00101C11"/>
    <w:rsid w:val="00102565"/>
    <w:rsid w:val="00102F4F"/>
    <w:rsid w:val="001034DD"/>
    <w:rsid w:val="00104425"/>
    <w:rsid w:val="00104B4C"/>
    <w:rsid w:val="00105135"/>
    <w:rsid w:val="001055A2"/>
    <w:rsid w:val="0010682A"/>
    <w:rsid w:val="00106B94"/>
    <w:rsid w:val="00106C4C"/>
    <w:rsid w:val="00107DEF"/>
    <w:rsid w:val="0011037E"/>
    <w:rsid w:val="00110404"/>
    <w:rsid w:val="001109E8"/>
    <w:rsid w:val="00110F73"/>
    <w:rsid w:val="00111E35"/>
    <w:rsid w:val="001128B4"/>
    <w:rsid w:val="00112EBD"/>
    <w:rsid w:val="001132C2"/>
    <w:rsid w:val="0011382D"/>
    <w:rsid w:val="00113AF2"/>
    <w:rsid w:val="00113C17"/>
    <w:rsid w:val="00113FDD"/>
    <w:rsid w:val="00114051"/>
    <w:rsid w:val="00114973"/>
    <w:rsid w:val="00114CFF"/>
    <w:rsid w:val="00114FDF"/>
    <w:rsid w:val="0011650B"/>
    <w:rsid w:val="00116616"/>
    <w:rsid w:val="00116FC5"/>
    <w:rsid w:val="00117163"/>
    <w:rsid w:val="00117BBD"/>
    <w:rsid w:val="001202DF"/>
    <w:rsid w:val="0012031D"/>
    <w:rsid w:val="00120F1B"/>
    <w:rsid w:val="001213E7"/>
    <w:rsid w:val="001224BA"/>
    <w:rsid w:val="001238BC"/>
    <w:rsid w:val="00124518"/>
    <w:rsid w:val="001248AB"/>
    <w:rsid w:val="00124981"/>
    <w:rsid w:val="00124B2E"/>
    <w:rsid w:val="001256A1"/>
    <w:rsid w:val="00125D81"/>
    <w:rsid w:val="00126301"/>
    <w:rsid w:val="0012661F"/>
    <w:rsid w:val="00126966"/>
    <w:rsid w:val="001269B0"/>
    <w:rsid w:val="00126B24"/>
    <w:rsid w:val="00127234"/>
    <w:rsid w:val="001276C4"/>
    <w:rsid w:val="00127C68"/>
    <w:rsid w:val="00127D5B"/>
    <w:rsid w:val="00127E54"/>
    <w:rsid w:val="00131373"/>
    <w:rsid w:val="001314A0"/>
    <w:rsid w:val="00131A1F"/>
    <w:rsid w:val="00131A66"/>
    <w:rsid w:val="00131F9C"/>
    <w:rsid w:val="00132336"/>
    <w:rsid w:val="00132425"/>
    <w:rsid w:val="0013280A"/>
    <w:rsid w:val="001332B3"/>
    <w:rsid w:val="0013343F"/>
    <w:rsid w:val="001344F9"/>
    <w:rsid w:val="00134F37"/>
    <w:rsid w:val="00135F76"/>
    <w:rsid w:val="001360E9"/>
    <w:rsid w:val="001360F4"/>
    <w:rsid w:val="001363C7"/>
    <w:rsid w:val="00136E87"/>
    <w:rsid w:val="00140793"/>
    <w:rsid w:val="0014203B"/>
    <w:rsid w:val="001422BD"/>
    <w:rsid w:val="0014286D"/>
    <w:rsid w:val="00143B8E"/>
    <w:rsid w:val="00143F21"/>
    <w:rsid w:val="0014420C"/>
    <w:rsid w:val="001446C3"/>
    <w:rsid w:val="0014517C"/>
    <w:rsid w:val="001461A7"/>
    <w:rsid w:val="00146946"/>
    <w:rsid w:val="00146E7C"/>
    <w:rsid w:val="00147AB3"/>
    <w:rsid w:val="00147F8C"/>
    <w:rsid w:val="00150492"/>
    <w:rsid w:val="001513CE"/>
    <w:rsid w:val="00151465"/>
    <w:rsid w:val="00151AD8"/>
    <w:rsid w:val="00151E77"/>
    <w:rsid w:val="00153287"/>
    <w:rsid w:val="001533E6"/>
    <w:rsid w:val="001538BE"/>
    <w:rsid w:val="00153C33"/>
    <w:rsid w:val="00155198"/>
    <w:rsid w:val="0015537C"/>
    <w:rsid w:val="00155A26"/>
    <w:rsid w:val="00155EF1"/>
    <w:rsid w:val="00156192"/>
    <w:rsid w:val="00156E57"/>
    <w:rsid w:val="0015710D"/>
    <w:rsid w:val="00157338"/>
    <w:rsid w:val="001574A5"/>
    <w:rsid w:val="001577E2"/>
    <w:rsid w:val="00157CE5"/>
    <w:rsid w:val="00157DEB"/>
    <w:rsid w:val="001610BC"/>
    <w:rsid w:val="00161177"/>
    <w:rsid w:val="00161847"/>
    <w:rsid w:val="00161E13"/>
    <w:rsid w:val="001629D8"/>
    <w:rsid w:val="00162B2A"/>
    <w:rsid w:val="00162B8D"/>
    <w:rsid w:val="00162F9F"/>
    <w:rsid w:val="00164803"/>
    <w:rsid w:val="00164AE0"/>
    <w:rsid w:val="00165BF5"/>
    <w:rsid w:val="00165F2E"/>
    <w:rsid w:val="0016646A"/>
    <w:rsid w:val="0016793B"/>
    <w:rsid w:val="00167C43"/>
    <w:rsid w:val="001706C9"/>
    <w:rsid w:val="0017120C"/>
    <w:rsid w:val="0017150D"/>
    <w:rsid w:val="001727D7"/>
    <w:rsid w:val="00172C96"/>
    <w:rsid w:val="00172DDC"/>
    <w:rsid w:val="00172F3A"/>
    <w:rsid w:val="00173477"/>
    <w:rsid w:val="0017414F"/>
    <w:rsid w:val="0017432C"/>
    <w:rsid w:val="00174636"/>
    <w:rsid w:val="00174735"/>
    <w:rsid w:val="0017481D"/>
    <w:rsid w:val="00174B1B"/>
    <w:rsid w:val="00174BD8"/>
    <w:rsid w:val="00174D51"/>
    <w:rsid w:val="001750BC"/>
    <w:rsid w:val="001757B3"/>
    <w:rsid w:val="001765BB"/>
    <w:rsid w:val="0017667E"/>
    <w:rsid w:val="001766A1"/>
    <w:rsid w:val="001766D3"/>
    <w:rsid w:val="00176AE8"/>
    <w:rsid w:val="00176E76"/>
    <w:rsid w:val="00177570"/>
    <w:rsid w:val="00177E95"/>
    <w:rsid w:val="0018007F"/>
    <w:rsid w:val="001811FC"/>
    <w:rsid w:val="00182338"/>
    <w:rsid w:val="00182348"/>
    <w:rsid w:val="00183F50"/>
    <w:rsid w:val="00184BD9"/>
    <w:rsid w:val="00184ED6"/>
    <w:rsid w:val="00184F13"/>
    <w:rsid w:val="00184FD9"/>
    <w:rsid w:val="001851F5"/>
    <w:rsid w:val="00185361"/>
    <w:rsid w:val="00186037"/>
    <w:rsid w:val="00186AE4"/>
    <w:rsid w:val="00186D14"/>
    <w:rsid w:val="001876D8"/>
    <w:rsid w:val="00187F6A"/>
    <w:rsid w:val="00190325"/>
    <w:rsid w:val="00190391"/>
    <w:rsid w:val="0019151E"/>
    <w:rsid w:val="00191593"/>
    <w:rsid w:val="001918F1"/>
    <w:rsid w:val="0019196E"/>
    <w:rsid w:val="00191FF5"/>
    <w:rsid w:val="001926D7"/>
    <w:rsid w:val="00192CCE"/>
    <w:rsid w:val="0019385B"/>
    <w:rsid w:val="00193F1C"/>
    <w:rsid w:val="001948F5"/>
    <w:rsid w:val="00194958"/>
    <w:rsid w:val="00194DB3"/>
    <w:rsid w:val="00196359"/>
    <w:rsid w:val="00197205"/>
    <w:rsid w:val="00197632"/>
    <w:rsid w:val="0019793F"/>
    <w:rsid w:val="00197A9D"/>
    <w:rsid w:val="001A08E7"/>
    <w:rsid w:val="001A17D7"/>
    <w:rsid w:val="001A1A67"/>
    <w:rsid w:val="001A1FDD"/>
    <w:rsid w:val="001A2D8F"/>
    <w:rsid w:val="001A3614"/>
    <w:rsid w:val="001A3D89"/>
    <w:rsid w:val="001A3E0A"/>
    <w:rsid w:val="001A5458"/>
    <w:rsid w:val="001A545B"/>
    <w:rsid w:val="001A54DA"/>
    <w:rsid w:val="001A5E69"/>
    <w:rsid w:val="001A6861"/>
    <w:rsid w:val="001A6FEC"/>
    <w:rsid w:val="001A78AA"/>
    <w:rsid w:val="001B08B5"/>
    <w:rsid w:val="001B0AC6"/>
    <w:rsid w:val="001B143B"/>
    <w:rsid w:val="001B1532"/>
    <w:rsid w:val="001B1777"/>
    <w:rsid w:val="001B19C5"/>
    <w:rsid w:val="001B1B6D"/>
    <w:rsid w:val="001B1C93"/>
    <w:rsid w:val="001B21CA"/>
    <w:rsid w:val="001B28D5"/>
    <w:rsid w:val="001B28E4"/>
    <w:rsid w:val="001B35D4"/>
    <w:rsid w:val="001B4446"/>
    <w:rsid w:val="001B5A00"/>
    <w:rsid w:val="001B5F59"/>
    <w:rsid w:val="001B615C"/>
    <w:rsid w:val="001B63A7"/>
    <w:rsid w:val="001B6810"/>
    <w:rsid w:val="001B6E89"/>
    <w:rsid w:val="001B791C"/>
    <w:rsid w:val="001B7D70"/>
    <w:rsid w:val="001C0125"/>
    <w:rsid w:val="001C1074"/>
    <w:rsid w:val="001C21C8"/>
    <w:rsid w:val="001C22B3"/>
    <w:rsid w:val="001C25F5"/>
    <w:rsid w:val="001C2DFD"/>
    <w:rsid w:val="001C30F6"/>
    <w:rsid w:val="001C34D0"/>
    <w:rsid w:val="001C4249"/>
    <w:rsid w:val="001C46E3"/>
    <w:rsid w:val="001C4F27"/>
    <w:rsid w:val="001C51FE"/>
    <w:rsid w:val="001C62F4"/>
    <w:rsid w:val="001C6573"/>
    <w:rsid w:val="001C6956"/>
    <w:rsid w:val="001C6963"/>
    <w:rsid w:val="001C7D03"/>
    <w:rsid w:val="001D00BE"/>
    <w:rsid w:val="001D079B"/>
    <w:rsid w:val="001D0D32"/>
    <w:rsid w:val="001D17C9"/>
    <w:rsid w:val="001D1AB9"/>
    <w:rsid w:val="001D1F20"/>
    <w:rsid w:val="001D3795"/>
    <w:rsid w:val="001D4006"/>
    <w:rsid w:val="001D483C"/>
    <w:rsid w:val="001D54BD"/>
    <w:rsid w:val="001D5C72"/>
    <w:rsid w:val="001D626E"/>
    <w:rsid w:val="001D733B"/>
    <w:rsid w:val="001D73CF"/>
    <w:rsid w:val="001D7E8C"/>
    <w:rsid w:val="001E0902"/>
    <w:rsid w:val="001E157E"/>
    <w:rsid w:val="001E1801"/>
    <w:rsid w:val="001E1C73"/>
    <w:rsid w:val="001E1E05"/>
    <w:rsid w:val="001E2254"/>
    <w:rsid w:val="001E22D2"/>
    <w:rsid w:val="001E2343"/>
    <w:rsid w:val="001E2BFD"/>
    <w:rsid w:val="001E3A17"/>
    <w:rsid w:val="001E3FCB"/>
    <w:rsid w:val="001E52DF"/>
    <w:rsid w:val="001E5500"/>
    <w:rsid w:val="001E55F9"/>
    <w:rsid w:val="001E6BCB"/>
    <w:rsid w:val="001E783B"/>
    <w:rsid w:val="001E7E76"/>
    <w:rsid w:val="001E7F76"/>
    <w:rsid w:val="001E7FBC"/>
    <w:rsid w:val="001F0822"/>
    <w:rsid w:val="001F08CB"/>
    <w:rsid w:val="001F105B"/>
    <w:rsid w:val="001F149B"/>
    <w:rsid w:val="001F15F6"/>
    <w:rsid w:val="001F179C"/>
    <w:rsid w:val="001F24B7"/>
    <w:rsid w:val="001F2649"/>
    <w:rsid w:val="001F3496"/>
    <w:rsid w:val="001F41CA"/>
    <w:rsid w:val="001F4355"/>
    <w:rsid w:val="001F4819"/>
    <w:rsid w:val="001F48BD"/>
    <w:rsid w:val="001F5034"/>
    <w:rsid w:val="001F61DE"/>
    <w:rsid w:val="001F63AA"/>
    <w:rsid w:val="001F69C8"/>
    <w:rsid w:val="001F7054"/>
    <w:rsid w:val="001F77E5"/>
    <w:rsid w:val="001F7DB7"/>
    <w:rsid w:val="002000AA"/>
    <w:rsid w:val="00201502"/>
    <w:rsid w:val="002018B3"/>
    <w:rsid w:val="0020302A"/>
    <w:rsid w:val="002032A0"/>
    <w:rsid w:val="00203532"/>
    <w:rsid w:val="00203AE0"/>
    <w:rsid w:val="00204106"/>
    <w:rsid w:val="00204109"/>
    <w:rsid w:val="00204B9E"/>
    <w:rsid w:val="0020503A"/>
    <w:rsid w:val="00205041"/>
    <w:rsid w:val="0020524C"/>
    <w:rsid w:val="002059E3"/>
    <w:rsid w:val="002100FF"/>
    <w:rsid w:val="0021025C"/>
    <w:rsid w:val="00210543"/>
    <w:rsid w:val="00210B9B"/>
    <w:rsid w:val="0021102F"/>
    <w:rsid w:val="002118D1"/>
    <w:rsid w:val="00211DCE"/>
    <w:rsid w:val="00212390"/>
    <w:rsid w:val="00212897"/>
    <w:rsid w:val="0021386A"/>
    <w:rsid w:val="00213C44"/>
    <w:rsid w:val="002147EE"/>
    <w:rsid w:val="00215516"/>
    <w:rsid w:val="002158DC"/>
    <w:rsid w:val="002159D5"/>
    <w:rsid w:val="00215ADE"/>
    <w:rsid w:val="00215B64"/>
    <w:rsid w:val="00215C05"/>
    <w:rsid w:val="002161E3"/>
    <w:rsid w:val="00216DF5"/>
    <w:rsid w:val="00216EFA"/>
    <w:rsid w:val="0021798E"/>
    <w:rsid w:val="00217CA1"/>
    <w:rsid w:val="00217DEE"/>
    <w:rsid w:val="002203BF"/>
    <w:rsid w:val="00220C4C"/>
    <w:rsid w:val="00220E95"/>
    <w:rsid w:val="002217FE"/>
    <w:rsid w:val="0022180C"/>
    <w:rsid w:val="00221C72"/>
    <w:rsid w:val="002223E1"/>
    <w:rsid w:val="002225AB"/>
    <w:rsid w:val="00222955"/>
    <w:rsid w:val="002231B0"/>
    <w:rsid w:val="00224135"/>
    <w:rsid w:val="002250D1"/>
    <w:rsid w:val="002267D2"/>
    <w:rsid w:val="00230839"/>
    <w:rsid w:val="00230EE8"/>
    <w:rsid w:val="00231ADB"/>
    <w:rsid w:val="00232178"/>
    <w:rsid w:val="00232248"/>
    <w:rsid w:val="00232D12"/>
    <w:rsid w:val="00233616"/>
    <w:rsid w:val="00233975"/>
    <w:rsid w:val="00233B8C"/>
    <w:rsid w:val="002353E3"/>
    <w:rsid w:val="00235CC0"/>
    <w:rsid w:val="00235F30"/>
    <w:rsid w:val="00236287"/>
    <w:rsid w:val="002363FF"/>
    <w:rsid w:val="00236D10"/>
    <w:rsid w:val="002407CE"/>
    <w:rsid w:val="00242325"/>
    <w:rsid w:val="00243244"/>
    <w:rsid w:val="00243610"/>
    <w:rsid w:val="00243A38"/>
    <w:rsid w:val="0024474F"/>
    <w:rsid w:val="00244761"/>
    <w:rsid w:val="002450F2"/>
    <w:rsid w:val="00245B7F"/>
    <w:rsid w:val="002469C2"/>
    <w:rsid w:val="00247BDE"/>
    <w:rsid w:val="00247DE2"/>
    <w:rsid w:val="002505DE"/>
    <w:rsid w:val="00250E9E"/>
    <w:rsid w:val="002514FA"/>
    <w:rsid w:val="00251576"/>
    <w:rsid w:val="00251DAF"/>
    <w:rsid w:val="00252503"/>
    <w:rsid w:val="00252ED7"/>
    <w:rsid w:val="0025393C"/>
    <w:rsid w:val="002549E7"/>
    <w:rsid w:val="00254A72"/>
    <w:rsid w:val="00254A7A"/>
    <w:rsid w:val="00254EA4"/>
    <w:rsid w:val="0025509C"/>
    <w:rsid w:val="002552F8"/>
    <w:rsid w:val="0025575F"/>
    <w:rsid w:val="002571E3"/>
    <w:rsid w:val="002573DA"/>
    <w:rsid w:val="00260496"/>
    <w:rsid w:val="00260542"/>
    <w:rsid w:val="00260BAD"/>
    <w:rsid w:val="0026224C"/>
    <w:rsid w:val="00263148"/>
    <w:rsid w:val="00264C7C"/>
    <w:rsid w:val="002663F4"/>
    <w:rsid w:val="0026650F"/>
    <w:rsid w:val="00266DC3"/>
    <w:rsid w:val="00267965"/>
    <w:rsid w:val="0027029D"/>
    <w:rsid w:val="00270443"/>
    <w:rsid w:val="00270EE2"/>
    <w:rsid w:val="0027138C"/>
    <w:rsid w:val="0027165A"/>
    <w:rsid w:val="0027206D"/>
    <w:rsid w:val="00272787"/>
    <w:rsid w:val="00272826"/>
    <w:rsid w:val="00272A7B"/>
    <w:rsid w:val="00272C44"/>
    <w:rsid w:val="00272F05"/>
    <w:rsid w:val="00273527"/>
    <w:rsid w:val="00273F6B"/>
    <w:rsid w:val="002747EF"/>
    <w:rsid w:val="00274B06"/>
    <w:rsid w:val="002751D6"/>
    <w:rsid w:val="002754D3"/>
    <w:rsid w:val="00276261"/>
    <w:rsid w:val="00276944"/>
    <w:rsid w:val="00276964"/>
    <w:rsid w:val="002769AE"/>
    <w:rsid w:val="00276CA7"/>
    <w:rsid w:val="002803D0"/>
    <w:rsid w:val="002816DD"/>
    <w:rsid w:val="002817A6"/>
    <w:rsid w:val="002821E8"/>
    <w:rsid w:val="00282F1D"/>
    <w:rsid w:val="00283215"/>
    <w:rsid w:val="002833F3"/>
    <w:rsid w:val="00284203"/>
    <w:rsid w:val="00284C8C"/>
    <w:rsid w:val="00285237"/>
    <w:rsid w:val="00285E3F"/>
    <w:rsid w:val="0028610D"/>
    <w:rsid w:val="002862CC"/>
    <w:rsid w:val="002868CD"/>
    <w:rsid w:val="00286BFE"/>
    <w:rsid w:val="00286C81"/>
    <w:rsid w:val="0028703E"/>
    <w:rsid w:val="0028709F"/>
    <w:rsid w:val="0028717B"/>
    <w:rsid w:val="00287524"/>
    <w:rsid w:val="00290119"/>
    <w:rsid w:val="0029040D"/>
    <w:rsid w:val="002908F8"/>
    <w:rsid w:val="00290A53"/>
    <w:rsid w:val="00290B64"/>
    <w:rsid w:val="00291CB7"/>
    <w:rsid w:val="00292E91"/>
    <w:rsid w:val="002930AD"/>
    <w:rsid w:val="00293254"/>
    <w:rsid w:val="00294739"/>
    <w:rsid w:val="00295002"/>
    <w:rsid w:val="0029568E"/>
    <w:rsid w:val="00295E8C"/>
    <w:rsid w:val="002971C7"/>
    <w:rsid w:val="002971F2"/>
    <w:rsid w:val="00297785"/>
    <w:rsid w:val="00297E05"/>
    <w:rsid w:val="002A0444"/>
    <w:rsid w:val="002A0F8D"/>
    <w:rsid w:val="002A1311"/>
    <w:rsid w:val="002A1377"/>
    <w:rsid w:val="002A211A"/>
    <w:rsid w:val="002A264B"/>
    <w:rsid w:val="002A4A82"/>
    <w:rsid w:val="002A4B33"/>
    <w:rsid w:val="002A4C00"/>
    <w:rsid w:val="002A5311"/>
    <w:rsid w:val="002A5863"/>
    <w:rsid w:val="002A6E9B"/>
    <w:rsid w:val="002A6FBB"/>
    <w:rsid w:val="002A7962"/>
    <w:rsid w:val="002A7BE9"/>
    <w:rsid w:val="002B05D1"/>
    <w:rsid w:val="002B1933"/>
    <w:rsid w:val="002B20BD"/>
    <w:rsid w:val="002B2611"/>
    <w:rsid w:val="002B27D8"/>
    <w:rsid w:val="002B35B9"/>
    <w:rsid w:val="002B38D2"/>
    <w:rsid w:val="002B3A46"/>
    <w:rsid w:val="002B3F1C"/>
    <w:rsid w:val="002B3F60"/>
    <w:rsid w:val="002B401B"/>
    <w:rsid w:val="002B48C5"/>
    <w:rsid w:val="002B4ED9"/>
    <w:rsid w:val="002B4EF4"/>
    <w:rsid w:val="002B51BB"/>
    <w:rsid w:val="002B58C5"/>
    <w:rsid w:val="002B6BF4"/>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8D9"/>
    <w:rsid w:val="002D3CE3"/>
    <w:rsid w:val="002D4298"/>
    <w:rsid w:val="002D47E8"/>
    <w:rsid w:val="002D4FCC"/>
    <w:rsid w:val="002D5145"/>
    <w:rsid w:val="002D5FD5"/>
    <w:rsid w:val="002D68F4"/>
    <w:rsid w:val="002D7395"/>
    <w:rsid w:val="002D7417"/>
    <w:rsid w:val="002D782B"/>
    <w:rsid w:val="002E0D9C"/>
    <w:rsid w:val="002E1247"/>
    <w:rsid w:val="002E26E8"/>
    <w:rsid w:val="002E3DD8"/>
    <w:rsid w:val="002E3ED8"/>
    <w:rsid w:val="002E5A01"/>
    <w:rsid w:val="002E5AF4"/>
    <w:rsid w:val="002E5EA3"/>
    <w:rsid w:val="002E717C"/>
    <w:rsid w:val="002E7533"/>
    <w:rsid w:val="002E7A61"/>
    <w:rsid w:val="002F00B8"/>
    <w:rsid w:val="002F0106"/>
    <w:rsid w:val="002F03C8"/>
    <w:rsid w:val="002F0700"/>
    <w:rsid w:val="002F188D"/>
    <w:rsid w:val="002F18A5"/>
    <w:rsid w:val="002F203F"/>
    <w:rsid w:val="002F26F3"/>
    <w:rsid w:val="002F317F"/>
    <w:rsid w:val="002F4CB0"/>
    <w:rsid w:val="002F51A2"/>
    <w:rsid w:val="002F5BA8"/>
    <w:rsid w:val="002F5E95"/>
    <w:rsid w:val="002F5F68"/>
    <w:rsid w:val="002F63CA"/>
    <w:rsid w:val="002F67B4"/>
    <w:rsid w:val="002F6F73"/>
    <w:rsid w:val="002F7AA9"/>
    <w:rsid w:val="003004E3"/>
    <w:rsid w:val="00300FF1"/>
    <w:rsid w:val="00301C0D"/>
    <w:rsid w:val="00301D7B"/>
    <w:rsid w:val="00301E19"/>
    <w:rsid w:val="003023DE"/>
    <w:rsid w:val="00302998"/>
    <w:rsid w:val="00303DC4"/>
    <w:rsid w:val="00304676"/>
    <w:rsid w:val="00306BE7"/>
    <w:rsid w:val="00306D4A"/>
    <w:rsid w:val="003079AD"/>
    <w:rsid w:val="003110A2"/>
    <w:rsid w:val="00311655"/>
    <w:rsid w:val="00311B66"/>
    <w:rsid w:val="00311F29"/>
    <w:rsid w:val="00312518"/>
    <w:rsid w:val="00314036"/>
    <w:rsid w:val="00314347"/>
    <w:rsid w:val="00314C03"/>
    <w:rsid w:val="00314C4F"/>
    <w:rsid w:val="00314FAF"/>
    <w:rsid w:val="003162A5"/>
    <w:rsid w:val="00316591"/>
    <w:rsid w:val="0032012B"/>
    <w:rsid w:val="00320553"/>
    <w:rsid w:val="00320C6D"/>
    <w:rsid w:val="003213A8"/>
    <w:rsid w:val="00321FA8"/>
    <w:rsid w:val="00321FFD"/>
    <w:rsid w:val="003225AD"/>
    <w:rsid w:val="00322E18"/>
    <w:rsid w:val="00323196"/>
    <w:rsid w:val="00323734"/>
    <w:rsid w:val="00323C3D"/>
    <w:rsid w:val="00323D1D"/>
    <w:rsid w:val="00323F8A"/>
    <w:rsid w:val="00324752"/>
    <w:rsid w:val="00324D73"/>
    <w:rsid w:val="00326011"/>
    <w:rsid w:val="0032643D"/>
    <w:rsid w:val="00326D02"/>
    <w:rsid w:val="00327069"/>
    <w:rsid w:val="00327812"/>
    <w:rsid w:val="00327AFB"/>
    <w:rsid w:val="00327BAF"/>
    <w:rsid w:val="00327D10"/>
    <w:rsid w:val="00330BBE"/>
    <w:rsid w:val="00331894"/>
    <w:rsid w:val="00332CB8"/>
    <w:rsid w:val="00333428"/>
    <w:rsid w:val="003343C7"/>
    <w:rsid w:val="00334784"/>
    <w:rsid w:val="003350B6"/>
    <w:rsid w:val="0033595E"/>
    <w:rsid w:val="0033601B"/>
    <w:rsid w:val="003364B6"/>
    <w:rsid w:val="0033764C"/>
    <w:rsid w:val="00337DF3"/>
    <w:rsid w:val="00337F8E"/>
    <w:rsid w:val="00340039"/>
    <w:rsid w:val="003400D3"/>
    <w:rsid w:val="0034024F"/>
    <w:rsid w:val="00340A77"/>
    <w:rsid w:val="00340D39"/>
    <w:rsid w:val="00340DFB"/>
    <w:rsid w:val="00341941"/>
    <w:rsid w:val="0034207A"/>
    <w:rsid w:val="0034278F"/>
    <w:rsid w:val="0034281F"/>
    <w:rsid w:val="00343B47"/>
    <w:rsid w:val="0034404F"/>
    <w:rsid w:val="00344ACC"/>
    <w:rsid w:val="00345F01"/>
    <w:rsid w:val="0034654F"/>
    <w:rsid w:val="00346B28"/>
    <w:rsid w:val="00347685"/>
    <w:rsid w:val="00347F6C"/>
    <w:rsid w:val="003509A5"/>
    <w:rsid w:val="00350FE2"/>
    <w:rsid w:val="003515FD"/>
    <w:rsid w:val="003518A4"/>
    <w:rsid w:val="00351E21"/>
    <w:rsid w:val="00352327"/>
    <w:rsid w:val="003526A9"/>
    <w:rsid w:val="00352FB6"/>
    <w:rsid w:val="00354062"/>
    <w:rsid w:val="00354405"/>
    <w:rsid w:val="00355392"/>
    <w:rsid w:val="00355A76"/>
    <w:rsid w:val="00355DEC"/>
    <w:rsid w:val="0035635F"/>
    <w:rsid w:val="00356E0F"/>
    <w:rsid w:val="0035700C"/>
    <w:rsid w:val="003607EE"/>
    <w:rsid w:val="003607FD"/>
    <w:rsid w:val="00360BC8"/>
    <w:rsid w:val="00360E35"/>
    <w:rsid w:val="00361106"/>
    <w:rsid w:val="003611C8"/>
    <w:rsid w:val="003617AE"/>
    <w:rsid w:val="00361F64"/>
    <w:rsid w:val="0036215C"/>
    <w:rsid w:val="003630F7"/>
    <w:rsid w:val="0036332B"/>
    <w:rsid w:val="00363589"/>
    <w:rsid w:val="003635C8"/>
    <w:rsid w:val="00363636"/>
    <w:rsid w:val="003651AC"/>
    <w:rsid w:val="003653AA"/>
    <w:rsid w:val="00366120"/>
    <w:rsid w:val="003661FF"/>
    <w:rsid w:val="003665A5"/>
    <w:rsid w:val="00366A0C"/>
    <w:rsid w:val="00367238"/>
    <w:rsid w:val="00367462"/>
    <w:rsid w:val="003677D5"/>
    <w:rsid w:val="00367C09"/>
    <w:rsid w:val="0037034B"/>
    <w:rsid w:val="00370507"/>
    <w:rsid w:val="00370682"/>
    <w:rsid w:val="00370F0B"/>
    <w:rsid w:val="003718D8"/>
    <w:rsid w:val="00372A01"/>
    <w:rsid w:val="003733DF"/>
    <w:rsid w:val="00373865"/>
    <w:rsid w:val="003739DA"/>
    <w:rsid w:val="00373CE8"/>
    <w:rsid w:val="00374DB0"/>
    <w:rsid w:val="003751C7"/>
    <w:rsid w:val="00375C84"/>
    <w:rsid w:val="00376524"/>
    <w:rsid w:val="00376E3B"/>
    <w:rsid w:val="003776FE"/>
    <w:rsid w:val="00380424"/>
    <w:rsid w:val="00380868"/>
    <w:rsid w:val="00380B9B"/>
    <w:rsid w:val="003818B3"/>
    <w:rsid w:val="003819F5"/>
    <w:rsid w:val="00381A52"/>
    <w:rsid w:val="00381B57"/>
    <w:rsid w:val="00381D47"/>
    <w:rsid w:val="003821CC"/>
    <w:rsid w:val="003835F0"/>
    <w:rsid w:val="00384FFA"/>
    <w:rsid w:val="003853B1"/>
    <w:rsid w:val="003853ED"/>
    <w:rsid w:val="0038628F"/>
    <w:rsid w:val="00386421"/>
    <w:rsid w:val="00386516"/>
    <w:rsid w:val="0038704C"/>
    <w:rsid w:val="00387AA1"/>
    <w:rsid w:val="0039082A"/>
    <w:rsid w:val="0039101F"/>
    <w:rsid w:val="00392EDB"/>
    <w:rsid w:val="00392FAE"/>
    <w:rsid w:val="003931AA"/>
    <w:rsid w:val="00393EEE"/>
    <w:rsid w:val="003941C0"/>
    <w:rsid w:val="00394D45"/>
    <w:rsid w:val="00395132"/>
    <w:rsid w:val="00395D99"/>
    <w:rsid w:val="00396682"/>
    <w:rsid w:val="003968DF"/>
    <w:rsid w:val="003976C3"/>
    <w:rsid w:val="00397A03"/>
    <w:rsid w:val="00397A64"/>
    <w:rsid w:val="003A099A"/>
    <w:rsid w:val="003A1372"/>
    <w:rsid w:val="003A1D46"/>
    <w:rsid w:val="003A2447"/>
    <w:rsid w:val="003A2B82"/>
    <w:rsid w:val="003A36D3"/>
    <w:rsid w:val="003A3927"/>
    <w:rsid w:val="003A3D2E"/>
    <w:rsid w:val="003A3FF7"/>
    <w:rsid w:val="003A43D1"/>
    <w:rsid w:val="003A6A51"/>
    <w:rsid w:val="003A6E29"/>
    <w:rsid w:val="003A7DC2"/>
    <w:rsid w:val="003A7FEA"/>
    <w:rsid w:val="003B0BDB"/>
    <w:rsid w:val="003B0E88"/>
    <w:rsid w:val="003B106E"/>
    <w:rsid w:val="003B153F"/>
    <w:rsid w:val="003B17B0"/>
    <w:rsid w:val="003B1844"/>
    <w:rsid w:val="003B1A5C"/>
    <w:rsid w:val="003B211E"/>
    <w:rsid w:val="003B24EA"/>
    <w:rsid w:val="003B2DA7"/>
    <w:rsid w:val="003B3AB7"/>
    <w:rsid w:val="003B3ABC"/>
    <w:rsid w:val="003B3CDD"/>
    <w:rsid w:val="003B3D8E"/>
    <w:rsid w:val="003B3FED"/>
    <w:rsid w:val="003B3FF1"/>
    <w:rsid w:val="003B4217"/>
    <w:rsid w:val="003B59A1"/>
    <w:rsid w:val="003B6D11"/>
    <w:rsid w:val="003B72A6"/>
    <w:rsid w:val="003B74F1"/>
    <w:rsid w:val="003B7541"/>
    <w:rsid w:val="003B7966"/>
    <w:rsid w:val="003B7F07"/>
    <w:rsid w:val="003B7FCE"/>
    <w:rsid w:val="003C0F87"/>
    <w:rsid w:val="003C141E"/>
    <w:rsid w:val="003C1B83"/>
    <w:rsid w:val="003C1C85"/>
    <w:rsid w:val="003C210E"/>
    <w:rsid w:val="003C21B3"/>
    <w:rsid w:val="003C30AD"/>
    <w:rsid w:val="003C3503"/>
    <w:rsid w:val="003C40DE"/>
    <w:rsid w:val="003C4851"/>
    <w:rsid w:val="003C4C96"/>
    <w:rsid w:val="003C55E0"/>
    <w:rsid w:val="003C5E39"/>
    <w:rsid w:val="003C683A"/>
    <w:rsid w:val="003D0079"/>
    <w:rsid w:val="003D017D"/>
    <w:rsid w:val="003D04D6"/>
    <w:rsid w:val="003D10EC"/>
    <w:rsid w:val="003D28DE"/>
    <w:rsid w:val="003D29B9"/>
    <w:rsid w:val="003D3500"/>
    <w:rsid w:val="003D37B6"/>
    <w:rsid w:val="003D3C68"/>
    <w:rsid w:val="003D450D"/>
    <w:rsid w:val="003D4BA9"/>
    <w:rsid w:val="003D503A"/>
    <w:rsid w:val="003D6505"/>
    <w:rsid w:val="003D71A6"/>
    <w:rsid w:val="003D7709"/>
    <w:rsid w:val="003E004C"/>
    <w:rsid w:val="003E073A"/>
    <w:rsid w:val="003E0BAF"/>
    <w:rsid w:val="003E0E25"/>
    <w:rsid w:val="003E10E0"/>
    <w:rsid w:val="003E1409"/>
    <w:rsid w:val="003E16F2"/>
    <w:rsid w:val="003E2195"/>
    <w:rsid w:val="003E36A5"/>
    <w:rsid w:val="003E4A52"/>
    <w:rsid w:val="003E5CBA"/>
    <w:rsid w:val="003E78A9"/>
    <w:rsid w:val="003E7912"/>
    <w:rsid w:val="003F04E6"/>
    <w:rsid w:val="003F2CDD"/>
    <w:rsid w:val="003F3754"/>
    <w:rsid w:val="003F3FB3"/>
    <w:rsid w:val="003F45D7"/>
    <w:rsid w:val="003F4C1B"/>
    <w:rsid w:val="003F5660"/>
    <w:rsid w:val="003F5717"/>
    <w:rsid w:val="003F5A39"/>
    <w:rsid w:val="003F5B56"/>
    <w:rsid w:val="003F5B9F"/>
    <w:rsid w:val="003F5C1A"/>
    <w:rsid w:val="003F6A6A"/>
    <w:rsid w:val="003F738D"/>
    <w:rsid w:val="003F7554"/>
    <w:rsid w:val="003F7845"/>
    <w:rsid w:val="003F7FA1"/>
    <w:rsid w:val="003F7FA4"/>
    <w:rsid w:val="004006EA"/>
    <w:rsid w:val="004008DE"/>
    <w:rsid w:val="00400B4E"/>
    <w:rsid w:val="0040130D"/>
    <w:rsid w:val="00402E56"/>
    <w:rsid w:val="00403634"/>
    <w:rsid w:val="00403A99"/>
    <w:rsid w:val="00404592"/>
    <w:rsid w:val="00404B58"/>
    <w:rsid w:val="0040544F"/>
    <w:rsid w:val="00405537"/>
    <w:rsid w:val="00405C5E"/>
    <w:rsid w:val="0040625C"/>
    <w:rsid w:val="004069D2"/>
    <w:rsid w:val="004076FF"/>
    <w:rsid w:val="00411B17"/>
    <w:rsid w:val="00411ED8"/>
    <w:rsid w:val="00411FFF"/>
    <w:rsid w:val="0041222D"/>
    <w:rsid w:val="004124F2"/>
    <w:rsid w:val="00412E6F"/>
    <w:rsid w:val="00413C5C"/>
    <w:rsid w:val="0041413F"/>
    <w:rsid w:val="00414F35"/>
    <w:rsid w:val="0041567A"/>
    <w:rsid w:val="00415BAB"/>
    <w:rsid w:val="00415BCF"/>
    <w:rsid w:val="00416297"/>
    <w:rsid w:val="00417083"/>
    <w:rsid w:val="00417E36"/>
    <w:rsid w:val="0042049A"/>
    <w:rsid w:val="0042057C"/>
    <w:rsid w:val="00420694"/>
    <w:rsid w:val="00420BDF"/>
    <w:rsid w:val="00421608"/>
    <w:rsid w:val="00421C23"/>
    <w:rsid w:val="0042261E"/>
    <w:rsid w:val="00422749"/>
    <w:rsid w:val="004228F2"/>
    <w:rsid w:val="004233DC"/>
    <w:rsid w:val="00424888"/>
    <w:rsid w:val="004255D9"/>
    <w:rsid w:val="00425763"/>
    <w:rsid w:val="00425C3C"/>
    <w:rsid w:val="00426F8D"/>
    <w:rsid w:val="00427D1B"/>
    <w:rsid w:val="00427E40"/>
    <w:rsid w:val="004306AB"/>
    <w:rsid w:val="004314AB"/>
    <w:rsid w:val="0043159D"/>
    <w:rsid w:val="0043171D"/>
    <w:rsid w:val="00432F78"/>
    <w:rsid w:val="004334A2"/>
    <w:rsid w:val="004335BC"/>
    <w:rsid w:val="004339E6"/>
    <w:rsid w:val="00434723"/>
    <w:rsid w:val="00434729"/>
    <w:rsid w:val="0043617B"/>
    <w:rsid w:val="00437A8A"/>
    <w:rsid w:val="00437D17"/>
    <w:rsid w:val="00437D2F"/>
    <w:rsid w:val="0044046D"/>
    <w:rsid w:val="004410D3"/>
    <w:rsid w:val="00441A5B"/>
    <w:rsid w:val="00441DAF"/>
    <w:rsid w:val="0044270D"/>
    <w:rsid w:val="00442E8C"/>
    <w:rsid w:val="0044312A"/>
    <w:rsid w:val="00443310"/>
    <w:rsid w:val="004435D5"/>
    <w:rsid w:val="00443A34"/>
    <w:rsid w:val="00443D38"/>
    <w:rsid w:val="00444140"/>
    <w:rsid w:val="00444BF5"/>
    <w:rsid w:val="00444F43"/>
    <w:rsid w:val="00447048"/>
    <w:rsid w:val="00447AD3"/>
    <w:rsid w:val="00447C23"/>
    <w:rsid w:val="00450744"/>
    <w:rsid w:val="00450BE7"/>
    <w:rsid w:val="00450FE8"/>
    <w:rsid w:val="004518D0"/>
    <w:rsid w:val="0045213A"/>
    <w:rsid w:val="0045227C"/>
    <w:rsid w:val="0045230E"/>
    <w:rsid w:val="004528FA"/>
    <w:rsid w:val="00452D67"/>
    <w:rsid w:val="00452E53"/>
    <w:rsid w:val="0045418C"/>
    <w:rsid w:val="004542C6"/>
    <w:rsid w:val="00454EDC"/>
    <w:rsid w:val="00455B00"/>
    <w:rsid w:val="00455B97"/>
    <w:rsid w:val="00456635"/>
    <w:rsid w:val="00456BFD"/>
    <w:rsid w:val="004575D5"/>
    <w:rsid w:val="00457657"/>
    <w:rsid w:val="004600BF"/>
    <w:rsid w:val="004607D0"/>
    <w:rsid w:val="00460CE3"/>
    <w:rsid w:val="00460F25"/>
    <w:rsid w:val="0046116D"/>
    <w:rsid w:val="004612A4"/>
    <w:rsid w:val="0046153C"/>
    <w:rsid w:val="004624D2"/>
    <w:rsid w:val="004625C8"/>
    <w:rsid w:val="00462DCE"/>
    <w:rsid w:val="0046439A"/>
    <w:rsid w:val="0046442A"/>
    <w:rsid w:val="00464BF1"/>
    <w:rsid w:val="00464D9B"/>
    <w:rsid w:val="00465D73"/>
    <w:rsid w:val="00466078"/>
    <w:rsid w:val="0046626B"/>
    <w:rsid w:val="004669BB"/>
    <w:rsid w:val="004676E4"/>
    <w:rsid w:val="00467AFF"/>
    <w:rsid w:val="00470183"/>
    <w:rsid w:val="004708C9"/>
    <w:rsid w:val="00470C48"/>
    <w:rsid w:val="0047139F"/>
    <w:rsid w:val="00471429"/>
    <w:rsid w:val="004722B1"/>
    <w:rsid w:val="00472AA7"/>
    <w:rsid w:val="00473A47"/>
    <w:rsid w:val="00473A4F"/>
    <w:rsid w:val="00473C0A"/>
    <w:rsid w:val="00473EEF"/>
    <w:rsid w:val="00474415"/>
    <w:rsid w:val="00474BC1"/>
    <w:rsid w:val="004763EC"/>
    <w:rsid w:val="0047722F"/>
    <w:rsid w:val="00477459"/>
    <w:rsid w:val="00477CC9"/>
    <w:rsid w:val="0048026E"/>
    <w:rsid w:val="00480303"/>
    <w:rsid w:val="004807A9"/>
    <w:rsid w:val="00480A8A"/>
    <w:rsid w:val="00480F76"/>
    <w:rsid w:val="004810A5"/>
    <w:rsid w:val="004810E0"/>
    <w:rsid w:val="00481318"/>
    <w:rsid w:val="00481363"/>
    <w:rsid w:val="004813EE"/>
    <w:rsid w:val="00481835"/>
    <w:rsid w:val="00482CDC"/>
    <w:rsid w:val="00482FB0"/>
    <w:rsid w:val="00483B03"/>
    <w:rsid w:val="0048444C"/>
    <w:rsid w:val="00485058"/>
    <w:rsid w:val="00485702"/>
    <w:rsid w:val="00485C2D"/>
    <w:rsid w:val="004867EC"/>
    <w:rsid w:val="00486A37"/>
    <w:rsid w:val="00487662"/>
    <w:rsid w:val="004876C6"/>
    <w:rsid w:val="00487D7B"/>
    <w:rsid w:val="00490F7A"/>
    <w:rsid w:val="00490FD5"/>
    <w:rsid w:val="00491241"/>
    <w:rsid w:val="00491813"/>
    <w:rsid w:val="004926ED"/>
    <w:rsid w:val="00493278"/>
    <w:rsid w:val="00493855"/>
    <w:rsid w:val="004951D8"/>
    <w:rsid w:val="004952C1"/>
    <w:rsid w:val="00497575"/>
    <w:rsid w:val="004A078B"/>
    <w:rsid w:val="004A12C0"/>
    <w:rsid w:val="004A169A"/>
    <w:rsid w:val="004A18C9"/>
    <w:rsid w:val="004A191A"/>
    <w:rsid w:val="004A1A70"/>
    <w:rsid w:val="004A25F3"/>
    <w:rsid w:val="004A2D5A"/>
    <w:rsid w:val="004A3988"/>
    <w:rsid w:val="004A3A9C"/>
    <w:rsid w:val="004A4027"/>
    <w:rsid w:val="004A419E"/>
    <w:rsid w:val="004A4688"/>
    <w:rsid w:val="004A4DCE"/>
    <w:rsid w:val="004A6463"/>
    <w:rsid w:val="004A6B58"/>
    <w:rsid w:val="004A6BA2"/>
    <w:rsid w:val="004A767C"/>
    <w:rsid w:val="004B06C3"/>
    <w:rsid w:val="004B0917"/>
    <w:rsid w:val="004B0B09"/>
    <w:rsid w:val="004B0E65"/>
    <w:rsid w:val="004B140F"/>
    <w:rsid w:val="004B14EB"/>
    <w:rsid w:val="004B21CF"/>
    <w:rsid w:val="004B2DE3"/>
    <w:rsid w:val="004B3FEA"/>
    <w:rsid w:val="004B4E68"/>
    <w:rsid w:val="004B53F1"/>
    <w:rsid w:val="004B5D6E"/>
    <w:rsid w:val="004B60BA"/>
    <w:rsid w:val="004B6946"/>
    <w:rsid w:val="004B6D89"/>
    <w:rsid w:val="004B6E81"/>
    <w:rsid w:val="004C0FFE"/>
    <w:rsid w:val="004C136D"/>
    <w:rsid w:val="004C1619"/>
    <w:rsid w:val="004C177F"/>
    <w:rsid w:val="004C19E4"/>
    <w:rsid w:val="004C1B59"/>
    <w:rsid w:val="004C3C25"/>
    <w:rsid w:val="004C3EEA"/>
    <w:rsid w:val="004C4EA2"/>
    <w:rsid w:val="004C596B"/>
    <w:rsid w:val="004C5E41"/>
    <w:rsid w:val="004C60E7"/>
    <w:rsid w:val="004C664D"/>
    <w:rsid w:val="004C7A4D"/>
    <w:rsid w:val="004C7BDE"/>
    <w:rsid w:val="004D0090"/>
    <w:rsid w:val="004D020F"/>
    <w:rsid w:val="004D03D1"/>
    <w:rsid w:val="004D10B0"/>
    <w:rsid w:val="004D11AF"/>
    <w:rsid w:val="004D2E58"/>
    <w:rsid w:val="004D37D9"/>
    <w:rsid w:val="004D41A2"/>
    <w:rsid w:val="004D502C"/>
    <w:rsid w:val="004D5FB2"/>
    <w:rsid w:val="004D60A3"/>
    <w:rsid w:val="004D6DC3"/>
    <w:rsid w:val="004D71CA"/>
    <w:rsid w:val="004E016A"/>
    <w:rsid w:val="004E0461"/>
    <w:rsid w:val="004E1CC8"/>
    <w:rsid w:val="004E29B1"/>
    <w:rsid w:val="004E3F87"/>
    <w:rsid w:val="004E461B"/>
    <w:rsid w:val="004E477D"/>
    <w:rsid w:val="004E5890"/>
    <w:rsid w:val="004E79EF"/>
    <w:rsid w:val="004E7B33"/>
    <w:rsid w:val="004F0368"/>
    <w:rsid w:val="004F0D19"/>
    <w:rsid w:val="004F121B"/>
    <w:rsid w:val="004F140F"/>
    <w:rsid w:val="004F185F"/>
    <w:rsid w:val="004F2811"/>
    <w:rsid w:val="004F3326"/>
    <w:rsid w:val="004F4139"/>
    <w:rsid w:val="004F590E"/>
    <w:rsid w:val="004F5966"/>
    <w:rsid w:val="004F6026"/>
    <w:rsid w:val="004F60F4"/>
    <w:rsid w:val="004F62E8"/>
    <w:rsid w:val="004F67C3"/>
    <w:rsid w:val="004F6C17"/>
    <w:rsid w:val="004F7390"/>
    <w:rsid w:val="004F78F8"/>
    <w:rsid w:val="005001A5"/>
    <w:rsid w:val="00500CCD"/>
    <w:rsid w:val="005019AA"/>
    <w:rsid w:val="00502008"/>
    <w:rsid w:val="005032E9"/>
    <w:rsid w:val="00503C3B"/>
    <w:rsid w:val="00503CE7"/>
    <w:rsid w:val="00503E7E"/>
    <w:rsid w:val="005040C9"/>
    <w:rsid w:val="005042DB"/>
    <w:rsid w:val="0050458E"/>
    <w:rsid w:val="00505928"/>
    <w:rsid w:val="00505CD6"/>
    <w:rsid w:val="005069B2"/>
    <w:rsid w:val="0050741A"/>
    <w:rsid w:val="00510452"/>
    <w:rsid w:val="005107BD"/>
    <w:rsid w:val="005108EC"/>
    <w:rsid w:val="00511D5B"/>
    <w:rsid w:val="00511F8F"/>
    <w:rsid w:val="00512A7E"/>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20BBA"/>
    <w:rsid w:val="005225AC"/>
    <w:rsid w:val="005226FA"/>
    <w:rsid w:val="005233F3"/>
    <w:rsid w:val="0052365C"/>
    <w:rsid w:val="005245D2"/>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C61"/>
    <w:rsid w:val="00533DBF"/>
    <w:rsid w:val="00534940"/>
    <w:rsid w:val="00535673"/>
    <w:rsid w:val="00535784"/>
    <w:rsid w:val="00535D6B"/>
    <w:rsid w:val="00536442"/>
    <w:rsid w:val="005374FE"/>
    <w:rsid w:val="0054053D"/>
    <w:rsid w:val="0054126C"/>
    <w:rsid w:val="00541368"/>
    <w:rsid w:val="005415DD"/>
    <w:rsid w:val="00541D12"/>
    <w:rsid w:val="005423F3"/>
    <w:rsid w:val="005426DB"/>
    <w:rsid w:val="005442F1"/>
    <w:rsid w:val="00544A24"/>
    <w:rsid w:val="0054583C"/>
    <w:rsid w:val="00546227"/>
    <w:rsid w:val="005468E2"/>
    <w:rsid w:val="00546D83"/>
    <w:rsid w:val="00550113"/>
    <w:rsid w:val="0055016A"/>
    <w:rsid w:val="0055019B"/>
    <w:rsid w:val="005504BE"/>
    <w:rsid w:val="0055082B"/>
    <w:rsid w:val="0055093A"/>
    <w:rsid w:val="00550F00"/>
    <w:rsid w:val="00551964"/>
    <w:rsid w:val="00551BDF"/>
    <w:rsid w:val="00551ED7"/>
    <w:rsid w:val="0055211C"/>
    <w:rsid w:val="0055263A"/>
    <w:rsid w:val="005526EE"/>
    <w:rsid w:val="00552B57"/>
    <w:rsid w:val="00552E53"/>
    <w:rsid w:val="00553E34"/>
    <w:rsid w:val="005547B7"/>
    <w:rsid w:val="005551E9"/>
    <w:rsid w:val="005557AA"/>
    <w:rsid w:val="0055581A"/>
    <w:rsid w:val="0055680D"/>
    <w:rsid w:val="00557670"/>
    <w:rsid w:val="00557C2D"/>
    <w:rsid w:val="00560094"/>
    <w:rsid w:val="00560C62"/>
    <w:rsid w:val="00561B6D"/>
    <w:rsid w:val="00562A61"/>
    <w:rsid w:val="00562E78"/>
    <w:rsid w:val="005638A2"/>
    <w:rsid w:val="00564E45"/>
    <w:rsid w:val="005652D5"/>
    <w:rsid w:val="00565E52"/>
    <w:rsid w:val="005661D1"/>
    <w:rsid w:val="00567161"/>
    <w:rsid w:val="00567227"/>
    <w:rsid w:val="00567CD0"/>
    <w:rsid w:val="00570C7B"/>
    <w:rsid w:val="00571C77"/>
    <w:rsid w:val="005721F2"/>
    <w:rsid w:val="00572D5B"/>
    <w:rsid w:val="005743C5"/>
    <w:rsid w:val="00574614"/>
    <w:rsid w:val="00574A70"/>
    <w:rsid w:val="00574D35"/>
    <w:rsid w:val="00575C75"/>
    <w:rsid w:val="005762CA"/>
    <w:rsid w:val="005770CF"/>
    <w:rsid w:val="00577904"/>
    <w:rsid w:val="00577922"/>
    <w:rsid w:val="00577AC3"/>
    <w:rsid w:val="00580577"/>
    <w:rsid w:val="00580D13"/>
    <w:rsid w:val="005815A8"/>
    <w:rsid w:val="005815C7"/>
    <w:rsid w:val="00581915"/>
    <w:rsid w:val="00583431"/>
    <w:rsid w:val="005846C0"/>
    <w:rsid w:val="00584D04"/>
    <w:rsid w:val="005853F5"/>
    <w:rsid w:val="0058567E"/>
    <w:rsid w:val="00585DE1"/>
    <w:rsid w:val="0058659E"/>
    <w:rsid w:val="005869EE"/>
    <w:rsid w:val="005872DD"/>
    <w:rsid w:val="00587CF2"/>
    <w:rsid w:val="00587D3A"/>
    <w:rsid w:val="00587DB5"/>
    <w:rsid w:val="00590346"/>
    <w:rsid w:val="00590BA2"/>
    <w:rsid w:val="00590CA7"/>
    <w:rsid w:val="00590E93"/>
    <w:rsid w:val="0059159C"/>
    <w:rsid w:val="005915E1"/>
    <w:rsid w:val="00591C75"/>
    <w:rsid w:val="00592D10"/>
    <w:rsid w:val="0059388B"/>
    <w:rsid w:val="00593A5F"/>
    <w:rsid w:val="0059404E"/>
    <w:rsid w:val="00594269"/>
    <w:rsid w:val="00595539"/>
    <w:rsid w:val="00597108"/>
    <w:rsid w:val="005976DB"/>
    <w:rsid w:val="005A3E82"/>
    <w:rsid w:val="005A4287"/>
    <w:rsid w:val="005A482E"/>
    <w:rsid w:val="005A4DB0"/>
    <w:rsid w:val="005A5095"/>
    <w:rsid w:val="005A5597"/>
    <w:rsid w:val="005A57BF"/>
    <w:rsid w:val="005A6AC2"/>
    <w:rsid w:val="005A7A65"/>
    <w:rsid w:val="005A7B26"/>
    <w:rsid w:val="005A7B8E"/>
    <w:rsid w:val="005B012B"/>
    <w:rsid w:val="005B0C87"/>
    <w:rsid w:val="005B0FE9"/>
    <w:rsid w:val="005B2195"/>
    <w:rsid w:val="005B2290"/>
    <w:rsid w:val="005B26C7"/>
    <w:rsid w:val="005B2D65"/>
    <w:rsid w:val="005B3877"/>
    <w:rsid w:val="005B3AC8"/>
    <w:rsid w:val="005B3CC1"/>
    <w:rsid w:val="005B4002"/>
    <w:rsid w:val="005B45AB"/>
    <w:rsid w:val="005B4D8F"/>
    <w:rsid w:val="005B57A1"/>
    <w:rsid w:val="005B6551"/>
    <w:rsid w:val="005B71A8"/>
    <w:rsid w:val="005B744B"/>
    <w:rsid w:val="005C0A6F"/>
    <w:rsid w:val="005C0FA7"/>
    <w:rsid w:val="005C155F"/>
    <w:rsid w:val="005C1C0E"/>
    <w:rsid w:val="005C31CB"/>
    <w:rsid w:val="005C36E2"/>
    <w:rsid w:val="005C3E9E"/>
    <w:rsid w:val="005C400C"/>
    <w:rsid w:val="005C410C"/>
    <w:rsid w:val="005C4BF1"/>
    <w:rsid w:val="005C4BF2"/>
    <w:rsid w:val="005C52D4"/>
    <w:rsid w:val="005C5BED"/>
    <w:rsid w:val="005C5D86"/>
    <w:rsid w:val="005C6167"/>
    <w:rsid w:val="005C6ADB"/>
    <w:rsid w:val="005C6EE2"/>
    <w:rsid w:val="005C7A07"/>
    <w:rsid w:val="005C7DDC"/>
    <w:rsid w:val="005C7F7C"/>
    <w:rsid w:val="005D0BAD"/>
    <w:rsid w:val="005D0C0A"/>
    <w:rsid w:val="005D107D"/>
    <w:rsid w:val="005D123A"/>
    <w:rsid w:val="005D2506"/>
    <w:rsid w:val="005D2BB5"/>
    <w:rsid w:val="005D3677"/>
    <w:rsid w:val="005D4E4C"/>
    <w:rsid w:val="005D5B5E"/>
    <w:rsid w:val="005D5C85"/>
    <w:rsid w:val="005D5CA0"/>
    <w:rsid w:val="005D5DDA"/>
    <w:rsid w:val="005D69AB"/>
    <w:rsid w:val="005D72FC"/>
    <w:rsid w:val="005D7DFC"/>
    <w:rsid w:val="005E035A"/>
    <w:rsid w:val="005E0464"/>
    <w:rsid w:val="005E0681"/>
    <w:rsid w:val="005E1218"/>
    <w:rsid w:val="005E18EC"/>
    <w:rsid w:val="005E1A55"/>
    <w:rsid w:val="005E1B6B"/>
    <w:rsid w:val="005E1F61"/>
    <w:rsid w:val="005E2281"/>
    <w:rsid w:val="005E236C"/>
    <w:rsid w:val="005E2FAE"/>
    <w:rsid w:val="005E32C9"/>
    <w:rsid w:val="005E351B"/>
    <w:rsid w:val="005E38A8"/>
    <w:rsid w:val="005E39F9"/>
    <w:rsid w:val="005E3D9B"/>
    <w:rsid w:val="005E4828"/>
    <w:rsid w:val="005E4887"/>
    <w:rsid w:val="005E5016"/>
    <w:rsid w:val="005E5231"/>
    <w:rsid w:val="005E548A"/>
    <w:rsid w:val="005E55BB"/>
    <w:rsid w:val="005E5D11"/>
    <w:rsid w:val="005E667C"/>
    <w:rsid w:val="005E6A1D"/>
    <w:rsid w:val="005E6F12"/>
    <w:rsid w:val="005E733E"/>
    <w:rsid w:val="005E7428"/>
    <w:rsid w:val="005F0694"/>
    <w:rsid w:val="005F06E1"/>
    <w:rsid w:val="005F077C"/>
    <w:rsid w:val="005F0B88"/>
    <w:rsid w:val="005F1735"/>
    <w:rsid w:val="005F187E"/>
    <w:rsid w:val="005F252A"/>
    <w:rsid w:val="005F2C80"/>
    <w:rsid w:val="005F3CE8"/>
    <w:rsid w:val="005F4334"/>
    <w:rsid w:val="005F4F41"/>
    <w:rsid w:val="005F566D"/>
    <w:rsid w:val="005F648F"/>
    <w:rsid w:val="005F68C3"/>
    <w:rsid w:val="005F7D87"/>
    <w:rsid w:val="00601794"/>
    <w:rsid w:val="00601E94"/>
    <w:rsid w:val="006021B1"/>
    <w:rsid w:val="006037C5"/>
    <w:rsid w:val="006040CE"/>
    <w:rsid w:val="0060467D"/>
    <w:rsid w:val="00604DF3"/>
    <w:rsid w:val="0060585E"/>
    <w:rsid w:val="00605B56"/>
    <w:rsid w:val="00605B9D"/>
    <w:rsid w:val="00606213"/>
    <w:rsid w:val="00606B57"/>
    <w:rsid w:val="00606B85"/>
    <w:rsid w:val="00607390"/>
    <w:rsid w:val="006076D8"/>
    <w:rsid w:val="00607E6D"/>
    <w:rsid w:val="0061061D"/>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3E4C"/>
    <w:rsid w:val="00614921"/>
    <w:rsid w:val="00615564"/>
    <w:rsid w:val="006155E2"/>
    <w:rsid w:val="006156C7"/>
    <w:rsid w:val="00615F26"/>
    <w:rsid w:val="00616CCC"/>
    <w:rsid w:val="00617A81"/>
    <w:rsid w:val="00617C11"/>
    <w:rsid w:val="00617DEC"/>
    <w:rsid w:val="00620573"/>
    <w:rsid w:val="00620579"/>
    <w:rsid w:val="006208AA"/>
    <w:rsid w:val="0062128D"/>
    <w:rsid w:val="00621C96"/>
    <w:rsid w:val="0062228D"/>
    <w:rsid w:val="006224D1"/>
    <w:rsid w:val="0062258F"/>
    <w:rsid w:val="00622732"/>
    <w:rsid w:val="00622E6D"/>
    <w:rsid w:val="0062367B"/>
    <w:rsid w:val="00623BC7"/>
    <w:rsid w:val="00623E70"/>
    <w:rsid w:val="006241D0"/>
    <w:rsid w:val="00624425"/>
    <w:rsid w:val="00624665"/>
    <w:rsid w:val="00625434"/>
    <w:rsid w:val="0062576B"/>
    <w:rsid w:val="00625C5F"/>
    <w:rsid w:val="00626032"/>
    <w:rsid w:val="00627643"/>
    <w:rsid w:val="00627788"/>
    <w:rsid w:val="006300CD"/>
    <w:rsid w:val="0063017E"/>
    <w:rsid w:val="00630723"/>
    <w:rsid w:val="00630EAE"/>
    <w:rsid w:val="006312D0"/>
    <w:rsid w:val="006317DB"/>
    <w:rsid w:val="00631866"/>
    <w:rsid w:val="006318A4"/>
    <w:rsid w:val="00631A11"/>
    <w:rsid w:val="00631D4F"/>
    <w:rsid w:val="006321B6"/>
    <w:rsid w:val="00632359"/>
    <w:rsid w:val="006327C6"/>
    <w:rsid w:val="00633496"/>
    <w:rsid w:val="006338D2"/>
    <w:rsid w:val="00633F92"/>
    <w:rsid w:val="0063435E"/>
    <w:rsid w:val="00634CB2"/>
    <w:rsid w:val="006357E2"/>
    <w:rsid w:val="00635FD8"/>
    <w:rsid w:val="00636651"/>
    <w:rsid w:val="00636828"/>
    <w:rsid w:val="006368E4"/>
    <w:rsid w:val="00636F7B"/>
    <w:rsid w:val="00637DF0"/>
    <w:rsid w:val="00640140"/>
    <w:rsid w:val="0064019C"/>
    <w:rsid w:val="00640288"/>
    <w:rsid w:val="006405AC"/>
    <w:rsid w:val="0064099D"/>
    <w:rsid w:val="00640E9A"/>
    <w:rsid w:val="006412CD"/>
    <w:rsid w:val="006413D8"/>
    <w:rsid w:val="00641610"/>
    <w:rsid w:val="00641B7B"/>
    <w:rsid w:val="00641C55"/>
    <w:rsid w:val="00642405"/>
    <w:rsid w:val="00642645"/>
    <w:rsid w:val="006437E8"/>
    <w:rsid w:val="006438E0"/>
    <w:rsid w:val="00644BED"/>
    <w:rsid w:val="006455CB"/>
    <w:rsid w:val="00646FD5"/>
    <w:rsid w:val="006472F8"/>
    <w:rsid w:val="00647680"/>
    <w:rsid w:val="00647743"/>
    <w:rsid w:val="006510C0"/>
    <w:rsid w:val="00651DC7"/>
    <w:rsid w:val="00652092"/>
    <w:rsid w:val="00652472"/>
    <w:rsid w:val="00652F31"/>
    <w:rsid w:val="006535E5"/>
    <w:rsid w:val="0065394E"/>
    <w:rsid w:val="00653B2B"/>
    <w:rsid w:val="00653B38"/>
    <w:rsid w:val="006541C6"/>
    <w:rsid w:val="00654D37"/>
    <w:rsid w:val="00654F06"/>
    <w:rsid w:val="00656385"/>
    <w:rsid w:val="00656F19"/>
    <w:rsid w:val="00657BB7"/>
    <w:rsid w:val="00660299"/>
    <w:rsid w:val="00660552"/>
    <w:rsid w:val="00660DBE"/>
    <w:rsid w:val="00661113"/>
    <w:rsid w:val="0066127D"/>
    <w:rsid w:val="00661AB0"/>
    <w:rsid w:val="006623A4"/>
    <w:rsid w:val="006627B5"/>
    <w:rsid w:val="0066351C"/>
    <w:rsid w:val="006635BF"/>
    <w:rsid w:val="00663CBA"/>
    <w:rsid w:val="00664498"/>
    <w:rsid w:val="00664693"/>
    <w:rsid w:val="00664DC0"/>
    <w:rsid w:val="006651CC"/>
    <w:rsid w:val="0066582B"/>
    <w:rsid w:val="006658DA"/>
    <w:rsid w:val="00665CA1"/>
    <w:rsid w:val="006669D8"/>
    <w:rsid w:val="00667421"/>
    <w:rsid w:val="0066780E"/>
    <w:rsid w:val="00667A31"/>
    <w:rsid w:val="00670702"/>
    <w:rsid w:val="006708EB"/>
    <w:rsid w:val="0067147C"/>
    <w:rsid w:val="00671BF5"/>
    <w:rsid w:val="00672895"/>
    <w:rsid w:val="00672A8A"/>
    <w:rsid w:val="00673524"/>
    <w:rsid w:val="00673F50"/>
    <w:rsid w:val="00674EEA"/>
    <w:rsid w:val="0067549D"/>
    <w:rsid w:val="006759B0"/>
    <w:rsid w:val="00677012"/>
    <w:rsid w:val="006771EA"/>
    <w:rsid w:val="00680D0E"/>
    <w:rsid w:val="00680F00"/>
    <w:rsid w:val="006825A6"/>
    <w:rsid w:val="006825B4"/>
    <w:rsid w:val="006829BA"/>
    <w:rsid w:val="00682AF2"/>
    <w:rsid w:val="00682C0D"/>
    <w:rsid w:val="00682E8A"/>
    <w:rsid w:val="00682FB7"/>
    <w:rsid w:val="006837DE"/>
    <w:rsid w:val="00683CE0"/>
    <w:rsid w:val="0068537F"/>
    <w:rsid w:val="00686104"/>
    <w:rsid w:val="00686334"/>
    <w:rsid w:val="0068699F"/>
    <w:rsid w:val="00686C3A"/>
    <w:rsid w:val="00686EEB"/>
    <w:rsid w:val="00687044"/>
    <w:rsid w:val="00687628"/>
    <w:rsid w:val="00687CFE"/>
    <w:rsid w:val="0069035A"/>
    <w:rsid w:val="00690EB8"/>
    <w:rsid w:val="0069109D"/>
    <w:rsid w:val="006915E5"/>
    <w:rsid w:val="00692401"/>
    <w:rsid w:val="00693B7A"/>
    <w:rsid w:val="006941CC"/>
    <w:rsid w:val="006942BA"/>
    <w:rsid w:val="006945D4"/>
    <w:rsid w:val="00694EC0"/>
    <w:rsid w:val="00695852"/>
    <w:rsid w:val="00695F56"/>
    <w:rsid w:val="0069758B"/>
    <w:rsid w:val="00697F88"/>
    <w:rsid w:val="006A050B"/>
    <w:rsid w:val="006A07FF"/>
    <w:rsid w:val="006A0A70"/>
    <w:rsid w:val="006A0B6C"/>
    <w:rsid w:val="006A1692"/>
    <w:rsid w:val="006A16E1"/>
    <w:rsid w:val="006A179F"/>
    <w:rsid w:val="006A188D"/>
    <w:rsid w:val="006A3293"/>
    <w:rsid w:val="006A36DF"/>
    <w:rsid w:val="006A3C8A"/>
    <w:rsid w:val="006A3E61"/>
    <w:rsid w:val="006A51CE"/>
    <w:rsid w:val="006A5213"/>
    <w:rsid w:val="006A6003"/>
    <w:rsid w:val="006A6737"/>
    <w:rsid w:val="006B0AE6"/>
    <w:rsid w:val="006B1E08"/>
    <w:rsid w:val="006B2099"/>
    <w:rsid w:val="006B26B1"/>
    <w:rsid w:val="006B2E45"/>
    <w:rsid w:val="006B341B"/>
    <w:rsid w:val="006B3875"/>
    <w:rsid w:val="006B425B"/>
    <w:rsid w:val="006B545C"/>
    <w:rsid w:val="006B5AC8"/>
    <w:rsid w:val="006B5D32"/>
    <w:rsid w:val="006B758B"/>
    <w:rsid w:val="006B7BF8"/>
    <w:rsid w:val="006C0E54"/>
    <w:rsid w:val="006C0F11"/>
    <w:rsid w:val="006C23E1"/>
    <w:rsid w:val="006C25D5"/>
    <w:rsid w:val="006C25F9"/>
    <w:rsid w:val="006C262B"/>
    <w:rsid w:val="006C2866"/>
    <w:rsid w:val="006C31C6"/>
    <w:rsid w:val="006C37AB"/>
    <w:rsid w:val="006C3A2D"/>
    <w:rsid w:val="006C4666"/>
    <w:rsid w:val="006C4823"/>
    <w:rsid w:val="006C49BF"/>
    <w:rsid w:val="006C63D7"/>
    <w:rsid w:val="006C6894"/>
    <w:rsid w:val="006C69D9"/>
    <w:rsid w:val="006C7535"/>
    <w:rsid w:val="006C76A6"/>
    <w:rsid w:val="006C796D"/>
    <w:rsid w:val="006D0525"/>
    <w:rsid w:val="006D08DC"/>
    <w:rsid w:val="006D09D1"/>
    <w:rsid w:val="006D23FF"/>
    <w:rsid w:val="006D2F09"/>
    <w:rsid w:val="006D2FD2"/>
    <w:rsid w:val="006D33E6"/>
    <w:rsid w:val="006D3783"/>
    <w:rsid w:val="006D3DC0"/>
    <w:rsid w:val="006D40C4"/>
    <w:rsid w:val="006D4162"/>
    <w:rsid w:val="006D453E"/>
    <w:rsid w:val="006D5303"/>
    <w:rsid w:val="006D5CBF"/>
    <w:rsid w:val="006D5E84"/>
    <w:rsid w:val="006D6CE6"/>
    <w:rsid w:val="006D7A4C"/>
    <w:rsid w:val="006D7C99"/>
    <w:rsid w:val="006E0443"/>
    <w:rsid w:val="006E0C50"/>
    <w:rsid w:val="006E0DCF"/>
    <w:rsid w:val="006E14D6"/>
    <w:rsid w:val="006E1647"/>
    <w:rsid w:val="006E1BA2"/>
    <w:rsid w:val="006E2298"/>
    <w:rsid w:val="006E2F3A"/>
    <w:rsid w:val="006E310A"/>
    <w:rsid w:val="006E3C3E"/>
    <w:rsid w:val="006E3FBD"/>
    <w:rsid w:val="006E40C7"/>
    <w:rsid w:val="006E429F"/>
    <w:rsid w:val="006E47E0"/>
    <w:rsid w:val="006E50E4"/>
    <w:rsid w:val="006E6F30"/>
    <w:rsid w:val="006E6FE9"/>
    <w:rsid w:val="006E7082"/>
    <w:rsid w:val="006E709F"/>
    <w:rsid w:val="006E7E19"/>
    <w:rsid w:val="006E7F73"/>
    <w:rsid w:val="006F030F"/>
    <w:rsid w:val="006F193C"/>
    <w:rsid w:val="006F1B58"/>
    <w:rsid w:val="006F27DC"/>
    <w:rsid w:val="006F2B89"/>
    <w:rsid w:val="006F36F1"/>
    <w:rsid w:val="006F3B81"/>
    <w:rsid w:val="006F4860"/>
    <w:rsid w:val="006F4D59"/>
    <w:rsid w:val="006F4DCF"/>
    <w:rsid w:val="006F4F79"/>
    <w:rsid w:val="006F4F80"/>
    <w:rsid w:val="006F5532"/>
    <w:rsid w:val="006F5ADA"/>
    <w:rsid w:val="006F62CC"/>
    <w:rsid w:val="006F644B"/>
    <w:rsid w:val="006F66C1"/>
    <w:rsid w:val="006F681D"/>
    <w:rsid w:val="006F731E"/>
    <w:rsid w:val="006F78E9"/>
    <w:rsid w:val="0070235F"/>
    <w:rsid w:val="00702BC3"/>
    <w:rsid w:val="00702FF3"/>
    <w:rsid w:val="007032AC"/>
    <w:rsid w:val="00703496"/>
    <w:rsid w:val="007036FE"/>
    <w:rsid w:val="00703AB1"/>
    <w:rsid w:val="00704614"/>
    <w:rsid w:val="00704C5F"/>
    <w:rsid w:val="00704DEB"/>
    <w:rsid w:val="00705623"/>
    <w:rsid w:val="00705B37"/>
    <w:rsid w:val="0070658A"/>
    <w:rsid w:val="00706B65"/>
    <w:rsid w:val="007071AF"/>
    <w:rsid w:val="00707C1A"/>
    <w:rsid w:val="00710023"/>
    <w:rsid w:val="00710207"/>
    <w:rsid w:val="0071023D"/>
    <w:rsid w:val="007103CD"/>
    <w:rsid w:val="007104CB"/>
    <w:rsid w:val="00710530"/>
    <w:rsid w:val="007107BD"/>
    <w:rsid w:val="00711E77"/>
    <w:rsid w:val="00712912"/>
    <w:rsid w:val="007137D4"/>
    <w:rsid w:val="00713AAC"/>
    <w:rsid w:val="007141DC"/>
    <w:rsid w:val="00714B04"/>
    <w:rsid w:val="00714F75"/>
    <w:rsid w:val="007155CE"/>
    <w:rsid w:val="007168A0"/>
    <w:rsid w:val="00716BC6"/>
    <w:rsid w:val="00716C95"/>
    <w:rsid w:val="007176A1"/>
    <w:rsid w:val="00717762"/>
    <w:rsid w:val="00717F1A"/>
    <w:rsid w:val="007204DA"/>
    <w:rsid w:val="00721A63"/>
    <w:rsid w:val="00721DED"/>
    <w:rsid w:val="00721FF9"/>
    <w:rsid w:val="0072229E"/>
    <w:rsid w:val="00722F53"/>
    <w:rsid w:val="0072337E"/>
    <w:rsid w:val="00723696"/>
    <w:rsid w:val="0072442F"/>
    <w:rsid w:val="00725189"/>
    <w:rsid w:val="0072541E"/>
    <w:rsid w:val="00725735"/>
    <w:rsid w:val="0072630D"/>
    <w:rsid w:val="00726A2A"/>
    <w:rsid w:val="007271E9"/>
    <w:rsid w:val="007273BC"/>
    <w:rsid w:val="007275FD"/>
    <w:rsid w:val="00727654"/>
    <w:rsid w:val="007276E5"/>
    <w:rsid w:val="0073085E"/>
    <w:rsid w:val="00730943"/>
    <w:rsid w:val="00730C50"/>
    <w:rsid w:val="00731D5E"/>
    <w:rsid w:val="00732492"/>
    <w:rsid w:val="00733E5A"/>
    <w:rsid w:val="00733F25"/>
    <w:rsid w:val="00736395"/>
    <w:rsid w:val="00736459"/>
    <w:rsid w:val="0073685F"/>
    <w:rsid w:val="00737821"/>
    <w:rsid w:val="00737862"/>
    <w:rsid w:val="0074058F"/>
    <w:rsid w:val="00740E86"/>
    <w:rsid w:val="00741175"/>
    <w:rsid w:val="007419FB"/>
    <w:rsid w:val="00742606"/>
    <w:rsid w:val="007441FF"/>
    <w:rsid w:val="007448A7"/>
    <w:rsid w:val="00744EE8"/>
    <w:rsid w:val="00744F42"/>
    <w:rsid w:val="007459F5"/>
    <w:rsid w:val="007463EA"/>
    <w:rsid w:val="00746713"/>
    <w:rsid w:val="007467E4"/>
    <w:rsid w:val="00746B08"/>
    <w:rsid w:val="00747569"/>
    <w:rsid w:val="00747972"/>
    <w:rsid w:val="00750238"/>
    <w:rsid w:val="0075023C"/>
    <w:rsid w:val="007518E3"/>
    <w:rsid w:val="007518E9"/>
    <w:rsid w:val="00751D2E"/>
    <w:rsid w:val="00752247"/>
    <w:rsid w:val="007523E7"/>
    <w:rsid w:val="007524C4"/>
    <w:rsid w:val="00752AE5"/>
    <w:rsid w:val="007531CA"/>
    <w:rsid w:val="00754252"/>
    <w:rsid w:val="007577B1"/>
    <w:rsid w:val="00757CB3"/>
    <w:rsid w:val="00757D87"/>
    <w:rsid w:val="00760EED"/>
    <w:rsid w:val="0076109F"/>
    <w:rsid w:val="00761399"/>
    <w:rsid w:val="00761615"/>
    <w:rsid w:val="007616DA"/>
    <w:rsid w:val="007619CE"/>
    <w:rsid w:val="00761F4F"/>
    <w:rsid w:val="007620DC"/>
    <w:rsid w:val="00762102"/>
    <w:rsid w:val="0076255D"/>
    <w:rsid w:val="007625F6"/>
    <w:rsid w:val="00762B8B"/>
    <w:rsid w:val="0076325B"/>
    <w:rsid w:val="00764A57"/>
    <w:rsid w:val="00764AF9"/>
    <w:rsid w:val="007650AD"/>
    <w:rsid w:val="00765D18"/>
    <w:rsid w:val="0076640B"/>
    <w:rsid w:val="007673DE"/>
    <w:rsid w:val="00770B02"/>
    <w:rsid w:val="00770C54"/>
    <w:rsid w:val="007710FF"/>
    <w:rsid w:val="00771344"/>
    <w:rsid w:val="0077213A"/>
    <w:rsid w:val="00772613"/>
    <w:rsid w:val="00772B41"/>
    <w:rsid w:val="00772CED"/>
    <w:rsid w:val="00773EA1"/>
    <w:rsid w:val="00775215"/>
    <w:rsid w:val="00775748"/>
    <w:rsid w:val="00776ACC"/>
    <w:rsid w:val="00777AE2"/>
    <w:rsid w:val="00777C71"/>
    <w:rsid w:val="00777D6B"/>
    <w:rsid w:val="00777F20"/>
    <w:rsid w:val="0078080B"/>
    <w:rsid w:val="00780C3E"/>
    <w:rsid w:val="00781148"/>
    <w:rsid w:val="0078120F"/>
    <w:rsid w:val="00781F98"/>
    <w:rsid w:val="0078265B"/>
    <w:rsid w:val="00782A09"/>
    <w:rsid w:val="00782AFE"/>
    <w:rsid w:val="00782E10"/>
    <w:rsid w:val="007843C3"/>
    <w:rsid w:val="00784926"/>
    <w:rsid w:val="00784DB8"/>
    <w:rsid w:val="00784FDD"/>
    <w:rsid w:val="0078508F"/>
    <w:rsid w:val="007850B1"/>
    <w:rsid w:val="007862E8"/>
    <w:rsid w:val="00786448"/>
    <w:rsid w:val="007875D7"/>
    <w:rsid w:val="007906B2"/>
    <w:rsid w:val="0079134E"/>
    <w:rsid w:val="007925F0"/>
    <w:rsid w:val="0079269B"/>
    <w:rsid w:val="0079278E"/>
    <w:rsid w:val="00792DCA"/>
    <w:rsid w:val="00792E3C"/>
    <w:rsid w:val="00793040"/>
    <w:rsid w:val="007930C1"/>
    <w:rsid w:val="0079315D"/>
    <w:rsid w:val="00793B45"/>
    <w:rsid w:val="00794168"/>
    <w:rsid w:val="0079477A"/>
    <w:rsid w:val="00795706"/>
    <w:rsid w:val="007960E3"/>
    <w:rsid w:val="00796F7C"/>
    <w:rsid w:val="00797131"/>
    <w:rsid w:val="00797254"/>
    <w:rsid w:val="00797430"/>
    <w:rsid w:val="00797AF4"/>
    <w:rsid w:val="007A046C"/>
    <w:rsid w:val="007A0F8D"/>
    <w:rsid w:val="007A1078"/>
    <w:rsid w:val="007A180A"/>
    <w:rsid w:val="007A2304"/>
    <w:rsid w:val="007A257D"/>
    <w:rsid w:val="007A2CB0"/>
    <w:rsid w:val="007A343D"/>
    <w:rsid w:val="007A38CE"/>
    <w:rsid w:val="007A3F1C"/>
    <w:rsid w:val="007A46E6"/>
    <w:rsid w:val="007A48D8"/>
    <w:rsid w:val="007A5ACE"/>
    <w:rsid w:val="007A5C5C"/>
    <w:rsid w:val="007A6528"/>
    <w:rsid w:val="007A7B48"/>
    <w:rsid w:val="007A7FA9"/>
    <w:rsid w:val="007A7FD7"/>
    <w:rsid w:val="007B18C6"/>
    <w:rsid w:val="007B20C2"/>
    <w:rsid w:val="007B228B"/>
    <w:rsid w:val="007B25D5"/>
    <w:rsid w:val="007B27E4"/>
    <w:rsid w:val="007B2910"/>
    <w:rsid w:val="007B301D"/>
    <w:rsid w:val="007B3264"/>
    <w:rsid w:val="007B35F6"/>
    <w:rsid w:val="007B3F87"/>
    <w:rsid w:val="007B404F"/>
    <w:rsid w:val="007B44A6"/>
    <w:rsid w:val="007B494E"/>
    <w:rsid w:val="007B4C5E"/>
    <w:rsid w:val="007B743D"/>
    <w:rsid w:val="007B7462"/>
    <w:rsid w:val="007B7B52"/>
    <w:rsid w:val="007C02A3"/>
    <w:rsid w:val="007C0C55"/>
    <w:rsid w:val="007C1507"/>
    <w:rsid w:val="007C2F60"/>
    <w:rsid w:val="007C3757"/>
    <w:rsid w:val="007C4D8D"/>
    <w:rsid w:val="007C5144"/>
    <w:rsid w:val="007C5613"/>
    <w:rsid w:val="007C6138"/>
    <w:rsid w:val="007C6153"/>
    <w:rsid w:val="007C6849"/>
    <w:rsid w:val="007C6BC6"/>
    <w:rsid w:val="007C6C12"/>
    <w:rsid w:val="007C73B2"/>
    <w:rsid w:val="007D0435"/>
    <w:rsid w:val="007D0C7B"/>
    <w:rsid w:val="007D0D3E"/>
    <w:rsid w:val="007D116E"/>
    <w:rsid w:val="007D1B24"/>
    <w:rsid w:val="007D267F"/>
    <w:rsid w:val="007D3341"/>
    <w:rsid w:val="007D3A3E"/>
    <w:rsid w:val="007D400A"/>
    <w:rsid w:val="007D43F9"/>
    <w:rsid w:val="007D4B0E"/>
    <w:rsid w:val="007D4DD2"/>
    <w:rsid w:val="007D4DF1"/>
    <w:rsid w:val="007D5428"/>
    <w:rsid w:val="007D5D0F"/>
    <w:rsid w:val="007D6EA8"/>
    <w:rsid w:val="007D7B3C"/>
    <w:rsid w:val="007E042B"/>
    <w:rsid w:val="007E05DB"/>
    <w:rsid w:val="007E1247"/>
    <w:rsid w:val="007E1A44"/>
    <w:rsid w:val="007E2419"/>
    <w:rsid w:val="007E3FF5"/>
    <w:rsid w:val="007E4219"/>
    <w:rsid w:val="007E577E"/>
    <w:rsid w:val="007E635E"/>
    <w:rsid w:val="007E6A9C"/>
    <w:rsid w:val="007E6C0C"/>
    <w:rsid w:val="007E7300"/>
    <w:rsid w:val="007E767B"/>
    <w:rsid w:val="007E7B54"/>
    <w:rsid w:val="007F038C"/>
    <w:rsid w:val="007F0428"/>
    <w:rsid w:val="007F0A48"/>
    <w:rsid w:val="007F0F24"/>
    <w:rsid w:val="007F1755"/>
    <w:rsid w:val="007F222B"/>
    <w:rsid w:val="007F2CBC"/>
    <w:rsid w:val="007F3092"/>
    <w:rsid w:val="007F30F9"/>
    <w:rsid w:val="007F39B8"/>
    <w:rsid w:val="007F3C03"/>
    <w:rsid w:val="007F3E3F"/>
    <w:rsid w:val="007F40CD"/>
    <w:rsid w:val="007F45DF"/>
    <w:rsid w:val="007F4A6F"/>
    <w:rsid w:val="007F4FBC"/>
    <w:rsid w:val="007F5975"/>
    <w:rsid w:val="007F5AB9"/>
    <w:rsid w:val="007F6497"/>
    <w:rsid w:val="007F6836"/>
    <w:rsid w:val="007F6903"/>
    <w:rsid w:val="007F7DF2"/>
    <w:rsid w:val="008005E6"/>
    <w:rsid w:val="00800A35"/>
    <w:rsid w:val="00800D91"/>
    <w:rsid w:val="008015F2"/>
    <w:rsid w:val="00801A0E"/>
    <w:rsid w:val="00803362"/>
    <w:rsid w:val="00803C65"/>
    <w:rsid w:val="00804263"/>
    <w:rsid w:val="00804BC0"/>
    <w:rsid w:val="00804E3C"/>
    <w:rsid w:val="00804E4C"/>
    <w:rsid w:val="0080662C"/>
    <w:rsid w:val="008070B2"/>
    <w:rsid w:val="00807D79"/>
    <w:rsid w:val="00810102"/>
    <w:rsid w:val="008102BC"/>
    <w:rsid w:val="00810301"/>
    <w:rsid w:val="008116F3"/>
    <w:rsid w:val="008117C4"/>
    <w:rsid w:val="0081212A"/>
    <w:rsid w:val="0081222E"/>
    <w:rsid w:val="00812461"/>
    <w:rsid w:val="008127E0"/>
    <w:rsid w:val="00812810"/>
    <w:rsid w:val="0081398E"/>
    <w:rsid w:val="00813F02"/>
    <w:rsid w:val="008149D8"/>
    <w:rsid w:val="00815714"/>
    <w:rsid w:val="00815A2A"/>
    <w:rsid w:val="0081724D"/>
    <w:rsid w:val="0081788A"/>
    <w:rsid w:val="00817927"/>
    <w:rsid w:val="00817CFC"/>
    <w:rsid w:val="00817E82"/>
    <w:rsid w:val="00817EBA"/>
    <w:rsid w:val="00820A3F"/>
    <w:rsid w:val="00821A57"/>
    <w:rsid w:val="00821D81"/>
    <w:rsid w:val="00822A52"/>
    <w:rsid w:val="00823654"/>
    <w:rsid w:val="008237F3"/>
    <w:rsid w:val="00823A90"/>
    <w:rsid w:val="00825C68"/>
    <w:rsid w:val="0082757E"/>
    <w:rsid w:val="0082769C"/>
    <w:rsid w:val="00827B6C"/>
    <w:rsid w:val="00827D77"/>
    <w:rsid w:val="00830259"/>
    <w:rsid w:val="00830561"/>
    <w:rsid w:val="00831115"/>
    <w:rsid w:val="0083249C"/>
    <w:rsid w:val="00832D42"/>
    <w:rsid w:val="008333A9"/>
    <w:rsid w:val="00833419"/>
    <w:rsid w:val="008342A5"/>
    <w:rsid w:val="00834B7C"/>
    <w:rsid w:val="00834BE2"/>
    <w:rsid w:val="00834EA4"/>
    <w:rsid w:val="00835049"/>
    <w:rsid w:val="008354B9"/>
    <w:rsid w:val="00835DCB"/>
    <w:rsid w:val="00836090"/>
    <w:rsid w:val="00836921"/>
    <w:rsid w:val="00837237"/>
    <w:rsid w:val="008376C0"/>
    <w:rsid w:val="0084035D"/>
    <w:rsid w:val="008405F9"/>
    <w:rsid w:val="0084060B"/>
    <w:rsid w:val="0084139B"/>
    <w:rsid w:val="0084143B"/>
    <w:rsid w:val="008417D4"/>
    <w:rsid w:val="00842547"/>
    <w:rsid w:val="008427D3"/>
    <w:rsid w:val="008429CF"/>
    <w:rsid w:val="0084324C"/>
    <w:rsid w:val="00843910"/>
    <w:rsid w:val="00843B9B"/>
    <w:rsid w:val="008451F8"/>
    <w:rsid w:val="008457D2"/>
    <w:rsid w:val="00846212"/>
    <w:rsid w:val="008468E0"/>
    <w:rsid w:val="0084767E"/>
    <w:rsid w:val="0084790F"/>
    <w:rsid w:val="00847BE7"/>
    <w:rsid w:val="008500AC"/>
    <w:rsid w:val="00850EAB"/>
    <w:rsid w:val="00851C80"/>
    <w:rsid w:val="00851D70"/>
    <w:rsid w:val="008529B3"/>
    <w:rsid w:val="00852ADD"/>
    <w:rsid w:val="00852F19"/>
    <w:rsid w:val="00853883"/>
    <w:rsid w:val="00853EB9"/>
    <w:rsid w:val="008546A2"/>
    <w:rsid w:val="00854CF7"/>
    <w:rsid w:val="00854DA7"/>
    <w:rsid w:val="008557A0"/>
    <w:rsid w:val="00856607"/>
    <w:rsid w:val="008569A8"/>
    <w:rsid w:val="008604A8"/>
    <w:rsid w:val="00860941"/>
    <w:rsid w:val="00860955"/>
    <w:rsid w:val="00860ADD"/>
    <w:rsid w:val="00860EC0"/>
    <w:rsid w:val="008616A2"/>
    <w:rsid w:val="00861C6C"/>
    <w:rsid w:val="008636AC"/>
    <w:rsid w:val="00863862"/>
    <w:rsid w:val="00863AAD"/>
    <w:rsid w:val="00864644"/>
    <w:rsid w:val="008658DE"/>
    <w:rsid w:val="00866296"/>
    <w:rsid w:val="008665C7"/>
    <w:rsid w:val="00866DC1"/>
    <w:rsid w:val="008707A3"/>
    <w:rsid w:val="00870A36"/>
    <w:rsid w:val="008711AE"/>
    <w:rsid w:val="00871A36"/>
    <w:rsid w:val="00872F21"/>
    <w:rsid w:val="00873736"/>
    <w:rsid w:val="0087378E"/>
    <w:rsid w:val="008737DF"/>
    <w:rsid w:val="008755E7"/>
    <w:rsid w:val="00875A46"/>
    <w:rsid w:val="00875E16"/>
    <w:rsid w:val="00877D03"/>
    <w:rsid w:val="00877E96"/>
    <w:rsid w:val="0088023D"/>
    <w:rsid w:val="008803CE"/>
    <w:rsid w:val="00882077"/>
    <w:rsid w:val="008820D9"/>
    <w:rsid w:val="00883613"/>
    <w:rsid w:val="0088557F"/>
    <w:rsid w:val="00886393"/>
    <w:rsid w:val="00886579"/>
    <w:rsid w:val="00886F19"/>
    <w:rsid w:val="00887865"/>
    <w:rsid w:val="00887B37"/>
    <w:rsid w:val="00890598"/>
    <w:rsid w:val="0089065A"/>
    <w:rsid w:val="00890DEB"/>
    <w:rsid w:val="0089177A"/>
    <w:rsid w:val="00891D7A"/>
    <w:rsid w:val="00891DFC"/>
    <w:rsid w:val="00892B98"/>
    <w:rsid w:val="0089396E"/>
    <w:rsid w:val="008945D2"/>
    <w:rsid w:val="008949A3"/>
    <w:rsid w:val="008959FC"/>
    <w:rsid w:val="0089605E"/>
    <w:rsid w:val="00896668"/>
    <w:rsid w:val="00896E9A"/>
    <w:rsid w:val="008A0CCC"/>
    <w:rsid w:val="008A1D0E"/>
    <w:rsid w:val="008A25EA"/>
    <w:rsid w:val="008A276E"/>
    <w:rsid w:val="008A31C7"/>
    <w:rsid w:val="008A3215"/>
    <w:rsid w:val="008A3630"/>
    <w:rsid w:val="008A3E8B"/>
    <w:rsid w:val="008A47BE"/>
    <w:rsid w:val="008A4AEC"/>
    <w:rsid w:val="008A5367"/>
    <w:rsid w:val="008A5609"/>
    <w:rsid w:val="008A5697"/>
    <w:rsid w:val="008A6DD5"/>
    <w:rsid w:val="008A6DF0"/>
    <w:rsid w:val="008A6FA0"/>
    <w:rsid w:val="008B05E6"/>
    <w:rsid w:val="008B105C"/>
    <w:rsid w:val="008B15CE"/>
    <w:rsid w:val="008B1C8F"/>
    <w:rsid w:val="008B21F8"/>
    <w:rsid w:val="008B2570"/>
    <w:rsid w:val="008B2B19"/>
    <w:rsid w:val="008B2F40"/>
    <w:rsid w:val="008B2FCD"/>
    <w:rsid w:val="008B3627"/>
    <w:rsid w:val="008B3EAD"/>
    <w:rsid w:val="008B49B6"/>
    <w:rsid w:val="008B56A0"/>
    <w:rsid w:val="008B5AA1"/>
    <w:rsid w:val="008B5C7B"/>
    <w:rsid w:val="008B5E61"/>
    <w:rsid w:val="008B64CE"/>
    <w:rsid w:val="008B68B4"/>
    <w:rsid w:val="008B756F"/>
    <w:rsid w:val="008B7914"/>
    <w:rsid w:val="008C0D0C"/>
    <w:rsid w:val="008C127A"/>
    <w:rsid w:val="008C18BD"/>
    <w:rsid w:val="008C1932"/>
    <w:rsid w:val="008C1CC8"/>
    <w:rsid w:val="008C2C7F"/>
    <w:rsid w:val="008C2F0D"/>
    <w:rsid w:val="008C364D"/>
    <w:rsid w:val="008C500C"/>
    <w:rsid w:val="008C5D2A"/>
    <w:rsid w:val="008C6754"/>
    <w:rsid w:val="008C6C16"/>
    <w:rsid w:val="008C74FB"/>
    <w:rsid w:val="008C7AF4"/>
    <w:rsid w:val="008C7DA4"/>
    <w:rsid w:val="008C7F6E"/>
    <w:rsid w:val="008D0210"/>
    <w:rsid w:val="008D033E"/>
    <w:rsid w:val="008D0851"/>
    <w:rsid w:val="008D0DEF"/>
    <w:rsid w:val="008D0FCD"/>
    <w:rsid w:val="008D1074"/>
    <w:rsid w:val="008D1079"/>
    <w:rsid w:val="008D2643"/>
    <w:rsid w:val="008D280F"/>
    <w:rsid w:val="008D2F60"/>
    <w:rsid w:val="008D318B"/>
    <w:rsid w:val="008D3994"/>
    <w:rsid w:val="008D3C3D"/>
    <w:rsid w:val="008D478E"/>
    <w:rsid w:val="008D4DB6"/>
    <w:rsid w:val="008D52E1"/>
    <w:rsid w:val="008D534E"/>
    <w:rsid w:val="008D619B"/>
    <w:rsid w:val="008D6E81"/>
    <w:rsid w:val="008D7739"/>
    <w:rsid w:val="008D7A64"/>
    <w:rsid w:val="008D7A92"/>
    <w:rsid w:val="008E0302"/>
    <w:rsid w:val="008E03F3"/>
    <w:rsid w:val="008E1267"/>
    <w:rsid w:val="008E19FD"/>
    <w:rsid w:val="008E22F8"/>
    <w:rsid w:val="008E25EC"/>
    <w:rsid w:val="008E39D8"/>
    <w:rsid w:val="008E5D38"/>
    <w:rsid w:val="008E5D73"/>
    <w:rsid w:val="008E606F"/>
    <w:rsid w:val="008E6AD9"/>
    <w:rsid w:val="008F022A"/>
    <w:rsid w:val="008F06FD"/>
    <w:rsid w:val="008F1172"/>
    <w:rsid w:val="008F27E3"/>
    <w:rsid w:val="008F3485"/>
    <w:rsid w:val="008F3AC3"/>
    <w:rsid w:val="008F42C1"/>
    <w:rsid w:val="008F51FF"/>
    <w:rsid w:val="008F52FC"/>
    <w:rsid w:val="008F5DEF"/>
    <w:rsid w:val="008F61F2"/>
    <w:rsid w:val="008F636D"/>
    <w:rsid w:val="008F7C0A"/>
    <w:rsid w:val="00901DBB"/>
    <w:rsid w:val="009026CB"/>
    <w:rsid w:val="00902876"/>
    <w:rsid w:val="00902BF5"/>
    <w:rsid w:val="009031DF"/>
    <w:rsid w:val="009036E9"/>
    <w:rsid w:val="009038F6"/>
    <w:rsid w:val="00903FB2"/>
    <w:rsid w:val="00904038"/>
    <w:rsid w:val="009041AF"/>
    <w:rsid w:val="009042AA"/>
    <w:rsid w:val="009049AB"/>
    <w:rsid w:val="00904C8C"/>
    <w:rsid w:val="009050B7"/>
    <w:rsid w:val="0090510D"/>
    <w:rsid w:val="00905130"/>
    <w:rsid w:val="009053BD"/>
    <w:rsid w:val="00905728"/>
    <w:rsid w:val="009061B8"/>
    <w:rsid w:val="009064BF"/>
    <w:rsid w:val="009069B8"/>
    <w:rsid w:val="009106B0"/>
    <w:rsid w:val="009130CC"/>
    <w:rsid w:val="009133EC"/>
    <w:rsid w:val="00913AF7"/>
    <w:rsid w:val="00913B37"/>
    <w:rsid w:val="00914683"/>
    <w:rsid w:val="00914861"/>
    <w:rsid w:val="009148D8"/>
    <w:rsid w:val="00914B5F"/>
    <w:rsid w:val="00914E71"/>
    <w:rsid w:val="00914F6E"/>
    <w:rsid w:val="0091504C"/>
    <w:rsid w:val="00915897"/>
    <w:rsid w:val="00915B44"/>
    <w:rsid w:val="00915CD5"/>
    <w:rsid w:val="00916093"/>
    <w:rsid w:val="009160E3"/>
    <w:rsid w:val="0091639C"/>
    <w:rsid w:val="00916599"/>
    <w:rsid w:val="00916E99"/>
    <w:rsid w:val="0092002E"/>
    <w:rsid w:val="0092050A"/>
    <w:rsid w:val="00920EC6"/>
    <w:rsid w:val="0092101E"/>
    <w:rsid w:val="0092383B"/>
    <w:rsid w:val="00923C15"/>
    <w:rsid w:val="00923DCE"/>
    <w:rsid w:val="00924119"/>
    <w:rsid w:val="00925120"/>
    <w:rsid w:val="009255FA"/>
    <w:rsid w:val="009262E4"/>
    <w:rsid w:val="009266D2"/>
    <w:rsid w:val="00927B1D"/>
    <w:rsid w:val="00927D4E"/>
    <w:rsid w:val="00927F89"/>
    <w:rsid w:val="00930AC2"/>
    <w:rsid w:val="00930D2A"/>
    <w:rsid w:val="009312BF"/>
    <w:rsid w:val="00931680"/>
    <w:rsid w:val="00931B84"/>
    <w:rsid w:val="00931DE4"/>
    <w:rsid w:val="009322B2"/>
    <w:rsid w:val="009328DA"/>
    <w:rsid w:val="00932E7E"/>
    <w:rsid w:val="009342DC"/>
    <w:rsid w:val="0093442D"/>
    <w:rsid w:val="00934CD2"/>
    <w:rsid w:val="009357BB"/>
    <w:rsid w:val="009359D3"/>
    <w:rsid w:val="00935A35"/>
    <w:rsid w:val="009375E5"/>
    <w:rsid w:val="0093785F"/>
    <w:rsid w:val="00937BC5"/>
    <w:rsid w:val="00937CC4"/>
    <w:rsid w:val="00937D30"/>
    <w:rsid w:val="00941848"/>
    <w:rsid w:val="0094337A"/>
    <w:rsid w:val="009437F2"/>
    <w:rsid w:val="0094421D"/>
    <w:rsid w:val="009442E8"/>
    <w:rsid w:val="00944BA7"/>
    <w:rsid w:val="0094636D"/>
    <w:rsid w:val="00947222"/>
    <w:rsid w:val="0094759C"/>
    <w:rsid w:val="009503FE"/>
    <w:rsid w:val="00950448"/>
    <w:rsid w:val="009507D4"/>
    <w:rsid w:val="00950ACD"/>
    <w:rsid w:val="00950E37"/>
    <w:rsid w:val="009512FB"/>
    <w:rsid w:val="00951666"/>
    <w:rsid w:val="0095182F"/>
    <w:rsid w:val="00952524"/>
    <w:rsid w:val="0095278F"/>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86A"/>
    <w:rsid w:val="00961453"/>
    <w:rsid w:val="009616D4"/>
    <w:rsid w:val="0096182D"/>
    <w:rsid w:val="00962150"/>
    <w:rsid w:val="00962CCD"/>
    <w:rsid w:val="00964166"/>
    <w:rsid w:val="009645AD"/>
    <w:rsid w:val="0096475C"/>
    <w:rsid w:val="0096546E"/>
    <w:rsid w:val="0096562A"/>
    <w:rsid w:val="00965865"/>
    <w:rsid w:val="00966096"/>
    <w:rsid w:val="00966A13"/>
    <w:rsid w:val="00966BAF"/>
    <w:rsid w:val="00967473"/>
    <w:rsid w:val="00967730"/>
    <w:rsid w:val="00970D56"/>
    <w:rsid w:val="00970E50"/>
    <w:rsid w:val="00971074"/>
    <w:rsid w:val="009725B2"/>
    <w:rsid w:val="009747AA"/>
    <w:rsid w:val="00974B99"/>
    <w:rsid w:val="00974BCB"/>
    <w:rsid w:val="0097529C"/>
    <w:rsid w:val="00975361"/>
    <w:rsid w:val="009758CD"/>
    <w:rsid w:val="00975AEF"/>
    <w:rsid w:val="00975BF2"/>
    <w:rsid w:val="0097616C"/>
    <w:rsid w:val="009763E4"/>
    <w:rsid w:val="0097649D"/>
    <w:rsid w:val="0097654D"/>
    <w:rsid w:val="009766B7"/>
    <w:rsid w:val="00977C23"/>
    <w:rsid w:val="00980A22"/>
    <w:rsid w:val="00980D85"/>
    <w:rsid w:val="00981E09"/>
    <w:rsid w:val="00983094"/>
    <w:rsid w:val="00983599"/>
    <w:rsid w:val="009843DE"/>
    <w:rsid w:val="0098544F"/>
    <w:rsid w:val="00985B04"/>
    <w:rsid w:val="0098661B"/>
    <w:rsid w:val="00986A6D"/>
    <w:rsid w:val="00986BEF"/>
    <w:rsid w:val="00987298"/>
    <w:rsid w:val="00987B34"/>
    <w:rsid w:val="00990282"/>
    <w:rsid w:val="00990769"/>
    <w:rsid w:val="00991DF8"/>
    <w:rsid w:val="00992499"/>
    <w:rsid w:val="00992986"/>
    <w:rsid w:val="00992CC5"/>
    <w:rsid w:val="0099301D"/>
    <w:rsid w:val="009936E2"/>
    <w:rsid w:val="00994B55"/>
    <w:rsid w:val="00995D86"/>
    <w:rsid w:val="00995FB2"/>
    <w:rsid w:val="0099781E"/>
    <w:rsid w:val="00997A68"/>
    <w:rsid w:val="00997D96"/>
    <w:rsid w:val="009A0071"/>
    <w:rsid w:val="009A00EA"/>
    <w:rsid w:val="009A0587"/>
    <w:rsid w:val="009A0DA2"/>
    <w:rsid w:val="009A0FA6"/>
    <w:rsid w:val="009A1F6B"/>
    <w:rsid w:val="009A24E0"/>
    <w:rsid w:val="009A254A"/>
    <w:rsid w:val="009A2616"/>
    <w:rsid w:val="009A2C4C"/>
    <w:rsid w:val="009A2DD8"/>
    <w:rsid w:val="009A307C"/>
    <w:rsid w:val="009A30DE"/>
    <w:rsid w:val="009A3D29"/>
    <w:rsid w:val="009A509F"/>
    <w:rsid w:val="009A5453"/>
    <w:rsid w:val="009A6A7B"/>
    <w:rsid w:val="009A7532"/>
    <w:rsid w:val="009A7883"/>
    <w:rsid w:val="009B0596"/>
    <w:rsid w:val="009B1BAD"/>
    <w:rsid w:val="009B1D50"/>
    <w:rsid w:val="009B237F"/>
    <w:rsid w:val="009B2760"/>
    <w:rsid w:val="009B308D"/>
    <w:rsid w:val="009B31D6"/>
    <w:rsid w:val="009B38D5"/>
    <w:rsid w:val="009B3B62"/>
    <w:rsid w:val="009B3C8D"/>
    <w:rsid w:val="009B4FFB"/>
    <w:rsid w:val="009B53C7"/>
    <w:rsid w:val="009B6ABE"/>
    <w:rsid w:val="009B7489"/>
    <w:rsid w:val="009B7987"/>
    <w:rsid w:val="009B7B0A"/>
    <w:rsid w:val="009C07C9"/>
    <w:rsid w:val="009C08D7"/>
    <w:rsid w:val="009C0DC5"/>
    <w:rsid w:val="009C1866"/>
    <w:rsid w:val="009C1FDE"/>
    <w:rsid w:val="009C23FE"/>
    <w:rsid w:val="009C24C8"/>
    <w:rsid w:val="009C2CE9"/>
    <w:rsid w:val="009C375C"/>
    <w:rsid w:val="009C4E0D"/>
    <w:rsid w:val="009C4F1B"/>
    <w:rsid w:val="009C503B"/>
    <w:rsid w:val="009C5496"/>
    <w:rsid w:val="009C5793"/>
    <w:rsid w:val="009C5816"/>
    <w:rsid w:val="009C61EA"/>
    <w:rsid w:val="009C63EC"/>
    <w:rsid w:val="009C7DAC"/>
    <w:rsid w:val="009D0258"/>
    <w:rsid w:val="009D077D"/>
    <w:rsid w:val="009D08A6"/>
    <w:rsid w:val="009D1915"/>
    <w:rsid w:val="009D1B69"/>
    <w:rsid w:val="009D1EB3"/>
    <w:rsid w:val="009D25DE"/>
    <w:rsid w:val="009D2ABF"/>
    <w:rsid w:val="009D3AD2"/>
    <w:rsid w:val="009D3E06"/>
    <w:rsid w:val="009D433F"/>
    <w:rsid w:val="009D5843"/>
    <w:rsid w:val="009D638D"/>
    <w:rsid w:val="009D6393"/>
    <w:rsid w:val="009D6B6C"/>
    <w:rsid w:val="009D7BC6"/>
    <w:rsid w:val="009E0885"/>
    <w:rsid w:val="009E0A06"/>
    <w:rsid w:val="009E1637"/>
    <w:rsid w:val="009E1CC8"/>
    <w:rsid w:val="009E2827"/>
    <w:rsid w:val="009E2863"/>
    <w:rsid w:val="009E30D2"/>
    <w:rsid w:val="009E4885"/>
    <w:rsid w:val="009E4920"/>
    <w:rsid w:val="009E508B"/>
    <w:rsid w:val="009E5FBE"/>
    <w:rsid w:val="009E6A00"/>
    <w:rsid w:val="009F0086"/>
    <w:rsid w:val="009F03AB"/>
    <w:rsid w:val="009F0619"/>
    <w:rsid w:val="009F068A"/>
    <w:rsid w:val="009F08C5"/>
    <w:rsid w:val="009F0A85"/>
    <w:rsid w:val="009F1260"/>
    <w:rsid w:val="009F15CA"/>
    <w:rsid w:val="009F1B71"/>
    <w:rsid w:val="009F220A"/>
    <w:rsid w:val="009F36D6"/>
    <w:rsid w:val="009F6575"/>
    <w:rsid w:val="009F7ADC"/>
    <w:rsid w:val="00A0002A"/>
    <w:rsid w:val="00A0236D"/>
    <w:rsid w:val="00A02985"/>
    <w:rsid w:val="00A02B2B"/>
    <w:rsid w:val="00A02FA8"/>
    <w:rsid w:val="00A03F1A"/>
    <w:rsid w:val="00A03F74"/>
    <w:rsid w:val="00A03F88"/>
    <w:rsid w:val="00A046BF"/>
    <w:rsid w:val="00A0567A"/>
    <w:rsid w:val="00A05B25"/>
    <w:rsid w:val="00A05C04"/>
    <w:rsid w:val="00A05EC0"/>
    <w:rsid w:val="00A06254"/>
    <w:rsid w:val="00A06842"/>
    <w:rsid w:val="00A07459"/>
    <w:rsid w:val="00A07D78"/>
    <w:rsid w:val="00A07DB6"/>
    <w:rsid w:val="00A10972"/>
    <w:rsid w:val="00A109D3"/>
    <w:rsid w:val="00A11406"/>
    <w:rsid w:val="00A13205"/>
    <w:rsid w:val="00A132A1"/>
    <w:rsid w:val="00A13422"/>
    <w:rsid w:val="00A148A2"/>
    <w:rsid w:val="00A15132"/>
    <w:rsid w:val="00A1554D"/>
    <w:rsid w:val="00A15792"/>
    <w:rsid w:val="00A158E3"/>
    <w:rsid w:val="00A1591A"/>
    <w:rsid w:val="00A16936"/>
    <w:rsid w:val="00A172E0"/>
    <w:rsid w:val="00A17527"/>
    <w:rsid w:val="00A211C5"/>
    <w:rsid w:val="00A221A3"/>
    <w:rsid w:val="00A223D5"/>
    <w:rsid w:val="00A235E4"/>
    <w:rsid w:val="00A23F41"/>
    <w:rsid w:val="00A25547"/>
    <w:rsid w:val="00A25F76"/>
    <w:rsid w:val="00A3003E"/>
    <w:rsid w:val="00A31E14"/>
    <w:rsid w:val="00A3325E"/>
    <w:rsid w:val="00A33839"/>
    <w:rsid w:val="00A34276"/>
    <w:rsid w:val="00A34524"/>
    <w:rsid w:val="00A345B6"/>
    <w:rsid w:val="00A3502D"/>
    <w:rsid w:val="00A350BE"/>
    <w:rsid w:val="00A357A4"/>
    <w:rsid w:val="00A358B1"/>
    <w:rsid w:val="00A35AF5"/>
    <w:rsid w:val="00A35CDF"/>
    <w:rsid w:val="00A36453"/>
    <w:rsid w:val="00A37970"/>
    <w:rsid w:val="00A37A68"/>
    <w:rsid w:val="00A37B0C"/>
    <w:rsid w:val="00A37CE6"/>
    <w:rsid w:val="00A37D1C"/>
    <w:rsid w:val="00A37FFE"/>
    <w:rsid w:val="00A404BE"/>
    <w:rsid w:val="00A40ECF"/>
    <w:rsid w:val="00A411C9"/>
    <w:rsid w:val="00A41EFE"/>
    <w:rsid w:val="00A41FEF"/>
    <w:rsid w:val="00A42476"/>
    <w:rsid w:val="00A42800"/>
    <w:rsid w:val="00A433CA"/>
    <w:rsid w:val="00A43440"/>
    <w:rsid w:val="00A43A1A"/>
    <w:rsid w:val="00A43D48"/>
    <w:rsid w:val="00A43F3C"/>
    <w:rsid w:val="00A447A5"/>
    <w:rsid w:val="00A45B83"/>
    <w:rsid w:val="00A46121"/>
    <w:rsid w:val="00A4645D"/>
    <w:rsid w:val="00A4646E"/>
    <w:rsid w:val="00A4678B"/>
    <w:rsid w:val="00A468FD"/>
    <w:rsid w:val="00A46921"/>
    <w:rsid w:val="00A47249"/>
    <w:rsid w:val="00A47E3B"/>
    <w:rsid w:val="00A501C7"/>
    <w:rsid w:val="00A5058A"/>
    <w:rsid w:val="00A50905"/>
    <w:rsid w:val="00A513FD"/>
    <w:rsid w:val="00A517D0"/>
    <w:rsid w:val="00A5254B"/>
    <w:rsid w:val="00A52BC1"/>
    <w:rsid w:val="00A52D47"/>
    <w:rsid w:val="00A5347F"/>
    <w:rsid w:val="00A534A0"/>
    <w:rsid w:val="00A5355B"/>
    <w:rsid w:val="00A537EA"/>
    <w:rsid w:val="00A539AD"/>
    <w:rsid w:val="00A53E3E"/>
    <w:rsid w:val="00A540B2"/>
    <w:rsid w:val="00A5414D"/>
    <w:rsid w:val="00A54A3E"/>
    <w:rsid w:val="00A54D69"/>
    <w:rsid w:val="00A556B7"/>
    <w:rsid w:val="00A564A6"/>
    <w:rsid w:val="00A56819"/>
    <w:rsid w:val="00A568AC"/>
    <w:rsid w:val="00A57B07"/>
    <w:rsid w:val="00A6025F"/>
    <w:rsid w:val="00A60E9C"/>
    <w:rsid w:val="00A61196"/>
    <w:rsid w:val="00A6124E"/>
    <w:rsid w:val="00A6131E"/>
    <w:rsid w:val="00A616AF"/>
    <w:rsid w:val="00A61879"/>
    <w:rsid w:val="00A628B4"/>
    <w:rsid w:val="00A62E6A"/>
    <w:rsid w:val="00A63E4E"/>
    <w:rsid w:val="00A6444F"/>
    <w:rsid w:val="00A652FF"/>
    <w:rsid w:val="00A65A0D"/>
    <w:rsid w:val="00A65C27"/>
    <w:rsid w:val="00A65F3C"/>
    <w:rsid w:val="00A661FD"/>
    <w:rsid w:val="00A66FB3"/>
    <w:rsid w:val="00A67CE3"/>
    <w:rsid w:val="00A67DF5"/>
    <w:rsid w:val="00A709A3"/>
    <w:rsid w:val="00A71216"/>
    <w:rsid w:val="00A714A3"/>
    <w:rsid w:val="00A71B8B"/>
    <w:rsid w:val="00A7275C"/>
    <w:rsid w:val="00A74456"/>
    <w:rsid w:val="00A75089"/>
    <w:rsid w:val="00A75EDC"/>
    <w:rsid w:val="00A80404"/>
    <w:rsid w:val="00A80548"/>
    <w:rsid w:val="00A8085F"/>
    <w:rsid w:val="00A80A3D"/>
    <w:rsid w:val="00A817A8"/>
    <w:rsid w:val="00A81E50"/>
    <w:rsid w:val="00A81F1C"/>
    <w:rsid w:val="00A82241"/>
    <w:rsid w:val="00A82602"/>
    <w:rsid w:val="00A82D7A"/>
    <w:rsid w:val="00A82DA0"/>
    <w:rsid w:val="00A83E49"/>
    <w:rsid w:val="00A8401C"/>
    <w:rsid w:val="00A8415A"/>
    <w:rsid w:val="00A841A6"/>
    <w:rsid w:val="00A84221"/>
    <w:rsid w:val="00A843CA"/>
    <w:rsid w:val="00A84AAE"/>
    <w:rsid w:val="00A84B7A"/>
    <w:rsid w:val="00A85063"/>
    <w:rsid w:val="00A85367"/>
    <w:rsid w:val="00A85CC2"/>
    <w:rsid w:val="00A86359"/>
    <w:rsid w:val="00A865DC"/>
    <w:rsid w:val="00A86A72"/>
    <w:rsid w:val="00A86FBC"/>
    <w:rsid w:val="00A879C5"/>
    <w:rsid w:val="00A902AD"/>
    <w:rsid w:val="00A90302"/>
    <w:rsid w:val="00A9099E"/>
    <w:rsid w:val="00A91FB7"/>
    <w:rsid w:val="00A921CE"/>
    <w:rsid w:val="00A92967"/>
    <w:rsid w:val="00A9298F"/>
    <w:rsid w:val="00A9301E"/>
    <w:rsid w:val="00A93E3A"/>
    <w:rsid w:val="00A95069"/>
    <w:rsid w:val="00A95186"/>
    <w:rsid w:val="00A951AD"/>
    <w:rsid w:val="00A9561B"/>
    <w:rsid w:val="00A9578E"/>
    <w:rsid w:val="00A961BD"/>
    <w:rsid w:val="00A9652F"/>
    <w:rsid w:val="00A973B1"/>
    <w:rsid w:val="00AA027E"/>
    <w:rsid w:val="00AA1224"/>
    <w:rsid w:val="00AA14F2"/>
    <w:rsid w:val="00AA180B"/>
    <w:rsid w:val="00AA1D43"/>
    <w:rsid w:val="00AA2358"/>
    <w:rsid w:val="00AA2469"/>
    <w:rsid w:val="00AA2CD7"/>
    <w:rsid w:val="00AA2FA4"/>
    <w:rsid w:val="00AA3301"/>
    <w:rsid w:val="00AA3360"/>
    <w:rsid w:val="00AA386B"/>
    <w:rsid w:val="00AA4C2E"/>
    <w:rsid w:val="00AA6384"/>
    <w:rsid w:val="00AA6B93"/>
    <w:rsid w:val="00AA7654"/>
    <w:rsid w:val="00AA7A06"/>
    <w:rsid w:val="00AA7A7F"/>
    <w:rsid w:val="00AA7F56"/>
    <w:rsid w:val="00AB0134"/>
    <w:rsid w:val="00AB1984"/>
    <w:rsid w:val="00AB1CBB"/>
    <w:rsid w:val="00AB215B"/>
    <w:rsid w:val="00AB266D"/>
    <w:rsid w:val="00AB2E7D"/>
    <w:rsid w:val="00AB3146"/>
    <w:rsid w:val="00AB333E"/>
    <w:rsid w:val="00AB37DB"/>
    <w:rsid w:val="00AB3ECC"/>
    <w:rsid w:val="00AB3FD0"/>
    <w:rsid w:val="00AB54B5"/>
    <w:rsid w:val="00AB5A73"/>
    <w:rsid w:val="00AB5F48"/>
    <w:rsid w:val="00AB6B1A"/>
    <w:rsid w:val="00AB7156"/>
    <w:rsid w:val="00AB716D"/>
    <w:rsid w:val="00AB72BB"/>
    <w:rsid w:val="00AB7472"/>
    <w:rsid w:val="00AB7BF3"/>
    <w:rsid w:val="00AC09D5"/>
    <w:rsid w:val="00AC0D8E"/>
    <w:rsid w:val="00AC15B8"/>
    <w:rsid w:val="00AC175B"/>
    <w:rsid w:val="00AC1AA3"/>
    <w:rsid w:val="00AC1F8E"/>
    <w:rsid w:val="00AC22C1"/>
    <w:rsid w:val="00AC374B"/>
    <w:rsid w:val="00AC3798"/>
    <w:rsid w:val="00AC3ED5"/>
    <w:rsid w:val="00AC4CB3"/>
    <w:rsid w:val="00AC4D7C"/>
    <w:rsid w:val="00AC53B0"/>
    <w:rsid w:val="00AC6EF2"/>
    <w:rsid w:val="00AC71A6"/>
    <w:rsid w:val="00AC742F"/>
    <w:rsid w:val="00AC7664"/>
    <w:rsid w:val="00AC774F"/>
    <w:rsid w:val="00AC780D"/>
    <w:rsid w:val="00AC787B"/>
    <w:rsid w:val="00AC78A0"/>
    <w:rsid w:val="00AC7956"/>
    <w:rsid w:val="00AC7E18"/>
    <w:rsid w:val="00AD0561"/>
    <w:rsid w:val="00AD1B79"/>
    <w:rsid w:val="00AD1CB8"/>
    <w:rsid w:val="00AD3208"/>
    <w:rsid w:val="00AD3C00"/>
    <w:rsid w:val="00AD3C12"/>
    <w:rsid w:val="00AD50F8"/>
    <w:rsid w:val="00AD5889"/>
    <w:rsid w:val="00AD719F"/>
    <w:rsid w:val="00AD7447"/>
    <w:rsid w:val="00AD752A"/>
    <w:rsid w:val="00AD7D22"/>
    <w:rsid w:val="00AD7D36"/>
    <w:rsid w:val="00AE0A0E"/>
    <w:rsid w:val="00AE0DED"/>
    <w:rsid w:val="00AE1D05"/>
    <w:rsid w:val="00AE2780"/>
    <w:rsid w:val="00AE284A"/>
    <w:rsid w:val="00AE307E"/>
    <w:rsid w:val="00AE3450"/>
    <w:rsid w:val="00AE392E"/>
    <w:rsid w:val="00AE3E11"/>
    <w:rsid w:val="00AE40B3"/>
    <w:rsid w:val="00AE4BAB"/>
    <w:rsid w:val="00AE4BDC"/>
    <w:rsid w:val="00AE4CFD"/>
    <w:rsid w:val="00AE4EA6"/>
    <w:rsid w:val="00AE51FF"/>
    <w:rsid w:val="00AE55AD"/>
    <w:rsid w:val="00AE5D8F"/>
    <w:rsid w:val="00AE67D5"/>
    <w:rsid w:val="00AE6A1E"/>
    <w:rsid w:val="00AE6EAF"/>
    <w:rsid w:val="00AE7265"/>
    <w:rsid w:val="00AE78ED"/>
    <w:rsid w:val="00AE7AC2"/>
    <w:rsid w:val="00AE7EC9"/>
    <w:rsid w:val="00AF1117"/>
    <w:rsid w:val="00AF1555"/>
    <w:rsid w:val="00AF174E"/>
    <w:rsid w:val="00AF18BA"/>
    <w:rsid w:val="00AF1CA5"/>
    <w:rsid w:val="00AF228C"/>
    <w:rsid w:val="00AF2DB9"/>
    <w:rsid w:val="00AF3928"/>
    <w:rsid w:val="00AF3B55"/>
    <w:rsid w:val="00AF3D62"/>
    <w:rsid w:val="00AF4146"/>
    <w:rsid w:val="00AF56FE"/>
    <w:rsid w:val="00AF5C45"/>
    <w:rsid w:val="00AF62A7"/>
    <w:rsid w:val="00AF6AC5"/>
    <w:rsid w:val="00AF7809"/>
    <w:rsid w:val="00AF7CA7"/>
    <w:rsid w:val="00AF7F7B"/>
    <w:rsid w:val="00B00BDE"/>
    <w:rsid w:val="00B0104B"/>
    <w:rsid w:val="00B021E0"/>
    <w:rsid w:val="00B03A30"/>
    <w:rsid w:val="00B03A35"/>
    <w:rsid w:val="00B0430C"/>
    <w:rsid w:val="00B04F99"/>
    <w:rsid w:val="00B0505D"/>
    <w:rsid w:val="00B057B6"/>
    <w:rsid w:val="00B05A7C"/>
    <w:rsid w:val="00B05CBC"/>
    <w:rsid w:val="00B06361"/>
    <w:rsid w:val="00B0651D"/>
    <w:rsid w:val="00B06955"/>
    <w:rsid w:val="00B07BEA"/>
    <w:rsid w:val="00B07F41"/>
    <w:rsid w:val="00B102F9"/>
    <w:rsid w:val="00B11C80"/>
    <w:rsid w:val="00B11F33"/>
    <w:rsid w:val="00B12152"/>
    <w:rsid w:val="00B12DCA"/>
    <w:rsid w:val="00B13ECB"/>
    <w:rsid w:val="00B1524F"/>
    <w:rsid w:val="00B15A54"/>
    <w:rsid w:val="00B15ECF"/>
    <w:rsid w:val="00B169CD"/>
    <w:rsid w:val="00B16C0A"/>
    <w:rsid w:val="00B1785C"/>
    <w:rsid w:val="00B17F60"/>
    <w:rsid w:val="00B2039A"/>
    <w:rsid w:val="00B20AC8"/>
    <w:rsid w:val="00B20EAD"/>
    <w:rsid w:val="00B215D5"/>
    <w:rsid w:val="00B21D55"/>
    <w:rsid w:val="00B225CB"/>
    <w:rsid w:val="00B22870"/>
    <w:rsid w:val="00B22A22"/>
    <w:rsid w:val="00B22AA6"/>
    <w:rsid w:val="00B23D1A"/>
    <w:rsid w:val="00B23F4C"/>
    <w:rsid w:val="00B24233"/>
    <w:rsid w:val="00B246DD"/>
    <w:rsid w:val="00B248D8"/>
    <w:rsid w:val="00B24BA7"/>
    <w:rsid w:val="00B25A6F"/>
    <w:rsid w:val="00B25CD9"/>
    <w:rsid w:val="00B26316"/>
    <w:rsid w:val="00B268D0"/>
    <w:rsid w:val="00B269D3"/>
    <w:rsid w:val="00B27886"/>
    <w:rsid w:val="00B27F44"/>
    <w:rsid w:val="00B301ED"/>
    <w:rsid w:val="00B30448"/>
    <w:rsid w:val="00B3048B"/>
    <w:rsid w:val="00B30C49"/>
    <w:rsid w:val="00B30D75"/>
    <w:rsid w:val="00B30DAD"/>
    <w:rsid w:val="00B31315"/>
    <w:rsid w:val="00B3260E"/>
    <w:rsid w:val="00B32C4B"/>
    <w:rsid w:val="00B332D8"/>
    <w:rsid w:val="00B3407E"/>
    <w:rsid w:val="00B3483A"/>
    <w:rsid w:val="00B34C84"/>
    <w:rsid w:val="00B34D6A"/>
    <w:rsid w:val="00B35021"/>
    <w:rsid w:val="00B35749"/>
    <w:rsid w:val="00B35EF5"/>
    <w:rsid w:val="00B3677F"/>
    <w:rsid w:val="00B36872"/>
    <w:rsid w:val="00B3704D"/>
    <w:rsid w:val="00B37071"/>
    <w:rsid w:val="00B40162"/>
    <w:rsid w:val="00B4054D"/>
    <w:rsid w:val="00B40903"/>
    <w:rsid w:val="00B40FDB"/>
    <w:rsid w:val="00B41C6D"/>
    <w:rsid w:val="00B420B2"/>
    <w:rsid w:val="00B42800"/>
    <w:rsid w:val="00B42832"/>
    <w:rsid w:val="00B42863"/>
    <w:rsid w:val="00B430F6"/>
    <w:rsid w:val="00B43511"/>
    <w:rsid w:val="00B43CE6"/>
    <w:rsid w:val="00B45528"/>
    <w:rsid w:val="00B46776"/>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B0E"/>
    <w:rsid w:val="00B52D81"/>
    <w:rsid w:val="00B5355B"/>
    <w:rsid w:val="00B5402E"/>
    <w:rsid w:val="00B540E8"/>
    <w:rsid w:val="00B54681"/>
    <w:rsid w:val="00B55852"/>
    <w:rsid w:val="00B560A9"/>
    <w:rsid w:val="00B56866"/>
    <w:rsid w:val="00B56BD0"/>
    <w:rsid w:val="00B56CC4"/>
    <w:rsid w:val="00B604BB"/>
    <w:rsid w:val="00B6062A"/>
    <w:rsid w:val="00B60A96"/>
    <w:rsid w:val="00B60DD7"/>
    <w:rsid w:val="00B60EB6"/>
    <w:rsid w:val="00B60EE5"/>
    <w:rsid w:val="00B616A5"/>
    <w:rsid w:val="00B628BE"/>
    <w:rsid w:val="00B62B67"/>
    <w:rsid w:val="00B637FB"/>
    <w:rsid w:val="00B6386F"/>
    <w:rsid w:val="00B65295"/>
    <w:rsid w:val="00B65D9B"/>
    <w:rsid w:val="00B66E51"/>
    <w:rsid w:val="00B66E68"/>
    <w:rsid w:val="00B672CB"/>
    <w:rsid w:val="00B67346"/>
    <w:rsid w:val="00B676EA"/>
    <w:rsid w:val="00B6793A"/>
    <w:rsid w:val="00B67AC3"/>
    <w:rsid w:val="00B70880"/>
    <w:rsid w:val="00B71422"/>
    <w:rsid w:val="00B71486"/>
    <w:rsid w:val="00B71607"/>
    <w:rsid w:val="00B71EF7"/>
    <w:rsid w:val="00B72361"/>
    <w:rsid w:val="00B74AB0"/>
    <w:rsid w:val="00B75345"/>
    <w:rsid w:val="00B76327"/>
    <w:rsid w:val="00B76400"/>
    <w:rsid w:val="00B76C94"/>
    <w:rsid w:val="00B76D4E"/>
    <w:rsid w:val="00B76D6E"/>
    <w:rsid w:val="00B771A8"/>
    <w:rsid w:val="00B771AA"/>
    <w:rsid w:val="00B772D0"/>
    <w:rsid w:val="00B80A99"/>
    <w:rsid w:val="00B80F4E"/>
    <w:rsid w:val="00B814CF"/>
    <w:rsid w:val="00B81A33"/>
    <w:rsid w:val="00B8256C"/>
    <w:rsid w:val="00B82B2D"/>
    <w:rsid w:val="00B83117"/>
    <w:rsid w:val="00B8319C"/>
    <w:rsid w:val="00B85EC9"/>
    <w:rsid w:val="00B90351"/>
    <w:rsid w:val="00B906F2"/>
    <w:rsid w:val="00B90D9B"/>
    <w:rsid w:val="00B91259"/>
    <w:rsid w:val="00B91B81"/>
    <w:rsid w:val="00B91FF0"/>
    <w:rsid w:val="00B926A8"/>
    <w:rsid w:val="00B92FFF"/>
    <w:rsid w:val="00B93538"/>
    <w:rsid w:val="00B936F8"/>
    <w:rsid w:val="00B9492E"/>
    <w:rsid w:val="00B960DB"/>
    <w:rsid w:val="00B96799"/>
    <w:rsid w:val="00B96DE5"/>
    <w:rsid w:val="00B96EC2"/>
    <w:rsid w:val="00B97A76"/>
    <w:rsid w:val="00B97DD5"/>
    <w:rsid w:val="00BA0166"/>
    <w:rsid w:val="00BA0584"/>
    <w:rsid w:val="00BA0755"/>
    <w:rsid w:val="00BA1E9D"/>
    <w:rsid w:val="00BA249D"/>
    <w:rsid w:val="00BA3C66"/>
    <w:rsid w:val="00BA4D00"/>
    <w:rsid w:val="00BA4F9B"/>
    <w:rsid w:val="00BA5665"/>
    <w:rsid w:val="00BA5A0E"/>
    <w:rsid w:val="00BA6825"/>
    <w:rsid w:val="00BA72D9"/>
    <w:rsid w:val="00BB0AB5"/>
    <w:rsid w:val="00BB195B"/>
    <w:rsid w:val="00BB1BBA"/>
    <w:rsid w:val="00BB204A"/>
    <w:rsid w:val="00BB2BD1"/>
    <w:rsid w:val="00BB31DF"/>
    <w:rsid w:val="00BB33E9"/>
    <w:rsid w:val="00BB34B7"/>
    <w:rsid w:val="00BB37AF"/>
    <w:rsid w:val="00BB3BE4"/>
    <w:rsid w:val="00BB4073"/>
    <w:rsid w:val="00BB44DB"/>
    <w:rsid w:val="00BB4F19"/>
    <w:rsid w:val="00BB57D3"/>
    <w:rsid w:val="00BB58EE"/>
    <w:rsid w:val="00BB64EC"/>
    <w:rsid w:val="00BB7589"/>
    <w:rsid w:val="00BB7668"/>
    <w:rsid w:val="00BB7E42"/>
    <w:rsid w:val="00BC077E"/>
    <w:rsid w:val="00BC0DE5"/>
    <w:rsid w:val="00BC0E57"/>
    <w:rsid w:val="00BC19D2"/>
    <w:rsid w:val="00BC1F5F"/>
    <w:rsid w:val="00BC21BE"/>
    <w:rsid w:val="00BC2465"/>
    <w:rsid w:val="00BC3E36"/>
    <w:rsid w:val="00BC3F59"/>
    <w:rsid w:val="00BC4B2D"/>
    <w:rsid w:val="00BC4CE8"/>
    <w:rsid w:val="00BC4D54"/>
    <w:rsid w:val="00BC6E2F"/>
    <w:rsid w:val="00BC728A"/>
    <w:rsid w:val="00BC7632"/>
    <w:rsid w:val="00BC77A4"/>
    <w:rsid w:val="00BC7C9E"/>
    <w:rsid w:val="00BD043A"/>
    <w:rsid w:val="00BD1E79"/>
    <w:rsid w:val="00BD23A5"/>
    <w:rsid w:val="00BD2937"/>
    <w:rsid w:val="00BD2AFC"/>
    <w:rsid w:val="00BD2CD4"/>
    <w:rsid w:val="00BD3143"/>
    <w:rsid w:val="00BD330C"/>
    <w:rsid w:val="00BD359B"/>
    <w:rsid w:val="00BD3663"/>
    <w:rsid w:val="00BD367F"/>
    <w:rsid w:val="00BD46DF"/>
    <w:rsid w:val="00BD4871"/>
    <w:rsid w:val="00BD48A9"/>
    <w:rsid w:val="00BD4B47"/>
    <w:rsid w:val="00BD5712"/>
    <w:rsid w:val="00BD5756"/>
    <w:rsid w:val="00BD581A"/>
    <w:rsid w:val="00BD5C02"/>
    <w:rsid w:val="00BD658C"/>
    <w:rsid w:val="00BD678A"/>
    <w:rsid w:val="00BD6819"/>
    <w:rsid w:val="00BD7EC6"/>
    <w:rsid w:val="00BE063A"/>
    <w:rsid w:val="00BE08C0"/>
    <w:rsid w:val="00BE0FF2"/>
    <w:rsid w:val="00BE1345"/>
    <w:rsid w:val="00BE18BC"/>
    <w:rsid w:val="00BE2147"/>
    <w:rsid w:val="00BE239E"/>
    <w:rsid w:val="00BE3B83"/>
    <w:rsid w:val="00BE3C67"/>
    <w:rsid w:val="00BE3CF7"/>
    <w:rsid w:val="00BE42FC"/>
    <w:rsid w:val="00BE4E7E"/>
    <w:rsid w:val="00BE6085"/>
    <w:rsid w:val="00BE66FC"/>
    <w:rsid w:val="00BE73FA"/>
    <w:rsid w:val="00BF00D1"/>
    <w:rsid w:val="00BF0353"/>
    <w:rsid w:val="00BF0737"/>
    <w:rsid w:val="00BF090A"/>
    <w:rsid w:val="00BF0918"/>
    <w:rsid w:val="00BF2001"/>
    <w:rsid w:val="00BF2575"/>
    <w:rsid w:val="00BF31A0"/>
    <w:rsid w:val="00BF323A"/>
    <w:rsid w:val="00BF36C0"/>
    <w:rsid w:val="00BF3F0A"/>
    <w:rsid w:val="00BF4E35"/>
    <w:rsid w:val="00BF5FB3"/>
    <w:rsid w:val="00BF6F82"/>
    <w:rsid w:val="00BF7B9B"/>
    <w:rsid w:val="00C0083F"/>
    <w:rsid w:val="00C00976"/>
    <w:rsid w:val="00C01DCF"/>
    <w:rsid w:val="00C020CD"/>
    <w:rsid w:val="00C02DDE"/>
    <w:rsid w:val="00C0362D"/>
    <w:rsid w:val="00C0367B"/>
    <w:rsid w:val="00C04E51"/>
    <w:rsid w:val="00C05074"/>
    <w:rsid w:val="00C05AF9"/>
    <w:rsid w:val="00C05DAE"/>
    <w:rsid w:val="00C0606E"/>
    <w:rsid w:val="00C060A3"/>
    <w:rsid w:val="00C060B0"/>
    <w:rsid w:val="00C06D2C"/>
    <w:rsid w:val="00C072F0"/>
    <w:rsid w:val="00C07344"/>
    <w:rsid w:val="00C079A3"/>
    <w:rsid w:val="00C07C1F"/>
    <w:rsid w:val="00C07C79"/>
    <w:rsid w:val="00C11A79"/>
    <w:rsid w:val="00C120B8"/>
    <w:rsid w:val="00C1211E"/>
    <w:rsid w:val="00C13607"/>
    <w:rsid w:val="00C137B1"/>
    <w:rsid w:val="00C13811"/>
    <w:rsid w:val="00C13B43"/>
    <w:rsid w:val="00C15E81"/>
    <w:rsid w:val="00C174C9"/>
    <w:rsid w:val="00C17B6E"/>
    <w:rsid w:val="00C200BA"/>
    <w:rsid w:val="00C20748"/>
    <w:rsid w:val="00C20754"/>
    <w:rsid w:val="00C21378"/>
    <w:rsid w:val="00C220A5"/>
    <w:rsid w:val="00C22307"/>
    <w:rsid w:val="00C22BB2"/>
    <w:rsid w:val="00C22EAF"/>
    <w:rsid w:val="00C23150"/>
    <w:rsid w:val="00C24580"/>
    <w:rsid w:val="00C246A2"/>
    <w:rsid w:val="00C24908"/>
    <w:rsid w:val="00C250E8"/>
    <w:rsid w:val="00C25150"/>
    <w:rsid w:val="00C2515F"/>
    <w:rsid w:val="00C25B30"/>
    <w:rsid w:val="00C25DCF"/>
    <w:rsid w:val="00C260B4"/>
    <w:rsid w:val="00C26AEA"/>
    <w:rsid w:val="00C276EC"/>
    <w:rsid w:val="00C27C0A"/>
    <w:rsid w:val="00C305D9"/>
    <w:rsid w:val="00C31838"/>
    <w:rsid w:val="00C31AD4"/>
    <w:rsid w:val="00C31C63"/>
    <w:rsid w:val="00C31C8C"/>
    <w:rsid w:val="00C31CD9"/>
    <w:rsid w:val="00C32481"/>
    <w:rsid w:val="00C3394C"/>
    <w:rsid w:val="00C34581"/>
    <w:rsid w:val="00C34AD7"/>
    <w:rsid w:val="00C3516D"/>
    <w:rsid w:val="00C351E4"/>
    <w:rsid w:val="00C353D8"/>
    <w:rsid w:val="00C35A20"/>
    <w:rsid w:val="00C361A6"/>
    <w:rsid w:val="00C365C5"/>
    <w:rsid w:val="00C3670F"/>
    <w:rsid w:val="00C36A54"/>
    <w:rsid w:val="00C36E1A"/>
    <w:rsid w:val="00C36E26"/>
    <w:rsid w:val="00C371DF"/>
    <w:rsid w:val="00C37818"/>
    <w:rsid w:val="00C37EFC"/>
    <w:rsid w:val="00C37FF9"/>
    <w:rsid w:val="00C40126"/>
    <w:rsid w:val="00C41099"/>
    <w:rsid w:val="00C41425"/>
    <w:rsid w:val="00C41B4A"/>
    <w:rsid w:val="00C4213A"/>
    <w:rsid w:val="00C42C11"/>
    <w:rsid w:val="00C43344"/>
    <w:rsid w:val="00C43ADB"/>
    <w:rsid w:val="00C44949"/>
    <w:rsid w:val="00C44B4C"/>
    <w:rsid w:val="00C450E3"/>
    <w:rsid w:val="00C456CC"/>
    <w:rsid w:val="00C45830"/>
    <w:rsid w:val="00C45C56"/>
    <w:rsid w:val="00C45CCD"/>
    <w:rsid w:val="00C46734"/>
    <w:rsid w:val="00C50112"/>
    <w:rsid w:val="00C5105D"/>
    <w:rsid w:val="00C511F0"/>
    <w:rsid w:val="00C513C7"/>
    <w:rsid w:val="00C51639"/>
    <w:rsid w:val="00C51871"/>
    <w:rsid w:val="00C53220"/>
    <w:rsid w:val="00C533A0"/>
    <w:rsid w:val="00C537E7"/>
    <w:rsid w:val="00C53AFE"/>
    <w:rsid w:val="00C53E9D"/>
    <w:rsid w:val="00C5426B"/>
    <w:rsid w:val="00C54C18"/>
    <w:rsid w:val="00C573DA"/>
    <w:rsid w:val="00C5772E"/>
    <w:rsid w:val="00C5781B"/>
    <w:rsid w:val="00C61117"/>
    <w:rsid w:val="00C616B4"/>
    <w:rsid w:val="00C621A7"/>
    <w:rsid w:val="00C62676"/>
    <w:rsid w:val="00C62AA0"/>
    <w:rsid w:val="00C62BF2"/>
    <w:rsid w:val="00C62D1B"/>
    <w:rsid w:val="00C638A6"/>
    <w:rsid w:val="00C63FB9"/>
    <w:rsid w:val="00C64266"/>
    <w:rsid w:val="00C647DF"/>
    <w:rsid w:val="00C64F8E"/>
    <w:rsid w:val="00C66306"/>
    <w:rsid w:val="00C66CE8"/>
    <w:rsid w:val="00C70074"/>
    <w:rsid w:val="00C70D51"/>
    <w:rsid w:val="00C70DF4"/>
    <w:rsid w:val="00C71252"/>
    <w:rsid w:val="00C7277F"/>
    <w:rsid w:val="00C73C07"/>
    <w:rsid w:val="00C74930"/>
    <w:rsid w:val="00C74B47"/>
    <w:rsid w:val="00C74D80"/>
    <w:rsid w:val="00C754BD"/>
    <w:rsid w:val="00C75D3A"/>
    <w:rsid w:val="00C769A9"/>
    <w:rsid w:val="00C774C9"/>
    <w:rsid w:val="00C77F1B"/>
    <w:rsid w:val="00C80987"/>
    <w:rsid w:val="00C80A3F"/>
    <w:rsid w:val="00C8180E"/>
    <w:rsid w:val="00C818A9"/>
    <w:rsid w:val="00C82436"/>
    <w:rsid w:val="00C82933"/>
    <w:rsid w:val="00C82BE2"/>
    <w:rsid w:val="00C84BBF"/>
    <w:rsid w:val="00C84BE9"/>
    <w:rsid w:val="00C85DEF"/>
    <w:rsid w:val="00C85E40"/>
    <w:rsid w:val="00C86D76"/>
    <w:rsid w:val="00C87A64"/>
    <w:rsid w:val="00C910F8"/>
    <w:rsid w:val="00C91106"/>
    <w:rsid w:val="00C9117B"/>
    <w:rsid w:val="00C91D19"/>
    <w:rsid w:val="00C93B58"/>
    <w:rsid w:val="00C93C2F"/>
    <w:rsid w:val="00C9437C"/>
    <w:rsid w:val="00C946E4"/>
    <w:rsid w:val="00C946FF"/>
    <w:rsid w:val="00C94A14"/>
    <w:rsid w:val="00C94CDA"/>
    <w:rsid w:val="00C95BED"/>
    <w:rsid w:val="00C96725"/>
    <w:rsid w:val="00C97A66"/>
    <w:rsid w:val="00CA007B"/>
    <w:rsid w:val="00CA01BB"/>
    <w:rsid w:val="00CA0AA4"/>
    <w:rsid w:val="00CA0C1E"/>
    <w:rsid w:val="00CA15B0"/>
    <w:rsid w:val="00CA1C71"/>
    <w:rsid w:val="00CA1D4C"/>
    <w:rsid w:val="00CA1D50"/>
    <w:rsid w:val="00CA1DAB"/>
    <w:rsid w:val="00CA20E0"/>
    <w:rsid w:val="00CA2598"/>
    <w:rsid w:val="00CA3347"/>
    <w:rsid w:val="00CA523D"/>
    <w:rsid w:val="00CA6FDA"/>
    <w:rsid w:val="00CA77CF"/>
    <w:rsid w:val="00CA7B58"/>
    <w:rsid w:val="00CB0836"/>
    <w:rsid w:val="00CB0CB9"/>
    <w:rsid w:val="00CB1413"/>
    <w:rsid w:val="00CB18D4"/>
    <w:rsid w:val="00CB2518"/>
    <w:rsid w:val="00CB3920"/>
    <w:rsid w:val="00CB4C4C"/>
    <w:rsid w:val="00CB6413"/>
    <w:rsid w:val="00CB696F"/>
    <w:rsid w:val="00CB6A00"/>
    <w:rsid w:val="00CB7097"/>
    <w:rsid w:val="00CB77F4"/>
    <w:rsid w:val="00CB780D"/>
    <w:rsid w:val="00CC0F1C"/>
    <w:rsid w:val="00CC1983"/>
    <w:rsid w:val="00CC1BBB"/>
    <w:rsid w:val="00CC259D"/>
    <w:rsid w:val="00CC299A"/>
    <w:rsid w:val="00CC3039"/>
    <w:rsid w:val="00CC32B7"/>
    <w:rsid w:val="00CC36DE"/>
    <w:rsid w:val="00CC4498"/>
    <w:rsid w:val="00CC4F99"/>
    <w:rsid w:val="00CC5CDC"/>
    <w:rsid w:val="00CC5FC3"/>
    <w:rsid w:val="00CC6369"/>
    <w:rsid w:val="00CC6576"/>
    <w:rsid w:val="00CC65D6"/>
    <w:rsid w:val="00CC73F3"/>
    <w:rsid w:val="00CC7B85"/>
    <w:rsid w:val="00CD081C"/>
    <w:rsid w:val="00CD14DA"/>
    <w:rsid w:val="00CD1B5A"/>
    <w:rsid w:val="00CD1E9C"/>
    <w:rsid w:val="00CD27DB"/>
    <w:rsid w:val="00CD2E70"/>
    <w:rsid w:val="00CD386B"/>
    <w:rsid w:val="00CD3D06"/>
    <w:rsid w:val="00CD4A09"/>
    <w:rsid w:val="00CD4C67"/>
    <w:rsid w:val="00CD4C7B"/>
    <w:rsid w:val="00CD5397"/>
    <w:rsid w:val="00CD5E93"/>
    <w:rsid w:val="00CE15AE"/>
    <w:rsid w:val="00CE1CFC"/>
    <w:rsid w:val="00CE235A"/>
    <w:rsid w:val="00CE37A3"/>
    <w:rsid w:val="00CE3814"/>
    <w:rsid w:val="00CE4AC7"/>
    <w:rsid w:val="00CE56B7"/>
    <w:rsid w:val="00CE6660"/>
    <w:rsid w:val="00CE6855"/>
    <w:rsid w:val="00CE6B6F"/>
    <w:rsid w:val="00CE7033"/>
    <w:rsid w:val="00CE7075"/>
    <w:rsid w:val="00CE73D1"/>
    <w:rsid w:val="00CE770A"/>
    <w:rsid w:val="00CF02A6"/>
    <w:rsid w:val="00CF05A6"/>
    <w:rsid w:val="00CF06CF"/>
    <w:rsid w:val="00CF101C"/>
    <w:rsid w:val="00CF15C5"/>
    <w:rsid w:val="00CF1EFE"/>
    <w:rsid w:val="00CF2DC1"/>
    <w:rsid w:val="00CF2EE2"/>
    <w:rsid w:val="00CF3948"/>
    <w:rsid w:val="00CF3ACF"/>
    <w:rsid w:val="00CF441D"/>
    <w:rsid w:val="00CF4FCF"/>
    <w:rsid w:val="00CF4FDC"/>
    <w:rsid w:val="00CF53F2"/>
    <w:rsid w:val="00CF56AF"/>
    <w:rsid w:val="00CF5BE0"/>
    <w:rsid w:val="00CF5BF1"/>
    <w:rsid w:val="00CF6001"/>
    <w:rsid w:val="00CF61CB"/>
    <w:rsid w:val="00CF666F"/>
    <w:rsid w:val="00CF686F"/>
    <w:rsid w:val="00CF6CA7"/>
    <w:rsid w:val="00CF6E7D"/>
    <w:rsid w:val="00D00175"/>
    <w:rsid w:val="00D00223"/>
    <w:rsid w:val="00D0045E"/>
    <w:rsid w:val="00D008D8"/>
    <w:rsid w:val="00D00DBF"/>
    <w:rsid w:val="00D0149B"/>
    <w:rsid w:val="00D01F5D"/>
    <w:rsid w:val="00D01FA9"/>
    <w:rsid w:val="00D02D17"/>
    <w:rsid w:val="00D03717"/>
    <w:rsid w:val="00D03DBE"/>
    <w:rsid w:val="00D03EED"/>
    <w:rsid w:val="00D0597D"/>
    <w:rsid w:val="00D06274"/>
    <w:rsid w:val="00D066D8"/>
    <w:rsid w:val="00D07FB9"/>
    <w:rsid w:val="00D11949"/>
    <w:rsid w:val="00D11A69"/>
    <w:rsid w:val="00D12C98"/>
    <w:rsid w:val="00D12FFC"/>
    <w:rsid w:val="00D13CA3"/>
    <w:rsid w:val="00D1484F"/>
    <w:rsid w:val="00D14BA0"/>
    <w:rsid w:val="00D14D7B"/>
    <w:rsid w:val="00D1516D"/>
    <w:rsid w:val="00D158B0"/>
    <w:rsid w:val="00D1707A"/>
    <w:rsid w:val="00D17CC2"/>
    <w:rsid w:val="00D20EED"/>
    <w:rsid w:val="00D21435"/>
    <w:rsid w:val="00D2242C"/>
    <w:rsid w:val="00D224FA"/>
    <w:rsid w:val="00D23033"/>
    <w:rsid w:val="00D2402F"/>
    <w:rsid w:val="00D24447"/>
    <w:rsid w:val="00D245C2"/>
    <w:rsid w:val="00D25660"/>
    <w:rsid w:val="00D2569B"/>
    <w:rsid w:val="00D258EB"/>
    <w:rsid w:val="00D25AEB"/>
    <w:rsid w:val="00D271CD"/>
    <w:rsid w:val="00D3064E"/>
    <w:rsid w:val="00D315CC"/>
    <w:rsid w:val="00D31DDA"/>
    <w:rsid w:val="00D31F05"/>
    <w:rsid w:val="00D32067"/>
    <w:rsid w:val="00D327A3"/>
    <w:rsid w:val="00D338AC"/>
    <w:rsid w:val="00D34C82"/>
    <w:rsid w:val="00D34DCC"/>
    <w:rsid w:val="00D36550"/>
    <w:rsid w:val="00D379EC"/>
    <w:rsid w:val="00D37C94"/>
    <w:rsid w:val="00D40171"/>
    <w:rsid w:val="00D40D88"/>
    <w:rsid w:val="00D413A1"/>
    <w:rsid w:val="00D41E42"/>
    <w:rsid w:val="00D41F6B"/>
    <w:rsid w:val="00D42380"/>
    <w:rsid w:val="00D42C9B"/>
    <w:rsid w:val="00D4348D"/>
    <w:rsid w:val="00D436D7"/>
    <w:rsid w:val="00D43C03"/>
    <w:rsid w:val="00D44E42"/>
    <w:rsid w:val="00D44FC3"/>
    <w:rsid w:val="00D450E2"/>
    <w:rsid w:val="00D453D7"/>
    <w:rsid w:val="00D4552D"/>
    <w:rsid w:val="00D462D6"/>
    <w:rsid w:val="00D474AB"/>
    <w:rsid w:val="00D4754E"/>
    <w:rsid w:val="00D50460"/>
    <w:rsid w:val="00D50961"/>
    <w:rsid w:val="00D50A02"/>
    <w:rsid w:val="00D512A1"/>
    <w:rsid w:val="00D518D6"/>
    <w:rsid w:val="00D52AB4"/>
    <w:rsid w:val="00D52F26"/>
    <w:rsid w:val="00D531F5"/>
    <w:rsid w:val="00D538C1"/>
    <w:rsid w:val="00D538D5"/>
    <w:rsid w:val="00D53B5C"/>
    <w:rsid w:val="00D54640"/>
    <w:rsid w:val="00D55455"/>
    <w:rsid w:val="00D559B5"/>
    <w:rsid w:val="00D56420"/>
    <w:rsid w:val="00D5658A"/>
    <w:rsid w:val="00D56A94"/>
    <w:rsid w:val="00D56C0C"/>
    <w:rsid w:val="00D56F9E"/>
    <w:rsid w:val="00D570B4"/>
    <w:rsid w:val="00D5798B"/>
    <w:rsid w:val="00D60736"/>
    <w:rsid w:val="00D6170E"/>
    <w:rsid w:val="00D61972"/>
    <w:rsid w:val="00D61B58"/>
    <w:rsid w:val="00D6307D"/>
    <w:rsid w:val="00D63632"/>
    <w:rsid w:val="00D63732"/>
    <w:rsid w:val="00D63925"/>
    <w:rsid w:val="00D6405D"/>
    <w:rsid w:val="00D6568E"/>
    <w:rsid w:val="00D65827"/>
    <w:rsid w:val="00D65893"/>
    <w:rsid w:val="00D658EC"/>
    <w:rsid w:val="00D66816"/>
    <w:rsid w:val="00D6684E"/>
    <w:rsid w:val="00D6742A"/>
    <w:rsid w:val="00D67B9B"/>
    <w:rsid w:val="00D71733"/>
    <w:rsid w:val="00D718AC"/>
    <w:rsid w:val="00D719A3"/>
    <w:rsid w:val="00D71E7A"/>
    <w:rsid w:val="00D72DE7"/>
    <w:rsid w:val="00D7302F"/>
    <w:rsid w:val="00D73870"/>
    <w:rsid w:val="00D73BB2"/>
    <w:rsid w:val="00D74575"/>
    <w:rsid w:val="00D74AB4"/>
    <w:rsid w:val="00D74D14"/>
    <w:rsid w:val="00D74F3B"/>
    <w:rsid w:val="00D752E7"/>
    <w:rsid w:val="00D7574B"/>
    <w:rsid w:val="00D75E82"/>
    <w:rsid w:val="00D76270"/>
    <w:rsid w:val="00D767C6"/>
    <w:rsid w:val="00D769C5"/>
    <w:rsid w:val="00D76E76"/>
    <w:rsid w:val="00D80631"/>
    <w:rsid w:val="00D818EC"/>
    <w:rsid w:val="00D81A20"/>
    <w:rsid w:val="00D81F55"/>
    <w:rsid w:val="00D8321A"/>
    <w:rsid w:val="00D83F57"/>
    <w:rsid w:val="00D84A86"/>
    <w:rsid w:val="00D850A6"/>
    <w:rsid w:val="00D85152"/>
    <w:rsid w:val="00D85F2C"/>
    <w:rsid w:val="00D86030"/>
    <w:rsid w:val="00D861BD"/>
    <w:rsid w:val="00D86D55"/>
    <w:rsid w:val="00D8789C"/>
    <w:rsid w:val="00D8789D"/>
    <w:rsid w:val="00D87B3F"/>
    <w:rsid w:val="00D9003D"/>
    <w:rsid w:val="00D90558"/>
    <w:rsid w:val="00D9082F"/>
    <w:rsid w:val="00D90C79"/>
    <w:rsid w:val="00D914EB"/>
    <w:rsid w:val="00D91B36"/>
    <w:rsid w:val="00D9305B"/>
    <w:rsid w:val="00D94085"/>
    <w:rsid w:val="00D944D2"/>
    <w:rsid w:val="00D96D4F"/>
    <w:rsid w:val="00DA1806"/>
    <w:rsid w:val="00DA1BD1"/>
    <w:rsid w:val="00DA212B"/>
    <w:rsid w:val="00DA3A76"/>
    <w:rsid w:val="00DA5713"/>
    <w:rsid w:val="00DA6856"/>
    <w:rsid w:val="00DA6D6D"/>
    <w:rsid w:val="00DA73C1"/>
    <w:rsid w:val="00DA7457"/>
    <w:rsid w:val="00DA770D"/>
    <w:rsid w:val="00DA77A8"/>
    <w:rsid w:val="00DA7851"/>
    <w:rsid w:val="00DA7DC1"/>
    <w:rsid w:val="00DB00EE"/>
    <w:rsid w:val="00DB0132"/>
    <w:rsid w:val="00DB2754"/>
    <w:rsid w:val="00DB2D88"/>
    <w:rsid w:val="00DB3687"/>
    <w:rsid w:val="00DB38D1"/>
    <w:rsid w:val="00DB41CB"/>
    <w:rsid w:val="00DB5114"/>
    <w:rsid w:val="00DB681B"/>
    <w:rsid w:val="00DB7E24"/>
    <w:rsid w:val="00DC0445"/>
    <w:rsid w:val="00DC115F"/>
    <w:rsid w:val="00DC2082"/>
    <w:rsid w:val="00DC225F"/>
    <w:rsid w:val="00DC2883"/>
    <w:rsid w:val="00DC2C48"/>
    <w:rsid w:val="00DC46B5"/>
    <w:rsid w:val="00DC4B28"/>
    <w:rsid w:val="00DC4B5D"/>
    <w:rsid w:val="00DC518C"/>
    <w:rsid w:val="00DC525E"/>
    <w:rsid w:val="00DC535C"/>
    <w:rsid w:val="00DC563C"/>
    <w:rsid w:val="00DC5DCB"/>
    <w:rsid w:val="00DC663B"/>
    <w:rsid w:val="00DC6C0D"/>
    <w:rsid w:val="00DC6C45"/>
    <w:rsid w:val="00DC75E7"/>
    <w:rsid w:val="00DC7C2F"/>
    <w:rsid w:val="00DD074A"/>
    <w:rsid w:val="00DD0D70"/>
    <w:rsid w:val="00DD1941"/>
    <w:rsid w:val="00DD26A5"/>
    <w:rsid w:val="00DD2812"/>
    <w:rsid w:val="00DD2CE3"/>
    <w:rsid w:val="00DD34F2"/>
    <w:rsid w:val="00DD3C6B"/>
    <w:rsid w:val="00DD4A56"/>
    <w:rsid w:val="00DD54ED"/>
    <w:rsid w:val="00DD697F"/>
    <w:rsid w:val="00DD699C"/>
    <w:rsid w:val="00DD739F"/>
    <w:rsid w:val="00DD7631"/>
    <w:rsid w:val="00DD7762"/>
    <w:rsid w:val="00DD781E"/>
    <w:rsid w:val="00DD7A2C"/>
    <w:rsid w:val="00DD7F63"/>
    <w:rsid w:val="00DE0A1B"/>
    <w:rsid w:val="00DE1238"/>
    <w:rsid w:val="00DE1966"/>
    <w:rsid w:val="00DE1FFE"/>
    <w:rsid w:val="00DE2F9E"/>
    <w:rsid w:val="00DE31B1"/>
    <w:rsid w:val="00DE32E7"/>
    <w:rsid w:val="00DE3BB8"/>
    <w:rsid w:val="00DE40EB"/>
    <w:rsid w:val="00DE5117"/>
    <w:rsid w:val="00DE51F6"/>
    <w:rsid w:val="00DE5648"/>
    <w:rsid w:val="00DE568A"/>
    <w:rsid w:val="00DE56B7"/>
    <w:rsid w:val="00DE595E"/>
    <w:rsid w:val="00DE5CD9"/>
    <w:rsid w:val="00DE6A70"/>
    <w:rsid w:val="00DE70B5"/>
    <w:rsid w:val="00DE7113"/>
    <w:rsid w:val="00DF0064"/>
    <w:rsid w:val="00DF00F9"/>
    <w:rsid w:val="00DF0576"/>
    <w:rsid w:val="00DF1981"/>
    <w:rsid w:val="00DF1D07"/>
    <w:rsid w:val="00DF1E89"/>
    <w:rsid w:val="00DF1F3F"/>
    <w:rsid w:val="00DF2144"/>
    <w:rsid w:val="00DF24D9"/>
    <w:rsid w:val="00DF257D"/>
    <w:rsid w:val="00DF2EA5"/>
    <w:rsid w:val="00DF310B"/>
    <w:rsid w:val="00DF3E47"/>
    <w:rsid w:val="00DF5362"/>
    <w:rsid w:val="00DF56E8"/>
    <w:rsid w:val="00DF5C01"/>
    <w:rsid w:val="00DF6655"/>
    <w:rsid w:val="00DF6EB6"/>
    <w:rsid w:val="00DF7133"/>
    <w:rsid w:val="00DF722A"/>
    <w:rsid w:val="00DF764C"/>
    <w:rsid w:val="00DF7FBF"/>
    <w:rsid w:val="00E00108"/>
    <w:rsid w:val="00E00BB4"/>
    <w:rsid w:val="00E00CAA"/>
    <w:rsid w:val="00E01441"/>
    <w:rsid w:val="00E01682"/>
    <w:rsid w:val="00E01D4A"/>
    <w:rsid w:val="00E02F4B"/>
    <w:rsid w:val="00E03D04"/>
    <w:rsid w:val="00E04332"/>
    <w:rsid w:val="00E043BB"/>
    <w:rsid w:val="00E047A0"/>
    <w:rsid w:val="00E04ECF"/>
    <w:rsid w:val="00E0502A"/>
    <w:rsid w:val="00E0584C"/>
    <w:rsid w:val="00E05902"/>
    <w:rsid w:val="00E067C4"/>
    <w:rsid w:val="00E06A36"/>
    <w:rsid w:val="00E074C9"/>
    <w:rsid w:val="00E1140E"/>
    <w:rsid w:val="00E1198B"/>
    <w:rsid w:val="00E11C0C"/>
    <w:rsid w:val="00E126B2"/>
    <w:rsid w:val="00E127E3"/>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02"/>
    <w:rsid w:val="00E206D8"/>
    <w:rsid w:val="00E20A87"/>
    <w:rsid w:val="00E2113A"/>
    <w:rsid w:val="00E21C65"/>
    <w:rsid w:val="00E2307E"/>
    <w:rsid w:val="00E2352B"/>
    <w:rsid w:val="00E23E84"/>
    <w:rsid w:val="00E23F9B"/>
    <w:rsid w:val="00E24D23"/>
    <w:rsid w:val="00E2546F"/>
    <w:rsid w:val="00E26285"/>
    <w:rsid w:val="00E26649"/>
    <w:rsid w:val="00E2703D"/>
    <w:rsid w:val="00E271F9"/>
    <w:rsid w:val="00E27F0A"/>
    <w:rsid w:val="00E30712"/>
    <w:rsid w:val="00E309B0"/>
    <w:rsid w:val="00E30E67"/>
    <w:rsid w:val="00E32143"/>
    <w:rsid w:val="00E325F3"/>
    <w:rsid w:val="00E326E9"/>
    <w:rsid w:val="00E32B61"/>
    <w:rsid w:val="00E33106"/>
    <w:rsid w:val="00E33A97"/>
    <w:rsid w:val="00E345C2"/>
    <w:rsid w:val="00E34D99"/>
    <w:rsid w:val="00E352C3"/>
    <w:rsid w:val="00E35476"/>
    <w:rsid w:val="00E355C0"/>
    <w:rsid w:val="00E359A5"/>
    <w:rsid w:val="00E35C28"/>
    <w:rsid w:val="00E36DE1"/>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894"/>
    <w:rsid w:val="00E44AC7"/>
    <w:rsid w:val="00E45B2D"/>
    <w:rsid w:val="00E468F2"/>
    <w:rsid w:val="00E47A20"/>
    <w:rsid w:val="00E5084C"/>
    <w:rsid w:val="00E50871"/>
    <w:rsid w:val="00E50AD9"/>
    <w:rsid w:val="00E50B4C"/>
    <w:rsid w:val="00E51241"/>
    <w:rsid w:val="00E512FE"/>
    <w:rsid w:val="00E5198D"/>
    <w:rsid w:val="00E52063"/>
    <w:rsid w:val="00E53424"/>
    <w:rsid w:val="00E53533"/>
    <w:rsid w:val="00E537ED"/>
    <w:rsid w:val="00E5384D"/>
    <w:rsid w:val="00E53F2E"/>
    <w:rsid w:val="00E54004"/>
    <w:rsid w:val="00E546C9"/>
    <w:rsid w:val="00E54BB9"/>
    <w:rsid w:val="00E54D3F"/>
    <w:rsid w:val="00E55F1F"/>
    <w:rsid w:val="00E56735"/>
    <w:rsid w:val="00E56866"/>
    <w:rsid w:val="00E56904"/>
    <w:rsid w:val="00E57DFD"/>
    <w:rsid w:val="00E60423"/>
    <w:rsid w:val="00E60545"/>
    <w:rsid w:val="00E606F4"/>
    <w:rsid w:val="00E607E5"/>
    <w:rsid w:val="00E60A16"/>
    <w:rsid w:val="00E610CB"/>
    <w:rsid w:val="00E6125B"/>
    <w:rsid w:val="00E6170A"/>
    <w:rsid w:val="00E62816"/>
    <w:rsid w:val="00E62ADF"/>
    <w:rsid w:val="00E62FA7"/>
    <w:rsid w:val="00E637A3"/>
    <w:rsid w:val="00E659FD"/>
    <w:rsid w:val="00E65B0C"/>
    <w:rsid w:val="00E66B16"/>
    <w:rsid w:val="00E66BA2"/>
    <w:rsid w:val="00E671FC"/>
    <w:rsid w:val="00E677DB"/>
    <w:rsid w:val="00E700F8"/>
    <w:rsid w:val="00E708D9"/>
    <w:rsid w:val="00E71C2D"/>
    <w:rsid w:val="00E72187"/>
    <w:rsid w:val="00E7266C"/>
    <w:rsid w:val="00E72BB6"/>
    <w:rsid w:val="00E72CD0"/>
    <w:rsid w:val="00E730AC"/>
    <w:rsid w:val="00E7310C"/>
    <w:rsid w:val="00E733ED"/>
    <w:rsid w:val="00E734CE"/>
    <w:rsid w:val="00E73D33"/>
    <w:rsid w:val="00E750CB"/>
    <w:rsid w:val="00E778DC"/>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D4B"/>
    <w:rsid w:val="00E83F3C"/>
    <w:rsid w:val="00E848F0"/>
    <w:rsid w:val="00E84D1C"/>
    <w:rsid w:val="00E84D9C"/>
    <w:rsid w:val="00E85069"/>
    <w:rsid w:val="00E8628F"/>
    <w:rsid w:val="00E86888"/>
    <w:rsid w:val="00E8695C"/>
    <w:rsid w:val="00E86C0B"/>
    <w:rsid w:val="00E87CC7"/>
    <w:rsid w:val="00E92C96"/>
    <w:rsid w:val="00E942B8"/>
    <w:rsid w:val="00E944ED"/>
    <w:rsid w:val="00E945AF"/>
    <w:rsid w:val="00E94A0B"/>
    <w:rsid w:val="00E94A2C"/>
    <w:rsid w:val="00E9544C"/>
    <w:rsid w:val="00E95799"/>
    <w:rsid w:val="00E95D93"/>
    <w:rsid w:val="00E9683D"/>
    <w:rsid w:val="00E96BCE"/>
    <w:rsid w:val="00E96D2C"/>
    <w:rsid w:val="00E970B7"/>
    <w:rsid w:val="00E97D95"/>
    <w:rsid w:val="00EA0035"/>
    <w:rsid w:val="00EA010D"/>
    <w:rsid w:val="00EA04C5"/>
    <w:rsid w:val="00EA0507"/>
    <w:rsid w:val="00EA0BB5"/>
    <w:rsid w:val="00EA1A8A"/>
    <w:rsid w:val="00EA21FA"/>
    <w:rsid w:val="00EA25EB"/>
    <w:rsid w:val="00EA26D5"/>
    <w:rsid w:val="00EA2775"/>
    <w:rsid w:val="00EA305D"/>
    <w:rsid w:val="00EA3106"/>
    <w:rsid w:val="00EA3666"/>
    <w:rsid w:val="00EA3874"/>
    <w:rsid w:val="00EA5697"/>
    <w:rsid w:val="00EA5AB6"/>
    <w:rsid w:val="00EA5FB0"/>
    <w:rsid w:val="00EA612E"/>
    <w:rsid w:val="00EA761C"/>
    <w:rsid w:val="00EA7D7F"/>
    <w:rsid w:val="00EB0810"/>
    <w:rsid w:val="00EB0B3D"/>
    <w:rsid w:val="00EB0B5F"/>
    <w:rsid w:val="00EB1461"/>
    <w:rsid w:val="00EB1CF7"/>
    <w:rsid w:val="00EB25C2"/>
    <w:rsid w:val="00EB2B6F"/>
    <w:rsid w:val="00EB2CAD"/>
    <w:rsid w:val="00EB2FA2"/>
    <w:rsid w:val="00EB3272"/>
    <w:rsid w:val="00EB37B2"/>
    <w:rsid w:val="00EB3FF9"/>
    <w:rsid w:val="00EB5F0B"/>
    <w:rsid w:val="00EB7352"/>
    <w:rsid w:val="00EB769A"/>
    <w:rsid w:val="00EC0F56"/>
    <w:rsid w:val="00EC11E4"/>
    <w:rsid w:val="00EC14E1"/>
    <w:rsid w:val="00EC183C"/>
    <w:rsid w:val="00EC2A3F"/>
    <w:rsid w:val="00EC2E64"/>
    <w:rsid w:val="00EC3A35"/>
    <w:rsid w:val="00EC3C52"/>
    <w:rsid w:val="00EC3E5B"/>
    <w:rsid w:val="00EC3E69"/>
    <w:rsid w:val="00EC41A7"/>
    <w:rsid w:val="00EC4257"/>
    <w:rsid w:val="00EC45B5"/>
    <w:rsid w:val="00EC46CE"/>
    <w:rsid w:val="00EC4F94"/>
    <w:rsid w:val="00EC5554"/>
    <w:rsid w:val="00EC572B"/>
    <w:rsid w:val="00EC5B8E"/>
    <w:rsid w:val="00EC5F90"/>
    <w:rsid w:val="00EC67C2"/>
    <w:rsid w:val="00EC7356"/>
    <w:rsid w:val="00EC75F6"/>
    <w:rsid w:val="00ED0065"/>
    <w:rsid w:val="00ED17B5"/>
    <w:rsid w:val="00ED1BA0"/>
    <w:rsid w:val="00ED1D2D"/>
    <w:rsid w:val="00ED353D"/>
    <w:rsid w:val="00ED588C"/>
    <w:rsid w:val="00ED6E7A"/>
    <w:rsid w:val="00ED6EA1"/>
    <w:rsid w:val="00ED7A7F"/>
    <w:rsid w:val="00ED7DD8"/>
    <w:rsid w:val="00EE060B"/>
    <w:rsid w:val="00EE07AC"/>
    <w:rsid w:val="00EE0891"/>
    <w:rsid w:val="00EE0C94"/>
    <w:rsid w:val="00EE1062"/>
    <w:rsid w:val="00EE17F2"/>
    <w:rsid w:val="00EE188A"/>
    <w:rsid w:val="00EE1B01"/>
    <w:rsid w:val="00EE1C62"/>
    <w:rsid w:val="00EE1DB8"/>
    <w:rsid w:val="00EE2746"/>
    <w:rsid w:val="00EE3256"/>
    <w:rsid w:val="00EE4759"/>
    <w:rsid w:val="00EE47C2"/>
    <w:rsid w:val="00EE4C20"/>
    <w:rsid w:val="00EE4F2D"/>
    <w:rsid w:val="00EE524C"/>
    <w:rsid w:val="00EE589E"/>
    <w:rsid w:val="00EE61CA"/>
    <w:rsid w:val="00EE6755"/>
    <w:rsid w:val="00EE78D6"/>
    <w:rsid w:val="00EF03DC"/>
    <w:rsid w:val="00EF0437"/>
    <w:rsid w:val="00EF0BFE"/>
    <w:rsid w:val="00EF1878"/>
    <w:rsid w:val="00EF1DE8"/>
    <w:rsid w:val="00EF2AC7"/>
    <w:rsid w:val="00EF3397"/>
    <w:rsid w:val="00EF40BF"/>
    <w:rsid w:val="00EF4557"/>
    <w:rsid w:val="00EF493F"/>
    <w:rsid w:val="00EF5947"/>
    <w:rsid w:val="00EF5E22"/>
    <w:rsid w:val="00EF60CA"/>
    <w:rsid w:val="00EF63C1"/>
    <w:rsid w:val="00EF6557"/>
    <w:rsid w:val="00EF69B7"/>
    <w:rsid w:val="00EF6C2B"/>
    <w:rsid w:val="00F00059"/>
    <w:rsid w:val="00F008BD"/>
    <w:rsid w:val="00F021A9"/>
    <w:rsid w:val="00F02C54"/>
    <w:rsid w:val="00F02CC5"/>
    <w:rsid w:val="00F02CD0"/>
    <w:rsid w:val="00F02D03"/>
    <w:rsid w:val="00F035DB"/>
    <w:rsid w:val="00F0448C"/>
    <w:rsid w:val="00F04A7F"/>
    <w:rsid w:val="00F0501A"/>
    <w:rsid w:val="00F0553C"/>
    <w:rsid w:val="00F06BA7"/>
    <w:rsid w:val="00F06C50"/>
    <w:rsid w:val="00F071BA"/>
    <w:rsid w:val="00F11D2E"/>
    <w:rsid w:val="00F1284F"/>
    <w:rsid w:val="00F136A4"/>
    <w:rsid w:val="00F1377B"/>
    <w:rsid w:val="00F13C5E"/>
    <w:rsid w:val="00F14108"/>
    <w:rsid w:val="00F148D5"/>
    <w:rsid w:val="00F1601A"/>
    <w:rsid w:val="00F160BF"/>
    <w:rsid w:val="00F16173"/>
    <w:rsid w:val="00F1675C"/>
    <w:rsid w:val="00F16A3C"/>
    <w:rsid w:val="00F17428"/>
    <w:rsid w:val="00F20046"/>
    <w:rsid w:val="00F20CC1"/>
    <w:rsid w:val="00F20D22"/>
    <w:rsid w:val="00F21A58"/>
    <w:rsid w:val="00F22B53"/>
    <w:rsid w:val="00F2302A"/>
    <w:rsid w:val="00F23048"/>
    <w:rsid w:val="00F239CD"/>
    <w:rsid w:val="00F23DCC"/>
    <w:rsid w:val="00F24294"/>
    <w:rsid w:val="00F24408"/>
    <w:rsid w:val="00F2477C"/>
    <w:rsid w:val="00F24E5D"/>
    <w:rsid w:val="00F24EBB"/>
    <w:rsid w:val="00F2697E"/>
    <w:rsid w:val="00F27696"/>
    <w:rsid w:val="00F2777F"/>
    <w:rsid w:val="00F27F06"/>
    <w:rsid w:val="00F314E8"/>
    <w:rsid w:val="00F316A2"/>
    <w:rsid w:val="00F323A2"/>
    <w:rsid w:val="00F332D4"/>
    <w:rsid w:val="00F33661"/>
    <w:rsid w:val="00F33B57"/>
    <w:rsid w:val="00F33CA8"/>
    <w:rsid w:val="00F33D5C"/>
    <w:rsid w:val="00F356D6"/>
    <w:rsid w:val="00F363A5"/>
    <w:rsid w:val="00F372DB"/>
    <w:rsid w:val="00F3785D"/>
    <w:rsid w:val="00F378BE"/>
    <w:rsid w:val="00F37D37"/>
    <w:rsid w:val="00F400E3"/>
    <w:rsid w:val="00F4021A"/>
    <w:rsid w:val="00F40876"/>
    <w:rsid w:val="00F42CFE"/>
    <w:rsid w:val="00F4363B"/>
    <w:rsid w:val="00F44642"/>
    <w:rsid w:val="00F454A2"/>
    <w:rsid w:val="00F45E89"/>
    <w:rsid w:val="00F47845"/>
    <w:rsid w:val="00F47B6C"/>
    <w:rsid w:val="00F50039"/>
    <w:rsid w:val="00F50675"/>
    <w:rsid w:val="00F5071D"/>
    <w:rsid w:val="00F50BD6"/>
    <w:rsid w:val="00F50E16"/>
    <w:rsid w:val="00F513B2"/>
    <w:rsid w:val="00F51520"/>
    <w:rsid w:val="00F52140"/>
    <w:rsid w:val="00F521E4"/>
    <w:rsid w:val="00F529C2"/>
    <w:rsid w:val="00F52CCE"/>
    <w:rsid w:val="00F53151"/>
    <w:rsid w:val="00F535A9"/>
    <w:rsid w:val="00F53F92"/>
    <w:rsid w:val="00F5480F"/>
    <w:rsid w:val="00F54AA5"/>
    <w:rsid w:val="00F552F7"/>
    <w:rsid w:val="00F553A7"/>
    <w:rsid w:val="00F554EB"/>
    <w:rsid w:val="00F5562D"/>
    <w:rsid w:val="00F55BC7"/>
    <w:rsid w:val="00F566EA"/>
    <w:rsid w:val="00F567A4"/>
    <w:rsid w:val="00F578EB"/>
    <w:rsid w:val="00F605BE"/>
    <w:rsid w:val="00F60AF6"/>
    <w:rsid w:val="00F60DDC"/>
    <w:rsid w:val="00F610A9"/>
    <w:rsid w:val="00F617BE"/>
    <w:rsid w:val="00F61C7A"/>
    <w:rsid w:val="00F625F7"/>
    <w:rsid w:val="00F64702"/>
    <w:rsid w:val="00F64D5A"/>
    <w:rsid w:val="00F65399"/>
    <w:rsid w:val="00F65B68"/>
    <w:rsid w:val="00F65C22"/>
    <w:rsid w:val="00F65EC9"/>
    <w:rsid w:val="00F66CB1"/>
    <w:rsid w:val="00F672BD"/>
    <w:rsid w:val="00F677CB"/>
    <w:rsid w:val="00F67E15"/>
    <w:rsid w:val="00F67FCA"/>
    <w:rsid w:val="00F70815"/>
    <w:rsid w:val="00F709F4"/>
    <w:rsid w:val="00F71019"/>
    <w:rsid w:val="00F710A9"/>
    <w:rsid w:val="00F7284D"/>
    <w:rsid w:val="00F72CFE"/>
    <w:rsid w:val="00F72FB0"/>
    <w:rsid w:val="00F73423"/>
    <w:rsid w:val="00F7365E"/>
    <w:rsid w:val="00F737A4"/>
    <w:rsid w:val="00F73950"/>
    <w:rsid w:val="00F75481"/>
    <w:rsid w:val="00F76664"/>
    <w:rsid w:val="00F76A4C"/>
    <w:rsid w:val="00F76AB3"/>
    <w:rsid w:val="00F816A4"/>
    <w:rsid w:val="00F81AE9"/>
    <w:rsid w:val="00F827B0"/>
    <w:rsid w:val="00F82C78"/>
    <w:rsid w:val="00F82E2E"/>
    <w:rsid w:val="00F83186"/>
    <w:rsid w:val="00F83601"/>
    <w:rsid w:val="00F837E6"/>
    <w:rsid w:val="00F8389A"/>
    <w:rsid w:val="00F83AE9"/>
    <w:rsid w:val="00F83B7E"/>
    <w:rsid w:val="00F83EC8"/>
    <w:rsid w:val="00F843D4"/>
    <w:rsid w:val="00F84A40"/>
    <w:rsid w:val="00F84B50"/>
    <w:rsid w:val="00F84DBD"/>
    <w:rsid w:val="00F8516E"/>
    <w:rsid w:val="00F852E5"/>
    <w:rsid w:val="00F85C0D"/>
    <w:rsid w:val="00F863F3"/>
    <w:rsid w:val="00F86741"/>
    <w:rsid w:val="00F86796"/>
    <w:rsid w:val="00F87C3F"/>
    <w:rsid w:val="00F87C5B"/>
    <w:rsid w:val="00F87FEA"/>
    <w:rsid w:val="00F90613"/>
    <w:rsid w:val="00F906F4"/>
    <w:rsid w:val="00F915F3"/>
    <w:rsid w:val="00F916BA"/>
    <w:rsid w:val="00F91800"/>
    <w:rsid w:val="00F91853"/>
    <w:rsid w:val="00F91987"/>
    <w:rsid w:val="00F9208E"/>
    <w:rsid w:val="00F92571"/>
    <w:rsid w:val="00F93B2F"/>
    <w:rsid w:val="00F93CAE"/>
    <w:rsid w:val="00F9453D"/>
    <w:rsid w:val="00F954E4"/>
    <w:rsid w:val="00F95CCE"/>
    <w:rsid w:val="00F9692D"/>
    <w:rsid w:val="00F978BE"/>
    <w:rsid w:val="00F97D7B"/>
    <w:rsid w:val="00FA0013"/>
    <w:rsid w:val="00FA0154"/>
    <w:rsid w:val="00FA0288"/>
    <w:rsid w:val="00FA0C62"/>
    <w:rsid w:val="00FA0DE3"/>
    <w:rsid w:val="00FA0F71"/>
    <w:rsid w:val="00FA23E2"/>
    <w:rsid w:val="00FA26BC"/>
    <w:rsid w:val="00FA3872"/>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3363"/>
    <w:rsid w:val="00FB4048"/>
    <w:rsid w:val="00FB446E"/>
    <w:rsid w:val="00FB4629"/>
    <w:rsid w:val="00FB5422"/>
    <w:rsid w:val="00FB577F"/>
    <w:rsid w:val="00FB5E5D"/>
    <w:rsid w:val="00FB5FC4"/>
    <w:rsid w:val="00FB6A07"/>
    <w:rsid w:val="00FB6FB1"/>
    <w:rsid w:val="00FB7460"/>
    <w:rsid w:val="00FB7747"/>
    <w:rsid w:val="00FB7A10"/>
    <w:rsid w:val="00FC0F81"/>
    <w:rsid w:val="00FC1016"/>
    <w:rsid w:val="00FC3798"/>
    <w:rsid w:val="00FC577C"/>
    <w:rsid w:val="00FC59AF"/>
    <w:rsid w:val="00FC5C43"/>
    <w:rsid w:val="00FC5F72"/>
    <w:rsid w:val="00FC62B5"/>
    <w:rsid w:val="00FC6D4E"/>
    <w:rsid w:val="00FC7073"/>
    <w:rsid w:val="00FC736F"/>
    <w:rsid w:val="00FD0CDB"/>
    <w:rsid w:val="00FD1FA7"/>
    <w:rsid w:val="00FD2D42"/>
    <w:rsid w:val="00FD30B5"/>
    <w:rsid w:val="00FD3453"/>
    <w:rsid w:val="00FD39CF"/>
    <w:rsid w:val="00FD4B7B"/>
    <w:rsid w:val="00FD4D84"/>
    <w:rsid w:val="00FD5468"/>
    <w:rsid w:val="00FD58F5"/>
    <w:rsid w:val="00FD6287"/>
    <w:rsid w:val="00FD754C"/>
    <w:rsid w:val="00FE0DAE"/>
    <w:rsid w:val="00FE0E6B"/>
    <w:rsid w:val="00FE1370"/>
    <w:rsid w:val="00FE1510"/>
    <w:rsid w:val="00FE2121"/>
    <w:rsid w:val="00FE254A"/>
    <w:rsid w:val="00FE321B"/>
    <w:rsid w:val="00FE3D07"/>
    <w:rsid w:val="00FE4411"/>
    <w:rsid w:val="00FE4B6F"/>
    <w:rsid w:val="00FE6818"/>
    <w:rsid w:val="00FE6A9E"/>
    <w:rsid w:val="00FE6BFB"/>
    <w:rsid w:val="00FE6CA1"/>
    <w:rsid w:val="00FF0693"/>
    <w:rsid w:val="00FF0CF5"/>
    <w:rsid w:val="00FF0D6F"/>
    <w:rsid w:val="00FF0E9E"/>
    <w:rsid w:val="00FF1103"/>
    <w:rsid w:val="00FF1712"/>
    <w:rsid w:val="00FF213D"/>
    <w:rsid w:val="00FF251D"/>
    <w:rsid w:val="00FF37DC"/>
    <w:rsid w:val="00FF37F2"/>
    <w:rsid w:val="00FF43D9"/>
    <w:rsid w:val="00FF5B3C"/>
    <w:rsid w:val="00FF5BB7"/>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Fuerte">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 w:type="table" w:customStyle="1" w:styleId="Tablaconcuadrcula112">
    <w:name w:val="Tabla con cuadrícula112"/>
    <w:basedOn w:val="Tablanormal"/>
    <w:next w:val="Tablaconcuadrcula"/>
    <w:uiPriority w:val="39"/>
    <w:qFormat/>
    <w:rsid w:val="002018B3"/>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16267712">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88226555">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05725274">
      <w:bodyDiv w:val="1"/>
      <w:marLeft w:val="0"/>
      <w:marRight w:val="0"/>
      <w:marTop w:val="0"/>
      <w:marBottom w:val="0"/>
      <w:divBdr>
        <w:top w:val="none" w:sz="0" w:space="0" w:color="auto"/>
        <w:left w:val="none" w:sz="0" w:space="0" w:color="auto"/>
        <w:bottom w:val="none" w:sz="0" w:space="0" w:color="auto"/>
        <w:right w:val="none" w:sz="0" w:space="0" w:color="auto"/>
      </w:divBdr>
    </w:div>
    <w:div w:id="20808101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28160872">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46126218">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47847777">
      <w:bodyDiv w:val="1"/>
      <w:marLeft w:val="0"/>
      <w:marRight w:val="0"/>
      <w:marTop w:val="0"/>
      <w:marBottom w:val="0"/>
      <w:divBdr>
        <w:top w:val="none" w:sz="0" w:space="0" w:color="auto"/>
        <w:left w:val="none" w:sz="0" w:space="0" w:color="auto"/>
        <w:bottom w:val="none" w:sz="0" w:space="0" w:color="auto"/>
        <w:right w:val="none" w:sz="0" w:space="0" w:color="auto"/>
      </w:divBdr>
    </w:div>
    <w:div w:id="775296135">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878083033">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11965376">
      <w:bodyDiv w:val="1"/>
      <w:marLeft w:val="0"/>
      <w:marRight w:val="0"/>
      <w:marTop w:val="0"/>
      <w:marBottom w:val="0"/>
      <w:divBdr>
        <w:top w:val="none" w:sz="0" w:space="0" w:color="auto"/>
        <w:left w:val="none" w:sz="0" w:space="0" w:color="auto"/>
        <w:bottom w:val="none" w:sz="0" w:space="0" w:color="auto"/>
        <w:right w:val="none" w:sz="0" w:space="0" w:color="auto"/>
      </w:divBdr>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03522700">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8340923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09571453">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6920400">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571307291">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21290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82143045">
      <w:bodyDiv w:val="1"/>
      <w:marLeft w:val="0"/>
      <w:marRight w:val="0"/>
      <w:marTop w:val="0"/>
      <w:marBottom w:val="0"/>
      <w:divBdr>
        <w:top w:val="none" w:sz="0" w:space="0" w:color="auto"/>
        <w:left w:val="none" w:sz="0" w:space="0" w:color="auto"/>
        <w:bottom w:val="none" w:sz="0" w:space="0" w:color="auto"/>
        <w:right w:val="none" w:sz="0" w:space="0" w:color="auto"/>
      </w:divBdr>
    </w:div>
    <w:div w:id="1783915769">
      <w:bodyDiv w:val="1"/>
      <w:marLeft w:val="0"/>
      <w:marRight w:val="0"/>
      <w:marTop w:val="0"/>
      <w:marBottom w:val="0"/>
      <w:divBdr>
        <w:top w:val="none" w:sz="0" w:space="0" w:color="auto"/>
        <w:left w:val="none" w:sz="0" w:space="0" w:color="auto"/>
        <w:bottom w:val="none" w:sz="0" w:space="0" w:color="auto"/>
        <w:right w:val="none" w:sz="0" w:space="0" w:color="auto"/>
      </w:divBdr>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852135556">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435673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11717450">
      <w:bodyDiv w:val="1"/>
      <w:marLeft w:val="0"/>
      <w:marRight w:val="0"/>
      <w:marTop w:val="0"/>
      <w:marBottom w:val="0"/>
      <w:divBdr>
        <w:top w:val="none" w:sz="0" w:space="0" w:color="auto"/>
        <w:left w:val="none" w:sz="0" w:space="0" w:color="auto"/>
        <w:bottom w:val="none" w:sz="0" w:space="0" w:color="auto"/>
        <w:right w:val="none" w:sz="0" w:space="0" w:color="auto"/>
      </w:divBdr>
    </w:div>
    <w:div w:id="2014717921">
      <w:bodyDiv w:val="1"/>
      <w:marLeft w:val="0"/>
      <w:marRight w:val="0"/>
      <w:marTop w:val="0"/>
      <w:marBottom w:val="0"/>
      <w:divBdr>
        <w:top w:val="none" w:sz="0" w:space="0" w:color="auto"/>
        <w:left w:val="none" w:sz="0" w:space="0" w:color="auto"/>
        <w:bottom w:val="none" w:sz="0" w:space="0" w:color="auto"/>
        <w:right w:val="none" w:sz="0" w:space="0" w:color="auto"/>
      </w:divBdr>
    </w:div>
    <w:div w:id="2015380307">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4656127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icardo.ramirez.aranguren@gmail.com"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pochoperez2001@yahoo.es"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2056_2020.html" TargetMode="External"/><Relationship Id="rId7" Type="http://schemas.openxmlformats.org/officeDocument/2006/relationships/hyperlink" Target="https://leyes.senado.gov.co/proyectos/index.php/proyectos-ley/cuatrenio-2018-2022/2020-2021/article/200-por-el-cual-se-regula-la-organizacion-y-el-funcionamiento-del-sistema-general-de-regalias-mensaje-de-urgencia" TargetMode="External"/><Relationship Id="rId2" Type="http://schemas.openxmlformats.org/officeDocument/2006/relationships/hyperlink" Target="http://www.secretariasenado.gov.co/senado/basedoc/ley_2056_2020.html" TargetMode="External"/><Relationship Id="rId1" Type="http://schemas.openxmlformats.org/officeDocument/2006/relationships/hyperlink" Target="http://www.secretariasenado.gov.co/senado/basedoc/ley_2056_2020.html" TargetMode="External"/><Relationship Id="rId6" Type="http://schemas.openxmlformats.org/officeDocument/2006/relationships/hyperlink" Target="http://www.secretariasenado.gov.co/senado/basedoc/decreto_0252_2020.html" TargetMode="External"/><Relationship Id="rId5" Type="http://schemas.openxmlformats.org/officeDocument/2006/relationships/hyperlink" Target="http://www.secretariasenado.gov.co/senado/basedoc/decreto_1088_1993.html" TargetMode="External"/><Relationship Id="rId4" Type="http://schemas.openxmlformats.org/officeDocument/2006/relationships/hyperlink" Target="http://www.secretariasenado.gov.co/senado/basedoc/ley_2056_2020.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CE908A6A-633E-4ECA-9237-53496D2F9857}"/>
</file>

<file path=docProps/app.xml><?xml version="1.0" encoding="utf-8"?>
<Properties xmlns="http://schemas.openxmlformats.org/officeDocument/2006/extended-properties" xmlns:vt="http://schemas.openxmlformats.org/officeDocument/2006/docPropsVTypes">
  <Template>Normal</Template>
  <TotalTime>2</TotalTime>
  <Pages>15</Pages>
  <Words>4666</Words>
  <Characters>25666</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30272</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ANCP</cp:lastModifiedBy>
  <cp:revision>4</cp:revision>
  <dcterms:created xsi:type="dcterms:W3CDTF">2026-03-03T14:01:00Z</dcterms:created>
  <dcterms:modified xsi:type="dcterms:W3CDTF">2026-03-03T14:02:00Z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