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91D09" w14:textId="77777777" w:rsidR="007572E2" w:rsidRPr="000E52E5" w:rsidRDefault="007572E2" w:rsidP="007572E2">
      <w:pPr>
        <w:pStyle w:val="Textoindependiente"/>
        <w:spacing w:after="0" w:line="240" w:lineRule="auto"/>
        <w:ind w:right="102"/>
        <w:jc w:val="both"/>
        <w:rPr>
          <w:rFonts w:ascii="Verdana" w:hAnsi="Verdana" w:cs="Arial"/>
          <w:b/>
          <w:color w:val="000000" w:themeColor="text1"/>
          <w:sz w:val="20"/>
          <w:szCs w:val="20"/>
          <w:lang w:val="es-ES_tradnl"/>
        </w:rPr>
      </w:pPr>
    </w:p>
    <w:p w14:paraId="1CFBCF4B" w14:textId="77777777" w:rsidR="007572E2" w:rsidRPr="00396DBB" w:rsidRDefault="007572E2" w:rsidP="007572E2">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SELECCIÓN ABREVIADA</w:t>
      </w:r>
      <w:r w:rsidRPr="00396DBB">
        <w:rPr>
          <w:rFonts w:ascii="Verdana" w:hAnsi="Verdana" w:cs="Arial"/>
          <w:b/>
          <w:color w:val="000000" w:themeColor="text1"/>
          <w:lang w:val="es-ES_tradnl"/>
        </w:rPr>
        <w:t xml:space="preserve"> – </w:t>
      </w:r>
      <w:r>
        <w:rPr>
          <w:rFonts w:ascii="Verdana" w:hAnsi="Verdana" w:cs="Arial"/>
          <w:b/>
          <w:color w:val="000000" w:themeColor="text1"/>
          <w:lang w:val="es-ES_tradnl"/>
        </w:rPr>
        <w:t>Marco normativo</w:t>
      </w:r>
      <w:r w:rsidRPr="00396DBB">
        <w:rPr>
          <w:rFonts w:ascii="Verdana" w:hAnsi="Verdana" w:cs="Arial"/>
          <w:b/>
          <w:color w:val="000000" w:themeColor="text1"/>
          <w:lang w:val="es-ES_tradnl"/>
        </w:rPr>
        <w:t xml:space="preserve"> </w:t>
      </w:r>
    </w:p>
    <w:p w14:paraId="034C2EBE" w14:textId="77777777" w:rsidR="007572E2" w:rsidRPr="00396DBB" w:rsidRDefault="007572E2" w:rsidP="007572E2">
      <w:pPr>
        <w:pStyle w:val="Textoindependiente"/>
        <w:spacing w:after="0" w:line="240" w:lineRule="auto"/>
        <w:ind w:right="102"/>
        <w:jc w:val="both"/>
        <w:rPr>
          <w:rFonts w:ascii="Verdana" w:hAnsi="Verdana" w:cs="Arial"/>
          <w:color w:val="000000" w:themeColor="text1"/>
          <w:sz w:val="20"/>
          <w:szCs w:val="20"/>
          <w:lang w:val="es-ES_tradnl"/>
        </w:rPr>
      </w:pPr>
    </w:p>
    <w:p w14:paraId="1CA9CEDF" w14:textId="77777777" w:rsidR="007572E2" w:rsidRDefault="007572E2" w:rsidP="007572E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bCs/>
          <w:color w:val="000000" w:themeColor="text1"/>
          <w:sz w:val="20"/>
          <w:szCs w:val="20"/>
          <w:lang w:val="es-MX"/>
        </w:rPr>
        <w:t xml:space="preserve">Respecto a la selección abreviada, </w:t>
      </w:r>
      <w:r w:rsidRPr="00C371AB">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3971FC0F" w14:textId="77777777" w:rsidR="007572E2" w:rsidRPr="00C371AB" w:rsidRDefault="007572E2" w:rsidP="007572E2">
      <w:pPr>
        <w:spacing w:after="0" w:line="240" w:lineRule="auto"/>
        <w:jc w:val="both"/>
        <w:rPr>
          <w:rFonts w:ascii="Verdana" w:eastAsia="Arial" w:hAnsi="Verdana" w:cs="Arial"/>
          <w:color w:val="000000" w:themeColor="text1"/>
          <w:sz w:val="20"/>
          <w:szCs w:val="20"/>
        </w:rPr>
      </w:pPr>
    </w:p>
    <w:p w14:paraId="64DF9B05" w14:textId="77777777" w:rsidR="007572E2" w:rsidRDefault="007572E2" w:rsidP="007572E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r>
        <w:rPr>
          <w:rFonts w:ascii="Verdana" w:eastAsia="Arial" w:hAnsi="Verdana" w:cs="Arial"/>
          <w:color w:val="000000" w:themeColor="text1"/>
          <w:sz w:val="20"/>
          <w:szCs w:val="20"/>
        </w:rPr>
        <w:t>.</w:t>
      </w:r>
    </w:p>
    <w:p w14:paraId="714B0B45" w14:textId="77777777" w:rsidR="007572E2" w:rsidRDefault="007572E2" w:rsidP="007572E2">
      <w:pPr>
        <w:spacing w:after="0" w:line="240" w:lineRule="auto"/>
        <w:jc w:val="both"/>
        <w:rPr>
          <w:rFonts w:ascii="Verdana" w:eastAsia="Arial" w:hAnsi="Verdana" w:cs="Arial"/>
          <w:color w:val="000000" w:themeColor="text1"/>
          <w:sz w:val="20"/>
          <w:szCs w:val="20"/>
        </w:rPr>
      </w:pPr>
    </w:p>
    <w:p w14:paraId="66FC4AF4" w14:textId="77777777" w:rsidR="007572E2" w:rsidRPr="00FB1576" w:rsidRDefault="007572E2" w:rsidP="007572E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77D45A43" w14:textId="77777777" w:rsidR="007572E2" w:rsidRPr="00396DBB" w:rsidRDefault="007572E2" w:rsidP="007572E2">
      <w:pPr>
        <w:spacing w:after="0" w:line="240" w:lineRule="auto"/>
        <w:jc w:val="both"/>
        <w:rPr>
          <w:rFonts w:ascii="Verdana" w:eastAsia="Calibri" w:hAnsi="Verdana" w:cs="Arial"/>
          <w:b/>
          <w:color w:val="000000" w:themeColor="text1"/>
          <w:lang w:val="es-ES_tradnl"/>
        </w:rPr>
      </w:pPr>
    </w:p>
    <w:p w14:paraId="2897C490" w14:textId="77777777" w:rsidR="007572E2" w:rsidRPr="00396DBB" w:rsidRDefault="007572E2" w:rsidP="007572E2">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Definición </w:t>
      </w:r>
      <w:r w:rsidRPr="00396DBB">
        <w:rPr>
          <w:rFonts w:ascii="Verdana" w:eastAsia="Calibri" w:hAnsi="Verdana" w:cs="Arial"/>
          <w:b/>
          <w:color w:val="000000" w:themeColor="text1"/>
          <w:lang w:val="es-ES_tradnl"/>
        </w:rPr>
        <w:t xml:space="preserve"> </w:t>
      </w:r>
    </w:p>
    <w:p w14:paraId="615C8454" w14:textId="77777777" w:rsidR="007572E2" w:rsidRPr="00396DBB" w:rsidRDefault="007572E2" w:rsidP="007572E2">
      <w:pPr>
        <w:spacing w:after="0" w:line="240" w:lineRule="auto"/>
        <w:jc w:val="both"/>
        <w:rPr>
          <w:rFonts w:ascii="Verdana" w:eastAsia="Calibri" w:hAnsi="Verdana" w:cs="Arial"/>
          <w:bCs/>
          <w:color w:val="000000" w:themeColor="text1"/>
          <w:sz w:val="20"/>
          <w:szCs w:val="20"/>
          <w:lang w:val="es-ES_tradnl"/>
        </w:rPr>
      </w:pPr>
    </w:p>
    <w:p w14:paraId="354D7750" w14:textId="77777777" w:rsidR="007572E2" w:rsidRDefault="007572E2" w:rsidP="007572E2">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S</w:t>
      </w:r>
      <w:r w:rsidRPr="00C371AB">
        <w:rPr>
          <w:rFonts w:ascii="Verdana" w:hAnsi="Verdana" w:cs="Arial"/>
          <w:color w:val="000000" w:themeColor="text1"/>
          <w:sz w:val="20"/>
          <w:szCs w:val="20"/>
        </w:rPr>
        <w:t>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r w:rsidRPr="00782519">
        <w:rPr>
          <w:rFonts w:ascii="Verdana" w:hAnsi="Verdana" w:cs="Arial"/>
          <w:color w:val="000000" w:themeColor="text1"/>
          <w:sz w:val="20"/>
          <w:szCs w:val="20"/>
        </w:rPr>
        <w:t>.</w:t>
      </w:r>
    </w:p>
    <w:p w14:paraId="77E70802" w14:textId="77777777" w:rsidR="007572E2" w:rsidRPr="00396DBB" w:rsidRDefault="007572E2" w:rsidP="007572E2">
      <w:pPr>
        <w:spacing w:after="0" w:line="240" w:lineRule="auto"/>
        <w:jc w:val="both"/>
        <w:rPr>
          <w:rFonts w:ascii="Verdana" w:hAnsi="Verdana" w:cs="Arial"/>
          <w:color w:val="000000" w:themeColor="text1"/>
          <w:sz w:val="21"/>
          <w:szCs w:val="21"/>
          <w:lang w:val="es-ES_tradnl"/>
        </w:rPr>
      </w:pPr>
    </w:p>
    <w:p w14:paraId="752B2DA8" w14:textId="77777777" w:rsidR="007572E2" w:rsidRPr="00396DBB" w:rsidRDefault="007572E2" w:rsidP="007572E2">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Características – Formas de adquisición </w:t>
      </w:r>
    </w:p>
    <w:p w14:paraId="14838CAE" w14:textId="77777777" w:rsidR="007572E2" w:rsidRPr="00782519" w:rsidRDefault="007572E2" w:rsidP="007572E2">
      <w:pPr>
        <w:tabs>
          <w:tab w:val="left" w:pos="426"/>
        </w:tabs>
        <w:spacing w:after="0" w:line="240" w:lineRule="auto"/>
        <w:contextualSpacing/>
        <w:jc w:val="both"/>
        <w:rPr>
          <w:rFonts w:ascii="Verdana" w:eastAsia="Calibri" w:hAnsi="Verdana" w:cs="Arial"/>
          <w:b/>
          <w:bCs/>
          <w:sz w:val="20"/>
          <w:szCs w:val="20"/>
          <w:lang w:val="es-MX"/>
        </w:rPr>
      </w:pPr>
    </w:p>
    <w:p w14:paraId="15B8B26D" w14:textId="77777777" w:rsidR="007572E2" w:rsidRDefault="007572E2" w:rsidP="007572E2">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 xml:space="preserve">Para identificar los bienes y servicios que corresponden a este tipo, se destacan dos (2) aspectos importantes: la común utilización y la homogeneidad. Para la doctrina, la </w:t>
      </w:r>
      <w:r w:rsidRPr="00C371AB">
        <w:rPr>
          <w:rFonts w:ascii="Verdana" w:eastAsia="Calibri" w:hAnsi="Verdana" w:cs="Arial"/>
          <w:i/>
          <w:iCs/>
          <w:noProof/>
          <w:sz w:val="20"/>
          <w:szCs w:val="20"/>
          <w:lang w:val="es-ES_tradnl"/>
        </w:rPr>
        <w:t>común utilización</w:t>
      </w:r>
      <w:r w:rsidRPr="00C371AB">
        <w:rPr>
          <w:rFonts w:ascii="Verdana" w:eastAsia="Calibri" w:hAnsi="Verdana" w:cs="Arial"/>
          <w:noProof/>
          <w:sz w:val="20"/>
          <w:szCs w:val="20"/>
          <w:lang w:val="es-ES_tradnl"/>
        </w:rPr>
        <w:t xml:space="preserve"> “[…] busca que los bienes o servicios que se compren en esta categoría </w:t>
      </w:r>
      <w:r w:rsidRPr="00C371AB">
        <w:rPr>
          <w:rFonts w:ascii="Verdana" w:eastAsia="Calibri" w:hAnsi="Verdana" w:cs="Arial"/>
          <w:noProof/>
          <w:sz w:val="20"/>
          <w:szCs w:val="20"/>
          <w:lang w:val="es-ES_tradnl"/>
        </w:rPr>
        <w:lastRenderedPageBreak/>
        <w:t xml:space="preserve">sean de los que se ofrecen en un mercado con un estándar para quienes los demandan, o lo que es igual, que la oferta de los mismos en el mercado ocurriese en condiciones equivalentes para todo interesado en adquirirlos”. Por su parte, la </w:t>
      </w:r>
      <w:r w:rsidRPr="00C371AB">
        <w:rPr>
          <w:rFonts w:ascii="Verdana" w:eastAsia="Calibri" w:hAnsi="Verdana" w:cs="Arial"/>
          <w:i/>
          <w:iCs/>
          <w:noProof/>
          <w:sz w:val="20"/>
          <w:szCs w:val="20"/>
          <w:lang w:val="es-ES_tradnl"/>
        </w:rPr>
        <w:t>homogeneidad</w:t>
      </w:r>
      <w:r w:rsidRPr="00C371AB">
        <w:rPr>
          <w:rFonts w:ascii="Verdana" w:eastAsia="Calibri" w:hAnsi="Verdana" w:cs="Arial"/>
          <w:noProof/>
          <w:sz w:val="20"/>
          <w:szCs w:val="20"/>
          <w:lang w:val="es-ES_tradnl"/>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69A1B073" w14:textId="77777777" w:rsidR="007572E2" w:rsidRPr="00C371AB" w:rsidRDefault="007572E2" w:rsidP="007572E2">
      <w:pPr>
        <w:tabs>
          <w:tab w:val="left" w:pos="426"/>
        </w:tabs>
        <w:spacing w:after="0" w:line="240" w:lineRule="auto"/>
        <w:contextualSpacing/>
        <w:jc w:val="both"/>
        <w:rPr>
          <w:rFonts w:ascii="Verdana" w:eastAsia="Calibri" w:hAnsi="Verdana" w:cs="Arial"/>
          <w:noProof/>
          <w:sz w:val="20"/>
          <w:szCs w:val="20"/>
          <w:lang w:val="es-ES_tradnl"/>
        </w:rPr>
      </w:pPr>
    </w:p>
    <w:p w14:paraId="7AFB1619" w14:textId="77777777" w:rsidR="007572E2" w:rsidRDefault="007572E2" w:rsidP="007572E2">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r w:rsidRPr="00782519">
        <w:rPr>
          <w:rFonts w:ascii="Verdana" w:eastAsia="Calibri" w:hAnsi="Verdana" w:cs="Arial"/>
          <w:noProof/>
          <w:sz w:val="20"/>
          <w:szCs w:val="20"/>
          <w:lang w:val="es-ES_tradnl"/>
        </w:rPr>
        <w:t xml:space="preserve">. </w:t>
      </w:r>
    </w:p>
    <w:p w14:paraId="0D8BB39F" w14:textId="77777777" w:rsidR="007572E2" w:rsidRPr="00D72450" w:rsidRDefault="007572E2" w:rsidP="007572E2">
      <w:pPr>
        <w:spacing w:after="0" w:line="240" w:lineRule="auto"/>
        <w:jc w:val="both"/>
        <w:rPr>
          <w:rFonts w:ascii="Verdana" w:hAnsi="Verdana"/>
          <w:b/>
          <w:sz w:val="20"/>
          <w:szCs w:val="20"/>
          <w:lang w:val="es-MX"/>
        </w:rPr>
      </w:pPr>
    </w:p>
    <w:p w14:paraId="43769BE0" w14:textId="77777777" w:rsidR="007572E2" w:rsidRPr="00D72450" w:rsidRDefault="007572E2" w:rsidP="007572E2">
      <w:pPr>
        <w:spacing w:after="0" w:line="240" w:lineRule="auto"/>
        <w:jc w:val="both"/>
        <w:rPr>
          <w:rFonts w:ascii="Verdana" w:hAnsi="Verdana" w:cs="Arial"/>
          <w:b/>
          <w:lang w:val="es-MX" w:eastAsia="es-ES_tradnl"/>
        </w:rPr>
      </w:pPr>
      <w:r w:rsidRPr="00D72450">
        <w:rPr>
          <w:rFonts w:ascii="Verdana" w:hAnsi="Verdana" w:cs="Arial"/>
          <w:b/>
          <w:lang w:val="es-MX" w:eastAsia="es-ES_tradnl"/>
        </w:rPr>
        <w:t xml:space="preserve">BOLSA DE PRODUCTOS – Características – Contrato de </w:t>
      </w:r>
      <w:r>
        <w:rPr>
          <w:rFonts w:ascii="Verdana" w:hAnsi="Verdana" w:cs="Arial"/>
          <w:b/>
          <w:lang w:val="es-MX" w:eastAsia="es-ES_tradnl"/>
        </w:rPr>
        <w:t>c</w:t>
      </w:r>
      <w:r w:rsidRPr="00D72450">
        <w:rPr>
          <w:rFonts w:ascii="Verdana" w:hAnsi="Verdana" w:cs="Arial"/>
          <w:b/>
          <w:lang w:val="es-MX" w:eastAsia="es-ES_tradnl"/>
        </w:rPr>
        <w:t>omisión</w:t>
      </w:r>
    </w:p>
    <w:p w14:paraId="3846B44C" w14:textId="77777777" w:rsidR="007572E2" w:rsidRPr="00D72450" w:rsidRDefault="007572E2" w:rsidP="007572E2">
      <w:pPr>
        <w:spacing w:after="0" w:line="240" w:lineRule="auto"/>
        <w:jc w:val="both"/>
        <w:rPr>
          <w:rFonts w:ascii="Verdana" w:hAnsi="Verdana" w:cs="Arial"/>
          <w:b/>
          <w:sz w:val="20"/>
          <w:szCs w:val="20"/>
          <w:lang w:val="es-MX" w:eastAsia="es-ES_tradnl"/>
        </w:rPr>
      </w:pPr>
    </w:p>
    <w:p w14:paraId="0B7F8BDF" w14:textId="77777777" w:rsidR="007572E2" w:rsidRPr="00D72450" w:rsidRDefault="007572E2" w:rsidP="007572E2">
      <w:pPr>
        <w:spacing w:after="0" w:line="240" w:lineRule="auto"/>
        <w:jc w:val="both"/>
        <w:rPr>
          <w:rFonts w:ascii="Verdana" w:hAnsi="Verdana" w:cs="Arial"/>
          <w:sz w:val="20"/>
          <w:szCs w:val="20"/>
          <w:lang w:val="es-MX" w:eastAsia="es-ES_tradnl"/>
        </w:rPr>
      </w:pPr>
      <w:r w:rsidRPr="00D72450">
        <w:rPr>
          <w:rFonts w:ascii="Verdana" w:hAnsi="Verdana" w:cs="Arial"/>
          <w:sz w:val="20"/>
          <w:szCs w:val="20"/>
          <w:lang w:val="es-MX" w:eastAsia="es-ES_tradnl"/>
        </w:rPr>
        <w:t>La adquisición de bienes mediante el mecanismo de bolsa de productos está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3725AFB2" w14:textId="77777777" w:rsidR="007572E2" w:rsidRPr="00D72450" w:rsidRDefault="007572E2" w:rsidP="007572E2">
      <w:pPr>
        <w:spacing w:after="0" w:line="240" w:lineRule="auto"/>
        <w:jc w:val="both"/>
        <w:rPr>
          <w:rFonts w:ascii="Verdana" w:hAnsi="Verdana" w:cs="Arial"/>
          <w:sz w:val="20"/>
          <w:szCs w:val="20"/>
          <w:lang w:val="es-MX" w:eastAsia="es-ES_tradnl"/>
        </w:rPr>
      </w:pPr>
    </w:p>
    <w:p w14:paraId="7FC64944" w14:textId="77777777" w:rsidR="007572E2" w:rsidRDefault="007572E2" w:rsidP="007572E2">
      <w:pPr>
        <w:spacing w:after="0" w:line="240" w:lineRule="auto"/>
        <w:jc w:val="both"/>
        <w:rPr>
          <w:rFonts w:ascii="Verdana" w:hAnsi="Verdana" w:cs="Arial"/>
          <w:sz w:val="20"/>
          <w:szCs w:val="20"/>
          <w:lang w:val="es-MX" w:eastAsia="es-ES_tradnl"/>
        </w:rPr>
      </w:pPr>
      <w:r w:rsidRPr="00D72450">
        <w:rPr>
          <w:rFonts w:ascii="Verdana" w:hAnsi="Verdana" w:cs="Arial"/>
          <w:sz w:val="20"/>
          <w:szCs w:val="20"/>
          <w:lang w:eastAsia="es-ES_tradnl"/>
        </w:rPr>
        <w:t xml:space="preserve">De acuerdo con lo anterior, </w:t>
      </w:r>
      <w:r w:rsidRPr="00D72450">
        <w:rPr>
          <w:rFonts w:ascii="Verdana" w:hAnsi="Verdana" w:cs="Arial"/>
          <w:sz w:val="20"/>
          <w:szCs w:val="20"/>
          <w:lang w:val="es-MX" w:eastAsia="es-ES_tradnl"/>
        </w:rPr>
        <w:t>la negociación por parte de la entidad se da a través de un comisionista, el cual debe ser contratado por la entidad de conformidad con el procedimiento y reglas de la respectiva bolsa de productos, esto es, mediante un procedimiento competitivo. Ahora bien, p</w:t>
      </w:r>
      <w:r w:rsidRPr="00D72450">
        <w:rPr>
          <w:rFonts w:ascii="Verdana" w:hAnsi="Verdana" w:cs="Arial"/>
          <w:sz w:val="20"/>
          <w:szCs w:val="20"/>
          <w:lang w:eastAsia="es-ES_tradnl"/>
        </w:rPr>
        <w:t>ara celebrar el contrato de comisión, la Entidad debe acreditar que cuenta con la disponibilidad presupuestal para el contrato de comisión, para la operación que por cuenta suya adelanta el comisionista en la bolsa de productos, para las garantías y los demás pagos que deba realizar como consecuencia de la adquisición en bolsa de productos, de conformidad con el reglamento de la bolsa en la cual la Entidad Estatal haga la negociación.</w:t>
      </w:r>
      <w:r w:rsidRPr="00D72450">
        <w:rPr>
          <w:rFonts w:ascii="Verdana" w:hAnsi="Verdana" w:cs="Arial"/>
          <w:sz w:val="20"/>
          <w:szCs w:val="20"/>
          <w:lang w:val="es-MX" w:eastAsia="es-ES_tradnl"/>
        </w:rPr>
        <w:t xml:space="preserve"> La calidad de los productos negociados y la liquidación de las operaciones celebradas debe estar respaldada por garantías. </w:t>
      </w:r>
      <w:r w:rsidRPr="00D72450">
        <w:rPr>
          <w:rFonts w:ascii="Verdana" w:hAnsi="Verdana" w:cs="Arial"/>
          <w:sz w:val="20"/>
          <w:szCs w:val="20"/>
          <w:lang w:eastAsia="es-ES_tradnl"/>
        </w:rPr>
        <w:t xml:space="preserve">Igualmente, este proceso se </w:t>
      </w:r>
      <w:r w:rsidRPr="00D72450">
        <w:rPr>
          <w:rFonts w:ascii="Verdana" w:hAnsi="Verdana" w:cs="Arial"/>
          <w:sz w:val="20"/>
          <w:szCs w:val="20"/>
          <w:lang w:val="es-ES" w:eastAsia="es-ES_tradnl"/>
        </w:rPr>
        <w:t>encuentra respaldado por el</w:t>
      </w:r>
      <w:r w:rsidRPr="00D72450">
        <w:rPr>
          <w:rFonts w:ascii="Verdana" w:hAnsi="Verdana" w:cs="Arial"/>
          <w:sz w:val="20"/>
          <w:szCs w:val="20"/>
          <w:lang w:eastAsia="es-ES_tradnl"/>
        </w:rPr>
        <w:t xml:space="preserve"> marco regulatorio en la optimización de los procedimientos de compra en el ámbito público, asegurando eficiencia y equidad en las transacciones.</w:t>
      </w:r>
    </w:p>
    <w:p w14:paraId="10E86F48" w14:textId="77777777" w:rsidR="00002C56" w:rsidRDefault="00002C56" w:rsidP="007572E2">
      <w:pPr>
        <w:spacing w:after="0" w:line="240" w:lineRule="auto"/>
        <w:jc w:val="both"/>
        <w:rPr>
          <w:rFonts w:ascii="Verdana" w:eastAsia="Geomanist Light" w:hAnsi="Verdana" w:cs="Arial"/>
          <w:color w:val="000000" w:themeColor="text1"/>
          <w:lang w:val="es-MX"/>
        </w:rPr>
      </w:pPr>
    </w:p>
    <w:p w14:paraId="6872DA99" w14:textId="47332A3E" w:rsidR="007260DF" w:rsidRPr="007572E2" w:rsidRDefault="007260DF" w:rsidP="007572E2">
      <w:pPr>
        <w:spacing w:after="0" w:line="240" w:lineRule="auto"/>
        <w:jc w:val="both"/>
        <w:rPr>
          <w:rFonts w:ascii="Verdana" w:hAnsi="Verdana" w:cs="Arial"/>
          <w:sz w:val="20"/>
          <w:szCs w:val="20"/>
          <w:lang w:val="es-MX" w:eastAsia="es-ES_tradnl"/>
        </w:rPr>
      </w:pPr>
      <w:r w:rsidRPr="00593A5F">
        <w:rPr>
          <w:rFonts w:ascii="Verdana" w:eastAsia="Geomanist Light" w:hAnsi="Verdana" w:cs="Arial"/>
          <w:color w:val="000000" w:themeColor="text1"/>
          <w:lang w:val="es-MX"/>
        </w:rPr>
        <w:t>Bogotá D.C., </w:t>
      </w:r>
      <w:r w:rsidR="000E6E51" w:rsidRPr="000E6E51">
        <w:rPr>
          <w:rFonts w:ascii="Verdana" w:eastAsia="Geomanist Light" w:hAnsi="Verdana" w:cs="Arial"/>
          <w:color w:val="000000" w:themeColor="text1"/>
          <w:lang w:val="es-MX"/>
        </w:rPr>
        <w:t>0</w:t>
      </w:r>
      <w:r w:rsidR="000E6E51">
        <w:rPr>
          <w:rFonts w:ascii="Verdana" w:eastAsia="Geomanist Light" w:hAnsi="Verdana" w:cs="Arial"/>
          <w:color w:val="000000" w:themeColor="text1"/>
          <w:lang w:val="es-MX"/>
        </w:rPr>
        <w:t>5</w:t>
      </w:r>
      <w:r w:rsidR="000E6E51" w:rsidRPr="000E6E51">
        <w:rPr>
          <w:rFonts w:ascii="Verdana" w:eastAsia="Geomanist Light" w:hAnsi="Verdana" w:cs="Arial"/>
          <w:color w:val="000000" w:themeColor="text1"/>
          <w:lang w:val="es-MX"/>
        </w:rPr>
        <w:t xml:space="preserve"> de Marzo de 2026</w:t>
      </w:r>
    </w:p>
    <w:p w14:paraId="1938FCCC" w14:textId="5CA22BA2" w:rsidR="007260DF" w:rsidRDefault="00BC04B7" w:rsidP="007260DF">
      <w:pPr>
        <w:spacing w:after="0" w:line="240" w:lineRule="auto"/>
        <w:jc w:val="both"/>
        <w:rPr>
          <w:rFonts w:ascii="Verdana" w:eastAsia="Calibri" w:hAnsi="Verdana" w:cs="Arial"/>
          <w:color w:val="000000"/>
          <w:lang w:val="es-ES"/>
        </w:rPr>
      </w:pPr>
      <w:r w:rsidRPr="003A7BC0">
        <w:rPr>
          <w:rFonts w:ascii="Verdana" w:eastAsia="Calibri" w:hAnsi="Verdana" w:cs="Arial"/>
          <w:noProof/>
          <w:color w:val="000000"/>
          <w:lang w:val="es-ES"/>
        </w:rPr>
        <w:drawing>
          <wp:anchor distT="0" distB="0" distL="114300" distR="114300" simplePos="0" relativeHeight="251658240" behindDoc="0" locked="0" layoutInCell="1" allowOverlap="1" wp14:anchorId="7179CCBA" wp14:editId="7B481818">
            <wp:simplePos x="0" y="0"/>
            <wp:positionH relativeFrom="margin">
              <wp:posOffset>2775585</wp:posOffset>
            </wp:positionH>
            <wp:positionV relativeFrom="paragraph">
              <wp:posOffset>170815</wp:posOffset>
            </wp:positionV>
            <wp:extent cx="2835910" cy="967740"/>
            <wp:effectExtent l="0" t="0" r="2540" b="3810"/>
            <wp:wrapSquare wrapText="bothSides"/>
            <wp:docPr id="4437950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795053" name=""/>
                    <pic:cNvPicPr/>
                  </pic:nvPicPr>
                  <pic:blipFill>
                    <a:blip r:embed="rId10">
                      <a:extLst>
                        <a:ext uri="{28A0092B-C50C-407E-A947-70E740481C1C}">
                          <a14:useLocalDpi xmlns:a14="http://schemas.microsoft.com/office/drawing/2010/main" val="0"/>
                        </a:ext>
                      </a:extLst>
                    </a:blip>
                    <a:stretch>
                      <a:fillRect/>
                    </a:stretch>
                  </pic:blipFill>
                  <pic:spPr>
                    <a:xfrm>
                      <a:off x="0" y="0"/>
                      <a:ext cx="2835910" cy="967740"/>
                    </a:xfrm>
                    <a:prstGeom prst="rect">
                      <a:avLst/>
                    </a:prstGeom>
                  </pic:spPr>
                </pic:pic>
              </a:graphicData>
            </a:graphic>
            <wp14:sizeRelH relativeFrom="margin">
              <wp14:pctWidth>0</wp14:pctWidth>
            </wp14:sizeRelH>
            <wp14:sizeRelV relativeFrom="margin">
              <wp14:pctHeight>0</wp14:pctHeight>
            </wp14:sizeRelV>
          </wp:anchor>
        </w:drawing>
      </w:r>
    </w:p>
    <w:p w14:paraId="3E64A68A" w14:textId="707892BC" w:rsidR="003A7BC0" w:rsidRDefault="003A7BC0" w:rsidP="003A7BC0">
      <w:pPr>
        <w:spacing w:after="0" w:line="240" w:lineRule="auto"/>
        <w:jc w:val="right"/>
        <w:rPr>
          <w:rFonts w:ascii="Verdana" w:eastAsia="Calibri" w:hAnsi="Verdana" w:cs="Arial"/>
          <w:color w:val="000000"/>
          <w:lang w:val="es-ES"/>
        </w:rPr>
      </w:pPr>
    </w:p>
    <w:p w14:paraId="3A46D016" w14:textId="77777777" w:rsidR="007260DF" w:rsidRPr="00593A5F" w:rsidRDefault="007260DF" w:rsidP="007260DF">
      <w:pPr>
        <w:spacing w:after="0" w:line="240" w:lineRule="auto"/>
        <w:jc w:val="both"/>
        <w:rPr>
          <w:rFonts w:ascii="Verdana" w:eastAsia="Calibri" w:hAnsi="Verdana" w:cs="Arial"/>
          <w:color w:val="000000"/>
          <w:lang w:val="es-ES"/>
        </w:rPr>
      </w:pPr>
    </w:p>
    <w:p w14:paraId="49A9BBC0" w14:textId="77777777" w:rsidR="007260DF" w:rsidRPr="00B96799" w:rsidRDefault="007260DF" w:rsidP="007260DF">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F9493D6" w14:textId="77777777" w:rsidR="007260DF" w:rsidRPr="0085423D" w:rsidRDefault="007260DF" w:rsidP="007260DF">
      <w:pPr>
        <w:spacing w:after="0" w:line="240" w:lineRule="auto"/>
        <w:rPr>
          <w:rFonts w:ascii="Verdana" w:eastAsia="Calibri" w:hAnsi="Verdana" w:cs="Arial"/>
          <w:b/>
          <w:lang w:val="es-ES_tradnl" w:eastAsia="es-ES_tradnl"/>
        </w:rPr>
      </w:pPr>
      <w:r w:rsidRPr="001D5E58">
        <w:rPr>
          <w:rFonts w:ascii="Verdana" w:eastAsia="Calibri" w:hAnsi="Verdana" w:cs="Arial"/>
          <w:b/>
          <w:lang w:val="es-ES_tradnl" w:eastAsia="es-ES_tradnl"/>
        </w:rPr>
        <w:t>Luis Aníbal Duque López</w:t>
      </w:r>
      <w:r>
        <w:rPr>
          <w:rFonts w:ascii="Verdana" w:eastAsia="Calibri" w:hAnsi="Verdana" w:cs="Arial"/>
          <w:b/>
          <w:lang w:val="es-ES_tradnl" w:eastAsia="es-ES_tradnl"/>
        </w:rPr>
        <w:t xml:space="preserve"> </w:t>
      </w:r>
    </w:p>
    <w:p w14:paraId="51F83F79" w14:textId="77777777" w:rsidR="007260DF" w:rsidRPr="00DF1B3B" w:rsidRDefault="007260DF" w:rsidP="007260DF">
      <w:pPr>
        <w:spacing w:after="0" w:line="240" w:lineRule="auto"/>
        <w:rPr>
          <w:rFonts w:ascii="Verdana" w:eastAsia="Calibri" w:hAnsi="Verdana" w:cs="Arial"/>
          <w:lang w:val="es-ES" w:eastAsia="es-ES"/>
        </w:rPr>
      </w:pPr>
      <w:hyperlink r:id="rId11" w:history="1">
        <w:r w:rsidRPr="00596860">
          <w:rPr>
            <w:rStyle w:val="Hipervnculo"/>
            <w:rFonts w:ascii="Verdana" w:hAnsi="Verdana"/>
          </w:rPr>
          <w:t>luisanibalduquelopez@gmail.com</w:t>
        </w:r>
      </w:hyperlink>
      <w:r>
        <w:rPr>
          <w:rFonts w:ascii="Verdana" w:hAnsi="Verdana"/>
        </w:rPr>
        <w:t xml:space="preserve"> </w:t>
      </w:r>
      <w:r w:rsidRPr="00DF1B3B">
        <w:rPr>
          <w:rFonts w:ascii="Verdana" w:hAnsi="Verdana"/>
        </w:rPr>
        <w:t xml:space="preserve">         </w:t>
      </w:r>
      <w:r w:rsidRPr="00DF1B3B">
        <w:rPr>
          <w:rFonts w:ascii="Verdana" w:eastAsia="Calibri" w:hAnsi="Verdana" w:cs="Arial"/>
          <w:lang w:val="es-ES" w:eastAsia="es-ES"/>
        </w:rPr>
        <w:t xml:space="preserve">    </w:t>
      </w:r>
    </w:p>
    <w:p w14:paraId="3BA7F0C8" w14:textId="77777777" w:rsidR="007260DF" w:rsidRDefault="007260DF" w:rsidP="007260DF">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34CCEABE" w14:textId="77777777" w:rsidR="007260DF" w:rsidRPr="00593A5F" w:rsidRDefault="007260DF" w:rsidP="007260DF">
      <w:pPr>
        <w:spacing w:after="0" w:line="240" w:lineRule="auto"/>
        <w:rPr>
          <w:rFonts w:ascii="Verdana" w:eastAsia="Calibri" w:hAnsi="Verdana" w:cs="Arial"/>
          <w:b/>
          <w:bCs/>
          <w:color w:val="000000"/>
          <w:lang w:val="es-ES_tradnl" w:eastAsia="es-ES_tradnl"/>
        </w:rPr>
      </w:pPr>
    </w:p>
    <w:p w14:paraId="34565CCE" w14:textId="77777777" w:rsidR="007260DF" w:rsidRPr="00593A5F" w:rsidRDefault="007260DF" w:rsidP="007260D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260DF" w:rsidRPr="00593A5F" w14:paraId="79E9C17B" w14:textId="77777777" w:rsidTr="00727F84">
        <w:trPr>
          <w:trHeight w:val="884"/>
        </w:trPr>
        <w:tc>
          <w:tcPr>
            <w:tcW w:w="2689" w:type="dxa"/>
          </w:tcPr>
          <w:p w14:paraId="7033263F" w14:textId="77777777" w:rsidR="007260DF" w:rsidRPr="00C00976" w:rsidRDefault="007260DF" w:rsidP="00727F84">
            <w:pPr>
              <w:jc w:val="both"/>
              <w:rPr>
                <w:rFonts w:ascii="Verdana" w:eastAsia="Calibri" w:hAnsi="Verdana" w:cs="Arial"/>
                <w:b/>
                <w:bCs/>
                <w:color w:val="7030A0"/>
                <w:lang w:val="es-ES_tradnl" w:eastAsia="es-ES_tradnl"/>
              </w:rPr>
            </w:pPr>
          </w:p>
        </w:tc>
        <w:tc>
          <w:tcPr>
            <w:tcW w:w="6100" w:type="dxa"/>
          </w:tcPr>
          <w:p w14:paraId="754F2FCD" w14:textId="77777777" w:rsidR="007260DF" w:rsidRPr="00C00976" w:rsidRDefault="007260DF" w:rsidP="00727F8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228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7260DF" w:rsidRPr="00593A5F" w14:paraId="296681D9" w14:textId="77777777" w:rsidTr="00727F84">
        <w:trPr>
          <w:trHeight w:val="884"/>
        </w:trPr>
        <w:tc>
          <w:tcPr>
            <w:tcW w:w="2689" w:type="dxa"/>
          </w:tcPr>
          <w:p w14:paraId="17B08F2F" w14:textId="77777777" w:rsidR="007260DF" w:rsidRPr="00593A5F" w:rsidRDefault="007260DF" w:rsidP="00727F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B71CF85" w14:textId="77777777" w:rsidR="007260DF" w:rsidRPr="00A11406" w:rsidRDefault="007260DF" w:rsidP="00727F84">
            <w:pPr>
              <w:spacing w:line="276" w:lineRule="auto"/>
              <w:jc w:val="both"/>
              <w:rPr>
                <w:rFonts w:ascii="Verdana" w:eastAsia="Calibri" w:hAnsi="Verdana" w:cs="Arial"/>
                <w:lang w:val="es-ES" w:eastAsia="es-ES"/>
              </w:rPr>
            </w:pPr>
            <w:r w:rsidRPr="00C371AB">
              <w:rPr>
                <w:rFonts w:ascii="Verdana" w:eastAsia="Calibri" w:hAnsi="Verdana" w:cs="Arial"/>
                <w:lang w:val="es-ES" w:eastAsia="es-ES"/>
              </w:rPr>
              <w:t>SELECCIÓN ABREVIADA – Marco normativo</w:t>
            </w:r>
            <w:r>
              <w:rPr>
                <w:rFonts w:ascii="Verdana" w:eastAsia="Calibri" w:hAnsi="Verdana" w:cs="Arial"/>
                <w:lang w:val="es-ES" w:eastAsia="es-ES"/>
              </w:rPr>
              <w:t xml:space="preserve"> / </w:t>
            </w:r>
            <w:r w:rsidRPr="00C371AB">
              <w:rPr>
                <w:rFonts w:ascii="Verdana" w:eastAsia="Calibri" w:hAnsi="Verdana" w:cs="Arial"/>
                <w:lang w:val="es-ES" w:eastAsia="es-ES"/>
              </w:rPr>
              <w:t>BIENES Y SERVICIOS DE CARACTERÍSTICAS TÉCNICAS UNIFORMES – Definición</w:t>
            </w:r>
            <w:r>
              <w:rPr>
                <w:rFonts w:ascii="Verdana" w:eastAsia="Calibri" w:hAnsi="Verdana" w:cs="Arial"/>
                <w:lang w:val="es-ES" w:eastAsia="es-ES"/>
              </w:rPr>
              <w:t xml:space="preserve"> / </w:t>
            </w:r>
            <w:r w:rsidRPr="00C371AB">
              <w:rPr>
                <w:rFonts w:ascii="Verdana" w:eastAsia="Calibri" w:hAnsi="Verdana" w:cs="Arial"/>
                <w:lang w:val="es-ES" w:eastAsia="es-ES"/>
              </w:rPr>
              <w:t xml:space="preserve">BIENES Y SERVICIOS DE CARACTERÍSTICAS TÉCNICAS UNIFORMES ‒ Características – Formas de adquisición </w:t>
            </w:r>
            <w:r>
              <w:rPr>
                <w:rFonts w:ascii="Verdana" w:eastAsia="Calibri" w:hAnsi="Verdana" w:cs="Arial"/>
                <w:lang w:val="es-ES" w:eastAsia="es-ES"/>
              </w:rPr>
              <w:t xml:space="preserve">/ </w:t>
            </w:r>
            <w:r w:rsidRPr="00D72450">
              <w:rPr>
                <w:rFonts w:ascii="Verdana" w:eastAsia="Calibri" w:hAnsi="Verdana" w:cs="Arial"/>
                <w:lang w:val="es-ES" w:eastAsia="es-ES"/>
              </w:rPr>
              <w:t xml:space="preserve">BOLSA DE PRODUCTOS – Características – Contrato de </w:t>
            </w:r>
            <w:r>
              <w:rPr>
                <w:rFonts w:ascii="Verdana" w:eastAsia="Calibri" w:hAnsi="Verdana" w:cs="Arial"/>
                <w:lang w:val="es-ES" w:eastAsia="es-ES"/>
              </w:rPr>
              <w:t>c</w:t>
            </w:r>
            <w:r w:rsidRPr="00D72450">
              <w:rPr>
                <w:rFonts w:ascii="Verdana" w:eastAsia="Calibri" w:hAnsi="Verdana" w:cs="Arial"/>
                <w:lang w:val="es-ES" w:eastAsia="es-ES"/>
              </w:rPr>
              <w:t>omisión</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8330C2B" w14:textId="77777777" w:rsidR="007260DF" w:rsidRPr="00593A5F" w:rsidRDefault="007260DF" w:rsidP="00727F8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7260DF" w:rsidRPr="008E6AD9" w14:paraId="6E9F6B1D" w14:textId="77777777" w:rsidTr="00727F84">
        <w:tc>
          <w:tcPr>
            <w:tcW w:w="2689" w:type="dxa"/>
          </w:tcPr>
          <w:p w14:paraId="5C902C76" w14:textId="77777777" w:rsidR="007260DF" w:rsidRPr="008E6AD9" w:rsidRDefault="007260DF" w:rsidP="00727F8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2068169" w14:textId="77777777" w:rsidR="007260DF" w:rsidRPr="008E6AD9" w:rsidRDefault="007260DF" w:rsidP="00727F84">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046B6">
              <w:rPr>
                <w:rFonts w:ascii="Verdana" w:eastAsia="Calibri" w:hAnsi="Verdana" w:cs="Arial"/>
                <w:lang w:val="es-ES_tradnl" w:eastAsia="es-ES_tradnl"/>
              </w:rPr>
              <w:t xml:space="preserve">1_2026_02_16_001962 </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4DD2CCC" w14:textId="77777777" w:rsidR="007260DF" w:rsidRPr="00593A5F" w:rsidRDefault="007260DF" w:rsidP="007260DF">
      <w:pPr>
        <w:spacing w:after="0" w:line="240" w:lineRule="auto"/>
        <w:jc w:val="both"/>
        <w:rPr>
          <w:rFonts w:ascii="Verdana" w:eastAsia="Calibri" w:hAnsi="Verdana" w:cs="Arial"/>
          <w:color w:val="000000"/>
          <w:lang w:val="es-ES_tradnl" w:eastAsia="es-ES_tradnl"/>
        </w:rPr>
      </w:pPr>
    </w:p>
    <w:p w14:paraId="640C7249" w14:textId="77777777" w:rsidR="007260DF" w:rsidRPr="00593A5F" w:rsidRDefault="007260DF" w:rsidP="007260DF">
      <w:pPr>
        <w:spacing w:after="0" w:line="240" w:lineRule="auto"/>
        <w:jc w:val="both"/>
        <w:rPr>
          <w:rFonts w:ascii="Verdana" w:eastAsia="Calibri" w:hAnsi="Verdana" w:cs="Arial"/>
          <w:color w:val="000000"/>
          <w:lang w:val="es-ES_tradnl" w:eastAsia="es-ES_tradnl"/>
        </w:rPr>
      </w:pPr>
    </w:p>
    <w:p w14:paraId="4C89552D" w14:textId="77777777" w:rsidR="007260DF" w:rsidRPr="008E6AD9" w:rsidRDefault="007260DF" w:rsidP="007260D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E345BE">
        <w:rPr>
          <w:rFonts w:ascii="Verdana" w:eastAsia="Calibri" w:hAnsi="Verdana" w:cs="Arial"/>
          <w:lang w:val="es-ES" w:eastAsia="es-ES"/>
        </w:rPr>
        <w:t>Duque López</w:t>
      </w:r>
      <w:r w:rsidRPr="008E6AD9">
        <w:rPr>
          <w:rFonts w:ascii="Verdana" w:eastAsia="Calibri" w:hAnsi="Verdana" w:cs="Arial"/>
          <w:lang w:val="es-ES" w:eastAsia="es-ES"/>
        </w:rPr>
        <w:t xml:space="preserve">: </w:t>
      </w:r>
    </w:p>
    <w:p w14:paraId="4B958673" w14:textId="77777777" w:rsidR="007260DF" w:rsidRDefault="007260DF" w:rsidP="007260D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53C138" w14:textId="77777777" w:rsidR="007260DF" w:rsidRPr="00593A5F" w:rsidRDefault="007260DF" w:rsidP="007260D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A4423F">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16 de febrero de 2026</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22285A36" w14:textId="77777777" w:rsidR="007260DF" w:rsidRPr="00272A7B" w:rsidRDefault="007260DF" w:rsidP="007260DF">
      <w:pPr>
        <w:pStyle w:val="Prrafodelista"/>
        <w:tabs>
          <w:tab w:val="left" w:pos="142"/>
          <w:tab w:val="left" w:pos="284"/>
        </w:tabs>
        <w:spacing w:after="0" w:line="276" w:lineRule="auto"/>
        <w:ind w:left="0"/>
        <w:jc w:val="both"/>
        <w:rPr>
          <w:rFonts w:ascii="Verdana" w:eastAsia="Century Gothic" w:hAnsi="Verdana" w:cs="Century Gothic"/>
          <w:b/>
          <w:bCs/>
        </w:rPr>
      </w:pPr>
    </w:p>
    <w:p w14:paraId="01198D6E"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bookmarkStart w:id="0" w:name="_Hlk95313578"/>
      <w:r w:rsidRPr="000E345C">
        <w:rPr>
          <w:rFonts w:ascii="Verdana" w:eastAsia="Century Gothic" w:hAnsi="Verdana" w:cs="Century Gothic"/>
          <w:sz w:val="20"/>
          <w:szCs w:val="20"/>
          <w:lang w:val="es-ES"/>
        </w:rPr>
        <w:t>“</w:t>
      </w:r>
      <w:bookmarkEnd w:id="0"/>
      <w:r w:rsidRPr="00E345BE">
        <w:rPr>
          <w:rFonts w:ascii="Verdana" w:eastAsia="Century Gothic" w:hAnsi="Verdana" w:cs="Century Gothic"/>
          <w:sz w:val="20"/>
          <w:szCs w:val="20"/>
          <w:lang w:val="es-ES"/>
        </w:rPr>
        <w:t>1. ¿Cómo califica Colombia Compra Eficiente la naturaleza jurídica de las Bolsas de Productos cuando intervienen en procesos de contratación estatal financiados con recursos públicos? En particular, ¿actúan exclusivamente como intermediarios privados o como operadores que ejercen funciones públicas o administrativas por delegación?</w:t>
      </w:r>
    </w:p>
    <w:p w14:paraId="4C537732"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lastRenderedPageBreak/>
        <w:t>2. ¿Considera Colombia Compra Eficiente que las Bolsas de Productos cumplen funciones determinantes en la estructuración, ejecución y validación de los procesos de selección adelantados a través de dichas plataformas? En caso afirmativo, sírvase indicar cuáles funciones específicas reconoce.</w:t>
      </w:r>
    </w:p>
    <w:p w14:paraId="3910A8E2"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3. ¿Existe, a juicio de Colombia Compra Eficiente, una diferencia jurídica sustancial entre el rol de las Bolsas de Productos y el de las plataformas estatales de contratación, o frente a otros operadores privados utilizados por las entidades estatales en procesos de adquisición de bienes y servicios?</w:t>
      </w:r>
    </w:p>
    <w:p w14:paraId="4F2BC4BC"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4. Durante el desarrollo de una operación de contratación estatal adelantada a través de una Bolsa de Productos, ¿los recursos comprometidos y pagados por la entidad estatal conservan su naturaleza de recursos públicos?</w:t>
      </w:r>
    </w:p>
    <w:p w14:paraId="5D2749F2"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5. ¿Considera Colombia Compra Eficiente que las Bolsas de Productos administran, gestionan, canalizan o custodian, aunque sea de manera transitoria, recursos públicos en el marco de las operaciones de contratación estatal que se adelantan a través de dichas plataformas?</w:t>
      </w:r>
    </w:p>
    <w:p w14:paraId="474CA719"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6. En caso de que la respuesta a la pregunta anterior sea negativa, ¿cómo explica Colombia Compra Eficiente que un tercero privado intervenga de manera determinante en la ejecución de procesos financiados con recursos públicos, incluyendo la exigencia y liberación de garantías, la validación de operaciones y la habilitación de pagos, sin que ello implique gestión de recursos públicos?</w:t>
      </w:r>
    </w:p>
    <w:p w14:paraId="62B35048"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7. ¿Qué tipo de responsabilidad jurídica reconoce Colombia Compra Eficiente que tienen las Bolsas de Productos frente a las operaciones celebradas a través de ellas, en particular en materia contractual, administrativa, fiscal y patrimonial?</w:t>
      </w:r>
    </w:p>
    <w:p w14:paraId="141BD112"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8. ¿Considera Colombia Compra Eficiente que las Bolsas de Productos pueden ser responsables, incluso de manera solidaria, cuando una falla en el diseño del mecanismo, en las reglas de operación o en su ejecución genera un daño antijurídico a la entidad estatal, a los proponentes o al interés público?</w:t>
      </w:r>
    </w:p>
    <w:p w14:paraId="0A305D22"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9. ¿La circunstancia de que la adjudicación formal del contrato sea realizada por la entidad estatal excluye, a juicio de Colombia Compra Eficiente, la responsabilidad de la Bolsa de Productos por los efectos jurídicos, económicos y administrativos derivados de la operación? En caso afirmativo, indique el fundamento normativo y jurisprudencial.</w:t>
      </w:r>
    </w:p>
    <w:p w14:paraId="7C71A0AA"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10. ¿Están las Bolsas de Productos sujetas al control fiscal de la Contraloría General de la República o de las contralorías territoriales por su intervención en procesos de contratación estatal financiados con recursos públicos?</w:t>
      </w:r>
    </w:p>
    <w:p w14:paraId="2E2D8641"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lastRenderedPageBreak/>
        <w:t>11. ¿Las actuaciones de las Bolsas de Productos en el marco de estos procesos pueden ser objeto de control por la jurisdicción de lo contencioso administrativo, en particular mediante acciones de nulidad o de nulidad y restablecimiento del derecho?</w:t>
      </w:r>
    </w:p>
    <w:p w14:paraId="2384460E" w14:textId="77777777" w:rsidR="007260DF"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12. ¿Qué mecanismos de control, seguimiento y supervisión reconoce Colombia Compra Eficiente para verificar que las Bolsas de Productos garanticen el cumplimiento de los principios de transparencia, selección objetiva, libre competencia y eficiencia del gasto público?</w:t>
      </w:r>
    </w:p>
    <w:p w14:paraId="248043C8"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13. ¿Considera Colombia Compra Eficiente jurídicamente procedente utilizar mecanismos administrados por Bolsas de Productos para la contratación de bienes o servicios cuyos precios se encuentran regulados por el Estado?</w:t>
      </w:r>
    </w:p>
    <w:p w14:paraId="67B50813" w14:textId="77777777" w:rsidR="007260DF" w:rsidRPr="00E345BE" w:rsidRDefault="007260DF" w:rsidP="007260DF">
      <w:pPr>
        <w:spacing w:after="120" w:line="240" w:lineRule="auto"/>
        <w:ind w:left="709" w:right="709"/>
        <w:jc w:val="both"/>
        <w:rPr>
          <w:rFonts w:ascii="Verdana" w:eastAsia="Century Gothic" w:hAnsi="Verdana" w:cs="Century Gothic"/>
          <w:sz w:val="20"/>
          <w:szCs w:val="20"/>
          <w:lang w:val="es-ES"/>
        </w:rPr>
      </w:pPr>
      <w:r w:rsidRPr="00E345BE">
        <w:rPr>
          <w:rFonts w:ascii="Verdana" w:eastAsia="Century Gothic" w:hAnsi="Verdana" w:cs="Century Gothic"/>
          <w:sz w:val="20"/>
          <w:szCs w:val="20"/>
          <w:lang w:val="es-ES"/>
        </w:rPr>
        <w:t>14. ¿En qué condiciones considera Colombia Compra Eficiente que el uso de estos mecanismos podría resultar incompatible con los principios de selección objetiva y eficiencia del gasto público, especialmente cuando el precio no constituye un factor real de competencia?</w:t>
      </w:r>
    </w:p>
    <w:p w14:paraId="2703B87D" w14:textId="77777777" w:rsidR="007260DF" w:rsidRPr="005B7798" w:rsidRDefault="007260DF" w:rsidP="007260DF">
      <w:pPr>
        <w:spacing w:after="0" w:line="240" w:lineRule="auto"/>
        <w:ind w:left="709" w:right="709"/>
        <w:jc w:val="both"/>
        <w:rPr>
          <w:rFonts w:ascii="Verdana" w:eastAsia="Century Gothic" w:hAnsi="Verdana" w:cs="Century Gothic"/>
          <w:sz w:val="21"/>
          <w:szCs w:val="21"/>
          <w:lang w:val="es-ES"/>
        </w:rPr>
      </w:pPr>
      <w:r w:rsidRPr="00E345BE">
        <w:rPr>
          <w:rFonts w:ascii="Verdana" w:eastAsia="Century Gothic" w:hAnsi="Verdana" w:cs="Century Gothic"/>
          <w:sz w:val="20"/>
          <w:szCs w:val="20"/>
          <w:lang w:val="es-ES"/>
        </w:rPr>
        <w:t>15. Sírvase indicar expresamente si, a juicio de Colombia Compra Eficiente, las Bolsas de Productos actúan como simples intermediarios privados o como operadores con responsabilidades reforzadas derivadas de su intervención en procesos de contratación estatal financiados con recursos públicos, precisando el alcance de dicha responsabilidad</w:t>
      </w:r>
      <w:r w:rsidRPr="000E345C">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54C9695A" w14:textId="77777777" w:rsidR="007260DF" w:rsidRPr="008E6AD9" w:rsidRDefault="007260DF" w:rsidP="007260DF">
      <w:pPr>
        <w:pStyle w:val="Prrafodelista"/>
        <w:tabs>
          <w:tab w:val="left" w:pos="142"/>
          <w:tab w:val="left" w:pos="284"/>
        </w:tabs>
        <w:spacing w:after="0" w:line="276" w:lineRule="auto"/>
        <w:ind w:left="0"/>
        <w:jc w:val="both"/>
        <w:rPr>
          <w:rFonts w:ascii="Verdana" w:eastAsia="Century Gothic" w:hAnsi="Verdana" w:cs="Century Gothic"/>
          <w:b/>
          <w:bCs/>
        </w:rPr>
      </w:pPr>
    </w:p>
    <w:p w14:paraId="4DDB88A5" w14:textId="77777777" w:rsidR="007260DF" w:rsidRPr="00A652FF" w:rsidRDefault="007260DF" w:rsidP="007260D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A1611CE" w14:textId="77777777" w:rsidR="007260DF" w:rsidRDefault="007260DF" w:rsidP="007260D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BB6134F" w14:textId="77777777" w:rsidR="007260DF" w:rsidRPr="00593A5F" w:rsidRDefault="007260DF" w:rsidP="007260DF">
      <w:pPr>
        <w:spacing w:after="0" w:line="276" w:lineRule="auto"/>
        <w:ind w:firstLine="709"/>
        <w:jc w:val="both"/>
        <w:rPr>
          <w:rFonts w:ascii="Verdana" w:eastAsia="Calibri" w:hAnsi="Verdana" w:cs="Arial"/>
          <w:color w:val="000000"/>
          <w:lang w:val="es-ES" w:eastAsia="es-ES"/>
        </w:rPr>
      </w:pPr>
    </w:p>
    <w:p w14:paraId="530F80C2" w14:textId="77777777" w:rsidR="007260DF" w:rsidRPr="00593A5F" w:rsidRDefault="007260DF" w:rsidP="007260D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4CB821F" w14:textId="77777777" w:rsidR="007260DF" w:rsidRPr="00593A5F" w:rsidRDefault="007260DF" w:rsidP="007260DF">
      <w:pPr>
        <w:tabs>
          <w:tab w:val="left" w:pos="426"/>
        </w:tabs>
        <w:spacing w:after="0" w:line="276" w:lineRule="auto"/>
        <w:jc w:val="both"/>
        <w:rPr>
          <w:rFonts w:ascii="Verdana" w:eastAsia="Century Gothic" w:hAnsi="Verdana" w:cs="Century Gothic"/>
          <w:lang w:val="es-ES"/>
        </w:rPr>
      </w:pPr>
    </w:p>
    <w:p w14:paraId="5E4BAB76" w14:textId="77777777" w:rsidR="007260DF" w:rsidRPr="00593A5F" w:rsidRDefault="007260DF" w:rsidP="007260D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 </w:t>
      </w:r>
      <w:r w:rsidRPr="00801406">
        <w:rPr>
          <w:rFonts w:ascii="Verdana" w:eastAsia="Century Gothic" w:hAnsi="Verdana" w:cs="Century Gothic"/>
        </w:rPr>
        <w:t xml:space="preserve">¿cuál </w:t>
      </w:r>
      <w:r>
        <w:rPr>
          <w:rFonts w:ascii="Verdana" w:eastAsia="Century Gothic" w:hAnsi="Verdana" w:cs="Century Gothic"/>
        </w:rPr>
        <w:t>es el alcance de la responsabilidad de las bolsas de productos en la adquisición de bienes y servicios de características técnicas uniformes por el procedimiento de selección abreviada</w:t>
      </w:r>
      <w:r w:rsidRPr="00801406">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7FDC3A8" w14:textId="77777777" w:rsidR="007260DF" w:rsidRPr="004B140F" w:rsidRDefault="007260DF" w:rsidP="007260DF">
      <w:pPr>
        <w:spacing w:after="0" w:line="276" w:lineRule="auto"/>
        <w:jc w:val="both"/>
        <w:rPr>
          <w:rFonts w:ascii="Verdana" w:eastAsia="Calibri" w:hAnsi="Verdana" w:cs="Arial"/>
          <w:color w:val="7030A0"/>
        </w:rPr>
      </w:pPr>
    </w:p>
    <w:p w14:paraId="7D47CC2F" w14:textId="77777777" w:rsidR="007260DF" w:rsidRPr="00593A5F" w:rsidRDefault="007260DF" w:rsidP="007260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6712434" w14:textId="77777777" w:rsidR="007260DF" w:rsidRPr="00593A5F" w:rsidRDefault="007260DF" w:rsidP="007260D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60DF" w:rsidRPr="00593A5F" w14:paraId="0E26925E" w14:textId="77777777" w:rsidTr="00727F84">
        <w:trPr>
          <w:jc w:val="center"/>
        </w:trPr>
        <w:tc>
          <w:tcPr>
            <w:tcW w:w="8828" w:type="dxa"/>
          </w:tcPr>
          <w:p w14:paraId="7D86C5C4" w14:textId="77777777" w:rsidR="007260DF" w:rsidRDefault="007260DF" w:rsidP="00727F84">
            <w:pPr>
              <w:spacing w:after="120" w:line="276" w:lineRule="auto"/>
              <w:jc w:val="both"/>
              <w:rPr>
                <w:rFonts w:ascii="Verdana" w:eastAsia="Calibri" w:hAnsi="Verdana" w:cs="Arial"/>
                <w:color w:val="000000" w:themeColor="text1"/>
              </w:rPr>
            </w:pPr>
            <w:bookmarkStart w:id="1" w:name="_Hlk171694685"/>
            <w:r>
              <w:rPr>
                <w:rFonts w:ascii="Verdana" w:eastAsia="Calibri" w:hAnsi="Verdana" w:cs="Times New Roman"/>
                <w:iCs/>
                <w:lang w:val="es-ES"/>
              </w:rPr>
              <w:t>Conforme a la interpretación general de las normas del sistema de compras públicas, l</w:t>
            </w:r>
            <w:r>
              <w:rPr>
                <w:rFonts w:ascii="Verdana" w:eastAsia="Calibri" w:hAnsi="Verdana" w:cs="Arial"/>
                <w:bCs/>
                <w:color w:val="000000" w:themeColor="text1"/>
                <w:lang w:val="es-MX"/>
              </w:rPr>
              <w:t xml:space="preserve">as bolsas de productos no son particulares que ejercen funciones públicas en la contratación estatal, porque esta calificación se reserva a los sujetos enumerados el artículo 56 de la Ley 80 de 1993 para efectos penales, así como aquellos designados en el </w:t>
            </w:r>
            <w:r>
              <w:rPr>
                <w:rFonts w:ascii="Verdana" w:eastAsia="Calibri" w:hAnsi="Verdana" w:cs="Arial"/>
                <w:color w:val="000000" w:themeColor="text1"/>
                <w:lang w:eastAsia="es-ES"/>
              </w:rPr>
              <w:t>parágrafo 1˚ del artículo 2 de la Ley 678 de 2001 con fines de repetición. De acuerdo con los artículos 123 y 210 de la Constitución Política de 1991, los particulares cumplirán funciones administrativas en las condiciones que establezca el legislador, de manera que dicha condición no puede derivarse interpretativamente, sino de un fundamento jurídico expreso. (Respuesta a la pregunta 1)</w:t>
            </w:r>
          </w:p>
          <w:p w14:paraId="365DD91B" w14:textId="77777777" w:rsidR="007260DF" w:rsidRDefault="007260DF" w:rsidP="00727F84">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Como el numeral 7 del artículo 2.11.1.1.6 del Decreto 2555 de 2010 dispone que los reglamentos de las bolsas deben definir “</w:t>
            </w:r>
            <w:r w:rsidRPr="00E63D9A">
              <w:rPr>
                <w:rFonts w:ascii="Verdana" w:eastAsia="Calibri" w:hAnsi="Verdana" w:cs="Arial"/>
                <w:color w:val="000000" w:themeColor="text1"/>
                <w:lang w:eastAsia="es-ES"/>
              </w:rPr>
              <w:t>Las reglas para el funcionamiento y operación de los mercados respectivos, las cuales deben aludir entre otros aspectos al proceso de formación de precios, al proceso de negociación y ejecución de operaciones, al tipo de ofertas que se pueden colocar en el sistema, a la información que se debe ingresar al sistema sobre las ofertas de compra y venta, así como a los criterios y parámetros para el cierre y adjudicación de operaciones</w:t>
            </w:r>
            <w:r>
              <w:rPr>
                <w:rFonts w:ascii="Verdana" w:eastAsia="Calibri" w:hAnsi="Verdana" w:cs="Arial"/>
                <w:color w:val="000000" w:themeColor="text1"/>
                <w:lang w:eastAsia="es-ES"/>
              </w:rPr>
              <w:t>”, es claro que aquellas inciden en los tratos entre comisionistas</w:t>
            </w:r>
            <w:r w:rsidRPr="00E63D9A">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No obstante, al ser operadores privados de un mercado de bienes y productos, son distintas a las plataformas estatales de contratación como el SECOP o la TVEC, sistemas administrados por la ANCP – CCE. (Respuesta a las preguntas 2 y 3)</w:t>
            </w:r>
          </w:p>
          <w:p w14:paraId="495E9FAC" w14:textId="6143DDB1" w:rsidR="007260DF" w:rsidRDefault="007260DF" w:rsidP="00727F84">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Al ser la comisión una forma de mandato que se incorpora a la contratación estatal a través de los artículos 13, 32 y 40 de la Ley 80 de 1993, de la interpretación sistemática entre los artículos 1, 2 y 1308 del Código de </w:t>
            </w:r>
            <w:r>
              <w:rPr>
                <w:rFonts w:ascii="Verdana" w:eastAsia="Calibri" w:hAnsi="Verdana" w:cs="Arial"/>
                <w:color w:val="000000" w:themeColor="text1"/>
                <w:lang w:eastAsia="es-ES"/>
              </w:rPr>
              <w:lastRenderedPageBreak/>
              <w:t>Comercio y de su integración con el artículo 2184 del Código Civil, la entidad estatal comitente debe proveer al comisionista de todo lo necesario para su ejecución, lo que incluye los recursos públicos necesarios para que este último participe en las ruedas de negocios organizadas por la bolsa. Luego, el comisionista comprador debe administrarlos bajo la prohibición del inciso primero del 1271 del Código de Comercio, pues “</w:t>
            </w:r>
            <w:r w:rsidRPr="00504BBA">
              <w:rPr>
                <w:rFonts w:ascii="Verdana" w:eastAsia="Calibri" w:hAnsi="Verdana" w:cs="Arial"/>
                <w:color w:val="000000" w:themeColor="text1"/>
                <w:lang w:eastAsia="es-ES"/>
              </w:rPr>
              <w:t>El mandatario no podrá emplear en sus propios negocios los fondos que le suministre el mandante y, si lo hace, abonará a éste el interés legal desde el día en que infrinja la prohibición y le indemnizará los daños que le cause, sin perjuicio de las sanciones penales correspondientes al abuso de confianza</w:t>
            </w:r>
            <w:r>
              <w:rPr>
                <w:rFonts w:ascii="Verdana" w:eastAsia="Calibri" w:hAnsi="Verdana" w:cs="Arial"/>
                <w:color w:val="000000" w:themeColor="text1"/>
                <w:lang w:eastAsia="es-ES"/>
              </w:rPr>
              <w:t>”</w:t>
            </w:r>
            <w:r w:rsidRPr="00504BBA">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Como este deber </w:t>
            </w:r>
            <w:r w:rsidR="00B106A8">
              <w:rPr>
                <w:rFonts w:ascii="Verdana" w:eastAsia="Calibri" w:hAnsi="Verdana" w:cs="Arial"/>
                <w:color w:val="000000" w:themeColor="text1"/>
                <w:lang w:eastAsia="es-ES"/>
              </w:rPr>
              <w:t>de</w:t>
            </w:r>
            <w:r>
              <w:rPr>
                <w:rFonts w:ascii="Verdana" w:eastAsia="Calibri" w:hAnsi="Verdana" w:cs="Arial"/>
                <w:color w:val="000000" w:themeColor="text1"/>
                <w:lang w:eastAsia="es-ES"/>
              </w:rPr>
              <w:t xml:space="preserve"> custodia corresponde al comisionista contratado, la bolsa de productos es un intermediario comercial a través del cual confluyen compradores y vendedores bajo una</w:t>
            </w:r>
            <w:r w:rsidR="008F46FF">
              <w:rPr>
                <w:rFonts w:ascii="Verdana" w:eastAsia="Calibri" w:hAnsi="Verdana" w:cs="Arial"/>
                <w:color w:val="000000" w:themeColor="text1"/>
                <w:lang w:eastAsia="es-ES"/>
              </w:rPr>
              <w:t>s</w:t>
            </w:r>
            <w:r>
              <w:rPr>
                <w:rFonts w:ascii="Verdana" w:eastAsia="Calibri" w:hAnsi="Verdana" w:cs="Arial"/>
                <w:color w:val="000000" w:themeColor="text1"/>
                <w:lang w:eastAsia="es-ES"/>
              </w:rPr>
              <w:t xml:space="preserve"> reglas de negociación preestablecidas, por lo que le corresponde establecer las condiciones para operar en el mercado en los términos del precitado numeral 7 del artículo 2.11.1.1.6 del Decreto 2555 de 2010. (Respuesta a las preguntas 4 y 15)</w:t>
            </w:r>
          </w:p>
          <w:p w14:paraId="4E207289" w14:textId="77777777" w:rsidR="007260DF" w:rsidRDefault="007260DF" w:rsidP="00727F84">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Dado que la bolsa de productos no es parte en el contrato estatal celebrado entre la entidad comitente y el comisionista, la eventual responsabilidad contractual corresponde a este último. Si existen fallas en la operación, lo anterior no obsta para el ejercicio de las funciones de inspección, control y vigilancia por parte de la </w:t>
            </w:r>
            <w:r w:rsidRPr="00E21B66">
              <w:rPr>
                <w:rFonts w:ascii="Verdana" w:eastAsia="Calibri" w:hAnsi="Verdana" w:cs="Arial"/>
                <w:color w:val="000000" w:themeColor="text1"/>
                <w:lang w:eastAsia="es-ES"/>
              </w:rPr>
              <w:t>Superintendencia Financiera de Colombia</w:t>
            </w:r>
            <w:r>
              <w:rPr>
                <w:rFonts w:ascii="Verdana" w:eastAsia="Calibri" w:hAnsi="Verdana" w:cs="Arial"/>
                <w:color w:val="000000" w:themeColor="text1"/>
                <w:lang w:eastAsia="es-ES"/>
              </w:rPr>
              <w:t xml:space="preserve"> de acuerdo con el parágrafo 2 del artículo </w:t>
            </w:r>
            <w:r w:rsidRPr="008F451C">
              <w:rPr>
                <w:rFonts w:ascii="Verdana" w:eastAsia="Calibri" w:hAnsi="Verdana" w:cs="Arial"/>
                <w:color w:val="000000" w:themeColor="text1"/>
                <w:lang w:eastAsia="es-ES"/>
              </w:rPr>
              <w:t>2.2.1.2.1.2.12</w:t>
            </w:r>
            <w:r>
              <w:rPr>
                <w:rFonts w:ascii="Verdana" w:eastAsia="Calibri" w:hAnsi="Verdana" w:cs="Arial"/>
                <w:color w:val="000000" w:themeColor="text1"/>
                <w:lang w:eastAsia="es-ES"/>
              </w:rPr>
              <w:t xml:space="preserve"> del Decreto 1082 de 2015. A esto se suma la responsabilidad patrimonial por los daños causados, caso en el cual la solidaridad legal operará en las condiciones establecidas en los artículos 2344 del Código Civil y 825 del Código de Comercio, de acuerdo a la fuente del perjuicio. (Respuesta a las preguntas 7, 8 y 9)</w:t>
            </w:r>
          </w:p>
          <w:p w14:paraId="4DD6BE92" w14:textId="77777777" w:rsidR="007260DF" w:rsidRDefault="007260DF" w:rsidP="00727F84">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La Agencia carece de atribuciones para hacer control, seguimiento o supervisión a la actividad desarrollada por las bolsas de productos, pues corresponde a la Superfinanciera como se explicó en el párrafo precedente. Además, también están fuera de la jurisdicción contenciosa administrativa de acuerdo con el inciso primero del artículo 104 de la Ley 1437 de 2011, dado que las bolsas no son entidades públicas ni particulares que ejerzan funciones administrativas. (Respuesta a las preguntas 11 y 12)</w:t>
            </w:r>
          </w:p>
          <w:p w14:paraId="4259C7D9" w14:textId="77777777" w:rsidR="007260DF" w:rsidRPr="00101026" w:rsidRDefault="007260DF" w:rsidP="00727F84">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Finalmente, a</w:t>
            </w:r>
            <w:r>
              <w:rPr>
                <w:rFonts w:ascii="Verdana" w:eastAsia="Calibri" w:hAnsi="Verdana" w:cs="Arial"/>
                <w:bCs/>
                <w:color w:val="000000" w:themeColor="text1"/>
              </w:rPr>
              <w:t xml:space="preserve">unque </w:t>
            </w:r>
            <w:r>
              <w:rPr>
                <w:rFonts w:ascii="Verdana" w:eastAsia="Century Gothic" w:hAnsi="Verdana" w:cs="Century Gothic"/>
              </w:rPr>
              <w:t xml:space="preserve">el numeral 2 del artículo </w:t>
            </w:r>
            <w:r w:rsidRPr="00B828F6">
              <w:rPr>
                <w:rFonts w:ascii="Verdana" w:eastAsia="Century Gothic" w:hAnsi="Verdana" w:cs="Century Gothic"/>
              </w:rPr>
              <w:t>2.2.1.2.1.2.1</w:t>
            </w:r>
            <w:r>
              <w:rPr>
                <w:rFonts w:ascii="Verdana" w:eastAsia="Century Gothic" w:hAnsi="Verdana" w:cs="Century Gothic"/>
              </w:rPr>
              <w:t xml:space="preserve"> del Decreto 1082 de 2015 dispone que los pliegos de condiciones </w:t>
            </w:r>
            <w:r w:rsidRPr="008E3F3E">
              <w:rPr>
                <w:rFonts w:ascii="Verdana" w:eastAsia="Century Gothic" w:hAnsi="Verdana" w:cs="Century Gothic"/>
              </w:rPr>
              <w:t xml:space="preserve">para contratar bienes y </w:t>
            </w:r>
            <w:r w:rsidRPr="008E3F3E">
              <w:rPr>
                <w:rFonts w:ascii="Verdana" w:eastAsia="Century Gothic" w:hAnsi="Verdana" w:cs="Century Gothic"/>
              </w:rPr>
              <w:lastRenderedPageBreak/>
              <w:t>servicios de características técnicas uniformes, la entidad estatal debe indicar</w:t>
            </w:r>
            <w:r>
              <w:rPr>
                <w:rFonts w:ascii="Verdana" w:eastAsia="Century Gothic" w:hAnsi="Verdana" w:cs="Century Gothic"/>
              </w:rPr>
              <w:t xml:space="preserve"> “</w:t>
            </w:r>
            <w:r w:rsidRPr="008E3F3E">
              <w:rPr>
                <w:rFonts w:ascii="Verdana" w:eastAsia="Century Gothic" w:hAnsi="Verdana" w:cs="Century Gothic"/>
              </w:rPr>
              <w:t>Si el precio del bien o servicio es regulado, la variable sobre la cual se hace la evaluación de las ofertas</w:t>
            </w:r>
            <w:r>
              <w:rPr>
                <w:rFonts w:ascii="Verdana" w:eastAsia="Century Gothic" w:hAnsi="Verdana" w:cs="Century Gothic"/>
              </w:rPr>
              <w:t xml:space="preserve">”, no puede perderse de vista que –conforme al artículo 5.3 de la Ley 1150 de 2007– “[…] </w:t>
            </w:r>
            <w:r w:rsidRPr="00120EB3">
              <w:rPr>
                <w:rFonts w:ascii="Verdana" w:eastAsia="Century Gothic" w:hAnsi="Verdana" w:cs="Century Gothic"/>
              </w:rPr>
              <w:t>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Pr>
                <w:rFonts w:ascii="Verdana" w:eastAsia="Century Gothic" w:hAnsi="Verdana" w:cs="Century Gothic"/>
              </w:rPr>
              <w:t>”; razón por la cual, no hay lugar a la ponderación de elementos adicionales en la subasta inversa, los acuerdos marco de precios o las bolsas de productos. Luego, si el precio se encuentra regulado, lo recomendable es acudir a la licitación pública o la selección abreviada de menor cuantía, pues estos procedimientos permiten la ponderación de elementos adicionales al valor de los bienes o servicios requeridos. (Respuesta a las preguntas 13 y 14)</w:t>
            </w:r>
            <w:r w:rsidRPr="00504BBA">
              <w:rPr>
                <w:rFonts w:ascii="Verdana" w:eastAsia="Calibri" w:hAnsi="Verdana" w:cs="Arial"/>
                <w:color w:val="000000" w:themeColor="text1"/>
                <w:lang w:eastAsia="es-ES"/>
              </w:rPr>
              <w:t xml:space="preserve"> </w:t>
            </w:r>
          </w:p>
          <w:p w14:paraId="09549D63" w14:textId="77777777" w:rsidR="007260DF" w:rsidRPr="00EF29DC" w:rsidRDefault="007260DF" w:rsidP="00727F84">
            <w:pPr>
              <w:spacing w:line="276" w:lineRule="auto"/>
              <w:ind w:firstLine="708"/>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Pr>
                <w:rStyle w:val="s15"/>
                <w:rFonts w:ascii="Verdana" w:hAnsi="Verdana"/>
                <w:color w:val="000000"/>
              </w:rPr>
              <w:t xml:space="preserve">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w:t>
            </w:r>
            <w:r>
              <w:rPr>
                <w:rStyle w:val="s15"/>
                <w:rFonts w:ascii="Verdana" w:hAnsi="Verdana"/>
                <w:color w:val="000000"/>
              </w:rPr>
              <w:t xml:space="preserve"> </w:t>
            </w:r>
            <w:r w:rsidRPr="001941FD">
              <w:rPr>
                <w:rStyle w:val="s15"/>
                <w:rFonts w:ascii="Verdana" w:hAnsi="Verdana"/>
                <w:color w:val="000000"/>
              </w:rPr>
              <w:t>validar sus actuaciones.</w:t>
            </w:r>
            <w:r>
              <w:rPr>
                <w:rStyle w:val="s15"/>
                <w:rFonts w:ascii="Verdana" w:hAnsi="Verdana"/>
                <w:color w:val="000000"/>
              </w:rPr>
              <w:t xml:space="preserve"> </w:t>
            </w:r>
            <w:r>
              <w:rPr>
                <w:rFonts w:ascii="Verdana" w:eastAsia="Calibri" w:hAnsi="Verdana" w:cs="Arial"/>
                <w:bCs/>
                <w:color w:val="000000" w:themeColor="text1"/>
              </w:rPr>
              <w:t>Por lo demás, corresponde a la Contraloría General de la República definir si las bolsas de productos realizan gestión fiscal para los efectos del artículo 3 de la Ley 610 de 2000, pues este punto no guarda relación con las normas generales del sistema de compras pública. (Respuesta a las preguntas 5, 6 y 10)</w:t>
            </w:r>
          </w:p>
        </w:tc>
      </w:tr>
    </w:tbl>
    <w:p w14:paraId="78C9EAD9" w14:textId="77777777" w:rsidR="007260DF" w:rsidRPr="00593A5F" w:rsidRDefault="007260DF" w:rsidP="007260DF">
      <w:pPr>
        <w:tabs>
          <w:tab w:val="left" w:pos="142"/>
          <w:tab w:val="left" w:pos="284"/>
        </w:tabs>
        <w:spacing w:after="0" w:line="276" w:lineRule="auto"/>
        <w:jc w:val="both"/>
        <w:rPr>
          <w:rFonts w:ascii="Verdana" w:eastAsia="Century Gothic" w:hAnsi="Verdana" w:cs="Century Gothic"/>
          <w:b/>
          <w:bCs/>
          <w:lang w:val="es-ES"/>
        </w:rPr>
      </w:pPr>
    </w:p>
    <w:bookmarkEnd w:id="1"/>
    <w:p w14:paraId="75438AB4" w14:textId="77777777" w:rsidR="007260DF" w:rsidRPr="00593A5F" w:rsidRDefault="007260DF" w:rsidP="007260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2D0F9B" w14:textId="77777777" w:rsidR="007260DF" w:rsidRPr="00593A5F" w:rsidRDefault="007260DF" w:rsidP="007260DF">
      <w:pPr>
        <w:spacing w:after="0" w:line="276" w:lineRule="auto"/>
        <w:jc w:val="both"/>
        <w:rPr>
          <w:rFonts w:ascii="Verdana" w:eastAsia="Calibri" w:hAnsi="Verdana" w:cs="Arial"/>
          <w:color w:val="7030A0"/>
          <w:lang w:val="es-ES"/>
        </w:rPr>
      </w:pPr>
    </w:p>
    <w:p w14:paraId="4ABC7CA8" w14:textId="77777777" w:rsidR="007260DF" w:rsidRDefault="007260DF" w:rsidP="007260D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C072095" w14:textId="77777777" w:rsidR="007260DF" w:rsidRPr="00415608" w:rsidRDefault="007260DF" w:rsidP="007260DF">
      <w:pPr>
        <w:spacing w:after="0" w:line="276" w:lineRule="auto"/>
        <w:jc w:val="both"/>
        <w:rPr>
          <w:rFonts w:ascii="Verdana" w:eastAsia="Calibri" w:hAnsi="Verdana" w:cs="Arial"/>
          <w:lang w:val="es-ES"/>
        </w:rPr>
      </w:pPr>
    </w:p>
    <w:p w14:paraId="7879CF04" w14:textId="77777777" w:rsidR="007260DF" w:rsidRPr="00B46EAD" w:rsidRDefault="007260DF" w:rsidP="007260DF">
      <w:pPr>
        <w:tabs>
          <w:tab w:val="left" w:pos="426"/>
        </w:tabs>
        <w:spacing w:after="120" w:line="276" w:lineRule="auto"/>
        <w:jc w:val="both"/>
        <w:rPr>
          <w:rFonts w:ascii="Verdana" w:eastAsia="Calibri" w:hAnsi="Verdana" w:cs="Arial"/>
          <w:color w:val="000000"/>
          <w:szCs w:val="24"/>
          <w:lang w:val="es-ES_tradnl" w:eastAsia="es-ES_tradnl"/>
        </w:rPr>
      </w:pPr>
      <w:r w:rsidRPr="0086479C">
        <w:rPr>
          <w:rFonts w:ascii="Verdana" w:eastAsia="Calibri" w:hAnsi="Verdana" w:cs="Arial"/>
          <w:color w:val="000000"/>
          <w:szCs w:val="24"/>
          <w:lang w:val="es-ES_tradnl" w:eastAsia="es-ES_tradnl"/>
        </w:rPr>
        <w:t>P</w:t>
      </w:r>
      <w:r w:rsidRPr="0086479C">
        <w:rPr>
          <w:rFonts w:ascii="Verdana" w:hAnsi="Verdana" w:cs="Arial"/>
          <w:lang w:val="es-ES"/>
        </w:rPr>
        <w:t xml:space="preserve">ara las entidades sometidas al Estatuto General de Contratación de la Administración Pública, los procesos de selección se rigen por </w:t>
      </w:r>
      <w:r w:rsidRPr="0086479C">
        <w:rPr>
          <w:rFonts w:ascii="Verdana" w:hAnsi="Verdana" w:cs="Arial"/>
          <w:bCs/>
          <w:lang w:val="es-ES_tradnl"/>
        </w:rPr>
        <w:t>el artículo 2 de la Ley 1150 de 2007</w:t>
      </w:r>
      <w:r w:rsidRPr="0086479C">
        <w:rPr>
          <w:rFonts w:ascii="Verdana" w:hAnsi="Verdana" w:cs="Arial"/>
          <w:lang w:val="es-ES"/>
        </w:rPr>
        <w:t xml:space="preserve">. El </w:t>
      </w:r>
      <w:r w:rsidRPr="0086479C">
        <w:rPr>
          <w:rFonts w:ascii="Verdana" w:eastAsia="Calibri" w:hAnsi="Verdana" w:cs="Arial"/>
          <w:bCs/>
          <w:lang w:val="es-MX" w:eastAsia="es-ES_tradnl"/>
        </w:rPr>
        <w:t>numeral uno, inciso primero, de la norma citada</w:t>
      </w:r>
      <w:r w:rsidRPr="0086479C">
        <w:rPr>
          <w:rFonts w:ascii="Verdana" w:hAnsi="Verdana" w:cs="Arial"/>
          <w:bCs/>
          <w:lang w:val="es-ES_tradnl"/>
        </w:rPr>
        <w:t xml:space="preserve"> </w:t>
      </w:r>
      <w:r w:rsidRPr="0086479C">
        <w:rPr>
          <w:rFonts w:ascii="Verdana" w:eastAsia="Calibri" w:hAnsi="Verdana" w:cs="Arial"/>
          <w:bCs/>
          <w:lang w:val="es-MX" w:eastAsia="es-ES_tradnl"/>
        </w:rPr>
        <w:t xml:space="preserve">dispone que “La escogencia del contratista se efectuará por </w:t>
      </w:r>
      <w:r w:rsidRPr="0086479C">
        <w:rPr>
          <w:rFonts w:ascii="Verdana" w:eastAsia="Calibri" w:hAnsi="Verdana" w:cs="Arial"/>
          <w:bCs/>
          <w:i/>
          <w:iCs/>
          <w:lang w:val="es-MX" w:eastAsia="es-ES_tradnl"/>
        </w:rPr>
        <w:t>regla general</w:t>
      </w:r>
      <w:r w:rsidRPr="0086479C">
        <w:rPr>
          <w:rFonts w:ascii="Verdana" w:eastAsia="Calibri" w:hAnsi="Verdana" w:cs="Arial"/>
          <w:bCs/>
          <w:lang w:val="es-MX" w:eastAsia="es-ES_tradnl"/>
        </w:rPr>
        <w:t xml:space="preserve"> a través de licitación pública, con las </w:t>
      </w:r>
      <w:r w:rsidRPr="0086479C">
        <w:rPr>
          <w:rFonts w:ascii="Verdana" w:eastAsia="Calibri" w:hAnsi="Verdana" w:cs="Arial"/>
          <w:bCs/>
          <w:i/>
          <w:iCs/>
          <w:lang w:val="es-MX" w:eastAsia="es-ES_tradnl"/>
        </w:rPr>
        <w:t>excepciones</w:t>
      </w:r>
      <w:r w:rsidRPr="0086479C">
        <w:rPr>
          <w:rFonts w:ascii="Verdana" w:eastAsia="Calibri" w:hAnsi="Verdana" w:cs="Arial"/>
          <w:bCs/>
          <w:lang w:val="es-MX" w:eastAsia="es-ES_tradnl"/>
        </w:rPr>
        <w:t xml:space="preserve"> que se señalan en los numerales 2, 3 y 4 </w:t>
      </w:r>
      <w:r w:rsidRPr="0086479C">
        <w:rPr>
          <w:rFonts w:ascii="Verdana" w:eastAsia="Calibri" w:hAnsi="Verdana" w:cs="Arial"/>
          <w:bCs/>
          <w:lang w:val="es-MX" w:eastAsia="es-ES_tradnl"/>
        </w:rPr>
        <w:lastRenderedPageBreak/>
        <w:t>del presente artículo”, norma que sustituye el derogado numeral 1 del artículo 24 de la Ley 80 de 1993 sobre el principio de transparencia</w:t>
      </w:r>
      <w:r w:rsidRPr="0086479C">
        <w:rPr>
          <w:rStyle w:val="Refdenotaalpie"/>
          <w:rFonts w:ascii="Verdana" w:eastAsia="Calibri" w:hAnsi="Verdana" w:cs="Arial"/>
          <w:bCs/>
          <w:lang w:val="es-MX" w:eastAsia="es-ES_tradnl"/>
        </w:rPr>
        <w:footnoteReference w:id="1"/>
      </w:r>
      <w:r w:rsidRPr="0086479C">
        <w:rPr>
          <w:rFonts w:ascii="Verdana" w:eastAsia="Calibri" w:hAnsi="Verdana" w:cs="Arial"/>
          <w:bCs/>
          <w:lang w:val="es-MX" w:eastAsia="es-ES_tradnl"/>
        </w:rPr>
        <w:t xml:space="preserve">. </w:t>
      </w:r>
    </w:p>
    <w:p w14:paraId="7407B2F4" w14:textId="77777777" w:rsidR="007260DF" w:rsidRPr="00185EE9" w:rsidRDefault="007260DF" w:rsidP="007260DF">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6669270F" w14:textId="77777777" w:rsidR="007260DF" w:rsidRPr="00185EE9" w:rsidRDefault="007260DF" w:rsidP="007260DF">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r w:rsidRPr="00185EE9">
        <w:rPr>
          <w:rFonts w:ascii="Verdana" w:eastAsia="Calibri" w:hAnsi="Verdana" w:cs="Arial"/>
        </w:rPr>
        <w:t>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185EE9">
        <w:rPr>
          <w:rStyle w:val="Refdenotaalpie"/>
          <w:rFonts w:ascii="Verdana" w:eastAsia="Calibri" w:hAnsi="Verdana" w:cs="Arial"/>
        </w:rPr>
        <w:footnoteReference w:id="3"/>
      </w:r>
      <w:r w:rsidRPr="00185EE9">
        <w:rPr>
          <w:rFonts w:ascii="Verdana" w:eastAsia="Calibri" w:hAnsi="Verdana" w:cs="Arial"/>
        </w:rPr>
        <w:t xml:space="preserve">. </w:t>
      </w:r>
    </w:p>
    <w:p w14:paraId="6B0C645B" w14:textId="77777777" w:rsidR="007260DF" w:rsidRPr="00185EE9" w:rsidRDefault="007260DF" w:rsidP="007260DF">
      <w:pPr>
        <w:spacing w:after="0" w:line="276" w:lineRule="auto"/>
        <w:ind w:firstLine="708"/>
        <w:jc w:val="both"/>
        <w:rPr>
          <w:rFonts w:ascii="Verdana" w:eastAsia="Calibri" w:hAnsi="Verdana" w:cs="Arial"/>
        </w:rPr>
      </w:pPr>
      <w:r w:rsidRPr="00185EE9">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5572E534" w14:textId="77777777" w:rsidR="007260DF" w:rsidRPr="00185EE9" w:rsidRDefault="007260DF" w:rsidP="007260DF">
      <w:pPr>
        <w:spacing w:after="0" w:line="276" w:lineRule="auto"/>
        <w:jc w:val="both"/>
        <w:rPr>
          <w:rFonts w:ascii="Verdana" w:eastAsia="Calibri" w:hAnsi="Verdana" w:cs="Arial"/>
        </w:rPr>
      </w:pPr>
    </w:p>
    <w:p w14:paraId="33CFD62E" w14:textId="77777777" w:rsidR="007260DF" w:rsidRPr="008C5B7D" w:rsidRDefault="007260DF" w:rsidP="007260DF">
      <w:pPr>
        <w:spacing w:after="120" w:line="240" w:lineRule="auto"/>
        <w:ind w:left="709" w:right="709"/>
        <w:jc w:val="both"/>
        <w:rPr>
          <w:rFonts w:ascii="Verdana" w:eastAsia="Calibri" w:hAnsi="Verdana" w:cs="Arial"/>
          <w:sz w:val="20"/>
          <w:szCs w:val="20"/>
        </w:rPr>
      </w:pPr>
      <w:r w:rsidRPr="008C5B7D">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475877D4" w14:textId="77777777" w:rsidR="007260DF" w:rsidRPr="008C5B7D" w:rsidRDefault="007260DF" w:rsidP="007260DF">
      <w:pPr>
        <w:spacing w:after="0" w:line="240" w:lineRule="auto"/>
        <w:ind w:left="709" w:right="709"/>
        <w:jc w:val="both"/>
        <w:rPr>
          <w:rFonts w:ascii="Verdana" w:eastAsia="Calibri" w:hAnsi="Verdana" w:cs="Arial"/>
          <w:sz w:val="20"/>
          <w:szCs w:val="20"/>
        </w:rPr>
      </w:pPr>
      <w:r w:rsidRPr="008C5B7D">
        <w:rPr>
          <w:rFonts w:ascii="Verdana" w:eastAsia="Calibri" w:hAnsi="Verdana" w:cs="Arial"/>
          <w:sz w:val="20"/>
          <w:szCs w:val="20"/>
        </w:rPr>
        <w:t xml:space="preserve">– Se crea la llamada ‘selección abreviada’, para permitir la existencia de procedimientos de selección que, basados estrictamente en los principios </w:t>
      </w:r>
      <w:r w:rsidRPr="008C5B7D">
        <w:rPr>
          <w:rFonts w:ascii="Verdana" w:eastAsia="Calibri" w:hAnsi="Verdana" w:cs="Arial"/>
          <w:sz w:val="20"/>
          <w:szCs w:val="20"/>
        </w:rPr>
        <w:lastRenderedPageBreak/>
        <w:t>cardinales de la contratación pública, permitan de manera ágil la adopción de decisiones de selección […]”</w:t>
      </w:r>
      <w:r w:rsidRPr="008C5B7D">
        <w:rPr>
          <w:rStyle w:val="Refdenotaalpie"/>
          <w:rFonts w:ascii="Verdana" w:eastAsia="Calibri" w:hAnsi="Verdana" w:cs="Arial"/>
          <w:sz w:val="20"/>
          <w:szCs w:val="20"/>
        </w:rPr>
        <w:footnoteReference w:id="4"/>
      </w:r>
      <w:r w:rsidRPr="008C5B7D">
        <w:rPr>
          <w:rFonts w:ascii="Verdana" w:eastAsia="Calibri" w:hAnsi="Verdana" w:cs="Arial"/>
          <w:sz w:val="20"/>
          <w:szCs w:val="20"/>
        </w:rPr>
        <w:t>.</w:t>
      </w:r>
    </w:p>
    <w:p w14:paraId="27F9E70B" w14:textId="77777777" w:rsidR="007260DF" w:rsidRPr="00185EE9" w:rsidRDefault="007260DF" w:rsidP="007260DF">
      <w:pPr>
        <w:spacing w:after="0" w:line="276" w:lineRule="auto"/>
        <w:jc w:val="both"/>
        <w:rPr>
          <w:rFonts w:ascii="Verdana" w:eastAsia="Calibri" w:hAnsi="Verdana" w:cs="Arial"/>
        </w:rPr>
      </w:pPr>
    </w:p>
    <w:p w14:paraId="39216178" w14:textId="77777777" w:rsidR="007260DF" w:rsidRPr="00185EE9" w:rsidRDefault="007260DF" w:rsidP="007260DF">
      <w:pPr>
        <w:spacing w:after="120" w:line="276" w:lineRule="auto"/>
        <w:ind w:firstLine="709"/>
        <w:jc w:val="both"/>
        <w:rPr>
          <w:rFonts w:ascii="Verdana" w:eastAsia="Calibri" w:hAnsi="Verdana" w:cs="Arial"/>
        </w:rPr>
      </w:pPr>
      <w:r w:rsidRPr="00185EE9">
        <w:rPr>
          <w:rFonts w:ascii="Verdana" w:eastAsia="Calibri" w:hAnsi="Verdana"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5"/>
      </w:r>
      <w:r w:rsidRPr="00185EE9">
        <w:rPr>
          <w:rFonts w:ascii="Verdana" w:eastAsia="Calibri" w:hAnsi="Verdana" w:cs="Arial"/>
        </w:rPr>
        <w:t xml:space="preserve">. </w:t>
      </w:r>
    </w:p>
    <w:p w14:paraId="50A51594" w14:textId="77777777" w:rsidR="007260DF" w:rsidRPr="00185EE9" w:rsidRDefault="007260DF" w:rsidP="007260DF">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6"/>
      </w:r>
      <w:r w:rsidRPr="00185EE9">
        <w:rPr>
          <w:rFonts w:ascii="Verdana" w:eastAsia="Calibri" w:hAnsi="Verdana" w:cs="Arial"/>
          <w:bCs/>
          <w:color w:val="000000" w:themeColor="text1"/>
        </w:rPr>
        <w:t xml:space="preserve">. </w:t>
      </w:r>
    </w:p>
    <w:p w14:paraId="6839B890" w14:textId="77777777" w:rsidR="007260DF" w:rsidRPr="00185EE9" w:rsidRDefault="007260DF" w:rsidP="007260DF">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lastRenderedPageBreak/>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096A5870" w14:textId="77777777" w:rsidR="007260DF" w:rsidRPr="00185EE9" w:rsidRDefault="007260DF" w:rsidP="007260DF">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w:t>
      </w:r>
    </w:p>
    <w:p w14:paraId="4FCF7849" w14:textId="77777777" w:rsidR="007260DF" w:rsidRPr="00185EE9" w:rsidRDefault="007260DF" w:rsidP="007260DF">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w:t>
      </w:r>
      <w:r w:rsidRPr="00185EE9">
        <w:rPr>
          <w:rFonts w:ascii="Verdana" w:eastAsia="Calibri" w:hAnsi="Verdana" w:cs="Arial"/>
          <w:bCs/>
          <w:color w:val="000000" w:themeColor="text1"/>
        </w:rPr>
        <w:lastRenderedPageBreak/>
        <w:t xml:space="preserve">agrupados como bienes y servicios homogéneos para su adquisición […]”, dado que cuentan con especificaciones técnicas y patrones de desempeño y calidad similares. Al respecto, la exposición de motivos de la Ley 1150 de 2007 explica que: </w:t>
      </w:r>
    </w:p>
    <w:p w14:paraId="654659D1" w14:textId="77777777" w:rsidR="007260DF" w:rsidRPr="00185EE9" w:rsidRDefault="007260DF" w:rsidP="007260DF">
      <w:pPr>
        <w:spacing w:after="0" w:line="276" w:lineRule="auto"/>
        <w:jc w:val="both"/>
        <w:rPr>
          <w:rFonts w:ascii="Verdana" w:eastAsia="Calibri" w:hAnsi="Verdana" w:cs="Arial"/>
        </w:rPr>
      </w:pPr>
    </w:p>
    <w:p w14:paraId="56F083D6" w14:textId="77777777" w:rsidR="007260DF" w:rsidRPr="00185EE9" w:rsidRDefault="007260DF" w:rsidP="007260DF">
      <w:pPr>
        <w:spacing w:after="0" w:line="240" w:lineRule="auto"/>
        <w:ind w:left="709" w:right="709"/>
        <w:jc w:val="both"/>
        <w:rPr>
          <w:rFonts w:ascii="Verdana" w:eastAsia="Calibri" w:hAnsi="Verdana" w:cs="Arial"/>
          <w:sz w:val="21"/>
          <w:szCs w:val="21"/>
        </w:rPr>
      </w:pPr>
      <w:r w:rsidRPr="00185EE9">
        <w:rPr>
          <w:rFonts w:ascii="Verdana" w:eastAsia="Calibri" w:hAnsi="Verdana" w:cs="Arial"/>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185EE9">
        <w:rPr>
          <w:rFonts w:ascii="Verdana" w:eastAsia="Calibri" w:hAnsi="Verdana" w:cs="Arial"/>
          <w:i/>
          <w:iCs/>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185EE9">
        <w:rPr>
          <w:rFonts w:ascii="Verdana" w:eastAsia="Calibri" w:hAnsi="Verdana" w:cs="Arial"/>
          <w:sz w:val="21"/>
          <w:szCs w:val="21"/>
        </w:rPr>
        <w:t xml:space="preserve"> […]”</w:t>
      </w:r>
      <w:r w:rsidRPr="00185EE9">
        <w:rPr>
          <w:rStyle w:val="Refdenotaalpie"/>
          <w:rFonts w:ascii="Verdana" w:eastAsia="Calibri" w:hAnsi="Verdana" w:cs="Arial"/>
          <w:sz w:val="21"/>
          <w:szCs w:val="21"/>
        </w:rPr>
        <w:footnoteReference w:id="9"/>
      </w:r>
      <w:r w:rsidRPr="00185EE9">
        <w:rPr>
          <w:rFonts w:ascii="Verdana" w:eastAsia="Calibri" w:hAnsi="Verdana" w:cs="Arial"/>
          <w:sz w:val="21"/>
          <w:szCs w:val="21"/>
        </w:rPr>
        <w:t>. (Énfasis fuera de texto)</w:t>
      </w:r>
    </w:p>
    <w:p w14:paraId="63FE8B92" w14:textId="77777777" w:rsidR="007260DF" w:rsidRPr="00185EE9" w:rsidRDefault="007260DF" w:rsidP="007260DF">
      <w:pPr>
        <w:spacing w:after="0" w:line="276" w:lineRule="auto"/>
        <w:jc w:val="both"/>
        <w:rPr>
          <w:rFonts w:ascii="Verdana" w:eastAsia="Calibri" w:hAnsi="Verdana" w:cs="Arial"/>
        </w:rPr>
      </w:pPr>
    </w:p>
    <w:p w14:paraId="373D5048" w14:textId="77777777" w:rsidR="007260DF" w:rsidRDefault="007260DF" w:rsidP="007260DF">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0"/>
      </w:r>
      <w:r>
        <w:rPr>
          <w:rFonts w:ascii="Verdana" w:eastAsia="Calibri" w:hAnsi="Verdana" w:cs="Arial"/>
        </w:rPr>
        <w:t xml:space="preserve"> </w:t>
      </w:r>
      <w:r w:rsidRPr="00185EE9">
        <w:rPr>
          <w:rFonts w:ascii="Verdana" w:eastAsia="Calibri" w:hAnsi="Verdana" w:cs="Arial"/>
          <w:bCs/>
          <w:color w:val="000000" w:themeColor="text1"/>
        </w:rPr>
        <w:t xml:space="preserve">En definitiva, la nota común de este conjunto de bienes y servicios es que, con independencia de sus características descriptivas, comparten patrones de desempeño y calidad similares para la satisfacción de la necesidad a la que atienden. </w:t>
      </w:r>
    </w:p>
    <w:p w14:paraId="463DB7BE" w14:textId="77777777" w:rsidR="007260DF" w:rsidRPr="004D6888" w:rsidRDefault="007260DF" w:rsidP="007260DF">
      <w:pPr>
        <w:spacing w:after="120" w:line="276" w:lineRule="auto"/>
        <w:ind w:firstLine="709"/>
        <w:jc w:val="both"/>
        <w:rPr>
          <w:rFonts w:ascii="Verdana" w:eastAsia="Calibri" w:hAnsi="Verdana" w:cs="Arial"/>
        </w:rPr>
      </w:pPr>
      <w:r w:rsidRPr="00185EE9">
        <w:rPr>
          <w:rFonts w:ascii="Verdana" w:eastAsia="Calibri" w:hAnsi="Verdana" w:cs="Arial"/>
          <w:bCs/>
          <w:color w:val="000000" w:themeColor="text1"/>
        </w:rPr>
        <w:t>Igualmente, el inciso segundo del literal a) del artículo 2</w:t>
      </w:r>
      <w:r>
        <w:rPr>
          <w:rFonts w:ascii="Verdana" w:eastAsia="Calibri" w:hAnsi="Verdana" w:cs="Arial"/>
          <w:bCs/>
          <w:color w:val="000000" w:themeColor="text1"/>
        </w:rPr>
        <w:t>.</w:t>
      </w:r>
      <w:r w:rsidRPr="00185EE9">
        <w:rPr>
          <w:rFonts w:ascii="Verdana" w:eastAsia="Calibri" w:hAnsi="Verdana" w:cs="Arial"/>
          <w:bCs/>
          <w:color w:val="000000" w:themeColor="text1"/>
        </w:rPr>
        <w:t>2 de la Ley 1150 de 2007 dispone que “</w:t>
      </w:r>
      <w:r w:rsidRPr="001E585B">
        <w:rPr>
          <w:rFonts w:ascii="Verdana" w:eastAsia="Calibri" w:hAnsi="Verdana" w:cs="Arial"/>
          <w:bCs/>
          <w:color w:val="000000" w:themeColor="text1"/>
        </w:rPr>
        <w:t xml:space="preserve">Para la adquisición de estos bienes y servicios las entidades deberán, siempre que el reglamento así lo señale, hacer uso de </w:t>
      </w:r>
      <w:r w:rsidRPr="001E585B">
        <w:rPr>
          <w:rFonts w:ascii="Verdana" w:eastAsia="Calibri" w:hAnsi="Verdana" w:cs="Arial"/>
          <w:bCs/>
          <w:color w:val="000000" w:themeColor="text1"/>
        </w:rPr>
        <w:lastRenderedPageBreak/>
        <w:t>procedimientos de subasta inversa o de instrumentos de compra por catálogo derivados de la celebración de acuerdos marco de precios o de procedimientos de adquisición en bolsas de productos</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 xml:space="preserve">Es decir, </w:t>
      </w:r>
      <w:r>
        <w:rPr>
          <w:rFonts w:ascii="Verdana" w:eastAsia="Calibri" w:hAnsi="Verdana" w:cs="Arial"/>
          <w:lang w:val="es-MX"/>
        </w:rPr>
        <w:t>l</w:t>
      </w:r>
      <w:r w:rsidRPr="00844B92">
        <w:rPr>
          <w:rFonts w:ascii="Verdana" w:eastAsia="Calibri" w:hAnsi="Verdana" w:cs="Arial"/>
          <w:lang w:val="es-MX"/>
        </w:rPr>
        <w:t xml:space="preserve">as compras en bolsa de productos son </w:t>
      </w:r>
      <w:r>
        <w:rPr>
          <w:rFonts w:ascii="Verdana" w:eastAsia="Calibri" w:hAnsi="Verdana" w:cs="Arial"/>
          <w:lang w:val="es-MX"/>
        </w:rPr>
        <w:t>uno de los mecanismos</w:t>
      </w:r>
      <w:r w:rsidRPr="00844B92">
        <w:rPr>
          <w:rFonts w:ascii="Verdana" w:eastAsia="Calibri" w:hAnsi="Verdana" w:cs="Arial"/>
          <w:lang w:val="es-MX"/>
        </w:rPr>
        <w:t xml:space="preserve"> para la adquisición o suministro </w:t>
      </w:r>
      <w:r>
        <w:rPr>
          <w:rFonts w:ascii="Verdana" w:eastAsia="Calibri" w:hAnsi="Verdana" w:cs="Arial"/>
          <w:lang w:val="es-MX"/>
        </w:rPr>
        <w:t xml:space="preserve">de bienes y servicios en el marco del procedimiento de selección abreviada. </w:t>
      </w:r>
    </w:p>
    <w:p w14:paraId="48BEC8D8" w14:textId="77777777" w:rsidR="007260DF" w:rsidRPr="00B523E8" w:rsidRDefault="007260DF" w:rsidP="007260DF">
      <w:pPr>
        <w:spacing w:after="120" w:line="276" w:lineRule="auto"/>
        <w:ind w:firstLine="708"/>
        <w:jc w:val="both"/>
        <w:rPr>
          <w:rFonts w:ascii="Verdana" w:eastAsia="Calibri" w:hAnsi="Verdana" w:cs="Arial"/>
          <w:lang w:val="es-MX"/>
        </w:rPr>
      </w:pPr>
      <w:r>
        <w:rPr>
          <w:rFonts w:ascii="Verdana" w:eastAsia="Calibri" w:hAnsi="Verdana" w:cs="Arial"/>
        </w:rPr>
        <w:t>Sin embargo, c</w:t>
      </w:r>
      <w:r w:rsidRPr="00B523E8">
        <w:rPr>
          <w:rFonts w:ascii="Verdana" w:eastAsia="Calibri" w:hAnsi="Verdana" w:cs="Arial"/>
        </w:rPr>
        <w:t xml:space="preserve">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w:t>
      </w:r>
      <w:r>
        <w:rPr>
          <w:rFonts w:ascii="Verdana" w:eastAsia="Calibri" w:hAnsi="Verdana" w:cs="Arial"/>
        </w:rPr>
        <w:t xml:space="preserve">– </w:t>
      </w:r>
      <w:r w:rsidRPr="00B523E8">
        <w:rPr>
          <w:rFonts w:ascii="Verdana" w:eastAsia="Calibri" w:hAnsi="Verdana" w:cs="Arial"/>
        </w:rPr>
        <w:t>Colombia Compra Eficiente, incluyendo el análisis del Proceso de Selección del comisionista, los costos asociados a la selección, el valor de la comisión y de las garantías.</w:t>
      </w:r>
    </w:p>
    <w:p w14:paraId="5A2BD19F" w14:textId="77777777" w:rsidR="007260DF" w:rsidRPr="00844B92" w:rsidRDefault="007260DF" w:rsidP="007260DF">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La </w:t>
      </w:r>
      <w:r w:rsidRPr="00844B92">
        <w:rPr>
          <w:rFonts w:ascii="Verdana" w:eastAsia="Calibri" w:hAnsi="Verdana" w:cs="Arial"/>
          <w:lang w:val="es-MX"/>
        </w:rPr>
        <w:t xml:space="preserve">adquisición de bienes mediante el mecanismo de bolsa de productos </w:t>
      </w:r>
      <w:r>
        <w:rPr>
          <w:rFonts w:ascii="Verdana" w:eastAsia="Calibri" w:hAnsi="Verdana" w:cs="Arial"/>
          <w:lang w:val="es-MX"/>
        </w:rPr>
        <w:t xml:space="preserve">está regulada </w:t>
      </w:r>
      <w:r w:rsidRPr="00844B92">
        <w:rPr>
          <w:rFonts w:ascii="Verdana" w:eastAsia="Calibri" w:hAnsi="Verdana" w:cs="Arial"/>
          <w:lang w:val="es-MX"/>
        </w:rPr>
        <w:t>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Pr="00844B92">
        <w:rPr>
          <w:rFonts w:ascii="Verdana" w:eastAsia="Calibri" w:hAnsi="Verdana" w:cs="Arial"/>
          <w:vertAlign w:val="superscript"/>
          <w:lang w:val="es-MX"/>
        </w:rPr>
        <w:footnoteReference w:id="11"/>
      </w:r>
      <w:r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Pr="00844B92">
        <w:rPr>
          <w:rStyle w:val="Refdenotaalpie"/>
          <w:rFonts w:ascii="Verdana" w:eastAsia="Calibri" w:hAnsi="Verdana" w:cs="Arial"/>
          <w:lang w:val="es-MX"/>
        </w:rPr>
        <w:footnoteReference w:id="12"/>
      </w:r>
      <w:r w:rsidRPr="00844B92">
        <w:rPr>
          <w:rFonts w:ascii="Verdana" w:eastAsia="Calibri" w:hAnsi="Verdana" w:cs="Arial"/>
          <w:lang w:val="es-MX"/>
        </w:rPr>
        <w:t>.</w:t>
      </w:r>
    </w:p>
    <w:p w14:paraId="5E15A1B8" w14:textId="77777777" w:rsidR="007260DF" w:rsidRPr="00844B92" w:rsidRDefault="007260DF" w:rsidP="007260DF">
      <w:pPr>
        <w:spacing w:after="120" w:line="276" w:lineRule="auto"/>
        <w:jc w:val="both"/>
        <w:rPr>
          <w:rFonts w:ascii="Verdana" w:eastAsia="Calibri" w:hAnsi="Verdana" w:cs="Arial"/>
          <w:lang w:val="es-MX"/>
        </w:rPr>
      </w:pPr>
      <w:r w:rsidRPr="00844B92">
        <w:rPr>
          <w:rFonts w:ascii="Verdana" w:eastAsia="Calibri" w:hAnsi="Verdana" w:cs="Arial"/>
          <w:lang w:val="es-MX"/>
        </w:rPr>
        <w:tab/>
      </w:r>
      <w:r>
        <w:rPr>
          <w:rFonts w:ascii="Verdana" w:eastAsia="Calibri" w:hAnsi="Verdana" w:cs="Arial"/>
          <w:color w:val="000000" w:themeColor="text1"/>
        </w:rPr>
        <w:t xml:space="preserve">De acuerdo con lo anterior, </w:t>
      </w:r>
      <w:r>
        <w:rPr>
          <w:rFonts w:ascii="Verdana" w:eastAsia="Calibri" w:hAnsi="Verdana" w:cs="Arial"/>
          <w:lang w:val="es-MX"/>
        </w:rPr>
        <w:t>l</w:t>
      </w:r>
      <w:r w:rsidRPr="00844B92">
        <w:rPr>
          <w:rFonts w:ascii="Verdana" w:eastAsia="Calibri" w:hAnsi="Verdana" w:cs="Arial"/>
          <w:lang w:val="es-MX"/>
        </w:rPr>
        <w:t>a negociación por parte de la entidad se da a través de un comisionista, el cual debe ser contratado por la entidad de conformidad con el procedimiento y reglas de la respectiva bolsa de productos</w:t>
      </w:r>
      <w:r>
        <w:rPr>
          <w:rFonts w:ascii="Verdana" w:eastAsia="Calibri" w:hAnsi="Verdana" w:cs="Arial"/>
          <w:lang w:val="es-MX"/>
        </w:rPr>
        <w:t>, esto es, mediante un procedimiento competitivo</w:t>
      </w:r>
      <w:r w:rsidRPr="00844B92">
        <w:rPr>
          <w:rStyle w:val="Refdenotaalpie"/>
          <w:rFonts w:ascii="Verdana" w:eastAsia="Calibri" w:hAnsi="Verdana" w:cs="Arial"/>
          <w:lang w:val="es-MX"/>
        </w:rPr>
        <w:footnoteReference w:id="13"/>
      </w:r>
      <w:r w:rsidRPr="00844B92">
        <w:rPr>
          <w:rFonts w:ascii="Verdana" w:eastAsia="Calibri" w:hAnsi="Verdana" w:cs="Arial"/>
          <w:lang w:val="es-MX"/>
        </w:rPr>
        <w:t>.</w:t>
      </w:r>
      <w:r>
        <w:rPr>
          <w:rFonts w:ascii="Verdana" w:eastAsia="Calibri" w:hAnsi="Verdana" w:cs="Arial"/>
          <w:lang w:val="es-MX"/>
        </w:rPr>
        <w:t xml:space="preserve"> Ahora bien, p</w:t>
      </w:r>
      <w:r w:rsidRPr="00804180">
        <w:rPr>
          <w:rFonts w:ascii="Verdana" w:eastAsia="Calibri" w:hAnsi="Verdana" w:cs="Arial"/>
        </w:rPr>
        <w:t xml:space="preserve">ara celebrar el contrato de comisión, la Entidad debe acreditar que cuenta con la disponibilidad presupuestal para el contrato de comisión, para la operación que por cuenta </w:t>
      </w:r>
      <w:r w:rsidRPr="00804180">
        <w:rPr>
          <w:rFonts w:ascii="Verdana" w:eastAsia="Calibri" w:hAnsi="Verdana" w:cs="Arial"/>
        </w:rPr>
        <w:lastRenderedPageBreak/>
        <w:t xml:space="preserve">suya adelanta el comisionista en la bolsa de productos, para las garantías y los demás pagos que </w:t>
      </w:r>
      <w:r>
        <w:rPr>
          <w:rFonts w:ascii="Verdana" w:eastAsia="Calibri" w:hAnsi="Verdana" w:cs="Arial"/>
        </w:rPr>
        <w:t xml:space="preserve">deba realizar </w:t>
      </w:r>
      <w:r w:rsidRPr="00804180">
        <w:rPr>
          <w:rFonts w:ascii="Verdana" w:eastAsia="Calibri" w:hAnsi="Verdana" w:cs="Arial"/>
        </w:rPr>
        <w:t xml:space="preserve">como consecuencia de la adquisición en bolsa de productos, de </w:t>
      </w:r>
      <w:r>
        <w:rPr>
          <w:rFonts w:ascii="Verdana" w:eastAsia="Calibri" w:hAnsi="Verdana" w:cs="Arial"/>
        </w:rPr>
        <w:t xml:space="preserve">conformidad </w:t>
      </w:r>
      <w:r w:rsidRPr="00804180">
        <w:rPr>
          <w:rFonts w:ascii="Verdana" w:eastAsia="Calibri" w:hAnsi="Verdana" w:cs="Arial"/>
        </w:rPr>
        <w:t>con el reglamento de la bolsa en la cual la Entidad Estatal haga la negociación.</w:t>
      </w:r>
      <w:r>
        <w:rPr>
          <w:rFonts w:ascii="Verdana" w:eastAsia="Calibri" w:hAnsi="Verdana" w:cs="Arial"/>
          <w:lang w:val="es-MX"/>
        </w:rPr>
        <w:t xml:space="preserve"> La </w:t>
      </w:r>
      <w:r w:rsidRPr="00844B92">
        <w:rPr>
          <w:rFonts w:ascii="Verdana" w:eastAsia="Calibri" w:hAnsi="Verdana" w:cs="Arial"/>
          <w:lang w:val="es-MX"/>
        </w:rPr>
        <w:t>calidad de los productos negociados y la liquidación de las operaciones celebradas debe estar respaldada por garantías</w:t>
      </w:r>
      <w:r w:rsidRPr="00844B92">
        <w:rPr>
          <w:rStyle w:val="Refdenotaalpie"/>
          <w:rFonts w:ascii="Verdana" w:eastAsia="Calibri" w:hAnsi="Verdana" w:cs="Arial"/>
          <w:lang w:val="es-MX"/>
        </w:rPr>
        <w:footnoteReference w:id="14"/>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color w:val="000000" w:themeColor="text1"/>
        </w:rPr>
        <w:t xml:space="preserve">Igualmente, este proceso se </w:t>
      </w:r>
      <w:r>
        <w:rPr>
          <w:rFonts w:ascii="Verdana" w:eastAsia="Calibri" w:hAnsi="Verdana" w:cs="Arial"/>
          <w:color w:val="000000" w:themeColor="text1"/>
          <w:lang w:val="es-ES"/>
        </w:rPr>
        <w:t>encuentra respaldado por el</w:t>
      </w:r>
      <w:r w:rsidRPr="00F10CF5">
        <w:rPr>
          <w:rFonts w:ascii="Verdana" w:eastAsia="Calibri" w:hAnsi="Verdana" w:cs="Arial"/>
          <w:color w:val="000000" w:themeColor="text1"/>
        </w:rPr>
        <w:t xml:space="preserve"> marco regulatorio en la optimización de los procedimientos de compra en el ámbito público, asegurando eficiencia y equidad en las transacciones.</w:t>
      </w:r>
    </w:p>
    <w:p w14:paraId="7EE9EB54" w14:textId="77777777" w:rsidR="007260DF" w:rsidRDefault="007260DF" w:rsidP="007260DF">
      <w:pPr>
        <w:spacing w:after="120" w:line="276" w:lineRule="auto"/>
        <w:jc w:val="both"/>
        <w:rPr>
          <w:rFonts w:ascii="Verdana" w:eastAsia="Calibri" w:hAnsi="Verdana" w:cs="Arial"/>
          <w:lang w:val="es-MX"/>
        </w:rPr>
      </w:pPr>
      <w:r w:rsidRPr="00844B92">
        <w:rPr>
          <w:rFonts w:ascii="Verdana" w:eastAsia="Calibri" w:hAnsi="Verdana" w:cs="Arial"/>
          <w:lang w:val="es-MX"/>
        </w:rPr>
        <w:tab/>
        <w:t>De conformidad con el artículo 2.2.1.2.1.2.12 del Decreto 1082 de 2015, modificado por el artículo 2 del Decreto 310 del 25 de marzo de 2021, las entidades reali</w:t>
      </w:r>
      <w:r>
        <w:rPr>
          <w:rFonts w:ascii="Verdana" w:eastAsia="Calibri" w:hAnsi="Verdana" w:cs="Arial"/>
          <w:lang w:val="es-MX"/>
        </w:rPr>
        <w:t>zan</w:t>
      </w:r>
      <w:r w:rsidRPr="00844B92">
        <w:rPr>
          <w:rFonts w:ascii="Verdana" w:eastAsia="Calibri" w:hAnsi="Verdana" w:cs="Arial"/>
          <w:lang w:val="es-MX"/>
        </w:rPr>
        <w:t xml:space="preserve"> un estudio comparativo en el que determinen las ventajas de utilizar el mecanismo. 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w:t>
      </w:r>
      <w:r>
        <w:rPr>
          <w:rFonts w:ascii="Verdana" w:eastAsia="Calibri" w:hAnsi="Verdana" w:cs="Arial"/>
          <w:lang w:val="es-MX"/>
        </w:rPr>
        <w:t>[</w:t>
      </w:r>
      <w:r w:rsidRPr="00844B92">
        <w:rPr>
          <w:rFonts w:ascii="Verdana" w:eastAsia="Calibri" w:hAnsi="Verdana" w:cs="Arial"/>
          <w:lang w:val="es-MX"/>
        </w:rPr>
        <w:t>…</w:t>
      </w:r>
      <w:r>
        <w:rPr>
          <w:rFonts w:ascii="Verdana" w:eastAsia="Calibri" w:hAnsi="Verdana" w:cs="Arial"/>
          <w:lang w:val="es-MX"/>
        </w:rPr>
        <w:t xml:space="preserve">] </w:t>
      </w:r>
      <w:r w:rsidRPr="00844B92">
        <w:rPr>
          <w:rFonts w:ascii="Verdana" w:eastAsia="Calibri" w:hAnsi="Verdana" w:cs="Arial"/>
          <w:lang w:val="es-MX"/>
        </w:rPr>
        <w:t>este estudio deberá consignarse expresamente en los documentos del Proceso de Selección y se deberá garantizar su oportuna publicidad a través del SECOP”.</w:t>
      </w:r>
    </w:p>
    <w:p w14:paraId="6EF5ED66" w14:textId="77777777" w:rsidR="007260DF" w:rsidRDefault="007260DF" w:rsidP="007260DF">
      <w:pPr>
        <w:spacing w:after="120" w:line="276" w:lineRule="auto"/>
        <w:ind w:firstLine="709"/>
        <w:jc w:val="both"/>
        <w:rPr>
          <w:rFonts w:ascii="Verdana" w:eastAsia="Calibri" w:hAnsi="Verdana" w:cs="Arial"/>
          <w:color w:val="000000" w:themeColor="text1"/>
          <w:lang w:val="es-MX"/>
        </w:rPr>
      </w:pPr>
      <w:bookmarkStart w:id="3" w:name="OLE_LINK6"/>
      <w:r w:rsidRPr="004157FA">
        <w:rPr>
          <w:rFonts w:ascii="Verdana" w:hAnsi="Verdana" w:cs="Arial"/>
          <w:lang w:val="es-MX"/>
        </w:rPr>
        <w:t>No obstante</w:t>
      </w:r>
      <w:r w:rsidRPr="004157FA">
        <w:rPr>
          <w:rFonts w:ascii="Verdana" w:eastAsia="Calibri" w:hAnsi="Verdana" w:cs="Arial"/>
          <w:color w:val="000000" w:themeColor="text1"/>
          <w:lang w:val="es-MX"/>
        </w:rPr>
        <w:t xml:space="preserve">, los incisos tercero y cuarto de la disposición analizada también permiten a las entidades estatales acudir a las bolsas de productos cuando a pesar de la existencia de un acuerdo marco de precios, mediante aquel mecanismo se obtengan precios inferiores, incluyendo los costos generados por concepto de comisionistas de bolsa y los gastos de operación indicados en el artículo 2.2.1.2.1.2.15. del Decreto 1082 de 2015 y no se desmejoren las condiciones técnicas y de calidad. </w:t>
      </w:r>
      <w:r>
        <w:rPr>
          <w:rFonts w:ascii="Verdana" w:eastAsia="Calibri" w:hAnsi="Verdana" w:cs="Arial"/>
          <w:color w:val="000000" w:themeColor="text1"/>
          <w:lang w:val="es-MX"/>
        </w:rPr>
        <w:t>L</w:t>
      </w:r>
      <w:r w:rsidRPr="004A37D8">
        <w:rPr>
          <w:rFonts w:ascii="Verdana" w:eastAsia="Calibri" w:hAnsi="Verdana" w:cs="Arial"/>
          <w:color w:val="000000" w:themeColor="text1"/>
          <w:lang w:val="es-MX"/>
        </w:rPr>
        <w:t>o anterior, sin perjuicio de qué cada entidad verifique lo previsto en el parágrafo tercero</w:t>
      </w:r>
      <w:r>
        <w:rPr>
          <w:rFonts w:ascii="Verdana" w:eastAsia="Calibri" w:hAnsi="Verdana" w:cs="Arial"/>
          <w:color w:val="000000" w:themeColor="text1"/>
          <w:lang w:val="es-MX"/>
        </w:rPr>
        <w:t xml:space="preserve"> respecto de la obligatoriedad del </w:t>
      </w:r>
      <w:r>
        <w:rPr>
          <w:rFonts w:ascii="Verdana" w:eastAsia="Calibri" w:hAnsi="Verdana" w:cs="Arial"/>
          <w:color w:val="000000" w:themeColor="text1"/>
          <w:lang w:val="es-MX"/>
        </w:rPr>
        <w:lastRenderedPageBreak/>
        <w:t xml:space="preserve">Acuerdo Marco para las entidades estatales de la Rama Ejecutiva del Poder Público del orden Nacional. </w:t>
      </w:r>
    </w:p>
    <w:bookmarkEnd w:id="3"/>
    <w:p w14:paraId="6BA153DE" w14:textId="77777777" w:rsidR="007260DF" w:rsidRDefault="007260DF" w:rsidP="007260DF">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Este análisis comparativo se debe realizar con el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w:t>
      </w:r>
      <w:r>
        <w:rPr>
          <w:rStyle w:val="Refdenotaalpie"/>
          <w:rFonts w:ascii="Verdana" w:eastAsia="Calibri" w:hAnsi="Verdana" w:cs="Arial"/>
          <w:color w:val="000000" w:themeColor="text1"/>
          <w:lang w:val="es-MX"/>
        </w:rPr>
        <w:footnoteReference w:id="15"/>
      </w:r>
      <w:r>
        <w:rPr>
          <w:rFonts w:ascii="Verdana" w:eastAsia="Calibri" w:hAnsi="Verdana" w:cs="Arial"/>
          <w:color w:val="000000" w:themeColor="text1"/>
          <w:lang w:val="es-MX"/>
        </w:rPr>
        <w:t>.</w:t>
      </w:r>
    </w:p>
    <w:p w14:paraId="271B688E" w14:textId="77777777" w:rsidR="007260DF" w:rsidRDefault="007260DF" w:rsidP="007260DF">
      <w:pPr>
        <w:spacing w:after="120" w:line="276" w:lineRule="auto"/>
        <w:ind w:firstLine="708"/>
        <w:jc w:val="both"/>
        <w:rPr>
          <w:rFonts w:ascii="Verdana" w:eastAsia="Calibri" w:hAnsi="Verdana" w:cs="Arial"/>
          <w:color w:val="000000" w:themeColor="text1"/>
        </w:rPr>
      </w:pPr>
      <w:r w:rsidRPr="004157FA">
        <w:rPr>
          <w:rFonts w:ascii="Verdana" w:eastAsia="Calibri" w:hAnsi="Verdana" w:cs="Arial"/>
          <w:color w:val="000000" w:themeColor="text1"/>
          <w:lang w:val="es-MX"/>
        </w:rPr>
        <w:t xml:space="preserve">Desde una perspectiva general, en principio la adquisición de bienes y servicios de características técnicas uniformes a través del mecanismo de bolsa de productos, conduce a interpretar que las operaciones a las que se refiere la norma son operaciones de compraventa de productos, específicamente para la compra de bienes y servicios de características técnicas uniformes y de común </w:t>
      </w:r>
      <w:r w:rsidRPr="004157FA">
        <w:rPr>
          <w:rFonts w:ascii="Verdana" w:eastAsia="Calibri" w:hAnsi="Verdana" w:cs="Arial"/>
          <w:color w:val="000000" w:themeColor="text1"/>
          <w:lang w:val="es-MX"/>
        </w:rPr>
        <w:lastRenderedPageBreak/>
        <w:t xml:space="preserve">utilización, única finalidad para la que se contempla el mecanismo de bolsa de productos en el EGCAP, a las que </w:t>
      </w:r>
      <w:r w:rsidRPr="004157FA">
        <w:rPr>
          <w:rFonts w:ascii="Verdana" w:eastAsia="Calibri" w:hAnsi="Verdana" w:cs="Arial"/>
          <w:color w:val="000000" w:themeColor="text1"/>
        </w:rPr>
        <w:t>pueden acceder las entidades estatales en los términos analizados previamente.</w:t>
      </w:r>
    </w:p>
    <w:p w14:paraId="6186E1A1" w14:textId="77777777" w:rsidR="007260DF" w:rsidRPr="00B31A79" w:rsidRDefault="007260DF" w:rsidP="007260DF">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rPr>
        <w:t>La adquisición</w:t>
      </w:r>
      <w:r w:rsidRPr="004157FA">
        <w:rPr>
          <w:rFonts w:ascii="Verdana" w:eastAsia="Calibri" w:hAnsi="Verdana" w:cs="Arial"/>
          <w:color w:val="000000" w:themeColor="text1"/>
          <w:lang w:val="es-MX"/>
        </w:rPr>
        <w:t xml:space="preserve"> de estos bienes</w:t>
      </w:r>
      <w:r>
        <w:rPr>
          <w:rFonts w:ascii="Verdana" w:eastAsia="Calibri" w:hAnsi="Verdana" w:cs="Arial"/>
          <w:color w:val="000000" w:themeColor="text1"/>
          <w:lang w:val="es-MX"/>
        </w:rPr>
        <w:t xml:space="preserve"> mediante la bolsa de productos</w:t>
      </w:r>
      <w:r w:rsidRPr="004157FA">
        <w:rPr>
          <w:rFonts w:ascii="Verdana" w:eastAsia="Calibri" w:hAnsi="Verdana" w:cs="Arial"/>
          <w:color w:val="000000" w:themeColor="text1"/>
          <w:lang w:val="es-MX"/>
        </w:rPr>
        <w:t>,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2015 en lo pertinente, se rigen principalmente por el Decreto 2555 de 2010 y los reglamentos internos de las bolsas de productos en las que se lleven a cabo las operaciones. </w:t>
      </w:r>
      <w:r>
        <w:rPr>
          <w:rFonts w:ascii="Verdana" w:eastAsia="Calibri" w:hAnsi="Verdana" w:cs="Arial"/>
          <w:color w:val="000000" w:themeColor="text1"/>
          <w:lang w:val="es-MX"/>
        </w:rPr>
        <w:t>A</w:t>
      </w:r>
      <w:r w:rsidRPr="004157FA">
        <w:rPr>
          <w:rFonts w:ascii="Verdana" w:eastAsia="Calibri" w:hAnsi="Verdana" w:cs="Arial"/>
          <w:color w:val="000000" w:themeColor="text1"/>
          <w:lang w:val="es-MX"/>
        </w:rPr>
        <w:t xml:space="preserve">l Decreto 2555 de 2010, mediante el artículo 2.11.1.1.5, habilita a las bolsas de productos para expedir sus reglamentos, 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Style w:val="Refdenotaalpie"/>
          <w:rFonts w:ascii="Verdana" w:hAnsi="Verdana" w:cs="Arial"/>
          <w:lang w:val="es-MX"/>
        </w:rPr>
        <w:footnoteReference w:id="16"/>
      </w:r>
      <w:r>
        <w:rPr>
          <w:rFonts w:ascii="Verdana" w:hAnsi="Verdana" w:cs="Arial"/>
          <w:lang w:val="es-MX"/>
        </w:rPr>
        <w:t>.</w:t>
      </w:r>
      <w:r>
        <w:rPr>
          <w:rFonts w:ascii="Verdana" w:eastAsia="Calibri" w:hAnsi="Verdana" w:cs="Arial"/>
          <w:color w:val="000000" w:themeColor="text1"/>
          <w:lang w:val="es-MX"/>
        </w:rPr>
        <w:t xml:space="preserve"> </w:t>
      </w:r>
      <w:r w:rsidRPr="004157FA">
        <w:rPr>
          <w:rFonts w:ascii="Verdana" w:hAnsi="Verdana" w:cs="Arial"/>
          <w:lang w:val="es-MX"/>
        </w:rPr>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w:t>
      </w:r>
      <w:r>
        <w:rPr>
          <w:rFonts w:ascii="Verdana" w:eastAsia="Calibri" w:hAnsi="Verdana" w:cs="Arial"/>
          <w:color w:val="000000" w:themeColor="text1"/>
          <w:lang w:val="es-MX"/>
        </w:rPr>
        <w:t>producirse</w:t>
      </w:r>
      <w:r w:rsidRPr="004157FA">
        <w:rPr>
          <w:rFonts w:ascii="Verdana" w:eastAsia="Calibri" w:hAnsi="Verdana" w:cs="Arial"/>
          <w:color w:val="000000" w:themeColor="text1"/>
          <w:lang w:val="es-MX"/>
        </w:rPr>
        <w:t xml:space="preserve"> en el marco de las operaciones que se lleven a cabo. </w:t>
      </w:r>
    </w:p>
    <w:p w14:paraId="0E8AD9B9" w14:textId="77777777" w:rsidR="007260DF" w:rsidRDefault="007260DF" w:rsidP="007260DF">
      <w:pPr>
        <w:spacing w:after="120" w:line="276" w:lineRule="auto"/>
        <w:ind w:firstLine="708"/>
        <w:jc w:val="both"/>
        <w:rPr>
          <w:rFonts w:ascii="Verdana" w:eastAsia="Calibri" w:hAnsi="Verdana" w:cs="Arial"/>
          <w:bCs/>
          <w:color w:val="000000" w:themeColor="text1"/>
          <w:lang w:val="es-MX"/>
        </w:rPr>
      </w:pPr>
      <w:r>
        <w:rPr>
          <w:rFonts w:ascii="Verdana" w:eastAsia="Calibri" w:hAnsi="Verdana" w:cs="Arial"/>
          <w:bCs/>
          <w:color w:val="000000" w:themeColor="text1"/>
          <w:lang w:val="es-MX"/>
        </w:rPr>
        <w:t>Al respecto, la relación jurídicamente relevante para la aplicación de las normas del sistema de compras públicas se establece entre la entidad contratante y el comitente comprador. Por remisión de los artículos 13, 32 y 40 de la Ley 80 de 1993 a las normas de derecho privado, el artículo 1287 del Código de Comercio establece que “</w:t>
      </w:r>
      <w:r w:rsidRPr="0040658E">
        <w:rPr>
          <w:rFonts w:ascii="Verdana" w:eastAsia="Calibri" w:hAnsi="Verdana" w:cs="Arial"/>
          <w:bCs/>
          <w:color w:val="000000" w:themeColor="text1"/>
          <w:lang w:val="es-MX"/>
        </w:rPr>
        <w:t>La comisión es una especie de mandato por el cual se encomienda a una persona que se dedica profesionalmente a ello, la ejecución de uno o varios negocios, en nombre propio, pero por cuenta ajena</w:t>
      </w:r>
      <w:r>
        <w:rPr>
          <w:rFonts w:ascii="Verdana" w:eastAsia="Calibri" w:hAnsi="Verdana" w:cs="Arial"/>
          <w:bCs/>
          <w:color w:val="000000" w:themeColor="text1"/>
          <w:lang w:val="es-MX"/>
        </w:rPr>
        <w:t>”</w:t>
      </w:r>
      <w:r w:rsidRPr="0040658E">
        <w:rPr>
          <w:rFonts w:ascii="Verdana" w:eastAsia="Calibri" w:hAnsi="Verdana" w:cs="Arial"/>
          <w:bCs/>
          <w:color w:val="000000" w:themeColor="text1"/>
          <w:lang w:val="es-MX"/>
        </w:rPr>
        <w:t>.</w:t>
      </w:r>
      <w:r>
        <w:rPr>
          <w:rFonts w:ascii="Verdana" w:eastAsia="Calibri" w:hAnsi="Verdana" w:cs="Arial"/>
          <w:bCs/>
          <w:color w:val="000000" w:themeColor="text1"/>
          <w:lang w:val="es-MX"/>
        </w:rPr>
        <w:t xml:space="preserve"> Esto significa que la comisión es un mandato no representativo, por lo que no existe nexo jurídico alguno entre la entidad estatal comitente y el comisionista </w:t>
      </w:r>
      <w:r>
        <w:rPr>
          <w:rFonts w:ascii="Verdana" w:eastAsia="Calibri" w:hAnsi="Verdana" w:cs="Arial"/>
          <w:bCs/>
          <w:color w:val="000000" w:themeColor="text1"/>
          <w:lang w:val="es-MX"/>
        </w:rPr>
        <w:lastRenderedPageBreak/>
        <w:t>vendedor</w:t>
      </w:r>
      <w:r>
        <w:rPr>
          <w:rStyle w:val="Refdenotaalpie"/>
          <w:rFonts w:ascii="Verdana" w:eastAsia="Calibri" w:hAnsi="Verdana" w:cs="Arial"/>
          <w:bCs/>
          <w:color w:val="000000" w:themeColor="text1"/>
          <w:lang w:val="es-MX"/>
        </w:rPr>
        <w:footnoteReference w:id="17"/>
      </w:r>
      <w:r>
        <w:rPr>
          <w:rFonts w:ascii="Verdana" w:eastAsia="Calibri" w:hAnsi="Verdana" w:cs="Arial"/>
          <w:bCs/>
          <w:color w:val="000000" w:themeColor="text1"/>
          <w:lang w:val="es-MX"/>
        </w:rPr>
        <w:t>. Es decir, mientras el contrato de comisión con la entidad tiene carácter estatal, el contrato de los comisionistas entre sí está sujeto al derecho privado, pues se trata de dos (2) relaciones jurídicas independientes</w:t>
      </w:r>
      <w:r>
        <w:rPr>
          <w:rStyle w:val="Refdenotaalpie"/>
          <w:rFonts w:ascii="Verdana" w:eastAsia="Calibri" w:hAnsi="Verdana" w:cs="Arial"/>
          <w:bCs/>
          <w:color w:val="000000" w:themeColor="text1"/>
          <w:lang w:val="es-MX"/>
        </w:rPr>
        <w:footnoteReference w:id="18"/>
      </w:r>
      <w:r>
        <w:rPr>
          <w:rFonts w:ascii="Verdana" w:eastAsia="Calibri" w:hAnsi="Verdana" w:cs="Arial"/>
          <w:bCs/>
          <w:color w:val="000000" w:themeColor="text1"/>
          <w:lang w:val="es-MX"/>
        </w:rPr>
        <w:t>.</w:t>
      </w:r>
    </w:p>
    <w:p w14:paraId="7FCF47D3" w14:textId="77777777" w:rsidR="007260DF" w:rsidRDefault="007260DF" w:rsidP="007260DF">
      <w:pPr>
        <w:spacing w:after="0" w:line="276" w:lineRule="auto"/>
        <w:ind w:firstLine="708"/>
        <w:jc w:val="both"/>
        <w:rPr>
          <w:rFonts w:ascii="Verdana" w:eastAsia="Calibri" w:hAnsi="Verdana" w:cs="Arial"/>
          <w:bCs/>
          <w:color w:val="000000" w:themeColor="text1"/>
          <w:lang w:val="es-MX"/>
        </w:rPr>
      </w:pPr>
      <w:r>
        <w:rPr>
          <w:rFonts w:ascii="Verdana" w:eastAsia="Calibri" w:hAnsi="Verdana" w:cs="Arial"/>
          <w:bCs/>
          <w:color w:val="000000" w:themeColor="text1"/>
          <w:lang w:val="es-MX"/>
        </w:rPr>
        <w:t xml:space="preserve">El trato entre comisionistas supone un mercado, un espacio común para comprar y vender. Dicho espacio está constituido por la bolsa, esto es, </w:t>
      </w:r>
      <w:r w:rsidRPr="00F305E6">
        <w:rPr>
          <w:rFonts w:ascii="Verdana" w:eastAsia="Calibri" w:hAnsi="Verdana" w:cs="Arial"/>
          <w:bCs/>
          <w:color w:val="000000" w:themeColor="text1"/>
          <w:lang w:val="es-MX"/>
        </w:rPr>
        <w:t>una clase especial de mercado</w:t>
      </w:r>
      <w:r>
        <w:rPr>
          <w:rFonts w:ascii="Verdana" w:eastAsia="Calibri" w:hAnsi="Verdana" w:cs="Arial"/>
          <w:bCs/>
          <w:color w:val="000000" w:themeColor="text1"/>
          <w:lang w:val="es-MX"/>
        </w:rPr>
        <w:t xml:space="preserve"> que se caracteriza por los siguiente aspectos</w:t>
      </w:r>
      <w:r w:rsidRPr="00F305E6">
        <w:rPr>
          <w:rFonts w:ascii="Verdana" w:eastAsia="Calibri" w:hAnsi="Verdana" w:cs="Arial"/>
          <w:bCs/>
          <w:color w:val="000000" w:themeColor="text1"/>
          <w:lang w:val="es-MX"/>
        </w:rPr>
        <w:t xml:space="preserve">: </w:t>
      </w:r>
      <w:r>
        <w:rPr>
          <w:rFonts w:ascii="Verdana" w:eastAsia="Calibri" w:hAnsi="Verdana" w:cs="Arial"/>
          <w:bCs/>
          <w:color w:val="000000" w:themeColor="text1"/>
          <w:lang w:val="es-MX"/>
        </w:rPr>
        <w:t xml:space="preserve">i) </w:t>
      </w:r>
      <w:r w:rsidRPr="00F305E6">
        <w:rPr>
          <w:rFonts w:ascii="Verdana" w:eastAsia="Calibri" w:hAnsi="Verdana" w:cs="Arial"/>
          <w:bCs/>
          <w:color w:val="000000" w:themeColor="text1"/>
          <w:lang w:val="es-MX"/>
        </w:rPr>
        <w:t>organización corporativa,</w:t>
      </w:r>
      <w:r>
        <w:rPr>
          <w:rFonts w:ascii="Verdana" w:eastAsia="Calibri" w:hAnsi="Verdana" w:cs="Arial"/>
          <w:bCs/>
          <w:color w:val="000000" w:themeColor="text1"/>
          <w:lang w:val="es-MX"/>
        </w:rPr>
        <w:t xml:space="preserve"> ii)</w:t>
      </w:r>
      <w:r w:rsidRPr="00F305E6">
        <w:rPr>
          <w:rFonts w:ascii="Verdana" w:eastAsia="Calibri" w:hAnsi="Verdana" w:cs="Arial"/>
          <w:bCs/>
          <w:color w:val="000000" w:themeColor="text1"/>
          <w:lang w:val="es-MX"/>
        </w:rPr>
        <w:t xml:space="preserve"> frecuentada por comerciantes</w:t>
      </w:r>
      <w:r>
        <w:rPr>
          <w:rFonts w:ascii="Verdana" w:eastAsia="Calibri" w:hAnsi="Verdana" w:cs="Arial"/>
          <w:bCs/>
          <w:color w:val="000000" w:themeColor="text1"/>
          <w:lang w:val="es-MX"/>
        </w:rPr>
        <w:t xml:space="preserve"> y iii)</w:t>
      </w:r>
      <w:r w:rsidRPr="00F305E6">
        <w:rPr>
          <w:rFonts w:ascii="Verdana" w:eastAsia="Calibri" w:hAnsi="Verdana" w:cs="Arial"/>
          <w:bCs/>
          <w:color w:val="000000" w:themeColor="text1"/>
          <w:lang w:val="es-MX"/>
        </w:rPr>
        <w:t xml:space="preserve"> </w:t>
      </w:r>
      <w:r>
        <w:rPr>
          <w:rFonts w:ascii="Verdana" w:eastAsia="Calibri" w:hAnsi="Verdana" w:cs="Arial"/>
          <w:bCs/>
          <w:color w:val="000000" w:themeColor="text1"/>
          <w:lang w:val="es-MX"/>
        </w:rPr>
        <w:t xml:space="preserve">donde no se encuentran </w:t>
      </w:r>
      <w:r w:rsidRPr="00F305E6">
        <w:rPr>
          <w:rFonts w:ascii="Verdana" w:eastAsia="Calibri" w:hAnsi="Verdana" w:cs="Arial"/>
          <w:bCs/>
          <w:color w:val="000000" w:themeColor="text1"/>
          <w:lang w:val="es-MX"/>
        </w:rPr>
        <w:t xml:space="preserve">presentes </w:t>
      </w:r>
      <w:r>
        <w:rPr>
          <w:rFonts w:ascii="Verdana" w:eastAsia="Calibri" w:hAnsi="Verdana" w:cs="Arial"/>
          <w:bCs/>
          <w:color w:val="000000" w:themeColor="text1"/>
          <w:lang w:val="es-MX"/>
        </w:rPr>
        <w:t>los objetos negociaciados</w:t>
      </w:r>
      <w:r>
        <w:rPr>
          <w:rStyle w:val="Refdenotaalpie"/>
          <w:rFonts w:ascii="Verdana" w:eastAsia="Calibri" w:hAnsi="Verdana" w:cs="Arial"/>
          <w:bCs/>
          <w:color w:val="000000" w:themeColor="text1"/>
          <w:lang w:val="es-MX"/>
        </w:rPr>
        <w:footnoteReference w:id="19"/>
      </w:r>
      <w:r>
        <w:rPr>
          <w:rFonts w:ascii="Verdana" w:eastAsia="Calibri" w:hAnsi="Verdana" w:cs="Arial"/>
          <w:bCs/>
          <w:color w:val="000000" w:themeColor="text1"/>
          <w:lang w:val="es-MX"/>
        </w:rPr>
        <w:t xml:space="preserve">. Estos elementos se desprenden del inciso primero y segundo del artículo </w:t>
      </w:r>
      <w:r w:rsidRPr="00D762ED">
        <w:rPr>
          <w:rFonts w:ascii="Verdana" w:eastAsia="Calibri" w:hAnsi="Verdana" w:cs="Arial"/>
          <w:bCs/>
          <w:color w:val="000000" w:themeColor="text1"/>
          <w:lang w:val="es-MX"/>
        </w:rPr>
        <w:t>2.11.1.1.1</w:t>
      </w:r>
      <w:r>
        <w:rPr>
          <w:rFonts w:ascii="Verdana" w:eastAsia="Calibri" w:hAnsi="Verdana" w:cs="Arial"/>
          <w:bCs/>
          <w:color w:val="000000" w:themeColor="text1"/>
          <w:lang w:val="es-MX"/>
        </w:rPr>
        <w:t xml:space="preserve"> del Decreto 2555 de 2010, pues:</w:t>
      </w:r>
    </w:p>
    <w:p w14:paraId="4E035DA4" w14:textId="77777777" w:rsidR="007260DF" w:rsidRDefault="007260DF" w:rsidP="007260DF">
      <w:pPr>
        <w:spacing w:after="0" w:line="276" w:lineRule="auto"/>
        <w:ind w:firstLine="708"/>
        <w:jc w:val="both"/>
        <w:rPr>
          <w:rFonts w:ascii="Verdana" w:eastAsia="Calibri" w:hAnsi="Verdana" w:cs="Arial"/>
          <w:bCs/>
          <w:color w:val="000000" w:themeColor="text1"/>
          <w:lang w:val="es-MX"/>
        </w:rPr>
      </w:pPr>
    </w:p>
    <w:p w14:paraId="722C3D4F" w14:textId="77777777" w:rsidR="007260DF" w:rsidRPr="00D65A9A" w:rsidRDefault="007260DF" w:rsidP="007260DF">
      <w:pPr>
        <w:spacing w:after="0" w:line="240" w:lineRule="auto"/>
        <w:ind w:left="709" w:right="709"/>
        <w:jc w:val="both"/>
        <w:rPr>
          <w:rFonts w:ascii="Verdana" w:eastAsia="Calibri" w:hAnsi="Verdana" w:cs="Arial"/>
          <w:bCs/>
          <w:color w:val="000000" w:themeColor="text1"/>
          <w:sz w:val="20"/>
          <w:szCs w:val="20"/>
          <w:lang w:val="es-MX"/>
        </w:rPr>
      </w:pPr>
      <w:r w:rsidRPr="00D65A9A">
        <w:rPr>
          <w:rFonts w:ascii="Verdana" w:eastAsia="Calibri" w:hAnsi="Verdana" w:cs="Arial"/>
          <w:bCs/>
          <w:color w:val="000000" w:themeColor="text1"/>
          <w:sz w:val="20"/>
          <w:szCs w:val="20"/>
          <w:lang w:val="es-MX"/>
        </w:rPr>
        <w:t>“Las bolsas de bienes y productos agropecuarios, agroindustriales o de otros commodities son sociedades anónimas que tienen como objeto organizar y mantener en funcionamiento un mercado público de bienes y productos agropecuarios, agroindustriales o de otros commodities sin la presencia física de los mismos, así como de servicios, documentos de tradición o representativos de mercancías, títulos, valores, derechos, derivados y contratos que puedan transarse en dichas bolsas. En desarrollo de su objeto social las bolsas deben garantizar a quienes participen en el mercado y al público en general, condiciones suficientes de transparencia, honorabilidad y seguridad”.</w:t>
      </w:r>
    </w:p>
    <w:p w14:paraId="2638ECA6" w14:textId="77777777" w:rsidR="007260DF" w:rsidRDefault="007260DF" w:rsidP="007260DF">
      <w:pPr>
        <w:spacing w:after="0" w:line="276" w:lineRule="auto"/>
        <w:jc w:val="both"/>
        <w:rPr>
          <w:rFonts w:ascii="Verdana" w:eastAsia="Calibri" w:hAnsi="Verdana" w:cs="Arial"/>
          <w:bCs/>
          <w:color w:val="000000" w:themeColor="text1"/>
          <w:lang w:val="es-MX"/>
        </w:rPr>
      </w:pPr>
    </w:p>
    <w:p w14:paraId="70DB53D3" w14:textId="77777777" w:rsidR="007260DF" w:rsidRDefault="007260DF" w:rsidP="007260DF">
      <w:pPr>
        <w:spacing w:after="0" w:line="276" w:lineRule="auto"/>
        <w:ind w:firstLine="708"/>
        <w:jc w:val="both"/>
        <w:rPr>
          <w:rFonts w:ascii="Verdana" w:eastAsia="Calibri" w:hAnsi="Verdana" w:cs="Arial"/>
          <w:bCs/>
          <w:color w:val="000000" w:themeColor="text1"/>
          <w:lang w:val="es-MX"/>
        </w:rPr>
      </w:pPr>
      <w:r>
        <w:rPr>
          <w:rFonts w:ascii="Verdana" w:eastAsia="Calibri" w:hAnsi="Verdana" w:cs="Arial"/>
          <w:bCs/>
          <w:color w:val="000000" w:themeColor="text1"/>
          <w:lang w:val="es-MX"/>
        </w:rPr>
        <w:t xml:space="preserve">Razón por la cual: </w:t>
      </w:r>
    </w:p>
    <w:p w14:paraId="292BB659" w14:textId="77777777" w:rsidR="007260DF" w:rsidRDefault="007260DF" w:rsidP="007260DF">
      <w:pPr>
        <w:spacing w:after="0" w:line="276" w:lineRule="auto"/>
        <w:ind w:firstLine="708"/>
        <w:jc w:val="both"/>
        <w:rPr>
          <w:rFonts w:ascii="Verdana" w:eastAsia="Calibri" w:hAnsi="Verdana" w:cs="Arial"/>
          <w:bCs/>
          <w:color w:val="000000" w:themeColor="text1"/>
          <w:lang w:val="es-MX"/>
        </w:rPr>
      </w:pPr>
    </w:p>
    <w:p w14:paraId="0CFF2F01" w14:textId="77777777" w:rsidR="007260DF" w:rsidRPr="00D65A9A" w:rsidRDefault="007260DF" w:rsidP="007260DF">
      <w:pPr>
        <w:spacing w:after="0" w:line="240" w:lineRule="auto"/>
        <w:ind w:left="709" w:right="709"/>
        <w:jc w:val="both"/>
        <w:rPr>
          <w:rFonts w:ascii="Verdana" w:eastAsia="Calibri" w:hAnsi="Verdana" w:cs="Arial"/>
          <w:bCs/>
          <w:color w:val="000000" w:themeColor="text1"/>
          <w:sz w:val="20"/>
          <w:szCs w:val="20"/>
          <w:lang w:val="es-MX"/>
        </w:rPr>
      </w:pPr>
      <w:r w:rsidRPr="00D65A9A">
        <w:rPr>
          <w:rFonts w:ascii="Verdana" w:eastAsia="Calibri" w:hAnsi="Verdana" w:cs="Arial"/>
          <w:bCs/>
          <w:color w:val="000000" w:themeColor="text1"/>
          <w:sz w:val="20"/>
          <w:szCs w:val="20"/>
          <w:lang w:val="es-MX"/>
        </w:rPr>
        <w:t>“[…] dichas bolsas deberán facilitar el acceso y garantizar la igualdad de condiciones de participación para todos los oferentes y demandantes, así como desarrollar normas sobre las características mínimas de los bienes y productos agropecuarios, agroindustriales o de otros commodities y sobre las cláusulas básicas que deben incluir los contratos respectivos. De igual manera, suministrarán información oportuna y fidedigna sobre las negociaciones y condiciones del mercado”.</w:t>
      </w:r>
    </w:p>
    <w:p w14:paraId="34BAF575" w14:textId="77777777" w:rsidR="007260DF" w:rsidRDefault="007260DF" w:rsidP="007260DF">
      <w:pPr>
        <w:spacing w:after="0" w:line="276" w:lineRule="auto"/>
        <w:jc w:val="both"/>
        <w:rPr>
          <w:rFonts w:ascii="Verdana" w:eastAsia="Calibri" w:hAnsi="Verdana" w:cs="Arial"/>
          <w:bCs/>
          <w:color w:val="000000" w:themeColor="text1"/>
          <w:lang w:val="es-MX"/>
        </w:rPr>
      </w:pPr>
    </w:p>
    <w:p w14:paraId="036756E9" w14:textId="77777777" w:rsidR="007260DF"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bCs/>
          <w:color w:val="000000" w:themeColor="text1"/>
          <w:lang w:val="es-MX"/>
        </w:rPr>
        <w:lastRenderedPageBreak/>
        <w:t xml:space="preserve">Las bolsas de productos no son particulares que ejercen funciones públicas en la contratación estatal, porque esta calificación se reserva a los sujetos enumerados el artículo 56 de la Ley 80 de 1993 para efectos penales, así como aquellos designados en el </w:t>
      </w:r>
      <w:r>
        <w:rPr>
          <w:rFonts w:ascii="Verdana" w:eastAsia="Calibri" w:hAnsi="Verdana" w:cs="Arial"/>
          <w:color w:val="000000" w:themeColor="text1"/>
          <w:lang w:eastAsia="es-ES"/>
        </w:rPr>
        <w:t>parágrafo 1˚ del artículo 2 de la Ley 678 de 2001 con fines de repetición</w:t>
      </w:r>
      <w:r>
        <w:rPr>
          <w:rStyle w:val="Refdenotaalpie"/>
          <w:rFonts w:ascii="Verdana" w:eastAsia="Calibri" w:hAnsi="Verdana" w:cs="Arial"/>
          <w:bCs/>
          <w:color w:val="000000" w:themeColor="text1"/>
          <w:lang w:val="es-MX"/>
        </w:rPr>
        <w:footnoteReference w:id="20"/>
      </w:r>
      <w:r>
        <w:rPr>
          <w:rFonts w:ascii="Verdana" w:eastAsia="Calibri" w:hAnsi="Verdana" w:cs="Arial"/>
          <w:color w:val="000000" w:themeColor="text1"/>
          <w:lang w:eastAsia="es-ES"/>
        </w:rPr>
        <w:t xml:space="preserve">. De acuerdo con los artículos 123 y 210 de la Constitución Política de 1991, los particulares cumplirán funciones administrativas en las condiciones que establezca el legislador, de manera que dicha condición no puede derivarse interpretativamente, sino de un fundamento jurídico expreso. </w:t>
      </w:r>
    </w:p>
    <w:p w14:paraId="2E7DCE1C" w14:textId="77777777" w:rsidR="007260DF"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Como el numeral 7 del artículo 2.11.1.1.6 del Decreto 2555 de 2010 dispone que los reglamentos de las bolsas deben definir “</w:t>
      </w:r>
      <w:r w:rsidRPr="00E63D9A">
        <w:rPr>
          <w:rFonts w:ascii="Verdana" w:eastAsia="Calibri" w:hAnsi="Verdana" w:cs="Arial"/>
          <w:color w:val="000000" w:themeColor="text1"/>
          <w:lang w:eastAsia="es-ES"/>
        </w:rPr>
        <w:t>Las reglas para el funcionamiento y operación de los mercados respectivos, las cuales deben aludir entre otros aspectos al proceso de formación de precios, al proceso de negociación y ejecución de operaciones, al tipo de ofertas que se pueden colocar en el sistema, a la información que se debe ingresar al sistema sobre las ofertas de compra y venta, así como a los criterios y parámetros para el cierre y adjudicación de operaciones</w:t>
      </w:r>
      <w:r>
        <w:rPr>
          <w:rFonts w:ascii="Verdana" w:eastAsia="Calibri" w:hAnsi="Verdana" w:cs="Arial"/>
          <w:color w:val="000000" w:themeColor="text1"/>
          <w:lang w:eastAsia="es-ES"/>
        </w:rPr>
        <w:t>”, es claro que aquellas inciden en los tratos entre comisionistas</w:t>
      </w:r>
      <w:r w:rsidRPr="00E63D9A">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No obstante, al ser operadores privados de un mercado de bienes y productos, son distintas a las plataformas estatales de contratación como el SECOP o la TVEC, sistemas administrados por la ANCP – CCE.</w:t>
      </w:r>
    </w:p>
    <w:p w14:paraId="2B58DB1E" w14:textId="77777777" w:rsidR="007260DF"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Al ser la comisión una forma de mandato, de la interpretación sistemática entre los artículos 1, 2 y 1308 del Código de Comercio y de su integración con el artículo 2184 del Código Civil, la entidad estatal comitente debe proveer al comisionista de todo lo necesario para su ejecución, lo que incluye los recursos públicos necesarios para que este último participe en las ruedas de negocios organizadas por la bolsa. Luego, el comisionista comprador debe administrarlos bajo la prohibición del inciso primero del 1271 del Código de Comercio, pues “</w:t>
      </w:r>
      <w:r w:rsidRPr="00504BBA">
        <w:rPr>
          <w:rFonts w:ascii="Verdana" w:eastAsia="Calibri" w:hAnsi="Verdana" w:cs="Arial"/>
          <w:color w:val="000000" w:themeColor="text1"/>
          <w:lang w:eastAsia="es-ES"/>
        </w:rPr>
        <w:t xml:space="preserve">El mandatario no podrá emplear en sus propios negocios los fondos que le suministre el mandante y, si lo hace, abonará a éste el interés legal desde el día en que infrinja la prohibición y le indemnizará los daños que le cause, sin </w:t>
      </w:r>
      <w:r w:rsidRPr="00504BBA">
        <w:rPr>
          <w:rFonts w:ascii="Verdana" w:eastAsia="Calibri" w:hAnsi="Verdana" w:cs="Arial"/>
          <w:color w:val="000000" w:themeColor="text1"/>
          <w:lang w:eastAsia="es-ES"/>
        </w:rPr>
        <w:lastRenderedPageBreak/>
        <w:t>perjuicio de las sanciones penales correspondientes al abuso de confianza</w:t>
      </w:r>
      <w:r>
        <w:rPr>
          <w:rFonts w:ascii="Verdana" w:eastAsia="Calibri" w:hAnsi="Verdana" w:cs="Arial"/>
          <w:color w:val="000000" w:themeColor="text1"/>
          <w:lang w:eastAsia="es-ES"/>
        </w:rPr>
        <w:t>”</w:t>
      </w:r>
      <w:r w:rsidRPr="00504BBA">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Como este deber custodia corresponde al comisionista contratado, la bolsa de productos es un intermediario comercial a través del cual confluyen compradores y vendedores bajo una reglas de negociación preestablecidas, por lo que le corresponde establecer las condiciones para operar en el mercado en los términos explicados </w:t>
      </w:r>
      <w:r w:rsidRPr="009266C4">
        <w:rPr>
          <w:rFonts w:ascii="Verdana" w:eastAsia="Calibri" w:hAnsi="Verdana" w:cs="Arial"/>
          <w:i/>
          <w:iCs/>
          <w:color w:val="000000" w:themeColor="text1"/>
          <w:lang w:eastAsia="es-ES"/>
        </w:rPr>
        <w:t>ut supra</w:t>
      </w:r>
      <w:r>
        <w:rPr>
          <w:rFonts w:ascii="Verdana" w:eastAsia="Calibri" w:hAnsi="Verdana" w:cs="Arial"/>
          <w:color w:val="000000" w:themeColor="text1"/>
          <w:lang w:eastAsia="es-ES"/>
        </w:rPr>
        <w:t>.</w:t>
      </w:r>
      <w:r w:rsidRPr="00504BBA">
        <w:rPr>
          <w:rFonts w:ascii="Verdana" w:eastAsia="Calibri" w:hAnsi="Verdana" w:cs="Arial"/>
          <w:color w:val="000000" w:themeColor="text1"/>
          <w:lang w:eastAsia="es-ES"/>
        </w:rPr>
        <w:t xml:space="preserve"> </w:t>
      </w:r>
    </w:p>
    <w:p w14:paraId="0ADAEAAA" w14:textId="77777777" w:rsidR="007260DF"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Dado que la bolsa de productos no es parte en el contrato estatal celebrado entre la entidad comitente y el comisionista, la eventual responsabilidad contractual corresponde a este último. Si existen fallas en la operación, lo anterior no obsta para el ejercicio de las funciones de inspección, control y vigilancia por parte de la </w:t>
      </w:r>
      <w:r w:rsidRPr="00E21B66">
        <w:rPr>
          <w:rFonts w:ascii="Verdana" w:eastAsia="Calibri" w:hAnsi="Verdana" w:cs="Arial"/>
          <w:color w:val="000000" w:themeColor="text1"/>
          <w:lang w:eastAsia="es-ES"/>
        </w:rPr>
        <w:t>Superintendencia Financiera de Colombia</w:t>
      </w:r>
      <w:r>
        <w:rPr>
          <w:rFonts w:ascii="Verdana" w:eastAsia="Calibri" w:hAnsi="Verdana" w:cs="Arial"/>
          <w:color w:val="000000" w:themeColor="text1"/>
          <w:lang w:eastAsia="es-ES"/>
        </w:rPr>
        <w:t xml:space="preserve"> de acuerdo con el parágrafo 2 del artículo </w:t>
      </w:r>
      <w:r w:rsidRPr="008F451C">
        <w:rPr>
          <w:rFonts w:ascii="Verdana" w:eastAsia="Calibri" w:hAnsi="Verdana" w:cs="Arial"/>
          <w:color w:val="000000" w:themeColor="text1"/>
          <w:lang w:eastAsia="es-ES"/>
        </w:rPr>
        <w:t>2.2.1.2.1.2.12</w:t>
      </w:r>
      <w:r>
        <w:rPr>
          <w:rFonts w:ascii="Verdana" w:eastAsia="Calibri" w:hAnsi="Verdana" w:cs="Arial"/>
          <w:color w:val="000000" w:themeColor="text1"/>
          <w:lang w:eastAsia="es-ES"/>
        </w:rPr>
        <w:t xml:space="preserve"> del Decreto 1082 de 2015. A esto se suma la responsabilidad patrimonial por los daños causados, caso en el cual la solidaridad legal operará en las condiciones establecidas en los artículos 2344 del Código Civil y 825 del Código de Comercio, de acuerdo a la fuente del perjuicio. </w:t>
      </w:r>
    </w:p>
    <w:p w14:paraId="0B692A4B" w14:textId="77777777" w:rsidR="007260DF"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La Agencia carece de atribuciones para hacer control, seguimiento o supervisión a la actividad desarrollada por las bolsas de productos, pues corresponde a la Superfinanciera como se explicó en el párrafo precedente. Además, también están fuera de la jurisdicción contenciosa administrativa de acuerdo con el inciso primero del artículo 104 de la Ley 1437 de 2011, dado que las bolsas no son entidades públicas ni particulares que ejerzan funciones administrativas. </w:t>
      </w:r>
    </w:p>
    <w:p w14:paraId="5C882B01" w14:textId="77777777" w:rsidR="007260DF" w:rsidRPr="00E63D9A" w:rsidRDefault="007260DF" w:rsidP="007260DF">
      <w:pPr>
        <w:spacing w:after="120" w:line="276" w:lineRule="auto"/>
        <w:ind w:firstLine="708"/>
        <w:jc w:val="both"/>
        <w:rPr>
          <w:rFonts w:ascii="Verdana" w:eastAsia="Calibri" w:hAnsi="Verdana" w:cs="Arial"/>
          <w:color w:val="000000" w:themeColor="text1"/>
          <w:lang w:eastAsia="es-ES"/>
        </w:rPr>
      </w:pPr>
      <w:r>
        <w:rPr>
          <w:rFonts w:ascii="Verdana" w:eastAsia="Calibri" w:hAnsi="Verdana" w:cs="Arial"/>
          <w:color w:val="000000" w:themeColor="text1"/>
          <w:lang w:eastAsia="es-ES"/>
        </w:rPr>
        <w:t>Finalmente, a</w:t>
      </w:r>
      <w:r>
        <w:rPr>
          <w:rFonts w:ascii="Verdana" w:eastAsia="Calibri" w:hAnsi="Verdana" w:cs="Arial"/>
          <w:bCs/>
          <w:color w:val="000000" w:themeColor="text1"/>
        </w:rPr>
        <w:t xml:space="preserve">unque </w:t>
      </w:r>
      <w:r>
        <w:rPr>
          <w:rFonts w:ascii="Verdana" w:eastAsia="Century Gothic" w:hAnsi="Verdana" w:cs="Century Gothic"/>
        </w:rPr>
        <w:t xml:space="preserve">el numeral 2 del artículo </w:t>
      </w:r>
      <w:r w:rsidRPr="00B828F6">
        <w:rPr>
          <w:rFonts w:ascii="Verdana" w:eastAsia="Century Gothic" w:hAnsi="Verdana" w:cs="Century Gothic"/>
        </w:rPr>
        <w:t>2.2.1.2.1.2.1</w:t>
      </w:r>
      <w:r>
        <w:rPr>
          <w:rFonts w:ascii="Verdana" w:eastAsia="Century Gothic" w:hAnsi="Verdana" w:cs="Century Gothic"/>
        </w:rPr>
        <w:t xml:space="preserve"> del Decreto 1082 de 2015 dispone que los pliegos de condiciones </w:t>
      </w:r>
      <w:r w:rsidRPr="008E3F3E">
        <w:rPr>
          <w:rFonts w:ascii="Verdana" w:eastAsia="Century Gothic" w:hAnsi="Verdana" w:cs="Century Gothic"/>
        </w:rPr>
        <w:t>para contratar bienes y servicios de características técnicas uniformes, la entidad estatal debe indicar</w:t>
      </w:r>
      <w:r>
        <w:rPr>
          <w:rFonts w:ascii="Verdana" w:eastAsia="Century Gothic" w:hAnsi="Verdana" w:cs="Century Gothic"/>
        </w:rPr>
        <w:t xml:space="preserve"> “</w:t>
      </w:r>
      <w:r w:rsidRPr="008E3F3E">
        <w:rPr>
          <w:rFonts w:ascii="Verdana" w:eastAsia="Century Gothic" w:hAnsi="Verdana" w:cs="Century Gothic"/>
        </w:rPr>
        <w:t>Si el precio del bien o servicio es regulado, la variable sobre la cual se hace la evaluación de las ofertas</w:t>
      </w:r>
      <w:r>
        <w:rPr>
          <w:rFonts w:ascii="Verdana" w:eastAsia="Century Gothic" w:hAnsi="Verdana" w:cs="Century Gothic"/>
        </w:rPr>
        <w:t xml:space="preserve">”, no puede perderse de vista que –conforme al artículo 5.3 de la Ley 1150 de 2007– “[…] </w:t>
      </w:r>
      <w:r w:rsidRPr="00120EB3">
        <w:rPr>
          <w:rFonts w:ascii="Verdana" w:eastAsia="Century Gothic" w:hAnsi="Verdana" w:cs="Century Gothic"/>
        </w:rPr>
        <w:t>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Pr>
          <w:rFonts w:ascii="Verdana" w:eastAsia="Century Gothic" w:hAnsi="Verdana" w:cs="Century Gothic"/>
        </w:rPr>
        <w:t xml:space="preserve">”; razón por la cual, no hay lugar a la ponderación de elementos adicionales en la subasta inversa, los acuerdos marco de precios o las bolsas de productos. Luego, si el precio se encuentra regulado, lo recomendable es acudir a la licitación pública o </w:t>
      </w:r>
      <w:r>
        <w:rPr>
          <w:rFonts w:ascii="Verdana" w:eastAsia="Century Gothic" w:hAnsi="Verdana" w:cs="Century Gothic"/>
        </w:rPr>
        <w:lastRenderedPageBreak/>
        <w:t>la selección abreviada de menor cuantía, pues estos procedimientos permiten la ponderación de elementos adicionales al valor de los bienes o servicios requeridos</w:t>
      </w:r>
      <w:r>
        <w:rPr>
          <w:rStyle w:val="Refdenotaalpie"/>
          <w:rFonts w:ascii="Verdana" w:eastAsia="Century Gothic" w:hAnsi="Verdana" w:cs="Century Gothic"/>
        </w:rPr>
        <w:footnoteReference w:id="21"/>
      </w:r>
      <w:r>
        <w:rPr>
          <w:rFonts w:ascii="Verdana" w:eastAsia="Century Gothic" w:hAnsi="Verdana" w:cs="Century Gothic"/>
        </w:rPr>
        <w:t>.</w:t>
      </w:r>
    </w:p>
    <w:p w14:paraId="6EE6A232" w14:textId="77777777" w:rsidR="007260DF" w:rsidRDefault="007260DF" w:rsidP="007260DF">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E95A64" w14:textId="77777777" w:rsidR="007260DF" w:rsidRPr="00185EE9" w:rsidRDefault="007260DF" w:rsidP="007260DF">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sidRPr="001941FD">
        <w:rPr>
          <w:rStyle w:val="s15"/>
          <w:rFonts w:ascii="Verdana" w:hAnsi="Verdana"/>
          <w:color w:val="000000"/>
        </w:rPr>
        <w:t>cada entidad definirá la forma de adelantar su gestión contractual, sin que sea atribución de Colombia Compra Eficiente</w:t>
      </w:r>
      <w:r>
        <w:rPr>
          <w:rStyle w:val="s15"/>
          <w:rFonts w:ascii="Verdana" w:hAnsi="Verdana"/>
          <w:color w:val="000000"/>
        </w:rPr>
        <w:t xml:space="preserve"> </w:t>
      </w:r>
      <w:r w:rsidRPr="001941FD">
        <w:rPr>
          <w:rStyle w:val="s15"/>
          <w:rFonts w:ascii="Verdana" w:hAnsi="Verdana"/>
          <w:color w:val="000000"/>
        </w:rPr>
        <w:t>validar sus actuaciones.</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Por lo demás, corresponde a la Contraloría General de la República definir si las bolsas de productos realizan gestión fiscal para los efectos del artículo 3 de la Ley 610 de 2000, pues este punto no guarda relación con las normas generales del sistema de compras pública.</w:t>
      </w:r>
    </w:p>
    <w:p w14:paraId="333D7C54" w14:textId="77777777" w:rsidR="007260DF" w:rsidRPr="00182C89" w:rsidRDefault="007260DF" w:rsidP="007260DF">
      <w:pPr>
        <w:tabs>
          <w:tab w:val="left" w:pos="709"/>
        </w:tabs>
        <w:spacing w:after="0" w:line="276" w:lineRule="auto"/>
        <w:jc w:val="both"/>
        <w:rPr>
          <w:rFonts w:ascii="Verdana" w:eastAsia="Calibri" w:hAnsi="Verdana" w:cs="Arial"/>
          <w:color w:val="000000" w:themeColor="text1"/>
        </w:rPr>
      </w:pPr>
    </w:p>
    <w:p w14:paraId="58D77FBA" w14:textId="77777777" w:rsidR="007260DF" w:rsidRPr="00593A5F" w:rsidRDefault="007260DF" w:rsidP="007260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E4BDAE9" w14:textId="77777777" w:rsidR="007260DF" w:rsidRPr="00593A5F" w:rsidRDefault="007260DF" w:rsidP="007260D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60DF" w:rsidRPr="002407CE" w14:paraId="59B98F2E" w14:textId="77777777" w:rsidTr="00727F84">
        <w:trPr>
          <w:trHeight w:val="870"/>
          <w:jc w:val="center"/>
        </w:trPr>
        <w:tc>
          <w:tcPr>
            <w:tcW w:w="8647" w:type="dxa"/>
          </w:tcPr>
          <w:p w14:paraId="1F19FC68" w14:textId="77777777" w:rsidR="007260DF"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123 y 210.</w:t>
            </w:r>
          </w:p>
          <w:p w14:paraId="42F4DA81" w14:textId="77777777" w:rsidR="007260DF"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13, 32, 40 y 56.</w:t>
            </w:r>
          </w:p>
          <w:p w14:paraId="466F4D98" w14:textId="77777777" w:rsidR="007260DF"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610 de 2000, artículo 3.</w:t>
            </w:r>
          </w:p>
          <w:p w14:paraId="3700AC0B" w14:textId="77777777" w:rsidR="007260DF"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678 de 2001, artículo 2.</w:t>
            </w:r>
          </w:p>
          <w:p w14:paraId="2FD4E416" w14:textId="77777777" w:rsidR="007260DF"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Ley 1150 de 2007, artículo</w:t>
            </w:r>
            <w:r>
              <w:rPr>
                <w:rFonts w:ascii="Verdana" w:hAnsi="Verdana" w:cs="Arial"/>
              </w:rPr>
              <w:t>s</w:t>
            </w:r>
            <w:r w:rsidRPr="00185EE9">
              <w:rPr>
                <w:rFonts w:ascii="Verdana" w:hAnsi="Verdana" w:cs="Arial"/>
              </w:rPr>
              <w:t xml:space="preserve"> 2</w:t>
            </w:r>
            <w:r>
              <w:rPr>
                <w:rFonts w:ascii="Verdana" w:hAnsi="Verdana" w:cs="Arial"/>
              </w:rPr>
              <w:t xml:space="preserve"> y 5</w:t>
            </w:r>
            <w:r w:rsidRPr="00185EE9">
              <w:rPr>
                <w:rFonts w:ascii="Verdana" w:hAnsi="Verdana" w:cs="Arial"/>
              </w:rPr>
              <w:t xml:space="preserve">. </w:t>
            </w:r>
          </w:p>
          <w:p w14:paraId="153EDB6A" w14:textId="77777777" w:rsidR="007260DF" w:rsidRPr="00FF12FB"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lang w:eastAsia="es-ES"/>
              </w:rPr>
              <w:t xml:space="preserve">Decreto 2555 de 2010, artículos </w:t>
            </w:r>
            <w:r w:rsidRPr="00D762ED">
              <w:rPr>
                <w:rFonts w:ascii="Verdana" w:eastAsia="Calibri" w:hAnsi="Verdana" w:cs="Arial"/>
                <w:bCs/>
                <w:color w:val="000000" w:themeColor="text1"/>
                <w:lang w:val="es-MX"/>
              </w:rPr>
              <w:t>2.11.1.1.1</w:t>
            </w:r>
            <w:r>
              <w:rPr>
                <w:rFonts w:ascii="Verdana" w:eastAsia="Calibri" w:hAnsi="Verdana" w:cs="Arial"/>
                <w:bCs/>
                <w:color w:val="000000" w:themeColor="text1"/>
                <w:lang w:val="es-MX"/>
              </w:rPr>
              <w:t xml:space="preserve">, </w:t>
            </w:r>
            <w:r w:rsidRPr="004157FA">
              <w:rPr>
                <w:rFonts w:ascii="Verdana" w:eastAsia="Calibri" w:hAnsi="Verdana" w:cs="Arial"/>
                <w:color w:val="000000" w:themeColor="text1"/>
                <w:lang w:val="es-MX"/>
              </w:rPr>
              <w:t>2.11.1.1.5</w:t>
            </w:r>
            <w:r>
              <w:rPr>
                <w:rFonts w:ascii="Verdana" w:eastAsia="Calibri" w:hAnsi="Verdana" w:cs="Arial"/>
                <w:color w:val="000000" w:themeColor="text1"/>
                <w:lang w:val="es-MX"/>
              </w:rPr>
              <w:t xml:space="preserve"> y </w:t>
            </w:r>
            <w:r>
              <w:rPr>
                <w:rFonts w:ascii="Verdana" w:eastAsia="Calibri" w:hAnsi="Verdana" w:cs="Arial"/>
                <w:color w:val="000000" w:themeColor="text1"/>
                <w:lang w:eastAsia="es-ES"/>
              </w:rPr>
              <w:t>2.11.1.1.6.</w:t>
            </w:r>
          </w:p>
          <w:p w14:paraId="2774268F" w14:textId="77777777" w:rsidR="007260DF" w:rsidRPr="00A14662"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lang w:eastAsia="es-ES"/>
              </w:rPr>
              <w:t>Ley 1437 de 2011, artículo 104.</w:t>
            </w:r>
          </w:p>
          <w:p w14:paraId="2DF80681" w14:textId="77777777" w:rsidR="007260DF" w:rsidRPr="00FB30E0"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 xml:space="preserve">Decreto 1082 de 2015, </w:t>
            </w:r>
            <w:r w:rsidRPr="005B3EEC">
              <w:rPr>
                <w:rFonts w:ascii="Verdana" w:eastAsia="Calibri" w:hAnsi="Verdana" w:cs="Arial"/>
                <w:bCs/>
                <w:color w:val="000000" w:themeColor="text1"/>
              </w:rPr>
              <w:t>artículos 2.2.1.1.1.3.1</w:t>
            </w:r>
            <w:r>
              <w:rPr>
                <w:rFonts w:ascii="Verdana" w:eastAsia="Calibri" w:hAnsi="Verdana" w:cs="Arial"/>
                <w:bCs/>
                <w:color w:val="000000" w:themeColor="text1"/>
              </w:rPr>
              <w:t xml:space="preserve">, </w:t>
            </w:r>
            <w:r w:rsidRPr="00B828F6">
              <w:rPr>
                <w:rFonts w:ascii="Verdana" w:eastAsia="Century Gothic" w:hAnsi="Verdana" w:cs="Century Gothic"/>
              </w:rPr>
              <w:t>2.2.1.2.1.2.1</w:t>
            </w:r>
            <w:r>
              <w:rPr>
                <w:rFonts w:ascii="Verdana" w:eastAsia="Calibri" w:hAnsi="Verdana" w:cs="Arial"/>
                <w:bCs/>
                <w:color w:val="000000" w:themeColor="text1"/>
              </w:rPr>
              <w:t xml:space="preserve"> y </w:t>
            </w:r>
            <w:r w:rsidRPr="00844B92">
              <w:rPr>
                <w:rFonts w:ascii="Verdana" w:eastAsia="Calibri" w:hAnsi="Verdana" w:cs="Arial"/>
                <w:lang w:val="es-MX"/>
              </w:rPr>
              <w:t>2.2.1.2.1.2.11 a 2.2.1.2.1.2.19</w:t>
            </w:r>
            <w:r>
              <w:rPr>
                <w:rFonts w:ascii="Verdana" w:eastAsia="Calibri" w:hAnsi="Verdana" w:cs="Arial"/>
                <w:bCs/>
                <w:color w:val="000000" w:themeColor="text1"/>
              </w:rPr>
              <w:t>.</w:t>
            </w:r>
          </w:p>
          <w:p w14:paraId="1F1E5271" w14:textId="77777777" w:rsidR="007260DF" w:rsidRPr="003767FA" w:rsidRDefault="007260DF" w:rsidP="00727F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Código Civil, artículos 28</w:t>
            </w:r>
            <w:r>
              <w:rPr>
                <w:rFonts w:ascii="Verdana" w:hAnsi="Verdana" w:cs="Arial"/>
              </w:rPr>
              <w:t xml:space="preserve">, </w:t>
            </w:r>
            <w:r w:rsidRPr="00185EE9">
              <w:rPr>
                <w:rFonts w:ascii="Verdana" w:hAnsi="Verdana" w:cs="Arial"/>
              </w:rPr>
              <w:t>29</w:t>
            </w:r>
            <w:r>
              <w:rPr>
                <w:rFonts w:ascii="Verdana" w:hAnsi="Verdana" w:cs="Arial"/>
              </w:rPr>
              <w:t>, 2184 y 2344</w:t>
            </w:r>
            <w:r w:rsidRPr="00185EE9">
              <w:rPr>
                <w:rFonts w:ascii="Verdana" w:hAnsi="Verdana" w:cs="Arial"/>
              </w:rPr>
              <w:t>.</w:t>
            </w:r>
          </w:p>
          <w:p w14:paraId="694D68C7" w14:textId="77777777" w:rsidR="007260DF" w:rsidRPr="00DA543F" w:rsidRDefault="007260DF" w:rsidP="00727F8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de Comercio, artículos 1, 2, 825, 1271, 1287 y 1308.</w:t>
            </w:r>
          </w:p>
        </w:tc>
      </w:tr>
    </w:tbl>
    <w:p w14:paraId="3EB6BF56" w14:textId="77777777" w:rsidR="007260DF" w:rsidRPr="002407CE" w:rsidRDefault="007260DF" w:rsidP="007260DF">
      <w:pPr>
        <w:widowControl w:val="0"/>
        <w:autoSpaceDE w:val="0"/>
        <w:autoSpaceDN w:val="0"/>
        <w:spacing w:after="0" w:line="276" w:lineRule="auto"/>
        <w:jc w:val="both"/>
        <w:rPr>
          <w:rFonts w:ascii="Verdana" w:hAnsi="Verdana" w:cs="Arial"/>
        </w:rPr>
      </w:pPr>
    </w:p>
    <w:p w14:paraId="03D7281A" w14:textId="77777777" w:rsidR="007260DF" w:rsidRPr="00593A5F" w:rsidRDefault="007260DF" w:rsidP="007260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02A2976" w14:textId="77777777" w:rsidR="007260DF" w:rsidRPr="00593A5F" w:rsidRDefault="007260DF" w:rsidP="007260DF">
      <w:pPr>
        <w:widowControl w:val="0"/>
        <w:autoSpaceDE w:val="0"/>
        <w:autoSpaceDN w:val="0"/>
        <w:spacing w:after="0" w:line="276" w:lineRule="auto"/>
        <w:jc w:val="both"/>
        <w:rPr>
          <w:rFonts w:ascii="Verdana" w:hAnsi="Verdana" w:cs="Arial"/>
        </w:rPr>
      </w:pPr>
    </w:p>
    <w:p w14:paraId="1C8580AA" w14:textId="77777777" w:rsidR="007260DF" w:rsidRPr="00ED0098" w:rsidRDefault="007260DF" w:rsidP="007260DF">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adquisición de los </w:t>
      </w:r>
      <w:r w:rsidRPr="00CC71AC">
        <w:rPr>
          <w:rFonts w:ascii="Verdana" w:hAnsi="Verdana" w:cs="Arial"/>
          <w:shd w:val="clear" w:color="auto" w:fill="FFFFFF"/>
        </w:rPr>
        <w:t>bienes y servicios de características técnicas uniformes</w:t>
      </w:r>
      <w:r>
        <w:rPr>
          <w:rFonts w:ascii="Verdana" w:hAnsi="Verdana" w:cs="Arial"/>
          <w:shd w:val="clear" w:color="auto" w:fill="FFFFFF"/>
        </w:rPr>
        <w:t xml:space="preserve"> en los Conceptos </w:t>
      </w:r>
      <w:r w:rsidRPr="001816D5">
        <w:rPr>
          <w:rFonts w:ascii="Verdana" w:hAnsi="Verdana" w:cs="Arial"/>
          <w:shd w:val="clear" w:color="auto" w:fill="FFFFFF"/>
        </w:rPr>
        <w:t>C-678 del 24 de noviembre de 2020</w:t>
      </w:r>
      <w:r>
        <w:rPr>
          <w:rFonts w:ascii="Verdana" w:hAnsi="Verdana" w:cs="Arial"/>
          <w:shd w:val="clear" w:color="auto" w:fill="FFFFFF"/>
        </w:rPr>
        <w:t>, C-024 del 24 de febrero de 2021, C-123 del 5 de abril de 2021, C-565 del 12 de septiembre de 2022, C-669 del 18 de octubre de 2022, C-850 del 16 de diciembre de 2022, C-905 del 28 de diciembre de 2022, C-456 del 27 de octubre de 2023, C-597 del 8 de noviembre de 2024, C-749 del 12 de noviembre de 2024 y C-787 del 19 de noviembre de 2024</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8A5C9B5" w14:textId="77777777" w:rsidR="007260DF" w:rsidRDefault="007260DF" w:rsidP="007260D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B37F754" w14:textId="77777777" w:rsidR="007260DF" w:rsidRDefault="007260DF" w:rsidP="007260DF">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4D180B6F" w14:textId="77777777" w:rsidR="007260DF" w:rsidRPr="009A385A" w:rsidRDefault="007260DF" w:rsidP="007260DF">
      <w:pPr>
        <w:spacing w:after="0"/>
        <w:jc w:val="both"/>
        <w:rPr>
          <w:rFonts w:ascii="Verdana" w:hAnsi="Verdana"/>
        </w:rPr>
      </w:pPr>
    </w:p>
    <w:p w14:paraId="2E7B8AD3" w14:textId="77777777" w:rsidR="007260DF" w:rsidRDefault="007260DF" w:rsidP="007260DF">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48990E6" w14:textId="77777777" w:rsidR="007260DF" w:rsidRDefault="007260DF" w:rsidP="007260DF">
      <w:pPr>
        <w:spacing w:after="0"/>
        <w:jc w:val="both"/>
        <w:rPr>
          <w:rFonts w:ascii="Verdana" w:hAnsi="Verdana"/>
        </w:rPr>
      </w:pPr>
    </w:p>
    <w:p w14:paraId="3C88B600" w14:textId="77777777" w:rsidR="007260DF" w:rsidRPr="008E1CD7" w:rsidRDefault="007260DF" w:rsidP="007260DF">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3BAEDCC" w14:textId="77777777" w:rsidR="007260DF" w:rsidRDefault="007260DF" w:rsidP="007260DF">
      <w:pPr>
        <w:shd w:val="clear" w:color="auto" w:fill="FFFFFF"/>
        <w:spacing w:after="0" w:line="276" w:lineRule="auto"/>
        <w:jc w:val="both"/>
        <w:rPr>
          <w:rFonts w:ascii="Verdana" w:hAnsi="Verdana"/>
          <w:color w:val="000000"/>
          <w:u w:val="single"/>
        </w:rPr>
      </w:pPr>
    </w:p>
    <w:p w14:paraId="1541961C" w14:textId="77777777" w:rsidR="007260DF" w:rsidRPr="0038088D" w:rsidRDefault="007260DF" w:rsidP="007260D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10287256" w14:textId="77777777" w:rsidR="007260DF" w:rsidRPr="0038088D" w:rsidRDefault="007260DF" w:rsidP="007260DF">
      <w:pPr>
        <w:spacing w:after="0"/>
        <w:jc w:val="both"/>
        <w:rPr>
          <w:rFonts w:ascii="Verdana" w:hAnsi="Verdana"/>
        </w:rPr>
      </w:pPr>
    </w:p>
    <w:p w14:paraId="7AB70FA0" w14:textId="77777777" w:rsidR="007260DF" w:rsidRPr="004C4825" w:rsidRDefault="007260DF" w:rsidP="007260DF">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5BDF6AC7" w14:textId="77777777" w:rsidR="007260DF" w:rsidRPr="004C4825" w:rsidRDefault="007260DF" w:rsidP="007260DF">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r w:rsidRPr="004C4825">
        <w:rPr>
          <w:rStyle w:val="Hipervnculo"/>
          <w:rFonts w:ascii="Verdana" w:hAnsi="Verdana"/>
        </w:rPr>
        <w:t>+57 601 7456788</w:t>
      </w:r>
    </w:p>
    <w:p w14:paraId="251045A9" w14:textId="77777777" w:rsidR="007260DF" w:rsidRPr="004C4825" w:rsidRDefault="007260DF" w:rsidP="007260DF">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6">
        <w:r w:rsidRPr="004C4825">
          <w:rPr>
            <w:rStyle w:val="Hipervnculo"/>
            <w:rFonts w:ascii="Verdana" w:eastAsia="Verdana" w:hAnsi="Verdana" w:cs="Verdana"/>
          </w:rPr>
          <w:t>ventanilladeradicacion@colombiacompra.gov.co</w:t>
        </w:r>
      </w:hyperlink>
    </w:p>
    <w:p w14:paraId="7C4D3769" w14:textId="77777777" w:rsidR="007260DF" w:rsidRPr="004C4825" w:rsidRDefault="007260DF" w:rsidP="007260DF">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lastRenderedPageBreak/>
        <w:t>Formulario web para</w:t>
      </w:r>
      <w:r w:rsidRPr="004C4825">
        <w:rPr>
          <w:rFonts w:ascii="Verdana" w:eastAsia="Verdana" w:hAnsi="Verdana" w:cs="Verdana"/>
          <w:lang w:val="es"/>
        </w:rPr>
        <w:t xml:space="preserve"> PQRSD: </w:t>
      </w:r>
      <w:hyperlink r:id="rId17">
        <w:r w:rsidRPr="004C4825">
          <w:rPr>
            <w:rStyle w:val="Hipervnculo"/>
            <w:rFonts w:ascii="Verdana" w:eastAsia="Verdana" w:hAnsi="Verdana" w:cs="Verdana"/>
          </w:rPr>
          <w:t>https://www.colombiacompra.gov.co/pqrsd/informacion-importante-antes-de-formular-una-pqrsd</w:t>
        </w:r>
      </w:hyperlink>
    </w:p>
    <w:p w14:paraId="3953C13D" w14:textId="77777777" w:rsidR="007260DF" w:rsidRPr="0038088D" w:rsidRDefault="007260DF" w:rsidP="007260DF">
      <w:pPr>
        <w:spacing w:after="0" w:line="240" w:lineRule="auto"/>
        <w:ind w:left="720"/>
        <w:jc w:val="both"/>
        <w:rPr>
          <w:rFonts w:ascii="Verdana" w:hAnsi="Verdana"/>
        </w:rPr>
      </w:pPr>
    </w:p>
    <w:p w14:paraId="5D291202" w14:textId="77777777" w:rsidR="007260DF" w:rsidRPr="0038088D" w:rsidRDefault="007260DF" w:rsidP="007260DF">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BA4B032" w14:textId="77777777" w:rsidR="007260DF" w:rsidRPr="0038088D" w:rsidRDefault="007260DF" w:rsidP="007260DF">
      <w:pPr>
        <w:spacing w:after="0" w:line="240" w:lineRule="auto"/>
        <w:rPr>
          <w:rFonts w:ascii="Verdana" w:hAnsi="Verdana"/>
        </w:rPr>
      </w:pPr>
    </w:p>
    <w:p w14:paraId="48081CFE" w14:textId="77777777" w:rsidR="007260DF" w:rsidRPr="0038088D" w:rsidRDefault="007260DF" w:rsidP="007260DF">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7A4D2A44" w14:textId="77777777" w:rsidR="007260DF" w:rsidRPr="00116940" w:rsidRDefault="007260DF" w:rsidP="007260DF">
      <w:pPr>
        <w:spacing w:after="0" w:line="240" w:lineRule="auto"/>
        <w:jc w:val="both"/>
        <w:rPr>
          <w:rFonts w:ascii="Verdana" w:hAnsi="Verdana"/>
        </w:rPr>
      </w:pPr>
    </w:p>
    <w:p w14:paraId="7D5B656A" w14:textId="77777777" w:rsidR="007260DF" w:rsidRPr="00116940" w:rsidRDefault="007260DF" w:rsidP="007260D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64E974F" w14:textId="77777777" w:rsidR="007260DF" w:rsidRPr="00116940" w:rsidRDefault="007260DF" w:rsidP="007260D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00F78A9" w14:textId="77777777" w:rsidR="007260DF" w:rsidRPr="00E22E6E" w:rsidRDefault="007260DF" w:rsidP="007260D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C949F64" w14:textId="77777777" w:rsidR="007260DF" w:rsidRPr="004C4825" w:rsidRDefault="007260DF" w:rsidP="007260DF">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CB3C1C8" w14:textId="77777777" w:rsidR="007260DF" w:rsidRPr="00593A5F" w:rsidRDefault="007260DF" w:rsidP="007260D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71DDFE9" w14:textId="77777777" w:rsidR="007260DF" w:rsidRPr="00593A5F" w:rsidRDefault="007260DF" w:rsidP="007260DF">
      <w:pPr>
        <w:widowControl w:val="0"/>
        <w:autoSpaceDE w:val="0"/>
        <w:autoSpaceDN w:val="0"/>
        <w:spacing w:after="0" w:line="276" w:lineRule="auto"/>
        <w:jc w:val="both"/>
        <w:rPr>
          <w:rFonts w:ascii="Verdana" w:hAnsi="Verdana" w:cs="Arial"/>
        </w:rPr>
      </w:pPr>
    </w:p>
    <w:p w14:paraId="1023C7B6" w14:textId="77777777" w:rsidR="007260DF" w:rsidRPr="00593A5F" w:rsidRDefault="007260DF" w:rsidP="007260D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7B15155" w14:textId="3600A88A" w:rsidR="007260DF" w:rsidRPr="00593A5F" w:rsidRDefault="000E6E51" w:rsidP="007260DF">
      <w:pPr>
        <w:spacing w:line="276" w:lineRule="auto"/>
        <w:jc w:val="center"/>
        <w:rPr>
          <w:rFonts w:ascii="Verdana" w:hAnsi="Verdana" w:cs="Arial"/>
          <w:color w:val="000000"/>
          <w:lang w:val="es-ES_tradnl" w:eastAsia="es-CO"/>
        </w:rPr>
      </w:pPr>
      <w:r>
        <w:rPr>
          <w:noProof/>
        </w:rPr>
        <w:drawing>
          <wp:inline distT="0" distB="0" distL="0" distR="0" wp14:anchorId="524E881B" wp14:editId="29C842B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60DF" w:rsidRPr="00593A5F" w14:paraId="00785B65" w14:textId="77777777" w:rsidTr="00727F84">
        <w:trPr>
          <w:trHeight w:val="315"/>
        </w:trPr>
        <w:tc>
          <w:tcPr>
            <w:tcW w:w="893" w:type="dxa"/>
            <w:vAlign w:val="center"/>
            <w:hideMark/>
          </w:tcPr>
          <w:p w14:paraId="7889F6E7" w14:textId="77777777" w:rsidR="007260DF" w:rsidRPr="003751C7" w:rsidRDefault="007260DF" w:rsidP="00727F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D1F1A1" w14:textId="77777777" w:rsidR="007260DF" w:rsidRPr="00254A7A" w:rsidRDefault="007260DF" w:rsidP="00727F8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42F951E" w14:textId="77777777" w:rsidR="007260DF" w:rsidRPr="00254A7A" w:rsidRDefault="007260DF" w:rsidP="00727F8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7260DF" w:rsidRPr="00593A5F" w14:paraId="4F0F40BE" w14:textId="77777777" w:rsidTr="00727F84">
        <w:trPr>
          <w:trHeight w:val="330"/>
        </w:trPr>
        <w:tc>
          <w:tcPr>
            <w:tcW w:w="893" w:type="dxa"/>
            <w:vAlign w:val="center"/>
            <w:hideMark/>
          </w:tcPr>
          <w:p w14:paraId="2456EDB6" w14:textId="77777777" w:rsidR="007260DF" w:rsidRPr="003751C7" w:rsidRDefault="007260DF" w:rsidP="00727F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EA258D" w14:textId="77777777" w:rsidR="007260DF" w:rsidRPr="00254A7A" w:rsidRDefault="007260DF" w:rsidP="00727F84">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72AF6DAB" w14:textId="77777777" w:rsidR="007260DF" w:rsidRPr="00254A7A" w:rsidRDefault="007260DF" w:rsidP="00727F84">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7260DF" w:rsidRPr="00593A5F" w14:paraId="77E5C9FD" w14:textId="77777777" w:rsidTr="00727F84">
        <w:trPr>
          <w:trHeight w:val="300"/>
        </w:trPr>
        <w:tc>
          <w:tcPr>
            <w:tcW w:w="893" w:type="dxa"/>
            <w:vAlign w:val="center"/>
          </w:tcPr>
          <w:p w14:paraId="17338A06" w14:textId="77777777" w:rsidR="007260DF" w:rsidRPr="003751C7" w:rsidRDefault="007260DF" w:rsidP="00727F8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42C938" w14:textId="77777777" w:rsidR="007260DF" w:rsidRPr="00731523" w:rsidRDefault="007260DF" w:rsidP="00727F84">
            <w:pPr>
              <w:contextualSpacing/>
              <w:rPr>
                <w:rFonts w:ascii="Verdana" w:eastAsia="Calibri" w:hAnsi="Verdana" w:cs="Arial"/>
                <w:sz w:val="16"/>
                <w:szCs w:val="16"/>
                <w:lang w:val="es-ES" w:eastAsia="es-ES"/>
              </w:rPr>
            </w:pPr>
            <w:r w:rsidRPr="11D9E2EF">
              <w:rPr>
                <w:rFonts w:ascii="Verdana" w:eastAsia="Calibri" w:hAnsi="Verdana" w:cs="Arial"/>
                <w:sz w:val="16"/>
                <w:szCs w:val="16"/>
                <w:lang w:val="es-ES" w:eastAsia="es-ES"/>
              </w:rPr>
              <w:t>Carolina Quintero Gacharná</w:t>
            </w:r>
          </w:p>
          <w:p w14:paraId="302E364C" w14:textId="77777777" w:rsidR="007260DF" w:rsidRPr="003751C7" w:rsidRDefault="007260DF" w:rsidP="00727F84">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4582DA95" w14:textId="77777777" w:rsidR="007260DF" w:rsidRDefault="007260DF" w:rsidP="007260DF"/>
    <w:p w14:paraId="480860B8" w14:textId="17D14F20" w:rsidR="007260DF" w:rsidRPr="00543BFE" w:rsidRDefault="007260DF" w:rsidP="007260DF"/>
    <w:p w14:paraId="0F293BF4" w14:textId="160D1E9D" w:rsidR="00127233" w:rsidRPr="00144593" w:rsidRDefault="00127233" w:rsidP="00144593"/>
    <w:sectPr w:rsidR="00127233" w:rsidRPr="001445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C7BE7" w14:textId="77777777" w:rsidR="002A35F6" w:rsidRDefault="002A35F6" w:rsidP="004A1847">
      <w:pPr>
        <w:spacing w:after="0" w:line="240" w:lineRule="auto"/>
      </w:pPr>
      <w:r>
        <w:separator/>
      </w:r>
    </w:p>
  </w:endnote>
  <w:endnote w:type="continuationSeparator" w:id="0">
    <w:p w14:paraId="11031ADF" w14:textId="77777777" w:rsidR="002A35F6" w:rsidRDefault="002A35F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106A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B106A8">
      <w:rPr>
        <w:rFonts w:ascii="Verdana" w:eastAsia="Verdana" w:hAnsi="Verdana" w:cs="Verdana"/>
        <w:b/>
        <w:color w:val="000000" w:themeColor="text1"/>
        <w:sz w:val="18"/>
        <w:szCs w:val="18"/>
        <w:lang w:val="pt-BR" w:eastAsia="es-CO"/>
      </w:rPr>
      <w:t xml:space="preserve">Código: </w:t>
    </w:r>
    <w:r w:rsidRPr="00B106A8">
      <w:rPr>
        <w:rFonts w:ascii="Verdana" w:eastAsia="Verdana" w:hAnsi="Verdana" w:cs="Verdana"/>
        <w:color w:val="000000" w:themeColor="text1"/>
        <w:sz w:val="18"/>
        <w:szCs w:val="18"/>
        <w:lang w:val="pt-BR" w:eastAsia="es-CO"/>
      </w:rPr>
      <w:t xml:space="preserve">CCE-REC-FM-17 </w:t>
    </w:r>
    <w:r w:rsidRPr="00B106A8">
      <w:rPr>
        <w:rFonts w:ascii="Verdana" w:eastAsia="Verdana" w:hAnsi="Verdana" w:cs="Verdana"/>
        <w:b/>
        <w:color w:val="000000" w:themeColor="text1"/>
        <w:sz w:val="18"/>
        <w:szCs w:val="18"/>
        <w:lang w:val="pt-BR" w:eastAsia="es-CO"/>
      </w:rPr>
      <w:t xml:space="preserve">V: </w:t>
    </w:r>
    <w:r w:rsidRPr="00B106A8">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A85AF" w14:textId="77777777" w:rsidR="002A35F6" w:rsidRDefault="002A35F6" w:rsidP="004A1847">
      <w:pPr>
        <w:spacing w:after="0" w:line="240" w:lineRule="auto"/>
      </w:pPr>
      <w:r>
        <w:separator/>
      </w:r>
    </w:p>
  </w:footnote>
  <w:footnote w:type="continuationSeparator" w:id="0">
    <w:p w14:paraId="374F711C" w14:textId="77777777" w:rsidR="002A35F6" w:rsidRDefault="002A35F6" w:rsidP="004A1847">
      <w:pPr>
        <w:spacing w:after="0" w:line="240" w:lineRule="auto"/>
      </w:pPr>
      <w:r>
        <w:continuationSeparator/>
      </w:r>
    </w:p>
  </w:footnote>
  <w:footnote w:id="1">
    <w:p w14:paraId="3A258AAA"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El inciso primero de norma disponía que, conforme al principio de transparencia, “</w:t>
      </w:r>
      <w:r w:rsidRPr="00910F48">
        <w:rPr>
          <w:rFonts w:ascii="Verdana" w:hAnsi="Verdana" w:cs="Arial"/>
          <w:i/>
          <w:iCs/>
          <w:sz w:val="16"/>
          <w:szCs w:val="16"/>
        </w:rPr>
        <w:t>La escogencia del contratista se efectuará siempre a través de licitación o concurso públicos</w:t>
      </w:r>
      <w:r w:rsidRPr="00910F4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4D456902"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cs="Arial"/>
          <w:sz w:val="16"/>
          <w:szCs w:val="16"/>
        </w:rPr>
        <w:footnoteRef/>
      </w:r>
      <w:r w:rsidRPr="00910F4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910F48">
        <w:rPr>
          <w:rFonts w:ascii="Verdana" w:hAnsi="Verdana" w:cs="Arial"/>
          <w:i/>
          <w:iCs/>
          <w:sz w:val="16"/>
          <w:szCs w:val="16"/>
        </w:rPr>
        <w:t>Presentación de la oferta de manera dinámica</w:t>
      </w:r>
      <w:r w:rsidRPr="00910F4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7ADA55FA"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El numeral 2 del artículo 2 de la Ley 1150 de 2007 prescribe: </w:t>
      </w:r>
      <w:r w:rsidRPr="00910F48">
        <w:rPr>
          <w:rFonts w:ascii="Verdana" w:hAnsi="Verdana"/>
          <w:sz w:val="16"/>
          <w:szCs w:val="16"/>
        </w:rPr>
        <w:t xml:space="preserve">“[…] </w:t>
      </w:r>
      <w:r w:rsidRPr="00910F48">
        <w:rPr>
          <w:rFonts w:ascii="Verdana" w:hAnsi="Verdana" w:cs="Arial"/>
          <w:sz w:val="16"/>
          <w:szCs w:val="16"/>
        </w:rPr>
        <w:t>Serán causales de selección abreviada las siguientes:</w:t>
      </w:r>
    </w:p>
    <w:p w14:paraId="25215960"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B6E6D9A"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266F697D"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1B2EB143"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w:t>
      </w:r>
    </w:p>
    <w:p w14:paraId="69530A70"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31C4663F"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6934684"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e) La enajenación de bienes del Estado, con excepción de aquellos a que se refiere la Ley 226 de 1995.</w:t>
      </w:r>
    </w:p>
    <w:p w14:paraId="6B0528AB"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 xml:space="preserve">[…]; </w:t>
      </w:r>
    </w:p>
    <w:p w14:paraId="3FF6057B"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 xml:space="preserve">f) Productos de origen o destinación agropecuarios que se ofrezcan en las bolsas de productos legalmente constituidas; </w:t>
      </w:r>
    </w:p>
    <w:p w14:paraId="5C3D25F6"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30E625E2"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08482EF0"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i) La contratación de bienes y servicios que se requieran para la defensa y seguridad nacional.</w:t>
      </w:r>
    </w:p>
    <w:p w14:paraId="543D6CE0" w14:textId="77777777" w:rsidR="007260DF" w:rsidRPr="00910F48" w:rsidRDefault="007260DF" w:rsidP="007260DF">
      <w:pPr>
        <w:pStyle w:val="Textonotapie"/>
        <w:ind w:firstLine="708"/>
        <w:jc w:val="both"/>
        <w:rPr>
          <w:rFonts w:ascii="Verdana" w:hAnsi="Verdana" w:cs="Arial"/>
          <w:sz w:val="16"/>
          <w:szCs w:val="16"/>
        </w:rPr>
      </w:pPr>
      <w:r w:rsidRPr="00910F48">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4">
    <w:p w14:paraId="5386B659"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CONGRESO DE LA REPÚBLICA. Exposición de motivos de la Ley 1150 de 2007. Gaceta del Congreso No. 458 del 1º de agosto de 2005. p. 8. </w:t>
      </w:r>
    </w:p>
  </w:footnote>
  <w:footnote w:id="5">
    <w:p w14:paraId="720E6087"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CONSEJO DE ESTADO. Sección Tercera. Subsección A. Sentencia del 23 de julio de 2015. Exp. 36.805. C. P. Hernán Andrade Rincón. </w:t>
      </w:r>
    </w:p>
  </w:footnote>
  <w:footnote w:id="6">
    <w:p w14:paraId="2C99FFF9" w14:textId="77777777" w:rsidR="007260DF" w:rsidRPr="00910F48" w:rsidRDefault="007260DF" w:rsidP="007260DF">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910F48">
        <w:rPr>
          <w:rFonts w:ascii="Verdana" w:hAnsi="Verdana"/>
          <w:i/>
          <w:iCs/>
          <w:sz w:val="16"/>
          <w:szCs w:val="16"/>
        </w:rPr>
        <w:t>las palabras de la ley se entenderán en su sentido natural y obvio, según el uso general de las mismas palabras</w:t>
      </w:r>
      <w:r w:rsidRPr="00910F48">
        <w:rPr>
          <w:rFonts w:ascii="Verdana" w:hAnsi="Verdana"/>
          <w:sz w:val="16"/>
          <w:szCs w:val="16"/>
        </w:rPr>
        <w:t>’, es decir, el uso de la gente educada. El Diccionario de la Lengua publicado por la Real Academia Española goza a este respecto de gran autoridad. ‘</w:t>
      </w:r>
      <w:r w:rsidRPr="00910F48">
        <w:rPr>
          <w:rFonts w:ascii="Verdana" w:hAnsi="Verdana"/>
          <w:i/>
          <w:iCs/>
          <w:sz w:val="16"/>
          <w:szCs w:val="16"/>
        </w:rPr>
        <w:t>Pero cuando el legislador</w:t>
      </w:r>
      <w:r w:rsidRPr="00910F48">
        <w:rPr>
          <w:rFonts w:ascii="Verdana" w:hAnsi="Verdana"/>
          <w:sz w:val="16"/>
          <w:szCs w:val="16"/>
        </w:rPr>
        <w:t xml:space="preserve">, agrega el artículo 20, </w:t>
      </w:r>
      <w:r w:rsidRPr="00910F48">
        <w:rPr>
          <w:rFonts w:ascii="Verdana" w:hAnsi="Verdana"/>
          <w:i/>
          <w:iCs/>
          <w:sz w:val="16"/>
          <w:szCs w:val="16"/>
        </w:rPr>
        <w:t>las haya definido expresamente para ciertas materias se les dará en éstas su significado legal</w:t>
      </w:r>
      <w:r w:rsidRPr="00910F48">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7">
    <w:p w14:paraId="2AFDC0B6" w14:textId="77777777" w:rsidR="007260DF" w:rsidRPr="00910F48" w:rsidRDefault="007260DF" w:rsidP="007260DF">
      <w:pPr>
        <w:pStyle w:val="Textonotapie"/>
        <w:ind w:firstLine="708"/>
        <w:jc w:val="both"/>
        <w:rPr>
          <w:rFonts w:ascii="Verdana" w:hAnsi="Verdana"/>
          <w:sz w:val="16"/>
          <w:szCs w:val="16"/>
        </w:rPr>
      </w:pPr>
      <w:r w:rsidRPr="00910F48">
        <w:rPr>
          <w:rStyle w:val="Refdenotaalpie"/>
          <w:rFonts w:ascii="Verdana" w:hAnsi="Verdana"/>
          <w:sz w:val="16"/>
          <w:szCs w:val="16"/>
        </w:rPr>
        <w:footnoteRef/>
      </w:r>
      <w:r w:rsidRPr="00910F48">
        <w:rPr>
          <w:rFonts w:ascii="Verdana" w:hAnsi="Verdana"/>
          <w:sz w:val="16"/>
          <w:szCs w:val="16"/>
        </w:rPr>
        <w:t xml:space="preserve"> SUÁREZ BELTRÁN, Gonzalo. Estudios de derecho contractual público. Colombia: Bogotá, 2014. p. 72.</w:t>
      </w:r>
    </w:p>
  </w:footnote>
  <w:footnote w:id="8">
    <w:p w14:paraId="63D6C402" w14:textId="77777777" w:rsidR="007260DF" w:rsidRPr="00910F48" w:rsidRDefault="007260DF" w:rsidP="007260DF">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i/>
          <w:iCs/>
          <w:sz w:val="16"/>
          <w:szCs w:val="16"/>
        </w:rPr>
        <w:t>Ibidem</w:t>
      </w:r>
      <w:r w:rsidRPr="00910F48">
        <w:rPr>
          <w:rFonts w:ascii="Verdana" w:hAnsi="Verdana"/>
          <w:sz w:val="16"/>
          <w:szCs w:val="16"/>
        </w:rPr>
        <w:t>.</w:t>
      </w:r>
    </w:p>
  </w:footnote>
  <w:footnote w:id="9">
    <w:p w14:paraId="412A5BEA" w14:textId="77777777" w:rsidR="007260DF" w:rsidRPr="00910F48" w:rsidRDefault="007260DF" w:rsidP="007260DF">
      <w:pPr>
        <w:pStyle w:val="Textonotapie"/>
        <w:ind w:firstLine="708"/>
        <w:jc w:val="both"/>
        <w:rPr>
          <w:rFonts w:ascii="Verdana" w:hAnsi="Verdana" w:cs="Arial"/>
          <w:sz w:val="16"/>
          <w:szCs w:val="16"/>
        </w:rPr>
      </w:pPr>
      <w:r w:rsidRPr="00910F48">
        <w:rPr>
          <w:rStyle w:val="Refdenotaalpie"/>
          <w:rFonts w:ascii="Verdana" w:hAnsi="Verdana"/>
          <w:sz w:val="16"/>
          <w:szCs w:val="16"/>
        </w:rPr>
        <w:footnoteRef/>
      </w:r>
      <w:r w:rsidRPr="00910F48">
        <w:rPr>
          <w:rFonts w:ascii="Verdana" w:hAnsi="Verdana"/>
          <w:sz w:val="16"/>
          <w:szCs w:val="16"/>
        </w:rPr>
        <w:t xml:space="preserve"> </w:t>
      </w:r>
      <w:r w:rsidRPr="00910F48">
        <w:rPr>
          <w:rFonts w:ascii="Verdana" w:hAnsi="Verdana" w:cs="Arial"/>
          <w:sz w:val="16"/>
          <w:szCs w:val="16"/>
        </w:rPr>
        <w:t xml:space="preserve">CONGRESO DE LA REPÚBLICA. Exposición de motivos de la Ley 1150 de 2007. Gaceta del Congreso No. 458 del 1º de agosto de 2005. p. 8. </w:t>
      </w:r>
    </w:p>
  </w:footnote>
  <w:footnote w:id="10">
    <w:p w14:paraId="1114FC06" w14:textId="77777777" w:rsidR="007260DF" w:rsidRPr="00910F48" w:rsidRDefault="007260DF" w:rsidP="007260DF">
      <w:pPr>
        <w:pStyle w:val="Textonotapie"/>
        <w:ind w:firstLine="708"/>
        <w:jc w:val="both"/>
        <w:rPr>
          <w:rFonts w:ascii="Verdana" w:hAnsi="Verdana"/>
          <w:sz w:val="16"/>
          <w:szCs w:val="16"/>
          <w:lang w:val="es-CO"/>
        </w:rPr>
      </w:pPr>
      <w:r w:rsidRPr="00910F48">
        <w:rPr>
          <w:rStyle w:val="Refdenotaalpie"/>
          <w:rFonts w:ascii="Verdana" w:hAnsi="Verdana"/>
          <w:sz w:val="16"/>
          <w:szCs w:val="16"/>
        </w:rPr>
        <w:footnoteRef/>
      </w:r>
      <w:r w:rsidRPr="00910F48">
        <w:rPr>
          <w:rFonts w:ascii="Verdana" w:hAnsi="Verdana"/>
          <w:sz w:val="16"/>
          <w:szCs w:val="16"/>
        </w:rPr>
        <w:t xml:space="preserve"> DÁVILA VINUEZA, Luis Guillermo. Régimen jurídico de la contratación estatal. </w:t>
      </w:r>
      <w:r w:rsidRPr="00910F48">
        <w:rPr>
          <w:rFonts w:ascii="Verdana" w:hAnsi="Verdana" w:cs="Arial"/>
          <w:sz w:val="16"/>
          <w:szCs w:val="16"/>
          <w:lang w:val="es-CO"/>
        </w:rPr>
        <w:t>Tercera Edición</w:t>
      </w:r>
      <w:r w:rsidRPr="00910F48">
        <w:rPr>
          <w:rFonts w:ascii="Verdana" w:hAnsi="Verdana"/>
          <w:sz w:val="16"/>
          <w:szCs w:val="16"/>
          <w:lang w:val="es-CO"/>
        </w:rPr>
        <w:t>. Bogotá: Legis, 2016. pp. 466-467.</w:t>
      </w:r>
    </w:p>
  </w:footnote>
  <w:footnote w:id="11">
    <w:p w14:paraId="6D1527C0" w14:textId="77777777" w:rsidR="007260DF" w:rsidRPr="00D078F7" w:rsidRDefault="007260DF" w:rsidP="007260DF">
      <w:pPr>
        <w:pStyle w:val="Textonotapie"/>
        <w:ind w:firstLine="708"/>
        <w:jc w:val="both"/>
        <w:rPr>
          <w:rFonts w:ascii="Verdana" w:hAnsi="Verdana" w:cs="Arial"/>
          <w:color w:val="000000" w:themeColor="text1"/>
          <w:sz w:val="16"/>
          <w:szCs w:val="16"/>
          <w:lang w:val="es-CO"/>
        </w:rPr>
      </w:pPr>
      <w:r w:rsidRPr="00D078F7">
        <w:rPr>
          <w:rStyle w:val="Refdenotaalpie"/>
          <w:rFonts w:ascii="Verdana" w:hAnsi="Verdana" w:cs="Arial"/>
          <w:color w:val="000000" w:themeColor="text1"/>
          <w:sz w:val="16"/>
          <w:szCs w:val="16"/>
        </w:rPr>
        <w:footnoteRef/>
      </w:r>
      <w:r w:rsidRPr="00D078F7">
        <w:rPr>
          <w:rFonts w:ascii="Verdana" w:hAnsi="Verdana" w:cs="Arial"/>
          <w:color w:val="000000" w:themeColor="text1"/>
          <w:sz w:val="16"/>
          <w:szCs w:val="16"/>
        </w:rPr>
        <w:t xml:space="preserve"> DÁVILA VINUEZA, Luis Guillermo. Régimen jurídico de la contratación estatal. Tercera edición. Bogotá: Legis, 2016. p. 469. </w:t>
      </w:r>
    </w:p>
  </w:footnote>
  <w:footnote w:id="12">
    <w:p w14:paraId="5FA2EC15" w14:textId="77777777" w:rsidR="007260DF" w:rsidRPr="00D078F7" w:rsidRDefault="007260DF" w:rsidP="007260DF">
      <w:pPr>
        <w:pStyle w:val="Textonotapie"/>
        <w:ind w:firstLine="709"/>
        <w:rPr>
          <w:rFonts w:ascii="Verdana" w:hAnsi="Verdana"/>
          <w:sz w:val="16"/>
          <w:szCs w:val="16"/>
          <w:lang w:val="es-ES"/>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i/>
          <w:iCs/>
          <w:sz w:val="16"/>
          <w:szCs w:val="16"/>
        </w:rPr>
        <w:t>Ibídem.</w:t>
      </w:r>
    </w:p>
  </w:footnote>
  <w:footnote w:id="13">
    <w:p w14:paraId="0847BAB9" w14:textId="77777777" w:rsidR="007260DF" w:rsidRPr="00D078F7" w:rsidRDefault="007260DF" w:rsidP="007260DF">
      <w:pPr>
        <w:pStyle w:val="Textonotapie"/>
        <w:ind w:firstLine="708"/>
        <w:jc w:val="both"/>
        <w:rPr>
          <w:rFonts w:ascii="Verdana" w:hAnsi="Verdana" w:cs="Arial"/>
          <w:sz w:val="16"/>
          <w:szCs w:val="16"/>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42D2FD8F"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“Entidad Estatal debe publicar el contrato suscrito con el comisionista seleccionado y sus modificaciones en el Secop”.</w:t>
      </w:r>
    </w:p>
  </w:footnote>
  <w:footnote w:id="14">
    <w:p w14:paraId="33563330" w14:textId="77777777" w:rsidR="007260DF" w:rsidRPr="00D078F7" w:rsidRDefault="007260DF" w:rsidP="007260DF">
      <w:pPr>
        <w:pStyle w:val="NormalWeb"/>
        <w:spacing w:before="0" w:beforeAutospacing="0" w:after="0" w:afterAutospacing="0"/>
        <w:ind w:firstLine="708"/>
        <w:jc w:val="both"/>
        <w:rPr>
          <w:rFonts w:ascii="Verdana" w:hAnsi="Verdana" w:cs="Arial"/>
          <w:color w:val="000000"/>
          <w:sz w:val="16"/>
          <w:szCs w:val="16"/>
        </w:rPr>
      </w:pPr>
      <w:r w:rsidRPr="00D078F7">
        <w:rPr>
          <w:rStyle w:val="Refdenotaalpie"/>
          <w:rFonts w:ascii="Verdana" w:hAnsi="Verdana"/>
          <w:sz w:val="16"/>
          <w:szCs w:val="16"/>
        </w:rPr>
        <w:footnoteRef/>
      </w:r>
      <w:r w:rsidRPr="00D078F7">
        <w:rPr>
          <w:rFonts w:ascii="Verdana" w:hAnsi="Verdana" w:cs="Arial"/>
          <w:sz w:val="16"/>
          <w:szCs w:val="16"/>
        </w:rPr>
        <w:t xml:space="preserve"> Decreto 1082 de 2015 “</w:t>
      </w:r>
      <w:r w:rsidRPr="00D078F7">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0CF682EB" w14:textId="77777777" w:rsidR="007260DF" w:rsidRPr="00D078F7" w:rsidRDefault="007260DF" w:rsidP="007260DF">
      <w:pPr>
        <w:spacing w:after="0"/>
        <w:ind w:firstLine="709"/>
        <w:jc w:val="both"/>
        <w:rPr>
          <w:rFonts w:ascii="Verdana" w:eastAsia="Times New Roman" w:hAnsi="Verdana" w:cs="Arial"/>
          <w:color w:val="000000"/>
          <w:sz w:val="16"/>
          <w:szCs w:val="16"/>
          <w:lang w:eastAsia="es-CO"/>
        </w:rPr>
      </w:pPr>
      <w:bookmarkStart w:id="2" w:name="ver_30051355"/>
      <w:bookmarkEnd w:id="2"/>
      <w:r w:rsidRPr="00D078F7">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680939F9" w14:textId="77777777" w:rsidR="007260DF" w:rsidRPr="00D078F7" w:rsidRDefault="007260DF" w:rsidP="007260DF">
      <w:pPr>
        <w:spacing w:after="0"/>
        <w:ind w:firstLine="709"/>
        <w:jc w:val="both"/>
        <w:rPr>
          <w:rFonts w:ascii="Arial" w:eastAsia="Times New Roman" w:hAnsi="Arial" w:cs="Arial"/>
          <w:color w:val="000000"/>
          <w:sz w:val="16"/>
          <w:szCs w:val="16"/>
          <w:lang w:eastAsia="es-CO"/>
        </w:rPr>
      </w:pPr>
      <w:r w:rsidRPr="00D078F7">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15">
    <w:p w14:paraId="45020609" w14:textId="77777777" w:rsidR="007260DF" w:rsidRPr="00D078F7" w:rsidRDefault="007260DF" w:rsidP="007260DF">
      <w:pPr>
        <w:pStyle w:val="Textonotapie"/>
        <w:ind w:firstLine="708"/>
        <w:jc w:val="both"/>
        <w:rPr>
          <w:rFonts w:ascii="Verdana" w:hAnsi="Verdana" w:cs="Arial"/>
          <w:sz w:val="16"/>
          <w:szCs w:val="16"/>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D078F7">
        <w:rPr>
          <w:rFonts w:ascii="Arial" w:hAnsi="Arial" w:cs="Arial"/>
          <w:sz w:val="16"/>
          <w:szCs w:val="16"/>
        </w:rPr>
        <w:t>​</w:t>
      </w:r>
      <w:r w:rsidRPr="00D078F7">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79AE556B"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300FD505"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6A6BF0EA"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4A062184"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68409CFE"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11D3A686" w14:textId="77777777" w:rsidR="007260DF" w:rsidRPr="00D078F7" w:rsidRDefault="007260DF" w:rsidP="007260DF">
      <w:pPr>
        <w:pStyle w:val="Textonotapie"/>
        <w:ind w:firstLine="708"/>
        <w:jc w:val="both"/>
        <w:rPr>
          <w:rFonts w:ascii="Verdana" w:hAnsi="Verdana" w:cs="Arial"/>
          <w:sz w:val="16"/>
          <w:szCs w:val="16"/>
        </w:rPr>
      </w:pPr>
      <w:r w:rsidRPr="00D078F7">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16">
    <w:p w14:paraId="7FA82BE2" w14:textId="77777777" w:rsidR="007260DF" w:rsidRPr="00D078F7" w:rsidRDefault="007260DF" w:rsidP="007260DF">
      <w:pPr>
        <w:spacing w:after="0" w:line="240" w:lineRule="auto"/>
        <w:ind w:firstLine="709"/>
        <w:jc w:val="both"/>
        <w:rPr>
          <w:rFonts w:ascii="Verdana" w:hAnsi="Verdana"/>
          <w:sz w:val="16"/>
          <w:szCs w:val="16"/>
        </w:rPr>
      </w:pPr>
      <w:r w:rsidRPr="00D078F7">
        <w:rPr>
          <w:rStyle w:val="Refdenotaalpie"/>
          <w:sz w:val="16"/>
          <w:szCs w:val="16"/>
        </w:rPr>
        <w:footnoteRef/>
      </w:r>
      <w:r w:rsidRPr="00D078F7">
        <w:rPr>
          <w:sz w:val="16"/>
          <w:szCs w:val="16"/>
        </w:rPr>
        <w:t xml:space="preserve"> </w:t>
      </w:r>
      <w:r w:rsidRPr="00D078F7">
        <w:rPr>
          <w:rFonts w:ascii="Verdana" w:hAnsi="Verdana"/>
          <w:sz w:val="16"/>
          <w:szCs w:val="16"/>
        </w:rPr>
        <w:t>Decreto 2555 de 2010 “Artículo 2.11.1.1.5. Reglamentos generales de las bolsas. Las bolsas de bienes y productos agropecuarios, agroindustriales o de otros commodities deberán contar con reglamentos que rijan su organización, administración, funcionamiento, así como las operaciones y actividades que se realicen por conducto de los mercados que administren. </w:t>
      </w:r>
    </w:p>
    <w:p w14:paraId="71A868B2" w14:textId="77777777" w:rsidR="007260DF" w:rsidRPr="00D078F7" w:rsidRDefault="007260DF" w:rsidP="007260DF">
      <w:pPr>
        <w:spacing w:after="0" w:line="240" w:lineRule="auto"/>
        <w:ind w:firstLine="709"/>
        <w:jc w:val="both"/>
        <w:rPr>
          <w:rFonts w:ascii="Verdana" w:hAnsi="Verdana"/>
          <w:sz w:val="16"/>
          <w:szCs w:val="16"/>
        </w:rPr>
      </w:pPr>
      <w:r w:rsidRPr="00D078F7">
        <w:rPr>
          <w:rFonts w:ascii="Verdana" w:hAnsi="Verdana"/>
          <w:sz w:val="16"/>
          <w:szCs w:val="16"/>
        </w:rPr>
        <w:t>“Las bolsas de bienes y productos agropecuarios, agroindustriales o de otros commodities que administren sistemas de registro de operaciones, deberán establecer las normas que regulen la organización, administración y funcionamiento de dichos sistemas. </w:t>
      </w:r>
    </w:p>
    <w:p w14:paraId="64C56E92" w14:textId="77777777" w:rsidR="007260DF" w:rsidRPr="00D078F7" w:rsidRDefault="007260DF" w:rsidP="007260DF">
      <w:pPr>
        <w:spacing w:after="0" w:line="240" w:lineRule="auto"/>
        <w:ind w:firstLine="709"/>
        <w:jc w:val="both"/>
        <w:rPr>
          <w:rFonts w:ascii="Verdana" w:hAnsi="Verdana"/>
          <w:sz w:val="16"/>
          <w:szCs w:val="16"/>
        </w:rPr>
      </w:pPr>
      <w:r w:rsidRPr="00D078F7">
        <w:rPr>
          <w:rFonts w:ascii="Verdana" w:hAnsi="Verdana"/>
          <w:sz w:val="16"/>
          <w:szCs w:val="16"/>
        </w:rPr>
        <w:t> “Estos reglamentos y sus modificaciones deberán ser aprobados por la junta directiva y autorizados por la Superintendencia Financiera de Colombia.</w:t>
      </w:r>
    </w:p>
    <w:p w14:paraId="052FC543" w14:textId="77777777" w:rsidR="007260DF" w:rsidRPr="00F33A6C" w:rsidRDefault="007260DF" w:rsidP="007260DF">
      <w:pPr>
        <w:spacing w:after="0" w:line="240" w:lineRule="auto"/>
        <w:ind w:firstLine="709"/>
        <w:jc w:val="both"/>
        <w:rPr>
          <w:rFonts w:ascii="Verdana" w:hAnsi="Verdana"/>
          <w:sz w:val="16"/>
          <w:szCs w:val="16"/>
        </w:rPr>
      </w:pPr>
      <w:r w:rsidRPr="00D078F7">
        <w:rPr>
          <w:rFonts w:ascii="Verdana" w:hAnsi="Verdana"/>
          <w:sz w:val="16"/>
          <w:szCs w:val="16"/>
        </w:rPr>
        <w:t>“Parágrafo 1°. Cuando se trate de las subastas y los servicios a cargo del gestor del mercado de gas natural realizados en desarrollo de la regulación establecida por la Comisión de Regulación de Energía y Gas Combustible (CREG) respecto del funcionamiento del mercado mayorista de gas combustible, no será necesario que las bolsas de bienes y productos agropecuarios, agroindustriales o de otros commodities tengan reglamentos autorizados por la Superintendencia Financiera de Colombia”.</w:t>
      </w:r>
    </w:p>
  </w:footnote>
  <w:footnote w:id="17">
    <w:p w14:paraId="14AF563D" w14:textId="77777777" w:rsidR="007260DF" w:rsidRPr="00CC785F" w:rsidRDefault="007260DF" w:rsidP="007260DF">
      <w:pPr>
        <w:pStyle w:val="Textonotapie"/>
        <w:ind w:firstLine="708"/>
        <w:jc w:val="both"/>
        <w:rPr>
          <w:rFonts w:ascii="Verdana" w:hAnsi="Verdana"/>
          <w:sz w:val="16"/>
          <w:szCs w:val="16"/>
        </w:rPr>
      </w:pPr>
      <w:r w:rsidRPr="0040658E">
        <w:rPr>
          <w:rStyle w:val="Refdenotaalpie"/>
          <w:rFonts w:ascii="Verdana" w:hAnsi="Verdana"/>
          <w:sz w:val="16"/>
          <w:szCs w:val="16"/>
        </w:rPr>
        <w:footnoteRef/>
      </w:r>
      <w:r w:rsidRPr="0040658E">
        <w:rPr>
          <w:rFonts w:ascii="Verdana" w:hAnsi="Verdana"/>
          <w:sz w:val="16"/>
          <w:szCs w:val="16"/>
        </w:rPr>
        <w:t xml:space="preserve"> </w:t>
      </w:r>
      <w:r>
        <w:rPr>
          <w:rFonts w:ascii="Verdana" w:hAnsi="Verdana"/>
          <w:sz w:val="16"/>
          <w:szCs w:val="16"/>
        </w:rPr>
        <w:t>En consecuencia, “</w:t>
      </w:r>
      <w:r w:rsidRPr="00CC785F">
        <w:rPr>
          <w:rFonts w:ascii="Verdana" w:hAnsi="Verdana"/>
          <w:sz w:val="16"/>
          <w:szCs w:val="16"/>
        </w:rPr>
        <w:t>Las relaciones del comisionista con los terceros se disciplina de conformidad con el contrato que haya realizado con ellos. De ninguna manera</w:t>
      </w:r>
      <w:r>
        <w:rPr>
          <w:rFonts w:ascii="Verdana" w:hAnsi="Verdana"/>
          <w:sz w:val="16"/>
          <w:szCs w:val="16"/>
        </w:rPr>
        <w:t xml:space="preserve"> </w:t>
      </w:r>
      <w:r w:rsidRPr="00CC785F">
        <w:rPr>
          <w:rFonts w:ascii="Verdana" w:hAnsi="Verdana"/>
          <w:sz w:val="16"/>
          <w:szCs w:val="16"/>
        </w:rPr>
        <w:t>estos terceros pueden exigir cumplimiento al comitente de aquellas prestaciones incumplidas por el comisionista, ni siquiera de forma subsidiaria. El comitente es un tercero extraño en las relaciones jurídicas que haya</w:t>
      </w:r>
      <w:r>
        <w:rPr>
          <w:rFonts w:ascii="Verdana" w:hAnsi="Verdana"/>
          <w:sz w:val="16"/>
          <w:szCs w:val="16"/>
        </w:rPr>
        <w:t xml:space="preserve"> </w:t>
      </w:r>
      <w:r w:rsidRPr="00CC785F">
        <w:rPr>
          <w:rFonts w:ascii="Verdana" w:hAnsi="Verdana"/>
          <w:sz w:val="16"/>
          <w:szCs w:val="16"/>
        </w:rPr>
        <w:t>efectuado el comisionista en cumplimiento de la comisión. De la misma</w:t>
      </w:r>
      <w:r>
        <w:rPr>
          <w:rFonts w:ascii="Verdana" w:hAnsi="Verdana"/>
          <w:sz w:val="16"/>
          <w:szCs w:val="16"/>
        </w:rPr>
        <w:t xml:space="preserve"> </w:t>
      </w:r>
      <w:r w:rsidRPr="00CC785F">
        <w:rPr>
          <w:rFonts w:ascii="Verdana" w:hAnsi="Verdana"/>
          <w:sz w:val="16"/>
          <w:szCs w:val="16"/>
        </w:rPr>
        <w:t xml:space="preserve">manera, el </w:t>
      </w:r>
      <w:r>
        <w:rPr>
          <w:rFonts w:ascii="Verdana" w:hAnsi="Verdana"/>
          <w:sz w:val="16"/>
          <w:szCs w:val="16"/>
        </w:rPr>
        <w:t>co</w:t>
      </w:r>
      <w:r w:rsidRPr="00CC785F">
        <w:rPr>
          <w:rFonts w:ascii="Verdana" w:hAnsi="Verdana"/>
          <w:sz w:val="16"/>
          <w:szCs w:val="16"/>
        </w:rPr>
        <w:t>mitente no podrá de dirigirse directamente contra los terceros</w:t>
      </w:r>
      <w:r>
        <w:rPr>
          <w:rFonts w:ascii="Verdana" w:hAnsi="Verdana"/>
          <w:sz w:val="16"/>
          <w:szCs w:val="16"/>
        </w:rPr>
        <w:t xml:space="preserve"> </w:t>
      </w:r>
      <w:r w:rsidRPr="00CC785F">
        <w:rPr>
          <w:rFonts w:ascii="Verdana" w:hAnsi="Verdana"/>
          <w:sz w:val="16"/>
          <w:szCs w:val="16"/>
        </w:rPr>
        <w:t>con quienes contrató el comisionista, para exigir responsabilidad alguna.</w:t>
      </w:r>
      <w:r>
        <w:rPr>
          <w:rFonts w:ascii="Verdana" w:hAnsi="Verdana"/>
          <w:sz w:val="16"/>
          <w:szCs w:val="16"/>
        </w:rPr>
        <w:t xml:space="preserve"> </w:t>
      </w:r>
      <w:r w:rsidRPr="00CC785F">
        <w:rPr>
          <w:rFonts w:ascii="Verdana" w:hAnsi="Verdana"/>
          <w:sz w:val="16"/>
          <w:szCs w:val="16"/>
        </w:rPr>
        <w:t>Son las consecuencias propias de la comisión, por tratarse de un mandato sin representación</w:t>
      </w:r>
      <w:r>
        <w:rPr>
          <w:rFonts w:ascii="Verdana" w:hAnsi="Verdana"/>
          <w:sz w:val="16"/>
          <w:szCs w:val="16"/>
        </w:rPr>
        <w:t>” (ARRUBLA PAUCAR, Jaime Alberto. Contratos comerciales: contratos típicos. Decimocuarta edición. Bogotá: Legis, 2015. p. 312)</w:t>
      </w:r>
      <w:r w:rsidRPr="00CC785F">
        <w:rPr>
          <w:rFonts w:ascii="Verdana" w:hAnsi="Verdana"/>
          <w:sz w:val="16"/>
          <w:szCs w:val="16"/>
        </w:rPr>
        <w:t>.</w:t>
      </w:r>
    </w:p>
  </w:footnote>
  <w:footnote w:id="18">
    <w:p w14:paraId="258C0CCC" w14:textId="77777777" w:rsidR="007260DF" w:rsidRPr="0014714B" w:rsidRDefault="007260DF" w:rsidP="007260DF">
      <w:pPr>
        <w:pStyle w:val="Textonotapie"/>
        <w:ind w:firstLine="708"/>
        <w:jc w:val="both"/>
        <w:rPr>
          <w:rFonts w:ascii="Verdana" w:hAnsi="Verdana"/>
          <w:sz w:val="16"/>
          <w:szCs w:val="16"/>
          <w:lang w:val="es-CO"/>
        </w:rPr>
      </w:pPr>
      <w:r w:rsidRPr="0014714B">
        <w:rPr>
          <w:rStyle w:val="Refdenotaalpie"/>
          <w:rFonts w:ascii="Verdana" w:hAnsi="Verdana"/>
          <w:sz w:val="16"/>
          <w:szCs w:val="16"/>
        </w:rPr>
        <w:footnoteRef/>
      </w:r>
      <w:r w:rsidRPr="0014714B">
        <w:rPr>
          <w:rFonts w:ascii="Verdana" w:hAnsi="Verdana"/>
          <w:sz w:val="16"/>
          <w:szCs w:val="16"/>
        </w:rPr>
        <w:t xml:space="preserve"> SUÁREZ BELTRÁN</w:t>
      </w:r>
      <w:r>
        <w:rPr>
          <w:rFonts w:ascii="Verdana" w:hAnsi="Verdana"/>
          <w:sz w:val="16"/>
          <w:szCs w:val="16"/>
        </w:rPr>
        <w:t>, Op. cit., p. 105.</w:t>
      </w:r>
    </w:p>
  </w:footnote>
  <w:footnote w:id="19">
    <w:p w14:paraId="08D3AF27" w14:textId="77777777" w:rsidR="007260DF" w:rsidRPr="00F268F2" w:rsidRDefault="007260DF" w:rsidP="007260DF">
      <w:pPr>
        <w:pStyle w:val="Textonotapie"/>
        <w:ind w:firstLine="708"/>
        <w:jc w:val="both"/>
        <w:rPr>
          <w:rFonts w:ascii="Verdana" w:hAnsi="Verdana"/>
          <w:sz w:val="16"/>
          <w:szCs w:val="16"/>
          <w:lang w:val="es-CO"/>
        </w:rPr>
      </w:pPr>
      <w:r w:rsidRPr="00F305E6">
        <w:rPr>
          <w:rStyle w:val="Refdenotaalpie"/>
          <w:rFonts w:ascii="Verdana" w:hAnsi="Verdana"/>
          <w:sz w:val="16"/>
          <w:szCs w:val="16"/>
        </w:rPr>
        <w:footnoteRef/>
      </w:r>
      <w:r w:rsidRPr="00F305E6">
        <w:rPr>
          <w:rFonts w:ascii="Verdana" w:hAnsi="Verdana"/>
          <w:sz w:val="16"/>
          <w:szCs w:val="16"/>
        </w:rPr>
        <w:t xml:space="preserve"> </w:t>
      </w:r>
      <w:r>
        <w:rPr>
          <w:rFonts w:ascii="Verdana" w:hAnsi="Verdana"/>
          <w:sz w:val="16"/>
          <w:szCs w:val="16"/>
        </w:rPr>
        <w:t xml:space="preserve">Cfr. </w:t>
      </w:r>
      <w:r w:rsidRPr="00F305E6">
        <w:rPr>
          <w:rFonts w:ascii="Verdana" w:hAnsi="Verdana"/>
          <w:sz w:val="16"/>
          <w:szCs w:val="16"/>
        </w:rPr>
        <w:t>GARRIGUES</w:t>
      </w:r>
      <w:r>
        <w:rPr>
          <w:rFonts w:ascii="Verdana" w:hAnsi="Verdana"/>
          <w:sz w:val="16"/>
          <w:szCs w:val="16"/>
        </w:rPr>
        <w:t>, Joaquín. Curso de derecho comercial. Tomo I. Séptima edición. Bogotá: Temis, 1987. p. 57.</w:t>
      </w:r>
    </w:p>
  </w:footnote>
  <w:footnote w:id="20">
    <w:p w14:paraId="3BF311C2" w14:textId="77777777" w:rsidR="007260DF" w:rsidRPr="00013E49" w:rsidRDefault="007260DF" w:rsidP="007260DF">
      <w:pPr>
        <w:pStyle w:val="Textonotapie"/>
        <w:ind w:firstLine="708"/>
        <w:jc w:val="both"/>
        <w:rPr>
          <w:rFonts w:ascii="Verdana" w:hAnsi="Verdana"/>
          <w:sz w:val="16"/>
          <w:szCs w:val="16"/>
          <w:lang w:val="es-CO"/>
        </w:rPr>
      </w:pPr>
      <w:r w:rsidRPr="0058501B">
        <w:rPr>
          <w:rStyle w:val="Refdenotaalpie"/>
          <w:rFonts w:ascii="Verdana" w:hAnsi="Verdana"/>
          <w:sz w:val="16"/>
          <w:szCs w:val="16"/>
        </w:rPr>
        <w:footnoteRef/>
      </w:r>
      <w:r w:rsidRPr="0058501B">
        <w:rPr>
          <w:rFonts w:ascii="Verdana" w:hAnsi="Verdana"/>
          <w:sz w:val="16"/>
          <w:szCs w:val="16"/>
        </w:rPr>
        <w:t xml:space="preserve"> </w:t>
      </w:r>
      <w:r>
        <w:rPr>
          <w:rFonts w:ascii="Verdana" w:hAnsi="Verdana"/>
          <w:sz w:val="16"/>
          <w:szCs w:val="16"/>
        </w:rPr>
        <w:t xml:space="preserve">El </w:t>
      </w:r>
      <w:r w:rsidRPr="00013E49">
        <w:rPr>
          <w:rFonts w:ascii="Verdana" w:hAnsi="Verdana"/>
          <w:sz w:val="16"/>
          <w:szCs w:val="16"/>
        </w:rPr>
        <w:t>artículo 56 de la Ley 80 de 1993</w:t>
      </w:r>
      <w:r>
        <w:rPr>
          <w:rFonts w:ascii="Verdana" w:hAnsi="Verdana"/>
          <w:sz w:val="16"/>
          <w:szCs w:val="16"/>
        </w:rPr>
        <w:t xml:space="preserve"> dispone que “</w:t>
      </w:r>
      <w:r w:rsidRPr="00013E49">
        <w:rPr>
          <w:rFonts w:ascii="Verdana" w:hAnsi="Verdana"/>
          <w:sz w:val="16"/>
          <w:szCs w:val="16"/>
        </w:rPr>
        <w:t>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w:t>
      </w:r>
      <w:r>
        <w:rPr>
          <w:rFonts w:ascii="Verdana" w:hAnsi="Verdana"/>
          <w:sz w:val="16"/>
          <w:szCs w:val="16"/>
        </w:rPr>
        <w:t>”</w:t>
      </w:r>
      <w:r w:rsidRPr="00013E49">
        <w:rPr>
          <w:rFonts w:ascii="Verdana" w:hAnsi="Verdana"/>
          <w:sz w:val="16"/>
          <w:szCs w:val="16"/>
        </w:rPr>
        <w:t>.</w:t>
      </w:r>
      <w:r>
        <w:rPr>
          <w:rFonts w:ascii="Verdana" w:hAnsi="Verdana"/>
          <w:sz w:val="16"/>
          <w:szCs w:val="16"/>
        </w:rPr>
        <w:t xml:space="preserve"> Por otro lado, </w:t>
      </w:r>
      <w:r w:rsidRPr="00013E49">
        <w:rPr>
          <w:rFonts w:ascii="Verdana" w:hAnsi="Verdana"/>
          <w:sz w:val="16"/>
          <w:szCs w:val="16"/>
        </w:rPr>
        <w:t>el parágrafo 1˚ del artículo 2 de la Ley 678 de 2001</w:t>
      </w:r>
      <w:r>
        <w:rPr>
          <w:rFonts w:ascii="Verdana" w:hAnsi="Verdana"/>
          <w:sz w:val="16"/>
          <w:szCs w:val="16"/>
        </w:rPr>
        <w:t xml:space="preserve"> precisa lo siguiente: “</w:t>
      </w:r>
      <w:r w:rsidRPr="00013E49">
        <w:rPr>
          <w:rFonts w:ascii="Verdana" w:hAnsi="Verdana"/>
          <w:sz w:val="16"/>
          <w:szCs w:val="16"/>
        </w:rPr>
        <w:t>Para efectos de repetición, el contratista, el interventor, el consultor y el asesor se consideran particulares que cumplen funciones públicas en todo lo concerniente a la celebración, ejecución y liquidación de los contratos que celebren con las entidades estatales, por lo tanto estarán sujetos a lo contemplado en esta ley</w:t>
      </w:r>
      <w:r>
        <w:rPr>
          <w:rFonts w:ascii="Verdana" w:hAnsi="Verdana"/>
          <w:sz w:val="16"/>
          <w:szCs w:val="16"/>
        </w:rPr>
        <w:t>”.</w:t>
      </w:r>
    </w:p>
  </w:footnote>
  <w:footnote w:id="21">
    <w:p w14:paraId="76FD07DB" w14:textId="77777777" w:rsidR="007260DF" w:rsidRPr="0076580E" w:rsidRDefault="007260DF" w:rsidP="007260DF">
      <w:pPr>
        <w:pStyle w:val="Textonotapie"/>
        <w:ind w:firstLine="708"/>
        <w:jc w:val="both"/>
        <w:rPr>
          <w:rFonts w:ascii="Verdana" w:hAnsi="Verdana"/>
          <w:sz w:val="16"/>
          <w:szCs w:val="16"/>
        </w:rPr>
      </w:pPr>
      <w:r w:rsidRPr="0076580E">
        <w:rPr>
          <w:rStyle w:val="Refdenotaalpie"/>
          <w:rFonts w:ascii="Verdana" w:hAnsi="Verdana"/>
          <w:sz w:val="16"/>
          <w:szCs w:val="16"/>
        </w:rPr>
        <w:footnoteRef/>
      </w:r>
      <w:r w:rsidRPr="0076580E">
        <w:rPr>
          <w:rFonts w:ascii="Verdana" w:hAnsi="Verdana"/>
          <w:sz w:val="16"/>
          <w:szCs w:val="16"/>
        </w:rPr>
        <w:t xml:space="preserve"> </w:t>
      </w:r>
      <w:r>
        <w:rPr>
          <w:rFonts w:ascii="Verdana" w:hAnsi="Verdana"/>
          <w:sz w:val="16"/>
          <w:szCs w:val="16"/>
        </w:rPr>
        <w:t xml:space="preserve">Al respecto, </w:t>
      </w:r>
      <w:r w:rsidRPr="0076580E">
        <w:rPr>
          <w:rFonts w:ascii="Verdana" w:hAnsi="Verdana"/>
          <w:sz w:val="16"/>
          <w:szCs w:val="16"/>
        </w:rPr>
        <w:t>el numeral 2 del artículo 2.2.1.2.1.2.1 del Decreto 1082 de 2015</w:t>
      </w:r>
      <w:r>
        <w:rPr>
          <w:rFonts w:ascii="Verdana" w:hAnsi="Verdana"/>
          <w:sz w:val="16"/>
          <w:szCs w:val="16"/>
        </w:rPr>
        <w:t xml:space="preserve"> “[…] </w:t>
      </w:r>
      <w:r w:rsidRPr="0076580E">
        <w:rPr>
          <w:rFonts w:ascii="Verdana" w:hAnsi="Verdana"/>
          <w:sz w:val="16"/>
          <w:szCs w:val="16"/>
        </w:rPr>
        <w:t>busca pedagógicamente guiar al operador</w:t>
      </w:r>
      <w:r>
        <w:rPr>
          <w:rFonts w:ascii="Verdana" w:hAnsi="Verdana"/>
          <w:sz w:val="16"/>
          <w:szCs w:val="16"/>
        </w:rPr>
        <w:t xml:space="preserve"> </w:t>
      </w:r>
      <w:r w:rsidRPr="0076580E">
        <w:rPr>
          <w:rFonts w:ascii="Verdana" w:hAnsi="Verdana"/>
          <w:sz w:val="16"/>
          <w:szCs w:val="16"/>
        </w:rPr>
        <w:t>que se enfrenta al caso de bienes como el de la gasolina o al de servicios como</w:t>
      </w:r>
      <w:r>
        <w:rPr>
          <w:rFonts w:ascii="Verdana" w:hAnsi="Verdana"/>
          <w:sz w:val="16"/>
          <w:szCs w:val="16"/>
        </w:rPr>
        <w:t xml:space="preserve"> </w:t>
      </w:r>
      <w:r w:rsidRPr="0076580E">
        <w:rPr>
          <w:rFonts w:ascii="Verdana" w:hAnsi="Verdana"/>
          <w:sz w:val="16"/>
          <w:szCs w:val="16"/>
        </w:rPr>
        <w:t>el de vigilancia que, a pesar de llenar todos los requisitos para ser tratados como</w:t>
      </w:r>
      <w:r>
        <w:rPr>
          <w:rFonts w:ascii="Verdana" w:hAnsi="Verdana"/>
          <w:sz w:val="16"/>
          <w:szCs w:val="16"/>
        </w:rPr>
        <w:t xml:space="preserve"> </w:t>
      </w:r>
      <w:r w:rsidRPr="0076580E">
        <w:rPr>
          <w:rFonts w:ascii="Verdana" w:hAnsi="Verdana"/>
          <w:sz w:val="16"/>
          <w:szCs w:val="16"/>
        </w:rPr>
        <w:t>Ctucus, en principio ofrecen dificultades para poder llevar a cabo un proceso</w:t>
      </w:r>
      <w:r>
        <w:rPr>
          <w:rFonts w:ascii="Verdana" w:hAnsi="Verdana"/>
          <w:sz w:val="16"/>
          <w:szCs w:val="16"/>
        </w:rPr>
        <w:t xml:space="preserve"> </w:t>
      </w:r>
      <w:r w:rsidRPr="0076580E">
        <w:rPr>
          <w:rFonts w:ascii="Verdana" w:hAnsi="Verdana"/>
          <w:sz w:val="16"/>
          <w:szCs w:val="16"/>
        </w:rPr>
        <w:t>competitivo basado en el precio, en atención a que el mismo se encuentra controlado por el Gobierno Nacional en uso de atribuciones legales. En desarrollo</w:t>
      </w:r>
      <w:r>
        <w:rPr>
          <w:rFonts w:ascii="Verdana" w:hAnsi="Verdana"/>
          <w:sz w:val="16"/>
          <w:szCs w:val="16"/>
        </w:rPr>
        <w:t xml:space="preserve"> </w:t>
      </w:r>
      <w:r w:rsidRPr="0076580E">
        <w:rPr>
          <w:rFonts w:ascii="Verdana" w:hAnsi="Verdana"/>
          <w:sz w:val="16"/>
          <w:szCs w:val="16"/>
        </w:rPr>
        <w:t>de la norma que se comenta, se trata de requerir de la entidad estatal un análisis</w:t>
      </w:r>
      <w:r>
        <w:rPr>
          <w:rFonts w:ascii="Verdana" w:hAnsi="Verdana"/>
          <w:sz w:val="16"/>
          <w:szCs w:val="16"/>
        </w:rPr>
        <w:t xml:space="preserve"> </w:t>
      </w:r>
      <w:r w:rsidRPr="0076580E">
        <w:rPr>
          <w:rFonts w:ascii="Verdana" w:hAnsi="Verdana"/>
          <w:sz w:val="16"/>
          <w:szCs w:val="16"/>
        </w:rPr>
        <w:t>de la situación, a efecto de determinar si el sistema de formación de precio permite algún tipo de competencia basada en el precio, como lo sería el margen de</w:t>
      </w:r>
      <w:r>
        <w:rPr>
          <w:rFonts w:ascii="Verdana" w:hAnsi="Verdana"/>
          <w:sz w:val="16"/>
          <w:szCs w:val="16"/>
        </w:rPr>
        <w:t xml:space="preserve"> </w:t>
      </w:r>
      <w:r w:rsidRPr="0076580E">
        <w:rPr>
          <w:rFonts w:ascii="Verdana" w:hAnsi="Verdana"/>
          <w:sz w:val="16"/>
          <w:szCs w:val="16"/>
        </w:rPr>
        <w:t>intermediación de quienes proveen el bien o servicio. Ahora bien, cabe preguntarse qué hacer de no ser ello posible porque tal variable simplemente no exista. En nuestra opinión, probada la circunstancia en los estudios previos, podrá</w:t>
      </w:r>
      <w:r>
        <w:rPr>
          <w:rFonts w:ascii="Verdana" w:hAnsi="Verdana"/>
          <w:sz w:val="16"/>
          <w:szCs w:val="16"/>
        </w:rPr>
        <w:t xml:space="preserve"> </w:t>
      </w:r>
      <w:r w:rsidRPr="0076580E">
        <w:rPr>
          <w:rFonts w:ascii="Verdana" w:hAnsi="Verdana"/>
          <w:sz w:val="16"/>
          <w:szCs w:val="16"/>
        </w:rPr>
        <w:t>entonces recurrirse al método de selección que corresponda de acuerdo con la</w:t>
      </w:r>
      <w:r>
        <w:rPr>
          <w:rFonts w:ascii="Verdana" w:hAnsi="Verdana"/>
          <w:sz w:val="16"/>
          <w:szCs w:val="16"/>
        </w:rPr>
        <w:t xml:space="preserve"> </w:t>
      </w:r>
      <w:r w:rsidRPr="0076580E">
        <w:rPr>
          <w:rFonts w:ascii="Verdana" w:hAnsi="Verdana"/>
          <w:sz w:val="16"/>
          <w:szCs w:val="16"/>
        </w:rPr>
        <w:t>cuantía, esto es, licitación pública o selección abreviada de menor cuantía</w:t>
      </w:r>
      <w:r>
        <w:rPr>
          <w:rFonts w:ascii="Verdana" w:hAnsi="Verdana"/>
          <w:sz w:val="16"/>
          <w:szCs w:val="16"/>
        </w:rPr>
        <w:t xml:space="preserve">” (Cfr. </w:t>
      </w:r>
      <w:r w:rsidRPr="0014714B">
        <w:rPr>
          <w:rFonts w:ascii="Verdana" w:hAnsi="Verdana"/>
          <w:sz w:val="16"/>
          <w:szCs w:val="16"/>
        </w:rPr>
        <w:t>SUÁREZ BELTRÁN</w:t>
      </w:r>
      <w:r>
        <w:rPr>
          <w:rFonts w:ascii="Verdana" w:hAnsi="Verdana"/>
          <w:sz w:val="16"/>
          <w:szCs w:val="16"/>
        </w:rPr>
        <w:t>, Op. cit., pp. 75-76)</w:t>
      </w:r>
      <w:r w:rsidRPr="0076580E">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C56"/>
    <w:rsid w:val="00016F78"/>
    <w:rsid w:val="00046945"/>
    <w:rsid w:val="00061B2A"/>
    <w:rsid w:val="00082362"/>
    <w:rsid w:val="000A683E"/>
    <w:rsid w:val="000B19B9"/>
    <w:rsid w:val="000C4338"/>
    <w:rsid w:val="000D0334"/>
    <w:rsid w:val="000D5DA7"/>
    <w:rsid w:val="000E6E51"/>
    <w:rsid w:val="000F6486"/>
    <w:rsid w:val="00116940"/>
    <w:rsid w:val="00125105"/>
    <w:rsid w:val="00127233"/>
    <w:rsid w:val="00144593"/>
    <w:rsid w:val="00146F7C"/>
    <w:rsid w:val="0015699B"/>
    <w:rsid w:val="001A33BF"/>
    <w:rsid w:val="001E4177"/>
    <w:rsid w:val="001F0B24"/>
    <w:rsid w:val="001F1211"/>
    <w:rsid w:val="001F7DC6"/>
    <w:rsid w:val="0022400B"/>
    <w:rsid w:val="002421BB"/>
    <w:rsid w:val="0025796E"/>
    <w:rsid w:val="002707A2"/>
    <w:rsid w:val="002951A0"/>
    <w:rsid w:val="002962BC"/>
    <w:rsid w:val="002A093D"/>
    <w:rsid w:val="002A0DD0"/>
    <w:rsid w:val="002A35F6"/>
    <w:rsid w:val="002A49AC"/>
    <w:rsid w:val="002A64FD"/>
    <w:rsid w:val="002C7A84"/>
    <w:rsid w:val="002E2BF8"/>
    <w:rsid w:val="002E4FD9"/>
    <w:rsid w:val="0030657A"/>
    <w:rsid w:val="00322A85"/>
    <w:rsid w:val="00324168"/>
    <w:rsid w:val="00330834"/>
    <w:rsid w:val="0033574D"/>
    <w:rsid w:val="003448F4"/>
    <w:rsid w:val="00374F5E"/>
    <w:rsid w:val="00377E3E"/>
    <w:rsid w:val="003A779E"/>
    <w:rsid w:val="003A7BC0"/>
    <w:rsid w:val="003D0F4D"/>
    <w:rsid w:val="003D5880"/>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216"/>
    <w:rsid w:val="00706C16"/>
    <w:rsid w:val="007260DF"/>
    <w:rsid w:val="007340C3"/>
    <w:rsid w:val="0075235A"/>
    <w:rsid w:val="00756841"/>
    <w:rsid w:val="007572E2"/>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55CC"/>
    <w:rsid w:val="008D180B"/>
    <w:rsid w:val="008F0EA7"/>
    <w:rsid w:val="008F46FF"/>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7E49"/>
    <w:rsid w:val="00AB0ADB"/>
    <w:rsid w:val="00B00C0E"/>
    <w:rsid w:val="00B01B1A"/>
    <w:rsid w:val="00B0381D"/>
    <w:rsid w:val="00B106A8"/>
    <w:rsid w:val="00B33B61"/>
    <w:rsid w:val="00B44A47"/>
    <w:rsid w:val="00B72CD3"/>
    <w:rsid w:val="00B72FFF"/>
    <w:rsid w:val="00BA0351"/>
    <w:rsid w:val="00BC04B7"/>
    <w:rsid w:val="00BC3D36"/>
    <w:rsid w:val="00BD54A6"/>
    <w:rsid w:val="00BD7F72"/>
    <w:rsid w:val="00BF7425"/>
    <w:rsid w:val="00C04FB3"/>
    <w:rsid w:val="00C11D8B"/>
    <w:rsid w:val="00C15139"/>
    <w:rsid w:val="00C330EB"/>
    <w:rsid w:val="00C50D69"/>
    <w:rsid w:val="00C5365C"/>
    <w:rsid w:val="00C67ACA"/>
    <w:rsid w:val="00C754BE"/>
    <w:rsid w:val="00C76B1C"/>
    <w:rsid w:val="00C925AC"/>
    <w:rsid w:val="00CB6357"/>
    <w:rsid w:val="00CC1B26"/>
    <w:rsid w:val="00D361FD"/>
    <w:rsid w:val="00D423A2"/>
    <w:rsid w:val="00D44E26"/>
    <w:rsid w:val="00D520D8"/>
    <w:rsid w:val="00D6139A"/>
    <w:rsid w:val="00D63AC2"/>
    <w:rsid w:val="00D7383B"/>
    <w:rsid w:val="00D7788A"/>
    <w:rsid w:val="00DA231B"/>
    <w:rsid w:val="00DC39FC"/>
    <w:rsid w:val="00DD0D55"/>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0A4E"/>
    <w:rsid w:val="00FA47C0"/>
    <w:rsid w:val="00FB5DD1"/>
    <w:rsid w:val="00FC2B5D"/>
    <w:rsid w:val="00FF1449"/>
    <w:rsid w:val="00FF7963"/>
    <w:rsid w:val="071B8F93"/>
    <w:rsid w:val="07C73DD1"/>
    <w:rsid w:val="09908A09"/>
    <w:rsid w:val="0EFE6349"/>
    <w:rsid w:val="0FF4CCA8"/>
    <w:rsid w:val="11D9E2EF"/>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260D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260DF"/>
    <w:rPr>
      <w:rFonts w:ascii="Geomanist Light" w:hAnsi="Geomanist Light"/>
      <w:lang w:val="es-ES"/>
    </w:rPr>
  </w:style>
  <w:style w:type="paragraph" w:styleId="Textoindependiente">
    <w:name w:val="Body Text"/>
    <w:basedOn w:val="Normal"/>
    <w:link w:val="TextoindependienteCar"/>
    <w:uiPriority w:val="99"/>
    <w:unhideWhenUsed/>
    <w:rsid w:val="007260D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260DF"/>
    <w:rPr>
      <w:rFonts w:eastAsiaTheme="minorEastAsia"/>
      <w:lang w:eastAsia="es-CO"/>
    </w:rPr>
  </w:style>
  <w:style w:type="paragraph" w:styleId="Textocomentario">
    <w:name w:val="annotation text"/>
    <w:basedOn w:val="Normal"/>
    <w:link w:val="TextocomentarioCar"/>
    <w:uiPriority w:val="99"/>
    <w:semiHidden/>
    <w:unhideWhenUsed/>
    <w:rsid w:val="007260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260DF"/>
    <w:rPr>
      <w:sz w:val="20"/>
      <w:szCs w:val="20"/>
    </w:rPr>
  </w:style>
  <w:style w:type="paragraph" w:styleId="Asuntodelcomentario">
    <w:name w:val="annotation subject"/>
    <w:basedOn w:val="Textocomentario"/>
    <w:next w:val="Textocomentario"/>
    <w:link w:val="AsuntodelcomentarioCar"/>
    <w:uiPriority w:val="99"/>
    <w:semiHidden/>
    <w:unhideWhenUsed/>
    <w:rsid w:val="007260DF"/>
    <w:rPr>
      <w:b/>
      <w:bCs/>
    </w:rPr>
  </w:style>
  <w:style w:type="character" w:customStyle="1" w:styleId="AsuntodelcomentarioCar">
    <w:name w:val="Asunto del comentario Car"/>
    <w:basedOn w:val="TextocomentarioCar"/>
    <w:link w:val="Asuntodelcomentario"/>
    <w:uiPriority w:val="99"/>
    <w:semiHidden/>
    <w:rsid w:val="007260DF"/>
    <w:rPr>
      <w:b/>
      <w:bCs/>
      <w:sz w:val="20"/>
      <w:szCs w:val="20"/>
    </w:rPr>
  </w:style>
  <w:style w:type="character" w:customStyle="1" w:styleId="s15">
    <w:name w:val="s15"/>
    <w:basedOn w:val="Fuentedeprrafopredeter"/>
    <w:rsid w:val="007260DF"/>
  </w:style>
  <w:style w:type="character" w:customStyle="1" w:styleId="apple-converted-space">
    <w:name w:val="apple-converted-space"/>
    <w:basedOn w:val="Fuentedeprrafopredeter"/>
    <w:rsid w:val="007260DF"/>
  </w:style>
  <w:style w:type="character" w:customStyle="1" w:styleId="NormalWebCar">
    <w:name w:val="Normal (Web) Car"/>
    <w:link w:val="NormalWeb"/>
    <w:uiPriority w:val="99"/>
    <w:locked/>
    <w:rsid w:val="007260D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anibalduquelopez@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FB7F0C8-4D9E-49C8-B54F-E6FF833E1F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24</Pages>
  <Words>7632</Words>
  <Characters>41979</Characters>
  <Application>Microsoft Office Word</Application>
  <DocSecurity>0</DocSecurity>
  <Lines>349</Lines>
  <Paragraphs>99</Paragraphs>
  <ScaleCrop>false</ScaleCrop>
  <Company/>
  <LinksUpToDate>false</LinksUpToDate>
  <CharactersWithSpaces>49512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2026-03-05T15:44:00Z</dcterms:created>
  <dcterms:modified xsi:type="dcterms:W3CDTF">2026-03-11T15:59:00Z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