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B0786" w14:textId="77777777" w:rsidR="00396682" w:rsidRDefault="00396682" w:rsidP="00323F4F">
      <w:pPr>
        <w:spacing w:after="0" w:line="240" w:lineRule="auto"/>
        <w:rPr>
          <w:rFonts w:ascii="Verdana" w:hAnsi="Verdana"/>
          <w:b/>
          <w:bCs/>
          <w:lang w:val="es-ES_tradnl"/>
        </w:rPr>
      </w:pPr>
      <w:bookmarkStart w:id="0" w:name="_Hlk186494164"/>
      <w:r w:rsidRPr="00D07BA3">
        <w:rPr>
          <w:rFonts w:ascii="Verdana" w:hAnsi="Verdana"/>
          <w:b/>
          <w:bCs/>
          <w:lang w:val="es-ES_tradnl"/>
        </w:rPr>
        <w:t>REQUISITOS HABILITANTES – Concepto</w:t>
      </w:r>
    </w:p>
    <w:p w14:paraId="091C5A21" w14:textId="77777777" w:rsidR="00396682" w:rsidRDefault="00396682" w:rsidP="00323F4F">
      <w:pPr>
        <w:spacing w:after="0" w:line="240" w:lineRule="auto"/>
        <w:rPr>
          <w:rFonts w:ascii="Verdana" w:hAnsi="Verdana"/>
          <w:b/>
          <w:bCs/>
          <w:lang w:val="es-ES_tradnl"/>
        </w:rPr>
      </w:pPr>
    </w:p>
    <w:p w14:paraId="1FBA4B2E" w14:textId="77777777" w:rsidR="00396682" w:rsidRPr="001332B3" w:rsidRDefault="00396682" w:rsidP="00323F4F">
      <w:pPr>
        <w:spacing w:after="0" w:line="240" w:lineRule="auto"/>
        <w:contextualSpacing/>
        <w:jc w:val="both"/>
        <w:rPr>
          <w:rFonts w:ascii="Verdana" w:eastAsia="Calibri" w:hAnsi="Verdana" w:cs="Arial"/>
          <w:sz w:val="20"/>
          <w:szCs w:val="20"/>
          <w:lang w:val="es-ES" w:eastAsia="es-MX"/>
        </w:rPr>
      </w:pPr>
      <w:r w:rsidRPr="001332B3">
        <w:rPr>
          <w:rFonts w:ascii="Verdana" w:eastAsia="Calibri" w:hAnsi="Verdana" w:cs="Arial"/>
          <w:sz w:val="20"/>
          <w:szCs w:val="20"/>
          <w:lang w:val="es-ES" w:eastAsia="es-MX"/>
        </w:rPr>
        <w:t>Los requisitos habilitantes constituyen los requerimientos mínimos con los que deben cumplir los proponentes para participar en el procedimiento de selección, por tal razón éstos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48E2D71D" w14:textId="77777777" w:rsidR="00396682" w:rsidRPr="00E34978" w:rsidRDefault="00396682" w:rsidP="00323F4F">
      <w:pPr>
        <w:spacing w:after="0" w:line="240" w:lineRule="auto"/>
        <w:rPr>
          <w:rFonts w:ascii="Verdana" w:hAnsi="Verdana"/>
          <w:lang w:val="es-ES"/>
        </w:rPr>
      </w:pPr>
    </w:p>
    <w:p w14:paraId="41633E3D" w14:textId="77777777" w:rsidR="00396682" w:rsidRPr="00275EF9" w:rsidRDefault="00396682" w:rsidP="00323F4F">
      <w:pPr>
        <w:spacing w:after="0" w:line="240" w:lineRule="auto"/>
        <w:contextualSpacing/>
        <w:jc w:val="both"/>
        <w:rPr>
          <w:rFonts w:ascii="Verdana" w:hAnsi="Verdana" w:cs="Arial"/>
          <w:b/>
        </w:rPr>
      </w:pPr>
      <w:r w:rsidRPr="00275EF9">
        <w:rPr>
          <w:rFonts w:ascii="Verdana" w:hAnsi="Verdana" w:cs="Arial"/>
          <w:b/>
        </w:rPr>
        <w:t xml:space="preserve">REQUISITOS HABILITANTES – Acreditación – RUP – Otros documentos </w:t>
      </w:r>
    </w:p>
    <w:p w14:paraId="175787AC" w14:textId="77777777" w:rsidR="00396682" w:rsidRDefault="00396682" w:rsidP="00323F4F">
      <w:pPr>
        <w:spacing w:after="0" w:line="240" w:lineRule="auto"/>
        <w:contextualSpacing/>
        <w:jc w:val="both"/>
        <w:rPr>
          <w:rFonts w:ascii="Verdana" w:hAnsi="Verdana" w:cs="Arial"/>
        </w:rPr>
      </w:pPr>
    </w:p>
    <w:p w14:paraId="13FC9F56" w14:textId="77777777" w:rsidR="00396682" w:rsidRDefault="00396682" w:rsidP="00323F4F">
      <w:pPr>
        <w:spacing w:after="0" w:line="240" w:lineRule="auto"/>
        <w:jc w:val="both"/>
        <w:rPr>
          <w:rFonts w:ascii="Verdana" w:hAnsi="Verdana"/>
          <w:sz w:val="20"/>
          <w:szCs w:val="20"/>
        </w:rPr>
      </w:pPr>
      <w:r w:rsidRPr="001332B3">
        <w:rPr>
          <w:rFonts w:ascii="Verdana" w:hAnsi="Verdana"/>
          <w:sz w:val="20"/>
          <w:szCs w:val="20"/>
        </w:rPr>
        <w:t xml:space="preserve">Ahora bien, el artículo 6 de la Ley 1150 de 2007, establece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previamente con la experiencia, capacidad jurídica, financiera y de organización del proponente y su clasificación la cual ha tenido que ser acreditada con certificaciones y soportes ante las Cámaras de Comercio para que se surta su inscripción. Estos soportes en el caso de la experiencia igual podrán provenir de empresas nacionales o extranjeras, entidades públicas o privadas.  </w:t>
      </w:r>
    </w:p>
    <w:p w14:paraId="5EB5C024" w14:textId="77777777" w:rsidR="00323F4F" w:rsidRPr="001332B3" w:rsidRDefault="00323F4F" w:rsidP="00323F4F">
      <w:pPr>
        <w:spacing w:after="0" w:line="240" w:lineRule="auto"/>
        <w:jc w:val="both"/>
        <w:rPr>
          <w:rFonts w:ascii="Verdana" w:eastAsia="Calibri" w:hAnsi="Verdana" w:cs="Arial"/>
          <w:sz w:val="20"/>
          <w:szCs w:val="20"/>
          <w:lang w:val="es-ES" w:eastAsia="es-MX"/>
        </w:rPr>
      </w:pPr>
    </w:p>
    <w:p w14:paraId="179E298A" w14:textId="3B8456CA" w:rsidR="00396682" w:rsidRPr="001332B3" w:rsidRDefault="00396682" w:rsidP="00323F4F">
      <w:pPr>
        <w:spacing w:after="0" w:line="240" w:lineRule="auto"/>
        <w:jc w:val="both"/>
        <w:rPr>
          <w:rFonts w:ascii="Verdana" w:hAnsi="Verdana"/>
          <w:sz w:val="20"/>
          <w:szCs w:val="20"/>
        </w:rPr>
      </w:pPr>
      <w:r w:rsidRPr="001332B3">
        <w:rPr>
          <w:rFonts w:ascii="Verdana" w:hAnsi="Verdana"/>
          <w:sz w:val="20"/>
          <w:szCs w:val="20"/>
        </w:rPr>
        <w:t xml:space="preserve">[…] No obstante lo anterior, la norma ibidem también prescribe que “no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134BEBF9" w14:textId="77777777" w:rsidR="00396682" w:rsidRDefault="00396682" w:rsidP="00323F4F">
      <w:pPr>
        <w:spacing w:after="0" w:line="240" w:lineRule="auto"/>
        <w:contextualSpacing/>
        <w:jc w:val="both"/>
        <w:rPr>
          <w:rFonts w:ascii="Verdana" w:eastAsia="Calibri" w:hAnsi="Verdana" w:cs="Arial"/>
          <w:lang w:eastAsia="es-CO"/>
        </w:rPr>
      </w:pPr>
    </w:p>
    <w:p w14:paraId="62A87823" w14:textId="097D0770" w:rsidR="00396682" w:rsidRDefault="00396682" w:rsidP="00323F4F">
      <w:pPr>
        <w:spacing w:after="0" w:line="240" w:lineRule="auto"/>
        <w:jc w:val="both"/>
        <w:rPr>
          <w:rFonts w:ascii="Verdana" w:eastAsia="Century Gothic" w:hAnsi="Verdana" w:cs="Century Gothic"/>
          <w:b/>
          <w:bCs/>
        </w:rPr>
      </w:pPr>
      <w:r w:rsidRPr="006A7CB0">
        <w:rPr>
          <w:rFonts w:ascii="Verdana" w:eastAsia="Century Gothic" w:hAnsi="Verdana" w:cs="Century Gothic"/>
          <w:b/>
          <w:bCs/>
        </w:rPr>
        <w:t>EXPERIENCIA – Forma de acreditación –</w:t>
      </w:r>
      <w:r>
        <w:rPr>
          <w:rFonts w:ascii="Verdana" w:eastAsia="Century Gothic" w:hAnsi="Verdana" w:cs="Century Gothic"/>
          <w:b/>
          <w:bCs/>
        </w:rPr>
        <w:t xml:space="preserve"> Factura</w:t>
      </w:r>
    </w:p>
    <w:p w14:paraId="7141B17F" w14:textId="77777777" w:rsidR="00323F4F" w:rsidRPr="006A7CB0" w:rsidRDefault="00323F4F" w:rsidP="00323F4F">
      <w:pPr>
        <w:spacing w:after="0" w:line="240" w:lineRule="auto"/>
        <w:jc w:val="both"/>
        <w:rPr>
          <w:rFonts w:ascii="Verdana" w:eastAsia="Century Gothic" w:hAnsi="Verdana" w:cs="Century Gothic"/>
          <w:b/>
          <w:bCs/>
        </w:rPr>
      </w:pPr>
    </w:p>
    <w:p w14:paraId="7415C365" w14:textId="77777777" w:rsidR="00396682" w:rsidRDefault="00396682" w:rsidP="00323F4F">
      <w:pPr>
        <w:spacing w:after="0" w:line="240" w:lineRule="auto"/>
        <w:jc w:val="both"/>
        <w:rPr>
          <w:rFonts w:ascii="Verdana" w:eastAsia="Calibri" w:hAnsi="Verdana" w:cs="Arial"/>
          <w:sz w:val="20"/>
          <w:szCs w:val="20"/>
          <w:lang w:eastAsia="es-CO"/>
        </w:rPr>
      </w:pPr>
      <w:r w:rsidRPr="001332B3">
        <w:rPr>
          <w:rFonts w:ascii="Verdana" w:eastAsia="Century Gothic" w:hAnsi="Verdana" w:cs="Century Gothic"/>
          <w:sz w:val="20"/>
          <w:szCs w:val="20"/>
        </w:rPr>
        <w:t xml:space="preserve">En efecto, este requisito se acreditará a través del registro único de proponentes en los procesos de selección que así lo exija la norma. </w:t>
      </w:r>
      <w:r w:rsidRPr="001332B3">
        <w:rPr>
          <w:rFonts w:ascii="Verdana" w:eastAsia="Calibri" w:hAnsi="Verdana" w:cs="Arial"/>
          <w:sz w:val="20"/>
          <w:szCs w:val="20"/>
          <w:lang w:eastAsia="es-CO"/>
        </w:rPr>
        <w:t xml:space="preserve">No obstante lo anterior,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Lo mismo ocurre en los procesos de selección en los cuales no es exigible el RUP. En ambos escenarios, la Entidad Estatal, en el marco de la autonomía y la potestad de dirección que le asiste en los procesos de contratación que adelanta debe establecer en los Documentos del Proceso –particularmente en el pliego de condiciones o la invitación– </w:t>
      </w:r>
      <w:r w:rsidRPr="001332B3">
        <w:rPr>
          <w:rFonts w:ascii="Verdana" w:eastAsia="Calibri" w:hAnsi="Verdana" w:cs="Arial"/>
          <w:sz w:val="20"/>
          <w:szCs w:val="20"/>
          <w:lang w:eastAsia="es-CO"/>
        </w:rPr>
        <w:lastRenderedPageBreak/>
        <w:t xml:space="preserve">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325BBA49" w14:textId="77777777" w:rsidR="00323F4F" w:rsidRPr="001332B3" w:rsidRDefault="00323F4F" w:rsidP="00323F4F">
      <w:pPr>
        <w:spacing w:after="0" w:line="240" w:lineRule="auto"/>
        <w:jc w:val="both"/>
        <w:rPr>
          <w:rFonts w:ascii="Verdana" w:eastAsia="Calibri" w:hAnsi="Verdana" w:cs="Arial"/>
          <w:sz w:val="20"/>
          <w:szCs w:val="20"/>
          <w:lang w:eastAsia="es-CO"/>
        </w:rPr>
      </w:pPr>
    </w:p>
    <w:p w14:paraId="645063DE" w14:textId="4AA7EFAA" w:rsidR="00B93538" w:rsidRPr="00323F4F" w:rsidRDefault="00323F4F" w:rsidP="00323F4F">
      <w:pPr>
        <w:spacing w:after="0" w:line="240" w:lineRule="auto"/>
        <w:jc w:val="both"/>
        <w:rPr>
          <w:rFonts w:ascii="Verdana" w:eastAsia="Times New Roman" w:hAnsi="Verdana" w:cs="Times New Roman"/>
          <w:color w:val="000000"/>
          <w:sz w:val="20"/>
          <w:szCs w:val="20"/>
          <w:lang w:val="es-ES_tradnl" w:eastAsia="es-ES_tradnl"/>
        </w:rPr>
      </w:pPr>
      <w:r w:rsidRPr="00323F4F">
        <w:rPr>
          <w:rFonts w:ascii="Verdana" w:eastAsia="Times New Roman" w:hAnsi="Verdana" w:cs="Times New Roman"/>
          <w:color w:val="000000"/>
          <w:sz w:val="20"/>
          <w:szCs w:val="20"/>
          <w:lang w:eastAsia="es-ES_tradnl"/>
        </w:rPr>
        <w:t>Las entidades, por ejemplo, suelen requerir documentos como actas de liquidación, actas de entrega, actas de terminación, o de recibo definitivo, certificaciones expedidas con posterioridad a la fecha de terminación del contrato, facturas, entre otros documentos. Estos documentos permiten que la entidad pueda comprobar la experiencia del proponente, como el objeto del contrato, las actividades desarrolladas, el valor del contrato o el valor debidamente ejecutado, o cualquier otra información que le de certeza y seguridad a la entidad estatal en la verificación del requisito de experiencia</w:t>
      </w:r>
    </w:p>
    <w:p w14:paraId="20C57913" w14:textId="77777777" w:rsidR="00396682" w:rsidRDefault="00396682" w:rsidP="007524C4">
      <w:pPr>
        <w:spacing w:after="0" w:line="240" w:lineRule="auto"/>
        <w:rPr>
          <w:rFonts w:ascii="Verdana" w:eastAsia="Times New Roman" w:hAnsi="Verdana" w:cs="Times New Roman"/>
          <w:b/>
          <w:bCs/>
          <w:color w:val="000000"/>
          <w:lang w:val="es-ES_tradnl" w:eastAsia="es-ES_tradnl"/>
        </w:rPr>
      </w:pPr>
    </w:p>
    <w:p w14:paraId="3839F6D1"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7FD816FB"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4FC2D898"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6428F14C"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3D08ED01"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30BD891A"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53D654B6"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2AA4A8EB"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7C19FB12"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24FBAA6E"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7B4F87DB"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0A584659"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592D0CC1"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67C214B5"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14CD35FF"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6C270239"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54EDA631"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6C14B1B0"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0191FB01"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516ADE84" w14:textId="77777777" w:rsidR="00727FFB" w:rsidRDefault="00727FFB" w:rsidP="007524C4">
      <w:pPr>
        <w:spacing w:after="0" w:line="240" w:lineRule="auto"/>
        <w:rPr>
          <w:rFonts w:ascii="Verdana" w:eastAsia="Times New Roman" w:hAnsi="Verdana" w:cs="Times New Roman"/>
          <w:b/>
          <w:bCs/>
          <w:color w:val="000000"/>
          <w:lang w:val="es-ES_tradnl" w:eastAsia="es-ES_tradnl"/>
        </w:rPr>
      </w:pPr>
    </w:p>
    <w:p w14:paraId="3CBF538E"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64F145E6"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6238FA3E"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74CE5149"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75318BF3"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1F9E76A3"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54E9BE1A"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6BE02CDA" w14:textId="77777777" w:rsidR="00323F4F" w:rsidRDefault="00323F4F" w:rsidP="007524C4">
      <w:pPr>
        <w:spacing w:after="0" w:line="240" w:lineRule="auto"/>
        <w:rPr>
          <w:rFonts w:ascii="Verdana" w:eastAsia="Times New Roman" w:hAnsi="Verdana" w:cs="Times New Roman"/>
          <w:b/>
          <w:bCs/>
          <w:color w:val="000000"/>
          <w:lang w:val="es-ES_tradnl" w:eastAsia="es-ES_tradnl"/>
        </w:rPr>
      </w:pPr>
    </w:p>
    <w:p w14:paraId="441B9883" w14:textId="77777777" w:rsidR="00727FFB" w:rsidRDefault="00727FFB" w:rsidP="007524C4">
      <w:pPr>
        <w:spacing w:after="0" w:line="240" w:lineRule="auto"/>
        <w:rPr>
          <w:rFonts w:ascii="Verdana" w:eastAsia="Times New Roman" w:hAnsi="Verdana" w:cs="Times New Roman"/>
          <w:b/>
          <w:bCs/>
          <w:color w:val="000000"/>
          <w:lang w:val="es-ES_tradnl" w:eastAsia="es-ES_tradnl"/>
        </w:rPr>
      </w:pPr>
    </w:p>
    <w:p w14:paraId="1FE95B89"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p w14:paraId="0DB2E7DA" w14:textId="622AA6C1" w:rsidR="00727FFB" w:rsidRPr="00C76F48" w:rsidRDefault="00727FFB" w:rsidP="00727FFB">
      <w:pPr>
        <w:spacing w:after="0" w:line="240" w:lineRule="auto"/>
        <w:rPr>
          <w:rFonts w:ascii="Verdana" w:eastAsia="Geomanist Light" w:hAnsi="Verdana" w:cs="Arial"/>
          <w:color w:val="201F1E"/>
        </w:rPr>
      </w:pPr>
      <w:bookmarkStart w:id="1" w:name="_Hlk143780582"/>
      <w:r w:rsidRPr="00C76F48">
        <w:rPr>
          <w:rFonts w:ascii="Verdana" w:eastAsia="Geomanist Light" w:hAnsi="Verdana" w:cs="Arial"/>
          <w:color w:val="000000" w:themeColor="text1"/>
        </w:rPr>
        <w:lastRenderedPageBreak/>
        <w:t>Bogotá D.C., </w:t>
      </w:r>
      <w:r w:rsidR="004551DD">
        <w:rPr>
          <w:rFonts w:ascii="Verdana" w:eastAsia="Geomanist Light" w:hAnsi="Verdana" w:cs="Arial"/>
          <w:color w:val="201F1E"/>
        </w:rPr>
        <w:t>5 de marzo de 2026</w:t>
      </w:r>
    </w:p>
    <w:p w14:paraId="23754148" w14:textId="282B14B1" w:rsidR="00727FFB" w:rsidRPr="00C76F48" w:rsidRDefault="004551DD" w:rsidP="004551DD">
      <w:pPr>
        <w:spacing w:after="0" w:line="240" w:lineRule="auto"/>
        <w:jc w:val="right"/>
        <w:rPr>
          <w:rFonts w:ascii="Verdana" w:eastAsia="Calibri" w:hAnsi="Verdana" w:cs="Arial"/>
          <w:color w:val="000000"/>
        </w:rPr>
      </w:pPr>
      <w:r w:rsidRPr="004551DD">
        <w:rPr>
          <w:rFonts w:ascii="Verdana" w:eastAsia="Calibri" w:hAnsi="Verdana" w:cs="Arial"/>
          <w:noProof/>
          <w:color w:val="000000"/>
        </w:rPr>
        <w:drawing>
          <wp:anchor distT="0" distB="0" distL="114300" distR="114300" simplePos="0" relativeHeight="251658240" behindDoc="0" locked="0" layoutInCell="1" allowOverlap="1" wp14:anchorId="0DD9CFC6" wp14:editId="75DECAB0">
            <wp:simplePos x="0" y="0"/>
            <wp:positionH relativeFrom="column">
              <wp:posOffset>3110865</wp:posOffset>
            </wp:positionH>
            <wp:positionV relativeFrom="paragraph">
              <wp:posOffset>-2540</wp:posOffset>
            </wp:positionV>
            <wp:extent cx="2499360" cy="952500"/>
            <wp:effectExtent l="0" t="0" r="0" b="0"/>
            <wp:wrapSquare wrapText="bothSides"/>
            <wp:docPr id="9195291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9360" cy="952500"/>
                    </a:xfrm>
                    <a:prstGeom prst="rect">
                      <a:avLst/>
                    </a:prstGeom>
                    <a:noFill/>
                    <a:ln>
                      <a:noFill/>
                    </a:ln>
                  </pic:spPr>
                </pic:pic>
              </a:graphicData>
            </a:graphic>
          </wp:anchor>
        </w:drawing>
      </w:r>
    </w:p>
    <w:p w14:paraId="64562BA4" w14:textId="77777777" w:rsidR="00727FFB" w:rsidRPr="00C76F48" w:rsidRDefault="00727FFB" w:rsidP="00727FFB">
      <w:pPr>
        <w:spacing w:after="0" w:line="240" w:lineRule="auto"/>
        <w:jc w:val="both"/>
        <w:rPr>
          <w:rFonts w:ascii="Verdana" w:eastAsia="Calibri" w:hAnsi="Verdana" w:cs="Arial"/>
          <w:color w:val="000000"/>
        </w:rPr>
      </w:pPr>
    </w:p>
    <w:p w14:paraId="58D50D2A" w14:textId="77777777" w:rsidR="00727FFB" w:rsidRPr="00C76F48" w:rsidRDefault="00727FFB" w:rsidP="00727FFB">
      <w:pPr>
        <w:spacing w:after="0" w:line="240" w:lineRule="auto"/>
        <w:jc w:val="both"/>
        <w:rPr>
          <w:rFonts w:ascii="Verdana" w:eastAsia="Calibri" w:hAnsi="Verdana" w:cs="Arial"/>
          <w:lang w:eastAsia="es-ES"/>
        </w:rPr>
      </w:pPr>
      <w:r w:rsidRPr="00C76F48">
        <w:rPr>
          <w:rFonts w:ascii="Verdana" w:eastAsia="Calibri" w:hAnsi="Verdana" w:cs="Arial"/>
          <w:lang w:eastAsia="es-ES"/>
        </w:rPr>
        <w:t>Señor (a)</w:t>
      </w:r>
    </w:p>
    <w:p w14:paraId="0066F541" w14:textId="77777777" w:rsidR="00727FFB" w:rsidRPr="00C76F48" w:rsidRDefault="00727FFB" w:rsidP="00727FFB">
      <w:pPr>
        <w:spacing w:after="0" w:line="240" w:lineRule="auto"/>
        <w:rPr>
          <w:rFonts w:ascii="Verdana" w:eastAsia="Calibri" w:hAnsi="Verdana" w:cs="Arial"/>
          <w:b/>
          <w:lang w:eastAsia="es-ES"/>
        </w:rPr>
      </w:pPr>
      <w:r w:rsidRPr="00C76F48">
        <w:rPr>
          <w:rFonts w:ascii="Verdana" w:eastAsia="Calibri" w:hAnsi="Verdana" w:cs="Arial"/>
          <w:b/>
          <w:lang w:eastAsia="es-ES"/>
        </w:rPr>
        <w:t xml:space="preserve">Anónimo </w:t>
      </w:r>
    </w:p>
    <w:p w14:paraId="08DB6ECC" w14:textId="77777777" w:rsidR="00727FFB" w:rsidRPr="00C76F48" w:rsidRDefault="00727FFB" w:rsidP="00727FFB">
      <w:pPr>
        <w:spacing w:after="0" w:line="240" w:lineRule="auto"/>
        <w:rPr>
          <w:rFonts w:ascii="Verdana" w:hAnsi="Verdana" w:cs="Arial"/>
        </w:rPr>
      </w:pPr>
      <w:hyperlink r:id="rId12" w:history="1">
        <w:r w:rsidRPr="00C76F48">
          <w:rPr>
            <w:rFonts w:ascii="Verdana" w:hAnsi="Verdana" w:cs="Arial"/>
            <w:color w:val="0563C1" w:themeColor="hyperlink"/>
            <w:u w:val="single"/>
          </w:rPr>
          <w:t>paulamorales200@gmail.com</w:t>
        </w:r>
      </w:hyperlink>
      <w:r w:rsidRPr="00C76F48">
        <w:rPr>
          <w:rFonts w:ascii="Verdana" w:hAnsi="Verdana" w:cs="Arial"/>
        </w:rPr>
        <w:t xml:space="preserve">   </w:t>
      </w:r>
    </w:p>
    <w:p w14:paraId="653633B8" w14:textId="77777777" w:rsidR="00727FFB" w:rsidRPr="00C76F48" w:rsidRDefault="00727FFB" w:rsidP="00727FFB">
      <w:pPr>
        <w:spacing w:after="0" w:line="240" w:lineRule="auto"/>
        <w:rPr>
          <w:rFonts w:ascii="Verdana" w:hAnsi="Verdana"/>
        </w:rPr>
      </w:pPr>
      <w:r w:rsidRPr="00C76F48">
        <w:rPr>
          <w:rFonts w:ascii="Verdana" w:hAnsi="Verdana"/>
        </w:rPr>
        <w:t>Bogotá D.C</w:t>
      </w:r>
    </w:p>
    <w:p w14:paraId="6B6AF71E" w14:textId="77777777" w:rsidR="00727FFB" w:rsidRPr="00C76F48" w:rsidRDefault="00727FFB" w:rsidP="00727FFB">
      <w:pPr>
        <w:spacing w:after="0" w:line="240" w:lineRule="auto"/>
        <w:rPr>
          <w:rFonts w:ascii="Verdana" w:eastAsia="Calibri" w:hAnsi="Verdana" w:cs="Arial"/>
          <w:lang w:eastAsia="es-ES"/>
        </w:rPr>
      </w:pPr>
    </w:p>
    <w:p w14:paraId="0197304A" w14:textId="77777777" w:rsidR="00727FFB" w:rsidRPr="00C76F48" w:rsidRDefault="00727FFB" w:rsidP="00727FFB">
      <w:pPr>
        <w:spacing w:after="0" w:line="240" w:lineRule="auto"/>
        <w:rPr>
          <w:rFonts w:ascii="Verdana" w:eastAsia="Calibri" w:hAnsi="Verdana" w:cs="Arial"/>
          <w:b/>
          <w:bCs/>
          <w:color w:val="000000"/>
          <w:lang w:eastAsia="es-ES_tradnl"/>
        </w:rPr>
      </w:pPr>
    </w:p>
    <w:p w14:paraId="20243A10" w14:textId="77777777" w:rsidR="00727FFB" w:rsidRPr="00C76F48" w:rsidRDefault="00727FFB" w:rsidP="00727FFB">
      <w:pPr>
        <w:spacing w:after="0" w:line="240" w:lineRule="auto"/>
        <w:jc w:val="center"/>
        <w:rPr>
          <w:rFonts w:ascii="Verdana" w:eastAsia="Calibri" w:hAnsi="Verdana" w:cs="Arial"/>
          <w:b/>
          <w:bCs/>
          <w:lang w:eastAsia="es-ES"/>
        </w:rPr>
      </w:pPr>
      <w:r w:rsidRPr="00C76F48">
        <w:rPr>
          <w:rFonts w:ascii="Verdana" w:eastAsia="Calibri" w:hAnsi="Verdana" w:cs="Arial"/>
          <w:b/>
          <w:bCs/>
          <w:lang w:eastAsia="es-ES"/>
        </w:rPr>
        <w:t>Concepto C – 234 de 2026</w:t>
      </w:r>
    </w:p>
    <w:p w14:paraId="28D42D9D" w14:textId="77777777" w:rsidR="00727FFB" w:rsidRPr="00C76F48" w:rsidRDefault="00727FFB" w:rsidP="00727FFB">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27FFB" w:rsidRPr="00C76F48" w14:paraId="58F4079C" w14:textId="77777777" w:rsidTr="00E615C0">
        <w:trPr>
          <w:trHeight w:val="884"/>
        </w:trPr>
        <w:tc>
          <w:tcPr>
            <w:tcW w:w="2689" w:type="dxa"/>
          </w:tcPr>
          <w:p w14:paraId="6EE6AF0B" w14:textId="77777777" w:rsidR="00727FFB" w:rsidRPr="00C76F48" w:rsidRDefault="00727FFB" w:rsidP="00E615C0">
            <w:pPr>
              <w:jc w:val="both"/>
              <w:rPr>
                <w:rFonts w:ascii="Verdana" w:eastAsia="Calibri" w:hAnsi="Verdana" w:cs="Arial"/>
                <w:color w:val="000000"/>
                <w:lang w:eastAsia="es-ES_tradnl"/>
              </w:rPr>
            </w:pPr>
            <w:r w:rsidRPr="00C76F48">
              <w:rPr>
                <w:rFonts w:ascii="Verdana" w:eastAsia="Calibri" w:hAnsi="Verdana" w:cs="Arial"/>
                <w:b/>
                <w:color w:val="000000"/>
                <w:lang w:eastAsia="es-ES_tradnl"/>
              </w:rPr>
              <w:t>Temas:</w:t>
            </w:r>
            <w:r w:rsidRPr="00C76F48">
              <w:rPr>
                <w:rFonts w:ascii="Verdana" w:eastAsia="Calibri" w:hAnsi="Verdana" w:cs="Arial"/>
                <w:color w:val="000000"/>
                <w:lang w:eastAsia="es-ES_tradnl"/>
              </w:rPr>
              <w:t xml:space="preserve">                   </w:t>
            </w:r>
          </w:p>
        </w:tc>
        <w:tc>
          <w:tcPr>
            <w:tcW w:w="6100" w:type="dxa"/>
          </w:tcPr>
          <w:p w14:paraId="22D63ABD" w14:textId="77777777" w:rsidR="00727FFB" w:rsidRPr="00C76F48" w:rsidRDefault="00727FFB" w:rsidP="00E615C0">
            <w:pPr>
              <w:spacing w:line="276" w:lineRule="auto"/>
              <w:contextualSpacing/>
              <w:jc w:val="both"/>
              <w:rPr>
                <w:rFonts w:ascii="Verdana" w:hAnsi="Verdana" w:cs="Arial"/>
                <w:b/>
              </w:rPr>
            </w:pPr>
            <w:r w:rsidRPr="00C76F48">
              <w:rPr>
                <w:rFonts w:ascii="Verdana" w:eastAsia="Times New Roman" w:hAnsi="Verdana" w:cs="Arial"/>
                <w:lang w:val="es-ES_tradnl" w:eastAsia="es-MX"/>
              </w:rPr>
              <w:t xml:space="preserve">REQUISITOS HABILITANTES – Concepto / REQUISITOS HABILITANTES – </w:t>
            </w:r>
            <w:r w:rsidRPr="00C76F48">
              <w:rPr>
                <w:rFonts w:ascii="Verdana" w:hAnsi="Verdana" w:cs="Arial"/>
                <w:bCs/>
              </w:rPr>
              <w:t xml:space="preserve">Acreditación – RUP – Otros documentos </w:t>
            </w:r>
            <w:r w:rsidRPr="00C76F48">
              <w:rPr>
                <w:rFonts w:ascii="Verdana" w:eastAsia="Times New Roman" w:hAnsi="Verdana" w:cs="Arial"/>
                <w:lang w:val="es-ES_tradnl" w:eastAsia="es-MX"/>
              </w:rPr>
              <w:t>/ EXPERIENCIA - Forma de acreditación</w:t>
            </w:r>
            <w:r w:rsidRPr="00C76F48">
              <w:rPr>
                <w:rFonts w:ascii="Verdana" w:eastAsia="Calibri" w:hAnsi="Verdana" w:cs="Arial"/>
                <w:lang w:val="es-ES" w:eastAsia="es-ES"/>
              </w:rPr>
              <w:t xml:space="preserve"> </w:t>
            </w:r>
            <w:r w:rsidRPr="00C76F48">
              <w:rPr>
                <w:rFonts w:ascii="Verdana" w:eastAsia="Times New Roman" w:hAnsi="Verdana" w:cs="Arial"/>
                <w:lang w:val="es-ES_tradnl" w:eastAsia="es-MX"/>
              </w:rPr>
              <w:t xml:space="preserve">– Factura </w:t>
            </w:r>
          </w:p>
          <w:p w14:paraId="0F981897" w14:textId="77777777" w:rsidR="00727FFB" w:rsidRPr="00C76F48" w:rsidRDefault="00727FFB" w:rsidP="00E615C0">
            <w:pPr>
              <w:jc w:val="both"/>
              <w:rPr>
                <w:rFonts w:ascii="Verdana" w:eastAsia="Calibri" w:hAnsi="Verdana" w:cs="Arial"/>
                <w:lang w:eastAsia="es-ES"/>
              </w:rPr>
            </w:pPr>
          </w:p>
        </w:tc>
      </w:tr>
      <w:tr w:rsidR="00727FFB" w:rsidRPr="00C76F48" w14:paraId="12DB247D" w14:textId="77777777" w:rsidTr="00E615C0">
        <w:tc>
          <w:tcPr>
            <w:tcW w:w="2689" w:type="dxa"/>
          </w:tcPr>
          <w:p w14:paraId="24D4D2B3" w14:textId="77777777" w:rsidR="00727FFB" w:rsidRPr="00C76F48" w:rsidRDefault="00727FFB" w:rsidP="00E615C0">
            <w:pPr>
              <w:jc w:val="both"/>
              <w:rPr>
                <w:rFonts w:ascii="Verdana" w:eastAsia="Calibri" w:hAnsi="Verdana" w:cs="Arial"/>
                <w:b/>
                <w:lang w:eastAsia="es-ES_tradnl"/>
              </w:rPr>
            </w:pPr>
            <w:r w:rsidRPr="00C76F48">
              <w:rPr>
                <w:rFonts w:ascii="Verdana" w:eastAsia="Calibri" w:hAnsi="Verdana" w:cs="Arial"/>
                <w:b/>
                <w:lang w:eastAsia="es-ES_tradnl"/>
              </w:rPr>
              <w:t>Radicación:</w:t>
            </w:r>
            <w:r w:rsidRPr="00C76F48">
              <w:rPr>
                <w:rFonts w:ascii="Verdana" w:eastAsia="Calibri" w:hAnsi="Verdana" w:cs="Arial"/>
                <w:lang w:eastAsia="es-ES_tradnl"/>
              </w:rPr>
              <w:t xml:space="preserve">               </w:t>
            </w:r>
          </w:p>
        </w:tc>
        <w:tc>
          <w:tcPr>
            <w:tcW w:w="6100" w:type="dxa"/>
          </w:tcPr>
          <w:p w14:paraId="13A3ED81" w14:textId="77777777" w:rsidR="00727FFB" w:rsidRPr="00C76F48" w:rsidRDefault="00727FFB" w:rsidP="00E615C0">
            <w:pPr>
              <w:jc w:val="both"/>
              <w:rPr>
                <w:rFonts w:ascii="Verdana" w:eastAsia="Calibri" w:hAnsi="Verdana" w:cs="Arial"/>
                <w:lang w:eastAsia="es-ES_tradnl"/>
              </w:rPr>
            </w:pPr>
            <w:r w:rsidRPr="00C76F48">
              <w:rPr>
                <w:rFonts w:ascii="Verdana" w:eastAsia="Calibri" w:hAnsi="Verdana" w:cs="Arial"/>
                <w:lang w:eastAsia="es-ES_tradnl"/>
              </w:rPr>
              <w:t xml:space="preserve">Respuesta a la consulta con radicado No. 1_2026_02_16_002022 </w:t>
            </w:r>
          </w:p>
        </w:tc>
      </w:tr>
    </w:tbl>
    <w:p w14:paraId="7C1392D8" w14:textId="77777777" w:rsidR="00727FFB" w:rsidRPr="00C76F48" w:rsidRDefault="00727FFB" w:rsidP="00727FFB">
      <w:pPr>
        <w:spacing w:after="0" w:line="240" w:lineRule="auto"/>
        <w:jc w:val="both"/>
        <w:rPr>
          <w:rFonts w:ascii="Verdana" w:eastAsia="Calibri" w:hAnsi="Verdana" w:cs="Arial"/>
          <w:color w:val="000000"/>
          <w:lang w:eastAsia="es-ES_tradnl"/>
        </w:rPr>
      </w:pPr>
    </w:p>
    <w:p w14:paraId="15F55498" w14:textId="77777777" w:rsidR="00727FFB" w:rsidRPr="00C76F48" w:rsidRDefault="00727FFB" w:rsidP="00727FFB">
      <w:pPr>
        <w:spacing w:after="0" w:line="240" w:lineRule="auto"/>
        <w:jc w:val="both"/>
        <w:rPr>
          <w:rFonts w:ascii="Verdana" w:eastAsia="Calibri" w:hAnsi="Verdana" w:cs="Arial"/>
          <w:color w:val="000000"/>
          <w:lang w:eastAsia="es-ES_tradnl"/>
        </w:rPr>
      </w:pPr>
    </w:p>
    <w:p w14:paraId="7FBB02E3" w14:textId="77777777" w:rsidR="00727FFB" w:rsidRPr="00C76F48" w:rsidRDefault="00727FFB" w:rsidP="00727FFB">
      <w:pPr>
        <w:spacing w:after="0" w:line="276" w:lineRule="auto"/>
        <w:jc w:val="both"/>
        <w:rPr>
          <w:rFonts w:ascii="Verdana" w:eastAsia="Calibri" w:hAnsi="Verdana" w:cs="Arial"/>
          <w:lang w:eastAsia="es-ES"/>
        </w:rPr>
      </w:pPr>
      <w:r w:rsidRPr="00C76F48">
        <w:rPr>
          <w:rFonts w:ascii="Verdana" w:eastAsia="Calibri" w:hAnsi="Verdana" w:cs="Arial"/>
          <w:lang w:eastAsia="es-ES"/>
        </w:rPr>
        <w:t xml:space="preserve">Estimado (a) señor (a): </w:t>
      </w:r>
    </w:p>
    <w:p w14:paraId="446ABD18" w14:textId="77777777" w:rsidR="00727FFB" w:rsidRPr="00C76F48" w:rsidRDefault="00727FFB" w:rsidP="00727FFB">
      <w:pPr>
        <w:tabs>
          <w:tab w:val="left" w:pos="3768"/>
        </w:tabs>
        <w:spacing w:after="0" w:line="276" w:lineRule="auto"/>
        <w:jc w:val="both"/>
        <w:rPr>
          <w:rFonts w:ascii="Verdana" w:eastAsia="Calibri" w:hAnsi="Verdana" w:cs="Arial"/>
          <w:color w:val="000000" w:themeColor="text1"/>
          <w:lang w:eastAsia="es-ES"/>
        </w:rPr>
      </w:pPr>
      <w:r w:rsidRPr="00C76F48">
        <w:rPr>
          <w:rFonts w:ascii="Verdana" w:eastAsia="Calibri" w:hAnsi="Verdana" w:cs="Arial"/>
          <w:color w:val="000000" w:themeColor="text1"/>
          <w:lang w:eastAsia="es-ES"/>
        </w:rPr>
        <w:tab/>
      </w:r>
    </w:p>
    <w:p w14:paraId="4DE51AA8" w14:textId="77777777" w:rsidR="00727FFB" w:rsidRPr="00C76F48" w:rsidRDefault="00727FFB" w:rsidP="00727FFB">
      <w:pPr>
        <w:spacing w:after="0" w:line="276" w:lineRule="auto"/>
        <w:jc w:val="both"/>
        <w:rPr>
          <w:rFonts w:ascii="Verdana" w:eastAsia="Calibri" w:hAnsi="Verdana" w:cs="Arial"/>
          <w:i/>
          <w:iCs/>
          <w:lang w:eastAsia="es-ES"/>
        </w:rPr>
      </w:pPr>
      <w:r w:rsidRPr="00C76F48">
        <w:rPr>
          <w:rFonts w:ascii="Verdana" w:eastAsia="Calibri" w:hAnsi="Verdana" w:cs="Arial"/>
          <w:color w:val="000000" w:themeColor="text1"/>
          <w:lang w:eastAsia="es-ES"/>
        </w:rPr>
        <w:t>En ejercicio de la competencia otorgada por los artículos 3, numeral 5º, y 11, numeral 8º, del Decreto Ley 4170 de 2011,</w:t>
      </w:r>
      <w:r w:rsidRPr="00C76F48">
        <w:rPr>
          <w:rFonts w:ascii="Verdana" w:eastAsia="Arial MT" w:hAnsi="Verdana" w:cs="Arial MT"/>
          <w:lang w:eastAsia="es-ES"/>
        </w:rPr>
        <w:t xml:space="preserve"> </w:t>
      </w:r>
      <w:r w:rsidRPr="00C76F48">
        <w:rPr>
          <w:rFonts w:ascii="Verdana" w:hAnsi="Verdana" w:cs="Arial"/>
          <w:lang w:val="es-ES_tradnl"/>
        </w:rPr>
        <w:t>así como lo establecido en</w:t>
      </w:r>
      <w:r w:rsidRPr="00C76F48">
        <w:rPr>
          <w:rFonts w:ascii="Verdana" w:hAnsi="Verdana" w:cs="Arial"/>
        </w:rPr>
        <w:t xml:space="preserve"> la Resolución 469 de 2025 expedida por esta Entidad, </w:t>
      </w:r>
      <w:r w:rsidRPr="00C76F48">
        <w:rPr>
          <w:rFonts w:ascii="Verdana" w:eastAsia="Calibri" w:hAnsi="Verdana" w:cs="Arial"/>
          <w:color w:val="000000" w:themeColor="text1"/>
          <w:lang w:eastAsia="es-ES"/>
        </w:rPr>
        <w:t>la Agencia Nacional de Contratación Pública – Colombia Compra Eficiente responde su solicitud de concepto del 16 de febrero de 2026,</w:t>
      </w:r>
      <w:r w:rsidRPr="00C76F48">
        <w:rPr>
          <w:rFonts w:ascii="Verdana" w:eastAsia="Calibri" w:hAnsi="Verdana" w:cs="Arial"/>
          <w:lang w:eastAsia="es-ES"/>
        </w:rPr>
        <w:t xml:space="preserve"> en la cual consulta sobre lo siguiente:</w:t>
      </w:r>
      <w:r w:rsidRPr="00C76F48">
        <w:rPr>
          <w:rFonts w:ascii="Verdana" w:eastAsia="Calibri" w:hAnsi="Verdana" w:cs="Arial"/>
          <w:i/>
          <w:iCs/>
          <w:lang w:eastAsia="es-ES"/>
        </w:rPr>
        <w:t xml:space="preserve"> </w:t>
      </w:r>
      <w:bookmarkStart w:id="2" w:name="_Hlk95313578"/>
    </w:p>
    <w:p w14:paraId="693C902C" w14:textId="77777777" w:rsidR="00727FFB" w:rsidRPr="00C76F48" w:rsidRDefault="00727FFB" w:rsidP="00727FFB">
      <w:pPr>
        <w:spacing w:after="0" w:line="276" w:lineRule="auto"/>
        <w:jc w:val="both"/>
        <w:rPr>
          <w:rFonts w:ascii="Verdana" w:eastAsia="Calibri" w:hAnsi="Verdana" w:cs="Arial"/>
          <w:i/>
          <w:iCs/>
          <w:lang w:eastAsia="es-ES"/>
        </w:rPr>
      </w:pPr>
    </w:p>
    <w:p w14:paraId="5373CC76" w14:textId="77777777" w:rsidR="00727FFB" w:rsidRPr="00C76F48" w:rsidRDefault="00727FFB" w:rsidP="00727FFB">
      <w:pPr>
        <w:spacing w:after="0" w:line="240" w:lineRule="auto"/>
        <w:ind w:left="709" w:right="709"/>
        <w:jc w:val="both"/>
        <w:rPr>
          <w:rFonts w:ascii="Verdana" w:eastAsia="Arial" w:hAnsi="Verdana" w:cs="Arial"/>
          <w:iCs/>
          <w:color w:val="000000"/>
          <w:sz w:val="20"/>
          <w:szCs w:val="20"/>
        </w:rPr>
      </w:pPr>
      <w:r w:rsidRPr="00C76F48">
        <w:rPr>
          <w:rFonts w:ascii="Verdana" w:eastAsia="Arial" w:hAnsi="Verdana" w:cs="Arial"/>
          <w:iCs/>
          <w:color w:val="000000"/>
          <w:sz w:val="20"/>
          <w:szCs w:val="20"/>
        </w:rPr>
        <w:t>“</w:t>
      </w:r>
      <w:bookmarkEnd w:id="2"/>
      <w:r w:rsidRPr="00C76F48">
        <w:rPr>
          <w:rFonts w:ascii="Verdana" w:eastAsia="Arial" w:hAnsi="Verdana" w:cs="Arial"/>
          <w:iCs/>
          <w:color w:val="000000"/>
          <w:sz w:val="20"/>
          <w:szCs w:val="20"/>
        </w:rPr>
        <w:t>quiero consultar cuales serían los requisitos habilitantes para acreditar una experiencia entre particulares si deseo postularme a un proceso de mínima cuantía pero el estudio previo indica que son a) copia del contrato b) acta de liquidación o certificación del servicio prestado c) registros o certificados del pago d) factura o el documento equivalente. Justo la duda se centra en el numeral "d" donde indica facturas o el documento equivalente, quisiera saber cuál es el documento equivalente o cuales podrían ser documentos validos en caso de no poder soportar factura electrónica”:</w:t>
      </w:r>
    </w:p>
    <w:p w14:paraId="1C77BAF6" w14:textId="77777777" w:rsidR="00727FFB" w:rsidRPr="00C76F48" w:rsidRDefault="00727FFB" w:rsidP="00727FFB">
      <w:pPr>
        <w:spacing w:after="0" w:line="240" w:lineRule="auto"/>
        <w:ind w:right="709"/>
        <w:jc w:val="both"/>
      </w:pPr>
    </w:p>
    <w:p w14:paraId="384C3F04" w14:textId="77777777" w:rsidR="00727FFB" w:rsidRPr="00C76F48" w:rsidRDefault="00727FFB" w:rsidP="00727FFB">
      <w:pPr>
        <w:spacing w:after="120" w:line="276" w:lineRule="auto"/>
        <w:ind w:firstLine="709"/>
        <w:jc w:val="both"/>
        <w:rPr>
          <w:rFonts w:ascii="Verdana" w:eastAsia="Calibri" w:hAnsi="Verdana" w:cs="Arial"/>
          <w:color w:val="000000"/>
          <w:lang w:eastAsia="es-ES"/>
        </w:rPr>
      </w:pPr>
      <w:r w:rsidRPr="00C76F48">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C76F48">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76F48">
        <w:rPr>
          <w:rFonts w:ascii="Verdana" w:eastAsia="Calibri" w:hAnsi="Verdana" w:cs="Arial"/>
          <w:color w:val="000000"/>
          <w:szCs w:val="24"/>
          <w:lang w:eastAsia="es-ES_tradnl"/>
        </w:rPr>
        <w:tab/>
      </w:r>
    </w:p>
    <w:p w14:paraId="601A5983" w14:textId="77777777" w:rsidR="00727FFB" w:rsidRPr="00C76F48" w:rsidRDefault="00727FFB" w:rsidP="00727FFB">
      <w:pPr>
        <w:spacing w:after="0" w:line="276" w:lineRule="auto"/>
        <w:ind w:firstLine="709"/>
        <w:jc w:val="both"/>
        <w:rPr>
          <w:rFonts w:ascii="Verdana" w:eastAsia="Calibri" w:hAnsi="Verdana" w:cs="Arial"/>
          <w:color w:val="000000"/>
          <w:lang w:eastAsia="es-ES"/>
        </w:rPr>
      </w:pPr>
      <w:r w:rsidRPr="00C76F48">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problemas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jurídicos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 xml:space="preserve">de su consulta. </w:t>
      </w:r>
    </w:p>
    <w:p w14:paraId="6DE8E75B" w14:textId="77777777" w:rsidR="00727FFB" w:rsidRPr="00C76F48" w:rsidRDefault="00727FFB" w:rsidP="00727FFB">
      <w:pPr>
        <w:spacing w:after="0" w:line="276" w:lineRule="auto"/>
        <w:ind w:firstLine="709"/>
        <w:jc w:val="both"/>
        <w:rPr>
          <w:rFonts w:ascii="Verdana" w:eastAsia="Calibri" w:hAnsi="Verdana" w:cs="Arial"/>
          <w:color w:val="000000"/>
          <w:lang w:eastAsia="es-ES"/>
        </w:rPr>
      </w:pPr>
    </w:p>
    <w:p w14:paraId="1B007610" w14:textId="77777777" w:rsidR="00727FFB" w:rsidRPr="00C76F48" w:rsidRDefault="00727FFB" w:rsidP="00727FFB">
      <w:pPr>
        <w:numPr>
          <w:ilvl w:val="0"/>
          <w:numId w:val="1"/>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Problemas planteados:</w:t>
      </w:r>
    </w:p>
    <w:p w14:paraId="7BBDFBC8" w14:textId="77777777" w:rsidR="00727FFB" w:rsidRPr="00C76F48" w:rsidRDefault="00727FFB" w:rsidP="00727FFB">
      <w:pPr>
        <w:tabs>
          <w:tab w:val="left" w:pos="426"/>
        </w:tabs>
        <w:spacing w:after="0" w:line="276" w:lineRule="auto"/>
        <w:jc w:val="both"/>
        <w:rPr>
          <w:rFonts w:ascii="Verdana" w:eastAsia="Century Gothic" w:hAnsi="Verdana" w:cs="Century Gothic"/>
        </w:rPr>
      </w:pPr>
    </w:p>
    <w:p w14:paraId="42711BCC" w14:textId="77777777" w:rsidR="00727FFB" w:rsidRPr="00C76F48" w:rsidRDefault="00727FFB" w:rsidP="00727FFB">
      <w:pPr>
        <w:spacing w:after="0" w:line="276" w:lineRule="auto"/>
        <w:jc w:val="both"/>
        <w:rPr>
          <w:rFonts w:ascii="Verdana" w:eastAsia="Century Gothic" w:hAnsi="Verdana" w:cs="Century Gothic"/>
        </w:rPr>
      </w:pPr>
      <w:r w:rsidRPr="00C76F48">
        <w:rPr>
          <w:rFonts w:ascii="Verdana" w:eastAsia="Century Gothic" w:hAnsi="Verdana" w:cs="Century Gothic"/>
        </w:rPr>
        <w:t>De acuerdo con el contenido de su solicitud, esta Agencia resolverá el siguiente problema jurídico: ¿Es posible solicitar en los pliegos de condiciones o en la invitación la factura como medio para verificar el requisito habilitante de experiencia de un proponente?</w:t>
      </w:r>
    </w:p>
    <w:p w14:paraId="08442992" w14:textId="77777777" w:rsidR="00727FFB" w:rsidRPr="00C76F48" w:rsidRDefault="00727FFB" w:rsidP="00727FFB">
      <w:pPr>
        <w:spacing w:after="0" w:line="276" w:lineRule="auto"/>
        <w:jc w:val="both"/>
        <w:rPr>
          <w:rFonts w:ascii="Verdana" w:eastAsia="Calibri" w:hAnsi="Verdana" w:cs="Arial"/>
          <w:color w:val="7030A0"/>
        </w:rPr>
      </w:pPr>
    </w:p>
    <w:p w14:paraId="39FB6BF4" w14:textId="77777777" w:rsidR="00727FFB" w:rsidRPr="00C76F48" w:rsidRDefault="00727FFB" w:rsidP="00727FFB">
      <w:pPr>
        <w:numPr>
          <w:ilvl w:val="0"/>
          <w:numId w:val="1"/>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Respuestas:</w:t>
      </w:r>
    </w:p>
    <w:p w14:paraId="7D694608" w14:textId="77777777" w:rsidR="00727FFB" w:rsidRPr="00C76F48" w:rsidRDefault="00727FFB" w:rsidP="00727FF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7FFB" w:rsidRPr="00C76F48" w14:paraId="668871EE" w14:textId="77777777" w:rsidTr="00E615C0">
        <w:trPr>
          <w:jc w:val="center"/>
        </w:trPr>
        <w:tc>
          <w:tcPr>
            <w:tcW w:w="8828" w:type="dxa"/>
          </w:tcPr>
          <w:p w14:paraId="4AB08B4E" w14:textId="77777777" w:rsidR="00727FFB" w:rsidRPr="00C76F48" w:rsidRDefault="00727FFB" w:rsidP="00E615C0">
            <w:pPr>
              <w:spacing w:after="120" w:line="276" w:lineRule="auto"/>
              <w:jc w:val="both"/>
              <w:rPr>
                <w:rFonts w:ascii="Verdana" w:eastAsia="Calibri" w:hAnsi="Verdana" w:cs="Arial"/>
                <w:lang w:eastAsia="es-CO"/>
              </w:rPr>
            </w:pPr>
            <w:bookmarkStart w:id="3" w:name="_Hlk171694685"/>
            <w:r w:rsidRPr="00C76F48">
              <w:rPr>
                <w:rFonts w:ascii="Verdana" w:eastAsia="Calibri" w:hAnsi="Verdana" w:cs="Arial"/>
                <w:lang w:eastAsia="es-CO"/>
              </w:rPr>
              <w:t xml:space="preserve">Por regla general, el cumplimiento de los requisitos habilitantes determinados por la entidad estatal en cada proceso de contratación, entre ellos la experiencia, se debe verificar mediante el RUP el cual constituye plena prueba de la información que contiene. No obstante, en aquellos casos en los cuales no es obligatorio estar inscrito en el RUP, como sucede con los procesos de mínima cuantía, o los eventos en los que la entidad estatal considere que, por el objeto, naturaleza o especificaciones del proceso, requiere información adicional a la contenida en el RUP, la entidad debe señalar en el pliego de condiciones –o en la Invitación– cuál es la información que se debe acreditar, </w:t>
            </w:r>
            <w:r w:rsidRPr="00C76F48">
              <w:rPr>
                <w:rFonts w:ascii="Verdana" w:eastAsia="Calibri" w:hAnsi="Verdana" w:cs="Arial"/>
                <w:lang w:eastAsia="es-CO"/>
              </w:rPr>
              <w:lastRenderedPageBreak/>
              <w:t>así como los documentos que tendrá como válidos para tal fin y hacer dicha verificación de forma directa.</w:t>
            </w:r>
          </w:p>
          <w:p w14:paraId="71DD067A" w14:textId="77777777" w:rsidR="00727FFB" w:rsidRPr="00C76F48" w:rsidRDefault="00727FFB" w:rsidP="00E615C0">
            <w:pPr>
              <w:spacing w:after="120" w:line="276" w:lineRule="auto"/>
              <w:ind w:firstLine="601"/>
              <w:jc w:val="both"/>
              <w:rPr>
                <w:rFonts w:ascii="Verdana" w:eastAsia="Calibri" w:hAnsi="Verdana" w:cs="Arial"/>
                <w:lang w:eastAsia="es-CO"/>
              </w:rPr>
            </w:pPr>
            <w:r w:rsidRPr="00C76F48">
              <w:rPr>
                <w:rFonts w:ascii="Verdana" w:eastAsia="Calibri" w:hAnsi="Verdana" w:cs="Arial"/>
                <w:lang w:eastAsia="es-CO"/>
              </w:rPr>
              <w:t xml:space="preserve">En este contexto,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474E59AD" w14:textId="77777777" w:rsidR="00727FFB" w:rsidRPr="00C76F48" w:rsidRDefault="00727FFB" w:rsidP="00E615C0">
            <w:pPr>
              <w:spacing w:after="120" w:line="276" w:lineRule="auto"/>
              <w:ind w:firstLine="743"/>
              <w:jc w:val="both"/>
              <w:rPr>
                <w:rFonts w:ascii="Verdana" w:eastAsia="Calibri" w:hAnsi="Verdana" w:cs="Arial"/>
                <w:lang w:eastAsia="es-CO"/>
              </w:rPr>
            </w:pPr>
            <w:r w:rsidRPr="00C76F48">
              <w:rPr>
                <w:rFonts w:ascii="Verdana" w:eastAsia="Calibri" w:hAnsi="Verdana" w:cs="Arial"/>
                <w:lang w:eastAsia="es-CO"/>
              </w:rPr>
              <w:t xml:space="preserve">Las entidades, por ejemplo, suelen requerir documentos como actas de liquidación, actas de entrega, actas de terminación, o de recibo definitivo, certificaciones expedidas con posterioridad a la fecha de terminación del contrato, facturas, entre otros documentos. Estos documentos permiten que la entidad pueda comprobar la experiencia del proponente, como el objeto del contrato, las actividades desarrolladas, el valor del contrato o el valor debidamente ejecutado, o cualquier otra información que le de certeza y seguridad a la entidad estatal en la verificación del requisito de experiencia. </w:t>
            </w:r>
          </w:p>
          <w:p w14:paraId="23D3164B" w14:textId="77777777" w:rsidR="00727FFB" w:rsidRPr="00C76F48" w:rsidRDefault="00727FFB" w:rsidP="00E615C0">
            <w:pPr>
              <w:spacing w:after="120" w:line="276" w:lineRule="auto"/>
              <w:ind w:firstLine="743"/>
              <w:jc w:val="both"/>
              <w:rPr>
                <w:rFonts w:ascii="Verdana" w:eastAsia="Calibri" w:hAnsi="Verdana" w:cs="Arial"/>
                <w:lang w:eastAsia="es-CO"/>
              </w:rPr>
            </w:pPr>
            <w:r w:rsidRPr="00C76F48">
              <w:rPr>
                <w:rFonts w:ascii="Verdana" w:eastAsia="Calibri" w:hAnsi="Verdana" w:cs="Arial"/>
                <w:lang w:eastAsia="es-CO"/>
              </w:rPr>
              <w:t xml:space="preserve">En este sentido, en los supuestos señalados es viable que las entidades estatales soliciten, entre otros documentos, la factura para verificar información adicional relativa a la experiencia del proponente, siempre y cuando dicha exigencia haya sido previamente prevista en los pliegos de condiciones o documento equivalente. La forma y los requisitos en que se debe aportar este documento debe estar previamente definida en el pliego de condiciones. </w:t>
            </w:r>
          </w:p>
          <w:p w14:paraId="740B09EB" w14:textId="77777777" w:rsidR="00727FFB" w:rsidRPr="00C76F48" w:rsidRDefault="00727FFB" w:rsidP="00E615C0">
            <w:pPr>
              <w:spacing w:after="120" w:line="276" w:lineRule="auto"/>
              <w:ind w:firstLine="743"/>
              <w:jc w:val="both"/>
              <w:rPr>
                <w:rFonts w:ascii="Verdana" w:eastAsia="Calibri" w:hAnsi="Verdana" w:cs="Arial"/>
                <w:lang w:eastAsia="es-CO"/>
              </w:rPr>
            </w:pPr>
            <w:r w:rsidRPr="00C76F48">
              <w:rPr>
                <w:rFonts w:ascii="Verdana" w:eastAsia="Calibri" w:hAnsi="Verdana" w:cs="Arial"/>
                <w:lang w:eastAsia="es-CO"/>
              </w:rPr>
              <w:t xml:space="preserve">Así, la validez para exigir a los proponente la presentación de dicho documento para acreditar las condiciones de experiencia está sujeta a su determinación previa en los pliegos de condiciones ya que, conforme lo dispone el numeral 2 del artículo 30 de la Ley 80 de 1993 y el artículo 5 de la Ley 1150 de 2007, en estos se deben detallar los aspectos relativos a la determinación y ponderación de los factores objetivos de selección y todas las demás circunstancias de tiempo, modo y lugar que se consideren necesarias para garantizar reglas objetivas, claras y completa. </w:t>
            </w:r>
          </w:p>
        </w:tc>
      </w:tr>
    </w:tbl>
    <w:p w14:paraId="1B87B784" w14:textId="77777777" w:rsidR="00727FFB" w:rsidRPr="00C76F48" w:rsidRDefault="00727FFB" w:rsidP="00727FFB">
      <w:pPr>
        <w:tabs>
          <w:tab w:val="left" w:pos="142"/>
          <w:tab w:val="left" w:pos="284"/>
        </w:tabs>
        <w:spacing w:after="0" w:line="276" w:lineRule="auto"/>
        <w:jc w:val="both"/>
        <w:rPr>
          <w:rFonts w:ascii="Verdana" w:eastAsia="Century Gothic" w:hAnsi="Verdana" w:cs="Century Gothic"/>
          <w:b/>
          <w:bCs/>
        </w:rPr>
      </w:pPr>
    </w:p>
    <w:bookmarkEnd w:id="3"/>
    <w:p w14:paraId="409806B0" w14:textId="77777777" w:rsidR="00727FFB" w:rsidRPr="00C76F48" w:rsidRDefault="00727FFB" w:rsidP="00727FFB">
      <w:pPr>
        <w:numPr>
          <w:ilvl w:val="0"/>
          <w:numId w:val="1"/>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Razones de las respuestas:</w:t>
      </w:r>
    </w:p>
    <w:p w14:paraId="23456F92" w14:textId="77777777" w:rsidR="00727FFB" w:rsidRPr="00C76F48" w:rsidRDefault="00727FFB" w:rsidP="00727FFB">
      <w:pPr>
        <w:spacing w:after="0" w:line="276" w:lineRule="auto"/>
        <w:jc w:val="both"/>
        <w:rPr>
          <w:rFonts w:ascii="Verdana" w:eastAsia="Calibri" w:hAnsi="Verdana" w:cs="Arial"/>
          <w:color w:val="7030A0"/>
        </w:rPr>
      </w:pPr>
    </w:p>
    <w:p w14:paraId="39D60184" w14:textId="77777777" w:rsidR="00727FFB" w:rsidRPr="00C76F48" w:rsidRDefault="00727FFB" w:rsidP="00727FFB">
      <w:pPr>
        <w:spacing w:after="0" w:line="276" w:lineRule="auto"/>
        <w:jc w:val="both"/>
        <w:rPr>
          <w:rFonts w:ascii="Verdana" w:eastAsia="Calibri" w:hAnsi="Verdana" w:cs="Arial"/>
        </w:rPr>
      </w:pPr>
      <w:r w:rsidRPr="00C76F48">
        <w:rPr>
          <w:rFonts w:ascii="Verdana" w:eastAsia="Calibri" w:hAnsi="Verdana" w:cs="Arial"/>
        </w:rPr>
        <w:t>Lo anterior se sustenta en las siguientes consideraciones:</w:t>
      </w:r>
    </w:p>
    <w:p w14:paraId="6204F7BF" w14:textId="77777777" w:rsidR="00727FFB" w:rsidRPr="00C76F48" w:rsidRDefault="00727FFB" w:rsidP="00727FFB">
      <w:pPr>
        <w:spacing w:after="0" w:line="276" w:lineRule="auto"/>
        <w:jc w:val="both"/>
        <w:rPr>
          <w:rFonts w:ascii="Verdana" w:eastAsia="Calibri" w:hAnsi="Verdana" w:cs="Arial"/>
        </w:rPr>
      </w:pPr>
    </w:p>
    <w:p w14:paraId="73A14F92" w14:textId="77777777" w:rsidR="00727FFB" w:rsidRPr="00C76F48" w:rsidRDefault="00727FFB" w:rsidP="00727FFB">
      <w:pPr>
        <w:spacing w:after="120" w:line="276" w:lineRule="auto"/>
        <w:jc w:val="both"/>
        <w:rPr>
          <w:rFonts w:ascii="Verdana" w:hAnsi="Verdana" w:cs="Arial"/>
          <w:lang w:val="es-ES"/>
        </w:rPr>
      </w:pPr>
      <w:r w:rsidRPr="00C76F48">
        <w:rPr>
          <w:rFonts w:ascii="Verdana" w:hAnsi="Verdana" w:cs="Arial"/>
          <w:lang w:val="es-ES"/>
        </w:rPr>
        <w:t xml:space="preserve">El artículo 5 de la Ley 1150 de 2007, establece que, dentro de los procesos de contratación, la escogencia del oferente se efectuará conforme al </w:t>
      </w:r>
      <w:r w:rsidRPr="00C76F48">
        <w:rPr>
          <w:rFonts w:ascii="Verdana" w:hAnsi="Verdana" w:cs="Arial"/>
        </w:rPr>
        <w:t xml:space="preserve">ofrecimiento más favorable a la entidad y a los fines que ella busca, sin tener en consideración factores de afecto o de interés y, en general, cualquier clase de motivación subjetiva. De esta manera, </w:t>
      </w:r>
      <w:r w:rsidRPr="00C76F48">
        <w:rPr>
          <w:rFonts w:ascii="Verdana" w:hAnsi="Verdana" w:cs="Arial"/>
          <w:lang w:val="es-ES"/>
        </w:rPr>
        <w:t xml:space="preserve">el numeral 1 del artículo referido indica que en los procesos de selección de contratistas serán objeto de verificación, como requisitos habilitantes, entre otros, los siguientes: i) la capacidad jurídica; </w:t>
      </w:r>
      <w:proofErr w:type="spellStart"/>
      <w:r w:rsidRPr="00C76F48">
        <w:rPr>
          <w:rFonts w:ascii="Verdana" w:hAnsi="Verdana" w:cs="Arial"/>
          <w:lang w:val="es-ES"/>
        </w:rPr>
        <w:t>ii</w:t>
      </w:r>
      <w:proofErr w:type="spellEnd"/>
      <w:r w:rsidRPr="00C76F48">
        <w:rPr>
          <w:rFonts w:ascii="Verdana" w:hAnsi="Verdana" w:cs="Arial"/>
          <w:lang w:val="es-ES"/>
        </w:rPr>
        <w:t xml:space="preserve">) la experiencia; </w:t>
      </w:r>
      <w:proofErr w:type="spellStart"/>
      <w:r w:rsidRPr="00C76F48">
        <w:rPr>
          <w:rFonts w:ascii="Verdana" w:hAnsi="Verdana" w:cs="Arial"/>
          <w:lang w:val="es-ES"/>
        </w:rPr>
        <w:t>iii</w:t>
      </w:r>
      <w:proofErr w:type="spellEnd"/>
      <w:r w:rsidRPr="00C76F48">
        <w:rPr>
          <w:rFonts w:ascii="Verdana" w:hAnsi="Verdana" w:cs="Arial"/>
          <w:lang w:val="es-ES"/>
        </w:rPr>
        <w:t xml:space="preserve">) la capacidad financiera; y </w:t>
      </w:r>
      <w:proofErr w:type="spellStart"/>
      <w:r w:rsidRPr="00C76F48">
        <w:rPr>
          <w:rFonts w:ascii="Verdana" w:hAnsi="Verdana" w:cs="Arial"/>
          <w:lang w:val="es-ES"/>
        </w:rPr>
        <w:t>iv</w:t>
      </w:r>
      <w:proofErr w:type="spellEnd"/>
      <w:r w:rsidRPr="00C76F48">
        <w:rPr>
          <w:rFonts w:ascii="Verdana" w:hAnsi="Verdana" w:cs="Arial"/>
          <w:lang w:val="es-ES"/>
        </w:rPr>
        <w:t xml:space="preserve">) la capacidad de organización. </w:t>
      </w:r>
    </w:p>
    <w:p w14:paraId="0E76978B" w14:textId="77777777" w:rsidR="00727FFB" w:rsidRPr="00C76F48" w:rsidRDefault="00727FFB" w:rsidP="00727FFB">
      <w:pPr>
        <w:spacing w:after="120" w:line="276" w:lineRule="auto"/>
        <w:ind w:firstLine="709"/>
        <w:jc w:val="both"/>
        <w:rPr>
          <w:rFonts w:ascii="Verdana" w:eastAsia="Calibri" w:hAnsi="Verdana" w:cs="Arial"/>
          <w:lang w:val="es-ES" w:eastAsia="es-MX"/>
        </w:rPr>
      </w:pPr>
      <w:r w:rsidRPr="00C76F48">
        <w:rPr>
          <w:rFonts w:ascii="Verdana" w:eastAsia="Calibri" w:hAnsi="Verdana" w:cs="Arial"/>
          <w:lang w:val="es-ES" w:eastAsia="es-MX"/>
        </w:rPr>
        <w:t>Los requisitos habilitantes constituyen los requerimientos mínimos con los que deben cumplir los proponentes para participar en el procedimiento de selección, por tal razón éstos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 al 4, de la Ley 1150 de 2007.</w:t>
      </w:r>
    </w:p>
    <w:p w14:paraId="76A05A94" w14:textId="77777777" w:rsidR="00727FFB" w:rsidRPr="00C76F48" w:rsidRDefault="00727FFB" w:rsidP="00727FFB">
      <w:pPr>
        <w:spacing w:after="120" w:line="276" w:lineRule="auto"/>
        <w:ind w:firstLine="709"/>
        <w:jc w:val="both"/>
        <w:rPr>
          <w:rFonts w:ascii="Verdana" w:hAnsi="Verdana"/>
        </w:rPr>
      </w:pPr>
      <w:r w:rsidRPr="00C76F48">
        <w:rPr>
          <w:rFonts w:ascii="Verdana" w:hAnsi="Verdana"/>
        </w:rPr>
        <w:t>Ahora bien, el artículo 6 de la Ley 1150 de 2007, establece que “todas las personas naturales o jurídicas, nacionales o extranjeras, domiciliadas o con sucursal en Colombia, que aspiren celebrar contratos con las entidades estatales, deberán estar inscritas en el Registro Único de Proponentes (RUP)</w:t>
      </w:r>
      <w:r w:rsidRPr="00C76F48">
        <w:rPr>
          <w:rFonts w:ascii="Verdana" w:eastAsia="Calibri" w:hAnsi="Verdana"/>
          <w:vertAlign w:val="superscript"/>
          <w:lang w:val="es-ES"/>
        </w:rPr>
        <w:footnoteReference w:id="2"/>
      </w:r>
      <w:r w:rsidRPr="00C76F48">
        <w:rPr>
          <w:rFonts w:ascii="Verdana" w:hAnsi="Verdana"/>
        </w:rPr>
        <w:t>”. En dicho registro constará la información relacionada previamente con los requisitos habilitantes de experiencia, capacidad jurídica, financiera y de organización del proponente y su clasificación la cual ha tenido que ser acreditada con certificaciones y soportes ante las Cámaras de Comercio para que se surta su inscripción. Estos soportes en el caso de la experiencia igual podrán provenir de empresas nacionales o extranjeras, entidades públicas o privadas.</w:t>
      </w:r>
    </w:p>
    <w:p w14:paraId="00BFCA9E" w14:textId="77777777" w:rsidR="00727FFB" w:rsidRPr="00C76F48" w:rsidRDefault="00727FFB" w:rsidP="00727FFB">
      <w:pPr>
        <w:spacing w:after="120" w:line="276" w:lineRule="auto"/>
        <w:ind w:firstLine="709"/>
        <w:jc w:val="both"/>
        <w:rPr>
          <w:rFonts w:ascii="Verdana" w:eastAsia="Times New Roman" w:hAnsi="Verdana" w:cs="Arial"/>
          <w:lang w:eastAsia="es-CO"/>
        </w:rPr>
      </w:pPr>
      <w:r w:rsidRPr="00C76F48">
        <w:rPr>
          <w:rFonts w:ascii="Verdana" w:hAnsi="Verdana"/>
        </w:rPr>
        <w:t>En tal sentido</w:t>
      </w:r>
      <w:bookmarkStart w:id="4" w:name="_Hlk99548176"/>
      <w:r w:rsidRPr="00C76F48">
        <w:rPr>
          <w:rFonts w:ascii="Verdana" w:hAnsi="Verdana" w:cs="Arial"/>
          <w:lang w:val="es-ES"/>
        </w:rPr>
        <w:t xml:space="preserve">, </w:t>
      </w:r>
      <w:r w:rsidRPr="00C76F48">
        <w:rPr>
          <w:rFonts w:ascii="Verdana" w:eastAsia="Times New Roman" w:hAnsi="Verdana" w:cs="Arial"/>
          <w:lang w:eastAsia="es-CO"/>
        </w:rPr>
        <w:t xml:space="preserve">para acreditar el cumplimiento de los requisitos habilitantes, las entidades estatales sometidas al Estatuto General de Contratación de la Administración Pública -EGCAP-, en virtud de lo establecido </w:t>
      </w:r>
      <w:r w:rsidRPr="00C76F48">
        <w:rPr>
          <w:rFonts w:ascii="Verdana" w:eastAsia="Times New Roman" w:hAnsi="Verdana" w:cs="Arial"/>
          <w:lang w:eastAsia="es-CO"/>
        </w:rPr>
        <w:lastRenderedPageBreak/>
        <w:t>en el artículo 5 y 6 de la Ley 1150 de 2007, están obligadas a efectuar la evaluación correspondiente teniendo en cuenta la información que reposa en el RUP, documento que constituye plena prueba de la información que contiene, tal como lo establece el artículo 6.1 de la Ley 1150 de 2007</w:t>
      </w:r>
      <w:r w:rsidRPr="00C76F48">
        <w:rPr>
          <w:rFonts w:ascii="Verdana" w:eastAsia="Times New Roman" w:hAnsi="Verdana" w:cs="Arial"/>
          <w:vertAlign w:val="superscript"/>
          <w:lang w:eastAsia="es-CO"/>
        </w:rPr>
        <w:footnoteReference w:id="3"/>
      </w:r>
      <w:r w:rsidRPr="00C76F48">
        <w:rPr>
          <w:rFonts w:ascii="Verdana" w:eastAsia="Times New Roman" w:hAnsi="Verdana" w:cs="Arial"/>
          <w:lang w:eastAsia="es-CO"/>
        </w:rPr>
        <w:t xml:space="preserve">. </w:t>
      </w:r>
    </w:p>
    <w:p w14:paraId="58CCC3C6" w14:textId="77777777" w:rsidR="00727FFB" w:rsidRPr="00C76F48" w:rsidRDefault="00727FFB" w:rsidP="00727FFB">
      <w:pPr>
        <w:spacing w:after="120" w:line="276" w:lineRule="auto"/>
        <w:ind w:firstLine="708"/>
        <w:jc w:val="both"/>
        <w:rPr>
          <w:rFonts w:ascii="Verdana" w:eastAsia="Times New Roman" w:hAnsi="Verdana" w:cs="Arial"/>
          <w:lang w:eastAsia="es-CO"/>
        </w:rPr>
      </w:pPr>
      <w:r w:rsidRPr="00C76F48">
        <w:rPr>
          <w:rFonts w:ascii="Verdana" w:eastAsia="Times New Roman" w:hAnsi="Verdana" w:cs="Arial"/>
          <w:lang w:eastAsia="es-CO"/>
        </w:rPr>
        <w:t>Dicha información debe tenerse en cuenta por las entidades en los procedimientos de contratación en los que es exigible el RUP. Así las cosas, los requisitos habilitantes deberán ser verificadas exclusivamente a través del Registro Único de Proponentes, pues de acuerdo con lo expuesto, este documento es plena prueba de la información financiera, de experiencia y de capacidad acreditada por la persona natural o jurídica</w:t>
      </w:r>
      <w:r w:rsidRPr="00C76F48">
        <w:rPr>
          <w:rFonts w:ascii="Verdana" w:eastAsia="Times New Roman" w:hAnsi="Verdana" w:cs="Arial"/>
          <w:vertAlign w:val="superscript"/>
          <w:lang w:eastAsia="es-CO"/>
        </w:rPr>
        <w:footnoteReference w:id="4"/>
      </w:r>
      <w:r w:rsidRPr="00C76F48">
        <w:rPr>
          <w:rFonts w:ascii="Verdana" w:eastAsia="Times New Roman" w:hAnsi="Verdana" w:cs="Arial"/>
          <w:lang w:eastAsia="es-CO"/>
        </w:rPr>
        <w:t>.</w:t>
      </w:r>
      <w:bookmarkEnd w:id="4"/>
    </w:p>
    <w:p w14:paraId="427F5B7F" w14:textId="77777777" w:rsidR="00727FFB" w:rsidRPr="00C76F48" w:rsidRDefault="00727FFB" w:rsidP="00727FFB">
      <w:pPr>
        <w:spacing w:after="120" w:line="276" w:lineRule="auto"/>
        <w:ind w:firstLine="708"/>
        <w:jc w:val="both"/>
        <w:rPr>
          <w:rFonts w:ascii="Verdana" w:hAnsi="Verdana"/>
        </w:rPr>
      </w:pPr>
      <w:r w:rsidRPr="00C76F48">
        <w:rPr>
          <w:rFonts w:ascii="Verdana" w:hAnsi="Verdana"/>
        </w:rPr>
        <w:t xml:space="preserve">No obstante lo anterior, el artículo 6 </w:t>
      </w:r>
      <w:r w:rsidRPr="00C76F48">
        <w:rPr>
          <w:rFonts w:ascii="Verdana" w:hAnsi="Verdana"/>
          <w:i/>
          <w:iCs/>
        </w:rPr>
        <w:t>ibidem</w:t>
      </w:r>
      <w:r w:rsidRPr="00C76F48">
        <w:rPr>
          <w:rFonts w:ascii="Verdana" w:hAnsi="Verdana"/>
        </w:rPr>
        <w:t xml:space="preserve"> también prescribe que “no se requerirá de este registro, ni de clasificación, en los casos de contratación directa; contratos para la prestación de servicios de salud; </w:t>
      </w:r>
      <w:r w:rsidRPr="00C76F48">
        <w:rPr>
          <w:rFonts w:ascii="Verdana" w:hAnsi="Verdana"/>
          <w:i/>
          <w:iCs/>
        </w:rPr>
        <w:t>contratos de mínima cuantía</w:t>
      </w:r>
      <w:r w:rsidRPr="00C76F48">
        <w:rPr>
          <w:rFonts w:ascii="Verdana" w:hAnsi="Verdana"/>
        </w:rPr>
        <w:t>;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C76F48">
        <w:rPr>
          <w:rFonts w:ascii="Verdana" w:hAnsi="Verdana"/>
          <w:i/>
          <w:iCs/>
        </w:rPr>
        <w:t xml:space="preserve"> </w:t>
      </w:r>
    </w:p>
    <w:p w14:paraId="2AE5F0E7" w14:textId="77777777" w:rsidR="00727FFB" w:rsidRPr="00C76F48" w:rsidRDefault="00727FFB" w:rsidP="00727FFB">
      <w:pPr>
        <w:spacing w:after="120" w:line="276" w:lineRule="auto"/>
        <w:ind w:firstLine="708"/>
        <w:jc w:val="both"/>
        <w:rPr>
          <w:rFonts w:ascii="Verdana" w:eastAsia="Calibri" w:hAnsi="Verdana"/>
        </w:rPr>
      </w:pPr>
      <w:r w:rsidRPr="00C76F48">
        <w:rPr>
          <w:rFonts w:ascii="Verdana" w:eastAsia="Calibri" w:hAnsi="Verdana"/>
        </w:rPr>
        <w:lastRenderedPageBreak/>
        <w:t xml:space="preserve">Por lo tanto, 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 </w:t>
      </w:r>
    </w:p>
    <w:p w14:paraId="5257989F" w14:textId="77777777" w:rsidR="00727FFB" w:rsidRPr="00C76F48" w:rsidRDefault="00727FFB" w:rsidP="00727FFB">
      <w:pPr>
        <w:spacing w:after="120" w:line="276" w:lineRule="auto"/>
        <w:ind w:firstLine="708"/>
        <w:jc w:val="both"/>
        <w:rPr>
          <w:rFonts w:ascii="Verdana" w:eastAsia="Calibri" w:hAnsi="Verdana"/>
        </w:rPr>
      </w:pPr>
      <w:r w:rsidRPr="00C76F48">
        <w:rPr>
          <w:rFonts w:ascii="Verdana" w:eastAsia="Calibri" w:hAnsi="Verdana"/>
        </w:rPr>
        <w:t xml:space="preserve">Sobre el particular, el Manual </w:t>
      </w:r>
      <w:r w:rsidRPr="00C76F48">
        <w:rPr>
          <w:rFonts w:ascii="Verdana" w:hAnsi="Verdana" w:cs="Arial"/>
          <w:lang w:eastAsia="es-MX"/>
        </w:rPr>
        <w:t xml:space="preserve">para determinar y verificar los Requisitos Habilitantes en los Procesos de Contratación expedido por la ANCP-CCE </w:t>
      </w:r>
      <w:r w:rsidRPr="00C76F48">
        <w:rPr>
          <w:rFonts w:ascii="Verdana" w:eastAsia="Calibri" w:hAnsi="Verdana"/>
        </w:rPr>
        <w:t>señaló que “En estos supuestos las Entidades Estatales deben verificar directamente el cumplimiento de los requisitos habilitantes, pues, se resalta, la no obligatoriedad del RUP no quiere decir que la Entidad Estatal no debe establecer requisitos habilitantes, sino que su acreditación y verificación deberán hacerse mediante otros mecanismos y unas reglas particulares definidas de manera autónoma por la Entidad Estatal en el pliego de condiciones o documento equivalente.”</w:t>
      </w:r>
      <w:bookmarkStart w:id="5" w:name="_Hlk63643037"/>
    </w:p>
    <w:p w14:paraId="0586E947" w14:textId="77777777" w:rsidR="00727FFB" w:rsidRPr="00C76F48" w:rsidRDefault="00727FFB" w:rsidP="00727FFB">
      <w:pPr>
        <w:spacing w:after="120" w:line="276" w:lineRule="auto"/>
        <w:ind w:firstLine="708"/>
        <w:jc w:val="both"/>
        <w:rPr>
          <w:rFonts w:ascii="Verdana" w:eastAsia="Calibri" w:hAnsi="Verdana" w:cs="Arial"/>
          <w:lang w:eastAsia="es-CO"/>
        </w:rPr>
      </w:pPr>
      <w:r w:rsidRPr="00C76F48">
        <w:rPr>
          <w:rFonts w:ascii="Verdana" w:eastAsia="Calibri" w:hAnsi="Verdana"/>
        </w:rPr>
        <w:t>Adicionalmente</w:t>
      </w:r>
      <w:r w:rsidRPr="00C76F48">
        <w:rPr>
          <w:rFonts w:ascii="Verdana" w:eastAsia="Calibri" w:hAnsi="Verdana" w:cs="Arial"/>
          <w:lang w:eastAsia="es-CO"/>
        </w:rPr>
        <w:t xml:space="preserve">, debe precisarse que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En estos supuestos,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qué documentos son adecuados y proporcionales para verificar el requisito de experiencia establecido. </w:t>
      </w:r>
    </w:p>
    <w:p w14:paraId="23AFF048" w14:textId="77777777" w:rsidR="00727FFB" w:rsidRPr="00C76F48" w:rsidRDefault="00727FFB" w:rsidP="00727FFB">
      <w:pPr>
        <w:spacing w:after="120" w:line="276" w:lineRule="auto"/>
        <w:ind w:firstLine="708"/>
        <w:jc w:val="both"/>
        <w:rPr>
          <w:rFonts w:ascii="Verdana" w:eastAsia="Calibri" w:hAnsi="Verdana" w:cs="Arial"/>
          <w:lang w:val="es-ES" w:eastAsia="es-MX"/>
        </w:rPr>
      </w:pPr>
      <w:r w:rsidRPr="00C76F48">
        <w:rPr>
          <w:rFonts w:ascii="Verdana" w:eastAsia="Calibri" w:hAnsi="Verdana"/>
        </w:rPr>
        <w:t xml:space="preserve">Al respecto, el Manual </w:t>
      </w:r>
      <w:r w:rsidRPr="00C76F48">
        <w:rPr>
          <w:rFonts w:ascii="Verdana" w:hAnsi="Verdana" w:cs="Arial"/>
          <w:lang w:eastAsia="es-MX"/>
        </w:rPr>
        <w:t xml:space="preserve">para determinar y verificar los Requisitos Habilitantes en los Procesos de Contratación expedido por la ANCP-CCE </w:t>
      </w:r>
      <w:r w:rsidRPr="00C76F48">
        <w:rPr>
          <w:rFonts w:ascii="Verdana" w:eastAsia="Calibri" w:hAnsi="Verdana"/>
        </w:rPr>
        <w:t>señaló que “En todo caso, a pesar de que el RUP contenga algunos de los requisitos habilitantes, las Entidades Estatales pueden solicitar requisitos adicionales, caso en el cual debe verificarlos directamente mediante documentos complementarios. Adicionalmente, el numeral 6.1. del artículo 6 de la Ley 1150 de 2007 establece que cuando sea necesario verificar requisitos o información que no reposan en el RUP, la Entidad Estatal podrá solicitar información adicional solo para complementar la información contenida en el RUP”.</w:t>
      </w:r>
    </w:p>
    <w:p w14:paraId="2FA1C96F" w14:textId="77777777" w:rsidR="00727FFB" w:rsidRPr="00C76F48" w:rsidRDefault="00727FFB" w:rsidP="00727FFB">
      <w:pPr>
        <w:spacing w:after="120" w:line="276" w:lineRule="auto"/>
        <w:ind w:firstLine="709"/>
        <w:jc w:val="both"/>
        <w:rPr>
          <w:rFonts w:ascii="Verdana" w:eastAsia="Calibri" w:hAnsi="Verdana" w:cs="Arial"/>
          <w:lang w:eastAsia="es-CO"/>
        </w:rPr>
      </w:pPr>
      <w:r w:rsidRPr="00C76F48">
        <w:rPr>
          <w:rFonts w:ascii="Verdana" w:eastAsia="Calibri" w:hAnsi="Verdana" w:cs="Arial"/>
          <w:lang w:eastAsia="es-CO"/>
        </w:rPr>
        <w:lastRenderedPageBreak/>
        <w:t>En este contexto, las entidades, por ejemplo, suelen requerir documentos como actas de liquidación, actas de entrega, actas de terminación, o de recibo definitivo, certificaciones expedidas con posterioridad a la fecha de terminación del contrato, así como facturas, entre otros documentos.</w:t>
      </w:r>
      <w:bookmarkStart w:id="6" w:name="_Hlk190876018"/>
      <w:bookmarkEnd w:id="5"/>
      <w:r w:rsidRPr="00C76F48">
        <w:rPr>
          <w:rFonts w:ascii="Verdana" w:eastAsia="Calibri" w:hAnsi="Verdana" w:cs="Arial"/>
          <w:lang w:eastAsia="es-CO"/>
        </w:rPr>
        <w:t xml:space="preserve"> Estos documentos permiten que la entidad pueda comprobar la experiencia del proponente, como el objeto del contrato, las actividades específicas desarrolladas, el valor del contrato o el valor debidamente ejecutado, o cualquier otra información que le de certeza y seguridad a la entidad estatal en la verificación del requisito de experiencia.</w:t>
      </w:r>
    </w:p>
    <w:bookmarkEnd w:id="6"/>
    <w:p w14:paraId="6CB9618B" w14:textId="77777777" w:rsidR="00727FFB" w:rsidRPr="00C76F48" w:rsidRDefault="00727FFB" w:rsidP="00727FFB">
      <w:pPr>
        <w:spacing w:after="120" w:line="276" w:lineRule="auto"/>
        <w:ind w:firstLine="709"/>
        <w:jc w:val="both"/>
        <w:rPr>
          <w:rFonts w:ascii="Verdana" w:eastAsia="Calibri" w:hAnsi="Verdana" w:cs="Arial"/>
          <w:lang w:eastAsia="es-CO"/>
        </w:rPr>
      </w:pPr>
      <w:r w:rsidRPr="00C76F48">
        <w:rPr>
          <w:rFonts w:ascii="Verdana" w:eastAsia="Calibri" w:hAnsi="Verdana" w:cs="Arial"/>
          <w:lang w:eastAsia="es-CO"/>
        </w:rPr>
        <w:t>Conforme a lo expuesto, en los supuestos señalado es viable que las entidades estatales soliciten, entre otros documentos, la factura para verificar información adicional relativa a la experiencia del proponente, siempre y cuando dicha exigencia haya sido previamente prevista en los pliegos de condiciones o documento equivalente. La forma y los requisitos en que se debe aportar este documento debe estar previamente definida en el pliego de condiciones.</w:t>
      </w:r>
    </w:p>
    <w:p w14:paraId="1EDFF082" w14:textId="77777777" w:rsidR="00727FFB" w:rsidRPr="00C76F48" w:rsidRDefault="00727FFB" w:rsidP="00727FFB">
      <w:pPr>
        <w:spacing w:after="120" w:line="276" w:lineRule="auto"/>
        <w:ind w:firstLine="709"/>
        <w:jc w:val="both"/>
        <w:rPr>
          <w:rFonts w:ascii="Verdana" w:eastAsia="Calibri" w:hAnsi="Verdana" w:cs="Arial"/>
          <w:lang w:eastAsia="es-CO"/>
        </w:rPr>
      </w:pPr>
      <w:r w:rsidRPr="00C76F48">
        <w:rPr>
          <w:rFonts w:ascii="Verdana" w:eastAsia="Calibri" w:hAnsi="Verdana" w:cs="Arial"/>
          <w:lang w:eastAsia="es-CO"/>
        </w:rPr>
        <w:t xml:space="preserve">Así, la validez para exigir a los proponente la presentación de dicho documento para acreditar las condiciones de experiencia está sujeta a su determinación previa en los pliegos de condiciones ya que, conforme lo dispone el numeral 2 del artículo 30 de la Ley 80 de 1993 y el artículo 5 de la Ley 1150 de 2007, en estos se deben detallar los aspectos relativos a la determinación y ponderación de los factores objetivos de selección y todas las demás circunstancias de tiempo, modo y lugar que se consideren necesarias para garantizar reglas objetivas, claras y completa. </w:t>
      </w:r>
    </w:p>
    <w:p w14:paraId="101A6AFE" w14:textId="77777777" w:rsidR="00727FFB" w:rsidRPr="00C76F48" w:rsidRDefault="00727FFB" w:rsidP="00727FFB">
      <w:pPr>
        <w:spacing w:after="120" w:line="276" w:lineRule="auto"/>
        <w:ind w:firstLine="709"/>
        <w:jc w:val="both"/>
        <w:rPr>
          <w:rFonts w:ascii="Verdana" w:eastAsia="Calibri" w:hAnsi="Verdana" w:cs="Arial"/>
        </w:rPr>
      </w:pPr>
      <w:r w:rsidRPr="00C76F48">
        <w:rPr>
          <w:rFonts w:ascii="Verdana" w:eastAsia="Calibri" w:hAnsi="Verdana" w:cs="Arial"/>
          <w:lang w:eastAsia="es-CO"/>
        </w:rPr>
        <w:t>A modo de ilustración, en el numeral</w:t>
      </w:r>
      <w:r w:rsidRPr="00C76F48">
        <w:rPr>
          <w:rFonts w:ascii="Verdana" w:eastAsia="Calibri" w:hAnsi="Verdana" w:cs="Arial"/>
          <w:lang w:val="es-MX"/>
        </w:rPr>
        <w:t xml:space="preserve"> 4.5 del Documento Base de los documentos tipo de mínima cuantía de infraestructura de transporte –Versión 2–, se establece</w:t>
      </w:r>
      <w:r>
        <w:rPr>
          <w:rFonts w:ascii="Verdana" w:eastAsia="Calibri" w:hAnsi="Verdana" w:cs="Arial"/>
          <w:lang w:val="es-MX"/>
        </w:rPr>
        <w:t xml:space="preserve"> que</w:t>
      </w:r>
      <w:r w:rsidRPr="00C76F48">
        <w:rPr>
          <w:rFonts w:ascii="Verdana" w:eastAsia="Calibri" w:hAnsi="Verdana" w:cs="Arial"/>
          <w:lang w:val="es-MX"/>
        </w:rPr>
        <w:t xml:space="preserve"> l</w:t>
      </w:r>
      <w:r w:rsidRPr="00C76F48">
        <w:rPr>
          <w:rFonts w:ascii="Verdana" w:eastAsia="Calibri" w:hAnsi="Verdana" w:cs="Arial"/>
          <w:lang w:val="es-ES"/>
        </w:rPr>
        <w:t>os proponentes deben cumplir con el requisito habilitante de experiencia, el cual se acreditará</w:t>
      </w:r>
      <w:r w:rsidRPr="00C76F48">
        <w:rPr>
          <w:rFonts w:ascii="Verdana" w:eastAsia="Calibri" w:hAnsi="Verdana" w:cs="Arial"/>
        </w:rPr>
        <w:t xml:space="preserve"> mediante: i) la presentación del Formato 3 – Experiencia y </w:t>
      </w:r>
      <w:proofErr w:type="spellStart"/>
      <w:r w:rsidRPr="00C76F48">
        <w:rPr>
          <w:rFonts w:ascii="Verdana" w:eastAsia="Calibri" w:hAnsi="Verdana" w:cs="Arial"/>
        </w:rPr>
        <w:t>ii</w:t>
      </w:r>
      <w:proofErr w:type="spellEnd"/>
      <w:r w:rsidRPr="00C76F48">
        <w:rPr>
          <w:rFonts w:ascii="Verdana" w:eastAsia="Calibri" w:hAnsi="Verdana" w:cs="Arial"/>
        </w:rPr>
        <w:t>) copia de alguno de los documentos válidos para demostrar la experiencia requerida señalados en el numeral 4.5.4.</w:t>
      </w:r>
    </w:p>
    <w:p w14:paraId="60875BDA" w14:textId="77777777" w:rsidR="00727FFB" w:rsidRPr="00C76F48" w:rsidRDefault="00727FFB" w:rsidP="00727FFB">
      <w:pPr>
        <w:spacing w:after="120" w:line="276" w:lineRule="auto"/>
        <w:ind w:firstLine="709"/>
        <w:jc w:val="both"/>
        <w:rPr>
          <w:rFonts w:ascii="Verdana" w:eastAsia="Calibri" w:hAnsi="Verdana" w:cs="Arial"/>
          <w:b/>
          <w:kern w:val="2"/>
          <w:lang w:val="es-ES_tradnl" w:eastAsia="es-CO"/>
          <w14:ligatures w14:val="standardContextual"/>
        </w:rPr>
      </w:pPr>
      <w:r w:rsidRPr="00C76F48">
        <w:rPr>
          <w:rFonts w:ascii="Verdana" w:eastAsia="Calibri" w:hAnsi="Verdana" w:cs="Arial"/>
          <w:lang w:val="es-MX"/>
        </w:rPr>
        <w:t xml:space="preserve">Para tales efectos, el numeral 4.5.5 dispone que para acreditar la experiencia entre particulares,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 </w:t>
      </w:r>
      <w:r w:rsidRPr="00C76F48">
        <w:rPr>
          <w:rFonts w:ascii="Verdana" w:eastAsia="Calibri" w:hAnsi="Verdana" w:cs="Arial"/>
          <w:lang w:val="es-MX"/>
        </w:rPr>
        <w:lastRenderedPageBreak/>
        <w:t>disciplinarios vigente, expedido por la Junta Central de Contadores, o los documentos equivalentes que hagan sus veces en el país donde se expide el documento del profesional”.</w:t>
      </w:r>
    </w:p>
    <w:p w14:paraId="43DBA245" w14:textId="77777777" w:rsidR="00727FFB" w:rsidRPr="00C76F48" w:rsidRDefault="00727FFB" w:rsidP="00727FFB">
      <w:pPr>
        <w:spacing w:after="120" w:line="276" w:lineRule="auto"/>
        <w:ind w:firstLine="709"/>
        <w:jc w:val="both"/>
        <w:rPr>
          <w:rFonts w:ascii="Verdana" w:eastAsia="Calibri" w:hAnsi="Verdana" w:cs="Arial"/>
          <w:kern w:val="2"/>
          <w:lang w:val="es-ES" w:eastAsia="es-CO"/>
          <w14:ligatures w14:val="standardContextual"/>
        </w:rPr>
      </w:pPr>
      <w:r w:rsidRPr="00C76F48">
        <w:rPr>
          <w:rFonts w:ascii="Verdana" w:eastAsia="Calibri" w:hAnsi="Verdana" w:cs="Arial"/>
          <w:kern w:val="2"/>
          <w:lang w:val="es-ES" w:eastAsia="es-CO"/>
          <w14:ligatures w14:val="standardContextual"/>
        </w:rPr>
        <w:t xml:space="preserve">Por lo tanto, específicamente para los procesos adelantados con documentos tipo de mínima cuantía la acreditación de la experiencia debe realizarse en los términos del numeral 4.5. del Documento Base en donde se determinó, entre otros documentos, la presentación de la certificación de facturación como un documento para verificar la experiencia entre particulares. </w:t>
      </w:r>
    </w:p>
    <w:p w14:paraId="5BED165E" w14:textId="77777777" w:rsidR="00727FFB" w:rsidRPr="00C76F48" w:rsidRDefault="00727FFB" w:rsidP="00727FFB">
      <w:pPr>
        <w:spacing w:after="120" w:line="276" w:lineRule="auto"/>
        <w:ind w:firstLine="709"/>
        <w:jc w:val="both"/>
        <w:rPr>
          <w:rFonts w:ascii="Verdana" w:eastAsia="Calibri" w:hAnsi="Verdana" w:cs="Arial"/>
          <w:lang w:eastAsia="es-CO"/>
        </w:rPr>
      </w:pPr>
      <w:r w:rsidRPr="00C76F48">
        <w:rPr>
          <w:rFonts w:ascii="Verdana" w:eastAsia="Calibri" w:hAnsi="Verdana" w:cs="Arial"/>
          <w:lang w:eastAsia="es-CO"/>
        </w:rPr>
        <w:t>En conclusión, por regla general, el cumplimiento de los requisitos habilitantes determinados por la entidad estatal en cada proceso de contratación, entre ellos la experiencia, se debe verificar mediante el RUP el cual constituye plena prueba de las circunstancias de las que da cuenta. No obstante, en aquellos casos en los cuales no es obligatorio estar inscrito en el RUP, como sucede con los procesos de mínima cuantía, o los eventos en los que la entidad estatal considere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consecuencia, el proponente deberá ceñirse a lo dispuesto por la entidad y allegar toda información ordenada, en los términos y la forma en que hayan sido señalados.</w:t>
      </w:r>
    </w:p>
    <w:p w14:paraId="3180042B" w14:textId="77777777" w:rsidR="00727FFB" w:rsidRPr="00C76F48" w:rsidRDefault="00727FFB" w:rsidP="00727FFB">
      <w:pPr>
        <w:spacing w:after="120" w:line="276" w:lineRule="auto"/>
        <w:ind w:firstLine="709"/>
        <w:jc w:val="both"/>
        <w:rPr>
          <w:rFonts w:ascii="Verdana" w:eastAsia="Calibri" w:hAnsi="Verdana" w:cs="Arial"/>
          <w:lang w:eastAsia="es-CO"/>
        </w:rPr>
      </w:pPr>
      <w:r w:rsidRPr="00C76F48">
        <w:rPr>
          <w:rFonts w:ascii="Verdana" w:eastAsia="Times New Roman" w:hAnsi="Verdana" w:cs="Arial"/>
          <w:lang w:eastAsia="es-ES_tradnl"/>
        </w:rPr>
        <w:t xml:space="preserve">En todo caso, debe advertirse que es la entidad contratante, al momento de adelantar su actividad contractual, quien debe determinar lo correspondiente a la forma de acreditar la experiencia del proponente y será esta la que verifique el cumplimiento de los requisitos exigidos en el marco del proceso de contratación. </w:t>
      </w:r>
    </w:p>
    <w:p w14:paraId="172CAE4E" w14:textId="77777777" w:rsidR="00727FFB" w:rsidRPr="00C76F48" w:rsidRDefault="00727FFB" w:rsidP="00727FFB">
      <w:pPr>
        <w:widowControl w:val="0"/>
        <w:autoSpaceDE w:val="0"/>
        <w:autoSpaceDN w:val="0"/>
        <w:spacing w:after="0" w:line="276" w:lineRule="auto"/>
        <w:ind w:firstLine="709"/>
        <w:jc w:val="both"/>
        <w:rPr>
          <w:rFonts w:ascii="Verdana" w:eastAsia="Arial" w:hAnsi="Verdana" w:cs="Arial"/>
          <w:lang w:val="es-ES"/>
        </w:rPr>
      </w:pPr>
    </w:p>
    <w:p w14:paraId="2827A128" w14:textId="77777777" w:rsidR="00727FFB" w:rsidRPr="00C76F48" w:rsidRDefault="00727FFB" w:rsidP="00727FFB">
      <w:pPr>
        <w:numPr>
          <w:ilvl w:val="0"/>
          <w:numId w:val="1"/>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Referencias normativas y jurisprudenciales:</w:t>
      </w:r>
    </w:p>
    <w:p w14:paraId="135E4590" w14:textId="77777777" w:rsidR="00727FFB" w:rsidRPr="00C76F48" w:rsidRDefault="00727FFB" w:rsidP="00727FF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7FFB" w:rsidRPr="00C76F48" w14:paraId="317FB766" w14:textId="77777777" w:rsidTr="00E615C0">
        <w:trPr>
          <w:trHeight w:val="410"/>
          <w:jc w:val="center"/>
        </w:trPr>
        <w:tc>
          <w:tcPr>
            <w:tcW w:w="8647" w:type="dxa"/>
          </w:tcPr>
          <w:p w14:paraId="229F6A79" w14:textId="77777777" w:rsidR="00727FFB" w:rsidRPr="00C76F48" w:rsidRDefault="00727FFB" w:rsidP="00727FFB">
            <w:pPr>
              <w:widowControl w:val="0"/>
              <w:numPr>
                <w:ilvl w:val="0"/>
                <w:numId w:val="3"/>
              </w:numPr>
              <w:autoSpaceDE w:val="0"/>
              <w:autoSpaceDN w:val="0"/>
              <w:spacing w:after="120" w:line="276" w:lineRule="auto"/>
              <w:ind w:left="318" w:hanging="284"/>
              <w:contextualSpacing/>
              <w:jc w:val="both"/>
              <w:rPr>
                <w:rFonts w:ascii="Verdana" w:hAnsi="Verdana" w:cs="Arial"/>
              </w:rPr>
            </w:pPr>
            <w:r w:rsidRPr="00C76F48">
              <w:rPr>
                <w:rFonts w:ascii="Verdana" w:eastAsia="Calibri" w:hAnsi="Verdana" w:cs="Arial"/>
              </w:rPr>
              <w:t xml:space="preserve">Ley </w:t>
            </w:r>
            <w:r w:rsidRPr="00C76F48">
              <w:rPr>
                <w:rFonts w:ascii="Verdana" w:eastAsia="Calibri" w:hAnsi="Verdana" w:cs="Arial"/>
                <w:lang w:val="es-ES"/>
              </w:rPr>
              <w:t xml:space="preserve">1150 de 2007. Artículo 5 y 6.  </w:t>
            </w:r>
          </w:p>
          <w:p w14:paraId="58C47088" w14:textId="77777777" w:rsidR="00727FFB" w:rsidRPr="00C76F48" w:rsidRDefault="00727FFB" w:rsidP="00727FFB">
            <w:pPr>
              <w:widowControl w:val="0"/>
              <w:numPr>
                <w:ilvl w:val="0"/>
                <w:numId w:val="3"/>
              </w:numPr>
              <w:autoSpaceDE w:val="0"/>
              <w:autoSpaceDN w:val="0"/>
              <w:spacing w:after="120" w:line="276" w:lineRule="auto"/>
              <w:ind w:left="318" w:hanging="284"/>
              <w:contextualSpacing/>
              <w:jc w:val="both"/>
              <w:rPr>
                <w:rFonts w:ascii="Verdana" w:hAnsi="Verdana" w:cs="Arial"/>
              </w:rPr>
            </w:pPr>
            <w:r w:rsidRPr="00C76F48">
              <w:rPr>
                <w:rFonts w:ascii="Verdana" w:eastAsia="Calibri" w:hAnsi="Verdana" w:cs="Arial"/>
                <w:lang w:val="es-ES"/>
              </w:rPr>
              <w:t>Manual para determinar y verificar los requisitos habilitantes en los Procesos de Contratación</w:t>
            </w:r>
            <w:r w:rsidRPr="00C76F48">
              <w:rPr>
                <w:rFonts w:ascii="Verdana" w:hAnsi="Verdana" w:cs="Arial"/>
              </w:rPr>
              <w:t xml:space="preserve">. Disponible en: </w:t>
            </w:r>
            <w:hyperlink r:id="rId13" w:history="1">
              <w:r w:rsidRPr="00C76F48">
                <w:rPr>
                  <w:rFonts w:ascii="Verdana" w:hAnsi="Verdana" w:cs="Arial"/>
                  <w:color w:val="0563C1" w:themeColor="hyperlink"/>
                  <w:u w:val="single"/>
                </w:rPr>
                <w:t>https://www.colombiacompra.gov.co/wp-content/uploads/2024/08/cce-eicp-ma-04._manual_requisitos_habilitantes_v3_29-09-2023.pdf</w:t>
              </w:r>
            </w:hyperlink>
            <w:r w:rsidRPr="00C76F48">
              <w:rPr>
                <w:rFonts w:ascii="Verdana" w:hAnsi="Verdana" w:cs="Arial"/>
              </w:rPr>
              <w:t xml:space="preserve"> </w:t>
            </w:r>
          </w:p>
          <w:p w14:paraId="031E03AD" w14:textId="77777777" w:rsidR="00727FFB" w:rsidRPr="00C76F48" w:rsidRDefault="00727FFB" w:rsidP="00727FFB">
            <w:pPr>
              <w:numPr>
                <w:ilvl w:val="0"/>
                <w:numId w:val="32"/>
              </w:numPr>
              <w:spacing w:after="120" w:line="276" w:lineRule="auto"/>
              <w:ind w:left="318" w:hanging="284"/>
              <w:contextualSpacing/>
              <w:jc w:val="both"/>
              <w:rPr>
                <w:rFonts w:ascii="Verdana" w:hAnsi="Verdana" w:cs="Arial"/>
                <w:sz w:val="24"/>
                <w:lang w:val="es-ES"/>
              </w:rPr>
            </w:pPr>
            <w:r w:rsidRPr="00C76F48">
              <w:rPr>
                <w:rFonts w:ascii="Verdana" w:hAnsi="Verdana" w:cs="Arial"/>
              </w:rPr>
              <w:lastRenderedPageBreak/>
              <w:t xml:space="preserve">Consejo de Estado. Sección Tercera. Subsección A. Sentencia del 12 de febrero de 2014. </w:t>
            </w:r>
            <w:proofErr w:type="spellStart"/>
            <w:r w:rsidRPr="00C76F48">
              <w:rPr>
                <w:rFonts w:ascii="Verdana" w:hAnsi="Verdana" w:cs="Arial"/>
              </w:rPr>
              <w:t>Exp</w:t>
            </w:r>
            <w:proofErr w:type="spellEnd"/>
            <w:r w:rsidRPr="00C76F48">
              <w:rPr>
                <w:rFonts w:ascii="Verdana" w:hAnsi="Verdana" w:cs="Arial"/>
              </w:rPr>
              <w:t>. 31.753. C.P. Mauricio Fajardo Gómez:</w:t>
            </w:r>
          </w:p>
        </w:tc>
      </w:tr>
    </w:tbl>
    <w:p w14:paraId="0BAB9CB3" w14:textId="77777777" w:rsidR="00727FFB" w:rsidRPr="00C76F48" w:rsidRDefault="00727FFB" w:rsidP="00727FFB">
      <w:pPr>
        <w:widowControl w:val="0"/>
        <w:autoSpaceDE w:val="0"/>
        <w:autoSpaceDN w:val="0"/>
        <w:spacing w:after="0" w:line="276" w:lineRule="auto"/>
        <w:jc w:val="both"/>
        <w:rPr>
          <w:rFonts w:ascii="Verdana" w:hAnsi="Verdana" w:cs="Arial"/>
        </w:rPr>
      </w:pPr>
    </w:p>
    <w:p w14:paraId="51A744EF" w14:textId="77777777" w:rsidR="00727FFB" w:rsidRPr="00C76F48" w:rsidRDefault="00727FFB" w:rsidP="00727FFB">
      <w:pPr>
        <w:numPr>
          <w:ilvl w:val="0"/>
          <w:numId w:val="1"/>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Doctrina de la Agencia Nacional de Contratación Pública:</w:t>
      </w:r>
    </w:p>
    <w:p w14:paraId="190C70B9" w14:textId="77777777" w:rsidR="00727FFB" w:rsidRPr="00C76F48" w:rsidRDefault="00727FFB" w:rsidP="00727FFB">
      <w:pPr>
        <w:widowControl w:val="0"/>
        <w:autoSpaceDE w:val="0"/>
        <w:autoSpaceDN w:val="0"/>
        <w:spacing w:after="0" w:line="276" w:lineRule="auto"/>
        <w:jc w:val="both"/>
        <w:rPr>
          <w:rFonts w:ascii="Verdana" w:hAnsi="Verdana" w:cs="Arial"/>
        </w:rPr>
      </w:pPr>
    </w:p>
    <w:p w14:paraId="0D4D3244" w14:textId="77777777" w:rsidR="00727FFB" w:rsidRPr="00C76F48" w:rsidRDefault="00727FFB" w:rsidP="00727FFB">
      <w:pPr>
        <w:widowControl w:val="0"/>
        <w:autoSpaceDE w:val="0"/>
        <w:autoSpaceDN w:val="0"/>
        <w:spacing w:after="0" w:line="276" w:lineRule="auto"/>
        <w:jc w:val="both"/>
        <w:rPr>
          <w:rFonts w:ascii="Verdana" w:eastAsia="Aptos" w:hAnsi="Verdana" w:cs="Segoe UI"/>
          <w:kern w:val="2"/>
          <w14:ligatures w14:val="standardContextual"/>
        </w:rPr>
      </w:pPr>
      <w:r w:rsidRPr="00C76F48">
        <w:rPr>
          <w:rFonts w:ascii="Verdana" w:hAnsi="Verdana" w:cs="Arial"/>
          <w:lang w:val="es-ES"/>
        </w:rPr>
        <w:t>Sobre la experiencia como requisito habilitante en la contratación pública, se pronunció  esta Subdirección en los Conceptos, C-007 del 13 de febrero de 2025, C- 1002 del 30 de enero de 2025, C-662 del 29 de enero de 2025, C-1013 del 31 de diciembre de 2024, C-879 del 29 de diciembre de 2024, C-732 del 12 de noviembre de 2024, C-204 del 29 de julio de 2024, C-223 del 29 de julio de 2024,C- 277 del 16 de julio, C-246 del 16 de julio de 2024, C-278 de 31 de julio de 2024 ,</w:t>
      </w:r>
      <w:r w:rsidRPr="00C76F48">
        <w:rPr>
          <w:rFonts w:ascii="Verdana" w:eastAsia="Aptos" w:hAnsi="Verdana" w:cs="Segoe UI"/>
          <w:kern w:val="2"/>
          <w14:ligatures w14:val="standardContextual"/>
        </w:rPr>
        <w:t xml:space="preserve">C-088 del 13 de julio de 2024 </w:t>
      </w:r>
      <w:r w:rsidRPr="00C76F48">
        <w:rPr>
          <w:rFonts w:ascii="Verdana" w:hAnsi="Verdana" w:cs="Arial"/>
          <w:lang w:val="es-ES"/>
        </w:rPr>
        <w:t xml:space="preserve"> del 2024, C-120 de 11 del junio de 2024, C-139 de 31 mayo del  2024, C-032 de abril de 2024, C- 450 del 3 de noviembre de 2023, C-432 del 23 de octubre de 2023, C-167 del 5 de junio de 2023, C- 124 del 12 de mayo de 2023, C-779 del 16 de noviembre de 2022, C 447 del 19 de julio de 2022</w:t>
      </w:r>
      <w:r w:rsidRPr="00C76F48">
        <w:rPr>
          <w:rFonts w:ascii="Verdana" w:eastAsia="Aptos" w:hAnsi="Verdana" w:cs="Segoe UI"/>
          <w:kern w:val="2"/>
          <w14:ligatures w14:val="standardContextual"/>
        </w:rPr>
        <w:t>, C-456 del 15 de julio de 2022,</w:t>
      </w:r>
      <w:r w:rsidRPr="00C76F48">
        <w:rPr>
          <w:rFonts w:ascii="Verdana" w:hAnsi="Verdana" w:cs="Arial"/>
          <w:lang w:val="es-ES"/>
        </w:rPr>
        <w:t xml:space="preserve"> C-374 del 8 de junio de 2022, </w:t>
      </w:r>
      <w:r w:rsidRPr="00C76F48">
        <w:rPr>
          <w:rFonts w:ascii="Verdana" w:eastAsia="Aptos" w:hAnsi="Verdana" w:cs="Segoe UI"/>
          <w:kern w:val="2"/>
          <w14:ligatures w14:val="standardContextual"/>
        </w:rPr>
        <w:t xml:space="preserve">C-324 del 20 mayo de 2022, C-239 del 26 de abril de 2022, </w:t>
      </w:r>
      <w:r w:rsidRPr="00C76F48">
        <w:rPr>
          <w:rFonts w:ascii="Verdana" w:hAnsi="Verdana" w:cs="Arial"/>
          <w:lang w:val="es-ES"/>
        </w:rPr>
        <w:t xml:space="preserve">C-142 del 30 de marzo de 2022, </w:t>
      </w:r>
      <w:r w:rsidRPr="00C76F48">
        <w:rPr>
          <w:rFonts w:ascii="Verdana" w:eastAsia="Aptos" w:hAnsi="Verdana" w:cs="Segoe UI"/>
          <w:kern w:val="2"/>
          <w14:ligatures w14:val="standardContextual"/>
        </w:rPr>
        <w:t>C-144 del 28 de marzo de 2022, C-034 del 2 de marzo de 2022,</w:t>
      </w:r>
      <w:r w:rsidRPr="00C76F48">
        <w:rPr>
          <w:rFonts w:ascii="Verdana" w:hAnsi="Verdana" w:cs="Arial"/>
          <w:lang w:val="es-ES"/>
        </w:rPr>
        <w:t xml:space="preserve"> </w:t>
      </w:r>
      <w:r w:rsidRPr="00C76F48">
        <w:rPr>
          <w:rFonts w:ascii="Verdana" w:eastAsia="Aptos" w:hAnsi="Verdana" w:cs="Segoe UI"/>
          <w:kern w:val="2"/>
          <w14:ligatures w14:val="standardContextual"/>
        </w:rPr>
        <w:t>C-539 del 27 de septiembre de 2021, C-429 del 17 de agosto de 2021, C-415 del 10 de agosto de 2021, C-493 de 2025 entre otros.</w:t>
      </w:r>
      <w:r w:rsidRPr="00C76F48">
        <w:rPr>
          <w:rFonts w:ascii="Verdana" w:eastAsia="Aptos" w:hAnsi="Verdana" w:cs="Arial"/>
          <w:shd w:val="clear" w:color="auto" w:fill="FFFFFF"/>
        </w:rPr>
        <w:t xml:space="preserve"> </w:t>
      </w:r>
      <w:r w:rsidRPr="00C76F48">
        <w:rPr>
          <w:rFonts w:ascii="Verdana" w:hAnsi="Verdana" w:cs="Arial"/>
          <w:shd w:val="clear" w:color="auto" w:fill="FFFFFF"/>
        </w:rPr>
        <w:t>Es</w:t>
      </w:r>
      <w:r w:rsidRPr="00C76F48">
        <w:rPr>
          <w:rFonts w:ascii="Verdana" w:hAnsi="Verdana"/>
        </w:rPr>
        <w:t>te y otros conceptos se encuentran disponibles para consulta en el Sistema de relatoría de la Agencia, al cual se puede acceder a través del siguiente enlace:</w:t>
      </w:r>
      <w:r w:rsidRPr="00C76F48">
        <w:rPr>
          <w:rFonts w:ascii="Verdana" w:hAnsi="Verdana" w:cs="Arial"/>
          <w:shd w:val="clear" w:color="auto" w:fill="FFFFFF"/>
        </w:rPr>
        <w:t xml:space="preserve"> </w:t>
      </w:r>
      <w:hyperlink r:id="rId14" w:history="1">
        <w:r w:rsidRPr="00C76F48">
          <w:rPr>
            <w:rFonts w:ascii="Verdana" w:hAnsi="Verdana" w:cs="Arial"/>
            <w:color w:val="0000FF"/>
            <w:u w:val="single"/>
            <w:shd w:val="clear" w:color="auto" w:fill="FFFFFF"/>
          </w:rPr>
          <w:t>https://relatoria.colombiacompra.gov.co/</w:t>
        </w:r>
      </w:hyperlink>
      <w:r w:rsidRPr="00C76F48">
        <w:rPr>
          <w:rFonts w:ascii="Verdana" w:hAnsi="Verdana" w:cs="Arial"/>
          <w:shd w:val="clear" w:color="auto" w:fill="FFFFFF"/>
        </w:rPr>
        <w:t xml:space="preserve"> </w:t>
      </w:r>
    </w:p>
    <w:p w14:paraId="658E1200" w14:textId="77777777" w:rsidR="00727FFB" w:rsidRPr="00C76F48" w:rsidRDefault="00727FFB" w:rsidP="00727FFB">
      <w:pPr>
        <w:widowControl w:val="0"/>
        <w:autoSpaceDE w:val="0"/>
        <w:autoSpaceDN w:val="0"/>
        <w:spacing w:after="0" w:line="276" w:lineRule="auto"/>
        <w:jc w:val="both"/>
        <w:rPr>
          <w:rFonts w:ascii="Verdana" w:hAnsi="Verdana" w:cs="Arial"/>
          <w:shd w:val="clear" w:color="auto" w:fill="FFFFFF"/>
        </w:rPr>
      </w:pPr>
    </w:p>
    <w:p w14:paraId="165565CA" w14:textId="77777777" w:rsidR="00727FFB" w:rsidRPr="00C76F48" w:rsidRDefault="00727FFB" w:rsidP="00727FFB">
      <w:pPr>
        <w:jc w:val="both"/>
        <w:rPr>
          <w:rFonts w:ascii="Verdana" w:hAnsi="Verdana"/>
        </w:rPr>
      </w:pPr>
      <w:r w:rsidRPr="00C76F48">
        <w:rPr>
          <w:rFonts w:ascii="Verdana" w:hAnsi="Verdana"/>
        </w:rPr>
        <w:t xml:space="preserve">La sostenibilidad no es una opción, es una obligación. Por ello, la Agencia Nacional de Contratación Pública –Colombia Compra Eficiente– te invita a realizar el </w:t>
      </w:r>
      <w:r w:rsidRPr="00C76F48">
        <w:rPr>
          <w:rFonts w:ascii="Verdana" w:hAnsi="Verdana"/>
          <w:b/>
          <w:bCs/>
        </w:rPr>
        <w:t>Curso de Contratación Pública Sostenible y Socialmente Responsable</w:t>
      </w:r>
      <w:r w:rsidRPr="00C76F4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76F48">
        <w:rPr>
          <w:rFonts w:ascii="Verdana" w:hAnsi="Verdana"/>
        </w:rPr>
        <w:br/>
      </w:r>
      <w:hyperlink r:id="rId15" w:tgtFrame="_new" w:history="1">
        <w:r w:rsidRPr="00C76F48">
          <w:rPr>
            <w:rFonts w:ascii="Verdana" w:hAnsi="Verdana"/>
            <w:color w:val="0000FF"/>
            <w:u w:val="single"/>
          </w:rPr>
          <w:t>https://formacionvirtual.colombiacompra.gov.co/mod/page/view.php?id=3718</w:t>
        </w:r>
      </w:hyperlink>
    </w:p>
    <w:p w14:paraId="652EBD6A" w14:textId="77777777" w:rsidR="00727FFB" w:rsidRPr="00C76F48" w:rsidRDefault="00727FFB" w:rsidP="00727FFB">
      <w:pPr>
        <w:jc w:val="both"/>
        <w:rPr>
          <w:rFonts w:ascii="Verdana" w:hAnsi="Verdana"/>
        </w:rPr>
      </w:pPr>
      <w:r w:rsidRPr="00C76F48">
        <w:rPr>
          <w:rFonts w:ascii="Verdana" w:hAnsi="Verdana"/>
        </w:rPr>
        <w:t xml:space="preserve">De otro lado, te contamos que esta Agencia ha da un paso decisivo en la estandarización y modernización del </w:t>
      </w:r>
      <w:r w:rsidRPr="00C76F48">
        <w:rPr>
          <w:rFonts w:ascii="Verdana" w:hAnsi="Verdana"/>
          <w:b/>
          <w:bCs/>
        </w:rPr>
        <w:t>sector  social</w:t>
      </w:r>
      <w:r w:rsidRPr="00C76F48">
        <w:rPr>
          <w:rFonts w:ascii="Verdana" w:hAnsi="Verdana"/>
        </w:rPr>
        <w:t xml:space="preserve"> con la expedición de las </w:t>
      </w:r>
      <w:r w:rsidRPr="00C76F48">
        <w:rPr>
          <w:rFonts w:ascii="Verdana" w:hAnsi="Verdana"/>
          <w:b/>
          <w:bCs/>
        </w:rPr>
        <w:t>Resoluciones 539, 540, 541, 952 y 953 de 2025</w:t>
      </w:r>
      <w:r w:rsidRPr="00C76F48">
        <w:rPr>
          <w:rFonts w:ascii="Verdana" w:hAnsi="Verdana"/>
        </w:rPr>
        <w:t xml:space="preserve">, </w:t>
      </w:r>
      <w:r w:rsidRPr="00C76F48">
        <w:rPr>
          <w:rFonts w:ascii="Verdana" w:hAnsi="Verdana"/>
          <w:b/>
          <w:bCs/>
        </w:rPr>
        <w:t>mediante las cuales adoptó Documentos Tipo</w:t>
      </w:r>
      <w:r w:rsidRPr="00C76F48">
        <w:rPr>
          <w:rFonts w:ascii="Verdana" w:hAnsi="Verdana"/>
        </w:rPr>
        <w:t xml:space="preserve"> para las modalidades de selección de</w:t>
      </w:r>
      <w:r w:rsidRPr="00C76F48">
        <w:rPr>
          <w:rFonts w:ascii="Verdana" w:hAnsi="Verdana"/>
          <w:b/>
          <w:bCs/>
        </w:rPr>
        <w:t xml:space="preserve"> licitación </w:t>
      </w:r>
      <w:r w:rsidRPr="00C76F48">
        <w:rPr>
          <w:rFonts w:ascii="Verdana" w:hAnsi="Verdana"/>
          <w:b/>
          <w:bCs/>
        </w:rPr>
        <w:lastRenderedPageBreak/>
        <w:t>pública (versión 2), selección abreviada de menor cuantía, mínima cuantía, consultoría e interventoría</w:t>
      </w:r>
      <w:r w:rsidRPr="00C76F4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76F48">
          <w:rPr>
            <w:rFonts w:ascii="Verdana" w:hAnsi="Verdana"/>
            <w:color w:val="0000FF"/>
            <w:u w:val="single"/>
          </w:rPr>
          <w:t>https://www.colombiacompra.gov.co/normativa-y-relatoria/documentos-tipo</w:t>
        </w:r>
      </w:hyperlink>
    </w:p>
    <w:p w14:paraId="4D256CD7" w14:textId="77777777" w:rsidR="00727FFB" w:rsidRPr="00C76F48" w:rsidRDefault="00727FFB" w:rsidP="00727FFB">
      <w:pPr>
        <w:jc w:val="both"/>
        <w:rPr>
          <w:rFonts w:ascii="Verdana" w:hAnsi="Verdana"/>
          <w:color w:val="000000"/>
          <w:lang w:val="es-ES_tradnl"/>
        </w:rPr>
      </w:pPr>
      <w:r w:rsidRPr="00C76F48">
        <w:rPr>
          <w:rFonts w:ascii="Verdana" w:hAnsi="Verdana"/>
        </w:rPr>
        <w:t xml:space="preserve">Si quieres conocer más sobre la aplicación de Documentos Tipo puedes consultar la última versión de la </w:t>
      </w:r>
      <w:r w:rsidRPr="00C76F48">
        <w:rPr>
          <w:rFonts w:ascii="Verdana" w:hAnsi="Verdana"/>
          <w:b/>
          <w:bCs/>
        </w:rPr>
        <w:t>Guía para la comprensión e implementación de los Documentos Tipo de obra pública de infraestructura de transporte</w:t>
      </w:r>
      <w:r w:rsidRPr="00C76F4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76F48">
        <w:rPr>
          <w:rFonts w:ascii="Verdana" w:hAnsi="Verdana"/>
        </w:rPr>
        <w:br/>
      </w:r>
      <w:hyperlink r:id="rId17" w:tgtFrame="_new" w:history="1">
        <w:r w:rsidRPr="00C76F4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FCD4C13" w14:textId="77777777" w:rsidR="00727FFB" w:rsidRPr="00C76F48" w:rsidRDefault="00727FFB" w:rsidP="00727FFB">
      <w:pPr>
        <w:shd w:val="clear" w:color="auto" w:fill="FFFFFF"/>
        <w:spacing w:after="0" w:line="276" w:lineRule="auto"/>
        <w:jc w:val="both"/>
        <w:rPr>
          <w:rFonts w:ascii="Verdana" w:hAnsi="Verdana"/>
          <w:color w:val="467886"/>
          <w:u w:val="single"/>
        </w:rPr>
      </w:pPr>
      <w:r w:rsidRPr="00C76F4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1EC31D1" w14:textId="77777777" w:rsidR="00727FFB" w:rsidRPr="00C76F48" w:rsidRDefault="00727FFB" w:rsidP="00727FFB">
      <w:pPr>
        <w:spacing w:after="0"/>
        <w:jc w:val="both"/>
        <w:rPr>
          <w:rFonts w:ascii="Verdana" w:hAnsi="Verdana"/>
        </w:rPr>
      </w:pPr>
    </w:p>
    <w:p w14:paraId="0D40129E" w14:textId="77777777" w:rsidR="00727FFB" w:rsidRPr="00C76F48" w:rsidRDefault="00727FFB" w:rsidP="00727FFB">
      <w:pPr>
        <w:numPr>
          <w:ilvl w:val="0"/>
          <w:numId w:val="34"/>
        </w:numPr>
        <w:spacing w:after="0" w:line="240" w:lineRule="auto"/>
        <w:contextualSpacing/>
        <w:jc w:val="both"/>
        <w:rPr>
          <w:rFonts w:ascii="Verdana" w:eastAsia="Verdana" w:hAnsi="Verdana" w:cs="Verdana"/>
          <w:color w:val="4472C4" w:themeColor="accent1"/>
          <w:u w:val="single"/>
          <w:lang w:val="es-MX"/>
        </w:rPr>
      </w:pPr>
      <w:r w:rsidRPr="00C76F48">
        <w:rPr>
          <w:rFonts w:ascii="Verdana" w:eastAsia="Verdana" w:hAnsi="Verdana" w:cs="Verdana"/>
          <w:lang w:val="es-MX"/>
        </w:rPr>
        <w:t xml:space="preserve">Línea nacional gratuita o servicio a la ciudadanía (Mesa de servicio): </w:t>
      </w:r>
      <w:r w:rsidRPr="00C76F48">
        <w:rPr>
          <w:rFonts w:ascii="Verdana" w:hAnsi="Verdana"/>
          <w:color w:val="0000FF"/>
          <w:u w:val="single"/>
          <w:lang w:val="es-ES"/>
        </w:rPr>
        <w:t>01800 0520808</w:t>
      </w:r>
    </w:p>
    <w:p w14:paraId="6E16FC41" w14:textId="77777777" w:rsidR="00727FFB" w:rsidRPr="00C76F48" w:rsidRDefault="00727FFB" w:rsidP="00727FFB">
      <w:pPr>
        <w:numPr>
          <w:ilvl w:val="0"/>
          <w:numId w:val="34"/>
        </w:numPr>
        <w:spacing w:after="0"/>
        <w:contextualSpacing/>
        <w:rPr>
          <w:rFonts w:ascii="Verdana" w:eastAsia="Verdana" w:hAnsi="Verdana" w:cs="Verdana"/>
          <w:color w:val="4472C4" w:themeColor="accent1"/>
          <w:u w:val="single"/>
          <w:lang w:val="es-MX"/>
        </w:rPr>
      </w:pPr>
      <w:r w:rsidRPr="00C76F48">
        <w:rPr>
          <w:rFonts w:ascii="Verdana" w:eastAsia="Verdana" w:hAnsi="Verdana" w:cs="Verdana"/>
          <w:lang w:val="es-MX"/>
        </w:rPr>
        <w:t>Línea en Bogotá (Mesa de servicio):</w:t>
      </w:r>
      <w:r w:rsidRPr="00C76F48">
        <w:rPr>
          <w:rFonts w:ascii="Verdana" w:hAnsi="Verdana"/>
          <w:color w:val="0000FF"/>
          <w:u w:val="single"/>
          <w:lang w:val="es-ES"/>
        </w:rPr>
        <w:t>+57 601 7456788</w:t>
      </w:r>
    </w:p>
    <w:p w14:paraId="02D8470C" w14:textId="77777777" w:rsidR="00727FFB" w:rsidRPr="00C76F48" w:rsidRDefault="00727FFB" w:rsidP="00727FFB">
      <w:pPr>
        <w:numPr>
          <w:ilvl w:val="0"/>
          <w:numId w:val="34"/>
        </w:numPr>
        <w:spacing w:after="0"/>
        <w:contextualSpacing/>
        <w:rPr>
          <w:rFonts w:ascii="Verdana" w:eastAsia="Verdana" w:hAnsi="Verdana" w:cs="Verdana"/>
          <w:color w:val="0000FF"/>
          <w:u w:val="single"/>
          <w:lang w:val="es-MX"/>
        </w:rPr>
      </w:pPr>
      <w:r w:rsidRPr="00C76F48">
        <w:rPr>
          <w:rFonts w:ascii="Verdana" w:eastAsia="Verdana" w:hAnsi="Verdana" w:cs="Verdana"/>
          <w:lang w:val="es-MX"/>
        </w:rPr>
        <w:t xml:space="preserve">Correo de radicación de correspondencia: </w:t>
      </w:r>
      <w:hyperlink r:id="rId18" w:history="1">
        <w:r w:rsidRPr="00C76F48">
          <w:rPr>
            <w:rFonts w:ascii="Verdana" w:eastAsia="Verdana" w:hAnsi="Verdana" w:cs="Verdana"/>
            <w:color w:val="0000FF"/>
            <w:u w:val="single"/>
            <w:lang w:val="es-MX"/>
          </w:rPr>
          <w:t>ventanilladeradicacion@colombiacompra.gov.co</w:t>
        </w:r>
      </w:hyperlink>
    </w:p>
    <w:p w14:paraId="3E2A4D88" w14:textId="77777777" w:rsidR="00727FFB" w:rsidRPr="00C76F48" w:rsidRDefault="00727FFB" w:rsidP="00727FFB">
      <w:pPr>
        <w:numPr>
          <w:ilvl w:val="0"/>
          <w:numId w:val="34"/>
        </w:numPr>
        <w:spacing w:after="0"/>
        <w:contextualSpacing/>
        <w:rPr>
          <w:rFonts w:ascii="Verdana" w:eastAsia="Verdana" w:hAnsi="Verdana" w:cs="Verdana"/>
          <w:color w:val="0000FF"/>
          <w:u w:val="single"/>
          <w:lang w:val="es-MX"/>
        </w:rPr>
      </w:pPr>
      <w:r w:rsidRPr="00C76F48">
        <w:rPr>
          <w:rFonts w:ascii="Verdana" w:eastAsia="Verdana" w:hAnsi="Verdana" w:cs="Verdana"/>
          <w:lang w:val="es-ES"/>
        </w:rPr>
        <w:t xml:space="preserve">Formulario web para PQRSD: </w:t>
      </w:r>
      <w:hyperlink r:id="rId19" w:history="1">
        <w:r w:rsidRPr="00C76F48">
          <w:rPr>
            <w:rFonts w:ascii="Verdana" w:eastAsia="Verdana" w:hAnsi="Verdana" w:cs="Verdana"/>
            <w:color w:val="0000FF"/>
            <w:u w:val="single"/>
            <w:lang w:val="es-MX"/>
          </w:rPr>
          <w:t>https://www.colombiacompra.gov.co/pqrsd/informacion-importante-antes-de-formular-una-pqrsd</w:t>
        </w:r>
      </w:hyperlink>
    </w:p>
    <w:p w14:paraId="77ED40C2" w14:textId="77777777" w:rsidR="00727FFB" w:rsidRPr="00C76F48" w:rsidRDefault="00727FFB" w:rsidP="00727FFB">
      <w:pPr>
        <w:spacing w:after="0" w:line="240" w:lineRule="auto"/>
        <w:ind w:left="720"/>
        <w:jc w:val="both"/>
        <w:rPr>
          <w:rFonts w:ascii="Verdana" w:hAnsi="Verdana"/>
        </w:rPr>
      </w:pPr>
    </w:p>
    <w:p w14:paraId="63DA47F6" w14:textId="77777777" w:rsidR="00727FFB" w:rsidRPr="00C76F48" w:rsidRDefault="00727FFB" w:rsidP="00727FFB">
      <w:pPr>
        <w:spacing w:after="0" w:line="276" w:lineRule="auto"/>
        <w:jc w:val="both"/>
        <w:rPr>
          <w:rFonts w:ascii="Verdana" w:hAnsi="Verdana"/>
        </w:rPr>
      </w:pPr>
      <w:r w:rsidRPr="00C76F48">
        <w:rPr>
          <w:rFonts w:ascii="Verdana" w:hAnsi="Verdana"/>
        </w:rPr>
        <w:t xml:space="preserve">Evalúa el servicio que ofrece la Agencia por el canal de atención de PQRSD en el siguiente enlace: </w:t>
      </w:r>
      <w:hyperlink r:id="rId20" w:history="1">
        <w:r w:rsidRPr="00C76F48">
          <w:rPr>
            <w:rFonts w:ascii="Verdana" w:hAnsi="Verdana"/>
            <w:color w:val="0000FF"/>
            <w:u w:val="single"/>
          </w:rPr>
          <w:t>https://forms.office.com/r/pPHyWVs2SZ</w:t>
        </w:r>
      </w:hyperlink>
      <w:r w:rsidRPr="00C76F48">
        <w:rPr>
          <w:rFonts w:ascii="Verdana" w:hAnsi="Verdana"/>
        </w:rPr>
        <w:t xml:space="preserve"> .¡Ayúdanos a mejorar porque el compromiso es de todos!</w:t>
      </w:r>
    </w:p>
    <w:p w14:paraId="4807A160" w14:textId="77777777" w:rsidR="00727FFB" w:rsidRPr="00C76F48" w:rsidRDefault="00727FFB" w:rsidP="00727FFB">
      <w:pPr>
        <w:spacing w:after="0" w:line="240" w:lineRule="auto"/>
        <w:rPr>
          <w:rFonts w:ascii="Verdana" w:hAnsi="Verdana"/>
        </w:rPr>
      </w:pPr>
    </w:p>
    <w:p w14:paraId="67C6C720" w14:textId="77777777" w:rsidR="00727FFB" w:rsidRPr="00C76F48" w:rsidRDefault="00727FFB" w:rsidP="00727FFB">
      <w:pPr>
        <w:spacing w:after="0" w:line="240" w:lineRule="auto"/>
        <w:jc w:val="both"/>
        <w:rPr>
          <w:rFonts w:ascii="Verdana" w:hAnsi="Verdana"/>
        </w:rPr>
      </w:pPr>
      <w:r w:rsidRPr="00C76F48">
        <w:rPr>
          <w:rFonts w:ascii="Verdana" w:hAnsi="Verdana"/>
        </w:rPr>
        <w:t xml:space="preserve">Por último, lo invitamos a seguirnos en las redes sociales en las cuales se difunde información institucional: </w:t>
      </w:r>
    </w:p>
    <w:p w14:paraId="4FD1FC01" w14:textId="77777777" w:rsidR="00727FFB" w:rsidRPr="00C76F48" w:rsidRDefault="00727FFB" w:rsidP="00727FFB">
      <w:pPr>
        <w:spacing w:after="0" w:line="240" w:lineRule="auto"/>
        <w:jc w:val="both"/>
        <w:rPr>
          <w:rFonts w:ascii="Verdana" w:hAnsi="Verdana"/>
        </w:rPr>
      </w:pPr>
    </w:p>
    <w:p w14:paraId="45BD82FC" w14:textId="77777777" w:rsidR="00727FFB" w:rsidRPr="00C76F48" w:rsidRDefault="00727FFB" w:rsidP="00727FFB">
      <w:pPr>
        <w:spacing w:after="0" w:line="240" w:lineRule="auto"/>
        <w:jc w:val="both"/>
        <w:rPr>
          <w:rFonts w:ascii="Verdana" w:hAnsi="Verdana"/>
        </w:rPr>
      </w:pPr>
      <w:r w:rsidRPr="00C76F48">
        <w:rPr>
          <w:rFonts w:ascii="Verdana" w:hAnsi="Verdana"/>
        </w:rPr>
        <w:t xml:space="preserve">Twitter: </w:t>
      </w:r>
      <w:r w:rsidRPr="00C76F48">
        <w:rPr>
          <w:rFonts w:ascii="Verdana" w:hAnsi="Verdana"/>
          <w:color w:val="0000FF"/>
          <w:u w:val="single"/>
        </w:rPr>
        <w:t>@colombiacompra</w:t>
      </w:r>
      <w:r w:rsidRPr="00C76F48">
        <w:rPr>
          <w:rFonts w:ascii="Verdana" w:hAnsi="Verdana"/>
        </w:rPr>
        <w:t xml:space="preserve"> </w:t>
      </w:r>
    </w:p>
    <w:p w14:paraId="1256E879" w14:textId="77777777" w:rsidR="00727FFB" w:rsidRPr="00C76F48" w:rsidRDefault="00727FFB" w:rsidP="00727FFB">
      <w:pPr>
        <w:spacing w:after="0" w:line="240" w:lineRule="auto"/>
        <w:jc w:val="both"/>
        <w:rPr>
          <w:rFonts w:ascii="Verdana" w:hAnsi="Verdana"/>
        </w:rPr>
      </w:pPr>
      <w:r w:rsidRPr="00C76F48">
        <w:rPr>
          <w:rFonts w:ascii="Verdana" w:hAnsi="Verdana"/>
        </w:rPr>
        <w:t xml:space="preserve">Facebook: </w:t>
      </w:r>
      <w:proofErr w:type="spellStart"/>
      <w:r w:rsidRPr="00C76F48">
        <w:rPr>
          <w:rFonts w:ascii="Verdana" w:hAnsi="Verdana"/>
          <w:color w:val="0000FF"/>
          <w:u w:val="single"/>
        </w:rPr>
        <w:t>ColombiaCompraEficiente</w:t>
      </w:r>
      <w:proofErr w:type="spellEnd"/>
    </w:p>
    <w:p w14:paraId="2B212527" w14:textId="77777777" w:rsidR="00727FFB" w:rsidRPr="00C76F48" w:rsidRDefault="00727FFB" w:rsidP="00727FFB">
      <w:pPr>
        <w:spacing w:after="0" w:line="240" w:lineRule="auto"/>
        <w:jc w:val="both"/>
        <w:rPr>
          <w:rFonts w:ascii="Verdana" w:hAnsi="Verdana"/>
        </w:rPr>
      </w:pPr>
      <w:r w:rsidRPr="00C76F48">
        <w:rPr>
          <w:rFonts w:ascii="Verdana" w:hAnsi="Verdana"/>
        </w:rPr>
        <w:t xml:space="preserve">LinkedIn: </w:t>
      </w:r>
      <w:r w:rsidRPr="00C76F48">
        <w:rPr>
          <w:rFonts w:ascii="Verdana" w:hAnsi="Verdana"/>
          <w:color w:val="0000FF"/>
          <w:u w:val="single"/>
        </w:rPr>
        <w:t>Agencia Nacional de Contratación Pública - Colombia Compra Eficiente</w:t>
      </w:r>
      <w:r w:rsidRPr="00C76F48">
        <w:rPr>
          <w:rFonts w:ascii="Verdana" w:hAnsi="Verdana"/>
        </w:rPr>
        <w:t xml:space="preserve"> Instagram: </w:t>
      </w:r>
      <w:r w:rsidRPr="00C76F48">
        <w:rPr>
          <w:rFonts w:ascii="Verdana" w:hAnsi="Verdana"/>
          <w:color w:val="0000FF"/>
          <w:u w:val="single"/>
        </w:rPr>
        <w:t>@colombiacompraeficiente_cce</w:t>
      </w:r>
    </w:p>
    <w:p w14:paraId="319B0FAD" w14:textId="77777777" w:rsidR="00727FFB" w:rsidRPr="00C76F48" w:rsidRDefault="00727FFB" w:rsidP="00727FFB">
      <w:pPr>
        <w:spacing w:after="0" w:line="240" w:lineRule="auto"/>
        <w:jc w:val="both"/>
        <w:rPr>
          <w:rFonts w:ascii="Verdana" w:hAnsi="Verdana"/>
        </w:rPr>
      </w:pPr>
    </w:p>
    <w:p w14:paraId="24B536C4" w14:textId="77777777" w:rsidR="00727FFB" w:rsidRPr="00C76F48" w:rsidRDefault="00727FFB" w:rsidP="00727FFB">
      <w:pPr>
        <w:widowControl w:val="0"/>
        <w:autoSpaceDE w:val="0"/>
        <w:autoSpaceDN w:val="0"/>
        <w:spacing w:after="0" w:line="276" w:lineRule="auto"/>
        <w:jc w:val="both"/>
        <w:rPr>
          <w:rFonts w:ascii="Verdana" w:hAnsi="Verdana" w:cs="Arial"/>
        </w:rPr>
      </w:pPr>
      <w:r w:rsidRPr="00C76F48">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702CBA7" w14:textId="77777777" w:rsidR="00727FFB" w:rsidRPr="00C76F48" w:rsidRDefault="00727FFB" w:rsidP="00727FFB">
      <w:pPr>
        <w:widowControl w:val="0"/>
        <w:autoSpaceDE w:val="0"/>
        <w:autoSpaceDN w:val="0"/>
        <w:spacing w:after="0" w:line="276" w:lineRule="auto"/>
        <w:jc w:val="both"/>
        <w:rPr>
          <w:rFonts w:ascii="Verdana" w:hAnsi="Verdana" w:cs="Arial"/>
        </w:rPr>
      </w:pPr>
    </w:p>
    <w:p w14:paraId="214BA654" w14:textId="77777777" w:rsidR="00727FFB" w:rsidRPr="00C76F48" w:rsidRDefault="00727FFB" w:rsidP="00727FFB">
      <w:pPr>
        <w:spacing w:after="0" w:line="276" w:lineRule="auto"/>
        <w:rPr>
          <w:rFonts w:ascii="Verdana" w:hAnsi="Verdana" w:cs="Arial"/>
          <w:lang w:eastAsia="es-CO"/>
        </w:rPr>
      </w:pPr>
      <w:r w:rsidRPr="00C76F48">
        <w:rPr>
          <w:rFonts w:ascii="Verdana" w:eastAsia="Times New Roman" w:hAnsi="Verdana" w:cs="Arial"/>
          <w:lang w:eastAsia="es-CO"/>
        </w:rPr>
        <w:t>Atentamente,</w:t>
      </w:r>
      <w:r w:rsidRPr="00C76F48">
        <w:rPr>
          <w:rFonts w:ascii="Verdana" w:hAnsi="Verdana" w:cs="Arial"/>
          <w:lang w:eastAsia="es-CO"/>
        </w:rPr>
        <w:t xml:space="preserve"> </w:t>
      </w:r>
    </w:p>
    <w:p w14:paraId="23F8AD3A" w14:textId="77777777" w:rsidR="00727FFB" w:rsidRDefault="00727FFB" w:rsidP="00727FFB">
      <w:pPr>
        <w:spacing w:after="0" w:line="240" w:lineRule="auto"/>
        <w:jc w:val="both"/>
        <w:textAlignment w:val="baseline"/>
        <w:rPr>
          <w:rFonts w:ascii="Verdana" w:eastAsia="Verdana" w:hAnsi="Verdana" w:cs="Verdana"/>
          <w:lang w:eastAsia="es-CO"/>
        </w:rPr>
      </w:pPr>
    </w:p>
    <w:p w14:paraId="6A58BB05" w14:textId="77777777" w:rsidR="004551DD" w:rsidRDefault="004551DD" w:rsidP="00727FFB">
      <w:pPr>
        <w:spacing w:after="0" w:line="240" w:lineRule="auto"/>
        <w:jc w:val="both"/>
        <w:textAlignment w:val="baseline"/>
        <w:rPr>
          <w:rFonts w:ascii="Verdana" w:eastAsia="Verdana" w:hAnsi="Verdana" w:cs="Verdana"/>
          <w:lang w:eastAsia="es-CO"/>
        </w:rPr>
      </w:pPr>
    </w:p>
    <w:p w14:paraId="206DBD73" w14:textId="77777777" w:rsidR="00B911D4" w:rsidRPr="00F21F0B" w:rsidRDefault="00B911D4" w:rsidP="00B911D4">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58CA8113" wp14:editId="6BC6A398">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B911D4" w:rsidRPr="00F21F0B" w14:paraId="688BF674" w14:textId="77777777" w:rsidTr="00E615C0">
        <w:trPr>
          <w:trHeight w:val="315"/>
        </w:trPr>
        <w:tc>
          <w:tcPr>
            <w:tcW w:w="893" w:type="dxa"/>
            <w:vAlign w:val="center"/>
            <w:hideMark/>
          </w:tcPr>
          <w:p w14:paraId="2D09AD89" w14:textId="77777777" w:rsidR="00B911D4" w:rsidRPr="00F21F0B" w:rsidRDefault="00B911D4"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753228E" w14:textId="77777777" w:rsidR="00B911D4" w:rsidRPr="00F21F0B" w:rsidRDefault="00B911D4" w:rsidP="00E615C0">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7B618DDB" w14:textId="77777777" w:rsidR="00B911D4" w:rsidRPr="00F21F0B" w:rsidRDefault="00B911D4" w:rsidP="00E615C0">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B911D4" w:rsidRPr="00F21F0B" w14:paraId="50998FE6" w14:textId="77777777" w:rsidTr="00E615C0">
        <w:trPr>
          <w:trHeight w:val="330"/>
        </w:trPr>
        <w:tc>
          <w:tcPr>
            <w:tcW w:w="893" w:type="dxa"/>
            <w:vAlign w:val="center"/>
            <w:hideMark/>
          </w:tcPr>
          <w:p w14:paraId="5C7AAF8F" w14:textId="77777777" w:rsidR="00B911D4" w:rsidRPr="00F21F0B" w:rsidRDefault="00B911D4"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ADDE9B" w14:textId="77777777" w:rsidR="00B911D4" w:rsidRPr="00F21F0B" w:rsidRDefault="00B911D4" w:rsidP="00E615C0">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4E41E275" w14:textId="77777777" w:rsidR="00B911D4" w:rsidRPr="00F21F0B" w:rsidRDefault="00B911D4" w:rsidP="00E615C0">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B911D4" w:rsidRPr="00F21F0B" w14:paraId="67A5CDD9" w14:textId="77777777" w:rsidTr="00E615C0">
        <w:trPr>
          <w:trHeight w:val="300"/>
        </w:trPr>
        <w:tc>
          <w:tcPr>
            <w:tcW w:w="893" w:type="dxa"/>
            <w:vAlign w:val="center"/>
            <w:hideMark/>
          </w:tcPr>
          <w:p w14:paraId="2E324BE3" w14:textId="77777777" w:rsidR="00B911D4" w:rsidRPr="00F21F0B" w:rsidRDefault="00B911D4"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961B6E" w14:textId="77777777" w:rsidR="00B911D4" w:rsidRPr="00F21F0B" w:rsidRDefault="00B911D4"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4BA72E3E" w14:textId="77777777" w:rsidR="00B911D4" w:rsidRPr="00F21F0B" w:rsidRDefault="00B911D4"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5ED6E90E" w14:textId="77777777" w:rsidR="00B911D4" w:rsidRPr="00F21F0B" w:rsidRDefault="00B911D4" w:rsidP="00B911D4">
      <w:pPr>
        <w:spacing w:after="0" w:line="240" w:lineRule="auto"/>
        <w:rPr>
          <w:rFonts w:ascii="Verdana" w:eastAsia="Times New Roman" w:hAnsi="Verdana" w:cs="Arial"/>
          <w:sz w:val="24"/>
          <w:szCs w:val="24"/>
          <w:lang w:eastAsia="es-ES"/>
        </w:rPr>
      </w:pPr>
    </w:p>
    <w:p w14:paraId="75B79526" w14:textId="77777777" w:rsidR="00B911D4" w:rsidRPr="00F21F0B" w:rsidRDefault="00B911D4" w:rsidP="00B911D4">
      <w:pPr>
        <w:spacing w:after="0"/>
        <w:rPr>
          <w:rFonts w:ascii="Verdana" w:hAnsi="Verdana"/>
        </w:rPr>
      </w:pPr>
    </w:p>
    <w:p w14:paraId="1EE1D58F" w14:textId="77777777" w:rsidR="00B911D4" w:rsidRPr="00F21F0B" w:rsidRDefault="00B911D4" w:rsidP="00B911D4"/>
    <w:p w14:paraId="7D3B2788" w14:textId="77777777" w:rsidR="004551DD" w:rsidRPr="000E2B93" w:rsidRDefault="004551DD" w:rsidP="00727FFB">
      <w:pPr>
        <w:spacing w:after="0" w:line="240" w:lineRule="auto"/>
        <w:jc w:val="both"/>
        <w:textAlignment w:val="baseline"/>
        <w:rPr>
          <w:rFonts w:ascii="Verdana" w:eastAsia="Verdana" w:hAnsi="Verdana" w:cs="Verdana"/>
          <w:lang w:eastAsia="es-CO"/>
        </w:rPr>
      </w:pPr>
    </w:p>
    <w:bookmarkEnd w:id="1"/>
    <w:p w14:paraId="161A4FE8" w14:textId="0C374883" w:rsidR="00727FFB" w:rsidRPr="000E2B93" w:rsidRDefault="00727FFB" w:rsidP="00727FFB">
      <w:pPr>
        <w:spacing w:after="0" w:line="240" w:lineRule="auto"/>
        <w:textAlignment w:val="baseline"/>
        <w:rPr>
          <w:rFonts w:ascii="Verdana" w:eastAsia="Verdana" w:hAnsi="Verdana" w:cs="Verdana"/>
          <w:lang w:eastAsia="es-CO"/>
        </w:rPr>
      </w:pPr>
    </w:p>
    <w:p w14:paraId="24FB0EE4"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bookmarkEnd w:id="0"/>
    <w:p w14:paraId="46DFEAFB" w14:textId="77777777" w:rsidR="0055353C" w:rsidRDefault="0055353C" w:rsidP="007524C4">
      <w:pPr>
        <w:spacing w:after="0" w:line="240" w:lineRule="auto"/>
        <w:rPr>
          <w:rFonts w:ascii="Verdana" w:eastAsia="Times New Roman" w:hAnsi="Verdana" w:cs="Times New Roman"/>
          <w:b/>
          <w:bCs/>
          <w:color w:val="000000"/>
          <w:lang w:val="es-ES_tradnl" w:eastAsia="es-ES_tradnl"/>
        </w:rPr>
      </w:pPr>
    </w:p>
    <w:sectPr w:rsidR="0055353C" w:rsidSect="00C44B4C">
      <w:headerReference w:type="default" r:id="rId22"/>
      <w:footerReference w:type="default" r:id="rId2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F578B" w14:textId="77777777" w:rsidR="00032967" w:rsidRPr="009B7987" w:rsidRDefault="00032967" w:rsidP="00B30448">
      <w:pPr>
        <w:spacing w:after="0" w:line="240" w:lineRule="auto"/>
      </w:pPr>
      <w:r w:rsidRPr="009B7987">
        <w:separator/>
      </w:r>
    </w:p>
  </w:endnote>
  <w:endnote w:type="continuationSeparator" w:id="0">
    <w:p w14:paraId="6BD7BFA9" w14:textId="77777777" w:rsidR="00032967" w:rsidRPr="009B7987" w:rsidRDefault="00032967" w:rsidP="00B30448">
      <w:pPr>
        <w:spacing w:after="0" w:line="240" w:lineRule="auto"/>
      </w:pPr>
      <w:r w:rsidRPr="009B7987">
        <w:continuationSeparator/>
      </w:r>
    </w:p>
  </w:endnote>
  <w:endnote w:type="continuationNotice" w:id="1">
    <w:p w14:paraId="19157372" w14:textId="77777777" w:rsidR="00032967" w:rsidRPr="009B7987" w:rsidRDefault="000329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3122F" w14:textId="77777777" w:rsidR="00032967" w:rsidRPr="009B7987" w:rsidRDefault="00032967" w:rsidP="00B30448">
      <w:pPr>
        <w:spacing w:after="0" w:line="240" w:lineRule="auto"/>
      </w:pPr>
      <w:r w:rsidRPr="009B7987">
        <w:separator/>
      </w:r>
    </w:p>
  </w:footnote>
  <w:footnote w:type="continuationSeparator" w:id="0">
    <w:p w14:paraId="4E058CDF" w14:textId="77777777" w:rsidR="00032967" w:rsidRPr="009B7987" w:rsidRDefault="00032967" w:rsidP="00B30448">
      <w:pPr>
        <w:spacing w:after="0" w:line="240" w:lineRule="auto"/>
      </w:pPr>
      <w:r w:rsidRPr="009B7987">
        <w:continuationSeparator/>
      </w:r>
    </w:p>
  </w:footnote>
  <w:footnote w:type="continuationNotice" w:id="1">
    <w:p w14:paraId="2755422C" w14:textId="77777777" w:rsidR="00032967" w:rsidRPr="009B7987" w:rsidRDefault="00032967">
      <w:pPr>
        <w:spacing w:after="0" w:line="240" w:lineRule="auto"/>
      </w:pPr>
    </w:p>
  </w:footnote>
  <w:footnote w:id="2">
    <w:p w14:paraId="43DFC7B1" w14:textId="77777777" w:rsidR="00727FFB" w:rsidRPr="001332B3" w:rsidRDefault="00727FFB" w:rsidP="00727FFB">
      <w:pPr>
        <w:pStyle w:val="Textonotapie"/>
        <w:ind w:left="708"/>
        <w:rPr>
          <w:rFonts w:ascii="Verdana" w:hAnsi="Verdana"/>
          <w:sz w:val="16"/>
          <w:szCs w:val="16"/>
          <w:lang w:val="es-ES"/>
        </w:rPr>
      </w:pPr>
      <w:r w:rsidRPr="001332B3">
        <w:rPr>
          <w:rStyle w:val="Refdenotaalpie"/>
          <w:rFonts w:ascii="Verdana" w:hAnsi="Verdana"/>
          <w:sz w:val="16"/>
          <w:szCs w:val="16"/>
        </w:rPr>
        <w:footnoteRef/>
      </w:r>
      <w:r w:rsidRPr="001332B3">
        <w:rPr>
          <w:rFonts w:ascii="Verdana" w:hAnsi="Verdana"/>
          <w:sz w:val="16"/>
          <w:szCs w:val="16"/>
        </w:rPr>
        <w:t xml:space="preserve"> artículo 6 de la Ley 1150 de 2007.</w:t>
      </w:r>
    </w:p>
  </w:footnote>
  <w:footnote w:id="3">
    <w:p w14:paraId="7AFCB0C2"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Style w:val="Refdenotaalpie"/>
          <w:rFonts w:ascii="Verdana" w:hAnsi="Verdana"/>
          <w:sz w:val="16"/>
          <w:szCs w:val="16"/>
        </w:rPr>
        <w:footnoteRef/>
      </w:r>
      <w:r w:rsidRPr="001332B3">
        <w:rPr>
          <w:rFonts w:ascii="Verdana" w:hAnsi="Verdana"/>
          <w:sz w:val="16"/>
          <w:szCs w:val="16"/>
        </w:rPr>
        <w:t xml:space="preserve"> </w:t>
      </w:r>
      <w:r w:rsidRPr="001332B3">
        <w:rPr>
          <w:rFonts w:ascii="Verdana" w:hAnsi="Verdana" w:cs="Arial"/>
          <w:sz w:val="16"/>
          <w:szCs w:val="16"/>
        </w:rPr>
        <w:t xml:space="preserve">Ley 1150 de 2007: </w:t>
      </w:r>
      <w:r w:rsidRPr="001332B3">
        <w:rPr>
          <w:rFonts w:ascii="Verdana" w:hAnsi="Verdana" w:cs="Arial"/>
          <w:i/>
          <w:iCs/>
          <w:sz w:val="16"/>
          <w:szCs w:val="16"/>
        </w:rPr>
        <w:t>“</w:t>
      </w:r>
      <w:r w:rsidRPr="001332B3">
        <w:rPr>
          <w:rFonts w:ascii="Verdana" w:hAnsi="Verdana" w:cs="Arial"/>
          <w:sz w:val="16"/>
          <w:szCs w:val="16"/>
        </w:rPr>
        <w:t>Artículo 6. De la verificación de las condiciones de los proponentes.</w:t>
      </w:r>
    </w:p>
    <w:p w14:paraId="4B15EC0D"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Fonts w:ascii="Verdana" w:hAnsi="Verdana" w:cs="Arial"/>
          <w:sz w:val="16"/>
          <w:szCs w:val="16"/>
        </w:rPr>
        <w:t>[…]</w:t>
      </w:r>
    </w:p>
    <w:p w14:paraId="230D8604"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Fonts w:ascii="Verdana" w:hAnsi="Verdana" w:cs="Arial"/>
          <w:i/>
          <w:iCs/>
          <w:sz w:val="16"/>
          <w:szCs w:val="16"/>
        </w:rPr>
        <w:t>“</w:t>
      </w:r>
      <w:r w:rsidRPr="001332B3">
        <w:rPr>
          <w:rFonts w:ascii="Verdana" w:hAnsi="Verdana" w:cs="Arial"/>
          <w:sz w:val="16"/>
          <w:szCs w:val="16"/>
        </w:rPr>
        <w:t>6.1. […]</w:t>
      </w:r>
    </w:p>
    <w:p w14:paraId="58DB1261"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Fonts w:ascii="Verdana" w:hAnsi="Verdana" w:cs="Arial"/>
          <w:i/>
          <w:iCs/>
          <w:sz w:val="16"/>
          <w:szCs w:val="16"/>
        </w:rPr>
        <w:t>“</w:t>
      </w:r>
      <w:r w:rsidRPr="001332B3">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75D05A7"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Fonts w:ascii="Verdana" w:hAnsi="Verdana" w:cs="Arial"/>
          <w:i/>
          <w:iCs/>
          <w:sz w:val="16"/>
          <w:szCs w:val="16"/>
        </w:rPr>
        <w:t>“</w:t>
      </w:r>
      <w:r w:rsidRPr="001332B3">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6AEBF84"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Fonts w:ascii="Verdana" w:hAnsi="Verdana" w:cs="Arial"/>
          <w:sz w:val="16"/>
          <w:szCs w:val="16"/>
        </w:rPr>
        <w:t>[…]</w:t>
      </w:r>
      <w:r w:rsidRPr="001332B3">
        <w:rPr>
          <w:rFonts w:ascii="Verdana" w:hAnsi="Verdana" w:cs="Arial"/>
          <w:i/>
          <w:iCs/>
          <w:sz w:val="16"/>
          <w:szCs w:val="16"/>
        </w:rPr>
        <w:t>”</w:t>
      </w:r>
      <w:r w:rsidRPr="001332B3">
        <w:rPr>
          <w:rFonts w:ascii="Verdana" w:hAnsi="Verdana" w:cs="Arial"/>
          <w:sz w:val="16"/>
          <w:szCs w:val="16"/>
        </w:rPr>
        <w:t>.</w:t>
      </w:r>
    </w:p>
    <w:p w14:paraId="28F621B7" w14:textId="77777777" w:rsidR="00727FFB" w:rsidRPr="001332B3" w:rsidRDefault="00727FFB" w:rsidP="00727FFB">
      <w:pPr>
        <w:pStyle w:val="Textonotapie"/>
        <w:rPr>
          <w:rFonts w:ascii="Verdana" w:hAnsi="Verdana"/>
          <w:sz w:val="16"/>
          <w:szCs w:val="16"/>
        </w:rPr>
      </w:pPr>
    </w:p>
  </w:footnote>
  <w:footnote w:id="4">
    <w:p w14:paraId="05783F94" w14:textId="77777777" w:rsidR="00727FFB" w:rsidRPr="001332B3" w:rsidRDefault="00727FFB" w:rsidP="00727FFB">
      <w:pPr>
        <w:pStyle w:val="Textonotapie"/>
        <w:ind w:firstLine="709"/>
        <w:contextualSpacing/>
        <w:jc w:val="both"/>
        <w:rPr>
          <w:rFonts w:ascii="Verdana" w:hAnsi="Verdana" w:cs="Arial"/>
          <w:sz w:val="16"/>
          <w:szCs w:val="16"/>
        </w:rPr>
      </w:pPr>
      <w:r w:rsidRPr="001332B3">
        <w:rPr>
          <w:rStyle w:val="Refdenotaalpie"/>
          <w:rFonts w:ascii="Verdana" w:hAnsi="Verdana" w:cs="Arial"/>
          <w:sz w:val="16"/>
          <w:szCs w:val="16"/>
        </w:rPr>
        <w:footnoteRef/>
      </w:r>
      <w:r w:rsidRPr="001332B3">
        <w:rPr>
          <w:rFonts w:ascii="Verdana" w:hAnsi="Verdana" w:cs="Arial"/>
          <w:sz w:val="16"/>
          <w:szCs w:val="16"/>
        </w:rPr>
        <w:t xml:space="preserve"> Consejo de Estado. Sección Tercera. Subsección A. Sentencia del 12 de febrero de 2014. Exp. 31.753. C.P. Mauricio Fajardo Gómez: </w:t>
      </w:r>
      <w:r w:rsidRPr="001332B3">
        <w:rPr>
          <w:rFonts w:ascii="Verdana" w:hAnsi="Verdana" w:cs="Arial"/>
          <w:i/>
          <w:iCs/>
          <w:sz w:val="16"/>
          <w:szCs w:val="16"/>
        </w:rPr>
        <w:t>“</w:t>
      </w:r>
      <w:r w:rsidRPr="001332B3">
        <w:rPr>
          <w:rFonts w:ascii="Verdana" w:hAnsi="Verdana" w:cs="Arial"/>
          <w:sz w:val="16"/>
          <w:szCs w:val="16"/>
        </w:rPr>
        <w:t>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r w:rsidRPr="001332B3">
        <w:rPr>
          <w:rFonts w:ascii="Verdana" w:hAnsi="Verdana" w:cs="Arial"/>
          <w:i/>
          <w:iCs/>
          <w:sz w:val="16"/>
          <w:szCs w:val="16"/>
        </w:rPr>
        <w:t>”</w:t>
      </w:r>
      <w:r w:rsidRPr="001332B3">
        <w:rPr>
          <w:rFonts w:ascii="Verdana" w:hAnsi="Verdana" w:cs="Arial"/>
          <w:sz w:val="16"/>
          <w:szCs w:val="16"/>
        </w:rPr>
        <w:t>.</w:t>
      </w:r>
    </w:p>
    <w:p w14:paraId="712BB8ED" w14:textId="77777777" w:rsidR="00727FFB" w:rsidRPr="001332B3" w:rsidRDefault="00727FFB" w:rsidP="00727FFB">
      <w:pPr>
        <w:pStyle w:val="Textonotapie"/>
        <w:ind w:firstLine="709"/>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3"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3"/>
  </w:num>
  <w:num w:numId="6" w16cid:durableId="130758360">
    <w:abstractNumId w:val="19"/>
  </w:num>
  <w:num w:numId="7" w16cid:durableId="262541512">
    <w:abstractNumId w:val="30"/>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2"/>
  </w:num>
  <w:num w:numId="22" w16cid:durableId="578707994">
    <w:abstractNumId w:val="5"/>
  </w:num>
  <w:num w:numId="23" w16cid:durableId="876742304">
    <w:abstractNumId w:val="11"/>
  </w:num>
  <w:num w:numId="24" w16cid:durableId="1994095851">
    <w:abstractNumId w:val="6"/>
  </w:num>
  <w:num w:numId="25" w16cid:durableId="1567109325">
    <w:abstractNumId w:val="27"/>
  </w:num>
  <w:num w:numId="26" w16cid:durableId="1116487847">
    <w:abstractNumId w:val="20"/>
  </w:num>
  <w:num w:numId="27" w16cid:durableId="611326471">
    <w:abstractNumId w:val="28"/>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1"/>
  </w:num>
  <w:num w:numId="30" w16cid:durableId="363991975">
    <w:abstractNumId w:val="29"/>
  </w:num>
  <w:num w:numId="31" w16cid:durableId="1509440290">
    <w:abstractNumId w:val="23"/>
  </w:num>
  <w:num w:numId="32" w16cid:durableId="1601723362">
    <w:abstractNumId w:val="7"/>
  </w:num>
  <w:num w:numId="33" w16cid:durableId="1484539021">
    <w:abstractNumId w:val="4"/>
  </w:num>
  <w:num w:numId="34" w16cid:durableId="3903498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2967"/>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62C0"/>
    <w:rsid w:val="00076737"/>
    <w:rsid w:val="00076C2B"/>
    <w:rsid w:val="00076C73"/>
    <w:rsid w:val="00076F81"/>
    <w:rsid w:val="000772B1"/>
    <w:rsid w:val="000779DE"/>
    <w:rsid w:val="000800B6"/>
    <w:rsid w:val="00080D15"/>
    <w:rsid w:val="00081B03"/>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67D"/>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34D0"/>
    <w:rsid w:val="001C4249"/>
    <w:rsid w:val="001C46E3"/>
    <w:rsid w:val="001C4F27"/>
    <w:rsid w:val="001C51FE"/>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5034"/>
    <w:rsid w:val="001F61DE"/>
    <w:rsid w:val="001F63AA"/>
    <w:rsid w:val="001F69C8"/>
    <w:rsid w:val="001F7054"/>
    <w:rsid w:val="001F77E5"/>
    <w:rsid w:val="001F7DB7"/>
    <w:rsid w:val="002000AA"/>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8D1"/>
    <w:rsid w:val="00211DCE"/>
    <w:rsid w:val="00212390"/>
    <w:rsid w:val="00212897"/>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3603"/>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1DAF"/>
    <w:rsid w:val="00252503"/>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401B"/>
    <w:rsid w:val="002B48C5"/>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DD8"/>
    <w:rsid w:val="002E3ED8"/>
    <w:rsid w:val="002E5A01"/>
    <w:rsid w:val="002E5AF4"/>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2998"/>
    <w:rsid w:val="00303DC4"/>
    <w:rsid w:val="00304676"/>
    <w:rsid w:val="00306BE7"/>
    <w:rsid w:val="00306D4A"/>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E18"/>
    <w:rsid w:val="00323C3D"/>
    <w:rsid w:val="00323D1D"/>
    <w:rsid w:val="00323F4F"/>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1F64"/>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503A"/>
    <w:rsid w:val="003D6505"/>
    <w:rsid w:val="003D71A6"/>
    <w:rsid w:val="003D7709"/>
    <w:rsid w:val="003E004C"/>
    <w:rsid w:val="003E0BAF"/>
    <w:rsid w:val="003E0E25"/>
    <w:rsid w:val="003E1409"/>
    <w:rsid w:val="003E16F2"/>
    <w:rsid w:val="003E2195"/>
    <w:rsid w:val="003E36A5"/>
    <w:rsid w:val="003E4A52"/>
    <w:rsid w:val="003E5CBA"/>
    <w:rsid w:val="003E78A9"/>
    <w:rsid w:val="003E7912"/>
    <w:rsid w:val="003F04E6"/>
    <w:rsid w:val="003F2CDD"/>
    <w:rsid w:val="003F3FB3"/>
    <w:rsid w:val="003F45D7"/>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69FE"/>
    <w:rsid w:val="004076FF"/>
    <w:rsid w:val="00411B17"/>
    <w:rsid w:val="00411FFF"/>
    <w:rsid w:val="0041222D"/>
    <w:rsid w:val="004124F2"/>
    <w:rsid w:val="00412E6F"/>
    <w:rsid w:val="00413C5C"/>
    <w:rsid w:val="0041413F"/>
    <w:rsid w:val="0041567A"/>
    <w:rsid w:val="00415BAB"/>
    <w:rsid w:val="00415BCF"/>
    <w:rsid w:val="00416297"/>
    <w:rsid w:val="00417083"/>
    <w:rsid w:val="00417E36"/>
    <w:rsid w:val="0042057C"/>
    <w:rsid w:val="00420BDF"/>
    <w:rsid w:val="00421608"/>
    <w:rsid w:val="00421C23"/>
    <w:rsid w:val="0042261E"/>
    <w:rsid w:val="00422749"/>
    <w:rsid w:val="004228F2"/>
    <w:rsid w:val="004233DC"/>
    <w:rsid w:val="00424888"/>
    <w:rsid w:val="004255D9"/>
    <w:rsid w:val="00425763"/>
    <w:rsid w:val="00425C3C"/>
    <w:rsid w:val="00426F8D"/>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18D0"/>
    <w:rsid w:val="0045213A"/>
    <w:rsid w:val="0045230E"/>
    <w:rsid w:val="004528FA"/>
    <w:rsid w:val="00452D67"/>
    <w:rsid w:val="00452E53"/>
    <w:rsid w:val="0045418C"/>
    <w:rsid w:val="004542C6"/>
    <w:rsid w:val="00454EDC"/>
    <w:rsid w:val="004551DD"/>
    <w:rsid w:val="00455B00"/>
    <w:rsid w:val="00455B97"/>
    <w:rsid w:val="00456635"/>
    <w:rsid w:val="00456BFD"/>
    <w:rsid w:val="004575D5"/>
    <w:rsid w:val="00457657"/>
    <w:rsid w:val="004600BF"/>
    <w:rsid w:val="004607D0"/>
    <w:rsid w:val="00460CE3"/>
    <w:rsid w:val="00460F25"/>
    <w:rsid w:val="004612A4"/>
    <w:rsid w:val="0046153C"/>
    <w:rsid w:val="004624D2"/>
    <w:rsid w:val="004625C8"/>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916"/>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2D5A"/>
    <w:rsid w:val="004A4027"/>
    <w:rsid w:val="004A419E"/>
    <w:rsid w:val="004A4688"/>
    <w:rsid w:val="004A6463"/>
    <w:rsid w:val="004A6B58"/>
    <w:rsid w:val="004A6B6D"/>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4833"/>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C9A"/>
    <w:rsid w:val="00546D83"/>
    <w:rsid w:val="00550113"/>
    <w:rsid w:val="0055019B"/>
    <w:rsid w:val="005504BE"/>
    <w:rsid w:val="0055082B"/>
    <w:rsid w:val="0055093A"/>
    <w:rsid w:val="00550F00"/>
    <w:rsid w:val="00551BDF"/>
    <w:rsid w:val="00551ED7"/>
    <w:rsid w:val="0055211C"/>
    <w:rsid w:val="0055263A"/>
    <w:rsid w:val="005526EE"/>
    <w:rsid w:val="00552B57"/>
    <w:rsid w:val="00552E53"/>
    <w:rsid w:val="0055353C"/>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915"/>
    <w:rsid w:val="00583431"/>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2092"/>
    <w:rsid w:val="00652472"/>
    <w:rsid w:val="00652F31"/>
    <w:rsid w:val="006535E5"/>
    <w:rsid w:val="0065394E"/>
    <w:rsid w:val="00653B38"/>
    <w:rsid w:val="00654D37"/>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DC0"/>
    <w:rsid w:val="006651CC"/>
    <w:rsid w:val="0066582B"/>
    <w:rsid w:val="006658DA"/>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591"/>
    <w:rsid w:val="006E6F30"/>
    <w:rsid w:val="006E6FE9"/>
    <w:rsid w:val="006E7082"/>
    <w:rsid w:val="006E709F"/>
    <w:rsid w:val="006E7F73"/>
    <w:rsid w:val="006F030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27FFB"/>
    <w:rsid w:val="00730943"/>
    <w:rsid w:val="00731D5E"/>
    <w:rsid w:val="00732492"/>
    <w:rsid w:val="00733E5A"/>
    <w:rsid w:val="00733F25"/>
    <w:rsid w:val="00736395"/>
    <w:rsid w:val="00736459"/>
    <w:rsid w:val="0073685F"/>
    <w:rsid w:val="00737821"/>
    <w:rsid w:val="00737D3A"/>
    <w:rsid w:val="0074058F"/>
    <w:rsid w:val="00740E86"/>
    <w:rsid w:val="00741175"/>
    <w:rsid w:val="007419FB"/>
    <w:rsid w:val="00742606"/>
    <w:rsid w:val="007441FF"/>
    <w:rsid w:val="007448A7"/>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477A"/>
    <w:rsid w:val="00795706"/>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B3C"/>
    <w:rsid w:val="007E042B"/>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0E4"/>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A36"/>
    <w:rsid w:val="00872F21"/>
    <w:rsid w:val="00873736"/>
    <w:rsid w:val="0087378E"/>
    <w:rsid w:val="008737DF"/>
    <w:rsid w:val="008755E7"/>
    <w:rsid w:val="00875A46"/>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32E5"/>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C0A"/>
    <w:rsid w:val="00901DBB"/>
    <w:rsid w:val="009026CB"/>
    <w:rsid w:val="00902876"/>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12B83"/>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75E5"/>
    <w:rsid w:val="0093785F"/>
    <w:rsid w:val="00937BC5"/>
    <w:rsid w:val="00937D30"/>
    <w:rsid w:val="00941848"/>
    <w:rsid w:val="00942D32"/>
    <w:rsid w:val="0094337A"/>
    <w:rsid w:val="009437F2"/>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769"/>
    <w:rsid w:val="00991DF8"/>
    <w:rsid w:val="00992499"/>
    <w:rsid w:val="00992986"/>
    <w:rsid w:val="009936E2"/>
    <w:rsid w:val="00994B55"/>
    <w:rsid w:val="00995D86"/>
    <w:rsid w:val="00995FB2"/>
    <w:rsid w:val="0099653B"/>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D50"/>
    <w:rsid w:val="009B237F"/>
    <w:rsid w:val="009B2760"/>
    <w:rsid w:val="009B308D"/>
    <w:rsid w:val="009B38D5"/>
    <w:rsid w:val="009B3B62"/>
    <w:rsid w:val="009B3C8D"/>
    <w:rsid w:val="009B4FFB"/>
    <w:rsid w:val="009B53C7"/>
    <w:rsid w:val="009B7489"/>
    <w:rsid w:val="009B76EE"/>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7DAC"/>
    <w:rsid w:val="009D077D"/>
    <w:rsid w:val="009D08A6"/>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5FB2"/>
    <w:rsid w:val="009F6575"/>
    <w:rsid w:val="009F7ADC"/>
    <w:rsid w:val="00A0002A"/>
    <w:rsid w:val="00A0236D"/>
    <w:rsid w:val="00A02985"/>
    <w:rsid w:val="00A02B2B"/>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211C5"/>
    <w:rsid w:val="00A221A3"/>
    <w:rsid w:val="00A223D5"/>
    <w:rsid w:val="00A235E4"/>
    <w:rsid w:val="00A23F41"/>
    <w:rsid w:val="00A25547"/>
    <w:rsid w:val="00A25F76"/>
    <w:rsid w:val="00A3003E"/>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261"/>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6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5587"/>
    <w:rsid w:val="00B90351"/>
    <w:rsid w:val="00B906F2"/>
    <w:rsid w:val="00B90D9B"/>
    <w:rsid w:val="00B911D4"/>
    <w:rsid w:val="00B91259"/>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7AF"/>
    <w:rsid w:val="00BB3BE4"/>
    <w:rsid w:val="00BB44DB"/>
    <w:rsid w:val="00BB57D3"/>
    <w:rsid w:val="00BB58EE"/>
    <w:rsid w:val="00BB64EC"/>
    <w:rsid w:val="00BB7589"/>
    <w:rsid w:val="00BB7668"/>
    <w:rsid w:val="00BB7E42"/>
    <w:rsid w:val="00BC077E"/>
    <w:rsid w:val="00BC0DE5"/>
    <w:rsid w:val="00BC0E57"/>
    <w:rsid w:val="00BC1F5F"/>
    <w:rsid w:val="00BC21BE"/>
    <w:rsid w:val="00BC2465"/>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1DCF"/>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394C"/>
    <w:rsid w:val="00C34581"/>
    <w:rsid w:val="00C34AD7"/>
    <w:rsid w:val="00C3516D"/>
    <w:rsid w:val="00C351E4"/>
    <w:rsid w:val="00C353D8"/>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518"/>
    <w:rsid w:val="00CB3920"/>
    <w:rsid w:val="00CB4C4C"/>
    <w:rsid w:val="00CB6413"/>
    <w:rsid w:val="00CB696F"/>
    <w:rsid w:val="00CB6A00"/>
    <w:rsid w:val="00CB7097"/>
    <w:rsid w:val="00CB77F4"/>
    <w:rsid w:val="00CB780D"/>
    <w:rsid w:val="00CC0F1C"/>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2D17"/>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64E"/>
    <w:rsid w:val="00D315CC"/>
    <w:rsid w:val="00D31DDA"/>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1898"/>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16"/>
    <w:rsid w:val="00D6684E"/>
    <w:rsid w:val="00D6742A"/>
    <w:rsid w:val="00D67B8C"/>
    <w:rsid w:val="00D67B9B"/>
    <w:rsid w:val="00D71733"/>
    <w:rsid w:val="00D718AC"/>
    <w:rsid w:val="00D719A3"/>
    <w:rsid w:val="00D71E7A"/>
    <w:rsid w:val="00D72DE7"/>
    <w:rsid w:val="00D7302F"/>
    <w:rsid w:val="00D73BB2"/>
    <w:rsid w:val="00D74575"/>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2082"/>
    <w:rsid w:val="00DC225F"/>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0A1B"/>
    <w:rsid w:val="00DE1238"/>
    <w:rsid w:val="00DE1966"/>
    <w:rsid w:val="00DE1FFE"/>
    <w:rsid w:val="00DE2BC1"/>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A4B"/>
    <w:rsid w:val="00E02F4B"/>
    <w:rsid w:val="00E03D04"/>
    <w:rsid w:val="00E04332"/>
    <w:rsid w:val="00E043BB"/>
    <w:rsid w:val="00E047A0"/>
    <w:rsid w:val="00E04ECF"/>
    <w:rsid w:val="00E0502A"/>
    <w:rsid w:val="00E0584C"/>
    <w:rsid w:val="00E05902"/>
    <w:rsid w:val="00E067C4"/>
    <w:rsid w:val="00E06A36"/>
    <w:rsid w:val="00E074C9"/>
    <w:rsid w:val="00E1198B"/>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198D"/>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4F79"/>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183C"/>
    <w:rsid w:val="00EC2A3F"/>
    <w:rsid w:val="00EC2E64"/>
    <w:rsid w:val="00EC3A35"/>
    <w:rsid w:val="00EC3C52"/>
    <w:rsid w:val="00EC3E5B"/>
    <w:rsid w:val="00EC3E69"/>
    <w:rsid w:val="00EC41A7"/>
    <w:rsid w:val="00EC4257"/>
    <w:rsid w:val="00EC46CE"/>
    <w:rsid w:val="00EC5554"/>
    <w:rsid w:val="00EC572B"/>
    <w:rsid w:val="00EC5B8E"/>
    <w:rsid w:val="00EC7356"/>
    <w:rsid w:val="00EC75F6"/>
    <w:rsid w:val="00ED0065"/>
    <w:rsid w:val="00ED17B5"/>
    <w:rsid w:val="00ED1BA0"/>
    <w:rsid w:val="00ED1D2D"/>
    <w:rsid w:val="00ED353D"/>
    <w:rsid w:val="00ED588C"/>
    <w:rsid w:val="00ED6E7A"/>
    <w:rsid w:val="00ED6EA1"/>
    <w:rsid w:val="00ED7A7F"/>
    <w:rsid w:val="00EE060B"/>
    <w:rsid w:val="00EE07AC"/>
    <w:rsid w:val="00EE0891"/>
    <w:rsid w:val="00EE0C94"/>
    <w:rsid w:val="00EE1062"/>
    <w:rsid w:val="00EE17F2"/>
    <w:rsid w:val="00EE188A"/>
    <w:rsid w:val="00EE1B01"/>
    <w:rsid w:val="00EE1C62"/>
    <w:rsid w:val="00EE1DB8"/>
    <w:rsid w:val="00EE2746"/>
    <w:rsid w:val="00EE3256"/>
    <w:rsid w:val="00EE4759"/>
    <w:rsid w:val="00EE4C20"/>
    <w:rsid w:val="00EE4F2D"/>
    <w:rsid w:val="00EE524C"/>
    <w:rsid w:val="00EE6755"/>
    <w:rsid w:val="00EE78D6"/>
    <w:rsid w:val="00EF03DC"/>
    <w:rsid w:val="00EF0437"/>
    <w:rsid w:val="00EF0BFE"/>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284F"/>
    <w:rsid w:val="00F134CE"/>
    <w:rsid w:val="00F136A4"/>
    <w:rsid w:val="00F1377B"/>
    <w:rsid w:val="00F13C5E"/>
    <w:rsid w:val="00F14108"/>
    <w:rsid w:val="00F148D5"/>
    <w:rsid w:val="00F1601A"/>
    <w:rsid w:val="00F160BF"/>
    <w:rsid w:val="00F16173"/>
    <w:rsid w:val="00F1675C"/>
    <w:rsid w:val="00F16A3C"/>
    <w:rsid w:val="00F17428"/>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00"/>
    <w:rsid w:val="00F87C3F"/>
    <w:rsid w:val="00F87C5B"/>
    <w:rsid w:val="00F87FEA"/>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460"/>
    <w:rsid w:val="00FB7747"/>
    <w:rsid w:val="00FB7A10"/>
    <w:rsid w:val="00FC09E2"/>
    <w:rsid w:val="00FC0F81"/>
    <w:rsid w:val="00FC3798"/>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E0DAE"/>
    <w:rsid w:val="00FE0E6B"/>
    <w:rsid w:val="00FE1370"/>
    <w:rsid w:val="00FE1510"/>
    <w:rsid w:val="00FE2121"/>
    <w:rsid w:val="00FE254A"/>
    <w:rsid w:val="00FE321B"/>
    <w:rsid w:val="00FE3D07"/>
    <w:rsid w:val="00FE4411"/>
    <w:rsid w:val="00FE4B6F"/>
    <w:rsid w:val="00FE6818"/>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2">
    <w:name w:val="Tabla con cuadrícula112"/>
    <w:basedOn w:val="Tablanormal"/>
    <w:next w:val="Tablaconcuadrcula"/>
    <w:uiPriority w:val="39"/>
    <w:qFormat/>
    <w:rsid w:val="00B911D4"/>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yperlink" Target="mailto:paulamorales200@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C128F11-B120-4DA0-A34E-2F5B985D3EFC}"/>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4235</Words>
  <Characters>23293</Characters>
  <Application>Microsoft Office Word</Application>
  <DocSecurity>0</DocSecurity>
  <Lines>194</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27474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4</cp:revision>
  <dcterms:created xsi:type="dcterms:W3CDTF">2026-03-06T14:05:00Z</dcterms:created>
  <dcterms:modified xsi:type="dcterms:W3CDTF">2026-03-06T14:06:00Z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