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5BB88D" w14:textId="77777777" w:rsidR="009B0829" w:rsidRPr="00135F30" w:rsidRDefault="009B0829" w:rsidP="009B0829">
      <w:pPr>
        <w:spacing w:after="0"/>
        <w:jc w:val="both"/>
        <w:rPr>
          <w:rFonts w:ascii="Verdana" w:eastAsia="Aptos" w:hAnsi="Verdana" w:cs="Times New Roman"/>
          <w:b/>
          <w:bCs/>
          <w:kern w:val="2"/>
          <w:lang w:val="es-ES_tradnl"/>
          <w14:ligatures w14:val="standardContextual"/>
        </w:rPr>
      </w:pPr>
      <w:bookmarkStart w:id="0" w:name="_Hlk143780582"/>
      <w:r w:rsidRPr="00135F30">
        <w:rPr>
          <w:rFonts w:ascii="Verdana" w:eastAsia="Aptos" w:hAnsi="Verdana" w:cs="Times New Roman"/>
          <w:b/>
          <w:bCs/>
          <w:kern w:val="2"/>
          <w:lang w:val="es-ES_tradnl"/>
          <w14:ligatures w14:val="standardContextual"/>
        </w:rPr>
        <w:t>EJECUCIÓN DEL CONTRATO – Requisitos – No delimitación – Fechas para su inicio</w:t>
      </w:r>
    </w:p>
    <w:p w14:paraId="1CC3B491" w14:textId="77777777" w:rsidR="009B0829" w:rsidRPr="00135F30" w:rsidRDefault="009B0829" w:rsidP="009B0829">
      <w:pPr>
        <w:spacing w:after="0"/>
        <w:jc w:val="both"/>
        <w:rPr>
          <w:rFonts w:ascii="Verdana" w:eastAsia="Aptos" w:hAnsi="Verdana" w:cs="Times New Roman"/>
          <w:b/>
          <w:bCs/>
          <w:kern w:val="2"/>
          <w:lang w:val="es-ES_tradnl"/>
          <w14:ligatures w14:val="standardContextual"/>
        </w:rPr>
      </w:pPr>
    </w:p>
    <w:p w14:paraId="1AF2F31F" w14:textId="77777777" w:rsidR="009B0829" w:rsidRPr="00135F30" w:rsidRDefault="009B0829" w:rsidP="009B0829">
      <w:pPr>
        <w:spacing w:after="0" w:line="240" w:lineRule="auto"/>
        <w:jc w:val="both"/>
        <w:rPr>
          <w:rFonts w:ascii="Verdana" w:eastAsia="Aptos" w:hAnsi="Verdana" w:cs="Times New Roman"/>
          <w:kern w:val="2"/>
          <w:sz w:val="20"/>
          <w:szCs w:val="20"/>
          <w:lang w:val="es-ES_tradnl"/>
          <w14:ligatures w14:val="standardContextual"/>
        </w:rPr>
      </w:pPr>
      <w:r w:rsidRPr="00135F30">
        <w:rPr>
          <w:rFonts w:ascii="Verdana" w:eastAsia="Aptos" w:hAnsi="Verdana" w:cs="Times New Roman"/>
          <w:kern w:val="2"/>
          <w:sz w:val="20"/>
          <w:szCs w:val="20"/>
          <w:lang w:val="es-ES_tradnl"/>
          <w14:ligatures w14:val="standardContextual"/>
        </w:rPr>
        <w:t>[…]los requisitos de ejecución de los contratos estatales pueden ser “legales” o “convencionales”. Los primeros son aquellos que se encuentran previstos en la ley. Los segundos son estipulados por las partes. En otros términos, los requisitos legales de ejecución son elementos de la naturaleza, mientras que los requisitos convencionales de ejecución son elementos accidentales. Para determinar lo anterior, conviene hacer referencia al segundo inciso del artículo 41 de la Ley 80 de 1993, modificado por el artículo 23 de la Ley 1150 de 2007.</w:t>
      </w:r>
    </w:p>
    <w:p w14:paraId="7565BAEF" w14:textId="77777777" w:rsidR="009B0829" w:rsidRPr="00135F30" w:rsidRDefault="009B0829" w:rsidP="009B0829">
      <w:pPr>
        <w:spacing w:after="0" w:line="240" w:lineRule="auto"/>
        <w:jc w:val="both"/>
        <w:rPr>
          <w:rFonts w:ascii="Verdana" w:eastAsia="Aptos" w:hAnsi="Verdana" w:cs="Times New Roman"/>
          <w:kern w:val="2"/>
          <w:sz w:val="20"/>
          <w:szCs w:val="20"/>
          <w:lang w:val="es-ES_tradnl"/>
          <w14:ligatures w14:val="standardContextual"/>
        </w:rPr>
      </w:pPr>
      <w:r w:rsidRPr="00135F30">
        <w:rPr>
          <w:rFonts w:ascii="Verdana" w:eastAsia="Aptos" w:hAnsi="Verdana" w:cs="Times New Roman"/>
          <w:kern w:val="2"/>
          <w:sz w:val="20"/>
          <w:szCs w:val="20"/>
          <w:lang w:val="es-ES_tradnl"/>
          <w14:ligatures w14:val="standardContextual"/>
        </w:rPr>
        <w:t>[…]</w:t>
      </w:r>
    </w:p>
    <w:p w14:paraId="5AC15863" w14:textId="77777777" w:rsidR="009B0829" w:rsidRPr="00135F30" w:rsidRDefault="009B0829" w:rsidP="009B0829">
      <w:pPr>
        <w:spacing w:after="0" w:line="240" w:lineRule="auto"/>
        <w:jc w:val="both"/>
        <w:rPr>
          <w:rFonts w:ascii="Verdana" w:eastAsia="Aptos" w:hAnsi="Verdana" w:cs="Times New Roman"/>
          <w:kern w:val="2"/>
          <w:sz w:val="20"/>
          <w:szCs w:val="20"/>
          <w:lang w:val="es-ES"/>
          <w14:ligatures w14:val="standardContextual"/>
        </w:rPr>
      </w:pPr>
      <w:r w:rsidRPr="434103B9">
        <w:rPr>
          <w:rFonts w:ascii="Verdana" w:eastAsia="Aptos" w:hAnsi="Verdana" w:cs="Times New Roman"/>
          <w:kern w:val="2"/>
          <w:sz w:val="20"/>
          <w:szCs w:val="20"/>
          <w:lang w:val="es-ES"/>
          <w14:ligatures w14:val="standardContextual"/>
        </w:rPr>
        <w:t>[…]los requisitos legales de ejecución son: (i) la aprobación de las garantías exigidas en el contrato, (</w:t>
      </w:r>
      <w:proofErr w:type="spellStart"/>
      <w:r w:rsidRPr="434103B9">
        <w:rPr>
          <w:rFonts w:ascii="Verdana" w:eastAsia="Aptos" w:hAnsi="Verdana" w:cs="Times New Roman"/>
          <w:kern w:val="2"/>
          <w:sz w:val="20"/>
          <w:szCs w:val="20"/>
          <w:lang w:val="es-ES"/>
          <w14:ligatures w14:val="standardContextual"/>
        </w:rPr>
        <w:t>ii</w:t>
      </w:r>
      <w:proofErr w:type="spellEnd"/>
      <w:r w:rsidRPr="434103B9">
        <w:rPr>
          <w:rFonts w:ascii="Verdana" w:eastAsia="Aptos" w:hAnsi="Verdana" w:cs="Times New Roman"/>
          <w:kern w:val="2"/>
          <w:sz w:val="20"/>
          <w:szCs w:val="20"/>
          <w:lang w:val="es-ES"/>
          <w14:ligatures w14:val="standardContextual"/>
        </w:rPr>
        <w:t>) la existencia de la apropiación presupuestal correspondiente y (</w:t>
      </w:r>
      <w:proofErr w:type="spellStart"/>
      <w:r w:rsidRPr="434103B9">
        <w:rPr>
          <w:rFonts w:ascii="Verdana" w:eastAsia="Aptos" w:hAnsi="Verdana" w:cs="Times New Roman"/>
          <w:kern w:val="2"/>
          <w:sz w:val="20"/>
          <w:szCs w:val="20"/>
          <w:lang w:val="es-ES"/>
          <w14:ligatures w14:val="standardContextual"/>
        </w:rPr>
        <w:t>iii</w:t>
      </w:r>
      <w:proofErr w:type="spellEnd"/>
      <w:r w:rsidRPr="434103B9">
        <w:rPr>
          <w:rFonts w:ascii="Verdana" w:eastAsia="Aptos" w:hAnsi="Verdana" w:cs="Times New Roman"/>
          <w:kern w:val="2"/>
          <w:sz w:val="20"/>
          <w:szCs w:val="20"/>
          <w:lang w:val="es-ES"/>
          <w14:ligatures w14:val="standardContextual"/>
        </w:rPr>
        <w:t>) la acreditación del cumplimiento de las obligaciones con el Sistema de Seguridad Social Integral. Por su parte, serán requisitos convencionales aquellos que no se encuentran consagrados en la ley sino que se pactan en la minuta del contrato o que el contratista acepta al momento de adherirse al clausulado del pliego de condiciones o documento equivalente.</w:t>
      </w:r>
    </w:p>
    <w:p w14:paraId="4668A7A7" w14:textId="77777777" w:rsidR="009B0829" w:rsidRPr="00135F30" w:rsidRDefault="009B0829" w:rsidP="009B0829">
      <w:pPr>
        <w:spacing w:after="0" w:line="240" w:lineRule="auto"/>
        <w:jc w:val="both"/>
        <w:rPr>
          <w:rFonts w:ascii="Verdana" w:eastAsia="Aptos" w:hAnsi="Verdana" w:cs="Times New Roman"/>
          <w:kern w:val="2"/>
          <w:sz w:val="20"/>
          <w:szCs w:val="20"/>
          <w:lang w:val="es-ES_tradnl"/>
          <w14:ligatures w14:val="standardContextual"/>
        </w:rPr>
      </w:pPr>
      <w:r w:rsidRPr="00135F30">
        <w:rPr>
          <w:rFonts w:ascii="Verdana" w:eastAsia="Aptos" w:hAnsi="Verdana" w:cs="Times New Roman"/>
          <w:kern w:val="2"/>
          <w:sz w:val="20"/>
          <w:szCs w:val="20"/>
          <w:lang w:val="es-ES_tradnl"/>
          <w14:ligatures w14:val="standardContextual"/>
        </w:rPr>
        <w:t>[…]</w:t>
      </w:r>
    </w:p>
    <w:p w14:paraId="37F49BC4" w14:textId="77777777" w:rsidR="009B0829" w:rsidRPr="00135F30" w:rsidRDefault="009B0829" w:rsidP="009B0829">
      <w:pPr>
        <w:spacing w:after="0" w:line="240" w:lineRule="auto"/>
        <w:jc w:val="both"/>
        <w:rPr>
          <w:rFonts w:ascii="Verdana" w:eastAsia="Aptos" w:hAnsi="Verdana" w:cs="Times New Roman"/>
          <w:kern w:val="2"/>
          <w:sz w:val="20"/>
          <w:szCs w:val="20"/>
          <w:lang w:val="es-ES"/>
          <w14:ligatures w14:val="standardContextual"/>
        </w:rPr>
      </w:pPr>
      <w:r w:rsidRPr="434103B9">
        <w:rPr>
          <w:rFonts w:ascii="Verdana" w:eastAsia="Aptos" w:hAnsi="Verdana" w:cs="Times New Roman"/>
          <w:kern w:val="2"/>
          <w:sz w:val="20"/>
          <w:szCs w:val="20"/>
          <w:lang w:val="es-ES"/>
          <w14:ligatures w14:val="standardContextual"/>
        </w:rPr>
        <w:t>[…]en las disposiciones contenidas en el segundo inciso del artículo 41 de la Ley 80 de 1993, no se observa delimitación alguna respecto de los términos, fechas o días en las que deban las Entidades Estatales iniciar por ejemplo, la ejecución de sus contratos, pues solo se limitan a establecer los requisitos legales para ello. En ese sentido, resulta a bien aclarar que la postura de esta Agencia respecto de la definición de días hábiles en los procesos de contratación pública, parte de la tesis según la cual no existe acepción unívoca de dicho concepto, pues no existe certidumbre de cuáles son los días de la semana que pueden entenderse como hábiles, y ello en principio posibilita a que las Entidades Estatales regulen de manera distinta los términos.</w:t>
      </w:r>
    </w:p>
    <w:p w14:paraId="3E088FD6" w14:textId="77777777" w:rsidR="009B0829" w:rsidRPr="00135F30" w:rsidRDefault="009B0829" w:rsidP="009B0829">
      <w:pPr>
        <w:spacing w:after="0"/>
        <w:jc w:val="both"/>
        <w:rPr>
          <w:rFonts w:ascii="Verdana" w:eastAsia="Aptos" w:hAnsi="Verdana" w:cs="Times New Roman"/>
          <w:b/>
          <w:bCs/>
          <w:kern w:val="2"/>
          <w:lang w:val="es-ES_tradnl"/>
          <w14:ligatures w14:val="standardContextual"/>
        </w:rPr>
      </w:pPr>
    </w:p>
    <w:p w14:paraId="6982D237" w14:textId="77777777" w:rsidR="009B0829" w:rsidRPr="00135F30" w:rsidRDefault="009B0829" w:rsidP="009B0829">
      <w:pPr>
        <w:spacing w:after="0"/>
        <w:jc w:val="both"/>
        <w:rPr>
          <w:rFonts w:ascii="Verdana" w:eastAsia="Aptos" w:hAnsi="Verdana" w:cs="Arial"/>
        </w:rPr>
      </w:pPr>
      <w:r w:rsidRPr="00135F30">
        <w:rPr>
          <w:rFonts w:ascii="Verdana" w:eastAsia="Aptos" w:hAnsi="Verdana" w:cs="Times New Roman"/>
          <w:b/>
          <w:bCs/>
          <w:kern w:val="2"/>
          <w:lang w:val="es-ES_tradnl"/>
          <w14:ligatures w14:val="standardContextual"/>
        </w:rPr>
        <w:t>DÍAS HÁBILES – Concepto – Cómputo de términos</w:t>
      </w:r>
    </w:p>
    <w:p w14:paraId="5AC78123" w14:textId="77777777" w:rsidR="009B0829" w:rsidRPr="00135F30" w:rsidRDefault="009B0829" w:rsidP="009B0829">
      <w:pPr>
        <w:spacing w:after="0" w:line="240" w:lineRule="auto"/>
        <w:jc w:val="both"/>
        <w:rPr>
          <w:rFonts w:ascii="Verdana" w:eastAsia="Aptos" w:hAnsi="Verdana" w:cs="Times New Roman"/>
          <w:b/>
          <w:bCs/>
          <w:kern w:val="2"/>
          <w:lang w:val="es-ES_tradnl"/>
          <w14:ligatures w14:val="standardContextual"/>
        </w:rPr>
      </w:pPr>
    </w:p>
    <w:p w14:paraId="32B210E7" w14:textId="77777777" w:rsidR="009B0829" w:rsidRPr="00135F30" w:rsidRDefault="009B0829" w:rsidP="009B0829">
      <w:pPr>
        <w:tabs>
          <w:tab w:val="left" w:pos="0"/>
        </w:tabs>
        <w:spacing w:after="0" w:line="240" w:lineRule="auto"/>
        <w:jc w:val="both"/>
        <w:rPr>
          <w:rFonts w:ascii="Verdana" w:eastAsia="Calibri" w:hAnsi="Verdana" w:cs="Arial"/>
          <w:bCs/>
          <w:sz w:val="20"/>
          <w:szCs w:val="20"/>
          <w:lang w:val="es-ES"/>
        </w:rPr>
      </w:pPr>
      <w:r w:rsidRPr="00135F30">
        <w:rPr>
          <w:rFonts w:ascii="Verdana" w:eastAsia="Calibri" w:hAnsi="Verdana" w:cs="Arial"/>
          <w:bCs/>
          <w:sz w:val="20"/>
          <w:szCs w:val="20"/>
          <w:lang w:val="es-ES"/>
        </w:rPr>
        <w:t xml:space="preserve">[…] los días hábiles se determinan según la entidad, ya que “cada entidad pública establece la jornada laboral, a través de su reglamento interno, dando certeza sobre los días que atienden al público, e indirectamente definiendo qué día es hábil en determinada institución”, por lo que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Lo anterior sin perjuicio de que las entidades definan en sus reglamentos internos jornadas laborales distintas, que incluyan el sábado o el domingo, como “en los numerosos municipios del país donde la Administración labora los fines de semana ―sábados y domingos― normalmente para brindarle un buen servicio a la población campesina, que acostumbra ir al casco urbano en estos dos días y descansan un día de la semana ―usualmente el miércoles―”, ejemplo donde los días laborables o hábiles son todos los de la semana, con excepción del miércoles. </w:t>
      </w:r>
    </w:p>
    <w:p w14:paraId="743F4B0D" w14:textId="77777777" w:rsidR="009B0829" w:rsidRPr="00135F30" w:rsidRDefault="009B0829" w:rsidP="009B0829">
      <w:pPr>
        <w:tabs>
          <w:tab w:val="left" w:pos="0"/>
        </w:tabs>
        <w:spacing w:after="0" w:line="240" w:lineRule="auto"/>
        <w:jc w:val="both"/>
        <w:rPr>
          <w:rFonts w:ascii="Verdana" w:eastAsia="Calibri" w:hAnsi="Verdana" w:cs="Arial"/>
          <w:bCs/>
          <w:sz w:val="20"/>
          <w:szCs w:val="20"/>
          <w:lang w:val="es-ES"/>
        </w:rPr>
      </w:pPr>
    </w:p>
    <w:p w14:paraId="3B2F2975" w14:textId="77777777" w:rsidR="009B0829" w:rsidRPr="00135F30" w:rsidRDefault="009B0829" w:rsidP="009B0829">
      <w:pPr>
        <w:tabs>
          <w:tab w:val="left" w:pos="0"/>
        </w:tabs>
        <w:spacing w:after="0" w:line="240" w:lineRule="auto"/>
        <w:jc w:val="both"/>
        <w:rPr>
          <w:rFonts w:ascii="Verdana" w:eastAsia="Calibri" w:hAnsi="Verdana" w:cs="Arial"/>
          <w:bCs/>
          <w:sz w:val="20"/>
          <w:szCs w:val="20"/>
          <w:lang w:val="es-ES"/>
        </w:rPr>
      </w:pPr>
      <w:r w:rsidRPr="00135F30">
        <w:rPr>
          <w:rFonts w:ascii="Verdana" w:eastAsia="Calibri" w:hAnsi="Verdana" w:cs="Arial"/>
          <w:bCs/>
          <w:sz w:val="20"/>
          <w:szCs w:val="20"/>
          <w:lang w:val="es-ES"/>
        </w:rPr>
        <w:t>Esto implica que, para el cómputo de los términos en días hábiles propios de los procesos de selección, incluso aquellos adelantados con documentos tipo, deberá transcurrir dentro de los días definidos por cada entidad estatal como laborables en su correspondiente reglamento o manual de funciones.</w:t>
      </w:r>
    </w:p>
    <w:p w14:paraId="1B565189" w14:textId="77777777" w:rsidR="009B0829" w:rsidRPr="00135F30" w:rsidRDefault="009B0829" w:rsidP="009B0829">
      <w:pPr>
        <w:tabs>
          <w:tab w:val="left" w:pos="0"/>
        </w:tabs>
        <w:spacing w:after="0" w:line="240" w:lineRule="auto"/>
        <w:jc w:val="both"/>
        <w:rPr>
          <w:rFonts w:ascii="Verdana" w:eastAsia="Calibri" w:hAnsi="Verdana" w:cs="Arial"/>
          <w:bCs/>
          <w:sz w:val="20"/>
          <w:szCs w:val="20"/>
          <w:lang w:val="es-ES"/>
        </w:rPr>
      </w:pPr>
    </w:p>
    <w:p w14:paraId="5982BB0D" w14:textId="77777777" w:rsidR="009B0829" w:rsidRPr="00135F30" w:rsidRDefault="009B0829" w:rsidP="009B0829">
      <w:pPr>
        <w:spacing w:after="0"/>
        <w:jc w:val="both"/>
        <w:rPr>
          <w:rFonts w:ascii="Verdana" w:eastAsia="Calibri" w:hAnsi="Verdana" w:cs="Arial"/>
          <w:b/>
          <w:bCs/>
          <w:lang w:val="es-ES" w:eastAsia="es-ES"/>
        </w:rPr>
      </w:pPr>
      <w:r w:rsidRPr="00135F30">
        <w:rPr>
          <w:rFonts w:ascii="Verdana" w:eastAsia="Aptos" w:hAnsi="Verdana" w:cs="Times New Roman"/>
          <w:b/>
          <w:bCs/>
          <w:kern w:val="2"/>
          <w:lang w:val="es-ES_tradnl"/>
          <w14:ligatures w14:val="standardContextual"/>
        </w:rPr>
        <w:t>DÍAS HÁBILES – Facultad de la administración – Condiciones mínimas</w:t>
      </w:r>
    </w:p>
    <w:p w14:paraId="074ECA1A" w14:textId="77777777" w:rsidR="009B0829" w:rsidRPr="00135F30" w:rsidRDefault="009B0829" w:rsidP="009B0829">
      <w:pPr>
        <w:spacing w:after="0" w:line="240" w:lineRule="auto"/>
        <w:jc w:val="both"/>
        <w:rPr>
          <w:rFonts w:ascii="Verdana" w:eastAsia="Calibri" w:hAnsi="Verdana" w:cs="Arial"/>
          <w:b/>
          <w:bCs/>
          <w:lang w:val="es-ES" w:eastAsia="es-ES"/>
        </w:rPr>
      </w:pPr>
    </w:p>
    <w:p w14:paraId="74ABFBE4" w14:textId="77777777" w:rsidR="009B0829" w:rsidRPr="00135F30" w:rsidRDefault="009B0829" w:rsidP="009B0829">
      <w:pPr>
        <w:spacing w:after="0" w:line="240" w:lineRule="auto"/>
        <w:jc w:val="both"/>
        <w:rPr>
          <w:rFonts w:ascii="Verdana" w:eastAsia="Arial" w:hAnsi="Verdana" w:cs="Arial"/>
          <w:sz w:val="20"/>
          <w:szCs w:val="20"/>
        </w:rPr>
      </w:pPr>
      <w:r w:rsidRPr="00135F30">
        <w:rPr>
          <w:rFonts w:ascii="Verdana" w:eastAsia="Arial" w:hAnsi="Verdana" w:cs="Arial"/>
          <w:bCs/>
          <w:sz w:val="20"/>
          <w:szCs w:val="20"/>
        </w:rPr>
        <w:t xml:space="preserve">[…] </w:t>
      </w:r>
      <w:r w:rsidRPr="00135F30">
        <w:rPr>
          <w:rFonts w:ascii="Verdana" w:eastAsia="Arial" w:hAnsi="Verdana" w:cs="Arial"/>
          <w:sz w:val="20"/>
          <w:szCs w:val="20"/>
        </w:rPr>
        <w:t>la habilitación de los días feriados como días hábiles para efectos administrativos y de gestión contractual resulta jurídicamente viable</w:t>
      </w:r>
      <w:r w:rsidRPr="00135F30">
        <w:rPr>
          <w:rFonts w:ascii="Verdana" w:eastAsia="Arial" w:hAnsi="Verdana" w:cs="Arial"/>
          <w:bCs/>
          <w:sz w:val="20"/>
          <w:szCs w:val="20"/>
        </w:rPr>
        <w:t xml:space="preserve"> y recaería en el </w:t>
      </w:r>
      <w:r w:rsidRPr="00135F30">
        <w:rPr>
          <w:rFonts w:ascii="Verdana" w:eastAsia="Arial" w:hAnsi="Verdana" w:cs="Arial"/>
          <w:sz w:val="20"/>
          <w:szCs w:val="20"/>
        </w:rPr>
        <w:t>ordenador del gasto de la Entidad Estatal, quien mediante acto administrativo debidamente motivado se encuentra facultado para declarar, mediante acto administrativo, un día feriado como hábil con el fin de adelantar trámites administrativos relacionados con la gestión contractual, durante el tiempo que se requiera.</w:t>
      </w:r>
    </w:p>
    <w:p w14:paraId="04EB5FBB" w14:textId="77777777" w:rsidR="009B0829" w:rsidRPr="00135F30" w:rsidRDefault="009B0829" w:rsidP="009B0829">
      <w:pPr>
        <w:spacing w:after="0" w:line="240" w:lineRule="auto"/>
        <w:jc w:val="both"/>
        <w:rPr>
          <w:rFonts w:ascii="Verdana" w:eastAsia="Arial" w:hAnsi="Verdana" w:cs="Arial"/>
          <w:sz w:val="20"/>
          <w:szCs w:val="20"/>
        </w:rPr>
      </w:pPr>
    </w:p>
    <w:p w14:paraId="54C42CD3" w14:textId="77777777" w:rsidR="009B0829" w:rsidRPr="00135F30" w:rsidRDefault="009B0829" w:rsidP="009B0829">
      <w:pPr>
        <w:spacing w:after="0" w:line="240" w:lineRule="auto"/>
        <w:jc w:val="both"/>
        <w:rPr>
          <w:rFonts w:ascii="Verdana" w:eastAsia="Arial" w:hAnsi="Verdana" w:cs="Arial"/>
          <w:sz w:val="20"/>
          <w:szCs w:val="20"/>
        </w:rPr>
      </w:pPr>
      <w:r w:rsidRPr="00135F30">
        <w:rPr>
          <w:rFonts w:ascii="Verdana" w:eastAsia="Arial" w:hAnsi="Verdana" w:cs="Arial"/>
          <w:sz w:val="20"/>
          <w:szCs w:val="20"/>
        </w:rPr>
        <w:t>[..] dicha facultad encuentra respaldo en el artículo 209 de la Constitución Política, que impone a las autoridades administrativas el deber de coordinar sus actuaciones para el cumplimiento adecuado de los fines del Estado. No obstante, el ejercicio de esta facultad no es absoluto y debe cumplir condiciones mínimas de validez y eficacia, entre ellas: (i) la expedición de un acto administrativo expreso y motivado, (</w:t>
      </w:r>
      <w:proofErr w:type="spellStart"/>
      <w:r w:rsidRPr="00135F30">
        <w:rPr>
          <w:rFonts w:ascii="Verdana" w:eastAsia="Arial" w:hAnsi="Verdana" w:cs="Arial"/>
          <w:sz w:val="20"/>
          <w:szCs w:val="20"/>
        </w:rPr>
        <w:t>ii</w:t>
      </w:r>
      <w:proofErr w:type="spellEnd"/>
      <w:r w:rsidRPr="00135F30">
        <w:rPr>
          <w:rFonts w:ascii="Verdana" w:eastAsia="Arial" w:hAnsi="Verdana" w:cs="Arial"/>
          <w:sz w:val="20"/>
          <w:szCs w:val="20"/>
        </w:rPr>
        <w:t>) la adecuada publicidad de la decisión, y (</w:t>
      </w:r>
      <w:proofErr w:type="spellStart"/>
      <w:r w:rsidRPr="00135F30">
        <w:rPr>
          <w:rFonts w:ascii="Verdana" w:eastAsia="Arial" w:hAnsi="Verdana" w:cs="Arial"/>
          <w:sz w:val="20"/>
          <w:szCs w:val="20"/>
        </w:rPr>
        <w:t>iii</w:t>
      </w:r>
      <w:proofErr w:type="spellEnd"/>
      <w:r w:rsidRPr="00135F30">
        <w:rPr>
          <w:rFonts w:ascii="Verdana" w:eastAsia="Arial" w:hAnsi="Verdana" w:cs="Arial"/>
          <w:sz w:val="20"/>
          <w:szCs w:val="20"/>
        </w:rPr>
        <w:t>) su comunicación efectiva a todos los interesados actuales o potenciales del proceso de selección. Estas exigencias resultan indispensables para salvaguardar los principios de transparencia, igualdad, publicidad y selección objetiva que rigen la contratación estatal, evitando que la medida excepcional genere ventajas indebidas o afecte la libre concurrencia.</w:t>
      </w:r>
    </w:p>
    <w:p w14:paraId="04F874B8" w14:textId="77777777" w:rsidR="009B0829" w:rsidRPr="00135F30" w:rsidRDefault="009B0829" w:rsidP="009B0829">
      <w:pPr>
        <w:spacing w:after="0" w:line="240" w:lineRule="auto"/>
        <w:jc w:val="both"/>
        <w:rPr>
          <w:rFonts w:ascii="Verdana" w:eastAsia="Arial" w:hAnsi="Verdana" w:cs="Arial"/>
          <w:sz w:val="20"/>
          <w:szCs w:val="20"/>
        </w:rPr>
      </w:pPr>
    </w:p>
    <w:p w14:paraId="4AA2770F" w14:textId="77777777" w:rsidR="009B0829" w:rsidRPr="00135F30" w:rsidRDefault="009B0829" w:rsidP="009B0829">
      <w:pPr>
        <w:spacing w:after="0" w:line="240" w:lineRule="auto"/>
        <w:jc w:val="both"/>
        <w:rPr>
          <w:rFonts w:ascii="Verdana" w:eastAsia="Arial" w:hAnsi="Verdana" w:cs="Arial"/>
          <w:sz w:val="20"/>
          <w:szCs w:val="20"/>
        </w:rPr>
      </w:pPr>
    </w:p>
    <w:p w14:paraId="55BE4779" w14:textId="77777777" w:rsidR="009B0829" w:rsidRPr="00135F30" w:rsidRDefault="009B0829" w:rsidP="009B0829">
      <w:pPr>
        <w:spacing w:after="0" w:line="240" w:lineRule="auto"/>
        <w:jc w:val="both"/>
        <w:rPr>
          <w:rFonts w:ascii="Verdana" w:eastAsia="Arial" w:hAnsi="Verdana" w:cs="Arial"/>
          <w:sz w:val="20"/>
          <w:szCs w:val="20"/>
        </w:rPr>
      </w:pPr>
    </w:p>
    <w:p w14:paraId="7FC8E2AA" w14:textId="77777777" w:rsidR="009B0829" w:rsidRPr="00135F30" w:rsidRDefault="009B0829" w:rsidP="009B0829">
      <w:pPr>
        <w:spacing w:after="0" w:line="240" w:lineRule="auto"/>
        <w:jc w:val="both"/>
        <w:rPr>
          <w:rFonts w:ascii="Verdana" w:eastAsia="Arial" w:hAnsi="Verdana" w:cs="Arial"/>
          <w:sz w:val="20"/>
          <w:szCs w:val="20"/>
        </w:rPr>
      </w:pPr>
    </w:p>
    <w:p w14:paraId="58ACA1AC" w14:textId="77777777" w:rsidR="009B0829" w:rsidRPr="00135F30" w:rsidRDefault="009B0829" w:rsidP="009B0829">
      <w:pPr>
        <w:spacing w:after="0" w:line="240" w:lineRule="auto"/>
        <w:jc w:val="both"/>
        <w:rPr>
          <w:rFonts w:ascii="Verdana" w:eastAsia="Arial" w:hAnsi="Verdana" w:cs="Arial"/>
          <w:sz w:val="20"/>
          <w:szCs w:val="20"/>
        </w:rPr>
      </w:pPr>
    </w:p>
    <w:p w14:paraId="71C31E85" w14:textId="77777777" w:rsidR="009B0829" w:rsidRPr="00135F30" w:rsidRDefault="009B0829" w:rsidP="009B0829">
      <w:pPr>
        <w:spacing w:after="0" w:line="240" w:lineRule="auto"/>
        <w:jc w:val="both"/>
        <w:rPr>
          <w:rFonts w:ascii="Verdana" w:eastAsia="Arial" w:hAnsi="Verdana" w:cs="Arial"/>
          <w:sz w:val="20"/>
          <w:szCs w:val="20"/>
        </w:rPr>
      </w:pPr>
    </w:p>
    <w:p w14:paraId="6576C8C1" w14:textId="77777777" w:rsidR="009B0829" w:rsidRPr="00135F30" w:rsidRDefault="009B0829" w:rsidP="009B0829">
      <w:pPr>
        <w:spacing w:after="0" w:line="240" w:lineRule="auto"/>
        <w:jc w:val="both"/>
        <w:rPr>
          <w:rFonts w:ascii="Verdana" w:eastAsia="Arial" w:hAnsi="Verdana" w:cs="Arial"/>
          <w:sz w:val="20"/>
          <w:szCs w:val="20"/>
        </w:rPr>
      </w:pPr>
    </w:p>
    <w:p w14:paraId="19007872" w14:textId="77777777" w:rsidR="009B0829" w:rsidRPr="00135F30" w:rsidRDefault="009B0829" w:rsidP="009B0829">
      <w:pPr>
        <w:spacing w:after="0" w:line="240" w:lineRule="auto"/>
        <w:jc w:val="both"/>
        <w:rPr>
          <w:rFonts w:ascii="Verdana" w:eastAsia="Arial" w:hAnsi="Verdana" w:cs="Arial"/>
          <w:sz w:val="20"/>
          <w:szCs w:val="20"/>
        </w:rPr>
      </w:pPr>
    </w:p>
    <w:p w14:paraId="42196935" w14:textId="77777777" w:rsidR="009B0829" w:rsidRPr="00135F30" w:rsidRDefault="009B0829" w:rsidP="009B0829">
      <w:pPr>
        <w:spacing w:after="0" w:line="240" w:lineRule="auto"/>
        <w:jc w:val="both"/>
        <w:rPr>
          <w:rFonts w:ascii="Verdana" w:eastAsia="Arial" w:hAnsi="Verdana" w:cs="Arial"/>
          <w:sz w:val="20"/>
          <w:szCs w:val="20"/>
        </w:rPr>
      </w:pPr>
    </w:p>
    <w:p w14:paraId="63E5EE25" w14:textId="77777777" w:rsidR="009B0829" w:rsidRPr="00135F30" w:rsidRDefault="009B0829" w:rsidP="009B0829">
      <w:pPr>
        <w:spacing w:after="0" w:line="240" w:lineRule="auto"/>
        <w:jc w:val="both"/>
        <w:rPr>
          <w:rFonts w:ascii="Verdana" w:eastAsia="Arial" w:hAnsi="Verdana" w:cs="Arial"/>
          <w:sz w:val="20"/>
          <w:szCs w:val="20"/>
        </w:rPr>
      </w:pPr>
    </w:p>
    <w:p w14:paraId="06EDDDC2" w14:textId="77777777" w:rsidR="009B0829" w:rsidRPr="00135F30" w:rsidRDefault="009B0829" w:rsidP="009B0829">
      <w:pPr>
        <w:spacing w:after="0" w:line="240" w:lineRule="auto"/>
        <w:jc w:val="both"/>
        <w:rPr>
          <w:rFonts w:ascii="Verdana" w:eastAsia="Arial" w:hAnsi="Verdana" w:cs="Arial"/>
          <w:sz w:val="20"/>
          <w:szCs w:val="20"/>
        </w:rPr>
      </w:pPr>
    </w:p>
    <w:p w14:paraId="6E61068F" w14:textId="77777777" w:rsidR="009B0829" w:rsidRPr="00135F30" w:rsidRDefault="009B0829" w:rsidP="009B0829">
      <w:pPr>
        <w:spacing w:after="0" w:line="240" w:lineRule="auto"/>
        <w:jc w:val="both"/>
        <w:rPr>
          <w:rFonts w:ascii="Verdana" w:eastAsia="Arial" w:hAnsi="Verdana" w:cs="Arial"/>
          <w:sz w:val="20"/>
          <w:szCs w:val="20"/>
        </w:rPr>
      </w:pPr>
    </w:p>
    <w:p w14:paraId="1B4586CD" w14:textId="77777777" w:rsidR="009B0829" w:rsidRPr="00135F30" w:rsidRDefault="009B0829" w:rsidP="009B0829">
      <w:pPr>
        <w:spacing w:after="0" w:line="240" w:lineRule="auto"/>
        <w:jc w:val="both"/>
        <w:rPr>
          <w:rFonts w:ascii="Verdana" w:eastAsia="Arial" w:hAnsi="Verdana" w:cs="Arial"/>
          <w:sz w:val="20"/>
          <w:szCs w:val="20"/>
        </w:rPr>
      </w:pPr>
    </w:p>
    <w:p w14:paraId="55511AD9" w14:textId="77777777" w:rsidR="009B0829" w:rsidRPr="00135F30" w:rsidRDefault="009B0829" w:rsidP="009B0829">
      <w:pPr>
        <w:spacing w:after="0" w:line="240" w:lineRule="auto"/>
        <w:jc w:val="both"/>
        <w:rPr>
          <w:rFonts w:ascii="Verdana" w:eastAsia="Arial" w:hAnsi="Verdana" w:cs="Arial"/>
          <w:sz w:val="20"/>
          <w:szCs w:val="20"/>
        </w:rPr>
      </w:pPr>
    </w:p>
    <w:p w14:paraId="237FCF66" w14:textId="77777777" w:rsidR="009B0829" w:rsidRPr="00135F30" w:rsidRDefault="009B0829" w:rsidP="009B0829">
      <w:pPr>
        <w:spacing w:after="0" w:line="240" w:lineRule="auto"/>
        <w:jc w:val="both"/>
        <w:rPr>
          <w:rFonts w:ascii="Verdana" w:eastAsia="Arial" w:hAnsi="Verdana" w:cs="Arial"/>
          <w:sz w:val="20"/>
          <w:szCs w:val="20"/>
        </w:rPr>
      </w:pPr>
    </w:p>
    <w:p w14:paraId="79444A5A" w14:textId="77777777" w:rsidR="009B0829" w:rsidRPr="00135F30" w:rsidRDefault="009B0829" w:rsidP="009B0829">
      <w:pPr>
        <w:spacing w:after="0" w:line="240" w:lineRule="auto"/>
        <w:jc w:val="both"/>
        <w:rPr>
          <w:rFonts w:ascii="Verdana" w:eastAsia="Arial" w:hAnsi="Verdana" w:cs="Arial"/>
          <w:sz w:val="20"/>
          <w:szCs w:val="20"/>
        </w:rPr>
      </w:pPr>
    </w:p>
    <w:p w14:paraId="4BE557C7" w14:textId="77777777" w:rsidR="009B0829" w:rsidRPr="00135F30" w:rsidRDefault="009B0829" w:rsidP="009B0829">
      <w:pPr>
        <w:spacing w:after="0" w:line="240" w:lineRule="auto"/>
        <w:jc w:val="both"/>
        <w:rPr>
          <w:rFonts w:ascii="Verdana" w:eastAsia="Arial" w:hAnsi="Verdana" w:cs="Arial"/>
          <w:sz w:val="20"/>
          <w:szCs w:val="20"/>
        </w:rPr>
      </w:pPr>
    </w:p>
    <w:p w14:paraId="38655B83" w14:textId="77777777" w:rsidR="009B0829" w:rsidRPr="00135F30" w:rsidRDefault="009B0829" w:rsidP="009B0829">
      <w:pPr>
        <w:spacing w:after="0" w:line="240" w:lineRule="auto"/>
        <w:jc w:val="both"/>
        <w:rPr>
          <w:rFonts w:ascii="Verdana" w:eastAsia="Arial" w:hAnsi="Verdana" w:cs="Arial"/>
          <w:sz w:val="20"/>
          <w:szCs w:val="20"/>
        </w:rPr>
      </w:pPr>
    </w:p>
    <w:p w14:paraId="237491D9" w14:textId="77777777" w:rsidR="009B0829" w:rsidRPr="00135F30" w:rsidRDefault="009B0829" w:rsidP="009B0829">
      <w:pPr>
        <w:spacing w:after="0" w:line="240" w:lineRule="auto"/>
        <w:jc w:val="both"/>
        <w:rPr>
          <w:rFonts w:ascii="Verdana" w:eastAsia="Arial" w:hAnsi="Verdana" w:cs="Arial"/>
          <w:sz w:val="20"/>
          <w:szCs w:val="20"/>
        </w:rPr>
      </w:pPr>
    </w:p>
    <w:p w14:paraId="4A0C02D4" w14:textId="77777777" w:rsidR="009B0829" w:rsidRPr="00135F30" w:rsidRDefault="009B0829" w:rsidP="009B0829">
      <w:pPr>
        <w:spacing w:after="0" w:line="240" w:lineRule="auto"/>
        <w:jc w:val="both"/>
        <w:rPr>
          <w:rFonts w:ascii="Verdana" w:eastAsia="Arial" w:hAnsi="Verdana" w:cs="Arial"/>
          <w:sz w:val="20"/>
          <w:szCs w:val="20"/>
        </w:rPr>
      </w:pPr>
    </w:p>
    <w:p w14:paraId="49D5666B" w14:textId="77777777" w:rsidR="009B0829" w:rsidRPr="00135F30" w:rsidRDefault="009B0829" w:rsidP="009B0829">
      <w:pPr>
        <w:spacing w:after="0" w:line="276" w:lineRule="auto"/>
        <w:jc w:val="both"/>
        <w:rPr>
          <w:rFonts w:ascii="Aptos" w:eastAsia="Aptos" w:hAnsi="Aptos" w:cs="Arial"/>
        </w:rPr>
      </w:pPr>
    </w:p>
    <w:p w14:paraId="1AC6E3D3" w14:textId="77777777" w:rsidR="009B0829" w:rsidRPr="00135F30" w:rsidRDefault="009B0829" w:rsidP="009B0829">
      <w:pPr>
        <w:spacing w:after="0" w:line="240" w:lineRule="auto"/>
        <w:rPr>
          <w:rFonts w:ascii="Verdana" w:eastAsia="Aptos" w:hAnsi="Verdana" w:cs="Times New Roman"/>
          <w:sz w:val="20"/>
          <w:szCs w:val="20"/>
        </w:rPr>
      </w:pPr>
    </w:p>
    <w:p w14:paraId="5B1EDE08" w14:textId="58E9840D" w:rsidR="009B0829" w:rsidRPr="00135F30" w:rsidRDefault="009B0829" w:rsidP="009B0829">
      <w:pPr>
        <w:spacing w:after="0" w:line="240" w:lineRule="auto"/>
        <w:rPr>
          <w:rFonts w:ascii="Verdana" w:eastAsia="Geomanist Light" w:hAnsi="Verdana" w:cs="Arial"/>
          <w:lang w:val="es-MX"/>
        </w:rPr>
      </w:pPr>
      <w:r w:rsidRPr="00135F30">
        <w:rPr>
          <w:rFonts w:ascii="Verdana" w:eastAsia="Geomanist Light" w:hAnsi="Verdana" w:cs="Arial"/>
          <w:lang w:val="es-MX"/>
        </w:rPr>
        <w:t>Bogotá D.C.,</w:t>
      </w:r>
      <w:r w:rsidR="00CC0AC6">
        <w:rPr>
          <w:rFonts w:ascii="Verdana" w:eastAsia="Geomanist Light" w:hAnsi="Verdana" w:cs="Arial"/>
          <w:lang w:val="es-MX"/>
        </w:rPr>
        <w:t xml:space="preserve"> 27 de marzo de 2026</w:t>
      </w:r>
    </w:p>
    <w:p w14:paraId="4A38C494" w14:textId="2356E8A9" w:rsidR="009B0829" w:rsidRPr="00135F30" w:rsidRDefault="00730173" w:rsidP="009B0829">
      <w:pPr>
        <w:spacing w:after="0" w:line="240" w:lineRule="auto"/>
        <w:jc w:val="right"/>
        <w:rPr>
          <w:rFonts w:ascii="Verdana" w:eastAsia="Calibri" w:hAnsi="Verdana" w:cs="Arial"/>
          <w:lang w:val="es-ES"/>
        </w:rPr>
      </w:pPr>
      <w:r w:rsidRPr="00730173">
        <w:rPr>
          <w:rFonts w:ascii="Verdana" w:eastAsia="Calibri" w:hAnsi="Verdana" w:cs="Arial"/>
          <w:lang w:val="es-ES"/>
        </w:rPr>
        <w:drawing>
          <wp:inline distT="0" distB="0" distL="0" distR="0" wp14:anchorId="58285F34" wp14:editId="1FD9367E">
            <wp:extent cx="1695687" cy="495369"/>
            <wp:effectExtent l="0" t="0" r="0" b="0"/>
            <wp:docPr id="20380179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017983" name=""/>
                    <pic:cNvPicPr/>
                  </pic:nvPicPr>
                  <pic:blipFill>
                    <a:blip r:embed="rId10"/>
                    <a:stretch>
                      <a:fillRect/>
                    </a:stretch>
                  </pic:blipFill>
                  <pic:spPr>
                    <a:xfrm>
                      <a:off x="0" y="0"/>
                      <a:ext cx="1695687" cy="495369"/>
                    </a:xfrm>
                    <a:prstGeom prst="rect">
                      <a:avLst/>
                    </a:prstGeom>
                  </pic:spPr>
                </pic:pic>
              </a:graphicData>
            </a:graphic>
          </wp:inline>
        </w:drawing>
      </w:r>
    </w:p>
    <w:p w14:paraId="7EDA3C47" w14:textId="77777777" w:rsidR="009B0829" w:rsidRPr="00135F30" w:rsidRDefault="009B0829" w:rsidP="009B0829">
      <w:pPr>
        <w:spacing w:after="0" w:line="240" w:lineRule="auto"/>
        <w:jc w:val="both"/>
        <w:rPr>
          <w:rFonts w:ascii="Verdana" w:eastAsia="Calibri" w:hAnsi="Verdana" w:cs="Arial"/>
          <w:lang w:val="es-ES" w:eastAsia="es-ES"/>
        </w:rPr>
      </w:pPr>
      <w:r w:rsidRPr="00135F30">
        <w:rPr>
          <w:rFonts w:ascii="Verdana" w:eastAsia="Calibri" w:hAnsi="Verdana" w:cs="Arial"/>
          <w:lang w:val="es-ES" w:eastAsia="es-ES"/>
        </w:rPr>
        <w:t>Señora</w:t>
      </w:r>
    </w:p>
    <w:p w14:paraId="154759D2" w14:textId="77777777" w:rsidR="009B0829" w:rsidRPr="00135F30" w:rsidRDefault="009B0829" w:rsidP="009B0829">
      <w:pPr>
        <w:spacing w:after="0" w:line="240" w:lineRule="auto"/>
        <w:rPr>
          <w:rFonts w:ascii="Verdana" w:eastAsia="Calibri" w:hAnsi="Verdana" w:cs="Arial"/>
          <w:b/>
          <w:lang w:val="es-ES" w:eastAsia="es-ES"/>
        </w:rPr>
      </w:pPr>
      <w:r w:rsidRPr="00135F30">
        <w:rPr>
          <w:rFonts w:ascii="Verdana" w:eastAsia="Calibri" w:hAnsi="Verdana" w:cs="Arial"/>
          <w:b/>
          <w:lang w:val="es-ES" w:eastAsia="es-ES"/>
        </w:rPr>
        <w:t>Luisa Adriana Cely Ramos</w:t>
      </w:r>
    </w:p>
    <w:p w14:paraId="6D4D81A9" w14:textId="77777777" w:rsidR="009B0829" w:rsidRPr="00135F30" w:rsidRDefault="009B0829" w:rsidP="009B0829">
      <w:pPr>
        <w:spacing w:after="0" w:line="240" w:lineRule="auto"/>
        <w:rPr>
          <w:rFonts w:ascii="Verdana" w:eastAsia="Aptos" w:hAnsi="Verdana" w:cs="Arial"/>
        </w:rPr>
      </w:pPr>
      <w:hyperlink r:id="rId11" w:history="1">
        <w:r w:rsidRPr="00135F30">
          <w:rPr>
            <w:rFonts w:ascii="Verdana" w:eastAsia="Aptos" w:hAnsi="Verdana" w:cs="Arial"/>
            <w:color w:val="467886"/>
            <w:u w:val="single"/>
          </w:rPr>
          <w:t>lucely@dnp.gov.co</w:t>
        </w:r>
      </w:hyperlink>
    </w:p>
    <w:p w14:paraId="51742F53" w14:textId="77777777" w:rsidR="009B0829" w:rsidRPr="00135F30" w:rsidRDefault="009B0829" w:rsidP="009B0829">
      <w:pPr>
        <w:spacing w:after="0" w:line="240" w:lineRule="auto"/>
        <w:rPr>
          <w:rFonts w:ascii="Verdana" w:eastAsia="Calibri" w:hAnsi="Verdana" w:cs="Arial"/>
          <w:b/>
          <w:bCs/>
          <w:lang w:val="es-ES" w:eastAsia="es-ES"/>
        </w:rPr>
      </w:pPr>
      <w:r w:rsidRPr="00135F30">
        <w:rPr>
          <w:rFonts w:ascii="Verdana" w:eastAsia="Calibri" w:hAnsi="Verdana" w:cs="Arial"/>
          <w:lang w:val="es-ES" w:eastAsia="es-ES"/>
        </w:rPr>
        <w:t>Ciudad</w:t>
      </w:r>
    </w:p>
    <w:p w14:paraId="71485199" w14:textId="77777777" w:rsidR="009B0829" w:rsidRPr="00135F30" w:rsidRDefault="009B0829" w:rsidP="009B0829">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B0829" w:rsidRPr="00135F30" w14:paraId="15A23FA2" w14:textId="77777777" w:rsidTr="00EE3DD5">
        <w:trPr>
          <w:trHeight w:val="85"/>
        </w:trPr>
        <w:tc>
          <w:tcPr>
            <w:tcW w:w="2689" w:type="dxa"/>
          </w:tcPr>
          <w:p w14:paraId="7E6F6199" w14:textId="77777777" w:rsidR="009B0829" w:rsidRPr="00135F30" w:rsidRDefault="009B0829" w:rsidP="00EE3DD5">
            <w:pPr>
              <w:jc w:val="both"/>
              <w:rPr>
                <w:rFonts w:ascii="Verdana" w:eastAsia="Calibri" w:hAnsi="Verdana" w:cs="Arial"/>
                <w:b/>
                <w:bCs/>
                <w:lang w:val="es-ES_tradnl" w:eastAsia="es-ES_tradnl"/>
              </w:rPr>
            </w:pPr>
          </w:p>
        </w:tc>
        <w:tc>
          <w:tcPr>
            <w:tcW w:w="6100" w:type="dxa"/>
          </w:tcPr>
          <w:p w14:paraId="12003713" w14:textId="77777777" w:rsidR="009B0829" w:rsidRDefault="009B0829" w:rsidP="00EE3DD5">
            <w:pPr>
              <w:jc w:val="both"/>
              <w:rPr>
                <w:rFonts w:ascii="Verdana" w:eastAsia="Calibri" w:hAnsi="Verdana" w:cs="Arial"/>
                <w:b/>
                <w:bCs/>
                <w:lang w:val="es-ES" w:eastAsia="es-ES"/>
              </w:rPr>
            </w:pPr>
            <w:r w:rsidRPr="00135F30">
              <w:rPr>
                <w:rFonts w:ascii="Verdana" w:eastAsia="Calibri" w:hAnsi="Verdana" w:cs="Arial"/>
                <w:b/>
                <w:bCs/>
                <w:lang w:val="es-ES" w:eastAsia="es-ES"/>
              </w:rPr>
              <w:t>Concepto C-235 de 2026</w:t>
            </w:r>
          </w:p>
          <w:p w14:paraId="2D4D9D8F" w14:textId="77777777" w:rsidR="009B0829" w:rsidRPr="00135F30" w:rsidRDefault="009B0829" w:rsidP="00EE3DD5">
            <w:pPr>
              <w:jc w:val="both"/>
              <w:rPr>
                <w:rFonts w:ascii="Verdana" w:eastAsia="Calibri" w:hAnsi="Verdana" w:cs="Arial"/>
                <w:b/>
                <w:bCs/>
                <w:lang w:val="es-ES" w:eastAsia="es-ES"/>
              </w:rPr>
            </w:pPr>
          </w:p>
        </w:tc>
      </w:tr>
      <w:tr w:rsidR="009B0829" w:rsidRPr="00135F30" w14:paraId="2CB0E11D" w14:textId="77777777" w:rsidTr="00EE3DD5">
        <w:trPr>
          <w:trHeight w:val="884"/>
        </w:trPr>
        <w:tc>
          <w:tcPr>
            <w:tcW w:w="2689" w:type="dxa"/>
          </w:tcPr>
          <w:p w14:paraId="0C6FE4AC" w14:textId="77777777" w:rsidR="009B0829" w:rsidRPr="00135F30" w:rsidRDefault="009B0829" w:rsidP="00EE3DD5">
            <w:pPr>
              <w:jc w:val="both"/>
              <w:rPr>
                <w:rFonts w:ascii="Verdana" w:eastAsia="Calibri" w:hAnsi="Verdana" w:cs="Arial"/>
                <w:lang w:val="es-ES_tradnl" w:eastAsia="es-ES_tradnl"/>
              </w:rPr>
            </w:pPr>
            <w:r w:rsidRPr="00135F30">
              <w:rPr>
                <w:rFonts w:ascii="Verdana" w:eastAsia="Calibri" w:hAnsi="Verdana" w:cs="Arial"/>
                <w:b/>
                <w:lang w:val="es-ES_tradnl" w:eastAsia="es-ES_tradnl"/>
              </w:rPr>
              <w:t>Temas:</w:t>
            </w:r>
            <w:r w:rsidRPr="00135F30">
              <w:rPr>
                <w:rFonts w:ascii="Verdana" w:eastAsia="Calibri" w:hAnsi="Verdana" w:cs="Arial"/>
                <w:lang w:val="es-ES_tradnl" w:eastAsia="es-ES_tradnl"/>
              </w:rPr>
              <w:t xml:space="preserve">                   </w:t>
            </w:r>
          </w:p>
        </w:tc>
        <w:tc>
          <w:tcPr>
            <w:tcW w:w="6100" w:type="dxa"/>
          </w:tcPr>
          <w:p w14:paraId="3BA46484" w14:textId="77777777" w:rsidR="009B0829" w:rsidRPr="00135F30" w:rsidRDefault="009B0829" w:rsidP="00EE3DD5">
            <w:pPr>
              <w:spacing w:line="276" w:lineRule="auto"/>
              <w:jc w:val="both"/>
              <w:rPr>
                <w:rFonts w:ascii="Verdana" w:eastAsia="Calibri" w:hAnsi="Verdana" w:cs="Arial"/>
                <w:lang w:val="es-ES" w:eastAsia="es-ES"/>
              </w:rPr>
            </w:pPr>
            <w:r w:rsidRPr="00135F30">
              <w:rPr>
                <w:rFonts w:ascii="Verdana" w:eastAsia="Calibri" w:hAnsi="Verdana" w:cs="Arial"/>
                <w:lang w:val="es-ES" w:eastAsia="es-ES"/>
              </w:rPr>
              <w:t>EJECUCIÓN DEL CONTRATO – Requisitos – No delimitación- Fechas para su inicio / DÍAS HÁBILES – Concepto – Cómputo de términos / DÍAS HÁBILES – Facultad de la administración – Condiciones mínimas</w:t>
            </w:r>
          </w:p>
        </w:tc>
      </w:tr>
    </w:tbl>
    <w:p w14:paraId="18B8E21D" w14:textId="77777777" w:rsidR="009B0829" w:rsidRPr="00135F30" w:rsidRDefault="009B0829" w:rsidP="009B0829">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B0829" w:rsidRPr="00135F30" w14:paraId="51297496" w14:textId="77777777" w:rsidTr="00EE3DD5">
        <w:tc>
          <w:tcPr>
            <w:tcW w:w="2689" w:type="dxa"/>
          </w:tcPr>
          <w:p w14:paraId="07C73E71" w14:textId="77777777" w:rsidR="009B0829" w:rsidRPr="00135F30" w:rsidRDefault="009B0829" w:rsidP="00EE3DD5">
            <w:pPr>
              <w:jc w:val="both"/>
              <w:rPr>
                <w:rFonts w:ascii="Verdana" w:eastAsia="Calibri" w:hAnsi="Verdana" w:cs="Arial"/>
                <w:b/>
                <w:lang w:val="es-ES_tradnl" w:eastAsia="es-ES_tradnl"/>
              </w:rPr>
            </w:pPr>
            <w:r w:rsidRPr="00135F30">
              <w:rPr>
                <w:rFonts w:ascii="Verdana" w:eastAsia="Calibri" w:hAnsi="Verdana" w:cs="Arial"/>
                <w:b/>
                <w:lang w:val="es-ES_tradnl" w:eastAsia="es-ES_tradnl"/>
              </w:rPr>
              <w:t>Radicación:</w:t>
            </w:r>
            <w:r w:rsidRPr="00135F30">
              <w:rPr>
                <w:rFonts w:ascii="Verdana" w:eastAsia="Calibri" w:hAnsi="Verdana" w:cs="Arial"/>
                <w:lang w:val="es-ES_tradnl" w:eastAsia="es-ES_tradnl"/>
              </w:rPr>
              <w:t xml:space="preserve">               </w:t>
            </w:r>
          </w:p>
        </w:tc>
        <w:tc>
          <w:tcPr>
            <w:tcW w:w="6100" w:type="dxa"/>
          </w:tcPr>
          <w:p w14:paraId="01B3289B" w14:textId="77777777" w:rsidR="009B0829" w:rsidRPr="00135F30" w:rsidRDefault="009B0829" w:rsidP="00EE3DD5">
            <w:pPr>
              <w:jc w:val="both"/>
              <w:rPr>
                <w:rFonts w:ascii="Verdana" w:eastAsia="Calibri" w:hAnsi="Verdana" w:cs="Arial"/>
                <w:lang w:val="es-ES_tradnl" w:eastAsia="es-ES_tradnl"/>
              </w:rPr>
            </w:pPr>
            <w:r w:rsidRPr="00135F30">
              <w:rPr>
                <w:rFonts w:ascii="Verdana" w:eastAsia="Calibri" w:hAnsi="Verdana" w:cs="Arial"/>
                <w:lang w:val="es-ES_tradnl" w:eastAsia="es-ES_tradnl"/>
              </w:rPr>
              <w:t>Respuesta a consulta con radicado No. 1_2026_02_17_002068</w:t>
            </w:r>
          </w:p>
        </w:tc>
      </w:tr>
    </w:tbl>
    <w:p w14:paraId="3E6A73C3" w14:textId="77777777" w:rsidR="009B0829" w:rsidRPr="00135F30" w:rsidRDefault="009B0829" w:rsidP="009B0829">
      <w:pPr>
        <w:spacing w:after="0" w:line="240" w:lineRule="auto"/>
        <w:jc w:val="both"/>
        <w:rPr>
          <w:rFonts w:ascii="Verdana" w:eastAsia="Calibri" w:hAnsi="Verdana" w:cs="Arial"/>
          <w:lang w:val="es-ES_tradnl" w:eastAsia="es-ES_tradnl"/>
        </w:rPr>
      </w:pPr>
    </w:p>
    <w:p w14:paraId="14E7E572" w14:textId="77777777" w:rsidR="009B0829" w:rsidRPr="00135F30" w:rsidRDefault="009B0829" w:rsidP="009B0829">
      <w:pPr>
        <w:spacing w:after="0" w:line="240" w:lineRule="auto"/>
        <w:jc w:val="both"/>
        <w:rPr>
          <w:rFonts w:ascii="Verdana" w:eastAsia="Calibri" w:hAnsi="Verdana" w:cs="Arial"/>
          <w:lang w:val="es-ES_tradnl" w:eastAsia="es-ES_tradnl"/>
        </w:rPr>
      </w:pPr>
    </w:p>
    <w:p w14:paraId="1F5A0595" w14:textId="77777777" w:rsidR="009B0829" w:rsidRPr="00135F30" w:rsidRDefault="009B0829" w:rsidP="009B0829">
      <w:pPr>
        <w:spacing w:after="0" w:line="276" w:lineRule="auto"/>
        <w:jc w:val="both"/>
        <w:rPr>
          <w:rFonts w:ascii="Verdana" w:eastAsia="Calibri" w:hAnsi="Verdana" w:cs="Arial"/>
          <w:lang w:val="es-ES" w:eastAsia="es-ES"/>
        </w:rPr>
      </w:pPr>
      <w:r w:rsidRPr="00135F30">
        <w:rPr>
          <w:rFonts w:ascii="Verdana" w:eastAsia="Calibri" w:hAnsi="Verdana" w:cs="Arial"/>
          <w:lang w:val="es-ES" w:eastAsia="es-ES"/>
        </w:rPr>
        <w:t xml:space="preserve">Estimada señora Cely: </w:t>
      </w:r>
    </w:p>
    <w:p w14:paraId="5B94DD53" w14:textId="77777777" w:rsidR="009B0829" w:rsidRPr="00135F30" w:rsidRDefault="009B0829" w:rsidP="009B0829">
      <w:pPr>
        <w:tabs>
          <w:tab w:val="left" w:pos="3768"/>
        </w:tabs>
        <w:spacing w:after="0" w:line="276" w:lineRule="auto"/>
        <w:jc w:val="both"/>
        <w:rPr>
          <w:rFonts w:ascii="Verdana" w:eastAsia="Calibri" w:hAnsi="Verdana" w:cs="Arial"/>
          <w:lang w:val="es-ES" w:eastAsia="es-ES"/>
        </w:rPr>
      </w:pPr>
    </w:p>
    <w:p w14:paraId="78FB9BD4" w14:textId="77777777" w:rsidR="009B0829" w:rsidRPr="00135F30" w:rsidRDefault="009B0829" w:rsidP="009B0829">
      <w:pPr>
        <w:spacing w:after="0" w:line="276" w:lineRule="auto"/>
        <w:jc w:val="both"/>
        <w:rPr>
          <w:rFonts w:ascii="Verdana" w:eastAsia="Calibri" w:hAnsi="Verdana" w:cs="Arial"/>
          <w:lang w:val="es-ES" w:eastAsia="es-ES"/>
        </w:rPr>
      </w:pPr>
      <w:r w:rsidRPr="00135F30">
        <w:rPr>
          <w:rFonts w:ascii="Verdana" w:eastAsia="Calibri" w:hAnsi="Verdana" w:cs="Arial"/>
          <w:lang w:val="es-ES" w:eastAsia="es-ES"/>
        </w:rPr>
        <w:t>En ejercicio de la competencia otorgada por los artículos 3, numeral 5º, y 11, numeral 8º, del Decreto Ley 4170 de 2011,</w:t>
      </w:r>
      <w:r w:rsidRPr="00135F30">
        <w:rPr>
          <w:rFonts w:ascii="Verdana" w:eastAsia="Arial MT" w:hAnsi="Verdana" w:cs="Arial MT"/>
          <w:lang w:val="es-ES" w:eastAsia="es-ES"/>
        </w:rPr>
        <w:t xml:space="preserve"> </w:t>
      </w:r>
      <w:r w:rsidRPr="00135F30">
        <w:rPr>
          <w:rFonts w:ascii="Verdana" w:eastAsia="Aptos" w:hAnsi="Verdana" w:cs="Arial"/>
        </w:rPr>
        <w:t xml:space="preserve">así como lo establecido en el artículo 4 de la Resolución 1707 de 2018 expedida por esta Entidad, </w:t>
      </w:r>
      <w:r w:rsidRPr="00135F30">
        <w:rPr>
          <w:rFonts w:ascii="Verdana" w:eastAsia="Calibri" w:hAnsi="Verdana" w:cs="Arial"/>
          <w:lang w:val="es-ES" w:eastAsia="es-ES"/>
        </w:rPr>
        <w:t xml:space="preserve">la Agencia Nacional de Contratación Pública – Colombia Compra Eficiente– responde su petición del 16 de febrero de 2026, en la que realiza la siguiente consulta: </w:t>
      </w:r>
    </w:p>
    <w:p w14:paraId="67961CAF" w14:textId="77777777" w:rsidR="009B0829" w:rsidRPr="00135F30" w:rsidRDefault="009B0829" w:rsidP="009B0829">
      <w:pPr>
        <w:spacing w:after="0" w:line="276" w:lineRule="auto"/>
        <w:jc w:val="both"/>
        <w:rPr>
          <w:rFonts w:ascii="Verdana" w:eastAsia="Calibri" w:hAnsi="Verdana" w:cs="Arial"/>
          <w:lang w:val="es-ES" w:eastAsia="es-ES"/>
        </w:rPr>
      </w:pPr>
    </w:p>
    <w:p w14:paraId="04D74B68" w14:textId="77777777" w:rsidR="009B0829" w:rsidRPr="00135F30" w:rsidRDefault="009B0829" w:rsidP="009B0829">
      <w:pPr>
        <w:spacing w:after="0" w:line="240" w:lineRule="auto"/>
        <w:ind w:left="709" w:right="709"/>
        <w:jc w:val="both"/>
        <w:rPr>
          <w:rFonts w:ascii="Verdana" w:eastAsia="Calibri" w:hAnsi="Verdana" w:cs="Arial"/>
          <w:sz w:val="20"/>
          <w:szCs w:val="20"/>
          <w:lang w:val="es-MX"/>
        </w:rPr>
      </w:pPr>
      <w:r w:rsidRPr="00135F30">
        <w:rPr>
          <w:rFonts w:ascii="Verdana" w:eastAsia="Calibri" w:hAnsi="Verdana" w:cs="Arial"/>
          <w:sz w:val="20"/>
          <w:szCs w:val="20"/>
          <w:lang w:val="es-MX"/>
        </w:rPr>
        <w:t>[…] En atención a las disposiciones contenidas en el inciso 2 del artículo 41 de la Ley 80 de 1993 y demás normatividad aplicable en la materia, es posible que el inicio de un contrato estatal se adelante en fines de semana (es decir en días no hábiles), o necesariamente, los contratos deben iniciar en días hábiles conforme al horario de atención de la entidad.</w:t>
      </w:r>
    </w:p>
    <w:p w14:paraId="5274827D" w14:textId="77777777" w:rsidR="009B0829" w:rsidRPr="00135F30" w:rsidRDefault="009B0829" w:rsidP="009B0829">
      <w:pPr>
        <w:spacing w:after="0" w:line="240" w:lineRule="auto"/>
        <w:ind w:left="709" w:right="709"/>
        <w:jc w:val="both"/>
        <w:rPr>
          <w:rFonts w:ascii="Verdana" w:eastAsia="Calibri" w:hAnsi="Verdana" w:cs="Arial"/>
          <w:sz w:val="20"/>
          <w:szCs w:val="20"/>
          <w:lang w:val="es-MX"/>
        </w:rPr>
      </w:pPr>
      <w:r w:rsidRPr="00135F30">
        <w:rPr>
          <w:rFonts w:ascii="Verdana" w:eastAsia="Calibri" w:hAnsi="Verdana" w:cs="Arial"/>
          <w:sz w:val="20"/>
          <w:szCs w:val="20"/>
          <w:lang w:val="es-MX"/>
        </w:rPr>
        <w:t xml:space="preserve">[…]”. [sic] </w:t>
      </w:r>
    </w:p>
    <w:p w14:paraId="5ABEC79B" w14:textId="77777777" w:rsidR="009B0829" w:rsidRPr="00135F30" w:rsidRDefault="009B0829" w:rsidP="009B0829">
      <w:pPr>
        <w:spacing w:after="0" w:line="276" w:lineRule="auto"/>
        <w:jc w:val="both"/>
        <w:rPr>
          <w:rFonts w:ascii="Verdana" w:eastAsia="Calibri" w:hAnsi="Verdana" w:cs="Arial"/>
          <w:lang w:val="es-ES" w:eastAsia="es-ES"/>
        </w:rPr>
      </w:pPr>
    </w:p>
    <w:p w14:paraId="63FC691C" w14:textId="77777777" w:rsidR="009B0829" w:rsidRPr="00135F30" w:rsidRDefault="009B0829" w:rsidP="009B0829">
      <w:pPr>
        <w:spacing w:after="120" w:line="276" w:lineRule="auto"/>
        <w:jc w:val="both"/>
        <w:rPr>
          <w:rFonts w:ascii="Verdana" w:eastAsia="Calibri" w:hAnsi="Verdana" w:cs="Arial"/>
          <w:szCs w:val="24"/>
          <w:lang w:val="es-ES_tradnl" w:eastAsia="es-ES_tradnl"/>
        </w:rPr>
      </w:pPr>
      <w:r w:rsidRPr="00135F30">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135F30">
        <w:rPr>
          <w:rFonts w:ascii="Verdana" w:eastAsia="Calibri" w:hAnsi="Verdana" w:cs="Arial"/>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5595546" w14:textId="77777777" w:rsidR="009B0829" w:rsidRPr="00135F30" w:rsidRDefault="009B0829" w:rsidP="009B0829">
      <w:pPr>
        <w:spacing w:after="0" w:line="276" w:lineRule="auto"/>
        <w:ind w:firstLine="709"/>
        <w:jc w:val="both"/>
        <w:rPr>
          <w:rFonts w:ascii="Verdana" w:eastAsia="Calibri" w:hAnsi="Verdana" w:cs="Arial"/>
          <w:lang w:val="es-ES" w:eastAsia="es-ES"/>
        </w:rPr>
      </w:pPr>
      <w:r w:rsidRPr="00135F30">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2F29532B" w14:textId="77777777" w:rsidR="009B0829" w:rsidRPr="00135F30" w:rsidRDefault="009B0829" w:rsidP="009B0829">
      <w:pPr>
        <w:spacing w:after="0" w:line="276" w:lineRule="auto"/>
        <w:ind w:firstLine="709"/>
        <w:jc w:val="both"/>
        <w:rPr>
          <w:rFonts w:ascii="Verdana" w:eastAsia="Calibri" w:hAnsi="Verdana" w:cs="Arial"/>
          <w:lang w:val="es-ES" w:eastAsia="es-ES"/>
        </w:rPr>
      </w:pPr>
    </w:p>
    <w:p w14:paraId="5F68724F" w14:textId="77777777" w:rsidR="009B0829" w:rsidRPr="00135F30" w:rsidRDefault="009B0829" w:rsidP="009B0829">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135F30">
        <w:rPr>
          <w:rFonts w:ascii="Verdana" w:eastAsia="Arial" w:hAnsi="Verdana" w:cs="Arial"/>
          <w:b/>
          <w:bCs/>
          <w:lang w:val="es-ES"/>
        </w:rPr>
        <w:t>1. Problema planteado:</w:t>
      </w:r>
    </w:p>
    <w:p w14:paraId="44F62ACC" w14:textId="77777777" w:rsidR="009B0829" w:rsidRPr="00135F30" w:rsidRDefault="009B0829" w:rsidP="009B0829">
      <w:pPr>
        <w:tabs>
          <w:tab w:val="left" w:pos="426"/>
        </w:tabs>
        <w:spacing w:after="0" w:line="276" w:lineRule="auto"/>
        <w:jc w:val="both"/>
        <w:rPr>
          <w:rFonts w:ascii="Verdana" w:eastAsia="Century Gothic" w:hAnsi="Verdana" w:cs="Century Gothic"/>
          <w:lang w:val="es-ES"/>
        </w:rPr>
      </w:pPr>
    </w:p>
    <w:p w14:paraId="32D4B5BE" w14:textId="77777777" w:rsidR="009B0829" w:rsidRPr="00135F30" w:rsidRDefault="009B0829" w:rsidP="009B0829">
      <w:pPr>
        <w:spacing w:after="0" w:line="276" w:lineRule="auto"/>
        <w:jc w:val="both"/>
        <w:rPr>
          <w:rFonts w:ascii="Verdana" w:eastAsia="Century Gothic" w:hAnsi="Verdana" w:cs="Century Gothic"/>
        </w:rPr>
      </w:pPr>
      <w:r w:rsidRPr="00135F30">
        <w:rPr>
          <w:rFonts w:ascii="Verdana" w:eastAsia="Century Gothic" w:hAnsi="Verdana" w:cs="Century Gothic"/>
        </w:rPr>
        <w:t xml:space="preserve">De acuerdo con el contenido de su solicitud, le informamos que la misma se resolverá desde </w:t>
      </w:r>
      <w:bookmarkStart w:id="1" w:name="_Hlk171070029"/>
      <w:r w:rsidRPr="00135F30">
        <w:rPr>
          <w:rFonts w:ascii="Verdana" w:eastAsia="Century Gothic" w:hAnsi="Verdana" w:cs="Century Gothic"/>
        </w:rPr>
        <w:t>el siguiente interrogante: ¿Puede iniciarse la ejecución de un contrato estatal en días no hábiles?</w:t>
      </w:r>
    </w:p>
    <w:p w14:paraId="254D0780" w14:textId="77777777" w:rsidR="009B0829" w:rsidRPr="00135F30" w:rsidRDefault="009B0829" w:rsidP="009B0829">
      <w:pPr>
        <w:spacing w:after="0" w:line="276" w:lineRule="auto"/>
        <w:jc w:val="both"/>
        <w:rPr>
          <w:rFonts w:ascii="Verdana" w:eastAsia="Calibri" w:hAnsi="Verdana" w:cs="Arial"/>
          <w:lang w:val="es-ES"/>
        </w:rPr>
      </w:pPr>
    </w:p>
    <w:bookmarkEnd w:id="1"/>
    <w:p w14:paraId="17258C4C" w14:textId="77777777" w:rsidR="009B0829" w:rsidRPr="00135F30" w:rsidRDefault="009B0829" w:rsidP="009B0829">
      <w:pPr>
        <w:widowControl w:val="0"/>
        <w:autoSpaceDE w:val="0"/>
        <w:autoSpaceDN w:val="0"/>
        <w:spacing w:before="1" w:after="0" w:line="240" w:lineRule="auto"/>
        <w:jc w:val="both"/>
        <w:outlineLvl w:val="0"/>
        <w:rPr>
          <w:rFonts w:ascii="Verdana" w:eastAsia="Arial" w:hAnsi="Verdana" w:cs="Arial"/>
          <w:b/>
          <w:bCs/>
          <w:lang w:val="es-ES"/>
        </w:rPr>
      </w:pPr>
      <w:r w:rsidRPr="00135F30">
        <w:rPr>
          <w:rFonts w:ascii="Verdana" w:eastAsia="Arial" w:hAnsi="Verdana" w:cs="Arial"/>
          <w:b/>
          <w:bCs/>
          <w:lang w:val="es-ES"/>
        </w:rPr>
        <w:t>2. Respuesta:</w:t>
      </w:r>
    </w:p>
    <w:p w14:paraId="16840E70" w14:textId="77777777" w:rsidR="009B0829" w:rsidRPr="00135F30" w:rsidRDefault="009B0829" w:rsidP="009B0829">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B0829" w:rsidRPr="00135F30" w14:paraId="5184E788" w14:textId="77777777" w:rsidTr="00EE3DD5">
        <w:tc>
          <w:tcPr>
            <w:tcW w:w="8828" w:type="dxa"/>
          </w:tcPr>
          <w:p w14:paraId="632A9575" w14:textId="77777777" w:rsidR="009B0829" w:rsidRPr="00135F30" w:rsidRDefault="009B0829" w:rsidP="00EE3DD5">
            <w:pPr>
              <w:spacing w:before="120" w:line="276" w:lineRule="auto"/>
              <w:jc w:val="both"/>
              <w:rPr>
                <w:rFonts w:ascii="Verdana" w:eastAsia="Aptos" w:hAnsi="Verdana" w:cs="Times New Roman"/>
                <w:kern w:val="2"/>
                <w:lang w:val="es-ES_tradnl"/>
                <w14:ligatures w14:val="standardContextual"/>
              </w:rPr>
            </w:pPr>
            <w:bookmarkStart w:id="2" w:name="_Hlk171067516"/>
            <w:r w:rsidRPr="00135F30">
              <w:rPr>
                <w:rFonts w:ascii="Verdana" w:eastAsia="Aptos" w:hAnsi="Verdana" w:cs="Times New Roman"/>
                <w:kern w:val="2"/>
                <w:lang w:val="es-ES_tradnl"/>
                <w14:ligatures w14:val="standardContextual"/>
              </w:rPr>
              <w:t>Inicialmente debe precisarse que, el segundo inciso del artículo 41 de la Ley 80 de 1993, dispone que para la ejecución de los contratos estatales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73B4A13D" w14:textId="77777777" w:rsidR="009B0829" w:rsidRPr="00135F30" w:rsidRDefault="009B0829" w:rsidP="00EE3DD5">
            <w:pPr>
              <w:spacing w:before="120" w:line="276" w:lineRule="auto"/>
              <w:jc w:val="both"/>
              <w:rPr>
                <w:rFonts w:ascii="Verdana" w:eastAsia="Aptos" w:hAnsi="Verdana" w:cs="Times New Roman"/>
                <w:kern w:val="2"/>
                <w:lang w:val="es-ES"/>
                <w14:ligatures w14:val="standardContextual"/>
              </w:rPr>
            </w:pPr>
            <w:r w:rsidRPr="00135F30">
              <w:rPr>
                <w:rFonts w:ascii="Verdana" w:eastAsia="Aptos" w:hAnsi="Verdana" w:cs="Times New Roman"/>
                <w:kern w:val="2"/>
                <w:lang w:val="es-ES_tradnl"/>
                <w14:ligatures w14:val="standardContextual"/>
              </w:rPr>
              <w:tab/>
            </w:r>
            <w:r w:rsidRPr="434103B9">
              <w:rPr>
                <w:rFonts w:ascii="Verdana" w:eastAsia="Aptos" w:hAnsi="Verdana" w:cs="Times New Roman"/>
                <w:kern w:val="2"/>
                <w:lang w:val="es-ES"/>
                <w14:ligatures w14:val="standardContextual"/>
              </w:rPr>
              <w:t>La disposición anterior, no contempla delimitación alguna respecto de los términos, fechas o días en las que deban las Entidades Estatales iniciar</w:t>
            </w:r>
            <w:r>
              <w:rPr>
                <w:rFonts w:ascii="Verdana" w:eastAsia="Aptos" w:hAnsi="Verdana" w:cs="Times New Roman"/>
                <w:kern w:val="2"/>
                <w:lang w:val="es-ES"/>
                <w14:ligatures w14:val="standardContextual"/>
              </w:rPr>
              <w:t xml:space="preserve"> la </w:t>
            </w:r>
            <w:r>
              <w:rPr>
                <w:rFonts w:ascii="Verdana" w:eastAsia="Aptos" w:hAnsi="Verdana" w:cs="Times New Roman"/>
                <w:kern w:val="2"/>
                <w:lang w:val="es-ES"/>
                <w14:ligatures w14:val="standardContextual"/>
              </w:rPr>
              <w:lastRenderedPageBreak/>
              <w:t>ejecución del contrato</w:t>
            </w:r>
            <w:r w:rsidRPr="434103B9">
              <w:rPr>
                <w:rFonts w:ascii="Verdana" w:eastAsia="Aptos" w:hAnsi="Verdana" w:cs="Times New Roman"/>
                <w:kern w:val="2"/>
                <w:lang w:val="es-ES"/>
                <w14:ligatures w14:val="standardContextual"/>
              </w:rPr>
              <w:t>, pues solo se limita a establecer los requisitos legales para ello. En ese sentido, resulta a bien aclarar que la postura de esta Agencia respecto de la definición de días hábiles en los procesos de contratación pública, parte de la tesis según la cual no existe acepción unívoca de dicho concepto, pues no hay certidumbre de cuáles son los días de la semana que pueden entenderse como hábiles, y ello en principio posibilita a que las Entidades Estatales regulen de manera distinta los términos.</w:t>
            </w:r>
          </w:p>
          <w:p w14:paraId="739A8509" w14:textId="77777777" w:rsidR="009B0829" w:rsidRPr="00135F30" w:rsidRDefault="009B0829" w:rsidP="00EE3DD5">
            <w:pPr>
              <w:spacing w:before="120" w:line="276" w:lineRule="auto"/>
              <w:jc w:val="both"/>
              <w:rPr>
                <w:rFonts w:ascii="Verdana" w:eastAsia="Aptos" w:hAnsi="Verdana" w:cs="Times New Roman"/>
                <w:kern w:val="2"/>
                <w:lang w:val="es-ES"/>
                <w14:ligatures w14:val="standardContextual"/>
              </w:rPr>
            </w:pPr>
            <w:r w:rsidRPr="00135F30">
              <w:rPr>
                <w:rFonts w:ascii="Verdana" w:eastAsia="Aptos" w:hAnsi="Verdana" w:cs="Times New Roman"/>
                <w:kern w:val="2"/>
                <w:lang w:val="es-ES_tradnl"/>
                <w14:ligatures w14:val="standardContextual"/>
              </w:rPr>
              <w:tab/>
            </w:r>
            <w:r w:rsidRPr="434103B9">
              <w:rPr>
                <w:rFonts w:ascii="Verdana" w:eastAsia="Aptos" w:hAnsi="Verdana" w:cs="Times New Roman"/>
                <w:kern w:val="2"/>
                <w:lang w:val="es-ES"/>
                <w14:ligatures w14:val="standardContextual"/>
              </w:rPr>
              <w:t>En la misma línea, reiterando la facultad en cabeza de la Administración para establecer como hábiles, por ejemplo</w:t>
            </w:r>
            <w:r>
              <w:rPr>
                <w:rFonts w:ascii="Verdana" w:eastAsia="Aptos" w:hAnsi="Verdana" w:cs="Times New Roman"/>
                <w:kern w:val="2"/>
                <w:lang w:val="es-ES"/>
                <w14:ligatures w14:val="standardContextual"/>
              </w:rPr>
              <w:t>,</w:t>
            </w:r>
            <w:r w:rsidRPr="434103B9">
              <w:rPr>
                <w:rFonts w:ascii="Verdana" w:eastAsia="Aptos" w:hAnsi="Verdana" w:cs="Times New Roman"/>
                <w:kern w:val="2"/>
                <w:lang w:val="es-ES"/>
                <w14:ligatures w14:val="standardContextual"/>
              </w:rPr>
              <w:t xml:space="preserve"> los </w:t>
            </w:r>
            <w:proofErr w:type="gramStart"/>
            <w:r w:rsidRPr="434103B9">
              <w:rPr>
                <w:rFonts w:ascii="Verdana" w:eastAsia="Aptos" w:hAnsi="Verdana" w:cs="Times New Roman"/>
                <w:kern w:val="2"/>
                <w:lang w:val="es-ES"/>
                <w14:ligatures w14:val="standardContextual"/>
              </w:rPr>
              <w:t>días sábados</w:t>
            </w:r>
            <w:proofErr w:type="gramEnd"/>
            <w:r w:rsidRPr="434103B9">
              <w:rPr>
                <w:rFonts w:ascii="Verdana" w:eastAsia="Aptos" w:hAnsi="Verdana" w:cs="Times New Roman"/>
                <w:kern w:val="2"/>
                <w:lang w:val="es-ES"/>
                <w14:ligatures w14:val="standardContextual"/>
              </w:rPr>
              <w:t>, en la Sentencia del 29 de abril de 1983 el Consejo de Estado manifestó frente al artículo 62 de la Ley 4 de 1993 que: “[…] La Sala considera ésta una buena oportunidad para precisar el alcance de las disposiciones sobre los días hábiles e inhábiles. por regla general los sábados son días hábiles, pero si la administración ha dictado alguna norma general que considera inhábiles los sábados estos no pueden contarse en los términos de la ejecutoria”. Postura que comparte el Departamento Administrativo de la Función Pública –DAFP– en sus conceptos, cuando señala que: “[…] Cuando el plazo se haya fijado en días, estos se entienden hábiles, para lo cual se suprimen los feriados, entre los cuales se encuentran los domingos, festivos y los sábados cuando la administración ha dictado una norma que los considere inhábiles”.</w:t>
            </w:r>
          </w:p>
          <w:p w14:paraId="09EEAF6C" w14:textId="77777777" w:rsidR="009B0829" w:rsidRPr="00135F30" w:rsidRDefault="009B0829" w:rsidP="00EE3DD5">
            <w:pPr>
              <w:spacing w:before="120" w:line="276" w:lineRule="auto"/>
              <w:jc w:val="both"/>
              <w:rPr>
                <w:rFonts w:ascii="Verdana" w:eastAsia="Calibri" w:hAnsi="Verdana" w:cs="Arial"/>
              </w:rPr>
            </w:pPr>
            <w:r w:rsidRPr="00135F30">
              <w:rPr>
                <w:rFonts w:ascii="Verdana" w:eastAsia="Aptos" w:hAnsi="Verdana" w:cs="Times New Roman"/>
                <w:kern w:val="2"/>
                <w:lang w:val="es-ES_tradnl"/>
                <w14:ligatures w14:val="standardContextual"/>
              </w:rPr>
              <w:tab/>
              <w:t>De esta forma</w:t>
            </w:r>
            <w:r w:rsidRPr="00135F30">
              <w:rPr>
                <w:rFonts w:ascii="Verdana" w:eastAsia="Calibri" w:hAnsi="Verdana" w:cs="Arial"/>
              </w:rPr>
              <w:t xml:space="preserve"> la habilitación de los días feriados como días hábiles para efectos administrativos y de gestión contractual, resulta jurídicamente viable</w:t>
            </w:r>
            <w:r w:rsidRPr="00135F30">
              <w:rPr>
                <w:rFonts w:ascii="Verdana" w:eastAsia="Calibri" w:hAnsi="Verdana" w:cs="Arial"/>
                <w:bCs/>
              </w:rPr>
              <w:t xml:space="preserve"> y recaería en el </w:t>
            </w:r>
            <w:r w:rsidRPr="00135F30">
              <w:rPr>
                <w:rFonts w:ascii="Verdana" w:eastAsia="Calibri" w:hAnsi="Verdana" w:cs="Arial"/>
              </w:rPr>
              <w:t>ordenador del gasto de la Entidad Estatal, quien mediante acto administrativo debidamente motivado se encuentra facultado para declarar dichos días como hábiles según el caso, con el fin de adelantar trámites administrativos relacionados con la gestión contractual, durante el tiempo que se requiera. Dicha facultad encuentra respaldo en el artículo 209 de la Constitución Política, que impone a las autoridades administrativas el deber de coordinar sus actuaciones para el cumplimiento adecuado de los fines del Estado. No obstante, el ejercicio de esta facultad no es absoluto y debe cumplir condiciones mínimas de validez y eficacia, entre ellas: (i) la expedición de un acto administrativo expreso y motivado, (</w:t>
            </w:r>
            <w:proofErr w:type="spellStart"/>
            <w:r w:rsidRPr="00135F30">
              <w:rPr>
                <w:rFonts w:ascii="Verdana" w:eastAsia="Calibri" w:hAnsi="Verdana" w:cs="Arial"/>
              </w:rPr>
              <w:t>ii</w:t>
            </w:r>
            <w:proofErr w:type="spellEnd"/>
            <w:r w:rsidRPr="00135F30">
              <w:rPr>
                <w:rFonts w:ascii="Verdana" w:eastAsia="Calibri" w:hAnsi="Verdana" w:cs="Arial"/>
              </w:rPr>
              <w:t>) la adecuada publicidad de la decisión, y (</w:t>
            </w:r>
            <w:proofErr w:type="spellStart"/>
            <w:r w:rsidRPr="00135F30">
              <w:rPr>
                <w:rFonts w:ascii="Verdana" w:eastAsia="Calibri" w:hAnsi="Verdana" w:cs="Arial"/>
              </w:rPr>
              <w:t>iii</w:t>
            </w:r>
            <w:proofErr w:type="spellEnd"/>
            <w:r w:rsidRPr="00135F30">
              <w:rPr>
                <w:rFonts w:ascii="Verdana" w:eastAsia="Calibri" w:hAnsi="Verdana" w:cs="Arial"/>
              </w:rPr>
              <w:t xml:space="preserve">) su comunicación efectiva a todos los interesados actuales o potenciales del proceso de selección. Estas exigencias resultan indispensables para salvaguardar los principios de transparencia, igualdad, publicidad y </w:t>
            </w:r>
            <w:r w:rsidRPr="00135F30">
              <w:rPr>
                <w:rFonts w:ascii="Verdana" w:eastAsia="Calibri" w:hAnsi="Verdana" w:cs="Arial"/>
              </w:rPr>
              <w:lastRenderedPageBreak/>
              <w:t>selección objetiva que rigen la contratación estatal, evitando que la medida excepcional genere ventajas indebidas o afecte la libre concurrencia.</w:t>
            </w:r>
          </w:p>
          <w:p w14:paraId="24CC6D2C" w14:textId="77777777" w:rsidR="009B0829" w:rsidRPr="00135F30" w:rsidRDefault="009B0829" w:rsidP="00EE3DD5">
            <w:pPr>
              <w:spacing w:before="120" w:line="276" w:lineRule="auto"/>
              <w:ind w:firstLine="708"/>
              <w:jc w:val="both"/>
              <w:rPr>
                <w:rFonts w:ascii="Verdana" w:eastAsia="Aptos" w:hAnsi="Verdana" w:cs="Times New Roman"/>
                <w:kern w:val="2"/>
                <w:lang w:val="es-ES"/>
                <w14:ligatures w14:val="standardContextual"/>
              </w:rPr>
            </w:pPr>
            <w:r w:rsidRPr="434103B9">
              <w:rPr>
                <w:rFonts w:ascii="Verdana" w:eastAsia="Aptos" w:hAnsi="Verdana" w:cs="Times New Roman"/>
                <w:kern w:val="2"/>
                <w:lang w:val="es-ES"/>
                <w14:ligatures w14:val="standardContextual"/>
              </w:rPr>
              <w:t>Finalmente, debe advertirse que el análisis requerido para resolver problemas específicos en torno a los días en los que pueden adelantarse las gestiones contractuales,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bookmarkEnd w:id="2"/>
    </w:tbl>
    <w:p w14:paraId="72B32F3C" w14:textId="77777777" w:rsidR="009B0829" w:rsidRPr="00135F30" w:rsidRDefault="009B0829" w:rsidP="009B0829">
      <w:pPr>
        <w:widowControl w:val="0"/>
        <w:autoSpaceDE w:val="0"/>
        <w:autoSpaceDN w:val="0"/>
        <w:spacing w:before="1" w:after="0" w:line="240" w:lineRule="auto"/>
        <w:ind w:left="360" w:hanging="360"/>
        <w:outlineLvl w:val="0"/>
        <w:rPr>
          <w:rFonts w:ascii="Verdana" w:eastAsia="Arial" w:hAnsi="Verdana" w:cs="Arial"/>
          <w:b/>
        </w:rPr>
      </w:pPr>
    </w:p>
    <w:p w14:paraId="5F28010A" w14:textId="77777777" w:rsidR="009B0829" w:rsidRPr="00135F30" w:rsidRDefault="009B0829" w:rsidP="009B0829">
      <w:pPr>
        <w:widowControl w:val="0"/>
        <w:autoSpaceDE w:val="0"/>
        <w:autoSpaceDN w:val="0"/>
        <w:spacing w:before="1" w:after="0" w:line="240" w:lineRule="auto"/>
        <w:ind w:left="360" w:hanging="360"/>
        <w:outlineLvl w:val="0"/>
        <w:rPr>
          <w:rFonts w:ascii="Verdana" w:eastAsia="Arial" w:hAnsi="Verdana" w:cs="Arial"/>
          <w:b/>
          <w:bCs/>
          <w:lang w:val="es-ES"/>
        </w:rPr>
      </w:pPr>
      <w:r w:rsidRPr="00135F30">
        <w:rPr>
          <w:rFonts w:ascii="Verdana" w:eastAsia="Arial" w:hAnsi="Verdana" w:cs="Arial"/>
          <w:b/>
          <w:bCs/>
          <w:lang w:val="es-ES"/>
        </w:rPr>
        <w:t>3. Razones de la respuesta</w:t>
      </w:r>
    </w:p>
    <w:p w14:paraId="1CBCBA5F" w14:textId="77777777" w:rsidR="009B0829" w:rsidRPr="00135F30" w:rsidRDefault="009B0829" w:rsidP="009B0829">
      <w:pPr>
        <w:spacing w:after="0" w:line="276" w:lineRule="auto"/>
        <w:jc w:val="both"/>
        <w:rPr>
          <w:rFonts w:ascii="Verdana" w:eastAsia="Calibri" w:hAnsi="Verdana" w:cs="Arial"/>
          <w:lang w:val="es-ES"/>
        </w:rPr>
      </w:pPr>
    </w:p>
    <w:p w14:paraId="0F468AE8" w14:textId="77777777" w:rsidR="009B0829" w:rsidRPr="00135F30" w:rsidRDefault="009B0829" w:rsidP="009B0829">
      <w:pPr>
        <w:spacing w:after="0" w:line="276" w:lineRule="auto"/>
        <w:jc w:val="both"/>
        <w:rPr>
          <w:rFonts w:ascii="Verdana" w:eastAsia="Calibri" w:hAnsi="Verdana" w:cs="Arial"/>
          <w:lang w:val="es-ES"/>
        </w:rPr>
      </w:pPr>
      <w:r w:rsidRPr="00135F30">
        <w:rPr>
          <w:rFonts w:ascii="Verdana" w:eastAsia="Calibri" w:hAnsi="Verdana" w:cs="Arial"/>
          <w:lang w:val="es-ES"/>
        </w:rPr>
        <w:t xml:space="preserve">Las respuestas anteriores se sustentan en las siguientes consideraciones: </w:t>
      </w:r>
    </w:p>
    <w:p w14:paraId="204BA932" w14:textId="77777777" w:rsidR="009B0829" w:rsidRPr="00135F30" w:rsidRDefault="009B0829" w:rsidP="009B0829">
      <w:pPr>
        <w:spacing w:after="0" w:line="276" w:lineRule="auto"/>
        <w:jc w:val="both"/>
        <w:rPr>
          <w:rFonts w:ascii="Verdana" w:eastAsia="Calibri" w:hAnsi="Verdana" w:cs="Arial"/>
          <w:lang w:val="es-ES"/>
        </w:rPr>
      </w:pPr>
    </w:p>
    <w:p w14:paraId="11A69E83" w14:textId="77777777" w:rsidR="009B0829" w:rsidRPr="00135F30" w:rsidRDefault="009B0829" w:rsidP="009B0829">
      <w:pPr>
        <w:spacing w:after="0" w:line="276" w:lineRule="auto"/>
        <w:jc w:val="both"/>
        <w:rPr>
          <w:rFonts w:ascii="Verdana" w:eastAsia="Calibri" w:hAnsi="Verdana" w:cs="Arial"/>
          <w:lang w:val="es-ES"/>
        </w:rPr>
      </w:pPr>
      <w:r w:rsidRPr="00135F30">
        <w:rPr>
          <w:rFonts w:ascii="Verdana" w:eastAsia="Calibri" w:hAnsi="Verdana" w:cs="Arial"/>
          <w:lang w:val="es-ES"/>
        </w:rPr>
        <w:t>De manera preliminar, debe precisarse que el Estado, mediante la actividad contractual adquiere bienes, obras y servicios para cumplir los fines que le impone el ordenamiento jurídico, garantizando así la continuidad y eficiente prestación de los servicios públicos y la efectividad de los derechos e intereses de los administrados</w:t>
      </w:r>
      <w:r w:rsidRPr="00135F30">
        <w:rPr>
          <w:rFonts w:ascii="Verdana" w:eastAsia="Arial MT" w:hAnsi="Verdana" w:cs="Arial MT"/>
          <w:vertAlign w:val="superscript"/>
          <w:lang w:val="es-ES"/>
        </w:rPr>
        <w:footnoteReference w:id="1"/>
      </w:r>
      <w:r w:rsidRPr="00135F30">
        <w:rPr>
          <w:rFonts w:ascii="Verdana" w:eastAsia="Calibri" w:hAnsi="Verdana" w:cs="Arial"/>
          <w:lang w:val="es-ES"/>
        </w:rPr>
        <w:t>. Para la garantía de los fines de interés general, involucrados en la contratación de las Entidades Estatales, el Estatuto General de Contratación de la Administración Pública, en adelante EGCAP, señala que en la etapa de ejecución del contrato, las 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p>
    <w:p w14:paraId="401BB5AC" w14:textId="77777777" w:rsidR="009B0829" w:rsidRPr="00135F30" w:rsidRDefault="009B0829" w:rsidP="009B0829">
      <w:pPr>
        <w:spacing w:before="120" w:after="0" w:line="276" w:lineRule="auto"/>
        <w:jc w:val="both"/>
        <w:rPr>
          <w:rFonts w:ascii="Verdana" w:eastAsia="Calibri" w:hAnsi="Verdana" w:cs="Arial"/>
          <w:lang w:val="es-ES"/>
        </w:rPr>
      </w:pPr>
      <w:r w:rsidRPr="00135F30">
        <w:rPr>
          <w:rFonts w:ascii="Verdana" w:eastAsia="Calibri" w:hAnsi="Verdana" w:cs="Arial"/>
          <w:lang w:val="es-ES"/>
        </w:rPr>
        <w:tab/>
        <w:t xml:space="preserve">En ese sentido, el EGCAP prevé dos tipos de exigencias en relación con los contratos estatales, estas son: i) las relacionadas con el perfeccionamiento y </w:t>
      </w:r>
      <w:proofErr w:type="spellStart"/>
      <w:r w:rsidRPr="00135F30">
        <w:rPr>
          <w:rFonts w:ascii="Verdana" w:eastAsia="Calibri" w:hAnsi="Verdana" w:cs="Arial"/>
          <w:lang w:val="es-ES"/>
        </w:rPr>
        <w:t>ii</w:t>
      </w:r>
      <w:proofErr w:type="spellEnd"/>
      <w:r w:rsidRPr="00135F30">
        <w:rPr>
          <w:rFonts w:ascii="Verdana" w:eastAsia="Calibri" w:hAnsi="Verdana" w:cs="Arial"/>
          <w:lang w:val="es-ES"/>
        </w:rPr>
        <w:t>) las que tienen que ver con la ejecución. Si bien ambas se complementan y marcan el origen de la fase contractual –o de ejecución–, es importante distinguirlas, ya que las consecuencias jurídicas que generan son diferentes.</w:t>
      </w:r>
    </w:p>
    <w:p w14:paraId="0215562A" w14:textId="77777777" w:rsidR="009B0829" w:rsidRPr="00135F30" w:rsidRDefault="009B0829" w:rsidP="009B0829">
      <w:pPr>
        <w:spacing w:before="120" w:after="0" w:line="276" w:lineRule="auto"/>
        <w:ind w:firstLine="709"/>
        <w:jc w:val="both"/>
        <w:rPr>
          <w:rFonts w:ascii="Verdana" w:eastAsia="Calibri" w:hAnsi="Verdana" w:cs="Arial"/>
          <w:lang w:val="es-ES_tradnl"/>
        </w:rPr>
      </w:pPr>
      <w:r w:rsidRPr="00135F30">
        <w:rPr>
          <w:rFonts w:ascii="Verdana" w:eastAsia="Calibri" w:hAnsi="Verdana" w:cs="Arial"/>
          <w:lang w:val="es-ES_tradnl"/>
        </w:rPr>
        <w:lastRenderedPageBreak/>
        <w:t xml:space="preserve">Los </w:t>
      </w:r>
      <w:r w:rsidRPr="00135F30">
        <w:rPr>
          <w:rFonts w:ascii="Verdana" w:eastAsia="Calibri" w:hAnsi="Verdana" w:cs="Arial"/>
          <w:i/>
          <w:iCs/>
          <w:lang w:val="es-ES_tradnl"/>
        </w:rPr>
        <w:t>requisitos de perfeccionamiento</w:t>
      </w:r>
      <w:r w:rsidRPr="00135F30">
        <w:rPr>
          <w:rFonts w:ascii="Verdana" w:eastAsia="Calibri" w:hAnsi="Verdana" w:cs="Arial"/>
          <w:lang w:val="es-ES_tradnl"/>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Los de la </w:t>
      </w:r>
      <w:r w:rsidRPr="00135F30">
        <w:rPr>
          <w:rFonts w:ascii="Verdana" w:eastAsia="Calibri" w:hAnsi="Verdana" w:cs="Arial"/>
          <w:i/>
          <w:iCs/>
          <w:lang w:val="es-ES_tradnl"/>
        </w:rPr>
        <w:t>esencia</w:t>
      </w:r>
      <w:r w:rsidRPr="00135F30">
        <w:rPr>
          <w:rFonts w:ascii="Verdana" w:eastAsia="Calibri" w:hAnsi="Verdana" w:cs="Arial"/>
          <w:lang w:val="es-ES_tradnl"/>
        </w:rPr>
        <w:t xml:space="preserve"> son aquellos que, al cumplirse, marcan la existencia del contrato y le otorgan su identidad o tipología, permitiendo que no se confunda con otro contrato. Los de la </w:t>
      </w:r>
      <w:r w:rsidRPr="00135F30">
        <w:rPr>
          <w:rFonts w:ascii="Verdana" w:eastAsia="Calibri" w:hAnsi="Verdana" w:cs="Arial"/>
          <w:i/>
          <w:iCs/>
          <w:lang w:val="es-ES_tradnl"/>
        </w:rPr>
        <w:t>naturaleza</w:t>
      </w:r>
      <w:r w:rsidRPr="00135F30">
        <w:rPr>
          <w:rFonts w:ascii="Verdana" w:eastAsia="Calibri" w:hAnsi="Verdana" w:cs="Arial"/>
          <w:lang w:val="es-ES_tradnl"/>
        </w:rPr>
        <w:t xml:space="preserve"> son aquellos que, no siendo esenciales al contrato, se entienden incorporados por ministerio de la ley, aun ante el silencio de las partes. Y los </w:t>
      </w:r>
      <w:r w:rsidRPr="00135F30">
        <w:rPr>
          <w:rFonts w:ascii="Verdana" w:eastAsia="Calibri" w:hAnsi="Verdana" w:cs="Arial"/>
          <w:i/>
          <w:iCs/>
          <w:lang w:val="es-ES_tradnl"/>
        </w:rPr>
        <w:t>accidentales</w:t>
      </w:r>
      <w:r w:rsidRPr="00135F30">
        <w:rPr>
          <w:rFonts w:ascii="Verdana" w:eastAsia="Calibri" w:hAnsi="Verdana" w:cs="Arial"/>
          <w:lang w:val="es-ES_tradnl"/>
        </w:rPr>
        <w:t xml:space="preserve"> son los que las partes agregan en ejercicio de su autonomía de la voluntad, ya que no son ni esenciales, ni de la naturaleza del contrato</w:t>
      </w:r>
      <w:r w:rsidRPr="00135F30">
        <w:rPr>
          <w:rFonts w:ascii="Verdana" w:eastAsia="Calibri" w:hAnsi="Verdana" w:cs="Arial"/>
          <w:vertAlign w:val="superscript"/>
          <w:lang w:val="es-MX"/>
        </w:rPr>
        <w:footnoteReference w:id="2"/>
      </w:r>
      <w:r w:rsidRPr="00135F30">
        <w:rPr>
          <w:rFonts w:ascii="Verdana" w:eastAsia="Calibri" w:hAnsi="Verdana" w:cs="Arial"/>
          <w:lang w:val="es-ES_tradnl"/>
        </w:rPr>
        <w:t>. Los requisitos de perfeccionamiento del contrato estatal ingresan dentro de los elementos de la esencia.</w:t>
      </w:r>
    </w:p>
    <w:p w14:paraId="07973219" w14:textId="77777777" w:rsidR="009B0829" w:rsidRPr="00135F30" w:rsidRDefault="009B0829" w:rsidP="009B0829">
      <w:pPr>
        <w:spacing w:before="120" w:after="0" w:line="276" w:lineRule="auto"/>
        <w:ind w:firstLine="709"/>
        <w:jc w:val="both"/>
        <w:rPr>
          <w:rFonts w:ascii="Verdana" w:eastAsia="Calibri" w:hAnsi="Verdana" w:cs="Arial"/>
          <w:lang w:val="es-ES_tradnl"/>
        </w:rPr>
      </w:pPr>
      <w:r w:rsidRPr="00135F30">
        <w:rPr>
          <w:rFonts w:ascii="Verdana" w:eastAsia="Calibri" w:hAnsi="Verdana" w:cs="Arial"/>
          <w:lang w:val="es-ES_tradnl"/>
        </w:rPr>
        <w:t xml:space="preserve">Además, los contratos –en términos generales– pueden ser: consensuales, reales o solemnes. Son </w:t>
      </w:r>
      <w:r w:rsidRPr="00135F30">
        <w:rPr>
          <w:rFonts w:ascii="Verdana" w:eastAsia="Calibri" w:hAnsi="Verdana" w:cs="Arial"/>
          <w:i/>
          <w:iCs/>
          <w:lang w:val="es-ES_tradnl"/>
        </w:rPr>
        <w:t>consensuales</w:t>
      </w:r>
      <w:r w:rsidRPr="00135F30">
        <w:rPr>
          <w:rFonts w:ascii="Verdana" w:eastAsia="Calibri" w:hAnsi="Verdana" w:cs="Arial"/>
          <w:lang w:val="es-ES_tradnl"/>
        </w:rPr>
        <w:t xml:space="preserve"> los que se perfeccionan con el consentimiento informal, pues no requieren de formalidades especiales. Son </w:t>
      </w:r>
      <w:r w:rsidRPr="00135F30">
        <w:rPr>
          <w:rFonts w:ascii="Verdana" w:eastAsia="Calibri" w:hAnsi="Verdana" w:cs="Arial"/>
          <w:i/>
          <w:iCs/>
          <w:lang w:val="es-ES_tradnl"/>
        </w:rPr>
        <w:t>reales</w:t>
      </w:r>
      <w:r w:rsidRPr="00135F30">
        <w:rPr>
          <w:rFonts w:ascii="Verdana" w:eastAsia="Calibri" w:hAnsi="Verdana" w:cs="Arial"/>
          <w:lang w:val="es-ES_tradnl"/>
        </w:rPr>
        <w:t xml:space="preserve"> aquellos que existen solo con la tradición o entrega de una cosa. Por su parte, son </w:t>
      </w:r>
      <w:r w:rsidRPr="00135F30">
        <w:rPr>
          <w:rFonts w:ascii="Verdana" w:eastAsia="Calibri" w:hAnsi="Verdana" w:cs="Arial"/>
          <w:i/>
          <w:iCs/>
          <w:lang w:val="es-ES_tradnl"/>
        </w:rPr>
        <w:t>solemnes</w:t>
      </w:r>
      <w:r w:rsidRPr="00135F30">
        <w:rPr>
          <w:rFonts w:ascii="Verdana" w:eastAsia="Calibri" w:hAnsi="Verdana" w:cs="Arial"/>
          <w:lang w:val="es-ES_tradnl"/>
        </w:rPr>
        <w:t xml:space="preserve"> aquellos contratos cuyo perfeccionamiento está revestido del cumplimiento de exigencias formales o ritualidades específicas</w:t>
      </w:r>
      <w:r w:rsidRPr="00135F30">
        <w:rPr>
          <w:rFonts w:ascii="Verdana" w:eastAsia="Calibri" w:hAnsi="Verdana" w:cs="Arial"/>
          <w:vertAlign w:val="superscript"/>
          <w:lang w:val="es-MX"/>
        </w:rPr>
        <w:footnoteReference w:id="3"/>
      </w:r>
      <w:r w:rsidRPr="00135F30">
        <w:rPr>
          <w:rFonts w:ascii="Verdana" w:eastAsia="Calibri" w:hAnsi="Verdana" w:cs="Arial"/>
          <w:lang w:val="es-ES_tradnl"/>
        </w:rPr>
        <w:t>. Pues bien, los contratos estatales regulados por el Estatuto General de Contratación de la Administración Pública, por regla general, son solemnes, ya que solo se entienden celebrados si se cumplen ciertas formalidades. Esta regla general solo tiene una excepción, como se explicará.</w:t>
      </w:r>
    </w:p>
    <w:p w14:paraId="4E699C56" w14:textId="77777777" w:rsidR="009B0829" w:rsidRPr="00135F30" w:rsidRDefault="009B0829" w:rsidP="009B0829">
      <w:pPr>
        <w:spacing w:before="120" w:after="0" w:line="276" w:lineRule="auto"/>
        <w:ind w:firstLine="709"/>
        <w:jc w:val="both"/>
        <w:rPr>
          <w:rFonts w:ascii="Verdana" w:eastAsia="Calibri" w:hAnsi="Verdana" w:cs="Arial"/>
          <w:lang w:val="es-ES_tradnl"/>
        </w:rPr>
      </w:pPr>
      <w:r w:rsidRPr="00135F30">
        <w:rPr>
          <w:rFonts w:ascii="Verdana" w:eastAsia="Calibri" w:hAnsi="Verdana" w:cs="Arial"/>
          <w:lang w:val="es-ES_tradnl"/>
        </w:rPr>
        <w:t xml:space="preserve">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sobre la obligación principal del negocio –es decir, sobre el “objeto”– y sobre la contraprestación, sino que se debe plasmar por escrito. Tal circunstancia le ha permitido a la doctrina concluir que el contrato estatal </w:t>
      </w:r>
      <w:r w:rsidRPr="00135F30">
        <w:rPr>
          <w:rFonts w:ascii="Verdana" w:eastAsia="Calibri" w:hAnsi="Verdana" w:cs="Arial"/>
          <w:lang w:val="es-ES_tradnl"/>
        </w:rPr>
        <w:lastRenderedPageBreak/>
        <w:t xml:space="preserve">regulado en EGCAP es “[…] principalmente, solemne, ya que la manifestación de voluntad, si no se expresa bajo la forma ad </w:t>
      </w:r>
      <w:proofErr w:type="spellStart"/>
      <w:r w:rsidRPr="00135F30">
        <w:rPr>
          <w:rFonts w:ascii="Verdana" w:eastAsia="Calibri" w:hAnsi="Verdana" w:cs="Arial"/>
          <w:lang w:val="es-ES_tradnl"/>
        </w:rPr>
        <w:t>solemnitatem</w:t>
      </w:r>
      <w:proofErr w:type="spellEnd"/>
      <w:r w:rsidRPr="00135F30">
        <w:rPr>
          <w:rFonts w:ascii="Verdana" w:eastAsia="Calibri" w:hAnsi="Verdana" w:cs="Arial"/>
          <w:lang w:val="es-ES_tradnl"/>
        </w:rPr>
        <w:t xml:space="preserve"> o ad </w:t>
      </w:r>
      <w:proofErr w:type="spellStart"/>
      <w:r w:rsidRPr="00135F30">
        <w:rPr>
          <w:rFonts w:ascii="Verdana" w:eastAsia="Calibri" w:hAnsi="Verdana" w:cs="Arial"/>
          <w:lang w:val="es-ES_tradnl"/>
        </w:rPr>
        <w:t>substantiam</w:t>
      </w:r>
      <w:proofErr w:type="spellEnd"/>
      <w:r w:rsidRPr="00135F30">
        <w:rPr>
          <w:rFonts w:ascii="Verdana" w:eastAsia="Calibri" w:hAnsi="Verdana" w:cs="Arial"/>
          <w:lang w:val="es-ES_tradnl"/>
        </w:rPr>
        <w:t xml:space="preserve"> </w:t>
      </w:r>
      <w:proofErr w:type="spellStart"/>
      <w:r w:rsidRPr="00135F30">
        <w:rPr>
          <w:rFonts w:ascii="Verdana" w:eastAsia="Calibri" w:hAnsi="Verdana" w:cs="Arial"/>
          <w:lang w:val="es-ES_tradnl"/>
        </w:rPr>
        <w:t>actus</w:t>
      </w:r>
      <w:proofErr w:type="spellEnd"/>
      <w:r w:rsidRPr="00135F30">
        <w:rPr>
          <w:rFonts w:ascii="Verdana" w:eastAsia="Calibri" w:hAnsi="Verdana" w:cs="Arial"/>
          <w:lang w:val="es-ES_tradnl"/>
        </w:rPr>
        <w:t xml:space="preserve"> exigida por la ley, es inexistente, es decir, se entiende que el contrato jamás ha sido creado para el mundo jurídico”</w:t>
      </w:r>
      <w:r w:rsidRPr="00135F30">
        <w:rPr>
          <w:rFonts w:ascii="Verdana" w:eastAsia="Calibri" w:hAnsi="Verdana" w:cs="Arial"/>
          <w:vertAlign w:val="superscript"/>
          <w:lang w:val="es-MX"/>
        </w:rPr>
        <w:footnoteReference w:id="4"/>
      </w:r>
      <w:r w:rsidRPr="00135F30">
        <w:rPr>
          <w:rFonts w:ascii="Verdana" w:eastAsia="Calibri" w:hAnsi="Verdana" w:cs="Arial"/>
          <w:lang w:val="es-ES_tradnl"/>
        </w:rPr>
        <w:t xml:space="preserve">. </w:t>
      </w:r>
    </w:p>
    <w:p w14:paraId="449F6301" w14:textId="77777777" w:rsidR="009B0829" w:rsidRPr="00135F30" w:rsidRDefault="009B0829" w:rsidP="009B0829">
      <w:pPr>
        <w:spacing w:before="120" w:after="120" w:line="276" w:lineRule="auto"/>
        <w:jc w:val="both"/>
        <w:rPr>
          <w:rFonts w:ascii="Verdana" w:eastAsia="Calibri" w:hAnsi="Verdana" w:cs="Arial"/>
          <w:lang w:val="es-ES"/>
        </w:rPr>
      </w:pPr>
      <w:r w:rsidRPr="00135F30">
        <w:rPr>
          <w:rFonts w:ascii="Verdana" w:eastAsia="Calibri" w:hAnsi="Verdana" w:cs="Arial"/>
          <w:lang w:val="es-ES"/>
        </w:rPr>
        <w:tab/>
        <w:t xml:space="preserve">La excepción a esta regla se encuentra en el cuarto inciso del mismo artículo, según el cual, “[e]n caso de situaciones de urgencia manifiesta a que se refiere el artículo 42 de esta ley que no permitan la suscripción de contrato escrito, se prescindirá de éste y aún del acuerdo acerca de la remuneración, no obstante, deberá dejarse constancia escrita de la autorización impartida por la entidad estatal contratante”. En otras palabras, por regla general, los contratos estatales deben constar por escrito, salvo que se presente una situación de urgencia manifiesta en la que no haya tiempo de cumplir con esta formalidad. </w:t>
      </w:r>
    </w:p>
    <w:p w14:paraId="31A5EAC4" w14:textId="77777777" w:rsidR="009B0829" w:rsidRPr="00135F30" w:rsidRDefault="009B0829" w:rsidP="009B0829">
      <w:pPr>
        <w:spacing w:line="276" w:lineRule="auto"/>
        <w:jc w:val="both"/>
        <w:rPr>
          <w:rFonts w:ascii="Verdana" w:eastAsia="Calibri" w:hAnsi="Verdana" w:cs="Arial"/>
          <w:lang w:val="es-ES"/>
        </w:rPr>
      </w:pPr>
      <w:r w:rsidRPr="00135F30">
        <w:rPr>
          <w:rFonts w:ascii="Verdana" w:eastAsia="Calibri" w:hAnsi="Verdana" w:cs="Arial"/>
          <w:lang w:val="es-ES"/>
        </w:rPr>
        <w:tab/>
        <w:t xml:space="preserve">Analizados los requisitos de perfeccionamiento del contrato estatal, es necesario distinguirlos, por tanto, de los </w:t>
      </w:r>
      <w:r w:rsidRPr="00135F30">
        <w:rPr>
          <w:rFonts w:ascii="Verdana" w:eastAsia="Calibri" w:hAnsi="Verdana" w:cs="Arial"/>
          <w:i/>
          <w:iCs/>
          <w:lang w:val="es-ES"/>
        </w:rPr>
        <w:t xml:space="preserve">requisitos de ejecución, </w:t>
      </w:r>
      <w:r w:rsidRPr="00135F30">
        <w:rPr>
          <w:rFonts w:ascii="Verdana" w:eastAsia="Calibri" w:hAnsi="Verdana" w:cs="Arial"/>
          <w:lang w:val="es-ES"/>
        </w:rPr>
        <w:t xml:space="preserve">e indicar cuáles son las exigencias de esta segunda clase establecidas en el EGCAP. Si el cumplimiento de los requisitos de perfeccionamiento permite que el contrato exista, la observancia de los requisitos de ejecución posibilita el inicio de la fase de realización de las actividades pactadas en el contrato, es decir, el cumplimiento del objeto del negocio jurídico. </w:t>
      </w:r>
    </w:p>
    <w:p w14:paraId="452C2D08" w14:textId="77777777" w:rsidR="009B0829" w:rsidRPr="00135F30" w:rsidRDefault="009B0829" w:rsidP="009B0829">
      <w:pPr>
        <w:spacing w:line="276" w:lineRule="auto"/>
        <w:jc w:val="both"/>
        <w:rPr>
          <w:rFonts w:ascii="Verdana" w:eastAsia="Calibri" w:hAnsi="Verdana" w:cs="Arial"/>
          <w:lang w:val="es-ES"/>
        </w:rPr>
      </w:pPr>
      <w:r w:rsidRPr="00135F30">
        <w:rPr>
          <w:rFonts w:ascii="Verdana" w:eastAsia="Calibri" w:hAnsi="Verdana" w:cs="Arial"/>
          <w:lang w:val="es-ES"/>
        </w:rPr>
        <w:tab/>
        <w:t xml:space="preserve">En ese orden, los </w:t>
      </w:r>
      <w:r w:rsidRPr="00135F30">
        <w:rPr>
          <w:rFonts w:ascii="Verdana" w:eastAsia="Calibri" w:hAnsi="Verdana" w:cs="Arial"/>
          <w:i/>
          <w:iCs/>
          <w:lang w:val="es-ES"/>
        </w:rPr>
        <w:t xml:space="preserve">requisitos de ejecución </w:t>
      </w:r>
      <w:r w:rsidRPr="00135F30">
        <w:rPr>
          <w:rFonts w:ascii="Verdana" w:eastAsia="Calibri" w:hAnsi="Verdana" w:cs="Arial"/>
          <w:lang w:val="es-ES"/>
        </w:rPr>
        <w:t xml:space="preserve">de los contratos estatales pueden ser “legales” o “convencionales”. Los primeros son aquellos que se encuentran previstos en la ley. Los segundos son estipulados por las partes. En otros términos, los </w:t>
      </w:r>
      <w:r w:rsidRPr="00135F30">
        <w:rPr>
          <w:rFonts w:ascii="Verdana" w:eastAsia="Calibri" w:hAnsi="Verdana" w:cs="Arial"/>
          <w:i/>
          <w:iCs/>
          <w:lang w:val="es-ES"/>
        </w:rPr>
        <w:t xml:space="preserve">requisitos legales de ejecución </w:t>
      </w:r>
      <w:r w:rsidRPr="00135F30">
        <w:rPr>
          <w:rFonts w:ascii="Verdana" w:eastAsia="Calibri" w:hAnsi="Verdana" w:cs="Arial"/>
          <w:lang w:val="es-ES"/>
        </w:rPr>
        <w:t xml:space="preserve">son elementos de la </w:t>
      </w:r>
      <w:r w:rsidRPr="00135F30">
        <w:rPr>
          <w:rFonts w:ascii="Verdana" w:eastAsia="Calibri" w:hAnsi="Verdana" w:cs="Arial"/>
          <w:i/>
          <w:iCs/>
          <w:lang w:val="es-ES"/>
        </w:rPr>
        <w:t xml:space="preserve">naturaleza, </w:t>
      </w:r>
      <w:r w:rsidRPr="00135F30">
        <w:rPr>
          <w:rFonts w:ascii="Verdana" w:eastAsia="Calibri" w:hAnsi="Verdana" w:cs="Arial"/>
          <w:lang w:val="es-ES"/>
        </w:rPr>
        <w:t xml:space="preserve">mientras que los requisitos </w:t>
      </w:r>
      <w:r w:rsidRPr="00135F30">
        <w:rPr>
          <w:rFonts w:ascii="Verdana" w:eastAsia="Calibri" w:hAnsi="Verdana" w:cs="Arial"/>
          <w:i/>
          <w:iCs/>
          <w:lang w:val="es-ES"/>
        </w:rPr>
        <w:t xml:space="preserve">convencionales </w:t>
      </w:r>
      <w:r w:rsidRPr="00135F30">
        <w:rPr>
          <w:rFonts w:ascii="Verdana" w:eastAsia="Calibri" w:hAnsi="Verdana" w:cs="Arial"/>
          <w:lang w:val="es-ES"/>
        </w:rPr>
        <w:t xml:space="preserve">de ejecución son elementos </w:t>
      </w:r>
      <w:r w:rsidRPr="00135F30">
        <w:rPr>
          <w:rFonts w:ascii="Verdana" w:eastAsia="Calibri" w:hAnsi="Verdana" w:cs="Arial"/>
          <w:i/>
          <w:iCs/>
          <w:lang w:val="es-ES"/>
        </w:rPr>
        <w:t xml:space="preserve">accidentales. </w:t>
      </w:r>
      <w:r w:rsidRPr="00135F30">
        <w:rPr>
          <w:rFonts w:ascii="Verdana" w:eastAsia="Calibri" w:hAnsi="Verdana" w:cs="Arial"/>
          <w:lang w:val="es-ES"/>
        </w:rPr>
        <w:t xml:space="preserve">Para determinar lo anterior, conviene hacer referencia al segundo inciso del artículo 41 de la Ley 80 de 1993, modificado por el artículo 23 de la Ley 1150 de 2007. Dicha norma sobre los requisitos legales, establece: </w:t>
      </w:r>
    </w:p>
    <w:p w14:paraId="4AC85EDA" w14:textId="77777777" w:rsidR="009B0829" w:rsidRPr="00135F30" w:rsidRDefault="009B0829" w:rsidP="009B0829">
      <w:pPr>
        <w:spacing w:after="0" w:line="276" w:lineRule="auto"/>
        <w:jc w:val="both"/>
        <w:rPr>
          <w:rFonts w:ascii="Verdana" w:eastAsia="Calibri" w:hAnsi="Verdana" w:cs="Arial"/>
          <w:lang w:val="es-ES"/>
        </w:rPr>
      </w:pPr>
    </w:p>
    <w:p w14:paraId="03EBADF6" w14:textId="77777777" w:rsidR="009B0829" w:rsidRPr="00135F30" w:rsidRDefault="009B0829" w:rsidP="009B0829">
      <w:pPr>
        <w:spacing w:after="0" w:line="276" w:lineRule="auto"/>
        <w:ind w:left="708" w:right="709"/>
        <w:jc w:val="both"/>
        <w:rPr>
          <w:rFonts w:ascii="Verdana" w:eastAsia="Calibri" w:hAnsi="Verdana" w:cs="Arial"/>
        </w:rPr>
      </w:pPr>
      <w:r w:rsidRPr="00135F30">
        <w:rPr>
          <w:rFonts w:ascii="Verdana" w:eastAsia="Calibri" w:hAnsi="Verdana" w:cs="Arial"/>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w:t>
      </w:r>
      <w:r w:rsidRPr="00135F30">
        <w:rPr>
          <w:rFonts w:ascii="Verdana" w:eastAsia="Calibri" w:hAnsi="Verdana" w:cs="Arial"/>
        </w:rPr>
        <w:lastRenderedPageBreak/>
        <w:t>acreditar que se encuentran al día en el pago de aportes parafiscales relativos al Sistema de Seguridad Social Integral, así como los propios del Sena, ICBF y Cajas de Compensación Familiar, cuando corresponda”.</w:t>
      </w:r>
    </w:p>
    <w:p w14:paraId="037D64E7" w14:textId="77777777" w:rsidR="009B0829" w:rsidRPr="00135F30" w:rsidRDefault="009B0829" w:rsidP="009B0829">
      <w:pPr>
        <w:spacing w:after="0" w:line="276" w:lineRule="auto"/>
        <w:ind w:left="709" w:right="709"/>
        <w:jc w:val="both"/>
        <w:rPr>
          <w:rFonts w:ascii="Verdana" w:eastAsia="Calibri" w:hAnsi="Verdana" w:cs="Arial"/>
          <w:lang w:val="es-ES"/>
        </w:rPr>
      </w:pPr>
    </w:p>
    <w:p w14:paraId="7C949DAC" w14:textId="77777777" w:rsidR="009B0829" w:rsidRPr="00135F30" w:rsidRDefault="009B0829" w:rsidP="009B0829">
      <w:pPr>
        <w:spacing w:line="276" w:lineRule="auto"/>
        <w:jc w:val="both"/>
        <w:rPr>
          <w:rFonts w:ascii="Verdana" w:eastAsia="Calibri" w:hAnsi="Verdana" w:cs="Arial"/>
          <w:lang w:val="es-ES"/>
        </w:rPr>
      </w:pPr>
      <w:r w:rsidRPr="00135F30">
        <w:rPr>
          <w:rFonts w:ascii="Verdana" w:eastAsia="Calibri" w:hAnsi="Verdana" w:cs="Arial"/>
          <w:lang w:val="es-ES"/>
        </w:rPr>
        <w:tab/>
        <w:t xml:space="preserve">Como puede observarse, los requisitos </w:t>
      </w:r>
      <w:r w:rsidRPr="00135F30">
        <w:rPr>
          <w:rFonts w:ascii="Verdana" w:eastAsia="Calibri" w:hAnsi="Verdana" w:cs="Arial"/>
          <w:i/>
          <w:iCs/>
          <w:lang w:val="es-ES"/>
        </w:rPr>
        <w:t xml:space="preserve">legales de ejecución </w:t>
      </w:r>
      <w:r w:rsidRPr="00135F30">
        <w:rPr>
          <w:rFonts w:ascii="Verdana" w:eastAsia="Calibri" w:hAnsi="Verdana" w:cs="Arial"/>
          <w:lang w:val="es-ES"/>
        </w:rPr>
        <w:t>son: (i) la aprobación de las garantías exigidas en el contrato, (</w:t>
      </w:r>
      <w:proofErr w:type="spellStart"/>
      <w:r w:rsidRPr="00135F30">
        <w:rPr>
          <w:rFonts w:ascii="Verdana" w:eastAsia="Calibri" w:hAnsi="Verdana" w:cs="Arial"/>
          <w:lang w:val="es-ES"/>
        </w:rPr>
        <w:t>ii</w:t>
      </w:r>
      <w:proofErr w:type="spellEnd"/>
      <w:r w:rsidRPr="00135F30">
        <w:rPr>
          <w:rFonts w:ascii="Verdana" w:eastAsia="Calibri" w:hAnsi="Verdana" w:cs="Arial"/>
          <w:lang w:val="es-ES"/>
        </w:rPr>
        <w:t>) la existencia de la apropiación presupuestal correspondiente y (</w:t>
      </w:r>
      <w:proofErr w:type="spellStart"/>
      <w:r w:rsidRPr="00135F30">
        <w:rPr>
          <w:rFonts w:ascii="Verdana" w:eastAsia="Calibri" w:hAnsi="Verdana" w:cs="Arial"/>
          <w:lang w:val="es-ES"/>
        </w:rPr>
        <w:t>iii</w:t>
      </w:r>
      <w:proofErr w:type="spellEnd"/>
      <w:r w:rsidRPr="00135F30">
        <w:rPr>
          <w:rFonts w:ascii="Verdana" w:eastAsia="Calibri" w:hAnsi="Verdana" w:cs="Arial"/>
          <w:lang w:val="es-ES"/>
        </w:rPr>
        <w:t xml:space="preserve">) la acreditación del cumplimiento de las obligaciones con el Sistema de Seguridad Social Integral. Por su parte, serán </w:t>
      </w:r>
      <w:r w:rsidRPr="00135F30">
        <w:rPr>
          <w:rFonts w:ascii="Verdana" w:eastAsia="Calibri" w:hAnsi="Verdana" w:cs="Arial"/>
          <w:i/>
          <w:iCs/>
          <w:lang w:val="es-ES"/>
        </w:rPr>
        <w:t xml:space="preserve">requisitos convencionales </w:t>
      </w:r>
      <w:r w:rsidRPr="00135F30">
        <w:rPr>
          <w:rFonts w:ascii="Verdana" w:eastAsia="Calibri" w:hAnsi="Verdana" w:cs="Arial"/>
          <w:lang w:val="es-ES"/>
        </w:rPr>
        <w:t xml:space="preserve">aquellos que no se encuentran consagrados en la ley sino que se pactan en la minuta del contrato o que el contratista acepta al momento de adherirse al clausulado del pliego de condiciones o documento equivalente. </w:t>
      </w:r>
    </w:p>
    <w:p w14:paraId="6C71D2AE" w14:textId="77777777" w:rsidR="009B0829" w:rsidRPr="00135F30" w:rsidRDefault="009B0829" w:rsidP="009B0829">
      <w:pPr>
        <w:spacing w:line="276" w:lineRule="auto"/>
        <w:ind w:firstLine="708"/>
        <w:jc w:val="both"/>
        <w:rPr>
          <w:rFonts w:ascii="Verdana" w:eastAsia="Calibri" w:hAnsi="Verdana" w:cs="Arial"/>
          <w:lang w:val="es-ES_tradnl"/>
        </w:rPr>
      </w:pPr>
      <w:r w:rsidRPr="00135F30">
        <w:rPr>
          <w:rFonts w:ascii="Verdana" w:eastAsia="Calibri" w:hAnsi="Verdana" w:cs="Arial"/>
          <w:lang w:val="es-ES"/>
        </w:rPr>
        <w:t>Dichos requisitos se relacionan en que, deben cumplirse para que inicie la ejecución del contrato, sin que por ello puedan considerarse elementos de la esencia –de perfeccionamiento– del negocio jurídico, ni de su validez. En otras palabras, un contrato estatal existe, así no se hayan aprobado las garantías, o expedido el registro presupuestal, o a pesar de que el contratista no esté al día en el cumplimiento de sus obligaciones con el Sistema de Seguridad Social Integral, pero no puede comenzar a ejecutarse. Si aun así el contrato estatal inicia, se incurre en un incumplimiento de obligaciones normativas –que son elementos de la naturaleza del contrato–, lo cual puede generar responsabilidades subjetivas en los servidores públicos, pero no por ello el contrato estatal deja de existir o queda viciado de nulidad</w:t>
      </w:r>
      <w:r w:rsidRPr="00135F30">
        <w:rPr>
          <w:rFonts w:ascii="Verdana" w:eastAsia="Calibri" w:hAnsi="Verdana" w:cs="Arial"/>
          <w:vertAlign w:val="superscript"/>
        </w:rPr>
        <w:footnoteReference w:id="5"/>
      </w:r>
      <w:r w:rsidRPr="00135F30">
        <w:rPr>
          <w:rFonts w:ascii="Verdana" w:eastAsia="Calibri" w:hAnsi="Verdana" w:cs="Arial"/>
          <w:lang w:val="es-ES_tradnl"/>
        </w:rPr>
        <w:t>.</w:t>
      </w:r>
    </w:p>
    <w:p w14:paraId="65AC5F82" w14:textId="77777777" w:rsidR="009B0829" w:rsidRPr="00135F30" w:rsidRDefault="009B0829" w:rsidP="009B0829">
      <w:pPr>
        <w:tabs>
          <w:tab w:val="left" w:pos="0"/>
        </w:tabs>
        <w:spacing w:after="120" w:line="276" w:lineRule="auto"/>
        <w:jc w:val="both"/>
        <w:rPr>
          <w:rFonts w:ascii="Verdana" w:eastAsia="Calibri" w:hAnsi="Verdana" w:cs="Arial"/>
          <w:lang w:val="es-ES"/>
        </w:rPr>
      </w:pPr>
      <w:r w:rsidRPr="00135F30">
        <w:rPr>
          <w:rFonts w:ascii="Verdana" w:eastAsia="Calibri" w:hAnsi="Verdana" w:cs="Arial"/>
          <w:lang w:val="es-ES"/>
        </w:rPr>
        <w:tab/>
        <w:t xml:space="preserve">Sin embargo, en las disposiciones contenidas en el segundo inciso del artículo 41 de la Ley 80 de 1993, no se observa delimitación alguna respecto de los términos, fechas o días en las que deban las Entidades Estatales iniciar por ejemplo, la ejecución de sus contratos, pues solo se limitan a establecer los requisitos legales para ello. En ese sentido, resulta a bien aclarar que la postura de esta Agencia respecto de la definición de días hábiles en los procesos de contratación pública, parte de la tesis según la cual no existe acepción unívoca </w:t>
      </w:r>
      <w:r w:rsidRPr="00135F30">
        <w:rPr>
          <w:rFonts w:ascii="Verdana" w:eastAsia="Calibri" w:hAnsi="Verdana" w:cs="Arial"/>
          <w:lang w:val="es-ES"/>
        </w:rPr>
        <w:lastRenderedPageBreak/>
        <w:t xml:space="preserve">de dicho concepto, pues no existe certidumbre de cuáles son los días de la semana que pueden entenderse como hábiles, y ello en principio posibilita a que las Entidades Estatales regulen de manera distinta los términos. </w:t>
      </w:r>
    </w:p>
    <w:p w14:paraId="20D8F9A3" w14:textId="77777777" w:rsidR="009B0829" w:rsidRPr="00135F30" w:rsidRDefault="009B0829" w:rsidP="009B0829">
      <w:pPr>
        <w:tabs>
          <w:tab w:val="left" w:pos="0"/>
        </w:tabs>
        <w:spacing w:after="120" w:line="276" w:lineRule="auto"/>
        <w:jc w:val="both"/>
        <w:rPr>
          <w:rFonts w:ascii="Verdana" w:eastAsia="Calibri" w:hAnsi="Verdana" w:cs="Arial"/>
          <w:lang w:val="es-ES"/>
        </w:rPr>
      </w:pPr>
      <w:r w:rsidRPr="00135F30">
        <w:rPr>
          <w:rFonts w:ascii="Verdana" w:eastAsia="Calibri" w:hAnsi="Verdana" w:cs="Arial"/>
          <w:lang w:val="es-ES"/>
        </w:rPr>
        <w:tab/>
        <w:t xml:space="preserve">De esta forma, la ausencia de definición de día hábil autoriza a acudir al sentido natural y obvio de la palabra “hábil”, </w:t>
      </w:r>
      <w:r w:rsidRPr="00135F30">
        <w:rPr>
          <w:rFonts w:ascii="Verdana" w:eastAsia="Calibri" w:hAnsi="Verdana" w:cs="Arial"/>
          <w:bCs/>
          <w:lang w:val="es-ES"/>
        </w:rPr>
        <w:t xml:space="preserve">encontrándonos las siguientes acepciones: </w:t>
      </w:r>
      <w:r w:rsidRPr="00135F30">
        <w:rPr>
          <w:rFonts w:ascii="Verdana" w:eastAsia="Calibri" w:hAnsi="Verdana" w:cs="Arial"/>
          <w:i/>
          <w:lang w:val="es-ES"/>
        </w:rPr>
        <w:t>“1. adj. Capaz de realizar con éxito una tarea manual. 2. adj. Dotado del talento para actuar adecuadamente o lograr su objetivo. 3. adj. Propio de una persona hábil. 4. adj. Apto o adecuado para algo. 5. adj. Dicho de un período de tiempo</w:t>
      </w:r>
      <w:r w:rsidRPr="00135F30">
        <w:rPr>
          <w:rFonts w:ascii="Verdana" w:eastAsia="Calibri" w:hAnsi="Verdana" w:cs="Arial"/>
          <w:bCs/>
          <w:i/>
          <w:iCs/>
          <w:lang w:val="es-ES"/>
        </w:rPr>
        <w:t xml:space="preserve"> e</w:t>
      </w:r>
      <w:r w:rsidRPr="00135F30">
        <w:rPr>
          <w:rFonts w:ascii="Verdana" w:eastAsia="Calibri" w:hAnsi="Verdana" w:cs="Arial"/>
          <w:i/>
          <w:lang w:val="es-ES"/>
        </w:rPr>
        <w:t>stablecido como válido o computable para realizar una actividad, especialmente administrativa o judicial”</w:t>
      </w:r>
      <w:r w:rsidRPr="00135F30">
        <w:rPr>
          <w:rFonts w:ascii="Verdana" w:eastAsia="Calibri" w:hAnsi="Verdana" w:cs="Arial"/>
          <w:i/>
          <w:vertAlign w:val="superscript"/>
          <w:lang w:val="es-ES"/>
        </w:rPr>
        <w:footnoteReference w:id="6"/>
      </w:r>
      <w:r w:rsidRPr="00135F30">
        <w:rPr>
          <w:rFonts w:ascii="Verdana" w:eastAsia="Calibri" w:hAnsi="Verdana" w:cs="Arial"/>
          <w:i/>
          <w:lang w:val="es-ES"/>
        </w:rPr>
        <w:t xml:space="preserve">. </w:t>
      </w:r>
      <w:r w:rsidRPr="00135F30">
        <w:rPr>
          <w:rFonts w:ascii="Verdana" w:eastAsia="Calibri" w:hAnsi="Verdana" w:cs="Arial"/>
          <w:bCs/>
          <w:lang w:val="es-ES"/>
        </w:rPr>
        <w:t>La última acepción se ajusta al entendimiento normativo. Sin embargo, no es suficiente para absolver lo que se indaga, en la medida en que corresponde al ordenamiento jurídico establecer cuáles son los días válidos para realizar las actuaciones.</w:t>
      </w:r>
    </w:p>
    <w:p w14:paraId="3EED9BE9" w14:textId="77777777" w:rsidR="009B0829" w:rsidRPr="00135F30" w:rsidRDefault="009B0829" w:rsidP="009B0829">
      <w:pPr>
        <w:tabs>
          <w:tab w:val="left" w:pos="0"/>
        </w:tabs>
        <w:spacing w:after="0" w:line="276" w:lineRule="auto"/>
        <w:ind w:firstLine="709"/>
        <w:jc w:val="both"/>
        <w:rPr>
          <w:rFonts w:ascii="Verdana" w:eastAsia="Calibri" w:hAnsi="Verdana" w:cs="Arial"/>
          <w:bCs/>
          <w:lang w:val="es-ES"/>
        </w:rPr>
      </w:pPr>
      <w:r w:rsidRPr="00135F30">
        <w:rPr>
          <w:rFonts w:ascii="Verdana" w:eastAsia="Calibri" w:hAnsi="Verdana" w:cs="Arial"/>
          <w:lang w:val="es-ES"/>
        </w:rPr>
        <w:t xml:space="preserve">Sin perjuicio de lo anterior, debe precisarse que </w:t>
      </w:r>
      <w:r w:rsidRPr="00135F30">
        <w:rPr>
          <w:rFonts w:ascii="Verdana" w:eastAsia="Calibri" w:hAnsi="Verdana" w:cs="Arial"/>
          <w:bCs/>
          <w:lang w:val="es-ES"/>
        </w:rPr>
        <w:t>existen normas supletivas que tienen como función servir de pautas para el cómputo de términos previstos en la ley, cuando no ha sido regulado de forma específica por las disposiciones que consagran dichos plazos. Los artículos 59 y 62 de la Ley 4 de 1913 disponen que:</w:t>
      </w:r>
    </w:p>
    <w:p w14:paraId="3C830E3D" w14:textId="77777777" w:rsidR="009B0829" w:rsidRPr="00135F30" w:rsidRDefault="009B0829" w:rsidP="009B0829">
      <w:pPr>
        <w:tabs>
          <w:tab w:val="left" w:pos="0"/>
        </w:tabs>
        <w:spacing w:after="0" w:line="276" w:lineRule="auto"/>
        <w:ind w:firstLine="709"/>
        <w:jc w:val="both"/>
        <w:rPr>
          <w:rFonts w:ascii="Verdana" w:eastAsia="Calibri" w:hAnsi="Verdana" w:cs="Arial"/>
          <w:bCs/>
          <w:lang w:val="es-ES"/>
        </w:rPr>
      </w:pPr>
    </w:p>
    <w:p w14:paraId="0AC616C6" w14:textId="77777777" w:rsidR="009B0829" w:rsidRPr="00135F30" w:rsidRDefault="009B0829" w:rsidP="009B0829">
      <w:pPr>
        <w:tabs>
          <w:tab w:val="left" w:pos="0"/>
        </w:tabs>
        <w:spacing w:after="0" w:line="240" w:lineRule="auto"/>
        <w:ind w:left="709" w:right="709"/>
        <w:jc w:val="both"/>
        <w:rPr>
          <w:rFonts w:ascii="Verdana" w:eastAsia="Batang" w:hAnsi="Verdana" w:cs="Arial"/>
          <w:sz w:val="20"/>
          <w:szCs w:val="20"/>
        </w:rPr>
      </w:pPr>
      <w:r w:rsidRPr="00135F30">
        <w:rPr>
          <w:rFonts w:ascii="Verdana" w:eastAsia="Batang" w:hAnsi="Verdana" w:cs="Arial"/>
          <w:sz w:val="20"/>
          <w:szCs w:val="20"/>
        </w:rPr>
        <w:t>“Artículo 59.</w:t>
      </w:r>
      <w:r w:rsidRPr="00135F30">
        <w:rPr>
          <w:rFonts w:ascii="Verdana" w:eastAsia="Batang" w:hAnsi="Verdana" w:cs="Arial"/>
          <w:b/>
          <w:sz w:val="20"/>
          <w:szCs w:val="20"/>
        </w:rPr>
        <w:t> </w:t>
      </w:r>
      <w:r w:rsidRPr="00135F30">
        <w:rPr>
          <w:rFonts w:ascii="Verdana" w:eastAsia="Batang" w:hAnsi="Verdana" w:cs="Arial"/>
          <w:sz w:val="20"/>
          <w:szCs w:val="20"/>
        </w:rPr>
        <w:t>Todos los plazos de días, meses o años, del que se haga mención legal, se entenderán que terminan a la medianoche del último día del plazo. Por año y por mes se entienden los del calendario común, y por día el espacio de veinticuatro horas; pero en la ejecución de las penas se estará a lo que disponga la ley penal. </w:t>
      </w:r>
    </w:p>
    <w:p w14:paraId="6C6470E2" w14:textId="77777777" w:rsidR="009B0829" w:rsidRPr="00135F30" w:rsidRDefault="009B0829" w:rsidP="009B0829">
      <w:pPr>
        <w:tabs>
          <w:tab w:val="left" w:pos="0"/>
        </w:tabs>
        <w:spacing w:after="0" w:line="240" w:lineRule="auto"/>
        <w:ind w:left="709" w:right="709"/>
        <w:jc w:val="both"/>
        <w:rPr>
          <w:rFonts w:ascii="Verdana" w:eastAsia="Batang" w:hAnsi="Verdana" w:cs="Arial"/>
          <w:sz w:val="20"/>
          <w:szCs w:val="20"/>
        </w:rPr>
      </w:pPr>
      <w:r w:rsidRPr="00135F30">
        <w:rPr>
          <w:rFonts w:ascii="Verdana" w:eastAsia="Batang" w:hAnsi="Verdana" w:cs="Arial"/>
          <w:sz w:val="20"/>
          <w:szCs w:val="20"/>
        </w:rPr>
        <w:t>[…]</w:t>
      </w:r>
    </w:p>
    <w:p w14:paraId="644B8ED4" w14:textId="77777777" w:rsidR="009B0829" w:rsidRPr="00135F30" w:rsidRDefault="009B0829" w:rsidP="009B0829">
      <w:pPr>
        <w:tabs>
          <w:tab w:val="left" w:pos="0"/>
        </w:tabs>
        <w:spacing w:after="0" w:line="240" w:lineRule="auto"/>
        <w:ind w:left="709" w:right="709"/>
        <w:jc w:val="both"/>
        <w:rPr>
          <w:rFonts w:ascii="Verdana" w:eastAsia="Batang" w:hAnsi="Verdana" w:cs="Arial"/>
          <w:sz w:val="20"/>
          <w:szCs w:val="20"/>
        </w:rPr>
      </w:pPr>
      <w:r w:rsidRPr="00135F30">
        <w:rPr>
          <w:rFonts w:ascii="Verdana" w:eastAsia="Batang" w:hAnsi="Verdana" w:cs="Arial"/>
          <w:sz w:val="20"/>
          <w:szCs w:val="20"/>
        </w:rPr>
        <w:t>Artículo 62. En los plazos de días que se señalen en las leyes y actos oficiales, se entienden suprimidos los feriados y de vacantes, a menos de expresarse lo contrario. Los de meses y años se computan según el calendario; pero si el último día fuere feriado o de vacante, se extenderá el plazo hasta el primer día hábil.” </w:t>
      </w:r>
    </w:p>
    <w:p w14:paraId="41B33741" w14:textId="77777777" w:rsidR="009B0829" w:rsidRPr="00135F30" w:rsidRDefault="009B0829" w:rsidP="009B0829">
      <w:pPr>
        <w:tabs>
          <w:tab w:val="left" w:pos="0"/>
        </w:tabs>
        <w:spacing w:after="0" w:line="240" w:lineRule="auto"/>
        <w:ind w:right="709"/>
        <w:jc w:val="both"/>
        <w:rPr>
          <w:rFonts w:ascii="Verdana" w:eastAsia="Batang" w:hAnsi="Verdana" w:cs="Arial"/>
          <w:sz w:val="21"/>
          <w:szCs w:val="21"/>
        </w:rPr>
      </w:pPr>
    </w:p>
    <w:p w14:paraId="135B8318" w14:textId="77777777" w:rsidR="009B0829" w:rsidRPr="00135F30" w:rsidRDefault="009B0829" w:rsidP="009B0829">
      <w:pPr>
        <w:tabs>
          <w:tab w:val="left" w:pos="0"/>
        </w:tabs>
        <w:spacing w:after="120" w:line="276" w:lineRule="auto"/>
        <w:jc w:val="both"/>
        <w:rPr>
          <w:rFonts w:ascii="Verdana" w:eastAsia="Calibri" w:hAnsi="Verdana" w:cs="Arial"/>
          <w:bCs/>
          <w:lang w:val="es-ES"/>
        </w:rPr>
      </w:pPr>
      <w:r w:rsidRPr="00135F30">
        <w:rPr>
          <w:rFonts w:ascii="Verdana" w:eastAsia="Calibri" w:hAnsi="Verdana" w:cs="Arial"/>
          <w:bCs/>
          <w:lang w:val="es-ES"/>
        </w:rPr>
        <w:tab/>
        <w:t xml:space="preserve">El referido artículo 59 establece que los plazos a los que se haga mención en la ley terminan a la medianoche, y que por </w:t>
      </w:r>
      <w:r w:rsidRPr="00135F30">
        <w:rPr>
          <w:rFonts w:ascii="Verdana" w:eastAsia="Calibri" w:hAnsi="Verdana" w:cs="Arial"/>
          <w:bCs/>
          <w:i/>
          <w:iCs/>
          <w:lang w:val="es-ES"/>
        </w:rPr>
        <w:t xml:space="preserve">día </w:t>
      </w:r>
      <w:r w:rsidRPr="00135F30">
        <w:rPr>
          <w:rFonts w:ascii="Verdana" w:eastAsia="Calibri" w:hAnsi="Verdana" w:cs="Arial"/>
          <w:bCs/>
          <w:lang w:val="es-ES"/>
        </w:rPr>
        <w:t xml:space="preserve">se entiende el espacio de veinticuatro horas; mientras que el artículo 62 establece que de los plazos de días señalados en la ley se entienden suprimidos los feriados, y que cuando se </w:t>
      </w:r>
      <w:r w:rsidRPr="00135F30">
        <w:rPr>
          <w:rFonts w:ascii="Verdana" w:eastAsia="Calibri" w:hAnsi="Verdana" w:cs="Arial"/>
          <w:bCs/>
          <w:lang w:val="es-ES"/>
        </w:rPr>
        <w:lastRenderedPageBreak/>
        <w:t>aluda a meses se computarán conforme al calendario, extendiéndose hasta el día hábil siguiente si el mes termina en un día feriado o vacante. Si bien las reglas establecidas en estas normas no permiten esclarecer cómo deben computarse términos de un único día hábil, ni definen los días hábiles, sí denotan cierta antonimia con los vacantes y feriados, lo cual, en línea con la definición de uso común a la que antes se hacía referencia, indica que por hábiles se entiende los días laborables</w:t>
      </w:r>
      <w:r w:rsidRPr="00135F30">
        <w:rPr>
          <w:rFonts w:ascii="Verdana" w:eastAsia="Calibri" w:hAnsi="Verdana" w:cs="Arial"/>
          <w:bCs/>
          <w:vertAlign w:val="superscript"/>
          <w:lang w:val="es-ES"/>
        </w:rPr>
        <w:footnoteReference w:id="7"/>
      </w:r>
      <w:r w:rsidRPr="00135F30">
        <w:rPr>
          <w:rFonts w:ascii="Verdana" w:eastAsia="Calibri" w:hAnsi="Verdana" w:cs="Arial"/>
          <w:bCs/>
          <w:lang w:val="es-ES"/>
        </w:rPr>
        <w:t>.</w:t>
      </w:r>
    </w:p>
    <w:p w14:paraId="38C0F853" w14:textId="77777777" w:rsidR="009B0829" w:rsidRPr="00135F30" w:rsidRDefault="009B0829" w:rsidP="009B0829">
      <w:pPr>
        <w:tabs>
          <w:tab w:val="left" w:pos="0"/>
        </w:tabs>
        <w:spacing w:after="0" w:line="276" w:lineRule="auto"/>
        <w:jc w:val="both"/>
        <w:rPr>
          <w:rFonts w:ascii="Verdana" w:eastAsia="Calibri" w:hAnsi="Verdana" w:cs="Arial"/>
          <w:bCs/>
          <w:lang w:val="es-ES"/>
        </w:rPr>
      </w:pPr>
      <w:r w:rsidRPr="00135F30">
        <w:rPr>
          <w:rFonts w:ascii="Verdana" w:eastAsia="Calibri" w:hAnsi="Verdana" w:cs="Arial"/>
          <w:bCs/>
          <w:lang w:val="es-ES"/>
        </w:rPr>
        <w:tab/>
        <w:t>En esto coincide la jurisprudencia de vieja data del Consejo de Estado, que al interpretar el contenido del artículo 62 de la Ley 4 de 1913 ha relacionado los días hábiles con conceptos como el de “Despacho Público” y “días laborables forzosos”, que implican que el entendimiento normativo de los días hábiles está relacionado con el espacio de tiempo durante el cual las entidades públicas desarrollan sus funciones administrativas y están abiertas para la atención al público. Así, por ejemplo, en la sentencia del 12 de abril de 1978 explicó lo siguiente:</w:t>
      </w:r>
    </w:p>
    <w:p w14:paraId="5E03625D" w14:textId="77777777" w:rsidR="009B0829" w:rsidRPr="00135F30" w:rsidRDefault="009B0829" w:rsidP="009B0829">
      <w:pPr>
        <w:tabs>
          <w:tab w:val="left" w:pos="0"/>
        </w:tabs>
        <w:spacing w:after="0" w:line="240" w:lineRule="auto"/>
        <w:ind w:left="709" w:right="709"/>
        <w:jc w:val="both"/>
        <w:rPr>
          <w:rFonts w:ascii="Verdana" w:eastAsia="Batang" w:hAnsi="Verdana" w:cs="Arial"/>
          <w:lang w:val="es-ES"/>
        </w:rPr>
      </w:pPr>
    </w:p>
    <w:p w14:paraId="42E17E4C" w14:textId="77777777" w:rsidR="009B0829" w:rsidRPr="00135F30" w:rsidRDefault="009B0829" w:rsidP="009B0829">
      <w:pPr>
        <w:tabs>
          <w:tab w:val="left" w:pos="0"/>
        </w:tabs>
        <w:spacing w:after="0" w:line="240" w:lineRule="auto"/>
        <w:ind w:left="709" w:right="709"/>
        <w:jc w:val="both"/>
        <w:rPr>
          <w:rFonts w:ascii="Verdana" w:eastAsia="Batang" w:hAnsi="Verdana" w:cs="Arial"/>
          <w:sz w:val="20"/>
          <w:szCs w:val="20"/>
        </w:rPr>
      </w:pPr>
      <w:r w:rsidRPr="00135F30">
        <w:rPr>
          <w:rFonts w:ascii="Verdana" w:eastAsia="Batang" w:hAnsi="Verdana" w:cs="Arial"/>
          <w:sz w:val="20"/>
          <w:szCs w:val="20"/>
        </w:rPr>
        <w:t>“Debe entenderse por otra parte, que cuando la Ley habla de la supresión en los plazos de días de los de vacancia y feriados, se está refiriendo a los actos producidos por la Administración en las dependencias en que no hay despacho público en tales días y no pueden por lo tanto expedirse actos administrativos con consecuencias legales. Es “Despacho Público” el mantenimiento de la oficina abierta al público para ejecutar los actos y despachar los asuntos que corresponden a las funciones del empleo en los términos señalados en la Ley. Por lo tanto, hay despacho cuando se tiene facultad para laborar, despachar los asuntos y ejecutar los actos propios de sus atribuciones; así no se haya empleado esa facultad. Entonces, las sesiones de la Asamblea en sábados, domingos y lunes tienen la virtud y fuerza suficientes para producir o causar todos los efectos, aunque las sesiones no se hayan realizado efectivamente.”</w:t>
      </w:r>
      <w:r w:rsidRPr="00135F30">
        <w:rPr>
          <w:rFonts w:ascii="Verdana" w:eastAsia="Batang" w:hAnsi="Verdana" w:cs="Arial"/>
          <w:sz w:val="20"/>
          <w:szCs w:val="20"/>
          <w:vertAlign w:val="superscript"/>
        </w:rPr>
        <w:footnoteReference w:id="8"/>
      </w:r>
    </w:p>
    <w:p w14:paraId="5FB714C1" w14:textId="77777777" w:rsidR="009B0829" w:rsidRPr="00135F30" w:rsidRDefault="009B0829" w:rsidP="009B0829">
      <w:pPr>
        <w:tabs>
          <w:tab w:val="left" w:pos="0"/>
        </w:tabs>
        <w:spacing w:after="0"/>
        <w:jc w:val="both"/>
        <w:rPr>
          <w:rFonts w:ascii="Verdana" w:eastAsia="Calibri" w:hAnsi="Verdana" w:cs="Arial"/>
          <w:bCs/>
          <w:lang w:val="es-ES"/>
        </w:rPr>
      </w:pPr>
    </w:p>
    <w:p w14:paraId="0DA42694" w14:textId="77777777" w:rsidR="009B0829" w:rsidRPr="00135F30" w:rsidRDefault="009B0829" w:rsidP="009B0829">
      <w:pPr>
        <w:tabs>
          <w:tab w:val="left" w:pos="0"/>
        </w:tabs>
        <w:spacing w:after="0" w:line="276" w:lineRule="auto"/>
        <w:jc w:val="both"/>
        <w:rPr>
          <w:rFonts w:ascii="Verdana" w:eastAsia="Calibri" w:hAnsi="Verdana" w:cs="Arial"/>
          <w:bCs/>
          <w:lang w:val="es-ES"/>
        </w:rPr>
      </w:pPr>
      <w:r w:rsidRPr="00135F30">
        <w:rPr>
          <w:rFonts w:ascii="Verdana" w:eastAsia="Calibri" w:hAnsi="Verdana" w:cs="Arial"/>
          <w:bCs/>
          <w:lang w:val="es-ES"/>
        </w:rPr>
        <w:tab/>
        <w:t>Posteriormente, en el auto del 26 de febrero de 1983, manifestó que el cómputo de los días hábiles de los que trata la norma debe hacerse con relación a los “días laborables forzosos”, introduciendo un criterio para determinar lo que se entiende por día hábil en los siguientes términos:</w:t>
      </w:r>
    </w:p>
    <w:p w14:paraId="6D68B5E8" w14:textId="77777777" w:rsidR="009B0829" w:rsidRPr="00135F30" w:rsidRDefault="009B0829" w:rsidP="009B0829">
      <w:pPr>
        <w:spacing w:after="0" w:line="240" w:lineRule="auto"/>
        <w:jc w:val="both"/>
        <w:rPr>
          <w:rFonts w:ascii="Verdana" w:eastAsia="Times New Roman" w:hAnsi="Verdana" w:cs="Arial"/>
          <w:sz w:val="21"/>
          <w:szCs w:val="21"/>
          <w:lang w:val="es-ES" w:eastAsia="es-CO"/>
        </w:rPr>
      </w:pPr>
    </w:p>
    <w:p w14:paraId="651783AF" w14:textId="77777777" w:rsidR="009B0829" w:rsidRPr="00135F30" w:rsidRDefault="009B0829" w:rsidP="009B0829">
      <w:pPr>
        <w:spacing w:after="0" w:line="240" w:lineRule="auto"/>
        <w:ind w:left="709" w:right="709"/>
        <w:jc w:val="both"/>
        <w:rPr>
          <w:rFonts w:ascii="Verdana" w:eastAsia="Times New Roman" w:hAnsi="Verdana" w:cs="Arial"/>
          <w:sz w:val="20"/>
          <w:szCs w:val="20"/>
          <w:lang w:eastAsia="es-CO"/>
        </w:rPr>
      </w:pPr>
      <w:r w:rsidRPr="00135F30">
        <w:rPr>
          <w:rFonts w:ascii="Verdana" w:eastAsia="Times New Roman" w:hAnsi="Verdana" w:cs="Arial"/>
          <w:sz w:val="20"/>
          <w:szCs w:val="20"/>
          <w:lang w:eastAsia="es-CO"/>
        </w:rPr>
        <w:t>“[E]l cómputo de días hábiles de que trata el artículo 62 de la Ley 4.ª de 1913 debe realizarse con base en los días laborables forzosos, teniendo por tales todos los del año, excluidos los señalados por la ley como de descanso remunerado.</w:t>
      </w:r>
    </w:p>
    <w:p w14:paraId="5223BAE6" w14:textId="77777777" w:rsidR="009B0829" w:rsidRPr="00135F30" w:rsidRDefault="009B0829" w:rsidP="009B0829">
      <w:pPr>
        <w:spacing w:after="0" w:line="240" w:lineRule="auto"/>
        <w:ind w:left="709" w:right="709"/>
        <w:jc w:val="both"/>
        <w:rPr>
          <w:rFonts w:ascii="Verdana" w:eastAsia="Times New Roman" w:hAnsi="Verdana" w:cs="Arial"/>
          <w:sz w:val="20"/>
          <w:szCs w:val="20"/>
          <w:lang w:eastAsia="es-CO"/>
        </w:rPr>
      </w:pPr>
    </w:p>
    <w:p w14:paraId="3FC5D9BA" w14:textId="77777777" w:rsidR="009B0829" w:rsidRPr="00135F30" w:rsidRDefault="009B0829" w:rsidP="009B0829">
      <w:pPr>
        <w:spacing w:after="0" w:line="240" w:lineRule="auto"/>
        <w:ind w:left="709" w:right="709"/>
        <w:jc w:val="both"/>
        <w:rPr>
          <w:rFonts w:ascii="Verdana" w:eastAsia="Times New Roman" w:hAnsi="Verdana" w:cs="Arial"/>
          <w:sz w:val="20"/>
          <w:szCs w:val="20"/>
          <w:lang w:eastAsia="es-CO"/>
        </w:rPr>
      </w:pPr>
      <w:r w:rsidRPr="00135F30">
        <w:rPr>
          <w:rFonts w:ascii="Verdana" w:eastAsia="Times New Roman" w:hAnsi="Verdana" w:cs="Arial"/>
          <w:sz w:val="20"/>
          <w:szCs w:val="20"/>
          <w:lang w:eastAsia="es-CO"/>
        </w:rPr>
        <w:t xml:space="preserve">Así, el criterio que determina el carácter de hábil de los días, para el cómputo de los términos legales, es el de su </w:t>
      </w:r>
      <w:proofErr w:type="spellStart"/>
      <w:r w:rsidRPr="00135F30">
        <w:rPr>
          <w:rFonts w:ascii="Verdana" w:eastAsia="Times New Roman" w:hAnsi="Verdana" w:cs="Arial"/>
          <w:sz w:val="20"/>
          <w:szCs w:val="20"/>
          <w:lang w:eastAsia="es-CO"/>
        </w:rPr>
        <w:t>laborabilidad</w:t>
      </w:r>
      <w:proofErr w:type="spellEnd"/>
      <w:r w:rsidRPr="00135F30">
        <w:rPr>
          <w:rFonts w:ascii="Verdana" w:eastAsia="Times New Roman" w:hAnsi="Verdana" w:cs="Arial"/>
          <w:sz w:val="20"/>
          <w:szCs w:val="20"/>
          <w:lang w:eastAsia="es-CO"/>
        </w:rPr>
        <w:t xml:space="preserve"> [sic]. Ello implica que son hábiles aquellos para los que no hay disposición legal expresa que exima del deber de trabajar, vale decir, los ordinarios, días en los que deben funcionar las oficinas públicas; y no hábiles aquellos para los cuales la ley ha previsto el derecho a descanso remunerado; tales son los domingos, los previstos por el artículo </w:t>
      </w:r>
      <w:proofErr w:type="gramStart"/>
      <w:r w:rsidRPr="00135F30">
        <w:rPr>
          <w:rFonts w:ascii="Verdana" w:eastAsia="Times New Roman" w:hAnsi="Verdana" w:cs="Arial"/>
          <w:sz w:val="20"/>
          <w:szCs w:val="20"/>
          <w:lang w:eastAsia="es-CO"/>
        </w:rPr>
        <w:t>1.°</w:t>
      </w:r>
      <w:proofErr w:type="gramEnd"/>
      <w:r w:rsidRPr="00135F30">
        <w:rPr>
          <w:rFonts w:ascii="Verdana" w:eastAsia="Times New Roman" w:hAnsi="Verdana" w:cs="Arial"/>
          <w:sz w:val="20"/>
          <w:szCs w:val="20"/>
          <w:lang w:eastAsia="es-CO"/>
        </w:rPr>
        <w:t xml:space="preserve"> de la Ley 51 de 1983 y los señalados como vacancia para la rama jurisdiccional, el Ministerio Público y las direcciones de instrucción criminal. Cabe anotar que para algunas oficinas no son hábiles los sábados, en cuanto no funcionan en esos días por trasladarse la respectiva jornada, en extensión de la ordinaria, a los demás de la semana.”</w:t>
      </w:r>
      <w:r w:rsidRPr="00135F30">
        <w:rPr>
          <w:rFonts w:ascii="Verdana" w:eastAsia="Times New Roman" w:hAnsi="Verdana" w:cs="Arial"/>
          <w:sz w:val="20"/>
          <w:szCs w:val="20"/>
          <w:vertAlign w:val="superscript"/>
          <w:lang w:eastAsia="es-CO"/>
        </w:rPr>
        <w:footnoteReference w:id="9"/>
      </w:r>
    </w:p>
    <w:p w14:paraId="243E9C0C" w14:textId="77777777" w:rsidR="009B0829" w:rsidRPr="00135F30" w:rsidRDefault="009B0829" w:rsidP="009B0829">
      <w:pPr>
        <w:spacing w:after="0" w:line="240" w:lineRule="auto"/>
        <w:ind w:left="709" w:right="709"/>
        <w:jc w:val="both"/>
        <w:rPr>
          <w:rFonts w:ascii="Verdana" w:eastAsia="Times New Roman" w:hAnsi="Verdana" w:cs="Arial"/>
          <w:sz w:val="21"/>
          <w:szCs w:val="21"/>
          <w:lang w:eastAsia="es-CO"/>
        </w:rPr>
      </w:pPr>
    </w:p>
    <w:p w14:paraId="10F54C48" w14:textId="77777777" w:rsidR="009B0829" w:rsidRPr="00135F30" w:rsidRDefault="009B0829" w:rsidP="009B0829">
      <w:pPr>
        <w:tabs>
          <w:tab w:val="left" w:pos="0"/>
        </w:tabs>
        <w:spacing w:after="120" w:line="276" w:lineRule="auto"/>
        <w:ind w:firstLine="709"/>
        <w:jc w:val="both"/>
        <w:rPr>
          <w:rFonts w:ascii="Verdana" w:eastAsia="Calibri" w:hAnsi="Verdana" w:cs="Arial"/>
          <w:bCs/>
          <w:lang w:val="es-ES"/>
        </w:rPr>
      </w:pPr>
      <w:r w:rsidRPr="00135F30">
        <w:rPr>
          <w:rFonts w:ascii="Verdana" w:eastAsia="Times New Roman" w:hAnsi="Verdana" w:cs="Arial"/>
          <w:lang w:eastAsia="es-CO"/>
        </w:rPr>
        <w:t xml:space="preserve">En la misma línea, reiterando la facultad en cabeza de la Administración para establecer como hábiles, por ejemplo los </w:t>
      </w:r>
      <w:proofErr w:type="gramStart"/>
      <w:r w:rsidRPr="00135F30">
        <w:rPr>
          <w:rFonts w:ascii="Verdana" w:eastAsia="Times New Roman" w:hAnsi="Verdana" w:cs="Arial"/>
          <w:lang w:eastAsia="es-CO"/>
        </w:rPr>
        <w:t>días sábados</w:t>
      </w:r>
      <w:proofErr w:type="gramEnd"/>
      <w:r w:rsidRPr="00135F30">
        <w:rPr>
          <w:rFonts w:ascii="Verdana" w:eastAsia="Times New Roman" w:hAnsi="Verdana" w:cs="Arial"/>
          <w:lang w:eastAsia="es-CO"/>
        </w:rPr>
        <w:t>, en la Sentencia del 29 de abril de 1983 el Consejo de Estado manifestó frente al artículo 62 de la Ley 4 de 1993 que: “[…] La Sala considera ésta una buena oportunidad para precisar el alcance de las disposiciones sobre los días hábiles e inhábiles. por regla general los sábados son días hábiles, pero si la administración ha dictado alguna norma general que considera inhábiles los sábados estos no pueden contarse en los términos de la ejecutoria</w:t>
      </w:r>
      <w:r w:rsidRPr="00135F30">
        <w:rPr>
          <w:rFonts w:ascii="Verdana" w:eastAsia="Times New Roman" w:hAnsi="Verdana" w:cs="Arial"/>
          <w:vertAlign w:val="superscript"/>
          <w:lang w:eastAsia="es-CO"/>
        </w:rPr>
        <w:footnoteReference w:id="10"/>
      </w:r>
      <w:r w:rsidRPr="00135F30">
        <w:rPr>
          <w:rFonts w:ascii="Verdana" w:eastAsia="Times New Roman" w:hAnsi="Verdana" w:cs="Arial"/>
          <w:lang w:eastAsia="es-CO"/>
        </w:rPr>
        <w:t>”. Postura que comparte el Departamento Administrativo de la Función Pública –DAFP– en sus conceptos, cuando señala que: “[…] Cuando el plazo se haya fijado en días, estos se entienden hábiles, para lo cual se suprimen los feriados, entre los cuales se encuentran los domingos, festivos y los sábados cuando la administración ha dictado una norma que los considere inhábiles</w:t>
      </w:r>
      <w:r w:rsidRPr="00135F30">
        <w:rPr>
          <w:rFonts w:ascii="Verdana" w:eastAsia="Times New Roman" w:hAnsi="Verdana" w:cs="Arial"/>
          <w:vertAlign w:val="superscript"/>
          <w:lang w:eastAsia="es-CO"/>
        </w:rPr>
        <w:footnoteReference w:id="11"/>
      </w:r>
      <w:r w:rsidRPr="00135F30">
        <w:rPr>
          <w:rFonts w:ascii="Verdana" w:eastAsia="Times New Roman" w:hAnsi="Verdana" w:cs="Arial"/>
          <w:lang w:eastAsia="es-CO"/>
        </w:rPr>
        <w:t>”.</w:t>
      </w:r>
      <w:r w:rsidRPr="00135F30">
        <w:rPr>
          <w:rFonts w:ascii="Verdana" w:eastAsia="Calibri" w:hAnsi="Verdana" w:cs="Arial"/>
          <w:bCs/>
          <w:lang w:val="es-ES"/>
        </w:rPr>
        <w:t xml:space="preserve"> </w:t>
      </w:r>
    </w:p>
    <w:p w14:paraId="2D7C2A6B" w14:textId="77777777" w:rsidR="009B0829" w:rsidRPr="00135F30" w:rsidRDefault="009B0829" w:rsidP="009B0829">
      <w:pPr>
        <w:tabs>
          <w:tab w:val="left" w:pos="0"/>
        </w:tabs>
        <w:spacing w:after="120" w:line="276" w:lineRule="auto"/>
        <w:ind w:firstLine="709"/>
        <w:jc w:val="both"/>
        <w:rPr>
          <w:rFonts w:ascii="Verdana" w:eastAsia="Calibri" w:hAnsi="Verdana" w:cs="Arial"/>
          <w:bCs/>
          <w:lang w:val="es-ES"/>
        </w:rPr>
      </w:pPr>
      <w:r w:rsidRPr="00135F30">
        <w:rPr>
          <w:rFonts w:ascii="Verdana" w:eastAsia="Calibri" w:hAnsi="Verdana" w:cs="Arial"/>
          <w:bCs/>
          <w:lang w:val="es-ES"/>
        </w:rPr>
        <w:lastRenderedPageBreak/>
        <w:t>De esta manera, los días hábiles se determinan según la entidad, ya que “cada entidad pública establece la jornada laboral, a través de su reglamento interno, dando certeza sobre los días que atienden al público, e indirectamente definiendo qué día es hábil en determinada institución”</w:t>
      </w:r>
      <w:r w:rsidRPr="00135F30">
        <w:rPr>
          <w:rFonts w:ascii="Verdana" w:eastAsia="Calibri" w:hAnsi="Verdana" w:cs="Arial"/>
          <w:bCs/>
          <w:vertAlign w:val="superscript"/>
          <w:lang w:val="es-ES"/>
        </w:rPr>
        <w:footnoteReference w:id="12"/>
      </w:r>
      <w:r w:rsidRPr="00135F30">
        <w:rPr>
          <w:rFonts w:ascii="Verdana" w:eastAsia="Calibri" w:hAnsi="Verdana" w:cs="Arial"/>
          <w:bCs/>
          <w:lang w:val="es-ES"/>
        </w:rPr>
        <w:t>, por lo que días hábiles son aquellos de la semana durante los cuales las Entidades Estatales ejercen sus funciones y prestan servicio al público, los cuales son, por regla general, todos los días de la semana, con excepción de los sábados, domingos y feriados previstos en la generalidad de entidades como días de descanso. Lo anterior sin perjuicio de que las entidades definan en sus reglamentos internos jornadas laborales distintas, que incluyan el sábado o el domingo, como “en los numerosos municipios del país donde la Administración labora los fines de semana ―sábados y domingos― normalmente para brindarle un buen servicio a la población campesina, que acostumbra ir al casco urbano en estos dos días y descansan un día de la semana ―usualmente el miércoles―”</w:t>
      </w:r>
      <w:r w:rsidRPr="00135F30">
        <w:rPr>
          <w:rFonts w:ascii="Verdana" w:eastAsia="Calibri" w:hAnsi="Verdana" w:cs="Arial"/>
          <w:bCs/>
          <w:vertAlign w:val="superscript"/>
          <w:lang w:val="es-ES"/>
        </w:rPr>
        <w:footnoteReference w:id="13"/>
      </w:r>
      <w:r w:rsidRPr="00135F30">
        <w:rPr>
          <w:rFonts w:ascii="Verdana" w:eastAsia="Calibri" w:hAnsi="Verdana" w:cs="Arial"/>
          <w:bCs/>
          <w:lang w:val="es-ES"/>
        </w:rPr>
        <w:t xml:space="preserve">, ejemplo donde los días laborables o hábiles son todos los de la semana, con excepción del miércoles. </w:t>
      </w:r>
    </w:p>
    <w:p w14:paraId="0F74108F" w14:textId="77777777" w:rsidR="009B0829" w:rsidRPr="00135F30" w:rsidRDefault="009B0829" w:rsidP="009B0829">
      <w:pPr>
        <w:tabs>
          <w:tab w:val="left" w:pos="0"/>
        </w:tabs>
        <w:spacing w:after="120" w:line="276" w:lineRule="auto"/>
        <w:ind w:firstLine="709"/>
        <w:jc w:val="both"/>
        <w:rPr>
          <w:rFonts w:ascii="Verdana" w:eastAsia="Calibri" w:hAnsi="Verdana" w:cs="Arial"/>
        </w:rPr>
      </w:pPr>
      <w:bookmarkStart w:id="3" w:name="_Hlk218760731"/>
      <w:r w:rsidRPr="00135F30">
        <w:rPr>
          <w:rFonts w:ascii="Verdana" w:eastAsia="Calibri" w:hAnsi="Verdana" w:cs="Arial"/>
          <w:bCs/>
        </w:rPr>
        <w:t xml:space="preserve">En ese contexto, </w:t>
      </w:r>
      <w:r w:rsidRPr="00135F30">
        <w:rPr>
          <w:rFonts w:ascii="Verdana" w:eastAsia="Calibri" w:hAnsi="Verdana" w:cs="Arial"/>
        </w:rPr>
        <w:t>la habilitación de los feriados como días hábiles para efectos administrativos y de gestión contractual resulta jurídicamente viable</w:t>
      </w:r>
      <w:r w:rsidRPr="00135F30">
        <w:rPr>
          <w:rFonts w:ascii="Verdana" w:eastAsia="Calibri" w:hAnsi="Verdana" w:cs="Arial"/>
          <w:bCs/>
        </w:rPr>
        <w:t xml:space="preserve"> y recaería en el </w:t>
      </w:r>
      <w:r w:rsidRPr="00135F30">
        <w:rPr>
          <w:rFonts w:ascii="Verdana" w:eastAsia="Calibri" w:hAnsi="Verdana" w:cs="Arial"/>
        </w:rPr>
        <w:t>ordenador del gasto de la Entidad Estatal, quien mediante acto administrativo debidamente motivado se encuentra facultado para declarar dichos días como hábiles según el caso, con el fin de adelantar trámites administrativos relacionados con la gestión contractual, durante el tiempo que se requiera.</w:t>
      </w:r>
    </w:p>
    <w:p w14:paraId="72ABEE93" w14:textId="77777777" w:rsidR="009B0829" w:rsidRPr="00135F30" w:rsidRDefault="009B0829" w:rsidP="009B0829">
      <w:pPr>
        <w:tabs>
          <w:tab w:val="left" w:pos="0"/>
        </w:tabs>
        <w:spacing w:after="120" w:line="276" w:lineRule="auto"/>
        <w:ind w:firstLine="709"/>
        <w:jc w:val="both"/>
        <w:rPr>
          <w:rFonts w:ascii="Verdana" w:eastAsia="Calibri" w:hAnsi="Verdana" w:cs="Arial"/>
        </w:rPr>
      </w:pPr>
      <w:r w:rsidRPr="00135F30">
        <w:rPr>
          <w:rFonts w:ascii="Verdana" w:eastAsia="Calibri" w:hAnsi="Verdana" w:cs="Arial"/>
        </w:rPr>
        <w:t>Es pertinente mencionar, que dicha facultad encuentra respaldo en el artículo 209 de la Constitución Política, que impone a las autoridades administrativas el deber de coordinar sus actuaciones para el cumplimiento adecuado de los fines del Estado. No obstante, el ejercicio de esta facultad no es absoluto y debe cumplir condiciones mínimas de validez y eficacia, entre ellas: (i) la expedición de un acto administrativo expreso y motivado, (</w:t>
      </w:r>
      <w:proofErr w:type="spellStart"/>
      <w:r w:rsidRPr="00135F30">
        <w:rPr>
          <w:rFonts w:ascii="Verdana" w:eastAsia="Calibri" w:hAnsi="Verdana" w:cs="Arial"/>
        </w:rPr>
        <w:t>ii</w:t>
      </w:r>
      <w:proofErr w:type="spellEnd"/>
      <w:r w:rsidRPr="00135F30">
        <w:rPr>
          <w:rFonts w:ascii="Verdana" w:eastAsia="Calibri" w:hAnsi="Verdana" w:cs="Arial"/>
        </w:rPr>
        <w:t>) la adecuada publicidad de la decisión, y (</w:t>
      </w:r>
      <w:proofErr w:type="spellStart"/>
      <w:r w:rsidRPr="00135F30">
        <w:rPr>
          <w:rFonts w:ascii="Verdana" w:eastAsia="Calibri" w:hAnsi="Verdana" w:cs="Arial"/>
        </w:rPr>
        <w:t>iii</w:t>
      </w:r>
      <w:proofErr w:type="spellEnd"/>
      <w:r w:rsidRPr="00135F30">
        <w:rPr>
          <w:rFonts w:ascii="Verdana" w:eastAsia="Calibri" w:hAnsi="Verdana" w:cs="Arial"/>
        </w:rPr>
        <w:t xml:space="preserve">) su comunicación efectiva a todos los interesados actuales o potenciales del proceso de selección. Estas exigencias resultan </w:t>
      </w:r>
      <w:r w:rsidRPr="00135F30">
        <w:rPr>
          <w:rFonts w:ascii="Verdana" w:eastAsia="Calibri" w:hAnsi="Verdana" w:cs="Arial"/>
        </w:rPr>
        <w:lastRenderedPageBreak/>
        <w:t>indispensables para salvaguardar los principios de transparencia, igualdad, publicidad y selección objetiva que rigen la contratación estatal, evitando que la medida excepcional genere ventajas indebidas o afecte la libre concurrencia.</w:t>
      </w:r>
    </w:p>
    <w:bookmarkEnd w:id="3"/>
    <w:p w14:paraId="48EC792F" w14:textId="77777777" w:rsidR="009B0829" w:rsidRPr="00135F30" w:rsidRDefault="009B0829" w:rsidP="009B0829">
      <w:pPr>
        <w:spacing w:before="120" w:after="0" w:line="276" w:lineRule="auto"/>
        <w:ind w:firstLine="708"/>
        <w:jc w:val="both"/>
        <w:rPr>
          <w:rFonts w:ascii="Verdana" w:eastAsia="Calibri" w:hAnsi="Verdana" w:cs="Arial"/>
        </w:rPr>
      </w:pPr>
      <w:r w:rsidRPr="00135F30">
        <w:rPr>
          <w:rFonts w:ascii="Verdana" w:eastAsia="Calibri" w:hAnsi="Verdana" w:cs="Arial"/>
        </w:rPr>
        <w:t>Finalmente, debe advertirse que el análisis requerido para resolver problemas específicos en torno a los días en los que pueden adelantarse las gestiones contractuales,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p w14:paraId="32F1DC9D" w14:textId="77777777" w:rsidR="009B0829" w:rsidRPr="00135F30" w:rsidRDefault="009B0829" w:rsidP="009B0829">
      <w:pPr>
        <w:spacing w:before="120" w:after="0" w:line="276" w:lineRule="auto"/>
        <w:ind w:firstLine="709"/>
        <w:jc w:val="both"/>
        <w:rPr>
          <w:rFonts w:ascii="Verdana" w:eastAsia="Calibri" w:hAnsi="Verdana" w:cs="Arial"/>
        </w:rPr>
      </w:pPr>
      <w:r w:rsidRPr="00135F30">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03A93307" w14:textId="77777777" w:rsidR="009B0829" w:rsidRPr="00135F30" w:rsidRDefault="009B0829" w:rsidP="009B0829">
      <w:pPr>
        <w:spacing w:before="120" w:after="0" w:line="276" w:lineRule="auto"/>
        <w:ind w:firstLine="709"/>
        <w:jc w:val="both"/>
        <w:rPr>
          <w:rFonts w:ascii="Verdana" w:eastAsia="Calibri" w:hAnsi="Verdana" w:cs="Arial"/>
        </w:rPr>
      </w:pPr>
    </w:p>
    <w:p w14:paraId="0D174BAB" w14:textId="77777777" w:rsidR="009B0829" w:rsidRPr="00135F30" w:rsidRDefault="009B0829" w:rsidP="009B0829">
      <w:pPr>
        <w:widowControl w:val="0"/>
        <w:autoSpaceDE w:val="0"/>
        <w:autoSpaceDN w:val="0"/>
        <w:spacing w:before="1" w:after="0" w:line="240" w:lineRule="auto"/>
        <w:outlineLvl w:val="0"/>
        <w:rPr>
          <w:rFonts w:ascii="Verdana" w:eastAsia="Arial" w:hAnsi="Verdana" w:cs="Arial"/>
          <w:b/>
          <w:bCs/>
          <w:lang w:val="es-ES"/>
        </w:rPr>
      </w:pPr>
      <w:r w:rsidRPr="00135F30">
        <w:rPr>
          <w:rFonts w:ascii="Verdana" w:eastAsia="Arial" w:hAnsi="Verdana" w:cs="Arial"/>
          <w:b/>
          <w:bCs/>
          <w:lang w:val="es-ES"/>
        </w:rPr>
        <w:t>4.Referencias normativas, jurisprudenciales y otras fuentes:</w:t>
      </w:r>
    </w:p>
    <w:p w14:paraId="51BE9478" w14:textId="77777777" w:rsidR="009B0829" w:rsidRPr="00135F30" w:rsidRDefault="009B0829" w:rsidP="009B0829">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B0829" w:rsidRPr="00135F30" w14:paraId="1000B945" w14:textId="77777777" w:rsidTr="00EE3DD5">
        <w:trPr>
          <w:trHeight w:val="870"/>
        </w:trPr>
        <w:tc>
          <w:tcPr>
            <w:tcW w:w="8647" w:type="dxa"/>
          </w:tcPr>
          <w:p w14:paraId="1752A606" w14:textId="77777777" w:rsidR="009B0829" w:rsidRPr="00135F30" w:rsidRDefault="009B0829" w:rsidP="009B0829">
            <w:pPr>
              <w:numPr>
                <w:ilvl w:val="0"/>
                <w:numId w:val="1"/>
              </w:numPr>
              <w:snapToGrid w:val="0"/>
              <w:spacing w:line="276" w:lineRule="auto"/>
              <w:ind w:left="714" w:hanging="357"/>
              <w:jc w:val="both"/>
              <w:rPr>
                <w:rFonts w:ascii="Verdana" w:eastAsia="Aptos" w:hAnsi="Verdana" w:cs="Arial"/>
                <w:lang w:val="es-ES_tradnl"/>
              </w:rPr>
            </w:pPr>
            <w:r w:rsidRPr="00135F30">
              <w:rPr>
                <w:rFonts w:ascii="Verdana" w:eastAsia="Aptos" w:hAnsi="Verdana" w:cs="Arial"/>
                <w:lang w:val="es-ES_tradnl"/>
              </w:rPr>
              <w:t xml:space="preserve">Constitución Política de Colombia, artículo 209 </w:t>
            </w:r>
          </w:p>
          <w:p w14:paraId="58B7F345" w14:textId="77777777" w:rsidR="009B0829" w:rsidRPr="00135F30" w:rsidRDefault="009B0829" w:rsidP="009B0829">
            <w:pPr>
              <w:numPr>
                <w:ilvl w:val="0"/>
                <w:numId w:val="1"/>
              </w:numPr>
              <w:snapToGrid w:val="0"/>
              <w:spacing w:line="276" w:lineRule="auto"/>
              <w:ind w:left="714" w:hanging="357"/>
              <w:jc w:val="both"/>
              <w:rPr>
                <w:rFonts w:ascii="Verdana" w:eastAsia="Aptos" w:hAnsi="Verdana" w:cs="Arial"/>
                <w:lang w:val="es-ES_tradnl"/>
              </w:rPr>
            </w:pPr>
            <w:r w:rsidRPr="00135F30">
              <w:rPr>
                <w:rFonts w:ascii="Verdana" w:eastAsia="Aptos" w:hAnsi="Verdana" w:cs="Arial"/>
                <w:lang w:val="es-ES_tradnl"/>
              </w:rPr>
              <w:t>Ley 80 de 1993. Artículo 3; Artículo 41, inciso primero y segundo</w:t>
            </w:r>
          </w:p>
          <w:p w14:paraId="23FC75A9" w14:textId="77777777" w:rsidR="009B0829" w:rsidRPr="00135F30" w:rsidRDefault="009B0829" w:rsidP="009B0829">
            <w:pPr>
              <w:numPr>
                <w:ilvl w:val="0"/>
                <w:numId w:val="1"/>
              </w:numPr>
              <w:snapToGrid w:val="0"/>
              <w:spacing w:line="276" w:lineRule="auto"/>
              <w:ind w:left="714" w:hanging="357"/>
              <w:jc w:val="both"/>
              <w:rPr>
                <w:rFonts w:ascii="Verdana" w:eastAsia="Aptos" w:hAnsi="Verdana" w:cs="Arial"/>
                <w:lang w:val="es-ES_tradnl"/>
              </w:rPr>
            </w:pPr>
            <w:r w:rsidRPr="00135F30">
              <w:rPr>
                <w:rFonts w:ascii="Verdana" w:eastAsia="Aptos" w:hAnsi="Verdana" w:cs="Arial"/>
                <w:lang w:val="es-ES_tradnl"/>
              </w:rPr>
              <w:t>Ley 1150 de 2007. Artículo 23</w:t>
            </w:r>
          </w:p>
          <w:p w14:paraId="273A94D6" w14:textId="77777777" w:rsidR="009B0829" w:rsidRPr="00135F30" w:rsidRDefault="009B0829" w:rsidP="009B0829">
            <w:pPr>
              <w:numPr>
                <w:ilvl w:val="0"/>
                <w:numId w:val="1"/>
              </w:numPr>
              <w:snapToGrid w:val="0"/>
              <w:spacing w:line="276" w:lineRule="auto"/>
              <w:ind w:left="714" w:hanging="357"/>
              <w:jc w:val="both"/>
              <w:rPr>
                <w:rFonts w:ascii="Verdana" w:eastAsia="Aptos" w:hAnsi="Verdana" w:cs="Arial"/>
                <w:lang w:val="es-ES_tradnl"/>
              </w:rPr>
            </w:pPr>
            <w:r w:rsidRPr="00135F30">
              <w:rPr>
                <w:rFonts w:ascii="Verdana" w:eastAsia="Aptos" w:hAnsi="Verdana" w:cs="Arial"/>
                <w:lang w:val="es-ES_tradnl"/>
              </w:rPr>
              <w:t>Código Civil. Artículo 1501</w:t>
            </w:r>
          </w:p>
          <w:p w14:paraId="0D6C9150" w14:textId="77777777" w:rsidR="009B0829" w:rsidRPr="00135F30" w:rsidRDefault="009B0829" w:rsidP="009B0829">
            <w:pPr>
              <w:numPr>
                <w:ilvl w:val="0"/>
                <w:numId w:val="1"/>
              </w:numPr>
              <w:snapToGrid w:val="0"/>
              <w:spacing w:line="276" w:lineRule="auto"/>
              <w:ind w:left="714" w:hanging="357"/>
              <w:jc w:val="both"/>
              <w:rPr>
                <w:rFonts w:ascii="Verdana" w:eastAsia="Aptos" w:hAnsi="Verdana" w:cs="Arial"/>
                <w:lang w:val="es-ES_tradnl"/>
              </w:rPr>
            </w:pPr>
            <w:r w:rsidRPr="00135F30">
              <w:rPr>
                <w:rFonts w:ascii="Verdana" w:eastAsia="Calibri" w:hAnsi="Verdana" w:cs="Arial"/>
                <w:bCs/>
                <w:lang w:val="es-ES_tradnl"/>
              </w:rPr>
              <w:t>Ley 4 de 1913, artículos 59 y 62.</w:t>
            </w:r>
          </w:p>
          <w:p w14:paraId="190F6D0D" w14:textId="77777777" w:rsidR="009B0829" w:rsidRPr="00135F30" w:rsidRDefault="009B0829" w:rsidP="009B0829">
            <w:pPr>
              <w:numPr>
                <w:ilvl w:val="0"/>
                <w:numId w:val="1"/>
              </w:numPr>
              <w:snapToGrid w:val="0"/>
              <w:spacing w:line="276" w:lineRule="auto"/>
              <w:ind w:left="714" w:hanging="357"/>
              <w:jc w:val="both"/>
              <w:rPr>
                <w:rFonts w:ascii="Verdana" w:eastAsia="Aptos" w:hAnsi="Verdana" w:cs="Arial"/>
                <w:lang w:val="es-ES"/>
              </w:rPr>
            </w:pPr>
            <w:r w:rsidRPr="00135F30">
              <w:rPr>
                <w:rFonts w:ascii="Verdana" w:eastAsia="Aptos" w:hAnsi="Verdana" w:cs="Arial"/>
                <w:lang w:val="es-ES"/>
              </w:rPr>
              <w:t xml:space="preserve">CONSEJO DE ESTADO. Sala Plena de lo Contencioso Administrativo. Sentencia del 12 de abril de 1978. C.P. Carlos Portocarrero Mutis. </w:t>
            </w:r>
            <w:proofErr w:type="spellStart"/>
            <w:r w:rsidRPr="00135F30">
              <w:rPr>
                <w:rFonts w:ascii="Verdana" w:eastAsia="Aptos" w:hAnsi="Verdana" w:cs="Arial"/>
                <w:lang w:val="es-ES"/>
              </w:rPr>
              <w:t>Exp</w:t>
            </w:r>
            <w:proofErr w:type="spellEnd"/>
            <w:r w:rsidRPr="00135F30">
              <w:rPr>
                <w:rFonts w:ascii="Verdana" w:eastAsia="Aptos" w:hAnsi="Verdana" w:cs="Arial"/>
                <w:lang w:val="es-ES"/>
              </w:rPr>
              <w:t>. 355.</w:t>
            </w:r>
          </w:p>
          <w:p w14:paraId="7FD74E08" w14:textId="77777777" w:rsidR="009B0829" w:rsidRPr="00135F30" w:rsidRDefault="009B0829" w:rsidP="009B0829">
            <w:pPr>
              <w:numPr>
                <w:ilvl w:val="0"/>
                <w:numId w:val="1"/>
              </w:numPr>
              <w:snapToGrid w:val="0"/>
              <w:spacing w:line="276" w:lineRule="auto"/>
              <w:ind w:left="714" w:hanging="357"/>
              <w:jc w:val="both"/>
              <w:rPr>
                <w:rFonts w:ascii="Verdana" w:eastAsia="Aptos" w:hAnsi="Verdana" w:cs="Arial"/>
                <w:lang w:val="es-ES_tradnl"/>
              </w:rPr>
            </w:pPr>
            <w:r w:rsidRPr="00135F30">
              <w:rPr>
                <w:rFonts w:ascii="Verdana" w:eastAsia="Aptos" w:hAnsi="Verdana" w:cs="Arial"/>
                <w:lang w:val="es-ES_tradnl"/>
              </w:rPr>
              <w:t>CONSEJO DE ESTADO. Sección Cuarta. Auto del 26 de febrero de 1983.</w:t>
            </w:r>
          </w:p>
          <w:p w14:paraId="01D97F99" w14:textId="77777777" w:rsidR="009B0829" w:rsidRPr="00135F30" w:rsidRDefault="009B0829" w:rsidP="00EE3DD5">
            <w:pPr>
              <w:snapToGrid w:val="0"/>
              <w:spacing w:line="276" w:lineRule="auto"/>
              <w:jc w:val="both"/>
              <w:rPr>
                <w:rFonts w:ascii="Verdana" w:eastAsia="Arial MT" w:hAnsi="Verdana" w:cs="Arial"/>
                <w:lang w:eastAsia="es-ES" w:bidi="es-ES"/>
              </w:rPr>
            </w:pPr>
          </w:p>
        </w:tc>
      </w:tr>
    </w:tbl>
    <w:p w14:paraId="06D057C0" w14:textId="77777777" w:rsidR="009B0829" w:rsidRPr="00135F30" w:rsidRDefault="009B0829" w:rsidP="009B0829">
      <w:pPr>
        <w:widowControl w:val="0"/>
        <w:autoSpaceDE w:val="0"/>
        <w:autoSpaceDN w:val="0"/>
        <w:spacing w:after="0" w:line="276" w:lineRule="auto"/>
        <w:jc w:val="both"/>
        <w:rPr>
          <w:rFonts w:ascii="Verdana" w:eastAsia="Aptos" w:hAnsi="Verdana" w:cs="Arial"/>
        </w:rPr>
      </w:pPr>
    </w:p>
    <w:p w14:paraId="01C31667" w14:textId="77777777" w:rsidR="009B0829" w:rsidRPr="00135F30" w:rsidRDefault="009B0829" w:rsidP="009B0829">
      <w:pPr>
        <w:widowControl w:val="0"/>
        <w:autoSpaceDE w:val="0"/>
        <w:autoSpaceDN w:val="0"/>
        <w:spacing w:before="1" w:after="0" w:line="240" w:lineRule="auto"/>
        <w:outlineLvl w:val="0"/>
        <w:rPr>
          <w:rFonts w:ascii="Verdana" w:eastAsia="Arial" w:hAnsi="Verdana" w:cs="Arial"/>
          <w:b/>
          <w:bCs/>
          <w:lang w:val="es-ES"/>
        </w:rPr>
      </w:pPr>
      <w:r w:rsidRPr="00135F30">
        <w:rPr>
          <w:rFonts w:ascii="Verdana" w:eastAsia="Arial" w:hAnsi="Verdana" w:cs="Arial"/>
          <w:b/>
          <w:bCs/>
          <w:lang w:val="es-ES"/>
        </w:rPr>
        <w:t>5. Doctrina de la Agencia Nacional de Contratación Pública:</w:t>
      </w:r>
    </w:p>
    <w:p w14:paraId="343F22FE" w14:textId="77777777" w:rsidR="009B0829" w:rsidRPr="00135F30" w:rsidRDefault="009B0829" w:rsidP="009B0829">
      <w:pPr>
        <w:widowControl w:val="0"/>
        <w:autoSpaceDE w:val="0"/>
        <w:autoSpaceDN w:val="0"/>
        <w:spacing w:after="0" w:line="276" w:lineRule="auto"/>
        <w:jc w:val="both"/>
        <w:rPr>
          <w:rFonts w:ascii="Verdana" w:eastAsia="Aptos" w:hAnsi="Verdana" w:cs="Arial"/>
        </w:rPr>
      </w:pPr>
    </w:p>
    <w:p w14:paraId="752E3F3E" w14:textId="77777777" w:rsidR="009B0829" w:rsidRPr="00135F30" w:rsidRDefault="009B0829" w:rsidP="009B0829">
      <w:pPr>
        <w:widowControl w:val="0"/>
        <w:autoSpaceDE w:val="0"/>
        <w:autoSpaceDN w:val="0"/>
        <w:spacing w:after="0" w:line="276" w:lineRule="auto"/>
        <w:jc w:val="both"/>
        <w:rPr>
          <w:rFonts w:ascii="Verdana" w:eastAsia="Aptos" w:hAnsi="Verdana" w:cs="Arial"/>
          <w:shd w:val="clear" w:color="auto" w:fill="FFFFFF"/>
          <w:lang w:val="es-ES"/>
        </w:rPr>
      </w:pPr>
      <w:r w:rsidRPr="00135F30">
        <w:rPr>
          <w:rFonts w:ascii="Verdana" w:eastAsia="Calibri" w:hAnsi="Verdana" w:cs="Arial"/>
          <w:bCs/>
          <w:shd w:val="clear" w:color="auto" w:fill="FFFFFF"/>
        </w:rPr>
        <w:t xml:space="preserve">La Agencia Nacional de Contratación Pública – Colombia Compra Eficiente estudió </w:t>
      </w:r>
      <w:r w:rsidRPr="00135F30">
        <w:rPr>
          <w:rFonts w:ascii="Verdana" w:eastAsia="Aptos" w:hAnsi="Verdana" w:cs="Arial"/>
          <w:kern w:val="2"/>
          <w:shd w:val="clear" w:color="auto" w:fill="FFFFFF"/>
          <w:lang w:val="es-ES_tradnl"/>
          <w14:ligatures w14:val="standardContextual"/>
        </w:rPr>
        <w:t>el cómputo de días hábiles en el marco de procesos de selección, en los conceptos C-135 del 28 de marzo de 2022, C-271 del 4 de mayo de 2022, C-604 de 26 de junio de 2025</w:t>
      </w:r>
      <w:r w:rsidRPr="00135F30">
        <w:rPr>
          <w:rFonts w:ascii="Verdana" w:eastAsia="Calibri" w:hAnsi="Verdana" w:cs="Arial"/>
          <w:bCs/>
          <w:color w:val="000000"/>
          <w:kern w:val="2"/>
          <w:lang w:val="es-ES_tradnl" w:eastAsia="es-ES_tradnl"/>
          <w14:ligatures w14:val="standardContextual"/>
        </w:rPr>
        <w:t>, C-1179 del 01 de octubre de 2025, C-1850 del 09 de enero de 2026</w:t>
      </w:r>
      <w:r w:rsidRPr="00135F30">
        <w:rPr>
          <w:rFonts w:ascii="Verdana" w:eastAsia="Calibri" w:hAnsi="Verdana" w:cs="Arial"/>
          <w:bCs/>
          <w:shd w:val="clear" w:color="auto" w:fill="FFFFFF"/>
        </w:rPr>
        <w:t xml:space="preserve">, entre otros. </w:t>
      </w:r>
      <w:r w:rsidRPr="00135F30">
        <w:rPr>
          <w:rFonts w:ascii="Verdana" w:eastAsia="Calibri" w:hAnsi="Verdana" w:cs="Arial"/>
          <w:bCs/>
          <w:shd w:val="clear" w:color="auto" w:fill="FFFFFF"/>
          <w:lang w:val="es-ES"/>
        </w:rPr>
        <w:t xml:space="preserve">En tal sentido, recoge los conceptos expuestos, sin perjuicio de otras consideraciones. </w:t>
      </w:r>
      <w:r w:rsidRPr="00135F30">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135F30">
          <w:rPr>
            <w:rFonts w:ascii="Verdana" w:eastAsia="Aptos" w:hAnsi="Verdana" w:cs="Arial"/>
            <w:color w:val="0000FF"/>
            <w:u w:val="single"/>
            <w:shd w:val="clear" w:color="auto" w:fill="FFFFFF"/>
            <w:lang w:val="es-ES"/>
          </w:rPr>
          <w:t>https://relatoria.colombiacompra.gov.co/</w:t>
        </w:r>
      </w:hyperlink>
      <w:r w:rsidRPr="00135F30">
        <w:rPr>
          <w:rFonts w:ascii="Verdana" w:eastAsia="Aptos" w:hAnsi="Verdana" w:cs="Arial"/>
          <w:shd w:val="clear" w:color="auto" w:fill="FFFFFF"/>
          <w:lang w:val="es-ES"/>
        </w:rPr>
        <w:t xml:space="preserve">. </w:t>
      </w:r>
    </w:p>
    <w:p w14:paraId="0A3D1D9F" w14:textId="77777777" w:rsidR="009B0829" w:rsidRPr="00135F30" w:rsidRDefault="009B0829" w:rsidP="009B0829">
      <w:pPr>
        <w:spacing w:before="120" w:after="120"/>
        <w:ind w:firstLine="709"/>
        <w:jc w:val="both"/>
        <w:rPr>
          <w:rFonts w:ascii="Verdana" w:eastAsia="Aptos" w:hAnsi="Verdana" w:cs="Times New Roman"/>
        </w:rPr>
      </w:pPr>
      <w:r w:rsidRPr="00135F30">
        <w:rPr>
          <w:rFonts w:ascii="Verdana" w:eastAsia="Aptos" w:hAnsi="Verdana" w:cs="Times New Roman"/>
        </w:rPr>
        <w:t xml:space="preserve">La sostenibilidad no es una opción, es una obligación. Por ello, la Agencia Nacional de Contratación Pública –Colombia Compra Eficiente– te invita a realizar el </w:t>
      </w:r>
      <w:r w:rsidRPr="00135F30">
        <w:rPr>
          <w:rFonts w:ascii="Verdana" w:eastAsia="Aptos" w:hAnsi="Verdana" w:cs="Times New Roman"/>
          <w:b/>
          <w:bCs/>
        </w:rPr>
        <w:t>Curso de Contratación Pública Sostenible y Socialmente Responsable</w:t>
      </w:r>
      <w:r w:rsidRPr="00135F30">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35F30">
        <w:rPr>
          <w:rFonts w:ascii="Verdana" w:eastAsia="Aptos" w:hAnsi="Verdana" w:cs="Times New Roman"/>
        </w:rPr>
        <w:br/>
      </w:r>
      <w:hyperlink r:id="rId13" w:tgtFrame="_new" w:history="1">
        <w:r w:rsidRPr="00135F30">
          <w:rPr>
            <w:rFonts w:ascii="Verdana" w:eastAsia="Aptos" w:hAnsi="Verdana" w:cs="Times New Roman"/>
            <w:color w:val="0000FF"/>
            <w:u w:val="single"/>
          </w:rPr>
          <w:t>https://formacionvirtual.colombiacompra.gov.co/mod/page/view.php?id=3718</w:t>
        </w:r>
      </w:hyperlink>
    </w:p>
    <w:p w14:paraId="65A6060C" w14:textId="77777777" w:rsidR="009B0829" w:rsidRPr="00135F30" w:rsidRDefault="009B0829" w:rsidP="009B0829">
      <w:pPr>
        <w:ind w:firstLine="708"/>
        <w:jc w:val="both"/>
        <w:rPr>
          <w:rFonts w:ascii="Verdana" w:eastAsia="Aptos" w:hAnsi="Verdana" w:cs="Times New Roman"/>
        </w:rPr>
      </w:pPr>
      <w:r w:rsidRPr="00135F30">
        <w:rPr>
          <w:rFonts w:ascii="Verdana" w:eastAsia="Aptos" w:hAnsi="Verdana" w:cs="Times New Roman"/>
        </w:rPr>
        <w:t xml:space="preserve">De otro lado, te contamos que esta Agencia ha da un paso decisivo en la estandarización y modernización del </w:t>
      </w:r>
      <w:r w:rsidRPr="00135F30">
        <w:rPr>
          <w:rFonts w:ascii="Verdana" w:eastAsia="Aptos" w:hAnsi="Verdana" w:cs="Times New Roman"/>
          <w:b/>
          <w:bCs/>
        </w:rPr>
        <w:t>sector  social</w:t>
      </w:r>
      <w:r w:rsidRPr="00135F30">
        <w:rPr>
          <w:rFonts w:ascii="Verdana" w:eastAsia="Aptos" w:hAnsi="Verdana" w:cs="Times New Roman"/>
        </w:rPr>
        <w:t xml:space="preserve"> con la expedición de las </w:t>
      </w:r>
      <w:r w:rsidRPr="00135F30">
        <w:rPr>
          <w:rFonts w:ascii="Verdana" w:eastAsia="Aptos" w:hAnsi="Verdana" w:cs="Times New Roman"/>
          <w:b/>
          <w:bCs/>
        </w:rPr>
        <w:t>Resoluciones 539, 540, 541, 952 y 953 de 2025</w:t>
      </w:r>
      <w:r w:rsidRPr="00135F30">
        <w:rPr>
          <w:rFonts w:ascii="Verdana" w:eastAsia="Aptos" w:hAnsi="Verdana" w:cs="Times New Roman"/>
        </w:rPr>
        <w:t xml:space="preserve">, </w:t>
      </w:r>
      <w:r w:rsidRPr="00135F30">
        <w:rPr>
          <w:rFonts w:ascii="Verdana" w:eastAsia="Aptos" w:hAnsi="Verdana" w:cs="Times New Roman"/>
          <w:b/>
          <w:bCs/>
        </w:rPr>
        <w:t>mediante las cuales adoptó Documentos Tipo</w:t>
      </w:r>
      <w:r w:rsidRPr="00135F30">
        <w:rPr>
          <w:rFonts w:ascii="Verdana" w:eastAsia="Aptos" w:hAnsi="Verdana" w:cs="Times New Roman"/>
        </w:rPr>
        <w:t xml:space="preserve"> para las modalidades de selección de</w:t>
      </w:r>
      <w:r w:rsidRPr="00135F30">
        <w:rPr>
          <w:rFonts w:ascii="Verdana" w:eastAsia="Aptos" w:hAnsi="Verdana" w:cs="Times New Roman"/>
          <w:b/>
          <w:bCs/>
        </w:rPr>
        <w:t xml:space="preserve"> licitación pública (versión 2), selección abreviada de menor cuantía, mínima cuantía, consultoría e interventoría</w:t>
      </w:r>
      <w:r w:rsidRPr="00135F30">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35F30">
          <w:rPr>
            <w:rFonts w:ascii="Verdana" w:eastAsia="Aptos" w:hAnsi="Verdana" w:cs="Times New Roman"/>
            <w:color w:val="0000FF"/>
            <w:u w:val="single"/>
          </w:rPr>
          <w:t>https://www.colombiacompra.gov.co/normativa-y-relatoria/documentos-tipo</w:t>
        </w:r>
      </w:hyperlink>
    </w:p>
    <w:p w14:paraId="2D42D76C" w14:textId="77777777" w:rsidR="009B0829" w:rsidRPr="00135F30" w:rsidRDefault="009B0829" w:rsidP="009B0829">
      <w:pPr>
        <w:spacing w:after="0"/>
        <w:ind w:firstLine="708"/>
        <w:jc w:val="both"/>
        <w:rPr>
          <w:rFonts w:ascii="Verdana" w:eastAsia="Aptos" w:hAnsi="Verdana" w:cs="Times New Roman"/>
        </w:rPr>
      </w:pPr>
      <w:r w:rsidRPr="00135F30">
        <w:rPr>
          <w:rFonts w:ascii="Verdana" w:eastAsia="Aptos" w:hAnsi="Verdana" w:cs="Times New Roman"/>
        </w:rPr>
        <w:t xml:space="preserve">Si quieres conocer más sobre la aplicación de Documentos Tipo puedes consultar la última versión de la </w:t>
      </w:r>
      <w:r w:rsidRPr="00135F30">
        <w:rPr>
          <w:rFonts w:ascii="Verdana" w:eastAsia="Aptos" w:hAnsi="Verdana" w:cs="Times New Roman"/>
          <w:b/>
          <w:bCs/>
        </w:rPr>
        <w:t>Guía para la comprensión e implementación de los Documentos Tipo de obra pública de infraestructura de transporte</w:t>
      </w:r>
      <w:r w:rsidRPr="00135F30">
        <w:rPr>
          <w:rFonts w:ascii="Verdana" w:eastAsia="Aptos" w:hAnsi="Verdana" w:cs="Times New Roman"/>
        </w:rPr>
        <w:t xml:space="preserve">. En esta actualización se incorporaron </w:t>
      </w:r>
      <w:r w:rsidRPr="00135F30">
        <w:rPr>
          <w:rFonts w:ascii="Verdana" w:eastAsia="Aptos" w:hAnsi="Verdana" w:cs="Times New Roman"/>
        </w:rPr>
        <w:lastRenderedPageBreak/>
        <w:t>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35F30">
        <w:rPr>
          <w:rFonts w:ascii="Verdana" w:eastAsia="Aptos" w:hAnsi="Verdana" w:cs="Times New Roman"/>
        </w:rPr>
        <w:br/>
      </w:r>
      <w:hyperlink r:id="rId15" w:tgtFrame="_new" w:history="1">
        <w:r w:rsidRPr="00135F30">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784F14A3" w14:textId="77777777" w:rsidR="009B0829" w:rsidRPr="00135F30" w:rsidRDefault="009B0829" w:rsidP="009B0829">
      <w:pPr>
        <w:widowControl w:val="0"/>
        <w:autoSpaceDE w:val="0"/>
        <w:autoSpaceDN w:val="0"/>
        <w:spacing w:after="0" w:line="276" w:lineRule="auto"/>
        <w:jc w:val="both"/>
        <w:rPr>
          <w:rFonts w:ascii="Verdana" w:eastAsia="Aptos" w:hAnsi="Verdana" w:cs="Arial"/>
          <w:shd w:val="clear" w:color="auto" w:fill="FFFFFF"/>
          <w:lang w:val="es-ES"/>
        </w:rPr>
      </w:pPr>
    </w:p>
    <w:p w14:paraId="0CD79938" w14:textId="77777777" w:rsidR="009B0829" w:rsidRPr="00135F30" w:rsidRDefault="009B0829" w:rsidP="009B0829">
      <w:pPr>
        <w:spacing w:after="0" w:line="240" w:lineRule="auto"/>
        <w:jc w:val="both"/>
        <w:rPr>
          <w:rFonts w:ascii="Verdana" w:eastAsia="Aptos" w:hAnsi="Verdana" w:cs="Times New Roman"/>
        </w:rPr>
      </w:pPr>
      <w:r w:rsidRPr="00135F30">
        <w:rPr>
          <w:rFonts w:ascii="Verdana" w:eastAsia="Aptos" w:hAnsi="Verdana" w:cs="Times New Roman"/>
        </w:rPr>
        <w:t xml:space="preserve">Por último, lo invitamos a seguirnos en las redes sociales en las cuales se difunde información institucional: </w:t>
      </w:r>
    </w:p>
    <w:p w14:paraId="461DB151" w14:textId="77777777" w:rsidR="009B0829" w:rsidRPr="00135F30" w:rsidRDefault="009B0829" w:rsidP="009B0829">
      <w:pPr>
        <w:spacing w:after="0" w:line="240" w:lineRule="auto"/>
        <w:jc w:val="both"/>
        <w:rPr>
          <w:rFonts w:ascii="Verdana" w:eastAsia="Aptos" w:hAnsi="Verdana" w:cs="Times New Roman"/>
        </w:rPr>
      </w:pPr>
    </w:p>
    <w:p w14:paraId="7C283E33" w14:textId="77777777" w:rsidR="009B0829" w:rsidRPr="00135F30" w:rsidRDefault="009B0829" w:rsidP="009B0829">
      <w:pPr>
        <w:spacing w:after="0" w:line="240" w:lineRule="auto"/>
        <w:jc w:val="both"/>
        <w:rPr>
          <w:rFonts w:ascii="Verdana" w:eastAsia="Aptos" w:hAnsi="Verdana" w:cs="Times New Roman"/>
        </w:rPr>
      </w:pPr>
      <w:r w:rsidRPr="00135F30">
        <w:rPr>
          <w:rFonts w:ascii="Verdana" w:eastAsia="Aptos" w:hAnsi="Verdana" w:cs="Times New Roman"/>
        </w:rPr>
        <w:t xml:space="preserve">Twitter: </w:t>
      </w:r>
      <w:r w:rsidRPr="00135F30">
        <w:rPr>
          <w:rFonts w:ascii="Verdana" w:eastAsia="Aptos" w:hAnsi="Verdana" w:cs="Arial"/>
          <w:color w:val="0000FF"/>
          <w:u w:val="single"/>
          <w:shd w:val="clear" w:color="auto" w:fill="FFFFFF"/>
          <w:lang w:val="es-ES"/>
        </w:rPr>
        <w:t>@colombiacompra</w:t>
      </w:r>
      <w:r w:rsidRPr="00135F30">
        <w:rPr>
          <w:rFonts w:ascii="Verdana" w:eastAsia="Aptos" w:hAnsi="Verdana" w:cs="Times New Roman"/>
          <w:color w:val="156082"/>
        </w:rPr>
        <w:t xml:space="preserve"> </w:t>
      </w:r>
    </w:p>
    <w:p w14:paraId="2EE71933" w14:textId="77777777" w:rsidR="009B0829" w:rsidRPr="00135F30" w:rsidRDefault="009B0829" w:rsidP="009B0829">
      <w:pPr>
        <w:spacing w:after="0" w:line="240" w:lineRule="auto"/>
        <w:jc w:val="both"/>
        <w:rPr>
          <w:rFonts w:ascii="Verdana" w:eastAsia="Aptos" w:hAnsi="Verdana" w:cs="Times New Roman"/>
        </w:rPr>
      </w:pPr>
      <w:r w:rsidRPr="00135F30">
        <w:rPr>
          <w:rFonts w:ascii="Verdana" w:eastAsia="Aptos" w:hAnsi="Verdana" w:cs="Times New Roman"/>
        </w:rPr>
        <w:t xml:space="preserve">Facebook: </w:t>
      </w:r>
      <w:proofErr w:type="spellStart"/>
      <w:r w:rsidRPr="00135F30">
        <w:rPr>
          <w:rFonts w:ascii="Verdana" w:eastAsia="Aptos" w:hAnsi="Verdana" w:cs="Arial"/>
          <w:color w:val="0000FF"/>
          <w:u w:val="single"/>
          <w:shd w:val="clear" w:color="auto" w:fill="FFFFFF"/>
          <w:lang w:val="es-ES"/>
        </w:rPr>
        <w:t>ColombiaCompraEficiente</w:t>
      </w:r>
      <w:proofErr w:type="spellEnd"/>
    </w:p>
    <w:p w14:paraId="72BE77F1" w14:textId="77777777" w:rsidR="009B0829" w:rsidRPr="00135F30" w:rsidRDefault="009B0829" w:rsidP="009B0829">
      <w:pPr>
        <w:spacing w:after="0" w:line="240" w:lineRule="auto"/>
        <w:jc w:val="both"/>
        <w:rPr>
          <w:rFonts w:ascii="Verdana" w:eastAsia="Aptos" w:hAnsi="Verdana" w:cs="Times New Roman"/>
        </w:rPr>
      </w:pPr>
      <w:r w:rsidRPr="00135F30">
        <w:rPr>
          <w:rFonts w:ascii="Verdana" w:eastAsia="Aptos" w:hAnsi="Verdana" w:cs="Times New Roman"/>
        </w:rPr>
        <w:t xml:space="preserve">LinkedIn: </w:t>
      </w:r>
      <w:r w:rsidRPr="00135F30">
        <w:rPr>
          <w:rFonts w:ascii="Verdana" w:eastAsia="Aptos" w:hAnsi="Verdana" w:cs="Arial"/>
          <w:color w:val="0000FF"/>
          <w:u w:val="single"/>
          <w:shd w:val="clear" w:color="auto" w:fill="FFFFFF"/>
          <w:lang w:val="es-ES"/>
        </w:rPr>
        <w:t>Agencia Nacional de Contratación Pública - Colombia Compra Eficiente</w:t>
      </w:r>
      <w:r w:rsidRPr="00135F30">
        <w:rPr>
          <w:rFonts w:ascii="Verdana" w:eastAsia="Aptos" w:hAnsi="Verdana" w:cs="Times New Roman"/>
          <w:color w:val="156082"/>
        </w:rPr>
        <w:t xml:space="preserve"> </w:t>
      </w:r>
      <w:r w:rsidRPr="00135F30">
        <w:rPr>
          <w:rFonts w:ascii="Verdana" w:eastAsia="Aptos" w:hAnsi="Verdana" w:cs="Times New Roman"/>
        </w:rPr>
        <w:t xml:space="preserve">Instagram: </w:t>
      </w:r>
      <w:r w:rsidRPr="00135F30">
        <w:rPr>
          <w:rFonts w:ascii="Verdana" w:eastAsia="Aptos" w:hAnsi="Verdana" w:cs="Arial"/>
          <w:color w:val="0000FF"/>
          <w:u w:val="single"/>
          <w:shd w:val="clear" w:color="auto" w:fill="FFFFFF"/>
          <w:lang w:val="es-ES"/>
        </w:rPr>
        <w:t>@colombiacompraeficiente_cce</w:t>
      </w:r>
    </w:p>
    <w:p w14:paraId="100C3E28" w14:textId="77777777" w:rsidR="009B0829" w:rsidRPr="00135F30" w:rsidRDefault="009B0829" w:rsidP="009B0829">
      <w:pPr>
        <w:widowControl w:val="0"/>
        <w:autoSpaceDE w:val="0"/>
        <w:autoSpaceDN w:val="0"/>
        <w:spacing w:after="0" w:line="276" w:lineRule="auto"/>
        <w:jc w:val="both"/>
        <w:rPr>
          <w:rFonts w:ascii="Verdana" w:eastAsia="Aptos" w:hAnsi="Verdana" w:cs="Arial"/>
        </w:rPr>
      </w:pPr>
    </w:p>
    <w:p w14:paraId="40B943B2" w14:textId="77777777" w:rsidR="009B0829" w:rsidRPr="00135F30" w:rsidRDefault="009B0829" w:rsidP="009B0829">
      <w:pPr>
        <w:widowControl w:val="0"/>
        <w:autoSpaceDE w:val="0"/>
        <w:autoSpaceDN w:val="0"/>
        <w:spacing w:after="0" w:line="276" w:lineRule="auto"/>
        <w:jc w:val="both"/>
        <w:rPr>
          <w:rFonts w:ascii="Verdana" w:eastAsia="Aptos" w:hAnsi="Verdana" w:cs="Arial"/>
          <w:lang w:val="es-ES_tradnl"/>
        </w:rPr>
      </w:pPr>
      <w:r w:rsidRPr="00135F30">
        <w:rPr>
          <w:rFonts w:ascii="Verdana" w:eastAsia="Aptos" w:hAnsi="Verdana" w:cs="Arial"/>
        </w:rPr>
        <w:t xml:space="preserve">Este concepto tiene el alcance previsto en el artículo 28 del Código de Procedimiento Administrativo y de lo Contencioso Administrativo </w:t>
      </w:r>
      <w:r w:rsidRPr="00135F30">
        <w:rPr>
          <w:rFonts w:ascii="Verdana" w:eastAsia="Aptos" w:hAnsi="Verdana" w:cs="Arial"/>
          <w:lang w:val="es-ES_tradnl"/>
        </w:rPr>
        <w:t>y las expresiones aquí utilizadas con mayúscula inicial deben ser entendidas con el significado que les otorga el artículo 2.2.1.1.1.3.1. del Decreto 1082 de 2015.</w:t>
      </w:r>
    </w:p>
    <w:p w14:paraId="1E66E23A" w14:textId="77777777" w:rsidR="009B0829" w:rsidRPr="00135F30" w:rsidRDefault="009B0829" w:rsidP="009B0829">
      <w:pPr>
        <w:widowControl w:val="0"/>
        <w:autoSpaceDE w:val="0"/>
        <w:autoSpaceDN w:val="0"/>
        <w:spacing w:after="0" w:line="276" w:lineRule="auto"/>
        <w:jc w:val="both"/>
        <w:rPr>
          <w:rFonts w:ascii="Verdana" w:eastAsia="Aptos" w:hAnsi="Verdana" w:cs="Arial"/>
        </w:rPr>
      </w:pPr>
    </w:p>
    <w:p w14:paraId="6C018763" w14:textId="77777777" w:rsidR="009B0829" w:rsidRPr="00135F30" w:rsidRDefault="009B0829" w:rsidP="009B0829">
      <w:pPr>
        <w:spacing w:after="0" w:line="240" w:lineRule="auto"/>
        <w:rPr>
          <w:rFonts w:ascii="Verdana" w:eastAsia="Aptos" w:hAnsi="Verdana" w:cs="Arial"/>
          <w:lang w:eastAsia="es-CO"/>
        </w:rPr>
      </w:pPr>
      <w:r w:rsidRPr="00135F30">
        <w:rPr>
          <w:rFonts w:ascii="Verdana" w:eastAsia="Times New Roman" w:hAnsi="Verdana" w:cs="Arial"/>
          <w:lang w:eastAsia="es-CO"/>
        </w:rPr>
        <w:t>Atentamente,</w:t>
      </w:r>
      <w:r w:rsidRPr="00135F30">
        <w:rPr>
          <w:rFonts w:ascii="Verdana" w:eastAsia="Aptos" w:hAnsi="Verdana" w:cs="Arial"/>
          <w:lang w:eastAsia="es-CO"/>
        </w:rPr>
        <w:t xml:space="preserve"> </w:t>
      </w:r>
    </w:p>
    <w:p w14:paraId="11B3C346" w14:textId="77777777" w:rsidR="009B0829" w:rsidRPr="00135F30" w:rsidRDefault="009B0829" w:rsidP="009B0829">
      <w:pPr>
        <w:spacing w:after="0" w:line="276" w:lineRule="auto"/>
        <w:jc w:val="center"/>
        <w:rPr>
          <w:rFonts w:ascii="Verdana" w:eastAsia="Aptos" w:hAnsi="Verdana" w:cs="Arial"/>
          <w:lang w:val="es-ES_tradnl" w:eastAsia="es-CO"/>
        </w:rPr>
      </w:pPr>
    </w:p>
    <w:p w14:paraId="385713E5" w14:textId="02C9C488" w:rsidR="009B0829" w:rsidRPr="00135F30" w:rsidRDefault="00500702" w:rsidP="009B0829">
      <w:pPr>
        <w:spacing w:after="0" w:line="276" w:lineRule="auto"/>
        <w:jc w:val="center"/>
        <w:rPr>
          <w:rFonts w:ascii="Verdana" w:eastAsia="Aptos" w:hAnsi="Verdana" w:cs="Arial"/>
          <w:lang w:val="es-ES_tradnl" w:eastAsia="es-CO"/>
        </w:rPr>
      </w:pPr>
      <w:r>
        <w:rPr>
          <w:noProof/>
        </w:rPr>
        <w:drawing>
          <wp:inline distT="0" distB="0" distL="0" distR="0" wp14:anchorId="4E9D71E7" wp14:editId="5ED74047">
            <wp:extent cx="3771900" cy="1409700"/>
            <wp:effectExtent l="0" t="0" r="0" b="0"/>
            <wp:docPr id="39606500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9700"/>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9B0829" w:rsidRPr="00135F30" w14:paraId="79199603" w14:textId="77777777" w:rsidTr="00EE3DD5">
        <w:trPr>
          <w:trHeight w:val="286"/>
        </w:trPr>
        <w:tc>
          <w:tcPr>
            <w:tcW w:w="901" w:type="dxa"/>
            <w:vAlign w:val="center"/>
            <w:hideMark/>
          </w:tcPr>
          <w:p w14:paraId="7FA30C42" w14:textId="77777777" w:rsidR="009B0829" w:rsidRPr="00135F30" w:rsidRDefault="009B0829" w:rsidP="00EE3DD5">
            <w:pPr>
              <w:rPr>
                <w:rFonts w:ascii="Verdana" w:eastAsia="Aptos" w:hAnsi="Verdana" w:cs="Arial"/>
                <w:sz w:val="14"/>
                <w:szCs w:val="14"/>
                <w:lang w:eastAsia="es-ES"/>
              </w:rPr>
            </w:pPr>
            <w:r w:rsidRPr="00135F30">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2D1A388A" w14:textId="77777777" w:rsidR="009B0829" w:rsidRPr="00135F30" w:rsidRDefault="009B0829" w:rsidP="00EE3DD5">
            <w:pPr>
              <w:rPr>
                <w:rFonts w:ascii="Verdana" w:eastAsia="Aptos" w:hAnsi="Verdana" w:cs="Arial"/>
                <w:sz w:val="14"/>
                <w:szCs w:val="14"/>
                <w:lang w:eastAsia="es-ES"/>
              </w:rPr>
            </w:pPr>
            <w:r w:rsidRPr="00135F30">
              <w:rPr>
                <w:rFonts w:ascii="Verdana" w:eastAsia="Aptos" w:hAnsi="Verdana" w:cs="Arial"/>
                <w:sz w:val="14"/>
                <w:szCs w:val="14"/>
                <w:lang w:eastAsia="es-ES"/>
              </w:rPr>
              <w:t>Nasly Yeana Mosquera Rivas</w:t>
            </w:r>
          </w:p>
          <w:p w14:paraId="61F7C3A6" w14:textId="77777777" w:rsidR="009B0829" w:rsidRPr="00135F30" w:rsidRDefault="009B0829" w:rsidP="00EE3DD5">
            <w:pPr>
              <w:rPr>
                <w:rFonts w:ascii="Verdana" w:eastAsia="Aptos" w:hAnsi="Verdana" w:cs="Arial"/>
                <w:sz w:val="14"/>
                <w:szCs w:val="14"/>
                <w:lang w:eastAsia="es-ES"/>
              </w:rPr>
            </w:pPr>
            <w:r w:rsidRPr="00135F30">
              <w:rPr>
                <w:rFonts w:ascii="Verdana" w:eastAsia="Aptos" w:hAnsi="Verdana" w:cs="Arial"/>
                <w:sz w:val="14"/>
                <w:szCs w:val="14"/>
                <w:lang w:eastAsia="es-ES"/>
              </w:rPr>
              <w:t>Analista T2–06 de la Subdirección de Gestión Contractual</w:t>
            </w:r>
          </w:p>
        </w:tc>
      </w:tr>
      <w:tr w:rsidR="009B0829" w:rsidRPr="00135F30" w14:paraId="13D6C9C9" w14:textId="77777777" w:rsidTr="00EE3DD5">
        <w:trPr>
          <w:trHeight w:val="299"/>
        </w:trPr>
        <w:tc>
          <w:tcPr>
            <w:tcW w:w="901" w:type="dxa"/>
            <w:vAlign w:val="center"/>
          </w:tcPr>
          <w:p w14:paraId="659CE1B5" w14:textId="77777777" w:rsidR="009B0829" w:rsidRPr="00135F30" w:rsidRDefault="009B0829" w:rsidP="00EE3DD5">
            <w:pPr>
              <w:rPr>
                <w:rFonts w:ascii="Verdana" w:eastAsia="Aptos" w:hAnsi="Verdana" w:cs="Arial"/>
                <w:sz w:val="14"/>
                <w:szCs w:val="14"/>
                <w:lang w:eastAsia="es-ES"/>
              </w:rPr>
            </w:pPr>
            <w:r w:rsidRPr="00135F30">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4E8BB6E4" w14:textId="77777777" w:rsidR="009B0829" w:rsidRPr="00135F30" w:rsidRDefault="009B0829" w:rsidP="00EE3DD5">
            <w:pPr>
              <w:rPr>
                <w:rFonts w:ascii="Verdana" w:eastAsia="Aptos" w:hAnsi="Verdana" w:cs="Arial"/>
                <w:sz w:val="14"/>
                <w:szCs w:val="14"/>
                <w:lang w:eastAsia="es-ES"/>
              </w:rPr>
            </w:pPr>
            <w:r w:rsidRPr="00135F30">
              <w:rPr>
                <w:rFonts w:ascii="Verdana" w:eastAsia="Aptos" w:hAnsi="Verdana" w:cs="Arial"/>
                <w:sz w:val="14"/>
                <w:szCs w:val="14"/>
                <w:lang w:eastAsia="es-ES"/>
              </w:rPr>
              <w:t>Diana Lucía Saavedra</w:t>
            </w:r>
          </w:p>
          <w:p w14:paraId="60F4365F" w14:textId="77777777" w:rsidR="009B0829" w:rsidRPr="00135F30" w:rsidRDefault="009B0829" w:rsidP="00EE3DD5">
            <w:pPr>
              <w:rPr>
                <w:rFonts w:ascii="Verdana" w:eastAsia="Aptos" w:hAnsi="Verdana" w:cs="Arial"/>
                <w:sz w:val="14"/>
                <w:szCs w:val="14"/>
                <w:lang w:eastAsia="es-ES"/>
              </w:rPr>
            </w:pPr>
            <w:r w:rsidRPr="00135F30">
              <w:rPr>
                <w:rFonts w:ascii="Verdana" w:eastAsia="Aptos" w:hAnsi="Verdana" w:cs="Arial"/>
                <w:sz w:val="14"/>
                <w:szCs w:val="14"/>
                <w:lang w:eastAsia="es-ES"/>
              </w:rPr>
              <w:t>Contratista de la Subdirección de Gestión Contractual</w:t>
            </w:r>
          </w:p>
        </w:tc>
      </w:tr>
      <w:tr w:rsidR="009B0829" w:rsidRPr="00135F30" w14:paraId="451E5DDB" w14:textId="77777777" w:rsidTr="00EE3DD5">
        <w:trPr>
          <w:trHeight w:val="272"/>
        </w:trPr>
        <w:tc>
          <w:tcPr>
            <w:tcW w:w="901" w:type="dxa"/>
            <w:vAlign w:val="center"/>
            <w:hideMark/>
          </w:tcPr>
          <w:p w14:paraId="3207CD62" w14:textId="77777777" w:rsidR="009B0829" w:rsidRPr="00135F30" w:rsidRDefault="009B0829" w:rsidP="00EE3DD5">
            <w:pPr>
              <w:rPr>
                <w:rFonts w:ascii="Verdana" w:eastAsia="Aptos" w:hAnsi="Verdana" w:cs="Arial"/>
                <w:sz w:val="14"/>
                <w:szCs w:val="14"/>
                <w:lang w:eastAsia="es-ES"/>
              </w:rPr>
            </w:pPr>
            <w:r w:rsidRPr="00135F30">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705EE644" w14:textId="77777777" w:rsidR="009B0829" w:rsidRPr="00135F30" w:rsidRDefault="009B0829" w:rsidP="00EE3DD5">
            <w:pPr>
              <w:rPr>
                <w:rFonts w:ascii="Verdana" w:eastAsia="Aptos" w:hAnsi="Verdana" w:cs="Arial"/>
                <w:sz w:val="14"/>
                <w:szCs w:val="14"/>
                <w:lang w:eastAsia="es-ES"/>
              </w:rPr>
            </w:pPr>
            <w:r w:rsidRPr="00135F30">
              <w:rPr>
                <w:rFonts w:ascii="Verdana" w:eastAsia="Aptos" w:hAnsi="Verdana" w:cs="Arial"/>
                <w:sz w:val="14"/>
                <w:szCs w:val="14"/>
                <w:lang w:eastAsia="es-ES"/>
              </w:rPr>
              <w:t>Carolina Quintero Gacharná</w:t>
            </w:r>
          </w:p>
          <w:p w14:paraId="03B4AB5A" w14:textId="77777777" w:rsidR="009B0829" w:rsidRPr="00135F30" w:rsidRDefault="009B0829" w:rsidP="00EE3DD5">
            <w:pPr>
              <w:rPr>
                <w:rFonts w:ascii="Verdana" w:eastAsia="Aptos" w:hAnsi="Verdana" w:cs="Arial"/>
                <w:sz w:val="14"/>
                <w:szCs w:val="14"/>
                <w:lang w:eastAsia="es-ES"/>
              </w:rPr>
            </w:pPr>
            <w:r w:rsidRPr="00135F30">
              <w:rPr>
                <w:rFonts w:ascii="Verdana" w:eastAsia="Aptos" w:hAnsi="Verdana" w:cs="Arial"/>
                <w:sz w:val="14"/>
                <w:szCs w:val="14"/>
                <w:lang w:eastAsia="es-ES"/>
              </w:rPr>
              <w:t>Subdirectora de Gestión Contractual ANCP – CCE</w:t>
            </w:r>
          </w:p>
        </w:tc>
      </w:tr>
    </w:tbl>
    <w:p w14:paraId="3903834F" w14:textId="77777777" w:rsidR="009B0829" w:rsidRPr="00135F30" w:rsidRDefault="009B0829" w:rsidP="009B0829">
      <w:pPr>
        <w:spacing w:after="0" w:line="240" w:lineRule="auto"/>
        <w:rPr>
          <w:rFonts w:ascii="Verdana" w:eastAsia="Times New Roman" w:hAnsi="Verdana" w:cs="Arial"/>
          <w:sz w:val="24"/>
          <w:szCs w:val="24"/>
          <w:lang w:eastAsia="es-ES"/>
        </w:rPr>
      </w:pPr>
    </w:p>
    <w:p w14:paraId="56D144FD" w14:textId="77777777" w:rsidR="009B0829" w:rsidRPr="00135F30" w:rsidRDefault="009B0829" w:rsidP="009B0829">
      <w:pPr>
        <w:rPr>
          <w:rFonts w:ascii="Verdana" w:eastAsia="Aptos" w:hAnsi="Verdana" w:cs="Times New Roman"/>
        </w:rPr>
      </w:pPr>
    </w:p>
    <w:p w14:paraId="35508F34" w14:textId="77777777" w:rsidR="009B0829" w:rsidRPr="00135F30" w:rsidRDefault="009B0829" w:rsidP="009B0829">
      <w:pPr>
        <w:rPr>
          <w:rFonts w:ascii="Verdana" w:eastAsia="Aptos" w:hAnsi="Verdana" w:cs="Times New Roman"/>
        </w:rPr>
      </w:pPr>
    </w:p>
    <w:bookmarkEnd w:id="0"/>
    <w:p w14:paraId="79DBA1F6" w14:textId="77777777" w:rsidR="009B0829" w:rsidRPr="0015699B" w:rsidRDefault="009B0829" w:rsidP="009B0829">
      <w:pPr>
        <w:spacing w:after="0" w:line="240" w:lineRule="auto"/>
        <w:ind w:left="1080"/>
        <w:jc w:val="both"/>
        <w:textAlignment w:val="baseline"/>
        <w:rPr>
          <w:rFonts w:ascii="Verdana" w:eastAsia="Verdana" w:hAnsi="Verdana" w:cs="Verdana"/>
          <w:lang w:eastAsia="es-CO"/>
        </w:rPr>
      </w:pPr>
    </w:p>
    <w:sectPr w:rsidR="009B0829" w:rsidRPr="0015699B" w:rsidSect="009B0829">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5AE9DD" w14:textId="77777777" w:rsidR="00DF65A0" w:rsidRDefault="00DF65A0" w:rsidP="009B0829">
      <w:pPr>
        <w:spacing w:after="0" w:line="240" w:lineRule="auto"/>
      </w:pPr>
      <w:r>
        <w:separator/>
      </w:r>
    </w:p>
  </w:endnote>
  <w:endnote w:type="continuationSeparator" w:id="0">
    <w:p w14:paraId="22FF8CA4" w14:textId="77777777" w:rsidR="00DF65A0" w:rsidRDefault="00DF65A0" w:rsidP="009B08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atang">
    <w:panose1 w:val="02030600000101010101"/>
    <w:charset w:val="81"/>
    <w:family w:val="roman"/>
    <w:pitch w:val="variable"/>
    <w:sig w:usb0="B00002AF" w:usb1="69D77CFB" w:usb2="00000030" w:usb3="00000000" w:csb0="0008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5FFA5" w14:textId="77777777" w:rsidR="009B0829" w:rsidRDefault="009B0829">
    <w:pPr>
      <w:pStyle w:val="Piedepgina"/>
    </w:pPr>
  </w:p>
  <w:p w14:paraId="06AD4313" w14:textId="77777777" w:rsidR="009B0829" w:rsidRPr="00174B77" w:rsidRDefault="009B0829"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3FF2D31E" w14:textId="77777777" w:rsidR="009B0829" w:rsidRDefault="009B0829"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619A0DF9" w14:textId="77777777" w:rsidR="009B0829" w:rsidRPr="00E41027" w:rsidRDefault="009B0829"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6E16EEC2" w14:textId="77777777" w:rsidR="009B0829" w:rsidRDefault="009B0829"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135F30">
      <w:rPr>
        <w:rFonts w:ascii="Verdana" w:eastAsia="Verdana" w:hAnsi="Verdana" w:cs="Verdana"/>
        <w:b/>
        <w:bCs/>
        <w:color w:val="000000"/>
        <w:sz w:val="18"/>
        <w:szCs w:val="18"/>
        <w:lang w:eastAsia="es-CO"/>
      </w:rPr>
      <w:t xml:space="preserve">Código: </w:t>
    </w:r>
    <w:r w:rsidRPr="00135F30">
      <w:rPr>
        <w:rFonts w:ascii="Verdana" w:eastAsia="Verdana" w:hAnsi="Verdana" w:cs="Verdana"/>
        <w:color w:val="000000"/>
        <w:sz w:val="18"/>
        <w:szCs w:val="18"/>
        <w:lang w:eastAsia="es-CO"/>
      </w:rPr>
      <w:t xml:space="preserve">CCE-REC-FM-17 </w:t>
    </w:r>
    <w:r w:rsidRPr="00135F30">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1A1543" w14:textId="77777777" w:rsidR="00DF65A0" w:rsidRDefault="00DF65A0" w:rsidP="009B0829">
      <w:pPr>
        <w:spacing w:after="0" w:line="240" w:lineRule="auto"/>
      </w:pPr>
      <w:r>
        <w:separator/>
      </w:r>
    </w:p>
  </w:footnote>
  <w:footnote w:type="continuationSeparator" w:id="0">
    <w:p w14:paraId="4207D79F" w14:textId="77777777" w:rsidR="00DF65A0" w:rsidRDefault="00DF65A0" w:rsidP="009B0829">
      <w:pPr>
        <w:spacing w:after="0" w:line="240" w:lineRule="auto"/>
      </w:pPr>
      <w:r>
        <w:continuationSeparator/>
      </w:r>
    </w:p>
  </w:footnote>
  <w:footnote w:id="1">
    <w:p w14:paraId="0BB09B28" w14:textId="77777777" w:rsidR="009B0829" w:rsidRPr="00F45FD9" w:rsidRDefault="009B0829" w:rsidP="009B0829">
      <w:pPr>
        <w:spacing w:after="0" w:line="240" w:lineRule="auto"/>
        <w:jc w:val="both"/>
        <w:rPr>
          <w:rFonts w:ascii="Century Gothic" w:hAnsi="Century Gothic" w:cs="Arial"/>
          <w:sz w:val="12"/>
          <w:szCs w:val="12"/>
        </w:rPr>
      </w:pPr>
    </w:p>
    <w:p w14:paraId="113D0D39" w14:textId="77777777" w:rsidR="009B0829" w:rsidRPr="00F45FD9" w:rsidRDefault="009B0829" w:rsidP="009B0829">
      <w:pPr>
        <w:spacing w:after="0" w:line="240" w:lineRule="auto"/>
        <w:ind w:firstLine="708"/>
        <w:jc w:val="both"/>
        <w:rPr>
          <w:rFonts w:ascii="Century Gothic" w:hAnsi="Century Gothic" w:cs="Arial"/>
          <w:sz w:val="12"/>
          <w:szCs w:val="12"/>
          <w:lang w:val="es-MX"/>
        </w:rPr>
      </w:pPr>
      <w:r w:rsidRPr="00F45FD9">
        <w:rPr>
          <w:rStyle w:val="Refdenotaalpie"/>
          <w:rFonts w:ascii="Century Gothic" w:hAnsi="Century Gothic" w:cs="Arial"/>
          <w:sz w:val="12"/>
          <w:szCs w:val="12"/>
        </w:rPr>
        <w:footnoteRef/>
      </w:r>
      <w:r w:rsidRPr="00F45FD9">
        <w:rPr>
          <w:rFonts w:ascii="Century Gothic" w:hAnsi="Century Gothic" w:cs="Arial"/>
          <w:sz w:val="12"/>
          <w:szCs w:val="12"/>
        </w:rPr>
        <w:t xml:space="preserve"> </w:t>
      </w:r>
      <w:r w:rsidRPr="00F45FD9">
        <w:rPr>
          <w:rFonts w:ascii="Century Gothic" w:hAnsi="Century Gothic" w:cs="Arial"/>
          <w:color w:val="1A1A1A"/>
          <w:sz w:val="12"/>
          <w:szCs w:val="12"/>
        </w:rPr>
        <w:t>Artículo</w:t>
      </w:r>
      <w:r w:rsidRPr="00F45FD9">
        <w:rPr>
          <w:rFonts w:ascii="Century Gothic" w:hAnsi="Century Gothic" w:cs="Arial"/>
          <w:color w:val="1A1A1A"/>
          <w:spacing w:val="-1"/>
          <w:sz w:val="12"/>
          <w:szCs w:val="12"/>
        </w:rPr>
        <w:t xml:space="preserve"> </w:t>
      </w:r>
      <w:r w:rsidRPr="00F45FD9">
        <w:rPr>
          <w:rFonts w:ascii="Century Gothic" w:hAnsi="Century Gothic" w:cs="Arial"/>
          <w:color w:val="1A1A1A"/>
          <w:sz w:val="12"/>
          <w:szCs w:val="12"/>
        </w:rPr>
        <w:t>3</w:t>
      </w:r>
      <w:r w:rsidRPr="00F45FD9">
        <w:rPr>
          <w:rFonts w:ascii="Century Gothic" w:hAnsi="Century Gothic" w:cs="Arial"/>
          <w:color w:val="1A1A1A"/>
          <w:spacing w:val="-3"/>
          <w:sz w:val="12"/>
          <w:szCs w:val="12"/>
        </w:rPr>
        <w:t xml:space="preserve"> </w:t>
      </w:r>
      <w:r w:rsidRPr="00F45FD9">
        <w:rPr>
          <w:rFonts w:ascii="Century Gothic" w:hAnsi="Century Gothic" w:cs="Arial"/>
          <w:color w:val="1A1A1A"/>
          <w:sz w:val="12"/>
          <w:szCs w:val="12"/>
        </w:rPr>
        <w:t>de</w:t>
      </w:r>
      <w:r w:rsidRPr="00F45FD9">
        <w:rPr>
          <w:rFonts w:ascii="Century Gothic" w:hAnsi="Century Gothic" w:cs="Arial"/>
          <w:color w:val="1A1A1A"/>
          <w:spacing w:val="-3"/>
          <w:sz w:val="12"/>
          <w:szCs w:val="12"/>
        </w:rPr>
        <w:t xml:space="preserve"> </w:t>
      </w:r>
      <w:r w:rsidRPr="00F45FD9">
        <w:rPr>
          <w:rFonts w:ascii="Century Gothic" w:hAnsi="Century Gothic" w:cs="Arial"/>
          <w:color w:val="1A1A1A"/>
          <w:sz w:val="12"/>
          <w:szCs w:val="12"/>
        </w:rPr>
        <w:t>la</w:t>
      </w:r>
      <w:r w:rsidRPr="00F45FD9">
        <w:rPr>
          <w:rFonts w:ascii="Century Gothic" w:hAnsi="Century Gothic" w:cs="Arial"/>
          <w:color w:val="1A1A1A"/>
          <w:spacing w:val="-1"/>
          <w:sz w:val="12"/>
          <w:szCs w:val="12"/>
        </w:rPr>
        <w:t xml:space="preserve"> </w:t>
      </w:r>
      <w:r w:rsidRPr="00F45FD9">
        <w:rPr>
          <w:rFonts w:ascii="Century Gothic" w:hAnsi="Century Gothic" w:cs="Arial"/>
          <w:color w:val="1A1A1A"/>
          <w:sz w:val="12"/>
          <w:szCs w:val="12"/>
        </w:rPr>
        <w:t>Ley</w:t>
      </w:r>
      <w:r w:rsidRPr="00F45FD9">
        <w:rPr>
          <w:rFonts w:ascii="Century Gothic" w:hAnsi="Century Gothic" w:cs="Arial"/>
          <w:color w:val="1A1A1A"/>
          <w:spacing w:val="-4"/>
          <w:sz w:val="12"/>
          <w:szCs w:val="12"/>
        </w:rPr>
        <w:t xml:space="preserve"> </w:t>
      </w:r>
      <w:r w:rsidRPr="00F45FD9">
        <w:rPr>
          <w:rFonts w:ascii="Century Gothic" w:hAnsi="Century Gothic" w:cs="Arial"/>
          <w:color w:val="1A1A1A"/>
          <w:sz w:val="12"/>
          <w:szCs w:val="12"/>
        </w:rPr>
        <w:t>80</w:t>
      </w:r>
      <w:r w:rsidRPr="00F45FD9">
        <w:rPr>
          <w:rFonts w:ascii="Century Gothic" w:hAnsi="Century Gothic" w:cs="Arial"/>
          <w:color w:val="1A1A1A"/>
          <w:spacing w:val="-1"/>
          <w:sz w:val="12"/>
          <w:szCs w:val="12"/>
        </w:rPr>
        <w:t xml:space="preserve"> </w:t>
      </w:r>
      <w:r w:rsidRPr="00F45FD9">
        <w:rPr>
          <w:rFonts w:ascii="Century Gothic" w:hAnsi="Century Gothic" w:cs="Arial"/>
          <w:color w:val="1A1A1A"/>
          <w:sz w:val="12"/>
          <w:szCs w:val="12"/>
        </w:rPr>
        <w:t>de</w:t>
      </w:r>
      <w:r w:rsidRPr="00F45FD9">
        <w:rPr>
          <w:rFonts w:ascii="Century Gothic" w:hAnsi="Century Gothic" w:cs="Arial"/>
          <w:color w:val="1A1A1A"/>
          <w:spacing w:val="-1"/>
          <w:sz w:val="12"/>
          <w:szCs w:val="12"/>
        </w:rPr>
        <w:t xml:space="preserve"> </w:t>
      </w:r>
      <w:r w:rsidRPr="00F45FD9">
        <w:rPr>
          <w:rFonts w:ascii="Century Gothic" w:hAnsi="Century Gothic" w:cs="Arial"/>
          <w:color w:val="1A1A1A"/>
          <w:sz w:val="12"/>
          <w:szCs w:val="12"/>
        </w:rPr>
        <w:t>1993.</w:t>
      </w:r>
    </w:p>
  </w:footnote>
  <w:footnote w:id="2">
    <w:p w14:paraId="6E310651" w14:textId="77777777" w:rsidR="009B0829" w:rsidRPr="00F45FD9" w:rsidRDefault="009B0829" w:rsidP="009B0829">
      <w:pPr>
        <w:spacing w:after="0" w:line="240" w:lineRule="auto"/>
        <w:ind w:firstLine="709"/>
        <w:jc w:val="both"/>
        <w:rPr>
          <w:rFonts w:ascii="Century Gothic" w:hAnsi="Century Gothic" w:cs="Arial"/>
          <w:sz w:val="12"/>
          <w:szCs w:val="12"/>
          <w:lang w:val="es-ES"/>
        </w:rPr>
      </w:pPr>
      <w:r w:rsidRPr="00F45FD9">
        <w:rPr>
          <w:rStyle w:val="Refdenotaalpie"/>
          <w:rFonts w:ascii="Century Gothic" w:hAnsi="Century Gothic" w:cs="Arial"/>
          <w:sz w:val="12"/>
          <w:szCs w:val="12"/>
        </w:rPr>
        <w:footnoteRef/>
      </w:r>
      <w:r w:rsidRPr="00F45FD9">
        <w:rPr>
          <w:rFonts w:ascii="Century Gothic" w:hAnsi="Century Gothic" w:cs="Arial"/>
          <w:sz w:val="12"/>
          <w:szCs w:val="12"/>
        </w:rPr>
        <w:t xml:space="preserve"> </w:t>
      </w:r>
      <w:r w:rsidRPr="00F45FD9">
        <w:rPr>
          <w:rFonts w:ascii="Century Gothic" w:hAnsi="Century Gothic" w:cs="Arial"/>
          <w:sz w:val="12"/>
          <w:szCs w:val="12"/>
          <w:lang w:val="es-ES"/>
        </w:rPr>
        <w:t>En efecto, este enunciado normativo establece: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p w14:paraId="69CC3D9F" w14:textId="77777777" w:rsidR="009B0829" w:rsidRPr="00F45FD9" w:rsidRDefault="009B0829" w:rsidP="009B0829">
      <w:pPr>
        <w:spacing w:after="0" w:line="240" w:lineRule="auto"/>
        <w:ind w:firstLine="709"/>
        <w:jc w:val="both"/>
        <w:rPr>
          <w:rFonts w:ascii="Century Gothic" w:hAnsi="Century Gothic" w:cs="Arial"/>
          <w:sz w:val="12"/>
          <w:szCs w:val="12"/>
          <w:lang w:val="es-ES"/>
        </w:rPr>
      </w:pPr>
    </w:p>
  </w:footnote>
  <w:footnote w:id="3">
    <w:p w14:paraId="5B64E1B0" w14:textId="77777777" w:rsidR="009B0829" w:rsidRPr="00F45FD9" w:rsidRDefault="009B0829" w:rsidP="009B0829">
      <w:pPr>
        <w:spacing w:after="0" w:line="240" w:lineRule="auto"/>
        <w:ind w:firstLine="709"/>
        <w:jc w:val="both"/>
        <w:rPr>
          <w:rFonts w:ascii="Century Gothic" w:hAnsi="Century Gothic" w:cs="Arial"/>
          <w:sz w:val="12"/>
          <w:szCs w:val="12"/>
          <w:lang w:val="es-ES"/>
        </w:rPr>
      </w:pPr>
      <w:r w:rsidRPr="00F45FD9">
        <w:rPr>
          <w:rStyle w:val="Refdenotaalpie"/>
          <w:rFonts w:ascii="Century Gothic" w:hAnsi="Century Gothic" w:cs="Arial"/>
          <w:sz w:val="12"/>
          <w:szCs w:val="12"/>
        </w:rPr>
        <w:footnoteRef/>
      </w:r>
      <w:r w:rsidRPr="00F45FD9">
        <w:rPr>
          <w:rFonts w:ascii="Century Gothic" w:hAnsi="Century Gothic" w:cs="Arial"/>
          <w:sz w:val="12"/>
          <w:szCs w:val="12"/>
        </w:rPr>
        <w:t xml:space="preserve"> </w:t>
      </w:r>
      <w:r w:rsidRPr="00F45FD9">
        <w:rPr>
          <w:rFonts w:ascii="Century Gothic" w:hAnsi="Century Gothic" w:cs="Arial"/>
          <w:sz w:val="12"/>
          <w:szCs w:val="12"/>
          <w:lang w:val="es-ES"/>
        </w:rPr>
        <w:t>En efecto, el artículo 1.500 del Código Civil expresa: “El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footnote>
  <w:footnote w:id="4">
    <w:p w14:paraId="4833107A" w14:textId="77777777" w:rsidR="009B0829" w:rsidRPr="00F45FD9" w:rsidRDefault="009B0829" w:rsidP="009B0829">
      <w:pPr>
        <w:pStyle w:val="Textonotapie"/>
        <w:ind w:firstLine="709"/>
        <w:jc w:val="both"/>
        <w:rPr>
          <w:rFonts w:ascii="Century Gothic" w:hAnsi="Century Gothic" w:cs="Arial"/>
          <w:sz w:val="12"/>
          <w:szCs w:val="12"/>
          <w:lang w:val="es-ES"/>
        </w:rPr>
      </w:pPr>
      <w:r w:rsidRPr="00F45FD9">
        <w:rPr>
          <w:rStyle w:val="Refdenotaalpie"/>
          <w:rFonts w:ascii="Century Gothic" w:hAnsi="Century Gothic" w:cs="Arial"/>
          <w:sz w:val="12"/>
          <w:szCs w:val="12"/>
        </w:rPr>
        <w:footnoteRef/>
      </w:r>
      <w:r w:rsidRPr="00F45FD9">
        <w:rPr>
          <w:rFonts w:ascii="Century Gothic" w:hAnsi="Century Gothic" w:cs="Arial"/>
          <w:sz w:val="12"/>
          <w:szCs w:val="12"/>
        </w:rPr>
        <w:t xml:space="preserve"> </w:t>
      </w:r>
      <w:r w:rsidRPr="00F45FD9">
        <w:rPr>
          <w:rFonts w:ascii="Century Gothic" w:hAnsi="Century Gothic" w:cs="Arial"/>
          <w:sz w:val="12"/>
          <w:szCs w:val="12"/>
          <w:lang w:val="es-ES"/>
        </w:rPr>
        <w:t>EXPÓSITO VÉLEZ, Juan Carlos. Forma y contenido del contrato estatal. Bogotá: Universidad Externado de Colombia, 2013. pp. 28-29.</w:t>
      </w:r>
    </w:p>
  </w:footnote>
  <w:footnote w:id="5">
    <w:p w14:paraId="6A0BF59B" w14:textId="77777777" w:rsidR="009B0829" w:rsidRPr="00F45FD9" w:rsidRDefault="009B0829" w:rsidP="009B0829">
      <w:pPr>
        <w:pStyle w:val="Textonotapie"/>
        <w:ind w:firstLine="709"/>
        <w:jc w:val="both"/>
        <w:rPr>
          <w:rFonts w:ascii="Century Gothic" w:hAnsi="Century Gothic" w:cs="Arial"/>
          <w:sz w:val="12"/>
          <w:szCs w:val="12"/>
          <w:lang w:val="es-ES"/>
        </w:rPr>
      </w:pPr>
      <w:r w:rsidRPr="00F45FD9">
        <w:rPr>
          <w:rStyle w:val="Refdenotaalpie"/>
          <w:rFonts w:ascii="Century Gothic" w:hAnsi="Century Gothic" w:cs="Arial"/>
          <w:sz w:val="12"/>
          <w:szCs w:val="12"/>
        </w:rPr>
        <w:footnoteRef/>
      </w:r>
      <w:r w:rsidRPr="00F45FD9">
        <w:rPr>
          <w:rFonts w:ascii="Century Gothic" w:hAnsi="Century Gothic" w:cs="Arial"/>
          <w:sz w:val="12"/>
          <w:szCs w:val="12"/>
        </w:rPr>
        <w:t xml:space="preserve"> </w:t>
      </w:r>
      <w:r w:rsidRPr="00F45FD9">
        <w:rPr>
          <w:rFonts w:ascii="Century Gothic" w:eastAsia="Calibri" w:hAnsi="Century Gothic" w:cs="Arial"/>
          <w:color w:val="000000"/>
          <w:sz w:val="12"/>
          <w:szCs w:val="12"/>
          <w:lang w:val="es-ES_tradnl" w:eastAsia="en-GB"/>
        </w:rPr>
        <w:t xml:space="preserve">A esta conclusión llegó la Sección Tercera del Consejo de Estado en la sentencia del 12 de agosto de 2014, luego de distinguir los requisitos de perfeccionamiento respecto de los requisitos de ejecución de los contratos estatales. En tal oportunidad el órgano judicial se preguntó, dentro de las consideraciones, si la ausencia de registro presupuestal tenía como efecto que un contrato de prestación de servicios profesionales se considerara inexistente o viciado de nulidad absoluta. La respuesta del alto tribunal es que no se genera inexistencia ni vicio de nulidad absoluta, sino una eventual responsabilidad en los servidores públicos que incumplieron tal requisito presupuestal. </w:t>
      </w:r>
      <w:r w:rsidRPr="00F45FD9">
        <w:rPr>
          <w:rFonts w:ascii="Century Gothic" w:hAnsi="Century Gothic" w:cs="Arial"/>
          <w:sz w:val="12"/>
          <w:szCs w:val="12"/>
          <w:lang w:val="es-ES"/>
        </w:rPr>
        <w:t xml:space="preserve">Consejo de Estado. Sección Tercera. Subsección C. Sentencia del 12 de agosto de 2014. Consejero Ponente: Enrique Gil Botero. Expediente: </w:t>
      </w:r>
      <w:r w:rsidRPr="00F45FD9">
        <w:rPr>
          <w:rFonts w:ascii="Century Gothic" w:hAnsi="Century Gothic" w:cs="Arial"/>
          <w:iCs/>
          <w:sz w:val="12"/>
          <w:szCs w:val="12"/>
        </w:rPr>
        <w:t>28.565.</w:t>
      </w:r>
    </w:p>
  </w:footnote>
  <w:footnote w:id="6">
    <w:p w14:paraId="67DA1A9E" w14:textId="77777777" w:rsidR="009B0829" w:rsidRPr="00B51C5C" w:rsidRDefault="009B0829" w:rsidP="009B0829">
      <w:pPr>
        <w:pStyle w:val="Textonotapie"/>
        <w:ind w:firstLine="708"/>
        <w:jc w:val="both"/>
        <w:rPr>
          <w:rFonts w:ascii="Verdana" w:hAnsi="Verdana" w:cs="Arial"/>
          <w:color w:val="000000"/>
          <w:sz w:val="18"/>
          <w:szCs w:val="18"/>
          <w:lang w:val="es-CO"/>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rPr>
        <w:t xml:space="preserve"> </w:t>
      </w:r>
      <w:r w:rsidRPr="00B51C5C">
        <w:rPr>
          <w:rFonts w:ascii="Verdana" w:hAnsi="Verdana" w:cs="Arial"/>
          <w:color w:val="000000"/>
          <w:sz w:val="18"/>
          <w:szCs w:val="18"/>
          <w:lang w:val="es-CO"/>
        </w:rPr>
        <w:t xml:space="preserve">Real Academia Española de la Lengua. Diccionario de la Lengua Española. Edición Tricentenario. Disponible en: </w:t>
      </w:r>
      <w:hyperlink r:id="rId1" w:history="1">
        <w:r w:rsidRPr="00B51C5C">
          <w:rPr>
            <w:rStyle w:val="Hipervnculo"/>
            <w:rFonts w:ascii="Verdana" w:hAnsi="Verdana" w:cs="Arial"/>
            <w:color w:val="000000"/>
            <w:sz w:val="18"/>
            <w:szCs w:val="18"/>
          </w:rPr>
          <w:t>https://dle.rae.es/h%C3%A1bil</w:t>
        </w:r>
      </w:hyperlink>
      <w:r w:rsidRPr="00B51C5C">
        <w:rPr>
          <w:rFonts w:ascii="Verdana" w:hAnsi="Verdana" w:cs="Arial"/>
          <w:color w:val="000000"/>
          <w:sz w:val="18"/>
          <w:szCs w:val="18"/>
          <w:lang w:val="es-CO"/>
        </w:rPr>
        <w:t xml:space="preserve"> </w:t>
      </w:r>
    </w:p>
    <w:p w14:paraId="353BFB09" w14:textId="77777777" w:rsidR="009B0829" w:rsidRPr="00B51C5C" w:rsidRDefault="009B0829" w:rsidP="009B0829">
      <w:pPr>
        <w:pStyle w:val="Textonotapie"/>
        <w:ind w:firstLine="708"/>
        <w:jc w:val="both"/>
        <w:rPr>
          <w:rFonts w:ascii="Verdana" w:hAnsi="Verdana" w:cs="Arial"/>
          <w:color w:val="000000"/>
          <w:sz w:val="18"/>
          <w:szCs w:val="18"/>
          <w:lang w:val="es-CO"/>
        </w:rPr>
      </w:pPr>
    </w:p>
  </w:footnote>
  <w:footnote w:id="7">
    <w:p w14:paraId="591A67BA" w14:textId="77777777" w:rsidR="009B0829" w:rsidRPr="00B51C5C" w:rsidRDefault="009B0829" w:rsidP="009B0829">
      <w:pPr>
        <w:pStyle w:val="Textonotapie"/>
        <w:ind w:firstLine="708"/>
        <w:jc w:val="both"/>
        <w:rPr>
          <w:rFonts w:ascii="Verdana" w:hAnsi="Verdana" w:cs="Arial"/>
          <w:color w:val="000000"/>
          <w:sz w:val="18"/>
          <w:szCs w:val="18"/>
          <w:lang w:val="es-CO"/>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rPr>
        <w:t xml:space="preserve"> MARÍN CORTÉS, Fabián G. Derecho de petición y procedimiento administrativo. 1</w:t>
      </w:r>
      <w:r w:rsidRPr="00B51C5C">
        <w:rPr>
          <w:rFonts w:ascii="Verdana" w:hAnsi="Verdana" w:cs="Arial"/>
          <w:color w:val="000000"/>
          <w:sz w:val="18"/>
          <w:szCs w:val="18"/>
          <w:u w:val="single"/>
          <w:vertAlign w:val="superscript"/>
        </w:rPr>
        <w:t>a</w:t>
      </w:r>
      <w:r w:rsidRPr="00B51C5C">
        <w:rPr>
          <w:rFonts w:ascii="Verdana" w:hAnsi="Verdana" w:cs="Arial"/>
          <w:color w:val="000000"/>
          <w:sz w:val="18"/>
          <w:szCs w:val="18"/>
        </w:rPr>
        <w:t xml:space="preserve"> ed. Medellín: Librería Jurídica Sánchez R Ltda y Centro de Estudios de Derecho Administrativo, 2017. p. 417. </w:t>
      </w:r>
    </w:p>
  </w:footnote>
  <w:footnote w:id="8">
    <w:p w14:paraId="650A3424" w14:textId="77777777" w:rsidR="009B0829" w:rsidRPr="001E2DE2" w:rsidRDefault="009B0829" w:rsidP="009B0829">
      <w:pPr>
        <w:pStyle w:val="Textonotapie"/>
        <w:ind w:firstLine="708"/>
        <w:jc w:val="both"/>
        <w:rPr>
          <w:rFonts w:ascii="Verdana" w:hAnsi="Verdana" w:cs="Arial"/>
          <w:color w:val="000000"/>
          <w:sz w:val="18"/>
          <w:szCs w:val="18"/>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rPr>
        <w:t xml:space="preserve"> </w:t>
      </w:r>
      <w:r w:rsidRPr="00B51C5C">
        <w:rPr>
          <w:rFonts w:ascii="Verdana" w:hAnsi="Verdana" w:cs="Arial"/>
          <w:color w:val="000000"/>
          <w:sz w:val="18"/>
          <w:szCs w:val="18"/>
          <w:lang w:val="es-CO"/>
        </w:rPr>
        <w:t>C</w:t>
      </w:r>
      <w:r>
        <w:rPr>
          <w:rFonts w:ascii="Verdana" w:hAnsi="Verdana" w:cs="Arial"/>
          <w:color w:val="000000"/>
          <w:sz w:val="18"/>
          <w:szCs w:val="18"/>
          <w:lang w:val="es-CO"/>
        </w:rPr>
        <w:t>ONSEJO DE ESTADO</w:t>
      </w:r>
      <w:r w:rsidRPr="00B51C5C">
        <w:rPr>
          <w:rFonts w:ascii="Verdana" w:hAnsi="Verdana" w:cs="Arial"/>
          <w:color w:val="000000"/>
          <w:sz w:val="18"/>
          <w:szCs w:val="18"/>
          <w:lang w:val="es-CO"/>
        </w:rPr>
        <w:t xml:space="preserve">. </w:t>
      </w:r>
      <w:r w:rsidRPr="00B51C5C">
        <w:rPr>
          <w:rFonts w:ascii="Verdana" w:hAnsi="Verdana" w:cs="Arial"/>
          <w:color w:val="000000"/>
          <w:sz w:val="18"/>
          <w:szCs w:val="18"/>
        </w:rPr>
        <w:t>Sala Plena de lo Contencioso Administrativo. Sentencia del 12 de abril de 1978. C.P. Carlos Portocarrero Mutis. Exp. 355.</w:t>
      </w:r>
    </w:p>
  </w:footnote>
  <w:footnote w:id="9">
    <w:p w14:paraId="537F46A8" w14:textId="77777777" w:rsidR="009B0829" w:rsidRPr="00B51C5C" w:rsidRDefault="009B0829" w:rsidP="009B0829">
      <w:pPr>
        <w:pStyle w:val="Textonotapie"/>
        <w:ind w:firstLine="708"/>
        <w:jc w:val="both"/>
        <w:rPr>
          <w:rFonts w:ascii="Verdana" w:hAnsi="Verdana" w:cs="Arial"/>
          <w:color w:val="000000"/>
          <w:sz w:val="18"/>
          <w:szCs w:val="18"/>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rPr>
        <w:t xml:space="preserve"> C</w:t>
      </w:r>
      <w:r>
        <w:rPr>
          <w:rFonts w:ascii="Verdana" w:hAnsi="Verdana" w:cs="Arial"/>
          <w:color w:val="000000"/>
          <w:sz w:val="18"/>
          <w:szCs w:val="18"/>
        </w:rPr>
        <w:t>ONSEJO DE ESTADO</w:t>
      </w:r>
      <w:r w:rsidRPr="00B51C5C">
        <w:rPr>
          <w:rFonts w:ascii="Verdana" w:hAnsi="Verdana" w:cs="Arial"/>
          <w:color w:val="000000"/>
          <w:sz w:val="18"/>
          <w:szCs w:val="18"/>
        </w:rPr>
        <w:t>. Sección Cuarta. Auto del 26 de febrero de 1983.</w:t>
      </w:r>
    </w:p>
    <w:p w14:paraId="54C6855B" w14:textId="77777777" w:rsidR="009B0829" w:rsidRPr="00B51C5C" w:rsidRDefault="009B0829" w:rsidP="009B0829">
      <w:pPr>
        <w:pStyle w:val="Textonotapie"/>
        <w:ind w:firstLine="708"/>
        <w:jc w:val="both"/>
        <w:rPr>
          <w:rFonts w:ascii="Verdana" w:hAnsi="Verdana" w:cs="Arial"/>
          <w:color w:val="000000"/>
          <w:sz w:val="18"/>
          <w:szCs w:val="18"/>
          <w:lang w:val="es-CO"/>
        </w:rPr>
      </w:pPr>
    </w:p>
  </w:footnote>
  <w:footnote w:id="10">
    <w:p w14:paraId="5EF6C43B" w14:textId="77777777" w:rsidR="009B0829" w:rsidRPr="00B51C5C" w:rsidRDefault="009B0829" w:rsidP="009B0829">
      <w:pPr>
        <w:pStyle w:val="Textonotapie"/>
        <w:ind w:firstLine="708"/>
        <w:jc w:val="both"/>
        <w:rPr>
          <w:rFonts w:ascii="Verdana" w:hAnsi="Verdana" w:cs="Arial"/>
          <w:color w:val="000000"/>
          <w:sz w:val="18"/>
          <w:szCs w:val="18"/>
        </w:rPr>
      </w:pPr>
      <w:r w:rsidRPr="00B51C5C">
        <w:rPr>
          <w:rStyle w:val="Refdenotaalpie"/>
          <w:rFonts w:ascii="Verdana" w:hAnsi="Verdana"/>
          <w:sz w:val="18"/>
          <w:szCs w:val="18"/>
        </w:rPr>
        <w:footnoteRef/>
      </w:r>
      <w:r w:rsidRPr="00B51C5C">
        <w:rPr>
          <w:rFonts w:ascii="Verdana" w:hAnsi="Verdana"/>
          <w:sz w:val="18"/>
          <w:szCs w:val="18"/>
        </w:rPr>
        <w:t xml:space="preserve"> </w:t>
      </w:r>
      <w:r w:rsidRPr="00B51C5C">
        <w:rPr>
          <w:rFonts w:ascii="Verdana" w:hAnsi="Verdana" w:cs="Arial"/>
          <w:color w:val="000000"/>
          <w:sz w:val="18"/>
          <w:szCs w:val="18"/>
        </w:rPr>
        <w:t>CONSEJO DE ESTADO. Sala de lo Contencioso Administrativo. Sección Cuarta. Consejero Ponente: Enrique Low Murtra. Referencia: Radicación No. 10.174. Apelación del auto del tribunal de Caldas sobre impuestos de renta por el año de 1978. Bogotá, 29 de abril de 1983.</w:t>
      </w:r>
    </w:p>
    <w:p w14:paraId="3BD2F2E9" w14:textId="77777777" w:rsidR="009B0829" w:rsidRPr="00B51C5C" w:rsidRDefault="009B0829" w:rsidP="009B0829">
      <w:pPr>
        <w:pStyle w:val="Textonotapie"/>
        <w:ind w:firstLine="708"/>
        <w:jc w:val="both"/>
        <w:rPr>
          <w:rFonts w:ascii="Verdana" w:hAnsi="Verdana"/>
          <w:sz w:val="18"/>
          <w:szCs w:val="18"/>
          <w:lang w:val="es-ES"/>
        </w:rPr>
      </w:pPr>
    </w:p>
  </w:footnote>
  <w:footnote w:id="11">
    <w:p w14:paraId="26BDA891" w14:textId="77777777" w:rsidR="009B0829" w:rsidRPr="00B51C5C" w:rsidRDefault="009B0829" w:rsidP="009B0829">
      <w:pPr>
        <w:pStyle w:val="Textonotapie"/>
        <w:ind w:firstLine="708"/>
        <w:jc w:val="both"/>
        <w:rPr>
          <w:rFonts w:ascii="Verdana" w:hAnsi="Verdana"/>
          <w:sz w:val="18"/>
          <w:szCs w:val="18"/>
          <w:lang w:val="es-CO"/>
        </w:rPr>
      </w:pPr>
      <w:r w:rsidRPr="00B51C5C">
        <w:rPr>
          <w:rStyle w:val="Refdenotaalpie"/>
          <w:rFonts w:ascii="Verdana" w:hAnsi="Verdana"/>
          <w:sz w:val="18"/>
          <w:szCs w:val="18"/>
        </w:rPr>
        <w:footnoteRef/>
      </w:r>
      <w:r w:rsidRPr="00B51C5C">
        <w:rPr>
          <w:rFonts w:ascii="Verdana" w:hAnsi="Verdana"/>
          <w:sz w:val="18"/>
          <w:szCs w:val="18"/>
        </w:rPr>
        <w:t xml:space="preserve"> </w:t>
      </w:r>
      <w:r w:rsidRPr="00B51C5C">
        <w:rPr>
          <w:rFonts w:ascii="Verdana" w:hAnsi="Verdana" w:cs="Arial"/>
          <w:color w:val="000000"/>
          <w:sz w:val="18"/>
          <w:szCs w:val="18"/>
        </w:rPr>
        <w:t>DEPARTAMENTO ADMINISTRATIVO DE LA FUNCIÓN PÚBLICA. Concepto con Rad. 20196000060051 del 27 de febrero de 2019.</w:t>
      </w:r>
      <w:r w:rsidRPr="00B51C5C">
        <w:rPr>
          <w:rFonts w:ascii="Verdana" w:eastAsia="Times New Roman" w:hAnsi="Verdana" w:cs="Arial"/>
          <w:sz w:val="18"/>
          <w:szCs w:val="18"/>
          <w:lang w:eastAsia="es-CO"/>
        </w:rPr>
        <w:t xml:space="preserve"> </w:t>
      </w:r>
    </w:p>
  </w:footnote>
  <w:footnote w:id="12">
    <w:p w14:paraId="54F886EF" w14:textId="77777777" w:rsidR="009B0829" w:rsidRPr="00B51C5C" w:rsidRDefault="009B0829" w:rsidP="009B0829">
      <w:pPr>
        <w:pStyle w:val="Textonotapie"/>
        <w:ind w:firstLine="708"/>
        <w:jc w:val="both"/>
        <w:rPr>
          <w:rFonts w:ascii="Verdana" w:hAnsi="Verdana" w:cs="Arial"/>
          <w:color w:val="000000"/>
          <w:sz w:val="18"/>
          <w:szCs w:val="18"/>
          <w:lang w:val="es-CO"/>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rPr>
        <w:t xml:space="preserve"> MARÍN CORTÉS, Fabián G. Derecho de petición y procedimiento administrativo. 1</w:t>
      </w:r>
      <w:r w:rsidRPr="00B51C5C">
        <w:rPr>
          <w:rFonts w:ascii="Verdana" w:hAnsi="Verdana" w:cs="Arial"/>
          <w:color w:val="000000"/>
          <w:sz w:val="18"/>
          <w:szCs w:val="18"/>
          <w:u w:val="single"/>
          <w:vertAlign w:val="superscript"/>
        </w:rPr>
        <w:t>a</w:t>
      </w:r>
      <w:r w:rsidRPr="00B51C5C">
        <w:rPr>
          <w:rFonts w:ascii="Verdana" w:hAnsi="Verdana" w:cs="Arial"/>
          <w:color w:val="000000"/>
          <w:sz w:val="18"/>
          <w:szCs w:val="18"/>
        </w:rPr>
        <w:t xml:space="preserve"> ed. Medellín: Librería Jurídica Sánchez R Ltda y Centro de Estudios de Derecho Administrativo, 2017. p. 417.  </w:t>
      </w:r>
    </w:p>
  </w:footnote>
  <w:footnote w:id="13">
    <w:p w14:paraId="5D5D6ADF" w14:textId="77777777" w:rsidR="009B0829" w:rsidRPr="00B51C5C" w:rsidRDefault="009B0829" w:rsidP="009B0829">
      <w:pPr>
        <w:pStyle w:val="Textonotapie"/>
        <w:ind w:firstLine="708"/>
        <w:jc w:val="both"/>
        <w:rPr>
          <w:rFonts w:ascii="Verdana" w:hAnsi="Verdana" w:cs="Arial"/>
          <w:color w:val="000000"/>
          <w:sz w:val="18"/>
          <w:szCs w:val="18"/>
        </w:rPr>
      </w:pPr>
    </w:p>
    <w:p w14:paraId="63D9C400" w14:textId="77777777" w:rsidR="009B0829" w:rsidRPr="00B51C5C" w:rsidRDefault="009B0829" w:rsidP="009B0829">
      <w:pPr>
        <w:pStyle w:val="Textonotapie"/>
        <w:ind w:firstLine="708"/>
        <w:jc w:val="both"/>
        <w:rPr>
          <w:rFonts w:ascii="Verdana" w:hAnsi="Verdana" w:cs="Arial"/>
          <w:color w:val="000000"/>
          <w:sz w:val="18"/>
          <w:szCs w:val="18"/>
          <w:lang w:val="es-CO"/>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lang w:val="es-CO"/>
        </w:rPr>
        <w:t xml:space="preserve"> </w:t>
      </w:r>
      <w:r w:rsidRPr="00B51C5C">
        <w:rPr>
          <w:rFonts w:ascii="Verdana" w:hAnsi="Verdana" w:cs="Arial"/>
          <w:i/>
          <w:iCs/>
          <w:color w:val="000000"/>
          <w:sz w:val="18"/>
          <w:szCs w:val="18"/>
          <w:lang w:val="es-CO"/>
        </w:rPr>
        <w:t>Ibidem.</w:t>
      </w:r>
      <w:r w:rsidRPr="00B51C5C">
        <w:rPr>
          <w:rFonts w:ascii="Verdana" w:hAnsi="Verdana" w:cs="Arial"/>
          <w:color w:val="000000"/>
          <w:sz w:val="18"/>
          <w:szCs w:val="18"/>
          <w:lang w:val="es-CO"/>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12FC8" w14:textId="77777777" w:rsidR="009B0829" w:rsidRDefault="009B0829"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5863329" wp14:editId="6865A01B">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DBC2173" wp14:editId="555BF2FF">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3D2E831" w14:textId="77777777" w:rsidR="009B0829" w:rsidRDefault="009B0829">
    <w:pPr>
      <w:pStyle w:val="Encabezado"/>
    </w:pPr>
  </w:p>
  <w:p w14:paraId="0D228628" w14:textId="77777777" w:rsidR="009B0829" w:rsidRPr="004A305D" w:rsidRDefault="009B0829" w:rsidP="00B01B1A">
    <w:pPr>
      <w:spacing w:after="0" w:line="120" w:lineRule="auto"/>
      <w:rPr>
        <w:rFonts w:ascii="Century Gothic" w:eastAsia="Geo" w:hAnsi="Century Gothic" w:cs="Geo"/>
        <w:sz w:val="16"/>
        <w:szCs w:val="16"/>
        <w:lang w:eastAsia="es-CO"/>
      </w:rPr>
    </w:pPr>
  </w:p>
  <w:p w14:paraId="008164A8" w14:textId="77777777" w:rsidR="009B0829" w:rsidRDefault="009B0829" w:rsidP="00844AE9">
    <w:pPr>
      <w:spacing w:after="0" w:line="240" w:lineRule="auto"/>
      <w:rPr>
        <w:rFonts w:ascii="Verdana" w:hAnsi="Verdana"/>
        <w:sz w:val="24"/>
        <w:szCs w:val="24"/>
      </w:rPr>
    </w:pPr>
  </w:p>
  <w:p w14:paraId="7EFF3660" w14:textId="77777777" w:rsidR="009B0829" w:rsidRPr="00C925AC" w:rsidRDefault="009B0829" w:rsidP="00844AE9">
    <w:pPr>
      <w:spacing w:after="0" w:line="240" w:lineRule="auto"/>
      <w:rPr>
        <w:rFonts w:ascii="Verdana" w:hAnsi="Verdana"/>
        <w:sz w:val="24"/>
        <w:szCs w:val="24"/>
      </w:rPr>
    </w:pPr>
  </w:p>
  <w:p w14:paraId="1FD60DAB" w14:textId="77777777" w:rsidR="009B0829" w:rsidRPr="00C925AC" w:rsidRDefault="009B0829"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52886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829"/>
    <w:rsid w:val="00500702"/>
    <w:rsid w:val="005727E1"/>
    <w:rsid w:val="005818E2"/>
    <w:rsid w:val="00730173"/>
    <w:rsid w:val="00816186"/>
    <w:rsid w:val="008E5C2E"/>
    <w:rsid w:val="009B0829"/>
    <w:rsid w:val="00B34EE9"/>
    <w:rsid w:val="00CC0AC6"/>
    <w:rsid w:val="00DF65A0"/>
    <w:rsid w:val="00FA356F"/>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C85D43"/>
  <w15:chartTrackingRefBased/>
  <w15:docId w15:val="{D3336401-90D5-40D2-B4F5-24B67D7C6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0829"/>
    <w:rPr>
      <w:kern w:val="0"/>
      <w14:ligatures w14:val="none"/>
    </w:rPr>
  </w:style>
  <w:style w:type="paragraph" w:styleId="Ttulo1">
    <w:name w:val="heading 1"/>
    <w:basedOn w:val="Normal"/>
    <w:next w:val="Normal"/>
    <w:link w:val="Ttulo1Car"/>
    <w:uiPriority w:val="9"/>
    <w:qFormat/>
    <w:rsid w:val="009B08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B08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B082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B082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B082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B082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B082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B082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B082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B082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B082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B082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B082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B082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B082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B082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B082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B0829"/>
    <w:rPr>
      <w:rFonts w:eastAsiaTheme="majorEastAsia" w:cstheme="majorBidi"/>
      <w:color w:val="272727" w:themeColor="text1" w:themeTint="D8"/>
    </w:rPr>
  </w:style>
  <w:style w:type="paragraph" w:styleId="Ttulo">
    <w:name w:val="Title"/>
    <w:basedOn w:val="Normal"/>
    <w:next w:val="Normal"/>
    <w:link w:val="TtuloCar"/>
    <w:uiPriority w:val="10"/>
    <w:qFormat/>
    <w:rsid w:val="009B08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B082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B082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B082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B0829"/>
    <w:pPr>
      <w:spacing w:before="160"/>
      <w:jc w:val="center"/>
    </w:pPr>
    <w:rPr>
      <w:i/>
      <w:iCs/>
      <w:color w:val="404040" w:themeColor="text1" w:themeTint="BF"/>
    </w:rPr>
  </w:style>
  <w:style w:type="character" w:customStyle="1" w:styleId="CitaCar">
    <w:name w:val="Cita Car"/>
    <w:basedOn w:val="Fuentedeprrafopredeter"/>
    <w:link w:val="Cita"/>
    <w:uiPriority w:val="29"/>
    <w:rsid w:val="009B0829"/>
    <w:rPr>
      <w:i/>
      <w:iCs/>
      <w:color w:val="404040" w:themeColor="text1" w:themeTint="BF"/>
    </w:rPr>
  </w:style>
  <w:style w:type="paragraph" w:styleId="Prrafodelista">
    <w:name w:val="List Paragraph"/>
    <w:basedOn w:val="Normal"/>
    <w:uiPriority w:val="34"/>
    <w:qFormat/>
    <w:rsid w:val="009B0829"/>
    <w:pPr>
      <w:ind w:left="720"/>
      <w:contextualSpacing/>
    </w:pPr>
  </w:style>
  <w:style w:type="character" w:styleId="nfasisintenso">
    <w:name w:val="Intense Emphasis"/>
    <w:basedOn w:val="Fuentedeprrafopredeter"/>
    <w:uiPriority w:val="21"/>
    <w:qFormat/>
    <w:rsid w:val="009B0829"/>
    <w:rPr>
      <w:i/>
      <w:iCs/>
      <w:color w:val="0F4761" w:themeColor="accent1" w:themeShade="BF"/>
    </w:rPr>
  </w:style>
  <w:style w:type="paragraph" w:styleId="Citadestacada">
    <w:name w:val="Intense Quote"/>
    <w:basedOn w:val="Normal"/>
    <w:next w:val="Normal"/>
    <w:link w:val="CitadestacadaCar"/>
    <w:uiPriority w:val="30"/>
    <w:qFormat/>
    <w:rsid w:val="009B08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B0829"/>
    <w:rPr>
      <w:i/>
      <w:iCs/>
      <w:color w:val="0F4761" w:themeColor="accent1" w:themeShade="BF"/>
    </w:rPr>
  </w:style>
  <w:style w:type="character" w:styleId="Referenciaintensa">
    <w:name w:val="Intense Reference"/>
    <w:basedOn w:val="Fuentedeprrafopredeter"/>
    <w:uiPriority w:val="32"/>
    <w:qFormat/>
    <w:rsid w:val="009B0829"/>
    <w:rPr>
      <w:b/>
      <w:bCs/>
      <w:smallCaps/>
      <w:color w:val="0F4761" w:themeColor="accent1" w:themeShade="BF"/>
      <w:spacing w:val="5"/>
    </w:rPr>
  </w:style>
  <w:style w:type="paragraph" w:styleId="Encabezado">
    <w:name w:val="header"/>
    <w:basedOn w:val="Normal"/>
    <w:link w:val="EncabezadoCar"/>
    <w:uiPriority w:val="99"/>
    <w:unhideWhenUsed/>
    <w:rsid w:val="009B082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B0829"/>
    <w:rPr>
      <w:kern w:val="0"/>
      <w14:ligatures w14:val="none"/>
    </w:rPr>
  </w:style>
  <w:style w:type="paragraph" w:styleId="Piedepgina">
    <w:name w:val="footer"/>
    <w:basedOn w:val="Normal"/>
    <w:link w:val="PiedepginaCar"/>
    <w:uiPriority w:val="99"/>
    <w:unhideWhenUsed/>
    <w:rsid w:val="009B082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B0829"/>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B082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9B082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9B082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9B0829"/>
    <w:rPr>
      <w:vertAlign w:val="superscript"/>
    </w:rPr>
  </w:style>
  <w:style w:type="table" w:styleId="Tablaconcuadrcula">
    <w:name w:val="Table Grid"/>
    <w:basedOn w:val="Tablanormal"/>
    <w:uiPriority w:val="39"/>
    <w:qFormat/>
    <w:rsid w:val="009B082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B0829"/>
    <w:rPr>
      <w:color w:val="0000FF"/>
      <w:u w:val="single"/>
    </w:rPr>
  </w:style>
  <w:style w:type="paragraph" w:customStyle="1" w:styleId="Appelnotedebasde">
    <w:name w:val="Appel note de bas de..."/>
    <w:basedOn w:val="Normal"/>
    <w:link w:val="Refdenotaalpie"/>
    <w:uiPriority w:val="99"/>
    <w:rsid w:val="009B0829"/>
    <w:pPr>
      <w:spacing w:line="240" w:lineRule="exact"/>
    </w:pPr>
    <w:rPr>
      <w:kern w:val="2"/>
      <w:vertAlign w:val="superscript"/>
      <w14:ligatures w14:val="standardContextual"/>
    </w:rPr>
  </w:style>
  <w:style w:type="table" w:customStyle="1" w:styleId="Tablaconcuadrcula11">
    <w:name w:val="Tabla con cuadrícula11"/>
    <w:basedOn w:val="Tablanormal"/>
    <w:next w:val="Tablaconcuadrcula"/>
    <w:uiPriority w:val="59"/>
    <w:qFormat/>
    <w:rsid w:val="009B082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ucely@dnp.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dle.rae.es/h%C3%A1bi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D6800B5-6FC7-4FA5-B383-882579A561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02DBE18-F06E-4C6E-85DB-6A707FC26A09}">
  <ds:schemaRefs>
    <ds:schemaRef ds:uri="http://schemas.microsoft.com/sharepoint/v3/contenttype/forms"/>
  </ds:schemaRefs>
</ds:datastoreItem>
</file>

<file path=customXml/itemProps3.xml><?xml version="1.0" encoding="utf-8"?>
<ds:datastoreItem xmlns:ds="http://schemas.openxmlformats.org/officeDocument/2006/customXml" ds:itemID="{8C6ED045-4E28-41D0-8A3F-F63124B4C40A}">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16</Pages>
  <Words>5415</Words>
  <Characters>29783</Characters>
  <Application>Microsoft Office Word</Application>
  <DocSecurity>0</DocSecurity>
  <Lines>248</Lines>
  <Paragraphs>70</Paragraphs>
  <ScaleCrop>false</ScaleCrop>
  <Company/>
  <LinksUpToDate>false</LinksUpToDate>
  <CharactersWithSpaces>35128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2</cp:revision>
  <dcterms:created xsi:type="dcterms:W3CDTF">2026-03-27T13:44:00Z</dcterms:created>
  <dcterms:modified xsi:type="dcterms:W3CDTF">2026-03-27T13:44:00Z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