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8BD14" w14:textId="77777777" w:rsidR="00AB69BD" w:rsidRPr="00A057D8" w:rsidRDefault="00AB69BD" w:rsidP="00AB69BD">
      <w:pPr>
        <w:jc w:val="both"/>
        <w:rPr>
          <w:rFonts w:ascii="Verdana" w:eastAsia="Calibri" w:hAnsi="Verdana" w:cs="Arial"/>
          <w:b/>
          <w:bCs/>
          <w:lang w:val="es-MX" w:eastAsia="es-ES"/>
        </w:rPr>
      </w:pPr>
      <w:bookmarkStart w:id="0" w:name="_Hlk214366482"/>
      <w:bookmarkStart w:id="1" w:name="_Hlk143780582"/>
      <w:r w:rsidRPr="00A057D8">
        <w:rPr>
          <w:rFonts w:ascii="Verdana" w:eastAsia="Calibri" w:hAnsi="Verdana" w:cs="Arial"/>
          <w:b/>
          <w:bCs/>
          <w:lang w:val="es-MX" w:eastAsia="es-ES"/>
        </w:rPr>
        <w:t xml:space="preserve">FIDUCIA MERCANTIL – Concepto – Características </w:t>
      </w:r>
    </w:p>
    <w:p w14:paraId="000A5501" w14:textId="77777777" w:rsidR="00AB69BD" w:rsidRPr="00A057D8" w:rsidRDefault="00AB69BD" w:rsidP="00AB69BD">
      <w:pPr>
        <w:spacing w:after="0" w:line="240" w:lineRule="auto"/>
        <w:contextualSpacing/>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El artículo 1226 del Código de Comercio define el contrato de </w:t>
      </w:r>
      <w:r w:rsidRPr="00A057D8">
        <w:rPr>
          <w:rFonts w:ascii="Verdana" w:eastAsia="MS Mincho" w:hAnsi="Verdana" w:cs="Arial"/>
          <w:i/>
          <w:iCs/>
          <w:sz w:val="20"/>
          <w:szCs w:val="20"/>
          <w:lang w:val="es-ES" w:eastAsia="es-CO"/>
        </w:rPr>
        <w:t>fiducia mercantil</w:t>
      </w:r>
      <w:r w:rsidRPr="00A057D8">
        <w:rPr>
          <w:rFonts w:ascii="Verdana" w:eastAsia="MS Mincho" w:hAnsi="Verdana" w:cs="Arial"/>
          <w:sz w:val="20"/>
          <w:szCs w:val="20"/>
          <w:lang w:val="es-ES" w:eastAsia="es-CO"/>
        </w:rPr>
        <w:t xml:space="preserve"> así: </w:t>
      </w:r>
      <w:r w:rsidRPr="00A057D8">
        <w:rPr>
          <w:rFonts w:ascii="Verdana" w:eastAsia="Calibri" w:hAnsi="Verdana" w:cs="Arial"/>
          <w:sz w:val="20"/>
          <w:szCs w:val="20"/>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A057D8">
        <w:rPr>
          <w:rFonts w:ascii="Verdana" w:eastAsia="Calibri" w:hAnsi="Verdana" w:cs="Arial"/>
          <w:spacing w:val="-5"/>
          <w:sz w:val="20"/>
          <w:szCs w:val="20"/>
          <w:lang w:val="es-ES_tradnl"/>
        </w:rPr>
        <w:t xml:space="preserve"> </w:t>
      </w:r>
      <w:r w:rsidRPr="00A057D8">
        <w:rPr>
          <w:rFonts w:ascii="Verdana" w:eastAsia="Calibri" w:hAnsi="Verdana" w:cs="Arial"/>
          <w:sz w:val="20"/>
          <w:szCs w:val="20"/>
          <w:lang w:val="es-ES_tradnl"/>
        </w:rPr>
        <w:t>fideicomisario.</w:t>
      </w:r>
      <w:r>
        <w:rPr>
          <w:rFonts w:ascii="Verdana" w:eastAsia="MS Mincho" w:hAnsi="Verdana" w:cs="Arial"/>
          <w:sz w:val="20"/>
          <w:szCs w:val="20"/>
          <w:lang w:val="es-ES" w:eastAsia="es-CO"/>
        </w:rPr>
        <w:t xml:space="preserve"> </w:t>
      </w:r>
      <w:r w:rsidRPr="00A057D8">
        <w:rPr>
          <w:rFonts w:ascii="Verdana" w:eastAsia="Calibri" w:hAnsi="Verdana" w:cs="Arial"/>
          <w:sz w:val="20"/>
          <w:szCs w:val="20"/>
          <w:lang w:val="es-ES_tradnl"/>
        </w:rPr>
        <w:t>Una persona puede ser al mismo tiempo fiduciante y beneficiario.</w:t>
      </w:r>
      <w:r>
        <w:rPr>
          <w:rFonts w:ascii="Verdana" w:eastAsia="MS Mincho" w:hAnsi="Verdana" w:cs="Arial"/>
          <w:sz w:val="20"/>
          <w:szCs w:val="20"/>
          <w:lang w:val="es-ES_tradnl" w:eastAsia="es-CO"/>
        </w:rPr>
        <w:t xml:space="preserve"> </w:t>
      </w:r>
      <w:r w:rsidRPr="00A057D8">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276BA556" w14:textId="77777777" w:rsidR="00AB69BD" w:rsidRPr="00A057D8" w:rsidRDefault="00AB69BD" w:rsidP="00AB69BD">
      <w:pPr>
        <w:spacing w:after="0" w:line="240" w:lineRule="auto"/>
        <w:jc w:val="both"/>
        <w:rPr>
          <w:rFonts w:ascii="Verdana" w:eastAsia="MS Mincho" w:hAnsi="Verdana" w:cs="Arial"/>
          <w:sz w:val="20"/>
          <w:szCs w:val="20"/>
          <w:lang w:val="es-ES" w:eastAsia="es-CO"/>
        </w:rPr>
      </w:pPr>
    </w:p>
    <w:p w14:paraId="67B2A0E5" w14:textId="77777777" w:rsidR="00AB69BD" w:rsidRPr="00A057D8" w:rsidRDefault="00AB69BD" w:rsidP="00AB69BD">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son elementos característicos del negocio jurídico de la fiducia mercantil: (i) la existencia de al menos dos sujetos: fiduciante y fiduciario; y (ii) la transferencia de los bienes fideicomitidos para cumplir una finalidad determinada en provecho del fiduciante o de un tercero.</w:t>
      </w:r>
    </w:p>
    <w:p w14:paraId="4AD351B3" w14:textId="77777777" w:rsidR="00AB69BD" w:rsidRDefault="00AB69BD" w:rsidP="00AB69BD">
      <w:pPr>
        <w:spacing w:after="0" w:line="240" w:lineRule="auto"/>
        <w:jc w:val="both"/>
        <w:rPr>
          <w:rFonts w:ascii="Verdana" w:eastAsia="MS Mincho" w:hAnsi="Verdana" w:cs="Arial"/>
          <w:sz w:val="20"/>
          <w:szCs w:val="20"/>
          <w:lang w:val="es-ES" w:eastAsia="es-CO"/>
        </w:rPr>
      </w:pPr>
    </w:p>
    <w:p w14:paraId="27F21812" w14:textId="77777777" w:rsidR="00AB69BD" w:rsidRPr="00A057D8" w:rsidRDefault="00AB69BD" w:rsidP="00AB69BD">
      <w:pPr>
        <w:jc w:val="both"/>
        <w:rPr>
          <w:rFonts w:ascii="Verdana" w:eastAsia="Calibri" w:hAnsi="Verdana" w:cs="Arial"/>
          <w:b/>
          <w:bCs/>
          <w:lang w:val="es-MX" w:eastAsia="es-ES"/>
        </w:rPr>
      </w:pPr>
      <w:r w:rsidRPr="00A057D8">
        <w:rPr>
          <w:rFonts w:ascii="Verdana" w:eastAsia="Calibri" w:hAnsi="Verdana" w:cs="Arial"/>
          <w:b/>
          <w:bCs/>
          <w:lang w:val="es-MX" w:eastAsia="es-ES"/>
        </w:rPr>
        <w:t xml:space="preserve">FIDUCIA MERCANTIL – Encargo fiduciario – Patrimonio autónomo </w:t>
      </w:r>
    </w:p>
    <w:p w14:paraId="0D922E6D" w14:textId="77777777" w:rsidR="00AB69BD" w:rsidRPr="00A057D8" w:rsidRDefault="00AB69BD" w:rsidP="00AB69BD">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La fiducia mercantil así entendida puede consistir en (i) un </w:t>
      </w:r>
      <w:r w:rsidRPr="00A057D8">
        <w:rPr>
          <w:rFonts w:ascii="Verdana" w:eastAsia="MS Mincho" w:hAnsi="Verdana" w:cs="Arial"/>
          <w:i/>
          <w:iCs/>
          <w:sz w:val="20"/>
          <w:szCs w:val="20"/>
          <w:lang w:val="es-ES" w:eastAsia="es-CO"/>
        </w:rPr>
        <w:t>encargo fiduciario</w:t>
      </w:r>
      <w:r w:rsidRPr="00A057D8">
        <w:rPr>
          <w:rFonts w:ascii="Verdana" w:eastAsia="MS Mincho" w:hAnsi="Verdana" w:cs="Arial"/>
          <w:sz w:val="20"/>
          <w:szCs w:val="20"/>
          <w:lang w:val="es-ES" w:eastAsia="es-CO"/>
        </w:rPr>
        <w:t xml:space="preserve"> o en la constitución de un (ii) </w:t>
      </w:r>
      <w:r w:rsidRPr="00A057D8">
        <w:rPr>
          <w:rFonts w:ascii="Verdana" w:eastAsia="MS Mincho" w:hAnsi="Verdana" w:cs="Arial"/>
          <w:i/>
          <w:iCs/>
          <w:sz w:val="20"/>
          <w:szCs w:val="20"/>
          <w:lang w:val="es-ES" w:eastAsia="es-CO"/>
        </w:rPr>
        <w:t>patrimonio autónomo</w:t>
      </w:r>
      <w:r w:rsidRPr="00A057D8">
        <w:rPr>
          <w:rFonts w:ascii="Verdana" w:eastAsia="MS Mincho" w:hAnsi="Verdana" w:cs="Arial"/>
          <w:sz w:val="20"/>
          <w:szCs w:val="20"/>
          <w:lang w:val="es-ES" w:eastAsia="es-CO"/>
        </w:rPr>
        <w:t xml:space="preserve">. </w:t>
      </w:r>
    </w:p>
    <w:p w14:paraId="3C0BD4CE" w14:textId="77777777" w:rsidR="00AB69BD" w:rsidRDefault="00AB69BD" w:rsidP="00AB69BD">
      <w:pPr>
        <w:spacing w:after="0" w:line="240" w:lineRule="auto"/>
        <w:jc w:val="both"/>
        <w:rPr>
          <w:rFonts w:ascii="Verdana" w:eastAsia="Calibri" w:hAnsi="Verdana" w:cs="Arial"/>
          <w:b/>
          <w:bCs/>
          <w:lang w:val="es-MX" w:eastAsia="es-ES"/>
        </w:rPr>
      </w:pPr>
    </w:p>
    <w:p w14:paraId="2CEFA812" w14:textId="77777777" w:rsidR="00AB69BD" w:rsidRDefault="00AB69BD" w:rsidP="00AB69BD">
      <w:pPr>
        <w:spacing w:after="0" w:line="240" w:lineRule="auto"/>
        <w:jc w:val="both"/>
        <w:rPr>
          <w:rFonts w:ascii="Verdana" w:eastAsia="MS Mincho" w:hAnsi="Verdana" w:cs="Arial"/>
          <w:sz w:val="20"/>
          <w:szCs w:val="20"/>
        </w:rPr>
      </w:pPr>
      <w:r w:rsidRPr="00A057D8">
        <w:rPr>
          <w:rFonts w:ascii="Verdana" w:eastAsia="MS Mincho" w:hAnsi="Verdana" w:cs="Arial"/>
          <w:sz w:val="20"/>
          <w:szCs w:val="20"/>
          <w:lang w:val="es-ES" w:eastAsia="es-CO"/>
        </w:rPr>
        <w:t xml:space="preserve">De acuerdo con la Superintendencia Financiera se entiende por </w:t>
      </w:r>
      <w:r w:rsidRPr="00A057D8">
        <w:rPr>
          <w:rFonts w:ascii="Verdana" w:eastAsia="MS Mincho" w:hAnsi="Verdana" w:cs="Arial"/>
          <w:i/>
          <w:iCs/>
          <w:sz w:val="20"/>
          <w:szCs w:val="20"/>
          <w:lang w:val="es-ES" w:eastAsia="es-CO"/>
        </w:rPr>
        <w:t>encargo fiduciario</w:t>
      </w:r>
      <w:r w:rsidRPr="00A057D8">
        <w:rPr>
          <w:rFonts w:ascii="Verdana" w:eastAsia="MS Mincho" w:hAnsi="Verdana" w:cs="Arial"/>
          <w:sz w:val="20"/>
          <w:szCs w:val="20"/>
          <w:lang w:val="es-ES" w:eastAsia="es-CO"/>
        </w:rPr>
        <w:t xml:space="preserve"> </w:t>
      </w:r>
      <w:r w:rsidRPr="00A057D8">
        <w:rPr>
          <w:rFonts w:ascii="Verdana" w:eastAsia="MS Mincho" w:hAnsi="Verdana" w:cs="Arial"/>
          <w:sz w:val="20"/>
          <w:szCs w:val="20"/>
        </w:rPr>
        <w:t xml:space="preserve">el contrato en virtud del cual el fideicomitente entrega al fiduciario bienes determinados con el propósito de cumplir la finalidad específica acordada, sin transferir la propiedad de estos. En este sentido, es una figura que se caracteriza específicamente porque los bienes fideicomitidos no salen del patrimonio del fideicomitente, sino que siguen siendo de su propiedad, aunque el fiduciario tenga la facultad para administrarlos. Se deriva de lo anterior, que en estos casos tampoco se crea un patrimonio autónomo o distinto al del fideicomitente o el fiduciario. </w:t>
      </w:r>
    </w:p>
    <w:p w14:paraId="010F8E17" w14:textId="77777777" w:rsidR="00AB69BD" w:rsidRDefault="00AB69BD" w:rsidP="00AB69BD">
      <w:pPr>
        <w:spacing w:after="0" w:line="240" w:lineRule="auto"/>
        <w:jc w:val="both"/>
        <w:rPr>
          <w:rFonts w:ascii="Verdana" w:eastAsia="MS Mincho" w:hAnsi="Verdana" w:cs="Arial"/>
          <w:sz w:val="20"/>
          <w:szCs w:val="20"/>
        </w:rPr>
      </w:pPr>
    </w:p>
    <w:p w14:paraId="4CCAA9C6" w14:textId="77777777" w:rsidR="00AB69BD" w:rsidRPr="00A057D8" w:rsidRDefault="00AB69BD" w:rsidP="00AB69BD">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En el caso de los </w:t>
      </w:r>
      <w:r w:rsidRPr="00A057D8">
        <w:rPr>
          <w:rFonts w:ascii="Verdana" w:eastAsia="MS Mincho" w:hAnsi="Verdana" w:cs="Arial"/>
          <w:i/>
          <w:iCs/>
          <w:sz w:val="20"/>
          <w:szCs w:val="20"/>
          <w:lang w:val="es-ES" w:eastAsia="es-CO"/>
        </w:rPr>
        <w:t>patrimonios autónomos</w:t>
      </w:r>
      <w:r w:rsidRPr="00A057D8">
        <w:rPr>
          <w:rFonts w:ascii="Verdana" w:eastAsia="MS Mincho" w:hAnsi="Verdana" w:cs="Arial"/>
          <w:sz w:val="20"/>
          <w:szCs w:val="20"/>
          <w:lang w:val="es-ES" w:eastAsia="es-CO"/>
        </w:rPr>
        <w:t xml:space="preserve"> constituidos en virtud de una fiducia mercantil, el constituyente o fiduciario transfiere a la fiduciaria un conjunto de bienes que conforman y se denominan como patrimonio autónomo. El Código de Comercio establece que estos patrimonios autónomos no tienen el carácter de personas jurídicas o naturales, pues son negocios fiduciarios que se encuentran conformados por los bienes que son transferidos.</w:t>
      </w:r>
      <w:r w:rsidRPr="00A057D8">
        <w:rPr>
          <w:rFonts w:ascii="Verdana" w:eastAsia="MS Mincho" w:hAnsi="Verdana" w:cs="Arial"/>
          <w:sz w:val="20"/>
          <w:szCs w:val="20"/>
          <w:lang w:eastAsia="es-CO"/>
        </w:rPr>
        <w:t xml:space="preserve"> Sin embargo, los bienes “</w:t>
      </w:r>
      <w:r w:rsidRPr="00A057D8">
        <w:rPr>
          <w:rFonts w:ascii="Verdana" w:eastAsia="MS Mincho" w:hAnsi="Verdana" w:cs="Arial"/>
          <w:sz w:val="20"/>
          <w:szCs w:val="20"/>
          <w:lang w:val="es-ES" w:eastAsia="es-CO"/>
        </w:rPr>
        <w:t>salen real y jurídicamente del patrimonio del fideicomitente (titular del dominio) y están afectos al cumplimiento de las finalidades señaladas en el acto constitutivo”</w:t>
      </w:r>
      <w:r w:rsidRPr="00A057D8">
        <w:rPr>
          <w:rFonts w:ascii="Verdana" w:eastAsia="MS Mincho" w:hAnsi="Verdana" w:cs="Arial"/>
          <w:i/>
          <w:iCs/>
          <w:sz w:val="20"/>
          <w:szCs w:val="20"/>
          <w:lang w:val="es-ES" w:eastAsia="es-CO"/>
        </w:rPr>
        <w:t>.</w:t>
      </w:r>
      <w:r w:rsidRPr="00A057D8">
        <w:rPr>
          <w:rFonts w:ascii="Verdana" w:eastAsia="MS Mincho" w:hAnsi="Verdana" w:cs="Arial"/>
          <w:sz w:val="20"/>
          <w:szCs w:val="20"/>
          <w:lang w:val="es-ES" w:eastAsia="es-CO"/>
        </w:rPr>
        <w:t xml:space="preserve"> Entonces, existe una distinción clara entre los bienes que conforman el patrimonio del fiduciario, aquellos que hacen parte del patrimonio autónomo, y los que integran el patrimonio o los activos de la fiduciaria. Ya que existen tres patrimonios independientes, los bienes transferidos</w:t>
      </w:r>
      <w:r w:rsidRPr="00A057D8">
        <w:rPr>
          <w:rFonts w:ascii="Verdana" w:eastAsia="MS Mincho" w:hAnsi="Verdana" w:cs="Arial"/>
          <w:i/>
          <w:iCs/>
          <w:sz w:val="20"/>
          <w:szCs w:val="20"/>
          <w:lang w:val="es-ES" w:eastAsia="es-CO"/>
        </w:rPr>
        <w:t xml:space="preserve"> “</w:t>
      </w:r>
      <w:r w:rsidRPr="00A057D8">
        <w:rPr>
          <w:rFonts w:ascii="Verdana" w:eastAsia="MS Mincho" w:hAnsi="Verdana" w:cs="Arial"/>
          <w:sz w:val="20"/>
          <w:szCs w:val="20"/>
          <w:lang w:val="es-ES" w:eastAsia="es-CO"/>
        </w:rPr>
        <w:t>son excluidos de la garantía general de los acreedores del fiduciario y fideicomitente y garantizan las obligaciones que contraiga el patrimonio autónomo en el logro de la finalidad de la fiducia (…)”.</w:t>
      </w:r>
    </w:p>
    <w:p w14:paraId="15DFEB39" w14:textId="77777777" w:rsidR="00AB69BD" w:rsidRPr="00A057D8" w:rsidRDefault="00AB69BD" w:rsidP="00AB69BD">
      <w:pPr>
        <w:spacing w:after="0" w:line="240" w:lineRule="auto"/>
        <w:jc w:val="both"/>
        <w:rPr>
          <w:rFonts w:ascii="Verdana" w:eastAsia="MS Mincho" w:hAnsi="Verdana" w:cs="Arial"/>
          <w:sz w:val="20"/>
          <w:szCs w:val="20"/>
        </w:rPr>
      </w:pPr>
    </w:p>
    <w:p w14:paraId="4A4FA3ED" w14:textId="77777777" w:rsidR="00AB69BD" w:rsidRDefault="00AB69BD" w:rsidP="00AB69BD">
      <w:pPr>
        <w:jc w:val="both"/>
        <w:rPr>
          <w:rFonts w:ascii="Verdana" w:eastAsia="Calibri" w:hAnsi="Verdana" w:cs="Arial"/>
          <w:b/>
          <w:bCs/>
          <w:lang w:val="es-MX" w:eastAsia="es-ES"/>
        </w:rPr>
      </w:pPr>
    </w:p>
    <w:p w14:paraId="6C509A1B" w14:textId="77777777" w:rsidR="00AB69BD" w:rsidRDefault="00AB69BD" w:rsidP="00AB69BD">
      <w:pPr>
        <w:jc w:val="both"/>
        <w:rPr>
          <w:rFonts w:ascii="Verdana" w:eastAsia="Calibri" w:hAnsi="Verdana" w:cs="Arial"/>
          <w:b/>
          <w:bCs/>
          <w:lang w:val="es-MX" w:eastAsia="es-ES"/>
        </w:rPr>
      </w:pPr>
      <w:r w:rsidRPr="00A057D8">
        <w:rPr>
          <w:rFonts w:ascii="Verdana" w:eastAsia="Calibri" w:hAnsi="Verdana" w:cs="Arial"/>
          <w:b/>
          <w:bCs/>
          <w:lang w:val="es-MX" w:eastAsia="es-ES"/>
        </w:rPr>
        <w:lastRenderedPageBreak/>
        <w:t xml:space="preserve">FIDUCIA PÚBLICA – Características </w:t>
      </w:r>
    </w:p>
    <w:p w14:paraId="6B34E3EF" w14:textId="77777777" w:rsidR="00AB69BD" w:rsidRDefault="00AB69BD" w:rsidP="00AB69BD">
      <w:pPr>
        <w:spacing w:after="0" w:line="240" w:lineRule="auto"/>
        <w:jc w:val="both"/>
        <w:rPr>
          <w:rFonts w:ascii="Verdana" w:eastAsia="MS Mincho" w:hAnsi="Verdana" w:cs="Arial"/>
          <w:sz w:val="20"/>
          <w:szCs w:val="20"/>
          <w:lang w:val="es-ES_tradnl" w:eastAsia="es-CO"/>
        </w:rPr>
      </w:pPr>
      <w:r w:rsidRPr="00A057D8">
        <w:rPr>
          <w:rFonts w:ascii="Verdana" w:eastAsia="MS Mincho" w:hAnsi="Verdana" w:cs="Arial"/>
          <w:sz w:val="20"/>
          <w:szCs w:val="20"/>
          <w:lang w:val="es-ES_tradnl" w:eastAsia="es-CO"/>
        </w:rPr>
        <w:t xml:space="preserve">[…] la </w:t>
      </w:r>
      <w:r w:rsidRPr="00A057D8">
        <w:rPr>
          <w:rFonts w:ascii="Verdana" w:eastAsia="MS Mincho" w:hAnsi="Verdana" w:cs="Arial"/>
          <w:i/>
          <w:iCs/>
          <w:sz w:val="20"/>
          <w:szCs w:val="20"/>
          <w:lang w:val="es-ES_tradnl" w:eastAsia="es-CO"/>
        </w:rPr>
        <w:t>fiducia pública</w:t>
      </w:r>
      <w:r w:rsidRPr="00A057D8">
        <w:rPr>
          <w:rFonts w:ascii="Verdana" w:eastAsia="MS Mincho" w:hAnsi="Verdana" w:cs="Arial"/>
          <w:sz w:val="20"/>
          <w:szCs w:val="20"/>
          <w:lang w:val="es-ES_tradnl" w:eastAsia="es-CO"/>
        </w:rPr>
        <w:t xml:space="preserve"> se diferencia de la </w:t>
      </w:r>
      <w:r w:rsidRPr="00A057D8">
        <w:rPr>
          <w:rFonts w:ascii="Verdana" w:eastAsia="MS Mincho" w:hAnsi="Verdana" w:cs="Arial"/>
          <w:i/>
          <w:iCs/>
          <w:sz w:val="20"/>
          <w:szCs w:val="20"/>
          <w:lang w:val="es-ES_tradnl" w:eastAsia="es-CO"/>
        </w:rPr>
        <w:t>fiducia mercantil</w:t>
      </w:r>
      <w:r w:rsidRPr="00A057D8">
        <w:rPr>
          <w:rFonts w:ascii="Verdana" w:eastAsia="MS Mincho" w:hAnsi="Verdana" w:cs="Arial"/>
          <w:sz w:val="20"/>
          <w:szCs w:val="20"/>
          <w:lang w:val="es-ES_tradnl" w:eastAsia="es-CO"/>
        </w:rPr>
        <w:t xml:space="preserve"> en que en ningún caso implicará la transferencia de dominio sobre bienes o recursos estatales, ni podrá constituir un patrimonio autónomo al de la respectiva entidad.</w:t>
      </w:r>
    </w:p>
    <w:p w14:paraId="671937D7" w14:textId="77777777" w:rsidR="00AB69BD" w:rsidRPr="00A057D8" w:rsidRDefault="00AB69BD" w:rsidP="00AB69BD">
      <w:pPr>
        <w:spacing w:after="0" w:line="240" w:lineRule="auto"/>
        <w:jc w:val="both"/>
        <w:rPr>
          <w:rFonts w:ascii="Verdana" w:eastAsia="Calibri" w:hAnsi="Verdana" w:cs="Arial"/>
          <w:sz w:val="20"/>
          <w:szCs w:val="20"/>
          <w:lang w:val="es-MX" w:eastAsia="es-ES"/>
        </w:rPr>
      </w:pPr>
      <w:r w:rsidRPr="00A057D8">
        <w:rPr>
          <w:rFonts w:ascii="Verdana" w:eastAsia="Calibri" w:hAnsi="Verdana" w:cs="Arial"/>
          <w:sz w:val="20"/>
          <w:szCs w:val="20"/>
          <w:lang w:val="es-MX" w:eastAsia="es-ES"/>
        </w:rPr>
        <w:t xml:space="preserve">[…] </w:t>
      </w:r>
    </w:p>
    <w:p w14:paraId="4D802239" w14:textId="77777777" w:rsidR="00AB69BD" w:rsidRDefault="00AB69BD" w:rsidP="00AB69BD">
      <w:pPr>
        <w:spacing w:after="0" w:line="240" w:lineRule="auto"/>
        <w:jc w:val="both"/>
        <w:rPr>
          <w:rFonts w:ascii="Verdana" w:eastAsia="MS Mincho" w:hAnsi="Verdana" w:cs="Arial"/>
          <w:sz w:val="20"/>
          <w:szCs w:val="20"/>
          <w:lang w:val="es-ES" w:eastAsia="es-CO"/>
        </w:rPr>
      </w:pPr>
    </w:p>
    <w:p w14:paraId="47ADCCDB" w14:textId="77777777" w:rsidR="00AB69BD" w:rsidRPr="00A057D8" w:rsidRDefault="00AB69BD" w:rsidP="00AB69BD">
      <w:pPr>
        <w:spacing w:after="0" w:line="240" w:lineRule="auto"/>
        <w:jc w:val="both"/>
        <w:rPr>
          <w:rFonts w:ascii="Verdana" w:eastAsia="MS Mincho" w:hAnsi="Verdana" w:cs="Arial"/>
          <w:sz w:val="20"/>
          <w:szCs w:val="20"/>
          <w:lang w:eastAsia="es-CO"/>
        </w:rPr>
      </w:pPr>
      <w:r w:rsidRPr="00A057D8">
        <w:rPr>
          <w:rFonts w:ascii="Verdana" w:eastAsia="MS Mincho" w:hAnsi="Verdana" w:cs="Arial"/>
          <w:sz w:val="20"/>
          <w:szCs w:val="20"/>
          <w:lang w:val="es-ES" w:eastAsia="es-CO"/>
        </w:rPr>
        <w:t xml:space="preserve">Según lo anterior, en virtud del </w:t>
      </w:r>
      <w:r w:rsidRPr="00A057D8">
        <w:rPr>
          <w:rFonts w:ascii="Verdana" w:eastAsia="MS Mincho" w:hAnsi="Verdana" w:cs="Arial"/>
          <w:sz w:val="20"/>
          <w:szCs w:val="20"/>
          <w:lang w:eastAsia="es-CO"/>
        </w:rPr>
        <w:t>numeral 5 del artículo 32 de la Ley 80 de 1993, las normas establecidas en el Código de Comercio sobre la fiducia mercantil serán aplicables a la fiducia pública siempre que sean compatibles con lo dispuesto en ese Estatuto. En este sentido, la Sala de Consulta y Servicio Civil del Consejo de Estado señala que se deberán aplicar las normas de los artículos 1226 a 1244 del Código de Comercio a las fiducias públicas con las siguientes salvedades:</w:t>
      </w:r>
    </w:p>
    <w:p w14:paraId="7198D9D4" w14:textId="77777777" w:rsidR="00AB69BD" w:rsidRPr="00A057D8" w:rsidRDefault="00AB69BD" w:rsidP="00AB69BD">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La fiducia pública no implica en ningún caso la transferencia de la propiedad de los bienes o recursos fideicomitidos. </w:t>
      </w:r>
    </w:p>
    <w:p w14:paraId="0FE985EA" w14:textId="77777777" w:rsidR="00AB69BD" w:rsidRDefault="00AB69BD" w:rsidP="00AB69BD">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Tampoco constituye un patrimonio autónomo afecto a la finalidad de la fiducia, en manos de la sociedad fiduciaria. </w:t>
      </w:r>
    </w:p>
    <w:p w14:paraId="0CC32B11" w14:textId="77777777" w:rsidR="00AB69BD" w:rsidRDefault="00AB69BD" w:rsidP="00AB69BD">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La adjudicación de los subcontratos debe ser realizada por la entidad estatal fideicomitente.</w:t>
      </w:r>
    </w:p>
    <w:p w14:paraId="3657E279" w14:textId="77777777" w:rsidR="00AB69BD" w:rsidRDefault="00AB69BD" w:rsidP="00AB69BD">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 xml:space="preserve">No se puede pactar que la comisión de la sociedad fiduciaria sea tomada de los rendimientos del fideicomiso, salvo que éstos se encuentren presupuestados. </w:t>
      </w:r>
    </w:p>
    <w:p w14:paraId="649817BE" w14:textId="77777777" w:rsidR="00AB69BD" w:rsidRPr="00A057D8" w:rsidRDefault="00AB69BD" w:rsidP="00AB69BD">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El procedimiento de contratación de cualquiera de los negocios fiduciarios señalados en el artículo 32, es decir, el encargo fiduciario y la fiducia pública, por parte de las entidades estatales, debe ser la licitación pública o el concurso establecido en el parágrafo del artículo 30 de la Ley 80 de 1993.</w:t>
      </w:r>
    </w:p>
    <w:p w14:paraId="39D3C16B" w14:textId="77777777" w:rsidR="00AB69BD" w:rsidRDefault="00AB69BD" w:rsidP="00AB69BD">
      <w:pPr>
        <w:jc w:val="both"/>
        <w:rPr>
          <w:rFonts w:ascii="Verdana" w:eastAsia="Calibri" w:hAnsi="Verdana" w:cs="Arial"/>
          <w:b/>
          <w:bCs/>
          <w:sz w:val="20"/>
          <w:szCs w:val="20"/>
          <w:lang w:val="es-ES" w:eastAsia="es-ES"/>
        </w:rPr>
      </w:pPr>
    </w:p>
    <w:p w14:paraId="0BB00735" w14:textId="77777777" w:rsidR="00AB69BD" w:rsidRDefault="00AB69BD" w:rsidP="00AB69BD">
      <w:pPr>
        <w:jc w:val="both"/>
        <w:rPr>
          <w:rFonts w:ascii="Verdana" w:eastAsia="Calibri" w:hAnsi="Verdana" w:cs="Arial"/>
          <w:b/>
          <w:bCs/>
          <w:lang w:val="es-MX" w:eastAsia="es-ES"/>
        </w:rPr>
      </w:pPr>
      <w:r w:rsidRPr="00C01ED5">
        <w:rPr>
          <w:rFonts w:ascii="Verdana" w:eastAsia="Calibri" w:hAnsi="Verdana" w:cs="Arial"/>
          <w:b/>
          <w:bCs/>
          <w:lang w:val="es-MX" w:eastAsia="es-ES"/>
        </w:rPr>
        <w:t xml:space="preserve">FIDUCIA PÚBLICA – Encargo fiduciario – Patrimonio autónomo – Diferencias </w:t>
      </w:r>
    </w:p>
    <w:p w14:paraId="7B112DDA" w14:textId="77777777" w:rsidR="00AB69BD" w:rsidRDefault="00AB69BD" w:rsidP="00AB69BD">
      <w:pPr>
        <w:spacing w:after="0" w:line="240" w:lineRule="auto"/>
        <w:jc w:val="both"/>
        <w:rPr>
          <w:rFonts w:ascii="Verdana" w:eastAsia="MS Mincho" w:hAnsi="Verdana" w:cs="Arial"/>
          <w:sz w:val="20"/>
          <w:szCs w:val="20"/>
          <w:lang w:val="es-ES_tradnl" w:eastAsia="es-CO"/>
        </w:rPr>
      </w:pPr>
      <w:r>
        <w:rPr>
          <w:rFonts w:ascii="Verdana" w:hAnsi="Verdana" w:cs="Arial"/>
          <w:color w:val="000000"/>
          <w:sz w:val="20"/>
          <w:szCs w:val="20"/>
          <w:shd w:val="clear" w:color="auto" w:fill="FFFFFF"/>
        </w:rPr>
        <w:t xml:space="preserve">[…] </w:t>
      </w:r>
      <w:r w:rsidRPr="00C01ED5">
        <w:rPr>
          <w:rFonts w:ascii="Verdana" w:hAnsi="Verdana" w:cs="Arial"/>
          <w:color w:val="000000"/>
          <w:sz w:val="20"/>
          <w:szCs w:val="20"/>
          <w:shd w:val="clear" w:color="auto" w:fill="FFFFFF"/>
        </w:rPr>
        <w:t>la autorización d</w:t>
      </w:r>
      <w:r w:rsidRPr="00C01ED5">
        <w:rPr>
          <w:rFonts w:ascii="Verdana" w:eastAsia="MS Mincho" w:hAnsi="Verdana" w:cs="Arial"/>
          <w:sz w:val="20"/>
          <w:szCs w:val="20"/>
          <w:lang w:eastAsia="es-CO"/>
        </w:rPr>
        <w:t xml:space="preserve">el numeral 5 del artículo 32 de la Ley 80 de 1993 para celebrar encargos fiduciarios y contratos de fiducia pública, tiene como límite que las entidades no pueden transferir el dominio sobre los bienes o recursos estatales, </w:t>
      </w:r>
      <w:r w:rsidRPr="00C01ED5">
        <w:rPr>
          <w:rFonts w:ascii="Verdana" w:eastAsia="MS Mincho" w:hAnsi="Verdana" w:cs="Arial"/>
          <w:i/>
          <w:iCs/>
          <w:sz w:val="20"/>
          <w:szCs w:val="20"/>
          <w:lang w:eastAsia="es-CO"/>
        </w:rPr>
        <w:t>ni constituir patrimonios autónomos</w:t>
      </w:r>
      <w:r w:rsidRPr="00C01ED5">
        <w:rPr>
          <w:rFonts w:ascii="Verdana" w:eastAsia="MS Mincho" w:hAnsi="Verdana" w:cs="Arial"/>
          <w:sz w:val="20"/>
          <w:szCs w:val="20"/>
          <w:lang w:eastAsia="es-CO"/>
        </w:rPr>
        <w:t>.</w:t>
      </w:r>
      <w:r w:rsidRPr="00C01ED5">
        <w:rPr>
          <w:rFonts w:ascii="Verdana" w:eastAsia="MS Mincho" w:hAnsi="Verdana" w:cs="Arial"/>
          <w:sz w:val="20"/>
          <w:szCs w:val="20"/>
          <w:lang w:val="es-ES_tradnl" w:eastAsia="es-CO"/>
        </w:rPr>
        <w:t xml:space="preserve"> La Sala de Consulta y Servicio Civil del Consejo de Estado, en concepto del 4 de marzo de 1998, consideró que la Ley 80 de 1993 tiene como objetivo restringir los negocios fiduciarios que pueden celebrar las entidades estatales. Por ello, señaló que la constitución de patrimonios autónomos por parte de entidades estatales solamente debe darse </w:t>
      </w:r>
      <w:r w:rsidRPr="00C01ED5">
        <w:rPr>
          <w:rFonts w:ascii="Verdana" w:eastAsia="MS Mincho" w:hAnsi="Verdana" w:cs="Arial"/>
          <w:i/>
          <w:iCs/>
          <w:sz w:val="20"/>
          <w:szCs w:val="20"/>
          <w:lang w:val="es-ES_tradnl" w:eastAsia="es-CO"/>
        </w:rPr>
        <w:t>en virtud de una autorización legal</w:t>
      </w:r>
      <w:r w:rsidRPr="00C01ED5">
        <w:rPr>
          <w:rFonts w:ascii="Verdana" w:eastAsia="MS Mincho" w:hAnsi="Verdana" w:cs="Arial"/>
          <w:sz w:val="20"/>
          <w:szCs w:val="20"/>
          <w:lang w:val="es-ES_tradnl" w:eastAsia="es-CO"/>
        </w:rPr>
        <w:t>, como es el caso de los procesos de titularización de activos e inversiones, tal como lo autoriza expresamente el parágrafo 2 del artículo 41 de la Ley 80 de 1993.</w:t>
      </w:r>
    </w:p>
    <w:p w14:paraId="5D190DD6" w14:textId="77777777" w:rsidR="00AB69BD" w:rsidRDefault="00AB69BD" w:rsidP="00AB69BD">
      <w:pPr>
        <w:pStyle w:val="Textoindependiente"/>
        <w:spacing w:after="0" w:line="240" w:lineRule="auto"/>
        <w:jc w:val="both"/>
        <w:rPr>
          <w:rFonts w:ascii="Verdana" w:eastAsia="MS Mincho" w:hAnsi="Verdana" w:cs="Arial"/>
          <w:sz w:val="20"/>
          <w:szCs w:val="20"/>
          <w:lang w:val="es-ES_tradnl"/>
        </w:rPr>
      </w:pPr>
    </w:p>
    <w:p w14:paraId="2534BE82" w14:textId="77777777" w:rsidR="00AB69BD" w:rsidRPr="00C01ED5" w:rsidRDefault="00AB69BD" w:rsidP="00AB69BD">
      <w:pPr>
        <w:pStyle w:val="Textoindependiente"/>
        <w:spacing w:after="0" w:line="240" w:lineRule="auto"/>
        <w:jc w:val="both"/>
        <w:rPr>
          <w:rFonts w:ascii="Verdana" w:hAnsi="Verdana" w:cs="Arial"/>
          <w:sz w:val="20"/>
          <w:szCs w:val="20"/>
          <w:lang w:val="es-ES_tradnl"/>
        </w:rPr>
      </w:pPr>
      <w:r w:rsidRPr="00C01ED5">
        <w:rPr>
          <w:rFonts w:ascii="Verdana" w:eastAsia="MS Mincho" w:hAnsi="Verdana" w:cs="Arial"/>
          <w:sz w:val="20"/>
          <w:szCs w:val="20"/>
          <w:lang w:val="es-ES_tradnl"/>
        </w:rPr>
        <w:t xml:space="preserve">[…] </w:t>
      </w:r>
      <w:r w:rsidRPr="00C01ED5">
        <w:rPr>
          <w:rFonts w:ascii="Verdana" w:hAnsi="Verdana" w:cs="Arial"/>
          <w:sz w:val="20"/>
          <w:szCs w:val="20"/>
          <w:lang w:val="es-ES_tradnl"/>
        </w:rPr>
        <w:t>En suma, las entidades estatales pueden entregar el manejo de recursos derivados de un contrato estatal (como es el caso de un convenio interadministrativo), ya sea por fiducia pública o encargo fiduciario. Sin embargo, el inciso 7 del numeral 5 del artículo 32 de la Ley 80 de 1993 prohíbe que se constituya patrimonio autónomo en virtud de estos negocios fiduciarios. En estos casos, la entidad estatal mantiene la propiedad de los recursos y por ello conserva el control sobre ellos. Solo en supuestos excepcionales, en los que exista autorización legal expresa, ciertas entidades estatales podrán transferir la propiedad de recursos públicos a un patrimonio autónomo. En cualquier caso, incluso esta transferencia de propiedad debe tener una finalidad específica y la entidad mantiene la obligación de vigilar que se cumplan los fines estatales que motivaron la contratación, conservando el control de los recursos entregados al patrimonio autónomo.</w:t>
      </w:r>
    </w:p>
    <w:p w14:paraId="737D4D0D" w14:textId="77777777" w:rsidR="00AB69BD" w:rsidRPr="00C01ED5" w:rsidRDefault="00AB69BD" w:rsidP="00AB69BD">
      <w:pPr>
        <w:spacing w:after="0" w:line="240" w:lineRule="auto"/>
        <w:jc w:val="both"/>
        <w:rPr>
          <w:rFonts w:ascii="Verdana" w:hAnsi="Verdana" w:cs="Arial"/>
          <w:sz w:val="20"/>
          <w:szCs w:val="20"/>
          <w:lang w:val="es-ES_tradnl" w:eastAsia="es-ES_tradnl"/>
        </w:rPr>
      </w:pPr>
    </w:p>
    <w:p w14:paraId="2901E509" w14:textId="77777777" w:rsidR="00AB69BD" w:rsidRPr="00C01ED5" w:rsidRDefault="00AB69BD" w:rsidP="00AB69BD">
      <w:pPr>
        <w:jc w:val="both"/>
        <w:rPr>
          <w:rFonts w:ascii="Verdana" w:hAnsi="Verdana" w:cs="Arial"/>
          <w:b/>
          <w:bCs/>
          <w:lang w:val="es-MX" w:eastAsia="es-ES_tradnl"/>
        </w:rPr>
      </w:pPr>
      <w:r w:rsidRPr="00C01ED5">
        <w:rPr>
          <w:rFonts w:ascii="Verdana" w:hAnsi="Verdana" w:cs="Arial"/>
          <w:b/>
          <w:bCs/>
          <w:lang w:val="es-MX" w:eastAsia="es-ES_tradnl"/>
        </w:rPr>
        <w:t>LEY DE GARANTÍAS ELECTORALES ‒ Finalidad</w:t>
      </w:r>
    </w:p>
    <w:p w14:paraId="48BC40BE" w14:textId="77777777" w:rsidR="00AB69BD" w:rsidRDefault="00AB69BD" w:rsidP="00AB69BD">
      <w:pPr>
        <w:pStyle w:val="Textoindependiente"/>
        <w:spacing w:after="0" w:line="240" w:lineRule="auto"/>
        <w:jc w:val="both"/>
        <w:rPr>
          <w:rFonts w:ascii="Verdana" w:eastAsia="Calibri" w:hAnsi="Verdana" w:cs="Arial"/>
          <w:noProof/>
          <w:sz w:val="20"/>
          <w:szCs w:val="20"/>
          <w:lang w:val="es-ES_tradnl"/>
        </w:rPr>
      </w:pPr>
      <w:r w:rsidRPr="00C01ED5">
        <w:rPr>
          <w:rFonts w:ascii="Verdana" w:eastAsia="Times New Roman" w:hAnsi="Verdana" w:cs="Arial"/>
          <w:bCs/>
          <w:sz w:val="20"/>
          <w:szCs w:val="20"/>
        </w:rPr>
        <w:t>[…] la Ley 996 de 2005, conocida como “Ley de Garantías Electorales” […]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01ED5">
        <w:rPr>
          <w:rFonts w:ascii="Verdana" w:eastAsia="Calibri" w:hAnsi="Verdana" w:cs="Arial"/>
          <w:noProof/>
          <w:sz w:val="20"/>
          <w:szCs w:val="20"/>
          <w:lang w:val="es-ES_tradnl"/>
        </w:rPr>
        <w:t xml:space="preserve"> </w:t>
      </w:r>
    </w:p>
    <w:p w14:paraId="790C94E2" w14:textId="77777777" w:rsidR="00AB69BD" w:rsidRDefault="00AB69BD" w:rsidP="00AB69BD">
      <w:pPr>
        <w:pStyle w:val="Textoindependiente"/>
        <w:spacing w:after="0" w:line="240" w:lineRule="auto"/>
        <w:jc w:val="both"/>
        <w:rPr>
          <w:rFonts w:ascii="Verdana" w:eastAsia="Calibri" w:hAnsi="Verdana" w:cs="Arial"/>
          <w:noProof/>
          <w:sz w:val="20"/>
          <w:szCs w:val="20"/>
          <w:lang w:val="es-ES_tradnl"/>
        </w:rPr>
      </w:pPr>
    </w:p>
    <w:p w14:paraId="72B89676" w14:textId="77777777" w:rsidR="00AB69BD" w:rsidRPr="00D3274F" w:rsidRDefault="00AB69BD" w:rsidP="00AB69BD">
      <w:pPr>
        <w:spacing w:after="0" w:line="240" w:lineRule="auto"/>
        <w:jc w:val="both"/>
        <w:rPr>
          <w:rFonts w:ascii="Verdana" w:hAnsi="Verdana" w:cs="Arial"/>
          <w:b/>
          <w:bCs/>
          <w:lang w:val="es-MX" w:eastAsia="es-ES_tradnl"/>
        </w:rPr>
      </w:pPr>
      <w:r w:rsidRPr="00D3274F">
        <w:rPr>
          <w:rFonts w:ascii="Verdana" w:hAnsi="Verdana" w:cs="Arial"/>
          <w:b/>
          <w:bCs/>
          <w:lang w:val="es-MX" w:eastAsia="es-ES_tradnl"/>
        </w:rPr>
        <w:t>LEY DE GARANTÍAS ELECTORALES ‒ Tipos de restricciones ‒ Ámbito temporal – Celebración</w:t>
      </w:r>
      <w:r>
        <w:rPr>
          <w:rFonts w:ascii="Verdana" w:hAnsi="Verdana" w:cs="Arial"/>
          <w:b/>
          <w:bCs/>
          <w:lang w:val="es-MX" w:eastAsia="es-ES_tradnl"/>
        </w:rPr>
        <w:t xml:space="preserve"> </w:t>
      </w:r>
      <w:r w:rsidRPr="00D3274F">
        <w:rPr>
          <w:rFonts w:ascii="Verdana" w:hAnsi="Verdana" w:cs="Arial"/>
          <w:b/>
          <w:bCs/>
          <w:lang w:val="es-MX" w:eastAsia="es-ES_tradnl"/>
        </w:rPr>
        <w:t xml:space="preserve">- Límite </w:t>
      </w:r>
    </w:p>
    <w:p w14:paraId="2E713085" w14:textId="77777777" w:rsidR="00AB69BD" w:rsidRDefault="00AB69BD" w:rsidP="00AB69BD">
      <w:pPr>
        <w:spacing w:after="0" w:line="240" w:lineRule="auto"/>
        <w:jc w:val="both"/>
        <w:rPr>
          <w:rFonts w:ascii="Verdana" w:eastAsia="Arial" w:hAnsi="Verdana" w:cs="Arial"/>
          <w:lang w:val="es-ES" w:eastAsia="es-ES" w:bidi="es-ES"/>
        </w:rPr>
      </w:pPr>
    </w:p>
    <w:p w14:paraId="475F1756" w14:textId="77777777" w:rsidR="00AB69BD" w:rsidRPr="00D3274F" w:rsidRDefault="00AB69BD" w:rsidP="00AB69BD">
      <w:pPr>
        <w:spacing w:after="0" w:line="240" w:lineRule="auto"/>
        <w:jc w:val="both"/>
        <w:rPr>
          <w:rFonts w:ascii="Verdana" w:eastAsia="Arial" w:hAnsi="Verdana" w:cs="Arial"/>
          <w:sz w:val="20"/>
          <w:szCs w:val="20"/>
          <w:lang w:val="es-ES" w:eastAsia="es-ES" w:bidi="es-ES"/>
        </w:rPr>
      </w:pPr>
      <w:r w:rsidRPr="00D3274F">
        <w:rPr>
          <w:rFonts w:ascii="Verdana" w:eastAsia="Arial" w:hAnsi="Verdana" w:cs="Arial"/>
          <w:sz w:val="20"/>
          <w:szCs w:val="20"/>
          <w:lang w:val="es-ES" w:eastAsia="es-ES" w:bidi="es-ES"/>
        </w:rPr>
        <w:t xml:space="preserve">[…]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60F20DA" w14:textId="77777777" w:rsidR="00AB69BD" w:rsidRPr="00D3274F" w:rsidRDefault="00AB69BD" w:rsidP="00AB69BD">
      <w:pPr>
        <w:spacing w:after="0" w:line="240" w:lineRule="auto"/>
        <w:jc w:val="both"/>
        <w:rPr>
          <w:rFonts w:ascii="Verdana" w:eastAsia="Arial" w:hAnsi="Verdana" w:cs="Arial"/>
          <w:sz w:val="20"/>
          <w:szCs w:val="20"/>
          <w:lang w:val="es-ES" w:eastAsia="es-ES" w:bidi="es-ES"/>
        </w:rPr>
      </w:pPr>
    </w:p>
    <w:p w14:paraId="2D6C002C" w14:textId="77777777" w:rsidR="00AB69BD" w:rsidRDefault="00AB69BD" w:rsidP="00AB69BD">
      <w:pPr>
        <w:spacing w:after="0" w:line="240" w:lineRule="auto"/>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 </w:t>
      </w:r>
    </w:p>
    <w:p w14:paraId="234F5B92" w14:textId="77777777" w:rsidR="00AB69BD" w:rsidRDefault="00AB69BD" w:rsidP="00AB69BD">
      <w:pPr>
        <w:spacing w:after="0" w:line="240" w:lineRule="auto"/>
        <w:jc w:val="both"/>
        <w:rPr>
          <w:rFonts w:ascii="Verdana" w:eastAsia="Arial" w:hAnsi="Verdana" w:cs="Arial"/>
          <w:sz w:val="20"/>
          <w:szCs w:val="20"/>
          <w:lang w:val="es-ES" w:eastAsia="es-ES" w:bidi="es-ES"/>
        </w:rPr>
      </w:pPr>
    </w:p>
    <w:p w14:paraId="3678C3BC" w14:textId="77777777" w:rsidR="00AB69BD" w:rsidRPr="00D3274F" w:rsidRDefault="00AB69BD" w:rsidP="00AB69BD">
      <w:pPr>
        <w:spacing w:after="0" w:line="240" w:lineRule="auto"/>
        <w:jc w:val="both"/>
        <w:rPr>
          <w:rFonts w:ascii="Verdana" w:eastAsia="Arial" w:hAnsi="Verdana" w:cs="Arial"/>
          <w:sz w:val="20"/>
          <w:szCs w:val="20"/>
          <w:lang w:val="es-ES" w:eastAsia="es-ES" w:bidi="es-ES"/>
        </w:rPr>
      </w:pPr>
      <w:r w:rsidRPr="00D3274F">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51F9D904" w14:textId="77777777" w:rsidR="00AB69BD" w:rsidRPr="00D3274F" w:rsidRDefault="00AB69BD" w:rsidP="00AB69BD">
      <w:pPr>
        <w:spacing w:after="0" w:line="240" w:lineRule="auto"/>
        <w:jc w:val="both"/>
        <w:rPr>
          <w:rFonts w:ascii="Verdana" w:eastAsia="Calibri" w:hAnsi="Verdana" w:cs="Arial"/>
          <w:sz w:val="20"/>
          <w:szCs w:val="20"/>
        </w:rPr>
      </w:pPr>
    </w:p>
    <w:p w14:paraId="7907407F" w14:textId="77777777" w:rsidR="00AB69BD" w:rsidRDefault="00AB69BD" w:rsidP="00AB69BD">
      <w:pPr>
        <w:spacing w:after="0" w:line="240" w:lineRule="auto"/>
        <w:jc w:val="both"/>
        <w:rPr>
          <w:rFonts w:ascii="Verdana" w:eastAsia="Calibri" w:hAnsi="Verdana" w:cs="Arial"/>
          <w:bCs/>
          <w:sz w:val="20"/>
          <w:szCs w:val="20"/>
        </w:rPr>
      </w:pPr>
      <w:r w:rsidRPr="00D3274F">
        <w:rPr>
          <w:rFonts w:ascii="Verdana" w:eastAsia="Calibri" w:hAnsi="Verdana" w:cs="Arial"/>
          <w:sz w:val="20"/>
          <w:szCs w:val="20"/>
        </w:rPr>
        <w:t>Por un lado, el artículo 33 de la Ley 996 de 2005 prohíbe “</w:t>
      </w:r>
      <w:r w:rsidRPr="00D3274F">
        <w:rPr>
          <w:rFonts w:ascii="Verdana" w:eastAsia="Calibri" w:hAnsi="Verdana" w:cs="Arial"/>
          <w:bCs/>
          <w:sz w:val="20"/>
          <w:szCs w:val="20"/>
        </w:rPr>
        <w:t xml:space="preserve">(…) </w:t>
      </w:r>
      <w:r w:rsidRPr="00D3274F">
        <w:rPr>
          <w:rFonts w:ascii="Verdana" w:eastAsia="Calibri" w:hAnsi="Verdana" w:cs="Arial"/>
          <w:sz w:val="20"/>
          <w:szCs w:val="20"/>
        </w:rPr>
        <w:t>la contratación directa por parte de todos los entes del Estado</w:t>
      </w:r>
      <w:r w:rsidRPr="00D3274F">
        <w:rPr>
          <w:rFonts w:ascii="Verdana" w:eastAsia="Calibri" w:hAnsi="Verdana" w:cs="Arial"/>
          <w:bCs/>
          <w:sz w:val="20"/>
          <w:szCs w:val="20"/>
        </w:rPr>
        <w:t>”</w:t>
      </w:r>
      <w:r w:rsidRPr="00D3274F">
        <w:rPr>
          <w:rFonts w:ascii="Verdana" w:eastAsia="Calibri" w:hAnsi="Verdana" w:cs="Arial"/>
          <w:sz w:val="20"/>
          <w:szCs w:val="20"/>
        </w:rPr>
        <w:t xml:space="preserve"> durante los cuatro (4) meses anteriores a las elecciones presidenciales, salvo </w:t>
      </w:r>
      <w:r w:rsidRPr="00D3274F">
        <w:rPr>
          <w:rFonts w:ascii="Verdana" w:eastAsia="Calibri" w:hAnsi="Verdana" w:cs="Arial"/>
          <w:bCs/>
          <w:sz w:val="20"/>
          <w:szCs w:val="20"/>
        </w:rPr>
        <w:t xml:space="preserve">“(…) </w:t>
      </w:r>
      <w:r w:rsidRPr="00D3274F">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3274F">
        <w:rPr>
          <w:rFonts w:ascii="Verdana" w:eastAsia="Calibri" w:hAnsi="Verdana" w:cs="Arial"/>
          <w:bCs/>
          <w:sz w:val="20"/>
          <w:szCs w:val="20"/>
        </w:rPr>
        <w:t>”</w:t>
      </w:r>
    </w:p>
    <w:p w14:paraId="2642445F" w14:textId="77777777" w:rsidR="00AB69BD" w:rsidRDefault="00AB69BD" w:rsidP="00AB69BD">
      <w:pPr>
        <w:spacing w:after="0" w:line="240" w:lineRule="auto"/>
        <w:jc w:val="both"/>
        <w:rPr>
          <w:rFonts w:ascii="Verdana" w:eastAsia="Calibri" w:hAnsi="Verdana" w:cs="Arial"/>
          <w:bCs/>
          <w:sz w:val="20"/>
          <w:szCs w:val="20"/>
        </w:rPr>
      </w:pPr>
    </w:p>
    <w:p w14:paraId="5745AA48" w14:textId="77777777" w:rsidR="00AB69BD" w:rsidRDefault="00AB69BD" w:rsidP="00AB69BD">
      <w:pPr>
        <w:spacing w:after="0" w:line="240" w:lineRule="auto"/>
        <w:jc w:val="both"/>
        <w:rPr>
          <w:rFonts w:ascii="Verdana" w:eastAsia="Arial" w:hAnsi="Verdana" w:cs="Arial"/>
          <w:sz w:val="20"/>
          <w:szCs w:val="20"/>
          <w:lang w:val="es-ES" w:eastAsia="es-ES" w:bidi="es-ES"/>
        </w:rPr>
      </w:pPr>
      <w:r w:rsidRPr="00D3274F">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D3274F">
        <w:rPr>
          <w:rFonts w:ascii="Verdana" w:eastAsia="Calibri" w:hAnsi="Verdana" w:cs="Arial"/>
          <w:bCs/>
          <w:sz w:val="20"/>
          <w:szCs w:val="20"/>
        </w:rPr>
        <w:t xml:space="preserve">“(…) </w:t>
      </w:r>
      <w:r w:rsidRPr="00D3274F">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3274F">
        <w:rPr>
          <w:rFonts w:ascii="Verdana" w:eastAsia="Calibri" w:hAnsi="Verdana" w:cs="Arial"/>
          <w:bCs/>
          <w:sz w:val="20"/>
          <w:szCs w:val="20"/>
        </w:rPr>
        <w:t>”</w:t>
      </w:r>
      <w:r w:rsidRPr="00D3274F">
        <w:rPr>
          <w:rFonts w:ascii="Verdana" w:eastAsia="Calibri" w:hAnsi="Verdana" w:cs="Arial"/>
          <w:sz w:val="20"/>
          <w:szCs w:val="20"/>
        </w:rPr>
        <w:t>.</w:t>
      </w:r>
      <w:r w:rsidRPr="00D3274F">
        <w:rPr>
          <w:rFonts w:ascii="Verdana" w:eastAsia="Arial" w:hAnsi="Verdana" w:cs="Arial"/>
          <w:sz w:val="20"/>
          <w:szCs w:val="20"/>
          <w:lang w:val="es-ES" w:eastAsia="es-ES" w:bidi="es-ES"/>
        </w:rPr>
        <w:t xml:space="preserve"> </w:t>
      </w:r>
    </w:p>
    <w:p w14:paraId="26A267B8" w14:textId="77777777" w:rsidR="00AB69BD" w:rsidRDefault="00AB69BD" w:rsidP="00AB69BD">
      <w:pPr>
        <w:spacing w:after="0" w:line="240" w:lineRule="auto"/>
        <w:jc w:val="both"/>
        <w:rPr>
          <w:rFonts w:ascii="Verdana" w:eastAsia="Arial" w:hAnsi="Verdana" w:cs="Arial"/>
          <w:sz w:val="20"/>
          <w:szCs w:val="20"/>
          <w:lang w:val="es-ES" w:eastAsia="es-ES" w:bidi="es-ES"/>
        </w:rPr>
      </w:pPr>
    </w:p>
    <w:p w14:paraId="3F71D656" w14:textId="77777777" w:rsidR="00AB69BD" w:rsidRPr="00E6282E" w:rsidRDefault="00AB69BD" w:rsidP="00AB69BD">
      <w:pPr>
        <w:spacing w:after="0" w:line="240" w:lineRule="auto"/>
        <w:jc w:val="both"/>
        <w:rPr>
          <w:rFonts w:ascii="Verdana" w:eastAsia="Calibri" w:hAnsi="Verdana" w:cs="Arial"/>
          <w:bCs/>
          <w:sz w:val="20"/>
          <w:szCs w:val="20"/>
          <w:lang w:val="es-ES"/>
        </w:rPr>
      </w:pPr>
      <w:r>
        <w:rPr>
          <w:rFonts w:ascii="Verdana" w:eastAsia="Arial" w:hAnsi="Verdana" w:cs="Arial"/>
          <w:sz w:val="20"/>
          <w:szCs w:val="20"/>
          <w:lang w:val="es-ES" w:eastAsia="es-ES" w:bidi="es-ES"/>
        </w:rPr>
        <w:t xml:space="preserve">[…] </w:t>
      </w:r>
      <w:r w:rsidRPr="00E6282E">
        <w:rPr>
          <w:rFonts w:ascii="Verdana" w:eastAsia="Arial" w:hAnsi="Verdana" w:cs="Arial"/>
          <w:sz w:val="20"/>
          <w:szCs w:val="20"/>
          <w:lang w:val="es-ES" w:eastAsia="es-ES" w:bidi="es-ES"/>
        </w:rPr>
        <w:t>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w:t>
      </w:r>
    </w:p>
    <w:p w14:paraId="0D386894" w14:textId="77777777" w:rsidR="00AB69BD" w:rsidRDefault="00AB69BD" w:rsidP="00AB69BD">
      <w:pPr>
        <w:spacing w:after="0" w:line="240" w:lineRule="auto"/>
        <w:jc w:val="both"/>
        <w:rPr>
          <w:rFonts w:ascii="Verdana" w:eastAsia="Calibri" w:hAnsi="Verdana" w:cs="Arial"/>
          <w:bCs/>
          <w:sz w:val="20"/>
          <w:szCs w:val="20"/>
        </w:rPr>
      </w:pPr>
    </w:p>
    <w:p w14:paraId="4810A63E" w14:textId="77777777" w:rsidR="00AB69BD" w:rsidRDefault="00AB69BD" w:rsidP="00AB69BD">
      <w:pPr>
        <w:spacing w:after="0" w:line="240" w:lineRule="auto"/>
        <w:jc w:val="both"/>
        <w:rPr>
          <w:rFonts w:ascii="Verdana" w:hAnsi="Verdana" w:cs="Arial"/>
          <w:b/>
          <w:bCs/>
          <w:lang w:val="es-MX" w:eastAsia="es-ES_tradnl"/>
        </w:rPr>
      </w:pPr>
      <w:r w:rsidRPr="00D3274F">
        <w:rPr>
          <w:rFonts w:ascii="Verdana" w:hAnsi="Verdana" w:cs="Arial"/>
          <w:b/>
          <w:bCs/>
          <w:lang w:val="es-MX" w:eastAsia="es-ES_tradnl"/>
        </w:rPr>
        <w:t xml:space="preserve">LEY DE GARANTÍAS ELECTORALES – Prohibición artículo 33 – Contratación directa – Alcance </w:t>
      </w:r>
    </w:p>
    <w:p w14:paraId="41C6865E" w14:textId="77777777" w:rsidR="00AB69BD" w:rsidRDefault="00AB69BD" w:rsidP="00AB69BD">
      <w:pPr>
        <w:spacing w:after="0" w:line="240" w:lineRule="auto"/>
        <w:jc w:val="both"/>
        <w:rPr>
          <w:rFonts w:ascii="Verdana" w:hAnsi="Verdana" w:cs="Arial"/>
          <w:b/>
          <w:bCs/>
          <w:lang w:val="es-MX" w:eastAsia="es-ES_tradnl"/>
        </w:rPr>
      </w:pPr>
    </w:p>
    <w:p w14:paraId="781DA8ED" w14:textId="77777777" w:rsidR="00AB69BD" w:rsidRDefault="00AB69BD" w:rsidP="00AB69BD">
      <w:pPr>
        <w:spacing w:after="0" w:line="240" w:lineRule="auto"/>
        <w:jc w:val="both"/>
        <w:rPr>
          <w:rFonts w:ascii="Verdana" w:hAnsi="Verdana" w:cs="Arial"/>
          <w:bCs/>
          <w:sz w:val="20"/>
          <w:szCs w:val="20"/>
          <w:lang w:eastAsia="x-none"/>
        </w:rPr>
      </w:pPr>
      <w:r w:rsidRPr="00E6282E">
        <w:rPr>
          <w:rFonts w:ascii="Verdana" w:hAnsi="Verdana" w:cs="Arial"/>
          <w:bCs/>
          <w:sz w:val="20"/>
          <w:szCs w:val="20"/>
          <w:lang w:eastAsia="x-none"/>
        </w:rPr>
        <w:t xml:space="preserve">El ámbito material de la prohibición contenida en el artículo 33 de la ley 996 de 2005 está delimitado por la expresión </w:t>
      </w:r>
      <w:r w:rsidRPr="00E6282E">
        <w:rPr>
          <w:rFonts w:ascii="Verdana" w:eastAsia="Calibri" w:hAnsi="Verdana" w:cs="Arial"/>
          <w:bCs/>
          <w:i/>
          <w:iCs/>
          <w:sz w:val="20"/>
          <w:szCs w:val="20"/>
        </w:rPr>
        <w:t>“</w:t>
      </w:r>
      <w:r w:rsidRPr="00E6282E">
        <w:rPr>
          <w:rFonts w:ascii="Verdana" w:hAnsi="Verdana" w:cs="Arial"/>
          <w:bCs/>
          <w:i/>
          <w:iCs/>
          <w:sz w:val="20"/>
          <w:szCs w:val="20"/>
          <w:lang w:eastAsia="x-none"/>
        </w:rPr>
        <w:t>queda prohibida la contratación directa</w:t>
      </w:r>
      <w:r w:rsidRPr="00E6282E">
        <w:rPr>
          <w:rFonts w:ascii="Verdana" w:hAnsi="Verdana" w:cs="Arial"/>
          <w:sz w:val="20"/>
          <w:szCs w:val="20"/>
        </w:rPr>
        <w:t>”</w:t>
      </w:r>
      <w:r>
        <w:rPr>
          <w:rFonts w:ascii="Verdana" w:hAnsi="Verdana" w:cs="Arial"/>
          <w:bCs/>
          <w:sz w:val="20"/>
          <w:szCs w:val="20"/>
          <w:lang w:eastAsia="x-none"/>
        </w:rPr>
        <w:t xml:space="preserve"> […] </w:t>
      </w:r>
      <w:r w:rsidRPr="00E6282E">
        <w:rPr>
          <w:rFonts w:ascii="Verdana" w:hAnsi="Verdana" w:cs="Arial"/>
          <w:bCs/>
          <w:sz w:val="20"/>
          <w:szCs w:val="20"/>
          <w:lang w:eastAsia="x-none"/>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w:t>
      </w:r>
      <w:r>
        <w:rPr>
          <w:rFonts w:ascii="Verdana" w:hAnsi="Verdana" w:cs="Arial"/>
          <w:bCs/>
          <w:sz w:val="20"/>
          <w:szCs w:val="20"/>
          <w:lang w:eastAsia="x-none"/>
        </w:rPr>
        <w:t>.</w:t>
      </w:r>
    </w:p>
    <w:p w14:paraId="24E671B4" w14:textId="77777777" w:rsidR="00AB69BD" w:rsidRDefault="00AB69BD" w:rsidP="00AB69BD">
      <w:pPr>
        <w:spacing w:after="0" w:line="240" w:lineRule="auto"/>
        <w:jc w:val="both"/>
        <w:rPr>
          <w:rFonts w:ascii="Verdana" w:hAnsi="Verdana" w:cs="Arial"/>
          <w:bCs/>
          <w:sz w:val="20"/>
          <w:szCs w:val="20"/>
          <w:lang w:eastAsia="x-none"/>
        </w:rPr>
      </w:pPr>
    </w:p>
    <w:p w14:paraId="37A4C58E" w14:textId="77777777" w:rsidR="00AB69BD" w:rsidRPr="00E6282E" w:rsidRDefault="00AB69BD" w:rsidP="00AB69BD">
      <w:pPr>
        <w:spacing w:after="0" w:line="240" w:lineRule="auto"/>
        <w:jc w:val="both"/>
        <w:rPr>
          <w:rFonts w:ascii="Verdana" w:hAnsi="Verdana" w:cs="Arial"/>
          <w:sz w:val="20"/>
          <w:szCs w:val="20"/>
          <w:lang w:eastAsia="x-none"/>
        </w:rPr>
      </w:pPr>
      <w:r w:rsidRPr="00E6282E">
        <w:rPr>
          <w:rFonts w:ascii="Verdana" w:hAnsi="Verdana" w:cs="Arial"/>
          <w:bCs/>
          <w:sz w:val="20"/>
          <w:szCs w:val="20"/>
          <w:lang w:eastAsia="x-none"/>
        </w:rPr>
        <w:t>[…] E</w:t>
      </w:r>
      <w:r w:rsidRPr="00E6282E">
        <w:rPr>
          <w:rFonts w:ascii="Verdana" w:hAnsi="Verdana" w:cs="Arial"/>
          <w:sz w:val="20"/>
          <w:szCs w:val="20"/>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E6282E">
        <w:rPr>
          <w:rFonts w:ascii="Verdana" w:hAnsi="Verdana" w:cs="Arial"/>
          <w:i/>
          <w:iCs/>
          <w:sz w:val="20"/>
          <w:szCs w:val="20"/>
          <w:lang w:eastAsia="x-none"/>
        </w:rPr>
        <w:t>“contratación directa</w:t>
      </w:r>
      <w:r w:rsidRPr="00E6282E">
        <w:rPr>
          <w:rFonts w:ascii="Verdana" w:hAnsi="Verdana" w:cs="Arial"/>
          <w:sz w:val="20"/>
          <w:szCs w:val="20"/>
          <w:lang w:eastAsia="x-none"/>
        </w:rPr>
        <w:t xml:space="preserve">”, es que la convocatoria para inscribirse en forma previa se haga de manera pública, y que se permita la participación de una pluralidad de oferentes. </w:t>
      </w:r>
    </w:p>
    <w:p w14:paraId="473BB725" w14:textId="77777777" w:rsidR="00AB69BD" w:rsidRDefault="00AB69BD" w:rsidP="00AB69BD">
      <w:pPr>
        <w:spacing w:after="0" w:line="240" w:lineRule="auto"/>
        <w:jc w:val="both"/>
        <w:rPr>
          <w:rFonts w:ascii="Verdana" w:hAnsi="Verdana" w:cs="Arial"/>
          <w:sz w:val="20"/>
          <w:szCs w:val="20"/>
          <w:lang w:eastAsia="x-none"/>
        </w:rPr>
      </w:pPr>
    </w:p>
    <w:p w14:paraId="58EDE91F" w14:textId="77777777" w:rsidR="00AB69BD" w:rsidRPr="00E6282E" w:rsidRDefault="00AB69BD" w:rsidP="00AB69BD">
      <w:pPr>
        <w:spacing w:after="0" w:line="240" w:lineRule="auto"/>
        <w:jc w:val="both"/>
        <w:rPr>
          <w:rFonts w:ascii="Verdana" w:hAnsi="Verdana" w:cs="Arial"/>
          <w:sz w:val="20"/>
          <w:szCs w:val="20"/>
          <w:lang w:eastAsia="x-none"/>
        </w:rPr>
      </w:pPr>
      <w:r w:rsidRPr="00E6282E">
        <w:rPr>
          <w:rFonts w:ascii="Verdana" w:hAnsi="Verdana" w:cs="Arial"/>
          <w:sz w:val="20"/>
          <w:szCs w:val="20"/>
          <w:lang w:eastAsia="x-none"/>
        </w:rPr>
        <w:t>[…] 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3A152C91" w14:textId="77777777" w:rsidR="00AB69BD" w:rsidRDefault="00AB69BD" w:rsidP="00AB69BD">
      <w:pPr>
        <w:spacing w:after="0" w:line="240" w:lineRule="auto"/>
        <w:jc w:val="both"/>
        <w:rPr>
          <w:rFonts w:ascii="Verdana" w:hAnsi="Verdana" w:cs="Arial"/>
          <w:lang w:eastAsia="x-none"/>
        </w:rPr>
      </w:pPr>
    </w:p>
    <w:p w14:paraId="595B9C81" w14:textId="77777777" w:rsidR="00AB69BD" w:rsidRDefault="00AB69BD" w:rsidP="00AB69BD">
      <w:pPr>
        <w:spacing w:after="0" w:line="240" w:lineRule="auto"/>
        <w:jc w:val="both"/>
        <w:rPr>
          <w:rFonts w:ascii="Verdana" w:hAnsi="Verdana" w:cs="Arial"/>
          <w:b/>
          <w:bCs/>
          <w:sz w:val="20"/>
          <w:szCs w:val="20"/>
          <w:lang w:val="es-MX" w:eastAsia="es-ES_tradnl"/>
        </w:rPr>
      </w:pPr>
      <w:r w:rsidRPr="00E6282E">
        <w:rPr>
          <w:rFonts w:ascii="Verdana" w:hAnsi="Verdana" w:cs="Arial"/>
          <w:b/>
          <w:bCs/>
          <w:lang w:val="es-MX" w:eastAsia="es-ES_tradnl"/>
        </w:rPr>
        <w:t>LEY DE GARANTÍAS ELECTORALES – Prohibición del artículo 33 – Destinatarios</w:t>
      </w:r>
    </w:p>
    <w:p w14:paraId="2A8FD4EF" w14:textId="77777777" w:rsidR="00AB69BD" w:rsidRDefault="00AB69BD" w:rsidP="00AB69BD">
      <w:pPr>
        <w:spacing w:after="0" w:line="240" w:lineRule="auto"/>
        <w:jc w:val="both"/>
        <w:rPr>
          <w:rFonts w:ascii="Verdana" w:hAnsi="Verdana" w:cs="Arial"/>
          <w:b/>
          <w:bCs/>
          <w:sz w:val="20"/>
          <w:szCs w:val="20"/>
          <w:lang w:val="es-MX" w:eastAsia="es-ES_tradnl"/>
        </w:rPr>
      </w:pPr>
    </w:p>
    <w:p w14:paraId="6AE8A705" w14:textId="77777777" w:rsidR="00AB69BD" w:rsidRPr="00E6282E" w:rsidRDefault="00AB69BD" w:rsidP="00AB69BD">
      <w:pPr>
        <w:spacing w:after="0" w:line="240" w:lineRule="auto"/>
        <w:jc w:val="both"/>
        <w:rPr>
          <w:rFonts w:ascii="Verdana" w:hAnsi="Verdana" w:cs="Arial"/>
          <w:bCs/>
          <w:color w:val="000000" w:themeColor="text1"/>
          <w:sz w:val="20"/>
          <w:szCs w:val="20"/>
          <w:lang w:val="es-MX" w:eastAsia="x-none"/>
        </w:rPr>
      </w:pPr>
      <w:r w:rsidRPr="00E6282E">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E6282E">
        <w:rPr>
          <w:rFonts w:ascii="Verdana" w:hAnsi="Verdana" w:cs="Arial"/>
          <w:i/>
          <w:color w:val="000000" w:themeColor="text1"/>
          <w:sz w:val="20"/>
          <w:szCs w:val="20"/>
          <w:lang w:val="es-MX"/>
        </w:rPr>
        <w:t>todos los entes del Estado</w:t>
      </w:r>
      <w:r w:rsidRPr="00E6282E">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7A5C4E9E" w14:textId="77777777" w:rsidR="00AB69BD" w:rsidRDefault="00AB69BD" w:rsidP="00AB69BD">
      <w:pPr>
        <w:spacing w:after="0" w:line="240" w:lineRule="auto"/>
        <w:jc w:val="both"/>
        <w:rPr>
          <w:rFonts w:ascii="Verdana" w:hAnsi="Verdana" w:cs="Arial"/>
          <w:b/>
          <w:bCs/>
          <w:sz w:val="20"/>
          <w:szCs w:val="20"/>
          <w:lang w:val="es-MX" w:eastAsia="es-ES_tradnl"/>
        </w:rPr>
      </w:pPr>
    </w:p>
    <w:p w14:paraId="42410181" w14:textId="77777777" w:rsidR="00AB69BD" w:rsidRDefault="00AB69BD" w:rsidP="00AB69BD">
      <w:pPr>
        <w:jc w:val="both"/>
        <w:rPr>
          <w:rFonts w:ascii="Verdana" w:hAnsi="Verdana" w:cs="Arial"/>
          <w:b/>
          <w:bCs/>
          <w:lang w:val="es-MX" w:eastAsia="es-ES_tradnl"/>
        </w:rPr>
      </w:pPr>
      <w:r w:rsidRPr="00E6282E">
        <w:rPr>
          <w:rFonts w:ascii="Verdana" w:hAnsi="Verdana" w:cs="Arial"/>
          <w:b/>
          <w:bCs/>
          <w:lang w:val="es-MX" w:eastAsia="es-ES_tradnl"/>
        </w:rPr>
        <w:t xml:space="preserve">LEY DE GARANTÍAS ELECTORALES – Excepciones </w:t>
      </w:r>
    </w:p>
    <w:p w14:paraId="52E38050" w14:textId="77777777" w:rsidR="00AB69BD" w:rsidRDefault="00AB69BD" w:rsidP="00AB69BD">
      <w:pPr>
        <w:spacing w:after="0" w:line="240" w:lineRule="auto"/>
        <w:jc w:val="both"/>
        <w:rPr>
          <w:rFonts w:ascii="Verdana" w:hAnsi="Verdana" w:cs="Arial"/>
          <w:bCs/>
          <w:sz w:val="20"/>
          <w:szCs w:val="20"/>
          <w:lang w:eastAsia="x-none"/>
        </w:rPr>
      </w:pPr>
      <w:r w:rsidRPr="00E6282E">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6282E">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7CBE5DB7" w14:textId="77777777" w:rsidR="00AB69BD" w:rsidRDefault="00AB69BD" w:rsidP="00AB69BD">
      <w:pPr>
        <w:spacing w:after="0" w:line="240" w:lineRule="auto"/>
        <w:jc w:val="both"/>
        <w:rPr>
          <w:rFonts w:ascii="Verdana" w:hAnsi="Verdana" w:cs="Arial"/>
          <w:bCs/>
          <w:sz w:val="20"/>
          <w:szCs w:val="20"/>
          <w:lang w:eastAsia="x-none"/>
        </w:rPr>
      </w:pPr>
    </w:p>
    <w:p w14:paraId="2E1E41D3" w14:textId="77777777" w:rsidR="00AB69BD" w:rsidRDefault="00AB69BD" w:rsidP="00AB69BD">
      <w:pPr>
        <w:spacing w:after="0" w:line="240" w:lineRule="auto"/>
        <w:jc w:val="both"/>
        <w:rPr>
          <w:rFonts w:ascii="Verdana" w:hAnsi="Verdana" w:cs="Arial"/>
          <w:b/>
          <w:bCs/>
          <w:lang w:val="es-MX" w:eastAsia="es-ES_tradnl"/>
        </w:rPr>
      </w:pPr>
      <w:r w:rsidRPr="00E6282E">
        <w:rPr>
          <w:rFonts w:ascii="Verdana" w:hAnsi="Verdana" w:cs="Arial"/>
          <w:b/>
          <w:bCs/>
          <w:lang w:val="es-MX" w:eastAsia="es-ES_tradnl"/>
        </w:rPr>
        <w:t xml:space="preserve">LEY DE GARANTÍAS ELECTORALES – Contratos y convenios interadministrativos – Criterio orgánico </w:t>
      </w:r>
    </w:p>
    <w:p w14:paraId="59CFF75E" w14:textId="77777777" w:rsidR="00AB69BD" w:rsidRDefault="00AB69BD" w:rsidP="00AB69BD">
      <w:pPr>
        <w:spacing w:after="0" w:line="240" w:lineRule="auto"/>
        <w:jc w:val="both"/>
        <w:rPr>
          <w:rFonts w:ascii="Verdana" w:hAnsi="Verdana" w:cs="Arial"/>
          <w:b/>
          <w:bCs/>
          <w:lang w:val="es-MX" w:eastAsia="es-ES_tradnl"/>
        </w:rPr>
      </w:pPr>
    </w:p>
    <w:p w14:paraId="1A51C870" w14:textId="77777777" w:rsidR="00AB69BD" w:rsidRDefault="00AB69BD" w:rsidP="00AB69BD">
      <w:pPr>
        <w:spacing w:after="0" w:line="240" w:lineRule="auto"/>
        <w:jc w:val="both"/>
        <w:rPr>
          <w:rFonts w:ascii="Verdana" w:hAnsi="Verdana" w:cs="Arial"/>
          <w:sz w:val="20"/>
          <w:szCs w:val="20"/>
          <w:lang w:eastAsia="es-ES"/>
        </w:rPr>
      </w:pPr>
      <w:r w:rsidRPr="00E6282E">
        <w:rPr>
          <w:rFonts w:ascii="Verdana" w:eastAsia="Times New Roman" w:hAnsi="Verdana" w:cs="Arial"/>
          <w:color w:val="000000" w:themeColor="text1"/>
          <w:sz w:val="20"/>
          <w:szCs w:val="20"/>
          <w:lang w:val="es-ES" w:eastAsia="es-CO"/>
        </w:rPr>
        <w:t xml:space="preserve">[…] los contratos o convenios interadministrativos están determinados por un criterio orgánico, pues es necesario que los extremos de la relación contractual sean entidades públicas, </w:t>
      </w:r>
      <w:r w:rsidRPr="00E6282E">
        <w:rPr>
          <w:rFonts w:ascii="Verdana" w:hAnsi="Verdana" w:cs="Arial"/>
          <w:sz w:val="20"/>
          <w:szCs w:val="20"/>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4E832AC2" w14:textId="77777777" w:rsidR="00AB69BD" w:rsidRDefault="00AB69BD" w:rsidP="00AB69BD">
      <w:pPr>
        <w:spacing w:after="0" w:line="240" w:lineRule="auto"/>
        <w:jc w:val="both"/>
        <w:rPr>
          <w:rFonts w:ascii="Verdana" w:hAnsi="Verdana" w:cs="Arial"/>
          <w:sz w:val="20"/>
          <w:szCs w:val="20"/>
          <w:lang w:eastAsia="es-ES"/>
        </w:rPr>
      </w:pPr>
    </w:p>
    <w:p w14:paraId="190C258D" w14:textId="77777777" w:rsidR="00AB69BD" w:rsidRDefault="00AB69BD" w:rsidP="00AB69BD">
      <w:pPr>
        <w:spacing w:after="0" w:line="240" w:lineRule="auto"/>
        <w:jc w:val="both"/>
        <w:rPr>
          <w:rFonts w:ascii="Verdana" w:hAnsi="Verdana" w:cs="Arial"/>
          <w:sz w:val="20"/>
          <w:szCs w:val="20"/>
          <w:lang w:eastAsia="es-ES"/>
        </w:rPr>
      </w:pPr>
      <w:r>
        <w:rPr>
          <w:rFonts w:ascii="Verdana" w:hAnsi="Verdana" w:cs="Arial"/>
          <w:sz w:val="20"/>
          <w:szCs w:val="20"/>
          <w:lang w:eastAsia="es-ES"/>
        </w:rPr>
        <w:t xml:space="preserve">[…] </w:t>
      </w:r>
    </w:p>
    <w:p w14:paraId="02095A3C" w14:textId="77777777" w:rsidR="00AB69BD" w:rsidRDefault="00AB69BD" w:rsidP="00AB69BD">
      <w:pPr>
        <w:spacing w:after="0" w:line="240" w:lineRule="auto"/>
        <w:jc w:val="both"/>
        <w:rPr>
          <w:rFonts w:ascii="Verdana" w:hAnsi="Verdana" w:cs="Arial"/>
          <w:sz w:val="20"/>
          <w:szCs w:val="20"/>
          <w:lang w:eastAsia="es-ES"/>
        </w:rPr>
      </w:pPr>
    </w:p>
    <w:p w14:paraId="3BD75244" w14:textId="77777777" w:rsidR="00AB69BD" w:rsidRPr="001B3448" w:rsidRDefault="00AB69BD" w:rsidP="00AB69BD">
      <w:pPr>
        <w:spacing w:after="0" w:line="240" w:lineRule="auto"/>
        <w:jc w:val="both"/>
        <w:rPr>
          <w:rFonts w:ascii="Verdana" w:eastAsia="Calibri" w:hAnsi="Verdana" w:cs="Arial"/>
          <w:sz w:val="20"/>
          <w:szCs w:val="20"/>
          <w:lang w:val="es-ES_tradnl"/>
        </w:rPr>
      </w:pPr>
      <w:r w:rsidRPr="001B3448">
        <w:rPr>
          <w:rFonts w:ascii="Verdana" w:eastAsia="Calibri" w:hAnsi="Verdana" w:cs="Arial"/>
          <w:sz w:val="20"/>
          <w:szCs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E7BC376" w14:textId="77777777" w:rsidR="00AB69BD" w:rsidRDefault="00AB69BD" w:rsidP="00AB69BD">
      <w:pPr>
        <w:spacing w:after="0" w:line="240" w:lineRule="auto"/>
        <w:jc w:val="both"/>
        <w:rPr>
          <w:rFonts w:ascii="Verdana" w:eastAsia="Calibri" w:hAnsi="Verdana" w:cs="Arial"/>
          <w:sz w:val="20"/>
          <w:szCs w:val="20"/>
          <w:lang w:val="es-ES_tradnl"/>
        </w:rPr>
      </w:pPr>
      <w:r w:rsidRPr="001B3448">
        <w:rPr>
          <w:rFonts w:ascii="Verdana" w:eastAsia="Calibri" w:hAnsi="Verdana" w:cs="Arial"/>
          <w:sz w:val="20"/>
          <w:szCs w:val="20"/>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7D065EA7" w14:textId="77777777" w:rsidR="00AB69BD" w:rsidRPr="001B3448" w:rsidRDefault="00AB69BD" w:rsidP="00AB69BD">
      <w:pPr>
        <w:spacing w:after="0" w:line="240" w:lineRule="auto"/>
        <w:jc w:val="both"/>
        <w:rPr>
          <w:rFonts w:ascii="Verdana" w:eastAsia="Calibri" w:hAnsi="Verdana" w:cs="Arial"/>
          <w:sz w:val="20"/>
          <w:szCs w:val="20"/>
          <w:lang w:val="es-ES_tradnl"/>
        </w:rPr>
      </w:pPr>
    </w:p>
    <w:p w14:paraId="786A363C" w14:textId="77777777" w:rsidR="00AB69BD" w:rsidRPr="001B3448" w:rsidRDefault="00AB69BD" w:rsidP="00AB69BD">
      <w:pPr>
        <w:spacing w:after="0" w:line="240" w:lineRule="auto"/>
        <w:jc w:val="both"/>
        <w:rPr>
          <w:rFonts w:ascii="Verdana" w:hAnsi="Verdana" w:cs="Arial"/>
          <w:b/>
          <w:bCs/>
          <w:lang w:val="es-MX" w:eastAsia="es-ES_tradnl"/>
        </w:rPr>
      </w:pPr>
      <w:r w:rsidRPr="001B3448">
        <w:rPr>
          <w:rFonts w:ascii="Verdana" w:hAnsi="Verdana" w:cs="Arial"/>
          <w:b/>
          <w:bCs/>
          <w:lang w:val="es-MX" w:eastAsia="es-ES_tradnl"/>
        </w:rPr>
        <w:t xml:space="preserve">LEY DE GARANTÍAS ELECTORALES – Restricción - Convenios interadministrativos – Postura del Consejo de Estado </w:t>
      </w:r>
    </w:p>
    <w:p w14:paraId="1DAF8885" w14:textId="77777777" w:rsidR="00AB69BD" w:rsidRDefault="00AB69BD" w:rsidP="00AB69BD">
      <w:pPr>
        <w:spacing w:after="0" w:line="240" w:lineRule="auto"/>
        <w:jc w:val="both"/>
        <w:rPr>
          <w:rFonts w:ascii="Verdana" w:eastAsia="Arial" w:hAnsi="Verdana" w:cs="Arial"/>
          <w:sz w:val="20"/>
          <w:szCs w:val="20"/>
          <w:lang w:eastAsia="es-ES" w:bidi="es-ES"/>
        </w:rPr>
      </w:pPr>
    </w:p>
    <w:p w14:paraId="72151F5E" w14:textId="77777777" w:rsidR="00AB69BD" w:rsidRDefault="00AB69BD" w:rsidP="00AB69BD">
      <w:pPr>
        <w:spacing w:after="0" w:line="240" w:lineRule="auto"/>
        <w:jc w:val="both"/>
        <w:rPr>
          <w:rFonts w:ascii="Verdana" w:eastAsia="Times New Roman" w:hAnsi="Verdana" w:cs="Times New Roman"/>
          <w:sz w:val="20"/>
          <w:szCs w:val="20"/>
          <w:lang w:eastAsia="es-ES"/>
        </w:rPr>
      </w:pPr>
      <w:r>
        <w:rPr>
          <w:rFonts w:ascii="Verdana" w:eastAsia="Arial" w:hAnsi="Verdana" w:cs="Arial"/>
          <w:sz w:val="20"/>
          <w:szCs w:val="20"/>
          <w:lang w:eastAsia="es-ES" w:bidi="es-ES"/>
        </w:rPr>
        <w:t xml:space="preserve">[…] </w:t>
      </w:r>
      <w:r w:rsidRPr="001B3448">
        <w:rPr>
          <w:rFonts w:ascii="Verdana" w:eastAsia="Arial" w:hAnsi="Verdana" w:cs="Arial"/>
          <w:sz w:val="20"/>
          <w:szCs w:val="20"/>
          <w:lang w:eastAsia="es-ES" w:bidi="es-ES"/>
        </w:rPr>
        <w:t xml:space="preserve">mediante sentencia del 17 de octubre de 2025, emitida por la Sección Tercera del Consejo de Estado, dentro del expediente </w:t>
      </w:r>
      <w:r w:rsidRPr="001B3448">
        <w:rPr>
          <w:rFonts w:ascii="Verdana" w:eastAsia="Times New Roman" w:hAnsi="Verdana" w:cs="Times New Roman"/>
          <w:sz w:val="20"/>
          <w:szCs w:val="20"/>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2F615D2C" w14:textId="77777777" w:rsidR="00AB69BD" w:rsidRDefault="00AB69BD" w:rsidP="00AB69BD">
      <w:pPr>
        <w:spacing w:after="0" w:line="240" w:lineRule="auto"/>
        <w:jc w:val="both"/>
        <w:rPr>
          <w:rFonts w:ascii="Verdana" w:eastAsia="Times New Roman" w:hAnsi="Verdana" w:cs="Times New Roman"/>
          <w:sz w:val="20"/>
          <w:szCs w:val="20"/>
          <w:lang w:eastAsia="es-ES"/>
        </w:rPr>
      </w:pPr>
    </w:p>
    <w:p w14:paraId="45403CEC" w14:textId="77777777" w:rsidR="00AB69BD" w:rsidRDefault="00AB69BD" w:rsidP="00AB69BD">
      <w:pPr>
        <w:spacing w:after="0" w:line="240" w:lineRule="auto"/>
        <w:jc w:val="both"/>
        <w:rPr>
          <w:rFonts w:ascii="Verdana" w:eastAsia="Times New Roman" w:hAnsi="Verdana" w:cs="Times New Roman"/>
          <w:sz w:val="20"/>
          <w:szCs w:val="20"/>
          <w:lang w:eastAsia="es-ES"/>
        </w:rPr>
      </w:pPr>
      <w:r w:rsidRPr="001B3448">
        <w:rPr>
          <w:rFonts w:ascii="Verdana" w:eastAsia="Times New Roman" w:hAnsi="Verdana" w:cs="Times New Roman"/>
          <w:sz w:val="20"/>
          <w:szCs w:val="20"/>
          <w:lang w:eastAsia="es-ES"/>
        </w:rPr>
        <w:t>A juicio de la Sala</w:t>
      </w:r>
      <w:r>
        <w:rPr>
          <w:rFonts w:ascii="Verdana" w:eastAsia="Times New Roman" w:hAnsi="Verdana" w:cs="Times New Roman"/>
          <w:sz w:val="20"/>
          <w:szCs w:val="20"/>
          <w:lang w:eastAsia="es-ES"/>
        </w:rPr>
        <w:t xml:space="preserve"> […] </w:t>
      </w:r>
      <w:r w:rsidRPr="001B3448">
        <w:rPr>
          <w:rFonts w:ascii="Verdana" w:eastAsia="Times New Roman" w:hAnsi="Verdana" w:cs="Arial"/>
          <w:sz w:val="20"/>
          <w:szCs w:val="20"/>
          <w:lang w:eastAsia="es-CO"/>
        </w:rPr>
        <w:t xml:space="preserve">no resultaría aplicable la prohibición del parágrafo del artículo 38 de la Ley de Garantías Electorales a los </w:t>
      </w:r>
      <w:r w:rsidRPr="001B3448">
        <w:rPr>
          <w:rFonts w:ascii="Verdana" w:eastAsia="Times New Roman" w:hAnsi="Verdana" w:cs="Arial"/>
          <w:i/>
          <w:iCs/>
          <w:sz w:val="20"/>
          <w:szCs w:val="20"/>
          <w:lang w:eastAsia="es-CO"/>
        </w:rPr>
        <w:t>contratos interadministrativos</w:t>
      </w:r>
      <w:r w:rsidRPr="001B3448">
        <w:rPr>
          <w:rFonts w:ascii="Verdana" w:eastAsia="Times New Roman" w:hAnsi="Verdana" w:cs="Arial"/>
          <w:sz w:val="20"/>
          <w:szCs w:val="20"/>
          <w:lang w:eastAsia="es-CO"/>
        </w:rPr>
        <w:t xml:space="preserve">, esta prohibición solo aplicaría a los convenios interadministrativos que impliquen la ejecución de recursos públicos. Conforme a lo señalado por el Consejo de Estado, cuando dos entidades públicas celebren un </w:t>
      </w:r>
      <w:r w:rsidRPr="001B3448">
        <w:rPr>
          <w:rFonts w:ascii="Verdana" w:eastAsia="Times New Roman" w:hAnsi="Verdana" w:cs="Arial"/>
          <w:i/>
          <w:iCs/>
          <w:sz w:val="20"/>
          <w:szCs w:val="20"/>
          <w:lang w:eastAsia="es-CO"/>
        </w:rPr>
        <w:t>contrato interadministrativo,</w:t>
      </w:r>
      <w:r w:rsidRPr="001B3448">
        <w:rPr>
          <w:rFonts w:ascii="Verdana" w:eastAsia="Times New Roman" w:hAnsi="Verdana" w:cs="Arial"/>
          <w:sz w:val="20"/>
          <w:szCs w:val="20"/>
          <w:lang w:eastAsia="es-CO"/>
        </w:rPr>
        <w:t xml:space="preserve"> independientemente del objeto, dicho contrato puede suscribirse durante el periodo preelectoral.</w:t>
      </w:r>
    </w:p>
    <w:p w14:paraId="4C6DFEB4" w14:textId="77777777" w:rsidR="00AB69BD" w:rsidRPr="001B3448" w:rsidRDefault="00AB69BD" w:rsidP="00AB69BD">
      <w:pPr>
        <w:spacing w:after="0" w:line="240" w:lineRule="auto"/>
        <w:jc w:val="both"/>
        <w:rPr>
          <w:rFonts w:ascii="Verdana" w:eastAsia="Times New Roman" w:hAnsi="Verdana" w:cs="Times New Roman"/>
          <w:b/>
          <w:bCs/>
          <w:sz w:val="20"/>
          <w:szCs w:val="20"/>
          <w:lang w:eastAsia="es-ES"/>
        </w:rPr>
      </w:pPr>
    </w:p>
    <w:p w14:paraId="32D1187B" w14:textId="77777777" w:rsidR="00AB69BD" w:rsidRDefault="00AB69BD" w:rsidP="00AB69BD">
      <w:pPr>
        <w:jc w:val="both"/>
        <w:rPr>
          <w:rFonts w:ascii="Verdana" w:hAnsi="Verdana" w:cs="Arial"/>
          <w:b/>
          <w:bCs/>
          <w:lang w:val="es-ES" w:eastAsia="es-ES_tradnl"/>
        </w:rPr>
      </w:pPr>
      <w:r w:rsidRPr="001B3448">
        <w:rPr>
          <w:rFonts w:ascii="Verdana" w:hAnsi="Verdana" w:cs="Arial"/>
          <w:b/>
          <w:bCs/>
          <w:lang w:val="es-MX" w:eastAsia="es-ES_tradnl"/>
        </w:rPr>
        <w:t xml:space="preserve">LEY DE GARANTIAS ELECTORALES </w:t>
      </w:r>
      <w:r w:rsidRPr="001B3448">
        <w:rPr>
          <w:rFonts w:ascii="Verdana" w:hAnsi="Verdana" w:cs="Arial"/>
          <w:b/>
          <w:bCs/>
          <w:lang w:val="es-ES" w:eastAsia="es-ES_tradnl"/>
        </w:rPr>
        <w:t xml:space="preserve">- </w:t>
      </w:r>
      <w:r w:rsidRPr="001B3448">
        <w:rPr>
          <w:rFonts w:ascii="Verdana" w:hAnsi="Verdana" w:cs="Arial"/>
          <w:b/>
          <w:bCs/>
          <w:lang w:eastAsia="es-ES_tradnl"/>
        </w:rPr>
        <w:t>Plan de Salud Pública de Intervenciones Colectivas</w:t>
      </w:r>
      <w:r w:rsidRPr="001B3448">
        <w:rPr>
          <w:rFonts w:ascii="Verdana" w:hAnsi="Verdana" w:cs="Arial"/>
          <w:b/>
          <w:bCs/>
          <w:lang w:val="es-ES" w:eastAsia="es-ES_tradnl"/>
        </w:rPr>
        <w:t xml:space="preserve"> -PIC- Alcance – Artículo 33 - Parágrafo del artículo 38</w:t>
      </w:r>
    </w:p>
    <w:p w14:paraId="1AA4FF67" w14:textId="77777777" w:rsidR="00AB69BD" w:rsidRDefault="00AB69BD" w:rsidP="00AB69BD">
      <w:pPr>
        <w:jc w:val="both"/>
        <w:rPr>
          <w:rFonts w:ascii="Verdana" w:hAnsi="Verdana" w:cs="Arial"/>
          <w:sz w:val="20"/>
          <w:szCs w:val="20"/>
          <w:lang w:eastAsia="es-ES_tradnl"/>
        </w:rPr>
      </w:pPr>
      <w:r w:rsidRPr="001B3448">
        <w:rPr>
          <w:rFonts w:ascii="Verdana" w:hAnsi="Verdana" w:cs="Arial"/>
          <w:sz w:val="20"/>
          <w:szCs w:val="20"/>
          <w:lang w:eastAsia="es-ES_tradnl"/>
        </w:rPr>
        <w:t>En efecto, es necesario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p>
    <w:p w14:paraId="46E6C84B" w14:textId="77777777" w:rsidR="00AB69BD" w:rsidRDefault="00AB69BD" w:rsidP="00AB69BD">
      <w:pPr>
        <w:jc w:val="both"/>
        <w:rPr>
          <w:rFonts w:ascii="Verdana" w:hAnsi="Verdana" w:cs="Arial"/>
          <w:sz w:val="20"/>
          <w:szCs w:val="20"/>
          <w:lang w:eastAsia="es-ES_tradnl"/>
        </w:rPr>
      </w:pPr>
      <w:r w:rsidRPr="001B3448">
        <w:rPr>
          <w:rFonts w:ascii="Verdana" w:hAnsi="Verdana" w:cs="Arial"/>
          <w:sz w:val="20"/>
          <w:szCs w:val="20"/>
          <w:lang w:eastAsia="es-ES_tradnl"/>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w:t>
      </w:r>
      <w:r>
        <w:rPr>
          <w:rFonts w:ascii="Verdana" w:hAnsi="Verdana" w:cs="Arial"/>
          <w:sz w:val="20"/>
          <w:szCs w:val="20"/>
          <w:lang w:eastAsia="es-ES_tradnl"/>
        </w:rPr>
        <w:t>.</w:t>
      </w:r>
    </w:p>
    <w:p w14:paraId="1E9EAFBA" w14:textId="77777777" w:rsidR="00AB69BD" w:rsidRDefault="00AB69BD" w:rsidP="00AB69BD">
      <w:pPr>
        <w:spacing w:after="0" w:line="240" w:lineRule="auto"/>
        <w:jc w:val="both"/>
        <w:rPr>
          <w:rFonts w:ascii="Verdana" w:hAnsi="Verdana" w:cs="Arial"/>
          <w:sz w:val="20"/>
          <w:szCs w:val="20"/>
          <w:lang w:eastAsia="es-ES_tradnl"/>
        </w:rPr>
      </w:pPr>
      <w:r>
        <w:rPr>
          <w:rFonts w:ascii="Verdana" w:hAnsi="Verdana" w:cs="Arial"/>
          <w:sz w:val="20"/>
          <w:szCs w:val="20"/>
          <w:lang w:eastAsia="es-ES_tradnl"/>
        </w:rPr>
        <w:t xml:space="preserve">[…] </w:t>
      </w:r>
      <w:r w:rsidRPr="001B3448">
        <w:rPr>
          <w:rFonts w:ascii="Verdana" w:hAnsi="Verdana" w:cs="Arial"/>
          <w:sz w:val="20"/>
          <w:szCs w:val="20"/>
          <w:lang w:eastAsia="es-ES_tradnl"/>
        </w:rPr>
        <w:t>las entidades que requieran adelantar procesos de contratación directa durante el periodo de garantías electorales deberán analizar, primero, si se configuran los supuestos establecidos en el artículo 33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 Plan de Salud Pública de Intervenciones Colectivas -PIC- se realiza con ocasión a una “emergencia sanitaria” o si es llevada a cabo por “entidades sanitarias u hospitalarias”. Para ello, hay que exponer la definición del Plan de Salud Pública de Intervenciones Colectivas – PIC- definido en el artículo 10 de la Resolución 1597 del 2025 del Ministerio de Salud y Protección Social</w:t>
      </w:r>
      <w:r>
        <w:rPr>
          <w:rFonts w:ascii="Verdana" w:hAnsi="Verdana" w:cs="Arial"/>
          <w:sz w:val="20"/>
          <w:szCs w:val="20"/>
          <w:lang w:eastAsia="es-ES_tradnl"/>
        </w:rPr>
        <w:t>.</w:t>
      </w:r>
    </w:p>
    <w:p w14:paraId="48C83B2D" w14:textId="77777777" w:rsidR="00AB69BD" w:rsidRDefault="00AB69BD" w:rsidP="00AB69BD">
      <w:pPr>
        <w:spacing w:after="0" w:line="240" w:lineRule="auto"/>
        <w:jc w:val="both"/>
        <w:rPr>
          <w:rFonts w:ascii="Verdana" w:hAnsi="Verdana" w:cs="Arial"/>
          <w:sz w:val="20"/>
          <w:szCs w:val="20"/>
          <w:lang w:eastAsia="es-ES_tradnl"/>
        </w:rPr>
      </w:pPr>
    </w:p>
    <w:p w14:paraId="44930790" w14:textId="77777777" w:rsidR="00AB69BD" w:rsidRDefault="00AB69BD" w:rsidP="00AB69BD">
      <w:pPr>
        <w:spacing w:after="0" w:line="240" w:lineRule="auto"/>
        <w:jc w:val="both"/>
        <w:rPr>
          <w:rFonts w:ascii="Verdana" w:hAnsi="Verdana" w:cs="Arial"/>
          <w:sz w:val="20"/>
          <w:szCs w:val="20"/>
          <w:lang w:eastAsia="es-ES_tradnl"/>
        </w:rPr>
      </w:pPr>
      <w:r>
        <w:rPr>
          <w:rFonts w:ascii="Verdana" w:hAnsi="Verdana" w:cs="Arial"/>
          <w:sz w:val="20"/>
          <w:szCs w:val="20"/>
          <w:lang w:eastAsia="es-ES_tradnl"/>
        </w:rPr>
        <w:t xml:space="preserve">[…] </w:t>
      </w:r>
    </w:p>
    <w:p w14:paraId="5795ED76" w14:textId="77777777" w:rsidR="00AB69BD" w:rsidRDefault="00AB69BD" w:rsidP="00AB69BD">
      <w:pPr>
        <w:spacing w:after="0" w:line="240" w:lineRule="auto"/>
        <w:jc w:val="both"/>
        <w:rPr>
          <w:rFonts w:ascii="Verdana" w:eastAsia="Arial" w:hAnsi="Verdana" w:cs="Arial"/>
          <w:bCs/>
          <w:color w:val="000000" w:themeColor="text1"/>
          <w:sz w:val="20"/>
          <w:szCs w:val="20"/>
        </w:rPr>
      </w:pPr>
    </w:p>
    <w:p w14:paraId="2DC3B304" w14:textId="77777777" w:rsidR="00AB69BD" w:rsidRPr="001B3448" w:rsidRDefault="00AB69BD" w:rsidP="00AB69BD">
      <w:pPr>
        <w:spacing w:after="0" w:line="240" w:lineRule="auto"/>
        <w:jc w:val="both"/>
        <w:rPr>
          <w:rFonts w:ascii="Verdana" w:eastAsia="Arial" w:hAnsi="Verdana" w:cs="Arial"/>
          <w:bCs/>
          <w:color w:val="000000" w:themeColor="text1"/>
          <w:sz w:val="20"/>
          <w:szCs w:val="20"/>
        </w:rPr>
      </w:pPr>
      <w:r w:rsidRPr="001B3448">
        <w:rPr>
          <w:rFonts w:ascii="Verdana" w:eastAsia="Arial" w:hAnsi="Verdana" w:cs="Arial"/>
          <w:bCs/>
          <w:color w:val="000000" w:themeColor="text1"/>
          <w:sz w:val="20"/>
          <w:szCs w:val="20"/>
        </w:rPr>
        <w:t xml:space="preserve">Teniendo en cuenta lo expuesto, la entidad, previo análisis de las excepciones, podrá proceder en tal sentido y contratar directamente a pesar de que haya iniciado el periodo de garantías electorales correspondiente al artículo 33 de la Ley 996 de 2005. Con respecto a la prohibición del </w:t>
      </w:r>
      <w:r w:rsidRPr="001B3448">
        <w:rPr>
          <w:rFonts w:ascii="Verdana" w:eastAsia="Arial" w:hAnsi="Verdana" w:cs="Arial"/>
          <w:bCs/>
          <w:i/>
          <w:iCs/>
          <w:color w:val="000000" w:themeColor="text1"/>
          <w:sz w:val="20"/>
          <w:szCs w:val="20"/>
        </w:rPr>
        <w:t>parágrafo del artículo 38</w:t>
      </w:r>
      <w:r w:rsidRPr="001B3448">
        <w:rPr>
          <w:rFonts w:ascii="Verdana" w:eastAsia="Arial" w:hAnsi="Verdana" w:cs="Arial"/>
          <w:bCs/>
          <w:color w:val="000000" w:themeColor="text1"/>
          <w:sz w:val="20"/>
          <w:szCs w:val="20"/>
        </w:rPr>
        <w:t>, es necesario verificar si la contratación del PIC es llevada a cabo por los “Alcaldes,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celebración de convenios interadministrativos en los cuatro meses anteriores a cualquier contienda electoral</w:t>
      </w:r>
      <w:r>
        <w:rPr>
          <w:rFonts w:ascii="Verdana" w:eastAsia="Arial" w:hAnsi="Verdana" w:cs="Arial"/>
          <w:bCs/>
          <w:color w:val="000000" w:themeColor="text1"/>
          <w:sz w:val="20"/>
          <w:szCs w:val="20"/>
        </w:rPr>
        <w:t>.</w:t>
      </w:r>
      <w:r w:rsidRPr="001B3448">
        <w:rPr>
          <w:rFonts w:ascii="Verdana" w:eastAsia="Arial" w:hAnsi="Verdana" w:cs="Arial"/>
          <w:bCs/>
          <w:color w:val="000000" w:themeColor="text1"/>
          <w:sz w:val="20"/>
          <w:szCs w:val="20"/>
          <w:lang w:val="es-MX"/>
        </w:rPr>
        <w:t xml:space="preserve"> </w:t>
      </w:r>
    </w:p>
    <w:p w14:paraId="47B7708D" w14:textId="77777777" w:rsidR="00AB69BD" w:rsidRDefault="00AB69BD" w:rsidP="00AB69BD">
      <w:pPr>
        <w:spacing w:after="0" w:line="240" w:lineRule="auto"/>
        <w:jc w:val="both"/>
        <w:rPr>
          <w:rFonts w:ascii="Verdana" w:eastAsia="Arial" w:hAnsi="Verdana" w:cs="Arial"/>
          <w:bCs/>
          <w:color w:val="000000" w:themeColor="text1"/>
          <w:sz w:val="20"/>
          <w:szCs w:val="20"/>
          <w:lang w:val="es-MX"/>
        </w:rPr>
      </w:pPr>
    </w:p>
    <w:p w14:paraId="6365B1BA" w14:textId="77777777" w:rsidR="00AB69BD" w:rsidRPr="001B3448" w:rsidRDefault="00AB69BD" w:rsidP="00AB69BD">
      <w:pPr>
        <w:spacing w:after="0" w:line="240" w:lineRule="auto"/>
        <w:jc w:val="both"/>
        <w:rPr>
          <w:rFonts w:ascii="Verdana" w:eastAsia="Arial" w:hAnsi="Verdana" w:cs="Arial"/>
          <w:bCs/>
          <w:color w:val="000000" w:themeColor="text1"/>
          <w:sz w:val="20"/>
          <w:szCs w:val="20"/>
        </w:rPr>
      </w:pPr>
      <w:r>
        <w:rPr>
          <w:rFonts w:ascii="Verdana" w:eastAsia="Arial" w:hAnsi="Verdana" w:cs="Arial"/>
          <w:bCs/>
          <w:color w:val="000000" w:themeColor="text1"/>
          <w:sz w:val="20"/>
          <w:szCs w:val="20"/>
          <w:lang w:val="es-MX"/>
        </w:rPr>
        <w:t xml:space="preserve">[…] </w:t>
      </w:r>
      <w:r w:rsidRPr="001B3448">
        <w:rPr>
          <w:rFonts w:ascii="Verdana" w:eastAsia="Arial" w:hAnsi="Verdana" w:cs="Arial"/>
          <w:bCs/>
          <w:color w:val="000000" w:themeColor="text1"/>
          <w:sz w:val="20"/>
          <w:szCs w:val="20"/>
          <w:lang w:val="es-MX"/>
        </w:rPr>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1B3448">
        <w:rPr>
          <w:rFonts w:ascii="Verdana" w:eastAsia="Arial" w:hAnsi="Verdana" w:cs="Arial"/>
          <w:bCs/>
          <w:color w:val="000000" w:themeColor="text1"/>
          <w:sz w:val="20"/>
          <w:szCs w:val="20"/>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4F602AF9" w14:textId="77777777" w:rsidR="00AB69BD" w:rsidRDefault="00AB69BD" w:rsidP="00AB69BD">
      <w:pPr>
        <w:spacing w:after="0" w:line="240" w:lineRule="auto"/>
        <w:jc w:val="both"/>
        <w:rPr>
          <w:rFonts w:ascii="Verdana" w:eastAsia="Calibri" w:hAnsi="Verdana" w:cs="Arial"/>
          <w:sz w:val="20"/>
          <w:szCs w:val="20"/>
        </w:rPr>
      </w:pPr>
    </w:p>
    <w:p w14:paraId="375D7CB5" w14:textId="77777777" w:rsidR="00AB69BD" w:rsidRPr="001B3448" w:rsidRDefault="00AB69BD" w:rsidP="00AB69BD">
      <w:pPr>
        <w:spacing w:after="0" w:line="240" w:lineRule="auto"/>
        <w:jc w:val="both"/>
        <w:rPr>
          <w:rFonts w:ascii="Verdana" w:hAnsi="Verdana" w:cs="Arial"/>
          <w:sz w:val="20"/>
          <w:szCs w:val="20"/>
          <w:lang w:eastAsia="es-ES_tradnl"/>
        </w:rPr>
      </w:pPr>
      <w:r w:rsidRPr="001B3448">
        <w:rPr>
          <w:rFonts w:ascii="Verdana" w:eastAsia="Calibri" w:hAnsi="Verdana" w:cs="Arial"/>
          <w:sz w:val="20"/>
          <w:szCs w:val="20"/>
        </w:rPr>
        <w:t>En particular,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1B3448">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1885F4F6" w14:textId="77777777" w:rsidR="00AB69BD" w:rsidRPr="001B3448" w:rsidRDefault="00AB69BD" w:rsidP="00AB69BD">
      <w:pPr>
        <w:spacing w:after="0" w:line="240" w:lineRule="auto"/>
        <w:jc w:val="both"/>
        <w:rPr>
          <w:rFonts w:ascii="Verdana" w:hAnsi="Verdana" w:cs="Arial"/>
          <w:b/>
          <w:bCs/>
          <w:lang w:val="es-ES" w:eastAsia="es-ES_tradnl"/>
        </w:rPr>
      </w:pPr>
    </w:p>
    <w:p w14:paraId="78B52C02" w14:textId="77777777" w:rsidR="00AB69BD" w:rsidRPr="00AB69BD" w:rsidRDefault="00AB69BD" w:rsidP="00D172A8">
      <w:pPr>
        <w:spacing w:after="0" w:line="240" w:lineRule="auto"/>
        <w:jc w:val="both"/>
        <w:rPr>
          <w:rFonts w:ascii="Verdana" w:eastAsia="Calibri" w:hAnsi="Verdana" w:cs="Arial"/>
          <w:lang w:val="es-ES" w:eastAsia="es-ES"/>
        </w:rPr>
      </w:pPr>
    </w:p>
    <w:p w14:paraId="300956EA" w14:textId="42094552" w:rsidR="00D172A8" w:rsidRDefault="00D172A8" w:rsidP="00D172A8">
      <w:pPr>
        <w:spacing w:after="0" w:line="240" w:lineRule="auto"/>
        <w:jc w:val="both"/>
        <w:rPr>
          <w:rFonts w:ascii="Verdana" w:eastAsia="Calibri" w:hAnsi="Verdana" w:cs="Arial"/>
          <w:lang w:eastAsia="es-ES"/>
        </w:rPr>
      </w:pPr>
      <w:r w:rsidRPr="00D172A8">
        <w:rPr>
          <w:rFonts w:ascii="Verdana" w:eastAsia="Calibri" w:hAnsi="Verdana" w:cs="Arial"/>
          <w:lang w:eastAsia="es-ES"/>
        </w:rPr>
        <w:t xml:space="preserve">Bogotá D.C., </w:t>
      </w:r>
      <w:r w:rsidR="00AB69BD">
        <w:rPr>
          <w:rFonts w:ascii="Verdana" w:eastAsia="Calibri" w:hAnsi="Verdana" w:cs="Arial"/>
          <w:lang w:eastAsia="es-ES"/>
        </w:rPr>
        <w:t xml:space="preserve">29 de marzo de 2026 </w:t>
      </w:r>
    </w:p>
    <w:p w14:paraId="6479181A" w14:textId="6E8B9BB8" w:rsidR="00AB69BD" w:rsidRPr="00D172A8" w:rsidRDefault="00AB69BD" w:rsidP="00AB69BD">
      <w:pPr>
        <w:spacing w:after="0" w:line="240" w:lineRule="auto"/>
        <w:jc w:val="right"/>
        <w:rPr>
          <w:rFonts w:ascii="Verdana" w:eastAsia="Calibri" w:hAnsi="Verdana" w:cs="Arial"/>
          <w:lang w:eastAsia="es-ES"/>
        </w:rPr>
      </w:pPr>
      <w:r w:rsidRPr="00AB69BD">
        <w:rPr>
          <w:rFonts w:ascii="Verdana" w:eastAsia="Calibri" w:hAnsi="Verdana" w:cs="Arial"/>
          <w:noProof/>
          <w:lang w:eastAsia="es-ES"/>
        </w:rPr>
        <w:drawing>
          <wp:inline distT="0" distB="0" distL="0" distR="0" wp14:anchorId="7CE1D4C8" wp14:editId="574408E7">
            <wp:extent cx="1965716" cy="565888"/>
            <wp:effectExtent l="0" t="0" r="0" b="5715"/>
            <wp:docPr id="17556365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636510" name=""/>
                    <pic:cNvPicPr/>
                  </pic:nvPicPr>
                  <pic:blipFill>
                    <a:blip r:embed="rId10"/>
                    <a:stretch>
                      <a:fillRect/>
                    </a:stretch>
                  </pic:blipFill>
                  <pic:spPr>
                    <a:xfrm>
                      <a:off x="0" y="0"/>
                      <a:ext cx="1984143" cy="571193"/>
                    </a:xfrm>
                    <a:prstGeom prst="rect">
                      <a:avLst/>
                    </a:prstGeom>
                  </pic:spPr>
                </pic:pic>
              </a:graphicData>
            </a:graphic>
          </wp:inline>
        </w:drawing>
      </w:r>
    </w:p>
    <w:p w14:paraId="6D3CE560" w14:textId="77777777" w:rsidR="00A83183" w:rsidRPr="00B64A74" w:rsidRDefault="00A83183" w:rsidP="00A83183">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Señor</w:t>
      </w:r>
      <w:r>
        <w:rPr>
          <w:rFonts w:ascii="Verdana" w:eastAsia="Calibri" w:hAnsi="Verdana" w:cs="Arial"/>
          <w:b/>
          <w:bCs/>
          <w:lang w:eastAsia="es-ES"/>
        </w:rPr>
        <w:t>a</w:t>
      </w:r>
    </w:p>
    <w:p w14:paraId="54387E6C" w14:textId="77777777" w:rsidR="00A83183" w:rsidRDefault="00A83183" w:rsidP="00A83183">
      <w:pPr>
        <w:spacing w:after="0" w:line="240" w:lineRule="auto"/>
        <w:jc w:val="both"/>
        <w:rPr>
          <w:rFonts w:ascii="Verdana" w:eastAsia="Calibri" w:hAnsi="Verdana" w:cs="Arial"/>
          <w:b/>
          <w:bCs/>
          <w:lang w:eastAsia="es-ES"/>
        </w:rPr>
      </w:pPr>
      <w:r w:rsidRPr="00656AB4">
        <w:rPr>
          <w:rFonts w:ascii="Verdana" w:eastAsia="Calibri" w:hAnsi="Verdana" w:cs="Arial"/>
          <w:b/>
          <w:bCs/>
          <w:lang w:eastAsia="es-ES"/>
        </w:rPr>
        <w:t>María Ang</w:t>
      </w:r>
      <w:r>
        <w:rPr>
          <w:rFonts w:ascii="Verdana" w:eastAsia="Calibri" w:hAnsi="Verdana" w:cs="Arial"/>
          <w:b/>
          <w:bCs/>
          <w:lang w:eastAsia="es-ES"/>
        </w:rPr>
        <w:t>é</w:t>
      </w:r>
      <w:r w:rsidRPr="00656AB4">
        <w:rPr>
          <w:rFonts w:ascii="Verdana" w:eastAsia="Calibri" w:hAnsi="Verdana" w:cs="Arial"/>
          <w:b/>
          <w:bCs/>
          <w:lang w:eastAsia="es-ES"/>
        </w:rPr>
        <w:t>lica</w:t>
      </w:r>
      <w:r>
        <w:rPr>
          <w:rFonts w:ascii="Verdana" w:eastAsia="Calibri" w:hAnsi="Verdana" w:cs="Arial"/>
          <w:b/>
          <w:bCs/>
          <w:lang w:eastAsia="es-ES"/>
        </w:rPr>
        <w:t xml:space="preserve"> </w:t>
      </w:r>
      <w:r w:rsidRPr="00656AB4">
        <w:rPr>
          <w:rFonts w:ascii="Verdana" w:eastAsia="Calibri" w:hAnsi="Verdana" w:cs="Arial"/>
          <w:b/>
          <w:bCs/>
          <w:lang w:eastAsia="es-ES"/>
        </w:rPr>
        <w:t>Mart</w:t>
      </w:r>
      <w:r>
        <w:rPr>
          <w:rFonts w:ascii="Verdana" w:eastAsia="Calibri" w:hAnsi="Verdana" w:cs="Arial"/>
          <w:b/>
          <w:bCs/>
          <w:lang w:eastAsia="es-ES"/>
        </w:rPr>
        <w:t>í</w:t>
      </w:r>
      <w:r w:rsidRPr="00656AB4">
        <w:rPr>
          <w:rFonts w:ascii="Verdana" w:eastAsia="Calibri" w:hAnsi="Verdana" w:cs="Arial"/>
          <w:b/>
          <w:bCs/>
          <w:lang w:eastAsia="es-ES"/>
        </w:rPr>
        <w:t>nez Ochoa</w:t>
      </w:r>
    </w:p>
    <w:p w14:paraId="1656DA77" w14:textId="77777777" w:rsidR="00A83183" w:rsidRPr="00656AB4" w:rsidRDefault="00A83183" w:rsidP="00A83183">
      <w:pPr>
        <w:spacing w:after="0" w:line="240" w:lineRule="auto"/>
        <w:jc w:val="both"/>
        <w:rPr>
          <w:rFonts w:ascii="Verdana" w:hAnsi="Verdana"/>
          <w:b/>
          <w:bCs/>
        </w:rPr>
      </w:pPr>
      <w:hyperlink r:id="rId11" w:history="1">
        <w:r w:rsidRPr="00656AB4">
          <w:rPr>
            <w:rStyle w:val="Hipervnculo"/>
            <w:rFonts w:ascii="Verdana" w:hAnsi="Verdana"/>
            <w:b/>
            <w:bCs/>
          </w:rPr>
          <w:t>mellita215@hotmail.com.co</w:t>
        </w:r>
      </w:hyperlink>
    </w:p>
    <w:p w14:paraId="1D07C9EB" w14:textId="77777777" w:rsidR="00A83183" w:rsidRDefault="00A83183" w:rsidP="00A83183">
      <w:pPr>
        <w:spacing w:after="0" w:line="240" w:lineRule="auto"/>
        <w:jc w:val="both"/>
        <w:rPr>
          <w:rFonts w:ascii="Verdana" w:hAnsi="Verdana"/>
        </w:rPr>
      </w:pPr>
      <w:r w:rsidRPr="00656AB4">
        <w:rPr>
          <w:rFonts w:ascii="Verdana" w:hAnsi="Verdana"/>
        </w:rPr>
        <w:t>V</w:t>
      </w:r>
      <w:r>
        <w:rPr>
          <w:rFonts w:ascii="Verdana" w:hAnsi="Verdana"/>
        </w:rPr>
        <w:t xml:space="preserve">alledupar – Cesar </w:t>
      </w:r>
    </w:p>
    <w:p w14:paraId="74EFC75E" w14:textId="77777777" w:rsidR="00CD5DE0" w:rsidRPr="00AB69BD" w:rsidRDefault="00CD5DE0" w:rsidP="00CD5DE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D5DE0" w:rsidRPr="00B64A74" w14:paraId="6017EC65" w14:textId="77777777" w:rsidTr="00162589">
        <w:trPr>
          <w:trHeight w:val="162"/>
        </w:trPr>
        <w:tc>
          <w:tcPr>
            <w:tcW w:w="3119" w:type="dxa"/>
          </w:tcPr>
          <w:p w14:paraId="2DC04FAB" w14:textId="77777777" w:rsidR="00CD5DE0" w:rsidRPr="00AB69BD" w:rsidRDefault="00CD5DE0" w:rsidP="00162589">
            <w:pPr>
              <w:jc w:val="both"/>
              <w:rPr>
                <w:rFonts w:ascii="Verdana" w:eastAsia="Calibri" w:hAnsi="Verdana" w:cs="Arial"/>
                <w:b/>
                <w:bCs/>
                <w:color w:val="7030A0"/>
                <w:lang w:eastAsia="es-ES_tradnl"/>
              </w:rPr>
            </w:pPr>
          </w:p>
        </w:tc>
        <w:tc>
          <w:tcPr>
            <w:tcW w:w="5670" w:type="dxa"/>
          </w:tcPr>
          <w:p w14:paraId="45BD29F7" w14:textId="5FA7CE5E" w:rsidR="00CD5DE0" w:rsidRPr="00B64A74" w:rsidRDefault="00CD5DE0" w:rsidP="00162589">
            <w:pPr>
              <w:jc w:val="both"/>
              <w:rPr>
                <w:rFonts w:ascii="Verdana" w:eastAsia="Calibri" w:hAnsi="Verdana" w:cs="Arial"/>
                <w:b/>
                <w:bCs/>
                <w:lang w:eastAsia="es-ES"/>
              </w:rPr>
            </w:pPr>
            <w:r w:rsidRPr="00B64A74">
              <w:rPr>
                <w:rFonts w:ascii="Verdana" w:eastAsia="Calibri" w:hAnsi="Verdana" w:cs="Arial"/>
                <w:b/>
                <w:bCs/>
                <w:lang w:eastAsia="es-ES"/>
              </w:rPr>
              <w:t>Concepto C-</w:t>
            </w:r>
            <w:r>
              <w:rPr>
                <w:rFonts w:ascii="Verdana" w:eastAsia="Calibri" w:hAnsi="Verdana" w:cs="Arial"/>
                <w:b/>
                <w:bCs/>
                <w:lang w:eastAsia="es-ES"/>
              </w:rPr>
              <w:t>23</w:t>
            </w:r>
            <w:r w:rsidR="0037046E">
              <w:rPr>
                <w:rFonts w:ascii="Verdana" w:eastAsia="Calibri" w:hAnsi="Verdana" w:cs="Arial"/>
                <w:b/>
                <w:bCs/>
                <w:lang w:eastAsia="es-ES"/>
              </w:rPr>
              <w:t>6</w:t>
            </w:r>
            <w:r w:rsidRPr="00B64A74">
              <w:rPr>
                <w:rFonts w:ascii="Verdana" w:eastAsia="Calibri" w:hAnsi="Verdana" w:cs="Arial"/>
                <w:b/>
                <w:bCs/>
                <w:lang w:eastAsia="es-ES"/>
              </w:rPr>
              <w:t xml:space="preserve"> de 2026</w:t>
            </w:r>
          </w:p>
          <w:p w14:paraId="04FFB037" w14:textId="77777777" w:rsidR="00CD5DE0" w:rsidRPr="00B64A74" w:rsidRDefault="00CD5DE0" w:rsidP="00162589">
            <w:pPr>
              <w:jc w:val="both"/>
              <w:rPr>
                <w:rFonts w:ascii="Verdana" w:eastAsia="Calibri" w:hAnsi="Verdana" w:cs="Arial"/>
                <w:b/>
                <w:bCs/>
                <w:color w:val="7030A0"/>
                <w:lang w:eastAsia="es-ES"/>
              </w:rPr>
            </w:pPr>
          </w:p>
        </w:tc>
      </w:tr>
      <w:tr w:rsidR="00CD5DE0" w:rsidRPr="00B64A74" w14:paraId="58644617" w14:textId="77777777" w:rsidTr="00162589">
        <w:trPr>
          <w:trHeight w:val="884"/>
        </w:trPr>
        <w:tc>
          <w:tcPr>
            <w:tcW w:w="3119" w:type="dxa"/>
          </w:tcPr>
          <w:p w14:paraId="10D4C44C" w14:textId="77777777" w:rsidR="00CD5DE0" w:rsidRPr="00B64A74" w:rsidRDefault="00CD5DE0" w:rsidP="00162589">
            <w:pPr>
              <w:jc w:val="both"/>
              <w:rPr>
                <w:rFonts w:ascii="Verdana" w:eastAsia="Calibri" w:hAnsi="Verdana" w:cs="Arial"/>
                <w:color w:val="000000"/>
                <w:lang w:eastAsia="es-ES_tradnl"/>
              </w:rPr>
            </w:pPr>
            <w:r w:rsidRPr="00B64A74">
              <w:rPr>
                <w:rFonts w:ascii="Verdana" w:eastAsia="Calibri" w:hAnsi="Verdana" w:cs="Arial"/>
                <w:b/>
                <w:color w:val="000000"/>
                <w:lang w:eastAsia="es-ES_tradnl"/>
              </w:rPr>
              <w:t>Temas:</w:t>
            </w:r>
            <w:r w:rsidRPr="00B64A74">
              <w:rPr>
                <w:rFonts w:ascii="Verdana" w:eastAsia="Calibri" w:hAnsi="Verdana" w:cs="Arial"/>
                <w:color w:val="000000"/>
                <w:lang w:eastAsia="es-ES_tradnl"/>
              </w:rPr>
              <w:t xml:space="preserve">                   </w:t>
            </w:r>
          </w:p>
        </w:tc>
        <w:tc>
          <w:tcPr>
            <w:tcW w:w="5670" w:type="dxa"/>
          </w:tcPr>
          <w:p w14:paraId="4D7B56C6" w14:textId="77777777" w:rsidR="00CD5DE0" w:rsidRPr="00084F47" w:rsidRDefault="00CD5DE0" w:rsidP="00162589">
            <w:pPr>
              <w:jc w:val="both"/>
              <w:rPr>
                <w:rFonts w:ascii="Verdana" w:eastAsia="Calibri" w:hAnsi="Verdana" w:cs="Arial"/>
                <w:lang w:val="es-MX" w:eastAsia="es-ES"/>
              </w:rPr>
            </w:pPr>
            <w:r w:rsidRPr="00084F47">
              <w:rPr>
                <w:rFonts w:ascii="Verdana" w:eastAsia="Calibri" w:hAnsi="Verdana" w:cs="Arial"/>
                <w:lang w:val="es-MX" w:eastAsia="es-ES"/>
              </w:rPr>
              <w:t xml:space="preserve">FIDUCIA MERCANTIL – </w:t>
            </w:r>
            <w:r>
              <w:rPr>
                <w:rFonts w:ascii="Verdana" w:eastAsia="Calibri" w:hAnsi="Verdana" w:cs="Arial"/>
                <w:lang w:val="es-MX" w:eastAsia="es-ES"/>
              </w:rPr>
              <w:t>C</w:t>
            </w:r>
            <w:r w:rsidRPr="00084F47">
              <w:rPr>
                <w:rFonts w:ascii="Verdana" w:eastAsia="Calibri" w:hAnsi="Verdana" w:cs="Arial"/>
                <w:lang w:val="es-MX" w:eastAsia="es-ES"/>
              </w:rPr>
              <w:t>oncepto – Características / FIDUCIA MERCANTIL – Encargo fiduciario – Patrimonio autónomo / FIDUCIA PÚBLICA – Características / FIDUCIA PÚBLICA – Encargo fiduciario – Patrimonio autónomo – Diferencias</w:t>
            </w:r>
            <w:r>
              <w:rPr>
                <w:rFonts w:ascii="Verdana" w:eastAsia="Calibri" w:hAnsi="Verdana" w:cs="Arial"/>
                <w:lang w:val="es-MX" w:eastAsia="es-ES"/>
              </w:rPr>
              <w:t xml:space="preserve"> / </w:t>
            </w:r>
            <w:r>
              <w:rPr>
                <w:rFonts w:ascii="Verdana" w:hAnsi="Verdana" w:cs="Arial"/>
                <w:lang w:val="es-MX" w:eastAsia="es-ES_tradnl"/>
              </w:rPr>
              <w:t xml:space="preserve">LEY DE GARANTÍAS ELECTORALES </w:t>
            </w:r>
            <w:r>
              <w:rPr>
                <w:rFonts w:ascii="Verdana" w:hAnsi="Verdana" w:cs="Arial"/>
                <w:bCs/>
                <w:lang w:val="es-MX" w:eastAsia="es-ES_tradnl"/>
              </w:rPr>
              <w:t>‒</w:t>
            </w:r>
            <w:r>
              <w:rPr>
                <w:rFonts w:ascii="Verdana" w:hAnsi="Verdana" w:cs="Arial"/>
                <w:lang w:val="es-MX" w:eastAsia="es-ES_tradnl"/>
              </w:rPr>
              <w:t xml:space="preserve"> Finalidad / LEY DE GARANTÍAS ELECTORALES </w:t>
            </w:r>
            <w:r>
              <w:rPr>
                <w:rFonts w:ascii="Verdana" w:hAnsi="Verdana" w:cs="Arial"/>
                <w:bCs/>
                <w:lang w:val="es-MX" w:eastAsia="es-ES_tradnl"/>
              </w:rPr>
              <w:t>‒</w:t>
            </w:r>
            <w:r>
              <w:rPr>
                <w:rFonts w:ascii="Verdana" w:hAnsi="Verdana" w:cs="Arial"/>
                <w:lang w:val="es-MX" w:eastAsia="es-ES_tradnl"/>
              </w:rPr>
              <w:t xml:space="preserve"> Tipos de restricciones </w:t>
            </w:r>
            <w:r>
              <w:rPr>
                <w:rFonts w:ascii="Verdana" w:hAnsi="Verdana" w:cs="Arial"/>
                <w:bCs/>
                <w:lang w:val="es-MX" w:eastAsia="es-ES_tradnl"/>
              </w:rPr>
              <w:t>‒</w:t>
            </w:r>
            <w:r>
              <w:rPr>
                <w:rFonts w:ascii="Verdana" w:hAnsi="Verdana" w:cs="Arial"/>
                <w:lang w:val="es-MX" w:eastAsia="es-ES_tradnl"/>
              </w:rPr>
              <w:t xml:space="preserve"> Ámbito temporal – Celebración- Límite / LEY DE GARANTÍAS ELECTORALES – Prohibición artículo 33 – Contratación directa – Alcance / LEY DE GARANTÍAS ELECTORALES – Prohibición del artículo 33 – Destinatarios / LEY DE GARANTÍAS ELECTORALES – Excepciones / LEY DE GARANTÍAS ELECTORALES – Contratos y convenios interadministrativos – Criterio orgánico / LEY DE GARANTÍAS ELECTORALES – Restricción - Convenios interadministrativos – Postura del Consejo de Estado / LEY DE GARANTIAS ELECTORALES </w:t>
            </w:r>
            <w:r>
              <w:rPr>
                <w:rFonts w:ascii="Verdana" w:hAnsi="Verdana" w:cs="Arial"/>
                <w:lang w:val="es-ES" w:eastAsia="es-ES_tradnl"/>
              </w:rPr>
              <w:t xml:space="preserve">- </w:t>
            </w:r>
            <w:r>
              <w:rPr>
                <w:rFonts w:ascii="Verdana" w:hAnsi="Verdana" w:cs="Arial"/>
                <w:bCs/>
                <w:lang w:eastAsia="es-ES_tradnl"/>
              </w:rPr>
              <w:t>Plan de Salud Pública de Intervenciones Colectivas</w:t>
            </w:r>
            <w:r>
              <w:rPr>
                <w:rFonts w:ascii="Verdana" w:hAnsi="Verdana" w:cs="Arial"/>
                <w:lang w:val="es-ES" w:eastAsia="es-ES_tradnl"/>
              </w:rPr>
              <w:t xml:space="preserve"> -PIC- Alcance – Artículo 33 - Parágrafo del artículo 38</w:t>
            </w:r>
          </w:p>
          <w:p w14:paraId="0FBCC87E" w14:textId="77777777" w:rsidR="00CD5DE0" w:rsidRPr="00084F47" w:rsidRDefault="00CD5DE0" w:rsidP="00162589">
            <w:pPr>
              <w:jc w:val="both"/>
              <w:rPr>
                <w:rFonts w:ascii="Verdana" w:eastAsia="Calibri" w:hAnsi="Verdana" w:cs="Arial"/>
                <w:lang w:val="es-MX" w:eastAsia="es-ES"/>
              </w:rPr>
            </w:pPr>
          </w:p>
        </w:tc>
      </w:tr>
      <w:tr w:rsidR="00CD5DE0" w:rsidRPr="00B64A74" w14:paraId="60E965C6" w14:textId="77777777" w:rsidTr="00162589">
        <w:tc>
          <w:tcPr>
            <w:tcW w:w="3119" w:type="dxa"/>
          </w:tcPr>
          <w:p w14:paraId="19E1C2AA" w14:textId="77777777" w:rsidR="00CD5DE0" w:rsidRPr="00417639" w:rsidRDefault="00CD5DE0" w:rsidP="00162589">
            <w:pPr>
              <w:jc w:val="both"/>
              <w:rPr>
                <w:rFonts w:ascii="Verdana" w:eastAsia="Calibri" w:hAnsi="Verdana" w:cs="Arial"/>
                <w:b/>
                <w:lang w:eastAsia="es-ES_tradnl"/>
              </w:rPr>
            </w:pPr>
            <w:r w:rsidRPr="00417639">
              <w:rPr>
                <w:rFonts w:ascii="Verdana" w:eastAsia="Calibri" w:hAnsi="Verdana" w:cs="Arial"/>
                <w:b/>
                <w:lang w:eastAsia="es-ES_tradnl"/>
              </w:rPr>
              <w:t>Radicación:</w:t>
            </w:r>
            <w:r w:rsidRPr="00417639">
              <w:rPr>
                <w:rFonts w:ascii="Verdana" w:eastAsia="Calibri" w:hAnsi="Verdana" w:cs="Arial"/>
                <w:lang w:eastAsia="es-ES_tradnl"/>
              </w:rPr>
              <w:t xml:space="preserve">               </w:t>
            </w:r>
          </w:p>
        </w:tc>
        <w:tc>
          <w:tcPr>
            <w:tcW w:w="5670" w:type="dxa"/>
          </w:tcPr>
          <w:p w14:paraId="04F5B33A" w14:textId="5E75A0C6" w:rsidR="00CD5DE0" w:rsidRPr="00417639" w:rsidRDefault="00CD5DE0" w:rsidP="00162589">
            <w:pPr>
              <w:jc w:val="both"/>
              <w:rPr>
                <w:rFonts w:ascii="Verdana" w:eastAsia="Calibri" w:hAnsi="Verdana" w:cs="Arial"/>
                <w:lang w:eastAsia="es-ES_tradnl"/>
              </w:rPr>
            </w:pPr>
            <w:r w:rsidRPr="00417639">
              <w:rPr>
                <w:rFonts w:ascii="Verdana" w:eastAsia="Calibri" w:hAnsi="Verdana" w:cs="Arial"/>
                <w:lang w:eastAsia="es-ES_tradnl"/>
              </w:rPr>
              <w:t xml:space="preserve">Respuesta a consulta con </w:t>
            </w:r>
            <w:r w:rsidR="00811AA6">
              <w:rPr>
                <w:rFonts w:ascii="Verdana" w:eastAsia="Calibri" w:hAnsi="Verdana" w:cs="Arial"/>
                <w:lang w:eastAsia="es-ES_tradnl"/>
              </w:rPr>
              <w:t xml:space="preserve">radicado </w:t>
            </w:r>
            <w:r w:rsidR="00811AA6" w:rsidRPr="00811AA6">
              <w:rPr>
                <w:rFonts w:ascii="Verdana" w:eastAsia="Calibri" w:hAnsi="Verdana" w:cs="Arial"/>
                <w:lang w:eastAsia="es-ES_tradnl"/>
              </w:rPr>
              <w:t>1_2026_02_17_002090</w:t>
            </w:r>
          </w:p>
        </w:tc>
      </w:tr>
    </w:tbl>
    <w:p w14:paraId="74F2557D" w14:textId="77777777" w:rsidR="00CD5DE0" w:rsidRPr="00B64A74" w:rsidRDefault="00CD5DE0" w:rsidP="00CD5DE0">
      <w:pPr>
        <w:spacing w:after="0" w:line="276" w:lineRule="auto"/>
        <w:jc w:val="both"/>
        <w:rPr>
          <w:rFonts w:ascii="Verdana" w:eastAsia="Calibri" w:hAnsi="Verdana" w:cs="Arial"/>
          <w:lang w:eastAsia="es-ES_tradnl"/>
        </w:rPr>
      </w:pPr>
    </w:p>
    <w:p w14:paraId="0FC68038" w14:textId="49064D37" w:rsidR="00CD5DE0" w:rsidRPr="00B64A74" w:rsidRDefault="00CD5DE0" w:rsidP="00CD5DE0">
      <w:pPr>
        <w:spacing w:after="0" w:line="276" w:lineRule="auto"/>
        <w:jc w:val="both"/>
        <w:rPr>
          <w:rFonts w:ascii="Verdana" w:eastAsia="Calibri" w:hAnsi="Verdana" w:cs="Arial"/>
          <w:lang w:eastAsia="es-ES"/>
        </w:rPr>
      </w:pPr>
      <w:r w:rsidRPr="00B64A74">
        <w:rPr>
          <w:rFonts w:ascii="Verdana" w:eastAsia="Calibri" w:hAnsi="Verdana" w:cs="Arial"/>
          <w:lang w:eastAsia="es-ES"/>
        </w:rPr>
        <w:t>Estimad</w:t>
      </w:r>
      <w:r>
        <w:rPr>
          <w:rFonts w:ascii="Verdana" w:eastAsia="Calibri" w:hAnsi="Verdana" w:cs="Arial"/>
          <w:lang w:eastAsia="es-ES"/>
        </w:rPr>
        <w:t>a señora María Angélica</w:t>
      </w:r>
      <w:r w:rsidRPr="00B64A74">
        <w:rPr>
          <w:rFonts w:ascii="Verdana" w:eastAsia="Calibri" w:hAnsi="Verdana" w:cs="Arial"/>
          <w:lang w:eastAsia="es-ES"/>
        </w:rPr>
        <w:t xml:space="preserve">: </w:t>
      </w:r>
    </w:p>
    <w:p w14:paraId="4D3195B9" w14:textId="77777777" w:rsidR="00CD5DE0" w:rsidRPr="00B64A74" w:rsidRDefault="00CD5DE0" w:rsidP="00CD5DE0">
      <w:pPr>
        <w:spacing w:after="0" w:line="276" w:lineRule="auto"/>
        <w:jc w:val="both"/>
        <w:rPr>
          <w:rFonts w:ascii="Verdana" w:hAnsi="Verdana"/>
        </w:rPr>
      </w:pPr>
    </w:p>
    <w:p w14:paraId="0249A896" w14:textId="77777777" w:rsidR="00CD5DE0" w:rsidRDefault="00CD5DE0" w:rsidP="00CD5DE0">
      <w:pPr>
        <w:spacing w:after="0" w:line="276" w:lineRule="auto"/>
        <w:jc w:val="both"/>
        <w:rPr>
          <w:rFonts w:ascii="Verdana" w:eastAsia="Calibri" w:hAnsi="Verdana" w:cs="Arial"/>
          <w:lang w:eastAsia="es-ES"/>
        </w:rPr>
      </w:pPr>
      <w:r w:rsidRPr="00B64A74">
        <w:rPr>
          <w:rFonts w:ascii="Verdana" w:hAnsi="Verdana"/>
        </w:rPr>
        <w:t xml:space="preserve">La Agencia Nacional de Contratación Pública – Colombia Compra Eficiente –, en ejercicio de las competencias otorgadas </w:t>
      </w:r>
      <w:r w:rsidRPr="00B64A74">
        <w:rPr>
          <w:rFonts w:ascii="Verdana" w:eastAsia="Calibri" w:hAnsi="Verdana" w:cs="Arial"/>
          <w:lang w:eastAsia="es-ES"/>
        </w:rPr>
        <w:t>por los artículos 3, numeral 5º, y 11, numeral 8º, del Decreto Ley 4170 de 2011,</w:t>
      </w:r>
      <w:r w:rsidRPr="00B64A74">
        <w:rPr>
          <w:rFonts w:ascii="Verdana" w:hAnsi="Verdana" w:cs="Arial"/>
        </w:rPr>
        <w:t xml:space="preserve"> </w:t>
      </w:r>
      <w:r w:rsidRPr="00B64A74">
        <w:rPr>
          <w:rFonts w:ascii="Verdana" w:hAnsi="Verdana"/>
        </w:rPr>
        <w:t xml:space="preserve">y de conformidad con las modalidades del derecho de petición contempladas en la Ley 1755 de 2015 y en la resolución </w:t>
      </w:r>
      <w:r w:rsidRPr="00B64A74">
        <w:rPr>
          <w:rFonts w:ascii="Verdana" w:eastAsia="Times New Roman" w:hAnsi="Verdana" w:cs="Segoe UI"/>
          <w:lang w:eastAsia="es-CO"/>
        </w:rPr>
        <w:t xml:space="preserve">N° 469 del 2025 </w:t>
      </w:r>
      <w:r w:rsidRPr="00B64A74">
        <w:rPr>
          <w:rFonts w:ascii="Verdana" w:hAnsi="Verdana"/>
        </w:rPr>
        <w:t xml:space="preserve">expedida por </w:t>
      </w:r>
      <w:r>
        <w:rPr>
          <w:rFonts w:ascii="Verdana" w:hAnsi="Verdana"/>
        </w:rPr>
        <w:t xml:space="preserve">la </w:t>
      </w:r>
      <w:r w:rsidRPr="00B64A74">
        <w:rPr>
          <w:rFonts w:ascii="Verdana" w:hAnsi="Verdana"/>
        </w:rPr>
        <w:t>Agencia</w:t>
      </w:r>
      <w:r>
        <w:rPr>
          <w:rFonts w:ascii="Verdana" w:hAnsi="Verdana"/>
        </w:rPr>
        <w:t xml:space="preserve"> Nacional de Contratación Pública</w:t>
      </w:r>
      <w:r w:rsidRPr="00B64A74">
        <w:rPr>
          <w:rFonts w:ascii="Verdana" w:hAnsi="Verdana"/>
        </w:rPr>
        <w:t xml:space="preserve">, </w:t>
      </w:r>
      <w:r w:rsidRPr="00B64A74">
        <w:rPr>
          <w:rFonts w:ascii="Verdana" w:eastAsia="Calibri" w:hAnsi="Verdana" w:cs="Arial"/>
          <w:lang w:eastAsia="es-ES"/>
        </w:rPr>
        <w:t xml:space="preserve">responde su solicitud de consulta de fecha </w:t>
      </w:r>
      <w:r>
        <w:rPr>
          <w:rFonts w:ascii="Verdana" w:eastAsia="Calibri" w:hAnsi="Verdana" w:cs="Arial"/>
          <w:lang w:eastAsia="es-ES"/>
        </w:rPr>
        <w:t xml:space="preserve">17 </w:t>
      </w:r>
      <w:r w:rsidRPr="00B64A74">
        <w:rPr>
          <w:rFonts w:ascii="Verdana" w:eastAsia="Calibri" w:hAnsi="Verdana" w:cs="Arial"/>
          <w:lang w:eastAsia="es-ES"/>
        </w:rPr>
        <w:t>de febrero de 2026, en la cual manifiesta lo siguiente:</w:t>
      </w:r>
    </w:p>
    <w:p w14:paraId="5ED535D1" w14:textId="77777777" w:rsidR="00CD5DE0" w:rsidRPr="00B64A74" w:rsidRDefault="00CD5DE0" w:rsidP="00D172A8">
      <w:pPr>
        <w:spacing w:after="0" w:line="240" w:lineRule="auto"/>
        <w:jc w:val="both"/>
        <w:rPr>
          <w:rFonts w:ascii="Verdana" w:hAnsi="Verdana"/>
        </w:rPr>
      </w:pPr>
    </w:p>
    <w:p w14:paraId="347E7D07" w14:textId="77777777" w:rsidR="00CD5DE0" w:rsidRPr="00B64A74" w:rsidRDefault="00CD5DE0" w:rsidP="00CD5DE0">
      <w:pPr>
        <w:spacing w:after="0" w:line="276" w:lineRule="auto"/>
        <w:jc w:val="both"/>
        <w:rPr>
          <w:rFonts w:ascii="Verdana" w:hAnsi="Verdana"/>
        </w:rPr>
      </w:pPr>
      <w:r w:rsidRPr="00B64A74">
        <w:rPr>
          <w:rFonts w:ascii="Verdana" w:hAnsi="Verdana"/>
        </w:rPr>
        <w:t xml:space="preserve">PETICIÓN REALIZADA </w:t>
      </w:r>
    </w:p>
    <w:p w14:paraId="738F47D0" w14:textId="77777777" w:rsidR="00CD5DE0" w:rsidRPr="00B64A74" w:rsidRDefault="00CD5DE0" w:rsidP="00CD5DE0">
      <w:pPr>
        <w:spacing w:after="0" w:line="276" w:lineRule="auto"/>
        <w:jc w:val="both"/>
        <w:rPr>
          <w:rFonts w:ascii="Verdana" w:hAnsi="Verdana"/>
        </w:rPr>
      </w:pPr>
    </w:p>
    <w:p w14:paraId="5AC2E156" w14:textId="77777777" w:rsidR="00CD5DE0" w:rsidRDefault="00CD5DE0" w:rsidP="00CD5DE0">
      <w:pPr>
        <w:spacing w:after="0" w:line="240" w:lineRule="auto"/>
        <w:ind w:left="709" w:right="709"/>
        <w:jc w:val="both"/>
        <w:rPr>
          <w:rFonts w:ascii="Verdana" w:hAnsi="Verdana"/>
          <w:sz w:val="20"/>
          <w:szCs w:val="20"/>
          <w:lang w:val="es-ES"/>
        </w:rPr>
      </w:pPr>
      <w:r w:rsidRPr="00B64A74">
        <w:rPr>
          <w:rFonts w:ascii="Verdana" w:hAnsi="Verdana"/>
          <w:sz w:val="20"/>
          <w:szCs w:val="20"/>
        </w:rPr>
        <w:t xml:space="preserve">“(…) </w:t>
      </w:r>
      <w:r w:rsidRPr="0003556B">
        <w:rPr>
          <w:rFonts w:ascii="Verdana" w:hAnsi="Verdana"/>
          <w:sz w:val="20"/>
          <w:szCs w:val="20"/>
          <w:lang w:val="es-ES"/>
        </w:rPr>
        <w:t>Mediante el presente en nombre de la Gobernación del departamento del Cesar, nos permitimos solicitar concepto jurídico sobre la viabilidad de que El Departamento  pueda (producto de un proceso de selección de licitación pública,  contratar una fiducia para el manejo de los recursos señalados  0002732 de 2025 expedida por el Ministerio de Salud y Protección Social, ya que derivado del proceso de selección sería una entidad fiduciaria pública (conforme a lo solicitado por el Ministerio) la Contratista y por ende un contrato interadministrativo.</w:t>
      </w:r>
    </w:p>
    <w:p w14:paraId="014B73F1" w14:textId="77777777" w:rsidR="00CD5DE0" w:rsidRDefault="00CD5DE0" w:rsidP="00CD5DE0">
      <w:pPr>
        <w:spacing w:after="0" w:line="240" w:lineRule="auto"/>
        <w:ind w:left="709" w:right="709"/>
        <w:jc w:val="both"/>
        <w:rPr>
          <w:rFonts w:ascii="Verdana" w:hAnsi="Verdana"/>
          <w:sz w:val="20"/>
          <w:szCs w:val="20"/>
          <w:lang w:val="es-ES"/>
        </w:rPr>
      </w:pPr>
    </w:p>
    <w:p w14:paraId="46AB93E8" w14:textId="77777777" w:rsidR="00CD5DE0" w:rsidRPr="0003556B" w:rsidRDefault="00CD5DE0" w:rsidP="00CD5DE0">
      <w:pPr>
        <w:spacing w:after="0" w:line="240" w:lineRule="auto"/>
        <w:ind w:left="709" w:right="709"/>
        <w:jc w:val="both"/>
        <w:rPr>
          <w:rFonts w:ascii="Verdana" w:hAnsi="Verdana"/>
          <w:sz w:val="20"/>
          <w:szCs w:val="20"/>
        </w:rPr>
      </w:pPr>
      <w:r w:rsidRPr="0003556B">
        <w:rPr>
          <w:rFonts w:ascii="Verdana" w:hAnsi="Verdana"/>
          <w:sz w:val="20"/>
          <w:szCs w:val="20"/>
        </w:rPr>
        <w:t>Asi </w:t>
      </w:r>
      <w:r>
        <w:rPr>
          <w:rFonts w:ascii="Verdana" w:hAnsi="Verdana"/>
          <w:sz w:val="20"/>
          <w:szCs w:val="20"/>
        </w:rPr>
        <w:t xml:space="preserve">(sic) </w:t>
      </w:r>
      <w:r w:rsidRPr="0003556B">
        <w:rPr>
          <w:rFonts w:ascii="Verdana" w:hAnsi="Verdana"/>
          <w:sz w:val="20"/>
          <w:szCs w:val="20"/>
        </w:rPr>
        <w:t>mismo se solicita se aclare la posibilidad de suscribir con las ESE, producto del uso de la modalidad de selección abreviada por prestación de servicios de salud, contratos para la ejecución del PLAN DE INTERVENCIONES COLECTIVAS.</w:t>
      </w:r>
    </w:p>
    <w:p w14:paraId="3F55FD54" w14:textId="77777777" w:rsidR="00CD5DE0" w:rsidRPr="0003556B" w:rsidRDefault="00CD5DE0" w:rsidP="00CD5DE0">
      <w:pPr>
        <w:spacing w:after="0" w:line="240" w:lineRule="auto"/>
        <w:ind w:left="709" w:right="709"/>
        <w:jc w:val="both"/>
        <w:rPr>
          <w:rFonts w:ascii="Verdana" w:hAnsi="Verdana"/>
          <w:sz w:val="20"/>
          <w:szCs w:val="20"/>
        </w:rPr>
      </w:pPr>
      <w:r w:rsidRPr="0003556B">
        <w:rPr>
          <w:rFonts w:ascii="Verdana" w:hAnsi="Verdana"/>
          <w:sz w:val="20"/>
          <w:szCs w:val="20"/>
        </w:rPr>
        <w:t> </w:t>
      </w:r>
    </w:p>
    <w:p w14:paraId="60E460D9" w14:textId="77777777" w:rsidR="00CD5DE0" w:rsidRPr="00003BCB" w:rsidRDefault="00CD5DE0" w:rsidP="00CD5DE0">
      <w:pPr>
        <w:spacing w:after="0" w:line="240" w:lineRule="auto"/>
        <w:ind w:left="709" w:right="709"/>
        <w:jc w:val="both"/>
        <w:rPr>
          <w:rFonts w:ascii="Verdana" w:hAnsi="Verdana"/>
          <w:sz w:val="20"/>
          <w:szCs w:val="20"/>
        </w:rPr>
      </w:pPr>
      <w:r w:rsidRPr="0003556B">
        <w:rPr>
          <w:rFonts w:ascii="Verdana" w:hAnsi="Verdana"/>
          <w:sz w:val="20"/>
          <w:szCs w:val="20"/>
        </w:rPr>
        <w:t>La anterior claridad recae sobre la posibilidad de adelantar procesos de selección donde finalmente el contratista resulte siendo una entidad pública, pero que la modalidad de selección no corresponde al uso de la CONTRATACIÓN DIRECTA, sino de licitación pública o selección abreviada</w:t>
      </w:r>
      <w:r>
        <w:rPr>
          <w:rFonts w:ascii="Verdana" w:hAnsi="Verdana"/>
          <w:sz w:val="20"/>
          <w:szCs w:val="20"/>
        </w:rPr>
        <w:t xml:space="preserve"> </w:t>
      </w:r>
      <w:r w:rsidRPr="00003BCB">
        <w:rPr>
          <w:rFonts w:ascii="Verdana" w:hAnsi="Verdana"/>
          <w:sz w:val="20"/>
          <w:szCs w:val="20"/>
        </w:rPr>
        <w:t>(…)”.</w:t>
      </w:r>
    </w:p>
    <w:p w14:paraId="34643CCD" w14:textId="77777777" w:rsidR="00CD5DE0" w:rsidRPr="00CA6458" w:rsidRDefault="00CD5DE0" w:rsidP="00CD5DE0">
      <w:pPr>
        <w:spacing w:after="0" w:line="276" w:lineRule="auto"/>
        <w:ind w:left="567" w:right="758"/>
        <w:jc w:val="both"/>
        <w:rPr>
          <w:rFonts w:ascii="Verdana" w:hAnsi="Verdana"/>
        </w:rPr>
      </w:pPr>
    </w:p>
    <w:p w14:paraId="047D4165" w14:textId="77777777" w:rsidR="00CD5DE0" w:rsidRPr="00B64A74" w:rsidRDefault="00CD5DE0" w:rsidP="00CD5DE0">
      <w:pPr>
        <w:spacing w:after="120" w:line="276" w:lineRule="auto"/>
        <w:ind w:firstLine="709"/>
        <w:jc w:val="both"/>
        <w:rPr>
          <w:rFonts w:ascii="Verdana" w:eastAsia="Calibri" w:hAnsi="Verdana" w:cs="Arial"/>
          <w:color w:val="000000"/>
          <w:szCs w:val="24"/>
          <w:lang w:eastAsia="es-ES_tradnl"/>
        </w:rPr>
      </w:pPr>
      <w:r w:rsidRPr="00B64A7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w:t>
      </w:r>
      <w:r>
        <w:rPr>
          <w:rFonts w:ascii="Verdana" w:eastAsia="Calibri" w:hAnsi="Verdana" w:cs="Arial"/>
          <w:color w:val="000000"/>
          <w:lang w:eastAsia="es-ES"/>
        </w:rPr>
        <w:t xml:space="preserve">Nacional de Contratación Pública </w:t>
      </w:r>
      <w:r w:rsidRPr="00B64A74">
        <w:rPr>
          <w:rFonts w:ascii="Verdana" w:eastAsia="Calibri" w:hAnsi="Verdana" w:cs="Arial"/>
          <w:color w:val="000000"/>
          <w:lang w:eastAsia="es-ES"/>
        </w:rPr>
        <w:t xml:space="preserve">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44266A7" w14:textId="77777777" w:rsidR="00CD5DE0" w:rsidRDefault="00CD5DE0" w:rsidP="00CD5DE0">
      <w:pPr>
        <w:spacing w:after="0" w:line="276" w:lineRule="auto"/>
        <w:ind w:firstLine="709"/>
        <w:jc w:val="both"/>
        <w:rPr>
          <w:rFonts w:ascii="Verdana" w:eastAsia="Calibri" w:hAnsi="Verdana" w:cs="Arial"/>
          <w:lang w:eastAsia="es-ES"/>
        </w:rPr>
      </w:pPr>
      <w:r w:rsidRPr="00B64A74">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w:t>
      </w:r>
      <w:r w:rsidRPr="008C07F6">
        <w:rPr>
          <w:rFonts w:ascii="Verdana" w:eastAsia="Calibri" w:hAnsi="Verdana" w:cs="Arial"/>
          <w:color w:val="000000"/>
          <w:lang w:eastAsia="es-ES"/>
        </w:rPr>
        <w:t xml:space="preserve">generales relacionadas </w:t>
      </w:r>
      <w:r w:rsidRPr="00AF2C5A">
        <w:rPr>
          <w:rFonts w:ascii="Verdana" w:eastAsia="Calibri" w:hAnsi="Verdana" w:cs="Arial"/>
          <w:color w:val="000000"/>
          <w:lang w:eastAsia="es-ES"/>
        </w:rPr>
        <w:t>a los problemas jurídicos de su consulta.</w:t>
      </w:r>
      <w:r w:rsidRPr="00AF2C5A">
        <w:rPr>
          <w:rFonts w:ascii="Verdana" w:eastAsia="Calibri" w:hAnsi="Verdana" w:cs="Arial"/>
          <w:lang w:eastAsia="es-ES"/>
        </w:rPr>
        <w:t xml:space="preserve">  </w:t>
      </w:r>
    </w:p>
    <w:p w14:paraId="1268FFE5" w14:textId="77777777" w:rsidR="00CD5DE0" w:rsidRPr="00AF2C5A" w:rsidRDefault="00CD5DE0" w:rsidP="00CD5DE0">
      <w:pPr>
        <w:spacing w:after="0" w:line="276" w:lineRule="auto"/>
        <w:ind w:firstLine="709"/>
        <w:jc w:val="both"/>
        <w:rPr>
          <w:rFonts w:ascii="Verdana" w:eastAsia="Calibri" w:hAnsi="Verdana" w:cs="Arial"/>
          <w:lang w:eastAsia="es-ES"/>
        </w:rPr>
      </w:pPr>
    </w:p>
    <w:p w14:paraId="612DA4E5" w14:textId="77777777" w:rsidR="00CD5DE0" w:rsidRPr="00AF2C5A" w:rsidRDefault="00CD5DE0" w:rsidP="00CD5DE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AF2C5A">
        <w:rPr>
          <w:rFonts w:ascii="Verdana" w:eastAsia="Century Gothic" w:hAnsi="Verdana" w:cs="Century Gothic"/>
          <w:b/>
          <w:bCs/>
          <w:lang w:val="es-CO"/>
        </w:rPr>
        <w:t>Problema planteado:</w:t>
      </w:r>
    </w:p>
    <w:p w14:paraId="2F1BC194" w14:textId="77777777" w:rsidR="00CD5DE0" w:rsidRPr="00AF2C5A" w:rsidRDefault="00CD5DE0" w:rsidP="00CD5DE0">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56DE232E" w14:textId="77777777" w:rsidR="00CD5DE0" w:rsidRDefault="00CD5DE0" w:rsidP="00CD5DE0">
      <w:pPr>
        <w:tabs>
          <w:tab w:val="left" w:pos="2410"/>
        </w:tabs>
        <w:spacing w:after="0" w:line="276" w:lineRule="auto"/>
        <w:jc w:val="both"/>
        <w:rPr>
          <w:rFonts w:ascii="Verdana" w:eastAsia="Calibri" w:hAnsi="Verdana" w:cs="Arial"/>
          <w:color w:val="000000"/>
          <w:lang w:eastAsia="es-ES"/>
        </w:rPr>
      </w:pPr>
      <w:r w:rsidRPr="00AF2C5A">
        <w:rPr>
          <w:rFonts w:ascii="Verdana" w:eastAsia="Calibri" w:hAnsi="Verdana" w:cs="Arial"/>
          <w:color w:val="000000"/>
          <w:lang w:eastAsia="es-ES"/>
        </w:rPr>
        <w:t xml:space="preserve">De acuerdo con el contenido de su solicitud, esta Agencia resolverá los siguientes problemas jurídicos: </w:t>
      </w:r>
      <w:r>
        <w:rPr>
          <w:rFonts w:ascii="Verdana" w:eastAsia="Calibri" w:hAnsi="Verdana" w:cs="Arial"/>
          <w:color w:val="000000"/>
          <w:lang w:eastAsia="es-ES"/>
        </w:rPr>
        <w:t xml:space="preserve">i) ¿una entidad pública puede celebrar un contrato de fiducia pública o encargo fiduciario, previo un proceso de selección de licitación pública, con otra entidad pública? ii) ¿Se puede celebrar un contrato con una ESE, con ocasión de un proceso de selección abreviada, para la ejecución del plan de intervenciones colectivas?   </w:t>
      </w:r>
    </w:p>
    <w:p w14:paraId="22F88271" w14:textId="77777777" w:rsidR="00CD5DE0" w:rsidRDefault="00CD5DE0" w:rsidP="00CD5DE0">
      <w:pPr>
        <w:tabs>
          <w:tab w:val="left" w:pos="2410"/>
        </w:tabs>
        <w:spacing w:after="0" w:line="276" w:lineRule="auto"/>
        <w:jc w:val="both"/>
        <w:rPr>
          <w:rFonts w:ascii="Verdana" w:eastAsia="Century Gothic" w:hAnsi="Verdana" w:cs="Century Gothic"/>
        </w:rPr>
      </w:pPr>
    </w:p>
    <w:p w14:paraId="32B0DDA7" w14:textId="77777777" w:rsidR="00CD5DE0" w:rsidRPr="00B64A74" w:rsidRDefault="00CD5DE0" w:rsidP="00CD5DE0">
      <w:pPr>
        <w:spacing w:after="0" w:line="276" w:lineRule="auto"/>
        <w:jc w:val="both"/>
        <w:rPr>
          <w:rFonts w:ascii="Verdana" w:eastAsia="Century Gothic" w:hAnsi="Verdana" w:cs="Century Gothic"/>
          <w:b/>
          <w:bCs/>
        </w:rPr>
      </w:pPr>
      <w:r w:rsidRPr="00B64A74">
        <w:rPr>
          <w:rFonts w:ascii="Verdana" w:eastAsia="Century Gothic" w:hAnsi="Verdana" w:cs="Century Gothic"/>
          <w:b/>
          <w:bCs/>
        </w:rPr>
        <w:t>2. Respuesta:</w:t>
      </w:r>
    </w:p>
    <w:p w14:paraId="463416C6" w14:textId="77777777" w:rsidR="00CD5DE0" w:rsidRPr="00B64A74" w:rsidRDefault="00CD5DE0" w:rsidP="00CD5DE0">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CD5DE0" w:rsidRPr="00B64A74" w14:paraId="40B27626" w14:textId="77777777" w:rsidTr="00162589">
        <w:tc>
          <w:tcPr>
            <w:tcW w:w="8828" w:type="dxa"/>
          </w:tcPr>
          <w:p w14:paraId="575A923B" w14:textId="77777777" w:rsidR="00CD5DE0" w:rsidRPr="005966B4" w:rsidRDefault="00CD5DE0" w:rsidP="00162589">
            <w:pPr>
              <w:spacing w:before="120" w:after="120" w:line="276" w:lineRule="auto"/>
              <w:jc w:val="both"/>
              <w:textAlignment w:val="baseline"/>
              <w:rPr>
                <w:rFonts w:ascii="Verdana" w:eastAsia="MS Mincho" w:hAnsi="Verdana" w:cs="Arial"/>
                <w:lang w:val="es-ES" w:eastAsia="es-CO"/>
              </w:rPr>
            </w:pPr>
            <w:r>
              <w:rPr>
                <w:rFonts w:ascii="Verdana" w:eastAsia="MS Mincho" w:hAnsi="Verdana" w:cs="Arial"/>
                <w:lang w:val="es-ES" w:eastAsia="es-CO"/>
              </w:rPr>
              <w:t xml:space="preserve">i) </w:t>
            </w:r>
            <w:r w:rsidRPr="005966B4">
              <w:rPr>
                <w:rFonts w:ascii="Verdana" w:eastAsia="MS Mincho" w:hAnsi="Verdana" w:cs="Arial"/>
                <w:lang w:val="es-ES" w:eastAsia="es-CO"/>
              </w:rPr>
              <w:t>De acuerdo con el artículo 1226</w:t>
            </w:r>
            <w:r>
              <w:rPr>
                <w:rFonts w:ascii="Verdana" w:eastAsia="MS Mincho" w:hAnsi="Verdana" w:cs="Arial"/>
                <w:lang w:val="es-ES" w:eastAsia="es-CO"/>
              </w:rPr>
              <w:t xml:space="preserve"> </w:t>
            </w:r>
            <w:r w:rsidRPr="005966B4">
              <w:rPr>
                <w:rFonts w:ascii="Verdana" w:eastAsia="MS Mincho" w:hAnsi="Verdana" w:cs="Arial"/>
                <w:lang w:val="es-ES" w:eastAsia="es-CO"/>
              </w:rPr>
              <w:t>del Código de Comercio, l</w:t>
            </w:r>
            <w:r w:rsidRPr="005966B4">
              <w:rPr>
                <w:rFonts w:ascii="Verdana" w:eastAsia="Calibri" w:hAnsi="Verdana" w:cs="Arial"/>
                <w:lang w:val="es-ES_tradnl"/>
              </w:rPr>
              <w:t xml:space="preserve">a </w:t>
            </w:r>
            <w:r w:rsidRPr="00E60C57">
              <w:rPr>
                <w:rFonts w:ascii="Verdana" w:eastAsia="Calibri" w:hAnsi="Verdana" w:cs="Arial"/>
                <w:i/>
                <w:iCs/>
                <w:lang w:val="es-ES_tradnl"/>
              </w:rPr>
              <w:t>fiducia mercantil</w:t>
            </w:r>
            <w:r w:rsidRPr="005966B4">
              <w:rPr>
                <w:rFonts w:ascii="Verdana" w:eastAsia="Calibri" w:hAnsi="Verdana" w:cs="Arial"/>
                <w:lang w:val="es-ES_tradnl"/>
              </w:rPr>
              <w:t xml:space="preserve"> es un negocio jurídico en virtud del cual una persona, llamada fiduciante o fideicomitente, transfiere uno o más bienes especificados a otra, llamada fiduciario, quien se obliga a administrarlos o enajenarlos para cumplir una finalidad determinada, en provecho </w:t>
            </w:r>
            <w:r>
              <w:rPr>
                <w:rFonts w:ascii="Verdana" w:eastAsia="Calibri" w:hAnsi="Verdana" w:cs="Arial"/>
                <w:lang w:val="es-ES_tradnl"/>
              </w:rPr>
              <w:t xml:space="preserve">del fideicomitente </w:t>
            </w:r>
            <w:r w:rsidRPr="005966B4">
              <w:rPr>
                <w:rFonts w:ascii="Verdana" w:eastAsia="Calibri" w:hAnsi="Verdana" w:cs="Arial"/>
                <w:lang w:val="es-ES_tradnl"/>
              </w:rPr>
              <w:t>o de un tercero llamado beneficiario o</w:t>
            </w:r>
            <w:r w:rsidRPr="005966B4">
              <w:rPr>
                <w:rFonts w:ascii="Verdana" w:eastAsia="Calibri" w:hAnsi="Verdana" w:cs="Arial"/>
                <w:spacing w:val="-5"/>
                <w:lang w:val="es-ES_tradnl"/>
              </w:rPr>
              <w:t xml:space="preserve"> </w:t>
            </w:r>
            <w:r w:rsidRPr="005966B4">
              <w:rPr>
                <w:rFonts w:ascii="Verdana" w:eastAsia="Calibri" w:hAnsi="Verdana" w:cs="Arial"/>
                <w:lang w:val="es-ES_tradnl"/>
              </w:rPr>
              <w:t>fideicomisario.</w:t>
            </w:r>
          </w:p>
          <w:p w14:paraId="48A8B547" w14:textId="77777777" w:rsidR="00CD5DE0" w:rsidRPr="005966B4" w:rsidRDefault="00CD5DE0" w:rsidP="00162589">
            <w:pPr>
              <w:spacing w:before="120" w:after="120" w:line="276" w:lineRule="auto"/>
              <w:ind w:firstLine="877"/>
              <w:jc w:val="both"/>
              <w:textAlignment w:val="baseline"/>
              <w:rPr>
                <w:rFonts w:ascii="Verdana" w:eastAsia="MS Mincho" w:hAnsi="Verdana" w:cs="Arial"/>
                <w:lang w:val="es-ES" w:eastAsia="es-CO"/>
              </w:rPr>
            </w:pPr>
            <w:r w:rsidRPr="005966B4">
              <w:rPr>
                <w:rFonts w:ascii="Verdana" w:eastAsia="MS Mincho" w:hAnsi="Verdana" w:cs="Arial"/>
                <w:lang w:val="es-ES" w:eastAsia="es-CO"/>
              </w:rPr>
              <w:t xml:space="preserve">Esta fiducia puede consistir en un </w:t>
            </w:r>
            <w:r w:rsidRPr="005966B4">
              <w:rPr>
                <w:rFonts w:ascii="Verdana" w:eastAsia="MS Mincho" w:hAnsi="Verdana" w:cs="Arial"/>
                <w:i/>
                <w:iCs/>
                <w:lang w:val="es-ES" w:eastAsia="es-CO"/>
              </w:rPr>
              <w:t>encargo fiduciario</w:t>
            </w:r>
            <w:r w:rsidRPr="00E60C57">
              <w:rPr>
                <w:rFonts w:ascii="Verdana" w:eastAsia="MS Mincho" w:hAnsi="Verdana" w:cs="Arial"/>
                <w:lang w:val="es-ES" w:eastAsia="es-CO"/>
              </w:rPr>
              <w:t>,</w:t>
            </w:r>
            <w:r w:rsidRPr="005966B4">
              <w:rPr>
                <w:rFonts w:ascii="Verdana" w:eastAsia="MS Mincho" w:hAnsi="Verdana" w:cs="Arial"/>
                <w:lang w:val="es-ES" w:eastAsia="es-CO"/>
              </w:rPr>
              <w:t xml:space="preserve"> </w:t>
            </w:r>
            <w:r w:rsidRPr="005966B4">
              <w:rPr>
                <w:rFonts w:ascii="Verdana" w:eastAsia="MS Mincho" w:hAnsi="Verdana" w:cs="Arial"/>
              </w:rPr>
              <w:t xml:space="preserve">en virtud del cual el fideicomitente entrega al fiduciario bienes determinados con el propósito de cumplir la finalidad específica acordada, sin transferir la propiedad de estos. En otros casos, la fiducia mercantil puede dar lugar a la constitución de un </w:t>
            </w:r>
            <w:r w:rsidRPr="005966B4">
              <w:rPr>
                <w:rFonts w:ascii="Verdana" w:eastAsia="MS Mincho" w:hAnsi="Verdana" w:cs="Arial"/>
                <w:i/>
                <w:iCs/>
              </w:rPr>
              <w:t>patrimonio autónomo</w:t>
            </w:r>
            <w:r w:rsidRPr="005966B4">
              <w:rPr>
                <w:rFonts w:ascii="Verdana" w:eastAsia="MS Mincho" w:hAnsi="Verdana" w:cs="Arial"/>
              </w:rPr>
              <w:t xml:space="preserve"> en el cual los recursos o bienes </w:t>
            </w:r>
            <w:r w:rsidRPr="001B0E92">
              <w:rPr>
                <w:rFonts w:ascii="Verdana" w:eastAsia="MS Mincho" w:hAnsi="Verdana" w:cs="Arial"/>
                <w:lang w:val="es-ES" w:eastAsia="es-CO"/>
              </w:rPr>
              <w:t>salen real y jurídicamente del patrimonio del fideicomitente y están afectos al cumplimiento de las finalidades señaladas en el acto constitutivo</w:t>
            </w:r>
            <w:r w:rsidRPr="005966B4">
              <w:rPr>
                <w:rFonts w:ascii="Verdana" w:eastAsia="MS Mincho" w:hAnsi="Verdana" w:cs="Arial"/>
                <w:lang w:val="es-ES" w:eastAsia="es-CO"/>
              </w:rPr>
              <w:t xml:space="preserve"> de la fiducia. </w:t>
            </w:r>
          </w:p>
          <w:p w14:paraId="0B3F4873" w14:textId="77777777" w:rsidR="00CD5DE0" w:rsidRPr="005966B4" w:rsidRDefault="00CD5DE0" w:rsidP="00162589">
            <w:pPr>
              <w:spacing w:before="120" w:after="120" w:line="276" w:lineRule="auto"/>
              <w:ind w:firstLine="877"/>
              <w:jc w:val="both"/>
              <w:textAlignment w:val="baseline"/>
              <w:rPr>
                <w:rFonts w:ascii="Verdana" w:eastAsia="MS Mincho" w:hAnsi="Verdana" w:cs="Arial"/>
                <w:lang w:val="es-ES" w:eastAsia="es-CO"/>
              </w:rPr>
            </w:pPr>
            <w:r>
              <w:rPr>
                <w:rFonts w:ascii="Verdana" w:eastAsia="MS Mincho" w:hAnsi="Verdana" w:cs="Arial"/>
                <w:lang w:val="es-ES" w:eastAsia="es-CO"/>
              </w:rPr>
              <w:t>E</w:t>
            </w:r>
            <w:r w:rsidRPr="005966B4">
              <w:rPr>
                <w:rFonts w:ascii="Verdana" w:eastAsia="MS Mincho" w:hAnsi="Verdana" w:cs="Arial"/>
                <w:lang w:val="es-ES" w:eastAsia="es-CO"/>
              </w:rPr>
              <w:t xml:space="preserve">stos tipos de fiducia mercantil se diferencian de la </w:t>
            </w:r>
            <w:r w:rsidRPr="00E60C57">
              <w:rPr>
                <w:rFonts w:ascii="Verdana" w:eastAsia="MS Mincho" w:hAnsi="Verdana" w:cs="Arial"/>
                <w:i/>
                <w:iCs/>
                <w:lang w:val="es-ES" w:eastAsia="es-CO"/>
              </w:rPr>
              <w:t>fiducia pública</w:t>
            </w:r>
            <w:r w:rsidRPr="005966B4">
              <w:rPr>
                <w:rFonts w:ascii="Verdana" w:eastAsia="MS Mincho" w:hAnsi="Verdana" w:cs="Arial"/>
                <w:lang w:val="es-ES" w:eastAsia="es-CO"/>
              </w:rPr>
              <w:t xml:space="preserve">, </w:t>
            </w:r>
            <w:r w:rsidRPr="005966B4">
              <w:rPr>
                <w:rFonts w:ascii="Verdana" w:eastAsia="MS Mincho" w:hAnsi="Verdana" w:cs="Arial"/>
                <w:lang w:val="es-ES_tradnl" w:eastAsia="es-CO"/>
              </w:rPr>
              <w:t xml:space="preserve">figura fue creada y regulada en el numeral 5º del artículo 32 de la Ley 80 de 1993. </w:t>
            </w:r>
            <w:r w:rsidRPr="005966B4">
              <w:rPr>
                <w:rFonts w:ascii="Verdana" w:eastAsia="MS Mincho" w:hAnsi="Verdana" w:cs="Arial"/>
                <w:lang w:val="es-ES" w:eastAsia="es-CO"/>
              </w:rPr>
              <w:t>En el marco de esta norma, las entidades estatales pueden celebrar contratos de encargo fiduciario o de fiducia pública</w:t>
            </w:r>
            <w:r>
              <w:rPr>
                <w:rFonts w:ascii="Verdana" w:eastAsia="MS Mincho" w:hAnsi="Verdana" w:cs="Arial"/>
                <w:lang w:val="es-ES" w:eastAsia="es-CO"/>
              </w:rPr>
              <w:t xml:space="preserve"> siguiendo el procedimiento de selección de la licitación pública.</w:t>
            </w:r>
            <w:r w:rsidRPr="005966B4">
              <w:rPr>
                <w:rFonts w:ascii="Verdana" w:eastAsia="MS Mincho" w:hAnsi="Verdana" w:cs="Arial"/>
                <w:lang w:val="es-ES" w:eastAsia="es-CO"/>
              </w:rPr>
              <w:t xml:space="preserve"> </w:t>
            </w:r>
            <w:r>
              <w:rPr>
                <w:rFonts w:ascii="Verdana" w:eastAsia="MS Mincho" w:hAnsi="Verdana" w:cs="Arial"/>
                <w:lang w:val="es-ES" w:eastAsia="es-CO"/>
              </w:rPr>
              <w:t xml:space="preserve">Sin embargo, </w:t>
            </w:r>
            <w:r w:rsidRPr="005966B4">
              <w:rPr>
                <w:rFonts w:ascii="Verdana" w:eastAsia="MS Mincho" w:hAnsi="Verdana" w:cs="Arial"/>
                <w:lang w:val="es-ES" w:eastAsia="es-CO"/>
              </w:rPr>
              <w:t xml:space="preserve">estos negocios </w:t>
            </w:r>
            <w:r w:rsidRPr="00043D83">
              <w:rPr>
                <w:rFonts w:ascii="Verdana" w:eastAsia="MS Mincho" w:hAnsi="Verdana" w:cs="Arial"/>
                <w:lang w:eastAsia="es-CO"/>
              </w:rPr>
              <w:t>nunca implicará</w:t>
            </w:r>
            <w:r w:rsidRPr="00E60C57">
              <w:rPr>
                <w:rFonts w:ascii="Verdana" w:eastAsia="MS Mincho" w:hAnsi="Verdana" w:cs="Arial"/>
                <w:lang w:eastAsia="es-CO"/>
              </w:rPr>
              <w:t>n</w:t>
            </w:r>
            <w:r w:rsidRPr="00043D83">
              <w:rPr>
                <w:rFonts w:ascii="Verdana" w:eastAsia="MS Mincho" w:hAnsi="Verdana" w:cs="Arial"/>
                <w:lang w:eastAsia="es-CO"/>
              </w:rPr>
              <w:t xml:space="preserve"> </w:t>
            </w:r>
            <w:r w:rsidRPr="00E60C57">
              <w:rPr>
                <w:rFonts w:ascii="Verdana" w:eastAsia="MS Mincho" w:hAnsi="Verdana" w:cs="Arial"/>
                <w:lang w:eastAsia="es-CO"/>
              </w:rPr>
              <w:t xml:space="preserve">la </w:t>
            </w:r>
            <w:r w:rsidRPr="00043D83">
              <w:rPr>
                <w:rFonts w:ascii="Verdana" w:eastAsia="MS Mincho" w:hAnsi="Verdana" w:cs="Arial"/>
                <w:lang w:eastAsia="es-CO"/>
              </w:rPr>
              <w:t>transferencia de</w:t>
            </w:r>
            <w:r w:rsidRPr="00E60C57">
              <w:rPr>
                <w:rFonts w:ascii="Verdana" w:eastAsia="MS Mincho" w:hAnsi="Verdana" w:cs="Arial"/>
                <w:lang w:eastAsia="es-CO"/>
              </w:rPr>
              <w:t>l</w:t>
            </w:r>
            <w:r w:rsidRPr="00043D83">
              <w:rPr>
                <w:rFonts w:ascii="Verdana" w:eastAsia="MS Mincho" w:hAnsi="Verdana" w:cs="Arial"/>
                <w:lang w:eastAsia="es-CO"/>
              </w:rPr>
              <w:t xml:space="preserve"> dominio </w:t>
            </w:r>
            <w:r w:rsidRPr="00E60C57">
              <w:rPr>
                <w:rFonts w:ascii="Verdana" w:eastAsia="MS Mincho" w:hAnsi="Verdana" w:cs="Arial"/>
                <w:lang w:eastAsia="es-CO"/>
              </w:rPr>
              <w:t>de los</w:t>
            </w:r>
            <w:r w:rsidRPr="00043D83">
              <w:rPr>
                <w:rFonts w:ascii="Verdana" w:eastAsia="MS Mincho" w:hAnsi="Verdana" w:cs="Arial"/>
                <w:lang w:eastAsia="es-CO"/>
              </w:rPr>
              <w:t xml:space="preserve"> bienes o recursos estatales, ni constituirá</w:t>
            </w:r>
            <w:r w:rsidRPr="00E60C57">
              <w:rPr>
                <w:rFonts w:ascii="Verdana" w:eastAsia="MS Mincho" w:hAnsi="Verdana" w:cs="Arial"/>
                <w:lang w:eastAsia="es-CO"/>
              </w:rPr>
              <w:t>n</w:t>
            </w:r>
            <w:r w:rsidRPr="00043D83">
              <w:rPr>
                <w:rFonts w:ascii="Verdana" w:eastAsia="MS Mincho" w:hAnsi="Verdana" w:cs="Arial"/>
                <w:lang w:eastAsia="es-CO"/>
              </w:rPr>
              <w:t xml:space="preserve"> patrimonio</w:t>
            </w:r>
            <w:r>
              <w:rPr>
                <w:rFonts w:ascii="Verdana" w:eastAsia="MS Mincho" w:hAnsi="Verdana" w:cs="Arial"/>
                <w:lang w:eastAsia="es-CO"/>
              </w:rPr>
              <w:t>s</w:t>
            </w:r>
            <w:r w:rsidRPr="00043D83">
              <w:rPr>
                <w:rFonts w:ascii="Verdana" w:eastAsia="MS Mincho" w:hAnsi="Verdana" w:cs="Arial"/>
                <w:lang w:eastAsia="es-CO"/>
              </w:rPr>
              <w:t xml:space="preserve"> autónomo</w:t>
            </w:r>
            <w:r w:rsidRPr="00E60C57">
              <w:rPr>
                <w:rFonts w:ascii="Verdana" w:eastAsia="MS Mincho" w:hAnsi="Verdana" w:cs="Arial"/>
                <w:lang w:eastAsia="es-CO"/>
              </w:rPr>
              <w:t>s,</w:t>
            </w:r>
            <w:r w:rsidRPr="00E60C57">
              <w:rPr>
                <w:rFonts w:ascii="Verdana" w:eastAsia="MS Mincho" w:hAnsi="Verdana" w:cs="Arial"/>
                <w:i/>
                <w:iCs/>
                <w:lang w:eastAsia="es-CO"/>
              </w:rPr>
              <w:t xml:space="preserve"> </w:t>
            </w:r>
            <w:r w:rsidRPr="005966B4">
              <w:rPr>
                <w:rFonts w:ascii="Verdana" w:eastAsia="MS Mincho" w:hAnsi="Verdana" w:cs="Arial"/>
                <w:lang w:val="es-ES" w:eastAsia="es-CO"/>
              </w:rPr>
              <w:t xml:space="preserve">por lo que continuarán en cabeza de la entidad estatal y conservarán su naturaleza pública. </w:t>
            </w:r>
          </w:p>
          <w:p w14:paraId="15CB2D96" w14:textId="77777777" w:rsidR="00CD5DE0" w:rsidRPr="005966B4" w:rsidRDefault="00CD5DE0" w:rsidP="00162589">
            <w:pPr>
              <w:spacing w:before="120" w:after="120" w:line="276" w:lineRule="auto"/>
              <w:ind w:firstLine="708"/>
              <w:jc w:val="both"/>
              <w:textAlignment w:val="baseline"/>
              <w:rPr>
                <w:rFonts w:ascii="Verdana" w:eastAsia="MS Mincho" w:hAnsi="Verdana" w:cs="Arial"/>
                <w:lang w:val="es-ES" w:eastAsia="es-CO"/>
              </w:rPr>
            </w:pPr>
            <w:r w:rsidRPr="005966B4">
              <w:rPr>
                <w:rFonts w:ascii="Verdana" w:eastAsia="MS Mincho" w:hAnsi="Verdana" w:cs="Arial"/>
                <w:lang w:val="es-ES" w:eastAsia="es-CO"/>
              </w:rPr>
              <w:t xml:space="preserve">En contraste, las fiducias mercantiles que impliquen la constitución de patrimonios autónomos </w:t>
            </w:r>
            <w:r>
              <w:rPr>
                <w:rFonts w:ascii="Verdana" w:eastAsia="MS Mincho" w:hAnsi="Verdana" w:cs="Arial"/>
                <w:lang w:val="es-ES" w:eastAsia="es-CO"/>
              </w:rPr>
              <w:t>transfieren</w:t>
            </w:r>
            <w:r w:rsidRPr="005966B4">
              <w:rPr>
                <w:rFonts w:ascii="Verdana" w:eastAsia="MS Mincho" w:hAnsi="Verdana" w:cs="Arial"/>
                <w:lang w:val="es-ES" w:eastAsia="es-CO"/>
              </w:rPr>
              <w:t xml:space="preserve"> el dominio de los bienes, pues salen definitivamente del patrimonio del fideicomitente. Sin embargo, esta Agencia ha sostenido que la constitución de patrimonios autónomos por parte de entidades estatales, que por su naturaleza impliquen la transferencia del dominio de los recursos, solamente puede darse en virtud de una autorización legal. </w:t>
            </w:r>
          </w:p>
          <w:p w14:paraId="2EA083BF" w14:textId="77777777" w:rsidR="00CD5DE0" w:rsidRDefault="00CD5DE0" w:rsidP="00162589">
            <w:pPr>
              <w:pStyle w:val="Textoindependiente"/>
              <w:spacing w:before="120" w:after="0"/>
              <w:ind w:firstLine="709"/>
              <w:jc w:val="both"/>
              <w:rPr>
                <w:rFonts w:ascii="Verdana" w:hAnsi="Verdana" w:cs="Arial"/>
                <w:lang w:val="es-ES_tradnl"/>
              </w:rPr>
            </w:pPr>
            <w:r w:rsidRPr="005966B4">
              <w:rPr>
                <w:rFonts w:ascii="Verdana" w:hAnsi="Verdana" w:cs="Arial"/>
                <w:lang w:val="es-ES_tradnl"/>
              </w:rPr>
              <w:t>En conclusión, las entidades estatales pueden entregar el manejo de recursos derivados de un contrato estatal</w:t>
            </w:r>
            <w:r>
              <w:rPr>
                <w:rFonts w:ascii="Verdana" w:hAnsi="Verdana" w:cs="Arial"/>
                <w:lang w:val="es-ES_tradnl"/>
              </w:rPr>
              <w:t>,</w:t>
            </w:r>
            <w:r w:rsidRPr="005966B4">
              <w:rPr>
                <w:rFonts w:ascii="Verdana" w:hAnsi="Verdana" w:cs="Arial"/>
                <w:lang w:val="es-ES_tradnl"/>
              </w:rPr>
              <w:t xml:space="preserve"> ya sea </w:t>
            </w:r>
            <w:r>
              <w:rPr>
                <w:rFonts w:ascii="Verdana" w:hAnsi="Verdana" w:cs="Arial"/>
                <w:lang w:val="es-ES_tradnl"/>
              </w:rPr>
              <w:t>mediante</w:t>
            </w:r>
            <w:r w:rsidRPr="005966B4">
              <w:rPr>
                <w:rFonts w:ascii="Verdana" w:hAnsi="Verdana" w:cs="Arial"/>
                <w:lang w:val="es-ES_tradnl"/>
              </w:rPr>
              <w:t xml:space="preserve"> fiducia pública o </w:t>
            </w:r>
            <w:r>
              <w:rPr>
                <w:rFonts w:ascii="Verdana" w:hAnsi="Verdana" w:cs="Arial"/>
                <w:lang w:val="es-ES_tradnl"/>
              </w:rPr>
              <w:t xml:space="preserve">por </w:t>
            </w:r>
            <w:r w:rsidRPr="005966B4">
              <w:rPr>
                <w:rFonts w:ascii="Verdana" w:hAnsi="Verdana" w:cs="Arial"/>
                <w:lang w:val="es-ES_tradnl"/>
              </w:rPr>
              <w:t>encargo fiduciario.</w:t>
            </w:r>
            <w:r>
              <w:rPr>
                <w:rFonts w:ascii="Verdana" w:hAnsi="Verdana" w:cs="Arial"/>
                <w:lang w:val="es-ES_tradnl"/>
              </w:rPr>
              <w:t xml:space="preserve"> </w:t>
            </w:r>
            <w:r w:rsidRPr="005966B4">
              <w:rPr>
                <w:rFonts w:ascii="Verdana" w:hAnsi="Verdana" w:cs="Arial"/>
                <w:lang w:val="es-ES_tradnl"/>
              </w:rPr>
              <w:t>De acuerdo con el numeral 5 del artículo 32 de la Ley 80 de 1993</w:t>
            </w:r>
            <w:r>
              <w:rPr>
                <w:rFonts w:ascii="Verdana" w:hAnsi="Verdana" w:cs="Arial"/>
                <w:lang w:val="es-ES_tradnl"/>
              </w:rPr>
              <w:t>,</w:t>
            </w:r>
            <w:r w:rsidRPr="005966B4">
              <w:rPr>
                <w:rFonts w:ascii="Verdana" w:hAnsi="Verdana" w:cs="Arial"/>
                <w:lang w:val="es-ES_tradnl"/>
              </w:rPr>
              <w:t xml:space="preserve"> en estos casos, la entidad estatal mantiene la propiedad de los recursos y</w:t>
            </w:r>
            <w:r>
              <w:rPr>
                <w:rFonts w:ascii="Verdana" w:hAnsi="Verdana" w:cs="Arial"/>
                <w:lang w:val="es-ES_tradnl"/>
              </w:rPr>
              <w:t xml:space="preserve"> estos conservan su naturaleza pública</w:t>
            </w:r>
            <w:r w:rsidRPr="005966B4">
              <w:rPr>
                <w:rFonts w:ascii="Verdana" w:hAnsi="Verdana" w:cs="Arial"/>
                <w:lang w:val="es-ES_tradnl"/>
              </w:rPr>
              <w:t xml:space="preserve">. Solo en supuestos excepcionales, en los que exista autorización legal expresa, ciertas entidades estatales podrán transferir la propiedad de recursos públicos a un patrimonio autónomo. </w:t>
            </w:r>
          </w:p>
          <w:p w14:paraId="5EEB0F53" w14:textId="11CD0249" w:rsidR="00CD5DE0" w:rsidRDefault="00CD5DE0" w:rsidP="00162589">
            <w:pPr>
              <w:pStyle w:val="Textoindependiente"/>
              <w:spacing w:before="120" w:after="0"/>
              <w:ind w:firstLine="709"/>
              <w:jc w:val="both"/>
              <w:rPr>
                <w:rFonts w:ascii="Verdana" w:hAnsi="Verdana"/>
              </w:rPr>
            </w:pPr>
            <w:r>
              <w:rPr>
                <w:rFonts w:ascii="Verdana" w:hAnsi="Verdana"/>
              </w:rPr>
              <w:t>Ahora bien</w:t>
            </w:r>
            <w:r w:rsidRPr="000F0F39">
              <w:rPr>
                <w:rFonts w:ascii="Verdana" w:hAnsi="Verdana"/>
              </w:rPr>
              <w:t xml:space="preserve">, la ley no limitó la celebración de contratos interadministrativos a la modalidad de selección de contratación directa, pues solo estableció, excepcionalmente, su celebración de manera directa cuando dos o más </w:t>
            </w:r>
            <w:r>
              <w:rPr>
                <w:rFonts w:ascii="Verdana" w:hAnsi="Verdana"/>
              </w:rPr>
              <w:t>e</w:t>
            </w:r>
            <w:r w:rsidRPr="000F0F39">
              <w:rPr>
                <w:rFonts w:ascii="Verdana" w:hAnsi="Verdana"/>
              </w:rPr>
              <w:t>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0F0F39">
              <w:rPr>
                <w:rFonts w:ascii="Verdana" w:hAnsi="Verdana"/>
                <w:spacing w:val="-3"/>
              </w:rPr>
              <w:t xml:space="preserve"> </w:t>
            </w:r>
            <w:r w:rsidRPr="000F0F39">
              <w:rPr>
                <w:rFonts w:ascii="Verdana" w:hAnsi="Verdana"/>
              </w:rPr>
              <w:t>estatales.</w:t>
            </w:r>
          </w:p>
          <w:p w14:paraId="7AB7D44A" w14:textId="77777777" w:rsidR="00CD5DE0" w:rsidRPr="00974D3F" w:rsidRDefault="00CD5DE0" w:rsidP="00162589">
            <w:pPr>
              <w:pStyle w:val="Textoindependiente"/>
              <w:spacing w:before="120" w:after="0"/>
              <w:ind w:firstLine="709"/>
              <w:jc w:val="both"/>
              <w:rPr>
                <w:rFonts w:ascii="Verdana" w:hAnsi="Verdana" w:cs="Arial"/>
                <w:lang w:val="es-ES_tradnl"/>
              </w:rPr>
            </w:pPr>
            <w:r>
              <w:rPr>
                <w:rFonts w:ascii="Verdana" w:hAnsi="Verdana"/>
              </w:rPr>
              <w:t>De esta manera, a partir de un proceso de selección de licitación pública que imparte el artículo 32 de la Ley 80 de 1993 para la escogencia de la fiducia pública o encargo fiduciario y el contratista es una entidad pública, se colige que se denomina contrato interadministrativo, pero por la calidad de las partes, aun cuando este tipo de contratación deba tramitarse a partir de la regla general de los procesos de contratación.</w:t>
            </w:r>
          </w:p>
          <w:p w14:paraId="795825B9" w14:textId="77777777" w:rsidR="00CD5DE0" w:rsidRPr="006411BC" w:rsidRDefault="00CD5DE0" w:rsidP="00162589">
            <w:pPr>
              <w:spacing w:line="276" w:lineRule="auto"/>
              <w:jc w:val="both"/>
              <w:rPr>
                <w:rFonts w:ascii="Verdana" w:eastAsia="Arial" w:hAnsi="Verdana" w:cs="Arial"/>
                <w:bCs/>
                <w:color w:val="000000" w:themeColor="text1"/>
                <w:lang w:val="es-ES_tradnl"/>
              </w:rPr>
            </w:pPr>
          </w:p>
          <w:p w14:paraId="45AC1A60" w14:textId="77777777" w:rsidR="00CD5DE0" w:rsidRPr="00FF007A" w:rsidRDefault="00CD5DE0" w:rsidP="00162589">
            <w:pPr>
              <w:spacing w:after="120" w:line="276" w:lineRule="auto"/>
              <w:jc w:val="both"/>
              <w:rPr>
                <w:rFonts w:ascii="Verdana" w:eastAsia="Arial" w:hAnsi="Verdana" w:cs="Arial"/>
                <w:bCs/>
                <w:color w:val="000000" w:themeColor="text1"/>
              </w:rPr>
            </w:pPr>
            <w:r>
              <w:rPr>
                <w:rFonts w:ascii="Verdana" w:eastAsia="Arial" w:hAnsi="Verdana" w:cs="Arial"/>
                <w:bCs/>
                <w:color w:val="000000" w:themeColor="text1"/>
              </w:rPr>
              <w:t>ii) L</w:t>
            </w:r>
            <w:r w:rsidRPr="00FF007A">
              <w:rPr>
                <w:rFonts w:ascii="Verdana" w:eastAsia="Arial" w:hAnsi="Verdana" w:cs="Arial"/>
                <w:bCs/>
                <w:color w:val="000000" w:themeColor="text1"/>
              </w:rPr>
              <w:t xml:space="preserve">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w:t>
            </w:r>
            <w:r>
              <w:rPr>
                <w:rFonts w:ascii="Verdana" w:eastAsia="Arial" w:hAnsi="Verdana" w:cs="Arial"/>
                <w:bCs/>
                <w:color w:val="000000" w:themeColor="text1"/>
              </w:rPr>
              <w:t xml:space="preserve">en el supuesto que plantea </w:t>
            </w:r>
            <w:r w:rsidRPr="00FF007A">
              <w:rPr>
                <w:rFonts w:ascii="Verdana" w:eastAsia="Arial" w:hAnsi="Verdana" w:cs="Arial"/>
                <w:bCs/>
                <w:color w:val="000000" w:themeColor="text1"/>
              </w:rPr>
              <w:t>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PIC</w:t>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De ser así, 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p>
          <w:p w14:paraId="767CAB90" w14:textId="77777777" w:rsidR="00CD5DE0" w:rsidRDefault="00CD5DE0" w:rsidP="00162589">
            <w:pPr>
              <w:spacing w:before="120" w:after="120" w:line="276" w:lineRule="auto"/>
              <w:jc w:val="both"/>
              <w:rPr>
                <w:rFonts w:ascii="Verdana" w:eastAsia="Arial" w:hAnsi="Verdana" w:cs="Arial"/>
                <w:bCs/>
                <w:color w:val="000000" w:themeColor="text1"/>
                <w:lang w:val="es-MX"/>
              </w:rPr>
            </w:pPr>
            <w:r w:rsidRPr="00FF007A">
              <w:rPr>
                <w:rFonts w:ascii="Verdana" w:eastAsia="Arial" w:hAnsi="Verdana" w:cs="Arial"/>
                <w:bCs/>
                <w:color w:val="000000" w:themeColor="text1"/>
              </w:rPr>
              <w:tab/>
            </w:r>
            <w:r>
              <w:rPr>
                <w:rFonts w:ascii="Verdana" w:eastAsia="Arial" w:hAnsi="Verdana" w:cs="Arial"/>
                <w:bCs/>
                <w:color w:val="000000" w:themeColor="text1"/>
              </w:rPr>
              <w:t>De igual modo, es importante aludir a</w:t>
            </w:r>
            <w:r w:rsidRPr="00FF007A">
              <w:rPr>
                <w:rFonts w:ascii="Verdana" w:eastAsia="Arial" w:hAnsi="Verdana" w:cs="Arial"/>
                <w:bCs/>
                <w:color w:val="000000" w:themeColor="text1"/>
              </w:rPr>
              <w:t xml:space="preserve">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w:t>
            </w:r>
            <w:r>
              <w:rPr>
                <w:rFonts w:ascii="Verdana" w:eastAsia="Arial" w:hAnsi="Verdana" w:cs="Arial"/>
                <w:bCs/>
                <w:color w:val="000000" w:themeColor="text1"/>
              </w:rPr>
              <w:t>siendo</w:t>
            </w:r>
            <w:r w:rsidRPr="00FF007A">
              <w:rPr>
                <w:rFonts w:ascii="Verdana" w:eastAsia="Arial" w:hAnsi="Verdana" w:cs="Arial"/>
                <w:bCs/>
                <w:color w:val="000000" w:themeColor="text1"/>
              </w:rPr>
              <w:t xml:space="preserve">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de convenios interadministrativos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27CEB996" w14:textId="77777777" w:rsidR="00CD5DE0" w:rsidRPr="00125666" w:rsidRDefault="00CD5DE0" w:rsidP="00162589">
            <w:pPr>
              <w:spacing w:after="120" w:line="276" w:lineRule="auto"/>
              <w:jc w:val="both"/>
              <w:rPr>
                <w:rFonts w:ascii="Verdana" w:eastAsia="Calibri" w:hAnsi="Verdana" w:cs="Arial"/>
                <w:lang w:val="es-MX"/>
              </w:rPr>
            </w:pPr>
            <w:r>
              <w:rPr>
                <w:rFonts w:ascii="Verdana" w:eastAsia="Arial" w:hAnsi="Verdana" w:cs="Arial"/>
                <w:bCs/>
                <w:color w:val="000000" w:themeColor="text1"/>
                <w:lang w:val="es-MX"/>
              </w:rPr>
              <w:tab/>
              <w:t>En cuanto a la celebración de contratos interadministrativos no es aplicable la restricción del parágrafo del artículo 38, según la sentencia precitada (</w:t>
            </w:r>
            <w:r w:rsidRPr="00817856">
              <w:rPr>
                <w:rFonts w:ascii="Verdana" w:eastAsia="Arial" w:hAnsi="Verdana" w:cs="Arial"/>
                <w:bCs/>
                <w:color w:val="000000" w:themeColor="text1"/>
              </w:rPr>
              <w:t>11001-03-26-000-2023-00139-00</w:t>
            </w:r>
            <w:r>
              <w:rPr>
                <w:rFonts w:ascii="Verdana" w:eastAsia="Arial" w:hAnsi="Verdana" w:cs="Arial"/>
                <w:bCs/>
                <w:color w:val="000000" w:themeColor="text1"/>
              </w:rPr>
              <w:t xml:space="preserve">) </w:t>
            </w:r>
            <w:r>
              <w:rPr>
                <w:rFonts w:ascii="Verdana" w:eastAsia="Arial" w:hAnsi="Verdana" w:cs="Arial"/>
                <w:bCs/>
                <w:color w:val="000000" w:themeColor="text1"/>
                <w:lang w:val="es-MX"/>
              </w:rPr>
              <w:t xml:space="preserve">en las razones de la respuesta,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196B74A9" w14:textId="77777777" w:rsidR="00CD5DE0" w:rsidRDefault="00CD5DE0" w:rsidP="00CD5DE0">
      <w:pPr>
        <w:tabs>
          <w:tab w:val="left" w:pos="142"/>
          <w:tab w:val="left" w:pos="284"/>
        </w:tabs>
        <w:spacing w:after="0" w:line="276" w:lineRule="auto"/>
        <w:jc w:val="both"/>
        <w:rPr>
          <w:rFonts w:ascii="Verdana" w:eastAsia="Century Gothic" w:hAnsi="Verdana" w:cs="Century Gothic"/>
          <w:b/>
          <w:bCs/>
        </w:rPr>
      </w:pPr>
    </w:p>
    <w:p w14:paraId="4A673D9A" w14:textId="77777777" w:rsidR="00CD5DE0" w:rsidRPr="00B64A74" w:rsidRDefault="00CD5DE0" w:rsidP="00CD5DE0">
      <w:pPr>
        <w:tabs>
          <w:tab w:val="left" w:pos="142"/>
          <w:tab w:val="left" w:pos="284"/>
        </w:tabs>
        <w:spacing w:after="0" w:line="276" w:lineRule="auto"/>
        <w:jc w:val="both"/>
        <w:rPr>
          <w:rFonts w:ascii="Verdana" w:eastAsia="Century Gothic" w:hAnsi="Verdana" w:cs="Century Gothic"/>
          <w:b/>
          <w:bCs/>
        </w:rPr>
      </w:pPr>
      <w:r w:rsidRPr="00B64A74">
        <w:rPr>
          <w:rFonts w:ascii="Verdana" w:eastAsia="Century Gothic" w:hAnsi="Verdana" w:cs="Century Gothic"/>
          <w:b/>
          <w:bCs/>
        </w:rPr>
        <w:t>3. Razones de la respuesta:</w:t>
      </w:r>
    </w:p>
    <w:p w14:paraId="75B31E59" w14:textId="77777777" w:rsidR="00CD5DE0" w:rsidRPr="00B64A74" w:rsidRDefault="00CD5DE0" w:rsidP="00CD5DE0">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3A041A0" w14:textId="77777777" w:rsidR="00CD5DE0" w:rsidRDefault="00CD5DE0" w:rsidP="00CD5DE0">
      <w:pPr>
        <w:tabs>
          <w:tab w:val="left" w:pos="142"/>
          <w:tab w:val="left" w:pos="284"/>
          <w:tab w:val="left" w:pos="6975"/>
        </w:tabs>
        <w:spacing w:after="0" w:line="276" w:lineRule="auto"/>
        <w:jc w:val="both"/>
        <w:rPr>
          <w:rFonts w:ascii="Verdana" w:eastAsia="Calibri" w:hAnsi="Verdana" w:cs="Arial"/>
        </w:rPr>
      </w:pPr>
      <w:r w:rsidRPr="00B64A74">
        <w:rPr>
          <w:rFonts w:ascii="Verdana" w:eastAsia="Calibri" w:hAnsi="Verdana" w:cs="Arial"/>
        </w:rPr>
        <w:t>Lo anterior se sustenta en las siguientes consideraciones:</w:t>
      </w:r>
    </w:p>
    <w:p w14:paraId="66029CB8" w14:textId="77777777" w:rsidR="00CD5DE0" w:rsidRDefault="00CD5DE0" w:rsidP="00CD5DE0">
      <w:pPr>
        <w:spacing w:after="0" w:line="240" w:lineRule="auto"/>
        <w:contextualSpacing/>
        <w:jc w:val="both"/>
        <w:rPr>
          <w:rFonts w:ascii="Verdana" w:eastAsia="MS Mincho" w:hAnsi="Verdana" w:cs="Arial"/>
          <w:lang w:val="es-ES" w:eastAsia="es-CO"/>
        </w:rPr>
      </w:pPr>
      <w:bookmarkStart w:id="2" w:name="_Hlk204854194"/>
    </w:p>
    <w:p w14:paraId="0D4339F4" w14:textId="77777777" w:rsidR="00CD5DE0" w:rsidRDefault="00CD5DE0" w:rsidP="00CD5DE0">
      <w:pPr>
        <w:spacing w:after="0" w:line="276" w:lineRule="auto"/>
        <w:contextualSpacing/>
        <w:jc w:val="both"/>
        <w:rPr>
          <w:rFonts w:ascii="Verdana" w:eastAsia="MS Mincho" w:hAnsi="Verdana" w:cs="Arial"/>
          <w:lang w:val="es-ES" w:eastAsia="es-CO"/>
        </w:rPr>
      </w:pPr>
      <w:r>
        <w:rPr>
          <w:rFonts w:ascii="Verdana" w:eastAsia="MS Mincho" w:hAnsi="Verdana" w:cs="Arial"/>
          <w:lang w:val="es-ES" w:eastAsia="es-CO"/>
        </w:rPr>
        <w:t xml:space="preserve">i) </w:t>
      </w:r>
      <w:r w:rsidRPr="004F70CA">
        <w:rPr>
          <w:rFonts w:ascii="Verdana" w:eastAsia="MS Mincho" w:hAnsi="Verdana" w:cs="Arial"/>
          <w:lang w:val="es-ES" w:eastAsia="es-CO"/>
        </w:rPr>
        <w:t xml:space="preserve">El </w:t>
      </w:r>
      <w:r>
        <w:rPr>
          <w:rFonts w:ascii="Verdana" w:eastAsia="MS Mincho" w:hAnsi="Verdana" w:cs="Arial"/>
          <w:lang w:val="es-ES" w:eastAsia="es-CO"/>
        </w:rPr>
        <w:t xml:space="preserve">artículo 1226 del </w:t>
      </w:r>
      <w:r w:rsidRPr="004F70CA">
        <w:rPr>
          <w:rFonts w:ascii="Verdana" w:eastAsia="MS Mincho" w:hAnsi="Verdana" w:cs="Arial"/>
          <w:lang w:val="es-ES" w:eastAsia="es-CO"/>
        </w:rPr>
        <w:t xml:space="preserve">Código de Comercio define el contrato de </w:t>
      </w:r>
      <w:r w:rsidRPr="004F70CA">
        <w:rPr>
          <w:rFonts w:ascii="Verdana" w:eastAsia="MS Mincho" w:hAnsi="Verdana" w:cs="Arial"/>
          <w:i/>
          <w:iCs/>
          <w:lang w:val="es-ES" w:eastAsia="es-CO"/>
        </w:rPr>
        <w:t>fiducia mercantil</w:t>
      </w:r>
      <w:r w:rsidRPr="004F70CA">
        <w:rPr>
          <w:rFonts w:ascii="Verdana" w:eastAsia="MS Mincho" w:hAnsi="Verdana" w:cs="Arial"/>
          <w:lang w:val="es-ES" w:eastAsia="es-CO"/>
        </w:rPr>
        <w:t xml:space="preserve"> </w:t>
      </w:r>
      <w:r>
        <w:rPr>
          <w:rFonts w:ascii="Verdana" w:eastAsia="MS Mincho" w:hAnsi="Verdana" w:cs="Arial"/>
          <w:lang w:val="es-ES" w:eastAsia="es-CO"/>
        </w:rPr>
        <w:t xml:space="preserve">así: </w:t>
      </w:r>
    </w:p>
    <w:p w14:paraId="671309D3" w14:textId="77777777" w:rsidR="00CD5DE0" w:rsidRPr="000A3E27" w:rsidRDefault="00CD5DE0" w:rsidP="00CD5DE0">
      <w:pPr>
        <w:spacing w:after="0" w:line="240" w:lineRule="auto"/>
        <w:contextualSpacing/>
        <w:jc w:val="both"/>
        <w:rPr>
          <w:rFonts w:ascii="Verdana" w:eastAsia="MS Mincho" w:hAnsi="Verdana" w:cs="Arial"/>
          <w:lang w:val="es-ES" w:eastAsia="es-CO"/>
        </w:rPr>
      </w:pPr>
    </w:p>
    <w:p w14:paraId="606CC8BB" w14:textId="77777777" w:rsidR="00CD5DE0" w:rsidRPr="000A3E27" w:rsidRDefault="00CD5DE0" w:rsidP="00CD5DE0">
      <w:pPr>
        <w:spacing w:after="0" w:line="240" w:lineRule="auto"/>
        <w:ind w:left="709" w:right="709"/>
        <w:contextualSpacing/>
        <w:jc w:val="both"/>
        <w:rPr>
          <w:rFonts w:ascii="Verdana" w:eastAsia="Calibri" w:hAnsi="Verdana" w:cs="Arial"/>
          <w:sz w:val="20"/>
          <w:szCs w:val="20"/>
          <w:lang w:val="es-ES_tradnl"/>
        </w:rPr>
      </w:pPr>
      <w:r w:rsidRPr="000A3E27">
        <w:rPr>
          <w:rFonts w:ascii="Verdana" w:eastAsia="Calibri" w:hAnsi="Verdana" w:cs="Arial"/>
          <w:sz w:val="20"/>
          <w:szCs w:val="20"/>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0A3E27">
        <w:rPr>
          <w:rFonts w:ascii="Verdana" w:eastAsia="Calibri" w:hAnsi="Verdana" w:cs="Arial"/>
          <w:spacing w:val="-5"/>
          <w:sz w:val="20"/>
          <w:szCs w:val="20"/>
          <w:lang w:val="es-ES_tradnl"/>
        </w:rPr>
        <w:t xml:space="preserve"> </w:t>
      </w:r>
      <w:r w:rsidRPr="000A3E27">
        <w:rPr>
          <w:rFonts w:ascii="Verdana" w:eastAsia="Calibri" w:hAnsi="Verdana" w:cs="Arial"/>
          <w:sz w:val="20"/>
          <w:szCs w:val="20"/>
          <w:lang w:val="es-ES_tradnl"/>
        </w:rPr>
        <w:t>fideicomisario.</w:t>
      </w:r>
    </w:p>
    <w:p w14:paraId="485D890C" w14:textId="77777777" w:rsidR="00CD5DE0" w:rsidRPr="000A3E27" w:rsidRDefault="00CD5DE0" w:rsidP="00CD5DE0">
      <w:pPr>
        <w:spacing w:after="0" w:line="240" w:lineRule="auto"/>
        <w:ind w:left="709" w:right="709"/>
        <w:contextualSpacing/>
        <w:jc w:val="both"/>
        <w:rPr>
          <w:rFonts w:ascii="Verdana" w:eastAsia="Calibri" w:hAnsi="Verdana" w:cs="Arial"/>
          <w:sz w:val="20"/>
          <w:szCs w:val="20"/>
          <w:lang w:val="es-ES_tradnl"/>
        </w:rPr>
      </w:pPr>
      <w:r w:rsidRPr="000A3E27">
        <w:rPr>
          <w:rFonts w:ascii="Verdana" w:eastAsia="Calibri" w:hAnsi="Verdana" w:cs="Arial"/>
          <w:sz w:val="20"/>
          <w:szCs w:val="20"/>
          <w:lang w:val="es-ES_tradnl"/>
        </w:rPr>
        <w:t>Una persona puede ser al mismo tiempo fiduciante y beneficiario.</w:t>
      </w:r>
    </w:p>
    <w:p w14:paraId="475F6667" w14:textId="77777777" w:rsidR="00CD5DE0" w:rsidRDefault="00CD5DE0" w:rsidP="00CD5DE0">
      <w:pPr>
        <w:spacing w:after="0" w:line="240" w:lineRule="auto"/>
        <w:ind w:left="709" w:right="709"/>
        <w:contextualSpacing/>
        <w:jc w:val="both"/>
        <w:rPr>
          <w:rFonts w:ascii="Verdana" w:eastAsia="Calibri" w:hAnsi="Verdana" w:cs="Arial"/>
          <w:sz w:val="20"/>
          <w:szCs w:val="20"/>
          <w:lang w:val="es-ES_tradnl"/>
        </w:rPr>
      </w:pPr>
    </w:p>
    <w:p w14:paraId="31E85D7A" w14:textId="77777777" w:rsidR="00CD5DE0" w:rsidRPr="000A3E27" w:rsidRDefault="00CD5DE0" w:rsidP="00CD5DE0">
      <w:pPr>
        <w:spacing w:after="0" w:line="240" w:lineRule="auto"/>
        <w:ind w:left="709" w:right="709"/>
        <w:contextualSpacing/>
        <w:jc w:val="both"/>
        <w:rPr>
          <w:rFonts w:ascii="Verdana" w:eastAsia="Calibri" w:hAnsi="Verdana" w:cs="Arial"/>
          <w:sz w:val="20"/>
          <w:szCs w:val="20"/>
          <w:lang w:val="es-ES_tradnl"/>
        </w:rPr>
      </w:pPr>
      <w:r w:rsidRPr="000A3E27">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3A56E5EA" w14:textId="77777777" w:rsidR="00CD5DE0" w:rsidRPr="004F70CA" w:rsidRDefault="00CD5DE0" w:rsidP="00CD5DE0">
      <w:pPr>
        <w:spacing w:after="0" w:line="276" w:lineRule="auto"/>
        <w:jc w:val="both"/>
        <w:rPr>
          <w:rFonts w:ascii="Verdana" w:eastAsia="MS Mincho" w:hAnsi="Verdana" w:cs="Arial"/>
          <w:lang w:val="es-ES_tradnl" w:eastAsia="es-CO"/>
        </w:rPr>
      </w:pPr>
    </w:p>
    <w:p w14:paraId="32BF1E9F" w14:textId="77777777" w:rsidR="00CD5DE0" w:rsidRDefault="00CD5DE0" w:rsidP="00CD5DE0">
      <w:pPr>
        <w:spacing w:after="120" w:line="276" w:lineRule="auto"/>
        <w:ind w:firstLine="708"/>
        <w:jc w:val="both"/>
        <w:rPr>
          <w:rFonts w:ascii="Verdana" w:eastAsia="MS Mincho" w:hAnsi="Verdana" w:cs="Arial"/>
          <w:lang w:val="es-ES" w:eastAsia="es-CO"/>
        </w:rPr>
      </w:pPr>
      <w:r>
        <w:rPr>
          <w:rFonts w:ascii="Verdana" w:eastAsia="MS Mincho" w:hAnsi="Verdana" w:cs="Arial"/>
          <w:lang w:val="es-ES" w:eastAsia="es-CO"/>
        </w:rPr>
        <w:t xml:space="preserve">Con base en esta norma, son </w:t>
      </w:r>
      <w:r w:rsidRPr="004F70CA">
        <w:rPr>
          <w:rFonts w:ascii="Verdana" w:eastAsia="MS Mincho" w:hAnsi="Verdana" w:cs="Arial"/>
          <w:lang w:val="es-ES" w:eastAsia="es-CO"/>
        </w:rPr>
        <w:t>elementos característicos de</w:t>
      </w:r>
      <w:r>
        <w:rPr>
          <w:rFonts w:ascii="Verdana" w:eastAsia="MS Mincho" w:hAnsi="Verdana" w:cs="Arial"/>
          <w:lang w:val="es-ES" w:eastAsia="es-CO"/>
        </w:rPr>
        <w:t>l</w:t>
      </w:r>
      <w:r w:rsidRPr="004F70CA">
        <w:rPr>
          <w:rFonts w:ascii="Verdana" w:eastAsia="MS Mincho" w:hAnsi="Verdana" w:cs="Arial"/>
          <w:lang w:val="es-ES" w:eastAsia="es-CO"/>
        </w:rPr>
        <w:t xml:space="preserve"> negocio jurídico</w:t>
      </w:r>
      <w:r>
        <w:rPr>
          <w:rFonts w:ascii="Verdana" w:eastAsia="MS Mincho" w:hAnsi="Verdana" w:cs="Arial"/>
          <w:lang w:val="es-ES" w:eastAsia="es-CO"/>
        </w:rPr>
        <w:t xml:space="preserve"> de la fiducia mercantil</w:t>
      </w:r>
      <w:r w:rsidRPr="004F70CA">
        <w:rPr>
          <w:rFonts w:ascii="Verdana" w:eastAsia="MS Mincho" w:hAnsi="Verdana" w:cs="Arial"/>
          <w:lang w:val="es-ES" w:eastAsia="es-CO"/>
        </w:rPr>
        <w:t xml:space="preserve">: </w:t>
      </w:r>
      <w:r>
        <w:rPr>
          <w:rFonts w:ascii="Verdana" w:eastAsia="MS Mincho" w:hAnsi="Verdana" w:cs="Arial"/>
          <w:lang w:val="es-ES" w:eastAsia="es-CO"/>
        </w:rPr>
        <w:t>(</w:t>
      </w:r>
      <w:r w:rsidRPr="004F70CA">
        <w:rPr>
          <w:rFonts w:ascii="Verdana" w:eastAsia="MS Mincho" w:hAnsi="Verdana" w:cs="Arial"/>
          <w:lang w:val="es-ES" w:eastAsia="es-CO"/>
        </w:rPr>
        <w:t>i) la existencia de al menos dos sujetos: fiduciante y fiduciario</w:t>
      </w:r>
      <w:r>
        <w:rPr>
          <w:rFonts w:ascii="Verdana" w:eastAsia="MS Mincho" w:hAnsi="Verdana" w:cs="Arial"/>
          <w:lang w:val="es-ES" w:eastAsia="es-CO"/>
        </w:rPr>
        <w:t>;</w:t>
      </w:r>
      <w:r w:rsidRPr="004F70CA">
        <w:rPr>
          <w:rFonts w:ascii="Verdana" w:eastAsia="MS Mincho" w:hAnsi="Verdana" w:cs="Arial"/>
          <w:lang w:val="es-ES" w:eastAsia="es-CO"/>
        </w:rPr>
        <w:t xml:space="preserve"> y </w:t>
      </w:r>
      <w:r>
        <w:rPr>
          <w:rFonts w:ascii="Verdana" w:eastAsia="MS Mincho" w:hAnsi="Verdana" w:cs="Arial"/>
          <w:lang w:val="es-ES" w:eastAsia="es-CO"/>
        </w:rPr>
        <w:t>(</w:t>
      </w:r>
      <w:r w:rsidRPr="004F70CA">
        <w:rPr>
          <w:rFonts w:ascii="Verdana" w:eastAsia="MS Mincho" w:hAnsi="Verdana" w:cs="Arial"/>
          <w:lang w:val="es-ES" w:eastAsia="es-CO"/>
        </w:rPr>
        <w:t>ii) la transferencia de los bienes fideicomitidos</w:t>
      </w:r>
      <w:r>
        <w:rPr>
          <w:rFonts w:ascii="Verdana" w:eastAsia="MS Mincho" w:hAnsi="Verdana" w:cs="Arial"/>
          <w:lang w:val="es-ES" w:eastAsia="es-CO"/>
        </w:rPr>
        <w:t xml:space="preserve"> para cumplir una finalidad determinada en provecho del fiduciante o de un tercero.</w:t>
      </w:r>
    </w:p>
    <w:p w14:paraId="690680B7" w14:textId="77777777" w:rsidR="00CD5DE0" w:rsidRDefault="00CD5DE0" w:rsidP="00CD5DE0">
      <w:pPr>
        <w:spacing w:after="120" w:line="276" w:lineRule="auto"/>
        <w:ind w:firstLine="709"/>
        <w:jc w:val="both"/>
        <w:rPr>
          <w:rFonts w:ascii="Verdana" w:eastAsia="MS Mincho" w:hAnsi="Verdana" w:cs="Arial"/>
          <w:lang w:val="es-ES" w:eastAsia="es-CO"/>
        </w:rPr>
      </w:pPr>
      <w:r>
        <w:rPr>
          <w:rFonts w:ascii="Verdana" w:eastAsia="MS Mincho" w:hAnsi="Verdana" w:cs="Arial"/>
          <w:lang w:val="es-ES" w:eastAsia="es-CO"/>
        </w:rPr>
        <w:t xml:space="preserve">La fiducia mercantil así entendida puede consistir en (i) un </w:t>
      </w:r>
      <w:r w:rsidRPr="001E23A3">
        <w:rPr>
          <w:rFonts w:ascii="Verdana" w:eastAsia="MS Mincho" w:hAnsi="Verdana" w:cs="Arial"/>
          <w:i/>
          <w:iCs/>
          <w:lang w:val="es-ES" w:eastAsia="es-CO"/>
        </w:rPr>
        <w:t>encargo fiduciario</w:t>
      </w:r>
      <w:r>
        <w:rPr>
          <w:rFonts w:ascii="Verdana" w:eastAsia="MS Mincho" w:hAnsi="Verdana" w:cs="Arial"/>
          <w:lang w:val="es-ES" w:eastAsia="es-CO"/>
        </w:rPr>
        <w:t xml:space="preserve"> o en la constitución de un (ii) </w:t>
      </w:r>
      <w:r w:rsidRPr="001E23A3">
        <w:rPr>
          <w:rFonts w:ascii="Verdana" w:eastAsia="MS Mincho" w:hAnsi="Verdana" w:cs="Arial"/>
          <w:i/>
          <w:iCs/>
          <w:lang w:val="es-ES" w:eastAsia="es-CO"/>
        </w:rPr>
        <w:t>patrimonio autónomo</w:t>
      </w:r>
      <w:r>
        <w:rPr>
          <w:rFonts w:ascii="Verdana" w:eastAsia="MS Mincho" w:hAnsi="Verdana" w:cs="Arial"/>
          <w:lang w:val="es-ES" w:eastAsia="es-CO"/>
        </w:rPr>
        <w:t xml:space="preserve">. </w:t>
      </w:r>
    </w:p>
    <w:p w14:paraId="3984ED35" w14:textId="77777777" w:rsidR="00CD5DE0" w:rsidRPr="00AF4463" w:rsidRDefault="00CD5DE0" w:rsidP="00CD5DE0">
      <w:pPr>
        <w:spacing w:after="120" w:line="276" w:lineRule="auto"/>
        <w:ind w:firstLine="709"/>
        <w:jc w:val="both"/>
        <w:rPr>
          <w:rFonts w:ascii="Verdana" w:eastAsia="MS Mincho" w:hAnsi="Verdana" w:cs="Arial"/>
        </w:rPr>
      </w:pPr>
      <w:r>
        <w:rPr>
          <w:rFonts w:ascii="Verdana" w:eastAsia="MS Mincho" w:hAnsi="Verdana" w:cs="Arial"/>
          <w:lang w:val="es-ES" w:eastAsia="es-CO"/>
        </w:rPr>
        <w:t xml:space="preserve">De acuerdo con la Superintendencia Financiera se entiende por </w:t>
      </w:r>
      <w:r w:rsidRPr="00327FA2">
        <w:rPr>
          <w:rFonts w:ascii="Verdana" w:eastAsia="MS Mincho" w:hAnsi="Verdana" w:cs="Arial"/>
          <w:i/>
          <w:iCs/>
          <w:lang w:val="es-ES" w:eastAsia="es-CO"/>
        </w:rPr>
        <w:t>encargo fiduciario</w:t>
      </w:r>
      <w:r>
        <w:rPr>
          <w:rFonts w:ascii="Verdana" w:eastAsia="MS Mincho" w:hAnsi="Verdana" w:cs="Arial"/>
          <w:lang w:val="es-ES" w:eastAsia="es-CO"/>
        </w:rPr>
        <w:t xml:space="preserve"> </w:t>
      </w:r>
      <w:r w:rsidRPr="00AF4463">
        <w:rPr>
          <w:rFonts w:ascii="Verdana" w:eastAsia="MS Mincho" w:hAnsi="Verdana" w:cs="Arial"/>
        </w:rPr>
        <w:t>el contrato en virtud del cual el fideicomitente entreg</w:t>
      </w:r>
      <w:r>
        <w:rPr>
          <w:rFonts w:ascii="Verdana" w:eastAsia="MS Mincho" w:hAnsi="Verdana" w:cs="Arial"/>
        </w:rPr>
        <w:t xml:space="preserve">a al fiduciario </w:t>
      </w:r>
      <w:r w:rsidRPr="00AF4463">
        <w:rPr>
          <w:rFonts w:ascii="Verdana" w:eastAsia="MS Mincho" w:hAnsi="Verdana" w:cs="Arial"/>
        </w:rPr>
        <w:t>bienes determinados con el propósito de cumplir la finalidad espec</w:t>
      </w:r>
      <w:r>
        <w:rPr>
          <w:rFonts w:ascii="Verdana" w:eastAsia="MS Mincho" w:hAnsi="Verdana" w:cs="Arial"/>
        </w:rPr>
        <w:t>í</w:t>
      </w:r>
      <w:r w:rsidRPr="00AF4463">
        <w:rPr>
          <w:rFonts w:ascii="Verdana" w:eastAsia="MS Mincho" w:hAnsi="Verdana" w:cs="Arial"/>
        </w:rPr>
        <w:t>fica acordada, sin transferir la propiedad de estos</w:t>
      </w:r>
      <w:r>
        <w:rPr>
          <w:rStyle w:val="Refdenotaalpie"/>
          <w:rFonts w:ascii="Verdana" w:eastAsia="MS Mincho" w:hAnsi="Verdana" w:cs="Arial"/>
        </w:rPr>
        <w:footnoteReference w:id="1"/>
      </w:r>
      <w:r w:rsidRPr="00AF4463">
        <w:rPr>
          <w:rFonts w:ascii="Verdana" w:eastAsia="MS Mincho" w:hAnsi="Verdana" w:cs="Arial"/>
        </w:rPr>
        <w:t xml:space="preserve">. </w:t>
      </w:r>
      <w:r>
        <w:rPr>
          <w:rFonts w:ascii="Verdana" w:eastAsia="MS Mincho" w:hAnsi="Verdana" w:cs="Arial"/>
        </w:rPr>
        <w:t xml:space="preserve">En este sentido, es una figura que se caracteriza específicamente porque </w:t>
      </w:r>
      <w:r w:rsidRPr="00AF4463">
        <w:rPr>
          <w:rFonts w:ascii="Verdana" w:eastAsia="MS Mincho" w:hAnsi="Verdana" w:cs="Arial"/>
        </w:rPr>
        <w:t>los bienes fideicomitidos</w:t>
      </w:r>
      <w:r>
        <w:rPr>
          <w:rFonts w:ascii="Verdana" w:eastAsia="MS Mincho" w:hAnsi="Verdana" w:cs="Arial"/>
        </w:rPr>
        <w:t xml:space="preserve"> no salen del patrimonio del fideicomitente, sino que siguen siendo de su propiedad, aunque el fiduciario tenga la facultad para administrarlos</w:t>
      </w:r>
      <w:r w:rsidRPr="00AF4463">
        <w:rPr>
          <w:rFonts w:ascii="Verdana" w:eastAsia="MS Mincho" w:hAnsi="Verdana" w:cs="Arial"/>
        </w:rPr>
        <w:t xml:space="preserve">. </w:t>
      </w:r>
      <w:r>
        <w:rPr>
          <w:rFonts w:ascii="Verdana" w:eastAsia="MS Mincho" w:hAnsi="Verdana" w:cs="Arial"/>
        </w:rPr>
        <w:t xml:space="preserve">Se deriva de lo anterior, que en estos casos tampoco se crea un patrimonio autónomo o distinto al del fideicomitente o el fiduciario. </w:t>
      </w:r>
    </w:p>
    <w:p w14:paraId="3B8CE657" w14:textId="77777777" w:rsidR="00CD5DE0" w:rsidRPr="007D0A2B" w:rsidRDefault="00CD5DE0" w:rsidP="00CD5DE0">
      <w:pPr>
        <w:spacing w:after="120" w:line="276" w:lineRule="auto"/>
        <w:ind w:firstLine="709"/>
        <w:jc w:val="both"/>
        <w:rPr>
          <w:rFonts w:ascii="Verdana" w:eastAsia="MS Mincho" w:hAnsi="Verdana" w:cs="Arial"/>
          <w:lang w:val="es-ES" w:eastAsia="es-CO"/>
        </w:rPr>
      </w:pPr>
      <w:r>
        <w:rPr>
          <w:rFonts w:ascii="Verdana" w:eastAsia="MS Mincho" w:hAnsi="Verdana" w:cs="Arial"/>
          <w:lang w:val="es-ES" w:eastAsia="es-CO"/>
        </w:rPr>
        <w:t xml:space="preserve">En el caso de los </w:t>
      </w:r>
      <w:r w:rsidRPr="00475D5B">
        <w:rPr>
          <w:rFonts w:ascii="Verdana" w:eastAsia="MS Mincho" w:hAnsi="Verdana" w:cs="Arial"/>
          <w:i/>
          <w:iCs/>
          <w:lang w:val="es-ES" w:eastAsia="es-CO"/>
        </w:rPr>
        <w:t>patrimonios autónomos</w:t>
      </w:r>
      <w:r>
        <w:rPr>
          <w:rFonts w:ascii="Verdana" w:eastAsia="MS Mincho" w:hAnsi="Verdana" w:cs="Arial"/>
          <w:lang w:val="es-ES" w:eastAsia="es-CO"/>
        </w:rPr>
        <w:t xml:space="preserve"> constituidos en virtud de una fiducia mercantil, el constituyente o fiduciario transfiere a la fiduciaria un conjunto de bienes que conforman y se denominan como patrimonio autónomo. El Código de Comercio establece que estos patrimonios autónomos no tienen el carácter de personas jurídicas o naturales, pues son negocios fiduciarios que se encuentran conformados por los bienes que son transferidos.</w:t>
      </w:r>
      <w:r>
        <w:rPr>
          <w:rFonts w:ascii="Verdana" w:eastAsia="MS Mincho" w:hAnsi="Verdana" w:cs="Arial"/>
          <w:lang w:eastAsia="es-CO"/>
        </w:rPr>
        <w:t xml:space="preserve"> Sin embargo, los bienes “</w:t>
      </w:r>
      <w:r w:rsidRPr="001B0E92">
        <w:rPr>
          <w:rFonts w:ascii="Verdana" w:eastAsia="MS Mincho" w:hAnsi="Verdana" w:cs="Arial"/>
          <w:lang w:val="es-ES" w:eastAsia="es-CO"/>
        </w:rPr>
        <w:t>salen real y jurídicamente del patrimonio del fideicomitente (titular del dominio) y están afectos al cumplimiento de las finalidades señaladas en el acto constitutivo</w:t>
      </w:r>
      <w:r>
        <w:rPr>
          <w:rFonts w:ascii="Verdana" w:eastAsia="MS Mincho" w:hAnsi="Verdana" w:cs="Arial"/>
          <w:i/>
          <w:iCs/>
          <w:lang w:val="es-ES" w:eastAsia="es-CO"/>
        </w:rPr>
        <w:t>”</w:t>
      </w:r>
      <w:r>
        <w:rPr>
          <w:rStyle w:val="Refdenotaalpie"/>
          <w:rFonts w:ascii="Verdana" w:eastAsia="MS Mincho" w:hAnsi="Verdana" w:cs="Arial"/>
          <w:i/>
          <w:iCs/>
          <w:lang w:val="es-ES" w:eastAsia="es-CO"/>
        </w:rPr>
        <w:footnoteReference w:id="2"/>
      </w:r>
      <w:r w:rsidRPr="001B0E92">
        <w:rPr>
          <w:rFonts w:ascii="Verdana" w:eastAsia="MS Mincho" w:hAnsi="Verdana" w:cs="Arial"/>
          <w:i/>
          <w:iCs/>
          <w:lang w:val="es-ES" w:eastAsia="es-CO"/>
        </w:rPr>
        <w:t>.</w:t>
      </w:r>
      <w:r>
        <w:rPr>
          <w:rFonts w:ascii="Verdana" w:eastAsia="MS Mincho" w:hAnsi="Verdana" w:cs="Arial"/>
          <w:lang w:val="es-ES" w:eastAsia="es-CO"/>
        </w:rPr>
        <w:t xml:space="preserve"> Entonces, existe una distinción clara entre los bienes que conforman el patrimonio del fiduciario, aquellos que hacen parte del patrimonio autónomo, y los que integran el patrimonio o los activos de la fiduciaria. Ya que existen tres patrimonios independientes</w:t>
      </w:r>
      <w:r w:rsidRPr="00EE61AF">
        <w:rPr>
          <w:rFonts w:ascii="Verdana" w:eastAsia="MS Mincho" w:hAnsi="Verdana" w:cs="Arial"/>
          <w:lang w:val="es-ES" w:eastAsia="es-CO"/>
        </w:rPr>
        <w:t>, los bienes transferidos</w:t>
      </w:r>
      <w:r>
        <w:rPr>
          <w:rFonts w:ascii="Verdana" w:eastAsia="MS Mincho" w:hAnsi="Verdana" w:cs="Arial"/>
          <w:i/>
          <w:iCs/>
          <w:lang w:val="es-ES" w:eastAsia="es-CO"/>
        </w:rPr>
        <w:t xml:space="preserve"> “</w:t>
      </w:r>
      <w:r w:rsidRPr="001B0E92">
        <w:rPr>
          <w:rFonts w:ascii="Verdana" w:eastAsia="MS Mincho" w:hAnsi="Verdana" w:cs="Arial"/>
          <w:lang w:val="es-ES" w:eastAsia="es-CO"/>
        </w:rPr>
        <w:t>son excluidos de la garantía general de los acreedores del fiduciario y fideicomitente y garantizan las obligaciones que contraiga el patrimonio autónomo en el logro de la finalidad de la fiducia</w:t>
      </w:r>
      <w:r w:rsidRPr="007D0A2B">
        <w:rPr>
          <w:rFonts w:ascii="Verdana" w:eastAsia="MS Mincho" w:hAnsi="Verdana" w:cs="Arial"/>
          <w:lang w:val="es-ES" w:eastAsia="es-CO"/>
        </w:rPr>
        <w:t xml:space="preserve"> </w:t>
      </w:r>
      <w:r>
        <w:rPr>
          <w:rFonts w:ascii="Verdana" w:eastAsia="MS Mincho" w:hAnsi="Verdana" w:cs="Arial"/>
          <w:lang w:val="es-ES" w:eastAsia="es-CO"/>
        </w:rPr>
        <w:t>(…)</w:t>
      </w:r>
      <w:r w:rsidRPr="007D0A2B">
        <w:rPr>
          <w:rStyle w:val="Refdenotaalpie"/>
          <w:rFonts w:ascii="Verdana" w:eastAsia="MS Mincho" w:hAnsi="Verdana" w:cs="Arial"/>
          <w:lang w:val="es-ES" w:eastAsia="es-CO"/>
        </w:rPr>
        <w:footnoteReference w:id="3"/>
      </w:r>
      <w:r w:rsidRPr="007D0A2B">
        <w:rPr>
          <w:rFonts w:ascii="Verdana" w:eastAsia="MS Mincho" w:hAnsi="Verdana" w:cs="Arial"/>
          <w:lang w:val="es-ES" w:eastAsia="es-CO"/>
        </w:rPr>
        <w:t>”.</w:t>
      </w:r>
    </w:p>
    <w:p w14:paraId="276D7A83" w14:textId="77777777" w:rsidR="00CD5DE0" w:rsidRDefault="00CD5DE0" w:rsidP="00CD5DE0">
      <w:pPr>
        <w:spacing w:after="0" w:line="276" w:lineRule="auto"/>
        <w:ind w:firstLine="708"/>
        <w:jc w:val="both"/>
        <w:rPr>
          <w:rFonts w:ascii="Verdana" w:eastAsia="MS Mincho" w:hAnsi="Verdana" w:cs="Arial"/>
          <w:lang w:val="es-ES_tradnl" w:eastAsia="es-CO"/>
        </w:rPr>
      </w:pPr>
      <w:r>
        <w:rPr>
          <w:rFonts w:ascii="Verdana" w:eastAsia="MS Mincho" w:hAnsi="Verdana" w:cs="Arial"/>
          <w:lang w:val="es-ES_tradnl" w:eastAsia="es-CO"/>
        </w:rPr>
        <w:t xml:space="preserve">Por su parte, la fiducia pública fue creada en virtud de la Ley 80 de 1993, la cual estableció en </w:t>
      </w:r>
      <w:r w:rsidRPr="004F70CA">
        <w:rPr>
          <w:rFonts w:ascii="Verdana" w:eastAsia="MS Mincho" w:hAnsi="Verdana" w:cs="Arial"/>
          <w:lang w:val="es-ES_tradnl" w:eastAsia="es-CO"/>
        </w:rPr>
        <w:t>el numeral 5º del artículo 32</w:t>
      </w:r>
      <w:r>
        <w:rPr>
          <w:rFonts w:ascii="Verdana" w:eastAsia="MS Mincho" w:hAnsi="Verdana" w:cs="Arial"/>
          <w:lang w:val="es-ES_tradnl" w:eastAsia="es-CO"/>
        </w:rPr>
        <w:t xml:space="preserve"> lo siguiente:</w:t>
      </w:r>
    </w:p>
    <w:p w14:paraId="2E01C470" w14:textId="77777777" w:rsidR="00CD5DE0" w:rsidRPr="000A3E27" w:rsidRDefault="00CD5DE0" w:rsidP="00CD5DE0">
      <w:pPr>
        <w:spacing w:after="0" w:line="276" w:lineRule="auto"/>
        <w:ind w:firstLine="708"/>
        <w:jc w:val="both"/>
        <w:rPr>
          <w:rFonts w:ascii="Verdana" w:eastAsia="MS Mincho" w:hAnsi="Verdana" w:cs="Arial"/>
          <w:lang w:val="es-ES" w:eastAsia="es-CO"/>
        </w:rPr>
      </w:pPr>
    </w:p>
    <w:p w14:paraId="14D9D628" w14:textId="77777777" w:rsidR="00CD5DE0" w:rsidRPr="000A2D9F" w:rsidRDefault="00CD5DE0" w:rsidP="00CD5DE0">
      <w:pPr>
        <w:spacing w:after="0" w:line="240" w:lineRule="auto"/>
        <w:ind w:firstLine="709"/>
        <w:jc w:val="both"/>
        <w:rPr>
          <w:rFonts w:ascii="Verdana" w:eastAsia="MS Mincho" w:hAnsi="Verdana" w:cs="Arial"/>
          <w:sz w:val="20"/>
          <w:szCs w:val="20"/>
          <w:lang w:eastAsia="es-CO"/>
        </w:rPr>
      </w:pPr>
      <w:r w:rsidRPr="000A2D9F">
        <w:rPr>
          <w:rFonts w:ascii="Verdana" w:eastAsia="MS Mincho" w:hAnsi="Verdana" w:cs="Arial"/>
          <w:i/>
          <w:iCs/>
          <w:sz w:val="20"/>
          <w:szCs w:val="20"/>
          <w:lang w:val="es-ES" w:eastAsia="es-CO"/>
        </w:rPr>
        <w:t>“</w:t>
      </w:r>
      <w:r w:rsidRPr="000A2D9F">
        <w:rPr>
          <w:rFonts w:ascii="Verdana" w:eastAsia="MS Mincho" w:hAnsi="Verdana" w:cs="Arial"/>
          <w:sz w:val="20"/>
          <w:szCs w:val="20"/>
          <w:lang w:eastAsia="es-CO"/>
        </w:rPr>
        <w:t>5o. Encargos Fiduciarios y Fiducia Pública.</w:t>
      </w:r>
    </w:p>
    <w:p w14:paraId="03F96B5E" w14:textId="77777777" w:rsidR="00CD5DE0" w:rsidRDefault="00CD5DE0" w:rsidP="00CD5DE0">
      <w:pPr>
        <w:spacing w:after="0" w:line="240" w:lineRule="auto"/>
        <w:ind w:left="709" w:right="709"/>
        <w:jc w:val="both"/>
        <w:rPr>
          <w:rFonts w:ascii="Verdana" w:eastAsia="MS Mincho" w:hAnsi="Verdana" w:cs="Arial"/>
          <w:sz w:val="20"/>
          <w:szCs w:val="20"/>
          <w:lang w:eastAsia="es-CO"/>
        </w:rPr>
      </w:pPr>
    </w:p>
    <w:p w14:paraId="1298966B" w14:textId="77777777" w:rsidR="00CD5DE0" w:rsidRPr="000A2D9F" w:rsidRDefault="00CD5DE0" w:rsidP="00CD5DE0">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 Los encargos fiduciarios y los contratos de fiducia pública sólo podrán celebrarse por las entidades estatales con estricta sujeción a lo dispuesto en el presente estatuto, únicamente para objetos y con plazos precisamente determinados. En ningún caso las entidades públicas fideicomitentes podrán delegar en las sociedades fiduciarias la adjudicación de los contratos que se celebren en desarrollo del encargo o de la fiducia pública, ni pactar su remuneración con cargo a los rendimientos del fideicomiso, salvo que éstos se encuentren presupuestados. </w:t>
      </w:r>
    </w:p>
    <w:p w14:paraId="02CF533A" w14:textId="77777777" w:rsidR="00CD5DE0" w:rsidRDefault="00CD5DE0" w:rsidP="00CD5DE0">
      <w:pPr>
        <w:spacing w:after="0" w:line="240" w:lineRule="auto"/>
        <w:ind w:left="709" w:right="709"/>
        <w:jc w:val="both"/>
        <w:rPr>
          <w:rFonts w:ascii="Verdana" w:eastAsia="MS Mincho" w:hAnsi="Verdana" w:cs="Arial"/>
          <w:sz w:val="20"/>
          <w:szCs w:val="20"/>
          <w:lang w:eastAsia="es-CO"/>
        </w:rPr>
      </w:pPr>
    </w:p>
    <w:p w14:paraId="66B88F11" w14:textId="77777777" w:rsidR="00CD5DE0" w:rsidRPr="000A2D9F" w:rsidRDefault="00CD5DE0" w:rsidP="00CD5DE0">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 La selección de las sociedades fiduciarias a contratar, sea pública o privada, se hará con rigurosa observancia del procedimiento de licitación o concurso previsto en esta ley. No obstante, los excedentes de tesorería de las entidades estatales, se podrán invertir directamente en fondos comunes ordinarios administrados por sociedades fiduciarias, sin necesidad de acudir a un proceso de licitación pública.  </w:t>
      </w:r>
    </w:p>
    <w:p w14:paraId="51556574" w14:textId="77777777" w:rsidR="00CD5DE0" w:rsidRPr="000A2D9F" w:rsidRDefault="00CD5DE0" w:rsidP="00CD5DE0">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 </w:t>
      </w:r>
    </w:p>
    <w:p w14:paraId="542201A9" w14:textId="77777777" w:rsidR="00CD5DE0" w:rsidRDefault="00CD5DE0" w:rsidP="00CD5DE0">
      <w:pPr>
        <w:spacing w:after="0" w:line="240" w:lineRule="auto"/>
        <w:ind w:left="709" w:right="709"/>
        <w:jc w:val="both"/>
        <w:rPr>
          <w:rFonts w:ascii="Verdana" w:eastAsia="MS Mincho" w:hAnsi="Verdana" w:cs="Arial"/>
          <w:sz w:val="20"/>
          <w:szCs w:val="20"/>
          <w:lang w:eastAsia="es-CO"/>
        </w:rPr>
      </w:pPr>
    </w:p>
    <w:p w14:paraId="37A6872A" w14:textId="77777777" w:rsidR="00CD5DE0" w:rsidRPr="006411BC" w:rsidRDefault="00CD5DE0" w:rsidP="00CD5DE0">
      <w:pPr>
        <w:spacing w:after="0" w:line="240" w:lineRule="auto"/>
        <w:ind w:left="709" w:right="709"/>
        <w:jc w:val="both"/>
        <w:rPr>
          <w:rFonts w:ascii="Verdana" w:eastAsia="MS Mincho" w:hAnsi="Verdana" w:cs="Arial"/>
          <w:sz w:val="20"/>
          <w:szCs w:val="20"/>
          <w:lang w:eastAsia="es-CO"/>
        </w:rPr>
      </w:pPr>
      <w:r w:rsidRPr="000A2D9F">
        <w:rPr>
          <w:rFonts w:ascii="Verdana" w:eastAsia="MS Mincho" w:hAnsi="Verdana" w:cs="Arial"/>
          <w:sz w:val="20"/>
          <w:szCs w:val="20"/>
          <w:lang w:eastAsia="es-CO"/>
        </w:rPr>
        <w:t xml:space="preserve">[…] </w:t>
      </w:r>
      <w:r w:rsidRPr="000A2D9F">
        <w:rPr>
          <w:rFonts w:ascii="Verdana" w:eastAsia="MS Mincho" w:hAnsi="Verdana" w:cs="Arial"/>
          <w:i/>
          <w:iCs/>
          <w:sz w:val="20"/>
          <w:szCs w:val="20"/>
          <w:lang w:eastAsia="es-CO"/>
        </w:rPr>
        <w:t>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w:t>
      </w:r>
    </w:p>
    <w:p w14:paraId="0A9C16C6" w14:textId="77777777" w:rsidR="00CD5DE0" w:rsidRDefault="00CD5DE0" w:rsidP="00CD5DE0">
      <w:pPr>
        <w:spacing w:after="0" w:line="240" w:lineRule="auto"/>
        <w:ind w:firstLine="709"/>
        <w:jc w:val="both"/>
        <w:rPr>
          <w:rFonts w:ascii="Verdana" w:eastAsia="MS Mincho" w:hAnsi="Verdana" w:cs="Arial"/>
          <w:lang w:val="es-ES_tradnl" w:eastAsia="es-CO"/>
        </w:rPr>
      </w:pPr>
    </w:p>
    <w:p w14:paraId="21226C78" w14:textId="77777777" w:rsidR="00CD5DE0" w:rsidRDefault="00CD5DE0" w:rsidP="00CD5DE0">
      <w:pPr>
        <w:spacing w:after="0" w:line="276" w:lineRule="auto"/>
        <w:ind w:firstLine="709"/>
        <w:jc w:val="both"/>
        <w:rPr>
          <w:rFonts w:ascii="Verdana" w:eastAsia="MS Mincho" w:hAnsi="Verdana" w:cs="Arial"/>
          <w:lang w:val="es-ES_tradnl" w:eastAsia="es-CO"/>
        </w:rPr>
      </w:pPr>
      <w:r>
        <w:rPr>
          <w:rFonts w:ascii="Verdana" w:eastAsia="MS Mincho" w:hAnsi="Verdana" w:cs="Arial"/>
          <w:lang w:val="es-ES_tradnl" w:eastAsia="es-CO"/>
        </w:rPr>
        <w:t xml:space="preserve">En efecto, la </w:t>
      </w:r>
      <w:r w:rsidRPr="002C3F2B">
        <w:rPr>
          <w:rFonts w:ascii="Verdana" w:eastAsia="MS Mincho" w:hAnsi="Verdana" w:cs="Arial"/>
          <w:i/>
          <w:iCs/>
          <w:lang w:val="es-ES_tradnl" w:eastAsia="es-CO"/>
        </w:rPr>
        <w:t>fiducia pública</w:t>
      </w:r>
      <w:r>
        <w:rPr>
          <w:rFonts w:ascii="Verdana" w:eastAsia="MS Mincho" w:hAnsi="Verdana" w:cs="Arial"/>
          <w:lang w:val="es-ES_tradnl" w:eastAsia="es-CO"/>
        </w:rPr>
        <w:t xml:space="preserve"> se diferencia de la </w:t>
      </w:r>
      <w:r w:rsidRPr="00B426FD">
        <w:rPr>
          <w:rFonts w:ascii="Verdana" w:eastAsia="MS Mincho" w:hAnsi="Verdana" w:cs="Arial"/>
          <w:i/>
          <w:iCs/>
          <w:lang w:val="es-ES_tradnl" w:eastAsia="es-CO"/>
        </w:rPr>
        <w:t>fiducia mercantil</w:t>
      </w:r>
      <w:r w:rsidRPr="00EE61AF">
        <w:rPr>
          <w:rFonts w:ascii="Verdana" w:eastAsia="MS Mincho" w:hAnsi="Verdana" w:cs="Arial"/>
          <w:lang w:val="es-ES_tradnl" w:eastAsia="es-CO"/>
        </w:rPr>
        <w:t xml:space="preserve"> en que en ningún caso implicará la transferencia de dominio sobre bienes o recursos estatales</w:t>
      </w:r>
      <w:r w:rsidRPr="004F70CA">
        <w:rPr>
          <w:rFonts w:ascii="Verdana" w:eastAsia="MS Mincho" w:hAnsi="Verdana" w:cs="Arial"/>
          <w:lang w:val="es-ES_tradnl" w:eastAsia="es-CO"/>
        </w:rPr>
        <w:t xml:space="preserve">, ni </w:t>
      </w:r>
      <w:r>
        <w:rPr>
          <w:rFonts w:ascii="Verdana" w:eastAsia="MS Mincho" w:hAnsi="Verdana" w:cs="Arial"/>
          <w:lang w:val="es-ES_tradnl" w:eastAsia="es-CO"/>
        </w:rPr>
        <w:t xml:space="preserve">podrá </w:t>
      </w:r>
      <w:r w:rsidRPr="004F70CA">
        <w:rPr>
          <w:rFonts w:ascii="Verdana" w:eastAsia="MS Mincho" w:hAnsi="Verdana" w:cs="Arial"/>
          <w:lang w:val="es-ES_tradnl" w:eastAsia="es-CO"/>
        </w:rPr>
        <w:t>constituir</w:t>
      </w:r>
      <w:r>
        <w:rPr>
          <w:rFonts w:ascii="Verdana" w:eastAsia="MS Mincho" w:hAnsi="Verdana" w:cs="Arial"/>
          <w:lang w:val="es-ES_tradnl" w:eastAsia="es-CO"/>
        </w:rPr>
        <w:t xml:space="preserve"> un</w:t>
      </w:r>
      <w:r w:rsidRPr="004F70CA">
        <w:rPr>
          <w:rFonts w:ascii="Verdana" w:eastAsia="MS Mincho" w:hAnsi="Verdana" w:cs="Arial"/>
          <w:lang w:val="es-ES_tradnl" w:eastAsia="es-CO"/>
        </w:rPr>
        <w:t xml:space="preserve"> patrimonio autónomo </w:t>
      </w:r>
      <w:r>
        <w:rPr>
          <w:rFonts w:ascii="Verdana" w:eastAsia="MS Mincho" w:hAnsi="Verdana" w:cs="Arial"/>
          <w:lang w:val="es-ES_tradnl" w:eastAsia="es-CO"/>
        </w:rPr>
        <w:t xml:space="preserve">al de </w:t>
      </w:r>
      <w:r w:rsidRPr="004F70CA">
        <w:rPr>
          <w:rFonts w:ascii="Verdana" w:eastAsia="MS Mincho" w:hAnsi="Verdana" w:cs="Arial"/>
          <w:lang w:val="es-ES_tradnl" w:eastAsia="es-CO"/>
        </w:rPr>
        <w:t>la respectiva entida</w:t>
      </w:r>
      <w:r>
        <w:rPr>
          <w:rFonts w:ascii="Verdana" w:eastAsia="MS Mincho" w:hAnsi="Verdana" w:cs="Arial"/>
          <w:lang w:val="es-ES_tradnl" w:eastAsia="es-CO"/>
        </w:rPr>
        <w:t>d</w:t>
      </w:r>
      <w:r w:rsidRPr="004F70CA">
        <w:rPr>
          <w:rFonts w:ascii="Verdana" w:eastAsia="MS Mincho" w:hAnsi="Verdana" w:cs="Arial"/>
          <w:lang w:val="es-ES_tradnl" w:eastAsia="es-CO"/>
        </w:rPr>
        <w:t>. Así lo consideró la Corte Constitucional, en la sentencia C-086 de 1995 al señalar que la Ley 80 de 1993 creó un contrato nuevo</w:t>
      </w:r>
      <w:r>
        <w:rPr>
          <w:rFonts w:ascii="Verdana" w:eastAsia="MS Mincho" w:hAnsi="Verdana" w:cs="Arial"/>
          <w:lang w:val="es-ES_tradnl" w:eastAsia="es-CO"/>
        </w:rPr>
        <w:t xml:space="preserve">, </w:t>
      </w:r>
      <w:r w:rsidRPr="004F70CA">
        <w:rPr>
          <w:rFonts w:ascii="Verdana" w:eastAsia="MS Mincho" w:hAnsi="Verdana" w:cs="Arial"/>
          <w:lang w:val="es-ES_tradnl" w:eastAsia="es-CO"/>
        </w:rPr>
        <w:t xml:space="preserve">autónomo </w:t>
      </w:r>
      <w:r>
        <w:rPr>
          <w:rFonts w:ascii="Verdana" w:eastAsia="MS Mincho" w:hAnsi="Verdana" w:cs="Arial"/>
          <w:lang w:val="es-ES_tradnl" w:eastAsia="es-CO"/>
        </w:rPr>
        <w:t xml:space="preserve">e independiente </w:t>
      </w:r>
      <w:r w:rsidRPr="004F70CA">
        <w:rPr>
          <w:rFonts w:ascii="Verdana" w:eastAsia="MS Mincho" w:hAnsi="Verdana" w:cs="Arial"/>
          <w:lang w:val="es-ES_tradnl" w:eastAsia="es-CO"/>
        </w:rPr>
        <w:t>a</w:t>
      </w:r>
      <w:r>
        <w:rPr>
          <w:rFonts w:ascii="Verdana" w:eastAsia="MS Mincho" w:hAnsi="Verdana" w:cs="Arial"/>
          <w:lang w:val="es-ES_tradnl" w:eastAsia="es-CO"/>
        </w:rPr>
        <w:t xml:space="preserve"> la fiducia mercantil</w:t>
      </w:r>
      <w:r w:rsidRPr="004F70CA">
        <w:rPr>
          <w:rFonts w:ascii="Verdana" w:eastAsia="MS Mincho" w:hAnsi="Verdana" w:cs="Arial"/>
          <w:lang w:val="es-ES_tradnl" w:eastAsia="es-CO"/>
        </w:rPr>
        <w:t xml:space="preserve"> del Código de</w:t>
      </w:r>
      <w:r w:rsidRPr="004F70CA">
        <w:rPr>
          <w:rFonts w:ascii="Verdana" w:eastAsia="MS Mincho" w:hAnsi="Verdana" w:cs="Arial"/>
          <w:spacing w:val="-27"/>
          <w:lang w:val="es-ES_tradnl" w:eastAsia="es-CO"/>
        </w:rPr>
        <w:t xml:space="preserve"> </w:t>
      </w:r>
      <w:r w:rsidRPr="004F70CA">
        <w:rPr>
          <w:rFonts w:ascii="Verdana" w:eastAsia="MS Mincho" w:hAnsi="Verdana" w:cs="Arial"/>
          <w:lang w:val="es-ES_tradnl" w:eastAsia="es-CO"/>
        </w:rPr>
        <w:t>Comercio</w:t>
      </w:r>
      <w:r w:rsidRPr="004F70CA">
        <w:rPr>
          <w:rFonts w:ascii="Verdana" w:eastAsia="MS Mincho" w:hAnsi="Verdana" w:cs="Arial"/>
          <w:vertAlign w:val="superscript"/>
          <w:lang w:val="es-ES_tradnl" w:eastAsia="es-CO"/>
        </w:rPr>
        <w:footnoteReference w:id="4"/>
      </w:r>
      <w:r w:rsidRPr="00BE1464">
        <w:rPr>
          <w:rFonts w:ascii="Verdana" w:eastAsia="MS Mincho" w:hAnsi="Verdana" w:cs="Arial"/>
          <w:lang w:val="es-ES_tradnl" w:eastAsia="es-CO"/>
        </w:rPr>
        <w:t xml:space="preserve">: </w:t>
      </w:r>
    </w:p>
    <w:p w14:paraId="40A7F675" w14:textId="77777777" w:rsidR="00CD5DE0" w:rsidRPr="000A3E27" w:rsidRDefault="00CD5DE0" w:rsidP="00CD5DE0">
      <w:pPr>
        <w:spacing w:after="0" w:line="276" w:lineRule="auto"/>
        <w:ind w:firstLine="709"/>
        <w:jc w:val="both"/>
        <w:rPr>
          <w:rFonts w:ascii="Verdana" w:eastAsia="MS Mincho" w:hAnsi="Verdana" w:cs="Arial"/>
          <w:lang w:val="es-ES_tradnl" w:eastAsia="es-CO"/>
        </w:rPr>
      </w:pPr>
    </w:p>
    <w:p w14:paraId="06A6CF8F" w14:textId="77777777" w:rsidR="00CD5DE0" w:rsidRPr="000A2D9F" w:rsidRDefault="00CD5DE0" w:rsidP="00CD5DE0">
      <w:pPr>
        <w:spacing w:after="0" w:line="240" w:lineRule="auto"/>
        <w:ind w:left="709" w:right="709"/>
        <w:jc w:val="both"/>
        <w:rPr>
          <w:rFonts w:ascii="Verdana" w:eastAsia="MS Mincho" w:hAnsi="Verdana" w:cs="Arial"/>
          <w:sz w:val="20"/>
          <w:szCs w:val="20"/>
          <w:lang w:val="es-ES_tradnl" w:eastAsia="es-CO"/>
        </w:rPr>
      </w:pPr>
      <w:r w:rsidRPr="000A2D9F">
        <w:rPr>
          <w:rFonts w:ascii="Verdana" w:eastAsia="MS Mincho" w:hAnsi="Verdana" w:cs="Arial"/>
          <w:sz w:val="20"/>
          <w:szCs w:val="20"/>
          <w:lang w:val="es-ES_tradnl" w:eastAsia="es-CO"/>
        </w:rPr>
        <w:t xml:space="preserve">“[…] el Estatuto General de Contratación Administrativa creó un nuevo tipo de contrato, sin definirlo, denominado "fiducia pública", el cual no se relaciona con el contrato de fiducia mercantil contenido en el Código de Comercio y en las disposiciones propias del sistema financiero. Se trata, pues, de un contrato autónomo e independiente, más parecido a un encargo fiduciario que a una fiducia (por el no traspaso de la propiedad, ni la constitución de un patrimonio autónomo), al que le serán aplicables las normas del Código de Comercio sobre fiducia mercantil, "en cuanto sean compatibles con lo dispuesto en esta ley". </w:t>
      </w:r>
    </w:p>
    <w:p w14:paraId="48754763" w14:textId="77777777" w:rsidR="00CD5DE0" w:rsidRDefault="00CD5DE0" w:rsidP="00CD5DE0">
      <w:pPr>
        <w:spacing w:after="0" w:line="240" w:lineRule="auto"/>
        <w:ind w:left="709" w:right="709"/>
        <w:jc w:val="both"/>
        <w:rPr>
          <w:rFonts w:ascii="Verdana" w:eastAsia="MS Mincho" w:hAnsi="Verdana" w:cs="Arial"/>
          <w:sz w:val="20"/>
          <w:szCs w:val="20"/>
          <w:lang w:val="es-ES" w:eastAsia="es-CO"/>
        </w:rPr>
      </w:pPr>
    </w:p>
    <w:p w14:paraId="564081C5" w14:textId="77777777" w:rsidR="00CD5DE0" w:rsidRPr="000A2D9F" w:rsidRDefault="00CD5DE0" w:rsidP="00CD5DE0">
      <w:pPr>
        <w:spacing w:after="0" w:line="240" w:lineRule="auto"/>
        <w:ind w:left="709" w:right="709"/>
        <w:jc w:val="both"/>
        <w:rPr>
          <w:rFonts w:ascii="Verdana" w:eastAsia="MS Mincho" w:hAnsi="Verdana" w:cs="Arial"/>
          <w:sz w:val="20"/>
          <w:szCs w:val="20"/>
          <w:lang w:val="es-ES" w:eastAsia="es-CO"/>
        </w:rPr>
      </w:pPr>
      <w:r w:rsidRPr="000A2D9F">
        <w:rPr>
          <w:rFonts w:ascii="Verdana" w:eastAsia="MS Mincho" w:hAnsi="Verdana" w:cs="Arial"/>
          <w:sz w:val="20"/>
          <w:szCs w:val="20"/>
          <w:lang w:val="es-ES" w:eastAsia="es-CO"/>
        </w:rPr>
        <w:t>Así, por ejemplo, al establecer la Ley 80 que el contrato de fiducia pública no comporta la transferencia de dominio ni la constitución de un patrimonio autónomo, entonces no le serán aplicables las normas correspondientes contenidas en el Código de Comercio, sin que ello signifique que se altera la naturaleza del contrato de fiducia mercantil. En otras palabras, esta Corporación encuentra que, en la actualidad, las entidades estatales podrán celebrar el contrato de fiducia pública en los términos del numeral 5o. del artículo 32, o el contrato de fiducia mercantil de acuerdo con lo dispuesto en el Código de Comercio y en las normas generales de contratación administrativa previstas en la citada Ley 80 de 1993”.</w:t>
      </w:r>
    </w:p>
    <w:p w14:paraId="03BF567C" w14:textId="77777777" w:rsidR="00CD5DE0" w:rsidRDefault="00CD5DE0" w:rsidP="00CD5DE0">
      <w:pPr>
        <w:spacing w:after="0" w:line="276" w:lineRule="auto"/>
        <w:ind w:firstLine="360"/>
        <w:jc w:val="both"/>
        <w:rPr>
          <w:rFonts w:ascii="Verdana" w:eastAsia="MS Mincho" w:hAnsi="Verdana" w:cs="Arial"/>
          <w:lang w:val="es-ES" w:eastAsia="es-CO"/>
        </w:rPr>
      </w:pPr>
    </w:p>
    <w:p w14:paraId="5E658672" w14:textId="77777777" w:rsidR="00CD5DE0" w:rsidRPr="00F4004C" w:rsidRDefault="00CD5DE0" w:rsidP="00CD5DE0">
      <w:pPr>
        <w:spacing w:after="120" w:line="276" w:lineRule="auto"/>
        <w:ind w:firstLine="708"/>
        <w:jc w:val="both"/>
        <w:rPr>
          <w:rFonts w:ascii="Verdana" w:eastAsia="MS Mincho" w:hAnsi="Verdana" w:cs="Arial"/>
          <w:lang w:eastAsia="es-CO"/>
        </w:rPr>
      </w:pPr>
      <w:r w:rsidRPr="00F4004C">
        <w:rPr>
          <w:rFonts w:ascii="Verdana" w:eastAsia="MS Mincho" w:hAnsi="Verdana" w:cs="Arial"/>
          <w:lang w:val="es-ES" w:eastAsia="es-CO"/>
        </w:rPr>
        <w:t xml:space="preserve">Según lo anterior, en virtud del </w:t>
      </w:r>
      <w:r w:rsidRPr="00F4004C">
        <w:rPr>
          <w:rFonts w:ascii="Verdana" w:eastAsia="MS Mincho" w:hAnsi="Verdana" w:cs="Arial"/>
          <w:lang w:eastAsia="es-CO"/>
        </w:rPr>
        <w:t xml:space="preserve">numeral 5 del artículo 32 de la Ley 80 de 1993, las normas </w:t>
      </w:r>
      <w:r>
        <w:rPr>
          <w:rFonts w:ascii="Verdana" w:eastAsia="MS Mincho" w:hAnsi="Verdana" w:cs="Arial"/>
          <w:lang w:eastAsia="es-CO"/>
        </w:rPr>
        <w:t xml:space="preserve">establecidas en el </w:t>
      </w:r>
      <w:r w:rsidRPr="00F4004C">
        <w:rPr>
          <w:rFonts w:ascii="Verdana" w:eastAsia="MS Mincho" w:hAnsi="Verdana" w:cs="Arial"/>
          <w:lang w:eastAsia="es-CO"/>
        </w:rPr>
        <w:t xml:space="preserve">Código de Comercio sobre </w:t>
      </w:r>
      <w:r>
        <w:rPr>
          <w:rFonts w:ascii="Verdana" w:eastAsia="MS Mincho" w:hAnsi="Verdana" w:cs="Arial"/>
          <w:lang w:eastAsia="es-CO"/>
        </w:rPr>
        <w:t xml:space="preserve">la </w:t>
      </w:r>
      <w:r w:rsidRPr="00F4004C">
        <w:rPr>
          <w:rFonts w:ascii="Verdana" w:eastAsia="MS Mincho" w:hAnsi="Verdana" w:cs="Arial"/>
          <w:lang w:eastAsia="es-CO"/>
        </w:rPr>
        <w:t xml:space="preserve">fiducia mercantil serán aplicables </w:t>
      </w:r>
      <w:r>
        <w:rPr>
          <w:rFonts w:ascii="Verdana" w:eastAsia="MS Mincho" w:hAnsi="Verdana" w:cs="Arial"/>
          <w:lang w:eastAsia="es-CO"/>
        </w:rPr>
        <w:t>a la</w:t>
      </w:r>
      <w:r w:rsidRPr="00F4004C">
        <w:rPr>
          <w:rFonts w:ascii="Verdana" w:eastAsia="MS Mincho" w:hAnsi="Verdana" w:cs="Arial"/>
          <w:lang w:eastAsia="es-CO"/>
        </w:rPr>
        <w:t xml:space="preserve"> fiducia pública siempre que sean compatibles con lo dispuesto en </w:t>
      </w:r>
      <w:r>
        <w:rPr>
          <w:rFonts w:ascii="Verdana" w:eastAsia="MS Mincho" w:hAnsi="Verdana" w:cs="Arial"/>
          <w:lang w:eastAsia="es-CO"/>
        </w:rPr>
        <w:t>ese</w:t>
      </w:r>
      <w:r w:rsidRPr="00F4004C">
        <w:rPr>
          <w:rFonts w:ascii="Verdana" w:eastAsia="MS Mincho" w:hAnsi="Verdana" w:cs="Arial"/>
          <w:lang w:eastAsia="es-CO"/>
        </w:rPr>
        <w:t xml:space="preserve"> Estatuto. En este sentido, la Sala de Consulta y Servicio Civil del Consejo de Estado seña</w:t>
      </w:r>
      <w:r>
        <w:rPr>
          <w:rFonts w:ascii="Verdana" w:eastAsia="MS Mincho" w:hAnsi="Verdana" w:cs="Arial"/>
          <w:lang w:eastAsia="es-CO"/>
        </w:rPr>
        <w:t>l</w:t>
      </w:r>
      <w:r w:rsidRPr="00F4004C">
        <w:rPr>
          <w:rFonts w:ascii="Verdana" w:eastAsia="MS Mincho" w:hAnsi="Verdana" w:cs="Arial"/>
          <w:lang w:eastAsia="es-CO"/>
        </w:rPr>
        <w:t xml:space="preserve">a que se deberán aplicar las normas de los </w:t>
      </w:r>
      <w:r w:rsidRPr="002C3F2B">
        <w:rPr>
          <w:rFonts w:ascii="Verdana" w:eastAsia="MS Mincho" w:hAnsi="Verdana" w:cs="Arial"/>
          <w:lang w:eastAsia="es-CO"/>
        </w:rPr>
        <w:t>artículos 1226 a 1244 del Código de Comercio</w:t>
      </w:r>
      <w:r w:rsidRPr="00F4004C">
        <w:rPr>
          <w:rFonts w:ascii="Verdana" w:eastAsia="MS Mincho" w:hAnsi="Verdana" w:cs="Arial"/>
          <w:lang w:eastAsia="es-CO"/>
        </w:rPr>
        <w:t xml:space="preserve"> a las fiducias públicas</w:t>
      </w:r>
      <w:r>
        <w:rPr>
          <w:rFonts w:ascii="Verdana" w:eastAsia="MS Mincho" w:hAnsi="Verdana" w:cs="Arial"/>
          <w:lang w:eastAsia="es-CO"/>
        </w:rPr>
        <w:t xml:space="preserve"> con las siguientes salvedades</w:t>
      </w:r>
      <w:r w:rsidRPr="00F4004C">
        <w:rPr>
          <w:rFonts w:ascii="Verdana" w:eastAsia="MS Mincho" w:hAnsi="Verdana" w:cs="Arial"/>
          <w:lang w:eastAsia="es-CO"/>
        </w:rPr>
        <w:t>:</w:t>
      </w:r>
    </w:p>
    <w:p w14:paraId="77E3B47A" w14:textId="77777777" w:rsidR="00CD5DE0" w:rsidRPr="00F4004C" w:rsidRDefault="00CD5DE0" w:rsidP="00CD5DE0">
      <w:pPr>
        <w:pStyle w:val="Prrafodelista"/>
        <w:numPr>
          <w:ilvl w:val="0"/>
          <w:numId w:val="18"/>
        </w:numPr>
        <w:spacing w:after="120" w:line="276" w:lineRule="auto"/>
        <w:jc w:val="both"/>
        <w:rPr>
          <w:rFonts w:ascii="Verdana" w:eastAsia="MS Mincho" w:hAnsi="Verdana" w:cs="Arial"/>
          <w:lang w:eastAsia="es-CO"/>
        </w:rPr>
      </w:pPr>
      <w:r w:rsidRPr="00F4004C">
        <w:rPr>
          <w:rFonts w:ascii="Verdana" w:eastAsia="MS Mincho" w:hAnsi="Verdana" w:cs="Arial"/>
          <w:lang w:eastAsia="es-CO"/>
        </w:rPr>
        <w:t>La fiducia pública no implica en ningún caso la transferencia de la propiedad de los bienes o recursos fideicomitidos. </w:t>
      </w:r>
    </w:p>
    <w:p w14:paraId="758FB031" w14:textId="77777777" w:rsidR="00CD5DE0" w:rsidRPr="00F4004C" w:rsidRDefault="00CD5DE0" w:rsidP="00CD5DE0">
      <w:pPr>
        <w:pStyle w:val="Prrafodelista"/>
        <w:numPr>
          <w:ilvl w:val="0"/>
          <w:numId w:val="18"/>
        </w:numPr>
        <w:spacing w:after="120" w:line="276" w:lineRule="auto"/>
        <w:jc w:val="both"/>
        <w:rPr>
          <w:rFonts w:ascii="Verdana" w:eastAsia="MS Mincho" w:hAnsi="Verdana" w:cs="Arial"/>
          <w:lang w:eastAsia="es-CO"/>
        </w:rPr>
      </w:pPr>
      <w:r w:rsidRPr="00F4004C">
        <w:rPr>
          <w:rFonts w:ascii="Verdana" w:eastAsia="MS Mincho" w:hAnsi="Verdana" w:cs="Arial"/>
          <w:lang w:eastAsia="es-CO"/>
        </w:rPr>
        <w:t>Tampoco constituye un patrimonio autónomo afecto a la finalidad de la fiducia, en manos de la sociedad fiduciaria. </w:t>
      </w:r>
    </w:p>
    <w:p w14:paraId="24673C04" w14:textId="77777777" w:rsidR="00CD5DE0" w:rsidRPr="00F4004C" w:rsidRDefault="00CD5DE0" w:rsidP="00CD5DE0">
      <w:pPr>
        <w:pStyle w:val="Prrafodelista"/>
        <w:numPr>
          <w:ilvl w:val="0"/>
          <w:numId w:val="18"/>
        </w:numPr>
        <w:spacing w:after="120" w:line="276" w:lineRule="auto"/>
        <w:jc w:val="both"/>
        <w:rPr>
          <w:rFonts w:ascii="Verdana" w:eastAsia="MS Mincho" w:hAnsi="Verdana" w:cs="Arial"/>
          <w:lang w:eastAsia="es-CO"/>
        </w:rPr>
      </w:pPr>
      <w:r w:rsidRPr="00F4004C">
        <w:rPr>
          <w:rFonts w:ascii="Verdana" w:eastAsia="MS Mincho" w:hAnsi="Verdana" w:cs="Arial"/>
          <w:lang w:eastAsia="es-CO"/>
        </w:rPr>
        <w:t>La adjudicación de los subcontratos debe ser realizada por la entidad estatal fideicomitente.</w:t>
      </w:r>
    </w:p>
    <w:p w14:paraId="277634CE" w14:textId="77777777" w:rsidR="00CD5DE0" w:rsidRPr="00F4004C" w:rsidRDefault="00CD5DE0" w:rsidP="00CD5DE0">
      <w:pPr>
        <w:pStyle w:val="Prrafodelista"/>
        <w:numPr>
          <w:ilvl w:val="0"/>
          <w:numId w:val="18"/>
        </w:numPr>
        <w:spacing w:after="120" w:line="276" w:lineRule="auto"/>
        <w:jc w:val="both"/>
        <w:rPr>
          <w:rFonts w:ascii="Verdana" w:eastAsia="MS Mincho" w:hAnsi="Verdana" w:cs="Arial"/>
          <w:lang w:eastAsia="es-CO"/>
        </w:rPr>
      </w:pPr>
      <w:r w:rsidRPr="00F4004C">
        <w:rPr>
          <w:rFonts w:ascii="Verdana" w:eastAsia="MS Mincho" w:hAnsi="Verdana" w:cs="Arial"/>
          <w:lang w:eastAsia="es-CO"/>
        </w:rPr>
        <w:t xml:space="preserve">No se puede pactar que la comisión de la sociedad fiduciaria sea tomada de los rendimientos del fideicomiso, salvo que éstos se encuentren presupuestados. </w:t>
      </w:r>
    </w:p>
    <w:p w14:paraId="7CD48405" w14:textId="77777777" w:rsidR="00CD5DE0" w:rsidRPr="00F4004C" w:rsidRDefault="00CD5DE0" w:rsidP="00CD5DE0">
      <w:pPr>
        <w:pStyle w:val="Prrafodelista"/>
        <w:numPr>
          <w:ilvl w:val="0"/>
          <w:numId w:val="18"/>
        </w:numPr>
        <w:spacing w:after="120" w:line="276" w:lineRule="auto"/>
        <w:jc w:val="both"/>
        <w:rPr>
          <w:rFonts w:ascii="Verdana" w:eastAsia="MS Mincho" w:hAnsi="Verdana" w:cs="Arial"/>
          <w:lang w:eastAsia="es-CO"/>
        </w:rPr>
      </w:pPr>
      <w:r w:rsidRPr="00F4004C">
        <w:rPr>
          <w:rFonts w:ascii="Verdana" w:eastAsia="MS Mincho" w:hAnsi="Verdana" w:cs="Arial"/>
          <w:lang w:eastAsia="es-CO"/>
        </w:rPr>
        <w:t>El procedimiento de contratación de cualquiera de los negocios fiduciarios</w:t>
      </w:r>
      <w:r>
        <w:rPr>
          <w:rFonts w:ascii="Verdana" w:eastAsia="MS Mincho" w:hAnsi="Verdana" w:cs="Arial"/>
          <w:lang w:eastAsia="es-CO"/>
        </w:rPr>
        <w:t xml:space="preserve"> señalados en el artículo 32, es decir, </w:t>
      </w:r>
      <w:r w:rsidRPr="00F4004C">
        <w:rPr>
          <w:rFonts w:ascii="Verdana" w:eastAsia="MS Mincho" w:hAnsi="Verdana" w:cs="Arial"/>
          <w:lang w:eastAsia="es-CO"/>
        </w:rPr>
        <w:t xml:space="preserve">el encargo fiduciario y la fiducia pública, por parte de las entidades estatales, debe ser la licitación pública o el concurso establecido en el parágrafo del artículo 30 de la </w:t>
      </w:r>
      <w:r>
        <w:rPr>
          <w:rFonts w:ascii="Verdana" w:eastAsia="MS Mincho" w:hAnsi="Verdana" w:cs="Arial"/>
          <w:lang w:eastAsia="es-CO"/>
        </w:rPr>
        <w:t>L</w:t>
      </w:r>
      <w:r w:rsidRPr="00F4004C">
        <w:rPr>
          <w:rFonts w:ascii="Verdana" w:eastAsia="MS Mincho" w:hAnsi="Verdana" w:cs="Arial"/>
          <w:lang w:eastAsia="es-CO"/>
        </w:rPr>
        <w:t>ey 80</w:t>
      </w:r>
      <w:r>
        <w:rPr>
          <w:rFonts w:ascii="Verdana" w:eastAsia="MS Mincho" w:hAnsi="Verdana" w:cs="Arial"/>
          <w:lang w:eastAsia="es-CO"/>
        </w:rPr>
        <w:t xml:space="preserve"> de 1993.</w:t>
      </w:r>
    </w:p>
    <w:p w14:paraId="7FD9B510" w14:textId="77777777" w:rsidR="00CD5DE0" w:rsidRPr="00240A90" w:rsidRDefault="00CD5DE0" w:rsidP="00CD5DE0">
      <w:pPr>
        <w:spacing w:after="120" w:line="276" w:lineRule="auto"/>
        <w:ind w:firstLine="360"/>
        <w:jc w:val="both"/>
        <w:rPr>
          <w:rFonts w:ascii="Verdana" w:eastAsia="MS Mincho" w:hAnsi="Verdana" w:cs="Arial"/>
          <w:lang w:val="es-ES" w:eastAsia="es-CO"/>
        </w:rPr>
      </w:pPr>
      <w:r w:rsidRPr="00B426FD">
        <w:rPr>
          <w:rFonts w:ascii="Verdana" w:eastAsia="MS Mincho" w:hAnsi="Verdana" w:cs="Arial"/>
          <w:lang w:val="es-ES" w:eastAsia="es-CO"/>
        </w:rPr>
        <w:t>Adicionalmente la Corte</w:t>
      </w:r>
      <w:r w:rsidRPr="00B62A36">
        <w:rPr>
          <w:rStyle w:val="Refdenotaalpie"/>
          <w:rFonts w:ascii="Verdana" w:eastAsia="MS Mincho" w:hAnsi="Verdana" w:cs="Arial"/>
          <w:lang w:eastAsia="es-CO"/>
        </w:rPr>
        <w:footnoteReference w:id="5"/>
      </w:r>
      <w:r w:rsidRPr="00B62A36">
        <w:rPr>
          <w:rFonts w:ascii="Verdana" w:eastAsia="MS Mincho" w:hAnsi="Verdana" w:cs="Arial"/>
          <w:lang w:eastAsia="es-CO"/>
        </w:rPr>
        <w:t xml:space="preserve"> se refirió a las diferencias existentes entre la fiducia mercantil y la fiducia pública</w:t>
      </w:r>
      <w:r>
        <w:rPr>
          <w:rFonts w:ascii="Verdana" w:eastAsia="MS Mincho" w:hAnsi="Verdana" w:cs="Arial"/>
          <w:lang w:eastAsia="es-CO"/>
        </w:rPr>
        <w:t>, adicional a que</w:t>
      </w:r>
      <w:r w:rsidRPr="00B426FD">
        <w:rPr>
          <w:rFonts w:ascii="Verdana" w:eastAsia="MS Mincho" w:hAnsi="Verdana" w:cs="Arial"/>
          <w:b/>
          <w:bCs/>
          <w:lang w:eastAsia="es-CO"/>
        </w:rPr>
        <w:t xml:space="preserve"> </w:t>
      </w:r>
      <w:r w:rsidRPr="00B426FD">
        <w:rPr>
          <w:rFonts w:ascii="Verdana" w:eastAsia="MS Mincho" w:hAnsi="Verdana" w:cs="Arial"/>
          <w:lang w:eastAsia="es-CO"/>
        </w:rPr>
        <w:t>e</w:t>
      </w:r>
      <w:r w:rsidRPr="00240A90">
        <w:rPr>
          <w:rFonts w:ascii="Verdana" w:eastAsia="MS Mincho" w:hAnsi="Verdana" w:cs="Arial"/>
          <w:lang w:eastAsia="es-CO"/>
        </w:rPr>
        <w:t>l contrato de fiducia pública no permite la transferencia del dominio de los bienes</w:t>
      </w:r>
      <w:r>
        <w:rPr>
          <w:rFonts w:ascii="Verdana" w:eastAsia="MS Mincho" w:hAnsi="Verdana" w:cs="Arial"/>
          <w:lang w:eastAsia="es-CO"/>
        </w:rPr>
        <w:t xml:space="preserve">, ni </w:t>
      </w:r>
      <w:r w:rsidRPr="00240A90">
        <w:rPr>
          <w:rFonts w:ascii="Verdana" w:eastAsia="MS Mincho" w:hAnsi="Verdana" w:cs="Arial"/>
          <w:lang w:eastAsia="es-CO"/>
        </w:rPr>
        <w:t>se constituye un patrimonio autónomo diferente al propio</w:t>
      </w:r>
      <w:r>
        <w:rPr>
          <w:rFonts w:ascii="Verdana" w:eastAsia="MS Mincho" w:hAnsi="Verdana" w:cs="Arial"/>
          <w:lang w:val="es-ES" w:eastAsia="es-CO"/>
        </w:rPr>
        <w:t>;</w:t>
      </w:r>
      <w:r w:rsidRPr="00B426FD">
        <w:rPr>
          <w:rFonts w:ascii="Verdana" w:eastAsia="MS Mincho" w:hAnsi="Verdana" w:cs="Arial"/>
          <w:lang w:val="es-ES" w:eastAsia="es-CO"/>
        </w:rPr>
        <w:t xml:space="preserve"> las entidades</w:t>
      </w:r>
      <w:r w:rsidRPr="00240A90">
        <w:rPr>
          <w:rFonts w:ascii="Verdana" w:eastAsia="MS Mincho" w:hAnsi="Verdana" w:cs="Arial"/>
          <w:lang w:eastAsia="es-CO"/>
        </w:rPr>
        <w:t xml:space="preserve"> no pueden delegar en sociedades fiduciarias la adjudicación de contratos que resulten necesarios para el desarrollo de la fiducia pública.</w:t>
      </w:r>
      <w:r w:rsidRPr="00B426FD">
        <w:rPr>
          <w:rFonts w:ascii="Verdana" w:eastAsia="MS Mincho" w:hAnsi="Verdana" w:cs="Arial"/>
          <w:lang w:val="es-ES" w:eastAsia="es-CO"/>
        </w:rPr>
        <w:t xml:space="preserve"> En </w:t>
      </w:r>
      <w:r>
        <w:rPr>
          <w:rFonts w:ascii="Verdana" w:eastAsia="MS Mincho" w:hAnsi="Verdana" w:cs="Arial"/>
          <w:lang w:val="es-ES" w:eastAsia="es-CO"/>
        </w:rPr>
        <w:t xml:space="preserve">segundo </w:t>
      </w:r>
      <w:r w:rsidRPr="00B426FD">
        <w:rPr>
          <w:rFonts w:ascii="Verdana" w:eastAsia="MS Mincho" w:hAnsi="Verdana" w:cs="Arial"/>
          <w:lang w:val="es-ES" w:eastAsia="es-CO"/>
        </w:rPr>
        <w:t>lugar,</w:t>
      </w:r>
      <w:r w:rsidRPr="00240A90">
        <w:rPr>
          <w:rFonts w:ascii="Verdana" w:eastAsia="MS Mincho" w:hAnsi="Verdana" w:cs="Arial"/>
          <w:lang w:eastAsia="es-CO"/>
        </w:rPr>
        <w:t> </w:t>
      </w:r>
      <w:r>
        <w:rPr>
          <w:rFonts w:ascii="Verdana" w:eastAsia="MS Mincho" w:hAnsi="Verdana" w:cs="Arial"/>
          <w:lang w:eastAsia="es-CO"/>
        </w:rPr>
        <w:t>l</w:t>
      </w:r>
      <w:r w:rsidRPr="00240A90">
        <w:rPr>
          <w:rFonts w:ascii="Verdana" w:eastAsia="MS Mincho" w:hAnsi="Verdana" w:cs="Arial"/>
          <w:lang w:eastAsia="es-CO"/>
        </w:rPr>
        <w:t xml:space="preserve">os contratos de fiducia pública </w:t>
      </w:r>
      <w:r>
        <w:rPr>
          <w:rFonts w:ascii="Verdana" w:eastAsia="MS Mincho" w:hAnsi="Verdana" w:cs="Arial"/>
          <w:lang w:eastAsia="es-CO"/>
        </w:rPr>
        <w:t xml:space="preserve">deben </w:t>
      </w:r>
      <w:r w:rsidRPr="00B426FD">
        <w:rPr>
          <w:rFonts w:ascii="Verdana" w:eastAsia="MS Mincho" w:hAnsi="Verdana" w:cs="Arial"/>
          <w:lang w:eastAsia="es-CO"/>
        </w:rPr>
        <w:t xml:space="preserve">tener un </w:t>
      </w:r>
      <w:r w:rsidRPr="00240A90">
        <w:rPr>
          <w:rFonts w:ascii="Verdana" w:eastAsia="MS Mincho" w:hAnsi="Verdana" w:cs="Arial"/>
          <w:lang w:eastAsia="es-CO"/>
        </w:rPr>
        <w:t>objeto y plazo determinados</w:t>
      </w:r>
      <w:r w:rsidRPr="00B426FD">
        <w:rPr>
          <w:rFonts w:ascii="Verdana" w:eastAsia="MS Mincho" w:hAnsi="Verdana" w:cs="Arial"/>
          <w:lang w:eastAsia="es-CO"/>
        </w:rPr>
        <w:t xml:space="preserve">. </w:t>
      </w:r>
      <w:r>
        <w:rPr>
          <w:rFonts w:ascii="Verdana" w:eastAsia="MS Mincho" w:hAnsi="Verdana" w:cs="Arial"/>
          <w:lang w:eastAsia="es-CO"/>
        </w:rPr>
        <w:t>F</w:t>
      </w:r>
      <w:r w:rsidRPr="00B426FD">
        <w:rPr>
          <w:rFonts w:ascii="Verdana" w:eastAsia="MS Mincho" w:hAnsi="Verdana" w:cs="Arial"/>
          <w:lang w:eastAsia="es-CO"/>
        </w:rPr>
        <w:t xml:space="preserve">inalmente, </w:t>
      </w:r>
      <w:r w:rsidRPr="00240A90">
        <w:rPr>
          <w:rFonts w:ascii="Verdana" w:eastAsia="MS Mincho" w:hAnsi="Verdana" w:cs="Arial"/>
          <w:lang w:eastAsia="es-CO"/>
        </w:rPr>
        <w:t>la Contraloría General de la República,</w:t>
      </w:r>
      <w:r w:rsidRPr="00B426FD">
        <w:rPr>
          <w:rFonts w:ascii="Verdana" w:eastAsia="MS Mincho" w:hAnsi="Verdana" w:cs="Arial"/>
          <w:lang w:eastAsia="es-CO"/>
        </w:rPr>
        <w:t xml:space="preserve"> así como las</w:t>
      </w:r>
      <w:r w:rsidRPr="00240A90">
        <w:rPr>
          <w:rFonts w:ascii="Verdana" w:eastAsia="MS Mincho" w:hAnsi="Verdana" w:cs="Arial"/>
          <w:lang w:eastAsia="es-CO"/>
        </w:rPr>
        <w:t xml:space="preserve"> contralorías departamentales, distritales y municipales, deben ejercer control sobre las actuaciones de la fiduciaria en relación con la ejecución de recursos públicos</w:t>
      </w:r>
      <w:r w:rsidRPr="00B426FD">
        <w:rPr>
          <w:rFonts w:ascii="Verdana" w:eastAsia="MS Mincho" w:hAnsi="Verdana" w:cs="Arial"/>
          <w:lang w:eastAsia="es-CO"/>
        </w:rPr>
        <w:t xml:space="preserve">, </w:t>
      </w:r>
      <w:r>
        <w:rPr>
          <w:rFonts w:ascii="Verdana" w:eastAsia="MS Mincho" w:hAnsi="Verdana" w:cs="Arial"/>
          <w:lang w:eastAsia="es-CO"/>
        </w:rPr>
        <w:t>a</w:t>
      </w:r>
      <w:r w:rsidRPr="00240A90">
        <w:rPr>
          <w:rFonts w:ascii="Verdana" w:eastAsia="MS Mincho" w:hAnsi="Verdana" w:cs="Arial"/>
          <w:lang w:eastAsia="es-CO"/>
        </w:rPr>
        <w:t xml:space="preserve">demás de la vigilancia </w:t>
      </w:r>
      <w:r w:rsidRPr="00B426FD">
        <w:rPr>
          <w:rFonts w:ascii="Verdana" w:eastAsia="MS Mincho" w:hAnsi="Verdana" w:cs="Arial"/>
          <w:lang w:eastAsia="es-CO"/>
        </w:rPr>
        <w:t xml:space="preserve">que ejerza la </w:t>
      </w:r>
      <w:r w:rsidRPr="00240A90">
        <w:rPr>
          <w:rFonts w:ascii="Verdana" w:eastAsia="MS Mincho" w:hAnsi="Verdana" w:cs="Arial"/>
          <w:lang w:eastAsia="es-CO"/>
        </w:rPr>
        <w:t xml:space="preserve">Superintendencia Financiera sobre </w:t>
      </w:r>
      <w:r w:rsidRPr="00B426FD">
        <w:rPr>
          <w:rFonts w:ascii="Verdana" w:eastAsia="MS Mincho" w:hAnsi="Verdana" w:cs="Arial"/>
          <w:lang w:eastAsia="es-CO"/>
        </w:rPr>
        <w:t>las sociedades fiduciarias.</w:t>
      </w:r>
    </w:p>
    <w:p w14:paraId="5E0433C0" w14:textId="77777777" w:rsidR="00CD5DE0" w:rsidRDefault="00CD5DE0" w:rsidP="00CD5DE0">
      <w:pPr>
        <w:spacing w:after="120" w:line="276" w:lineRule="auto"/>
        <w:ind w:firstLine="709"/>
        <w:jc w:val="both"/>
        <w:rPr>
          <w:rFonts w:ascii="Verdana" w:eastAsia="MS Mincho" w:hAnsi="Verdana" w:cs="Arial"/>
          <w:lang w:val="es-ES_tradnl" w:eastAsia="es-CO"/>
        </w:rPr>
      </w:pPr>
      <w:r w:rsidRPr="00B426FD">
        <w:rPr>
          <w:rFonts w:ascii="Verdana" w:eastAsia="MS Mincho" w:hAnsi="Verdana" w:cs="Arial"/>
          <w:lang w:val="es-ES_tradnl" w:eastAsia="es-CO"/>
        </w:rPr>
        <w:t xml:space="preserve">Por otra parte, es necesario subrayar que </w:t>
      </w:r>
      <w:r w:rsidRPr="00B426FD">
        <w:rPr>
          <w:rFonts w:ascii="Verdana" w:eastAsia="MS Mincho" w:hAnsi="Verdana" w:cs="Arial"/>
          <w:lang w:eastAsia="es-CO"/>
        </w:rPr>
        <w:t>el numeral </w:t>
      </w:r>
      <w:r w:rsidRPr="005E46B7">
        <w:rPr>
          <w:rFonts w:ascii="Verdana" w:eastAsia="MS Mincho" w:hAnsi="Verdana" w:cs="Arial"/>
          <w:lang w:eastAsia="es-CO"/>
        </w:rPr>
        <w:t>5</w:t>
      </w:r>
      <w:r w:rsidRPr="00B426FD">
        <w:rPr>
          <w:rFonts w:ascii="Verdana" w:eastAsia="MS Mincho" w:hAnsi="Verdana" w:cs="Arial"/>
          <w:lang w:eastAsia="es-CO"/>
        </w:rPr>
        <w:t xml:space="preserve"> del artículo 32 de la Ley 80 de 1993 </w:t>
      </w:r>
      <w:r>
        <w:rPr>
          <w:rFonts w:ascii="Verdana" w:eastAsia="MS Mincho" w:hAnsi="Verdana" w:cs="Arial"/>
          <w:lang w:eastAsia="es-CO"/>
        </w:rPr>
        <w:t xml:space="preserve">señaló </w:t>
      </w:r>
      <w:r w:rsidRPr="00B426FD">
        <w:rPr>
          <w:rFonts w:ascii="Verdana" w:eastAsia="MS Mincho" w:hAnsi="Verdana" w:cs="Arial"/>
          <w:lang w:eastAsia="es-CO"/>
        </w:rPr>
        <w:t xml:space="preserve">que las entidades estatales pueden celebrar no solo contratos de fiducia pública, sino también </w:t>
      </w:r>
      <w:r w:rsidRPr="005E46B7">
        <w:rPr>
          <w:rFonts w:ascii="Verdana" w:eastAsia="MS Mincho" w:hAnsi="Verdana" w:cs="Arial"/>
          <w:i/>
          <w:iCs/>
          <w:lang w:eastAsia="es-CO"/>
        </w:rPr>
        <w:t>encargos fiduciarios</w:t>
      </w:r>
      <w:r w:rsidRPr="00B426FD">
        <w:rPr>
          <w:rFonts w:ascii="Verdana" w:eastAsia="MS Mincho" w:hAnsi="Verdana" w:cs="Arial"/>
          <w:lang w:eastAsia="es-CO"/>
        </w:rPr>
        <w:t xml:space="preserve">. Al respecto, </w:t>
      </w:r>
      <w:r w:rsidRPr="00B426FD">
        <w:rPr>
          <w:rFonts w:ascii="Verdana" w:eastAsia="MS Mincho" w:hAnsi="Verdana" w:cs="Arial"/>
          <w:lang w:val="es-ES_tradnl" w:eastAsia="es-CO"/>
        </w:rPr>
        <w:t xml:space="preserve">la Corte Constitucional ha señalado que la fiducia pública es parecida a un </w:t>
      </w:r>
      <w:r w:rsidRPr="00B426FD">
        <w:rPr>
          <w:rFonts w:ascii="Verdana" w:eastAsia="MS Mincho" w:hAnsi="Verdana" w:cs="Arial"/>
          <w:i/>
          <w:iCs/>
          <w:lang w:val="es-ES_tradnl" w:eastAsia="es-CO"/>
        </w:rPr>
        <w:t>encargo fiduciario</w:t>
      </w:r>
      <w:r w:rsidRPr="00B426FD">
        <w:rPr>
          <w:rFonts w:ascii="Verdana" w:eastAsia="MS Mincho" w:hAnsi="Verdana" w:cs="Arial"/>
          <w:lang w:val="es-ES_tradnl" w:eastAsia="es-CO"/>
        </w:rPr>
        <w:t xml:space="preserve"> debido a que no existe un traspaso de la propiedad de los bienes. No obstante</w:t>
      </w:r>
      <w:r>
        <w:rPr>
          <w:rFonts w:ascii="Verdana" w:eastAsia="MS Mincho" w:hAnsi="Verdana" w:cs="Arial"/>
          <w:lang w:val="es-ES_tradnl" w:eastAsia="es-CO"/>
        </w:rPr>
        <w:t>,</w:t>
      </w:r>
      <w:r w:rsidRPr="00B426FD">
        <w:rPr>
          <w:rFonts w:ascii="Verdana" w:eastAsia="MS Mincho" w:hAnsi="Verdana" w:cs="Arial"/>
          <w:lang w:val="es-ES_tradnl" w:eastAsia="es-CO"/>
        </w:rPr>
        <w:t xml:space="preserve"> ambas figuras son distintas. </w:t>
      </w:r>
    </w:p>
    <w:p w14:paraId="62424036" w14:textId="77777777" w:rsidR="00CD5DE0" w:rsidRPr="00B426FD" w:rsidRDefault="00CD5DE0" w:rsidP="00CD5DE0">
      <w:pPr>
        <w:spacing w:after="120" w:line="276" w:lineRule="auto"/>
        <w:ind w:firstLine="709"/>
        <w:jc w:val="both"/>
        <w:rPr>
          <w:rFonts w:ascii="Verdana" w:eastAsia="MS Mincho" w:hAnsi="Verdana" w:cs="Arial"/>
          <w:lang w:val="es-ES_tradnl" w:eastAsia="es-CO"/>
        </w:rPr>
      </w:pPr>
      <w:r>
        <w:rPr>
          <w:rFonts w:ascii="Verdana" w:eastAsia="MS Mincho" w:hAnsi="Verdana" w:cs="Arial"/>
          <w:lang w:val="es-ES_tradnl" w:eastAsia="es-CO"/>
        </w:rPr>
        <w:t>Sobre la distinción, el</w:t>
      </w:r>
      <w:r w:rsidRPr="00B426FD">
        <w:rPr>
          <w:rFonts w:ascii="Verdana" w:eastAsia="MS Mincho" w:hAnsi="Verdana" w:cs="Arial"/>
          <w:lang w:val="es-ES_tradnl" w:eastAsia="es-CO"/>
        </w:rPr>
        <w:t xml:space="preserve"> Consejo de Estado ha resaltado que la fiducia pública es un contrato nuevo y autónomo, y que el inciso primero del numeral 5 del artículo 32 de la Ley 80 de 1993 limita el objeto del encargo fiduciario </w:t>
      </w:r>
      <w:r>
        <w:rPr>
          <w:rFonts w:ascii="Verdana" w:eastAsia="MS Mincho" w:hAnsi="Verdana" w:cs="Arial"/>
          <w:lang w:val="es-ES_tradnl" w:eastAsia="es-CO"/>
        </w:rPr>
        <w:t>que se realice en este contexto a</w:t>
      </w:r>
      <w:r w:rsidRPr="00B426FD">
        <w:rPr>
          <w:rFonts w:ascii="Verdana" w:eastAsia="MS Mincho" w:hAnsi="Verdana" w:cs="Arial"/>
          <w:lang w:val="es-ES_tradnl" w:eastAsia="es-CO"/>
        </w:rPr>
        <w:t xml:space="preserve"> la administración o el manejo de los recursos vinculados a los contratos que tales entidades celebren, sin perjuicio de lo previsto en el numeral 20 del artículo </w:t>
      </w:r>
      <w:hyperlink r:id="rId12" w:anchor="25" w:history="1">
        <w:r w:rsidRPr="00B426FD">
          <w:rPr>
            <w:rFonts w:ascii="Verdana" w:eastAsia="MS Mincho" w:hAnsi="Verdana" w:cs="Arial"/>
            <w:lang w:val="es-ES_tradnl" w:eastAsia="es-CO"/>
          </w:rPr>
          <w:t>25</w:t>
        </w:r>
      </w:hyperlink>
      <w:r w:rsidRPr="00B426FD">
        <w:rPr>
          <w:rFonts w:ascii="Verdana" w:eastAsia="MS Mincho" w:hAnsi="Verdana" w:cs="Arial"/>
          <w:lang w:val="es-ES_tradnl" w:eastAsia="es-CO"/>
        </w:rPr>
        <w:t xml:space="preserve"> de dicha ley. Así lo consideró al señalar lo siguiente: </w:t>
      </w:r>
    </w:p>
    <w:p w14:paraId="22A6544D" w14:textId="77777777" w:rsidR="00CD5DE0" w:rsidRPr="000A2D9F" w:rsidRDefault="00CD5DE0" w:rsidP="00CD5DE0">
      <w:pPr>
        <w:spacing w:after="0" w:line="240" w:lineRule="auto"/>
        <w:ind w:left="709" w:right="709"/>
        <w:jc w:val="both"/>
        <w:rPr>
          <w:rFonts w:ascii="Verdana" w:eastAsia="Calibri" w:hAnsi="Verdana" w:cs="Arial"/>
          <w:sz w:val="20"/>
          <w:szCs w:val="20"/>
          <w:lang w:val="es-ES_tradnl"/>
        </w:rPr>
      </w:pPr>
      <w:r w:rsidRPr="000A2D9F">
        <w:rPr>
          <w:rFonts w:ascii="Verdana" w:eastAsia="Calibri" w:hAnsi="Verdana" w:cs="Arial"/>
          <w:sz w:val="20"/>
          <w:szCs w:val="20"/>
          <w:lang w:val="es-ES_tradnl"/>
        </w:rPr>
        <w:t xml:space="preserve">“Una interpretación armónica de las normas de la ley 80 sobre el tema, conduce a establecer dos modalidades de negocio fiduciario que pueden contratar las entidades estatales, a saber: </w:t>
      </w:r>
    </w:p>
    <w:p w14:paraId="61FCCB0A" w14:textId="77777777" w:rsidR="00CD5DE0" w:rsidRPr="000A2D9F" w:rsidRDefault="00CD5DE0" w:rsidP="00CD5DE0">
      <w:pPr>
        <w:spacing w:after="0" w:line="240" w:lineRule="auto"/>
        <w:ind w:left="709" w:right="709"/>
        <w:jc w:val="both"/>
        <w:rPr>
          <w:rFonts w:ascii="Verdana" w:eastAsia="Calibri" w:hAnsi="Verdana" w:cs="Arial"/>
          <w:sz w:val="20"/>
          <w:szCs w:val="20"/>
          <w:lang w:val="es-ES_tradnl"/>
        </w:rPr>
      </w:pPr>
    </w:p>
    <w:p w14:paraId="3A0619E5" w14:textId="77777777" w:rsidR="00CD5DE0" w:rsidRPr="000A2D9F" w:rsidRDefault="00CD5DE0" w:rsidP="00CD5DE0">
      <w:pPr>
        <w:spacing w:after="0" w:line="240" w:lineRule="auto"/>
        <w:ind w:left="709" w:right="709"/>
        <w:jc w:val="both"/>
        <w:rPr>
          <w:rFonts w:ascii="Verdana" w:eastAsia="Calibri" w:hAnsi="Verdana" w:cs="Arial"/>
          <w:sz w:val="20"/>
          <w:szCs w:val="20"/>
          <w:lang w:val="es-ES"/>
        </w:rPr>
      </w:pPr>
      <w:r w:rsidRPr="5920508B">
        <w:rPr>
          <w:rFonts w:ascii="Verdana" w:eastAsia="Calibri" w:hAnsi="Verdana" w:cs="Arial"/>
          <w:sz w:val="20"/>
          <w:szCs w:val="20"/>
          <w:lang w:val="es-ES"/>
        </w:rPr>
        <w:t xml:space="preserve">Los </w:t>
      </w:r>
      <w:r w:rsidRPr="5920508B">
        <w:rPr>
          <w:rFonts w:ascii="Verdana" w:eastAsia="Calibri" w:hAnsi="Verdana" w:cs="Arial"/>
          <w:i/>
          <w:iCs/>
          <w:sz w:val="20"/>
          <w:szCs w:val="20"/>
          <w:lang w:val="es-ES"/>
        </w:rPr>
        <w:t>encargos fiduciarios</w:t>
      </w:r>
      <w:r w:rsidRPr="5920508B">
        <w:rPr>
          <w:rFonts w:ascii="Verdana" w:eastAsia="Calibri" w:hAnsi="Verdana" w:cs="Arial"/>
          <w:sz w:val="20"/>
          <w:szCs w:val="20"/>
          <w:lang w:val="es-ES"/>
        </w:rPr>
        <w:t xml:space="preserve">, figura en la cual no hay transferencia de la propiedad de los bienes fideicomitidos. La ley 80 de 1993 la autoriza </w:t>
      </w:r>
      <w:r w:rsidRPr="5920508B">
        <w:rPr>
          <w:rFonts w:ascii="Verdana" w:eastAsia="Calibri" w:hAnsi="Verdana" w:cs="Arial"/>
          <w:i/>
          <w:iCs/>
          <w:sz w:val="20"/>
          <w:szCs w:val="20"/>
          <w:lang w:val="es-ES"/>
        </w:rPr>
        <w:t>solamente para administrar o manejar los recursos vinculados a contratos que las entidades estatales celebren</w:t>
      </w:r>
      <w:r w:rsidRPr="5920508B">
        <w:rPr>
          <w:rFonts w:ascii="Verdana" w:eastAsia="Calibri" w:hAnsi="Verdana" w:cs="Arial"/>
          <w:sz w:val="20"/>
          <w:szCs w:val="20"/>
          <w:lang w:val="es-ES"/>
        </w:rPr>
        <w:t xml:space="preserve"> (art. 32-5º inc. 3º), lo cual se encuentra en consonancia con la disposición según la cual los pagos correspondientes a los contratos celebrados por las entidades para la prestación de los servicios de salud, se pueden hacer mediante encargos fiduciarios (art. 24-1º letra l ) y con aquella que establece que los fondos destinados a la cancelación de obligaciones derivadas de contratos estatales pueden ser entregados en administración fiduciaria (art. 25-20). </w:t>
      </w:r>
    </w:p>
    <w:p w14:paraId="171C492D" w14:textId="77777777" w:rsidR="00CD5DE0" w:rsidRPr="000A2D9F" w:rsidRDefault="00CD5DE0" w:rsidP="00CD5DE0">
      <w:pPr>
        <w:spacing w:after="0" w:line="240" w:lineRule="auto"/>
        <w:ind w:left="709" w:right="709"/>
        <w:jc w:val="both"/>
        <w:rPr>
          <w:rFonts w:ascii="Verdana" w:eastAsia="Calibri" w:hAnsi="Verdana" w:cs="Arial"/>
          <w:sz w:val="20"/>
          <w:szCs w:val="20"/>
          <w:lang w:val="es-ES_tradnl"/>
        </w:rPr>
      </w:pPr>
    </w:p>
    <w:p w14:paraId="332FF4CD" w14:textId="77777777" w:rsidR="00CD5DE0" w:rsidRPr="000A2D9F" w:rsidRDefault="00CD5DE0" w:rsidP="00CD5DE0">
      <w:pPr>
        <w:spacing w:after="0" w:line="240" w:lineRule="auto"/>
        <w:ind w:left="709" w:right="709"/>
        <w:jc w:val="both"/>
        <w:rPr>
          <w:rFonts w:ascii="Verdana" w:eastAsia="Calibri" w:hAnsi="Verdana" w:cs="Arial"/>
          <w:sz w:val="20"/>
          <w:szCs w:val="20"/>
          <w:lang w:val="es-ES_tradnl"/>
        </w:rPr>
      </w:pPr>
      <w:r w:rsidRPr="000A2D9F">
        <w:rPr>
          <w:rFonts w:ascii="Verdana" w:eastAsia="Calibri" w:hAnsi="Verdana" w:cs="Arial"/>
          <w:sz w:val="20"/>
          <w:szCs w:val="20"/>
          <w:lang w:val="es-ES_tradnl"/>
        </w:rPr>
        <w:t xml:space="preserve">La </w:t>
      </w:r>
      <w:r w:rsidRPr="000A2D9F">
        <w:rPr>
          <w:rFonts w:ascii="Verdana" w:eastAsia="Calibri" w:hAnsi="Verdana" w:cs="Arial"/>
          <w:i/>
          <w:iCs/>
          <w:sz w:val="20"/>
          <w:szCs w:val="20"/>
          <w:lang w:val="es-ES_tradnl"/>
        </w:rPr>
        <w:t>fiducia pública</w:t>
      </w:r>
      <w:r w:rsidRPr="000A2D9F">
        <w:rPr>
          <w:rFonts w:ascii="Verdana" w:eastAsia="Calibri" w:hAnsi="Verdana" w:cs="Arial"/>
          <w:sz w:val="20"/>
          <w:szCs w:val="20"/>
          <w:lang w:val="es-ES_tradnl"/>
        </w:rPr>
        <w:t>, la cual constituye una nueva figura jurídica, creada por la ley 80 de 1993, y que si bien porta el nombre de fiducia se diferencia en varios elementos esenciales de la tradicional fiducia mercantil”</w:t>
      </w:r>
      <w:r w:rsidRPr="000A2D9F">
        <w:rPr>
          <w:rFonts w:ascii="Verdana" w:eastAsia="Calibri" w:hAnsi="Verdana" w:cs="Arial"/>
          <w:sz w:val="20"/>
          <w:szCs w:val="20"/>
          <w:vertAlign w:val="superscript"/>
          <w:lang w:val="es-ES_tradnl"/>
        </w:rPr>
        <w:footnoteReference w:id="6"/>
      </w:r>
      <w:r w:rsidRPr="000A2D9F">
        <w:rPr>
          <w:rFonts w:ascii="Verdana" w:eastAsia="Calibri" w:hAnsi="Verdana" w:cs="Arial"/>
          <w:sz w:val="20"/>
          <w:szCs w:val="20"/>
          <w:lang w:val="es-ES_tradnl"/>
        </w:rPr>
        <w:t>. (Cursiva fuera del original)</w:t>
      </w:r>
    </w:p>
    <w:p w14:paraId="51CF31D1" w14:textId="77777777" w:rsidR="00CD5DE0" w:rsidRPr="005E46B7" w:rsidRDefault="00CD5DE0" w:rsidP="00CD5DE0">
      <w:pPr>
        <w:spacing w:after="120" w:line="240" w:lineRule="auto"/>
        <w:ind w:left="709" w:right="709" w:firstLine="709"/>
        <w:jc w:val="both"/>
        <w:rPr>
          <w:rFonts w:ascii="Verdana" w:eastAsia="MS Mincho" w:hAnsi="Verdana" w:cs="Arial"/>
          <w:sz w:val="21"/>
          <w:szCs w:val="21"/>
          <w:lang w:val="es-ES_tradnl" w:eastAsia="es-CO"/>
        </w:rPr>
      </w:pPr>
    </w:p>
    <w:p w14:paraId="14B6F47F" w14:textId="77777777" w:rsidR="00CD5DE0" w:rsidRDefault="00CD5DE0" w:rsidP="00CD5DE0">
      <w:pPr>
        <w:spacing w:after="120" w:line="276" w:lineRule="auto"/>
        <w:ind w:firstLine="709"/>
        <w:jc w:val="both"/>
        <w:rPr>
          <w:rFonts w:ascii="Verdana" w:eastAsia="MS Mincho" w:hAnsi="Verdana" w:cs="Arial"/>
          <w:lang w:eastAsia="es-CO"/>
        </w:rPr>
      </w:pPr>
      <w:r w:rsidRPr="005E46B7">
        <w:rPr>
          <w:rFonts w:ascii="Verdana" w:eastAsia="MS Mincho" w:hAnsi="Verdana" w:cs="Arial"/>
          <w:lang w:val="es-ES" w:eastAsia="es-CO"/>
        </w:rPr>
        <w:t xml:space="preserve">De esta manera, las entidades estatales pueden suscribir contratos de </w:t>
      </w:r>
      <w:r w:rsidRPr="005E46B7">
        <w:rPr>
          <w:rFonts w:ascii="Verdana" w:eastAsia="MS Mincho" w:hAnsi="Verdana" w:cs="Arial"/>
          <w:i/>
          <w:iCs/>
          <w:lang w:val="es-ES" w:eastAsia="es-CO"/>
        </w:rPr>
        <w:t>fiducia pública</w:t>
      </w:r>
      <w:r w:rsidRPr="005E46B7">
        <w:rPr>
          <w:rFonts w:ascii="Verdana" w:eastAsia="MS Mincho" w:hAnsi="Verdana" w:cs="Arial"/>
          <w:lang w:val="es-ES" w:eastAsia="es-CO"/>
        </w:rPr>
        <w:t xml:space="preserve"> y </w:t>
      </w:r>
      <w:r w:rsidRPr="005E46B7">
        <w:rPr>
          <w:rFonts w:ascii="Verdana" w:eastAsia="MS Mincho" w:hAnsi="Verdana" w:cs="Arial"/>
          <w:i/>
          <w:iCs/>
          <w:lang w:val="es-ES" w:eastAsia="es-CO"/>
        </w:rPr>
        <w:t>encargos fiduciarios</w:t>
      </w:r>
      <w:r w:rsidRPr="005E46B7">
        <w:rPr>
          <w:rFonts w:ascii="Verdana" w:eastAsia="MS Mincho" w:hAnsi="Verdana" w:cs="Arial"/>
          <w:lang w:val="es-ES" w:eastAsia="es-CO"/>
        </w:rPr>
        <w:t xml:space="preserve">, teniendo en cuenta que estos últimos se limitan a </w:t>
      </w:r>
      <w:r w:rsidRPr="005E46B7">
        <w:rPr>
          <w:rFonts w:ascii="Verdana" w:eastAsia="Calibri" w:hAnsi="Verdana" w:cs="Arial"/>
          <w:lang w:val="es-ES"/>
        </w:rPr>
        <w:t>la administración o el manejo de los recursos vinculados a los contratos que tales entidades celebren</w:t>
      </w:r>
      <w:r w:rsidRPr="005E46B7">
        <w:rPr>
          <w:rFonts w:ascii="Verdana" w:eastAsia="MS Mincho" w:hAnsi="Verdana" w:cs="Arial"/>
          <w:lang w:val="es-ES" w:eastAsia="es-CO"/>
        </w:rPr>
        <w:t xml:space="preserve">, así como a los pagos correspondientes a los contratos celebrados por las entidades para la prestación de los servicios de salud y para los fondos destinados a la cancelación de obligaciones derivadas de contratos estatales, los cuales pueden ser entregados en administración fiduciaria. </w:t>
      </w:r>
    </w:p>
    <w:p w14:paraId="49CE703F" w14:textId="77777777" w:rsidR="00CD5DE0" w:rsidRPr="005E46B7" w:rsidRDefault="00CD5DE0" w:rsidP="00CD5DE0">
      <w:pPr>
        <w:spacing w:after="120" w:line="276" w:lineRule="auto"/>
        <w:ind w:firstLine="708"/>
        <w:jc w:val="both"/>
        <w:rPr>
          <w:rFonts w:ascii="Verdana" w:eastAsia="MS Mincho" w:hAnsi="Verdana" w:cs="Arial"/>
          <w:lang w:eastAsia="es-CO"/>
        </w:rPr>
      </w:pPr>
      <w:r>
        <w:rPr>
          <w:rFonts w:ascii="Verdana" w:eastAsia="MS Mincho" w:hAnsi="Verdana" w:cs="Arial"/>
          <w:lang w:val="es-ES_tradnl" w:eastAsia="es-CO"/>
        </w:rPr>
        <w:t>Ahora bien</w:t>
      </w:r>
      <w:r w:rsidRPr="004F70CA">
        <w:rPr>
          <w:rFonts w:ascii="Verdana" w:eastAsia="MS Mincho" w:hAnsi="Verdana" w:cs="Arial"/>
          <w:lang w:val="es-ES_tradnl" w:eastAsia="es-CO"/>
        </w:rPr>
        <w:t>,</w:t>
      </w:r>
      <w:r w:rsidRPr="00777FB8">
        <w:rPr>
          <w:rFonts w:ascii="Arial" w:hAnsi="Arial" w:cs="Arial"/>
          <w:color w:val="000000"/>
          <w:shd w:val="clear" w:color="auto" w:fill="FFFFFF"/>
        </w:rPr>
        <w:t xml:space="preserve"> </w:t>
      </w:r>
      <w:r w:rsidRPr="007D0A2B">
        <w:rPr>
          <w:rFonts w:ascii="Verdana" w:hAnsi="Verdana" w:cs="Arial"/>
          <w:color w:val="000000"/>
          <w:shd w:val="clear" w:color="auto" w:fill="FFFFFF"/>
        </w:rPr>
        <w:t>la autorización d</w:t>
      </w:r>
      <w:r w:rsidRPr="007D0A2B">
        <w:rPr>
          <w:rFonts w:ascii="Verdana" w:eastAsia="MS Mincho" w:hAnsi="Verdana" w:cs="Arial"/>
          <w:lang w:eastAsia="es-CO"/>
        </w:rPr>
        <w:t>el numeral</w:t>
      </w:r>
      <w:r w:rsidRPr="00777FB8">
        <w:rPr>
          <w:rFonts w:ascii="Verdana" w:eastAsia="MS Mincho" w:hAnsi="Verdana" w:cs="Arial"/>
          <w:lang w:eastAsia="es-CO"/>
        </w:rPr>
        <w:t> </w:t>
      </w:r>
      <w:r w:rsidRPr="005E46B7">
        <w:rPr>
          <w:rFonts w:ascii="Verdana" w:eastAsia="MS Mincho" w:hAnsi="Verdana" w:cs="Arial"/>
          <w:lang w:eastAsia="es-CO"/>
        </w:rPr>
        <w:t>5</w:t>
      </w:r>
      <w:r w:rsidRPr="00777FB8">
        <w:rPr>
          <w:rFonts w:ascii="Verdana" w:eastAsia="MS Mincho" w:hAnsi="Verdana" w:cs="Arial"/>
          <w:lang w:eastAsia="es-CO"/>
        </w:rPr>
        <w:t> del artículo 32 de la Ley 80 de 1993</w:t>
      </w:r>
      <w:r>
        <w:rPr>
          <w:rFonts w:ascii="Verdana" w:eastAsia="MS Mincho" w:hAnsi="Verdana" w:cs="Arial"/>
          <w:lang w:eastAsia="es-CO"/>
        </w:rPr>
        <w:t xml:space="preserve"> </w:t>
      </w:r>
      <w:r w:rsidRPr="00777FB8">
        <w:rPr>
          <w:rFonts w:ascii="Verdana" w:eastAsia="MS Mincho" w:hAnsi="Verdana" w:cs="Arial"/>
          <w:lang w:eastAsia="es-CO"/>
        </w:rPr>
        <w:t xml:space="preserve">para celebrar encargos fiduciarios y contratos de fiducia pública, </w:t>
      </w:r>
      <w:r>
        <w:rPr>
          <w:rFonts w:ascii="Verdana" w:eastAsia="MS Mincho" w:hAnsi="Verdana" w:cs="Arial"/>
          <w:lang w:eastAsia="es-CO"/>
        </w:rPr>
        <w:t xml:space="preserve">tiene como límite que las entidades no </w:t>
      </w:r>
      <w:r w:rsidRPr="00777FB8">
        <w:rPr>
          <w:rFonts w:ascii="Verdana" w:eastAsia="MS Mincho" w:hAnsi="Verdana" w:cs="Arial"/>
          <w:lang w:eastAsia="es-CO"/>
        </w:rPr>
        <w:t>pued</w:t>
      </w:r>
      <w:r>
        <w:rPr>
          <w:rFonts w:ascii="Verdana" w:eastAsia="MS Mincho" w:hAnsi="Verdana" w:cs="Arial"/>
          <w:lang w:eastAsia="es-CO"/>
        </w:rPr>
        <w:t>e</w:t>
      </w:r>
      <w:r w:rsidRPr="00777FB8">
        <w:rPr>
          <w:rFonts w:ascii="Verdana" w:eastAsia="MS Mincho" w:hAnsi="Verdana" w:cs="Arial"/>
          <w:lang w:eastAsia="es-CO"/>
        </w:rPr>
        <w:t>n transferir el dominio sobre</w:t>
      </w:r>
      <w:r>
        <w:rPr>
          <w:rFonts w:ascii="Verdana" w:eastAsia="MS Mincho" w:hAnsi="Verdana" w:cs="Arial"/>
          <w:lang w:eastAsia="es-CO"/>
        </w:rPr>
        <w:t xml:space="preserve"> los</w:t>
      </w:r>
      <w:r w:rsidRPr="00777FB8">
        <w:rPr>
          <w:rFonts w:ascii="Verdana" w:eastAsia="MS Mincho" w:hAnsi="Verdana" w:cs="Arial"/>
          <w:lang w:eastAsia="es-CO"/>
        </w:rPr>
        <w:t xml:space="preserve"> bienes o recursos estatales, </w:t>
      </w:r>
      <w:r w:rsidRPr="00777FB8">
        <w:rPr>
          <w:rFonts w:ascii="Verdana" w:eastAsia="MS Mincho" w:hAnsi="Verdana" w:cs="Arial"/>
          <w:i/>
          <w:iCs/>
          <w:lang w:eastAsia="es-CO"/>
        </w:rPr>
        <w:t>ni constituir patrimonios autónomos</w:t>
      </w:r>
      <w:r w:rsidRPr="00777FB8">
        <w:rPr>
          <w:rFonts w:ascii="Verdana" w:eastAsia="MS Mincho" w:hAnsi="Verdana" w:cs="Arial"/>
          <w:lang w:eastAsia="es-CO"/>
        </w:rPr>
        <w:t>.</w:t>
      </w:r>
      <w:r w:rsidRPr="004F70CA">
        <w:rPr>
          <w:rFonts w:ascii="Verdana" w:eastAsia="MS Mincho" w:hAnsi="Verdana" w:cs="Arial"/>
          <w:lang w:val="es-ES_tradnl" w:eastAsia="es-CO"/>
        </w:rPr>
        <w:t xml:space="preserve"> </w:t>
      </w:r>
      <w:r>
        <w:rPr>
          <w:rFonts w:ascii="Verdana" w:eastAsia="MS Mincho" w:hAnsi="Verdana" w:cs="Arial"/>
          <w:lang w:val="es-ES_tradnl" w:eastAsia="es-CO"/>
        </w:rPr>
        <w:t>L</w:t>
      </w:r>
      <w:r w:rsidRPr="004F70CA">
        <w:rPr>
          <w:rFonts w:ascii="Verdana" w:eastAsia="MS Mincho" w:hAnsi="Verdana" w:cs="Arial"/>
          <w:lang w:val="es-ES_tradnl" w:eastAsia="es-CO"/>
        </w:rPr>
        <w:t>a Sala de Consulta y Servicio Civil del Consejo de Estado, en concepto del 4 de marzo de 1998</w:t>
      </w:r>
      <w:r>
        <w:rPr>
          <w:rStyle w:val="Refdenotaalpie"/>
          <w:rFonts w:ascii="Verdana" w:eastAsia="MS Mincho" w:hAnsi="Verdana" w:cs="Arial"/>
          <w:lang w:val="es-ES_tradnl" w:eastAsia="es-CO"/>
        </w:rPr>
        <w:footnoteReference w:id="7"/>
      </w:r>
      <w:r w:rsidRPr="004F70CA">
        <w:rPr>
          <w:rFonts w:ascii="Verdana" w:eastAsia="MS Mincho" w:hAnsi="Verdana" w:cs="Arial"/>
          <w:lang w:val="es-ES_tradnl" w:eastAsia="es-CO"/>
        </w:rPr>
        <w:t>, consideró que la Ley 80 de 1993 tiene como objetivo restringir los negocios fiduciarios que pueden celebrar l</w:t>
      </w:r>
      <w:r>
        <w:rPr>
          <w:rFonts w:ascii="Verdana" w:eastAsia="MS Mincho" w:hAnsi="Verdana" w:cs="Arial"/>
          <w:lang w:val="es-ES_tradnl" w:eastAsia="es-CO"/>
        </w:rPr>
        <w:t>as entidades estatales.</w:t>
      </w:r>
      <w:r w:rsidRPr="004F70CA">
        <w:rPr>
          <w:rFonts w:ascii="Verdana" w:eastAsia="MS Mincho" w:hAnsi="Verdana" w:cs="Arial"/>
          <w:lang w:val="es-ES_tradnl" w:eastAsia="es-CO"/>
        </w:rPr>
        <w:t xml:space="preserve"> </w:t>
      </w:r>
      <w:r>
        <w:rPr>
          <w:rFonts w:ascii="Verdana" w:eastAsia="MS Mincho" w:hAnsi="Verdana" w:cs="Arial"/>
          <w:lang w:val="es-ES_tradnl" w:eastAsia="es-CO"/>
        </w:rPr>
        <w:t>P</w:t>
      </w:r>
      <w:r w:rsidRPr="004F70CA">
        <w:rPr>
          <w:rFonts w:ascii="Verdana" w:eastAsia="MS Mincho" w:hAnsi="Verdana" w:cs="Arial"/>
          <w:lang w:val="es-ES_tradnl" w:eastAsia="es-CO"/>
        </w:rPr>
        <w:t xml:space="preserve">or ello, </w:t>
      </w:r>
      <w:r>
        <w:rPr>
          <w:rFonts w:ascii="Verdana" w:eastAsia="MS Mincho" w:hAnsi="Verdana" w:cs="Arial"/>
          <w:lang w:val="es-ES_tradnl" w:eastAsia="es-CO"/>
        </w:rPr>
        <w:t xml:space="preserve">señaló que </w:t>
      </w:r>
      <w:r w:rsidRPr="004F70CA">
        <w:rPr>
          <w:rFonts w:ascii="Verdana" w:eastAsia="MS Mincho" w:hAnsi="Verdana" w:cs="Arial"/>
          <w:lang w:val="es-ES_tradnl" w:eastAsia="es-CO"/>
        </w:rPr>
        <w:t xml:space="preserve">la constitución de patrimonios autónomos por parte de entidades estatales solamente debe darse </w:t>
      </w:r>
      <w:r w:rsidRPr="005E46B7">
        <w:rPr>
          <w:rFonts w:ascii="Verdana" w:eastAsia="MS Mincho" w:hAnsi="Verdana" w:cs="Arial"/>
          <w:i/>
          <w:iCs/>
          <w:lang w:val="es-ES_tradnl" w:eastAsia="es-CO"/>
        </w:rPr>
        <w:t>en virtud de una autorización legal</w:t>
      </w:r>
      <w:r w:rsidRPr="004F70CA">
        <w:rPr>
          <w:rFonts w:ascii="Verdana" w:eastAsia="MS Mincho" w:hAnsi="Verdana" w:cs="Arial"/>
          <w:lang w:val="es-ES_tradnl" w:eastAsia="es-CO"/>
        </w:rPr>
        <w:t>, como es el caso de los procesos de titularización de activos e inversiones, tal como lo autoriza expresamente el parágrafo 2 del artículo 41 de la Ley 80 de 1993</w:t>
      </w:r>
      <w:r w:rsidRPr="004F70CA">
        <w:rPr>
          <w:rFonts w:ascii="Verdana" w:eastAsia="MS Mincho" w:hAnsi="Verdana" w:cs="Arial"/>
          <w:vertAlign w:val="superscript"/>
          <w:lang w:val="es-ES_tradnl" w:eastAsia="es-CO"/>
        </w:rPr>
        <w:footnoteReference w:id="8"/>
      </w:r>
      <w:r w:rsidRPr="004F70CA">
        <w:rPr>
          <w:rFonts w:ascii="Verdana" w:eastAsia="MS Mincho" w:hAnsi="Verdana" w:cs="Arial"/>
          <w:lang w:val="es-ES_tradnl" w:eastAsia="es-CO"/>
        </w:rPr>
        <w:t>.</w:t>
      </w:r>
    </w:p>
    <w:p w14:paraId="0FB4FF00" w14:textId="77777777" w:rsidR="00CD5DE0" w:rsidRDefault="00CD5DE0" w:rsidP="00CD5DE0">
      <w:pPr>
        <w:spacing w:after="120" w:line="276" w:lineRule="auto"/>
        <w:ind w:firstLine="709"/>
        <w:jc w:val="both"/>
        <w:rPr>
          <w:rFonts w:ascii="Verdana" w:eastAsia="MS Mincho" w:hAnsi="Verdana" w:cs="Arial"/>
          <w:lang w:val="es-ES_tradnl" w:eastAsia="es-CO"/>
        </w:rPr>
      </w:pPr>
      <w:r w:rsidRPr="004F70CA">
        <w:rPr>
          <w:rFonts w:ascii="Verdana" w:eastAsia="MS Mincho" w:hAnsi="Verdana" w:cs="Arial"/>
          <w:lang w:val="es-ES_tradnl" w:eastAsia="es-CO"/>
        </w:rPr>
        <w:t xml:space="preserve">La Agencia Nacional de Contratación Pública – Colombia Compra Eficiente comparte esta posición, y por tanto considera que la constitución de patrimonios autónomos, por parte de entidades estatales solo puede darse en virtud de una disposición legal expresa. </w:t>
      </w:r>
      <w:r>
        <w:rPr>
          <w:rFonts w:ascii="Verdana" w:eastAsia="MS Mincho" w:hAnsi="Verdana" w:cs="Arial"/>
          <w:lang w:val="es-ES_tradnl" w:eastAsia="es-CO"/>
        </w:rPr>
        <w:t>En este sentido, la Agencia ha manifestado que e</w:t>
      </w:r>
      <w:r w:rsidRPr="004F70CA">
        <w:rPr>
          <w:rFonts w:ascii="Verdana" w:eastAsia="MS Mincho" w:hAnsi="Verdana" w:cs="Arial"/>
          <w:lang w:val="es-ES_tradnl" w:eastAsia="es-CO"/>
        </w:rPr>
        <w:t xml:space="preserve">s posible que una entidad estatal celebre un contrato de fiducia mercantil y con él se constituya un patrimonio autónomo, siempre que una norma especial lo autorice. Esta fiducia mercantil </w:t>
      </w:r>
      <w:r>
        <w:rPr>
          <w:rFonts w:ascii="Verdana" w:eastAsia="MS Mincho" w:hAnsi="Verdana" w:cs="Arial"/>
          <w:lang w:val="es-ES_tradnl" w:eastAsia="es-CO"/>
        </w:rPr>
        <w:t xml:space="preserve">será, en cualquier caso, </w:t>
      </w:r>
      <w:r w:rsidRPr="004F70CA">
        <w:rPr>
          <w:rFonts w:ascii="Verdana" w:eastAsia="MS Mincho" w:hAnsi="Verdana" w:cs="Arial"/>
          <w:lang w:val="es-ES_tradnl" w:eastAsia="es-CO"/>
        </w:rPr>
        <w:t>diferente a la fiducia pública definida en el artículo 32 de la Ley 80 de 1993</w:t>
      </w:r>
      <w:r>
        <w:rPr>
          <w:rFonts w:ascii="Verdana" w:eastAsia="MS Mincho" w:hAnsi="Verdana" w:cs="Arial"/>
          <w:lang w:val="es-ES_tradnl" w:eastAsia="es-CO"/>
        </w:rPr>
        <w:t>,</w:t>
      </w:r>
      <w:r w:rsidRPr="004F70CA">
        <w:rPr>
          <w:rFonts w:ascii="Verdana" w:eastAsia="MS Mincho" w:hAnsi="Verdana" w:cs="Arial"/>
          <w:lang w:val="es-ES_tradnl" w:eastAsia="es-CO"/>
        </w:rPr>
        <w:t xml:space="preserve"> y se rige por las disposiciones comerciales y civiles pertinentes, salvo en los aspectos particularmente regulados en la Ley 80 de 1993.</w:t>
      </w:r>
    </w:p>
    <w:p w14:paraId="2DA75BDF" w14:textId="77777777" w:rsidR="00CD5DE0" w:rsidRDefault="00CD5DE0" w:rsidP="00CD5DE0">
      <w:pPr>
        <w:pStyle w:val="Textoindependiente"/>
        <w:ind w:firstLine="709"/>
        <w:jc w:val="both"/>
        <w:rPr>
          <w:rFonts w:ascii="Verdana" w:hAnsi="Verdana" w:cs="Arial"/>
          <w:lang w:val="es-ES_tradnl"/>
        </w:rPr>
      </w:pPr>
      <w:r w:rsidRPr="00F073E7">
        <w:rPr>
          <w:rFonts w:ascii="Verdana" w:hAnsi="Verdana" w:cs="Arial"/>
          <w:lang w:val="es-ES_tradnl"/>
        </w:rPr>
        <w:t>Por ello, debe destacarse que en caso de que no exista norma que autorice la fiducia mercantil, se está ante un negocio fiduciario</w:t>
      </w:r>
      <w:r>
        <w:rPr>
          <w:rFonts w:ascii="Verdana" w:hAnsi="Verdana" w:cs="Arial"/>
          <w:lang w:val="es-ES_tradnl"/>
        </w:rPr>
        <w:t>, llámese fiducia pública o encargo fiduciario,</w:t>
      </w:r>
      <w:r w:rsidRPr="00F073E7">
        <w:rPr>
          <w:rFonts w:ascii="Verdana" w:hAnsi="Verdana" w:cs="Arial"/>
          <w:lang w:val="es-ES_tradnl"/>
        </w:rPr>
        <w:t xml:space="preserve"> que debe respetar lo establecido por el numeral 5 del artículo 32 de la Ley 80 de 1993, </w:t>
      </w:r>
      <w:r>
        <w:rPr>
          <w:rFonts w:ascii="Verdana" w:hAnsi="Verdana" w:cs="Arial"/>
          <w:lang w:val="es-ES_tradnl"/>
        </w:rPr>
        <w:t xml:space="preserve">por lo que </w:t>
      </w:r>
      <w:r w:rsidRPr="00F073E7">
        <w:rPr>
          <w:rFonts w:ascii="Verdana" w:hAnsi="Verdana" w:cs="Arial"/>
          <w:lang w:val="es-ES_tradnl"/>
        </w:rPr>
        <w:t xml:space="preserve">nunca implicará </w:t>
      </w:r>
      <w:r>
        <w:rPr>
          <w:rFonts w:ascii="Verdana" w:hAnsi="Verdana" w:cs="Arial"/>
          <w:lang w:val="es-ES_tradnl"/>
        </w:rPr>
        <w:t xml:space="preserve">la </w:t>
      </w:r>
      <w:r w:rsidRPr="00F073E7">
        <w:rPr>
          <w:rFonts w:ascii="Verdana" w:hAnsi="Verdana" w:cs="Arial"/>
          <w:lang w:val="es-ES_tradnl"/>
        </w:rPr>
        <w:t xml:space="preserve">transferencia de dominio sobre </w:t>
      </w:r>
      <w:r>
        <w:rPr>
          <w:rFonts w:ascii="Verdana" w:hAnsi="Verdana" w:cs="Arial"/>
          <w:lang w:val="es-ES_tradnl"/>
        </w:rPr>
        <w:t xml:space="preserve">los </w:t>
      </w:r>
      <w:r w:rsidRPr="00F073E7">
        <w:rPr>
          <w:rFonts w:ascii="Verdana" w:hAnsi="Verdana" w:cs="Arial"/>
          <w:lang w:val="es-ES_tradnl"/>
        </w:rPr>
        <w:t xml:space="preserve">bienes o recursos estatales, ni constituirá </w:t>
      </w:r>
      <w:r>
        <w:rPr>
          <w:rFonts w:ascii="Verdana" w:hAnsi="Verdana" w:cs="Arial"/>
          <w:lang w:val="es-ES_tradnl"/>
        </w:rPr>
        <w:t xml:space="preserve">un </w:t>
      </w:r>
      <w:r w:rsidRPr="00F073E7">
        <w:rPr>
          <w:rFonts w:ascii="Verdana" w:hAnsi="Verdana" w:cs="Arial"/>
          <w:lang w:val="es-ES_tradnl"/>
        </w:rPr>
        <w:t>patrimonio autónomo</w:t>
      </w:r>
      <w:r>
        <w:rPr>
          <w:rFonts w:ascii="Verdana" w:hAnsi="Verdana" w:cs="Arial"/>
          <w:lang w:val="es-ES_tradnl"/>
        </w:rPr>
        <w:t>. Adicionalmente, l</w:t>
      </w:r>
      <w:r w:rsidRPr="00F073E7">
        <w:rPr>
          <w:rFonts w:ascii="Verdana" w:hAnsi="Verdana" w:cs="Arial"/>
          <w:lang w:val="es-ES_tradnl"/>
        </w:rPr>
        <w:t>os actos y contratos que se realicen en desarrollo de un contrato de fiducia pública o encargo fiduciario cumplirán estrictamente con las normas previstas en</w:t>
      </w:r>
      <w:r>
        <w:rPr>
          <w:rFonts w:ascii="Verdana" w:hAnsi="Verdana" w:cs="Arial"/>
          <w:lang w:val="es-ES_tradnl"/>
        </w:rPr>
        <w:t xml:space="preserve"> el Estatuto General de Contratación de la Administración Pública</w:t>
      </w:r>
      <w:r w:rsidRPr="00F073E7">
        <w:rPr>
          <w:rFonts w:ascii="Verdana" w:hAnsi="Verdana" w:cs="Arial"/>
          <w:lang w:val="es-ES_tradnl"/>
        </w:rPr>
        <w:t xml:space="preserve">, así como con las disposiciones fiscales, presupuestales, de interventoría y de control a las cuales </w:t>
      </w:r>
      <w:r>
        <w:rPr>
          <w:rFonts w:ascii="Verdana" w:hAnsi="Verdana" w:cs="Arial"/>
          <w:lang w:val="es-ES_tradnl"/>
        </w:rPr>
        <w:t xml:space="preserve">se someta </w:t>
      </w:r>
      <w:r w:rsidRPr="00F073E7">
        <w:rPr>
          <w:rFonts w:ascii="Verdana" w:hAnsi="Verdana" w:cs="Arial"/>
          <w:lang w:val="es-ES_tradnl"/>
        </w:rPr>
        <w:t>la entidad estatal fideicomitente.</w:t>
      </w:r>
    </w:p>
    <w:p w14:paraId="087C4EAF" w14:textId="77777777" w:rsidR="00CD5DE0" w:rsidRDefault="00CD5DE0" w:rsidP="00CD5DE0">
      <w:pPr>
        <w:pStyle w:val="Textoindependiente"/>
        <w:ind w:firstLine="709"/>
        <w:jc w:val="both"/>
        <w:rPr>
          <w:rFonts w:ascii="Verdana" w:hAnsi="Verdana" w:cs="Arial"/>
          <w:lang w:val="es-ES_tradnl"/>
        </w:rPr>
      </w:pPr>
      <w:r w:rsidRPr="00062708">
        <w:rPr>
          <w:rFonts w:ascii="Verdana" w:hAnsi="Verdana" w:cs="Arial"/>
          <w:lang w:val="es-ES_tradnl"/>
        </w:rPr>
        <w:t>En suma</w:t>
      </w:r>
      <w:r>
        <w:rPr>
          <w:rFonts w:ascii="Verdana" w:hAnsi="Verdana" w:cs="Arial"/>
          <w:lang w:val="es-ES_tradnl"/>
        </w:rPr>
        <w:t>,</w:t>
      </w:r>
      <w:r w:rsidRPr="00062708">
        <w:rPr>
          <w:rFonts w:ascii="Verdana" w:hAnsi="Verdana" w:cs="Arial"/>
          <w:lang w:val="es-ES_tradnl"/>
        </w:rPr>
        <w:t xml:space="preserve"> las entidades estatales pueden entregar el manejo de recursos derivados de un contrato estatal (como es el caso de un convenio interadministrativo), ya sea por fiducia pública o encargo fiduciario. Sin embargo, el inciso 7 del numeral 5 del artículo 32 de la Ley 80 de 1993 prohíbe que se constituya patrimonio autónomo en virtud de estos negocios fiduciarios. En estos casos, la entidad estatal mantiene la propiedad de los recursos y por ello conserva el control sobre ellos. Solo en supuestos excepcionales, en los que exista autorización legal expresa, ciertas entidades estatales podrán transferir la propiedad de recursos públicos a un patrimonio autónomo. </w:t>
      </w:r>
      <w:r>
        <w:rPr>
          <w:rFonts w:ascii="Verdana" w:hAnsi="Verdana" w:cs="Arial"/>
          <w:lang w:val="es-ES_tradnl"/>
        </w:rPr>
        <w:t>En cualquier caso, i</w:t>
      </w:r>
      <w:r w:rsidRPr="007D0A2B">
        <w:rPr>
          <w:rFonts w:ascii="Verdana" w:hAnsi="Verdana" w:cs="Arial"/>
          <w:lang w:val="es-ES_tradnl"/>
        </w:rPr>
        <w:t>ncluso esta transferencia de propiedad debe tener una finalidad específica y la entidad mantiene la obligación de vigilar que se cumplan los fines estatales que motivaron la contratación</w:t>
      </w:r>
      <w:r>
        <w:rPr>
          <w:rFonts w:ascii="Verdana" w:hAnsi="Verdana" w:cs="Arial"/>
          <w:lang w:val="es-ES_tradnl"/>
        </w:rPr>
        <w:t xml:space="preserve">, </w:t>
      </w:r>
      <w:r w:rsidRPr="007D0A2B">
        <w:rPr>
          <w:rFonts w:ascii="Verdana" w:hAnsi="Verdana" w:cs="Arial"/>
          <w:lang w:val="es-ES_tradnl"/>
        </w:rPr>
        <w:t>conserva</w:t>
      </w:r>
      <w:r>
        <w:rPr>
          <w:rFonts w:ascii="Verdana" w:hAnsi="Verdana" w:cs="Arial"/>
          <w:lang w:val="es-ES_tradnl"/>
        </w:rPr>
        <w:t>ndo</w:t>
      </w:r>
      <w:r w:rsidRPr="007D0A2B">
        <w:rPr>
          <w:rFonts w:ascii="Verdana" w:hAnsi="Verdana" w:cs="Arial"/>
          <w:lang w:val="es-ES_tradnl"/>
        </w:rPr>
        <w:t xml:space="preserve"> el control de los recursos entregados al patrimonio autónomo.</w:t>
      </w:r>
    </w:p>
    <w:p w14:paraId="23E34CCB" w14:textId="77777777" w:rsidR="00CD5DE0" w:rsidRDefault="00CD5DE0" w:rsidP="00CD5DE0">
      <w:pPr>
        <w:pStyle w:val="Textoindependiente"/>
        <w:ind w:firstLine="709"/>
        <w:jc w:val="both"/>
        <w:rPr>
          <w:rFonts w:ascii="Verdana" w:hAnsi="Verdana" w:cs="Arial"/>
          <w:lang w:val="es-ES_tradnl"/>
        </w:rPr>
      </w:pPr>
      <w:r w:rsidRPr="000F0F39">
        <w:rPr>
          <w:rFonts w:ascii="Verdana" w:hAnsi="Verdana"/>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0F0F39">
        <w:rPr>
          <w:rFonts w:ascii="Verdana" w:hAnsi="Verdana"/>
          <w:spacing w:val="-3"/>
        </w:rPr>
        <w:t xml:space="preserve"> </w:t>
      </w:r>
      <w:r w:rsidRPr="000F0F39">
        <w:rPr>
          <w:rFonts w:ascii="Verdana" w:hAnsi="Verdana"/>
        </w:rPr>
        <w:t>estatales.</w:t>
      </w:r>
    </w:p>
    <w:p w14:paraId="6205CA95" w14:textId="77777777" w:rsidR="00CD5DE0" w:rsidRPr="00764793" w:rsidRDefault="00CD5DE0" w:rsidP="00CD5DE0">
      <w:pPr>
        <w:pStyle w:val="Textoindependiente"/>
        <w:ind w:firstLine="709"/>
        <w:jc w:val="both"/>
        <w:rPr>
          <w:rFonts w:ascii="Verdana" w:hAnsi="Verdana" w:cs="Arial"/>
          <w:lang w:val="es-ES_tradnl"/>
        </w:rPr>
      </w:pPr>
      <w:r>
        <w:rPr>
          <w:rFonts w:ascii="Verdana" w:hAnsi="Verdana"/>
        </w:rPr>
        <w:t>De esta manera, a partir de un proceso de selección de licitación pública que imparte el artículo 32 de la Ley 80 de 1993 para la escogencia de la fiducia pública o encargo fiduciario y el contratista es una entidad pública, se colige que se denomina contrato interadministrativo, pero por la calidad de las partes, aun cuando este tipo de contratación deba tramitarse a partir de la regla general de los procesos de contratación.</w:t>
      </w:r>
    </w:p>
    <w:p w14:paraId="133990DF" w14:textId="77777777" w:rsidR="00CD5DE0" w:rsidRDefault="00CD5DE0" w:rsidP="00CD5DE0">
      <w:pPr>
        <w:pStyle w:val="Textoindependiente"/>
        <w:jc w:val="both"/>
        <w:rPr>
          <w:rFonts w:ascii="Verdana" w:eastAsia="Calibri" w:hAnsi="Verdana" w:cs="Arial"/>
          <w:bCs/>
        </w:rPr>
      </w:pPr>
      <w:r w:rsidRPr="00E26301">
        <w:rPr>
          <w:rFonts w:ascii="Verdana" w:hAnsi="Verdana" w:cs="Arial"/>
          <w:lang w:val="es-ES_tradnl"/>
        </w:rPr>
        <w:t xml:space="preserve">ii) </w:t>
      </w:r>
      <w:r w:rsidRPr="00E26301">
        <w:rPr>
          <w:rFonts w:ascii="Verdana" w:eastAsia="Times New Roman" w:hAnsi="Verdana" w:cs="Arial"/>
          <w:bCs/>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E26301">
        <w:rPr>
          <w:rStyle w:val="Refdenotaalpie"/>
          <w:rFonts w:ascii="Verdana" w:eastAsia="Calibri" w:hAnsi="Verdana" w:cs="Arial"/>
          <w:bCs/>
        </w:rPr>
        <w:footnoteReference w:id="9"/>
      </w:r>
      <w:r w:rsidRPr="00E26301">
        <w:rPr>
          <w:rFonts w:ascii="Verdana" w:eastAsia="Calibri" w:hAnsi="Verdana" w:cs="Arial"/>
          <w:bCs/>
        </w:rPr>
        <w:t>.</w:t>
      </w:r>
      <w:r w:rsidRPr="00F10E52">
        <w:rPr>
          <w:rFonts w:ascii="Verdana" w:eastAsia="Calibri" w:hAnsi="Verdana" w:cs="Arial"/>
          <w:bCs/>
        </w:rPr>
        <w:t xml:space="preserve"> </w:t>
      </w:r>
    </w:p>
    <w:p w14:paraId="22776D37" w14:textId="77777777" w:rsidR="00CD5DE0" w:rsidRPr="00E26301" w:rsidRDefault="00CD5DE0" w:rsidP="00CD5DE0">
      <w:pPr>
        <w:pStyle w:val="Textoindependiente"/>
        <w:ind w:firstLine="709"/>
        <w:jc w:val="both"/>
        <w:rPr>
          <w:rFonts w:ascii="Verdana" w:eastAsia="Calibri" w:hAnsi="Verdana" w:cs="Arial"/>
          <w:bCs/>
        </w:rPr>
      </w:pPr>
      <w:r w:rsidRPr="00F10E52">
        <w:rPr>
          <w:rFonts w:ascii="Verdana" w:eastAsia="Times New Roman" w:hAnsi="Verdana" w:cs="Arial"/>
          <w:bCs/>
        </w:rPr>
        <w:t xml:space="preserve">En el mismo sentido, la Ley 996 de 2005, conocida como </w:t>
      </w:r>
      <w:r>
        <w:rPr>
          <w:rFonts w:ascii="Verdana" w:eastAsia="Times New Roman" w:hAnsi="Verdana" w:cs="Arial"/>
          <w:bCs/>
        </w:rPr>
        <w:t>“</w:t>
      </w:r>
      <w:r w:rsidRPr="00F10E52">
        <w:rPr>
          <w:rFonts w:ascii="Verdana" w:eastAsia="Times New Roman" w:hAnsi="Verdana" w:cs="Arial"/>
          <w:bCs/>
        </w:rPr>
        <w:t>Ley de Garantías Electorales</w:t>
      </w:r>
      <w:r>
        <w:rPr>
          <w:rFonts w:ascii="Verdana" w:eastAsia="Times New Roman" w:hAnsi="Verdana" w:cs="Arial"/>
          <w:bCs/>
        </w:rPr>
        <w:t>”</w:t>
      </w:r>
      <w:r w:rsidRPr="00F10E52">
        <w:rPr>
          <w:rFonts w:ascii="Verdana" w:eastAsia="Times New Roman" w:hAnsi="Verdana" w:cs="Arial"/>
          <w:bCs/>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rPr>
        <w:footnoteReference w:id="10"/>
      </w:r>
      <w:r w:rsidRPr="00F10E52">
        <w:rPr>
          <w:rFonts w:ascii="Verdana" w:eastAsia="Times New Roman" w:hAnsi="Verdana" w:cs="Arial"/>
          <w:bCs/>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5AA5A547" w14:textId="77777777" w:rsidR="00CD5DE0" w:rsidRPr="00F10E52" w:rsidRDefault="00CD5DE0" w:rsidP="00CD5DE0">
      <w:pPr>
        <w:tabs>
          <w:tab w:val="left" w:pos="426"/>
        </w:tabs>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1FC28DE1" w14:textId="77777777" w:rsidR="00CD5DE0" w:rsidRPr="00F10E52" w:rsidRDefault="00CD5DE0" w:rsidP="00CD5DE0">
      <w:pPr>
        <w:tabs>
          <w:tab w:val="left" w:pos="426"/>
        </w:tabs>
        <w:spacing w:after="0" w:line="276" w:lineRule="auto"/>
        <w:ind w:firstLine="709"/>
        <w:jc w:val="both"/>
        <w:rPr>
          <w:rFonts w:ascii="Verdana" w:eastAsia="Times New Roman" w:hAnsi="Verdana" w:cs="Arial"/>
          <w:bCs/>
          <w:lang w:eastAsia="es-CO"/>
        </w:rPr>
      </w:pPr>
    </w:p>
    <w:p w14:paraId="05C9B899" w14:textId="77777777" w:rsidR="00CD5DE0" w:rsidRPr="007777F3" w:rsidRDefault="00CD5DE0" w:rsidP="00CD5DE0">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26BB807A" w14:textId="77777777" w:rsidR="00CD5DE0" w:rsidRPr="009E6EDF" w:rsidRDefault="00CD5DE0" w:rsidP="00CD5DE0">
      <w:pPr>
        <w:spacing w:after="0" w:line="240" w:lineRule="auto"/>
        <w:ind w:left="709" w:right="709"/>
        <w:jc w:val="both"/>
        <w:rPr>
          <w:rFonts w:ascii="Verdana" w:eastAsia="Times New Roman" w:hAnsi="Verdana" w:cs="Arial"/>
          <w:bCs/>
          <w:sz w:val="20"/>
          <w:szCs w:val="20"/>
          <w:lang w:eastAsia="es-CO"/>
        </w:rPr>
      </w:pPr>
    </w:p>
    <w:p w14:paraId="023C9952" w14:textId="77777777" w:rsidR="00CD5DE0" w:rsidRPr="00E80F85" w:rsidRDefault="00CD5DE0" w:rsidP="00CD5DE0">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11"/>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3" w:name="_Hlk78818186"/>
    </w:p>
    <w:p w14:paraId="69D29FD3" w14:textId="77777777" w:rsidR="00CD5DE0" w:rsidRDefault="00CD5DE0" w:rsidP="00CD5DE0">
      <w:pPr>
        <w:spacing w:after="0" w:line="276" w:lineRule="auto"/>
        <w:ind w:firstLine="709"/>
        <w:jc w:val="both"/>
        <w:rPr>
          <w:rFonts w:ascii="Verdana" w:eastAsia="Times New Roman" w:hAnsi="Verdana" w:cs="Arial"/>
          <w:bCs/>
          <w:lang w:eastAsia="es-CO"/>
        </w:rPr>
      </w:pPr>
    </w:p>
    <w:p w14:paraId="504A54F8" w14:textId="77777777" w:rsidR="00CD5DE0" w:rsidRDefault="00CD5DE0" w:rsidP="00CD5DE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EAA8D7A" w14:textId="77777777" w:rsidR="00CD5DE0" w:rsidRPr="002D6B92" w:rsidRDefault="00CD5DE0" w:rsidP="00CD5DE0">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000263EE" w14:textId="77777777" w:rsidR="00CD5DE0" w:rsidRPr="002D6B92" w:rsidRDefault="00CD5DE0" w:rsidP="00CD5DE0">
      <w:pPr>
        <w:spacing w:after="0" w:line="276" w:lineRule="auto"/>
        <w:ind w:firstLine="709"/>
        <w:jc w:val="both"/>
        <w:rPr>
          <w:rFonts w:ascii="Verdana" w:eastAsia="Times New Roman" w:hAnsi="Verdana" w:cs="Arial"/>
          <w:bCs/>
          <w:lang w:eastAsia="es-CO"/>
        </w:rPr>
      </w:pPr>
    </w:p>
    <w:p w14:paraId="76C0566F" w14:textId="77777777" w:rsidR="00CD5DE0" w:rsidRPr="009B20C5" w:rsidRDefault="00CD5DE0" w:rsidP="00CD5DE0">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BC0CA46" w14:textId="77777777" w:rsidR="00CD5DE0" w:rsidRDefault="00CD5DE0" w:rsidP="00CD5DE0">
      <w:pPr>
        <w:spacing w:after="0" w:line="240" w:lineRule="auto"/>
        <w:ind w:left="709" w:right="709"/>
        <w:jc w:val="both"/>
        <w:rPr>
          <w:rFonts w:ascii="Verdana" w:eastAsia="Times New Roman" w:hAnsi="Verdana" w:cs="Arial"/>
          <w:bCs/>
          <w:sz w:val="20"/>
          <w:szCs w:val="20"/>
          <w:lang w:eastAsia="es-CO"/>
        </w:rPr>
      </w:pPr>
    </w:p>
    <w:p w14:paraId="3E1CC110" w14:textId="77777777" w:rsidR="00CD5DE0" w:rsidRPr="009B20C5" w:rsidRDefault="00CD5DE0" w:rsidP="00CD5DE0">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3"/>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4"/>
      </w:r>
      <w:r w:rsidRPr="009B20C5">
        <w:rPr>
          <w:rFonts w:ascii="Verdana" w:eastAsia="Times New Roman" w:hAnsi="Verdana" w:cs="Arial"/>
          <w:bCs/>
          <w:sz w:val="20"/>
          <w:szCs w:val="20"/>
          <w:lang w:eastAsia="es-CO"/>
        </w:rPr>
        <w:t>.</w:t>
      </w:r>
    </w:p>
    <w:p w14:paraId="70275049" w14:textId="77777777" w:rsidR="00CD5DE0" w:rsidRDefault="00CD5DE0" w:rsidP="00CD5DE0">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2F3FF9AE" w14:textId="77777777" w:rsidR="00CD5DE0" w:rsidRDefault="00CD5DE0" w:rsidP="00CD5DE0">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4"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45A571C" w14:textId="77777777" w:rsidR="00CD5DE0" w:rsidRPr="00F10E52" w:rsidRDefault="00CD5DE0" w:rsidP="00CD5DE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4"/>
    </w:p>
    <w:p w14:paraId="58CCB146" w14:textId="77777777" w:rsidR="00CD5DE0" w:rsidRPr="00F10E52" w:rsidRDefault="00CD5DE0" w:rsidP="00CD5DE0">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5"/>
      </w:r>
      <w:r w:rsidRPr="00F10E52">
        <w:rPr>
          <w:rFonts w:ascii="Verdana" w:eastAsia="Calibri" w:hAnsi="Verdana" w:cs="Arial"/>
        </w:rPr>
        <w:t>.</w:t>
      </w:r>
    </w:p>
    <w:p w14:paraId="3FB9BE0B" w14:textId="77777777" w:rsidR="00CD5DE0" w:rsidRDefault="00CD5DE0" w:rsidP="00CD5DE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6"/>
      </w:r>
      <w:r w:rsidRPr="00F10E52">
        <w:rPr>
          <w:rFonts w:ascii="Verdana" w:eastAsia="Calibri" w:hAnsi="Verdana" w:cs="Arial"/>
        </w:rPr>
        <w:t>.</w:t>
      </w:r>
      <w:r w:rsidRPr="00F10E52">
        <w:rPr>
          <w:rFonts w:ascii="Verdana" w:eastAsia="Arial" w:hAnsi="Verdana" w:cs="Arial"/>
          <w:lang w:val="es-ES" w:eastAsia="es-ES" w:bidi="es-ES"/>
        </w:rPr>
        <w:t xml:space="preserve"> </w:t>
      </w:r>
    </w:p>
    <w:p w14:paraId="53BC9040" w14:textId="77777777" w:rsidR="00CD5DE0" w:rsidRDefault="00CD5DE0" w:rsidP="00CD5DE0">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03F6C271" w14:textId="77777777" w:rsidR="00CD5DE0" w:rsidRDefault="00CD5DE0" w:rsidP="00CD5DE0">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C8E1EB3" w14:textId="77777777" w:rsidR="00CD5DE0" w:rsidRDefault="00CD5DE0" w:rsidP="00CD5DE0">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33C94F6" w14:textId="77777777" w:rsidR="00CD5DE0" w:rsidRPr="00E26301" w:rsidRDefault="00CD5DE0" w:rsidP="00CD5DE0">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7"/>
      </w:r>
      <w:r w:rsidRPr="00894384">
        <w:rPr>
          <w:rFonts w:ascii="Verdana" w:eastAsia="Times New Roman" w:hAnsi="Verdana" w:cs="Arial"/>
          <w:bCs/>
          <w:lang w:val="es-MX" w:eastAsia="es-CO"/>
        </w:rPr>
        <w:t xml:space="preserve">. </w:t>
      </w:r>
    </w:p>
    <w:p w14:paraId="262B9CB3" w14:textId="77777777" w:rsidR="00CD5DE0" w:rsidRPr="006A51F6" w:rsidRDefault="00CD5DE0" w:rsidP="00CD5DE0">
      <w:pPr>
        <w:widowControl w:val="0"/>
        <w:autoSpaceDE w:val="0"/>
        <w:autoSpaceDN w:val="0"/>
        <w:spacing w:after="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227581D" w14:textId="77777777" w:rsidR="00CD5DE0" w:rsidRPr="006A51F6" w:rsidRDefault="00CD5DE0" w:rsidP="00CD5DE0">
      <w:pPr>
        <w:widowControl w:val="0"/>
        <w:autoSpaceDE w:val="0"/>
        <w:autoSpaceDN w:val="0"/>
        <w:spacing w:after="0" w:line="276" w:lineRule="auto"/>
        <w:ind w:firstLine="709"/>
        <w:jc w:val="both"/>
        <w:rPr>
          <w:rFonts w:ascii="Verdana" w:eastAsia="Arial" w:hAnsi="Verdana" w:cs="Arial"/>
          <w:lang w:val="es-ES" w:eastAsia="es-ES" w:bidi="es-ES"/>
        </w:rPr>
      </w:pPr>
    </w:p>
    <w:p w14:paraId="6A6C4F9C" w14:textId="77777777" w:rsidR="00CD5DE0" w:rsidRDefault="00CD5DE0" w:rsidP="00CD5DE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9B20C5">
        <w:rPr>
          <w:rFonts w:ascii="Verdana" w:eastAsia="Arial" w:hAnsi="Verdana" w:cs="Arial"/>
          <w:sz w:val="20"/>
          <w:szCs w:val="20"/>
          <w:lang w:val="es-ES" w:eastAsia="es-ES" w:bidi="es-ES"/>
        </w:rPr>
        <w:t>se integran parcialmente</w:t>
      </w:r>
      <w:bookmarkEnd w:id="7"/>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8"/>
      </w:r>
      <w:r>
        <w:rPr>
          <w:rFonts w:ascii="Verdana" w:eastAsia="Arial" w:hAnsi="Verdana" w:cs="Arial"/>
          <w:sz w:val="20"/>
          <w:szCs w:val="20"/>
          <w:lang w:val="es-ES" w:eastAsia="es-ES" w:bidi="es-ES"/>
        </w:rPr>
        <w:t>.</w:t>
      </w:r>
    </w:p>
    <w:p w14:paraId="58371645" w14:textId="77777777" w:rsidR="00CD5DE0" w:rsidRPr="00E26301" w:rsidRDefault="00CD5DE0" w:rsidP="00CD5DE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545E45E8" w14:textId="77777777" w:rsidR="00CD5DE0" w:rsidRPr="00F10E52" w:rsidRDefault="00CD5DE0" w:rsidP="00CD5DE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8" w:name="_Hlk99438241"/>
      <w:r w:rsidRPr="00F10E52">
        <w:rPr>
          <w:rFonts w:ascii="Verdana" w:eastAsia="Arial" w:hAnsi="Verdana" w:cs="Arial"/>
          <w:lang w:val="es-ES" w:eastAsia="es-ES" w:bidi="es-ES"/>
        </w:rPr>
        <w:t xml:space="preserve">, </w:t>
      </w:r>
      <w:bookmarkStart w:id="9" w:name="_Hlk77236420"/>
      <w:bookmarkStart w:id="10" w:name="_Hlk78818435"/>
      <w:bookmarkStart w:id="11"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9"/>
    </w:p>
    <w:bookmarkEnd w:id="8"/>
    <w:bookmarkEnd w:id="10"/>
    <w:p w14:paraId="3FACC440" w14:textId="77777777" w:rsidR="00CD5DE0" w:rsidRPr="00F10E52" w:rsidRDefault="00CD5DE0" w:rsidP="00CD5DE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1"/>
    <w:p w14:paraId="61F1A576" w14:textId="77777777" w:rsidR="00CD5DE0" w:rsidRDefault="00CD5DE0" w:rsidP="00CD5DE0">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E659462" w14:textId="77777777" w:rsidR="00CD5DE0" w:rsidRDefault="00CD5DE0" w:rsidP="00CD5DE0">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69FA3862" w14:textId="77777777" w:rsidR="00CD5DE0" w:rsidRDefault="00CD5DE0" w:rsidP="00CD5DE0">
      <w:pPr>
        <w:spacing w:after="0" w:line="276" w:lineRule="auto"/>
        <w:ind w:firstLine="709"/>
        <w:jc w:val="both"/>
        <w:rPr>
          <w:rFonts w:ascii="Verdana" w:hAnsi="Verdana" w:cs="Arial"/>
          <w:lang w:eastAsia="es-CO"/>
        </w:rPr>
      </w:pPr>
      <w:r w:rsidRPr="00195E24">
        <w:rPr>
          <w:rFonts w:ascii="Verdana" w:hAnsi="Verdana" w:cs="Arial"/>
          <w:bCs/>
          <w:lang w:eastAsia="x-none"/>
        </w:rPr>
        <w:t xml:space="preserve">El ámbito material de la prohibición contenida </w:t>
      </w:r>
      <w:bookmarkStart w:id="12" w:name="_Hlk75628761"/>
      <w:r w:rsidRPr="00195E24">
        <w:rPr>
          <w:rFonts w:ascii="Verdana" w:hAnsi="Verdana" w:cs="Arial"/>
          <w:bCs/>
          <w:lang w:eastAsia="x-none"/>
        </w:rPr>
        <w:t xml:space="preserve">en el artículo 33 de la ley 996 de 2005 </w:t>
      </w:r>
      <w:bookmarkEnd w:id="12"/>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3F51FE10" w14:textId="77777777" w:rsidR="00CD5DE0" w:rsidRPr="00435A6A" w:rsidRDefault="00CD5DE0" w:rsidP="00CD5DE0">
      <w:pPr>
        <w:spacing w:after="0" w:line="276" w:lineRule="auto"/>
        <w:ind w:firstLine="709"/>
        <w:jc w:val="both"/>
        <w:rPr>
          <w:rFonts w:ascii="Verdana" w:eastAsia="Arial" w:hAnsi="Verdana" w:cs="Arial"/>
          <w:lang w:val="es-ES" w:eastAsia="es-ES" w:bidi="es-ES"/>
        </w:rPr>
      </w:pPr>
    </w:p>
    <w:p w14:paraId="478C8C52" w14:textId="77777777" w:rsidR="00CD5DE0" w:rsidRPr="005800D0" w:rsidRDefault="00CD5DE0" w:rsidP="00CD5DE0">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9"/>
      </w:r>
      <w:r w:rsidRPr="005800D0">
        <w:rPr>
          <w:rFonts w:ascii="Verdana" w:hAnsi="Verdana" w:cs="Arial"/>
          <w:sz w:val="20"/>
          <w:szCs w:val="20"/>
        </w:rPr>
        <w:t>.</w:t>
      </w:r>
    </w:p>
    <w:p w14:paraId="75EFFDD4" w14:textId="77777777" w:rsidR="00CD5DE0" w:rsidRPr="005800D0" w:rsidRDefault="00CD5DE0" w:rsidP="00CD5DE0">
      <w:pPr>
        <w:spacing w:after="0" w:line="240" w:lineRule="auto"/>
        <w:ind w:left="709" w:right="709"/>
        <w:jc w:val="both"/>
        <w:rPr>
          <w:rFonts w:ascii="Verdana" w:hAnsi="Verdana" w:cs="Arial"/>
          <w:sz w:val="20"/>
          <w:szCs w:val="20"/>
        </w:rPr>
      </w:pPr>
    </w:p>
    <w:p w14:paraId="12E99844" w14:textId="77777777" w:rsidR="00CD5DE0" w:rsidRDefault="00CD5DE0" w:rsidP="00CD5DE0">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3" w:name="_Hlk75741738"/>
      <w:r w:rsidRPr="005800D0">
        <w:rPr>
          <w:rFonts w:ascii="Verdana" w:hAnsi="Verdana" w:cs="Arial"/>
          <w:sz w:val="20"/>
          <w:szCs w:val="20"/>
        </w:rPr>
        <w:t xml:space="preserve">de cualquier sistema que no implique convocatoria pública y posibilidad de pluralidad de oferentes, </w:t>
      </w:r>
      <w:bookmarkEnd w:id="13"/>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20"/>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21"/>
      </w:r>
      <w:r w:rsidRPr="005800D0">
        <w:rPr>
          <w:rFonts w:ascii="Verdana" w:hAnsi="Verdana" w:cs="Arial"/>
          <w:sz w:val="20"/>
          <w:szCs w:val="20"/>
        </w:rPr>
        <w:t>.</w:t>
      </w:r>
    </w:p>
    <w:p w14:paraId="2683320F" w14:textId="77777777" w:rsidR="00CD5DE0" w:rsidRPr="005800D0" w:rsidRDefault="00CD5DE0" w:rsidP="00CD5DE0">
      <w:pPr>
        <w:spacing w:after="0" w:line="240" w:lineRule="auto"/>
        <w:ind w:left="709" w:right="709"/>
        <w:jc w:val="both"/>
        <w:rPr>
          <w:rFonts w:ascii="Verdana" w:hAnsi="Verdana" w:cs="Arial"/>
        </w:rPr>
      </w:pPr>
    </w:p>
    <w:p w14:paraId="12243C9F" w14:textId="77777777" w:rsidR="00CD5DE0" w:rsidRPr="00195E24" w:rsidRDefault="00CD5DE0" w:rsidP="00CD5DE0">
      <w:pPr>
        <w:spacing w:after="120" w:line="276" w:lineRule="auto"/>
        <w:ind w:firstLine="709"/>
        <w:jc w:val="both"/>
        <w:rPr>
          <w:rFonts w:ascii="Verdana" w:hAnsi="Verdana" w:cs="Arial"/>
          <w:bCs/>
          <w:lang w:eastAsia="x-none"/>
        </w:rPr>
      </w:pPr>
      <w:bookmarkStart w:id="15"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22"/>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3"/>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5"/>
    <w:p w14:paraId="13366B11" w14:textId="77777777" w:rsidR="00CD5DE0" w:rsidRPr="00195E24" w:rsidRDefault="00CD5DE0" w:rsidP="00CD5DE0">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4"/>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29B633B5" w14:textId="77777777" w:rsidR="00CD5DE0" w:rsidRPr="00195E24" w:rsidRDefault="00CD5DE0" w:rsidP="00CD5DE0">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6"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6"/>
      <w:r w:rsidRPr="00195E24">
        <w:rPr>
          <w:rFonts w:ascii="Verdana" w:hAnsi="Verdana" w:cs="Arial"/>
          <w:vertAlign w:val="superscript"/>
          <w:lang w:eastAsia="x-none"/>
        </w:rPr>
        <w:footnoteReference w:id="25"/>
      </w:r>
      <w:r w:rsidRPr="00195E24">
        <w:rPr>
          <w:rFonts w:ascii="Verdana" w:hAnsi="Verdana" w:cs="Arial"/>
          <w:lang w:eastAsia="x-none"/>
        </w:rPr>
        <w:t xml:space="preserve">. </w:t>
      </w:r>
    </w:p>
    <w:p w14:paraId="4DEA7A00" w14:textId="77777777" w:rsidR="00CD5DE0" w:rsidRPr="00CE0712" w:rsidRDefault="00CD5DE0" w:rsidP="00CD5DE0">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37572446" w14:textId="77777777" w:rsidR="00CD5DE0" w:rsidRDefault="00CD5DE0" w:rsidP="00CD5DE0">
      <w:pPr>
        <w:spacing w:after="120" w:line="276" w:lineRule="auto"/>
        <w:ind w:firstLine="709"/>
        <w:jc w:val="both"/>
        <w:rPr>
          <w:rFonts w:ascii="Verdana" w:hAnsi="Verdana" w:cs="Arial"/>
          <w:vertAlign w:val="superscript"/>
          <w:lang w:eastAsia="x-none"/>
        </w:rPr>
      </w:pPr>
      <w:bookmarkStart w:id="17"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6"/>
      </w:r>
      <w:r w:rsidRPr="007E27D9">
        <w:rPr>
          <w:rFonts w:ascii="Verdana" w:hAnsi="Verdana" w:cs="Arial"/>
          <w:lang w:eastAsia="x-none"/>
        </w:rPr>
        <w:t>.</w:t>
      </w:r>
      <w:r w:rsidRPr="007E27D9">
        <w:rPr>
          <w:rFonts w:ascii="Verdana" w:hAnsi="Verdana" w:cs="Arial"/>
          <w:vertAlign w:val="superscript"/>
          <w:lang w:eastAsia="x-none"/>
        </w:rPr>
        <w:t xml:space="preserve"> </w:t>
      </w:r>
    </w:p>
    <w:p w14:paraId="251755D7" w14:textId="77777777" w:rsidR="00CD5DE0" w:rsidRPr="007E27D9" w:rsidRDefault="00CD5DE0" w:rsidP="00CD5DE0">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oferentes3.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27"/>
      </w:r>
      <w:r w:rsidRPr="00AD17FF">
        <w:rPr>
          <w:rFonts w:ascii="Verdana" w:hAnsi="Verdana" w:cs="Arial"/>
          <w:lang w:eastAsia="x-none"/>
        </w:rPr>
        <w:t>.</w:t>
      </w:r>
    </w:p>
    <w:bookmarkEnd w:id="17"/>
    <w:p w14:paraId="0B44ECBB" w14:textId="77777777" w:rsidR="00CD5DE0" w:rsidRPr="007E27D9" w:rsidRDefault="00CD5DE0" w:rsidP="00CD5DE0">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6E3A6A51" w14:textId="77777777" w:rsidR="00CD5DE0" w:rsidRPr="00CE0712" w:rsidRDefault="00CD5DE0" w:rsidP="00CD5DE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20DA1F5" w14:textId="77777777" w:rsidR="00CD5DE0" w:rsidRDefault="00CD5DE0" w:rsidP="00CD5DE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8"/>
      </w:r>
      <w:r w:rsidRPr="73D21086">
        <w:rPr>
          <w:rFonts w:ascii="Verdana" w:hAnsi="Verdana" w:cs="Arial"/>
          <w:color w:val="000000" w:themeColor="text1"/>
          <w:lang w:val="es-MX"/>
        </w:rPr>
        <w:t xml:space="preserve">. </w:t>
      </w:r>
    </w:p>
    <w:p w14:paraId="700B09A5" w14:textId="77777777" w:rsidR="00CD5DE0" w:rsidRPr="002D6B92" w:rsidRDefault="00CD5DE0" w:rsidP="00CD5DE0">
      <w:pPr>
        <w:spacing w:after="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9"/>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727DF061" w14:textId="77777777" w:rsidR="00CD5DE0" w:rsidRPr="002D6B92" w:rsidRDefault="00CD5DE0" w:rsidP="00CD5DE0">
      <w:pPr>
        <w:spacing w:after="0" w:line="276" w:lineRule="auto"/>
        <w:ind w:firstLine="709"/>
        <w:jc w:val="both"/>
        <w:rPr>
          <w:rFonts w:ascii="Verdana" w:hAnsi="Verdana" w:cs="Arial"/>
          <w:color w:val="000000" w:themeColor="text1"/>
          <w:lang w:val="es-MX"/>
        </w:rPr>
      </w:pPr>
    </w:p>
    <w:p w14:paraId="647BB9BD" w14:textId="77777777" w:rsidR="00CD5DE0" w:rsidRPr="005800D0" w:rsidRDefault="00CD5DE0" w:rsidP="00CD5DE0">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9917547" w14:textId="77777777" w:rsidR="00CD5DE0" w:rsidRDefault="00CD5DE0" w:rsidP="00CD5DE0">
      <w:pPr>
        <w:spacing w:after="0" w:line="240" w:lineRule="auto"/>
        <w:ind w:left="709" w:right="709"/>
        <w:jc w:val="both"/>
        <w:rPr>
          <w:rFonts w:ascii="Verdana" w:hAnsi="Verdana" w:cs="Arial"/>
          <w:color w:val="000000" w:themeColor="text1"/>
          <w:sz w:val="20"/>
          <w:szCs w:val="20"/>
          <w:lang w:val="es-MX"/>
        </w:rPr>
      </w:pPr>
    </w:p>
    <w:p w14:paraId="5C4D1B07" w14:textId="77777777" w:rsidR="00CD5DE0" w:rsidRPr="00435A6A" w:rsidRDefault="00CD5DE0" w:rsidP="00CD5DE0">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30"/>
      </w:r>
      <w:r w:rsidRPr="005800D0">
        <w:rPr>
          <w:rFonts w:ascii="Verdana" w:hAnsi="Verdana" w:cs="Arial"/>
          <w:color w:val="000000" w:themeColor="text1"/>
          <w:sz w:val="20"/>
          <w:szCs w:val="20"/>
          <w:lang w:val="es-MX" w:eastAsia="x-none"/>
        </w:rPr>
        <w:t>.</w:t>
      </w:r>
    </w:p>
    <w:p w14:paraId="1512CDA9" w14:textId="77777777" w:rsidR="00CD5DE0" w:rsidRDefault="00CD5DE0" w:rsidP="00CD5DE0">
      <w:pPr>
        <w:spacing w:after="0" w:line="240" w:lineRule="auto"/>
        <w:ind w:firstLine="709"/>
        <w:jc w:val="both"/>
        <w:rPr>
          <w:rFonts w:ascii="Verdana" w:hAnsi="Verdana" w:cs="Arial"/>
          <w:color w:val="000000" w:themeColor="text1"/>
          <w:lang w:val="es-MX"/>
        </w:rPr>
      </w:pPr>
    </w:p>
    <w:p w14:paraId="0D689860" w14:textId="77777777" w:rsidR="00CD5DE0" w:rsidRDefault="00CD5DE0" w:rsidP="00CD5DE0">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31"/>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00AA5566" w14:textId="77777777" w:rsidR="00CD5DE0" w:rsidRPr="00195E24" w:rsidRDefault="00CD5DE0" w:rsidP="00CD5DE0">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219AD836" w14:textId="77777777" w:rsidR="00CD5DE0" w:rsidRPr="00CE0712" w:rsidRDefault="00CD5DE0" w:rsidP="00CD5DE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C656543" w14:textId="77777777" w:rsidR="00CD5DE0" w:rsidRDefault="00CD5DE0" w:rsidP="00CD5DE0">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8EA91EB" w14:textId="77777777" w:rsidR="00CD5DE0" w:rsidRDefault="00CD5DE0" w:rsidP="00CD5DE0">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9" w:name="_Hlk74309042"/>
      <w:r w:rsidRPr="00F8199A">
        <w:rPr>
          <w:rFonts w:ascii="Verdana" w:hAnsi="Verdana" w:cs="Arial"/>
          <w:bCs/>
          <w:lang w:val="es-MX" w:eastAsia="x-none"/>
        </w:rPr>
        <w:t xml:space="preserve">que </w:t>
      </w:r>
      <w:r>
        <w:rPr>
          <w:rFonts w:ascii="Verdana" w:hAnsi="Verdana" w:cs="Arial"/>
          <w:bCs/>
          <w:lang w:val="es-MX" w:eastAsia="x-none"/>
        </w:rPr>
        <w:t>“</w:t>
      </w:r>
      <w:bookmarkEnd w:id="19"/>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20"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32"/>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20"/>
    </w:p>
    <w:p w14:paraId="09ECCCFA" w14:textId="77777777" w:rsidR="00CD5DE0" w:rsidRPr="0004207F" w:rsidRDefault="00CD5DE0" w:rsidP="00CD5DE0">
      <w:pPr>
        <w:spacing w:after="120" w:line="276" w:lineRule="auto"/>
        <w:ind w:firstLine="709"/>
        <w:jc w:val="both"/>
        <w:rPr>
          <w:rFonts w:ascii="Verdana" w:hAnsi="Verdana" w:cs="Arial"/>
          <w:bCs/>
          <w:lang w:val="es-MX" w:eastAsia="x-none"/>
        </w:rPr>
      </w:pPr>
      <w:r w:rsidRPr="0004207F">
        <w:rPr>
          <w:rFonts w:ascii="Verdana" w:hAnsi="Verdana" w:cs="Arial"/>
          <w:bCs/>
          <w:lang w:val="es-MX" w:eastAsia="x-none"/>
        </w:rPr>
        <w:t>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33"/>
      </w:r>
      <w:r w:rsidRPr="0004207F">
        <w:rPr>
          <w:rFonts w:ascii="Verdana" w:hAnsi="Verdana" w:cs="Arial"/>
          <w:bCs/>
          <w:lang w:val="es-MX" w:eastAsia="x-none"/>
        </w:rPr>
        <w:t>.</w:t>
      </w:r>
    </w:p>
    <w:p w14:paraId="5C8035CF" w14:textId="77777777" w:rsidR="00CD5DE0" w:rsidRPr="0004207F" w:rsidRDefault="00CD5DE0" w:rsidP="00CD5DE0">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34"/>
      </w:r>
      <w:r w:rsidRPr="2E79A5E2">
        <w:rPr>
          <w:rFonts w:ascii="Verdana" w:hAnsi="Verdana" w:cs="Arial"/>
          <w:lang w:val="es-ES" w:eastAsia="es-CO"/>
        </w:rPr>
        <w:t xml:space="preserve">. </w:t>
      </w:r>
    </w:p>
    <w:p w14:paraId="3D9D3FBC" w14:textId="77777777" w:rsidR="00CD5DE0" w:rsidRPr="0004207F" w:rsidRDefault="00CD5DE0" w:rsidP="00CD5DE0">
      <w:pPr>
        <w:shd w:val="clear" w:color="auto" w:fill="FFFFFF"/>
        <w:spacing w:after="120" w:line="276" w:lineRule="auto"/>
        <w:ind w:firstLine="709"/>
        <w:jc w:val="both"/>
        <w:rPr>
          <w:rFonts w:ascii="Verdana" w:hAnsi="Verdana" w:cs="Arial"/>
          <w:lang w:val="es-ES_tradnl" w:eastAsia="es-CO"/>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54A2DA99" w14:textId="77777777" w:rsidR="00CD5DE0" w:rsidRPr="00E26301" w:rsidRDefault="00CD5DE0" w:rsidP="00CD5DE0">
      <w:pPr>
        <w:spacing w:after="120"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w:t>
      </w:r>
      <w:r>
        <w:rPr>
          <w:rFonts w:ascii="Verdana" w:hAnsi="Verdana" w:cs="Arial"/>
          <w:bCs/>
          <w:lang w:val="es-MX" w:eastAsia="x-none"/>
        </w:rPr>
        <w:t>(…)</w:t>
      </w:r>
      <w:r w:rsidRPr="0004207F">
        <w:rPr>
          <w:rFonts w:ascii="Verdana" w:hAnsi="Verdana" w:cs="Arial"/>
          <w:bCs/>
          <w:lang w:val="es-MX" w:eastAsia="x-none"/>
        </w:rPr>
        <w:t xml:space="preserve"> l</w:t>
      </w:r>
      <w:r w:rsidRPr="0004207F">
        <w:rPr>
          <w:rFonts w:ascii="Verdana" w:hAnsi="Verdana" w:cs="Arial"/>
          <w:bCs/>
          <w:lang w:eastAsia="x-none"/>
        </w:rPr>
        <w:t xml:space="preserve">os requeridos para cubrir las emergencias educativas, sanitarias y desastres </w:t>
      </w:r>
      <w:r>
        <w:rPr>
          <w:rFonts w:ascii="Verdana" w:hAnsi="Verdana" w:cs="Arial"/>
          <w:bCs/>
          <w:lang w:eastAsia="x-none"/>
        </w:rPr>
        <w:t>(…)</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35"/>
      </w:r>
      <w:r w:rsidRPr="0004207F">
        <w:rPr>
          <w:rFonts w:ascii="Verdana" w:eastAsia="Calibri" w:hAnsi="Verdana" w:cs="Arial"/>
          <w:bCs/>
          <w:color w:val="000000" w:themeColor="text1"/>
        </w:rPr>
        <w:t>.</w:t>
      </w:r>
      <w:r w:rsidRPr="3683B926">
        <w:rPr>
          <w:rFonts w:ascii="Verdana" w:eastAsia="Calibri" w:hAnsi="Verdana" w:cs="Arial"/>
          <w:lang w:val="es-ES"/>
        </w:rPr>
        <w:t xml:space="preserve"> </w:t>
      </w:r>
    </w:p>
    <w:p w14:paraId="06A90E7B" w14:textId="77777777" w:rsidR="00CD5DE0" w:rsidRDefault="00CD5DE0" w:rsidP="00CD5DE0">
      <w:pPr>
        <w:spacing w:before="120" w:after="0" w:line="276" w:lineRule="auto"/>
        <w:ind w:firstLine="709"/>
        <w:jc w:val="both"/>
        <w:rPr>
          <w:rFonts w:ascii="Verdana" w:eastAsia="Calibri" w:hAnsi="Verdana" w:cs="Arial"/>
          <w:lang w:val="es-ES"/>
        </w:rPr>
      </w:pPr>
      <w:r w:rsidRPr="00B91291">
        <w:rPr>
          <w:rFonts w:ascii="Verdana" w:hAnsi="Verdana" w:cs="Arial"/>
          <w:lang w:val="es-ES"/>
        </w:rPr>
        <w:t xml:space="preserve">Ahora bien, respecto del alcance del parágrafo </w:t>
      </w:r>
      <w:r w:rsidRPr="00B91291">
        <w:rPr>
          <w:rFonts w:ascii="Verdana" w:hAnsi="Verdana" w:cs="Arial"/>
        </w:rPr>
        <w:t xml:space="preserve">del artículo 38 de la Ley 996 de 2005, esta prohibición dispone en primera medida que: “[l]os Gobernadores, Alcaldes Municipales y/o Distritales, Secretarios, Gerentes y directores de Entidades Descentralizadas del orden Municipal, Departamental o Distrital, dentro de los cuatro (4) meses anteriores a las elecciones, no podrán celebrar </w:t>
      </w:r>
      <w:r w:rsidRPr="00B91291">
        <w:rPr>
          <w:rFonts w:ascii="Verdana" w:hAnsi="Verdana" w:cs="Arial"/>
          <w:i/>
          <w:iCs/>
        </w:rPr>
        <w:t>convenios interadministrativos</w:t>
      </w:r>
      <w:r w:rsidRPr="00B91291">
        <w:rPr>
          <w:rFonts w:ascii="Verdana" w:hAnsi="Verdana" w:cs="Arial"/>
        </w:rPr>
        <w:t xml:space="preserve"> </w:t>
      </w:r>
      <w:r w:rsidRPr="00B91291">
        <w:rPr>
          <w:rFonts w:ascii="Verdana" w:hAnsi="Verdana" w:cs="Arial"/>
          <w:i/>
          <w:iCs/>
        </w:rPr>
        <w:t>para la ejecución de recursos públicos</w:t>
      </w:r>
      <w:r w:rsidRPr="00B91291">
        <w:rPr>
          <w:rFonts w:ascii="Verdana" w:hAnsi="Verdana" w:cs="Arial"/>
        </w:rPr>
        <w:t>”.</w:t>
      </w:r>
      <w:r w:rsidRPr="00B91291">
        <w:rPr>
          <w:rFonts w:ascii="Verdana" w:eastAsia="Times New Roman" w:hAnsi="Verdana" w:cs="Arial"/>
          <w:lang w:val="es-MX" w:eastAsia="x-none"/>
        </w:rPr>
        <w:t xml:space="preserve"> </w:t>
      </w:r>
      <w:r>
        <w:rPr>
          <w:rFonts w:ascii="Verdana" w:eastAsia="Times New Roman" w:hAnsi="Verdana" w:cs="Arial"/>
          <w:lang w:val="es-MX" w:eastAsia="x-none"/>
        </w:rPr>
        <w:t>(</w:t>
      </w:r>
      <w:r w:rsidRPr="00B91291">
        <w:rPr>
          <w:rFonts w:ascii="Verdana" w:eastAsia="Times New Roman" w:hAnsi="Verdana" w:cs="Arial"/>
          <w:lang w:val="es-MX" w:eastAsia="x-none"/>
        </w:rPr>
        <w:t>Énfasis fuera del texto original</w:t>
      </w:r>
      <w:r>
        <w:rPr>
          <w:rFonts w:ascii="Verdana" w:eastAsia="Times New Roman" w:hAnsi="Verdana" w:cs="Arial"/>
          <w:lang w:val="es-MX" w:eastAsia="x-none"/>
        </w:rPr>
        <w:t>)</w:t>
      </w:r>
    </w:p>
    <w:p w14:paraId="1E9D3191" w14:textId="77777777" w:rsidR="00CD5DE0" w:rsidRDefault="00CD5DE0" w:rsidP="00CD5DE0">
      <w:pPr>
        <w:spacing w:before="120" w:after="0" w:line="276" w:lineRule="auto"/>
        <w:ind w:firstLine="709"/>
        <w:jc w:val="both"/>
        <w:rPr>
          <w:rFonts w:ascii="Verdana" w:eastAsia="Calibri" w:hAnsi="Verdana" w:cs="Arial"/>
          <w:lang w:val="es-ES"/>
        </w:rPr>
      </w:pPr>
      <w:r w:rsidRPr="00B91291">
        <w:rPr>
          <w:rFonts w:ascii="Verdana" w:eastAsia="Times New Roman" w:hAnsi="Verdana" w:cs="Arial"/>
          <w:lang w:val="es-ES" w:eastAsia="es-ES"/>
        </w:rPr>
        <w:t xml:space="preserve">Para tales efectos, debe precisarse que </w:t>
      </w:r>
      <w:r w:rsidRPr="00B91291">
        <w:rPr>
          <w:rFonts w:ascii="Verdana" w:eastAsia="Times New Roman" w:hAnsi="Verdana" w:cs="Arial"/>
          <w:color w:val="000000" w:themeColor="text1"/>
          <w:lang w:val="es-ES" w:eastAsia="es-CO"/>
        </w:rPr>
        <w:t>los contratos o convenios interadministrativos están determinados</w:t>
      </w:r>
      <w:r w:rsidRPr="00667CD6">
        <w:rPr>
          <w:rFonts w:ascii="Verdana" w:eastAsia="Times New Roman" w:hAnsi="Verdana" w:cs="Arial"/>
          <w:color w:val="000000" w:themeColor="text1"/>
          <w:lang w:val="es-ES" w:eastAsia="es-CO"/>
        </w:rPr>
        <w:t xml:space="preserve">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36"/>
      </w:r>
      <w:r w:rsidRPr="00667CD6">
        <w:rPr>
          <w:rFonts w:ascii="Verdana" w:hAnsi="Verdana" w:cs="Arial"/>
          <w:lang w:eastAsia="es-ES"/>
        </w:rPr>
        <w:t>.</w:t>
      </w:r>
    </w:p>
    <w:p w14:paraId="0F8359F3" w14:textId="77777777" w:rsidR="00CD5DE0" w:rsidRPr="00AD17FF" w:rsidRDefault="00CD5DE0" w:rsidP="00CD5DE0">
      <w:pPr>
        <w:spacing w:before="120" w:after="0" w:line="276" w:lineRule="auto"/>
        <w:ind w:firstLine="709"/>
        <w:jc w:val="both"/>
        <w:rPr>
          <w:rFonts w:ascii="Verdana" w:eastAsia="Calibri" w:hAnsi="Verdana" w:cs="Arial"/>
          <w:lang w:val="es-ES"/>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3D1E83B0" w14:textId="77777777" w:rsidR="00CD5DE0" w:rsidRPr="00667CD6" w:rsidRDefault="00CD5DE0" w:rsidP="00CD5DE0">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37"/>
      </w:r>
      <w:r w:rsidRPr="2035D652">
        <w:rPr>
          <w:rFonts w:ascii="Verdana" w:hAnsi="Verdana" w:cs="Arial"/>
          <w:lang w:val="es-ES"/>
        </w:rPr>
        <w:t>. Nótese que, en este caso, lo que cambia es la modalidad de selección y no la naturaleza de contrato interadministrativo.</w:t>
      </w:r>
    </w:p>
    <w:p w14:paraId="56AECA8E" w14:textId="77777777" w:rsidR="00CD5DE0" w:rsidRPr="00667CD6" w:rsidRDefault="00CD5DE0" w:rsidP="00CD5DE0">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8"/>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0A9D9EB4" w14:textId="77777777" w:rsidR="00CD5DE0" w:rsidRPr="00B8078E" w:rsidRDefault="00CD5DE0" w:rsidP="00CD5DE0">
      <w:pPr>
        <w:spacing w:before="120" w:after="0" w:line="276" w:lineRule="auto"/>
        <w:ind w:firstLine="708"/>
        <w:jc w:val="both"/>
        <w:rPr>
          <w:rFonts w:ascii="Verdana" w:hAnsi="Verdana"/>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9"/>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B8078E">
        <w:rPr>
          <w:rFonts w:ascii="Verdana" w:hAnsi="Verdana"/>
          <w:lang w:eastAsia="es-CO"/>
        </w:rPr>
        <w:t>.</w:t>
      </w:r>
    </w:p>
    <w:p w14:paraId="5BDE0F32" w14:textId="77777777" w:rsidR="00CD5DE0" w:rsidRDefault="00CD5DE0" w:rsidP="00CD5DE0">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70F9C6A8" w14:textId="77777777" w:rsidR="00CD5DE0" w:rsidRDefault="00CD5DE0" w:rsidP="00CD5DE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3946FE89" w14:textId="77777777" w:rsidR="00CD5DE0" w:rsidRPr="00667CD6" w:rsidRDefault="00CD5DE0" w:rsidP="00CD5DE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40"/>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739FAFFF" w14:textId="77777777" w:rsidR="00CD5DE0" w:rsidRPr="00667CD6" w:rsidRDefault="00CD5DE0" w:rsidP="00CD5DE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502FCEDC" w14:textId="77777777" w:rsidR="00CD5DE0" w:rsidRPr="00667CD6" w:rsidRDefault="00CD5DE0" w:rsidP="00CD5DE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41"/>
      </w:r>
      <w:r w:rsidRPr="00667CD6">
        <w:rPr>
          <w:rFonts w:ascii="Verdana" w:hAnsi="Verdana" w:cs="Arial"/>
        </w:rPr>
        <w:t xml:space="preserve">: </w:t>
      </w:r>
    </w:p>
    <w:p w14:paraId="551FA643" w14:textId="77777777" w:rsidR="00CD5DE0" w:rsidRPr="00667CD6" w:rsidRDefault="00CD5DE0" w:rsidP="00CD5DE0">
      <w:pPr>
        <w:spacing w:after="0" w:line="276" w:lineRule="auto"/>
        <w:ind w:firstLine="709"/>
        <w:jc w:val="both"/>
        <w:rPr>
          <w:rFonts w:ascii="Verdana" w:hAnsi="Verdana" w:cs="Arial"/>
        </w:rPr>
      </w:pPr>
    </w:p>
    <w:p w14:paraId="3A3A3819" w14:textId="77777777" w:rsidR="00CD5DE0" w:rsidRDefault="00CD5DE0" w:rsidP="00CD5DE0">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6686F62A" w14:textId="77777777" w:rsidR="00CD5DE0" w:rsidRPr="00667CD6" w:rsidRDefault="00CD5DE0" w:rsidP="00CD5DE0">
      <w:pPr>
        <w:spacing w:after="0" w:line="240" w:lineRule="auto"/>
        <w:ind w:left="709" w:right="709"/>
        <w:jc w:val="both"/>
        <w:rPr>
          <w:rFonts w:ascii="Verdana" w:hAnsi="Verdana" w:cs="Arial"/>
          <w:sz w:val="20"/>
          <w:szCs w:val="20"/>
        </w:rPr>
      </w:pPr>
    </w:p>
    <w:p w14:paraId="629E965A" w14:textId="77777777" w:rsidR="00CD5DE0" w:rsidRPr="00667CD6" w:rsidRDefault="00CD5DE0" w:rsidP="00CD5DE0">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78FAE684" w14:textId="77777777" w:rsidR="00CD5DE0" w:rsidRPr="00667CD6" w:rsidRDefault="00CD5DE0" w:rsidP="00CD5DE0">
      <w:pPr>
        <w:spacing w:after="0" w:line="276" w:lineRule="auto"/>
        <w:ind w:left="709" w:right="709"/>
        <w:jc w:val="both"/>
        <w:rPr>
          <w:rFonts w:ascii="Verdana" w:hAnsi="Verdana" w:cs="Arial"/>
        </w:rPr>
      </w:pPr>
    </w:p>
    <w:p w14:paraId="4C6A3E67" w14:textId="77777777" w:rsidR="00CD5DE0" w:rsidRPr="00667CD6" w:rsidRDefault="00CD5DE0" w:rsidP="00CD5DE0">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22E8D75A" w14:textId="77777777" w:rsidR="00CD5DE0" w:rsidRPr="00667CD6" w:rsidRDefault="00CD5DE0" w:rsidP="00CD5DE0">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42"/>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599A5AAE" w14:textId="77777777" w:rsidR="00CD5DE0" w:rsidRDefault="00CD5DE0" w:rsidP="00CD5DE0">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1195ADE4" w14:textId="77777777" w:rsidR="00CD5DE0" w:rsidRDefault="00CD5DE0" w:rsidP="00CD5DE0">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43"/>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63CADCA" w14:textId="77777777" w:rsidR="00CD5DE0" w:rsidRDefault="00CD5DE0" w:rsidP="00CD5DE0">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44"/>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50E3ED6E" w14:textId="77777777" w:rsidR="00CD5DE0" w:rsidRDefault="00CD5DE0" w:rsidP="00CD5DE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53188700" w14:textId="77777777" w:rsidR="00CD5DE0" w:rsidRPr="00B13882" w:rsidRDefault="00CD5DE0" w:rsidP="00CD5DE0">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6EFFF65F" w14:textId="77777777" w:rsidR="00CD5DE0" w:rsidRDefault="00CD5DE0" w:rsidP="00CD5DE0">
      <w:pPr>
        <w:pStyle w:val="paragraph"/>
        <w:shd w:val="clear" w:color="auto" w:fill="FFFFFF"/>
        <w:spacing w:before="0" w:beforeAutospacing="0" w:after="120" w:afterAutospacing="0" w:line="276" w:lineRule="auto"/>
        <w:ind w:firstLine="709"/>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En relación con las </w:t>
      </w:r>
      <w:r w:rsidRPr="00DF3F1B">
        <w:rPr>
          <w:rFonts w:ascii="Verdana" w:eastAsia="Calibri" w:hAnsi="Verdana" w:cs="Arial"/>
          <w:bCs/>
          <w:color w:val="000000" w:themeColor="text1"/>
          <w:sz w:val="22"/>
          <w:szCs w:val="22"/>
        </w:rPr>
        <w:t>restricciones previstas en la Ley de Garantías Electorales, resulta necesario precisar su alcance respecto de determinadas actuaciones institucionales, particularmente</w:t>
      </w:r>
      <w:r>
        <w:rPr>
          <w:rFonts w:ascii="Verdana" w:eastAsia="Calibri" w:hAnsi="Verdana" w:cs="Arial"/>
          <w:bCs/>
          <w:color w:val="000000" w:themeColor="text1"/>
          <w:sz w:val="22"/>
          <w:szCs w:val="22"/>
        </w:rPr>
        <w:t xml:space="preserve"> </w:t>
      </w:r>
      <w:r w:rsidRPr="00DF3F1B">
        <w:rPr>
          <w:rFonts w:ascii="Verdana" w:eastAsia="Calibri" w:hAnsi="Verdana" w:cs="Arial"/>
          <w:bCs/>
          <w:color w:val="000000" w:themeColor="text1"/>
          <w:sz w:val="22"/>
          <w:szCs w:val="22"/>
        </w:rPr>
        <w:t xml:space="preserve">la procedencia de la contratación directa con las ESE o con las Uniones Temporales conformadas por ESE para la ejecución del </w:t>
      </w:r>
      <w:r w:rsidRPr="008C5A84">
        <w:rPr>
          <w:rFonts w:ascii="Verdana" w:eastAsia="Calibri" w:hAnsi="Verdana" w:cs="Arial"/>
          <w:bCs/>
          <w:color w:val="000000" w:themeColor="text1"/>
          <w:sz w:val="22"/>
          <w:szCs w:val="22"/>
        </w:rPr>
        <w:t>Plan de Salud Pública de Intervenciones Colectivas -PIC-</w:t>
      </w:r>
      <w:r w:rsidRPr="00DF3F1B">
        <w:rPr>
          <w:rFonts w:ascii="Verdana" w:eastAsia="Calibri" w:hAnsi="Verdana" w:cs="Arial"/>
          <w:bCs/>
          <w:color w:val="000000" w:themeColor="text1"/>
          <w:sz w:val="22"/>
          <w:szCs w:val="22"/>
        </w:rPr>
        <w:t xml:space="preserve">. </w:t>
      </w:r>
      <w:r>
        <w:rPr>
          <w:rFonts w:ascii="Verdana" w:eastAsia="Calibri" w:hAnsi="Verdana" w:cs="Arial"/>
          <w:bCs/>
          <w:color w:val="000000" w:themeColor="text1"/>
          <w:sz w:val="22"/>
          <w:szCs w:val="22"/>
        </w:rPr>
        <w:t xml:space="preserve"> </w:t>
      </w:r>
    </w:p>
    <w:p w14:paraId="6C9B7F83" w14:textId="77777777" w:rsidR="00CD5DE0" w:rsidRPr="0078433B" w:rsidRDefault="00CD5DE0" w:rsidP="00CD5DE0">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En efecto, es necesario</w:t>
      </w:r>
      <w:r w:rsidRPr="0078433B">
        <w:rPr>
          <w:rFonts w:ascii="Verdana" w:eastAsia="Calibri" w:hAnsi="Verdana" w:cs="Arial"/>
          <w:bCs/>
          <w:color w:val="000000" w:themeColor="text1"/>
          <w:sz w:val="22"/>
          <w:szCs w:val="22"/>
        </w:rPr>
        <w:t xml:space="preserve"> </w:t>
      </w:r>
      <w:r w:rsidRPr="0078433B">
        <w:rPr>
          <w:rFonts w:ascii="Verdana" w:hAnsi="Verdana" w:cs="Arial"/>
          <w:bCs/>
          <w:color w:val="000000" w:themeColor="text1"/>
          <w:sz w:val="22"/>
          <w:szCs w:val="22"/>
        </w:rPr>
        <w:t xml:space="preserve">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 </w:t>
      </w:r>
    </w:p>
    <w:p w14:paraId="2477BF1A" w14:textId="77777777" w:rsidR="00CD5DE0" w:rsidRPr="00FF007A" w:rsidRDefault="00CD5DE0" w:rsidP="00CD5DE0">
      <w:pPr>
        <w:tabs>
          <w:tab w:val="left" w:pos="426"/>
        </w:tabs>
        <w:spacing w:before="120" w:line="276" w:lineRule="auto"/>
        <w:ind w:firstLine="709"/>
        <w:jc w:val="both"/>
        <w:rPr>
          <w:rFonts w:ascii="Verdana" w:hAnsi="Verdana" w:cs="Arial"/>
          <w:color w:val="000000" w:themeColor="text1"/>
        </w:rPr>
      </w:pPr>
      <w:r w:rsidRPr="00FF007A">
        <w:rPr>
          <w:rFonts w:ascii="Verdana" w:hAnsi="Verdana" w:cs="Arial"/>
          <w:color w:val="000000" w:themeColor="text1"/>
        </w:rPr>
        <w:t>De lo anterior se desprende que, bajo la Ley 100 de 1993, dentro de la estructura de la administración pública las Empresas Sociales del Estado</w:t>
      </w:r>
      <w:r>
        <w:rPr>
          <w:rFonts w:ascii="Verdana" w:hAnsi="Verdana" w:cs="Arial"/>
          <w:color w:val="000000" w:themeColor="text1"/>
        </w:rPr>
        <w:t>, según lo dispuesto en el artículo 194 de la Ley 100 de 1993,</w:t>
      </w:r>
      <w:r w:rsidRPr="00FF007A">
        <w:rPr>
          <w:rFonts w:ascii="Verdana" w:hAnsi="Verdana" w:cs="Arial"/>
          <w:color w:val="000000" w:themeColor="text1"/>
        </w:rPr>
        <w:t xml:space="preserve"> son las entidades encargadas de prestar el servicio de salud de manera directa</w:t>
      </w:r>
      <w:r>
        <w:rPr>
          <w:rStyle w:val="Refdenotaalpie"/>
          <w:rFonts w:ascii="Verdana" w:hAnsi="Verdana" w:cs="Arial"/>
          <w:color w:val="000000" w:themeColor="text1"/>
        </w:rPr>
        <w:footnoteReference w:id="45"/>
      </w:r>
      <w:r w:rsidRPr="00FF007A">
        <w:rPr>
          <w:rFonts w:ascii="Verdana" w:hAnsi="Verdana" w:cs="Arial"/>
          <w:color w:val="000000" w:themeColor="text1"/>
        </w:rPr>
        <w:t>. Además, el mismo artículo 197</w:t>
      </w:r>
      <w:r w:rsidRPr="00FF007A">
        <w:rPr>
          <w:rFonts w:ascii="Arial" w:hAnsi="Arial" w:cs="Arial"/>
          <w:color w:val="000000" w:themeColor="text1"/>
          <w:vertAlign w:val="superscript"/>
        </w:rPr>
        <w:footnoteReference w:id="46"/>
      </w:r>
      <w:r w:rsidRPr="00FF007A">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20EAFB53" w14:textId="77777777" w:rsidR="00CD5DE0" w:rsidRPr="00FF007A" w:rsidRDefault="00CD5DE0" w:rsidP="00CD5DE0">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De otro lado, el artículo 2.8.8.1.1.3 del Decreto 780 de 2016, </w:t>
      </w:r>
      <w:r>
        <w:rPr>
          <w:rFonts w:ascii="Verdana" w:eastAsia="Arial" w:hAnsi="Verdana" w:cs="Arial"/>
          <w:bCs/>
          <w:color w:val="000000" w:themeColor="text1"/>
        </w:rPr>
        <w:t>“</w:t>
      </w:r>
      <w:r w:rsidRPr="00FF007A">
        <w:rPr>
          <w:rFonts w:ascii="Verdana" w:eastAsia="Arial" w:hAnsi="Verdana" w:cs="Arial"/>
          <w:bCs/>
          <w:color w:val="000000" w:themeColor="text1"/>
        </w:rPr>
        <w:t>Por medio del cual se expide el Decreto Único Reglamentario del Sector Salud y Protección Social</w:t>
      </w:r>
      <w:r>
        <w:rPr>
          <w:rFonts w:ascii="Verdana" w:eastAsia="Arial" w:hAnsi="Verdana" w:cs="Arial"/>
          <w:bCs/>
          <w:color w:val="000000" w:themeColor="text1"/>
        </w:rPr>
        <w:t>”</w:t>
      </w:r>
      <w:r w:rsidRPr="00FF007A">
        <w:rPr>
          <w:rFonts w:ascii="Verdana" w:eastAsia="Arial" w:hAnsi="Verdana" w:cs="Arial"/>
          <w:bCs/>
          <w:color w:val="000000" w:themeColor="text1"/>
        </w:rPr>
        <w:t xml:space="preserve">, definió a las </w:t>
      </w:r>
      <w:r w:rsidRPr="00FF007A">
        <w:rPr>
          <w:rFonts w:ascii="Verdana" w:eastAsia="Arial" w:hAnsi="Verdana" w:cs="Arial"/>
          <w:bCs/>
          <w:i/>
          <w:iCs/>
          <w:color w:val="000000" w:themeColor="text1"/>
        </w:rPr>
        <w:t>entidades sanitarias</w:t>
      </w:r>
      <w:r w:rsidRPr="00FF007A">
        <w:rPr>
          <w:rFonts w:ascii="Verdana" w:eastAsia="Arial" w:hAnsi="Verdana" w:cs="Arial"/>
          <w:bCs/>
          <w:color w:val="000000" w:themeColor="text1"/>
        </w:rPr>
        <w:t xml:space="preserve"> como</w:t>
      </w:r>
      <w:r>
        <w:rPr>
          <w:rFonts w:ascii="Verdana" w:eastAsia="Arial" w:hAnsi="Verdana" w:cs="Arial"/>
          <w:bCs/>
          <w:color w:val="000000" w:themeColor="text1"/>
        </w:rPr>
        <w:t xml:space="preserve"> las</w:t>
      </w:r>
      <w:r w:rsidRPr="00FF007A">
        <w:rPr>
          <w:rFonts w:ascii="Verdana" w:eastAsia="Arial" w:hAnsi="Verdana" w:cs="Arial"/>
          <w:bCs/>
          <w:color w:val="000000" w:themeColor="text1"/>
        </w:rPr>
        <w:t xml:space="preserve"> “Entidades del Estado que prestan servicios sanitarios o de sanidad con el propósito de preservar la salud humana y la salud pública”. El artículo citado también define las </w:t>
      </w:r>
      <w:r w:rsidRPr="00FF007A">
        <w:rPr>
          <w:rFonts w:ascii="Verdana" w:eastAsia="Arial" w:hAnsi="Verdana" w:cs="Arial"/>
          <w:bCs/>
          <w:i/>
          <w:iCs/>
          <w:color w:val="000000" w:themeColor="text1"/>
        </w:rPr>
        <w:t>autoridades sanitarias</w:t>
      </w:r>
      <w:r w:rsidRPr="00FF007A">
        <w:rPr>
          <w:rFonts w:ascii="Verdana" w:eastAsia="Arial" w:hAnsi="Verdana" w:cs="Arial"/>
          <w:bCs/>
          <w:color w:val="000000" w:themeColor="text1"/>
        </w:rPr>
        <w:t xml:space="preserve"> como </w:t>
      </w:r>
      <w:r>
        <w:rPr>
          <w:rFonts w:ascii="Verdana" w:eastAsia="Arial" w:hAnsi="Verdana" w:cs="Arial"/>
          <w:bCs/>
          <w:color w:val="000000" w:themeColor="text1"/>
        </w:rPr>
        <w:t xml:space="preserve">las </w:t>
      </w:r>
      <w:r w:rsidRPr="00FF007A">
        <w:rPr>
          <w:rFonts w:ascii="Verdana" w:eastAsia="Arial" w:hAnsi="Verdana" w:cs="Arial"/>
          <w:bCs/>
          <w:color w:val="000000" w:themeColor="text1"/>
        </w:rPr>
        <w:t>“Entidades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FF007A">
        <w:rPr>
          <w:rFonts w:ascii="Verdana" w:eastAsia="Arial" w:hAnsi="Verdana" w:cs="Arial"/>
          <w:bCs/>
          <w:color w:val="000000" w:themeColor="text1"/>
          <w:vertAlign w:val="superscript"/>
        </w:rPr>
        <w:footnoteReference w:id="47"/>
      </w:r>
      <w:r w:rsidRPr="00FF007A">
        <w:rPr>
          <w:rFonts w:ascii="Verdana" w:eastAsia="Arial" w:hAnsi="Verdana" w:cs="Arial"/>
          <w:bCs/>
          <w:color w:val="000000" w:themeColor="text1"/>
        </w:rPr>
        <w:t xml:space="preserve">. De esta forma, </w:t>
      </w:r>
      <w:r>
        <w:rPr>
          <w:rFonts w:ascii="Verdana" w:eastAsia="Arial" w:hAnsi="Verdana" w:cs="Arial"/>
          <w:bCs/>
          <w:color w:val="000000" w:themeColor="text1"/>
        </w:rPr>
        <w:t xml:space="preserve">para efectos de la aplicación de la excepción, se debe verificar que se cumplan los requisitos del </w:t>
      </w:r>
      <w:r w:rsidRPr="00FF007A">
        <w:rPr>
          <w:rFonts w:ascii="Verdana" w:eastAsia="Arial" w:hAnsi="Verdana" w:cs="Arial"/>
          <w:bCs/>
          <w:color w:val="000000" w:themeColor="text1"/>
        </w:rPr>
        <w:t xml:space="preserve">artículo 33 de la Ley </w:t>
      </w:r>
      <w:r>
        <w:rPr>
          <w:rFonts w:ascii="Verdana" w:eastAsia="Arial" w:hAnsi="Verdana" w:cs="Arial"/>
          <w:bCs/>
          <w:color w:val="000000" w:themeColor="text1"/>
        </w:rPr>
        <w:t xml:space="preserve">996 de 2005. </w:t>
      </w:r>
    </w:p>
    <w:p w14:paraId="71B85F70" w14:textId="77777777" w:rsidR="00CD5DE0" w:rsidRPr="00017D8E" w:rsidRDefault="00CD5DE0" w:rsidP="00CD5DE0">
      <w:pPr>
        <w:spacing w:before="120"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48"/>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49"/>
      </w:r>
      <w:r w:rsidRPr="00FF007A">
        <w:rPr>
          <w:rFonts w:ascii="Verdana" w:eastAsia="Arial" w:hAnsi="Verdana" w:cs="Arial"/>
          <w:bCs/>
          <w:color w:val="000000" w:themeColor="text1"/>
        </w:rPr>
        <w:t xml:space="preserve">. </w:t>
      </w:r>
    </w:p>
    <w:p w14:paraId="4932460C" w14:textId="77777777" w:rsidR="00CD5DE0" w:rsidRDefault="00CD5DE0" w:rsidP="00CD5DE0">
      <w:pPr>
        <w:spacing w:after="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FF007A">
        <w:rPr>
          <w:rFonts w:ascii="Verdana" w:eastAsia="Arial" w:hAnsi="Verdana" w:cs="Arial"/>
          <w:bCs/>
          <w:i/>
          <w:iCs/>
          <w:color w:val="000000" w:themeColor="text1"/>
        </w:rPr>
        <w:t>el artículo 33</w:t>
      </w:r>
      <w:r w:rsidRPr="00FF007A">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si la contratación del</w:t>
      </w:r>
      <w:r>
        <w:rPr>
          <w:rFonts w:ascii="Verdana" w:eastAsia="Arial" w:hAnsi="Verdana" w:cs="Arial"/>
          <w:bCs/>
          <w:color w:val="000000" w:themeColor="text1"/>
        </w:rPr>
        <w:t xml:space="preserve"> Plan de Salud Pública de Intervenciones Colectivas -</w:t>
      </w:r>
      <w:r w:rsidRPr="00FF007A">
        <w:rPr>
          <w:rFonts w:ascii="Verdana" w:eastAsia="Arial" w:hAnsi="Verdana" w:cs="Arial"/>
          <w:bCs/>
          <w:color w:val="000000" w:themeColor="text1"/>
        </w:rPr>
        <w:t>PIC</w:t>
      </w:r>
      <w:r>
        <w:rPr>
          <w:rFonts w:ascii="Verdana" w:eastAsia="Arial" w:hAnsi="Verdana" w:cs="Arial"/>
          <w:bCs/>
          <w:color w:val="000000" w:themeColor="text1"/>
        </w:rPr>
        <w:t>-</w:t>
      </w:r>
      <w:r w:rsidRPr="00FF007A">
        <w:rPr>
          <w:rFonts w:ascii="Verdana" w:eastAsia="Arial" w:hAnsi="Verdana" w:cs="Arial"/>
          <w:bCs/>
          <w:color w:val="000000" w:themeColor="text1"/>
        </w:rPr>
        <w:t xml:space="preserve"> se realiza con ocasión a una “emergencia sanitaria” o si es llevada a cabo por “entidades sanitarias u hospitalarias”. </w:t>
      </w:r>
      <w:r>
        <w:rPr>
          <w:rFonts w:ascii="Verdana" w:eastAsia="Arial" w:hAnsi="Verdana" w:cs="Arial"/>
          <w:bCs/>
          <w:color w:val="000000" w:themeColor="text1"/>
        </w:rPr>
        <w:t>Para ello, hay que exponer la definición del Plan de Salud Pública de Intervenciones Colectivas – PIC- definido en el artículo 10 de la Resolución 1597 del 2025 del Ministerio de Salud y Protección Social:</w:t>
      </w:r>
    </w:p>
    <w:p w14:paraId="28B605AA" w14:textId="77777777" w:rsidR="00CD5DE0" w:rsidRDefault="00CD5DE0" w:rsidP="00CD5DE0">
      <w:pPr>
        <w:spacing w:after="0" w:line="276" w:lineRule="auto"/>
        <w:ind w:firstLine="709"/>
        <w:jc w:val="both"/>
        <w:rPr>
          <w:rFonts w:ascii="Verdana" w:eastAsia="Arial" w:hAnsi="Verdana" w:cs="Arial"/>
          <w:bCs/>
          <w:color w:val="000000" w:themeColor="text1"/>
        </w:rPr>
      </w:pPr>
    </w:p>
    <w:p w14:paraId="6A041349" w14:textId="77777777" w:rsidR="00CD5DE0" w:rsidRPr="00542C1F" w:rsidRDefault="00CD5DE0" w:rsidP="00CD5DE0">
      <w:pPr>
        <w:pStyle w:val="Textonotapie"/>
        <w:ind w:left="709" w:right="709"/>
        <w:jc w:val="both"/>
        <w:rPr>
          <w:rFonts w:ascii="Verdana" w:hAnsi="Verdana"/>
          <w:color w:val="000000" w:themeColor="text1"/>
          <w:lang w:val="es-CO"/>
        </w:rPr>
      </w:pPr>
      <w:r w:rsidRPr="00542C1F">
        <w:rPr>
          <w:rFonts w:ascii="Verdana" w:hAnsi="Verdana"/>
          <w:color w:val="000000" w:themeColor="text1"/>
          <w:lang w:val="es-CO"/>
        </w:rPr>
        <w:t>Artículo 10. </w:t>
      </w:r>
      <w:r w:rsidRPr="00542C1F">
        <w:rPr>
          <w:rFonts w:ascii="Verdana" w:hAnsi="Verdana"/>
          <w:i/>
          <w:iCs/>
          <w:color w:val="000000" w:themeColor="text1"/>
          <w:lang w:val="es-CO"/>
        </w:rPr>
        <w:t>Definición</w:t>
      </w:r>
      <w:r w:rsidRPr="00542C1F">
        <w:rPr>
          <w:rFonts w:ascii="Verdana" w:hAnsi="Verdana"/>
          <w:color w:val="000000" w:themeColor="text1"/>
          <w:lang w:val="es-CO"/>
        </w:rPr>
        <w:t>. Conjunto de intervenciones, procedimientos o actividades de carácter gratuito, dirigidas a la población y materializadas a través de los entornos de vida cotidiana en función de las características, necesidades y potencialidades de salud en cada territorio y microterritorio.</w:t>
      </w:r>
    </w:p>
    <w:p w14:paraId="3964D121" w14:textId="77777777" w:rsidR="00CD5DE0" w:rsidRDefault="00CD5DE0" w:rsidP="00CD5DE0">
      <w:pPr>
        <w:spacing w:after="0" w:line="240" w:lineRule="auto"/>
        <w:ind w:left="709" w:right="709"/>
        <w:jc w:val="both"/>
        <w:rPr>
          <w:rFonts w:ascii="Verdana" w:eastAsia="Arial" w:hAnsi="Verdana" w:cs="Arial"/>
          <w:bCs/>
          <w:color w:val="000000" w:themeColor="text1"/>
          <w:sz w:val="20"/>
          <w:szCs w:val="20"/>
        </w:rPr>
      </w:pPr>
      <w:r w:rsidRPr="00542C1F">
        <w:rPr>
          <w:rFonts w:ascii="Verdana" w:hAnsi="Verdana"/>
          <w:color w:val="000000" w:themeColor="text1"/>
          <w:sz w:val="20"/>
          <w:szCs w:val="20"/>
        </w:rPr>
        <w:t>Parágrafo. Las intervenciones colectivas corresponden a las señaladas en el numeral 3.2 del Capítulo 3 del Anexo I </w:t>
      </w:r>
      <w:r w:rsidRPr="00542C1F">
        <w:rPr>
          <w:rFonts w:ascii="Verdana" w:hAnsi="Verdana"/>
          <w:i/>
          <w:iCs/>
          <w:color w:val="000000" w:themeColor="text1"/>
          <w:sz w:val="20"/>
          <w:szCs w:val="20"/>
        </w:rPr>
        <w:t>“LINEAMIENTO TÉCNICO Y OPERATIVO RUTA INTEGRAL DE ATENCIÓN PARA LA PROMOCIÓN Y MANTENIMIENTO DE LA SALUD”</w:t>
      </w:r>
      <w:r w:rsidRPr="00542C1F">
        <w:rPr>
          <w:rFonts w:ascii="Verdana" w:hAnsi="Verdana"/>
          <w:color w:val="000000" w:themeColor="text1"/>
          <w:sz w:val="20"/>
          <w:szCs w:val="20"/>
        </w:rPr>
        <w:t> de la Resolución </w:t>
      </w:r>
      <w:hyperlink r:id="rId13" w:history="1">
        <w:r w:rsidRPr="00542C1F">
          <w:rPr>
            <w:rStyle w:val="Hipervnculo"/>
            <w:rFonts w:ascii="Verdana" w:hAnsi="Verdana"/>
            <w:color w:val="000000" w:themeColor="text1"/>
            <w:sz w:val="20"/>
            <w:szCs w:val="20"/>
          </w:rPr>
          <w:t>3280</w:t>
        </w:r>
      </w:hyperlink>
      <w:r w:rsidRPr="00542C1F">
        <w:rPr>
          <w:rFonts w:ascii="Verdana" w:hAnsi="Verdana"/>
          <w:color w:val="000000" w:themeColor="text1"/>
          <w:sz w:val="20"/>
          <w:szCs w:val="20"/>
        </w:rPr>
        <w:t> de 2018 o la norma que la modifique o sustituya.</w:t>
      </w:r>
    </w:p>
    <w:p w14:paraId="6BB7B142" w14:textId="77777777" w:rsidR="00CD5DE0" w:rsidRPr="00D7164B" w:rsidRDefault="00CD5DE0" w:rsidP="00CD5DE0">
      <w:pPr>
        <w:spacing w:after="0" w:line="240" w:lineRule="auto"/>
        <w:ind w:left="709" w:right="709"/>
        <w:jc w:val="both"/>
        <w:rPr>
          <w:rFonts w:ascii="Verdana" w:eastAsia="Arial" w:hAnsi="Verdana" w:cs="Arial"/>
          <w:bCs/>
          <w:color w:val="000000" w:themeColor="text1"/>
          <w:sz w:val="20"/>
          <w:szCs w:val="20"/>
        </w:rPr>
      </w:pPr>
    </w:p>
    <w:p w14:paraId="01181BC1" w14:textId="77777777" w:rsidR="00CD5DE0" w:rsidRPr="00542C1F" w:rsidRDefault="00CD5DE0" w:rsidP="00CD5DE0">
      <w:pPr>
        <w:spacing w:after="120" w:line="276" w:lineRule="auto"/>
        <w:ind w:firstLine="708"/>
        <w:jc w:val="both"/>
        <w:rPr>
          <w:rFonts w:ascii="Verdana" w:eastAsia="Arial" w:hAnsi="Verdana" w:cs="Arial"/>
          <w:bCs/>
          <w:color w:val="000000" w:themeColor="text1"/>
        </w:rPr>
      </w:pPr>
      <w:r>
        <w:rPr>
          <w:rFonts w:ascii="Verdana" w:eastAsia="Arial" w:hAnsi="Verdana" w:cs="Arial"/>
          <w:bCs/>
          <w:color w:val="000000" w:themeColor="text1"/>
        </w:rPr>
        <w:t xml:space="preserve">De igual modo, el artículo 12 </w:t>
      </w:r>
      <w:r w:rsidRPr="00542C1F">
        <w:rPr>
          <w:rFonts w:ascii="Verdana" w:eastAsia="Arial" w:hAnsi="Verdana" w:cs="Arial"/>
          <w:bCs/>
          <w:color w:val="000000" w:themeColor="text1"/>
        </w:rPr>
        <w:t>de la Resolución 1597 de 2025 establece que las entidades territoriales de los órdenes departamental, distrital y municipal deben implementar el Plan de Salud Pública de Intervenciones Colectivas (PIC) mediante contratación con las Empresas Sociales del Estado (ESE) o entidades equivalentes, garantizando</w:t>
      </w:r>
      <w:r>
        <w:rPr>
          <w:rFonts w:ascii="Verdana" w:eastAsia="Arial" w:hAnsi="Verdana" w:cs="Arial"/>
          <w:bCs/>
          <w:color w:val="000000" w:themeColor="text1"/>
        </w:rPr>
        <w:t xml:space="preserve"> </w:t>
      </w:r>
      <w:r w:rsidRPr="00542C1F">
        <w:rPr>
          <w:rFonts w:ascii="Verdana" w:eastAsia="Arial" w:hAnsi="Verdana" w:cs="Arial"/>
          <w:bCs/>
          <w:color w:val="000000" w:themeColor="text1"/>
        </w:rPr>
        <w:t>territorialización y permanencia de las acciones. El PIC se ejecutará a través de Equipos Básicos de Salud y, en el nivel municipal, se consolidará en un único plan que asegure concurrencia técnica, administrativa y financiera con el departamento. Los convenios deben firmarse antes del 1° de abril de cada vigencia y mantenerse hasta el 31 de marzo del año siguiente, bajo principios de continuidad y disponibilidad. Además, las ESE deben coordinar con las entidades territoriales planes de fortalecimiento institucional, y en municipios sin ESE, las intervenciones se ejecutarán directamente o mediante contratación con la ESE más cercana.</w:t>
      </w:r>
    </w:p>
    <w:p w14:paraId="14ED6873" w14:textId="77777777" w:rsidR="00CD5DE0" w:rsidRDefault="00CD5DE0" w:rsidP="00CD5DE0">
      <w:pPr>
        <w:spacing w:after="120" w:line="276" w:lineRule="auto"/>
        <w:ind w:firstLine="708"/>
        <w:jc w:val="both"/>
        <w:rPr>
          <w:rFonts w:ascii="Verdana" w:eastAsia="Arial" w:hAnsi="Verdana" w:cs="Arial"/>
          <w:bCs/>
          <w:color w:val="000000" w:themeColor="text1"/>
        </w:rPr>
      </w:pPr>
      <w:r w:rsidRPr="00542C1F">
        <w:rPr>
          <w:rFonts w:ascii="Verdana" w:eastAsia="Arial" w:hAnsi="Verdana" w:cs="Arial"/>
          <w:bCs/>
          <w:color w:val="000000" w:themeColor="text1"/>
        </w:rPr>
        <w:t xml:space="preserve">La norma también regula situaciones excepcionales: desistimiento de la ESE, falta de capacidad técnica para programas de vectores y zoonosis, y contratación con universidades, ONG o instituciones privadas especializadas. Se exige coordinación con IPS, EPS, sectores públicos y privados para complementar acciones colectivas e individuales, y cumplimiento de normas como el Decreto 441 de 2022 y la Resolución 2336 de 2023. Se permite contratar actividades específicas con organizaciones comunitarias sin ánimo de lucro para abordar prioridades en salud pública, pero se prohíbe la subcontratación de las intervenciones salvo apoyos logísticos. Finalmente, se habilitan alianzas entre municipios para estrategias conjuntas de alcance regional, y el Ministerio reglamentará las condiciones de participación de </w:t>
      </w:r>
      <w:r>
        <w:rPr>
          <w:rFonts w:ascii="Verdana" w:eastAsia="Arial" w:hAnsi="Verdana" w:cs="Arial"/>
          <w:bCs/>
          <w:color w:val="000000" w:themeColor="text1"/>
        </w:rPr>
        <w:t>las organizaciones comunitarias</w:t>
      </w:r>
      <w:r>
        <w:rPr>
          <w:rStyle w:val="Refdenotaalpie"/>
          <w:rFonts w:ascii="Verdana" w:eastAsia="Arial" w:hAnsi="Verdana" w:cs="Arial"/>
          <w:bCs/>
          <w:color w:val="000000" w:themeColor="text1"/>
        </w:rPr>
        <w:footnoteReference w:id="50"/>
      </w:r>
      <w:r>
        <w:rPr>
          <w:rFonts w:ascii="Verdana" w:eastAsia="Arial" w:hAnsi="Verdana" w:cs="Arial"/>
          <w:bCs/>
          <w:color w:val="000000" w:themeColor="text1"/>
        </w:rPr>
        <w:t>.</w:t>
      </w:r>
    </w:p>
    <w:p w14:paraId="72CCB321" w14:textId="77777777" w:rsidR="00CD5DE0" w:rsidRPr="00A65838" w:rsidRDefault="00CD5DE0" w:rsidP="00CD5DE0">
      <w:pPr>
        <w:spacing w:after="12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Teniendo en cuenta lo expuesto, </w:t>
      </w:r>
      <w:r w:rsidRPr="00FF007A">
        <w:rPr>
          <w:rFonts w:ascii="Verdana" w:eastAsia="Arial" w:hAnsi="Verdana" w:cs="Arial"/>
          <w:bCs/>
          <w:color w:val="000000" w:themeColor="text1"/>
        </w:rPr>
        <w:t>la entidad</w:t>
      </w:r>
      <w:r>
        <w:rPr>
          <w:rFonts w:ascii="Verdana" w:eastAsia="Arial" w:hAnsi="Verdana" w:cs="Arial"/>
          <w:bCs/>
          <w:color w:val="000000" w:themeColor="text1"/>
        </w:rPr>
        <w:t>,</w:t>
      </w:r>
      <w:r w:rsidRPr="00FF007A">
        <w:rPr>
          <w:rFonts w:ascii="Verdana" w:eastAsia="Arial" w:hAnsi="Verdana" w:cs="Arial"/>
          <w:bCs/>
          <w:color w:val="000000" w:themeColor="text1"/>
        </w:rPr>
        <w:t xml:space="preserve"> </w:t>
      </w:r>
      <w:r>
        <w:rPr>
          <w:rFonts w:ascii="Verdana" w:eastAsia="Arial" w:hAnsi="Verdana" w:cs="Arial"/>
          <w:bCs/>
          <w:color w:val="000000" w:themeColor="text1"/>
        </w:rPr>
        <w:t xml:space="preserve">previo análisis de las excepciones, podrá proceder en tal sentido y contratar directamente </w:t>
      </w:r>
      <w:r w:rsidRPr="00FF007A">
        <w:rPr>
          <w:rFonts w:ascii="Verdana" w:eastAsia="Arial" w:hAnsi="Verdana" w:cs="Arial"/>
          <w:bCs/>
          <w:color w:val="000000" w:themeColor="text1"/>
        </w:rPr>
        <w:t>a pesar de que haya iniciado el periodo de garantías electorales correspondiente al artículo 33 de la Ley 996 de 2005.</w:t>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Con respecto a la prohibición del </w:t>
      </w:r>
      <w:r w:rsidRPr="00FF007A">
        <w:rPr>
          <w:rFonts w:ascii="Verdana" w:eastAsia="Arial" w:hAnsi="Verdana" w:cs="Arial"/>
          <w:bCs/>
          <w:i/>
          <w:iCs/>
          <w:color w:val="000000" w:themeColor="text1"/>
        </w:rPr>
        <w:t>parágrafo del artículo 38</w:t>
      </w:r>
      <w:r w:rsidRPr="00FF007A">
        <w:rPr>
          <w:rFonts w:ascii="Verdana" w:eastAsia="Arial" w:hAnsi="Verdana" w:cs="Arial"/>
          <w:bCs/>
          <w:color w:val="000000" w:themeColor="text1"/>
        </w:rPr>
        <w:t xml:space="preserve">, es necesario verificar si la contratación del PIC es llevada a cabo por </w:t>
      </w:r>
      <w:r>
        <w:rPr>
          <w:rFonts w:ascii="Verdana" w:eastAsia="Arial" w:hAnsi="Verdana" w:cs="Arial"/>
          <w:bCs/>
          <w:color w:val="000000" w:themeColor="text1"/>
        </w:rPr>
        <w:t xml:space="preserve">los </w:t>
      </w:r>
      <w:r w:rsidRPr="00FF007A">
        <w:rPr>
          <w:rFonts w:ascii="Verdana" w:eastAsia="Arial" w:hAnsi="Verdana" w:cs="Arial"/>
          <w:bCs/>
          <w:color w:val="000000" w:themeColor="text1"/>
        </w:rPr>
        <w:t>“Alcaldes, Gobernadores, Secretarios, Gerentes y Directores de las entidades del orden municipal, departamental o distrital”; así como determinar si lo que pretende adelantar es un convenio interadministrativo para la ejecución de recursos públicos. Cuando este sea el caso, operará la restricción señalada en el parágrafo y estará prohibido llevar a cabo la c</w:t>
      </w:r>
      <w:r>
        <w:rPr>
          <w:rFonts w:ascii="Verdana" w:eastAsia="Arial" w:hAnsi="Verdana" w:cs="Arial"/>
          <w:bCs/>
          <w:color w:val="000000" w:themeColor="text1"/>
        </w:rPr>
        <w:t>elebración</w:t>
      </w:r>
      <w:r w:rsidRPr="00FF007A">
        <w:rPr>
          <w:rFonts w:ascii="Verdana" w:eastAsia="Arial" w:hAnsi="Verdana" w:cs="Arial"/>
          <w:bCs/>
          <w:color w:val="000000" w:themeColor="text1"/>
        </w:rPr>
        <w:t xml:space="preserve"> </w:t>
      </w:r>
      <w:r>
        <w:rPr>
          <w:rFonts w:ascii="Verdana" w:eastAsia="Arial" w:hAnsi="Verdana" w:cs="Arial"/>
          <w:bCs/>
          <w:color w:val="000000" w:themeColor="text1"/>
        </w:rPr>
        <w:t>de convenios interadministrativos</w:t>
      </w:r>
      <w:r>
        <w:rPr>
          <w:rStyle w:val="Refdenotaalpie"/>
          <w:rFonts w:ascii="Verdana" w:eastAsia="Arial" w:hAnsi="Verdana" w:cs="Arial"/>
          <w:bCs/>
          <w:color w:val="000000" w:themeColor="text1"/>
        </w:rPr>
        <w:footnoteReference w:id="51"/>
      </w:r>
      <w:r>
        <w:rPr>
          <w:rFonts w:ascii="Verdana" w:eastAsia="Arial" w:hAnsi="Verdana" w:cs="Arial"/>
          <w:bCs/>
          <w:color w:val="000000" w:themeColor="text1"/>
        </w:rPr>
        <w:t xml:space="preserve"> </w:t>
      </w:r>
      <w:r w:rsidRPr="00FF007A">
        <w:rPr>
          <w:rFonts w:ascii="Verdana" w:eastAsia="Arial" w:hAnsi="Verdana" w:cs="Arial"/>
          <w:bCs/>
          <w:color w:val="000000" w:themeColor="text1"/>
        </w:rPr>
        <w:t xml:space="preserve">en los cuatro meses anteriores a cualquier contienda electoral. </w:t>
      </w:r>
      <w:r w:rsidRPr="005B0452">
        <w:rPr>
          <w:rFonts w:ascii="Verdana" w:eastAsia="Arial" w:hAnsi="Verdana" w:cs="Arial"/>
          <w:bCs/>
          <w:color w:val="000000" w:themeColor="text1"/>
        </w:rPr>
        <w:t xml:space="preserve">En este aspecto, se encuentra que la restricción para la celebración de convenios interadministrativos para la ejecución de recursos públicos no puede aludirse a contratantes o contratistas, sino de partes cooperantes o colaboradoras. </w:t>
      </w:r>
      <w:r w:rsidRPr="005B0452">
        <w:rPr>
          <w:rFonts w:ascii="Verdana" w:eastAsia="Arial" w:hAnsi="Verdana" w:cs="Arial"/>
          <w:bCs/>
          <w:color w:val="000000" w:themeColor="text1"/>
          <w:lang w:val="es-MX"/>
        </w:rPr>
        <w:t xml:space="preserve">Esta restricción se extiende a las elecciones presidenciales que se celebrarán el 31 de mayo de 2026, así como una posible segunda vuelta tres semanas después, es decir, el 21 de junio de 2026. </w:t>
      </w:r>
    </w:p>
    <w:p w14:paraId="3200FCE7" w14:textId="77777777" w:rsidR="00CD5DE0" w:rsidRPr="005B0452" w:rsidRDefault="00CD5DE0" w:rsidP="00CD5DE0">
      <w:pPr>
        <w:spacing w:before="120" w:after="120" w:line="276" w:lineRule="auto"/>
        <w:jc w:val="both"/>
        <w:rPr>
          <w:rFonts w:ascii="Verdana" w:eastAsia="Arial" w:hAnsi="Verdana" w:cs="Arial"/>
          <w:bCs/>
          <w:color w:val="000000" w:themeColor="text1"/>
        </w:rPr>
      </w:pPr>
      <w:r>
        <w:rPr>
          <w:rFonts w:ascii="Verdana" w:eastAsia="Arial" w:hAnsi="Verdana" w:cs="Arial"/>
          <w:bCs/>
          <w:color w:val="000000" w:themeColor="text1"/>
          <w:lang w:val="es-MX"/>
        </w:rPr>
        <w:tab/>
        <w:t xml:space="preserve">En cuanto a la celebración de contratos interadministrativos ya no es aplicable la restricción del parágrafo del artículo 38, según la sentencia precitada en consideraciones previas, pero sujeto a las restricciones del artículo 33 si se adelanta la contratación de forma directa, esto es, un procedimiento no competitivo. </w:t>
      </w:r>
      <w:r w:rsidRPr="005B0452">
        <w:rPr>
          <w:rFonts w:ascii="Verdana" w:eastAsia="Arial" w:hAnsi="Verdana" w:cs="Arial"/>
          <w:bCs/>
          <w:color w:val="000000" w:themeColor="text1"/>
        </w:rPr>
        <w:t>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6AF2E82E" w14:textId="77777777" w:rsidR="00CD5DE0" w:rsidRDefault="00CD5DE0" w:rsidP="00CD5DE0">
      <w:pPr>
        <w:spacing w:before="120" w:after="0" w:line="276" w:lineRule="auto"/>
        <w:ind w:firstLine="709"/>
        <w:jc w:val="both"/>
        <w:rPr>
          <w:rFonts w:ascii="Verdana" w:eastAsia="Arial" w:hAnsi="Verdana" w:cs="Arial"/>
          <w:bCs/>
          <w:color w:val="000000" w:themeColor="text1"/>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xml:space="preserve">. Por el contrario, si el estudio determina que no aplica excepción alguna estará vedada la celebración de contratos de manera directa. Lo anterior, sin perjuicio de la prohibición establecida en el parágrafo del artículo 38 de la Ley de Garantías Electorales. </w:t>
      </w:r>
    </w:p>
    <w:p w14:paraId="03C22ABF" w14:textId="77777777" w:rsidR="00CD5DE0" w:rsidRDefault="00CD5DE0" w:rsidP="00CD5DE0">
      <w:pPr>
        <w:spacing w:before="120" w:after="0" w:line="276" w:lineRule="auto"/>
        <w:ind w:firstLine="709"/>
        <w:jc w:val="both"/>
        <w:rPr>
          <w:rFonts w:ascii="Verdana" w:eastAsia="Arial" w:hAnsi="Verdana" w:cs="Arial"/>
          <w:bCs/>
          <w:color w:val="000000" w:themeColor="text1"/>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AEE8294" w14:textId="77777777" w:rsidR="00CD5DE0" w:rsidRDefault="00CD5DE0" w:rsidP="00CD5DE0">
      <w:pPr>
        <w:spacing w:before="120" w:after="0" w:line="276" w:lineRule="auto"/>
        <w:ind w:firstLine="709"/>
        <w:jc w:val="both"/>
        <w:rPr>
          <w:rFonts w:ascii="Verdana" w:hAnsi="Verdana" w:cs="Arial"/>
          <w:bCs/>
          <w:color w:val="000000" w:themeColor="text1"/>
        </w:rPr>
      </w:pPr>
      <w:r w:rsidRPr="001450CA">
        <w:rPr>
          <w:rFonts w:ascii="Verdana"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B145383" w14:textId="77777777" w:rsidR="00CD5DE0" w:rsidRPr="002115BB" w:rsidRDefault="00CD5DE0" w:rsidP="00CD5DE0">
      <w:pPr>
        <w:spacing w:after="0" w:line="240" w:lineRule="auto"/>
        <w:ind w:firstLine="709"/>
        <w:jc w:val="both"/>
        <w:rPr>
          <w:rFonts w:ascii="Verdana" w:eastAsia="Arial" w:hAnsi="Verdana" w:cs="Arial"/>
          <w:bCs/>
          <w:color w:val="000000" w:themeColor="text1"/>
        </w:rPr>
      </w:pPr>
    </w:p>
    <w:p w14:paraId="15D4AA13" w14:textId="77777777" w:rsidR="00CD5DE0" w:rsidRPr="00B64A74" w:rsidRDefault="00CD5DE0" w:rsidP="00CD5DE0">
      <w:pPr>
        <w:spacing w:after="0" w:line="276" w:lineRule="auto"/>
        <w:jc w:val="both"/>
        <w:rPr>
          <w:rFonts w:ascii="Verdana" w:eastAsia="Century Gothic" w:hAnsi="Verdana" w:cs="Century Gothic"/>
          <w:b/>
          <w:bCs/>
        </w:rPr>
      </w:pPr>
      <w:r w:rsidRPr="00B64A74">
        <w:rPr>
          <w:rFonts w:ascii="Verdana" w:hAnsi="Verdana" w:cs="Arial"/>
          <w:b/>
          <w:color w:val="000000" w:themeColor="text1"/>
        </w:rPr>
        <w:t>4.</w:t>
      </w:r>
      <w:r w:rsidRPr="00B64A74">
        <w:rPr>
          <w:rFonts w:ascii="Verdana" w:hAnsi="Verdana" w:cs="Arial"/>
          <w:bCs/>
          <w:color w:val="000000" w:themeColor="text1"/>
        </w:rPr>
        <w:t xml:space="preserve"> </w:t>
      </w:r>
      <w:r w:rsidRPr="00B64A74">
        <w:rPr>
          <w:rFonts w:ascii="Verdana" w:eastAsia="Century Gothic" w:hAnsi="Verdana" w:cs="Century Gothic"/>
          <w:b/>
          <w:bCs/>
        </w:rPr>
        <w:t>Referencias normativas y jurisprudenciales:</w:t>
      </w:r>
      <w:bookmarkEnd w:id="2"/>
      <w:r w:rsidRPr="00125666">
        <w:rPr>
          <w:rFonts w:ascii="Verdana" w:hAnsi="Verdana" w:cs="Arial"/>
          <w:color w:val="000000" w:themeColor="text1"/>
          <w:sz w:val="14"/>
          <w:szCs w:val="14"/>
        </w:rPr>
        <w:t xml:space="preserve"> </w:t>
      </w:r>
    </w:p>
    <w:p w14:paraId="1A8D5A72" w14:textId="77777777" w:rsidR="00CD5DE0" w:rsidRPr="00B64A74" w:rsidRDefault="00CD5DE0" w:rsidP="00CD5DE0">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D5DE0" w:rsidRPr="00D21094" w14:paraId="68212B62" w14:textId="77777777" w:rsidTr="00162589">
        <w:trPr>
          <w:trHeight w:val="56"/>
          <w:jc w:val="center"/>
        </w:trPr>
        <w:tc>
          <w:tcPr>
            <w:tcW w:w="8647" w:type="dxa"/>
          </w:tcPr>
          <w:p w14:paraId="3BD37C17"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Constitución Política. Artículo 127. </w:t>
            </w:r>
          </w:p>
          <w:p w14:paraId="3B4C4C6E"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Código Civil. Artículos 27, 28, 29, 64, 1126. </w:t>
            </w:r>
          </w:p>
          <w:p w14:paraId="791CFC23"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80 de 1993. Artículos 32 numeral 5, 41 y 42.</w:t>
            </w:r>
          </w:p>
          <w:p w14:paraId="6801C54C"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parágrafo del artículo 38.</w:t>
            </w:r>
          </w:p>
          <w:p w14:paraId="26FAD4BF"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1150 de 2007. Artículo 2, numeral 4, literal c. </w:t>
            </w:r>
          </w:p>
          <w:p w14:paraId="7FC05895"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100 de 1993. Artículos 194, 197.</w:t>
            </w:r>
          </w:p>
          <w:p w14:paraId="11134AFC" w14:textId="77777777" w:rsidR="00CD5DE0" w:rsidRPr="00350FA5" w:rsidRDefault="00CD5DE0" w:rsidP="00162589">
            <w:pPr>
              <w:pStyle w:val="Prrafodelista"/>
              <w:numPr>
                <w:ilvl w:val="0"/>
                <w:numId w:val="17"/>
              </w:numPr>
              <w:spacing w:after="120" w:line="276" w:lineRule="auto"/>
              <w:jc w:val="both"/>
              <w:rPr>
                <w:rFonts w:ascii="Verdana" w:hAnsi="Verdana" w:cs="Arial"/>
                <w:lang w:eastAsia="es-ES"/>
              </w:rPr>
            </w:pPr>
            <w:r w:rsidRPr="00FF007A">
              <w:rPr>
                <w:rFonts w:ascii="Verdana" w:eastAsia="Arial" w:hAnsi="Verdana" w:cs="Arial"/>
                <w:bCs/>
                <w:color w:val="000000" w:themeColor="text1"/>
              </w:rPr>
              <w:t>Decreto 780 de 2016</w:t>
            </w:r>
            <w:r>
              <w:rPr>
                <w:rFonts w:ascii="Verdana" w:eastAsia="Arial" w:hAnsi="Verdana" w:cs="Arial"/>
                <w:bCs/>
                <w:color w:val="000000" w:themeColor="text1"/>
              </w:rPr>
              <w:t xml:space="preserve">. Artículos </w:t>
            </w:r>
            <w:r w:rsidRPr="00FF007A">
              <w:rPr>
                <w:rFonts w:ascii="Verdana" w:eastAsia="Arial" w:hAnsi="Verdana" w:cs="Arial"/>
                <w:bCs/>
                <w:color w:val="000000" w:themeColor="text1"/>
              </w:rPr>
              <w:t>2.8.8.1.1.3</w:t>
            </w:r>
            <w:r>
              <w:rPr>
                <w:rFonts w:ascii="Verdana" w:eastAsia="Arial" w:hAnsi="Verdana" w:cs="Arial"/>
                <w:bCs/>
                <w:color w:val="000000" w:themeColor="text1"/>
              </w:rPr>
              <w:t xml:space="preserve">, </w:t>
            </w:r>
            <w:r w:rsidRPr="00350FA5">
              <w:rPr>
                <w:rFonts w:ascii="Verdana" w:eastAsia="Arial" w:hAnsi="Verdana" w:cs="Arial"/>
                <w:bCs/>
                <w:color w:val="000000" w:themeColor="text1"/>
              </w:rPr>
              <w:t>2.8.8.1.4.2</w:t>
            </w:r>
            <w:r>
              <w:rPr>
                <w:rFonts w:ascii="Verdana" w:eastAsia="Arial" w:hAnsi="Verdana" w:cs="Arial"/>
                <w:bCs/>
                <w:color w:val="000000" w:themeColor="text1"/>
              </w:rPr>
              <w:t>.</w:t>
            </w:r>
          </w:p>
          <w:p w14:paraId="2C306CF4"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eastAsia="Arial" w:hAnsi="Verdana" w:cs="Arial"/>
                <w:bCs/>
                <w:color w:val="000000" w:themeColor="text1"/>
              </w:rPr>
              <w:t xml:space="preserve">Resolución 1597 del 2025. Artículos 10, 12. </w:t>
            </w:r>
          </w:p>
          <w:p w14:paraId="58D0AA73" w14:textId="77777777" w:rsidR="00CD5DE0" w:rsidRPr="00350FA5" w:rsidRDefault="00CD5DE0" w:rsidP="00162589">
            <w:pPr>
              <w:pStyle w:val="Prrafodelista"/>
              <w:numPr>
                <w:ilvl w:val="0"/>
                <w:numId w:val="17"/>
              </w:numPr>
              <w:spacing w:after="120" w:line="276" w:lineRule="auto"/>
              <w:jc w:val="both"/>
              <w:rPr>
                <w:rFonts w:ascii="Verdana" w:hAnsi="Verdana" w:cs="Arial"/>
                <w:lang w:eastAsia="es-ES"/>
              </w:rPr>
            </w:pPr>
            <w:r w:rsidRPr="00350FA5">
              <w:rPr>
                <w:rFonts w:ascii="Verdana" w:hAnsi="Verdana" w:cs="Arial"/>
                <w:lang w:eastAsia="es-ES"/>
              </w:rPr>
              <w:t>Consejo de Estado. Sala de Consulta y Servicio Civil. Concepto del 4 de marzo de 1998. Radicado Nro. 1.074. CP.: Cesar Hoyos Salazar.</w:t>
            </w:r>
          </w:p>
          <w:p w14:paraId="5827E780"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Sección Tercera. Sentencia de 20 de noviembre de 2001, expediente número 2001-0130-01(PI).</w:t>
            </w:r>
          </w:p>
          <w:p w14:paraId="0DE8FEA8"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Consejo de Estado. Sala de lo Contencioso Administrativo. </w:t>
            </w:r>
            <w:r w:rsidRPr="00C076BE">
              <w:rPr>
                <w:rFonts w:ascii="Verdana" w:hAnsi="Verdana" w:cs="Arial"/>
                <w:lang w:eastAsia="es-ES"/>
              </w:rPr>
              <w:t xml:space="preserve">Sección Tercera. Sentencia de 22 de enero de 2002, expediente número 2001-0148-01 </w:t>
            </w:r>
          </w:p>
          <w:p w14:paraId="3E7E2EC0"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09D44CAD"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20 de febrero de 2006. Radicación Número: 11001-03-06-000-2006-00026-00 (1727). C.P: Enrique José Arboleda Perdomo.</w:t>
            </w:r>
          </w:p>
          <w:p w14:paraId="308E42EB"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5CAA0271"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Consejo de Estado. Sala de Consulta y Servicio Civil. Concepto del 18 de febrero 2010. Rad. 11001-03-06-000-2010-00006-00 (1985). C.P. Enrique José Arboleda Perdomo.</w:t>
            </w:r>
          </w:p>
          <w:p w14:paraId="012C976D"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 xml:space="preserve">Consejo de Estado, Sala de Consulta y Servicio Civil. 24 de julio de 2013. Radicado: 11001-03-06-000-2013-00407-00 (2166). C.P. Álvaro Namén Vargas.  </w:t>
            </w:r>
          </w:p>
          <w:p w14:paraId="26B9D311" w14:textId="77777777" w:rsidR="00CD5DE0" w:rsidRPr="00C076BE"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2 de septiembre de 2013. Radicación número: 11001-03-06-000-2013-00412-00 (2168). C.P: Álvaro Namén Vargas.</w:t>
            </w:r>
          </w:p>
          <w:p w14:paraId="41E2FBEF"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del 17 de febrero de 2015. Radicado: 11001-03-06-000-2015-00164-00 (2269). C.P. William Zambrano Cetina.</w:t>
            </w:r>
          </w:p>
          <w:p w14:paraId="3BE7CD1D"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Consejo de Estado. Sala de Consulta y Servicio Civil, Concepto de 8 de mayo de 2018. Radicación Número: 11001-03-06-000-2018-00095-00 (2382). C.P: Álvaro Namén Vargas.</w:t>
            </w:r>
          </w:p>
          <w:p w14:paraId="46B4A60E" w14:textId="77777777" w:rsidR="00CD5DE0" w:rsidRPr="00FB5770" w:rsidRDefault="00CD5DE0" w:rsidP="00162589">
            <w:pPr>
              <w:pStyle w:val="Prrafodelista"/>
              <w:numPr>
                <w:ilvl w:val="0"/>
                <w:numId w:val="17"/>
              </w:numPr>
              <w:spacing w:after="120" w:line="276" w:lineRule="auto"/>
              <w:jc w:val="both"/>
              <w:rPr>
                <w:rFonts w:ascii="Verdana" w:hAnsi="Verdana" w:cs="Arial"/>
                <w:lang w:eastAsia="es-ES"/>
              </w:rPr>
            </w:pPr>
            <w:r w:rsidRPr="00FB5770">
              <w:rPr>
                <w:rFonts w:ascii="Verdana" w:hAnsi="Verdana"/>
                <w:lang w:val="es-CO"/>
              </w:rPr>
              <w:t>Consejo de Estado</w:t>
            </w:r>
            <w:r>
              <w:rPr>
                <w:rFonts w:ascii="Verdana" w:hAnsi="Verdana"/>
                <w:lang w:val="es-CO"/>
              </w:rPr>
              <w:t xml:space="preserve">. Sala de lo Contencioso Administrativo. </w:t>
            </w:r>
            <w:r w:rsidRPr="00FB5770">
              <w:rPr>
                <w:rFonts w:ascii="Verdana" w:hAnsi="Verdana"/>
                <w:lang w:val="es-CO"/>
              </w:rPr>
              <w:t>Sección Tercera</w:t>
            </w:r>
            <w:r>
              <w:rPr>
                <w:rFonts w:ascii="Verdana" w:hAnsi="Verdana"/>
                <w:lang w:val="es-CO"/>
              </w:rPr>
              <w:t>.</w:t>
            </w:r>
            <w:r w:rsidRPr="00FB5770">
              <w:rPr>
                <w:rFonts w:ascii="Verdana" w:hAnsi="Verdana"/>
                <w:lang w:val="es-CO"/>
              </w:rPr>
              <w:t xml:space="preserve"> Subsección B. Auto del 4 de octubre de 2024. Exp. 70.313.</w:t>
            </w:r>
            <w:r>
              <w:rPr>
                <w:rFonts w:ascii="Verdana" w:hAnsi="Verdana"/>
                <w:lang w:val="es-CO"/>
              </w:rPr>
              <w:t xml:space="preserve"> </w:t>
            </w:r>
            <w:r w:rsidRPr="00FB5770">
              <w:rPr>
                <w:rFonts w:ascii="Verdana" w:hAnsi="Verdana"/>
                <w:lang w:val="es-CO"/>
              </w:rPr>
              <w:t>C.P: Fredy Ibarra Martínez</w:t>
            </w:r>
            <w:r>
              <w:rPr>
                <w:rFonts w:ascii="Verdana" w:hAnsi="Verdana"/>
                <w:lang w:val="es-CO"/>
              </w:rPr>
              <w:t>.</w:t>
            </w:r>
          </w:p>
          <w:p w14:paraId="1B533CBB"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Sentencia del 21 de febrero de 2025. Exp. 68.280. CP: José Roberto Sáchica Méndez.</w:t>
            </w:r>
          </w:p>
          <w:p w14:paraId="634D9D03"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FB5770">
              <w:rPr>
                <w:rFonts w:ascii="Verdana" w:hAnsi="Verdana" w:cs="Arial"/>
                <w:lang w:eastAsia="es-ES"/>
              </w:rPr>
              <w:t>Consejo de Estado. Sala de lo Contencioso Administrativo. Sección Tercera. Subsección B. 17 de octubre de 2025.</w:t>
            </w:r>
            <w:r>
              <w:rPr>
                <w:rFonts w:ascii="Verdana" w:hAnsi="Verdana" w:cs="Arial"/>
                <w:lang w:eastAsia="es-ES"/>
              </w:rPr>
              <w:t xml:space="preserve"> Radicado: </w:t>
            </w:r>
            <w:r w:rsidRPr="31E4E861">
              <w:rPr>
                <w:rFonts w:ascii="Verdana" w:eastAsia="Times New Roman" w:hAnsi="Verdana" w:cs="Times New Roman"/>
                <w:lang w:eastAsia="es-ES"/>
              </w:rPr>
              <w:t>11001-03-26-000-2023-00139-00</w:t>
            </w:r>
            <w:r>
              <w:rPr>
                <w:rFonts w:ascii="Verdana" w:eastAsia="Times New Roman" w:hAnsi="Verdana" w:cs="Times New Roman"/>
                <w:lang w:eastAsia="es-ES"/>
              </w:rPr>
              <w:t>.</w:t>
            </w:r>
            <w:r w:rsidRPr="00FB5770">
              <w:rPr>
                <w:rFonts w:ascii="Verdana" w:hAnsi="Verdana" w:cs="Arial"/>
                <w:lang w:eastAsia="es-ES"/>
              </w:rPr>
              <w:t xml:space="preserve"> C.P. Fredy Ibarra Martínez</w:t>
            </w:r>
            <w:r>
              <w:rPr>
                <w:rFonts w:ascii="Verdana" w:hAnsi="Verdana" w:cs="Arial"/>
                <w:lang w:eastAsia="es-ES"/>
              </w:rPr>
              <w:t>.</w:t>
            </w:r>
          </w:p>
          <w:p w14:paraId="338D5614"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350FA5">
              <w:rPr>
                <w:rFonts w:ascii="Verdana" w:hAnsi="Verdana" w:cs="Arial"/>
                <w:lang w:eastAsia="es-ES"/>
              </w:rPr>
              <w:t>Consejo de Estado. Sala de Consulta y Servicio Civil. Concepto del 12 de junio de 2018. Radicación: 11001-03-06-000-2018-0043-00. (2371). Consejero Ponente: Oscar Darío Amaya Navas.</w:t>
            </w:r>
          </w:p>
          <w:p w14:paraId="502C1CE0" w14:textId="77777777" w:rsidR="00CD5DE0" w:rsidRPr="00A77420" w:rsidRDefault="00CD5DE0" w:rsidP="00162589">
            <w:pPr>
              <w:pStyle w:val="Prrafodelista"/>
              <w:numPr>
                <w:ilvl w:val="0"/>
                <w:numId w:val="17"/>
              </w:numPr>
              <w:spacing w:after="120" w:line="276" w:lineRule="auto"/>
              <w:jc w:val="both"/>
              <w:rPr>
                <w:rFonts w:ascii="Verdana" w:hAnsi="Verdana" w:cs="Arial"/>
                <w:lang w:eastAsia="es-ES"/>
              </w:rPr>
            </w:pPr>
            <w:r w:rsidRPr="006411BC">
              <w:rPr>
                <w:rFonts w:ascii="Verdana" w:hAnsi="Verdana" w:cs="Arial"/>
                <w:lang w:eastAsia="es-ES"/>
              </w:rPr>
              <w:t>Corte Constitucional, Sentencia C-086 de 1995, MP. Dr. Vladimiro Naranjo Mesa.</w:t>
            </w:r>
          </w:p>
          <w:p w14:paraId="475C8E86"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C-233 de 4 de abril de 2002. M.P: Álvaro Tafur Galvis</w:t>
            </w:r>
            <w:r>
              <w:rPr>
                <w:rFonts w:ascii="Verdana" w:hAnsi="Verdana" w:cs="Arial"/>
                <w:lang w:eastAsia="es-ES"/>
              </w:rPr>
              <w:t>.</w:t>
            </w:r>
          </w:p>
          <w:p w14:paraId="44D479A7"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C-551 de 9 de julio de 2003. M.P: Eduardo Montealegre Lynnet</w:t>
            </w:r>
            <w:r>
              <w:rPr>
                <w:rFonts w:ascii="Verdana" w:hAnsi="Verdana" w:cs="Arial"/>
                <w:lang w:eastAsia="es-ES"/>
              </w:rPr>
              <w:t>.</w:t>
            </w:r>
          </w:p>
          <w:p w14:paraId="264BE6BE"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C- 1153 de 2005, M.P: Marco Gerardo Monroy Cabra.</w:t>
            </w:r>
          </w:p>
          <w:p w14:paraId="48DFD027"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C076BE">
              <w:rPr>
                <w:rFonts w:ascii="Verdana" w:hAnsi="Verdana" w:cs="Arial"/>
                <w:lang w:eastAsia="es-ES"/>
              </w:rPr>
              <w:t>Corte Constitucional. Sentencia C-353 de 20 de mayo de 2009. M.P: Jorge Iván Palacio Palacio</w:t>
            </w:r>
            <w:r>
              <w:rPr>
                <w:rFonts w:ascii="Verdana" w:hAnsi="Verdana" w:cs="Arial"/>
                <w:lang w:eastAsia="es-ES"/>
              </w:rPr>
              <w:t>.</w:t>
            </w:r>
          </w:p>
          <w:p w14:paraId="4D414CCC" w14:textId="77777777" w:rsidR="00CD5DE0" w:rsidRDefault="00CD5DE0" w:rsidP="00162589">
            <w:pPr>
              <w:pStyle w:val="Prrafodelista"/>
              <w:numPr>
                <w:ilvl w:val="0"/>
                <w:numId w:val="17"/>
              </w:numPr>
              <w:spacing w:after="120" w:line="276" w:lineRule="auto"/>
              <w:jc w:val="both"/>
              <w:rPr>
                <w:rFonts w:ascii="Verdana" w:hAnsi="Verdana" w:cs="Arial"/>
                <w:lang w:eastAsia="es-ES"/>
              </w:rPr>
            </w:pPr>
            <w:r w:rsidRPr="00F2446F">
              <w:rPr>
                <w:rFonts w:ascii="Verdana" w:hAnsi="Verdana" w:cs="Arial"/>
                <w:lang w:eastAsia="es-ES"/>
              </w:rPr>
              <w:t>Corte Constitucional. Sentencia C-541 de 30 de junio de 2010. M.P: Gabriel Eduardo Mendoza Martel</w:t>
            </w:r>
            <w:r>
              <w:rPr>
                <w:rFonts w:ascii="Verdana" w:hAnsi="Verdana" w:cs="Arial"/>
                <w:lang w:eastAsia="es-ES"/>
              </w:rPr>
              <w:t>o</w:t>
            </w:r>
            <w:r w:rsidRPr="00F2446F">
              <w:rPr>
                <w:rFonts w:ascii="Verdana" w:hAnsi="Verdana" w:cs="Arial"/>
                <w:lang w:eastAsia="es-ES"/>
              </w:rPr>
              <w:t>.</w:t>
            </w:r>
          </w:p>
          <w:p w14:paraId="5D2C05C6" w14:textId="77777777" w:rsidR="00CD5DE0" w:rsidRPr="006411BC" w:rsidRDefault="00CD5DE0" w:rsidP="00162589">
            <w:pPr>
              <w:pStyle w:val="Prrafodelista"/>
              <w:numPr>
                <w:ilvl w:val="0"/>
                <w:numId w:val="17"/>
              </w:numPr>
              <w:spacing w:after="120" w:line="276" w:lineRule="auto"/>
              <w:jc w:val="both"/>
              <w:rPr>
                <w:rFonts w:ascii="Verdana" w:hAnsi="Verdana" w:cs="Arial"/>
                <w:lang w:eastAsia="es-ES"/>
              </w:rPr>
            </w:pPr>
            <w:r w:rsidRPr="006411BC">
              <w:rPr>
                <w:rFonts w:ascii="Verdana" w:hAnsi="Verdana"/>
              </w:rPr>
              <w:t xml:space="preserve">Superintendencia Financiera, Circular Básica Jurídica (C.E. 029/14), Título II Instrucciones generales relativas a las operaciones de las sociedades de servicios financieros, Capítulo I: Disposiciones Especiales Aplicables A Los Negocios Fiduciarios. Disponible en: </w:t>
            </w:r>
            <w:hyperlink r:id="rId14" w:history="1">
              <w:r w:rsidRPr="006411BC">
                <w:rPr>
                  <w:rStyle w:val="Hipervnculo"/>
                  <w:rFonts w:ascii="Verdana" w:hAnsi="Verdana"/>
                </w:rPr>
                <w:t>https://www.superfinanciera.gov.co/publicaciones/10083443/normativanormativa-generalcircular-basica-juridica-ce-10083443/</w:t>
              </w:r>
            </w:hyperlink>
          </w:p>
          <w:p w14:paraId="7CE66AB2" w14:textId="77777777" w:rsidR="00CD5DE0" w:rsidRPr="006411BC" w:rsidRDefault="00CD5DE0" w:rsidP="00162589">
            <w:pPr>
              <w:pStyle w:val="Prrafodelista"/>
              <w:numPr>
                <w:ilvl w:val="0"/>
                <w:numId w:val="17"/>
              </w:numPr>
              <w:spacing w:after="120" w:line="276" w:lineRule="auto"/>
              <w:jc w:val="both"/>
              <w:rPr>
                <w:rFonts w:ascii="Verdana" w:hAnsi="Verdana" w:cs="Arial"/>
                <w:lang w:eastAsia="es-ES"/>
              </w:rPr>
            </w:pPr>
            <w:r w:rsidRPr="006411BC">
              <w:rPr>
                <w:rFonts w:ascii="Verdana" w:hAnsi="Verdana"/>
                <w:lang w:val="es-CO"/>
              </w:rPr>
              <w:t xml:space="preserve">Concepto 060361 del 19 de febrero de 2021, citado en el concepto </w:t>
            </w:r>
            <w:r w:rsidRPr="006411BC">
              <w:rPr>
                <w:rFonts w:ascii="Verdana" w:hAnsi="Verdana"/>
              </w:rPr>
              <w:t xml:space="preserve">220225937 de 2022 Secretaría Jurídica Distrital - Subsecretaría Jurídica Distrital. Disponible en: </w:t>
            </w:r>
            <w:hyperlink r:id="rId15" w:anchor="_edn1" w:history="1">
              <w:r w:rsidRPr="006411BC">
                <w:rPr>
                  <w:rStyle w:val="Hipervnculo"/>
                  <w:rFonts w:ascii="Verdana" w:hAnsi="Verdana"/>
                </w:rPr>
                <w:t>https://www.alcaldiabogota.gov.co/sisjur/normas/Norma1.jsp?i=125418&amp;dt=S#_edn1</w:t>
              </w:r>
            </w:hyperlink>
          </w:p>
          <w:p w14:paraId="2E9832D7" w14:textId="77777777" w:rsidR="00CD5DE0" w:rsidRPr="00352F3A" w:rsidRDefault="00CD5DE0" w:rsidP="00162589">
            <w:pPr>
              <w:pStyle w:val="Prrafodelista"/>
              <w:numPr>
                <w:ilvl w:val="0"/>
                <w:numId w:val="17"/>
              </w:numPr>
              <w:spacing w:after="120" w:line="276" w:lineRule="auto"/>
              <w:jc w:val="both"/>
              <w:rPr>
                <w:rFonts w:ascii="Verdana" w:hAnsi="Verdana" w:cs="Arial"/>
                <w:lang w:eastAsia="es-ES"/>
              </w:rPr>
            </w:pPr>
            <w:r w:rsidRPr="00F2446F">
              <w:rPr>
                <w:rFonts w:ascii="Verdana" w:hAnsi="Verdana"/>
              </w:rPr>
              <w:t xml:space="preserve">Agencia Nacional de Contratación Pública. Circular Externa 006 del 25 de septiembre de 2025. Disponible en </w:t>
            </w:r>
            <w:hyperlink r:id="rId16" w:history="1">
              <w:r w:rsidRPr="00F2446F">
                <w:rPr>
                  <w:rStyle w:val="Hipervnculo"/>
                  <w:rFonts w:ascii="Verdana" w:hAnsi="Verdana"/>
                  <w:lang w:val="es-CO"/>
                </w:rPr>
                <w:t>006-de-2025-Circular-Externa-L996-ajustado-comentarios-BM-BID-Rev-ARSC-V3.d-1.pdf</w:t>
              </w:r>
            </w:hyperlink>
          </w:p>
          <w:p w14:paraId="1FE32578" w14:textId="77777777" w:rsidR="00CD5DE0" w:rsidRPr="00352F3A" w:rsidRDefault="00CD5DE0" w:rsidP="00162589">
            <w:pPr>
              <w:pStyle w:val="Prrafodelista"/>
              <w:numPr>
                <w:ilvl w:val="0"/>
                <w:numId w:val="17"/>
              </w:numPr>
              <w:spacing w:after="120" w:line="276" w:lineRule="auto"/>
              <w:jc w:val="both"/>
              <w:rPr>
                <w:rFonts w:ascii="Verdana" w:hAnsi="Verdana" w:cs="Arial"/>
                <w:lang w:eastAsia="es-ES"/>
              </w:rPr>
            </w:pPr>
            <w:r w:rsidRPr="00352F3A">
              <w:rPr>
                <w:rFonts w:ascii="Verdana" w:hAnsi="Verdana" w:cs="Arial"/>
                <w:lang w:eastAsia="es-ES"/>
              </w:rPr>
              <w:t>CLARO SOLAR, Luis. Explicaciones de derecho civil chileno y comparado. Volumen I. Tomo I. Santiago: Editorial Jurídica de Chile, 2013.</w:t>
            </w:r>
          </w:p>
        </w:tc>
      </w:tr>
    </w:tbl>
    <w:p w14:paraId="5B8A30AE" w14:textId="77777777" w:rsidR="00CD5DE0" w:rsidRPr="00D21094" w:rsidRDefault="00CD5DE0" w:rsidP="00CD5DE0">
      <w:pPr>
        <w:tabs>
          <w:tab w:val="left" w:pos="142"/>
          <w:tab w:val="left" w:pos="284"/>
          <w:tab w:val="left" w:pos="3828"/>
        </w:tabs>
        <w:spacing w:after="0" w:line="276" w:lineRule="auto"/>
        <w:jc w:val="both"/>
        <w:rPr>
          <w:rFonts w:ascii="Verdana" w:eastAsia="Century Gothic" w:hAnsi="Verdana" w:cs="Century Gothic"/>
          <w:b/>
          <w:bCs/>
        </w:rPr>
      </w:pPr>
    </w:p>
    <w:p w14:paraId="5F7A7A7F" w14:textId="77777777" w:rsidR="00CD5DE0" w:rsidRPr="00B64A74" w:rsidRDefault="00CD5DE0" w:rsidP="00CD5DE0">
      <w:pPr>
        <w:tabs>
          <w:tab w:val="left" w:pos="142"/>
          <w:tab w:val="left" w:pos="284"/>
          <w:tab w:val="left" w:pos="3828"/>
        </w:tabs>
        <w:spacing w:after="0" w:line="276" w:lineRule="auto"/>
        <w:jc w:val="both"/>
        <w:rPr>
          <w:rFonts w:ascii="Verdana" w:eastAsia="Century Gothic" w:hAnsi="Verdana" w:cs="Century Gothic"/>
          <w:b/>
          <w:bCs/>
        </w:rPr>
      </w:pPr>
      <w:r w:rsidRPr="00B64A74">
        <w:rPr>
          <w:rFonts w:ascii="Verdana" w:eastAsia="Century Gothic" w:hAnsi="Verdana" w:cs="Century Gothic"/>
          <w:b/>
          <w:bCs/>
        </w:rPr>
        <w:t>5. Doctrina de la Agencia Nacional de Contratación Pública:</w:t>
      </w:r>
    </w:p>
    <w:p w14:paraId="78BA3A91" w14:textId="77777777" w:rsidR="00CD5DE0" w:rsidRPr="00B64A74" w:rsidRDefault="00CD5DE0" w:rsidP="00CD5DE0">
      <w:pPr>
        <w:widowControl w:val="0"/>
        <w:autoSpaceDE w:val="0"/>
        <w:autoSpaceDN w:val="0"/>
        <w:spacing w:after="0" w:line="240" w:lineRule="auto"/>
        <w:jc w:val="both"/>
        <w:rPr>
          <w:rStyle w:val="normaltextrun"/>
          <w:rFonts w:ascii="Verdana" w:hAnsi="Verdana" w:cs="Arial"/>
          <w:shd w:val="clear" w:color="auto" w:fill="FFFFFF"/>
        </w:rPr>
      </w:pPr>
    </w:p>
    <w:p w14:paraId="1B65C41D" w14:textId="77777777" w:rsidR="00CD5DE0" w:rsidRDefault="00CD5DE0" w:rsidP="00CD5DE0">
      <w:pPr>
        <w:widowControl w:val="0"/>
        <w:autoSpaceDE w:val="0"/>
        <w:autoSpaceDN w:val="0"/>
        <w:spacing w:after="0" w:line="276" w:lineRule="auto"/>
        <w:jc w:val="both"/>
        <w:rPr>
          <w:rStyle w:val="normaltextrun"/>
          <w:rFonts w:ascii="Verdana" w:hAnsi="Verdana"/>
          <w:color w:val="000000" w:themeColor="text1"/>
          <w:shd w:val="clear" w:color="auto" w:fill="FFFFFF"/>
          <w:lang w:val="es-ES"/>
        </w:rPr>
      </w:pPr>
      <w:r w:rsidRPr="00226503">
        <w:rPr>
          <w:rStyle w:val="normaltextrun"/>
          <w:rFonts w:ascii="Verdana" w:hAnsi="Verdana" w:cs="Arial"/>
          <w:color w:val="000000" w:themeColor="text1"/>
          <w:shd w:val="clear" w:color="auto" w:fill="FFFFFF"/>
          <w:lang w:val="es-ES"/>
        </w:rPr>
        <w:t xml:space="preserve">Esta Subdirección se ha pronunciado </w:t>
      </w:r>
      <w:r w:rsidRPr="00226503">
        <w:rPr>
          <w:rFonts w:ascii="Verdana" w:hAnsi="Verdana" w:cs="Arial"/>
          <w:color w:val="000000" w:themeColor="text1"/>
          <w:lang w:val="es-ES_tradnl"/>
        </w:rPr>
        <w:t xml:space="preserve">sobre el contrato de fiducia mercantil y la capacidad contractual del patrimonio autónomo derivado de dicho contrato en los conceptos con radicado No. 2201913000005645 del 8 de agosto de 2019, 2201913000008612 del 19 de noviembre de 2019, </w:t>
      </w:r>
      <w:r w:rsidRPr="00226503">
        <w:rPr>
          <w:rFonts w:ascii="Verdana" w:eastAsia="Calibri" w:hAnsi="Verdana" w:cs="Arial"/>
          <w:color w:val="000000" w:themeColor="text1"/>
          <w:lang w:val="es-ES_tradnl"/>
        </w:rPr>
        <w:t>C</w:t>
      </w:r>
      <w:r>
        <w:rPr>
          <w:rFonts w:ascii="Verdana" w:eastAsia="Calibri" w:hAnsi="Verdana" w:cs="Arial"/>
          <w:color w:val="000000" w:themeColor="text1"/>
          <w:lang w:val="es-ES_tradnl"/>
        </w:rPr>
        <w:t>-</w:t>
      </w:r>
      <w:r w:rsidRPr="00226503">
        <w:rPr>
          <w:rFonts w:ascii="Verdana" w:eastAsia="Calibri" w:hAnsi="Verdana" w:cs="Arial"/>
          <w:color w:val="000000" w:themeColor="text1"/>
          <w:lang w:val="es-ES_tradnl"/>
        </w:rPr>
        <w:t xml:space="preserve">483 del 5 de agosto 2022 y el </w:t>
      </w:r>
      <w:r w:rsidRPr="00226503">
        <w:rPr>
          <w:rStyle w:val="normaltextrun"/>
          <w:rFonts w:ascii="Verdana" w:hAnsi="Verdana"/>
          <w:color w:val="000000" w:themeColor="text1"/>
          <w:shd w:val="clear" w:color="auto" w:fill="FFFFFF"/>
          <w:lang w:val="es-ES"/>
        </w:rPr>
        <w:t xml:space="preserve">C-059 del 22 de mayo de 2024, </w:t>
      </w:r>
      <w:r>
        <w:rPr>
          <w:rStyle w:val="normaltextrun"/>
          <w:rFonts w:ascii="Verdana" w:hAnsi="Verdana"/>
          <w:color w:val="000000" w:themeColor="text1"/>
          <w:shd w:val="clear" w:color="auto" w:fill="FFFFFF"/>
          <w:lang w:val="es-ES"/>
        </w:rPr>
        <w:t xml:space="preserve">C- 355 del 29 de abril de 2025, </w:t>
      </w:r>
      <w:r w:rsidRPr="00226503">
        <w:rPr>
          <w:rStyle w:val="normaltextrun"/>
          <w:rFonts w:ascii="Verdana" w:hAnsi="Verdana"/>
          <w:color w:val="000000" w:themeColor="text1"/>
          <w:shd w:val="clear" w:color="auto" w:fill="FFFFFF"/>
          <w:lang w:val="es-ES"/>
        </w:rPr>
        <w:t xml:space="preserve">entre otros. </w:t>
      </w:r>
    </w:p>
    <w:p w14:paraId="2A2154B1" w14:textId="77777777" w:rsidR="00CD5DE0" w:rsidRDefault="00CD5DE0" w:rsidP="00CD5DE0">
      <w:pPr>
        <w:widowControl w:val="0"/>
        <w:autoSpaceDE w:val="0"/>
        <w:autoSpaceDN w:val="0"/>
        <w:spacing w:after="0" w:line="240" w:lineRule="auto"/>
        <w:jc w:val="both"/>
        <w:rPr>
          <w:rStyle w:val="normaltextrun"/>
          <w:rFonts w:ascii="Verdana" w:hAnsi="Verdana"/>
          <w:color w:val="000000" w:themeColor="text1"/>
          <w:shd w:val="clear" w:color="auto" w:fill="FFFFFF"/>
          <w:lang w:val="es-ES"/>
        </w:rPr>
      </w:pPr>
    </w:p>
    <w:p w14:paraId="5BBAE111" w14:textId="77777777" w:rsidR="00CD5DE0" w:rsidRDefault="00CD5DE0" w:rsidP="00CD5DE0">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C-1401 del 22 de octubre de 2025, C-1512 del 27 de octubre de 2025, C-1488 del 30 de octubre </w:t>
      </w:r>
      <w:r w:rsidRPr="00D7164B">
        <w:rPr>
          <w:rFonts w:ascii="Verdana" w:hAnsi="Verdana" w:cs="Arial"/>
          <w:shd w:val="clear" w:color="auto" w:fill="FFFFFF"/>
        </w:rPr>
        <w:t>de 2025, C-1596 del 6 de noviembre de 2025, C-1509 del 19 de noviembre de 2025, C-1773 del 5 de diciembre de 2025, C-1646 del 17 de diciembre de 2025, C-1703 del 29 de diciembre de 2025, entro otros</w:t>
      </w:r>
      <w:r w:rsidRPr="00D7164B">
        <w:rPr>
          <w:rStyle w:val="normaltextrun"/>
          <w:rFonts w:ascii="Verdana" w:hAnsi="Verdana" w:cs="Arial"/>
          <w:shd w:val="clear" w:color="auto" w:fill="FFFFFF"/>
        </w:rPr>
        <w:t xml:space="preserve">. </w:t>
      </w:r>
      <w:r w:rsidRPr="00D7164B">
        <w:rPr>
          <w:rFonts w:ascii="Verdana" w:hAnsi="Verdana" w:cs="Arial"/>
        </w:rPr>
        <w:t xml:space="preserve">Estos y otros </w:t>
      </w:r>
      <w:r w:rsidRPr="00D7164B">
        <w:rPr>
          <w:rFonts w:ascii="Verdana" w:hAnsi="Verdana"/>
        </w:rPr>
        <w:t>conceptos se encuentran disponibles para consulta en el Sistema de relatoría de la Agencia, al cual se puede acceder a través del siguiente enlace:</w:t>
      </w:r>
      <w:r w:rsidRPr="00D7164B">
        <w:rPr>
          <w:rFonts w:ascii="Verdana" w:hAnsi="Verdana" w:cs="Arial"/>
          <w:shd w:val="clear" w:color="auto" w:fill="FFFFFF"/>
        </w:rPr>
        <w:t xml:space="preserve"> </w:t>
      </w:r>
      <w:hyperlink r:id="rId17" w:history="1">
        <w:r w:rsidRPr="00D7164B">
          <w:rPr>
            <w:rFonts w:ascii="Verdana" w:hAnsi="Verdana" w:cs="Arial"/>
            <w:color w:val="0563C1" w:themeColor="hyperlink"/>
            <w:u w:val="single"/>
            <w:shd w:val="clear" w:color="auto" w:fill="FFFFFF"/>
          </w:rPr>
          <w:t>https://relatoria.colombiacompra.gov.co/busqueda/conceptos</w:t>
        </w:r>
      </w:hyperlink>
      <w:r w:rsidRPr="00D7164B">
        <w:rPr>
          <w:rFonts w:ascii="Verdana" w:hAnsi="Verdana" w:cs="Arial"/>
          <w:shd w:val="clear" w:color="auto" w:fill="FFFFFF"/>
        </w:rPr>
        <w:t>.</w:t>
      </w:r>
      <w:r w:rsidRPr="00B64A74">
        <w:rPr>
          <w:rFonts w:ascii="Verdana" w:hAnsi="Verdana" w:cs="Arial"/>
          <w:color w:val="FF0000"/>
          <w:shd w:val="clear" w:color="auto" w:fill="FFFFFF"/>
        </w:rPr>
        <w:t xml:space="preserve"> </w:t>
      </w:r>
      <w:r w:rsidRPr="00B64A74">
        <w:rPr>
          <w:rFonts w:ascii="Verdana" w:hAnsi="Verdana" w:cs="Arial"/>
          <w:color w:val="000000" w:themeColor="text1"/>
          <w:shd w:val="clear" w:color="auto" w:fill="FFFFFF"/>
        </w:rPr>
        <w:t>  </w:t>
      </w:r>
    </w:p>
    <w:p w14:paraId="2B59300E" w14:textId="77777777" w:rsidR="00CD5DE0" w:rsidRDefault="00CD5DE0" w:rsidP="00CD5DE0">
      <w:pPr>
        <w:widowControl w:val="0"/>
        <w:autoSpaceDE w:val="0"/>
        <w:autoSpaceDN w:val="0"/>
        <w:spacing w:after="0" w:line="240" w:lineRule="auto"/>
        <w:jc w:val="both"/>
        <w:rPr>
          <w:rFonts w:ascii="Verdana" w:hAnsi="Verdana" w:cs="Arial"/>
          <w:shd w:val="clear" w:color="auto" w:fill="FFFFFF"/>
        </w:rPr>
      </w:pPr>
    </w:p>
    <w:p w14:paraId="17954BA0" w14:textId="77777777" w:rsidR="00CD5DE0" w:rsidRPr="00EF5734" w:rsidRDefault="00CD5DE0" w:rsidP="00CD5DE0">
      <w:pPr>
        <w:widowControl w:val="0"/>
        <w:autoSpaceDE w:val="0"/>
        <w:autoSpaceDN w:val="0"/>
        <w:spacing w:after="0" w:line="276" w:lineRule="auto"/>
        <w:jc w:val="both"/>
        <w:rPr>
          <w:rFonts w:ascii="Verdana" w:hAnsi="Verdana" w:cs="Arial"/>
          <w:shd w:val="clear" w:color="auto" w:fill="FFFFFF"/>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8" w:tgtFrame="_new" w:history="1">
        <w:r w:rsidRPr="00A44E58">
          <w:rPr>
            <w:rStyle w:val="Hipervnculo"/>
            <w:rFonts w:ascii="Verdana" w:hAnsi="Verdana"/>
          </w:rPr>
          <w:t>https://formacionvirtual.colombiacompra.gov.co/mod/page/view.php?id=3718</w:t>
        </w:r>
      </w:hyperlink>
    </w:p>
    <w:p w14:paraId="5582F7FD" w14:textId="77777777" w:rsidR="00CD5DE0" w:rsidRDefault="00CD5DE0" w:rsidP="00CD5DE0">
      <w:pPr>
        <w:widowControl w:val="0"/>
        <w:autoSpaceDE w:val="0"/>
        <w:autoSpaceDN w:val="0"/>
        <w:spacing w:after="0" w:line="240" w:lineRule="auto"/>
        <w:jc w:val="both"/>
        <w:rPr>
          <w:rFonts w:ascii="Verdana" w:hAnsi="Verdana"/>
          <w:lang w:val="es-ES"/>
        </w:rPr>
      </w:pPr>
    </w:p>
    <w:p w14:paraId="1C708DF6" w14:textId="77777777" w:rsidR="00CD5DE0" w:rsidRDefault="00CD5DE0" w:rsidP="00CD5DE0">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A44E58">
        <w:rPr>
          <w:rFonts w:ascii="Verdana" w:hAnsi="Verdana"/>
        </w:rPr>
        <w:t xml:space="preserve">Consulta y descarga los documentos aquí: </w:t>
      </w:r>
      <w:hyperlink r:id="rId19" w:tgtFrame="_new" w:history="1">
        <w:r w:rsidRPr="00A44E58">
          <w:rPr>
            <w:rStyle w:val="Hipervnculo"/>
            <w:rFonts w:ascii="Verdana" w:hAnsi="Verdana"/>
          </w:rPr>
          <w:t>https://www.colombiacompra.gov.co/normativa-y-relatoria/documentos-tipo</w:t>
        </w:r>
      </w:hyperlink>
    </w:p>
    <w:p w14:paraId="2502E32C" w14:textId="77777777" w:rsidR="00CD5DE0" w:rsidRDefault="00CD5DE0" w:rsidP="00CD5DE0">
      <w:pPr>
        <w:spacing w:after="0" w:line="240" w:lineRule="auto"/>
        <w:jc w:val="both"/>
        <w:rPr>
          <w:rFonts w:ascii="Verdana" w:hAnsi="Verdana"/>
        </w:rPr>
      </w:pPr>
    </w:p>
    <w:p w14:paraId="7AD1C96D" w14:textId="77777777" w:rsidR="00CD5DE0" w:rsidRDefault="00CD5DE0" w:rsidP="00CD5DE0">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A44E58">
        <w:rPr>
          <w:rFonts w:ascii="Verdana" w:hAnsi="Verdana"/>
        </w:rPr>
        <w:t>Además se incluyeron lineamientos que orientan la implementación de los criterios ambientales y sociales incluidos en los documentos tipo: Consulta la guía aquí:</w:t>
      </w:r>
      <w:r w:rsidRPr="00A44E58">
        <w:rPr>
          <w:rFonts w:ascii="Verdana" w:hAnsi="Verdana"/>
        </w:rPr>
        <w:br/>
      </w:r>
      <w:hyperlink r:id="rId20" w:tgtFrame="_new" w:history="1">
        <w:r w:rsidRPr="00A44E58">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D294E83" w14:textId="77777777" w:rsidR="00CD5DE0" w:rsidRDefault="00CD5DE0" w:rsidP="00CD5DE0">
      <w:pPr>
        <w:widowControl w:val="0"/>
        <w:autoSpaceDE w:val="0"/>
        <w:autoSpaceDN w:val="0"/>
        <w:spacing w:after="0" w:line="276" w:lineRule="auto"/>
        <w:jc w:val="both"/>
        <w:rPr>
          <w:rFonts w:ascii="Verdana" w:hAnsi="Verdana"/>
        </w:rPr>
      </w:pPr>
    </w:p>
    <w:p w14:paraId="14B5D16F" w14:textId="77777777" w:rsidR="00CD5DE0" w:rsidRPr="0043234D" w:rsidRDefault="00CD5DE0" w:rsidP="00CD5DE0">
      <w:pPr>
        <w:widowControl w:val="0"/>
        <w:autoSpaceDE w:val="0"/>
        <w:autoSpaceDN w:val="0"/>
        <w:spacing w:after="0" w:line="276" w:lineRule="auto"/>
        <w:jc w:val="both"/>
        <w:rPr>
          <w:rFonts w:ascii="Verdana" w:hAnsi="Verdana" w:cs="Arial"/>
          <w:highlight w:val="yellow"/>
          <w:shd w:val="clear" w:color="auto" w:fill="FFFFFF"/>
          <w:lang w:val="es-MX"/>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1E303AA3" w14:textId="77777777" w:rsidR="00CD5DE0" w:rsidRPr="00116940" w:rsidRDefault="00CD5DE0" w:rsidP="00CD5DE0">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B46323E" w14:textId="77777777" w:rsidR="00CD5DE0" w:rsidRPr="00116940" w:rsidRDefault="00CD5DE0" w:rsidP="00CD5DE0">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F0242C0" w14:textId="77777777" w:rsidR="00CD5DE0" w:rsidRPr="00116940" w:rsidRDefault="00CD5DE0" w:rsidP="00CD5DE0">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1">
        <w:r w:rsidRPr="00116940">
          <w:rPr>
            <w:rStyle w:val="Hipervnculo"/>
            <w:rFonts w:ascii="Verdana" w:eastAsia="Verdana" w:hAnsi="Verdana" w:cs="Verdana"/>
            <w:lang w:val="es-MX"/>
          </w:rPr>
          <w:t>ventanilladeradicacion@colombiacompra.gov.co</w:t>
        </w:r>
      </w:hyperlink>
    </w:p>
    <w:p w14:paraId="64C78B80" w14:textId="77777777" w:rsidR="00CD5DE0" w:rsidRPr="00116940" w:rsidRDefault="00CD5DE0" w:rsidP="00CD5DE0">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2">
        <w:r w:rsidRPr="00116940">
          <w:rPr>
            <w:rStyle w:val="Hipervnculo"/>
            <w:rFonts w:ascii="Verdana" w:eastAsia="Verdana" w:hAnsi="Verdana" w:cs="Verdana"/>
            <w:lang w:val="es-MX"/>
          </w:rPr>
          <w:t>https://www.colombiacompra.gov.co/pqrsd/informacion-importante-antes-de-formular-una-pqrsd</w:t>
        </w:r>
      </w:hyperlink>
    </w:p>
    <w:p w14:paraId="563F9FD7" w14:textId="77777777" w:rsidR="00CD5DE0" w:rsidRPr="00116940" w:rsidRDefault="00CD5DE0" w:rsidP="00CD5DE0">
      <w:pPr>
        <w:spacing w:after="0" w:line="240" w:lineRule="auto"/>
        <w:ind w:left="720"/>
        <w:jc w:val="both"/>
        <w:rPr>
          <w:rFonts w:ascii="Verdana" w:hAnsi="Verdana"/>
        </w:rPr>
      </w:pPr>
    </w:p>
    <w:p w14:paraId="61E3DBFC" w14:textId="77777777" w:rsidR="00CD5DE0" w:rsidRDefault="00CD5DE0" w:rsidP="00CD5DE0">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3" w:history="1">
        <w:r w:rsidRPr="00A44E58">
          <w:rPr>
            <w:rStyle w:val="Hipervnculo"/>
            <w:rFonts w:ascii="Verdana" w:eastAsia="Verdana" w:hAnsi="Verdana" w:cs="Verdana"/>
            <w:lang w:val="es-MX"/>
          </w:rPr>
          <w:t>https://forms.office.com/r/pPHyWVs2SZ</w:t>
        </w:r>
      </w:hyperlink>
      <w:r w:rsidRPr="00A44E58">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D7B4D6D" w14:textId="77777777" w:rsidR="00CD5DE0" w:rsidRPr="00116940" w:rsidRDefault="00CD5DE0" w:rsidP="00CD5DE0">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E564A9A" w14:textId="77777777" w:rsidR="00CD5DE0" w:rsidRPr="00116940" w:rsidRDefault="00CD5DE0" w:rsidP="00CD5DE0">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F78E776" w14:textId="77777777" w:rsidR="00CD5DE0" w:rsidRPr="00116940" w:rsidRDefault="00CD5DE0" w:rsidP="00CD5DE0">
      <w:pPr>
        <w:spacing w:after="0" w:line="276"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6C547AE6" w14:textId="77777777" w:rsidR="00CD5DE0" w:rsidRPr="00116940" w:rsidRDefault="00CD5DE0" w:rsidP="00CD5DE0">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FFBAC02" w14:textId="77777777" w:rsidR="00CD5DE0" w:rsidRPr="00B64A74" w:rsidRDefault="00CD5DE0" w:rsidP="00CD5DE0">
      <w:pPr>
        <w:spacing w:after="0" w:line="276" w:lineRule="auto"/>
        <w:jc w:val="both"/>
        <w:rPr>
          <w:rFonts w:ascii="Verdana" w:hAnsi="Verdana"/>
        </w:rPr>
      </w:pPr>
    </w:p>
    <w:p w14:paraId="7502BCA3" w14:textId="77777777" w:rsidR="00CD5DE0" w:rsidRPr="00B64A74" w:rsidRDefault="00CD5DE0" w:rsidP="00CD5DE0">
      <w:pPr>
        <w:spacing w:after="0" w:line="276" w:lineRule="auto"/>
        <w:jc w:val="both"/>
        <w:rPr>
          <w:rFonts w:ascii="Verdana" w:hAnsi="Verdana"/>
        </w:rPr>
      </w:pPr>
      <w:r w:rsidRPr="00B64A74">
        <w:rPr>
          <w:rFonts w:ascii="Verdana" w:hAnsi="Verdana"/>
        </w:rPr>
        <w:t>Cordialmente,</w:t>
      </w:r>
    </w:p>
    <w:p w14:paraId="050BB96C" w14:textId="1E875AE2" w:rsidR="00CD5DE0" w:rsidRPr="00B64A74" w:rsidRDefault="00CD5DE0" w:rsidP="00CD5DE0">
      <w:pPr>
        <w:spacing w:after="0" w:line="256" w:lineRule="auto"/>
        <w:jc w:val="center"/>
        <w:rPr>
          <w:rFonts w:ascii="Verdana" w:eastAsia="Calibri" w:hAnsi="Verdana" w:cs="Times New Roman"/>
        </w:rPr>
      </w:pPr>
    </w:p>
    <w:p w14:paraId="2DD50F9F" w14:textId="4B8196EC" w:rsidR="00CD5DE0" w:rsidRPr="00B64A74" w:rsidRDefault="00AB69BD" w:rsidP="00CD5DE0">
      <w:pPr>
        <w:spacing w:after="0" w:line="256" w:lineRule="auto"/>
        <w:jc w:val="center"/>
        <w:rPr>
          <w:rFonts w:ascii="Verdana" w:eastAsia="Calibri" w:hAnsi="Verdana" w:cs="Times New Roman"/>
        </w:rPr>
      </w:pPr>
      <w:r>
        <w:rPr>
          <w:noProof/>
        </w:rPr>
        <w:drawing>
          <wp:inline distT="0" distB="0" distL="0" distR="0" wp14:anchorId="4587B520" wp14:editId="023C5ADB">
            <wp:extent cx="3070819" cy="1446829"/>
            <wp:effectExtent l="0" t="0" r="0" b="127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24"/>
                    <a:stretch>
                      <a:fillRect/>
                    </a:stretch>
                  </pic:blipFill>
                  <pic:spPr>
                    <a:xfrm>
                      <a:off x="0" y="0"/>
                      <a:ext cx="3082117" cy="1452152"/>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CD5DE0" w:rsidRPr="00B64A74" w14:paraId="5DBC086E" w14:textId="77777777" w:rsidTr="00162589">
        <w:trPr>
          <w:trHeight w:val="288"/>
        </w:trPr>
        <w:tc>
          <w:tcPr>
            <w:tcW w:w="893" w:type="dxa"/>
            <w:vAlign w:val="center"/>
            <w:hideMark/>
          </w:tcPr>
          <w:p w14:paraId="61C500C1" w14:textId="77777777" w:rsidR="00CD5DE0" w:rsidRPr="00B64A74" w:rsidRDefault="00CD5DE0" w:rsidP="00162589">
            <w:pPr>
              <w:contextualSpacing/>
              <w:rPr>
                <w:rFonts w:ascii="Verdana" w:hAnsi="Verdana" w:cs="Arial"/>
                <w:sz w:val="16"/>
                <w:szCs w:val="16"/>
                <w:lang w:eastAsia="es-ES"/>
              </w:rPr>
            </w:pPr>
            <w:r w:rsidRPr="00B64A74">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DBADC94" w14:textId="77777777" w:rsidR="00CD5DE0" w:rsidRPr="00B64A74" w:rsidRDefault="00CD5DE0" w:rsidP="00162589">
            <w:pPr>
              <w:contextualSpacing/>
              <w:rPr>
                <w:rStyle w:val="normaltextrun"/>
                <w:rFonts w:ascii="Verdana" w:hAnsi="Verdana"/>
                <w:sz w:val="16"/>
                <w:szCs w:val="16"/>
              </w:rPr>
            </w:pPr>
            <w:r w:rsidRPr="00B64A74">
              <w:rPr>
                <w:rStyle w:val="normaltextrun"/>
                <w:rFonts w:ascii="Verdana" w:hAnsi="Verdana"/>
                <w:sz w:val="16"/>
                <w:szCs w:val="16"/>
              </w:rPr>
              <w:t xml:space="preserve">Esperanza Contreras P </w:t>
            </w:r>
          </w:p>
          <w:p w14:paraId="64AD0C41" w14:textId="77777777" w:rsidR="00CD5DE0" w:rsidRPr="00B64A74" w:rsidRDefault="00CD5DE0" w:rsidP="00162589">
            <w:pPr>
              <w:contextualSpacing/>
              <w:rPr>
                <w:rFonts w:ascii="Verdana" w:eastAsia="Arial" w:hAnsi="Verdana" w:cs="Arial"/>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CD5DE0" w:rsidRPr="00B64A74" w14:paraId="0E254BB9" w14:textId="77777777" w:rsidTr="00162589">
        <w:trPr>
          <w:trHeight w:val="330"/>
        </w:trPr>
        <w:tc>
          <w:tcPr>
            <w:tcW w:w="893" w:type="dxa"/>
            <w:vAlign w:val="center"/>
            <w:hideMark/>
          </w:tcPr>
          <w:p w14:paraId="119C569B" w14:textId="77777777" w:rsidR="00CD5DE0" w:rsidRPr="00B64A74" w:rsidRDefault="00CD5DE0" w:rsidP="00162589">
            <w:pPr>
              <w:contextualSpacing/>
              <w:rPr>
                <w:rFonts w:ascii="Verdana" w:hAnsi="Verdana" w:cs="Arial"/>
                <w:sz w:val="16"/>
                <w:szCs w:val="16"/>
                <w:lang w:eastAsia="es-ES"/>
              </w:rPr>
            </w:pPr>
            <w:r w:rsidRPr="00B64A74">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5B32857" w14:textId="77777777" w:rsidR="00CD5DE0" w:rsidRPr="00B64A74" w:rsidRDefault="00CD5DE0" w:rsidP="00162589">
            <w:pPr>
              <w:pStyle w:val="paragraph"/>
              <w:spacing w:before="0" w:beforeAutospacing="0" w:after="0" w:afterAutospacing="0"/>
              <w:contextualSpacing/>
              <w:textAlignment w:val="baseline"/>
              <w:rPr>
                <w:rStyle w:val="normaltextrun"/>
                <w:rFonts w:ascii="Verdana" w:hAnsi="Verdana"/>
                <w:sz w:val="16"/>
                <w:szCs w:val="16"/>
              </w:rPr>
            </w:pPr>
            <w:r w:rsidRPr="00B64A74">
              <w:rPr>
                <w:rStyle w:val="normaltextrun"/>
                <w:rFonts w:ascii="Verdana" w:hAnsi="Verdana"/>
                <w:sz w:val="16"/>
                <w:szCs w:val="16"/>
              </w:rPr>
              <w:t>Diana Lucía Saavedra Castañeda</w:t>
            </w:r>
          </w:p>
          <w:p w14:paraId="351F55A4" w14:textId="77777777" w:rsidR="00CD5DE0" w:rsidRPr="00B64A74" w:rsidRDefault="00CD5DE0" w:rsidP="00162589">
            <w:pPr>
              <w:pStyle w:val="paragraph"/>
              <w:spacing w:before="0" w:beforeAutospacing="0" w:after="0" w:afterAutospacing="0"/>
              <w:contextualSpacing/>
              <w:textAlignment w:val="baseline"/>
              <w:rPr>
                <w:rFonts w:ascii="Verdana" w:hAnsi="Verdana" w:cs="Segoe UI"/>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CD5DE0" w:rsidRPr="00B64A74" w14:paraId="4B9817C5" w14:textId="77777777" w:rsidTr="00162589">
        <w:trPr>
          <w:trHeight w:val="300"/>
        </w:trPr>
        <w:tc>
          <w:tcPr>
            <w:tcW w:w="893" w:type="dxa"/>
            <w:vAlign w:val="center"/>
          </w:tcPr>
          <w:p w14:paraId="47D6B533" w14:textId="77777777" w:rsidR="00CD5DE0" w:rsidRPr="00B64A74" w:rsidRDefault="00CD5DE0" w:rsidP="00162589">
            <w:pPr>
              <w:contextualSpacing/>
              <w:rPr>
                <w:rFonts w:ascii="Verdana" w:hAnsi="Verdana" w:cs="Arial"/>
                <w:sz w:val="16"/>
                <w:szCs w:val="16"/>
                <w:lang w:eastAsia="es-ES"/>
              </w:rPr>
            </w:pPr>
            <w:r w:rsidRPr="00B64A74">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2F239D3" w14:textId="77777777" w:rsidR="00CD5DE0" w:rsidRPr="00B64A74" w:rsidRDefault="00CD5DE0" w:rsidP="00162589">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Carolina Quintero Gacharná</w:t>
            </w:r>
          </w:p>
          <w:p w14:paraId="71A11463" w14:textId="77777777" w:rsidR="00CD5DE0" w:rsidRPr="00B64A74" w:rsidRDefault="00CD5DE0" w:rsidP="00162589">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Subdirectora de Gestión Contractual ANCP – CCE</w:t>
            </w:r>
          </w:p>
        </w:tc>
      </w:tr>
    </w:tbl>
    <w:p w14:paraId="24D4B982" w14:textId="77777777" w:rsidR="00CD5DE0" w:rsidRPr="00A947CB" w:rsidRDefault="00CD5DE0" w:rsidP="00CD5DE0"/>
    <w:bookmarkEnd w:id="0"/>
    <w:bookmarkEnd w:id="1"/>
    <w:p w14:paraId="0F293BF4" w14:textId="52C52E9E" w:rsidR="00CD5DE0" w:rsidRPr="00656AB4" w:rsidRDefault="00CD5DE0" w:rsidP="00A83183">
      <w:pPr>
        <w:spacing w:after="0" w:line="240" w:lineRule="auto"/>
        <w:jc w:val="both"/>
        <w:rPr>
          <w:rFonts w:ascii="Verdana" w:hAnsi="Verdana"/>
        </w:rPr>
      </w:pPr>
    </w:p>
    <w:sectPr w:rsidR="00CD5DE0" w:rsidRPr="00656AB4"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172CB" w14:textId="77777777" w:rsidR="009A379A" w:rsidRDefault="009A379A" w:rsidP="004A1847">
      <w:pPr>
        <w:spacing w:after="0" w:line="240" w:lineRule="auto"/>
      </w:pPr>
      <w:r>
        <w:separator/>
      </w:r>
    </w:p>
  </w:endnote>
  <w:endnote w:type="continuationSeparator" w:id="0">
    <w:p w14:paraId="59D35029" w14:textId="77777777" w:rsidR="009A379A" w:rsidRDefault="009A37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FF3D3" w14:textId="77777777" w:rsidR="009A379A" w:rsidRDefault="009A379A" w:rsidP="004A1847">
      <w:pPr>
        <w:spacing w:after="0" w:line="240" w:lineRule="auto"/>
      </w:pPr>
      <w:r>
        <w:separator/>
      </w:r>
    </w:p>
  </w:footnote>
  <w:footnote w:type="continuationSeparator" w:id="0">
    <w:p w14:paraId="038E103E" w14:textId="77777777" w:rsidR="009A379A" w:rsidRDefault="009A379A" w:rsidP="004A1847">
      <w:pPr>
        <w:spacing w:after="0" w:line="240" w:lineRule="auto"/>
      </w:pPr>
      <w:r>
        <w:continuationSeparator/>
      </w:r>
    </w:p>
  </w:footnote>
  <w:footnote w:id="1">
    <w:p w14:paraId="5C2D74DC" w14:textId="77777777" w:rsidR="00CD5DE0" w:rsidRPr="000A3E27" w:rsidRDefault="00CD5DE0" w:rsidP="00CD5DE0">
      <w:pPr>
        <w:pStyle w:val="Textonotapie"/>
        <w:ind w:firstLine="708"/>
        <w:jc w:val="both"/>
        <w:rPr>
          <w:rFonts w:ascii="Verdana" w:hAnsi="Verdana"/>
          <w:sz w:val="16"/>
          <w:szCs w:val="16"/>
        </w:rPr>
      </w:pPr>
      <w:r w:rsidRPr="000A3E27">
        <w:rPr>
          <w:rStyle w:val="Refdenotaalpie"/>
          <w:rFonts w:ascii="Verdana" w:hAnsi="Verdana"/>
          <w:sz w:val="16"/>
          <w:szCs w:val="16"/>
        </w:rPr>
        <w:footnoteRef/>
      </w:r>
      <w:r w:rsidRPr="000A3E27">
        <w:rPr>
          <w:rFonts w:ascii="Verdana" w:hAnsi="Verdana"/>
          <w:sz w:val="16"/>
          <w:szCs w:val="16"/>
        </w:rPr>
        <w:t xml:space="preserve"> Superintendencia Financiera, Circular Básica Jurídica (C.E. 029/14), Título II Instrucciones generales relativas a las operaciones de las sociedades de servicios financieros, Capítulo I: Disposiciones Especiales Aplicables A Los Negocios Fiduciarios. Disponible en: </w:t>
      </w:r>
      <w:hyperlink r:id="rId1" w:history="1">
        <w:r w:rsidRPr="000A3E27">
          <w:rPr>
            <w:rStyle w:val="Hipervnculo"/>
            <w:rFonts w:ascii="Verdana" w:hAnsi="Verdana"/>
            <w:sz w:val="16"/>
            <w:szCs w:val="16"/>
          </w:rPr>
          <w:t>https://www.superfinanciera.gov.co/publicaciones/10083443/normativanormativa-generalcircular-basica-juridica-ce-10083443/</w:t>
        </w:r>
      </w:hyperlink>
      <w:r w:rsidRPr="000A3E27">
        <w:rPr>
          <w:rFonts w:ascii="Verdana" w:hAnsi="Verdana"/>
          <w:sz w:val="16"/>
          <w:szCs w:val="16"/>
        </w:rPr>
        <w:t xml:space="preserve"> </w:t>
      </w:r>
    </w:p>
  </w:footnote>
  <w:footnote w:id="2">
    <w:p w14:paraId="56E8FA41" w14:textId="77777777" w:rsidR="00CD5DE0" w:rsidRPr="000A3E27" w:rsidRDefault="00CD5DE0" w:rsidP="00CD5DE0">
      <w:pPr>
        <w:pStyle w:val="Textonotapie"/>
        <w:ind w:firstLine="708"/>
        <w:contextualSpacing/>
        <w:rPr>
          <w:rFonts w:ascii="Verdana" w:hAnsi="Verdana"/>
          <w:sz w:val="16"/>
          <w:szCs w:val="16"/>
        </w:rPr>
      </w:pPr>
      <w:r w:rsidRPr="000A3E27">
        <w:rPr>
          <w:rStyle w:val="Refdenotaalpie"/>
          <w:rFonts w:ascii="Verdana" w:hAnsi="Verdana"/>
          <w:sz w:val="16"/>
          <w:szCs w:val="16"/>
        </w:rPr>
        <w:footnoteRef/>
      </w:r>
      <w:r w:rsidRPr="000A3E27">
        <w:rPr>
          <w:rFonts w:ascii="Verdana" w:hAnsi="Verdana"/>
          <w:sz w:val="16"/>
          <w:szCs w:val="16"/>
        </w:rPr>
        <w:t xml:space="preserve"> </w:t>
      </w:r>
      <w:r w:rsidRPr="000A3E27">
        <w:rPr>
          <w:rFonts w:ascii="Verdana" w:hAnsi="Verdana"/>
          <w:sz w:val="16"/>
          <w:szCs w:val="16"/>
          <w:lang w:val="es-CO"/>
        </w:rPr>
        <w:t xml:space="preserve">Concepto 060361 del 19 de febrero de 2021, citado en el concepto </w:t>
      </w:r>
      <w:r w:rsidRPr="000A3E27">
        <w:rPr>
          <w:rFonts w:ascii="Verdana" w:hAnsi="Verdana"/>
          <w:sz w:val="16"/>
          <w:szCs w:val="16"/>
        </w:rPr>
        <w:t xml:space="preserve">220225937 de 2022 Secretaría Jurídica Distrital - Subsecretaría Jurídica Distrital. Disponible en: </w:t>
      </w:r>
      <w:hyperlink r:id="rId2" w:anchor="_edn1" w:history="1">
        <w:r w:rsidRPr="00451CF9">
          <w:rPr>
            <w:rStyle w:val="Hipervnculo"/>
            <w:rFonts w:ascii="Verdana" w:hAnsi="Verdana"/>
            <w:sz w:val="16"/>
            <w:szCs w:val="16"/>
          </w:rPr>
          <w:t>https://www.alcaldiabogota.gov.co/sisjur/normas/Norma1.jsp?i=125418&amp;dt=S#_edn1</w:t>
        </w:r>
      </w:hyperlink>
    </w:p>
  </w:footnote>
  <w:footnote w:id="3">
    <w:p w14:paraId="42D583C1" w14:textId="77777777" w:rsidR="00CD5DE0" w:rsidRPr="000A3E27" w:rsidRDefault="00CD5DE0" w:rsidP="00CD5DE0">
      <w:pPr>
        <w:pStyle w:val="Textonotapie"/>
        <w:ind w:firstLine="708"/>
        <w:contextualSpacing/>
        <w:rPr>
          <w:rFonts w:ascii="Verdana" w:hAnsi="Verdana"/>
          <w:sz w:val="16"/>
          <w:szCs w:val="16"/>
          <w:lang w:val="es-ES"/>
        </w:rPr>
      </w:pPr>
      <w:r w:rsidRPr="000A3E27">
        <w:rPr>
          <w:rStyle w:val="Refdenotaalpie"/>
          <w:rFonts w:ascii="Verdana" w:hAnsi="Verdana"/>
          <w:sz w:val="16"/>
          <w:szCs w:val="16"/>
        </w:rPr>
        <w:footnoteRef/>
      </w:r>
      <w:r w:rsidRPr="000A3E27">
        <w:rPr>
          <w:rFonts w:ascii="Verdana" w:hAnsi="Verdana"/>
          <w:sz w:val="16"/>
          <w:szCs w:val="16"/>
        </w:rPr>
        <w:t xml:space="preserve"> </w:t>
      </w:r>
      <w:r w:rsidRPr="000A3E27">
        <w:rPr>
          <w:rFonts w:ascii="Verdana" w:hAnsi="Verdana"/>
          <w:sz w:val="16"/>
          <w:szCs w:val="16"/>
          <w:lang w:val="es-ES"/>
        </w:rPr>
        <w:t xml:space="preserve">Ídem. </w:t>
      </w:r>
    </w:p>
  </w:footnote>
  <w:footnote w:id="4">
    <w:p w14:paraId="142C4B6C" w14:textId="77777777" w:rsidR="00CD5DE0" w:rsidRPr="000A2D9F" w:rsidRDefault="00CD5DE0" w:rsidP="00CD5DE0">
      <w:pPr>
        <w:pStyle w:val="Textoindependiente"/>
        <w:spacing w:after="0" w:line="240" w:lineRule="auto"/>
        <w:ind w:firstLine="708"/>
        <w:contextualSpacing/>
        <w:jc w:val="both"/>
        <w:rPr>
          <w:rFonts w:ascii="Verdana" w:hAnsi="Verdana"/>
          <w:sz w:val="16"/>
          <w:szCs w:val="16"/>
        </w:rPr>
      </w:pPr>
      <w:r w:rsidRPr="000A2D9F">
        <w:rPr>
          <w:rStyle w:val="Refdenotaalpie"/>
          <w:rFonts w:ascii="Verdana" w:hAnsi="Verdana"/>
          <w:sz w:val="16"/>
          <w:szCs w:val="16"/>
        </w:rPr>
        <w:footnoteRef/>
      </w:r>
      <w:r w:rsidRPr="000A2D9F">
        <w:rPr>
          <w:rFonts w:ascii="Verdana" w:hAnsi="Verdana"/>
          <w:sz w:val="16"/>
          <w:szCs w:val="16"/>
        </w:rPr>
        <w:t xml:space="preserve"> Corte Constitucional, Sentencia C-086 de 1995, MP. Dr. Vladimiro Naranjo Mesa.</w:t>
      </w:r>
    </w:p>
  </w:footnote>
  <w:footnote w:id="5">
    <w:p w14:paraId="02562C94" w14:textId="77777777" w:rsidR="00CD5DE0" w:rsidRPr="000A3E27" w:rsidRDefault="00CD5DE0" w:rsidP="00CD5DE0">
      <w:pPr>
        <w:pStyle w:val="Textonotapie"/>
        <w:ind w:firstLine="708"/>
        <w:contextualSpacing/>
        <w:rPr>
          <w:rFonts w:ascii="Verdana" w:hAnsi="Verdana"/>
          <w:sz w:val="16"/>
          <w:szCs w:val="16"/>
          <w:lang w:val="es-ES"/>
        </w:rPr>
      </w:pPr>
      <w:r w:rsidRPr="000A3E27">
        <w:rPr>
          <w:rStyle w:val="Refdenotaalpie"/>
          <w:rFonts w:ascii="Verdana" w:hAnsi="Verdana"/>
          <w:sz w:val="16"/>
          <w:szCs w:val="16"/>
        </w:rPr>
        <w:footnoteRef/>
      </w:r>
      <w:r w:rsidRPr="000A3E27">
        <w:rPr>
          <w:rFonts w:ascii="Verdana" w:hAnsi="Verdana"/>
          <w:sz w:val="16"/>
          <w:szCs w:val="16"/>
        </w:rPr>
        <w:t xml:space="preserve"> </w:t>
      </w:r>
      <w:r w:rsidRPr="000A3E27">
        <w:rPr>
          <w:rFonts w:ascii="Verdana" w:hAnsi="Verdana"/>
          <w:sz w:val="16"/>
          <w:szCs w:val="16"/>
          <w:lang w:val="es-ES"/>
        </w:rPr>
        <w:t xml:space="preserve">Citada en la Sentencia </w:t>
      </w:r>
      <w:r w:rsidRPr="000A3E27">
        <w:rPr>
          <w:rFonts w:ascii="Verdana" w:hAnsi="Verdana"/>
          <w:sz w:val="16"/>
          <w:szCs w:val="16"/>
          <w:lang w:val="es-CO"/>
        </w:rPr>
        <w:t>C-438 de 2017, M.P.</w:t>
      </w:r>
      <w:r w:rsidRPr="000A3E27">
        <w:rPr>
          <w:rFonts w:ascii="Verdana" w:hAnsi="Verdana"/>
          <w:color w:val="2D2D2D"/>
          <w:sz w:val="16"/>
          <w:szCs w:val="16"/>
          <w:shd w:val="clear" w:color="auto" w:fill="FFFFFF"/>
          <w:lang w:val="es-CO"/>
        </w:rPr>
        <w:t xml:space="preserve"> </w:t>
      </w:r>
      <w:r w:rsidRPr="000A3E27">
        <w:rPr>
          <w:rFonts w:ascii="Verdana" w:hAnsi="Verdana"/>
          <w:sz w:val="16"/>
          <w:szCs w:val="16"/>
          <w:lang w:val="es-CO"/>
        </w:rPr>
        <w:t>Gloria Stella Ortiz Delgado.</w:t>
      </w:r>
    </w:p>
  </w:footnote>
  <w:footnote w:id="6">
    <w:p w14:paraId="3EF8E20A" w14:textId="77777777" w:rsidR="00CD5DE0" w:rsidRPr="000A3E27" w:rsidRDefault="00CD5DE0" w:rsidP="00CD5DE0">
      <w:pPr>
        <w:pStyle w:val="Textonotapie"/>
        <w:ind w:firstLine="709"/>
        <w:contextualSpacing/>
        <w:jc w:val="both"/>
        <w:rPr>
          <w:rFonts w:ascii="Verdana" w:eastAsia="MS Mincho" w:hAnsi="Verdana" w:cs="Arial"/>
          <w:sz w:val="16"/>
          <w:szCs w:val="16"/>
          <w:lang w:val="es-ES_tradnl" w:eastAsia="es-CO"/>
        </w:rPr>
      </w:pPr>
      <w:r w:rsidRPr="000A3E27">
        <w:rPr>
          <w:rStyle w:val="Refdenotaalpie"/>
          <w:rFonts w:ascii="Verdana" w:hAnsi="Verdana" w:cs="Arial"/>
          <w:sz w:val="16"/>
          <w:szCs w:val="16"/>
        </w:rPr>
        <w:footnoteRef/>
      </w:r>
      <w:r w:rsidRPr="000A3E27">
        <w:rPr>
          <w:rFonts w:ascii="Verdana" w:hAnsi="Verdana" w:cs="Arial"/>
          <w:sz w:val="16"/>
          <w:szCs w:val="16"/>
        </w:rPr>
        <w:t xml:space="preserve"> Consejo de Estado. </w:t>
      </w:r>
      <w:r w:rsidRPr="000A3E27">
        <w:rPr>
          <w:rFonts w:ascii="Verdana" w:eastAsia="MS Mincho" w:hAnsi="Verdana" w:cs="Arial"/>
          <w:sz w:val="16"/>
          <w:szCs w:val="16"/>
          <w:lang w:val="es-ES_tradnl" w:eastAsia="es-CO"/>
        </w:rPr>
        <w:t>Sala de Consulta y Servicio Civil. Concepto del 4 de marzo de 1998. Radicado Nro. 1.074. CP.: Cesar Hoyos Salazar.</w:t>
      </w:r>
    </w:p>
    <w:p w14:paraId="6D045CEB" w14:textId="77777777" w:rsidR="00CD5DE0" w:rsidRPr="005E46B7" w:rsidRDefault="00CD5DE0" w:rsidP="00CD5DE0">
      <w:pPr>
        <w:pStyle w:val="Textonotapie"/>
        <w:ind w:firstLine="709"/>
        <w:contextualSpacing/>
        <w:jc w:val="both"/>
        <w:rPr>
          <w:rFonts w:ascii="Verdana" w:hAnsi="Verdana" w:cs="Arial"/>
          <w:sz w:val="15"/>
          <w:szCs w:val="15"/>
          <w:lang w:val="es-CO"/>
        </w:rPr>
      </w:pPr>
    </w:p>
  </w:footnote>
  <w:footnote w:id="7">
    <w:p w14:paraId="5B6D988F" w14:textId="77777777" w:rsidR="00CD5DE0" w:rsidRPr="006411BC" w:rsidRDefault="00CD5DE0" w:rsidP="00CD5DE0">
      <w:pPr>
        <w:pStyle w:val="Textonotapie"/>
        <w:ind w:firstLine="708"/>
        <w:contextualSpacing/>
        <w:jc w:val="both"/>
        <w:rPr>
          <w:rFonts w:ascii="Verdana" w:eastAsia="MS Mincho" w:hAnsi="Verdana" w:cs="Arial"/>
          <w:sz w:val="16"/>
          <w:szCs w:val="16"/>
          <w:lang w:val="es-ES_tradnl" w:eastAsia="es-CO"/>
        </w:rPr>
      </w:pPr>
      <w:r w:rsidRPr="006411BC">
        <w:rPr>
          <w:rStyle w:val="Refdenotaalpie"/>
          <w:rFonts w:ascii="Verdana" w:hAnsi="Verdana"/>
          <w:sz w:val="16"/>
          <w:szCs w:val="16"/>
        </w:rPr>
        <w:footnoteRef/>
      </w:r>
      <w:r w:rsidRPr="006411BC">
        <w:rPr>
          <w:rFonts w:ascii="Verdana" w:hAnsi="Verdana"/>
          <w:sz w:val="16"/>
          <w:szCs w:val="16"/>
        </w:rPr>
        <w:t xml:space="preserve"> </w:t>
      </w:r>
      <w:r w:rsidRPr="006411BC">
        <w:rPr>
          <w:rFonts w:ascii="Verdana" w:hAnsi="Verdana"/>
          <w:sz w:val="16"/>
          <w:szCs w:val="16"/>
          <w:lang w:val="es-ES"/>
        </w:rPr>
        <w:t>Consejo de Estado. Sala de Consulta y Servicio Civil. C</w:t>
      </w:r>
      <w:r w:rsidRPr="006411BC">
        <w:rPr>
          <w:rFonts w:ascii="Verdana" w:eastAsia="MS Mincho" w:hAnsi="Verdana" w:cs="Arial"/>
          <w:sz w:val="16"/>
          <w:szCs w:val="16"/>
          <w:lang w:val="es-ES_tradnl" w:eastAsia="es-CO"/>
        </w:rPr>
        <w:t>oncepto del 4 de marzo de 1998, Rad. No. 1074, C.P: Cesar Hoyos Salazar.</w:t>
      </w:r>
    </w:p>
    <w:p w14:paraId="16828317" w14:textId="77777777" w:rsidR="00CD5DE0" w:rsidRPr="006411BC" w:rsidRDefault="00CD5DE0" w:rsidP="00CD5DE0">
      <w:pPr>
        <w:pStyle w:val="Textonotapie"/>
        <w:ind w:firstLine="708"/>
        <w:contextualSpacing/>
        <w:jc w:val="both"/>
        <w:rPr>
          <w:rFonts w:ascii="Verdana" w:hAnsi="Verdana"/>
          <w:sz w:val="16"/>
          <w:szCs w:val="16"/>
          <w:lang w:val="es-ES"/>
        </w:rPr>
      </w:pPr>
    </w:p>
  </w:footnote>
  <w:footnote w:id="8">
    <w:p w14:paraId="27EBB45E" w14:textId="77777777" w:rsidR="00CD5DE0" w:rsidRPr="006411BC" w:rsidRDefault="00CD5DE0" w:rsidP="00CD5DE0">
      <w:pPr>
        <w:pStyle w:val="Textoindependiente"/>
        <w:spacing w:after="0" w:line="240" w:lineRule="auto"/>
        <w:ind w:firstLine="709"/>
        <w:contextualSpacing/>
        <w:jc w:val="both"/>
        <w:rPr>
          <w:rFonts w:ascii="Verdana" w:hAnsi="Verdana"/>
          <w:sz w:val="16"/>
          <w:szCs w:val="16"/>
        </w:rPr>
      </w:pPr>
      <w:r w:rsidRPr="006411BC">
        <w:rPr>
          <w:rStyle w:val="Refdenotaalpie"/>
          <w:rFonts w:ascii="Verdana" w:hAnsi="Verdana"/>
          <w:sz w:val="16"/>
          <w:szCs w:val="16"/>
        </w:rPr>
        <w:footnoteRef/>
      </w:r>
      <w:r w:rsidRPr="006411BC">
        <w:rPr>
          <w:rFonts w:ascii="Verdana" w:hAnsi="Verdana"/>
          <w:sz w:val="16"/>
          <w:szCs w:val="16"/>
        </w:rPr>
        <w:t xml:space="preserve"> El concepto citado</w:t>
      </w:r>
      <w:r w:rsidRPr="006411BC">
        <w:rPr>
          <w:rFonts w:ascii="Verdana" w:hAnsi="Verdana"/>
          <w:spacing w:val="-8"/>
          <w:sz w:val="16"/>
          <w:szCs w:val="16"/>
        </w:rPr>
        <w:t xml:space="preserve"> </w:t>
      </w:r>
      <w:r w:rsidRPr="006411BC">
        <w:rPr>
          <w:rFonts w:ascii="Verdana" w:hAnsi="Verdana"/>
          <w:sz w:val="16"/>
          <w:szCs w:val="16"/>
        </w:rPr>
        <w:t>afirmó: “No obstante, lo expresado por la Corte Constitucional, para la Sala la primera parte del texto del inciso 1º del numeral 5º del artículo 32 de la ley 80 de 1993, aunque declarado inexequible, sí indica que el espíritu de la ley era limitar la contratación de las entidades estatales a sólo dos figuras fiduciarias: la fiducia pública y el encargo fiduciario. Esta apreciación la refuerza el inciso 8º de la misma norma, por cuanto al expresar “La fiducia que se autoriza para el sector público en esta ley …”, y un poco más adelante, en la parte final “A la fiducia pública le será aplicables las normas del Código de Comercio sobre fiducia mercantil, en cuanto sean compatibles con lo dispuesto en esta ley”, indica en forma nítida que el contrato de fiducia a que se refiere es a la pública y no a la mercantil. Por consiguiente, no autorizó dicha ley la fiducia mercantil con aplicación de las normas de la ley 80, sino al revés, la fiducia pública con aplicación de las compatibles del Código de Comercio[...].</w:t>
      </w:r>
    </w:p>
    <w:p w14:paraId="187337AB" w14:textId="77777777" w:rsidR="00CD5DE0" w:rsidRPr="006411BC" w:rsidRDefault="00CD5DE0" w:rsidP="00CD5DE0">
      <w:pPr>
        <w:spacing w:after="0" w:line="240" w:lineRule="auto"/>
        <w:ind w:firstLine="709"/>
        <w:contextualSpacing/>
        <w:jc w:val="both"/>
        <w:rPr>
          <w:rFonts w:ascii="Verdana" w:hAnsi="Verdana" w:cs="Arial"/>
          <w:sz w:val="16"/>
          <w:szCs w:val="16"/>
        </w:rPr>
      </w:pPr>
      <w:r w:rsidRPr="006411BC">
        <w:rPr>
          <w:rFonts w:ascii="Verdana" w:hAnsi="Verdana" w:cs="Arial"/>
          <w:sz w:val="16"/>
          <w:szCs w:val="16"/>
        </w:rPr>
        <w:t>Sin embargo, para casos especiales la ley puede autorizar la celebración por entidades estatales de la fiducia mercantil. La propia ley 80 de 1993 en su artículo 41 parágrafo 2º inciso 2º consigna la posibilidad de constituir patrimonios autónomos para el desarrollo de procesos de titularización de activos e inversiones y para el pago de pasivos laborales.</w:t>
      </w:r>
    </w:p>
  </w:footnote>
  <w:footnote w:id="9">
    <w:p w14:paraId="172B5378"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42DECD8" w14:textId="77777777" w:rsidR="00CD5DE0" w:rsidRPr="00D71B7F" w:rsidRDefault="00CD5DE0" w:rsidP="00CD5DE0">
      <w:pPr>
        <w:pStyle w:val="Textonotapie"/>
        <w:ind w:firstLine="709"/>
        <w:jc w:val="both"/>
        <w:rPr>
          <w:rFonts w:ascii="Verdana" w:hAnsi="Verdana" w:cs="Arial"/>
          <w:sz w:val="16"/>
          <w:szCs w:val="16"/>
        </w:rPr>
      </w:pPr>
      <w:r w:rsidRPr="00D71B7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0E41AE6" w14:textId="77777777" w:rsidR="00CD5DE0" w:rsidRPr="00D71B7F" w:rsidRDefault="00CD5DE0" w:rsidP="00CD5DE0">
      <w:pPr>
        <w:pStyle w:val="Textonotapie"/>
        <w:ind w:firstLine="709"/>
        <w:jc w:val="both"/>
        <w:rPr>
          <w:rFonts w:ascii="Verdana" w:hAnsi="Verdana" w:cs="Arial"/>
          <w:sz w:val="16"/>
          <w:szCs w:val="16"/>
        </w:rPr>
      </w:pPr>
    </w:p>
  </w:footnote>
  <w:footnote w:id="10">
    <w:p w14:paraId="69E8A9EA"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Gaceta del Congreso de la República No. 71 del 2005.</w:t>
      </w:r>
    </w:p>
    <w:p w14:paraId="1DCB7756" w14:textId="77777777" w:rsidR="00CD5DE0" w:rsidRPr="00D71B7F" w:rsidRDefault="00CD5DE0" w:rsidP="00CD5DE0">
      <w:pPr>
        <w:pStyle w:val="Textonotapie"/>
        <w:ind w:firstLine="709"/>
        <w:jc w:val="both"/>
        <w:rPr>
          <w:rFonts w:ascii="Verdana" w:hAnsi="Verdana" w:cs="Arial"/>
          <w:sz w:val="16"/>
          <w:szCs w:val="16"/>
        </w:rPr>
      </w:pPr>
    </w:p>
  </w:footnote>
  <w:footnote w:id="11">
    <w:p w14:paraId="21ADE55A" w14:textId="77777777" w:rsidR="00CD5DE0" w:rsidRPr="00D71B7F" w:rsidRDefault="00CD5DE0" w:rsidP="00CD5DE0">
      <w:pPr>
        <w:pStyle w:val="Textonotapie"/>
        <w:tabs>
          <w:tab w:val="left" w:pos="8145"/>
        </w:tabs>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Corte Constitucional. Sentencia C- 1153 de 2005, M.P: Marco Gerardo Monroy Cabra.</w:t>
      </w:r>
      <w:r w:rsidRPr="00D71B7F">
        <w:rPr>
          <w:rFonts w:ascii="Verdana" w:hAnsi="Verdana" w:cs="Arial"/>
          <w:sz w:val="16"/>
          <w:szCs w:val="16"/>
          <w:lang w:val="pt-PT"/>
        </w:rPr>
        <w:tab/>
      </w:r>
    </w:p>
    <w:p w14:paraId="27446FA2" w14:textId="77777777" w:rsidR="00CD5DE0" w:rsidRPr="00D71B7F" w:rsidRDefault="00CD5DE0" w:rsidP="00CD5DE0">
      <w:pPr>
        <w:pStyle w:val="Textonotapie"/>
        <w:tabs>
          <w:tab w:val="left" w:pos="8145"/>
        </w:tabs>
        <w:ind w:firstLine="709"/>
        <w:jc w:val="both"/>
        <w:rPr>
          <w:rFonts w:ascii="Verdana" w:hAnsi="Verdana" w:cs="Arial"/>
          <w:sz w:val="16"/>
          <w:szCs w:val="16"/>
          <w:lang w:val="pt-PT"/>
        </w:rPr>
      </w:pPr>
    </w:p>
  </w:footnote>
  <w:footnote w:id="12">
    <w:p w14:paraId="077B6DB3" w14:textId="77777777" w:rsidR="00CD5DE0" w:rsidRPr="00D71B7F" w:rsidRDefault="00CD5DE0" w:rsidP="00CD5DE0">
      <w:pPr>
        <w:pStyle w:val="Textonotapie"/>
        <w:ind w:firstLine="709"/>
        <w:jc w:val="both"/>
        <w:rPr>
          <w:rFonts w:ascii="Verdana" w:hAnsi="Verdana" w:cs="Arial"/>
          <w:sz w:val="16"/>
          <w:szCs w:val="16"/>
          <w:lang w:val="pt-PT"/>
        </w:rPr>
      </w:pPr>
      <w:r w:rsidRPr="00D71B7F">
        <w:rPr>
          <w:rStyle w:val="Refdenotaalpie"/>
          <w:rFonts w:ascii="Verdana" w:hAnsi="Verdana" w:cs="Arial"/>
          <w:sz w:val="16"/>
          <w:szCs w:val="16"/>
        </w:rPr>
        <w:footnoteRef/>
      </w:r>
      <w:r w:rsidRPr="00D71B7F">
        <w:rPr>
          <w:rFonts w:ascii="Verdana" w:hAnsi="Verdana" w:cs="Arial"/>
          <w:sz w:val="16"/>
          <w:szCs w:val="16"/>
          <w:lang w:val="pt-PT"/>
        </w:rPr>
        <w:t xml:space="preserve"> </w:t>
      </w:r>
      <w:r w:rsidRPr="00D71B7F">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52C2952" w14:textId="77777777" w:rsidR="00CD5DE0" w:rsidRPr="00D71B7F" w:rsidRDefault="00CD5DE0" w:rsidP="00CD5DE0">
      <w:pPr>
        <w:pStyle w:val="Textonotapie"/>
        <w:ind w:firstLine="709"/>
        <w:jc w:val="both"/>
        <w:rPr>
          <w:rFonts w:ascii="Verdana" w:hAnsi="Verdana" w:cs="Arial"/>
          <w:sz w:val="16"/>
          <w:szCs w:val="16"/>
          <w:lang w:val="pt-PT"/>
        </w:rPr>
      </w:pPr>
    </w:p>
  </w:footnote>
  <w:footnote w:id="13">
    <w:p w14:paraId="2A39F898" w14:textId="77777777" w:rsidR="00CD5DE0" w:rsidRPr="00D71B7F" w:rsidRDefault="00CD5DE0" w:rsidP="00CD5DE0">
      <w:pPr>
        <w:pStyle w:val="Textonotapie"/>
        <w:ind w:firstLine="709"/>
        <w:jc w:val="both"/>
        <w:rPr>
          <w:rFonts w:ascii="Verdana" w:hAnsi="Verdana" w:cs="Arial"/>
          <w:sz w:val="16"/>
          <w:szCs w:val="16"/>
          <w:lang w:val="es-CO"/>
        </w:rPr>
      </w:pPr>
      <w:r w:rsidRPr="00D71B7F">
        <w:rPr>
          <w:rStyle w:val="Refdenotaalpie"/>
          <w:rFonts w:ascii="Verdana" w:hAnsi="Verdana" w:cs="Arial"/>
          <w:sz w:val="16"/>
          <w:szCs w:val="16"/>
        </w:rPr>
        <w:footnoteRef/>
      </w:r>
      <w:r w:rsidRPr="00D71B7F">
        <w:rPr>
          <w:rFonts w:ascii="Verdana" w:hAnsi="Verdana" w:cs="Arial"/>
          <w:sz w:val="16"/>
          <w:szCs w:val="16"/>
          <w:lang w:val="es-CO"/>
        </w:rPr>
        <w:t xml:space="preserve"> Consejo de Estado. Sala de lo Contencioso Administrativo. Sección Primera. Sentencia de 3 de marzo de 2005. Radicado: </w:t>
      </w:r>
      <w:r w:rsidRPr="00D71B7F">
        <w:rPr>
          <w:rFonts w:ascii="Verdana" w:hAnsi="Verdana" w:cs="Arial"/>
          <w:sz w:val="16"/>
          <w:szCs w:val="16"/>
          <w:lang w:val="es-ES"/>
        </w:rPr>
        <w:t xml:space="preserve">25001-23-15-000-2004-00823-01 (PI). </w:t>
      </w:r>
      <w:r w:rsidRPr="00D71B7F">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0D02B5D7" w14:textId="77777777" w:rsidR="00CD5DE0" w:rsidRPr="00D71B7F" w:rsidRDefault="00CD5DE0" w:rsidP="00CD5DE0">
      <w:pPr>
        <w:pStyle w:val="Textonotapie"/>
        <w:ind w:firstLine="709"/>
        <w:jc w:val="both"/>
        <w:rPr>
          <w:rFonts w:ascii="Verdana" w:hAnsi="Verdana" w:cs="Arial"/>
          <w:sz w:val="16"/>
          <w:szCs w:val="16"/>
          <w:lang w:val="es-CO"/>
        </w:rPr>
      </w:pPr>
    </w:p>
  </w:footnote>
  <w:footnote w:id="14">
    <w:p w14:paraId="3C06ABAF"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24 de julio de 2013. Radicado: </w:t>
      </w:r>
      <w:r w:rsidRPr="00D71B7F">
        <w:rPr>
          <w:rFonts w:ascii="Verdana" w:hAnsi="Verdana" w:cs="Arial"/>
          <w:sz w:val="16"/>
          <w:szCs w:val="16"/>
          <w:lang w:val="es-CO"/>
        </w:rPr>
        <w:t xml:space="preserve">11001-03-06-000-2013-00407-00 </w:t>
      </w:r>
      <w:r w:rsidRPr="00D71B7F">
        <w:rPr>
          <w:rFonts w:ascii="Verdana" w:hAnsi="Verdana" w:cs="Arial"/>
          <w:sz w:val="16"/>
          <w:szCs w:val="16"/>
        </w:rPr>
        <w:t xml:space="preserve">(2166). C.P. Álvaro Namén Vargas.  </w:t>
      </w:r>
    </w:p>
    <w:p w14:paraId="66F5235A" w14:textId="77777777" w:rsidR="00CD5DE0" w:rsidRPr="00D71B7F" w:rsidRDefault="00CD5DE0" w:rsidP="00CD5DE0">
      <w:pPr>
        <w:pStyle w:val="Textonotapie"/>
        <w:ind w:firstLine="709"/>
        <w:jc w:val="both"/>
        <w:rPr>
          <w:rFonts w:ascii="Verdana" w:hAnsi="Verdana" w:cs="Arial"/>
          <w:sz w:val="16"/>
          <w:szCs w:val="16"/>
        </w:rPr>
      </w:pPr>
    </w:p>
  </w:footnote>
  <w:footnote w:id="15">
    <w:p w14:paraId="655A182C" w14:textId="77777777" w:rsidR="00CD5DE0" w:rsidRPr="00D71B7F" w:rsidRDefault="00CD5DE0" w:rsidP="00CD5DE0">
      <w:pPr>
        <w:spacing w:after="0" w:line="240" w:lineRule="auto"/>
        <w:ind w:firstLine="709"/>
        <w:jc w:val="both"/>
        <w:rPr>
          <w:rFonts w:ascii="Verdana" w:eastAsia="Times New Roman"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5" w:name="33"/>
      <w:r w:rsidRPr="00D71B7F">
        <w:rPr>
          <w:rFonts w:ascii="Verdana" w:eastAsia="Calibri" w:hAnsi="Verdana" w:cs="Arial"/>
          <w:color w:val="000000"/>
          <w:sz w:val="16"/>
          <w:szCs w:val="16"/>
        </w:rPr>
        <w:t>“</w:t>
      </w:r>
      <w:r w:rsidRPr="00D71B7F">
        <w:rPr>
          <w:rFonts w:ascii="Verdana" w:eastAsia="Times New Roman" w:hAnsi="Verdana" w:cs="Arial"/>
          <w:sz w:val="16"/>
          <w:szCs w:val="16"/>
        </w:rPr>
        <w:t>Artículo 33. Restricciones a la contratación pública.</w:t>
      </w:r>
      <w:bookmarkEnd w:id="5"/>
      <w:r w:rsidRPr="00D71B7F">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C5E4014" w14:textId="77777777" w:rsidR="00CD5DE0" w:rsidRPr="00D71B7F" w:rsidRDefault="00CD5DE0" w:rsidP="00CD5DE0">
      <w:pPr>
        <w:spacing w:after="0" w:line="240" w:lineRule="auto"/>
        <w:ind w:firstLine="709"/>
        <w:jc w:val="both"/>
        <w:rPr>
          <w:rFonts w:ascii="Verdana" w:eastAsia="Times New Roman" w:hAnsi="Verdana" w:cs="Arial"/>
          <w:sz w:val="16"/>
          <w:szCs w:val="16"/>
        </w:rPr>
      </w:pPr>
      <w:r w:rsidRPr="00D71B7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6CD0EEA" w14:textId="77777777" w:rsidR="00CD5DE0" w:rsidRPr="00D71B7F" w:rsidRDefault="00CD5DE0" w:rsidP="00CD5DE0">
      <w:pPr>
        <w:spacing w:after="0" w:line="240" w:lineRule="auto"/>
        <w:ind w:firstLine="709"/>
        <w:jc w:val="both"/>
        <w:rPr>
          <w:rFonts w:ascii="Verdana" w:eastAsia="Times New Roman" w:hAnsi="Verdana" w:cs="Arial"/>
          <w:sz w:val="16"/>
          <w:szCs w:val="16"/>
        </w:rPr>
      </w:pPr>
    </w:p>
  </w:footnote>
  <w:footnote w:id="16">
    <w:p w14:paraId="13C20412" w14:textId="77777777" w:rsidR="00CD5DE0" w:rsidRPr="00D71B7F" w:rsidRDefault="00CD5DE0" w:rsidP="00CD5DE0">
      <w:pPr>
        <w:pStyle w:val="NormalWeb"/>
        <w:spacing w:before="0" w:beforeAutospacing="0" w:after="0" w:afterAutospacing="0"/>
        <w:ind w:firstLine="709"/>
        <w:jc w:val="both"/>
        <w:rPr>
          <w:rFonts w:ascii="Verdana" w:hAnsi="Verdana" w:cs="Arial"/>
          <w:sz w:val="16"/>
          <w:szCs w:val="16"/>
          <w:lang w:val="es-MX"/>
        </w:rPr>
      </w:pPr>
      <w:r w:rsidRPr="00D71B7F">
        <w:rPr>
          <w:rStyle w:val="Refdenotaalpie"/>
          <w:rFonts w:ascii="Verdana" w:eastAsiaTheme="majorEastAsia" w:hAnsi="Verdana" w:cs="Arial"/>
          <w:sz w:val="16"/>
          <w:szCs w:val="16"/>
        </w:rPr>
        <w:footnoteRef/>
      </w:r>
      <w:r w:rsidRPr="00D71B7F">
        <w:rPr>
          <w:rFonts w:ascii="Verdana" w:hAnsi="Verdana" w:cs="Arial"/>
          <w:sz w:val="16"/>
          <w:szCs w:val="16"/>
        </w:rPr>
        <w:t xml:space="preserve"> </w:t>
      </w:r>
      <w:bookmarkStart w:id="6" w:name="38"/>
      <w:r w:rsidRPr="00D71B7F">
        <w:rPr>
          <w:rFonts w:ascii="Verdana" w:eastAsia="Calibri" w:hAnsi="Verdana" w:cs="Arial"/>
          <w:color w:val="000000"/>
          <w:sz w:val="16"/>
          <w:szCs w:val="16"/>
        </w:rPr>
        <w:t>“</w:t>
      </w:r>
      <w:r w:rsidRPr="00D71B7F">
        <w:rPr>
          <w:rFonts w:ascii="Verdana" w:hAnsi="Verdana" w:cs="Arial"/>
          <w:sz w:val="16"/>
          <w:szCs w:val="16"/>
          <w:lang w:val="es-MX"/>
        </w:rPr>
        <w:t>Artículo 38. Prohibiciones para los servidores públicos. A los empleados del Estado les está prohibido:</w:t>
      </w:r>
      <w:bookmarkEnd w:id="6"/>
    </w:p>
    <w:p w14:paraId="1522F0F2" w14:textId="77777777" w:rsidR="00CD5DE0" w:rsidRPr="00D71B7F" w:rsidRDefault="00CD5DE0" w:rsidP="00CD5DE0">
      <w:pPr>
        <w:pStyle w:val="NormalWeb"/>
        <w:spacing w:before="0" w:beforeAutospacing="0" w:after="0" w:afterAutospacing="0"/>
        <w:ind w:firstLine="709"/>
        <w:jc w:val="both"/>
        <w:rPr>
          <w:rFonts w:ascii="Verdana" w:hAnsi="Verdana" w:cs="Arial"/>
          <w:sz w:val="16"/>
          <w:szCs w:val="16"/>
          <w:lang w:val="es-MX"/>
        </w:rPr>
      </w:pPr>
      <w:r w:rsidRPr="00D71B7F">
        <w:rPr>
          <w:rFonts w:ascii="Verdana" w:hAnsi="Verdana" w:cs="Arial"/>
          <w:sz w:val="16"/>
          <w:szCs w:val="16"/>
          <w:lang w:val="es-MX"/>
        </w:rPr>
        <w:t>(…)</w:t>
      </w:r>
    </w:p>
    <w:p w14:paraId="7882358C" w14:textId="77777777" w:rsidR="00CD5DE0" w:rsidRPr="00D71B7F" w:rsidRDefault="00CD5DE0" w:rsidP="00CD5DE0">
      <w:pPr>
        <w:pStyle w:val="NormalWeb"/>
        <w:spacing w:before="0" w:beforeAutospacing="0" w:after="0" w:afterAutospacing="0"/>
        <w:ind w:firstLine="709"/>
        <w:jc w:val="both"/>
        <w:rPr>
          <w:rFonts w:ascii="Verdana" w:eastAsia="Calibri" w:hAnsi="Verdana" w:cs="Arial"/>
          <w:color w:val="000000"/>
          <w:sz w:val="16"/>
          <w:szCs w:val="16"/>
        </w:rPr>
      </w:pPr>
      <w:r w:rsidRPr="00D71B7F">
        <w:rPr>
          <w:rStyle w:val="baj"/>
          <w:rFonts w:ascii="Verdana" w:hAnsi="Verdana" w:cs="Arial"/>
          <w:sz w:val="16"/>
          <w:szCs w:val="16"/>
          <w:lang w:val="es-MX"/>
        </w:rPr>
        <w:t>Parágrafo.</w:t>
      </w:r>
      <w:r w:rsidRPr="00D71B7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71B7F">
        <w:rPr>
          <w:rFonts w:ascii="Verdana" w:eastAsia="Calibri" w:hAnsi="Verdana" w:cs="Arial"/>
          <w:color w:val="000000"/>
          <w:sz w:val="16"/>
          <w:szCs w:val="16"/>
        </w:rPr>
        <w:t>”.</w:t>
      </w:r>
    </w:p>
    <w:p w14:paraId="364D408F" w14:textId="77777777" w:rsidR="00CD5DE0" w:rsidRPr="00D71B7F" w:rsidRDefault="00CD5DE0" w:rsidP="00CD5DE0">
      <w:pPr>
        <w:pStyle w:val="NormalWeb"/>
        <w:spacing w:before="0" w:beforeAutospacing="0" w:after="0" w:afterAutospacing="0"/>
        <w:ind w:firstLine="709"/>
        <w:jc w:val="both"/>
        <w:rPr>
          <w:rFonts w:ascii="Verdana" w:hAnsi="Verdana" w:cs="Arial"/>
          <w:sz w:val="16"/>
          <w:szCs w:val="16"/>
          <w:lang w:val="es-MX"/>
        </w:rPr>
      </w:pPr>
    </w:p>
  </w:footnote>
  <w:footnote w:id="17">
    <w:p w14:paraId="4CB27BCD" w14:textId="77777777" w:rsidR="00CD5DE0" w:rsidRDefault="00CD5DE0" w:rsidP="00CD5DE0">
      <w:pPr>
        <w:pStyle w:val="Textonotapie"/>
        <w:ind w:firstLine="708"/>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Colombia Compra Eficiente. Circular Externa Única. Numeral 16.5. </w:t>
      </w:r>
    </w:p>
    <w:p w14:paraId="764436BE" w14:textId="77777777" w:rsidR="00CD5DE0" w:rsidRPr="004674CF" w:rsidRDefault="00CD5DE0" w:rsidP="00CD5DE0">
      <w:pPr>
        <w:pStyle w:val="Textonotapie"/>
        <w:ind w:firstLine="708"/>
        <w:jc w:val="both"/>
        <w:rPr>
          <w:rFonts w:ascii="Verdana" w:hAnsi="Verdana" w:cs="Arial"/>
          <w:sz w:val="16"/>
          <w:szCs w:val="16"/>
        </w:rPr>
      </w:pPr>
    </w:p>
  </w:footnote>
  <w:footnote w:id="18">
    <w:p w14:paraId="31F51DF8" w14:textId="77777777" w:rsidR="00CD5DE0" w:rsidRPr="00D71B7F" w:rsidRDefault="00CD5DE0" w:rsidP="00CD5DE0">
      <w:pPr>
        <w:tabs>
          <w:tab w:val="left" w:pos="2127"/>
        </w:tabs>
        <w:spacing w:after="0" w:line="240" w:lineRule="auto"/>
        <w:ind w:left="100" w:right="244"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17 de febrero de 2015. Radicado: 11001-03-06-000-2015-00164-00 (2269). C.P. William Zambrano Cetina.</w:t>
      </w:r>
    </w:p>
    <w:p w14:paraId="238B922E" w14:textId="77777777" w:rsidR="00CD5DE0" w:rsidRPr="00D71B7F" w:rsidRDefault="00CD5DE0" w:rsidP="00CD5DE0">
      <w:pPr>
        <w:spacing w:after="0" w:line="240" w:lineRule="auto"/>
        <w:ind w:left="100" w:right="244" w:firstLine="709"/>
        <w:jc w:val="both"/>
        <w:rPr>
          <w:rFonts w:ascii="Verdana" w:hAnsi="Verdana" w:cs="Arial"/>
          <w:sz w:val="16"/>
          <w:szCs w:val="16"/>
          <w:lang w:val="es-ES"/>
        </w:rPr>
      </w:pPr>
    </w:p>
  </w:footnote>
  <w:footnote w:id="19">
    <w:p w14:paraId="3C73B572"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[25] </w:t>
      </w:r>
      <w:r w:rsidRPr="00D71B7F">
        <w:rPr>
          <w:rFonts w:ascii="Verdana" w:hAnsi="Verdana" w:cs="Arial"/>
          <w:sz w:val="16"/>
          <w:szCs w:val="16"/>
        </w:rPr>
        <w:t>Cfr. Consejo de Estado. Sección Tercera. Sentencia de 3 de diciembre de 2007. Radicados: 24.715, 25.206, 25.409, 24.524, 27.834, 25.410, 26.105, 28.244, 31.447 -acumulados-“.</w:t>
      </w:r>
    </w:p>
    <w:p w14:paraId="3E049BDF" w14:textId="77777777" w:rsidR="00CD5DE0" w:rsidRPr="00D71B7F" w:rsidRDefault="00CD5DE0" w:rsidP="00CD5DE0">
      <w:pPr>
        <w:pStyle w:val="Textonotapie"/>
        <w:ind w:firstLine="709"/>
        <w:jc w:val="both"/>
        <w:rPr>
          <w:rFonts w:ascii="Verdana" w:hAnsi="Verdana" w:cs="Arial"/>
          <w:sz w:val="16"/>
          <w:szCs w:val="16"/>
        </w:rPr>
      </w:pPr>
    </w:p>
  </w:footnote>
  <w:footnote w:id="20">
    <w:p w14:paraId="51DCA276"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w:t>
      </w:r>
      <w:bookmarkStart w:id="14" w:name="_Hlk74294506"/>
      <w:r w:rsidRPr="00D71B7F">
        <w:rPr>
          <w:rFonts w:ascii="Verdana" w:hAnsi="Verdana" w:cs="Arial"/>
          <w:sz w:val="16"/>
          <w:szCs w:val="16"/>
        </w:rPr>
        <w:t>“</w:t>
      </w:r>
      <w:r w:rsidRPr="00D71B7F">
        <w:rPr>
          <w:rFonts w:ascii="Verdana" w:hAnsi="Verdana" w:cs="Arial"/>
          <w:sz w:val="16"/>
          <w:szCs w:val="16"/>
          <w:lang w:val="es-ES"/>
        </w:rPr>
        <w:t xml:space="preserve">[26] </w:t>
      </w:r>
      <w:bookmarkEnd w:id="14"/>
      <w:r w:rsidRPr="00D71B7F">
        <w:rPr>
          <w:rFonts w:ascii="Verdana" w:hAnsi="Verdana" w:cs="Arial"/>
          <w:sz w:val="16"/>
          <w:szCs w:val="16"/>
        </w:rPr>
        <w:t>Al respecto ver el concepto 1712 de 2 de febrero de 2006. Consejo de Estado Sala de Consulta y Servicio Civil”.</w:t>
      </w:r>
    </w:p>
    <w:p w14:paraId="18516AA7" w14:textId="77777777" w:rsidR="00CD5DE0" w:rsidRPr="00D71B7F" w:rsidRDefault="00CD5DE0" w:rsidP="00CD5DE0">
      <w:pPr>
        <w:pStyle w:val="Textonotapie"/>
        <w:ind w:firstLine="709"/>
        <w:jc w:val="both"/>
        <w:rPr>
          <w:rFonts w:ascii="Verdana" w:hAnsi="Verdana" w:cs="Arial"/>
          <w:sz w:val="16"/>
          <w:szCs w:val="16"/>
        </w:rPr>
      </w:pPr>
    </w:p>
  </w:footnote>
  <w:footnote w:id="21">
    <w:p w14:paraId="06753DB9"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2 de septiembre de 2013. Radicación número: 11001-03-06-000-2013-00412-00 (2168). C.P: Álvaro Namén Vargas.</w:t>
      </w:r>
    </w:p>
    <w:p w14:paraId="5ACD8665" w14:textId="77777777" w:rsidR="00CD5DE0" w:rsidRPr="00D71B7F" w:rsidRDefault="00CD5DE0" w:rsidP="00CD5DE0">
      <w:pPr>
        <w:pStyle w:val="Textonotapie"/>
        <w:ind w:firstLine="709"/>
        <w:jc w:val="both"/>
        <w:rPr>
          <w:rFonts w:ascii="Verdana" w:hAnsi="Verdana" w:cs="Arial"/>
          <w:sz w:val="16"/>
          <w:szCs w:val="16"/>
        </w:rPr>
      </w:pPr>
    </w:p>
  </w:footnote>
  <w:footnote w:id="22">
    <w:p w14:paraId="19A9C6A2" w14:textId="77777777" w:rsidR="00CD5DE0" w:rsidRPr="00D71B7F" w:rsidRDefault="00CD5DE0" w:rsidP="00CD5DE0">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sz w:val="16"/>
          <w:szCs w:val="16"/>
          <w:lang w:val="es-ES"/>
        </w:rPr>
        <w:t xml:space="preserve">Artículo 2. </w:t>
      </w:r>
    </w:p>
    <w:p w14:paraId="2135E495" w14:textId="77777777" w:rsidR="00CD5DE0" w:rsidRPr="00D71B7F" w:rsidRDefault="00CD5DE0" w:rsidP="00CD5DE0">
      <w:pPr>
        <w:pStyle w:val="Textonotapie"/>
        <w:ind w:firstLine="709"/>
        <w:rPr>
          <w:rFonts w:ascii="Verdana" w:hAnsi="Verdana" w:cs="Arial"/>
          <w:sz w:val="16"/>
          <w:szCs w:val="16"/>
          <w:lang w:val="es-ES"/>
        </w:rPr>
      </w:pPr>
    </w:p>
  </w:footnote>
  <w:footnote w:id="23">
    <w:p w14:paraId="2B8EF6A8" w14:textId="77777777" w:rsidR="00CD5DE0" w:rsidRPr="00D71B7F" w:rsidRDefault="00CD5DE0" w:rsidP="00CD5DE0">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Fonts w:ascii="Verdana" w:hAnsi="Verdana" w:cs="Arial"/>
          <w:sz w:val="16"/>
          <w:szCs w:val="16"/>
        </w:rPr>
        <w:t xml:space="preserve"> </w:t>
      </w:r>
      <w:r w:rsidRPr="00D71B7F">
        <w:rPr>
          <w:rFonts w:ascii="Verdana" w:hAnsi="Verdana" w:cs="Arial"/>
          <w:i/>
          <w:sz w:val="16"/>
          <w:szCs w:val="16"/>
          <w:lang w:val="es-ES"/>
        </w:rPr>
        <w:t>Ídem</w:t>
      </w:r>
      <w:r w:rsidRPr="00D71B7F">
        <w:rPr>
          <w:rFonts w:ascii="Verdana" w:hAnsi="Verdana" w:cs="Arial"/>
          <w:sz w:val="16"/>
          <w:szCs w:val="16"/>
          <w:lang w:val="es-ES"/>
        </w:rPr>
        <w:t>.</w:t>
      </w:r>
    </w:p>
    <w:p w14:paraId="26994C4C" w14:textId="77777777" w:rsidR="00CD5DE0" w:rsidRPr="00D71B7F" w:rsidRDefault="00CD5DE0" w:rsidP="00CD5DE0">
      <w:pPr>
        <w:pStyle w:val="Textonotapie"/>
        <w:ind w:firstLine="709"/>
        <w:rPr>
          <w:rFonts w:ascii="Verdana" w:hAnsi="Verdana" w:cs="Arial"/>
          <w:sz w:val="16"/>
          <w:szCs w:val="16"/>
          <w:lang w:val="es-ES"/>
        </w:rPr>
      </w:pPr>
    </w:p>
  </w:footnote>
  <w:footnote w:id="24">
    <w:p w14:paraId="6210BB1A" w14:textId="77777777" w:rsidR="00CD5DE0" w:rsidRPr="00D71B7F" w:rsidRDefault="00CD5DE0" w:rsidP="00CD5DE0">
      <w:pPr>
        <w:pStyle w:val="Textonotapie"/>
        <w:ind w:firstLine="709"/>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 xml:space="preserve">[…] A este respecto, cabe recordar que el artículo 860 del Código de Comercio regula la licitación en el derecho privado. </w:t>
      </w:r>
    </w:p>
    <w:p w14:paraId="36E6B6D4" w14:textId="77777777" w:rsidR="00CD5DE0" w:rsidRPr="00D71B7F" w:rsidRDefault="00CD5DE0" w:rsidP="00CD5DE0">
      <w:pPr>
        <w:pStyle w:val="Textonotapie"/>
        <w:ind w:firstLine="709"/>
        <w:rPr>
          <w:rFonts w:ascii="Verdana" w:hAnsi="Verdana" w:cs="Arial"/>
          <w:sz w:val="16"/>
          <w:szCs w:val="16"/>
          <w:lang w:val="es-ES"/>
        </w:rPr>
      </w:pPr>
    </w:p>
  </w:footnote>
  <w:footnote w:id="25">
    <w:p w14:paraId="4C00A973" w14:textId="77777777" w:rsidR="00CD5DE0" w:rsidRPr="00D71B7F" w:rsidRDefault="00CD5DE0" w:rsidP="00CD5DE0">
      <w:pPr>
        <w:shd w:val="clear" w:color="auto" w:fill="FFFFFF"/>
        <w:spacing w:after="0" w:line="240" w:lineRule="auto"/>
        <w:ind w:firstLine="709"/>
        <w:jc w:val="both"/>
        <w:rPr>
          <w:rFonts w:ascii="Verdana" w:hAnsi="Verdana" w:cs="Arial"/>
          <w:sz w:val="16"/>
          <w:szCs w:val="16"/>
          <w:lang w:val="es-ES"/>
        </w:rPr>
      </w:pPr>
      <w:r w:rsidRPr="00D71B7F">
        <w:rPr>
          <w:rStyle w:val="Refdenotaalpie"/>
          <w:rFonts w:ascii="Verdana" w:hAnsi="Verdana" w:cs="Arial"/>
          <w:sz w:val="16"/>
          <w:szCs w:val="16"/>
        </w:rPr>
        <w:footnoteRef/>
      </w:r>
      <w:r w:rsidRPr="00D71B7F">
        <w:rPr>
          <w:rStyle w:val="Refdenotaalpie"/>
          <w:rFonts w:ascii="Verdana" w:hAnsi="Verdana" w:cs="Arial"/>
          <w:sz w:val="16"/>
          <w:szCs w:val="16"/>
        </w:rPr>
        <w:t xml:space="preserve"> </w:t>
      </w:r>
      <w:r w:rsidRPr="00D71B7F">
        <w:rPr>
          <w:rFonts w:ascii="Verdana" w:hAnsi="Verdana" w:cs="Arial"/>
          <w:sz w:val="16"/>
          <w:szCs w:val="16"/>
          <w:lang w:val="es-ES"/>
        </w:rPr>
        <w:t>Consejo de Estado. Sala de Consulta y Servicio Civil, Concepto de 8 de mayo de 2018. Radicación Número: 11001-03-06-000-2018-00095-00 (2382). C.P: Álvaro Namén Vargas.</w:t>
      </w:r>
    </w:p>
    <w:p w14:paraId="507170BA" w14:textId="77777777" w:rsidR="00CD5DE0" w:rsidRPr="00D71B7F" w:rsidRDefault="00CD5DE0" w:rsidP="00CD5DE0">
      <w:pPr>
        <w:shd w:val="clear" w:color="auto" w:fill="FFFFFF"/>
        <w:spacing w:after="0" w:line="240" w:lineRule="auto"/>
        <w:ind w:firstLine="709"/>
        <w:jc w:val="both"/>
        <w:rPr>
          <w:rFonts w:ascii="Verdana" w:hAnsi="Verdana" w:cs="Arial"/>
          <w:sz w:val="16"/>
          <w:szCs w:val="16"/>
          <w:lang w:val="es-ES"/>
        </w:rPr>
      </w:pPr>
    </w:p>
  </w:footnote>
  <w:footnote w:id="26">
    <w:p w14:paraId="2AFE6225"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08 de mayo de 2018. Exp. 2.382. C.P. Álvaro Namén Vargas.</w:t>
      </w:r>
    </w:p>
    <w:p w14:paraId="7C07DF5C" w14:textId="77777777" w:rsidR="00CD5DE0" w:rsidRPr="00D71B7F" w:rsidRDefault="00CD5DE0" w:rsidP="00CD5DE0">
      <w:pPr>
        <w:pStyle w:val="Textonotapie"/>
        <w:ind w:firstLine="709"/>
        <w:jc w:val="both"/>
        <w:rPr>
          <w:rFonts w:ascii="Verdana" w:hAnsi="Verdana" w:cs="Arial"/>
          <w:sz w:val="16"/>
          <w:szCs w:val="16"/>
        </w:rPr>
      </w:pPr>
    </w:p>
  </w:footnote>
  <w:footnote w:id="27">
    <w:p w14:paraId="5510B5EC" w14:textId="77777777" w:rsidR="00CD5DE0" w:rsidRPr="00D71B7F" w:rsidRDefault="00CD5DE0" w:rsidP="00CD5DE0">
      <w:pPr>
        <w:pStyle w:val="Textonotapie"/>
        <w:ind w:firstLine="709"/>
        <w:jc w:val="both"/>
        <w:rPr>
          <w:rFonts w:ascii="Verdana" w:hAnsi="Verdana"/>
          <w:sz w:val="16"/>
          <w:szCs w:val="16"/>
          <w:lang w:val="es-ES"/>
        </w:rPr>
      </w:pPr>
      <w:r w:rsidRPr="00D71B7F">
        <w:rPr>
          <w:rStyle w:val="Refdenotaalpie"/>
          <w:rFonts w:ascii="Verdana" w:hAnsi="Verdana"/>
          <w:sz w:val="16"/>
          <w:szCs w:val="16"/>
        </w:rPr>
        <w:footnoteRef/>
      </w:r>
      <w:r w:rsidRPr="00D71B7F">
        <w:rPr>
          <w:rFonts w:ascii="Verdana" w:hAnsi="Verdana"/>
          <w:sz w:val="16"/>
          <w:szCs w:val="16"/>
        </w:rPr>
        <w:t xml:space="preserve"> </w:t>
      </w:r>
      <w:r w:rsidRPr="00D71B7F">
        <w:rPr>
          <w:rFonts w:ascii="Verdana" w:hAnsi="Verdana"/>
          <w:sz w:val="16"/>
          <w:szCs w:val="16"/>
          <w:lang w:val="es-ES"/>
        </w:rPr>
        <w:t xml:space="preserve">Agencia Nacional de Contratación Pública. Circular Externa 006 del 25 de septiembre de 2025. Disponible en </w:t>
      </w:r>
      <w:hyperlink r:id="rId3" w:history="1">
        <w:r w:rsidRPr="00D71B7F">
          <w:rPr>
            <w:rStyle w:val="Hipervnculo"/>
            <w:rFonts w:ascii="Verdana" w:hAnsi="Verdana"/>
            <w:sz w:val="16"/>
            <w:szCs w:val="16"/>
            <w:lang w:val="es-CO"/>
          </w:rPr>
          <w:t>006-de-2025-Circular-Externa-L996-ajustado-comentarios-BM-BID-Rev-ARSC-V3.d-1.pdf</w:t>
        </w:r>
      </w:hyperlink>
    </w:p>
    <w:p w14:paraId="7D1FEEFB" w14:textId="77777777" w:rsidR="00CD5DE0" w:rsidRPr="00D71B7F" w:rsidRDefault="00CD5DE0" w:rsidP="00CD5DE0">
      <w:pPr>
        <w:pStyle w:val="Textonotapie"/>
        <w:rPr>
          <w:rFonts w:ascii="Verdana" w:hAnsi="Verdana"/>
          <w:sz w:val="16"/>
          <w:szCs w:val="16"/>
          <w:lang w:val="es-ES"/>
        </w:rPr>
      </w:pPr>
    </w:p>
  </w:footnote>
  <w:footnote w:id="28">
    <w:p w14:paraId="4D2001A1" w14:textId="77777777" w:rsidR="00CD5DE0" w:rsidRPr="00D71B7F" w:rsidRDefault="00CD5DE0" w:rsidP="00CD5DE0">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5FEB4D6F" w14:textId="77777777" w:rsidR="00CD5DE0" w:rsidRPr="00D71B7F" w:rsidRDefault="00CD5DE0" w:rsidP="00CD5DE0">
      <w:pPr>
        <w:spacing w:after="0" w:line="240" w:lineRule="auto"/>
        <w:ind w:firstLine="709"/>
        <w:jc w:val="both"/>
        <w:rPr>
          <w:rFonts w:ascii="Verdana" w:hAnsi="Verdana" w:cs="Arial"/>
          <w:color w:val="000000" w:themeColor="text1"/>
          <w:sz w:val="16"/>
          <w:szCs w:val="16"/>
        </w:rPr>
      </w:pPr>
    </w:p>
  </w:footnote>
  <w:footnote w:id="29">
    <w:p w14:paraId="61069442" w14:textId="77777777" w:rsidR="00CD5DE0" w:rsidRPr="00D71B7F" w:rsidRDefault="00CD5DE0" w:rsidP="00CD5DE0">
      <w:pPr>
        <w:pStyle w:val="Textonotapie"/>
        <w:ind w:firstLine="709"/>
        <w:jc w:val="both"/>
        <w:rPr>
          <w:rFonts w:ascii="Verdana" w:eastAsia="Times New Roman" w:hAnsi="Verdana" w:cs="Arial"/>
          <w:color w:val="000000" w:themeColor="text1"/>
          <w:sz w:val="16"/>
          <w:szCs w:val="16"/>
          <w:lang w:eastAsia="x-none"/>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D71B7F">
        <w:rPr>
          <w:rFonts w:ascii="Verdana" w:eastAsia="Times New Roman" w:hAnsi="Verdana" w:cs="Arial"/>
          <w:color w:val="000000" w:themeColor="text1"/>
          <w:sz w:val="16"/>
          <w:szCs w:val="16"/>
          <w:lang w:eastAsia="x-none"/>
        </w:rPr>
        <w:t xml:space="preserve"> </w:t>
      </w:r>
      <w:bookmarkStart w:id="18" w:name="_Hlk97890572"/>
      <w:r w:rsidRPr="00D71B7F">
        <w:rPr>
          <w:rFonts w:ascii="Verdana" w:eastAsia="Times New Roman" w:hAnsi="Verdana" w:cs="Arial"/>
          <w:color w:val="000000" w:themeColor="text1"/>
          <w:sz w:val="16"/>
          <w:szCs w:val="16"/>
          <w:lang w:eastAsia="x-none"/>
        </w:rPr>
        <w:t>“</w:t>
      </w:r>
      <w:r w:rsidRPr="00D71B7F">
        <w:rPr>
          <w:rFonts w:ascii="Verdana" w:hAnsi="Verdana" w:cs="Arial"/>
          <w:color w:val="000000" w:themeColor="text1"/>
          <w:sz w:val="16"/>
          <w:szCs w:val="16"/>
        </w:rPr>
        <w:t xml:space="preserve">Si bien en el tema del concepto del que se extractaron </w:t>
      </w:r>
      <w:bookmarkEnd w:id="18"/>
      <w:r w:rsidRPr="00D71B7F">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D71B7F">
        <w:rPr>
          <w:rFonts w:ascii="Verdana" w:eastAsia="Times New Roman" w:hAnsi="Verdana" w:cs="Arial"/>
          <w:color w:val="000000" w:themeColor="text1"/>
          <w:sz w:val="16"/>
          <w:szCs w:val="16"/>
          <w:lang w:eastAsia="x-none"/>
        </w:rPr>
        <w:t>”.</w:t>
      </w:r>
    </w:p>
    <w:p w14:paraId="54728842" w14:textId="77777777" w:rsidR="00CD5DE0" w:rsidRPr="00D71B7F" w:rsidRDefault="00CD5DE0" w:rsidP="00CD5DE0">
      <w:pPr>
        <w:pStyle w:val="Textonotapie"/>
        <w:ind w:firstLine="709"/>
        <w:jc w:val="both"/>
        <w:rPr>
          <w:rFonts w:ascii="Verdana" w:hAnsi="Verdana" w:cs="Arial"/>
          <w:color w:val="000000" w:themeColor="text1"/>
          <w:sz w:val="16"/>
          <w:szCs w:val="16"/>
        </w:rPr>
      </w:pPr>
    </w:p>
  </w:footnote>
  <w:footnote w:id="30">
    <w:p w14:paraId="48E2357A" w14:textId="77777777" w:rsidR="00CD5DE0" w:rsidRPr="00D71B7F" w:rsidRDefault="00CD5DE0" w:rsidP="00CD5DE0">
      <w:pPr>
        <w:spacing w:after="0" w:line="240" w:lineRule="auto"/>
        <w:ind w:firstLine="709"/>
        <w:jc w:val="both"/>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Concepto de 6 de abril de 2006. Radicación Número: 11001-03-06-000-2006-00038-00(1738). C.P: Enrique José Arboleda Perdomo. </w:t>
      </w:r>
    </w:p>
    <w:p w14:paraId="292A5992" w14:textId="77777777" w:rsidR="00CD5DE0" w:rsidRPr="00D71B7F" w:rsidRDefault="00CD5DE0" w:rsidP="00CD5DE0">
      <w:pPr>
        <w:spacing w:after="0" w:line="240" w:lineRule="auto"/>
        <w:ind w:firstLine="709"/>
        <w:jc w:val="both"/>
        <w:rPr>
          <w:rFonts w:ascii="Verdana" w:hAnsi="Verdana" w:cs="Arial"/>
          <w:color w:val="000000" w:themeColor="text1"/>
          <w:sz w:val="16"/>
          <w:szCs w:val="16"/>
        </w:rPr>
      </w:pPr>
    </w:p>
  </w:footnote>
  <w:footnote w:id="31">
    <w:p w14:paraId="58BAFE1E" w14:textId="77777777" w:rsidR="00CD5DE0" w:rsidRPr="00D71B7F" w:rsidRDefault="00CD5DE0" w:rsidP="00CD5DE0">
      <w:pPr>
        <w:pStyle w:val="Textonotapie"/>
        <w:ind w:firstLine="709"/>
        <w:rPr>
          <w:rFonts w:ascii="Verdana" w:hAnsi="Verdana" w:cs="Arial"/>
          <w:color w:val="000000" w:themeColor="text1"/>
          <w:sz w:val="16"/>
          <w:szCs w:val="16"/>
        </w:rPr>
      </w:pPr>
      <w:r w:rsidRPr="00D71B7F">
        <w:rPr>
          <w:rStyle w:val="Refdenotaalpie"/>
          <w:rFonts w:ascii="Verdana" w:hAnsi="Verdana" w:cs="Arial"/>
          <w:color w:val="000000" w:themeColor="text1"/>
          <w:sz w:val="16"/>
          <w:szCs w:val="16"/>
        </w:rPr>
        <w:footnoteRef/>
      </w:r>
      <w:r w:rsidRPr="00D71B7F">
        <w:rPr>
          <w:rFonts w:ascii="Verdana" w:hAnsi="Verdana" w:cs="Arial"/>
          <w:color w:val="000000" w:themeColor="text1"/>
          <w:sz w:val="16"/>
          <w:szCs w:val="16"/>
        </w:rPr>
        <w:t xml:space="preserve"> Consejo de Estado. Sala de Consulta y Servicio Civil, ídem.</w:t>
      </w:r>
    </w:p>
    <w:p w14:paraId="18B3BB10" w14:textId="77777777" w:rsidR="00CD5DE0" w:rsidRPr="00D71B7F" w:rsidRDefault="00CD5DE0" w:rsidP="00CD5DE0">
      <w:pPr>
        <w:pStyle w:val="Textonotapie"/>
        <w:ind w:firstLine="709"/>
        <w:rPr>
          <w:rFonts w:ascii="Verdana" w:hAnsi="Verdana" w:cs="Arial"/>
          <w:color w:val="000000" w:themeColor="text1"/>
          <w:sz w:val="16"/>
          <w:szCs w:val="16"/>
        </w:rPr>
      </w:pPr>
    </w:p>
  </w:footnote>
  <w:footnote w:id="32">
    <w:p w14:paraId="421C1972" w14:textId="77777777" w:rsidR="00CD5DE0" w:rsidRPr="00D71B7F" w:rsidRDefault="00CD5DE0" w:rsidP="00CD5DE0">
      <w:pPr>
        <w:pStyle w:val="Textonotapie"/>
        <w:ind w:firstLine="709"/>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4B0912F0" w14:textId="77777777" w:rsidR="00CD5DE0" w:rsidRPr="00D71B7F" w:rsidRDefault="00CD5DE0" w:rsidP="00CD5DE0">
      <w:pPr>
        <w:pStyle w:val="Textonotapie"/>
        <w:ind w:firstLine="709"/>
        <w:jc w:val="both"/>
        <w:rPr>
          <w:rFonts w:ascii="Verdana" w:hAnsi="Verdana" w:cs="Arial"/>
          <w:sz w:val="16"/>
          <w:szCs w:val="16"/>
        </w:rPr>
      </w:pPr>
    </w:p>
  </w:footnote>
  <w:footnote w:id="33">
    <w:p w14:paraId="362869F0" w14:textId="77777777" w:rsidR="00CD5DE0" w:rsidRPr="00D71B7F" w:rsidRDefault="00CD5DE0" w:rsidP="00CD5DE0">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Consejo de Estado. Sala de Consulta y Servicio Civil. Concepto del 18 de febrero 2010. Rad. 11001-03-06-000-2010-00006-00 (1985). C.P. Enrique José Arboleda Perdomo.</w:t>
      </w:r>
    </w:p>
    <w:p w14:paraId="4774F37B" w14:textId="77777777" w:rsidR="00CD5DE0" w:rsidRPr="00D71B7F" w:rsidRDefault="00CD5DE0" w:rsidP="00CD5DE0">
      <w:pPr>
        <w:pStyle w:val="Textonotapie"/>
        <w:ind w:firstLine="708"/>
        <w:jc w:val="both"/>
        <w:rPr>
          <w:rFonts w:ascii="Verdana" w:hAnsi="Verdana" w:cs="Arial"/>
          <w:sz w:val="16"/>
          <w:szCs w:val="16"/>
        </w:rPr>
      </w:pPr>
    </w:p>
  </w:footnote>
  <w:footnote w:id="34">
    <w:p w14:paraId="6CAD809C" w14:textId="77777777" w:rsidR="00CD5DE0" w:rsidRPr="00D71B7F" w:rsidRDefault="00CD5DE0" w:rsidP="00CD5DE0">
      <w:pPr>
        <w:pStyle w:val="Textonotapie"/>
        <w:ind w:firstLine="708"/>
        <w:jc w:val="both"/>
        <w:rPr>
          <w:rFonts w:ascii="Verdana" w:hAnsi="Verdana" w:cs="Arial"/>
          <w:sz w:val="16"/>
          <w:szCs w:val="16"/>
        </w:rPr>
      </w:pPr>
      <w:r w:rsidRPr="00D71B7F">
        <w:rPr>
          <w:rStyle w:val="Refdenotaalpie"/>
          <w:rFonts w:ascii="Verdana" w:hAnsi="Verdana" w:cs="Arial"/>
          <w:sz w:val="16"/>
          <w:szCs w:val="16"/>
        </w:rPr>
        <w:footnoteRef/>
      </w:r>
      <w:r w:rsidRPr="00D71B7F">
        <w:rPr>
          <w:rFonts w:ascii="Verdana" w:hAnsi="Verdana" w:cs="Arial"/>
          <w:sz w:val="16"/>
          <w:szCs w:val="16"/>
        </w:rPr>
        <w:t xml:space="preserve"> Corte Constitucional. Sentencia C-1153 de 2005 M.P. Marco Gerardo Monroy Cabra. </w:t>
      </w:r>
    </w:p>
    <w:p w14:paraId="572BD316" w14:textId="77777777" w:rsidR="00CD5DE0" w:rsidRPr="00D71B7F" w:rsidRDefault="00CD5DE0" w:rsidP="00CD5DE0">
      <w:pPr>
        <w:pStyle w:val="Textonotapie"/>
        <w:ind w:firstLine="708"/>
        <w:jc w:val="both"/>
        <w:rPr>
          <w:rFonts w:ascii="Verdana" w:hAnsi="Verdana" w:cs="Arial"/>
          <w:sz w:val="16"/>
          <w:szCs w:val="16"/>
        </w:rPr>
      </w:pPr>
    </w:p>
  </w:footnote>
  <w:footnote w:id="35">
    <w:p w14:paraId="474DDAEB" w14:textId="77777777" w:rsidR="00CD5DE0" w:rsidRDefault="00CD5DE0" w:rsidP="00CD5DE0">
      <w:pPr>
        <w:pStyle w:val="Textonotapie"/>
        <w:ind w:firstLine="708"/>
        <w:jc w:val="both"/>
        <w:rPr>
          <w:rFonts w:ascii="Verdana" w:hAnsi="Verdana"/>
          <w:sz w:val="16"/>
          <w:szCs w:val="16"/>
        </w:rPr>
      </w:pPr>
      <w:r w:rsidRPr="00D71B7F">
        <w:rPr>
          <w:rStyle w:val="Refdenotaalpie"/>
          <w:rFonts w:ascii="Verdana" w:hAnsi="Verdana"/>
          <w:sz w:val="16"/>
          <w:szCs w:val="16"/>
        </w:rPr>
        <w:footnoteRef/>
      </w:r>
      <w:r w:rsidRPr="00D71B7F">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D71B7F">
        <w:rPr>
          <w:rFonts w:ascii="Verdana" w:hAnsi="Verdana"/>
          <w:i/>
          <w:sz w:val="16"/>
          <w:szCs w:val="16"/>
        </w:rPr>
        <w:t>las palabras de la ley se entenderán en su sentido natural y obvio, según el uso general de las mismas palabras</w:t>
      </w:r>
      <w:r w:rsidRPr="00D71B7F">
        <w:rPr>
          <w:rFonts w:ascii="Verdana" w:hAnsi="Verdana"/>
          <w:sz w:val="16"/>
          <w:szCs w:val="16"/>
        </w:rPr>
        <w:t>’, es decir, el uso de la gente educada. El Diccionario de la Lengua publicado por la Real Academia Española goza a este respecto de gran autoridad. ‘</w:t>
      </w:r>
      <w:r w:rsidRPr="00D71B7F">
        <w:rPr>
          <w:rFonts w:ascii="Verdana" w:hAnsi="Verdana"/>
          <w:i/>
          <w:sz w:val="16"/>
          <w:szCs w:val="16"/>
        </w:rPr>
        <w:t>Pero cuando el legislador</w:t>
      </w:r>
      <w:r w:rsidRPr="00D71B7F">
        <w:rPr>
          <w:rFonts w:ascii="Verdana" w:hAnsi="Verdana"/>
          <w:sz w:val="16"/>
          <w:szCs w:val="16"/>
        </w:rPr>
        <w:t xml:space="preserve">, agrega el artículo 20, </w:t>
      </w:r>
      <w:r w:rsidRPr="00D71B7F">
        <w:rPr>
          <w:rFonts w:ascii="Verdana" w:hAnsi="Verdana"/>
          <w:i/>
          <w:sz w:val="16"/>
          <w:szCs w:val="16"/>
        </w:rPr>
        <w:t>las haya definido expresamente para ciertas materias se les dará en éstas su significado legal</w:t>
      </w:r>
      <w:r w:rsidRPr="00D71B7F">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w:t>
      </w:r>
      <w:r w:rsidRPr="006C7BAC">
        <w:rPr>
          <w:rFonts w:ascii="Verdana" w:hAnsi="Verdana"/>
          <w:sz w:val="16"/>
          <w:szCs w:val="16"/>
        </w:rPr>
        <w:t xml:space="preserve"> </w:t>
      </w:r>
      <w:r w:rsidRPr="00D71B7F">
        <w:rPr>
          <w:rFonts w:ascii="Verdana" w:hAnsi="Verdana"/>
          <w:sz w:val="16"/>
          <w:szCs w:val="16"/>
        </w:rPr>
        <w:t>aparezca de manifiesto y con toda claridad” (CLARO SOLAR, Luis. Explicaciones de derecho civil chileno y comparado. Volumen I. Tomo I. Santiago: Editorial Jurídica de Chile, 2013. p. 117. Énfasis dentro del texto).</w:t>
      </w:r>
    </w:p>
    <w:p w14:paraId="10D440BE" w14:textId="77777777" w:rsidR="00CD5DE0" w:rsidRPr="00D71B7F" w:rsidRDefault="00CD5DE0" w:rsidP="00CD5DE0">
      <w:pPr>
        <w:pStyle w:val="Textonotapie"/>
        <w:ind w:firstLine="708"/>
        <w:jc w:val="both"/>
        <w:rPr>
          <w:rFonts w:ascii="Verdana" w:hAnsi="Verdana"/>
          <w:sz w:val="16"/>
          <w:szCs w:val="16"/>
          <w:lang w:val="es-CO"/>
        </w:rPr>
      </w:pPr>
    </w:p>
  </w:footnote>
  <w:footnote w:id="36">
    <w:p w14:paraId="39C4648F" w14:textId="77777777" w:rsidR="00CD5DE0" w:rsidRPr="009D0D83" w:rsidRDefault="00CD5DE0" w:rsidP="00CD5DE0">
      <w:pPr>
        <w:pStyle w:val="Textonotapie"/>
        <w:ind w:firstLine="709"/>
        <w:contextualSpacing/>
        <w:jc w:val="both"/>
        <w:rPr>
          <w:rFonts w:ascii="Verdana" w:hAnsi="Verdana" w:cs="Arial"/>
          <w:sz w:val="16"/>
          <w:szCs w:val="16"/>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cs="Arial"/>
          <w:sz w:val="16"/>
          <w:szCs w:val="16"/>
        </w:rPr>
        <w:t>Consejo de Estado. Sala de lo Contencioso Administrativo. Sección Tercera. Sentencia del 21 de febrero de 2025. Exp. 68.280. CP: José Roberto Sáchica Méndez.</w:t>
      </w:r>
    </w:p>
  </w:footnote>
  <w:footnote w:id="37">
    <w:p w14:paraId="3E5289E1" w14:textId="77777777" w:rsidR="00CD5DE0" w:rsidRDefault="00CD5DE0" w:rsidP="00CD5DE0">
      <w:pPr>
        <w:pStyle w:val="Textonotapie"/>
        <w:ind w:firstLine="709"/>
        <w:contextualSpacing/>
        <w:jc w:val="both"/>
        <w:rPr>
          <w:rFonts w:ascii="Verdana" w:hAnsi="Verdana"/>
          <w:sz w:val="16"/>
          <w:szCs w:val="16"/>
          <w:vertAlign w:val="superscript"/>
        </w:rPr>
      </w:pPr>
    </w:p>
    <w:p w14:paraId="7F8064F6" w14:textId="77777777" w:rsidR="00CD5DE0" w:rsidRPr="00B8078E" w:rsidRDefault="00CD5DE0" w:rsidP="00CD5DE0">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sz w:val="16"/>
          <w:szCs w:val="16"/>
          <w:vertAlign w:val="superscript"/>
        </w:rPr>
        <w:t xml:space="preserve"> </w:t>
      </w:r>
      <w:r w:rsidRPr="00B8078E">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7BAE249B" w14:textId="77777777" w:rsidR="00CD5DE0" w:rsidRPr="00B8078E" w:rsidRDefault="00CD5DE0" w:rsidP="00CD5DE0">
      <w:pPr>
        <w:pStyle w:val="Textonotapie"/>
        <w:ind w:firstLine="709"/>
        <w:contextualSpacing/>
        <w:jc w:val="both"/>
        <w:rPr>
          <w:rFonts w:ascii="Verdana" w:hAnsi="Verdana" w:cs="Arial"/>
          <w:sz w:val="16"/>
          <w:szCs w:val="16"/>
        </w:rPr>
      </w:pPr>
    </w:p>
  </w:footnote>
  <w:footnote w:id="38">
    <w:p w14:paraId="62BF363B" w14:textId="77777777" w:rsidR="00CD5DE0" w:rsidRPr="00B8078E" w:rsidRDefault="00CD5DE0" w:rsidP="00CD5DE0">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5C90733D" w14:textId="77777777" w:rsidR="00CD5DE0" w:rsidRPr="00B8078E" w:rsidRDefault="00CD5DE0" w:rsidP="00CD5DE0">
      <w:pPr>
        <w:pStyle w:val="Textonotapie"/>
        <w:ind w:firstLine="709"/>
        <w:contextualSpacing/>
        <w:jc w:val="both"/>
        <w:rPr>
          <w:rFonts w:ascii="Verdana" w:hAnsi="Verdana" w:cs="Arial"/>
          <w:sz w:val="16"/>
          <w:szCs w:val="16"/>
        </w:rPr>
      </w:pPr>
    </w:p>
  </w:footnote>
  <w:footnote w:id="39">
    <w:p w14:paraId="2CA1C407" w14:textId="77777777" w:rsidR="00CD5DE0" w:rsidRDefault="00CD5DE0" w:rsidP="00CD5DE0">
      <w:pPr>
        <w:pStyle w:val="Textonotapie"/>
        <w:ind w:firstLine="709"/>
        <w:contextualSpacing/>
        <w:jc w:val="both"/>
        <w:rPr>
          <w:rFonts w:ascii="Verdana" w:hAnsi="Verdana" w:cs="Arial"/>
          <w:sz w:val="16"/>
          <w:szCs w:val="16"/>
        </w:rPr>
      </w:pPr>
      <w:r w:rsidRPr="00B8078E">
        <w:rPr>
          <w:rFonts w:ascii="Verdana" w:hAnsi="Verdana"/>
          <w:sz w:val="16"/>
          <w:szCs w:val="16"/>
          <w:vertAlign w:val="superscript"/>
        </w:rPr>
        <w:footnoteRef/>
      </w:r>
      <w:r w:rsidRPr="00B8078E">
        <w:rPr>
          <w:rFonts w:ascii="Verdana" w:hAnsi="Verdana" w:cs="Arial"/>
          <w:sz w:val="16"/>
          <w:szCs w:val="16"/>
          <w:vertAlign w:val="superscript"/>
        </w:rPr>
        <w:t xml:space="preserve"> </w:t>
      </w:r>
      <w:r w:rsidRPr="00B8078E">
        <w:rPr>
          <w:rFonts w:ascii="Verdana" w:hAnsi="Verdana" w:cs="Arial"/>
          <w:sz w:val="16"/>
          <w:szCs w:val="16"/>
        </w:rPr>
        <w:t>Código Civil: “Artículo 27. Cuando el sentido de la ley sea claro, no se desatenderá su tenor a pretexto de consultar su espíritu”.</w:t>
      </w:r>
    </w:p>
    <w:p w14:paraId="54EA045A" w14:textId="77777777" w:rsidR="00CD5DE0" w:rsidRPr="00852048" w:rsidRDefault="00CD5DE0" w:rsidP="00CD5DE0">
      <w:pPr>
        <w:pStyle w:val="Textonotapie"/>
        <w:ind w:firstLine="709"/>
        <w:contextualSpacing/>
        <w:jc w:val="both"/>
        <w:rPr>
          <w:rFonts w:ascii="Verdana" w:hAnsi="Verdana" w:cs="Arial"/>
          <w:sz w:val="16"/>
          <w:szCs w:val="16"/>
        </w:rPr>
      </w:pPr>
    </w:p>
  </w:footnote>
  <w:footnote w:id="40">
    <w:p w14:paraId="30B5D94C" w14:textId="77777777" w:rsidR="00CD5DE0" w:rsidRPr="00B8078E" w:rsidRDefault="00CD5DE0" w:rsidP="00CD5DE0">
      <w:pPr>
        <w:pStyle w:val="Textonotapie"/>
        <w:ind w:firstLine="708"/>
        <w:jc w:val="both"/>
        <w:rPr>
          <w:rFonts w:ascii="Verdana" w:hAnsi="Verdana"/>
          <w:sz w:val="16"/>
          <w:szCs w:val="16"/>
          <w:lang w:val="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B8078E">
        <w:rPr>
          <w:rFonts w:ascii="Verdana" w:hAnsi="Verdana"/>
          <w:i/>
          <w:sz w:val="16"/>
          <w:szCs w:val="16"/>
          <w:lang w:val="es-ES"/>
        </w:rPr>
        <w:t>Ubi lex non distinguit nec nos distinguere debemus</w:t>
      </w:r>
      <w:r w:rsidRPr="00B8078E">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4B5E01F7" w14:textId="77777777" w:rsidR="00CD5DE0" w:rsidRPr="00B8078E" w:rsidRDefault="00CD5DE0" w:rsidP="00CD5DE0">
      <w:pPr>
        <w:pStyle w:val="Textonotapie"/>
        <w:ind w:firstLine="708"/>
        <w:jc w:val="both"/>
        <w:rPr>
          <w:rFonts w:ascii="Verdana" w:hAnsi="Verdana"/>
          <w:sz w:val="16"/>
          <w:szCs w:val="16"/>
        </w:rPr>
      </w:pPr>
      <w:r w:rsidRPr="00B8078E">
        <w:rPr>
          <w:rFonts w:ascii="Verdana" w:hAnsi="Verdana"/>
          <w:sz w:val="16"/>
          <w:szCs w:val="16"/>
          <w:lang w:val="es-ES"/>
        </w:rPr>
        <w:t xml:space="preserve">En el derecho antiguo y en el derecho canónico se distinguían las leyes en favorables y odiosas, para ampliar o restringir su interpretación. </w:t>
      </w:r>
      <w:r w:rsidRPr="00B8078E">
        <w:rPr>
          <w:rFonts w:ascii="Verdana" w:hAnsi="Verdana"/>
          <w:i/>
          <w:sz w:val="16"/>
          <w:szCs w:val="16"/>
          <w:lang w:val="es-ES"/>
        </w:rPr>
        <w:t>Odia restringí et favores convenit ampliari</w:t>
      </w:r>
      <w:r w:rsidRPr="00B8078E">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B8078E">
        <w:rPr>
          <w:rFonts w:ascii="Verdana" w:hAnsi="Verdana"/>
          <w:sz w:val="16"/>
          <w:szCs w:val="16"/>
        </w:rPr>
        <w:t>CLARO SOLAR, Luis. Explicaciones de derecho civil chileno y comparado. Volumen I. Tomo I. Santiago: Editorial Jurídica de Chile, 2013. p. 119. Énfasis dentro del texto).</w:t>
      </w:r>
    </w:p>
    <w:p w14:paraId="707E33E6" w14:textId="77777777" w:rsidR="00CD5DE0" w:rsidRPr="00B8078E" w:rsidRDefault="00CD5DE0" w:rsidP="00CD5DE0">
      <w:pPr>
        <w:pStyle w:val="Textonotapie"/>
        <w:ind w:firstLine="708"/>
        <w:jc w:val="both"/>
        <w:rPr>
          <w:rFonts w:ascii="Verdana" w:hAnsi="Verdana"/>
          <w:sz w:val="16"/>
          <w:szCs w:val="16"/>
          <w:lang w:val="es-CO"/>
        </w:rPr>
      </w:pPr>
    </w:p>
  </w:footnote>
  <w:footnote w:id="41">
    <w:p w14:paraId="3499F039" w14:textId="77777777" w:rsidR="00CD5DE0" w:rsidRPr="00B8078E" w:rsidRDefault="00CD5DE0" w:rsidP="00CD5DE0">
      <w:pPr>
        <w:spacing w:after="0" w:line="240" w:lineRule="auto"/>
        <w:ind w:firstLine="709"/>
        <w:jc w:val="both"/>
        <w:rPr>
          <w:rFonts w:ascii="Verdana" w:hAnsi="Verdana" w:cs="Arial"/>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Consejo de Estado. Sala de lo Contencioso Administrativo. Sección Tercera. Subsección B. Auto del 4 de octubre de 2024. Exp. 70.313. C.P: Fredy Ibarra Martínez.</w:t>
      </w:r>
    </w:p>
    <w:p w14:paraId="10A18351" w14:textId="77777777" w:rsidR="00CD5DE0" w:rsidRPr="00B8078E" w:rsidRDefault="00CD5DE0" w:rsidP="00CD5DE0">
      <w:pPr>
        <w:pStyle w:val="Textonotapie"/>
        <w:ind w:firstLine="709"/>
        <w:contextualSpacing/>
        <w:jc w:val="both"/>
        <w:rPr>
          <w:rFonts w:ascii="Verdana" w:hAnsi="Verdana"/>
          <w:sz w:val="16"/>
          <w:szCs w:val="16"/>
          <w:lang w:val="es-CO"/>
        </w:rPr>
      </w:pPr>
    </w:p>
  </w:footnote>
  <w:footnote w:id="42">
    <w:p w14:paraId="1F376E47" w14:textId="77777777" w:rsidR="00CD5DE0" w:rsidRPr="00B8078E" w:rsidRDefault="00CD5DE0" w:rsidP="00CD5DE0">
      <w:pPr>
        <w:pStyle w:val="Textonotapie"/>
        <w:ind w:firstLine="709"/>
        <w:contextualSpacing/>
        <w:jc w:val="both"/>
        <w:rPr>
          <w:rFonts w:ascii="Verdana" w:hAnsi="Verdana"/>
          <w:sz w:val="16"/>
          <w:szCs w:val="16"/>
          <w:lang w:val="es-CO"/>
        </w:rPr>
      </w:pPr>
      <w:r w:rsidRPr="00B8078E">
        <w:rPr>
          <w:rStyle w:val="Refdenotaalpie"/>
          <w:rFonts w:ascii="Verdana" w:hAnsi="Verdana"/>
          <w:sz w:val="16"/>
          <w:szCs w:val="16"/>
        </w:rPr>
        <w:footnoteRef/>
      </w:r>
      <w:r w:rsidRPr="00B8078E">
        <w:rPr>
          <w:rFonts w:ascii="Verdana" w:hAnsi="Verdana"/>
          <w:sz w:val="16"/>
          <w:szCs w:val="16"/>
        </w:rPr>
        <w:t xml:space="preserve"> La parte resolutiva del auto dispone lo siguiente; “</w:t>
      </w:r>
      <w:r w:rsidRPr="00B8078E">
        <w:rPr>
          <w:rFonts w:ascii="Verdana" w:hAnsi="Verdana"/>
          <w:b/>
          <w:sz w:val="16"/>
          <w:szCs w:val="16"/>
          <w:lang w:val="es-CO"/>
        </w:rPr>
        <w:t xml:space="preserve">PRIMERO: DECRETAR </w:t>
      </w:r>
      <w:r w:rsidRPr="00B8078E">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8078E">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8078E">
        <w:rPr>
          <w:rFonts w:ascii="Verdana" w:hAnsi="Verdana"/>
          <w:sz w:val="16"/>
          <w:szCs w:val="16"/>
          <w:lang w:val="es-CO"/>
        </w:rPr>
        <w:t xml:space="preserve">, por las razones expuestas en precedencia. </w:t>
      </w:r>
    </w:p>
    <w:p w14:paraId="2C8E67F2" w14:textId="77777777" w:rsidR="00CD5DE0" w:rsidRDefault="00CD5DE0" w:rsidP="00CD5DE0">
      <w:pPr>
        <w:pStyle w:val="Textonotapie"/>
        <w:ind w:firstLine="709"/>
        <w:contextualSpacing/>
        <w:jc w:val="both"/>
        <w:rPr>
          <w:rFonts w:ascii="Verdana" w:hAnsi="Verdana"/>
          <w:sz w:val="16"/>
          <w:szCs w:val="16"/>
          <w:lang w:val="es-CO"/>
        </w:rPr>
      </w:pPr>
      <w:r w:rsidRPr="00B8078E">
        <w:rPr>
          <w:rFonts w:ascii="Verdana" w:hAnsi="Verdana"/>
          <w:b/>
          <w:sz w:val="16"/>
          <w:szCs w:val="16"/>
          <w:lang w:val="es-CO"/>
        </w:rPr>
        <w:t xml:space="preserve">SEGUNDO: DECRETAR </w:t>
      </w:r>
      <w:r w:rsidRPr="00B8078E">
        <w:rPr>
          <w:rFonts w:ascii="Verdana" w:hAnsi="Verdana"/>
          <w:sz w:val="16"/>
          <w:szCs w:val="16"/>
          <w:lang w:val="es-CO"/>
        </w:rPr>
        <w:t>la suspensión provisional de la expresión “</w:t>
      </w:r>
      <w:r w:rsidRPr="00B8078E">
        <w:rPr>
          <w:rFonts w:ascii="Verdana" w:hAnsi="Verdana"/>
          <w:i/>
          <w:sz w:val="16"/>
          <w:szCs w:val="16"/>
          <w:lang w:val="es-CO"/>
        </w:rPr>
        <w:t>contratos</w:t>
      </w:r>
      <w:r w:rsidRPr="00B8078E">
        <w:rPr>
          <w:rFonts w:ascii="Verdana" w:hAnsi="Verdana"/>
          <w:sz w:val="16"/>
          <w:szCs w:val="16"/>
          <w:lang w:val="es-CO"/>
        </w:rPr>
        <w:t xml:space="preserve">” y del párrafo </w:t>
      </w:r>
      <w:r w:rsidRPr="00B8078E">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8078E">
        <w:rPr>
          <w:rFonts w:ascii="Verdana" w:hAnsi="Verdana"/>
          <w:sz w:val="16"/>
          <w:szCs w:val="16"/>
          <w:lang w:val="es-CO"/>
        </w:rPr>
        <w:t>”,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w:t>
      </w:r>
      <w:r w:rsidRPr="009D0D83">
        <w:rPr>
          <w:rFonts w:ascii="Verdana" w:hAnsi="Verdana"/>
          <w:sz w:val="16"/>
          <w:szCs w:val="16"/>
          <w:lang w:val="es-CO"/>
        </w:rPr>
        <w:t xml:space="preserve"> </w:t>
      </w:r>
    </w:p>
    <w:p w14:paraId="6E3673B2" w14:textId="77777777" w:rsidR="00CD5DE0" w:rsidRPr="009D0D83" w:rsidRDefault="00CD5DE0" w:rsidP="00CD5DE0">
      <w:pPr>
        <w:pStyle w:val="Textonotapie"/>
        <w:ind w:firstLine="709"/>
        <w:contextualSpacing/>
        <w:jc w:val="both"/>
        <w:rPr>
          <w:rFonts w:ascii="Verdana" w:hAnsi="Verdana"/>
          <w:sz w:val="16"/>
          <w:szCs w:val="16"/>
          <w:lang w:val="es-CO"/>
        </w:rPr>
      </w:pPr>
    </w:p>
  </w:footnote>
  <w:footnote w:id="43">
    <w:p w14:paraId="3A016A20" w14:textId="77777777" w:rsidR="00CD5DE0" w:rsidRDefault="00CD5DE0" w:rsidP="00CD5DE0">
      <w:pPr>
        <w:spacing w:after="0" w:line="240" w:lineRule="auto"/>
        <w:ind w:firstLine="709"/>
        <w:contextualSpacing/>
        <w:jc w:val="both"/>
        <w:rPr>
          <w:rFonts w:ascii="Verdana" w:eastAsia="Times New Roman" w:hAnsi="Verdana" w:cs="Times New Roman"/>
          <w:sz w:val="16"/>
          <w:szCs w:val="16"/>
          <w:lang w:eastAsia="es-ES"/>
        </w:rPr>
      </w:pPr>
      <w:r w:rsidRPr="00B8078E">
        <w:rPr>
          <w:rStyle w:val="Refdenotaalpie"/>
          <w:rFonts w:ascii="Verdana" w:hAnsi="Verdana"/>
          <w:sz w:val="16"/>
          <w:szCs w:val="16"/>
        </w:rPr>
        <w:footnoteRef/>
      </w:r>
      <w:r w:rsidRPr="00B8078E">
        <w:rPr>
          <w:rFonts w:ascii="Verdana" w:hAnsi="Verdana"/>
          <w:sz w:val="16"/>
          <w:szCs w:val="16"/>
        </w:rPr>
        <w:t xml:space="preserve"> </w:t>
      </w:r>
      <w:r w:rsidRPr="00B8078E">
        <w:rPr>
          <w:rFonts w:ascii="Verdana" w:eastAsia="Times New Roman" w:hAnsi="Verdana" w:cs="Times New Roman"/>
          <w:sz w:val="16"/>
          <w:szCs w:val="16"/>
          <w:lang w:eastAsia="es-ES"/>
        </w:rPr>
        <w:t xml:space="preserve">Consejo de Estado. Sala de lo Contencioso Administrativo. Sección Tercera. Subsección B. 17 de octubre de 2025. C.P. Fredy Ibarra Martínez. </w:t>
      </w:r>
      <w:r w:rsidRPr="00B8078E">
        <w:rPr>
          <w:rFonts w:ascii="Verdana" w:hAnsi="Verdana"/>
          <w:sz w:val="16"/>
          <w:szCs w:val="16"/>
        </w:rPr>
        <w:t xml:space="preserve">La parte de la providencia señala: </w:t>
      </w:r>
      <w:r w:rsidRPr="00B8078E">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63512E35" w14:textId="77777777" w:rsidR="00CD5DE0" w:rsidRPr="00852048" w:rsidRDefault="00CD5DE0" w:rsidP="00CD5DE0">
      <w:pPr>
        <w:spacing w:after="0" w:line="240" w:lineRule="auto"/>
        <w:ind w:firstLine="709"/>
        <w:contextualSpacing/>
        <w:jc w:val="both"/>
        <w:rPr>
          <w:rFonts w:ascii="Verdana" w:eastAsia="Times New Roman" w:hAnsi="Verdana" w:cs="Times New Roman"/>
          <w:sz w:val="16"/>
          <w:szCs w:val="16"/>
          <w:lang w:eastAsia="es-ES"/>
        </w:rPr>
      </w:pPr>
    </w:p>
  </w:footnote>
  <w:footnote w:id="44">
    <w:p w14:paraId="3C668643" w14:textId="77777777" w:rsidR="00CD5DE0" w:rsidRDefault="00CD5DE0" w:rsidP="00CD5DE0">
      <w:pPr>
        <w:pStyle w:val="Textonotapie"/>
        <w:ind w:firstLine="709"/>
        <w:jc w:val="both"/>
        <w:rPr>
          <w:rFonts w:ascii="Verdana" w:hAnsi="Verdana"/>
          <w:sz w:val="16"/>
          <w:szCs w:val="16"/>
        </w:rPr>
      </w:pPr>
      <w:r w:rsidRPr="00B8078E">
        <w:rPr>
          <w:rStyle w:val="Refdenotaalpie"/>
          <w:rFonts w:ascii="Verdana" w:hAnsi="Verdana"/>
          <w:sz w:val="16"/>
          <w:szCs w:val="16"/>
        </w:rPr>
        <w:footnoteRef/>
      </w:r>
      <w:r w:rsidRPr="00B8078E">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44399E78" w14:textId="77777777" w:rsidR="00CD5DE0" w:rsidRPr="00B8078E" w:rsidRDefault="00CD5DE0" w:rsidP="00CD5DE0">
      <w:pPr>
        <w:pStyle w:val="Textonotapie"/>
        <w:ind w:firstLine="709"/>
        <w:jc w:val="both"/>
        <w:rPr>
          <w:rFonts w:ascii="Verdana" w:hAnsi="Verdana"/>
          <w:sz w:val="16"/>
          <w:szCs w:val="16"/>
          <w:lang w:val="es-CO"/>
        </w:rPr>
      </w:pPr>
    </w:p>
  </w:footnote>
  <w:footnote w:id="45">
    <w:p w14:paraId="71812B2C" w14:textId="77777777" w:rsidR="00CD5DE0" w:rsidRDefault="00CD5DE0" w:rsidP="00CD5DE0">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sz w:val="16"/>
          <w:szCs w:val="16"/>
          <w:lang w:val="es-ES"/>
        </w:rPr>
        <w:t xml:space="preserve">Ley 100 de 1993. </w:t>
      </w:r>
      <w:r w:rsidRPr="004674CF">
        <w:rPr>
          <w:rFonts w:ascii="Verdana" w:hAnsi="Verdana"/>
          <w:sz w:val="16"/>
          <w:szCs w:val="16"/>
          <w:lang w:val="es-CO"/>
        </w:rPr>
        <w:t>Artículo</w:t>
      </w:r>
      <w:bookmarkStart w:id="21" w:name="194"/>
      <w:bookmarkEnd w:id="21"/>
      <w:r w:rsidRPr="004674CF">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22" w:name="LPHit237"/>
      <w:bookmarkEnd w:id="22"/>
      <w:r w:rsidRPr="004674CF">
        <w:rPr>
          <w:rFonts w:ascii="Verdana" w:hAnsi="Verdana"/>
          <w:sz w:val="16"/>
          <w:szCs w:val="16"/>
          <w:lang w:val="es-CO"/>
        </w:rPr>
        <w:t> Ley o por las asambleas o concejos, según el caso, sometidas al régimen jurídico previsto en este capítulo.</w:t>
      </w:r>
    </w:p>
    <w:p w14:paraId="03621F10" w14:textId="77777777" w:rsidR="00CD5DE0" w:rsidRPr="004674CF" w:rsidRDefault="00CD5DE0" w:rsidP="00CD5DE0">
      <w:pPr>
        <w:pStyle w:val="Textonotapie"/>
        <w:ind w:firstLine="709"/>
        <w:jc w:val="both"/>
        <w:rPr>
          <w:rFonts w:ascii="Verdana" w:hAnsi="Verdana"/>
          <w:sz w:val="16"/>
          <w:szCs w:val="16"/>
          <w:lang w:val="es-CO"/>
        </w:rPr>
      </w:pPr>
    </w:p>
  </w:footnote>
  <w:footnote w:id="46">
    <w:p w14:paraId="664E67D3" w14:textId="77777777" w:rsidR="00CD5DE0" w:rsidRPr="004674CF" w:rsidRDefault="00CD5DE0" w:rsidP="00CD5DE0">
      <w:pPr>
        <w:pStyle w:val="Textonotapie"/>
        <w:ind w:firstLine="708"/>
        <w:contextualSpacing/>
        <w:jc w:val="both"/>
        <w:rPr>
          <w:rFonts w:ascii="Verdana" w:hAnsi="Verdana" w:cs="Arial"/>
          <w:color w:val="000000" w:themeColor="text1"/>
          <w:sz w:val="16"/>
          <w:szCs w:val="16"/>
          <w:lang w:val="es-CO"/>
        </w:rPr>
      </w:pPr>
      <w:r w:rsidRPr="004674CF">
        <w:rPr>
          <w:rStyle w:val="Refdenotaalpie"/>
          <w:rFonts w:ascii="Verdana" w:hAnsi="Verdana" w:cs="Arial"/>
          <w:color w:val="000000" w:themeColor="text1"/>
          <w:sz w:val="16"/>
          <w:szCs w:val="16"/>
          <w:lang w:val="es-CO"/>
        </w:rPr>
        <w:footnoteRef/>
      </w:r>
      <w:r w:rsidRPr="004674CF">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47">
    <w:p w14:paraId="68F200A3" w14:textId="77777777" w:rsidR="00CD5DE0" w:rsidRDefault="00CD5DE0" w:rsidP="00CD5DE0">
      <w:pPr>
        <w:pStyle w:val="Textonotapie"/>
        <w:ind w:firstLine="708"/>
        <w:contextualSpacing/>
        <w:jc w:val="both"/>
        <w:rPr>
          <w:rFonts w:ascii="Verdana" w:hAnsi="Verdana" w:cs="Arial"/>
          <w:color w:val="000000" w:themeColor="text1"/>
          <w:sz w:val="16"/>
          <w:szCs w:val="16"/>
          <w:lang w:val="es-CO"/>
        </w:rPr>
      </w:pPr>
      <w:r w:rsidRPr="004674CF">
        <w:rPr>
          <w:rStyle w:val="Refdenotaalpie"/>
          <w:rFonts w:ascii="Verdana" w:hAnsi="Verdana" w:cs="Arial"/>
          <w:color w:val="000000" w:themeColor="text1"/>
          <w:sz w:val="16"/>
          <w:szCs w:val="16"/>
          <w:lang w:val="es-CO"/>
        </w:rPr>
        <w:footnoteRef/>
      </w:r>
      <w:r w:rsidRPr="004674CF">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4674CF">
        <w:rPr>
          <w:rFonts w:ascii="Verdana" w:hAnsi="Verdana" w:cs="Arial"/>
          <w:i/>
          <w:iCs/>
          <w:color w:val="000000" w:themeColor="text1"/>
          <w:sz w:val="16"/>
          <w:szCs w:val="16"/>
          <w:lang w:val="es-CO"/>
        </w:rPr>
        <w:t>y todas aquellas entidades que de acuerdo con la ley ejerzan funciones de vigilancia y control sanitario</w:t>
      </w:r>
      <w:r w:rsidRPr="004674CF">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270F5824" w14:textId="77777777" w:rsidR="00CD5DE0" w:rsidRPr="004674CF" w:rsidRDefault="00CD5DE0" w:rsidP="00CD5DE0">
      <w:pPr>
        <w:pStyle w:val="Textonotapie"/>
        <w:ind w:firstLine="708"/>
        <w:contextualSpacing/>
        <w:jc w:val="both"/>
        <w:rPr>
          <w:rFonts w:ascii="Verdana" w:hAnsi="Verdana" w:cs="Arial"/>
          <w:color w:val="000000" w:themeColor="text1"/>
          <w:sz w:val="16"/>
          <w:szCs w:val="16"/>
          <w:lang w:val="es-CO"/>
        </w:rPr>
      </w:pPr>
    </w:p>
  </w:footnote>
  <w:footnote w:id="48">
    <w:p w14:paraId="12B51846" w14:textId="77777777" w:rsidR="00CD5DE0" w:rsidRDefault="00CD5DE0" w:rsidP="00CD5DE0">
      <w:pPr>
        <w:pStyle w:val="Textonotapie"/>
        <w:ind w:firstLine="708"/>
        <w:contextualSpacing/>
        <w:jc w:val="both"/>
        <w:rPr>
          <w:rFonts w:ascii="Verdana" w:hAnsi="Verdana"/>
          <w:sz w:val="16"/>
          <w:szCs w:val="16"/>
          <w:lang w:val="es-CO"/>
        </w:rPr>
      </w:pPr>
      <w:r w:rsidRPr="004674CF">
        <w:rPr>
          <w:rStyle w:val="Refdenotaalpie"/>
          <w:rFonts w:ascii="Verdana" w:hAnsi="Verdana"/>
          <w:sz w:val="16"/>
          <w:szCs w:val="16"/>
          <w:lang w:val="es-CO"/>
        </w:rPr>
        <w:footnoteRef/>
      </w:r>
      <w:r w:rsidRPr="004674CF">
        <w:rPr>
          <w:rFonts w:ascii="Verdana" w:hAnsi="Verdana"/>
          <w:sz w:val="16"/>
          <w:szCs w:val="16"/>
          <w:lang w:val="es-CO"/>
        </w:rPr>
        <w:t xml:space="preserve"> Consejo de Estado. Sala de Consulta y Servicio Civil. Concepto del 12 de junio de 2018. Radicación: 11001-03-06-000-2018-0043-00. (2371). Consejero Ponente: Oscar Darío Amaya Navas. </w:t>
      </w:r>
    </w:p>
    <w:p w14:paraId="4870FBF0" w14:textId="77777777" w:rsidR="00CD5DE0" w:rsidRPr="004674CF" w:rsidRDefault="00CD5DE0" w:rsidP="00CD5DE0">
      <w:pPr>
        <w:pStyle w:val="Textonotapie"/>
        <w:ind w:firstLine="708"/>
        <w:contextualSpacing/>
        <w:jc w:val="both"/>
        <w:rPr>
          <w:rFonts w:ascii="Verdana" w:hAnsi="Verdana"/>
          <w:sz w:val="16"/>
          <w:szCs w:val="16"/>
          <w:lang w:val="es-CO"/>
        </w:rPr>
      </w:pPr>
    </w:p>
  </w:footnote>
  <w:footnote w:id="49">
    <w:p w14:paraId="317DFD1B" w14:textId="77777777" w:rsidR="00CD5DE0" w:rsidRPr="004674CF" w:rsidRDefault="00CD5DE0" w:rsidP="00CD5DE0">
      <w:pPr>
        <w:pStyle w:val="Textonotapie"/>
        <w:ind w:firstLine="708"/>
        <w:contextualSpacing/>
        <w:rPr>
          <w:rFonts w:ascii="Verdana" w:hAnsi="Verdana"/>
          <w:sz w:val="16"/>
          <w:szCs w:val="16"/>
          <w:lang w:val="es-CO"/>
        </w:rPr>
      </w:pPr>
      <w:r w:rsidRPr="004674CF">
        <w:rPr>
          <w:rStyle w:val="Refdenotaalpie"/>
          <w:rFonts w:ascii="Verdana" w:hAnsi="Verdana"/>
          <w:sz w:val="16"/>
          <w:szCs w:val="16"/>
          <w:lang w:val="es-CO"/>
        </w:rPr>
        <w:footnoteRef/>
      </w:r>
      <w:r w:rsidRPr="004674CF">
        <w:rPr>
          <w:rFonts w:ascii="Verdana" w:hAnsi="Verdana"/>
          <w:sz w:val="16"/>
          <w:szCs w:val="16"/>
          <w:lang w:val="es-CO"/>
        </w:rPr>
        <w:t xml:space="preserve"> Ibidem.</w:t>
      </w:r>
    </w:p>
  </w:footnote>
  <w:footnote w:id="50">
    <w:p w14:paraId="4963C342" w14:textId="77777777" w:rsidR="00CD5DE0" w:rsidRPr="004674CF" w:rsidRDefault="00CD5DE0" w:rsidP="00CD5DE0">
      <w:pPr>
        <w:pStyle w:val="Textonotapie"/>
        <w:ind w:firstLine="709"/>
        <w:jc w:val="both"/>
        <w:rPr>
          <w:rFonts w:ascii="Verdana" w:hAnsi="Verdana"/>
          <w:sz w:val="16"/>
          <w:szCs w:val="16"/>
          <w:lang w:val="es-CO"/>
        </w:rPr>
      </w:pPr>
      <w:r w:rsidRPr="004674CF">
        <w:rPr>
          <w:rStyle w:val="Refdenotaalpie"/>
          <w:rFonts w:ascii="Verdana" w:hAnsi="Verdana"/>
          <w:sz w:val="16"/>
          <w:szCs w:val="16"/>
        </w:rPr>
        <w:footnoteRef/>
      </w:r>
      <w:r w:rsidRPr="004674CF">
        <w:rPr>
          <w:rFonts w:ascii="Verdana" w:hAnsi="Verdana"/>
          <w:sz w:val="16"/>
          <w:szCs w:val="16"/>
        </w:rPr>
        <w:t xml:space="preserve"> </w:t>
      </w:r>
      <w:r w:rsidRPr="004674CF">
        <w:rPr>
          <w:rFonts w:ascii="Verdana" w:hAnsi="Verdana"/>
          <w:color w:val="000000" w:themeColor="text1"/>
          <w:sz w:val="16"/>
          <w:szCs w:val="16"/>
        </w:rPr>
        <w:t xml:space="preserve">Resolución 1597 de 2025. </w:t>
      </w:r>
      <w:r w:rsidRPr="004674CF">
        <w:rPr>
          <w:rFonts w:ascii="Verdana" w:hAnsi="Verdana"/>
          <w:sz w:val="16"/>
          <w:szCs w:val="16"/>
          <w:lang w:val="es-CO"/>
        </w:rPr>
        <w:t>Artículo 12. </w:t>
      </w:r>
      <w:r w:rsidRPr="004674CF">
        <w:rPr>
          <w:rFonts w:ascii="Verdana" w:hAnsi="Verdana"/>
          <w:i/>
          <w:iCs/>
          <w:sz w:val="16"/>
          <w:szCs w:val="16"/>
          <w:lang w:val="es-CO"/>
        </w:rPr>
        <w:t>Implementación del Plan de Salud Pública de Intervenciones Colectivas.</w:t>
      </w:r>
      <w:r w:rsidRPr="004674CF">
        <w:rPr>
          <w:rFonts w:ascii="Verdana" w:hAnsi="Verdana"/>
          <w:sz w:val="16"/>
          <w:szCs w:val="16"/>
          <w:lang w:val="es-CO"/>
        </w:rPr>
        <w:t> Las Entidades Territoriales de los órdenes departamental, distrital y municipal, o las entidades que hagan sus veces, implementarán el plan de Salud Pública de Intervenciones Colectivas, conforme con lo siguiente:</w:t>
      </w:r>
    </w:p>
    <w:p w14:paraId="13469BA3"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 Las Entidades Territoriales de los órdenes departamental y distrital contratarán el Plan de Salud Pública de Intervenciones Colectivas (PIC), con las Empresas Sociales del Estado o las Entidades que hagan sus veces ubicadas en el departamento o distrito respectivamente, garantizando en su implementación la territorialización y permanencia de las acciones. </w:t>
      </w:r>
    </w:p>
    <w:p w14:paraId="16CD7BD5"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12.2. Las Entidades Territoriales del orden municipal contratarán el Plan de Salud Pública de Intervenciones Colectivas (PIC), con las Empresas Sociales del Estado o las Entidades que hagan sus veces de carácter territorial municipal ubicadas en el ámbito de su jurisdicción, garantizando en su implementación la territorialización y permanencia de las acciones. </w:t>
      </w:r>
    </w:p>
    <w:p w14:paraId="64145605"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12.3. El plan de Salud Pública de Intervenciones Colectivas será implementado a través de Equipos Básicos de Salud, que desarrollarán las acciones colectivas establecidas en la normativa vigente, en los diferentes entornos de la vida cotidiana.12.4. En el nivel municipal se implementará un único plan de Salud Pública de Intervenciones Colectivas, a través del cual se garantice la concurrencia técnica, administrativa y financiera entre las Entidades Territoriales de los órdenes departamental y municipal.</w:t>
      </w:r>
    </w:p>
    <w:p w14:paraId="7B34EE21"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 xml:space="preserve">12.5. Las entidades territoriales departamentales, distritales y municipales y las Empresas Sociales del Estado, ubicadas en el departamento, distrito o municipio, suscribirán un convenio o contrato para la implementación del Plan de Salud Pública de Intervenciones Colectivas y suscribirán el acta de inicio a más tardar el 1° de abril de cada vigencia, garantizando su operación y continuidad hasta el 31 de marzo de la siguiente vigencia, en el marco de los principios de continuidad y disponibilidad establecidos en la Ley </w:t>
      </w:r>
      <w:r w:rsidRPr="004674CF">
        <w:rPr>
          <w:rFonts w:ascii="Verdana" w:hAnsi="Verdana"/>
          <w:color w:val="000000" w:themeColor="text1"/>
          <w:sz w:val="16"/>
          <w:szCs w:val="16"/>
          <w:lang w:val="es-CO"/>
        </w:rPr>
        <w:t>número </w:t>
      </w:r>
      <w:hyperlink r:id="rId4" w:history="1">
        <w:r w:rsidRPr="004674CF">
          <w:rPr>
            <w:rStyle w:val="Hipervnculo"/>
            <w:rFonts w:ascii="Verdana" w:hAnsi="Verdana"/>
            <w:color w:val="000000" w:themeColor="text1"/>
            <w:sz w:val="16"/>
            <w:szCs w:val="16"/>
            <w:lang w:val="es-CO"/>
          </w:rPr>
          <w:t>1751</w:t>
        </w:r>
      </w:hyperlink>
      <w:r w:rsidRPr="004674CF">
        <w:rPr>
          <w:rFonts w:ascii="Verdana" w:hAnsi="Verdana"/>
          <w:color w:val="000000" w:themeColor="text1"/>
          <w:sz w:val="16"/>
          <w:szCs w:val="16"/>
          <w:lang w:val="es-CO"/>
        </w:rPr>
        <w:t> de 2</w:t>
      </w:r>
      <w:r w:rsidRPr="004674CF">
        <w:rPr>
          <w:rFonts w:ascii="Verdana" w:hAnsi="Verdana"/>
          <w:sz w:val="16"/>
          <w:szCs w:val="16"/>
          <w:lang w:val="es-CO"/>
        </w:rPr>
        <w:t>015 o la norma que la modifique, asegurando la ejecución de la totalidad de recursos asignados.</w:t>
      </w:r>
    </w:p>
    <w:p w14:paraId="38A072E8"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12.6. Las Empresas Sociales del Estado o las entidades que hagan sus veces, con las cuales las entidades territoriales contraten el Plan de Salud Pública de Intervenciones Colectivas (PIC), implementarán, en coordinación con las entidades territoriales de los órdenes departamental, distrital y municipal, un plan de fortalecimiento institucional para garantizar la adecuada y efectiva ejecución del PIC, conforme a las directrices que para tal efecto emita el Ministerio de Salud y Protección Social.</w:t>
      </w:r>
    </w:p>
    <w:p w14:paraId="7E64FF20"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12.7. En los municipios que no cuenten con Empresas Sociales del Estado o la entidad que haga sus veces en el ámbito de su jurisdicción, el municipio ejecutará de manera directa las intervenciones colectivas que no requieran para su ejecución un servicio habilitado y contratarán con la Empresa Social del Estado del municipio más cercano, aquellas intervenciones colectivas que deben prestarse a través de servicios habilitados.</w:t>
      </w:r>
    </w:p>
    <w:p w14:paraId="039C6E75"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12.8. Las entidades territoriales de los órdenes departamental, distrital y municipal implementarán mecanismos de coordinación con las instituciones prestadoras de servicios de salud, públicas, privadas y mixtas, las entidades promotoras de salud o quien haga sus veces, las demás entidades del sector público, el sector privado y la sociedad en general, con el fin de fortalecer la capacidad resolutiva de las acciones desarrolladas desde el plan de intervenciones colectivas en complementariedad con las intervenciones individuales del plan de beneficios en salud para la integralidad y continuidad de la atención, en el marco de los principios de concurrencia y complementariedad.</w:t>
      </w:r>
    </w:p>
    <w:p w14:paraId="23462D7C"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12.9. En caso de que la Empresa Social del Estado o la entidad que haga sus veces desista del proceso de contratación del Plan de Salud Pública de Intervenciones Colectivas (PIC), deberá manifestarlo por escrito en un plazo de máximo quince (15) días calendario siguientes a la propuesta de contratación de la entidad territorial o la entidad que haga sus veces. En todo caso deberá evidenciarse la gestión adelantada por la entidad territorial para la contratación del PIC con la ESE, o la entidad que haga sus veces.</w:t>
      </w:r>
    </w:p>
    <w:p w14:paraId="564BC39D"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12.10. En los municipios donde la única Empresa Social del Estado o la entidad que haga sus veces, haya desistido por escrito de la contratación del Plan de Salud Pública de Intervenciones Colectivas (PIC), este podrá ser contratado excepcionalmente con la ESE o quien haga sus veces, del municipio más cercano.</w:t>
      </w:r>
    </w:p>
    <w:p w14:paraId="339C4882"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12.11. De no contar la Empresa Social del Estado o la entidad que haga sus veces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estas intervenciones serán implementadas directamente por la Entidad Territorial de los órdenes departamental, distrital o municipal, de acuerdo con sus competencias legales.</w:t>
      </w:r>
    </w:p>
    <w:p w14:paraId="0D968157"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12.12. Excepcionalmente, cuando la entidad territorial de los órdenes departamental, distrital o municipal no cuente con la capacidad técnica y operativa para la “gestión y operación de los programas de enfermedades transmitidas por vectores y zoonosis”, en términos del cumplimiento del perfil y experiencia del talento humano, la maquinaria y equipos incluido su mantenimiento y calibración; así como los requisitos establecidos en la normativa vigente para la manipulación de plaguicidas de acuerdo con lo descrito en los lineamientos emitidos por el Ministerio de Salud y Protección Social , estas intervenciones podrán ser contratadas a través de universidades, organizaciones no gubernamentales (ONG) o instituciones de naturaleza privada cuyo objeto social esté relacionado, previa verificación del cumplimiento de las condiciones establecidas, conforme con las disposiciones aplicables a la contratación estatal.</w:t>
      </w:r>
    </w:p>
    <w:p w14:paraId="61EC9F79"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 xml:space="preserve">12.13. Las entidades territoriales de los órdenes departamental, distrital y municipal que celebren acuerdos de voluntades para las intervenciones colectivas deberán dar cumplimiento a lo establecido en el Decreto </w:t>
      </w:r>
      <w:r w:rsidRPr="004674CF">
        <w:rPr>
          <w:rFonts w:ascii="Verdana" w:hAnsi="Verdana"/>
          <w:color w:val="000000" w:themeColor="text1"/>
          <w:sz w:val="16"/>
          <w:szCs w:val="16"/>
          <w:lang w:val="es-CO"/>
        </w:rPr>
        <w:t>número </w:t>
      </w:r>
      <w:hyperlink r:id="rId5" w:history="1">
        <w:r w:rsidRPr="004674CF">
          <w:rPr>
            <w:rStyle w:val="Hipervnculo"/>
            <w:rFonts w:ascii="Verdana" w:hAnsi="Verdana"/>
            <w:color w:val="000000" w:themeColor="text1"/>
            <w:sz w:val="16"/>
            <w:szCs w:val="16"/>
            <w:lang w:val="es-CO"/>
          </w:rPr>
          <w:t>441</w:t>
        </w:r>
      </w:hyperlink>
      <w:r w:rsidRPr="004674CF">
        <w:rPr>
          <w:rFonts w:ascii="Verdana" w:hAnsi="Verdana"/>
          <w:color w:val="000000" w:themeColor="text1"/>
          <w:sz w:val="16"/>
          <w:szCs w:val="16"/>
          <w:lang w:val="es-CO"/>
        </w:rPr>
        <w:t> de 20</w:t>
      </w:r>
      <w:r w:rsidRPr="004674CF">
        <w:rPr>
          <w:rFonts w:ascii="Verdana" w:hAnsi="Verdana"/>
          <w:sz w:val="16"/>
          <w:szCs w:val="16"/>
          <w:lang w:val="es-CO"/>
        </w:rPr>
        <w:t>22 y Resolución número 2336 de 2023 o las normas que lo modifiquen o deroguen. </w:t>
      </w:r>
    </w:p>
    <w:p w14:paraId="4DAEDFFD"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12.14. Con el fin de fortalecer el abordaje comunitario en salud sexual y reproductiva, consumo de sustancias psicoactivas y otras prioridades en salud pública con poblaciones de especial interés, las entidades que implementen el Plan de Salud Pública de Intervenciones Colectivas podrán contratar actividades específicas con organizaciones de base comunitaria, sin ánimo de lucro, de acuerdo con la normativa vigente y los lineamientos que para tal efecto expida el Ministerio de Salud y Protección Social.</w:t>
      </w:r>
    </w:p>
    <w:p w14:paraId="48D3D07D"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12.15. En ningún caso se podrán subcontratar las intervenciones colectivas del Plan de Salud Pública de Intervenciones Colectivas, salvo las actividades de apoyo, tales como adquisición de insumos, material didáctico que se pueda requerir para la ejecución directa del objeto, servicio de transporte y demás aspectos logísticos.</w:t>
      </w:r>
    </w:p>
    <w:p w14:paraId="00F2349D"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12.16. Se podrán realizar alianzas entre dos o más municipios para la contratación de intervenciones colectivas en el marco de estrategias conjuntas de salud pública, que tengan un alcance regional y subregional o que permitan optimizar esfuerzos y recursos.</w:t>
      </w:r>
    </w:p>
    <w:p w14:paraId="66D91F68" w14:textId="77777777" w:rsidR="00CD5DE0" w:rsidRPr="004674CF" w:rsidRDefault="00CD5DE0" w:rsidP="00CD5DE0">
      <w:pPr>
        <w:pStyle w:val="Textonotapie"/>
        <w:ind w:firstLine="709"/>
        <w:jc w:val="both"/>
        <w:rPr>
          <w:rFonts w:ascii="Verdana" w:hAnsi="Verdana"/>
          <w:sz w:val="16"/>
          <w:szCs w:val="16"/>
          <w:lang w:val="es-CO"/>
        </w:rPr>
      </w:pPr>
      <w:r w:rsidRPr="004674CF">
        <w:rPr>
          <w:rFonts w:ascii="Verdana" w:hAnsi="Verdana"/>
          <w:sz w:val="16"/>
          <w:szCs w:val="16"/>
          <w:lang w:val="es-CO"/>
        </w:rPr>
        <w:t>Parágrafo. Este Ministerio reglamentará las condiciones que deben cumplir las organizaciones de base comunitaria, sin ánimo de lucro, para el desarrollo de las actividades de abordaje comunitario.</w:t>
      </w:r>
    </w:p>
  </w:footnote>
  <w:footnote w:id="51">
    <w:p w14:paraId="3296D7B6" w14:textId="77777777" w:rsidR="00CD5DE0" w:rsidRPr="002A760C" w:rsidRDefault="00CD5DE0" w:rsidP="00CD5DE0">
      <w:pPr>
        <w:pStyle w:val="Textonotapie"/>
        <w:ind w:firstLine="709"/>
        <w:rPr>
          <w:rFonts w:ascii="Verdana" w:hAnsi="Verdana"/>
          <w:sz w:val="16"/>
          <w:szCs w:val="16"/>
        </w:rPr>
      </w:pPr>
      <w:r w:rsidRPr="004674CF">
        <w:rPr>
          <w:rStyle w:val="Refdenotaalpie"/>
          <w:rFonts w:ascii="Verdana" w:hAnsi="Verdana"/>
          <w:sz w:val="16"/>
          <w:szCs w:val="16"/>
        </w:rPr>
        <w:footnoteRef/>
      </w:r>
      <w:r w:rsidRPr="004674CF">
        <w:rPr>
          <w:rFonts w:ascii="Verdana" w:hAnsi="Verdana"/>
          <w:sz w:val="16"/>
          <w:szCs w:val="16"/>
        </w:rPr>
        <w:t xml:space="preserve"> Esto en el entendido de la posición de la Agencia Nacional descrito en la presente comunicación.</w:t>
      </w:r>
      <w:r w:rsidRPr="003B2CAD">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D750F8C"/>
    <w:multiLevelType w:val="hybridMultilevel"/>
    <w:tmpl w:val="BC0EF77C"/>
    <w:lvl w:ilvl="0" w:tplc="E5E065DA">
      <w:start w:val="1"/>
      <w:numFmt w:val="lowerRoman"/>
      <w:lvlText w:val="(%1)"/>
      <w:lvlJc w:val="left"/>
      <w:pPr>
        <w:ind w:left="1080" w:hanging="72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358431546">
    <w:abstractNumId w:val="3"/>
  </w:num>
  <w:num w:numId="18" w16cid:durableId="3935104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452"/>
    <w:rsid w:val="00016F78"/>
    <w:rsid w:val="00027D3C"/>
    <w:rsid w:val="00046945"/>
    <w:rsid w:val="00061B2A"/>
    <w:rsid w:val="00082362"/>
    <w:rsid w:val="000A683E"/>
    <w:rsid w:val="000B19B9"/>
    <w:rsid w:val="000D0334"/>
    <w:rsid w:val="000D5DA7"/>
    <w:rsid w:val="000F5150"/>
    <w:rsid w:val="000F6486"/>
    <w:rsid w:val="001030A1"/>
    <w:rsid w:val="00116940"/>
    <w:rsid w:val="00125105"/>
    <w:rsid w:val="00127233"/>
    <w:rsid w:val="00141335"/>
    <w:rsid w:val="0015699B"/>
    <w:rsid w:val="00156CAA"/>
    <w:rsid w:val="001A33BF"/>
    <w:rsid w:val="001A4CB2"/>
    <w:rsid w:val="001E4177"/>
    <w:rsid w:val="001F0B24"/>
    <w:rsid w:val="001F7DC6"/>
    <w:rsid w:val="0022400B"/>
    <w:rsid w:val="002421BB"/>
    <w:rsid w:val="0025796E"/>
    <w:rsid w:val="002707A2"/>
    <w:rsid w:val="00280633"/>
    <w:rsid w:val="002951A0"/>
    <w:rsid w:val="002962BC"/>
    <w:rsid w:val="002A093D"/>
    <w:rsid w:val="002A0DD0"/>
    <w:rsid w:val="002A49AC"/>
    <w:rsid w:val="002A64FD"/>
    <w:rsid w:val="002C7A84"/>
    <w:rsid w:val="002E2BF8"/>
    <w:rsid w:val="002E4FD9"/>
    <w:rsid w:val="0030657A"/>
    <w:rsid w:val="00307885"/>
    <w:rsid w:val="00322A85"/>
    <w:rsid w:val="00324168"/>
    <w:rsid w:val="00330834"/>
    <w:rsid w:val="003448F4"/>
    <w:rsid w:val="0037046E"/>
    <w:rsid w:val="00374F5E"/>
    <w:rsid w:val="00377E3E"/>
    <w:rsid w:val="003A779E"/>
    <w:rsid w:val="003D0F4D"/>
    <w:rsid w:val="003D151C"/>
    <w:rsid w:val="003D5B0D"/>
    <w:rsid w:val="003E0499"/>
    <w:rsid w:val="003E4F80"/>
    <w:rsid w:val="003E6439"/>
    <w:rsid w:val="003F3941"/>
    <w:rsid w:val="00406575"/>
    <w:rsid w:val="00414C74"/>
    <w:rsid w:val="0042722E"/>
    <w:rsid w:val="00436C27"/>
    <w:rsid w:val="0044528D"/>
    <w:rsid w:val="00466E39"/>
    <w:rsid w:val="004A1847"/>
    <w:rsid w:val="004A305D"/>
    <w:rsid w:val="004F21C4"/>
    <w:rsid w:val="004F257E"/>
    <w:rsid w:val="004F685F"/>
    <w:rsid w:val="005441DF"/>
    <w:rsid w:val="005566E8"/>
    <w:rsid w:val="00574867"/>
    <w:rsid w:val="00591460"/>
    <w:rsid w:val="005A65E0"/>
    <w:rsid w:val="005C3777"/>
    <w:rsid w:val="005C5CDC"/>
    <w:rsid w:val="005D476C"/>
    <w:rsid w:val="006200BF"/>
    <w:rsid w:val="006219F8"/>
    <w:rsid w:val="006302F7"/>
    <w:rsid w:val="00646B9F"/>
    <w:rsid w:val="00665D70"/>
    <w:rsid w:val="006900D9"/>
    <w:rsid w:val="006A53F6"/>
    <w:rsid w:val="006B73EB"/>
    <w:rsid w:val="00706C16"/>
    <w:rsid w:val="007135F5"/>
    <w:rsid w:val="007340C3"/>
    <w:rsid w:val="0075235A"/>
    <w:rsid w:val="00756841"/>
    <w:rsid w:val="007649AB"/>
    <w:rsid w:val="00771D0C"/>
    <w:rsid w:val="007833AC"/>
    <w:rsid w:val="007B268C"/>
    <w:rsid w:val="007B7171"/>
    <w:rsid w:val="007C0C0F"/>
    <w:rsid w:val="007C3DC2"/>
    <w:rsid w:val="007E5497"/>
    <w:rsid w:val="00806F5F"/>
    <w:rsid w:val="00811AA6"/>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224C"/>
    <w:rsid w:val="00965334"/>
    <w:rsid w:val="0097093E"/>
    <w:rsid w:val="00977986"/>
    <w:rsid w:val="00996597"/>
    <w:rsid w:val="009A0DFA"/>
    <w:rsid w:val="009A1C6F"/>
    <w:rsid w:val="009A379A"/>
    <w:rsid w:val="009B2D26"/>
    <w:rsid w:val="009C71FA"/>
    <w:rsid w:val="009C72E7"/>
    <w:rsid w:val="009C7F7E"/>
    <w:rsid w:val="009D3058"/>
    <w:rsid w:val="009F3A13"/>
    <w:rsid w:val="00A122D3"/>
    <w:rsid w:val="00A14468"/>
    <w:rsid w:val="00A17F13"/>
    <w:rsid w:val="00A20739"/>
    <w:rsid w:val="00A23AF9"/>
    <w:rsid w:val="00A33C78"/>
    <w:rsid w:val="00A83183"/>
    <w:rsid w:val="00AB0ADB"/>
    <w:rsid w:val="00AB69BD"/>
    <w:rsid w:val="00B00C0E"/>
    <w:rsid w:val="00B01B1A"/>
    <w:rsid w:val="00B0381D"/>
    <w:rsid w:val="00B44A47"/>
    <w:rsid w:val="00B72CD3"/>
    <w:rsid w:val="00B72FFF"/>
    <w:rsid w:val="00B77F69"/>
    <w:rsid w:val="00BA1806"/>
    <w:rsid w:val="00BC3D36"/>
    <w:rsid w:val="00BD54A6"/>
    <w:rsid w:val="00BD7F72"/>
    <w:rsid w:val="00BF582E"/>
    <w:rsid w:val="00BF6340"/>
    <w:rsid w:val="00BF7425"/>
    <w:rsid w:val="00C04FB3"/>
    <w:rsid w:val="00C11D8B"/>
    <w:rsid w:val="00C15139"/>
    <w:rsid w:val="00C330EB"/>
    <w:rsid w:val="00C50D69"/>
    <w:rsid w:val="00C5365C"/>
    <w:rsid w:val="00C754BE"/>
    <w:rsid w:val="00C76B1C"/>
    <w:rsid w:val="00C925AC"/>
    <w:rsid w:val="00CB6357"/>
    <w:rsid w:val="00CC1B26"/>
    <w:rsid w:val="00CD5DE0"/>
    <w:rsid w:val="00D172A8"/>
    <w:rsid w:val="00D361FD"/>
    <w:rsid w:val="00D423A2"/>
    <w:rsid w:val="00D44E26"/>
    <w:rsid w:val="00D520D8"/>
    <w:rsid w:val="00D63AC2"/>
    <w:rsid w:val="00D7383B"/>
    <w:rsid w:val="00D7788A"/>
    <w:rsid w:val="00DA231B"/>
    <w:rsid w:val="00DC39FC"/>
    <w:rsid w:val="00DD1090"/>
    <w:rsid w:val="00DF5254"/>
    <w:rsid w:val="00E02524"/>
    <w:rsid w:val="00E16408"/>
    <w:rsid w:val="00E20894"/>
    <w:rsid w:val="00E245AB"/>
    <w:rsid w:val="00E2764C"/>
    <w:rsid w:val="00E27F2E"/>
    <w:rsid w:val="00E50AFE"/>
    <w:rsid w:val="00E664C0"/>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85BFE"/>
    <w:rsid w:val="00FA47C0"/>
    <w:rsid w:val="00FB5DD1"/>
    <w:rsid w:val="00FC2B5D"/>
    <w:rsid w:val="00FF1449"/>
    <w:rsid w:val="00FF7963"/>
    <w:rsid w:val="071B8F93"/>
    <w:rsid w:val="07C73DD1"/>
    <w:rsid w:val="09908A09"/>
    <w:rsid w:val="0EFE6349"/>
    <w:rsid w:val="0F570130"/>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83183"/>
    <w:rPr>
      <w:rFonts w:ascii="Geomanist Light" w:hAnsi="Geomanist Light"/>
      <w:lang w:val="es-ES"/>
    </w:rPr>
  </w:style>
  <w:style w:type="paragraph" w:customStyle="1" w:styleId="Appelnotedebasde">
    <w:name w:val="Appel note de bas de..."/>
    <w:basedOn w:val="Normal"/>
    <w:link w:val="Refdenotaalpie"/>
    <w:uiPriority w:val="99"/>
    <w:rsid w:val="00A83183"/>
    <w:pPr>
      <w:spacing w:line="240" w:lineRule="exact"/>
    </w:pPr>
    <w:rPr>
      <w:vertAlign w:val="superscript"/>
    </w:rPr>
  </w:style>
  <w:style w:type="character" w:customStyle="1" w:styleId="NormalWebCar">
    <w:name w:val="Normal (Web) Car"/>
    <w:link w:val="NormalWeb"/>
    <w:uiPriority w:val="99"/>
    <w:locked/>
    <w:rsid w:val="00A83183"/>
    <w:rPr>
      <w:rFonts w:ascii="Times New Roman" w:eastAsia="Times New Roman" w:hAnsi="Times New Roman" w:cs="Times New Roman"/>
      <w:sz w:val="24"/>
      <w:szCs w:val="24"/>
      <w:lang w:eastAsia="es-CO"/>
    </w:rPr>
  </w:style>
  <w:style w:type="character" w:customStyle="1" w:styleId="baj">
    <w:name w:val="b_aj"/>
    <w:basedOn w:val="Fuentedeprrafopredeter"/>
    <w:rsid w:val="00A83183"/>
  </w:style>
  <w:style w:type="paragraph" w:styleId="Textoindependiente">
    <w:name w:val="Body Text"/>
    <w:basedOn w:val="Normal"/>
    <w:link w:val="TextoindependienteCar"/>
    <w:uiPriority w:val="99"/>
    <w:unhideWhenUsed/>
    <w:rsid w:val="00A8318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83183"/>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dt=S&amp;i=80433"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colombiacompra.gov.co/wp-content/uploads/2025/09/006-de-2025-Circular-Externa-L996-ajustado-comentarios-BM-BID-Rev-ARSC-V3.d-1.pdf"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ellita215@hotmail.com.co" TargetMode="External"/><Relationship Id="rId24"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alcaldiabogota.gov.co/sisjur/normas/Norma1.jsp?i=125418&amp;dt=S"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https://www.colombiacompra.gov.co/normativa-y-relatoria/documentos-tip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superfinanciera.gov.co/publicaciones/10083443/normativanormativa-generalcircular-basica-juridica-ce-10083443/"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colombiacompra.gov.co/wp-content/uploads/2025/09/006-de-2025-Circular-Externa-L996-ajustado-comentarios-BM-BID-Rev-ARSC-V3.d-1.pdf" TargetMode="External"/><Relationship Id="rId2" Type="http://schemas.openxmlformats.org/officeDocument/2006/relationships/hyperlink" Target="https://www.alcaldiabogota.gov.co/sisjur/normas/Norma1.jsp?i=125418&amp;dt=S" TargetMode="External"/><Relationship Id="rId1" Type="http://schemas.openxmlformats.org/officeDocument/2006/relationships/hyperlink" Target="https://www.superfinanciera.gov.co/publicaciones/10083443/normativanormativa-generalcircular-basica-juridica-ce-10083443/" TargetMode="External"/><Relationship Id="rId5" Type="http://schemas.openxmlformats.org/officeDocument/2006/relationships/hyperlink" Target="https://www.alcaldiabogota.gov.co/sisjur/normas/Norma1.jsp?dt=S&amp;i=122202" TargetMode="External"/><Relationship Id="rId4" Type="http://schemas.openxmlformats.org/officeDocument/2006/relationships/hyperlink" Target="https://www.alcaldiabogota.gov.co/sisjur/normas/Norma1.jsp?dt=S&amp;i=607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B4095A-B234-4E09-B69A-F0BFB3D73BC8}"/>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53</Pages>
  <Words>17809</Words>
  <Characters>98131</Characters>
  <Application>Microsoft Office Word</Application>
  <DocSecurity>0</DocSecurity>
  <Lines>1752</Lines>
  <Paragraphs>309</Paragraphs>
  <ScaleCrop>false</ScaleCrop>
  <Company/>
  <LinksUpToDate>false</LinksUpToDate>
  <CharactersWithSpaces>115631</CharactersWithSpaces>
  <SharedDoc>false</SharedDoc>
  <HLinks>
    <vt:vector size="108" baseType="variant">
      <vt:variant>
        <vt:i4>4456513</vt:i4>
      </vt:variant>
      <vt:variant>
        <vt:i4>36</vt:i4>
      </vt:variant>
      <vt:variant>
        <vt:i4>0</vt:i4>
      </vt:variant>
      <vt:variant>
        <vt:i4>5</vt:i4>
      </vt:variant>
      <vt:variant>
        <vt:lpwstr>https://forms.office.com/r/pPHyWVs2SZ</vt:lpwstr>
      </vt:variant>
      <vt:variant>
        <vt:lpwstr/>
      </vt:variant>
      <vt:variant>
        <vt:i4>3407926</vt:i4>
      </vt:variant>
      <vt:variant>
        <vt:i4>33</vt:i4>
      </vt:variant>
      <vt:variant>
        <vt:i4>0</vt:i4>
      </vt:variant>
      <vt:variant>
        <vt:i4>5</vt:i4>
      </vt:variant>
      <vt:variant>
        <vt:lpwstr>https://www.colombiacompra.gov.co/pqrsd/informacion-importante-antes-de-formular-una-pqrsd</vt:lpwstr>
      </vt:variant>
      <vt:variant>
        <vt:lpwstr/>
      </vt:variant>
      <vt:variant>
        <vt:i4>4980779</vt:i4>
      </vt:variant>
      <vt:variant>
        <vt:i4>30</vt:i4>
      </vt:variant>
      <vt:variant>
        <vt:i4>0</vt:i4>
      </vt:variant>
      <vt:variant>
        <vt:i4>5</vt:i4>
      </vt:variant>
      <vt:variant>
        <vt:lpwstr>mailto:ventanilladeradicacion@colombiacompra.gov.co</vt:lpwstr>
      </vt:variant>
      <vt:variant>
        <vt:lpwstr/>
      </vt:variant>
      <vt:variant>
        <vt:i4>5505101</vt:i4>
      </vt:variant>
      <vt:variant>
        <vt:i4>27</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24</vt:i4>
      </vt:variant>
      <vt:variant>
        <vt:i4>0</vt:i4>
      </vt:variant>
      <vt:variant>
        <vt:i4>5</vt:i4>
      </vt:variant>
      <vt:variant>
        <vt:lpwstr>https://www.colombiacompra.gov.co/normativa-y-relatoria/documentos-tipo</vt:lpwstr>
      </vt:variant>
      <vt:variant>
        <vt:lpwstr/>
      </vt:variant>
      <vt:variant>
        <vt:i4>65544</vt:i4>
      </vt:variant>
      <vt:variant>
        <vt:i4>21</vt:i4>
      </vt:variant>
      <vt:variant>
        <vt:i4>0</vt:i4>
      </vt:variant>
      <vt:variant>
        <vt:i4>5</vt:i4>
      </vt:variant>
      <vt:variant>
        <vt:lpwstr>https://formacionvirtual.colombiacompra.gov.co/mod/page/view.php?id=3718</vt:lpwstr>
      </vt:variant>
      <vt:variant>
        <vt:lpwstr/>
      </vt:variant>
      <vt:variant>
        <vt:i4>7471218</vt:i4>
      </vt:variant>
      <vt:variant>
        <vt:i4>18</vt:i4>
      </vt:variant>
      <vt:variant>
        <vt:i4>0</vt:i4>
      </vt:variant>
      <vt:variant>
        <vt:i4>5</vt:i4>
      </vt:variant>
      <vt:variant>
        <vt:lpwstr>https://relatoria.colombiacompra.gov.co/busqueda/conceptos</vt:lpwstr>
      </vt:variant>
      <vt:variant>
        <vt:lpwstr/>
      </vt:variant>
      <vt:variant>
        <vt:i4>3407907</vt:i4>
      </vt:variant>
      <vt:variant>
        <vt:i4>15</vt:i4>
      </vt:variant>
      <vt:variant>
        <vt:i4>0</vt:i4>
      </vt:variant>
      <vt:variant>
        <vt:i4>5</vt:i4>
      </vt:variant>
      <vt:variant>
        <vt:lpwstr>https://colombiacompra.gov.co/wp-content/uploads/2025/09/006-de-2025-Circular-Externa-L996-ajustado-comentarios-BM-BID-Rev-ARSC-V3.d-1.pdf</vt:lpwstr>
      </vt:variant>
      <vt:variant>
        <vt:lpwstr/>
      </vt:variant>
      <vt:variant>
        <vt:i4>99</vt:i4>
      </vt:variant>
      <vt:variant>
        <vt:i4>12</vt:i4>
      </vt:variant>
      <vt:variant>
        <vt:i4>0</vt:i4>
      </vt:variant>
      <vt:variant>
        <vt:i4>5</vt:i4>
      </vt:variant>
      <vt:variant>
        <vt:lpwstr>https://www.alcaldiabogota.gov.co/sisjur/normas/Norma1.jsp?i=125418&amp;dt=S</vt:lpwstr>
      </vt:variant>
      <vt:variant>
        <vt:lpwstr>_edn1</vt:lpwstr>
      </vt:variant>
      <vt:variant>
        <vt:i4>1966105</vt:i4>
      </vt:variant>
      <vt:variant>
        <vt:i4>9</vt:i4>
      </vt:variant>
      <vt:variant>
        <vt:i4>0</vt:i4>
      </vt:variant>
      <vt:variant>
        <vt:i4>5</vt:i4>
      </vt:variant>
      <vt:variant>
        <vt:lpwstr>https://www.superfinanciera.gov.co/publicaciones/10083443/normativanormativa-generalcircular-basica-juridica-ce-10083443/</vt:lpwstr>
      </vt:variant>
      <vt:variant>
        <vt:lpwstr/>
      </vt:variant>
      <vt:variant>
        <vt:i4>3604576</vt:i4>
      </vt:variant>
      <vt:variant>
        <vt:i4>6</vt:i4>
      </vt:variant>
      <vt:variant>
        <vt:i4>0</vt:i4>
      </vt:variant>
      <vt:variant>
        <vt:i4>5</vt:i4>
      </vt:variant>
      <vt:variant>
        <vt:lpwstr>https://www.alcaldiabogota.gov.co/sisjur/normas/Norma1.jsp?dt=S&amp;i=80433</vt:lpwstr>
      </vt:variant>
      <vt:variant>
        <vt:lpwstr/>
      </vt:variant>
      <vt:variant>
        <vt:i4>786452</vt:i4>
      </vt:variant>
      <vt:variant>
        <vt:i4>3</vt:i4>
      </vt:variant>
      <vt:variant>
        <vt:i4>0</vt:i4>
      </vt:variant>
      <vt:variant>
        <vt:i4>5</vt:i4>
      </vt:variant>
      <vt:variant>
        <vt:lpwstr>http://www.secretariasenado.gov.co/senado/basedoc/ley_0080_1993.html</vt:lpwstr>
      </vt:variant>
      <vt:variant>
        <vt:lpwstr>25</vt:lpwstr>
      </vt:variant>
      <vt:variant>
        <vt:i4>7405644</vt:i4>
      </vt:variant>
      <vt:variant>
        <vt:i4>0</vt:i4>
      </vt:variant>
      <vt:variant>
        <vt:i4>0</vt:i4>
      </vt:variant>
      <vt:variant>
        <vt:i4>5</vt:i4>
      </vt:variant>
      <vt:variant>
        <vt:lpwstr>mailto:mellita215@hotmail.com.co</vt:lpwstr>
      </vt:variant>
      <vt:variant>
        <vt:lpwstr/>
      </vt:variant>
      <vt:variant>
        <vt:i4>393311</vt:i4>
      </vt:variant>
      <vt:variant>
        <vt:i4>12</vt:i4>
      </vt:variant>
      <vt:variant>
        <vt:i4>0</vt:i4>
      </vt:variant>
      <vt:variant>
        <vt:i4>5</vt:i4>
      </vt:variant>
      <vt:variant>
        <vt:lpwstr>https://www.alcaldiabogota.gov.co/sisjur/normas/Norma1.jsp?dt=S&amp;i=122202</vt:lpwstr>
      </vt:variant>
      <vt:variant>
        <vt:lpwstr/>
      </vt:variant>
      <vt:variant>
        <vt:i4>3604589</vt:i4>
      </vt:variant>
      <vt:variant>
        <vt:i4>9</vt:i4>
      </vt:variant>
      <vt:variant>
        <vt:i4>0</vt:i4>
      </vt:variant>
      <vt:variant>
        <vt:i4>5</vt:i4>
      </vt:variant>
      <vt:variant>
        <vt:lpwstr>https://www.alcaldiabogota.gov.co/sisjur/normas/Norma1.jsp?dt=S&amp;i=60733</vt:lpwstr>
      </vt:variant>
      <vt:variant>
        <vt:lpwstr/>
      </vt:variant>
      <vt:variant>
        <vt:i4>3407907</vt:i4>
      </vt:variant>
      <vt:variant>
        <vt:i4>6</vt:i4>
      </vt:variant>
      <vt:variant>
        <vt:i4>0</vt:i4>
      </vt:variant>
      <vt:variant>
        <vt:i4>5</vt:i4>
      </vt:variant>
      <vt:variant>
        <vt:lpwstr>https://colombiacompra.gov.co/wp-content/uploads/2025/09/006-de-2025-Circular-Externa-L996-ajustado-comentarios-BM-BID-Rev-ARSC-V3.d-1.pdf</vt:lpwstr>
      </vt:variant>
      <vt:variant>
        <vt:lpwstr/>
      </vt:variant>
      <vt:variant>
        <vt:i4>99</vt:i4>
      </vt:variant>
      <vt:variant>
        <vt:i4>3</vt:i4>
      </vt:variant>
      <vt:variant>
        <vt:i4>0</vt:i4>
      </vt:variant>
      <vt:variant>
        <vt:i4>5</vt:i4>
      </vt:variant>
      <vt:variant>
        <vt:lpwstr>https://www.alcaldiabogota.gov.co/sisjur/normas/Norma1.jsp?i=125418&amp;dt=S</vt:lpwstr>
      </vt:variant>
      <vt:variant>
        <vt:lpwstr>_edn1</vt:lpwstr>
      </vt:variant>
      <vt:variant>
        <vt:i4>1966105</vt:i4>
      </vt:variant>
      <vt:variant>
        <vt:i4>0</vt:i4>
      </vt:variant>
      <vt:variant>
        <vt:i4>0</vt:i4>
      </vt:variant>
      <vt:variant>
        <vt:i4>5</vt:i4>
      </vt:variant>
      <vt:variant>
        <vt:lpwstr>https://www.superfinanciera.gov.co/publicaciones/10083443/normativanormativa-generalcircular-basica-juridica-ce-10083443/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2026-03-30T03:17:00Z</dcterms:created>
  <dcterms:modified xsi:type="dcterms:W3CDTF">2026-03-30T04:19:00Z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