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7908D" w14:textId="77777777" w:rsidR="007448A3" w:rsidRPr="007448A3" w:rsidRDefault="007448A3" w:rsidP="00176C48">
      <w:pPr>
        <w:spacing w:after="0" w:line="240" w:lineRule="auto"/>
        <w:jc w:val="both"/>
        <w:rPr>
          <w:rFonts w:ascii="Verdana" w:eastAsia="Verdana" w:hAnsi="Verdana" w:cs="Verdana"/>
          <w:b/>
          <w:lang w:val="es-ES"/>
        </w:rPr>
      </w:pPr>
      <w:bookmarkStart w:id="0" w:name="_Hlk143780582"/>
      <w:r w:rsidRPr="007448A3">
        <w:rPr>
          <w:rFonts w:ascii="Verdana" w:eastAsia="Verdana" w:hAnsi="Verdana" w:cs="Verdana"/>
          <w:b/>
          <w:lang w:val="es-ES"/>
        </w:rPr>
        <w:t>EGCAP – Ámbito de aplicación – Entidades estatales</w:t>
      </w:r>
    </w:p>
    <w:p w14:paraId="7D42923F" w14:textId="77777777" w:rsidR="007448A3" w:rsidRPr="007448A3" w:rsidRDefault="007448A3" w:rsidP="00176C48">
      <w:pPr>
        <w:spacing w:after="0" w:line="240" w:lineRule="auto"/>
        <w:jc w:val="both"/>
        <w:rPr>
          <w:rFonts w:ascii="Verdana" w:eastAsia="Verdana" w:hAnsi="Verdana" w:cs="Verdana"/>
          <w:b/>
          <w:lang w:val="es-ES"/>
        </w:rPr>
      </w:pPr>
    </w:p>
    <w:p w14:paraId="553B32C8" w14:textId="32EF9636" w:rsidR="007448A3" w:rsidRDefault="007448A3" w:rsidP="00176C48">
      <w:pPr>
        <w:spacing w:after="0" w:line="240" w:lineRule="auto"/>
        <w:jc w:val="both"/>
        <w:rPr>
          <w:rFonts w:ascii="Verdana" w:eastAsia="Verdana" w:hAnsi="Verdana" w:cs="Verdana"/>
          <w:sz w:val="20"/>
          <w:lang w:val="es-ES"/>
        </w:rPr>
      </w:pPr>
      <w:r w:rsidRPr="007448A3">
        <w:rPr>
          <w:rFonts w:ascii="Verdana" w:eastAsia="Verdana" w:hAnsi="Verdana" w:cs="Verdana"/>
          <w:sz w:val="20"/>
          <w:lang w:val="es-ES"/>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7448A3">
        <w:rPr>
          <w:rFonts w:ascii="Verdana" w:eastAsia="Verdana" w:hAnsi="Verdana" w:cs="Verdana"/>
          <w:i/>
          <w:iCs/>
          <w:sz w:val="20"/>
          <w:lang w:val="es-ES"/>
        </w:rPr>
        <w:t>entidades estatales</w:t>
      </w:r>
      <w:r w:rsidRPr="007448A3">
        <w:rPr>
          <w:rFonts w:ascii="Verdana" w:eastAsia="Verdana" w:hAnsi="Verdana" w:cs="Verdana"/>
          <w:sz w:val="20"/>
          <w:lang w:val="es-ES"/>
        </w:rPr>
        <w:t xml:space="preserve">, esto es, aquellas previstas en los literales a) y b) del numeral 1 del artículo 2 </w:t>
      </w:r>
      <w:r w:rsidRPr="007448A3">
        <w:rPr>
          <w:rFonts w:ascii="Verdana" w:eastAsia="Verdana" w:hAnsi="Verdana" w:cs="Verdana"/>
          <w:i/>
          <w:iCs/>
          <w:sz w:val="20"/>
          <w:lang w:val="es-ES"/>
        </w:rPr>
        <w:t>ibidem</w:t>
      </w:r>
      <w:r w:rsidRPr="007448A3">
        <w:rPr>
          <w:rFonts w:ascii="Verdana" w:eastAsia="Verdana" w:hAnsi="Verdana" w:cs="Verdana"/>
          <w:sz w:val="20"/>
          <w:lang w:val="es-ES"/>
        </w:rPr>
        <w:t xml:space="preserve">. La norma citada define la competencia contractual en los siguientes términos: </w:t>
      </w:r>
    </w:p>
    <w:p w14:paraId="2C627321" w14:textId="77777777" w:rsidR="007448A3" w:rsidRPr="007448A3" w:rsidRDefault="007448A3" w:rsidP="00176C48">
      <w:pPr>
        <w:spacing w:after="0" w:line="240" w:lineRule="auto"/>
        <w:jc w:val="both"/>
        <w:rPr>
          <w:rFonts w:ascii="Verdana" w:eastAsia="Verdana" w:hAnsi="Verdana" w:cs="Verdana"/>
          <w:sz w:val="20"/>
          <w:lang w:val="es-ES"/>
        </w:rPr>
      </w:pPr>
    </w:p>
    <w:p w14:paraId="3CDAC7A5" w14:textId="77777777" w:rsidR="007448A3" w:rsidRDefault="007448A3" w:rsidP="00176C48">
      <w:pPr>
        <w:spacing w:after="0" w:line="240" w:lineRule="auto"/>
        <w:jc w:val="both"/>
        <w:rPr>
          <w:rFonts w:ascii="Verdana" w:eastAsia="Verdana" w:hAnsi="Verdana" w:cs="Verdana"/>
          <w:sz w:val="20"/>
          <w:lang w:val="es-ES"/>
        </w:rPr>
      </w:pPr>
      <w:r w:rsidRPr="007448A3">
        <w:rPr>
          <w:rFonts w:ascii="Verdana" w:eastAsia="Verdana" w:hAnsi="Verdana" w:cs="Verdana"/>
          <w:sz w:val="20"/>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B17F800" w14:textId="5CC9980B" w:rsidR="007448A3" w:rsidRPr="007448A3" w:rsidRDefault="007448A3" w:rsidP="00176C48">
      <w:pPr>
        <w:spacing w:after="0" w:line="240" w:lineRule="auto"/>
        <w:jc w:val="both"/>
        <w:rPr>
          <w:rFonts w:ascii="Verdana" w:eastAsia="Verdana" w:hAnsi="Verdana" w:cs="Verdana"/>
          <w:sz w:val="20"/>
          <w:lang w:val="es-ES"/>
        </w:rPr>
      </w:pPr>
      <w:r w:rsidRPr="007448A3">
        <w:rPr>
          <w:rFonts w:ascii="Verdana" w:eastAsia="Verdana" w:hAnsi="Verdana" w:cs="Verdana"/>
          <w:sz w:val="20"/>
          <w:lang w:val="es-ES"/>
        </w:rPr>
        <w:t xml:space="preserve"> </w:t>
      </w:r>
    </w:p>
    <w:p w14:paraId="4191ED91" w14:textId="20A84D31" w:rsidR="007448A3" w:rsidRPr="007448A3" w:rsidRDefault="007448A3" w:rsidP="00176C48">
      <w:pPr>
        <w:spacing w:after="0" w:line="240" w:lineRule="auto"/>
        <w:jc w:val="both"/>
        <w:rPr>
          <w:rFonts w:ascii="Verdana" w:eastAsia="Verdana" w:hAnsi="Verdana" w:cs="Verdana"/>
          <w:sz w:val="20"/>
          <w:lang w:val="es-ES"/>
        </w:rPr>
      </w:pPr>
      <w:r w:rsidRPr="007448A3">
        <w:rPr>
          <w:rFonts w:ascii="Verdana" w:eastAsia="Verdana" w:hAnsi="Verdana" w:cs="Verdana"/>
          <w:sz w:val="20"/>
          <w:lang w:val="es-ES"/>
        </w:rPr>
        <w:t xml:space="preserve">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 </w:t>
      </w:r>
    </w:p>
    <w:p w14:paraId="139A2642" w14:textId="77777777" w:rsidR="007448A3" w:rsidRPr="007448A3" w:rsidRDefault="007448A3" w:rsidP="00176C48">
      <w:pPr>
        <w:spacing w:after="0" w:line="240" w:lineRule="auto"/>
        <w:jc w:val="both"/>
        <w:rPr>
          <w:rFonts w:ascii="Verdana" w:eastAsia="Verdana" w:hAnsi="Verdana" w:cs="Verdana"/>
          <w:b/>
          <w:lang w:val="es-ES"/>
        </w:rPr>
      </w:pPr>
    </w:p>
    <w:p w14:paraId="4100FCBB" w14:textId="77777777" w:rsidR="007448A3" w:rsidRPr="007448A3" w:rsidRDefault="007448A3" w:rsidP="00176C48">
      <w:pPr>
        <w:spacing w:after="0" w:line="240" w:lineRule="auto"/>
        <w:jc w:val="both"/>
        <w:rPr>
          <w:rFonts w:ascii="Verdana" w:eastAsia="Verdana" w:hAnsi="Verdana" w:cs="Verdana"/>
          <w:b/>
          <w:lang w:val="es-ES"/>
        </w:rPr>
      </w:pPr>
      <w:r w:rsidRPr="007448A3">
        <w:rPr>
          <w:rFonts w:ascii="Verdana" w:eastAsia="Verdana" w:hAnsi="Verdana" w:cs="Verdana"/>
          <w:b/>
          <w:lang w:val="es-ES"/>
        </w:rPr>
        <w:t>ENTIDADES SIN PERSONERÍA JURÍDICA – Capacidad Contractual – Estatuto Orgánico de Presupuesto</w:t>
      </w:r>
    </w:p>
    <w:p w14:paraId="659325FE" w14:textId="77777777" w:rsidR="007448A3" w:rsidRPr="007448A3" w:rsidRDefault="007448A3" w:rsidP="00176C48">
      <w:pPr>
        <w:spacing w:after="0" w:line="240" w:lineRule="auto"/>
        <w:jc w:val="both"/>
        <w:rPr>
          <w:rFonts w:ascii="Verdana" w:eastAsia="Verdana" w:hAnsi="Verdana" w:cs="Verdana"/>
          <w:b/>
          <w:lang w:val="es-ES"/>
        </w:rPr>
      </w:pPr>
    </w:p>
    <w:p w14:paraId="15FE03A6" w14:textId="024EC717" w:rsidR="007448A3" w:rsidRDefault="007448A3" w:rsidP="00176C48">
      <w:pPr>
        <w:spacing w:after="0" w:line="240" w:lineRule="auto"/>
        <w:jc w:val="both"/>
        <w:rPr>
          <w:rFonts w:ascii="Verdana" w:eastAsia="Verdana" w:hAnsi="Verdana" w:cs="Verdana"/>
          <w:sz w:val="20"/>
        </w:rPr>
      </w:pPr>
      <w:r w:rsidRPr="007448A3">
        <w:rPr>
          <w:rFonts w:ascii="Verdana" w:eastAsia="Verdana" w:hAnsi="Verdana" w:cs="Verdana"/>
          <w:sz w:val="20"/>
        </w:rPr>
        <w:t>En torno a la capacidad externa, se encuentra que existen entidades que, si bien no se caracterizan por tener personería jurídica, si tienen capacidad contractual. De este tipo de entidades se refiere el artículo 352 constitucional, cuando prescribe que la Ley Orgánica de Presupuesto tiene la regulación de la capacidad para celebrar contratos a entidades y organismos públicos. En este aspecto, el Estatuto Orgánico del Presupuesto permite que organismos públicos tengan la capacidad para celebrar contratos a pesar de que no cuenten con personería jurídica, teniendo en cuenta que se haya otorgado dicha habilitación de forma expresa.</w:t>
      </w:r>
    </w:p>
    <w:p w14:paraId="23386CDD" w14:textId="77777777" w:rsidR="007448A3" w:rsidRPr="007448A3" w:rsidRDefault="007448A3" w:rsidP="00176C48">
      <w:pPr>
        <w:spacing w:after="0" w:line="240" w:lineRule="auto"/>
        <w:jc w:val="both"/>
        <w:rPr>
          <w:rFonts w:ascii="Verdana" w:eastAsia="Verdana" w:hAnsi="Verdana" w:cs="Verdana"/>
          <w:sz w:val="20"/>
          <w:lang w:val="es-ES"/>
        </w:rPr>
      </w:pPr>
    </w:p>
    <w:p w14:paraId="6C331FF1" w14:textId="77777777" w:rsidR="007448A3" w:rsidRPr="007448A3" w:rsidRDefault="007448A3" w:rsidP="00176C48">
      <w:pPr>
        <w:spacing w:after="0" w:line="240" w:lineRule="auto"/>
        <w:jc w:val="both"/>
        <w:rPr>
          <w:rFonts w:ascii="Verdana" w:eastAsia="Verdana" w:hAnsi="Verdana" w:cs="Verdana"/>
          <w:b/>
          <w:lang w:val="es-ES"/>
        </w:rPr>
      </w:pPr>
      <w:r w:rsidRPr="007448A3">
        <w:rPr>
          <w:rFonts w:ascii="Verdana" w:eastAsia="Verdana" w:hAnsi="Verdana" w:cs="Verdana"/>
          <w:b/>
          <w:lang w:val="es-ES"/>
        </w:rPr>
        <w:t xml:space="preserve">POLICÍA NACIONAL – Naturaleza Jurídica – Cuerpo Civil Armado – Organismo sin personería jurídica </w:t>
      </w:r>
    </w:p>
    <w:p w14:paraId="2D8F115C" w14:textId="1B8A46B0" w:rsidR="007448A3" w:rsidRPr="007448A3" w:rsidRDefault="007448A3" w:rsidP="00176C48">
      <w:pPr>
        <w:spacing w:after="0" w:line="240" w:lineRule="auto"/>
        <w:jc w:val="both"/>
        <w:rPr>
          <w:rFonts w:ascii="Verdana" w:eastAsia="Verdana" w:hAnsi="Verdana" w:cs="Verdana"/>
          <w:sz w:val="20"/>
          <w:lang w:val="es-ES"/>
        </w:rPr>
      </w:pPr>
      <w:r w:rsidRPr="007448A3">
        <w:rPr>
          <w:rFonts w:ascii="Verdana" w:eastAsia="Verdana" w:hAnsi="Verdana" w:cs="Verdana"/>
          <w:sz w:val="20"/>
          <w:lang w:val="es-ES"/>
        </w:rPr>
        <w:lastRenderedPageBreak/>
        <w:t>De este modo, se encuentra que la Policía no tiene personería jurídica, sin embargo, cuenta con la capacidad contractual. Ahora bien, para entender un poco más de esta entidad, el artículo 218 de la Constitución Política establece: “la Policía Nacional es un cuerpo armado permanente de naturaleza civil, a cargo de la Nación, cuyo fin primordial es el mantenimiento de las condiciones necesarias para el ejercicio de los derechos y libertades públicas, y para asegurar que los habitantes de Colombia convivan en paz”. La Corte Constitucional ha reiterado ese carácter civil de la Policía Nacional, estableciendo que la naturaleza jurídica de esta institución es diferente a la de las Fuerzas Militares, su naturaleza civil implica que los inferiores son responsables por la ejecución de las órdenes que reciban y como autoridad administrativa cumple funciones preventivas más no represivas, salvo cuando actúa como colaboradora de las autoridades judiciales en ejercicio de la función de policía judicial.</w:t>
      </w:r>
    </w:p>
    <w:p w14:paraId="23867684" w14:textId="77777777" w:rsidR="007448A3" w:rsidRPr="007448A3" w:rsidRDefault="007448A3" w:rsidP="00176C48">
      <w:pPr>
        <w:spacing w:after="0" w:line="240" w:lineRule="auto"/>
        <w:jc w:val="both"/>
        <w:rPr>
          <w:rFonts w:ascii="Verdana" w:eastAsia="Verdana" w:hAnsi="Verdana" w:cs="Verdana"/>
          <w:b/>
          <w:lang w:val="es-ES"/>
        </w:rPr>
      </w:pPr>
    </w:p>
    <w:p w14:paraId="71C316E5" w14:textId="5E74023B" w:rsidR="007448A3" w:rsidRPr="007448A3" w:rsidRDefault="007448A3" w:rsidP="00176C48">
      <w:pPr>
        <w:spacing w:after="0" w:line="240" w:lineRule="auto"/>
        <w:jc w:val="both"/>
        <w:rPr>
          <w:rFonts w:ascii="Verdana" w:eastAsia="Verdana" w:hAnsi="Verdana" w:cs="Verdana"/>
          <w:b/>
          <w:lang w:val="es-ES_tradnl"/>
        </w:rPr>
      </w:pPr>
      <w:r w:rsidRPr="007448A3">
        <w:rPr>
          <w:rFonts w:ascii="Verdana" w:eastAsia="Verdana" w:hAnsi="Verdana" w:cs="Verdana"/>
          <w:b/>
          <w:lang w:val="es-ES_tradnl"/>
        </w:rPr>
        <w:t xml:space="preserve">LEY 1955 DE 2019 – Artículo 229 – Finalidad </w:t>
      </w:r>
    </w:p>
    <w:p w14:paraId="62697874" w14:textId="77777777" w:rsidR="007448A3" w:rsidRPr="00176C48" w:rsidRDefault="007448A3" w:rsidP="00176C48">
      <w:pPr>
        <w:spacing w:after="0" w:line="240" w:lineRule="auto"/>
        <w:jc w:val="both"/>
        <w:rPr>
          <w:rFonts w:ascii="Verdana" w:eastAsia="Verdana" w:hAnsi="Verdana" w:cs="Verdana"/>
          <w:sz w:val="20"/>
          <w:lang w:val="es-ES_tradnl"/>
        </w:rPr>
      </w:pPr>
    </w:p>
    <w:p w14:paraId="5D2FD516" w14:textId="5AC93D99" w:rsidR="007448A3" w:rsidRPr="00176C48" w:rsidRDefault="007448A3" w:rsidP="00176C48">
      <w:pPr>
        <w:spacing w:after="0" w:line="240" w:lineRule="auto"/>
        <w:jc w:val="both"/>
        <w:rPr>
          <w:rFonts w:ascii="Verdana" w:eastAsia="Verdana" w:hAnsi="Verdana" w:cs="Verdana"/>
          <w:sz w:val="20"/>
        </w:rPr>
      </w:pPr>
      <w:r w:rsidRPr="00176C48">
        <w:rPr>
          <w:rFonts w:ascii="Verdana" w:eastAsia="Verdana" w:hAnsi="Verdana" w:cs="Verdana"/>
          <w:sz w:val="20"/>
        </w:rPr>
        <w:t xml:space="preserve">Así, en el mercado de la compra pública se crean incentivos para fomentar el desarrollo de determinado tipo de proveedores, como ocurre con los incentivos a las </w:t>
      </w:r>
      <w:proofErr w:type="spellStart"/>
      <w:r w:rsidRPr="00176C48">
        <w:rPr>
          <w:rFonts w:ascii="Verdana" w:eastAsia="Verdana" w:hAnsi="Verdana" w:cs="Verdana"/>
          <w:sz w:val="20"/>
        </w:rPr>
        <w:t>Mipymes</w:t>
      </w:r>
      <w:proofErr w:type="spellEnd"/>
      <w:r w:rsidRPr="00176C48">
        <w:rPr>
          <w:rFonts w:ascii="Verdana" w:eastAsia="Verdana" w:hAnsi="Verdana" w:cs="Verdana"/>
          <w:sz w:val="20"/>
        </w:rPr>
        <w:t>, a los emprendimientos y empresas de mujeres, entre otros. En esa orientación, el artículo 229 de la Ley 1955 de 2019, “Por el cual se expide el Plan Nacional de Desarrollo 2018-2022”,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w:t>
      </w:r>
    </w:p>
    <w:p w14:paraId="754D08FF" w14:textId="77777777" w:rsidR="007448A3" w:rsidRPr="007448A3" w:rsidRDefault="007448A3" w:rsidP="00176C48">
      <w:pPr>
        <w:spacing w:after="0" w:line="240" w:lineRule="auto"/>
        <w:jc w:val="both"/>
        <w:rPr>
          <w:rFonts w:ascii="Verdana" w:eastAsia="Verdana" w:hAnsi="Verdana" w:cs="Verdana"/>
          <w:b/>
          <w:lang w:val="es-ES_tradnl"/>
        </w:rPr>
      </w:pPr>
    </w:p>
    <w:p w14:paraId="2C210287" w14:textId="77777777" w:rsidR="007448A3" w:rsidRPr="007448A3" w:rsidRDefault="007448A3" w:rsidP="00176C48">
      <w:pPr>
        <w:spacing w:after="0" w:line="240" w:lineRule="auto"/>
        <w:jc w:val="both"/>
        <w:rPr>
          <w:rFonts w:ascii="Verdana" w:eastAsia="Verdana" w:hAnsi="Verdana" w:cs="Verdana"/>
          <w:b/>
          <w:lang w:val="es-ES_tradnl"/>
        </w:rPr>
      </w:pPr>
      <w:r w:rsidRPr="007448A3">
        <w:rPr>
          <w:rFonts w:ascii="Verdana" w:eastAsia="Verdana" w:hAnsi="Verdana" w:cs="Verdana"/>
          <w:b/>
          <w:lang w:val="es-ES_tradnl"/>
        </w:rPr>
        <w:t xml:space="preserve">LEY 2046 DE 2020 – Finalidad – Ámbito de aplicación - Compra pública de alimentos </w:t>
      </w:r>
    </w:p>
    <w:p w14:paraId="0481A37E" w14:textId="77777777" w:rsidR="007448A3" w:rsidRPr="00176C48" w:rsidRDefault="007448A3" w:rsidP="00176C48">
      <w:pPr>
        <w:spacing w:after="0" w:line="240" w:lineRule="auto"/>
        <w:jc w:val="both"/>
        <w:rPr>
          <w:rFonts w:ascii="Verdana" w:eastAsia="Verdana" w:hAnsi="Verdana" w:cs="Verdana"/>
          <w:sz w:val="20"/>
          <w:lang w:val="es-ES_tradnl"/>
        </w:rPr>
      </w:pPr>
    </w:p>
    <w:p w14:paraId="164B9C2C" w14:textId="77777777" w:rsidR="00176C48" w:rsidRPr="00176C48" w:rsidRDefault="00176C48" w:rsidP="00176C48">
      <w:pPr>
        <w:spacing w:after="0" w:line="240" w:lineRule="auto"/>
        <w:jc w:val="both"/>
        <w:rPr>
          <w:rFonts w:ascii="Verdana" w:eastAsia="Verdana" w:hAnsi="Verdana" w:cs="Verdana"/>
          <w:sz w:val="20"/>
        </w:rPr>
      </w:pPr>
      <w:r w:rsidRPr="00176C48">
        <w:rPr>
          <w:rFonts w:ascii="Verdana" w:eastAsia="Verdana" w:hAnsi="Verdana" w:cs="Verdana"/>
          <w:sz w:val="20"/>
        </w:rPr>
        <w:t xml:space="preserve">La exposición de motivos de la citada Ley explicó, entre otras cosas, lo siguiente: “[…] los parámetros del Estatuto de Contratación, no incluyen, como regla general, la posibilidad de participación de las organizaciones campesinas, indígenas, afros y raizales productoras de alimentos, pues las exigencias técnicas, logísticas y financieras para poder responder a las condiciones contractuales y operativas definidas por las entidades públicas, solo pueden ser satisfechas por empresas intermediarias que llevan bastante tiempo n el mercado”. </w:t>
      </w:r>
    </w:p>
    <w:p w14:paraId="66A982FD" w14:textId="2C0DE719" w:rsidR="00176C48" w:rsidRPr="00176C48" w:rsidRDefault="00176C48" w:rsidP="00176C48">
      <w:pPr>
        <w:spacing w:after="0" w:line="240" w:lineRule="auto"/>
        <w:jc w:val="both"/>
        <w:rPr>
          <w:rFonts w:ascii="Verdana" w:eastAsia="Verdana" w:hAnsi="Verdana" w:cs="Verdana"/>
          <w:sz w:val="20"/>
        </w:rPr>
      </w:pPr>
      <w:r w:rsidRPr="00176C48">
        <w:rPr>
          <w:rFonts w:ascii="Verdana" w:eastAsia="Verdana" w:hAnsi="Verdana" w:cs="Verdana"/>
          <w:sz w:val="20"/>
        </w:rPr>
        <w:t>[…]</w:t>
      </w:r>
    </w:p>
    <w:p w14:paraId="08C5F945" w14:textId="48C7292A" w:rsidR="00176C48" w:rsidRDefault="00176C48" w:rsidP="00176C48">
      <w:pPr>
        <w:spacing w:after="0" w:line="240" w:lineRule="auto"/>
        <w:jc w:val="both"/>
        <w:rPr>
          <w:rFonts w:ascii="Verdana" w:eastAsia="Verdana" w:hAnsi="Verdana" w:cs="Verdana"/>
          <w:sz w:val="20"/>
        </w:rPr>
      </w:pPr>
      <w:r w:rsidRPr="00176C48">
        <w:rPr>
          <w:rFonts w:ascii="Verdana" w:eastAsia="Verdana" w:hAnsi="Verdana" w:cs="Verdana"/>
          <w:sz w:val="20"/>
        </w:rPr>
        <w:t>En este contexto, de acuerdo con el artículo 1, el objeto de la ley “[…] consiste en establecer condiciones e instrumentos de abastecimiento alimentario para que todos los programas públicos de suministro y distribución de alimentos promuevan la participación de pequeños productores locales y productores locales agropecuarios cuyos sistemas productivos pertenezcan a la Agricultura Campesina, Familiar y Comunitaria, o de sus organizaciones legalmente constituidas”.</w:t>
      </w:r>
    </w:p>
    <w:p w14:paraId="1B831B2F" w14:textId="77777777" w:rsidR="00176C48" w:rsidRPr="00176C48" w:rsidRDefault="00176C48" w:rsidP="00176C48">
      <w:pPr>
        <w:spacing w:after="0" w:line="240" w:lineRule="auto"/>
        <w:jc w:val="both"/>
        <w:rPr>
          <w:rFonts w:ascii="Verdana" w:eastAsia="Verdana" w:hAnsi="Verdana" w:cs="Verdana"/>
          <w:sz w:val="20"/>
        </w:rPr>
      </w:pPr>
    </w:p>
    <w:p w14:paraId="2DF893A0" w14:textId="125529D1" w:rsidR="00176C48" w:rsidRDefault="00176C48" w:rsidP="00176C48">
      <w:pPr>
        <w:spacing w:after="0" w:line="240" w:lineRule="auto"/>
        <w:jc w:val="both"/>
        <w:rPr>
          <w:rFonts w:ascii="Verdana" w:eastAsia="Verdana" w:hAnsi="Verdana" w:cs="Verdana"/>
          <w:sz w:val="20"/>
        </w:rPr>
      </w:pPr>
      <w:r w:rsidRPr="00176C48">
        <w:rPr>
          <w:rFonts w:ascii="Verdana" w:eastAsia="Verdana" w:hAnsi="Verdana" w:cs="Verdana"/>
          <w:sz w:val="20"/>
        </w:rPr>
        <w:t xml:space="preserve">En cuanto al campo de aplicación, el artículo 3 ibidem prescribe lo siguiente: “Las disposiciones que aquí se establecen, serán obligatorias para las entidades públicas del </w:t>
      </w:r>
      <w:r w:rsidRPr="00176C48">
        <w:rPr>
          <w:rFonts w:ascii="Verdana" w:eastAsia="Verdana" w:hAnsi="Verdana" w:cs="Verdana"/>
          <w:sz w:val="20"/>
        </w:rPr>
        <w:lastRenderedPageBreak/>
        <w:t xml:space="preserve">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Por lo demás, también dispone en su inciso segundo que “Las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 </w:t>
      </w:r>
    </w:p>
    <w:p w14:paraId="6831F87C" w14:textId="77777777" w:rsidR="00176C48" w:rsidRPr="00176C48" w:rsidRDefault="00176C48" w:rsidP="00176C48">
      <w:pPr>
        <w:spacing w:after="0" w:line="240" w:lineRule="auto"/>
        <w:jc w:val="both"/>
        <w:rPr>
          <w:rFonts w:ascii="Verdana" w:eastAsia="Verdana" w:hAnsi="Verdana" w:cs="Verdana"/>
          <w:sz w:val="20"/>
        </w:rPr>
      </w:pPr>
    </w:p>
    <w:p w14:paraId="34442682" w14:textId="77777777" w:rsidR="00176C48" w:rsidRPr="00176C48" w:rsidRDefault="00176C48" w:rsidP="00176C48">
      <w:pPr>
        <w:spacing w:after="0" w:line="240" w:lineRule="auto"/>
        <w:jc w:val="both"/>
        <w:rPr>
          <w:rFonts w:ascii="Verdana" w:eastAsia="Verdana" w:hAnsi="Verdana" w:cs="Verdana"/>
          <w:sz w:val="20"/>
        </w:rPr>
      </w:pPr>
      <w:r w:rsidRPr="00176C48">
        <w:rPr>
          <w:rFonts w:ascii="Verdana" w:eastAsia="Verdana" w:hAnsi="Verdana" w:cs="Verdana"/>
          <w:sz w:val="20"/>
        </w:rPr>
        <w:t>En efecto, este ámbito de aplicación no se limita a las entidades sujetas al Estatuto General de Contratación de la Administración Pública, sino que se extiende a otro tipo de Entidades Públicas de los distintos órdenes, las sociedades de economía mixta, entidades privadas que administren recursos públicos, así como los demás sujetos mencionados en la norma. Esta redacción evidencia la intención del legislador de otorgar un alcance general y comprensivo a las obligaciones allí contenidas, evitando limitar su aplicación a una categoría específica de entidades.</w:t>
      </w:r>
    </w:p>
    <w:p w14:paraId="7F2B0C87" w14:textId="77777777" w:rsidR="007448A3" w:rsidRPr="00176C48" w:rsidRDefault="007448A3" w:rsidP="00176C48">
      <w:pPr>
        <w:spacing w:after="0" w:line="240" w:lineRule="auto"/>
        <w:jc w:val="both"/>
        <w:rPr>
          <w:rFonts w:ascii="Verdana" w:eastAsia="Verdana" w:hAnsi="Verdana" w:cs="Verdana"/>
          <w:b/>
        </w:rPr>
      </w:pPr>
    </w:p>
    <w:p w14:paraId="2C058970" w14:textId="6E28A67E" w:rsidR="007448A3" w:rsidRPr="007448A3" w:rsidRDefault="007448A3" w:rsidP="00176C48">
      <w:pPr>
        <w:spacing w:after="0" w:line="240" w:lineRule="auto"/>
        <w:jc w:val="both"/>
        <w:rPr>
          <w:rFonts w:ascii="Verdana" w:eastAsia="Verdana" w:hAnsi="Verdana" w:cs="Verdana"/>
          <w:b/>
          <w:lang w:val="es-ES_tradnl"/>
        </w:rPr>
      </w:pPr>
      <w:r w:rsidRPr="007448A3">
        <w:rPr>
          <w:rFonts w:ascii="Verdana" w:eastAsia="Verdana" w:hAnsi="Verdana" w:cs="Verdana"/>
          <w:b/>
          <w:lang w:val="es-ES_tradnl"/>
        </w:rPr>
        <w:t>DECRETO 248 DE 2021 –</w:t>
      </w:r>
      <w:r w:rsidR="00276931">
        <w:rPr>
          <w:rFonts w:ascii="Verdana" w:eastAsia="Verdana" w:hAnsi="Verdana" w:cs="Verdana"/>
          <w:b/>
          <w:lang w:val="es-ES_tradnl"/>
        </w:rPr>
        <w:t xml:space="preserve"> </w:t>
      </w:r>
      <w:r w:rsidRPr="007448A3">
        <w:rPr>
          <w:rFonts w:ascii="Verdana" w:eastAsia="Verdana" w:hAnsi="Verdana" w:cs="Verdana"/>
          <w:b/>
          <w:lang w:val="es-ES_tradnl"/>
        </w:rPr>
        <w:t xml:space="preserve">Incentivos – Articulo </w:t>
      </w:r>
      <w:r w:rsidRPr="007448A3">
        <w:rPr>
          <w:rFonts w:ascii="Verdana" w:eastAsia="Verdana" w:hAnsi="Verdana" w:cs="Verdana"/>
          <w:b/>
        </w:rPr>
        <w:t>2.20.1.2.1</w:t>
      </w:r>
      <w:r w:rsidRPr="007448A3">
        <w:rPr>
          <w:rFonts w:ascii="Verdana" w:eastAsia="Verdana" w:hAnsi="Verdana" w:cs="Verdana"/>
          <w:b/>
          <w:lang w:val="es-ES_tradnl"/>
        </w:rPr>
        <w:t>. – Literal b)- Proveedor Directo</w:t>
      </w:r>
    </w:p>
    <w:p w14:paraId="5A6343B2" w14:textId="77777777" w:rsidR="007448A3" w:rsidRPr="00176C48" w:rsidRDefault="007448A3" w:rsidP="00176C48">
      <w:pPr>
        <w:spacing w:after="0" w:line="240" w:lineRule="auto"/>
        <w:jc w:val="both"/>
        <w:rPr>
          <w:rFonts w:ascii="Verdana" w:eastAsia="Verdana" w:hAnsi="Verdana" w:cs="Verdana"/>
          <w:sz w:val="20"/>
          <w:lang w:val="es-ES_tradnl"/>
        </w:rPr>
      </w:pPr>
    </w:p>
    <w:p w14:paraId="17DCC263" w14:textId="382B6215" w:rsidR="00176C48" w:rsidRDefault="00176C48" w:rsidP="00176C48">
      <w:pPr>
        <w:spacing w:after="0" w:line="240" w:lineRule="auto"/>
        <w:jc w:val="both"/>
        <w:rPr>
          <w:rFonts w:ascii="Verdana" w:eastAsia="Verdana" w:hAnsi="Verdana" w:cs="Verdana"/>
          <w:sz w:val="20"/>
        </w:rPr>
      </w:pPr>
      <w:r w:rsidRPr="00176C48">
        <w:rPr>
          <w:rFonts w:ascii="Verdana" w:eastAsia="Verdana" w:hAnsi="Verdana" w:cs="Verdana"/>
          <w:sz w:val="20"/>
        </w:rPr>
        <w:t>Así, la interpretación sistemática del literal b) del artículo 2.20.1.2.1 permite concluir que el propósito del incentivo normativo es favorecer la contratación con sujetos que intervienen directamente en la producción de los alimentos, ya sea de manera individual como pequeños productores o productores de la ACFC, o de forma asociativa a través de organizaciones conformadas por estos, garantizando que el beneficio del puntaje adicional recaiga sobre quienes hacen parte efectiva de la base productiva rural.</w:t>
      </w:r>
    </w:p>
    <w:p w14:paraId="735E8AA1" w14:textId="77777777" w:rsidR="00176C48" w:rsidRPr="00176C48" w:rsidRDefault="00176C48" w:rsidP="00176C48">
      <w:pPr>
        <w:spacing w:after="0" w:line="240" w:lineRule="auto"/>
        <w:jc w:val="both"/>
        <w:rPr>
          <w:rFonts w:ascii="Verdana" w:eastAsia="Verdana" w:hAnsi="Verdana" w:cs="Verdana"/>
          <w:sz w:val="20"/>
        </w:rPr>
      </w:pPr>
    </w:p>
    <w:p w14:paraId="0B1A1068" w14:textId="1172E8B1" w:rsidR="00176C48" w:rsidRDefault="00176C48" w:rsidP="00176C48">
      <w:pPr>
        <w:spacing w:after="0" w:line="240" w:lineRule="auto"/>
        <w:jc w:val="both"/>
        <w:rPr>
          <w:rFonts w:ascii="Verdana" w:eastAsia="Verdana" w:hAnsi="Verdana" w:cs="Verdana"/>
          <w:sz w:val="20"/>
        </w:rPr>
      </w:pPr>
      <w:r w:rsidRPr="00176C48">
        <w:rPr>
          <w:rFonts w:ascii="Verdana" w:eastAsia="Verdana" w:hAnsi="Verdana" w:cs="Verdana"/>
          <w:sz w:val="20"/>
        </w:rPr>
        <w:t>Bajo este entendimiento, no resulta procedente extender la noción de proveedor directo a oferentes que, aun participando en el proceso de contratación, no acrediten su calidad de pequeños productores o productores de la ACFC, ni la de organización de estos, por cuanto ello desnaturalizaría la finalidad del esquema de puntajes establecido por el Decreto 248 de 2021, cuyo objetivo es promover la inclusión de la Agricultura Campesina, Familiar y Comunitaria y de los pequeños productores agropecuarios en las compras públicas de alimentos.</w:t>
      </w:r>
    </w:p>
    <w:p w14:paraId="005590B1" w14:textId="77777777" w:rsidR="00176C48" w:rsidRPr="00176C48" w:rsidRDefault="00176C48" w:rsidP="00176C48">
      <w:pPr>
        <w:spacing w:after="0" w:line="240" w:lineRule="auto"/>
        <w:jc w:val="both"/>
        <w:rPr>
          <w:rFonts w:ascii="Verdana" w:eastAsia="Verdana" w:hAnsi="Verdana" w:cs="Verdana"/>
          <w:sz w:val="20"/>
        </w:rPr>
      </w:pPr>
    </w:p>
    <w:p w14:paraId="01F4215A" w14:textId="77777777" w:rsidR="00176C48" w:rsidRPr="00176C48" w:rsidRDefault="00176C48" w:rsidP="00176C48">
      <w:pPr>
        <w:spacing w:after="0" w:line="240" w:lineRule="auto"/>
        <w:jc w:val="both"/>
        <w:rPr>
          <w:rFonts w:ascii="Verdana" w:eastAsia="Verdana" w:hAnsi="Verdana" w:cs="Verdana"/>
          <w:sz w:val="20"/>
        </w:rPr>
      </w:pPr>
      <w:r w:rsidRPr="00176C48">
        <w:rPr>
          <w:rFonts w:ascii="Verdana" w:eastAsia="Verdana" w:hAnsi="Verdana" w:cs="Verdana"/>
          <w:sz w:val="20"/>
        </w:rPr>
        <w:t>En consecuencia, para efectos de la aplicación del puntaje adicional previsto en el literal b) del artículo 2.20.1.2.1 del Decreto 1071 de 2015, la calidad de proveedor directo debe entenderse acreditada únicamente cuando el oferente demuestre su condición de pequeño productor agropecuario, productor de la Agricultura Campesina, Familiar y Comunitaria, o de organización integrada por estos, en los términos previstos por la normativa vigente.</w:t>
      </w:r>
    </w:p>
    <w:p w14:paraId="2CECF66D" w14:textId="77777777" w:rsidR="007448A3" w:rsidRDefault="007448A3" w:rsidP="008C3D38">
      <w:pPr>
        <w:spacing w:after="0"/>
        <w:rPr>
          <w:rFonts w:ascii="Verdana" w:eastAsia="Verdana" w:hAnsi="Verdana" w:cs="Verdana"/>
        </w:rPr>
      </w:pPr>
    </w:p>
    <w:p w14:paraId="163217A4" w14:textId="3FE6E470" w:rsidR="008C3D38" w:rsidRPr="008C3D38" w:rsidRDefault="0069216D" w:rsidP="008C3D38">
      <w:pPr>
        <w:spacing w:after="0"/>
        <w:rPr>
          <w:rFonts w:ascii="Verdana" w:hAnsi="Verdana"/>
        </w:rPr>
      </w:pPr>
      <w:r w:rsidRPr="0069216D">
        <w:rPr>
          <w:noProof/>
          <w:lang w:val="en-US"/>
        </w:rPr>
        <w:lastRenderedPageBreak/>
        <w:drawing>
          <wp:anchor distT="0" distB="0" distL="114300" distR="114300" simplePos="0" relativeHeight="251658240" behindDoc="0" locked="0" layoutInCell="1" allowOverlap="1" wp14:anchorId="17D1407D" wp14:editId="519047B3">
            <wp:simplePos x="0" y="0"/>
            <wp:positionH relativeFrom="column">
              <wp:posOffset>3013710</wp:posOffset>
            </wp:positionH>
            <wp:positionV relativeFrom="paragraph">
              <wp:posOffset>69850</wp:posOffset>
            </wp:positionV>
            <wp:extent cx="2617470" cy="695960"/>
            <wp:effectExtent l="0" t="0" r="0" b="889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17470" cy="695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48A3">
        <w:rPr>
          <w:rFonts w:ascii="Verdana" w:eastAsia="Verdana" w:hAnsi="Verdana" w:cs="Verdana"/>
        </w:rPr>
        <w:t>Bogotá D.C., 27 de marzo de 2026</w:t>
      </w:r>
      <w:r w:rsidR="008C3D38" w:rsidRPr="008C3D38">
        <w:tab/>
      </w:r>
      <w:r w:rsidR="008C3D38" w:rsidRPr="008C3D38">
        <w:br/>
      </w:r>
    </w:p>
    <w:p w14:paraId="1AC1A594" w14:textId="77777777" w:rsidR="008C3D38" w:rsidRPr="008C3D38" w:rsidRDefault="008C3D38" w:rsidP="008C3D38">
      <w:pPr>
        <w:spacing w:after="0" w:line="240" w:lineRule="auto"/>
        <w:rPr>
          <w:rFonts w:ascii="Verdana" w:hAnsi="Verdana"/>
        </w:rPr>
      </w:pPr>
    </w:p>
    <w:p w14:paraId="11F9DEAF" w14:textId="77777777" w:rsidR="008C3D38" w:rsidRPr="008C3D38" w:rsidRDefault="008C3D38" w:rsidP="008C3D38">
      <w:pPr>
        <w:spacing w:after="0" w:line="240" w:lineRule="auto"/>
        <w:rPr>
          <w:rFonts w:ascii="Verdana" w:eastAsia="Calibri" w:hAnsi="Verdana" w:cs="Times New Roman"/>
          <w:lang w:val="es-MX"/>
        </w:rPr>
      </w:pPr>
      <w:r w:rsidRPr="008C3D38">
        <w:rPr>
          <w:rFonts w:ascii="Verdana" w:eastAsia="Calibri" w:hAnsi="Verdana" w:cs="Times New Roman"/>
          <w:lang w:val="es-MX"/>
        </w:rPr>
        <w:t>Señora</w:t>
      </w:r>
    </w:p>
    <w:p w14:paraId="39E090BA" w14:textId="77777777" w:rsidR="008C3D38" w:rsidRPr="008C3D38" w:rsidRDefault="008C3D38" w:rsidP="008C3D38">
      <w:pPr>
        <w:spacing w:after="0" w:line="240" w:lineRule="auto"/>
        <w:rPr>
          <w:rFonts w:ascii="Verdana" w:eastAsia="Calibri" w:hAnsi="Verdana" w:cs="Times New Roman"/>
          <w:b/>
        </w:rPr>
      </w:pPr>
      <w:r w:rsidRPr="008C3D38">
        <w:rPr>
          <w:rFonts w:ascii="Verdana" w:eastAsia="Calibri" w:hAnsi="Verdana" w:cs="Times New Roman"/>
          <w:b/>
        </w:rPr>
        <w:t xml:space="preserve">Carmen Liliana Salazar </w:t>
      </w:r>
      <w:proofErr w:type="spellStart"/>
      <w:r w:rsidRPr="008C3D38">
        <w:rPr>
          <w:rFonts w:ascii="Verdana" w:eastAsia="Calibri" w:hAnsi="Verdana" w:cs="Times New Roman"/>
          <w:b/>
        </w:rPr>
        <w:t>Salazar</w:t>
      </w:r>
      <w:proofErr w:type="spellEnd"/>
    </w:p>
    <w:p w14:paraId="771D0F67" w14:textId="77777777" w:rsidR="008C3D38" w:rsidRPr="008C3D38" w:rsidRDefault="008C3D38" w:rsidP="008C3D38">
      <w:pPr>
        <w:spacing w:after="0" w:line="240" w:lineRule="auto"/>
        <w:rPr>
          <w:rFonts w:ascii="Verdana" w:hAnsi="Verdana"/>
        </w:rPr>
      </w:pPr>
      <w:hyperlink r:id="rId12" w:history="1">
        <w:r w:rsidRPr="008C3D38">
          <w:rPr>
            <w:rFonts w:ascii="Verdana" w:hAnsi="Verdana"/>
            <w:color w:val="0000FF"/>
            <w:u w:val="single"/>
          </w:rPr>
          <w:t>carmen.lsalazar@hotmail.com;eva@funcionpublica.gov.co</w:t>
        </w:r>
      </w:hyperlink>
      <w:r w:rsidRPr="008C3D38">
        <w:rPr>
          <w:rFonts w:ascii="Verdana" w:hAnsi="Verdana"/>
        </w:rPr>
        <w:t xml:space="preserve"> </w:t>
      </w:r>
    </w:p>
    <w:p w14:paraId="30E4C879" w14:textId="77777777" w:rsidR="008C3D38" w:rsidRPr="008C3D38" w:rsidRDefault="008C3D38" w:rsidP="008C3D38">
      <w:pPr>
        <w:spacing w:after="0" w:line="240" w:lineRule="auto"/>
        <w:rPr>
          <w:rFonts w:ascii="Verdana" w:eastAsia="Calibri" w:hAnsi="Verdana" w:cs="Times New Roman"/>
          <w:bCs/>
        </w:rPr>
      </w:pPr>
      <w:r w:rsidRPr="008C3D38">
        <w:rPr>
          <w:rFonts w:ascii="Verdana" w:eastAsia="Calibri" w:hAnsi="Verdana" w:cs="Times New Roman"/>
          <w:bCs/>
        </w:rPr>
        <w:t xml:space="preserve">Armenia, </w:t>
      </w:r>
      <w:proofErr w:type="spellStart"/>
      <w:r w:rsidRPr="008C3D38">
        <w:rPr>
          <w:rFonts w:ascii="Verdana" w:eastAsia="Calibri" w:hAnsi="Verdana" w:cs="Times New Roman"/>
          <w:bCs/>
        </w:rPr>
        <w:t>Quindio</w:t>
      </w:r>
      <w:proofErr w:type="spellEnd"/>
      <w:r w:rsidRPr="008C3D38">
        <w:rPr>
          <w:rFonts w:ascii="Verdana" w:eastAsia="Calibri" w:hAnsi="Verdana" w:cs="Times New Roman"/>
          <w:bCs/>
        </w:rPr>
        <w:t xml:space="preserve"> </w:t>
      </w:r>
    </w:p>
    <w:p w14:paraId="53EB8CB8" w14:textId="77777777" w:rsidR="008C3D38" w:rsidRPr="008C3D38" w:rsidRDefault="008C3D38" w:rsidP="008C3D38">
      <w:pPr>
        <w:spacing w:after="0" w:line="240" w:lineRule="auto"/>
        <w:rPr>
          <w:rFonts w:ascii="Verdana" w:eastAsia="Calibri" w:hAnsi="Verdana" w:cs="Times New Roman"/>
        </w:rPr>
      </w:pPr>
    </w:p>
    <w:p w14:paraId="0E82429E" w14:textId="77777777" w:rsidR="008C3D38" w:rsidRPr="008C3D38" w:rsidRDefault="008C3D38" w:rsidP="008C3D38">
      <w:pPr>
        <w:spacing w:after="0" w:line="240" w:lineRule="auto"/>
        <w:rPr>
          <w:rFonts w:ascii="Verdana" w:eastAsia="Calibri" w:hAnsi="Verdana" w:cs="Times New Roman"/>
        </w:rPr>
      </w:pPr>
    </w:p>
    <w:p w14:paraId="36425DB9" w14:textId="77777777" w:rsidR="008C3D38" w:rsidRPr="008C3D38" w:rsidRDefault="008C3D38" w:rsidP="008C3D38">
      <w:pPr>
        <w:spacing w:after="0" w:line="240" w:lineRule="auto"/>
        <w:rPr>
          <w:rFonts w:ascii="Verdana" w:eastAsia="Calibri" w:hAnsi="Verdana" w:cs="Times New Roman"/>
          <w:b/>
          <w:bCs/>
          <w:lang w:val="es-ES"/>
        </w:rPr>
      </w:pPr>
      <w:r w:rsidRPr="008C3D38">
        <w:rPr>
          <w:rFonts w:ascii="Verdana" w:eastAsia="Calibri" w:hAnsi="Verdana" w:cs="Times New Roman"/>
          <w:b/>
          <w:bCs/>
          <w:lang w:val="es-ES"/>
        </w:rPr>
        <w:t xml:space="preserve">                                    Concepto C–237 de 2026</w:t>
      </w:r>
    </w:p>
    <w:p w14:paraId="2B125022" w14:textId="77777777" w:rsidR="008C3D38" w:rsidRPr="008C3D38" w:rsidRDefault="008C3D38" w:rsidP="008C3D38">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8C3D38" w:rsidRPr="008C3D38" w14:paraId="3A2541C6" w14:textId="77777777" w:rsidTr="002C7923">
        <w:trPr>
          <w:trHeight w:val="645"/>
        </w:trPr>
        <w:tc>
          <w:tcPr>
            <w:tcW w:w="2685" w:type="dxa"/>
            <w:hideMark/>
          </w:tcPr>
          <w:p w14:paraId="7898FE97" w14:textId="77777777" w:rsidR="008C3D38" w:rsidRPr="008C3D38" w:rsidRDefault="008C3D38" w:rsidP="008C3D38">
            <w:pPr>
              <w:rPr>
                <w:rFonts w:ascii="Verdana" w:hAnsi="Verdana"/>
                <w:b/>
                <w:bCs/>
                <w:lang w:val="es-ES_tradnl"/>
              </w:rPr>
            </w:pPr>
            <w:r w:rsidRPr="008C3D38">
              <w:rPr>
                <w:rFonts w:ascii="Verdana" w:hAnsi="Verdana"/>
                <w:b/>
                <w:bCs/>
                <w:lang w:val="es-ES_tradnl"/>
              </w:rPr>
              <w:t xml:space="preserve">Temas:                  </w:t>
            </w:r>
          </w:p>
        </w:tc>
        <w:tc>
          <w:tcPr>
            <w:tcW w:w="6241" w:type="dxa"/>
            <w:hideMark/>
          </w:tcPr>
          <w:p w14:paraId="206BE9AF" w14:textId="77777777" w:rsidR="008C3D38" w:rsidRPr="008C3D38" w:rsidRDefault="008C3D38" w:rsidP="008C3D38">
            <w:pPr>
              <w:spacing w:line="276" w:lineRule="auto"/>
              <w:jc w:val="both"/>
              <w:rPr>
                <w:rFonts w:ascii="Verdana" w:hAnsi="Verdana" w:cs="Arial"/>
                <w:lang w:val="es-ES_tradnl" w:eastAsia="es-ES"/>
              </w:rPr>
            </w:pPr>
            <w:r w:rsidRPr="008C3D38">
              <w:rPr>
                <w:rFonts w:ascii="Verdana" w:hAnsi="Verdana" w:cs="Arial"/>
                <w:lang w:val="es-ES" w:eastAsia="es-ES"/>
              </w:rPr>
              <w:t xml:space="preserve">EGCAP – Ámbito de aplicación – Entidades estatales / ENTIDADES SIN PERSONERÍA JURÍDICA – Capacidad Contractual – Estatuto Orgánico de Presupuesto / POLICÍA NACIONAL – Naturaleza Jurídica – Cuerpo Civil Armado – Organismo sin personería jurídica / </w:t>
            </w:r>
            <w:r w:rsidRPr="008C3D38">
              <w:rPr>
                <w:rFonts w:ascii="Verdana" w:hAnsi="Verdana" w:cs="Arial"/>
                <w:lang w:val="es-ES_tradnl" w:eastAsia="es-ES"/>
              </w:rPr>
              <w:t xml:space="preserve">LEY 1955 DE 2019 – Artículo 229 – Finalidad / LEY 2046 DE 2020 – Finalidad – Ámbito de aplicación - Compra pública de alimentos / DECRETO 248 DE 2021 –Incentivos – Articulo </w:t>
            </w:r>
            <w:r w:rsidRPr="008C3D38">
              <w:rPr>
                <w:rFonts w:ascii="Verdana" w:hAnsi="Verdana" w:cs="Arial"/>
                <w:lang w:eastAsia="es-ES"/>
              </w:rPr>
              <w:t>2.20.1.2.1</w:t>
            </w:r>
            <w:r w:rsidRPr="008C3D38">
              <w:rPr>
                <w:rFonts w:ascii="Verdana" w:hAnsi="Verdana" w:cs="Arial"/>
                <w:lang w:val="es-ES_tradnl" w:eastAsia="es-ES"/>
              </w:rPr>
              <w:t xml:space="preserve">. – Literal b)- Proveedor Directo. </w:t>
            </w:r>
          </w:p>
          <w:p w14:paraId="66F097BE" w14:textId="77777777" w:rsidR="008C3D38" w:rsidRPr="008C3D38" w:rsidRDefault="008C3D38" w:rsidP="008C3D38">
            <w:pPr>
              <w:snapToGrid w:val="0"/>
              <w:spacing w:line="276" w:lineRule="auto"/>
              <w:jc w:val="both"/>
              <w:rPr>
                <w:rFonts w:ascii="Verdana" w:hAnsi="Verdana" w:cs="Arial"/>
                <w:bCs/>
                <w:lang w:val="es-ES" w:eastAsia="es-ES"/>
              </w:rPr>
            </w:pPr>
          </w:p>
        </w:tc>
        <w:tc>
          <w:tcPr>
            <w:tcW w:w="6237" w:type="dxa"/>
          </w:tcPr>
          <w:p w14:paraId="36FA4491" w14:textId="77777777" w:rsidR="008C3D38" w:rsidRPr="008C3D38" w:rsidRDefault="008C3D38" w:rsidP="008C3D38">
            <w:pPr>
              <w:rPr>
                <w:rFonts w:ascii="Verdana" w:hAnsi="Verdana"/>
                <w:lang w:val="es-ES"/>
              </w:rPr>
            </w:pPr>
          </w:p>
        </w:tc>
      </w:tr>
      <w:tr w:rsidR="008C3D38" w:rsidRPr="008C3D38" w14:paraId="7FB95806" w14:textId="77777777" w:rsidTr="002C7923">
        <w:tc>
          <w:tcPr>
            <w:tcW w:w="2685" w:type="dxa"/>
          </w:tcPr>
          <w:p w14:paraId="42590D44" w14:textId="77777777" w:rsidR="008C3D38" w:rsidRPr="008C3D38" w:rsidRDefault="008C3D38" w:rsidP="008C3D38">
            <w:pPr>
              <w:rPr>
                <w:rFonts w:ascii="Verdana" w:hAnsi="Verdana"/>
                <w:b/>
                <w:bCs/>
                <w:lang w:val="es-ES_tradnl"/>
              </w:rPr>
            </w:pPr>
          </w:p>
          <w:p w14:paraId="6D5EB65A" w14:textId="77777777" w:rsidR="008C3D38" w:rsidRPr="008C3D38" w:rsidRDefault="008C3D38" w:rsidP="008C3D38">
            <w:pPr>
              <w:rPr>
                <w:rFonts w:ascii="Verdana" w:hAnsi="Verdana"/>
                <w:b/>
                <w:bCs/>
                <w:lang w:val="es-ES_tradnl"/>
              </w:rPr>
            </w:pPr>
            <w:r w:rsidRPr="008C3D38">
              <w:rPr>
                <w:rFonts w:ascii="Verdana" w:hAnsi="Verdana"/>
                <w:b/>
                <w:bCs/>
                <w:lang w:val="es-ES_tradnl"/>
              </w:rPr>
              <w:t xml:space="preserve">Radicación:               </w:t>
            </w:r>
          </w:p>
        </w:tc>
        <w:tc>
          <w:tcPr>
            <w:tcW w:w="6241" w:type="dxa"/>
          </w:tcPr>
          <w:p w14:paraId="658693ED" w14:textId="77777777" w:rsidR="008C3D38" w:rsidRPr="008C3D38" w:rsidRDefault="008C3D38" w:rsidP="008C3D38">
            <w:pPr>
              <w:spacing w:line="276" w:lineRule="auto"/>
              <w:jc w:val="both"/>
              <w:rPr>
                <w:rFonts w:ascii="Verdana" w:hAnsi="Verdana"/>
                <w:lang w:val="es-ES_tradnl"/>
              </w:rPr>
            </w:pPr>
          </w:p>
          <w:p w14:paraId="76E5E767" w14:textId="77777777" w:rsidR="008C3D38" w:rsidRPr="008C3D38" w:rsidRDefault="008C3D38" w:rsidP="008C3D38">
            <w:pPr>
              <w:spacing w:line="276" w:lineRule="auto"/>
              <w:jc w:val="both"/>
              <w:rPr>
                <w:rFonts w:ascii="Verdana" w:hAnsi="Verdana"/>
                <w:lang w:val="es-ES_tradnl"/>
              </w:rPr>
            </w:pPr>
            <w:r w:rsidRPr="008C3D38">
              <w:rPr>
                <w:rFonts w:ascii="Verdana" w:hAnsi="Verdana"/>
                <w:lang w:val="es-ES_tradnl"/>
              </w:rPr>
              <w:t xml:space="preserve">Respuesta a consulta con radicado </w:t>
            </w:r>
            <w:r w:rsidRPr="008C3D38">
              <w:rPr>
                <w:rFonts w:ascii="Verdana" w:hAnsi="Verdana"/>
              </w:rPr>
              <w:t>1_2026_02_17_002077</w:t>
            </w:r>
          </w:p>
          <w:p w14:paraId="6CEB415E" w14:textId="77777777" w:rsidR="008C3D38" w:rsidRPr="008C3D38" w:rsidRDefault="008C3D38" w:rsidP="008C3D38">
            <w:pPr>
              <w:spacing w:line="276" w:lineRule="auto"/>
              <w:jc w:val="both"/>
              <w:rPr>
                <w:rFonts w:ascii="Verdana" w:hAnsi="Verdana"/>
              </w:rPr>
            </w:pPr>
          </w:p>
          <w:p w14:paraId="1837A32B" w14:textId="77777777" w:rsidR="008C3D38" w:rsidRPr="008C3D38" w:rsidRDefault="008C3D38" w:rsidP="008C3D38">
            <w:pPr>
              <w:spacing w:line="276" w:lineRule="auto"/>
              <w:jc w:val="both"/>
              <w:rPr>
                <w:rFonts w:ascii="Verdana" w:hAnsi="Verdana"/>
              </w:rPr>
            </w:pPr>
          </w:p>
        </w:tc>
        <w:tc>
          <w:tcPr>
            <w:tcW w:w="6237" w:type="dxa"/>
          </w:tcPr>
          <w:p w14:paraId="297B7161" w14:textId="77777777" w:rsidR="008C3D38" w:rsidRPr="008C3D38" w:rsidRDefault="008C3D38" w:rsidP="008C3D38">
            <w:pPr>
              <w:rPr>
                <w:rFonts w:ascii="Verdana" w:hAnsi="Verdana"/>
              </w:rPr>
            </w:pPr>
          </w:p>
        </w:tc>
      </w:tr>
    </w:tbl>
    <w:p w14:paraId="0472CA74" w14:textId="77777777" w:rsidR="008C3D38" w:rsidRPr="008C3D38" w:rsidRDefault="008C3D38" w:rsidP="008C3D38">
      <w:pPr>
        <w:spacing w:after="0" w:line="256" w:lineRule="auto"/>
        <w:rPr>
          <w:rFonts w:ascii="Verdana" w:eastAsia="Calibri" w:hAnsi="Verdana" w:cs="Times New Roman"/>
          <w:lang w:val="es-ES"/>
        </w:rPr>
      </w:pPr>
      <w:r w:rsidRPr="008C3D38">
        <w:rPr>
          <w:rFonts w:ascii="Verdana" w:eastAsia="Calibri" w:hAnsi="Verdana" w:cs="Times New Roman"/>
          <w:lang w:val="es-ES"/>
        </w:rPr>
        <w:t xml:space="preserve">Estimada Señora Carmen: </w:t>
      </w:r>
    </w:p>
    <w:p w14:paraId="42CD89C0" w14:textId="77777777" w:rsidR="008C3D38" w:rsidRPr="008C3D38" w:rsidRDefault="008C3D38" w:rsidP="008C3D38">
      <w:pPr>
        <w:spacing w:after="0" w:line="276" w:lineRule="auto"/>
        <w:rPr>
          <w:rFonts w:ascii="Verdana" w:eastAsia="Calibri" w:hAnsi="Verdana" w:cs="Times New Roman"/>
          <w:lang w:val="es-ES"/>
        </w:rPr>
      </w:pPr>
    </w:p>
    <w:p w14:paraId="622A5AC6" w14:textId="77777777" w:rsidR="008C3D38" w:rsidRPr="008C3D38" w:rsidRDefault="008C3D38" w:rsidP="008C3D38">
      <w:pPr>
        <w:spacing w:after="120" w:line="276" w:lineRule="auto"/>
        <w:jc w:val="both"/>
        <w:rPr>
          <w:rFonts w:ascii="Verdana" w:eastAsia="Calibri" w:hAnsi="Verdana" w:cs="Times New Roman"/>
          <w:bCs/>
          <w:lang w:val="es-ES" w:bidi="es-ES"/>
        </w:rPr>
      </w:pPr>
      <w:r w:rsidRPr="008C3D38">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8C3D38">
        <w:rPr>
          <w:rFonts w:ascii="Verdana" w:eastAsia="Calibri" w:hAnsi="Verdana" w:cs="Times New Roman"/>
          <w:bCs/>
          <w:lang w:val="es-ES" w:bidi="es-ES"/>
        </w:rPr>
        <w:t xml:space="preserve">responde la solicitud de consulta del 17 de febrero de 2026, en la cual manifiesta: </w:t>
      </w:r>
    </w:p>
    <w:p w14:paraId="0DE93779" w14:textId="77777777" w:rsidR="008C3D38" w:rsidRPr="008C3D38" w:rsidRDefault="008C3D38" w:rsidP="008C3D38">
      <w:pPr>
        <w:autoSpaceDE w:val="0"/>
        <w:autoSpaceDN w:val="0"/>
        <w:adjustRightInd w:val="0"/>
        <w:spacing w:after="0" w:line="240" w:lineRule="auto"/>
        <w:ind w:left="709" w:right="709"/>
        <w:jc w:val="both"/>
        <w:rPr>
          <w:rFonts w:ascii="Verdana" w:hAnsi="Verdana" w:cs="Arial"/>
          <w:color w:val="000000"/>
          <w:sz w:val="24"/>
          <w:szCs w:val="24"/>
        </w:rPr>
      </w:pPr>
    </w:p>
    <w:p w14:paraId="4701D2C1" w14:textId="77777777" w:rsidR="008C3D38" w:rsidRPr="008C3D38" w:rsidRDefault="008C3D38" w:rsidP="008C3D38">
      <w:pPr>
        <w:autoSpaceDE w:val="0"/>
        <w:autoSpaceDN w:val="0"/>
        <w:adjustRightInd w:val="0"/>
        <w:spacing w:after="0" w:line="240" w:lineRule="auto"/>
        <w:ind w:left="709" w:right="709"/>
        <w:jc w:val="both"/>
        <w:rPr>
          <w:rFonts w:ascii="Verdana" w:hAnsi="Verdana" w:cs="Arial"/>
          <w:color w:val="000000"/>
          <w:sz w:val="20"/>
          <w:szCs w:val="20"/>
        </w:rPr>
      </w:pPr>
      <w:r w:rsidRPr="008C3D38">
        <w:rPr>
          <w:rFonts w:ascii="Verdana" w:hAnsi="Verdana" w:cs="Arial"/>
          <w:color w:val="000000"/>
          <w:sz w:val="24"/>
          <w:szCs w:val="24"/>
        </w:rPr>
        <w:t xml:space="preserve"> </w:t>
      </w:r>
      <w:r w:rsidRPr="008C3D38">
        <w:rPr>
          <w:rFonts w:ascii="Verdana" w:hAnsi="Verdana" w:cs="Arial"/>
          <w:color w:val="000000"/>
          <w:sz w:val="20"/>
          <w:szCs w:val="20"/>
        </w:rPr>
        <w:t xml:space="preserve">1. *Naturaleza Jurídica de la Policía Nacional*: ¿La Policía Nacional se considera una entidad descentralizada del orden nacional para efectos de la aplicación del Decreto 248 de 2021, teniendo en cuenta que presta sus </w:t>
      </w:r>
      <w:r w:rsidRPr="008C3D38">
        <w:rPr>
          <w:rFonts w:ascii="Verdana" w:hAnsi="Verdana" w:cs="Arial"/>
          <w:color w:val="000000"/>
          <w:sz w:val="20"/>
          <w:szCs w:val="20"/>
        </w:rPr>
        <w:lastRenderedPageBreak/>
        <w:t xml:space="preserve">servicios mediante la descentralización, delegación y desconcentración de funciones según el artículo 2 de la Ley 62 de 1993? </w:t>
      </w:r>
    </w:p>
    <w:p w14:paraId="2BFF1FFD" w14:textId="77777777" w:rsidR="008C3D38" w:rsidRPr="008C3D38" w:rsidRDefault="008C3D38" w:rsidP="008C3D38">
      <w:pPr>
        <w:autoSpaceDE w:val="0"/>
        <w:autoSpaceDN w:val="0"/>
        <w:adjustRightInd w:val="0"/>
        <w:spacing w:after="0" w:line="240" w:lineRule="auto"/>
        <w:ind w:left="709" w:right="709"/>
        <w:jc w:val="both"/>
        <w:rPr>
          <w:rFonts w:ascii="Verdana" w:hAnsi="Verdana" w:cs="Arial"/>
          <w:color w:val="000000"/>
          <w:sz w:val="20"/>
          <w:szCs w:val="20"/>
        </w:rPr>
      </w:pPr>
      <w:r w:rsidRPr="008C3D38">
        <w:rPr>
          <w:rFonts w:ascii="Verdana" w:hAnsi="Verdana" w:cs="Arial"/>
          <w:color w:val="000000"/>
          <w:sz w:val="20"/>
          <w:szCs w:val="20"/>
        </w:rPr>
        <w:t xml:space="preserve">2. *Aplicación de los Puntajes Obligatorios*: ¿La Policía Nacional está obligada a otorgar puntajes adicionales obligatorios en sus procesos de contratación de compras públicas conforme a lo establecido en el Decreto 248 de 2021, considerando su naturaleza y estructura organizacional? </w:t>
      </w:r>
    </w:p>
    <w:p w14:paraId="757AF9A2" w14:textId="77777777" w:rsidR="008C3D38" w:rsidRPr="008C3D38" w:rsidRDefault="008C3D38" w:rsidP="008C3D38">
      <w:pPr>
        <w:spacing w:after="0" w:line="240" w:lineRule="auto"/>
        <w:ind w:left="709" w:right="709"/>
        <w:jc w:val="both"/>
        <w:rPr>
          <w:rFonts w:ascii="Verdana" w:hAnsi="Verdana"/>
          <w:sz w:val="20"/>
          <w:szCs w:val="20"/>
        </w:rPr>
      </w:pPr>
      <w:r w:rsidRPr="008C3D38">
        <w:rPr>
          <w:rFonts w:ascii="Verdana" w:hAnsi="Verdana"/>
          <w:sz w:val="20"/>
          <w:szCs w:val="20"/>
        </w:rPr>
        <w:t>3. *Implicaciones Normativas*: ¿Cuáles son las implicaciones jurídicas y administrativas de aplicar o no aplicar los puntajes adicionales obligatorios establecidos en el Decreto 248 de 2021 en los procesos de contratación de la Policía Nacional, teniendo en cuenta su marco normativo específico?</w:t>
      </w:r>
    </w:p>
    <w:p w14:paraId="09C7BC0F" w14:textId="77777777" w:rsidR="008C3D38" w:rsidRPr="008C3D38" w:rsidRDefault="008C3D38" w:rsidP="008C3D38">
      <w:pPr>
        <w:spacing w:after="0" w:line="276" w:lineRule="auto"/>
        <w:ind w:left="709" w:right="709"/>
        <w:jc w:val="both"/>
        <w:rPr>
          <w:rFonts w:ascii="Verdana" w:eastAsia="Calibri" w:hAnsi="Verdana" w:cs="Times New Roman"/>
          <w:bCs/>
          <w:lang w:val="es-ES" w:bidi="es-ES"/>
        </w:rPr>
      </w:pPr>
    </w:p>
    <w:p w14:paraId="4E8636D5" w14:textId="77777777" w:rsidR="008C3D38" w:rsidRPr="008C3D38" w:rsidRDefault="008C3D38" w:rsidP="008C3D38">
      <w:pPr>
        <w:spacing w:after="120" w:line="276" w:lineRule="auto"/>
        <w:ind w:firstLine="709"/>
        <w:jc w:val="both"/>
        <w:rPr>
          <w:rFonts w:ascii="Verdana" w:eastAsia="Calibri" w:hAnsi="Verdana" w:cs="Times New Roman"/>
          <w:lang w:val="es-ES"/>
        </w:rPr>
      </w:pPr>
      <w:r w:rsidRPr="008C3D38">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DF269BD" w14:textId="77777777" w:rsidR="008C3D38" w:rsidRPr="008C3D38" w:rsidRDefault="008C3D38" w:rsidP="008C3D38">
      <w:pPr>
        <w:spacing w:after="0" w:line="276" w:lineRule="auto"/>
        <w:ind w:firstLine="708"/>
        <w:jc w:val="both"/>
        <w:rPr>
          <w:rFonts w:ascii="Verdana" w:eastAsia="Calibri" w:hAnsi="Verdana" w:cs="Times New Roman"/>
          <w:lang w:val="es-ES"/>
        </w:rPr>
      </w:pPr>
      <w:r w:rsidRPr="008C3D38">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7CF41C4" w14:textId="77777777" w:rsidR="008C3D38" w:rsidRPr="008C3D38" w:rsidRDefault="008C3D38" w:rsidP="008C3D38">
      <w:pPr>
        <w:spacing w:after="0" w:line="276" w:lineRule="auto"/>
        <w:rPr>
          <w:rFonts w:ascii="Verdana" w:eastAsia="Calibri" w:hAnsi="Verdana" w:cs="Times New Roman"/>
          <w:lang w:val="es-ES"/>
        </w:rPr>
      </w:pPr>
    </w:p>
    <w:p w14:paraId="551AC854" w14:textId="77777777" w:rsidR="008C3D38" w:rsidRPr="008C3D38" w:rsidRDefault="008C3D38" w:rsidP="008C3D38">
      <w:pPr>
        <w:numPr>
          <w:ilvl w:val="0"/>
          <w:numId w:val="16"/>
        </w:numPr>
        <w:spacing w:after="0" w:line="276" w:lineRule="auto"/>
        <w:rPr>
          <w:rFonts w:ascii="Verdana" w:eastAsia="Calibri" w:hAnsi="Verdana" w:cs="Times New Roman"/>
          <w:b/>
          <w:bCs/>
          <w:lang w:val="es-ES"/>
        </w:rPr>
      </w:pPr>
      <w:r w:rsidRPr="008C3D38">
        <w:rPr>
          <w:rFonts w:ascii="Verdana" w:eastAsia="Calibri" w:hAnsi="Verdana" w:cs="Times New Roman"/>
          <w:b/>
          <w:bCs/>
          <w:lang w:val="es-ES"/>
        </w:rPr>
        <w:t>Problema planteado:</w:t>
      </w:r>
    </w:p>
    <w:p w14:paraId="7F842D55" w14:textId="77777777" w:rsidR="008C3D38" w:rsidRPr="008C3D38" w:rsidRDefault="008C3D38" w:rsidP="008C3D38">
      <w:pPr>
        <w:spacing w:after="0" w:line="276" w:lineRule="auto"/>
        <w:rPr>
          <w:rFonts w:ascii="Verdana" w:eastAsia="Calibri" w:hAnsi="Verdana" w:cs="Times New Roman"/>
        </w:rPr>
      </w:pPr>
    </w:p>
    <w:p w14:paraId="0CCC0886" w14:textId="77777777" w:rsidR="008C3D38" w:rsidRPr="008C3D38" w:rsidRDefault="008C3D38" w:rsidP="008C3D38">
      <w:pPr>
        <w:spacing w:after="0" w:line="276" w:lineRule="auto"/>
        <w:jc w:val="both"/>
        <w:rPr>
          <w:rFonts w:ascii="Verdana" w:eastAsia="Calibri" w:hAnsi="Verdana" w:cs="Times New Roman"/>
        </w:rPr>
      </w:pPr>
      <w:r w:rsidRPr="008C3D38">
        <w:rPr>
          <w:rFonts w:ascii="Verdana" w:eastAsia="Calibri" w:hAnsi="Verdana" w:cs="Times New Roman"/>
        </w:rPr>
        <w:t xml:space="preserve">De acuerdo con el contenido de sus solicitudes, la Agencia procede a resolver el siguiente problema jurídico: ¿La Policía Nacional está obligada a aplicar los puntajes adicionales obligatorios previstos en el Decreto 248 de 2021 en sus </w:t>
      </w:r>
      <w:r w:rsidRPr="008C3D38">
        <w:rPr>
          <w:rFonts w:ascii="Verdana" w:eastAsia="Calibri" w:hAnsi="Verdana" w:cs="Times New Roman"/>
        </w:rPr>
        <w:lastRenderedPageBreak/>
        <w:t xml:space="preserve">procesos de contratación de alimentos y cuáles serían sus implicaciones jurídicas? </w:t>
      </w:r>
    </w:p>
    <w:p w14:paraId="0A6FACDD" w14:textId="77777777" w:rsidR="008C3D38" w:rsidRPr="008C3D38" w:rsidRDefault="008C3D38" w:rsidP="008C3D38">
      <w:pPr>
        <w:spacing w:after="0" w:line="276" w:lineRule="auto"/>
        <w:jc w:val="both"/>
        <w:rPr>
          <w:rFonts w:ascii="Verdana" w:eastAsia="Calibri" w:hAnsi="Verdana" w:cs="Times New Roman"/>
          <w:i/>
          <w:iCs/>
          <w:lang w:val="es-ES"/>
        </w:rPr>
      </w:pPr>
    </w:p>
    <w:p w14:paraId="794745E4" w14:textId="77777777" w:rsidR="008C3D38" w:rsidRPr="008C3D38" w:rsidRDefault="008C3D38" w:rsidP="008C3D38">
      <w:pPr>
        <w:numPr>
          <w:ilvl w:val="0"/>
          <w:numId w:val="16"/>
        </w:numPr>
        <w:spacing w:after="0" w:line="276" w:lineRule="auto"/>
        <w:rPr>
          <w:rFonts w:ascii="Verdana" w:eastAsia="Calibri" w:hAnsi="Verdana" w:cs="Times New Roman"/>
          <w:b/>
          <w:bCs/>
          <w:lang w:val="es-ES"/>
        </w:rPr>
      </w:pPr>
      <w:r w:rsidRPr="008C3D38">
        <w:rPr>
          <w:rFonts w:ascii="Verdana" w:eastAsia="Calibri" w:hAnsi="Verdana" w:cs="Times New Roman"/>
          <w:b/>
          <w:bCs/>
          <w:lang w:val="es-ES"/>
        </w:rPr>
        <w:t>Respuesta:</w:t>
      </w:r>
    </w:p>
    <w:p w14:paraId="3E513117" w14:textId="77777777" w:rsidR="008C3D38" w:rsidRPr="008C3D38" w:rsidRDefault="008C3D38" w:rsidP="008C3D38">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8C3D38" w:rsidRPr="008C3D38" w14:paraId="48651797" w14:textId="77777777" w:rsidTr="002C7923">
        <w:trPr>
          <w:trHeight w:val="345"/>
          <w:jc w:val="center"/>
        </w:trPr>
        <w:tc>
          <w:tcPr>
            <w:tcW w:w="8784" w:type="dxa"/>
            <w:tcBorders>
              <w:bottom w:val="single" w:sz="4" w:space="0" w:color="auto"/>
            </w:tcBorders>
          </w:tcPr>
          <w:p w14:paraId="4BD52389" w14:textId="77777777" w:rsidR="008C3D38" w:rsidRPr="008C3D38" w:rsidRDefault="008C3D38" w:rsidP="008C3D38">
            <w:pPr>
              <w:spacing w:before="120" w:after="120" w:line="276" w:lineRule="auto"/>
              <w:jc w:val="both"/>
              <w:rPr>
                <w:rFonts w:ascii="Verdana" w:eastAsia="Times New Roman" w:hAnsi="Verdana" w:cs="Arial"/>
                <w:lang w:eastAsia="es-CO"/>
              </w:rPr>
            </w:pPr>
            <w:r w:rsidRPr="008C3D38">
              <w:rPr>
                <w:rFonts w:ascii="Verdana" w:hAnsi="Verdana" w:cs="Segoe UI"/>
              </w:rPr>
              <w:t xml:space="preserve">De acuerdo al problema jurídico de consulta, se precisa que </w:t>
            </w:r>
            <w:r w:rsidRPr="008C3D38">
              <w:rPr>
                <w:rFonts w:ascii="Verdana" w:eastAsia="Times New Roman" w:hAnsi="Verdana" w:cs="Arial"/>
                <w:lang w:eastAsia="es-CO"/>
              </w:rPr>
              <w:t>en cuanto al campo de aplicación, la Ley 2046 de 2020</w:t>
            </w:r>
            <w:r w:rsidRPr="008C3D38">
              <w:rPr>
                <w:rFonts w:ascii="Arial" w:hAnsi="Arial" w:cs="Arial"/>
                <w:b/>
                <w:bCs/>
                <w:color w:val="000000"/>
                <w:sz w:val="21"/>
                <w:szCs w:val="21"/>
              </w:rPr>
              <w:t xml:space="preserve"> </w:t>
            </w:r>
            <w:r w:rsidRPr="008C3D38">
              <w:rPr>
                <w:rFonts w:ascii="Arial" w:hAnsi="Arial" w:cs="Arial"/>
                <w:bCs/>
                <w:color w:val="000000"/>
                <w:sz w:val="21"/>
                <w:szCs w:val="21"/>
              </w:rPr>
              <w:t>“</w:t>
            </w:r>
            <w:r w:rsidRPr="008C3D38">
              <w:rPr>
                <w:rFonts w:ascii="Verdana" w:eastAsia="Times New Roman" w:hAnsi="Verdana" w:cs="Arial"/>
                <w:bCs/>
                <w:lang w:eastAsia="es-CO"/>
              </w:rPr>
              <w:t>por la cual se establecen mecanismos para promover la participación de pequeños productores locales agropecuarios y de la agricultura campesina, familiar y comunitaria en los mercados de compras públicas de alimento”</w:t>
            </w:r>
            <w:r w:rsidRPr="008C3D38">
              <w:rPr>
                <w:rFonts w:ascii="Verdana" w:eastAsia="Times New Roman" w:hAnsi="Verdana" w:cs="Arial"/>
                <w:b/>
                <w:bCs/>
                <w:lang w:eastAsia="es-CO"/>
              </w:rPr>
              <w:t>,</w:t>
            </w:r>
            <w:r w:rsidRPr="008C3D38">
              <w:rPr>
                <w:rFonts w:ascii="Verdana" w:eastAsia="Times New Roman" w:hAnsi="Verdana" w:cs="Arial"/>
                <w:lang w:eastAsia="es-CO"/>
              </w:rPr>
              <w:t xml:space="preserve"> establece en su </w:t>
            </w:r>
            <w:r w:rsidRPr="008C3D38">
              <w:rPr>
                <w:rFonts w:ascii="Verdana" w:eastAsia="Times New Roman" w:hAnsi="Verdana" w:cs="Arial"/>
                <w:bCs/>
                <w:lang w:eastAsia="es-CO"/>
              </w:rPr>
              <w:t>artículo 3</w:t>
            </w:r>
            <w:r w:rsidRPr="008C3D38">
              <w:rPr>
                <w:rFonts w:ascii="Verdana" w:eastAsia="Times New Roman" w:hAnsi="Verdana" w:cs="Arial"/>
                <w:lang w:eastAsia="es-CO"/>
              </w:rPr>
              <w:t xml:space="preserve">: “Las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Por lo demás, también dispone en su inciso segundo que “Las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 </w:t>
            </w:r>
          </w:p>
          <w:p w14:paraId="4AC112FD" w14:textId="77777777" w:rsidR="008C3D38" w:rsidRPr="008C3D38" w:rsidRDefault="008C3D38" w:rsidP="008C3D38">
            <w:pPr>
              <w:spacing w:before="120" w:after="120" w:line="276" w:lineRule="auto"/>
              <w:ind w:firstLine="708"/>
              <w:jc w:val="both"/>
              <w:rPr>
                <w:rFonts w:ascii="Verdana" w:hAnsi="Verdana" w:cs="Arial"/>
              </w:rPr>
            </w:pPr>
            <w:r w:rsidRPr="008C3D38">
              <w:rPr>
                <w:rFonts w:ascii="Verdana" w:eastAsia="Times New Roman" w:hAnsi="Verdana" w:cs="Arial"/>
                <w:lang w:eastAsia="es-CO"/>
              </w:rPr>
              <w:t>En efecto, este ámbito de aplicación no se limita a las entidades sujetas al Estatuto General de Contratación de la Administración Pública, sino que se extiende a otro tipo de Entidades Públicas de los distintos órdenes, las sociedades de economía mixta, entidades privadas que administren recursos públicos, así como los demás sujetos mencionados en la norma</w:t>
            </w:r>
            <w:r w:rsidRPr="008C3D38">
              <w:rPr>
                <w:rFonts w:ascii="Verdana" w:hAnsi="Verdana" w:cs="Arial"/>
              </w:rPr>
              <w:t>. Esta redacción evidencia la intención del legislador de otorgar un alcance general y comprensivo a las obligaciones allí contenidas, evitando limitar su aplicación a una categoría específica de entidades.</w:t>
            </w:r>
          </w:p>
          <w:p w14:paraId="6C02540A" w14:textId="77777777" w:rsidR="008C3D38" w:rsidRPr="008C3D38" w:rsidRDefault="008C3D38" w:rsidP="008C3D38">
            <w:pPr>
              <w:spacing w:before="120"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En este contexto, la norma </w:t>
            </w:r>
            <w:r w:rsidRPr="008C3D38">
              <w:rPr>
                <w:rFonts w:ascii="Verdana" w:eastAsia="Times New Roman" w:hAnsi="Verdana" w:cs="Arial"/>
                <w:bCs/>
                <w:lang w:eastAsia="es-CO"/>
              </w:rPr>
              <w:t>no distingue entre entidades públicas con personería jurídica y aquellas que carecen de ella</w:t>
            </w:r>
            <w:r w:rsidRPr="008C3D38">
              <w:rPr>
                <w:rFonts w:ascii="Verdana" w:eastAsia="Times New Roman" w:hAnsi="Verdana" w:cs="Arial"/>
                <w:lang w:eastAsia="es-CO"/>
              </w:rPr>
              <w:t xml:space="preserve">, lo que implica que su aplicación recae sobre los organismos que, por su naturaleza y funciones, </w:t>
            </w:r>
            <w:r w:rsidRPr="008C3D38">
              <w:rPr>
                <w:rFonts w:ascii="Verdana" w:eastAsia="Times New Roman" w:hAnsi="Verdana" w:cs="Arial"/>
                <w:lang w:eastAsia="es-CO"/>
              </w:rPr>
              <w:lastRenderedPageBreak/>
              <w:t xml:space="preserve">administran recursos públicos y celebran contratos estatales. Bajo esta premisa, resulta claro que disposiciones como las previstas en la Ley 2046 en mención son plenamente aplicables a la </w:t>
            </w:r>
            <w:r w:rsidRPr="008C3D38">
              <w:rPr>
                <w:rFonts w:ascii="Verdana" w:eastAsia="Times New Roman" w:hAnsi="Verdana" w:cs="Arial"/>
                <w:bCs/>
                <w:lang w:eastAsia="es-CO"/>
              </w:rPr>
              <w:t>Policía Nacional</w:t>
            </w:r>
            <w:r w:rsidRPr="008C3D38">
              <w:rPr>
                <w:rFonts w:ascii="Verdana" w:eastAsia="Times New Roman" w:hAnsi="Verdana" w:cs="Arial"/>
                <w:lang w:eastAsia="es-CO"/>
              </w:rPr>
              <w:t>, dado que, aun careciendo de personería jurídica, cuenta con capacidad contractual, conforme a los artículos 36 y 110 del Estatuto Orgánico de Presupuesto; y a su vez, se encuentra sometida al Estatuto General de Contratación de la Administración Pública, de acuerdo al artículo 2.1. literal b de la Ley 80 de 1993. Por tanto, la Policía debe atender las obligaciones derivadas de dicha regulación en el ejercicio de su actividad contractual, es decir, deberá aplicar la Ley 2046 de 2020, así como las demás normas que la modifiquen, adicionen y reglamenten. De tal modo, debe aplicar las condiciones y regulaciones dispuestas en la Ley 2046 de 2020, así como lo dispuesto en el Decreto 248 de 2021 “</w:t>
            </w:r>
            <w:r w:rsidRPr="008C3D38">
              <w:rPr>
                <w:rFonts w:ascii="Verdana" w:eastAsia="Times New Roman" w:hAnsi="Verdana" w:cs="Arial"/>
                <w:bCs/>
                <w:lang w:eastAsia="es-CO"/>
              </w:rPr>
              <w:t xml:space="preserve">por el cual se adiciona la Parte 20 al Libro 2 del Decreto 1071 de 2015, Decreto Único Reglamentario del Sector Administrativo Agropecuario, Pesquero y de Desarrollo Rural, relacionado con las compras públicas de alimentos”. Es decir, deben tener en cuenta </w:t>
            </w:r>
            <w:r w:rsidRPr="008C3D38">
              <w:rPr>
                <w:rFonts w:ascii="Verdana" w:eastAsia="Times New Roman" w:hAnsi="Verdana" w:cs="Arial"/>
                <w:lang w:eastAsia="es-CO"/>
              </w:rPr>
              <w:t xml:space="preserve">los puntajes adicionales obligatorios que se definen en dicha normatividad y su comprensión, teniendo en cuenta lo expuesto en las razones de la respuesta. </w:t>
            </w:r>
          </w:p>
          <w:p w14:paraId="305F058F" w14:textId="77777777" w:rsidR="008C3D38" w:rsidRPr="008C3D38" w:rsidRDefault="008C3D38" w:rsidP="008C3D38">
            <w:pPr>
              <w:spacing w:before="120" w:after="120" w:line="276" w:lineRule="auto"/>
              <w:ind w:firstLine="709"/>
              <w:jc w:val="both"/>
              <w:rPr>
                <w:rFonts w:ascii="Verdana" w:eastAsia="Calibri" w:hAnsi="Verdana" w:cs="Times New Roman"/>
                <w:bCs/>
                <w:iCs/>
              </w:rPr>
            </w:pPr>
            <w:r w:rsidRPr="008C3D38">
              <w:rPr>
                <w:rFonts w:ascii="Verdana" w:eastAsia="Calibri" w:hAnsi="Verdana" w:cs="Times New Roman"/>
                <w:bCs/>
                <w:iCs/>
              </w:rPr>
              <w:t>Ahora bien, en el evento de que no se cumplan las obligaciones dispuestas en esta normatividad por parte de las entidades</w:t>
            </w:r>
            <w:r w:rsidRPr="008C3D38">
              <w:rPr>
                <w:rFonts w:ascii="Verdana" w:eastAsia="Calibri" w:hAnsi="Verdana" w:cs="Times New Roman"/>
                <w:bCs/>
                <w:iCs/>
                <w:lang w:val="es-ES"/>
              </w:rPr>
              <w:t>, hay que tener en cuenta el artículo 50 de la Ley 80 de 1993, que dispone: “</w:t>
            </w:r>
            <w:r w:rsidRPr="008C3D38">
              <w:rPr>
                <w:rFonts w:ascii="Verdana" w:eastAsia="Calibri" w:hAnsi="Verdana" w:cs="Times New Roman"/>
                <w:bCs/>
                <w:iCs/>
              </w:rPr>
              <w:t xml:space="preserve">Las entidades responderán por las actuaciones, abstenciones, hechos y omisiones antijurídicos que les sean imputables y que causen perjuicios a sus contratistas. En tales casos deberán indemnizar la disminución patrimonial que se ocasione, la prolongación de la misma y la ganancia, beneficio o provecho dejados de percibir por el contratista”. Así mismo, en torno a la responsabilidad de los servidores públicos, el artículo 51 de la Ley 80 de 1993 dispone: “[…] El servidor público responderá disciplinaria, civil y penalmente por sus acciones y omisiones en la actuación contractual en los términos de la Constitución y de la ley”. Bajo esta perspectiva, las entidades y servidores públicos deben responder por las actuaciones, hechos y omisiones en el ejercicio de sus funciones que se enmarcan dentro del proceso de contratación respectivo. </w:t>
            </w:r>
          </w:p>
        </w:tc>
      </w:tr>
    </w:tbl>
    <w:p w14:paraId="6946D11F" w14:textId="77777777" w:rsidR="008C3D38" w:rsidRPr="008C3D38" w:rsidRDefault="008C3D38" w:rsidP="008C3D38">
      <w:pPr>
        <w:spacing w:after="0" w:line="276" w:lineRule="auto"/>
        <w:jc w:val="both"/>
        <w:rPr>
          <w:rFonts w:ascii="Verdana" w:eastAsia="Calibri" w:hAnsi="Verdana" w:cs="Arial"/>
          <w:bCs/>
          <w:color w:val="000000" w:themeColor="text1"/>
        </w:rPr>
      </w:pPr>
      <w:bookmarkStart w:id="1" w:name="_Hlk78820161"/>
      <w:bookmarkStart w:id="2" w:name="_Hlk37703813"/>
    </w:p>
    <w:p w14:paraId="5CD18739" w14:textId="77777777" w:rsidR="008C3D38" w:rsidRPr="008C3D38" w:rsidRDefault="008C3D38" w:rsidP="008C3D38">
      <w:pPr>
        <w:spacing w:after="0" w:line="276" w:lineRule="auto"/>
        <w:jc w:val="both"/>
        <w:rPr>
          <w:rFonts w:ascii="Verdana" w:eastAsia="Calibri" w:hAnsi="Verdana" w:cs="Arial"/>
          <w:bCs/>
          <w:color w:val="000000" w:themeColor="text1"/>
        </w:rPr>
      </w:pPr>
    </w:p>
    <w:p w14:paraId="6D3D844C" w14:textId="77777777" w:rsidR="008C3D38" w:rsidRPr="008C3D38" w:rsidRDefault="008C3D38" w:rsidP="008C3D38">
      <w:pPr>
        <w:numPr>
          <w:ilvl w:val="0"/>
          <w:numId w:val="16"/>
        </w:numPr>
        <w:tabs>
          <w:tab w:val="left" w:pos="2268"/>
        </w:tabs>
        <w:spacing w:after="0" w:line="276" w:lineRule="auto"/>
        <w:rPr>
          <w:rFonts w:ascii="Verdana" w:eastAsia="Calibri" w:hAnsi="Verdana" w:cs="Times New Roman"/>
          <w:b/>
          <w:bCs/>
          <w:lang w:val="es-ES"/>
        </w:rPr>
      </w:pPr>
      <w:r w:rsidRPr="008C3D38">
        <w:rPr>
          <w:rFonts w:ascii="Verdana" w:eastAsia="Calibri" w:hAnsi="Verdana" w:cs="Times New Roman"/>
          <w:b/>
          <w:bCs/>
          <w:lang w:val="es-ES"/>
        </w:rPr>
        <w:lastRenderedPageBreak/>
        <w:t>Razones de la respuesta:</w:t>
      </w:r>
    </w:p>
    <w:p w14:paraId="6C095BB5" w14:textId="77777777" w:rsidR="008C3D38" w:rsidRPr="008C3D38" w:rsidRDefault="008C3D38" w:rsidP="008C3D38">
      <w:pPr>
        <w:spacing w:after="0" w:line="276" w:lineRule="auto"/>
        <w:jc w:val="both"/>
        <w:rPr>
          <w:rFonts w:ascii="Verdana" w:eastAsia="Calibri" w:hAnsi="Verdana" w:cs="Arial"/>
          <w:lang w:val="es-ES"/>
        </w:rPr>
      </w:pPr>
    </w:p>
    <w:p w14:paraId="3E101196" w14:textId="77777777" w:rsidR="008C3D38" w:rsidRPr="008C3D38" w:rsidRDefault="008C3D38" w:rsidP="008C3D38">
      <w:pPr>
        <w:spacing w:after="0" w:line="276" w:lineRule="auto"/>
        <w:jc w:val="both"/>
        <w:rPr>
          <w:rFonts w:ascii="Verdana" w:eastAsia="Calibri" w:hAnsi="Verdana" w:cs="Arial"/>
          <w:lang w:val="es-ES"/>
        </w:rPr>
      </w:pPr>
      <w:r w:rsidRPr="008C3D38">
        <w:rPr>
          <w:rFonts w:ascii="Verdana" w:eastAsia="Calibri" w:hAnsi="Verdana" w:cs="Arial"/>
          <w:lang w:val="es-ES"/>
        </w:rPr>
        <w:t>Lo anterior se sustenta en las siguientes consideraciones:</w:t>
      </w:r>
    </w:p>
    <w:bookmarkEnd w:id="1"/>
    <w:bookmarkEnd w:id="2"/>
    <w:p w14:paraId="097F7173" w14:textId="77777777" w:rsidR="008C3D38" w:rsidRPr="008C3D38" w:rsidRDefault="008C3D38" w:rsidP="008C3D38">
      <w:pPr>
        <w:spacing w:after="0" w:line="276" w:lineRule="auto"/>
        <w:jc w:val="both"/>
        <w:rPr>
          <w:rFonts w:ascii="Verdana" w:eastAsia="Calibri" w:hAnsi="Verdana" w:cs="Arial"/>
          <w:lang w:val="es-ES"/>
        </w:rPr>
      </w:pPr>
    </w:p>
    <w:p w14:paraId="793006F7" w14:textId="77777777" w:rsidR="008C3D38" w:rsidRPr="008C3D38" w:rsidRDefault="008C3D38" w:rsidP="008C3D38">
      <w:pPr>
        <w:spacing w:after="120" w:line="276" w:lineRule="auto"/>
        <w:jc w:val="both"/>
        <w:rPr>
          <w:rFonts w:ascii="Verdana" w:hAnsi="Verdana" w:cs="Arial"/>
          <w:lang w:val="es-ES"/>
        </w:rPr>
      </w:pPr>
      <w:r w:rsidRPr="008C3D38">
        <w:rPr>
          <w:rFonts w:ascii="Verdana" w:hAnsi="Verdana" w:cs="Arial"/>
          <w:lang w:val="es-ES"/>
        </w:rPr>
        <w:t xml:space="preserve">i.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C3D38">
        <w:rPr>
          <w:rFonts w:ascii="Verdana" w:hAnsi="Verdana" w:cs="Arial"/>
          <w:i/>
          <w:iCs/>
          <w:lang w:val="es-ES"/>
        </w:rPr>
        <w:t>entidades estatales</w:t>
      </w:r>
      <w:r w:rsidRPr="008C3D38">
        <w:rPr>
          <w:rFonts w:ascii="Verdana" w:hAnsi="Verdana" w:cs="Arial"/>
          <w:lang w:val="es-ES"/>
        </w:rPr>
        <w:t xml:space="preserve">, esto es, aquellas previstas en los literales a) y b) del numeral 1 del artículo 2 </w:t>
      </w:r>
      <w:r w:rsidRPr="008C3D38">
        <w:rPr>
          <w:rFonts w:ascii="Verdana" w:hAnsi="Verdana" w:cs="Arial"/>
          <w:i/>
          <w:iCs/>
          <w:lang w:val="es-ES"/>
        </w:rPr>
        <w:t>ibidem</w:t>
      </w:r>
      <w:r w:rsidRPr="008C3D38">
        <w:rPr>
          <w:rFonts w:ascii="Verdana" w:hAnsi="Verdana" w:cs="Arial"/>
          <w:lang w:val="es-ES"/>
        </w:rPr>
        <w:t xml:space="preserve">. La norma citada define la competencia contractual en los siguientes términos: </w:t>
      </w:r>
    </w:p>
    <w:p w14:paraId="428828CB" w14:textId="77777777" w:rsidR="008C3D38" w:rsidRPr="008C3D38" w:rsidRDefault="008C3D38" w:rsidP="008C3D38">
      <w:pPr>
        <w:spacing w:after="120" w:line="276" w:lineRule="auto"/>
        <w:ind w:firstLine="708"/>
        <w:jc w:val="both"/>
        <w:rPr>
          <w:rFonts w:ascii="Verdana" w:hAnsi="Verdana" w:cs="Arial"/>
          <w:lang w:val="es-ES"/>
        </w:rPr>
      </w:pPr>
      <w:r w:rsidRPr="008C3D38">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7C91BF58" w14:textId="77777777" w:rsidR="008C3D38" w:rsidRPr="008C3D38" w:rsidRDefault="008C3D38" w:rsidP="008C3D38">
      <w:pPr>
        <w:spacing w:after="120" w:line="276" w:lineRule="auto"/>
        <w:ind w:firstLine="708"/>
        <w:jc w:val="both"/>
        <w:rPr>
          <w:rFonts w:ascii="Verdana" w:hAnsi="Verdana" w:cs="Arial"/>
          <w:lang w:val="es-ES"/>
        </w:rPr>
      </w:pPr>
      <w:r w:rsidRPr="008C3D38">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C3D38">
        <w:rPr>
          <w:rFonts w:ascii="Verdana" w:hAnsi="Verdana" w:cs="Arial"/>
          <w:vertAlign w:val="superscript"/>
          <w:lang w:val="es-ES"/>
        </w:rPr>
        <w:footnoteReference w:id="1"/>
      </w:r>
      <w:r w:rsidRPr="008C3D38">
        <w:rPr>
          <w:rFonts w:ascii="Verdana" w:hAnsi="Verdana" w:cs="Arial"/>
          <w:lang w:val="es-ES"/>
        </w:rPr>
        <w:t xml:space="preserve">. </w:t>
      </w:r>
    </w:p>
    <w:p w14:paraId="7E669DBC" w14:textId="77777777" w:rsidR="008C3D38" w:rsidRPr="008C3D38" w:rsidRDefault="008C3D38" w:rsidP="008C3D38">
      <w:pPr>
        <w:spacing w:after="0" w:line="276" w:lineRule="auto"/>
        <w:ind w:firstLine="708"/>
        <w:jc w:val="both"/>
        <w:rPr>
          <w:rFonts w:ascii="Verdana" w:hAnsi="Verdana" w:cs="Arial"/>
          <w:bCs/>
          <w:lang w:val="es-MX"/>
        </w:rPr>
      </w:pPr>
      <w:r w:rsidRPr="008C3D38">
        <w:rPr>
          <w:rFonts w:ascii="Verdana" w:hAnsi="Verdana" w:cs="Arial"/>
          <w:lang w:val="es-ES"/>
        </w:rPr>
        <w:lastRenderedPageBreak/>
        <w:t xml:space="preserve">Para las entidades de los párrafos anteriores, sin perjuicio de las excepciones puntales a la aplicación del EGCAP, los procesos de selección se rigen por el artículo 2 de la Ley 1150 de 2007. El </w:t>
      </w:r>
      <w:r w:rsidRPr="008C3D38">
        <w:rPr>
          <w:rFonts w:ascii="Verdana" w:hAnsi="Verdana" w:cs="Arial"/>
          <w:bCs/>
          <w:lang w:val="es-MX"/>
        </w:rPr>
        <w:t xml:space="preserve">numeral uno, inciso primero, dispone que “La escogencia del contratista se efectuará por </w:t>
      </w:r>
      <w:r w:rsidRPr="008C3D38">
        <w:rPr>
          <w:rFonts w:ascii="Verdana" w:hAnsi="Verdana" w:cs="Arial"/>
          <w:bCs/>
          <w:i/>
          <w:iCs/>
          <w:lang w:val="es-MX"/>
        </w:rPr>
        <w:t>regla general</w:t>
      </w:r>
      <w:r w:rsidRPr="008C3D38">
        <w:rPr>
          <w:rFonts w:ascii="Verdana" w:hAnsi="Verdana" w:cs="Arial"/>
          <w:bCs/>
          <w:lang w:val="es-MX"/>
        </w:rPr>
        <w:t xml:space="preserve"> a través de licitación pública, con las </w:t>
      </w:r>
      <w:r w:rsidRPr="008C3D38">
        <w:rPr>
          <w:rFonts w:ascii="Verdana" w:hAnsi="Verdana" w:cs="Arial"/>
          <w:bCs/>
          <w:i/>
          <w:iCs/>
          <w:lang w:val="es-MX"/>
        </w:rPr>
        <w:t>excepciones</w:t>
      </w:r>
      <w:r w:rsidRPr="008C3D38">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8C3D38">
        <w:rPr>
          <w:rFonts w:ascii="Verdana" w:hAnsi="Verdana" w:cs="Arial"/>
          <w:bCs/>
          <w:vertAlign w:val="superscript"/>
          <w:lang w:val="es-MX"/>
        </w:rPr>
        <w:footnoteReference w:id="2"/>
      </w:r>
      <w:r w:rsidRPr="008C3D38">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8C3D38">
        <w:rPr>
          <w:rFonts w:ascii="Verdana" w:hAnsi="Verdana" w:cs="Arial"/>
          <w:bCs/>
          <w:vertAlign w:val="superscript"/>
          <w:lang w:val="es-MX"/>
        </w:rPr>
        <w:footnoteReference w:id="3"/>
      </w:r>
      <w:r w:rsidRPr="008C3D38">
        <w:rPr>
          <w:rFonts w:ascii="Verdana" w:hAnsi="Verdana" w:cs="Arial"/>
          <w:bCs/>
          <w:lang w:val="es-MX"/>
        </w:rPr>
        <w:t>.</w:t>
      </w:r>
    </w:p>
    <w:p w14:paraId="41BE1E6C" w14:textId="77777777" w:rsidR="008C3D38" w:rsidRPr="008C3D38" w:rsidRDefault="008C3D38" w:rsidP="008C3D38">
      <w:pPr>
        <w:spacing w:after="0" w:line="276" w:lineRule="auto"/>
        <w:jc w:val="both"/>
        <w:rPr>
          <w:rFonts w:ascii="Verdana" w:eastAsia="Calibri" w:hAnsi="Verdana" w:cs="Arial"/>
        </w:rPr>
      </w:pPr>
    </w:p>
    <w:p w14:paraId="35A1E915" w14:textId="77777777" w:rsidR="008C3D38" w:rsidRPr="008C3D38" w:rsidRDefault="008C3D38" w:rsidP="008C3D38">
      <w:pPr>
        <w:spacing w:after="120"/>
        <w:jc w:val="both"/>
        <w:rPr>
          <w:rFonts w:ascii="Verdana" w:eastAsia="Calibri" w:hAnsi="Verdana" w:cs="Times New Roman"/>
        </w:rPr>
      </w:pPr>
      <w:r w:rsidRPr="008C3D38">
        <w:rPr>
          <w:rFonts w:ascii="Verdana" w:eastAsia="Calibri" w:hAnsi="Verdana" w:cs="Arial"/>
        </w:rPr>
        <w:t xml:space="preserve">ii. </w:t>
      </w:r>
      <w:r w:rsidRPr="008C3D38">
        <w:rPr>
          <w:rFonts w:ascii="Verdana" w:eastAsia="Calibri" w:hAnsi="Verdana" w:cs="Times New Roman"/>
        </w:rPr>
        <w:t xml:space="preserve">La </w:t>
      </w:r>
      <w:r w:rsidRPr="008C3D38">
        <w:rPr>
          <w:rFonts w:ascii="Verdana" w:eastAsia="Calibri" w:hAnsi="Verdana" w:cs="Times New Roman"/>
          <w:i/>
          <w:iCs/>
        </w:rPr>
        <w:t>competencia</w:t>
      </w:r>
      <w:r w:rsidRPr="008C3D38">
        <w:rPr>
          <w:rFonts w:ascii="Verdana" w:eastAsia="Calibri" w:hAnsi="Verdana" w:cs="Times New Roman"/>
        </w:rPr>
        <w:t xml:space="preserve"> es la institución más importante para entender la legalidad en el derecho administrativo, y su trascendencia en la contratación estatal reside en la capacidad para adelantar las actuaciones precontractuales, contractuales </w:t>
      </w:r>
      <w:r w:rsidRPr="008C3D38">
        <w:rPr>
          <w:rFonts w:ascii="Verdana" w:eastAsia="Calibri" w:hAnsi="Verdana" w:cs="Times New Roman"/>
        </w:rPr>
        <w:lastRenderedPageBreak/>
        <w:t xml:space="preserve">y </w:t>
      </w:r>
      <w:proofErr w:type="spellStart"/>
      <w:r w:rsidRPr="008C3D38">
        <w:rPr>
          <w:rFonts w:ascii="Verdana" w:eastAsia="Calibri" w:hAnsi="Verdana" w:cs="Times New Roman"/>
        </w:rPr>
        <w:t>poscontractuales</w:t>
      </w:r>
      <w:proofErr w:type="spellEnd"/>
      <w:r w:rsidRPr="008C3D38">
        <w:rPr>
          <w:rFonts w:ascii="Verdana" w:eastAsia="Calibri" w:hAnsi="Verdana" w:cs="Times New Roman"/>
        </w:rPr>
        <w:t xml:space="preserve">. En la lógica del derecho privado, la capacidad para celebrar un contrato significa necesariamente la personalidad jurídica. Mientras, la Ley 80 de 1993 le da capacidad a organismos que no tienen personería jurídica para suscribir contratos estatales. Al respecto, Dávila Vinueza expresa que la capacidad en la contratación pública se denomina competencia, la cual la concibe desde dos acepciones: i) </w:t>
      </w:r>
      <w:r w:rsidRPr="008C3D38">
        <w:rPr>
          <w:rFonts w:ascii="Verdana" w:eastAsia="Calibri" w:hAnsi="Verdana" w:cs="Times New Roman"/>
          <w:i/>
          <w:iCs/>
        </w:rPr>
        <w:t>la externa</w:t>
      </w:r>
      <w:r w:rsidRPr="008C3D38">
        <w:rPr>
          <w:rFonts w:ascii="Verdana" w:eastAsia="Calibri" w:hAnsi="Verdana" w:cs="Times New Roman"/>
        </w:rPr>
        <w:t xml:space="preserve"> como la capacidad que la ley asigna a determinadas entidades para cumplir la función de suscribir contratos; y ii) la interna, que se entiende como la atribución que hace la ley a un determinado funcionario para expresar la voluntad de la entidad</w:t>
      </w:r>
      <w:r w:rsidRPr="008C3D38">
        <w:rPr>
          <w:rFonts w:ascii="Verdana" w:eastAsia="Calibri" w:hAnsi="Verdana" w:cs="Times New Roman"/>
          <w:vertAlign w:val="superscript"/>
        </w:rPr>
        <w:footnoteReference w:id="4"/>
      </w:r>
      <w:r w:rsidRPr="008C3D38">
        <w:rPr>
          <w:rFonts w:ascii="Verdana" w:eastAsia="Calibri" w:hAnsi="Verdana" w:cs="Times New Roman"/>
        </w:rPr>
        <w:t xml:space="preserve">. En torno a esta misma idea, Alier Eduardo Hernández Enriquez manifiesta: </w:t>
      </w:r>
    </w:p>
    <w:p w14:paraId="1F7787EC" w14:textId="77777777" w:rsidR="008C3D38" w:rsidRPr="008C3D38" w:rsidRDefault="008C3D38" w:rsidP="008C3D38">
      <w:pPr>
        <w:spacing w:after="120" w:line="276" w:lineRule="auto"/>
        <w:jc w:val="both"/>
        <w:rPr>
          <w:rFonts w:ascii="Verdana" w:eastAsia="Calibri" w:hAnsi="Verdana" w:cs="Times New Roman"/>
        </w:rPr>
      </w:pPr>
    </w:p>
    <w:p w14:paraId="47A6328A" w14:textId="77777777" w:rsidR="008C3D38" w:rsidRPr="008C3D38" w:rsidRDefault="008C3D38" w:rsidP="008C3D38">
      <w:pPr>
        <w:spacing w:after="0" w:line="240" w:lineRule="auto"/>
        <w:ind w:left="709" w:right="709"/>
        <w:jc w:val="both"/>
        <w:rPr>
          <w:rFonts w:ascii="Verdana" w:eastAsia="Calibri" w:hAnsi="Verdana" w:cs="Times New Roman"/>
          <w:sz w:val="20"/>
          <w:szCs w:val="20"/>
        </w:rPr>
      </w:pPr>
      <w:r w:rsidRPr="008C3D38">
        <w:rPr>
          <w:rFonts w:ascii="Verdana" w:eastAsia="Calibri" w:hAnsi="Verdana" w:cs="Times New Roman"/>
          <w:sz w:val="20"/>
          <w:szCs w:val="20"/>
        </w:rPr>
        <w:t>En efecto, es bien conocido el hecho de que la capacidad (institución del derecho privado) es constitutiva de regla general mientras que la competencia (instituto del derecho público) es constitutiva de regla de excepción con todas las consecuencias que tales naturalezas acarrean</w:t>
      </w:r>
    </w:p>
    <w:p w14:paraId="4DEDAEC0" w14:textId="77777777" w:rsidR="008C3D38" w:rsidRPr="008C3D38" w:rsidRDefault="008C3D38" w:rsidP="008C3D38">
      <w:pPr>
        <w:spacing w:after="0" w:line="240" w:lineRule="auto"/>
        <w:ind w:left="709" w:right="709"/>
        <w:jc w:val="both"/>
        <w:rPr>
          <w:rFonts w:ascii="Verdana" w:eastAsia="Calibri" w:hAnsi="Verdana" w:cs="Times New Roman"/>
          <w:sz w:val="20"/>
          <w:szCs w:val="20"/>
        </w:rPr>
      </w:pPr>
    </w:p>
    <w:p w14:paraId="3255D4B1" w14:textId="77777777" w:rsidR="008C3D38" w:rsidRPr="008C3D38" w:rsidRDefault="008C3D38" w:rsidP="008C3D38">
      <w:pPr>
        <w:spacing w:after="120" w:line="240" w:lineRule="auto"/>
        <w:ind w:left="709" w:right="709"/>
        <w:jc w:val="both"/>
        <w:rPr>
          <w:rFonts w:ascii="Verdana" w:eastAsia="Calibri" w:hAnsi="Verdana" w:cs="Times New Roman"/>
          <w:sz w:val="20"/>
          <w:szCs w:val="20"/>
        </w:rPr>
      </w:pPr>
      <w:r w:rsidRPr="008C3D38">
        <w:rPr>
          <w:rFonts w:ascii="Verdana" w:eastAsia="Calibri" w:hAnsi="Verdana" w:cs="Times New Roman"/>
          <w:sz w:val="20"/>
          <w:szCs w:val="20"/>
        </w:rPr>
        <w:t>Pues bien, cuando el Estatuto de Contratación Pública se refiere a la capacidad que tienen las “entidades estatales” para celebrar contratos, se está refiriendo a la primera de dichas instituciones y no a la segunda. En cambio, cuando el mismo estatuto se refiere a la competencia de los servidores públicos para dirigir licitaciones y para celebrar contratos estatales se está refiriendo a la segunda y no a la primera</w:t>
      </w:r>
      <w:r w:rsidRPr="008C3D38">
        <w:rPr>
          <w:rFonts w:ascii="Verdana" w:eastAsia="Calibri" w:hAnsi="Verdana" w:cs="Times New Roman"/>
          <w:sz w:val="20"/>
          <w:szCs w:val="20"/>
          <w:vertAlign w:val="superscript"/>
        </w:rPr>
        <w:footnoteReference w:id="5"/>
      </w:r>
      <w:r w:rsidRPr="008C3D38">
        <w:rPr>
          <w:rFonts w:ascii="Verdana" w:eastAsia="Calibri" w:hAnsi="Verdana" w:cs="Times New Roman"/>
          <w:sz w:val="20"/>
          <w:szCs w:val="20"/>
        </w:rPr>
        <w:t xml:space="preserve">. </w:t>
      </w:r>
    </w:p>
    <w:p w14:paraId="21CD5515" w14:textId="77777777" w:rsidR="008C3D38" w:rsidRPr="008C3D38" w:rsidRDefault="008C3D38" w:rsidP="008C3D38">
      <w:pPr>
        <w:spacing w:after="120" w:line="276" w:lineRule="auto"/>
        <w:jc w:val="both"/>
        <w:rPr>
          <w:rFonts w:ascii="Verdana" w:eastAsia="Calibri" w:hAnsi="Verdana" w:cs="Times New Roman"/>
        </w:rPr>
      </w:pPr>
    </w:p>
    <w:p w14:paraId="5D45C4BE" w14:textId="77777777" w:rsidR="008C3D38" w:rsidRPr="008C3D38" w:rsidRDefault="008C3D38" w:rsidP="008C3D38">
      <w:pPr>
        <w:spacing w:after="0" w:line="276" w:lineRule="auto"/>
        <w:jc w:val="both"/>
        <w:rPr>
          <w:rFonts w:ascii="Verdana" w:eastAsia="Calibri" w:hAnsi="Verdana" w:cs="Times New Roman"/>
        </w:rPr>
      </w:pPr>
      <w:r w:rsidRPr="008C3D38">
        <w:rPr>
          <w:rFonts w:ascii="Verdana" w:eastAsia="Calibri" w:hAnsi="Verdana" w:cs="Times New Roman"/>
        </w:rPr>
        <w:tab/>
        <w:t xml:space="preserve">En torno a la capacidad externa, se encuentra que existen entidades que, si bien no se caracterizan por tener personería jurídica, si tienen capacidad contractual. De este tipo de entidades se refiere el artículo 352 constitucional, cuando prescribe que la Ley Orgánica de Presupuesto tiene la regulación de la capacidad para celebrar contratos a entidades y organismos públicos. En este aspecto, el Estatuto Orgánico del Presupuesto permite que organismos públicos tengan la capacidad para celebrar contratos a pesar de que no cuenten con </w:t>
      </w:r>
      <w:r w:rsidRPr="008C3D38">
        <w:rPr>
          <w:rFonts w:ascii="Verdana" w:eastAsia="Calibri" w:hAnsi="Verdana" w:cs="Times New Roman"/>
        </w:rPr>
        <w:lastRenderedPageBreak/>
        <w:t xml:space="preserve">personería jurídica, teniendo en cuenta que se haya otorgado dicha habilitación de forma expresa. Al respecto, el Estatuto Orgánico de Presupuesto, que está condensado en el Decreto 111 de 1996, dispone en el artículo 110: </w:t>
      </w:r>
    </w:p>
    <w:p w14:paraId="58999D1D" w14:textId="77777777" w:rsidR="008C3D38" w:rsidRPr="008C3D38" w:rsidRDefault="008C3D38" w:rsidP="007448A3">
      <w:pPr>
        <w:spacing w:after="0" w:line="240" w:lineRule="auto"/>
        <w:jc w:val="both"/>
        <w:rPr>
          <w:rFonts w:ascii="Verdana" w:eastAsia="Calibri" w:hAnsi="Verdana" w:cs="Times New Roman"/>
        </w:rPr>
      </w:pPr>
    </w:p>
    <w:p w14:paraId="182D578D" w14:textId="77777777" w:rsidR="008C3D38" w:rsidRPr="008C3D38" w:rsidRDefault="008C3D38" w:rsidP="007448A3">
      <w:pPr>
        <w:spacing w:after="0" w:line="240" w:lineRule="auto"/>
        <w:ind w:left="709" w:right="709"/>
        <w:jc w:val="both"/>
        <w:rPr>
          <w:rFonts w:ascii="Verdana" w:eastAsia="Calibri" w:hAnsi="Verdana" w:cs="Times New Roman"/>
          <w:sz w:val="20"/>
          <w:szCs w:val="20"/>
          <w:lang w:val="es-MX"/>
        </w:rPr>
      </w:pPr>
      <w:r w:rsidRPr="008C3D38">
        <w:rPr>
          <w:rFonts w:ascii="Verdana" w:eastAsia="Calibri" w:hAnsi="Verdana" w:cs="Times New Roman"/>
          <w:sz w:val="20"/>
          <w:szCs w:val="20"/>
          <w:lang w:val="es-MX"/>
        </w:rPr>
        <w:t>“Los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1E8472EC" w14:textId="77777777" w:rsidR="008C3D38" w:rsidRPr="008C3D38" w:rsidRDefault="008C3D38" w:rsidP="008C3D38">
      <w:pPr>
        <w:spacing w:after="120" w:line="276" w:lineRule="auto"/>
        <w:jc w:val="both"/>
        <w:rPr>
          <w:rFonts w:ascii="Verdana" w:eastAsia="Calibri" w:hAnsi="Verdana" w:cs="Times New Roman"/>
          <w:lang w:val="es-MX"/>
        </w:rPr>
      </w:pPr>
    </w:p>
    <w:p w14:paraId="5A399223" w14:textId="77777777" w:rsidR="008C3D38" w:rsidRPr="008C3D38" w:rsidRDefault="008C3D38" w:rsidP="008C3D38">
      <w:pPr>
        <w:spacing w:after="0" w:line="276" w:lineRule="auto"/>
        <w:jc w:val="both"/>
        <w:rPr>
          <w:rFonts w:ascii="Verdana" w:eastAsia="Calibri" w:hAnsi="Verdana" w:cs="Times New Roman"/>
          <w:lang w:val="es-MX"/>
        </w:rPr>
      </w:pPr>
      <w:r w:rsidRPr="008C3D38">
        <w:rPr>
          <w:rFonts w:ascii="Verdana" w:eastAsia="Calibri" w:hAnsi="Verdana" w:cs="Times New Roman"/>
          <w:lang w:val="es-MX"/>
        </w:rPr>
        <w:tab/>
        <w:t xml:space="preserve">A su vez, el artículo 36 del Estatuto Orgánico de Presupuesto prescribe en su inciso segundo qué organismos constituyen una Sección del Presupuesto General de la Nación: </w:t>
      </w:r>
    </w:p>
    <w:p w14:paraId="6DA830B6" w14:textId="77777777" w:rsidR="008C3D38" w:rsidRPr="008C3D38" w:rsidRDefault="008C3D38" w:rsidP="008C3D38">
      <w:pPr>
        <w:spacing w:after="0" w:line="276" w:lineRule="auto"/>
        <w:jc w:val="both"/>
        <w:rPr>
          <w:rFonts w:ascii="Verdana" w:eastAsia="Calibri" w:hAnsi="Verdana" w:cs="Times New Roman"/>
          <w:lang w:val="es-MX"/>
        </w:rPr>
      </w:pPr>
    </w:p>
    <w:p w14:paraId="6861BAD0" w14:textId="77777777" w:rsidR="008C3D38" w:rsidRPr="008C3D38" w:rsidRDefault="008C3D38" w:rsidP="007448A3">
      <w:pPr>
        <w:spacing w:after="0" w:line="240" w:lineRule="auto"/>
        <w:ind w:left="709" w:right="709"/>
        <w:jc w:val="both"/>
        <w:rPr>
          <w:rFonts w:ascii="Verdana" w:eastAsia="Calibri" w:hAnsi="Verdana" w:cs="Times New Roman"/>
          <w:sz w:val="20"/>
          <w:szCs w:val="20"/>
        </w:rPr>
      </w:pPr>
      <w:r w:rsidRPr="008C3D38">
        <w:rPr>
          <w:rFonts w:ascii="Verdana" w:eastAsia="Calibri" w:hAnsi="Verdana" w:cs="Times New Roman"/>
          <w:sz w:val="20"/>
          <w:szCs w:val="20"/>
        </w:rPr>
        <w:t xml:space="preserve">Cada uno de estos gastos se presentará clasificado en diferentes secciones que corresponderán a: la Rama Judicial, la Rama Legislativa, la Fiscalía General de la Nación, la Procuraduría General de la Nación, la Defensoría del Pueblo, la Contraloría General de la República, la Registraduría Nacional del Estado Civil que incluye el Consejo Nacional Electoral, una (1) por cada Ministerio, Departamento Administrativo y Establecimientos Públicos, </w:t>
      </w:r>
      <w:r w:rsidRPr="008C3D38">
        <w:rPr>
          <w:rFonts w:ascii="Verdana" w:eastAsia="Calibri" w:hAnsi="Verdana" w:cs="Times New Roman"/>
          <w:b/>
          <w:i/>
          <w:sz w:val="20"/>
          <w:szCs w:val="20"/>
        </w:rPr>
        <w:t>una (1) para la Policía Nacional</w:t>
      </w:r>
      <w:r w:rsidRPr="008C3D38">
        <w:rPr>
          <w:rFonts w:ascii="Verdana" w:eastAsia="Calibri" w:hAnsi="Verdana" w:cs="Times New Roman"/>
          <w:sz w:val="20"/>
          <w:szCs w:val="20"/>
        </w:rPr>
        <w:t xml:space="preserve"> y una (1) para el Servicio de la Deuda Pública. En el proyecto de presupuesto de inversión se indicarán los proyectos establecidos en el Plan Operativo Anual de Inversión, clasificado según lo determine el Gobierno Nacional (énfasis fuera de texto).</w:t>
      </w:r>
    </w:p>
    <w:p w14:paraId="0848B1C8" w14:textId="77777777" w:rsidR="008C3D38" w:rsidRPr="008C3D38" w:rsidRDefault="008C3D38" w:rsidP="008C3D38">
      <w:pPr>
        <w:spacing w:after="0" w:line="276" w:lineRule="auto"/>
        <w:ind w:left="709" w:right="709"/>
        <w:jc w:val="both"/>
        <w:rPr>
          <w:rFonts w:ascii="Verdana" w:eastAsia="Calibri" w:hAnsi="Verdana" w:cs="Times New Roman"/>
          <w:sz w:val="20"/>
          <w:szCs w:val="20"/>
        </w:rPr>
      </w:pPr>
    </w:p>
    <w:p w14:paraId="67D8EE91" w14:textId="77777777" w:rsidR="008C3D38" w:rsidRPr="008C3D38" w:rsidRDefault="008C3D38" w:rsidP="008C3D38">
      <w:pPr>
        <w:spacing w:after="0" w:line="276" w:lineRule="auto"/>
        <w:ind w:firstLine="709"/>
        <w:jc w:val="both"/>
        <w:rPr>
          <w:rFonts w:ascii="Verdana" w:eastAsia="Times New Roman" w:hAnsi="Verdana" w:cs="Segoe UI"/>
          <w:bCs/>
          <w:lang w:eastAsia="es-CO"/>
        </w:rPr>
      </w:pPr>
      <w:r w:rsidRPr="008C3D38">
        <w:rPr>
          <w:rFonts w:ascii="Verdana" w:eastAsia="Times New Roman" w:hAnsi="Verdana" w:cs="Segoe UI"/>
          <w:lang w:eastAsia="es-CO"/>
        </w:rPr>
        <w:t xml:space="preserve">A partir de la disposición citada, resulta claro que la </w:t>
      </w:r>
      <w:r w:rsidRPr="008C3D38">
        <w:rPr>
          <w:rFonts w:ascii="Verdana" w:eastAsia="Times New Roman" w:hAnsi="Verdana" w:cs="Segoe UI"/>
          <w:bCs/>
          <w:lang w:eastAsia="es-CO"/>
        </w:rPr>
        <w:t>Policía Nacional integra el Presupuesto General de la Nación (PGN)</w:t>
      </w:r>
      <w:r w:rsidRPr="008C3D38">
        <w:rPr>
          <w:rFonts w:ascii="Verdana" w:eastAsia="Times New Roman" w:hAnsi="Verdana" w:cs="Segoe UI"/>
          <w:lang w:eastAsia="es-CO"/>
        </w:rPr>
        <w:t xml:space="preserve">, en la medida en que el legislador ha previsto expresamente una sección presupuestal independiente destinada a esta entidad. Esta inclusión no es nominal, sino que implica su reconocimiento como </w:t>
      </w:r>
      <w:r w:rsidRPr="008C3D38">
        <w:rPr>
          <w:rFonts w:ascii="Verdana" w:eastAsia="Times New Roman" w:hAnsi="Verdana" w:cs="Segoe UI"/>
          <w:bCs/>
          <w:lang w:eastAsia="es-CO"/>
        </w:rPr>
        <w:t>unidad ejecutora de recursos públicos</w:t>
      </w:r>
      <w:r w:rsidRPr="008C3D38">
        <w:rPr>
          <w:rFonts w:ascii="Verdana" w:eastAsia="Times New Roman" w:hAnsi="Verdana" w:cs="Segoe UI"/>
          <w:b/>
          <w:lang w:eastAsia="es-CO"/>
        </w:rPr>
        <w:t>,</w:t>
      </w:r>
      <w:r w:rsidRPr="008C3D38">
        <w:rPr>
          <w:rFonts w:ascii="Verdana" w:eastAsia="Times New Roman" w:hAnsi="Verdana" w:cs="Segoe UI"/>
          <w:lang w:eastAsia="es-CO"/>
        </w:rPr>
        <w:t xml:space="preserve"> sujeta al Estatuto Orgánico del Presupuesto y a las reglas de planeación, ejecución y control fiscal propias del gasto público. En efecto, la Policía Nacional participa de manera directa en la programación y ejecución del presupuesto aprobado por el Congreso de la República, lo que la sitúa dentro de la estructura administrativa </w:t>
      </w:r>
      <w:r w:rsidRPr="008C3D38">
        <w:rPr>
          <w:rFonts w:ascii="Verdana" w:eastAsia="Times New Roman" w:hAnsi="Verdana" w:cs="Segoe UI"/>
          <w:lang w:eastAsia="es-CO"/>
        </w:rPr>
        <w:lastRenderedPageBreak/>
        <w:t xml:space="preserve">del Estado con capacidad operativa y financiera definida. De tal manera, al formar parte del Presupuesto General de la Nación y administrar recursos públicos, la Policía Nacional ostenta la </w:t>
      </w:r>
      <w:r w:rsidRPr="008C3D38">
        <w:rPr>
          <w:rFonts w:ascii="Verdana" w:eastAsia="Times New Roman" w:hAnsi="Verdana" w:cs="Segoe UI"/>
          <w:bCs/>
          <w:lang w:eastAsia="es-CO"/>
        </w:rPr>
        <w:t>capacidad para celebrar contratos, y en este sentido, se considera entidad estatal en los términos del artículo 2.1. literal b de la Ley 80 de 1993, cuyo tenor literal dispone:</w:t>
      </w:r>
    </w:p>
    <w:p w14:paraId="08451143" w14:textId="77777777" w:rsidR="008C3D38" w:rsidRPr="008C3D38" w:rsidRDefault="008C3D38" w:rsidP="008C3D38">
      <w:pPr>
        <w:spacing w:after="0" w:line="276" w:lineRule="auto"/>
        <w:ind w:firstLine="709"/>
        <w:jc w:val="both"/>
        <w:rPr>
          <w:rFonts w:ascii="Verdana" w:eastAsia="Times New Roman" w:hAnsi="Verdana" w:cs="Segoe UI"/>
          <w:bCs/>
          <w:lang w:eastAsia="es-CO"/>
        </w:rPr>
      </w:pPr>
    </w:p>
    <w:p w14:paraId="5CB3EFFC" w14:textId="77777777" w:rsidR="008C3D38" w:rsidRPr="008C3D38" w:rsidRDefault="008C3D38" w:rsidP="007448A3">
      <w:pPr>
        <w:spacing w:after="0" w:line="240" w:lineRule="auto"/>
        <w:ind w:left="709" w:right="709"/>
        <w:jc w:val="both"/>
        <w:rPr>
          <w:rFonts w:ascii="Verdana" w:eastAsia="Times New Roman" w:hAnsi="Verdana" w:cs="Segoe UI"/>
          <w:bCs/>
          <w:sz w:val="20"/>
          <w:szCs w:val="20"/>
          <w:lang w:eastAsia="es-CO"/>
        </w:rPr>
      </w:pPr>
      <w:r w:rsidRPr="008C3D38">
        <w:rPr>
          <w:rFonts w:ascii="Verdana" w:eastAsia="Times New Roman" w:hAnsi="Verdana" w:cs="Segoe UI"/>
          <w:bCs/>
          <w:sz w:val="20"/>
          <w:szCs w:val="20"/>
          <w:lang w:eastAsia="es-CO"/>
        </w:rPr>
        <w:t>ARTICULO 2o. DE LA DEFINICION DE ENTIDADES, SERVIDORES Y SERVICIOS PUBLICOS. Para los solos efectos de esta ley:  </w:t>
      </w:r>
    </w:p>
    <w:p w14:paraId="7E0A7CAC" w14:textId="77777777" w:rsidR="008C3D38" w:rsidRPr="008C3D38" w:rsidRDefault="008C3D38" w:rsidP="007448A3">
      <w:pPr>
        <w:spacing w:after="0" w:line="240" w:lineRule="auto"/>
        <w:ind w:left="709" w:right="709"/>
        <w:jc w:val="both"/>
        <w:rPr>
          <w:rFonts w:ascii="Verdana" w:eastAsia="Times New Roman" w:hAnsi="Verdana" w:cs="Segoe UI"/>
          <w:b/>
          <w:bCs/>
          <w:sz w:val="20"/>
          <w:szCs w:val="20"/>
          <w:lang w:eastAsia="es-CO"/>
        </w:rPr>
      </w:pPr>
      <w:r w:rsidRPr="008C3D38">
        <w:rPr>
          <w:rFonts w:ascii="Verdana" w:eastAsia="Times New Roman" w:hAnsi="Verdana" w:cs="Segoe UI"/>
          <w:bCs/>
          <w:sz w:val="20"/>
          <w:szCs w:val="20"/>
          <w:lang w:eastAsia="es-CO"/>
        </w:rPr>
        <w:t>1o. Se denominan entidades estatales: </w:t>
      </w:r>
    </w:p>
    <w:p w14:paraId="735DC26D" w14:textId="77777777" w:rsidR="008C3D38" w:rsidRPr="008C3D38" w:rsidRDefault="008C3D38" w:rsidP="007448A3">
      <w:pPr>
        <w:spacing w:after="0" w:line="240" w:lineRule="auto"/>
        <w:ind w:left="709" w:right="709"/>
        <w:jc w:val="both"/>
        <w:rPr>
          <w:rFonts w:ascii="Verdana" w:eastAsia="Calibri" w:hAnsi="Verdana" w:cs="Times New Roman"/>
          <w:sz w:val="20"/>
          <w:szCs w:val="20"/>
          <w:lang w:val="es-ES" w:eastAsia="es-CO"/>
        </w:rPr>
      </w:pPr>
      <w:r w:rsidRPr="008C3D38">
        <w:rPr>
          <w:rFonts w:ascii="Verdana" w:eastAsia="Times New Roman" w:hAnsi="Verdana" w:cs="Segoe UI"/>
          <w:bCs/>
          <w:sz w:val="20"/>
          <w:szCs w:val="20"/>
          <w:lang w:eastAsia="es-CO"/>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w:t>
      </w:r>
      <w:r w:rsidRPr="008C3D38">
        <w:rPr>
          <w:rFonts w:ascii="Verdana" w:eastAsia="Times New Roman" w:hAnsi="Verdana" w:cs="Segoe UI"/>
          <w:b/>
          <w:bCs/>
          <w:i/>
          <w:sz w:val="20"/>
          <w:szCs w:val="20"/>
          <w:lang w:eastAsia="es-CO"/>
        </w:rPr>
        <w:t>, los organismos o dependencias del Estado a los que la ley otorgue capacidad para celebrar contratos.</w:t>
      </w:r>
      <w:r w:rsidRPr="008C3D38">
        <w:rPr>
          <w:rFonts w:ascii="Verdana" w:eastAsia="Times New Roman" w:hAnsi="Verdana" w:cs="Segoe UI"/>
          <w:bCs/>
          <w:sz w:val="20"/>
          <w:szCs w:val="20"/>
          <w:lang w:eastAsia="es-CO"/>
        </w:rPr>
        <w:t xml:space="preserve"> (énfasis fuera de texto). </w:t>
      </w:r>
    </w:p>
    <w:p w14:paraId="6EF8B7D2" w14:textId="77777777" w:rsidR="008C3D38" w:rsidRPr="008C3D38" w:rsidRDefault="008C3D38" w:rsidP="008C3D38">
      <w:pPr>
        <w:spacing w:after="0" w:line="276" w:lineRule="auto"/>
        <w:ind w:left="709" w:right="709"/>
        <w:jc w:val="both"/>
        <w:rPr>
          <w:rFonts w:ascii="Verdana" w:eastAsia="Calibri" w:hAnsi="Verdana" w:cs="Times New Roman"/>
          <w:sz w:val="20"/>
          <w:szCs w:val="20"/>
          <w:lang w:val="es-ES"/>
        </w:rPr>
      </w:pPr>
    </w:p>
    <w:p w14:paraId="56B0E69A" w14:textId="77777777" w:rsidR="008C3D38" w:rsidRPr="008C3D38" w:rsidRDefault="008C3D38" w:rsidP="008C3D38">
      <w:pPr>
        <w:spacing w:after="120" w:line="276" w:lineRule="auto"/>
        <w:jc w:val="both"/>
        <w:rPr>
          <w:rFonts w:ascii="Verdana" w:eastAsia="Calibri" w:hAnsi="Verdana" w:cs="Times New Roman"/>
          <w:lang w:val="es-ES"/>
        </w:rPr>
      </w:pPr>
      <w:r w:rsidRPr="008C3D38">
        <w:rPr>
          <w:rFonts w:ascii="Verdana" w:eastAsia="Calibri" w:hAnsi="Verdana" w:cs="Times New Roman"/>
          <w:lang w:val="es-ES"/>
        </w:rPr>
        <w:tab/>
        <w:t>De este modo, se encuentra que la Policía no tiene personería jurídica, sin embargo, cuenta con la capacidad contractual. Ahora bien, para entender un poco más de esta entidad, el artículo 218 de la Constitución Política establece: “la Policía Nacional es un cuerpo armado permanente de naturaleza civil, a cargo de la Nación, cuyo fin primordial es el mantenimiento de las condiciones necesarias para el ejercicio de los derechos y libertades públicas, y para asegurar que los habitantes de Colombia convivan en paz”. La Corte Constitucional ha reiterado ese carácter civil de la Policía Nacional, estableciendo que la naturaleza jurídica de esta institución es diferente a la de las Fuerzas Militares, su naturaleza civil implica que los inferiores son responsables por la ejecución de las órdenes que reciban y como autoridad administrativa cumple funciones preventivas más no represivas, salvo cuando actúa como colaboradora de las autoridades judiciales en ejercicio de la función de policía judicial</w:t>
      </w:r>
      <w:r w:rsidRPr="008C3D38">
        <w:rPr>
          <w:rFonts w:ascii="Verdana" w:eastAsia="Calibri" w:hAnsi="Verdana" w:cs="Times New Roman"/>
          <w:vertAlign w:val="superscript"/>
          <w:lang w:val="es-ES"/>
        </w:rPr>
        <w:footnoteReference w:id="6"/>
      </w:r>
      <w:r w:rsidRPr="008C3D38">
        <w:rPr>
          <w:rFonts w:ascii="Verdana" w:eastAsia="Calibri" w:hAnsi="Verdana" w:cs="Times New Roman"/>
          <w:lang w:val="es-ES"/>
        </w:rPr>
        <w:t xml:space="preserve">. </w:t>
      </w:r>
    </w:p>
    <w:p w14:paraId="5B8B90C3" w14:textId="77777777" w:rsidR="008C3D38" w:rsidRPr="008C3D38" w:rsidRDefault="008C3D38" w:rsidP="008C3D38">
      <w:pPr>
        <w:spacing w:after="0" w:line="276" w:lineRule="auto"/>
        <w:ind w:firstLine="709"/>
        <w:jc w:val="both"/>
        <w:rPr>
          <w:rFonts w:ascii="Verdana" w:eastAsia="Calibri" w:hAnsi="Verdana" w:cs="Times New Roman"/>
          <w:lang w:val="es"/>
        </w:rPr>
      </w:pPr>
      <w:r w:rsidRPr="008C3D38">
        <w:rPr>
          <w:rFonts w:ascii="Verdana" w:eastAsia="Calibri" w:hAnsi="Verdana" w:cs="Times New Roman"/>
          <w:lang w:val="es-ES"/>
        </w:rPr>
        <w:t xml:space="preserve">Así mismo, el artículo 1 decreto 49 de 2003, modificado por el Decreto 113 de 2022, establece que la Dirección General de la Policía Nacional de Colombia hace parte de la estructura del Ministerio de Defensa Nacional y está compuesta por distintas direcciones, subdirecciones, Jefaturas y oficinas. En este </w:t>
      </w:r>
      <w:r w:rsidRPr="008C3D38">
        <w:rPr>
          <w:rFonts w:ascii="Verdana" w:eastAsia="Calibri" w:hAnsi="Verdana" w:cs="Times New Roman"/>
          <w:lang w:val="es-ES"/>
        </w:rPr>
        <w:lastRenderedPageBreak/>
        <w:t>aspecto, se destaca que</w:t>
      </w:r>
      <w:r w:rsidRPr="008C3D38">
        <w:rPr>
          <w:rFonts w:ascii="Verdana" w:eastAsia="Calibri" w:hAnsi="Verdana" w:cs="Times New Roman"/>
          <w:lang w:val="es"/>
        </w:rPr>
        <w:t xml:space="preserve"> la fuerza pública se encuentra integrada por las Fuerzas Militares y la Policía Nacional. La función de los primeros es la defensa de la soberanía, independencia e integridad del territorio nacional; mientras, que la de los segundos es el mantenimiento de las condiciones necesarias para el ejercicio de los derechos y libertades públicas, y para asegurar que los habitantes de Colombia convivan en paz. </w:t>
      </w:r>
    </w:p>
    <w:p w14:paraId="143D7B7C" w14:textId="77777777" w:rsidR="008C3D38" w:rsidRPr="008C3D38" w:rsidRDefault="008C3D38" w:rsidP="008C3D38">
      <w:pPr>
        <w:spacing w:after="0" w:line="276" w:lineRule="auto"/>
        <w:jc w:val="both"/>
        <w:rPr>
          <w:rFonts w:ascii="Verdana" w:eastAsia="Calibri" w:hAnsi="Verdana" w:cs="Arial"/>
          <w:lang w:eastAsia="es-MX"/>
        </w:rPr>
      </w:pPr>
    </w:p>
    <w:p w14:paraId="15B6F414" w14:textId="77777777" w:rsidR="008C3D38" w:rsidRPr="008C3D38" w:rsidRDefault="008C3D38" w:rsidP="008C3D38">
      <w:pPr>
        <w:spacing w:after="120" w:line="276" w:lineRule="auto"/>
        <w:jc w:val="both"/>
        <w:rPr>
          <w:rFonts w:ascii="Verdana" w:eastAsia="Century Gothic" w:hAnsi="Verdana" w:cs="Century Gothic"/>
        </w:rPr>
      </w:pPr>
      <w:r w:rsidRPr="008C3D38">
        <w:rPr>
          <w:rFonts w:ascii="Verdana" w:eastAsia="Calibri" w:hAnsi="Verdana" w:cs="Arial"/>
          <w:lang w:eastAsia="es-MX"/>
        </w:rPr>
        <w:t xml:space="preserve">iii. </w:t>
      </w:r>
      <w:r w:rsidRPr="008C3D38">
        <w:rPr>
          <w:rFonts w:ascii="Verdana" w:eastAsia="Times New Roman" w:hAnsi="Verdana" w:cs="Arial"/>
          <w:lang w:eastAsia="es-CO"/>
        </w:rPr>
        <w:t xml:space="preserve">La contratación pública o sistema de compra pública se concibe como un mercado compuesto por la oferta de particulares, preferentemente, y la demanda de las Entidades Públicas de bienes y servicios. Particularmente, la compra pública de alimentos, a la cual se refiere en su consulta, además de lo dispuesto en el Estatuto General de Contratación de la Administración Pública – en adelante EGCAP -, se encuentra regulada en </w:t>
      </w:r>
      <w:r w:rsidRPr="008C3D38">
        <w:rPr>
          <w:rFonts w:ascii="Verdana" w:eastAsia="Century Gothic" w:hAnsi="Verdana" w:cs="Century Gothic"/>
        </w:rPr>
        <w:t xml:space="preserve">la Ley 1955 de 2019, la Ley 2046 de 2020 y el Decreto 248 de 2021, que modifica el Decreto 1071 de 2015. En ese contexto resulta importante referirse al </w:t>
      </w:r>
      <w:r w:rsidRPr="008C3D38">
        <w:rPr>
          <w:rFonts w:ascii="Verdana" w:eastAsia="Century Gothic" w:hAnsi="Verdana" w:cs="Century Gothic"/>
          <w:lang w:val="es-ES"/>
        </w:rPr>
        <w:t>c</w:t>
      </w:r>
      <w:proofErr w:type="spellStart"/>
      <w:r w:rsidRPr="008C3D38">
        <w:rPr>
          <w:rFonts w:ascii="Verdana" w:eastAsia="Century Gothic" w:hAnsi="Verdana" w:cs="Century Gothic"/>
        </w:rPr>
        <w:t>ontexto</w:t>
      </w:r>
      <w:proofErr w:type="spellEnd"/>
      <w:r w:rsidRPr="008C3D38">
        <w:rPr>
          <w:rFonts w:ascii="Verdana" w:eastAsia="Century Gothic" w:hAnsi="Verdana" w:cs="Century Gothic"/>
        </w:rPr>
        <w:t xml:space="preserve"> y finalidad de los incentivos y estímulos regulados el artículo 229 de la Ley 1955 de 2019 y en la Ley 2046 de 2020. </w:t>
      </w:r>
    </w:p>
    <w:p w14:paraId="26BE674D" w14:textId="77777777" w:rsidR="008C3D38" w:rsidRPr="008C3D38" w:rsidRDefault="008C3D38" w:rsidP="008C3D38">
      <w:pPr>
        <w:spacing w:after="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Así, en el mercado de la compra pública se crean incentivos para fomentar el desarrollo de determinado tipo de proveedores, como ocurre con los incentivos a las </w:t>
      </w:r>
      <w:proofErr w:type="spellStart"/>
      <w:r w:rsidRPr="008C3D38">
        <w:rPr>
          <w:rFonts w:ascii="Verdana" w:eastAsia="Times New Roman" w:hAnsi="Verdana" w:cs="Arial"/>
          <w:lang w:eastAsia="es-CO"/>
        </w:rPr>
        <w:t>Mipymes</w:t>
      </w:r>
      <w:proofErr w:type="spellEnd"/>
      <w:r w:rsidRPr="008C3D38">
        <w:rPr>
          <w:rFonts w:ascii="Verdana" w:eastAsia="Times New Roman" w:hAnsi="Verdana" w:cs="Arial"/>
          <w:lang w:eastAsia="es-CO"/>
        </w:rPr>
        <w:t xml:space="preserve">, a los emprendimientos y empresas de mujeres, entre otros. En esa orientación, el artículo 229 de la Ley 1955 de 2019, “Por el cual se expide el Plan Nacional de Desarrollo 2018-2022”,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 En lo pertinente, la norma dispone que: </w:t>
      </w:r>
    </w:p>
    <w:p w14:paraId="718DCC1D" w14:textId="77777777" w:rsidR="008C3D38" w:rsidRPr="008C3D38" w:rsidRDefault="008C3D38" w:rsidP="008C3D38">
      <w:pPr>
        <w:spacing w:after="0" w:line="276" w:lineRule="auto"/>
        <w:jc w:val="both"/>
        <w:rPr>
          <w:rFonts w:ascii="Verdana" w:eastAsia="Times New Roman" w:hAnsi="Verdana" w:cs="Arial"/>
          <w:lang w:eastAsia="es-CO"/>
        </w:rPr>
      </w:pPr>
    </w:p>
    <w:p w14:paraId="67DC57E3"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 xml:space="preserve">Las entidades públicas descentralizadas del orden nacional y las entidades territoriales cada vez que requieran productos de origen agropecuario para atender la demanda de los programas institucionales de servicios de alimentación deberán establecer en sus pliegos de condiciones puntajes adicionales y estrategias de ponderación que mejoren las calificaciones de los proponentes cuando presenten contratos de proveeduría suscritos con productores nacionales. El Gobierno nacional en un plazo máximo de no </w:t>
      </w:r>
      <w:r w:rsidRPr="008C3D38">
        <w:rPr>
          <w:rFonts w:ascii="Verdana" w:eastAsia="Times New Roman" w:hAnsi="Verdana" w:cs="Arial"/>
          <w:sz w:val="20"/>
          <w:szCs w:val="20"/>
          <w:lang w:eastAsia="es-CO"/>
        </w:rPr>
        <w:lastRenderedPageBreak/>
        <w:t>más de tres (3) meses establecerá el esquema de puntajes adicionales, previo análisis de la Agencia de Contratación Colombia Compra Eficiente.</w:t>
      </w:r>
    </w:p>
    <w:p w14:paraId="0B249A47"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p>
    <w:p w14:paraId="163F3E1B"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Sin perjuicio de lo anterior, las entidades públicas contratantes deberán adquirir hasta el cuarenta por ciento (40%) de alimentos procesados o sin procesar, en donde los insumos y los productos hayan sido adquiridos de productores agropecuarios locales.</w:t>
      </w:r>
    </w:p>
    <w:p w14:paraId="133E6103"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p>
    <w:p w14:paraId="5B1C6357"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Adicionalmente, podrá establecerse un diez por ciento (10%) de puntaje adicional, a los proveedores que realicen el suministro que se pretenda contratar vinculando pequeños productores.</w:t>
      </w:r>
    </w:p>
    <w:p w14:paraId="6B1BE3BC"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 xml:space="preserve">[…] </w:t>
      </w:r>
    </w:p>
    <w:p w14:paraId="27FC890D" w14:textId="77777777" w:rsidR="008C3D38" w:rsidRPr="008C3D38" w:rsidRDefault="008C3D38" w:rsidP="008C3D38">
      <w:pPr>
        <w:spacing w:after="0" w:line="276" w:lineRule="auto"/>
        <w:jc w:val="both"/>
        <w:rPr>
          <w:rFonts w:ascii="Verdana" w:eastAsia="Times New Roman" w:hAnsi="Verdana" w:cs="Arial"/>
          <w:lang w:eastAsia="es-CO"/>
        </w:rPr>
      </w:pPr>
    </w:p>
    <w:p w14:paraId="1E2284FA"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Posteriormente, también se expidió la Ley 2046 del 6 de agosto de 2020, “Por la cual se establecen mecanismos para promover la participación de pequeños productores locales agropecuarios y de la agricultura campesina, familiar y comunitaria en los mercados de compras públicas de alimentos”. De acuerdo con el artículo 14, “La presente Ley rige a partir de la fecha de publicación y deroga todas las disposiciones que le sean contrarias”, lo que significa que es obligatoria para sus destinatarios desde esa fecha. Esto, sin perjuicio de la posibilidad de que el Gobierno Nacional, en ejercicio de la potestad prevista en el artículo 189.11 de la Constitución Política, expida el decreto correspondiente que permita la cumplida ejecución de esta ley.</w:t>
      </w:r>
    </w:p>
    <w:p w14:paraId="2D5428B6"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La exposición de motivos de la citada Ley explicó, entre otras cosas, lo siguiente: “[…] los parámetros del Estatuto de Contratación, no incluyen, como regla general, la posibilidad de participación de las organizaciones campesinas, indígenas, afros y raizales productoras de alimentos, pues las exigencias técnicas, logísticas y financieras para poder responder a las condiciones contractuales y operativas definidas por las entidades públicas, solo pueden ser satisfechas por empresas intermediarias que llevan bastante tiempo n el mercado”. </w:t>
      </w:r>
    </w:p>
    <w:p w14:paraId="10AAA94F"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Por lo demás, también agrega que “[…] el Juez constitucional ha brindado algunas soluciones de carácter jurisprudencial, que pregonan la evidente necesidad de incluir en los pliegos de condiciones de los distintos procesos de selección, las medidas o acciones afirmativas, que son mandatos con carácter imperativo, tendientes a reequilibrar a aquellas personas, poblaciones o grupos discriminados, que por razones políticas, económicas, culturales o sociales no </w:t>
      </w:r>
      <w:r w:rsidRPr="008C3D38">
        <w:rPr>
          <w:rFonts w:ascii="Verdana" w:eastAsia="Times New Roman" w:hAnsi="Verdana" w:cs="Arial"/>
          <w:lang w:eastAsia="es-CO"/>
        </w:rPr>
        <w:lastRenderedPageBreak/>
        <w:t xml:space="preserve">han tenido las mismas oportunidades que otros sectores de la población”. De este modo, la Ley 2046 de 2020 pretende la creación de incentivos que beneficien a la agricultura en el territorio nacional. </w:t>
      </w:r>
    </w:p>
    <w:p w14:paraId="7E2DF158"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 En este contexto, de acuerdo con el artículo 1, el objeto de la ley “[…] consiste en establecer condiciones e instrumentos de abastecimiento alimentario para que todos los programas públicos de suministro y distribución de alimentos promuevan la participación de pequeños productores locales y productores locales agropecuarios cuyos sistemas productivos pertenezcan a la Agricultura Campesina, Familiar y Comunitaria, o de sus organizaciones legalmente constituidas”.</w:t>
      </w:r>
    </w:p>
    <w:p w14:paraId="4390BF45"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En cuanto al campo de aplicación, el artículo 3 ibidem prescribe lo siguiente: “Las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Por lo demás, también dispone en su inciso segundo que “Las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 </w:t>
      </w:r>
    </w:p>
    <w:p w14:paraId="23068F1D" w14:textId="77777777" w:rsidR="008C3D38" w:rsidRPr="008C3D38" w:rsidRDefault="008C3D38" w:rsidP="008C3D38">
      <w:pPr>
        <w:spacing w:after="120" w:line="276" w:lineRule="auto"/>
        <w:ind w:firstLine="708"/>
        <w:jc w:val="both"/>
        <w:rPr>
          <w:rFonts w:ascii="Verdana" w:hAnsi="Verdana" w:cs="Arial"/>
        </w:rPr>
      </w:pPr>
      <w:r w:rsidRPr="008C3D38">
        <w:rPr>
          <w:rFonts w:ascii="Verdana" w:eastAsia="Times New Roman" w:hAnsi="Verdana" w:cs="Arial"/>
          <w:lang w:eastAsia="es-CO"/>
        </w:rPr>
        <w:t>En efecto, este ámbito de aplicación no se limita a las entidades sujetas al Estatuto General de Contratación de la Administración Pública, sino que se extiende a otro tipo de Entidades Públicas de los distintos órdenes, las sociedades de economía mixta, entidades privadas que administren recursos públicos, así como los demás sujetos mencionados en la norma</w:t>
      </w:r>
      <w:r w:rsidRPr="008C3D38">
        <w:rPr>
          <w:rFonts w:ascii="Verdana" w:hAnsi="Verdana" w:cs="Arial"/>
        </w:rPr>
        <w:t>. Esta redacción evidencia la intención del legislador de otorgar un alcance general y comprensivo a las obligaciones allí contenidas, evitando limitar su aplicación a una categoría específica de entidades.</w:t>
      </w:r>
    </w:p>
    <w:p w14:paraId="4DAD053B"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En este contexto, la norma </w:t>
      </w:r>
      <w:r w:rsidRPr="008C3D38">
        <w:rPr>
          <w:rFonts w:ascii="Verdana" w:eastAsia="Times New Roman" w:hAnsi="Verdana" w:cs="Arial"/>
          <w:bCs/>
          <w:lang w:eastAsia="es-CO"/>
        </w:rPr>
        <w:t>no distingue entre entidades públicas con personería jurídica y aquellas que carecen de ella</w:t>
      </w:r>
      <w:r w:rsidRPr="008C3D38">
        <w:rPr>
          <w:rFonts w:ascii="Verdana" w:eastAsia="Times New Roman" w:hAnsi="Verdana" w:cs="Arial"/>
          <w:lang w:eastAsia="es-CO"/>
        </w:rPr>
        <w:t xml:space="preserve">, lo que implica que su </w:t>
      </w:r>
      <w:r w:rsidRPr="008C3D38">
        <w:rPr>
          <w:rFonts w:ascii="Verdana" w:eastAsia="Times New Roman" w:hAnsi="Verdana" w:cs="Arial"/>
          <w:lang w:eastAsia="es-CO"/>
        </w:rPr>
        <w:lastRenderedPageBreak/>
        <w:t xml:space="preserve">aplicación recae sobre todos los organismos que, por su naturaleza y funciones, administran recursos públicos y celebran contratos estatales. Bajo esta premisa, resulta claro que disposiciones como las previstas en la Ley 2026 en mención son plenamente aplicables a la </w:t>
      </w:r>
      <w:r w:rsidRPr="008C3D38">
        <w:rPr>
          <w:rFonts w:ascii="Verdana" w:eastAsia="Times New Roman" w:hAnsi="Verdana" w:cs="Arial"/>
          <w:bCs/>
          <w:lang w:eastAsia="es-CO"/>
        </w:rPr>
        <w:t>Policía Nacional</w:t>
      </w:r>
      <w:r w:rsidRPr="008C3D38">
        <w:rPr>
          <w:rFonts w:ascii="Verdana" w:eastAsia="Times New Roman" w:hAnsi="Verdana" w:cs="Arial"/>
          <w:lang w:eastAsia="es-CO"/>
        </w:rPr>
        <w:t xml:space="preserve">, dado que, aun careciendo de personería jurídica, cuenta con capacidad contractual, conforme a los artículos 36 y 110 del Estatuto Orgánico de Presupuesto; y a su vez, se encuentra sometida al Estatuto General de Contratación de la Administración Pública, de acuerdo al artículo 2.1. literal b de la Ley 80 de 1993. Por tanto, la Policía debe atender las obligaciones derivadas de dicha regulación en el ejercicio de su actividad contractual, es decir, deberá aplicar la Ley 2046 de 2020, así como las demás normas que la modifiquen, adicionen y reglamenten. </w:t>
      </w:r>
    </w:p>
    <w:p w14:paraId="01AE7D08"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Teniendo en cuenta lo expuesto sobre el ámbito de aplicación, es pertinente señalar que el artículo 4 de la Ley 2046 de 2020 define algunos términos y establece unas siglas para el entendimiento e interpretación de las reglas contenidas en la Ley 2046 de 2020. El artículo 5 crea la Mesa Técnica Nacional de Compras Públicas Locales de Alimentos, y el artículo 6 obliga al Gobierno Nacional a diseñar e implementar planes, programas y acciones pedagógicas y de seguimiento para capacitar alcaldías, gobernaciones y participantes de los espacios territoriales de articulación definidos por Mesa Técnica Nacional de Compras Públicas Locales de Alimentos, así como a pequeños productores y productores de la Agricultura Campesina, Familiar o Comunitaria y organizaciones en los diferentes ejes temáticos indicados en la norma. </w:t>
      </w:r>
    </w:p>
    <w:p w14:paraId="1DFF5228" w14:textId="77777777" w:rsidR="008C3D38" w:rsidRPr="008C3D38" w:rsidRDefault="008C3D38" w:rsidP="008C3D38">
      <w:pPr>
        <w:spacing w:after="0" w:line="276" w:lineRule="auto"/>
        <w:ind w:firstLine="426"/>
        <w:jc w:val="both"/>
        <w:rPr>
          <w:rFonts w:ascii="Verdana" w:eastAsia="Times New Roman" w:hAnsi="Verdana" w:cs="Arial"/>
          <w:lang w:eastAsia="es-CO"/>
        </w:rPr>
      </w:pPr>
      <w:r w:rsidRPr="008C3D38">
        <w:rPr>
          <w:rFonts w:ascii="Verdana" w:eastAsia="Times New Roman" w:hAnsi="Verdana" w:cs="Arial"/>
          <w:lang w:eastAsia="es-CO"/>
        </w:rPr>
        <w:t xml:space="preserve">Sin embargo, la mayor pretensión de esta Ley fue lo regulado en el artículo 7, el cual estable los porcentajes mínimos de compra local a pequeños productores y productores de la agricultura campesina, familiar y comunitaria. En tal sentido, establece las siguientes reglas: </w:t>
      </w:r>
    </w:p>
    <w:p w14:paraId="66FF8F7D" w14:textId="77777777" w:rsidR="008C3D38" w:rsidRPr="008C3D38" w:rsidRDefault="008C3D38" w:rsidP="008C3D38">
      <w:pPr>
        <w:spacing w:after="0" w:line="276" w:lineRule="auto"/>
        <w:ind w:left="426" w:right="758"/>
        <w:jc w:val="both"/>
        <w:rPr>
          <w:rFonts w:ascii="Verdana" w:eastAsia="Times New Roman" w:hAnsi="Verdana" w:cs="Arial"/>
          <w:lang w:eastAsia="es-CO"/>
        </w:rPr>
      </w:pPr>
    </w:p>
    <w:p w14:paraId="75309FC6"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“i) las entidades que están sujetas al ámbito de aplicación de esta ley tienen la obligación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En el evento que no se cumpla este porcentaje deben informar a la Mesa Técnica Nacional de Compra Pública de Alimentos, quien certifica y realiza las gestiones para otorgar un listado de pequeños productores;</w:t>
      </w:r>
    </w:p>
    <w:p w14:paraId="656E6850"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p>
    <w:p w14:paraId="57A4A8CA"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 xml:space="preserve">ii) También deben establecer en su Pliego de Condiciones un puntaje mínimo del diez por ciento (10%) de los puntos asignables a la calificación de las propuestas, que se asignan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 </w:t>
      </w:r>
    </w:p>
    <w:p w14:paraId="62EC4484"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p>
    <w:p w14:paraId="1D0D74D1"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iii) Deben incluir en sus contratos la obligación por parte de sus contratistas que ejecuten u operen los programas institucionales en que se adquieran alimentos, de participar en los espacios de articulación que se definan por parte de la Mesa Técnica Nacional de Compras Públicas Locales de Alimentos y de participar en su rol de compradores de alimentos o de sus materias primas, en las ruedas de negocios que se realicen en virtud de lo establecido en la presente ley;</w:t>
      </w:r>
    </w:p>
    <w:p w14:paraId="284728E1"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p>
    <w:p w14:paraId="4CF806FF"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 xml:space="preserve">iv) Establecerá en sus estudios previos, la zona geográfica para la compra pública local de alimentos a pequeños productores agropecuarios y/o a productores de la Agricultura Campesina, Familiar o Comunitaria locales o sus organizaciones, con base en una serie de criterios definidos en la norma. </w:t>
      </w:r>
    </w:p>
    <w:p w14:paraId="62313482" w14:textId="77777777" w:rsidR="008C3D38" w:rsidRPr="008C3D38" w:rsidRDefault="008C3D38" w:rsidP="008C3D38">
      <w:pPr>
        <w:spacing w:after="0" w:line="276" w:lineRule="auto"/>
        <w:jc w:val="both"/>
        <w:rPr>
          <w:rFonts w:ascii="Verdana" w:eastAsia="Times New Roman" w:hAnsi="Verdana" w:cs="Arial"/>
          <w:lang w:eastAsia="es-CO"/>
        </w:rPr>
      </w:pPr>
      <w:r w:rsidRPr="008C3D38">
        <w:rPr>
          <w:rFonts w:ascii="Verdana" w:eastAsia="Times New Roman" w:hAnsi="Verdana" w:cs="Arial"/>
          <w:lang w:eastAsia="es-CO"/>
        </w:rPr>
        <w:t xml:space="preserve"> </w:t>
      </w:r>
    </w:p>
    <w:p w14:paraId="14B85132" w14:textId="77777777" w:rsidR="008C3D38" w:rsidRPr="008C3D38" w:rsidRDefault="008C3D38" w:rsidP="008C3D38">
      <w:pPr>
        <w:spacing w:after="120" w:line="276" w:lineRule="auto"/>
        <w:ind w:firstLine="426"/>
        <w:jc w:val="both"/>
        <w:rPr>
          <w:rFonts w:ascii="Verdana" w:eastAsia="Times New Roman" w:hAnsi="Verdana" w:cs="Arial"/>
          <w:lang w:eastAsia="es-CO"/>
        </w:rPr>
      </w:pPr>
      <w:r w:rsidRPr="008C3D38">
        <w:rPr>
          <w:rFonts w:ascii="Verdana" w:eastAsia="Times New Roman" w:hAnsi="Verdana" w:cs="Arial"/>
          <w:lang w:eastAsia="es-CO"/>
        </w:rPr>
        <w:t>Seguidamente, los demás artículos de la Ley 2046 de 2020 tratan temas varios como: i) diseño y adecuación de minutas alimentarias y menú –artículo 8–, ii) especificaciones técnicas de los productos –artículo 9–, iii) pago de las compras realizadas a productores de la agricultura campesina, familiar y comunitaria –artículo 10–, iv) sistema público de información alimentaria de pequeños productores locales y de productores de la agricultura campesina, familiar y comunitaria y sus organizaciones –artículo 11–, v) informes de cumplimiento al Congreso de la República –artículo 12– y vi) mecanismos de monitoreo y vigilancia –artículo 13–.</w:t>
      </w:r>
    </w:p>
    <w:p w14:paraId="7E0FA934" w14:textId="77777777" w:rsidR="008C3D38" w:rsidRPr="008C3D38" w:rsidRDefault="008C3D38" w:rsidP="008C3D38">
      <w:pPr>
        <w:spacing w:after="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En el marco de la Ley 2046 de 2020, se expidió el Decreto 248 del 9 de marzo de 2021, “Por el cual se adiciona la Parte 20 al Libro 2 del Decreto 1071 de 2015, Decreto Único Reglamentario del Sector Administrativo Agropecuario, Pesquero y de Desarrollo Rural, relacionado con las compras públicas de alimentos”. En la memoria justificativa de este decreto se expresó: </w:t>
      </w:r>
    </w:p>
    <w:p w14:paraId="39DB1904" w14:textId="77777777" w:rsidR="008C3D38" w:rsidRPr="008C3D38" w:rsidRDefault="008C3D38" w:rsidP="008C3D38">
      <w:pPr>
        <w:spacing w:after="0" w:line="276" w:lineRule="auto"/>
        <w:jc w:val="both"/>
        <w:rPr>
          <w:rFonts w:ascii="Verdana" w:eastAsia="Times New Roman" w:hAnsi="Verdana" w:cs="Arial"/>
          <w:lang w:eastAsia="es-CO"/>
        </w:rPr>
      </w:pPr>
    </w:p>
    <w:p w14:paraId="255B824D" w14:textId="77777777" w:rsidR="008C3D38" w:rsidRPr="008C3D38" w:rsidRDefault="008C3D38" w:rsidP="008C3D3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lastRenderedPageBreak/>
        <w:t xml:space="preserve">“La importancia de las compras públicas locales para el desarrollo territorial fue también resaltada en la Reforma Rural Integral –RRI, planteada en el Acuerdo Final Para la Terminación del Conflicto y Construcción de una Paz Estable y Duradera suscrito entre el Gobierno Nacional y las Fuerzas Armadas Revolucionarias de Colombia –FARC. En la RRI, en su numeral 1.3.3.4. plantea la formulación e implementación del Plan Nacional para la Promoción de la Comercialización de la Producción de la Economía Campesina, Familiar y Comunitaria, que contiene, una seria de medidas para estimular el mercadeo de los productos campesinos, ordenando entre otras, el diseño e implementación progresiva de un mecanismo de compras públicas para atender la demanda de las entidades y programas institucionales, que de manera descentralizada, que fomente la producción local para apoyar la comercialización y absorción de la producción de la economía campesina familiar y comunitaria”. </w:t>
      </w:r>
    </w:p>
    <w:p w14:paraId="42A28144" w14:textId="77777777" w:rsidR="008C3D38" w:rsidRPr="008C3D38" w:rsidRDefault="008C3D38" w:rsidP="008C3D38">
      <w:pPr>
        <w:spacing w:after="0" w:line="276" w:lineRule="auto"/>
        <w:jc w:val="both"/>
        <w:rPr>
          <w:rFonts w:ascii="Verdana" w:eastAsia="Times New Roman" w:hAnsi="Verdana" w:cs="Arial"/>
          <w:lang w:eastAsia="es-CO"/>
        </w:rPr>
      </w:pPr>
    </w:p>
    <w:p w14:paraId="6F45D781" w14:textId="77777777" w:rsidR="008C3D38" w:rsidRPr="008C3D38" w:rsidRDefault="008C3D38" w:rsidP="008C3D38">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ab/>
        <w:t>Este reglamento adiciona la Parte 20 del Libro 2 del Decreto 1071 de 2015, el cual desarrolla el sistema de compra pública de alimentos. También detalla varios aspectos como las definiciones, el mínimo de compras públicas de alimentos y suministros, los puntajes adicionales obligatorios dentro de los procesos de contratación y los puntajes adicionales facultativos, entre otros.</w:t>
      </w:r>
    </w:p>
    <w:p w14:paraId="65696CD7" w14:textId="77777777" w:rsidR="008C3D38" w:rsidRPr="008C3D38" w:rsidRDefault="008C3D38" w:rsidP="008C3D38">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 xml:space="preserve"> </w:t>
      </w:r>
      <w:r w:rsidRPr="008C3D38">
        <w:rPr>
          <w:rFonts w:ascii="Verdana" w:eastAsia="Times New Roman" w:hAnsi="Verdana" w:cs="Arial"/>
          <w:lang w:eastAsia="es-CO"/>
        </w:rPr>
        <w:tab/>
        <w:t xml:space="preserve">Dentro de estas reglas, es importante señalar que el artículo 2.20.1.1.3. del Decreto 1071 de 2015 dispuso que las Entidades Públicas del nivel nacional, departamental, distrital, municipal, sociedades de economía mixta, y entidades privadas que manejen recursos públicos y operen en el territorio nacional, que contraten, bajo cualquier modalidad, con recursos públicos la adquisición, suministro y entrega de alimentos en cualquiera de sus formas de atención, están en el deber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w:t>
      </w:r>
    </w:p>
    <w:p w14:paraId="18817369"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Asimismo, dispone que en el evento que la oferta de alimentos producidos por pequeños productores y/o productores de la Agricultura Campesina, Familiar o Comunitaria local sea inferior al treinta por ciento (30%), las entidades deben informar de esta situación a la Secretaría Técnica de la Mesa Técnica Nacional de Compras Públicas Locales en el término máximo de cinco (5) días hábiles siguientes una vez advertida la situación. Recibida la comunicación de parte de </w:t>
      </w:r>
      <w:r w:rsidRPr="008C3D38">
        <w:rPr>
          <w:rFonts w:ascii="Verdana" w:eastAsia="Times New Roman" w:hAnsi="Verdana" w:cs="Arial"/>
          <w:lang w:eastAsia="es-CO"/>
        </w:rPr>
        <w:lastRenderedPageBreak/>
        <w:t>la entidad contratante, la Secretaría Técnica de la Mesa tendrá cinco (5) días hábiles para realizar las gestiones necesarias para otorgar un listado de pequeños productores y/o productores de la Agricultura Campesina, Familiar o Comunitaria no locales a quienes puede acudir para suplir el porcentaje restante.</w:t>
      </w:r>
    </w:p>
    <w:p w14:paraId="39354DEC" w14:textId="77777777" w:rsidR="008C3D38" w:rsidRPr="008C3D38" w:rsidRDefault="008C3D38" w:rsidP="008C3D38">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ab/>
        <w:t xml:space="preserve">En este punto, resulta pertinente señalar que el artículo 2.20.1.1.3. </w:t>
      </w:r>
      <w:r w:rsidRPr="008C3D38">
        <w:rPr>
          <w:rFonts w:ascii="Verdana" w:eastAsia="Times New Roman" w:hAnsi="Verdana" w:cs="Arial"/>
          <w:i/>
          <w:lang w:eastAsia="es-CO"/>
        </w:rPr>
        <w:t>ibidem</w:t>
      </w:r>
      <w:r w:rsidRPr="008C3D38">
        <w:rPr>
          <w:rFonts w:ascii="Verdana" w:eastAsia="Times New Roman" w:hAnsi="Verdana" w:cs="Arial"/>
          <w:lang w:eastAsia="es-CO"/>
        </w:rPr>
        <w:t xml:space="preserve"> debe interpretarse de forma sistemática con la Ley 2046 de 2020, la cual como se señaló en el acápite anterior, busca establecer una serie de instrumentos tendientes a que en todos los programas de adquisición, suministro y distribución de alimentos con cargo a recursos públicos se promueva la participación de pequeños productores locales agropecuarios cuyos sistemas productivos pertenezcan a la Agricultura Campesina, Familiar y Comunitaria, o de sus organizaciones legalmente constituidas y los artículos 64 y 65 de la Constitución Política de Colombia. </w:t>
      </w:r>
    </w:p>
    <w:p w14:paraId="4CFB3B36" w14:textId="77777777" w:rsidR="008C3D38" w:rsidRPr="008C3D38" w:rsidRDefault="008C3D38" w:rsidP="008C3D38">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ab/>
        <w:t xml:space="preserve">Ahora bien, respecto a los puntajes previstos en los artículos 2.20.1.2.1, 2.20.1.2.2 y 2.20.1.2.3 del Decreto 1071 de 2015, el interesado deberá acreditar la calidad exigida en cada una de estas normas para beneficiarse del incentivo, pues estas no consagran una equivalencia entre el productor agropecuario local y nacional. En efecto, los puntajes adicionales obligatorios y facultativos aplican a los productores agropecuarios nacionales, los cuales están definidos en el literal d) del artículo 2.20.1.1.1 ibidem como las personas cuyo sistema de producción se encuentra ubicado en el territorio nacional. </w:t>
      </w:r>
    </w:p>
    <w:p w14:paraId="5D1B76B5"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Conforme a los artículos 2.20.1.2.1 y 2.20.1.2.2 del reglamento, estos acreditarán su condición con el “[…] contrato de arrendamiento o un certificado de tradición y libertad del inmueble, o los recibos de pago de los impuestos, contribuciones y valorizaciones del inmueble, que permita demostrar que los productores tienen la calidad de propietarios, poseedores, o tenedores del predio, en los que se evidencie la vereda, el municipio, el departamento o la región de ubicación donde se encuentra el sistema de producción del proveedor de los productos agropecuarios dentro del territorio nacional”.</w:t>
      </w:r>
    </w:p>
    <w:p w14:paraId="01A5F3C5"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En este contexto, el artículo 2.20.1.2.1 del Decreto 1071 de 2015 consagra los criterios de aplicación obligatoria que deben ser incorporados por las entidades estatales en los procesos de selección que tengan por objeto la adquisición de productos agropecuarios para programas institucionales de alimentación. Dentro de dichos criterios, el literal b) prevé la asignación de un </w:t>
      </w:r>
      <w:r w:rsidRPr="008C3D38">
        <w:rPr>
          <w:rFonts w:ascii="Verdana" w:eastAsia="Times New Roman" w:hAnsi="Verdana" w:cs="Arial"/>
          <w:lang w:eastAsia="es-CO"/>
        </w:rPr>
        <w:lastRenderedPageBreak/>
        <w:t>puntaje adicional obligatorio cuando el oferente tenga la calidad de proveedor directo.</w:t>
      </w:r>
    </w:p>
    <w:p w14:paraId="56858343"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Ahora bien, del tenor literal de la norma se advierte que el Decreto no concibe la categoría de proveedor directo como una condición autónoma o independiente, sino que define expresamente su alcance al señalar que dicha calidad se predica de quien sea pequeño productor agropecuario y/o productor de la Agricultura Campesina, Familiar y Comunitaria (ACFC), y/o de sus organizaciones. En consecuencia, la condición de proveedor directo se encuentra jurídicamente vinculada a la participación directa del oferente en la actividad productiva agropecuaria, y no a la simple comercialización o intermediación de los bienes.</w:t>
      </w:r>
    </w:p>
    <w:p w14:paraId="5B09921B"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Así, la interpretación sistemática del literal b) del artículo 2.20.1.2.1 permite concluir que el propósito del incentivo normativo es favorecer la contratación con sujetos que intervienen directamente en la producción de los alimentos, ya sea de manera individual como pequeños productores o productores de la ACFC, o de forma asociativa a través de organizaciones conformadas por estos, garantizando que el beneficio del puntaje adicional recaiga sobre quienes hacen parte efectiva de la base productiva rural.</w:t>
      </w:r>
    </w:p>
    <w:p w14:paraId="19370947"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Bajo este entendimiento, no resulta procedente extender la noción de proveedor directo a oferentes que, aun participando en el proceso de contratación, no acrediten su calidad de pequeños productores o productores de la ACFC, ni la de organización de estos, por cuanto ello desnaturalizaría la finalidad del esquema de puntajes establecido por el Decreto 248 de 2021, cuyo objetivo es promover la inclusión de la Agricultura Campesina, Familiar y Comunitaria y de los pequeños productores agropecuarios en las compras públicas de alimentos.</w:t>
      </w:r>
    </w:p>
    <w:p w14:paraId="6F6B98BF" w14:textId="77777777" w:rsidR="008C3D38" w:rsidRPr="008C3D38" w:rsidRDefault="008C3D38" w:rsidP="008C3D3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En consecuencia, para efectos de la aplicación del puntaje adicional previsto en el literal b) del artículo 2.20.1.2.1 del Decreto 1071 de 2015, la calidad de proveedor directo debe entenderse acreditada únicamente cuando el oferente demuestre su condición de pequeño productor agropecuario, productor de la Agricultura Campesina, Familiar y Comunitaria, o de organización integrada por estos, en los términos previstos por la normativa vigente.</w:t>
      </w:r>
    </w:p>
    <w:p w14:paraId="0DCFBAD2" w14:textId="77777777" w:rsidR="008C3D38" w:rsidRPr="008C3D38" w:rsidRDefault="008C3D38" w:rsidP="008C3D38">
      <w:pPr>
        <w:spacing w:after="120" w:line="276" w:lineRule="auto"/>
        <w:ind w:firstLine="709"/>
        <w:jc w:val="both"/>
        <w:rPr>
          <w:rFonts w:ascii="Verdana" w:eastAsia="Calibri" w:hAnsi="Verdana" w:cs="Times New Roman"/>
          <w:bCs/>
          <w:iCs/>
        </w:rPr>
      </w:pPr>
      <w:r w:rsidRPr="008C3D38">
        <w:rPr>
          <w:rFonts w:ascii="Verdana" w:eastAsia="Calibri" w:hAnsi="Verdana" w:cs="Times New Roman"/>
          <w:bCs/>
          <w:iCs/>
        </w:rPr>
        <w:t>Ahora bien, en el evento de que no se cumplan las obligaciones dispuestas en esta normatividad por parte de las entidades</w:t>
      </w:r>
      <w:r w:rsidRPr="008C3D38">
        <w:rPr>
          <w:rFonts w:ascii="Verdana" w:eastAsia="Calibri" w:hAnsi="Verdana" w:cs="Times New Roman"/>
          <w:bCs/>
          <w:iCs/>
          <w:lang w:val="es-ES"/>
        </w:rPr>
        <w:t xml:space="preserve">, hay que tener en cuenta el </w:t>
      </w:r>
      <w:r w:rsidRPr="008C3D38">
        <w:rPr>
          <w:rFonts w:ascii="Verdana" w:eastAsia="Calibri" w:hAnsi="Verdana" w:cs="Times New Roman"/>
          <w:bCs/>
          <w:iCs/>
          <w:lang w:val="es-ES"/>
        </w:rPr>
        <w:lastRenderedPageBreak/>
        <w:t>artículo 50 de la Ley 80 de 1993, que dispone: “</w:t>
      </w:r>
      <w:r w:rsidRPr="008C3D38">
        <w:rPr>
          <w:rFonts w:ascii="Verdana" w:eastAsia="Calibri" w:hAnsi="Verdana" w:cs="Times New Roman"/>
          <w:bCs/>
          <w:iCs/>
        </w:rPr>
        <w:t xml:space="preserve">Las entidades responderán por las actuaciones, abstenciones, hechos y omisiones antijurídicos que les sean imputables y que causen perjuicios a sus contratistas. En tales casos deberán indemnizar la disminución patrimonial que se ocasione, la prolongación de la misma y la ganancia, beneficio o provecho dejados de percibir por el contratista”. Así mismo, en torno a la responsabilidad de los servidores públicos, el artículo 51 de la Ley 80 de 1993 dispone: “[…] El servidor público responderá disciplinaria, civil y penalmente por sus acciones y omisiones en la actuación contractual en los términos de la Constitución y de la ley”. Bajo esta perspectiva, las entidades y servidores públicos deben responder por las actuaciones, hechos y omisiones en el ejercicio de sus funciones que se enmarcan dentro del proceso de contratación respectivo. </w:t>
      </w:r>
    </w:p>
    <w:p w14:paraId="753EBF43" w14:textId="77777777" w:rsidR="008C3D38" w:rsidRPr="008C3D38" w:rsidRDefault="008C3D38" w:rsidP="008C3D38">
      <w:pPr>
        <w:spacing w:after="0" w:line="276" w:lineRule="auto"/>
        <w:jc w:val="both"/>
        <w:rPr>
          <w:rFonts w:ascii="Verdana" w:eastAsia="Calibri" w:hAnsi="Verdana" w:cs="Arial"/>
          <w:lang w:eastAsia="es-MX"/>
        </w:rPr>
      </w:pPr>
    </w:p>
    <w:p w14:paraId="033C574B" w14:textId="77777777" w:rsidR="008C3D38" w:rsidRPr="008C3D38" w:rsidRDefault="008C3D38" w:rsidP="008C3D38">
      <w:pPr>
        <w:spacing w:after="120" w:line="276" w:lineRule="auto"/>
        <w:jc w:val="both"/>
        <w:rPr>
          <w:rFonts w:ascii="Verdana" w:eastAsia="Calibri" w:hAnsi="Verdana" w:cs="Arial"/>
          <w:color w:val="000000" w:themeColor="text1"/>
          <w:lang w:val="es-ES"/>
        </w:rPr>
      </w:pPr>
      <w:r w:rsidRPr="008C3D38">
        <w:rPr>
          <w:rFonts w:ascii="Verdana" w:eastAsia="Calibri" w:hAnsi="Verdana" w:cs="Arial"/>
          <w:color w:val="000000" w:themeColor="text1"/>
          <w:lang w:val="es-ES"/>
        </w:rPr>
        <w:t xml:space="preserve">iv. Al </w:t>
      </w:r>
      <w:r w:rsidRPr="008C3D38">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CED85BA" w14:textId="77777777" w:rsidR="008C3D38" w:rsidRPr="008C3D38" w:rsidRDefault="008C3D38" w:rsidP="008C3D38">
      <w:pPr>
        <w:spacing w:after="0" w:line="276" w:lineRule="auto"/>
        <w:ind w:firstLine="709"/>
        <w:jc w:val="both"/>
        <w:rPr>
          <w:rFonts w:ascii="Verdana" w:hAnsi="Verdana" w:cs="Arial"/>
          <w:lang w:val="es-ES" w:eastAsia="es-ES"/>
        </w:rPr>
      </w:pPr>
      <w:r w:rsidRPr="008C3D38">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F301439" w14:textId="77777777" w:rsidR="008C3D38" w:rsidRPr="008C3D38" w:rsidRDefault="008C3D38" w:rsidP="008C3D38">
      <w:pPr>
        <w:spacing w:after="0" w:line="276" w:lineRule="auto"/>
        <w:jc w:val="both"/>
        <w:rPr>
          <w:rFonts w:ascii="Verdana" w:eastAsia="Calibri" w:hAnsi="Verdana" w:cs="Arial"/>
          <w:lang w:eastAsia="es-MX"/>
        </w:rPr>
      </w:pPr>
    </w:p>
    <w:p w14:paraId="7284D5E0" w14:textId="77777777" w:rsidR="008C3D38" w:rsidRPr="008C3D38" w:rsidRDefault="008C3D38" w:rsidP="008C3D38">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C3D38">
        <w:rPr>
          <w:rFonts w:ascii="Verdana" w:eastAsia="Century Gothic" w:hAnsi="Verdana" w:cs="Century Gothic"/>
          <w:b/>
          <w:bCs/>
          <w:lang w:val="es-ES"/>
        </w:rPr>
        <w:t>Referencias normativas:</w:t>
      </w:r>
    </w:p>
    <w:p w14:paraId="6D0DE649" w14:textId="77777777" w:rsidR="008C3D38" w:rsidRPr="008C3D38" w:rsidRDefault="008C3D38" w:rsidP="008C3D38">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C3D38" w:rsidRPr="008C3D38" w14:paraId="075A21A9" w14:textId="77777777" w:rsidTr="002C7923">
        <w:trPr>
          <w:trHeight w:val="487"/>
          <w:jc w:val="center"/>
        </w:trPr>
        <w:tc>
          <w:tcPr>
            <w:tcW w:w="8647" w:type="dxa"/>
          </w:tcPr>
          <w:p w14:paraId="49487EB9" w14:textId="77777777" w:rsidR="008C3D38" w:rsidRPr="008C3D38" w:rsidRDefault="008C3D38" w:rsidP="008C3D3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lastRenderedPageBreak/>
              <w:t>Constitución Política, artículos 150, 218 y 352.</w:t>
            </w:r>
          </w:p>
          <w:p w14:paraId="7D3250F3" w14:textId="77777777" w:rsidR="008C3D38" w:rsidRPr="008C3D38" w:rsidRDefault="008C3D38" w:rsidP="008C3D3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 xml:space="preserve">Ley 80 de 1993, artículo 2. </w:t>
            </w:r>
          </w:p>
          <w:p w14:paraId="0E588100" w14:textId="77777777" w:rsidR="008C3D38" w:rsidRPr="008C3D38" w:rsidRDefault="008C3D38" w:rsidP="008C3D3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Decreto 111 de 1996, artículos 36 y 110.</w:t>
            </w:r>
          </w:p>
          <w:p w14:paraId="7459A740" w14:textId="77777777" w:rsidR="008C3D38" w:rsidRPr="008C3D38" w:rsidRDefault="008C3D38" w:rsidP="008C3D3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 xml:space="preserve">Ley 1150 de 2007, artículo 2. </w:t>
            </w:r>
          </w:p>
          <w:p w14:paraId="2E7242AE" w14:textId="77777777" w:rsidR="008C3D38" w:rsidRPr="008C3D38" w:rsidRDefault="008C3D38" w:rsidP="008C3D3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 xml:space="preserve">Ley 1955 de 2019: Artículo 229 </w:t>
            </w:r>
          </w:p>
          <w:p w14:paraId="7074CD92" w14:textId="77777777" w:rsidR="008C3D38" w:rsidRPr="008C3D38" w:rsidRDefault="008C3D38" w:rsidP="008C3D3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 xml:space="preserve">Ley 2046 de 2020: Artículo 7, 8, 9, 10, 11,12 y 13 </w:t>
            </w:r>
          </w:p>
          <w:p w14:paraId="4BFF5B5D" w14:textId="77777777" w:rsidR="008C3D38" w:rsidRPr="008C3D38" w:rsidRDefault="008C3D38" w:rsidP="008C3D3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Decreto 248 de 2021: Artículo 2.20.1.2.1.</w:t>
            </w:r>
          </w:p>
          <w:p w14:paraId="1E60EC68" w14:textId="77777777" w:rsidR="008C3D38" w:rsidRPr="008C3D38" w:rsidRDefault="008C3D38" w:rsidP="008C3D3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eastAsia="es-ES" w:bidi="es-ES"/>
              </w:rPr>
              <w:t xml:space="preserve">Decreto 1071 de 2015: Artículo 2.20.1.1.3. </w:t>
            </w:r>
            <w:r w:rsidRPr="008C3D38">
              <w:rPr>
                <w:rFonts w:ascii="Verdana" w:eastAsia="Arial MT" w:hAnsi="Verdana" w:cs="Arial"/>
                <w:lang w:val="es-MX" w:eastAsia="es-ES" w:bidi="es-ES"/>
              </w:rPr>
              <w:t xml:space="preserve"> </w:t>
            </w:r>
          </w:p>
        </w:tc>
      </w:tr>
    </w:tbl>
    <w:p w14:paraId="27C9F5A3" w14:textId="77777777" w:rsidR="008C3D38" w:rsidRPr="008C3D38" w:rsidRDefault="008C3D38" w:rsidP="008C3D38">
      <w:pPr>
        <w:widowControl w:val="0"/>
        <w:autoSpaceDE w:val="0"/>
        <w:autoSpaceDN w:val="0"/>
        <w:spacing w:after="0" w:line="276" w:lineRule="auto"/>
        <w:jc w:val="both"/>
        <w:rPr>
          <w:rFonts w:ascii="Verdana" w:hAnsi="Verdana" w:cs="Arial"/>
        </w:rPr>
      </w:pPr>
    </w:p>
    <w:p w14:paraId="09E12C42" w14:textId="77777777" w:rsidR="008C3D38" w:rsidRPr="008C3D38" w:rsidRDefault="008C3D38" w:rsidP="008C3D38">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C3D38">
        <w:rPr>
          <w:rFonts w:ascii="Verdana" w:eastAsia="Century Gothic" w:hAnsi="Verdana" w:cs="Century Gothic"/>
          <w:b/>
          <w:bCs/>
          <w:lang w:val="es-ES"/>
        </w:rPr>
        <w:t>Doctrina de la Agencia Nacional de Contratación Pública:</w:t>
      </w:r>
    </w:p>
    <w:p w14:paraId="1E6BA2BD" w14:textId="77777777" w:rsidR="008C3D38" w:rsidRPr="008C3D38" w:rsidRDefault="008C3D38" w:rsidP="008C3D38">
      <w:pPr>
        <w:widowControl w:val="0"/>
        <w:autoSpaceDE w:val="0"/>
        <w:autoSpaceDN w:val="0"/>
        <w:spacing w:after="0" w:line="276" w:lineRule="auto"/>
        <w:jc w:val="both"/>
        <w:rPr>
          <w:rFonts w:ascii="Verdana" w:hAnsi="Verdana" w:cs="Arial"/>
        </w:rPr>
      </w:pPr>
    </w:p>
    <w:p w14:paraId="224F006F" w14:textId="77777777" w:rsidR="008C3D38" w:rsidRPr="008C3D38" w:rsidRDefault="008C3D38" w:rsidP="008C3D38">
      <w:pPr>
        <w:spacing w:after="0" w:line="276" w:lineRule="auto"/>
        <w:jc w:val="both"/>
        <w:rPr>
          <w:rFonts w:ascii="Verdana" w:eastAsia="Calibri" w:hAnsi="Verdana" w:cs="Arial"/>
          <w:lang w:val="es-ES"/>
        </w:rPr>
      </w:pPr>
      <w:r w:rsidRPr="008C3D38">
        <w:rPr>
          <w:rFonts w:ascii="Verdana" w:hAnsi="Verdana" w:cs="Arial"/>
          <w:shd w:val="clear" w:color="auto" w:fill="FFFFFF"/>
          <w:lang w:val="es-ES"/>
        </w:rPr>
        <w:t>La Agencia Nacional de Contratación Pública – Colombia Compra Eficiente</w:t>
      </w:r>
      <w:r w:rsidRPr="008C3D38">
        <w:rPr>
          <w:rFonts w:ascii="Verdana" w:eastAsia="Aptos" w:hAnsi="Verdana" w:cs="Arial"/>
          <w:shd w:val="clear" w:color="auto" w:fill="FFFFFF"/>
          <w:lang w:val="es-ES"/>
        </w:rPr>
        <w:t xml:space="preserve"> se pronunció esta Subdirección en los conceptos</w:t>
      </w:r>
      <w:r w:rsidRPr="008C3D38">
        <w:rPr>
          <w:rFonts w:ascii="Verdana" w:hAnsi="Verdana" w:cs="Arial"/>
          <w:shd w:val="clear" w:color="auto" w:fill="FFFFFF"/>
          <w:lang w:val="es-ES"/>
        </w:rPr>
        <w:t xml:space="preserve"> la promoción de las compras públicas de alimentos y los incentivos contractuales en los conceptos C-301 de 19 de junio de 2022 y C-810 del 25 de noviembre de 2022, C-410 del 6 de octubre de 2023, C-077 del 26 de abril de 2024, C-1657 del 19 de diciembre de 2025, C-1664 del 20 de diciembre de 2026, entre otros. </w:t>
      </w:r>
      <w:r w:rsidRPr="008C3D38">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BD058A6" w14:textId="77777777" w:rsidR="008C3D38" w:rsidRPr="008C3D38" w:rsidRDefault="008C3D38" w:rsidP="008C3D38">
      <w:pPr>
        <w:spacing w:after="0" w:line="256" w:lineRule="auto"/>
        <w:jc w:val="both"/>
        <w:rPr>
          <w:rFonts w:ascii="Verdana" w:eastAsia="Calibri" w:hAnsi="Verdana" w:cs="Times New Roman"/>
        </w:rPr>
      </w:pPr>
      <w:hyperlink r:id="rId13" w:history="1">
        <w:r w:rsidRPr="008C3D38">
          <w:rPr>
            <w:rFonts w:ascii="Verdana" w:eastAsia="Calibri" w:hAnsi="Verdana" w:cs="Times New Roman"/>
            <w:color w:val="0000FF"/>
            <w:u w:val="single"/>
            <w:lang w:val="es-ES"/>
          </w:rPr>
          <w:t>https://relatoria.colombiacompra.gov.co/busqueda/conceptos</w:t>
        </w:r>
      </w:hyperlink>
      <w:r w:rsidRPr="008C3D38">
        <w:rPr>
          <w:rFonts w:ascii="Verdana" w:eastAsia="Calibri" w:hAnsi="Verdana" w:cs="Times New Roman"/>
        </w:rPr>
        <w:t xml:space="preserve">. </w:t>
      </w:r>
    </w:p>
    <w:p w14:paraId="12E5A63C" w14:textId="77777777" w:rsidR="008C3D38" w:rsidRPr="008C3D38" w:rsidRDefault="008C3D38" w:rsidP="008C3D38">
      <w:pPr>
        <w:spacing w:after="0"/>
        <w:jc w:val="both"/>
        <w:rPr>
          <w:rFonts w:ascii="Verdana" w:hAnsi="Verdana"/>
        </w:rPr>
      </w:pPr>
    </w:p>
    <w:p w14:paraId="0F26FBAE" w14:textId="77777777" w:rsidR="008C3D38" w:rsidRPr="008C3D38" w:rsidRDefault="008C3D38" w:rsidP="008C3D38">
      <w:pPr>
        <w:spacing w:after="0"/>
        <w:jc w:val="both"/>
      </w:pPr>
      <w:r w:rsidRPr="008C3D38">
        <w:rPr>
          <w:rFonts w:ascii="Verdana" w:hAnsi="Verdana"/>
        </w:rPr>
        <w:t xml:space="preserve">La sostenibilidad no es una opción, es una obligación. Por ello, la Agencia Nacional de Contratación Pública –Colombia Compra Eficiente– te invita a realizar el </w:t>
      </w:r>
      <w:r w:rsidRPr="008C3D38">
        <w:rPr>
          <w:rFonts w:ascii="Verdana" w:hAnsi="Verdana"/>
          <w:b/>
          <w:bCs/>
        </w:rPr>
        <w:t>Curso de Contratación Pública Sostenible y Socialmente Responsable</w:t>
      </w:r>
      <w:r w:rsidRPr="008C3D38">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C3D38">
        <w:rPr>
          <w:rFonts w:ascii="Verdana" w:hAnsi="Verdana"/>
        </w:rPr>
        <w:br/>
      </w:r>
      <w:hyperlink r:id="rId14" w:tgtFrame="_new" w:history="1">
        <w:r w:rsidRPr="008C3D38">
          <w:rPr>
            <w:rFonts w:ascii="Verdana" w:hAnsi="Verdana"/>
            <w:color w:val="0000FF"/>
            <w:u w:val="single"/>
          </w:rPr>
          <w:t>https://formacionvirtual.colombiacompra.gov.co/mod/page/view.php?id=3718</w:t>
        </w:r>
      </w:hyperlink>
    </w:p>
    <w:p w14:paraId="6591F84F" w14:textId="77777777" w:rsidR="008C3D38" w:rsidRPr="008C3D38" w:rsidRDefault="008C3D38" w:rsidP="008C3D38">
      <w:pPr>
        <w:spacing w:after="0"/>
        <w:jc w:val="both"/>
        <w:rPr>
          <w:rFonts w:ascii="Verdana" w:hAnsi="Verdana"/>
        </w:rPr>
      </w:pPr>
    </w:p>
    <w:p w14:paraId="2BEFCE16" w14:textId="77777777" w:rsidR="008C3D38" w:rsidRPr="008C3D38" w:rsidRDefault="008C3D38" w:rsidP="008C3D38">
      <w:pPr>
        <w:spacing w:after="0"/>
        <w:jc w:val="both"/>
      </w:pPr>
      <w:r w:rsidRPr="008C3D38">
        <w:rPr>
          <w:rFonts w:ascii="Verdana" w:hAnsi="Verdana"/>
        </w:rPr>
        <w:lastRenderedPageBreak/>
        <w:t xml:space="preserve">De otro lado, te contamos que esta Agencia ha da un paso decisivo en la estandarización y modernización del </w:t>
      </w:r>
      <w:r w:rsidRPr="008C3D38">
        <w:rPr>
          <w:rFonts w:ascii="Verdana" w:hAnsi="Verdana"/>
          <w:b/>
          <w:bCs/>
        </w:rPr>
        <w:t>sector  social</w:t>
      </w:r>
      <w:r w:rsidRPr="008C3D38">
        <w:rPr>
          <w:rFonts w:ascii="Verdana" w:hAnsi="Verdana"/>
        </w:rPr>
        <w:t xml:space="preserve"> con la expedición de las </w:t>
      </w:r>
      <w:r w:rsidRPr="008C3D38">
        <w:rPr>
          <w:rFonts w:ascii="Verdana" w:hAnsi="Verdana"/>
          <w:b/>
          <w:bCs/>
        </w:rPr>
        <w:t>Resoluciones 539, 540, 541, 952 y 953 de 2025</w:t>
      </w:r>
      <w:r w:rsidRPr="008C3D38">
        <w:rPr>
          <w:rFonts w:ascii="Verdana" w:hAnsi="Verdana"/>
        </w:rPr>
        <w:t xml:space="preserve">, </w:t>
      </w:r>
      <w:r w:rsidRPr="008C3D38">
        <w:rPr>
          <w:rFonts w:ascii="Verdana" w:hAnsi="Verdana"/>
          <w:b/>
          <w:bCs/>
        </w:rPr>
        <w:t>mediante las cuales adoptó Documentos Tipo</w:t>
      </w:r>
      <w:r w:rsidRPr="008C3D38">
        <w:rPr>
          <w:rFonts w:ascii="Verdana" w:hAnsi="Verdana"/>
        </w:rPr>
        <w:t xml:space="preserve"> para las modalidades de selección de</w:t>
      </w:r>
      <w:r w:rsidRPr="008C3D38">
        <w:rPr>
          <w:rFonts w:ascii="Verdana" w:hAnsi="Verdana"/>
          <w:b/>
          <w:bCs/>
        </w:rPr>
        <w:t xml:space="preserve"> licitación pública (versión 2), selección abreviada de menor cuantía, mínima cuantía, consultoría e interventoría</w:t>
      </w:r>
      <w:r w:rsidRPr="008C3D38">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8C3D38">
          <w:rPr>
            <w:rFonts w:ascii="Verdana" w:hAnsi="Verdana"/>
            <w:color w:val="0000FF"/>
            <w:u w:val="single"/>
          </w:rPr>
          <w:t>https://www.colombiacompra.gov.co/normativa-y-relatoria/documentos-tipo</w:t>
        </w:r>
      </w:hyperlink>
    </w:p>
    <w:p w14:paraId="29C1DE3C" w14:textId="77777777" w:rsidR="008C3D38" w:rsidRPr="008C3D38" w:rsidRDefault="008C3D38" w:rsidP="008C3D38">
      <w:pPr>
        <w:spacing w:after="0"/>
        <w:jc w:val="both"/>
        <w:rPr>
          <w:rFonts w:ascii="Verdana" w:hAnsi="Verdana"/>
        </w:rPr>
      </w:pPr>
    </w:p>
    <w:p w14:paraId="0D777F23" w14:textId="77777777" w:rsidR="008C3D38" w:rsidRPr="008C3D38" w:rsidRDefault="008C3D38" w:rsidP="008C3D38">
      <w:pPr>
        <w:spacing w:after="0"/>
        <w:jc w:val="both"/>
        <w:rPr>
          <w:rFonts w:ascii="Verdana" w:hAnsi="Verdana"/>
        </w:rPr>
      </w:pPr>
      <w:r w:rsidRPr="008C3D38">
        <w:rPr>
          <w:rFonts w:ascii="Verdana" w:hAnsi="Verdana"/>
        </w:rPr>
        <w:t xml:space="preserve">Si quieres conocer más sobre la aplicación de Documentos Tipo puedes consultar la última versión de la </w:t>
      </w:r>
      <w:r w:rsidRPr="008C3D38">
        <w:rPr>
          <w:rFonts w:ascii="Verdana" w:hAnsi="Verdana"/>
          <w:b/>
          <w:bCs/>
        </w:rPr>
        <w:t>Guía para la comprensión e implementación de los Documentos Tipo de obra pública de infraestructura de transporte</w:t>
      </w:r>
      <w:r w:rsidRPr="008C3D38">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C3D38">
        <w:rPr>
          <w:rFonts w:ascii="Verdana" w:hAnsi="Verdana"/>
        </w:rPr>
        <w:br/>
      </w:r>
      <w:hyperlink r:id="rId16" w:tgtFrame="_new" w:history="1">
        <w:r w:rsidRPr="008C3D38">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C55254D" w14:textId="77777777" w:rsidR="008C3D38" w:rsidRPr="008C3D38" w:rsidRDefault="008C3D38" w:rsidP="008C3D38">
      <w:pPr>
        <w:shd w:val="clear" w:color="auto" w:fill="FFFFFF"/>
        <w:spacing w:after="0" w:line="276" w:lineRule="auto"/>
        <w:jc w:val="both"/>
        <w:rPr>
          <w:rFonts w:ascii="Verdana" w:hAnsi="Verdana"/>
          <w:color w:val="000000"/>
          <w:u w:val="single"/>
        </w:rPr>
      </w:pPr>
    </w:p>
    <w:p w14:paraId="2984CEAB" w14:textId="77777777" w:rsidR="008C3D38" w:rsidRPr="008C3D38" w:rsidRDefault="008C3D38" w:rsidP="008C3D38">
      <w:pPr>
        <w:spacing w:after="0"/>
        <w:jc w:val="both"/>
        <w:rPr>
          <w:rFonts w:ascii="Verdana" w:hAnsi="Verdana"/>
        </w:rPr>
      </w:pPr>
      <w:r w:rsidRPr="008C3D38">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6F94BD6" w14:textId="77777777" w:rsidR="008C3D38" w:rsidRPr="008C3D38" w:rsidRDefault="008C3D38" w:rsidP="008C3D38">
      <w:pPr>
        <w:spacing w:after="0"/>
        <w:jc w:val="both"/>
        <w:rPr>
          <w:rFonts w:ascii="Verdana" w:hAnsi="Verdana"/>
        </w:rPr>
      </w:pPr>
    </w:p>
    <w:p w14:paraId="04DF4928" w14:textId="77777777" w:rsidR="008C3D38" w:rsidRPr="008C3D38" w:rsidRDefault="008C3D38" w:rsidP="008C3D38">
      <w:pPr>
        <w:numPr>
          <w:ilvl w:val="0"/>
          <w:numId w:val="15"/>
        </w:numPr>
        <w:spacing w:after="0" w:line="240" w:lineRule="auto"/>
        <w:contextualSpacing/>
        <w:jc w:val="both"/>
        <w:rPr>
          <w:rFonts w:ascii="Verdana" w:eastAsia="Verdana" w:hAnsi="Verdana" w:cs="Verdana"/>
          <w:color w:val="4472C4" w:themeColor="accent1"/>
          <w:u w:val="single"/>
          <w:lang w:val="es-ES"/>
        </w:rPr>
      </w:pPr>
      <w:r w:rsidRPr="008C3D38">
        <w:rPr>
          <w:rFonts w:ascii="Verdana" w:eastAsia="Verdana" w:hAnsi="Verdana" w:cs="Verdana"/>
          <w:lang w:val="es-ES"/>
        </w:rPr>
        <w:t xml:space="preserve">Línea nacional gratuita o servicio a la ciudadanía (Mesa de servicio): </w:t>
      </w:r>
      <w:r w:rsidRPr="008C3D38">
        <w:rPr>
          <w:rFonts w:ascii="Verdana" w:hAnsi="Verdana"/>
          <w:color w:val="0000FF"/>
          <w:u w:val="single"/>
          <w:lang w:val="es-ES"/>
        </w:rPr>
        <w:t>01800 0520808</w:t>
      </w:r>
    </w:p>
    <w:p w14:paraId="0506330A" w14:textId="77777777" w:rsidR="008C3D38" w:rsidRPr="008C3D38" w:rsidRDefault="008C3D38" w:rsidP="008C3D38">
      <w:pPr>
        <w:numPr>
          <w:ilvl w:val="0"/>
          <w:numId w:val="15"/>
        </w:numPr>
        <w:spacing w:after="0"/>
        <w:contextualSpacing/>
        <w:rPr>
          <w:rFonts w:ascii="Verdana" w:eastAsia="Verdana" w:hAnsi="Verdana" w:cs="Verdana"/>
          <w:color w:val="4472C4" w:themeColor="accent1"/>
          <w:u w:val="single"/>
          <w:lang w:val="es-ES"/>
        </w:rPr>
      </w:pPr>
      <w:r w:rsidRPr="008C3D38">
        <w:rPr>
          <w:rFonts w:ascii="Verdana" w:eastAsia="Verdana" w:hAnsi="Verdana" w:cs="Verdana"/>
          <w:lang w:val="es-ES"/>
        </w:rPr>
        <w:t>Línea en Bogotá (Mesa de servicio</w:t>
      </w:r>
      <w:proofErr w:type="gramStart"/>
      <w:r w:rsidRPr="008C3D38">
        <w:rPr>
          <w:rFonts w:ascii="Verdana" w:eastAsia="Verdana" w:hAnsi="Verdana" w:cs="Verdana"/>
          <w:lang w:val="es-ES"/>
        </w:rPr>
        <w:t>):</w:t>
      </w:r>
      <w:r w:rsidRPr="008C3D38">
        <w:rPr>
          <w:rFonts w:ascii="Verdana" w:hAnsi="Verdana"/>
          <w:color w:val="0000FF"/>
          <w:u w:val="single"/>
          <w:lang w:val="es-ES"/>
        </w:rPr>
        <w:t>+</w:t>
      </w:r>
      <w:proofErr w:type="gramEnd"/>
      <w:r w:rsidRPr="008C3D38">
        <w:rPr>
          <w:rFonts w:ascii="Verdana" w:hAnsi="Verdana"/>
          <w:color w:val="0000FF"/>
          <w:u w:val="single"/>
          <w:lang w:val="es-ES"/>
        </w:rPr>
        <w:t>57 601 7456788</w:t>
      </w:r>
    </w:p>
    <w:p w14:paraId="59E0C040" w14:textId="77777777" w:rsidR="008C3D38" w:rsidRPr="008C3D38" w:rsidRDefault="008C3D38" w:rsidP="008C3D38">
      <w:pPr>
        <w:numPr>
          <w:ilvl w:val="0"/>
          <w:numId w:val="15"/>
        </w:numPr>
        <w:spacing w:after="0"/>
        <w:contextualSpacing/>
        <w:rPr>
          <w:rFonts w:ascii="Verdana" w:eastAsia="Verdana" w:hAnsi="Verdana" w:cs="Verdana"/>
          <w:color w:val="0000FF"/>
          <w:u w:val="single"/>
          <w:lang w:val="es-ES"/>
        </w:rPr>
      </w:pPr>
      <w:r w:rsidRPr="008C3D38">
        <w:rPr>
          <w:rFonts w:ascii="Verdana" w:eastAsia="Verdana" w:hAnsi="Verdana" w:cs="Verdana"/>
          <w:lang w:val="es-ES"/>
        </w:rPr>
        <w:t xml:space="preserve">Correo de radicación de correspondencia: </w:t>
      </w:r>
      <w:hyperlink r:id="rId17">
        <w:r w:rsidRPr="008C3D38">
          <w:rPr>
            <w:rFonts w:ascii="Verdana" w:eastAsia="Verdana" w:hAnsi="Verdana" w:cs="Verdana"/>
            <w:color w:val="0000FF"/>
            <w:u w:val="single"/>
            <w:lang w:val="es-ES"/>
          </w:rPr>
          <w:t>ventanilladeradicacion@colombiacompra.gov.co</w:t>
        </w:r>
      </w:hyperlink>
    </w:p>
    <w:p w14:paraId="1E3C4B3E" w14:textId="77777777" w:rsidR="008C3D38" w:rsidRPr="008C3D38" w:rsidRDefault="008C3D38" w:rsidP="008C3D38">
      <w:pPr>
        <w:numPr>
          <w:ilvl w:val="0"/>
          <w:numId w:val="15"/>
        </w:numPr>
        <w:spacing w:after="0"/>
        <w:contextualSpacing/>
        <w:rPr>
          <w:rFonts w:ascii="Verdana" w:eastAsia="Verdana" w:hAnsi="Verdana" w:cs="Verdana"/>
          <w:color w:val="0000FF"/>
          <w:u w:val="single"/>
          <w:lang w:val="es-ES"/>
        </w:rPr>
      </w:pPr>
      <w:r w:rsidRPr="008C3D38">
        <w:rPr>
          <w:rFonts w:ascii="Verdana" w:eastAsia="Verdana" w:hAnsi="Verdana" w:cs="Verdana"/>
          <w:lang w:val="es-ES"/>
        </w:rPr>
        <w:lastRenderedPageBreak/>
        <w:t>Formulario web para</w:t>
      </w:r>
      <w:r w:rsidRPr="008C3D38">
        <w:rPr>
          <w:rFonts w:ascii="Verdana" w:eastAsia="Verdana" w:hAnsi="Verdana" w:cs="Verdana"/>
          <w:lang w:val="es"/>
        </w:rPr>
        <w:t xml:space="preserve"> PQRSD: </w:t>
      </w:r>
      <w:hyperlink r:id="rId18">
        <w:r w:rsidRPr="008C3D38">
          <w:rPr>
            <w:rFonts w:ascii="Verdana" w:eastAsia="Verdana" w:hAnsi="Verdana" w:cs="Verdana"/>
            <w:color w:val="0000FF"/>
            <w:u w:val="single"/>
            <w:lang w:val="es-ES"/>
          </w:rPr>
          <w:t>https://www.colombiacompra.gov.co/pqrsd/informacion-importante-antes-de-formular-una-pqrsd</w:t>
        </w:r>
      </w:hyperlink>
    </w:p>
    <w:p w14:paraId="0A1F43E5" w14:textId="77777777" w:rsidR="008C3D38" w:rsidRPr="008C3D38" w:rsidRDefault="008C3D38" w:rsidP="008C3D38">
      <w:pPr>
        <w:spacing w:after="0" w:line="240" w:lineRule="auto"/>
        <w:ind w:left="720"/>
        <w:jc w:val="both"/>
        <w:rPr>
          <w:rFonts w:ascii="Verdana" w:hAnsi="Verdana"/>
        </w:rPr>
      </w:pPr>
    </w:p>
    <w:p w14:paraId="6C7C6EC5" w14:textId="77777777" w:rsidR="008C3D38" w:rsidRPr="008C3D38" w:rsidRDefault="008C3D38" w:rsidP="008C3D38">
      <w:pPr>
        <w:spacing w:after="0" w:line="240" w:lineRule="auto"/>
        <w:rPr>
          <w:rFonts w:ascii="Verdana" w:hAnsi="Verdana"/>
        </w:rPr>
      </w:pPr>
      <w:r w:rsidRPr="008C3D38">
        <w:rPr>
          <w:rFonts w:ascii="Verdana" w:hAnsi="Verdana"/>
        </w:rPr>
        <w:t>Evalúa el servicio que ofrece la Agencia por el canal de atención de PQRSD en el siguiente enlace :</w:t>
      </w:r>
      <w:hyperlink r:id="rId19" w:tgtFrame="_blank" w:tooltip="https://forms.office.com/r/pphywvs2sz" w:history="1">
        <w:r w:rsidRPr="008C3D38">
          <w:rPr>
            <w:rFonts w:ascii="Verdana" w:hAnsi="Verdana"/>
            <w:color w:val="0000FF"/>
            <w:u w:val="single"/>
          </w:rPr>
          <w:t>https://forms.office.com/r/pPHyWVs2SZ</w:t>
        </w:r>
      </w:hyperlink>
      <w:r w:rsidRPr="008C3D38">
        <w:rPr>
          <w:rFonts w:ascii="Verdana" w:hAnsi="Verdana"/>
        </w:rPr>
        <w:t xml:space="preserve"> .¡Ayúdanos a mejorar porque el compromiso es de todos!</w:t>
      </w:r>
    </w:p>
    <w:p w14:paraId="7CB27FD0" w14:textId="77777777" w:rsidR="008C3D38" w:rsidRPr="008C3D38" w:rsidRDefault="008C3D38" w:rsidP="008C3D38">
      <w:pPr>
        <w:spacing w:after="0" w:line="240" w:lineRule="auto"/>
        <w:rPr>
          <w:rFonts w:ascii="Verdana" w:hAnsi="Verdana"/>
        </w:rPr>
      </w:pPr>
    </w:p>
    <w:p w14:paraId="66DE3F54" w14:textId="77777777" w:rsidR="008C3D38" w:rsidRPr="008C3D38" w:rsidRDefault="008C3D38" w:rsidP="008C3D38">
      <w:pPr>
        <w:spacing w:after="0" w:line="240" w:lineRule="auto"/>
        <w:jc w:val="both"/>
        <w:rPr>
          <w:rFonts w:ascii="Verdana" w:hAnsi="Verdana"/>
        </w:rPr>
      </w:pPr>
      <w:r w:rsidRPr="008C3D38">
        <w:rPr>
          <w:rFonts w:ascii="Verdana" w:hAnsi="Verdana"/>
        </w:rPr>
        <w:t xml:space="preserve">Por último, lo invitamos a seguirnos en las redes sociales en las cuales se difunde información institucional: </w:t>
      </w:r>
    </w:p>
    <w:p w14:paraId="77306197" w14:textId="77777777" w:rsidR="008C3D38" w:rsidRPr="008C3D38" w:rsidRDefault="008C3D38" w:rsidP="008C3D38">
      <w:pPr>
        <w:spacing w:after="0" w:line="240" w:lineRule="auto"/>
        <w:jc w:val="both"/>
        <w:rPr>
          <w:rFonts w:ascii="Verdana" w:hAnsi="Verdana"/>
        </w:rPr>
      </w:pPr>
    </w:p>
    <w:p w14:paraId="161CC329" w14:textId="77777777" w:rsidR="008C3D38" w:rsidRPr="008C3D38" w:rsidRDefault="008C3D38" w:rsidP="008C3D38">
      <w:pPr>
        <w:spacing w:after="0" w:line="240" w:lineRule="auto"/>
        <w:jc w:val="both"/>
        <w:rPr>
          <w:rFonts w:ascii="Verdana" w:hAnsi="Verdana"/>
        </w:rPr>
      </w:pPr>
      <w:r w:rsidRPr="008C3D38">
        <w:rPr>
          <w:rFonts w:ascii="Verdana" w:hAnsi="Verdana"/>
        </w:rPr>
        <w:t xml:space="preserve">Twitter: </w:t>
      </w:r>
      <w:r w:rsidRPr="008C3D38">
        <w:rPr>
          <w:rFonts w:ascii="Verdana" w:hAnsi="Verdana"/>
          <w:color w:val="0000FF"/>
          <w:u w:val="single"/>
        </w:rPr>
        <w:t>@colombiacompra</w:t>
      </w:r>
      <w:r w:rsidRPr="008C3D38">
        <w:rPr>
          <w:rFonts w:ascii="Verdana" w:hAnsi="Verdana"/>
        </w:rPr>
        <w:t xml:space="preserve"> </w:t>
      </w:r>
    </w:p>
    <w:p w14:paraId="6877C58C" w14:textId="77777777" w:rsidR="008C3D38" w:rsidRPr="008C3D38" w:rsidRDefault="008C3D38" w:rsidP="008C3D38">
      <w:pPr>
        <w:spacing w:after="0" w:line="240" w:lineRule="auto"/>
        <w:jc w:val="both"/>
        <w:rPr>
          <w:rFonts w:ascii="Verdana" w:hAnsi="Verdana"/>
        </w:rPr>
      </w:pPr>
      <w:r w:rsidRPr="008C3D38">
        <w:rPr>
          <w:rFonts w:ascii="Verdana" w:hAnsi="Verdana"/>
        </w:rPr>
        <w:t xml:space="preserve">Facebook: </w:t>
      </w:r>
      <w:proofErr w:type="spellStart"/>
      <w:r w:rsidRPr="008C3D38">
        <w:rPr>
          <w:rFonts w:ascii="Verdana" w:hAnsi="Verdana"/>
          <w:color w:val="0000FF"/>
          <w:u w:val="single"/>
        </w:rPr>
        <w:t>ColombiaCompraEficiente</w:t>
      </w:r>
      <w:proofErr w:type="spellEnd"/>
    </w:p>
    <w:p w14:paraId="55E27AE7" w14:textId="77777777" w:rsidR="008C3D38" w:rsidRPr="008C3D38" w:rsidRDefault="008C3D38" w:rsidP="008C3D38">
      <w:pPr>
        <w:spacing w:after="0" w:line="240" w:lineRule="auto"/>
        <w:jc w:val="both"/>
        <w:rPr>
          <w:rFonts w:ascii="Verdana" w:hAnsi="Verdana"/>
        </w:rPr>
      </w:pPr>
      <w:r w:rsidRPr="008C3D38">
        <w:rPr>
          <w:rFonts w:ascii="Verdana" w:hAnsi="Verdana"/>
        </w:rPr>
        <w:t xml:space="preserve">LinkedIn: </w:t>
      </w:r>
      <w:r w:rsidRPr="008C3D38">
        <w:rPr>
          <w:rFonts w:ascii="Verdana" w:hAnsi="Verdana"/>
          <w:color w:val="0000FF"/>
          <w:u w:val="single"/>
        </w:rPr>
        <w:t>Agencia Nacional de Contratación Pública - Colombia Compra Eficiente</w:t>
      </w:r>
      <w:r w:rsidRPr="008C3D38">
        <w:rPr>
          <w:rFonts w:ascii="Verdana" w:hAnsi="Verdana"/>
        </w:rPr>
        <w:t xml:space="preserve"> Instagram: </w:t>
      </w:r>
      <w:r w:rsidRPr="008C3D38">
        <w:rPr>
          <w:rFonts w:ascii="Verdana" w:hAnsi="Verdana"/>
          <w:color w:val="0000FF"/>
          <w:u w:val="single"/>
        </w:rPr>
        <w:t>@colombiacompraeficiente_cce</w:t>
      </w:r>
    </w:p>
    <w:p w14:paraId="6C91D119" w14:textId="77777777" w:rsidR="008C3D38" w:rsidRPr="008C3D38" w:rsidRDefault="008C3D38" w:rsidP="008C3D38">
      <w:pPr>
        <w:shd w:val="clear" w:color="auto" w:fill="FFFFFF"/>
        <w:spacing w:after="0" w:line="276" w:lineRule="auto"/>
        <w:jc w:val="both"/>
        <w:rPr>
          <w:rFonts w:ascii="Verdana" w:hAnsi="Verdana" w:cs="Arial"/>
          <w:color w:val="FF0000"/>
          <w:shd w:val="clear" w:color="auto" w:fill="FFFFFF"/>
          <w:lang w:val="es-ES_tradnl"/>
        </w:rPr>
      </w:pPr>
      <w:r w:rsidRPr="008C3D38">
        <w:rPr>
          <w:rFonts w:ascii="Verdana" w:hAnsi="Verdana" w:cs="Arial"/>
          <w:color w:val="000000" w:themeColor="text1"/>
          <w:shd w:val="clear" w:color="auto" w:fill="FFFFFF"/>
          <w:lang w:val="es-ES_tradnl"/>
        </w:rPr>
        <w:t xml:space="preserve"> </w:t>
      </w:r>
      <w:r w:rsidRPr="008C3D38">
        <w:rPr>
          <w:rFonts w:ascii="Verdana" w:hAnsi="Verdana" w:cs="Arial"/>
          <w:color w:val="FF0000"/>
          <w:shd w:val="clear" w:color="auto" w:fill="FFFFFF"/>
          <w:lang w:val="es-ES_tradnl"/>
        </w:rPr>
        <w:t xml:space="preserve">        </w:t>
      </w:r>
    </w:p>
    <w:p w14:paraId="310F9C7A" w14:textId="77777777" w:rsidR="008C3D38" w:rsidRPr="008C3D38" w:rsidRDefault="008C3D38" w:rsidP="008C3D38">
      <w:pPr>
        <w:widowControl w:val="0"/>
        <w:autoSpaceDE w:val="0"/>
        <w:autoSpaceDN w:val="0"/>
        <w:spacing w:after="0" w:line="276" w:lineRule="auto"/>
        <w:jc w:val="both"/>
        <w:rPr>
          <w:rFonts w:ascii="Verdana" w:hAnsi="Verdana" w:cs="Arial"/>
          <w:lang w:val="es-ES_tradnl"/>
        </w:rPr>
      </w:pPr>
      <w:r w:rsidRPr="008C3D38">
        <w:rPr>
          <w:rFonts w:ascii="Verdana" w:hAnsi="Verdana" w:cs="Arial"/>
        </w:rPr>
        <w:t xml:space="preserve">Este concepto tiene el alcance previsto en el artículo 28 del Código de Procedimiento Administrativo y de lo Contencioso Administrativo </w:t>
      </w:r>
      <w:r w:rsidRPr="008C3D38">
        <w:rPr>
          <w:rFonts w:ascii="Verdana" w:hAnsi="Verdana" w:cs="Arial"/>
          <w:lang w:val="es-ES_tradnl"/>
        </w:rPr>
        <w:t xml:space="preserve">y las expresiones aquí utilizadas con mayúscula inicial deben ser entendidas con el significado que les otorga el artículo 2.2.1.1.1.3.1. del Decreto 1082 de 2015. </w:t>
      </w:r>
    </w:p>
    <w:p w14:paraId="3EF2B97B" w14:textId="77777777" w:rsidR="008C3D38" w:rsidRPr="008C3D38" w:rsidRDefault="008C3D38" w:rsidP="008C3D38">
      <w:pPr>
        <w:widowControl w:val="0"/>
        <w:autoSpaceDE w:val="0"/>
        <w:autoSpaceDN w:val="0"/>
        <w:spacing w:after="0" w:line="276" w:lineRule="auto"/>
        <w:jc w:val="both"/>
        <w:rPr>
          <w:rFonts w:ascii="Verdana" w:hAnsi="Verdana" w:cs="Arial"/>
        </w:rPr>
      </w:pPr>
    </w:p>
    <w:p w14:paraId="00C27044" w14:textId="77777777" w:rsidR="008C3D38" w:rsidRPr="008C3D38" w:rsidRDefault="008C3D38" w:rsidP="008C3D38">
      <w:pPr>
        <w:spacing w:after="0" w:line="240" w:lineRule="auto"/>
        <w:rPr>
          <w:rFonts w:ascii="Verdana" w:hAnsi="Verdana" w:cs="Arial"/>
          <w:lang w:eastAsia="es-CO"/>
        </w:rPr>
      </w:pPr>
      <w:r w:rsidRPr="008C3D38">
        <w:rPr>
          <w:rFonts w:ascii="Verdana" w:eastAsia="Times New Roman" w:hAnsi="Verdana" w:cs="Arial"/>
          <w:lang w:eastAsia="es-CO"/>
        </w:rPr>
        <w:t>Atentamente,</w:t>
      </w:r>
      <w:r w:rsidRPr="008C3D38">
        <w:rPr>
          <w:rFonts w:ascii="Verdana" w:hAnsi="Verdana" w:cs="Arial"/>
          <w:lang w:eastAsia="es-CO"/>
        </w:rPr>
        <w:t xml:space="preserve"> </w:t>
      </w:r>
    </w:p>
    <w:p w14:paraId="3E59863E" w14:textId="77777777" w:rsidR="008C3D38" w:rsidRPr="008C3D38" w:rsidRDefault="008C3D38" w:rsidP="008C3D38">
      <w:pPr>
        <w:spacing w:after="0" w:line="240" w:lineRule="auto"/>
        <w:rPr>
          <w:rFonts w:ascii="Verdana" w:hAnsi="Verdana" w:cs="Arial"/>
          <w:lang w:eastAsia="es-CO"/>
        </w:rPr>
      </w:pPr>
    </w:p>
    <w:p w14:paraId="41B8F6CB" w14:textId="7A16900F" w:rsidR="008C3D38" w:rsidRPr="008C3D38" w:rsidRDefault="007448A3" w:rsidP="008C3D38">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4EA193C6" wp14:editId="27AEEFC5">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tbl>
      <w:tblPr>
        <w:tblStyle w:val="Tablaconcuadrcula1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C3D38" w:rsidRPr="008C3D38" w14:paraId="37F0BB35" w14:textId="77777777" w:rsidTr="002C7923">
        <w:trPr>
          <w:trHeight w:val="315"/>
        </w:trPr>
        <w:tc>
          <w:tcPr>
            <w:tcW w:w="893" w:type="dxa"/>
            <w:vAlign w:val="center"/>
            <w:hideMark/>
          </w:tcPr>
          <w:p w14:paraId="6FE096FF" w14:textId="77777777" w:rsidR="008C3D38" w:rsidRPr="008C3D38" w:rsidRDefault="008C3D38" w:rsidP="008C3D38">
            <w:pPr>
              <w:contextualSpacing/>
              <w:rPr>
                <w:rFonts w:ascii="Verdana" w:hAnsi="Verdana" w:cs="Arial"/>
                <w:sz w:val="16"/>
                <w:szCs w:val="16"/>
                <w:lang w:val="es-ES" w:eastAsia="es-ES"/>
              </w:rPr>
            </w:pPr>
            <w:r w:rsidRPr="008C3D3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60D98E5" w14:textId="77777777" w:rsidR="008C3D38" w:rsidRPr="008C3D38" w:rsidRDefault="008C3D38" w:rsidP="008C3D38">
            <w:pPr>
              <w:contextualSpacing/>
              <w:rPr>
                <w:rFonts w:ascii="Verdana" w:hAnsi="Verdana"/>
                <w:sz w:val="16"/>
                <w:szCs w:val="16"/>
              </w:rPr>
            </w:pPr>
            <w:r w:rsidRPr="008C3D38">
              <w:rPr>
                <w:rFonts w:ascii="Verdana" w:hAnsi="Verdana"/>
                <w:sz w:val="16"/>
                <w:szCs w:val="16"/>
              </w:rPr>
              <w:t>José Luis Sánchez Cardona</w:t>
            </w:r>
          </w:p>
          <w:p w14:paraId="22AF3E2B" w14:textId="77777777" w:rsidR="008C3D38" w:rsidRPr="008C3D38" w:rsidRDefault="008C3D38" w:rsidP="008C3D38">
            <w:pPr>
              <w:contextualSpacing/>
              <w:rPr>
                <w:rFonts w:ascii="Verdana" w:eastAsia="Arial" w:hAnsi="Verdana" w:cs="Arial"/>
                <w:sz w:val="16"/>
                <w:szCs w:val="16"/>
              </w:rPr>
            </w:pPr>
            <w:r w:rsidRPr="008C3D38">
              <w:rPr>
                <w:rFonts w:ascii="Verdana" w:hAnsi="Verdana"/>
                <w:sz w:val="16"/>
                <w:szCs w:val="16"/>
              </w:rPr>
              <w:t>Contratista de la Subdirección de Gestión Contractual</w:t>
            </w:r>
          </w:p>
        </w:tc>
      </w:tr>
      <w:tr w:rsidR="008C3D38" w:rsidRPr="008C3D38" w14:paraId="795BED70" w14:textId="77777777" w:rsidTr="002C7923">
        <w:trPr>
          <w:trHeight w:val="330"/>
        </w:trPr>
        <w:tc>
          <w:tcPr>
            <w:tcW w:w="893" w:type="dxa"/>
            <w:vAlign w:val="center"/>
            <w:hideMark/>
          </w:tcPr>
          <w:p w14:paraId="294AB3F3" w14:textId="77777777" w:rsidR="008C3D38" w:rsidRPr="008C3D38" w:rsidRDefault="008C3D38" w:rsidP="008C3D38">
            <w:pPr>
              <w:contextualSpacing/>
              <w:rPr>
                <w:rFonts w:ascii="Verdana" w:hAnsi="Verdana" w:cs="Arial"/>
                <w:sz w:val="16"/>
                <w:szCs w:val="16"/>
                <w:lang w:val="es-ES" w:eastAsia="es-ES"/>
              </w:rPr>
            </w:pPr>
            <w:r w:rsidRPr="008C3D3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E646FF" w14:textId="77777777" w:rsidR="008C3D38" w:rsidRPr="008C3D38" w:rsidRDefault="008C3D38" w:rsidP="008C3D38">
            <w:pPr>
              <w:spacing w:before="100" w:beforeAutospacing="1" w:afterAutospacing="1"/>
              <w:contextualSpacing/>
              <w:textAlignment w:val="baseline"/>
              <w:rPr>
                <w:rFonts w:ascii="Verdana" w:eastAsia="Times New Roman" w:hAnsi="Verdana" w:cs="Arial"/>
                <w:sz w:val="16"/>
                <w:szCs w:val="16"/>
                <w:lang w:val="es-ES_tradnl" w:eastAsia="es-CO"/>
              </w:rPr>
            </w:pPr>
            <w:r w:rsidRPr="008C3D38">
              <w:rPr>
                <w:rFonts w:ascii="Verdana" w:eastAsia="Times New Roman" w:hAnsi="Verdana" w:cs="Arial"/>
                <w:sz w:val="16"/>
                <w:szCs w:val="16"/>
                <w:lang w:val="es-ES_tradnl" w:eastAsia="es-CO"/>
              </w:rPr>
              <w:t>Diana Lucía Saavedra Castañeda</w:t>
            </w:r>
          </w:p>
          <w:p w14:paraId="6A3E76AE" w14:textId="77777777" w:rsidR="008C3D38" w:rsidRPr="008C3D38" w:rsidRDefault="008C3D38" w:rsidP="008C3D38">
            <w:pPr>
              <w:contextualSpacing/>
              <w:textAlignment w:val="baseline"/>
              <w:rPr>
                <w:rFonts w:ascii="Verdana" w:eastAsia="Times New Roman" w:hAnsi="Verdana" w:cs="Segoe UI"/>
                <w:sz w:val="16"/>
                <w:szCs w:val="16"/>
                <w:lang w:eastAsia="es-CO"/>
              </w:rPr>
            </w:pPr>
            <w:r w:rsidRPr="008C3D38">
              <w:rPr>
                <w:rFonts w:ascii="Verdana" w:eastAsia="Times New Roman" w:hAnsi="Verdana" w:cs="Arial"/>
                <w:sz w:val="16"/>
                <w:szCs w:val="16"/>
                <w:lang w:val="es-ES_tradnl" w:eastAsia="es-CO"/>
              </w:rPr>
              <w:t>Contratista de la Subdirección de Gestión Contractual</w:t>
            </w:r>
          </w:p>
        </w:tc>
      </w:tr>
      <w:tr w:rsidR="008C3D38" w:rsidRPr="008C3D38" w14:paraId="13BFDF93" w14:textId="77777777" w:rsidTr="002C7923">
        <w:trPr>
          <w:trHeight w:val="300"/>
        </w:trPr>
        <w:tc>
          <w:tcPr>
            <w:tcW w:w="893" w:type="dxa"/>
            <w:vAlign w:val="center"/>
          </w:tcPr>
          <w:p w14:paraId="56B0E808" w14:textId="77777777" w:rsidR="008C3D38" w:rsidRPr="008C3D38" w:rsidRDefault="008C3D38" w:rsidP="008C3D38">
            <w:pPr>
              <w:contextualSpacing/>
              <w:rPr>
                <w:rFonts w:ascii="Verdana" w:hAnsi="Verdana" w:cs="Arial"/>
                <w:sz w:val="16"/>
                <w:szCs w:val="16"/>
                <w:lang w:val="es-ES" w:eastAsia="es-ES"/>
              </w:rPr>
            </w:pPr>
            <w:r w:rsidRPr="008C3D3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BC26EF8" w14:textId="77777777" w:rsidR="008C3D38" w:rsidRPr="008C3D38" w:rsidRDefault="008C3D38" w:rsidP="008C3D38">
            <w:pPr>
              <w:contextualSpacing/>
              <w:rPr>
                <w:rFonts w:ascii="Verdana" w:hAnsi="Verdana" w:cs="Arial"/>
                <w:sz w:val="16"/>
                <w:szCs w:val="16"/>
                <w:lang w:val="pt-BR" w:eastAsia="es-ES"/>
              </w:rPr>
            </w:pPr>
            <w:r w:rsidRPr="008C3D38">
              <w:rPr>
                <w:rFonts w:ascii="Verdana" w:hAnsi="Verdana" w:cs="Arial"/>
                <w:sz w:val="16"/>
                <w:szCs w:val="16"/>
                <w:lang w:val="pt-BR" w:eastAsia="es-ES"/>
              </w:rPr>
              <w:t xml:space="preserve">Carolina Quintero </w:t>
            </w:r>
            <w:proofErr w:type="spellStart"/>
            <w:r w:rsidRPr="008C3D38">
              <w:rPr>
                <w:rFonts w:ascii="Verdana" w:hAnsi="Verdana" w:cs="Arial"/>
                <w:sz w:val="16"/>
                <w:szCs w:val="16"/>
                <w:lang w:val="pt-BR" w:eastAsia="es-ES"/>
              </w:rPr>
              <w:t>Gacharná</w:t>
            </w:r>
            <w:proofErr w:type="spellEnd"/>
          </w:p>
          <w:p w14:paraId="4D2807CB" w14:textId="77777777" w:rsidR="008C3D38" w:rsidRPr="008C3D38" w:rsidRDefault="008C3D38" w:rsidP="008C3D38">
            <w:pPr>
              <w:contextualSpacing/>
              <w:rPr>
                <w:rFonts w:ascii="Verdana" w:hAnsi="Verdana" w:cs="Arial"/>
                <w:sz w:val="16"/>
                <w:szCs w:val="16"/>
                <w:lang w:val="pt-BR" w:eastAsia="es-ES"/>
              </w:rPr>
            </w:pPr>
            <w:r w:rsidRPr="008C3D38">
              <w:rPr>
                <w:rFonts w:ascii="Verdana" w:hAnsi="Verdana" w:cs="Arial"/>
                <w:sz w:val="16"/>
                <w:szCs w:val="16"/>
                <w:lang w:eastAsia="es-ES"/>
              </w:rPr>
              <w:t>Subdirectora</w:t>
            </w:r>
            <w:r w:rsidRPr="008C3D38">
              <w:rPr>
                <w:rFonts w:ascii="Verdana" w:hAnsi="Verdana" w:cs="Arial"/>
                <w:sz w:val="16"/>
                <w:szCs w:val="16"/>
                <w:lang w:val="pt-BR" w:eastAsia="es-ES"/>
              </w:rPr>
              <w:t xml:space="preserve"> de Gestión </w:t>
            </w:r>
            <w:proofErr w:type="spellStart"/>
            <w:r w:rsidRPr="008C3D38">
              <w:rPr>
                <w:rFonts w:ascii="Verdana" w:hAnsi="Verdana" w:cs="Arial"/>
                <w:sz w:val="16"/>
                <w:szCs w:val="16"/>
                <w:lang w:val="pt-BR" w:eastAsia="es-ES"/>
              </w:rPr>
              <w:t>Contractual</w:t>
            </w:r>
            <w:proofErr w:type="spellEnd"/>
            <w:r w:rsidRPr="008C3D38">
              <w:rPr>
                <w:rFonts w:ascii="Verdana" w:hAnsi="Verdana" w:cs="Arial"/>
                <w:sz w:val="16"/>
                <w:szCs w:val="16"/>
                <w:lang w:val="pt-BR" w:eastAsia="es-ES"/>
              </w:rPr>
              <w:t xml:space="preserve"> ANCP – CCE</w:t>
            </w:r>
          </w:p>
        </w:tc>
      </w:tr>
    </w:tbl>
    <w:p w14:paraId="42F0C24D" w14:textId="77777777" w:rsidR="008C3D38" w:rsidRPr="008C3D38" w:rsidRDefault="008C3D38" w:rsidP="008C3D38">
      <w:pPr>
        <w:spacing w:after="0" w:line="240" w:lineRule="auto"/>
        <w:jc w:val="both"/>
        <w:textAlignment w:val="baseline"/>
        <w:rPr>
          <w:rFonts w:ascii="Verdana" w:eastAsia="Verdana" w:hAnsi="Verdana" w:cs="Verdana"/>
          <w:lang w:eastAsia="es-CO"/>
        </w:rPr>
      </w:pPr>
    </w:p>
    <w:bookmarkEnd w:id="0"/>
    <w:p w14:paraId="73C61EC8" w14:textId="285376A2" w:rsidR="00EB224C" w:rsidRPr="0069216D" w:rsidRDefault="00EB224C" w:rsidP="0069216D">
      <w:pPr>
        <w:spacing w:after="0" w:line="240" w:lineRule="auto"/>
        <w:textAlignment w:val="baseline"/>
        <w:rPr>
          <w:rFonts w:ascii="Verdana" w:eastAsia="Verdana" w:hAnsi="Verdana" w:cs="Verdana"/>
          <w:lang w:eastAsia="es-CO"/>
        </w:rPr>
      </w:pPr>
    </w:p>
    <w:sectPr w:rsidR="00EB224C" w:rsidRPr="0069216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E95440" w14:textId="77777777" w:rsidR="0034094A" w:rsidRDefault="0034094A" w:rsidP="004A1847">
      <w:pPr>
        <w:spacing w:after="0" w:line="240" w:lineRule="auto"/>
      </w:pPr>
      <w:r>
        <w:separator/>
      </w:r>
    </w:p>
  </w:endnote>
  <w:endnote w:type="continuationSeparator" w:id="0">
    <w:p w14:paraId="79B341DD" w14:textId="77777777" w:rsidR="0034094A" w:rsidRDefault="0034094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5FD3F1EE"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69216D" w:rsidRPr="0069216D">
      <w:rPr>
        <w:rFonts w:ascii="Verdana" w:eastAsiaTheme="minorEastAsia" w:hAnsi="Verdana"/>
        <w:b/>
        <w:bCs/>
        <w:noProof/>
        <w:sz w:val="16"/>
        <w:szCs w:val="16"/>
      </w:rPr>
      <w:t>24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B6DF7" w14:textId="77777777" w:rsidR="0034094A" w:rsidRDefault="0034094A" w:rsidP="004A1847">
      <w:pPr>
        <w:spacing w:after="0" w:line="240" w:lineRule="auto"/>
      </w:pPr>
      <w:r>
        <w:separator/>
      </w:r>
    </w:p>
  </w:footnote>
  <w:footnote w:type="continuationSeparator" w:id="0">
    <w:p w14:paraId="48ED28F8" w14:textId="77777777" w:rsidR="0034094A" w:rsidRDefault="0034094A" w:rsidP="004A1847">
      <w:pPr>
        <w:spacing w:after="0" w:line="240" w:lineRule="auto"/>
      </w:pPr>
      <w:r>
        <w:continuationSeparator/>
      </w:r>
    </w:p>
  </w:footnote>
  <w:footnote w:id="1">
    <w:p w14:paraId="1F49AC69" w14:textId="77777777" w:rsidR="008C3D38" w:rsidRPr="007E553E" w:rsidRDefault="008C3D38" w:rsidP="008C3D38">
      <w:pPr>
        <w:pStyle w:val="Textonotapie"/>
        <w:ind w:firstLine="708"/>
        <w:jc w:val="both"/>
        <w:rPr>
          <w:rFonts w:ascii="Verdana" w:hAnsi="Verdana"/>
          <w:sz w:val="16"/>
          <w:szCs w:val="16"/>
        </w:rPr>
      </w:pPr>
      <w:r w:rsidRPr="007E553E">
        <w:rPr>
          <w:rStyle w:val="Refdenotaalpie"/>
          <w:rFonts w:ascii="Verdana" w:hAnsi="Verdana"/>
          <w:sz w:val="16"/>
          <w:szCs w:val="16"/>
        </w:rPr>
        <w:footnoteRef/>
      </w:r>
      <w:r w:rsidRPr="007E553E">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6867EA32" w14:textId="77777777" w:rsidR="008C3D38" w:rsidRPr="007E553E" w:rsidRDefault="008C3D38" w:rsidP="008C3D38">
      <w:pPr>
        <w:pStyle w:val="Textonotapie"/>
        <w:ind w:firstLine="708"/>
        <w:jc w:val="both"/>
        <w:rPr>
          <w:rFonts w:ascii="Verdana" w:hAnsi="Verdana"/>
          <w:sz w:val="16"/>
          <w:szCs w:val="16"/>
        </w:rPr>
      </w:pPr>
      <w:r w:rsidRPr="007E553E">
        <w:rPr>
          <w:rFonts w:ascii="Verdana" w:hAnsi="Verdana"/>
          <w:sz w:val="16"/>
          <w:szCs w:val="16"/>
        </w:rPr>
        <w:t>[…]</w:t>
      </w:r>
    </w:p>
    <w:p w14:paraId="75907264" w14:textId="77777777" w:rsidR="008C3D38" w:rsidRPr="007E553E" w:rsidRDefault="008C3D38" w:rsidP="008C3D38">
      <w:pPr>
        <w:pStyle w:val="Textonotapie"/>
        <w:ind w:firstLine="708"/>
        <w:jc w:val="both"/>
        <w:rPr>
          <w:rFonts w:ascii="Verdana" w:hAnsi="Verdana"/>
          <w:sz w:val="16"/>
          <w:szCs w:val="16"/>
        </w:rPr>
      </w:pPr>
      <w:r w:rsidRPr="007E553E">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41814FFA" w14:textId="77777777" w:rsidR="008C3D38" w:rsidRPr="007E553E" w:rsidRDefault="008C3D38" w:rsidP="008C3D38">
      <w:pPr>
        <w:pStyle w:val="Textonotapie"/>
        <w:ind w:firstLine="708"/>
        <w:jc w:val="both"/>
        <w:rPr>
          <w:rFonts w:ascii="Verdana" w:hAnsi="Verdana"/>
          <w:sz w:val="16"/>
          <w:szCs w:val="16"/>
        </w:rPr>
      </w:pPr>
      <w:r w:rsidRPr="007E553E">
        <w:rPr>
          <w:rFonts w:ascii="Verdana" w:hAnsi="Verdana"/>
          <w:sz w:val="16"/>
          <w:szCs w:val="16"/>
        </w:rPr>
        <w:t>En todo caso, el Presidente de la República podrá celebrar contratos a nombre de la Nación”.</w:t>
      </w:r>
    </w:p>
  </w:footnote>
  <w:footnote w:id="2">
    <w:p w14:paraId="18E60828" w14:textId="77777777" w:rsidR="008C3D38" w:rsidRPr="007E553E" w:rsidRDefault="008C3D38" w:rsidP="008C3D38">
      <w:pPr>
        <w:pStyle w:val="Textonotapie"/>
        <w:ind w:firstLine="708"/>
        <w:jc w:val="both"/>
        <w:rPr>
          <w:rFonts w:ascii="Verdana" w:hAnsi="Verdana" w:cs="Arial"/>
          <w:sz w:val="16"/>
          <w:szCs w:val="16"/>
        </w:rPr>
      </w:pPr>
      <w:r w:rsidRPr="007E553E">
        <w:rPr>
          <w:rStyle w:val="Refdenotaalpie"/>
          <w:rFonts w:ascii="Verdana" w:hAnsi="Verdana" w:cs="Arial"/>
          <w:sz w:val="16"/>
          <w:szCs w:val="16"/>
        </w:rPr>
        <w:footnoteRef/>
      </w:r>
      <w:r w:rsidRPr="007E553E">
        <w:rPr>
          <w:rFonts w:ascii="Verdana" w:hAnsi="Verdana" w:cs="Arial"/>
          <w:sz w:val="16"/>
          <w:szCs w:val="16"/>
        </w:rPr>
        <w:t xml:space="preserve"> El inciso primero de norma disponía que, conforme al principio de transparencia, “</w:t>
      </w:r>
      <w:r w:rsidRPr="007E553E">
        <w:rPr>
          <w:rFonts w:ascii="Verdana" w:hAnsi="Verdana" w:cs="Arial"/>
          <w:i/>
          <w:iCs/>
          <w:sz w:val="16"/>
          <w:szCs w:val="16"/>
        </w:rPr>
        <w:t>La escogencia del contratista se efectuará siempre a través de licitación o concurso públicos</w:t>
      </w:r>
      <w:r w:rsidRPr="007E553E">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4BD3B44E" w14:textId="77777777" w:rsidR="008C3D38" w:rsidRPr="007E553E" w:rsidRDefault="008C3D38" w:rsidP="008C3D38">
      <w:pPr>
        <w:pStyle w:val="Textonotapie"/>
        <w:ind w:firstLine="708"/>
        <w:jc w:val="both"/>
        <w:rPr>
          <w:rFonts w:ascii="Verdana" w:hAnsi="Verdana" w:cs="Arial"/>
          <w:sz w:val="16"/>
          <w:szCs w:val="16"/>
        </w:rPr>
      </w:pPr>
      <w:r w:rsidRPr="007E553E">
        <w:rPr>
          <w:rStyle w:val="Refdenotaalpie"/>
          <w:rFonts w:ascii="Verdana" w:hAnsi="Verdana" w:cs="Arial"/>
          <w:sz w:val="16"/>
          <w:szCs w:val="16"/>
        </w:rPr>
        <w:footnoteRef/>
      </w:r>
      <w:r w:rsidRPr="007E553E">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w:t>
      </w:r>
      <w:r w:rsidRPr="007E553E">
        <w:rPr>
          <w:rFonts w:ascii="Verdana" w:hAnsi="Verdana" w:cs="Arial"/>
          <w:sz w:val="16"/>
          <w:szCs w:val="16"/>
        </w:rPr>
        <w:t>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7E553E">
        <w:rPr>
          <w:rFonts w:ascii="Verdana" w:hAnsi="Verdana" w:cs="Arial"/>
          <w:i/>
          <w:iCs/>
          <w:sz w:val="16"/>
          <w:szCs w:val="16"/>
        </w:rPr>
        <w:t>Presentación de la oferta de manera dinámica</w:t>
      </w:r>
      <w:r w:rsidRPr="007E553E">
        <w:rPr>
          <w:rFonts w:ascii="Verdana" w:hAnsi="Verdana" w:cs="Arial"/>
          <w:sz w:val="16"/>
          <w:szCs w:val="16"/>
        </w:rPr>
        <w:t xml:space="preserve">). Es decir, </w:t>
      </w:r>
      <w:r w:rsidRPr="007E553E">
        <w:rPr>
          <w:rFonts w:ascii="Verdana" w:hAnsi="Verdana" w:cs="Arial"/>
          <w:sz w:val="16"/>
          <w:szCs w:val="16"/>
        </w:rPr>
        <w:t xml:space="preserve">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13B90302" w14:textId="77777777" w:rsidR="008C3D38" w:rsidRPr="007E553E" w:rsidRDefault="008C3D38" w:rsidP="008C3D38">
      <w:pPr>
        <w:pStyle w:val="Textonotapie"/>
        <w:ind w:firstLine="708"/>
        <w:jc w:val="both"/>
        <w:rPr>
          <w:rFonts w:ascii="Verdana" w:hAnsi="Verdana"/>
          <w:sz w:val="16"/>
          <w:szCs w:val="16"/>
        </w:rPr>
      </w:pPr>
      <w:r w:rsidRPr="007E553E">
        <w:rPr>
          <w:rStyle w:val="Refdenotaalpie"/>
          <w:rFonts w:ascii="Verdana" w:hAnsi="Verdana"/>
          <w:sz w:val="16"/>
          <w:szCs w:val="16"/>
        </w:rPr>
        <w:footnoteRef/>
      </w:r>
      <w:r w:rsidRPr="007E553E">
        <w:rPr>
          <w:rFonts w:ascii="Verdana" w:hAnsi="Verdana"/>
          <w:sz w:val="16"/>
          <w:szCs w:val="16"/>
        </w:rPr>
        <w:t xml:space="preserve"> DÁVILA VINUEZA, Luis Guillermo. Régimen jurídico de la contratación estatal. 3° ed. Bogotá: </w:t>
      </w:r>
      <w:r w:rsidRPr="007E553E">
        <w:rPr>
          <w:rFonts w:ascii="Verdana" w:hAnsi="Verdana"/>
          <w:sz w:val="16"/>
          <w:szCs w:val="16"/>
        </w:rPr>
        <w:t xml:space="preserve">Legis. 2016. p.76. </w:t>
      </w:r>
    </w:p>
  </w:footnote>
  <w:footnote w:id="5">
    <w:p w14:paraId="3BB52211" w14:textId="77777777" w:rsidR="008C3D38" w:rsidRPr="0095543E" w:rsidRDefault="008C3D38" w:rsidP="008C3D38">
      <w:pPr>
        <w:pStyle w:val="Textonotapie"/>
        <w:ind w:firstLine="708"/>
        <w:jc w:val="both"/>
        <w:rPr>
          <w:rFonts w:ascii="Bookman Old Style" w:hAnsi="Bookman Old Style"/>
          <w:lang w:val="es-CO"/>
        </w:rPr>
      </w:pPr>
      <w:r w:rsidRPr="007E553E">
        <w:rPr>
          <w:rStyle w:val="Refdenotaalpie"/>
          <w:rFonts w:ascii="Verdana" w:hAnsi="Verdana"/>
          <w:sz w:val="16"/>
          <w:szCs w:val="16"/>
        </w:rPr>
        <w:footnoteRef/>
      </w:r>
      <w:r w:rsidRPr="007E553E">
        <w:rPr>
          <w:rFonts w:ascii="Verdana" w:hAnsi="Verdana"/>
          <w:sz w:val="16"/>
          <w:szCs w:val="16"/>
        </w:rPr>
        <w:t xml:space="preserve"> </w:t>
      </w:r>
      <w:r w:rsidRPr="007E553E">
        <w:rPr>
          <w:rFonts w:ascii="Verdana" w:hAnsi="Verdana"/>
          <w:sz w:val="16"/>
          <w:szCs w:val="16"/>
          <w:lang w:val="es-CO"/>
        </w:rPr>
        <w:t xml:space="preserve">HERNÁNDEZ ENRIQUEZ, </w:t>
      </w:r>
      <w:r w:rsidRPr="007E553E">
        <w:rPr>
          <w:rFonts w:ascii="Verdana" w:hAnsi="Verdana"/>
          <w:sz w:val="16"/>
          <w:szCs w:val="16"/>
          <w:lang w:val="es-CO"/>
        </w:rPr>
        <w:t xml:space="preserve">Alier Eduardo. Sujetos públicos de la contratación estatal. En: Temas en Contratos estatales. Bogotá: Librería Jurídica Diké. 2010. pp. 606-607. En igual sentido, Juan Carlos Expósito Vélez expresa: </w:t>
      </w:r>
      <w:r>
        <w:rPr>
          <w:rFonts w:ascii="Verdana" w:hAnsi="Verdana"/>
          <w:sz w:val="16"/>
          <w:szCs w:val="16"/>
          <w:lang w:val="es-CO"/>
        </w:rPr>
        <w:t>“</w:t>
      </w:r>
      <w:r w:rsidRPr="007E553E">
        <w:rPr>
          <w:rFonts w:ascii="Verdana" w:hAnsi="Verdana"/>
          <w:sz w:val="16"/>
          <w:szCs w:val="16"/>
          <w:lang w:val="es-CO"/>
        </w:rPr>
        <w:t>En efecto, la facultad para contratar por parte de las entidades estatales no depende ya de si las mismas tienen o no personería jurídica, sino de la atribución legal que se haga para poder celebrar acuerdos jurídicos bilaterales de contenido económico, tanto al organismo como tal como a los funcionarios públicos en cuanto titulares de cargos específicos dentro de la planta de personal</w:t>
      </w:r>
      <w:r>
        <w:rPr>
          <w:rFonts w:ascii="Verdana" w:hAnsi="Verdana"/>
          <w:sz w:val="16"/>
          <w:szCs w:val="16"/>
          <w:lang w:val="es-CO"/>
        </w:rPr>
        <w:t>”</w:t>
      </w:r>
      <w:r w:rsidRPr="007E553E">
        <w:rPr>
          <w:rFonts w:ascii="Verdana" w:hAnsi="Verdana"/>
          <w:sz w:val="16"/>
          <w:szCs w:val="16"/>
          <w:lang w:val="es-CO"/>
        </w:rPr>
        <w:t xml:space="preserve"> (EXPÓSITO VÉLEZ, Juan Carlos. Forma y contenido del contrato estatal. Bogotá: Universidad Externado de Colombia, 2013. p. 116).</w:t>
      </w:r>
      <w:r>
        <w:rPr>
          <w:rFonts w:ascii="Bookman Old Style" w:hAnsi="Bookman Old Style"/>
          <w:lang w:val="es-CO"/>
        </w:rPr>
        <w:t xml:space="preserve"> </w:t>
      </w:r>
      <w:r w:rsidRPr="0095543E">
        <w:rPr>
          <w:rFonts w:ascii="Bookman Old Style" w:hAnsi="Bookman Old Style"/>
          <w:lang w:val="es-CO"/>
        </w:rPr>
        <w:t xml:space="preserve"> </w:t>
      </w:r>
    </w:p>
  </w:footnote>
  <w:footnote w:id="6">
    <w:p w14:paraId="2EE8C4D0" w14:textId="77777777" w:rsidR="008C3D38" w:rsidRPr="00B7489A" w:rsidRDefault="008C3D38" w:rsidP="008C3D38">
      <w:pPr>
        <w:pStyle w:val="Textonotapie"/>
        <w:ind w:firstLine="708"/>
        <w:rPr>
          <w:rFonts w:ascii="Verdana" w:hAnsi="Verdana"/>
          <w:sz w:val="16"/>
          <w:szCs w:val="16"/>
        </w:rPr>
      </w:pPr>
      <w:r w:rsidRPr="00B7489A">
        <w:rPr>
          <w:rStyle w:val="Refdenotaalpie"/>
          <w:rFonts w:ascii="Verdana" w:hAnsi="Verdana"/>
          <w:sz w:val="16"/>
          <w:szCs w:val="16"/>
          <w:lang w:val="es-ES"/>
        </w:rPr>
        <w:footnoteRef/>
      </w:r>
      <w:r w:rsidRPr="00B7489A">
        <w:rPr>
          <w:rFonts w:ascii="Verdana" w:hAnsi="Verdana"/>
          <w:sz w:val="16"/>
          <w:szCs w:val="16"/>
          <w:lang w:val="es-ES"/>
        </w:rPr>
        <w:t xml:space="preserve"> </w:t>
      </w:r>
      <w:r w:rsidRPr="00B7489A">
        <w:rPr>
          <w:rFonts w:ascii="Verdana" w:eastAsia="Times New Roman" w:hAnsi="Verdana" w:cs="Times New Roman"/>
          <w:sz w:val="16"/>
          <w:szCs w:val="16"/>
          <w:lang w:val="es-ES"/>
        </w:rPr>
        <w:t>Corte Constitucional, Sentencia C-468 de 16. M.P. María Victoria Calle.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772868834">
    <w:abstractNumId w:val="10"/>
  </w:num>
  <w:num w:numId="2" w16cid:durableId="558438610">
    <w:abstractNumId w:val="2"/>
  </w:num>
  <w:num w:numId="3" w16cid:durableId="1635255337">
    <w:abstractNumId w:val="8"/>
  </w:num>
  <w:num w:numId="4" w16cid:durableId="24701024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47314706">
    <w:abstractNumId w:val="2"/>
  </w:num>
  <w:num w:numId="6" w16cid:durableId="1048725614">
    <w:abstractNumId w:val="17"/>
  </w:num>
  <w:num w:numId="7" w16cid:durableId="301694574">
    <w:abstractNumId w:val="9"/>
  </w:num>
  <w:num w:numId="8" w16cid:durableId="980038638">
    <w:abstractNumId w:val="16"/>
  </w:num>
  <w:num w:numId="9" w16cid:durableId="645863876">
    <w:abstractNumId w:val="11"/>
  </w:num>
  <w:num w:numId="10" w16cid:durableId="1340934747">
    <w:abstractNumId w:val="15"/>
  </w:num>
  <w:num w:numId="11" w16cid:durableId="994575835">
    <w:abstractNumId w:val="12"/>
  </w:num>
  <w:num w:numId="12" w16cid:durableId="1711756650">
    <w:abstractNumId w:val="0"/>
  </w:num>
  <w:num w:numId="13" w16cid:durableId="1059205905">
    <w:abstractNumId w:val="5"/>
  </w:num>
  <w:num w:numId="14" w16cid:durableId="58597606">
    <w:abstractNumId w:val="18"/>
  </w:num>
  <w:num w:numId="15" w16cid:durableId="771319297">
    <w:abstractNumId w:val="14"/>
  </w:num>
  <w:num w:numId="16" w16cid:durableId="1630355147">
    <w:abstractNumId w:val="6"/>
  </w:num>
  <w:num w:numId="17" w16cid:durableId="575673994">
    <w:abstractNumId w:val="13"/>
  </w:num>
  <w:num w:numId="18" w16cid:durableId="897742605">
    <w:abstractNumId w:val="21"/>
  </w:num>
  <w:num w:numId="19" w16cid:durableId="245699644">
    <w:abstractNumId w:val="20"/>
  </w:num>
  <w:num w:numId="20" w16cid:durableId="1735854309">
    <w:abstractNumId w:val="1"/>
  </w:num>
  <w:num w:numId="21" w16cid:durableId="868643560">
    <w:abstractNumId w:val="4"/>
  </w:num>
  <w:num w:numId="22" w16cid:durableId="1467117902">
    <w:abstractNumId w:val="7"/>
  </w:num>
  <w:num w:numId="23" w16cid:durableId="1424301009">
    <w:abstractNumId w:val="3"/>
  </w:num>
  <w:num w:numId="24" w16cid:durableId="502272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5660"/>
    <w:rsid w:val="000063E0"/>
    <w:rsid w:val="000134D5"/>
    <w:rsid w:val="00016F78"/>
    <w:rsid w:val="000353BD"/>
    <w:rsid w:val="00046945"/>
    <w:rsid w:val="00057775"/>
    <w:rsid w:val="00061B2A"/>
    <w:rsid w:val="000711CF"/>
    <w:rsid w:val="00076D52"/>
    <w:rsid w:val="00080B1D"/>
    <w:rsid w:val="00082362"/>
    <w:rsid w:val="00085031"/>
    <w:rsid w:val="0008794D"/>
    <w:rsid w:val="0009079C"/>
    <w:rsid w:val="000A1514"/>
    <w:rsid w:val="000A1642"/>
    <w:rsid w:val="000A66E5"/>
    <w:rsid w:val="000A683E"/>
    <w:rsid w:val="000A7F5E"/>
    <w:rsid w:val="000B0FAA"/>
    <w:rsid w:val="000B19B9"/>
    <w:rsid w:val="000B27F0"/>
    <w:rsid w:val="000C5A9E"/>
    <w:rsid w:val="000D0334"/>
    <w:rsid w:val="000D1DC8"/>
    <w:rsid w:val="000D4734"/>
    <w:rsid w:val="000D4A0E"/>
    <w:rsid w:val="000D5DA7"/>
    <w:rsid w:val="000E6E2C"/>
    <w:rsid w:val="000F01E9"/>
    <w:rsid w:val="000F078F"/>
    <w:rsid w:val="000F3444"/>
    <w:rsid w:val="000F3E03"/>
    <w:rsid w:val="000F512E"/>
    <w:rsid w:val="000F6486"/>
    <w:rsid w:val="000F7FD4"/>
    <w:rsid w:val="00105C57"/>
    <w:rsid w:val="001161CA"/>
    <w:rsid w:val="001168F2"/>
    <w:rsid w:val="00116940"/>
    <w:rsid w:val="00124414"/>
    <w:rsid w:val="00125105"/>
    <w:rsid w:val="00127233"/>
    <w:rsid w:val="001328F3"/>
    <w:rsid w:val="001428DC"/>
    <w:rsid w:val="001521B3"/>
    <w:rsid w:val="0015699B"/>
    <w:rsid w:val="00171640"/>
    <w:rsid w:val="00174D6E"/>
    <w:rsid w:val="00176C48"/>
    <w:rsid w:val="00182083"/>
    <w:rsid w:val="0019756E"/>
    <w:rsid w:val="0019787F"/>
    <w:rsid w:val="001A33BF"/>
    <w:rsid w:val="001A5968"/>
    <w:rsid w:val="001C5AE4"/>
    <w:rsid w:val="001C61B3"/>
    <w:rsid w:val="001D02CC"/>
    <w:rsid w:val="001D64AE"/>
    <w:rsid w:val="001E2E05"/>
    <w:rsid w:val="001E4177"/>
    <w:rsid w:val="001F0B24"/>
    <w:rsid w:val="001F5DD0"/>
    <w:rsid w:val="001F7DC6"/>
    <w:rsid w:val="00207466"/>
    <w:rsid w:val="00211E12"/>
    <w:rsid w:val="00212AD1"/>
    <w:rsid w:val="00217FCA"/>
    <w:rsid w:val="0022076F"/>
    <w:rsid w:val="002209DE"/>
    <w:rsid w:val="0022400B"/>
    <w:rsid w:val="0023515D"/>
    <w:rsid w:val="002421BB"/>
    <w:rsid w:val="00253436"/>
    <w:rsid w:val="0025796E"/>
    <w:rsid w:val="002626BD"/>
    <w:rsid w:val="0026579C"/>
    <w:rsid w:val="002707A2"/>
    <w:rsid w:val="00275482"/>
    <w:rsid w:val="00276931"/>
    <w:rsid w:val="00277C07"/>
    <w:rsid w:val="0028778F"/>
    <w:rsid w:val="002951A0"/>
    <w:rsid w:val="002962BC"/>
    <w:rsid w:val="002975A4"/>
    <w:rsid w:val="002A093D"/>
    <w:rsid w:val="002A0DD0"/>
    <w:rsid w:val="002A49AC"/>
    <w:rsid w:val="002A64FD"/>
    <w:rsid w:val="002B730F"/>
    <w:rsid w:val="002C6751"/>
    <w:rsid w:val="002C7A84"/>
    <w:rsid w:val="002E05EF"/>
    <w:rsid w:val="002E2BF8"/>
    <w:rsid w:val="002E4FD9"/>
    <w:rsid w:val="002F0847"/>
    <w:rsid w:val="0030657A"/>
    <w:rsid w:val="003136DC"/>
    <w:rsid w:val="003156BF"/>
    <w:rsid w:val="00316053"/>
    <w:rsid w:val="00322A85"/>
    <w:rsid w:val="00322C00"/>
    <w:rsid w:val="00322D77"/>
    <w:rsid w:val="00323B21"/>
    <w:rsid w:val="00324168"/>
    <w:rsid w:val="00330834"/>
    <w:rsid w:val="003332A8"/>
    <w:rsid w:val="0034094A"/>
    <w:rsid w:val="003448F4"/>
    <w:rsid w:val="00360892"/>
    <w:rsid w:val="00374F5E"/>
    <w:rsid w:val="003769E1"/>
    <w:rsid w:val="00377E3E"/>
    <w:rsid w:val="00381BAB"/>
    <w:rsid w:val="003909E8"/>
    <w:rsid w:val="00391C8B"/>
    <w:rsid w:val="003A779E"/>
    <w:rsid w:val="003B0DFC"/>
    <w:rsid w:val="003C0ED7"/>
    <w:rsid w:val="003C6659"/>
    <w:rsid w:val="003D0F4D"/>
    <w:rsid w:val="003D494E"/>
    <w:rsid w:val="003D5B0D"/>
    <w:rsid w:val="003E0499"/>
    <w:rsid w:val="003E4C37"/>
    <w:rsid w:val="003E4F80"/>
    <w:rsid w:val="003E6439"/>
    <w:rsid w:val="003F18C5"/>
    <w:rsid w:val="003F1FD8"/>
    <w:rsid w:val="003F3941"/>
    <w:rsid w:val="003F53D2"/>
    <w:rsid w:val="00403EFA"/>
    <w:rsid w:val="00406575"/>
    <w:rsid w:val="004140B3"/>
    <w:rsid w:val="00414C74"/>
    <w:rsid w:val="0042722E"/>
    <w:rsid w:val="0044528D"/>
    <w:rsid w:val="00451137"/>
    <w:rsid w:val="004555EA"/>
    <w:rsid w:val="0045785F"/>
    <w:rsid w:val="00466E39"/>
    <w:rsid w:val="00477C96"/>
    <w:rsid w:val="00484E40"/>
    <w:rsid w:val="0048787A"/>
    <w:rsid w:val="00492C4A"/>
    <w:rsid w:val="00494F04"/>
    <w:rsid w:val="004A0841"/>
    <w:rsid w:val="004A0A0B"/>
    <w:rsid w:val="004A0E5C"/>
    <w:rsid w:val="004A1847"/>
    <w:rsid w:val="004A305D"/>
    <w:rsid w:val="004A5264"/>
    <w:rsid w:val="004B3DAC"/>
    <w:rsid w:val="004B73B9"/>
    <w:rsid w:val="004C0DBB"/>
    <w:rsid w:val="004D2168"/>
    <w:rsid w:val="004D2B6F"/>
    <w:rsid w:val="004E2B92"/>
    <w:rsid w:val="004F21C4"/>
    <w:rsid w:val="004F685F"/>
    <w:rsid w:val="005000A1"/>
    <w:rsid w:val="00513BF7"/>
    <w:rsid w:val="00517955"/>
    <w:rsid w:val="005229DB"/>
    <w:rsid w:val="00524422"/>
    <w:rsid w:val="00534886"/>
    <w:rsid w:val="005365D9"/>
    <w:rsid w:val="00536A0E"/>
    <w:rsid w:val="0055262A"/>
    <w:rsid w:val="00553040"/>
    <w:rsid w:val="005566E8"/>
    <w:rsid w:val="00560892"/>
    <w:rsid w:val="00570B00"/>
    <w:rsid w:val="00572622"/>
    <w:rsid w:val="00573280"/>
    <w:rsid w:val="00574867"/>
    <w:rsid w:val="00591460"/>
    <w:rsid w:val="00592C94"/>
    <w:rsid w:val="005A2CAB"/>
    <w:rsid w:val="005A52A7"/>
    <w:rsid w:val="005A57A5"/>
    <w:rsid w:val="005A65E0"/>
    <w:rsid w:val="005C0881"/>
    <w:rsid w:val="005C3777"/>
    <w:rsid w:val="005C5CDC"/>
    <w:rsid w:val="005D2566"/>
    <w:rsid w:val="005D476C"/>
    <w:rsid w:val="005F20A4"/>
    <w:rsid w:val="00600D92"/>
    <w:rsid w:val="00603C5B"/>
    <w:rsid w:val="00611CE6"/>
    <w:rsid w:val="006137E1"/>
    <w:rsid w:val="00617200"/>
    <w:rsid w:val="00617E91"/>
    <w:rsid w:val="006200BF"/>
    <w:rsid w:val="0062143E"/>
    <w:rsid w:val="006219F8"/>
    <w:rsid w:val="00624A89"/>
    <w:rsid w:val="00624EEC"/>
    <w:rsid w:val="006302F7"/>
    <w:rsid w:val="00646B9F"/>
    <w:rsid w:val="00646F24"/>
    <w:rsid w:val="006547C3"/>
    <w:rsid w:val="00660C46"/>
    <w:rsid w:val="00662087"/>
    <w:rsid w:val="00663A04"/>
    <w:rsid w:val="00665D70"/>
    <w:rsid w:val="00672499"/>
    <w:rsid w:val="00684F67"/>
    <w:rsid w:val="0068758B"/>
    <w:rsid w:val="006900D9"/>
    <w:rsid w:val="0069216D"/>
    <w:rsid w:val="0069741A"/>
    <w:rsid w:val="006A2BE4"/>
    <w:rsid w:val="006B4707"/>
    <w:rsid w:val="006D13BA"/>
    <w:rsid w:val="006D1D21"/>
    <w:rsid w:val="006D591D"/>
    <w:rsid w:val="006D64EE"/>
    <w:rsid w:val="006F2238"/>
    <w:rsid w:val="006F4199"/>
    <w:rsid w:val="007009D7"/>
    <w:rsid w:val="007025D7"/>
    <w:rsid w:val="00706C16"/>
    <w:rsid w:val="0071557C"/>
    <w:rsid w:val="00731F30"/>
    <w:rsid w:val="007340C3"/>
    <w:rsid w:val="0073510E"/>
    <w:rsid w:val="007448A3"/>
    <w:rsid w:val="007458D3"/>
    <w:rsid w:val="00751DE8"/>
    <w:rsid w:val="0075235A"/>
    <w:rsid w:val="00752CDB"/>
    <w:rsid w:val="0075557D"/>
    <w:rsid w:val="00756841"/>
    <w:rsid w:val="007649AB"/>
    <w:rsid w:val="00771AEF"/>
    <w:rsid w:val="00771D0C"/>
    <w:rsid w:val="00782ED2"/>
    <w:rsid w:val="007833AC"/>
    <w:rsid w:val="00792EB2"/>
    <w:rsid w:val="00795086"/>
    <w:rsid w:val="007A037B"/>
    <w:rsid w:val="007A1830"/>
    <w:rsid w:val="007B268C"/>
    <w:rsid w:val="007B7171"/>
    <w:rsid w:val="007C0C0F"/>
    <w:rsid w:val="007C3DC2"/>
    <w:rsid w:val="007C4353"/>
    <w:rsid w:val="007C5559"/>
    <w:rsid w:val="007D3058"/>
    <w:rsid w:val="007D4B12"/>
    <w:rsid w:val="007E43AC"/>
    <w:rsid w:val="007E5497"/>
    <w:rsid w:val="007E553E"/>
    <w:rsid w:val="00803584"/>
    <w:rsid w:val="00806F5F"/>
    <w:rsid w:val="008103F6"/>
    <w:rsid w:val="00820278"/>
    <w:rsid w:val="00820488"/>
    <w:rsid w:val="0082071A"/>
    <w:rsid w:val="008258C9"/>
    <w:rsid w:val="00830893"/>
    <w:rsid w:val="00833286"/>
    <w:rsid w:val="00836232"/>
    <w:rsid w:val="00841E29"/>
    <w:rsid w:val="00844AE9"/>
    <w:rsid w:val="0085545E"/>
    <w:rsid w:val="00866A9E"/>
    <w:rsid w:val="00867F95"/>
    <w:rsid w:val="00871AAC"/>
    <w:rsid w:val="00875356"/>
    <w:rsid w:val="008843B6"/>
    <w:rsid w:val="00886410"/>
    <w:rsid w:val="00891928"/>
    <w:rsid w:val="00891A0E"/>
    <w:rsid w:val="008A446D"/>
    <w:rsid w:val="008B0D0F"/>
    <w:rsid w:val="008B25F1"/>
    <w:rsid w:val="008C11FD"/>
    <w:rsid w:val="008C3D38"/>
    <w:rsid w:val="008C4DD5"/>
    <w:rsid w:val="008C517A"/>
    <w:rsid w:val="008C6AE5"/>
    <w:rsid w:val="008D0BE7"/>
    <w:rsid w:val="008D1660"/>
    <w:rsid w:val="008D180B"/>
    <w:rsid w:val="008F0EA7"/>
    <w:rsid w:val="008F17DC"/>
    <w:rsid w:val="008F4334"/>
    <w:rsid w:val="008F553F"/>
    <w:rsid w:val="008F6705"/>
    <w:rsid w:val="00901213"/>
    <w:rsid w:val="009037F6"/>
    <w:rsid w:val="0091143C"/>
    <w:rsid w:val="00920817"/>
    <w:rsid w:val="00923EEF"/>
    <w:rsid w:val="00926423"/>
    <w:rsid w:val="00933E3F"/>
    <w:rsid w:val="009419F9"/>
    <w:rsid w:val="00944696"/>
    <w:rsid w:val="0095685E"/>
    <w:rsid w:val="00961B09"/>
    <w:rsid w:val="00963E12"/>
    <w:rsid w:val="00964321"/>
    <w:rsid w:val="00965334"/>
    <w:rsid w:val="00967B4D"/>
    <w:rsid w:val="0097093E"/>
    <w:rsid w:val="009722DE"/>
    <w:rsid w:val="009735E8"/>
    <w:rsid w:val="00984DB3"/>
    <w:rsid w:val="00992E19"/>
    <w:rsid w:val="009A0486"/>
    <w:rsid w:val="009A0DFA"/>
    <w:rsid w:val="009B28B9"/>
    <w:rsid w:val="009B2D26"/>
    <w:rsid w:val="009B4B7C"/>
    <w:rsid w:val="009C71FA"/>
    <w:rsid w:val="009C72E7"/>
    <w:rsid w:val="009C7F7E"/>
    <w:rsid w:val="009D23F2"/>
    <w:rsid w:val="009D3058"/>
    <w:rsid w:val="009E1F28"/>
    <w:rsid w:val="009E6924"/>
    <w:rsid w:val="009E7AED"/>
    <w:rsid w:val="009F3A13"/>
    <w:rsid w:val="009F4B67"/>
    <w:rsid w:val="009F7A6E"/>
    <w:rsid w:val="00A0334B"/>
    <w:rsid w:val="00A0526C"/>
    <w:rsid w:val="00A122D3"/>
    <w:rsid w:val="00A14468"/>
    <w:rsid w:val="00A17F13"/>
    <w:rsid w:val="00A20739"/>
    <w:rsid w:val="00A23AF9"/>
    <w:rsid w:val="00A31A76"/>
    <w:rsid w:val="00A33C78"/>
    <w:rsid w:val="00A53338"/>
    <w:rsid w:val="00A73F45"/>
    <w:rsid w:val="00A8776C"/>
    <w:rsid w:val="00AA1E47"/>
    <w:rsid w:val="00AB0ADB"/>
    <w:rsid w:val="00AB436E"/>
    <w:rsid w:val="00AD173A"/>
    <w:rsid w:val="00AD7D5F"/>
    <w:rsid w:val="00AE1F6E"/>
    <w:rsid w:val="00AE3513"/>
    <w:rsid w:val="00AE5DD2"/>
    <w:rsid w:val="00AF5A10"/>
    <w:rsid w:val="00B00C0E"/>
    <w:rsid w:val="00B01B1A"/>
    <w:rsid w:val="00B04DA1"/>
    <w:rsid w:val="00B11075"/>
    <w:rsid w:val="00B131D7"/>
    <w:rsid w:val="00B206B6"/>
    <w:rsid w:val="00B234CF"/>
    <w:rsid w:val="00B35656"/>
    <w:rsid w:val="00B37EB5"/>
    <w:rsid w:val="00B44A47"/>
    <w:rsid w:val="00B54271"/>
    <w:rsid w:val="00B5550F"/>
    <w:rsid w:val="00B6149C"/>
    <w:rsid w:val="00B64484"/>
    <w:rsid w:val="00B71FD5"/>
    <w:rsid w:val="00B72CD3"/>
    <w:rsid w:val="00B72FFF"/>
    <w:rsid w:val="00B74092"/>
    <w:rsid w:val="00B7489A"/>
    <w:rsid w:val="00B95DAC"/>
    <w:rsid w:val="00BA2EB9"/>
    <w:rsid w:val="00BA703D"/>
    <w:rsid w:val="00BC3D36"/>
    <w:rsid w:val="00BC5D42"/>
    <w:rsid w:val="00BC70CB"/>
    <w:rsid w:val="00BD13AC"/>
    <w:rsid w:val="00BD54A6"/>
    <w:rsid w:val="00BD7F72"/>
    <w:rsid w:val="00BF056C"/>
    <w:rsid w:val="00BF3B66"/>
    <w:rsid w:val="00BF5C08"/>
    <w:rsid w:val="00BF7425"/>
    <w:rsid w:val="00C04FB3"/>
    <w:rsid w:val="00C11D8B"/>
    <w:rsid w:val="00C1350D"/>
    <w:rsid w:val="00C2359C"/>
    <w:rsid w:val="00C251B0"/>
    <w:rsid w:val="00C330EB"/>
    <w:rsid w:val="00C419DF"/>
    <w:rsid w:val="00C50D69"/>
    <w:rsid w:val="00C5365C"/>
    <w:rsid w:val="00C619D4"/>
    <w:rsid w:val="00C61D93"/>
    <w:rsid w:val="00C72666"/>
    <w:rsid w:val="00C754BE"/>
    <w:rsid w:val="00C76B1C"/>
    <w:rsid w:val="00C82667"/>
    <w:rsid w:val="00C90C96"/>
    <w:rsid w:val="00C925AC"/>
    <w:rsid w:val="00C94828"/>
    <w:rsid w:val="00C963BE"/>
    <w:rsid w:val="00C96B64"/>
    <w:rsid w:val="00CA2858"/>
    <w:rsid w:val="00CB02F1"/>
    <w:rsid w:val="00CB6357"/>
    <w:rsid w:val="00CC1B26"/>
    <w:rsid w:val="00CD4C85"/>
    <w:rsid w:val="00CE3C1C"/>
    <w:rsid w:val="00CE4026"/>
    <w:rsid w:val="00CF5ABC"/>
    <w:rsid w:val="00D06146"/>
    <w:rsid w:val="00D0699E"/>
    <w:rsid w:val="00D1210B"/>
    <w:rsid w:val="00D222C0"/>
    <w:rsid w:val="00D22D2B"/>
    <w:rsid w:val="00D334DD"/>
    <w:rsid w:val="00D34EA3"/>
    <w:rsid w:val="00D361FD"/>
    <w:rsid w:val="00D423A2"/>
    <w:rsid w:val="00D44E26"/>
    <w:rsid w:val="00D51A5D"/>
    <w:rsid w:val="00D520D8"/>
    <w:rsid w:val="00D532D4"/>
    <w:rsid w:val="00D56F8A"/>
    <w:rsid w:val="00D62B9C"/>
    <w:rsid w:val="00D63AC2"/>
    <w:rsid w:val="00D64111"/>
    <w:rsid w:val="00D64AFC"/>
    <w:rsid w:val="00D66DF5"/>
    <w:rsid w:val="00D7383B"/>
    <w:rsid w:val="00D73DBD"/>
    <w:rsid w:val="00D7541C"/>
    <w:rsid w:val="00D7788A"/>
    <w:rsid w:val="00D85F06"/>
    <w:rsid w:val="00D936A2"/>
    <w:rsid w:val="00DA231B"/>
    <w:rsid w:val="00DB13F4"/>
    <w:rsid w:val="00DB55DA"/>
    <w:rsid w:val="00DC39FC"/>
    <w:rsid w:val="00DC7CCB"/>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77E2"/>
    <w:rsid w:val="00E615C4"/>
    <w:rsid w:val="00E71E1B"/>
    <w:rsid w:val="00E75C92"/>
    <w:rsid w:val="00E771DC"/>
    <w:rsid w:val="00E774E7"/>
    <w:rsid w:val="00E8772A"/>
    <w:rsid w:val="00E90F6B"/>
    <w:rsid w:val="00E91AED"/>
    <w:rsid w:val="00E92C27"/>
    <w:rsid w:val="00E96B5C"/>
    <w:rsid w:val="00EA0E3D"/>
    <w:rsid w:val="00EA2DC0"/>
    <w:rsid w:val="00EA426C"/>
    <w:rsid w:val="00EB224C"/>
    <w:rsid w:val="00EC006D"/>
    <w:rsid w:val="00EC1AA2"/>
    <w:rsid w:val="00EC297F"/>
    <w:rsid w:val="00EC38A7"/>
    <w:rsid w:val="00ED4980"/>
    <w:rsid w:val="00EE1AA8"/>
    <w:rsid w:val="00EE265D"/>
    <w:rsid w:val="00EE3D99"/>
    <w:rsid w:val="00EF1D4F"/>
    <w:rsid w:val="00EF4E7D"/>
    <w:rsid w:val="00EF5E13"/>
    <w:rsid w:val="00EF647F"/>
    <w:rsid w:val="00F03314"/>
    <w:rsid w:val="00F0580C"/>
    <w:rsid w:val="00F23FEA"/>
    <w:rsid w:val="00F27B7B"/>
    <w:rsid w:val="00F31EDC"/>
    <w:rsid w:val="00F34294"/>
    <w:rsid w:val="00F43100"/>
    <w:rsid w:val="00F462B3"/>
    <w:rsid w:val="00F5664F"/>
    <w:rsid w:val="00F61959"/>
    <w:rsid w:val="00F666C4"/>
    <w:rsid w:val="00F76AFC"/>
    <w:rsid w:val="00F81BF0"/>
    <w:rsid w:val="00F82E88"/>
    <w:rsid w:val="00F86E11"/>
    <w:rsid w:val="00F86E3E"/>
    <w:rsid w:val="00F91E1F"/>
    <w:rsid w:val="00F95C74"/>
    <w:rsid w:val="00FA47C0"/>
    <w:rsid w:val="00FA5FFD"/>
    <w:rsid w:val="00FB5DD1"/>
    <w:rsid w:val="00FC2B5D"/>
    <w:rsid w:val="00FD1DDC"/>
    <w:rsid w:val="00FD3AD2"/>
    <w:rsid w:val="00FD59D3"/>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8568B41-9065-4DE9-BFEA-A2F36601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208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styleId="Fuerte">
    <w:name w:val="Strong"/>
    <w:basedOn w:val="Fuentedeprrafopredeter"/>
    <w:uiPriority w:val="22"/>
    <w:qFormat/>
    <w:rsid w:val="00B7489A"/>
    <w:rPr>
      <w:b/>
      <w:bCs/>
    </w:rPr>
  </w:style>
  <w:style w:type="table" w:customStyle="1" w:styleId="Tablaconcuadrcula12">
    <w:name w:val="Tabla con cuadrícula12"/>
    <w:basedOn w:val="Tablanormal"/>
    <w:next w:val="Tablaconcuadrcula"/>
    <w:uiPriority w:val="39"/>
    <w:qFormat/>
    <w:rsid w:val="008C3D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740">
      <w:bodyDiv w:val="1"/>
      <w:marLeft w:val="0"/>
      <w:marRight w:val="0"/>
      <w:marTop w:val="0"/>
      <w:marBottom w:val="0"/>
      <w:divBdr>
        <w:top w:val="none" w:sz="0" w:space="0" w:color="auto"/>
        <w:left w:val="none" w:sz="0" w:space="0" w:color="auto"/>
        <w:bottom w:val="none" w:sz="0" w:space="0" w:color="auto"/>
        <w:right w:val="none" w:sz="0" w:space="0" w:color="auto"/>
      </w:divBdr>
      <w:divsChild>
        <w:div w:id="258880311">
          <w:marLeft w:val="0"/>
          <w:marRight w:val="0"/>
          <w:marTop w:val="0"/>
          <w:marBottom w:val="0"/>
          <w:divBdr>
            <w:top w:val="none" w:sz="0" w:space="0" w:color="auto"/>
            <w:left w:val="none" w:sz="0" w:space="0" w:color="auto"/>
            <w:bottom w:val="none" w:sz="0" w:space="0" w:color="auto"/>
            <w:right w:val="none" w:sz="0" w:space="0" w:color="auto"/>
          </w:divBdr>
          <w:divsChild>
            <w:div w:id="1294941058">
              <w:marLeft w:val="0"/>
              <w:marRight w:val="0"/>
              <w:marTop w:val="0"/>
              <w:marBottom w:val="0"/>
              <w:divBdr>
                <w:top w:val="none" w:sz="0" w:space="0" w:color="auto"/>
                <w:left w:val="none" w:sz="0" w:space="0" w:color="auto"/>
                <w:bottom w:val="none" w:sz="0" w:space="0" w:color="auto"/>
                <w:right w:val="none" w:sz="0" w:space="0" w:color="auto"/>
              </w:divBdr>
              <w:divsChild>
                <w:div w:id="337932334">
                  <w:marLeft w:val="0"/>
                  <w:marRight w:val="0"/>
                  <w:marTop w:val="0"/>
                  <w:marBottom w:val="0"/>
                  <w:divBdr>
                    <w:top w:val="none" w:sz="0" w:space="0" w:color="auto"/>
                    <w:left w:val="none" w:sz="0" w:space="0" w:color="auto"/>
                    <w:bottom w:val="none" w:sz="0" w:space="0" w:color="auto"/>
                    <w:right w:val="none" w:sz="0" w:space="0" w:color="auto"/>
                  </w:divBdr>
                  <w:divsChild>
                    <w:div w:id="9084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659191">
          <w:marLeft w:val="0"/>
          <w:marRight w:val="0"/>
          <w:marTop w:val="0"/>
          <w:marBottom w:val="0"/>
          <w:divBdr>
            <w:top w:val="none" w:sz="0" w:space="0" w:color="auto"/>
            <w:left w:val="none" w:sz="0" w:space="0" w:color="auto"/>
            <w:bottom w:val="none" w:sz="0" w:space="0" w:color="auto"/>
            <w:right w:val="none" w:sz="0" w:space="0" w:color="auto"/>
          </w:divBdr>
        </w:div>
      </w:divsChild>
    </w:div>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239609180">
      <w:bodyDiv w:val="1"/>
      <w:marLeft w:val="0"/>
      <w:marRight w:val="0"/>
      <w:marTop w:val="0"/>
      <w:marBottom w:val="0"/>
      <w:divBdr>
        <w:top w:val="none" w:sz="0" w:space="0" w:color="auto"/>
        <w:left w:val="none" w:sz="0" w:space="0" w:color="auto"/>
        <w:bottom w:val="none" w:sz="0" w:space="0" w:color="auto"/>
        <w:right w:val="none" w:sz="0" w:space="0" w:color="auto"/>
      </w:divBdr>
    </w:div>
    <w:div w:id="298808619">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2011055">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9789425">
      <w:bodyDiv w:val="1"/>
      <w:marLeft w:val="0"/>
      <w:marRight w:val="0"/>
      <w:marTop w:val="0"/>
      <w:marBottom w:val="0"/>
      <w:divBdr>
        <w:top w:val="none" w:sz="0" w:space="0" w:color="auto"/>
        <w:left w:val="none" w:sz="0" w:space="0" w:color="auto"/>
        <w:bottom w:val="none" w:sz="0" w:space="0" w:color="auto"/>
        <w:right w:val="none" w:sz="0" w:space="0" w:color="auto"/>
      </w:divBdr>
      <w:divsChild>
        <w:div w:id="817572852">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98738708">
      <w:bodyDiv w:val="1"/>
      <w:marLeft w:val="0"/>
      <w:marRight w:val="0"/>
      <w:marTop w:val="0"/>
      <w:marBottom w:val="0"/>
      <w:divBdr>
        <w:top w:val="none" w:sz="0" w:space="0" w:color="auto"/>
        <w:left w:val="none" w:sz="0" w:space="0" w:color="auto"/>
        <w:bottom w:val="none" w:sz="0" w:space="0" w:color="auto"/>
        <w:right w:val="none" w:sz="0" w:space="0" w:color="auto"/>
      </w:divBdr>
    </w:div>
    <w:div w:id="1970088735">
      <w:bodyDiv w:val="1"/>
      <w:marLeft w:val="0"/>
      <w:marRight w:val="0"/>
      <w:marTop w:val="0"/>
      <w:marBottom w:val="0"/>
      <w:divBdr>
        <w:top w:val="none" w:sz="0" w:space="0" w:color="auto"/>
        <w:left w:val="none" w:sz="0" w:space="0" w:color="auto"/>
        <w:bottom w:val="none" w:sz="0" w:space="0" w:color="auto"/>
        <w:right w:val="none" w:sz="0" w:space="0" w:color="auto"/>
      </w:divBdr>
      <w:divsChild>
        <w:div w:id="2124030618">
          <w:marLeft w:val="0"/>
          <w:marRight w:val="0"/>
          <w:marTop w:val="0"/>
          <w:marBottom w:val="0"/>
          <w:divBdr>
            <w:top w:val="none" w:sz="0" w:space="0" w:color="auto"/>
            <w:left w:val="none" w:sz="0" w:space="0" w:color="auto"/>
            <w:bottom w:val="none" w:sz="0" w:space="0" w:color="auto"/>
            <w:right w:val="none" w:sz="0" w:space="0" w:color="auto"/>
          </w:divBdr>
        </w:div>
      </w:divsChild>
    </w:div>
    <w:div w:id="2045401966">
      <w:bodyDiv w:val="1"/>
      <w:marLeft w:val="0"/>
      <w:marRight w:val="0"/>
      <w:marTop w:val="0"/>
      <w:marBottom w:val="0"/>
      <w:divBdr>
        <w:top w:val="none" w:sz="0" w:space="0" w:color="auto"/>
        <w:left w:val="none" w:sz="0" w:space="0" w:color="auto"/>
        <w:bottom w:val="none" w:sz="0" w:space="0" w:color="auto"/>
        <w:right w:val="none" w:sz="0" w:space="0" w:color="auto"/>
      </w:divBdr>
    </w:div>
    <w:div w:id="2094351184">
      <w:bodyDiv w:val="1"/>
      <w:marLeft w:val="0"/>
      <w:marRight w:val="0"/>
      <w:marTop w:val="0"/>
      <w:marBottom w:val="0"/>
      <w:divBdr>
        <w:top w:val="none" w:sz="0" w:space="0" w:color="auto"/>
        <w:left w:val="none" w:sz="0" w:space="0" w:color="auto"/>
        <w:bottom w:val="none" w:sz="0" w:space="0" w:color="auto"/>
        <w:right w:val="none" w:sz="0" w:space="0" w:color="auto"/>
      </w:divBdr>
      <w:divsChild>
        <w:div w:id="1644460514">
          <w:marLeft w:val="0"/>
          <w:marRight w:val="0"/>
          <w:marTop w:val="0"/>
          <w:marBottom w:val="0"/>
          <w:divBdr>
            <w:top w:val="none" w:sz="0" w:space="0" w:color="auto"/>
            <w:left w:val="none" w:sz="0" w:space="0" w:color="auto"/>
            <w:bottom w:val="none" w:sz="0" w:space="0" w:color="auto"/>
            <w:right w:val="none" w:sz="0" w:space="0" w:color="auto"/>
          </w:divBdr>
        </w:div>
      </w:divsChild>
    </w:div>
    <w:div w:id="212796031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carmen.lsalazar@hotmail.com;eva@funcionpublica.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6A32F55-4BCF-4392-A103-9838CB8540ED}">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F65B2DD-47FD-4CC2-BBA8-CB5F97E7DB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24</Pages>
  <Words>8515</Words>
  <Characters>46838</Characters>
  <Application>Microsoft Office Word</Application>
  <DocSecurity>0</DocSecurity>
  <Lines>390</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2026-03-27T10:54:00Z</dcterms:created>
  <dcterms:modified xsi:type="dcterms:W3CDTF">2026-03-27T18:28:00Z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