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7831F" w14:textId="77777777" w:rsidR="009D5308" w:rsidRPr="009D5308" w:rsidRDefault="009D5308" w:rsidP="009D5308">
      <w:pPr>
        <w:spacing w:after="0" w:line="240" w:lineRule="auto"/>
        <w:jc w:val="both"/>
        <w:rPr>
          <w:rFonts w:ascii="Verdana" w:eastAsia="Times New Roman" w:hAnsi="Verdana" w:cs="Arial"/>
          <w:b/>
          <w:bCs/>
          <w:sz w:val="24"/>
          <w:szCs w:val="24"/>
          <w:lang w:eastAsia="es-ES_tradnl"/>
        </w:rPr>
      </w:pPr>
      <w:bookmarkStart w:id="0" w:name="_Hlk143780582"/>
      <w:r w:rsidRPr="009D5308">
        <w:rPr>
          <w:rFonts w:ascii="Verdana" w:eastAsia="Times New Roman" w:hAnsi="Verdana" w:cs="Arial"/>
          <w:b/>
          <w:bCs/>
          <w:sz w:val="24"/>
          <w:szCs w:val="24"/>
          <w:lang w:eastAsia="es-ES_tradnl"/>
        </w:rPr>
        <w:t xml:space="preserve">DOCUMENTOS TIPO – Fundamento normativo – Obligatoriedad – Ámbito de aplicación – Entidades sometidas  </w:t>
      </w:r>
    </w:p>
    <w:p w14:paraId="081E2DB5" w14:textId="77777777" w:rsidR="009D5308" w:rsidRPr="009D5308" w:rsidRDefault="009D5308" w:rsidP="009D5308">
      <w:pPr>
        <w:spacing w:after="0" w:line="240" w:lineRule="auto"/>
        <w:jc w:val="both"/>
        <w:rPr>
          <w:rFonts w:ascii="Verdana" w:eastAsia="Times New Roman" w:hAnsi="Verdana" w:cs="Arial"/>
          <w:b/>
          <w:bCs/>
          <w:sz w:val="20"/>
          <w:szCs w:val="20"/>
          <w:lang w:eastAsia="es-ES_tradnl"/>
        </w:rPr>
      </w:pPr>
    </w:p>
    <w:p w14:paraId="08CC2C62" w14:textId="77777777" w:rsidR="009D5308" w:rsidRPr="009D5308" w:rsidRDefault="009D5308" w:rsidP="009D5308">
      <w:pPr>
        <w:spacing w:after="0" w:line="240" w:lineRule="auto"/>
        <w:jc w:val="both"/>
        <w:rPr>
          <w:rFonts w:ascii="Verdana" w:eastAsia="Calibri" w:hAnsi="Verdana" w:cs="Arial"/>
          <w:sz w:val="20"/>
          <w:szCs w:val="20"/>
          <w:lang w:val="es-ES_tradnl" w:eastAsia="es-ES"/>
        </w:rPr>
      </w:pPr>
      <w:r w:rsidRPr="009D5308">
        <w:rPr>
          <w:rFonts w:ascii="Verdana" w:eastAsia="Calibri" w:hAnsi="Verdana" w:cs="Arial"/>
          <w:sz w:val="20"/>
          <w:szCs w:val="20"/>
          <w:lang w:val="es-ES_tradnl" w:eastAsia="es-ES"/>
        </w:rPr>
        <w:t xml:space="preserve">[…] la Ley 2022 de 2020 […]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9D5308">
        <w:rPr>
          <w:rFonts w:ascii="Verdana" w:eastAsia="Calibri" w:hAnsi="Verdana" w:cs="Arial"/>
          <w:bCs/>
          <w:sz w:val="20"/>
          <w:szCs w:val="20"/>
          <w:lang w:val="es-ES_tradnl" w:eastAsia="es-ES_tradnl"/>
        </w:rPr>
        <w:t>EGCAP</w:t>
      </w:r>
      <w:r w:rsidRPr="009D5308">
        <w:rPr>
          <w:rFonts w:ascii="Verdana" w:eastAsia="Calibri" w:hAnsi="Verdana" w:cs="Arial"/>
          <w:sz w:val="20"/>
          <w:szCs w:val="20"/>
          <w:lang w:val="es-ES_tradnl" w:eastAsia="es-ES"/>
        </w:rPr>
        <w:t xml:space="preserve">, se atribuyó a la </w:t>
      </w:r>
      <w:r w:rsidRPr="009D5308">
        <w:rPr>
          <w:rFonts w:ascii="Verdana" w:eastAsia="Calibri" w:hAnsi="Verdana" w:cs="Arial"/>
          <w:sz w:val="20"/>
          <w:szCs w:val="20"/>
          <w:lang w:val="es-ES_tradnl" w:eastAsia="es-ES_tradnl"/>
        </w:rPr>
        <w:t xml:space="preserve">Agencia Nacional de Contratación Pública – Colombia Compra Eficiente la competencia para su expedición. </w:t>
      </w:r>
    </w:p>
    <w:p w14:paraId="1BCF64D9" w14:textId="77777777" w:rsidR="009D5308" w:rsidRPr="009D5308" w:rsidRDefault="009D5308" w:rsidP="009D5308">
      <w:pPr>
        <w:spacing w:after="0" w:line="240" w:lineRule="auto"/>
        <w:jc w:val="both"/>
        <w:rPr>
          <w:rFonts w:ascii="Verdana" w:eastAsia="Calibri" w:hAnsi="Verdana" w:cs="Arial"/>
          <w:sz w:val="20"/>
          <w:szCs w:val="20"/>
          <w:lang w:val="es-ES_tradnl" w:eastAsia="es-ES"/>
        </w:rPr>
      </w:pPr>
    </w:p>
    <w:p w14:paraId="7E5CA9FA" w14:textId="77777777" w:rsidR="009D5308" w:rsidRPr="009D5308" w:rsidRDefault="009D5308" w:rsidP="009D5308">
      <w:pPr>
        <w:spacing w:after="0" w:line="240" w:lineRule="auto"/>
        <w:jc w:val="both"/>
        <w:rPr>
          <w:rFonts w:ascii="Verdana" w:eastAsia="Calibri" w:hAnsi="Verdana" w:cs="Arial"/>
          <w:sz w:val="20"/>
          <w:szCs w:val="20"/>
          <w:lang w:eastAsia="es-MX"/>
        </w:rPr>
      </w:pPr>
      <w:r w:rsidRPr="009D5308">
        <w:rPr>
          <w:rFonts w:ascii="Verdana" w:eastAsia="Calibri" w:hAnsi="Verdana" w:cs="Arial"/>
          <w:sz w:val="20"/>
          <w:szCs w:val="20"/>
          <w:lang w:eastAsia="es-ES_tradnl"/>
        </w:rPr>
        <w:t xml:space="preserve">De acuerdo con lo expuesto, </w:t>
      </w:r>
      <w:r w:rsidRPr="009D5308">
        <w:rPr>
          <w:rFonts w:ascii="Verdana" w:eastAsia="Calibri" w:hAnsi="Verdana" w:cs="Arial"/>
          <w:sz w:val="20"/>
          <w:szCs w:val="20"/>
          <w:bdr w:val="none" w:sz="0" w:space="0" w:color="auto" w:frame="1"/>
          <w:lang w:eastAsia="es-ES_tradnl"/>
        </w:rPr>
        <w:t xml:space="preserve">los Documentos Tipo adoptados son obligatorios para las Entidades Estatales regidas por el </w:t>
      </w:r>
      <w:r w:rsidRPr="009D5308">
        <w:rPr>
          <w:rFonts w:ascii="Verdana" w:eastAsia="Calibri" w:hAnsi="Verdana" w:cs="Arial"/>
          <w:bCs/>
          <w:sz w:val="20"/>
          <w:szCs w:val="20"/>
          <w:lang w:val="es-ES_tradnl" w:eastAsia="es-ES_tradnl"/>
        </w:rPr>
        <w:t>EGCAP</w:t>
      </w:r>
      <w:r w:rsidRPr="009D5308">
        <w:rPr>
          <w:rFonts w:ascii="Verdana" w:eastAsia="Calibri" w:hAnsi="Verdana" w:cs="Arial"/>
          <w:sz w:val="20"/>
          <w:szCs w:val="20"/>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 </w:t>
      </w:r>
      <w:r w:rsidRPr="009D5308">
        <w:rPr>
          <w:rFonts w:ascii="Verdana" w:eastAsia="Calibri" w:hAnsi="Verdana" w:cs="Arial"/>
          <w:sz w:val="20"/>
          <w:szCs w:val="20"/>
          <w:lang w:eastAsia="es-MX"/>
        </w:rPr>
        <w:t>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w:t>
      </w:r>
    </w:p>
    <w:p w14:paraId="43F1D128" w14:textId="77777777" w:rsidR="009D5308" w:rsidRPr="009D5308" w:rsidRDefault="009D5308" w:rsidP="009D5308">
      <w:pPr>
        <w:spacing w:after="0" w:line="240" w:lineRule="auto"/>
        <w:jc w:val="both"/>
        <w:rPr>
          <w:rFonts w:ascii="Verdana" w:eastAsia="Times New Roman" w:hAnsi="Verdana" w:cs="Arial"/>
          <w:b/>
          <w:bCs/>
          <w:sz w:val="24"/>
          <w:szCs w:val="24"/>
          <w:lang w:eastAsia="es-ES_tradnl"/>
        </w:rPr>
      </w:pPr>
    </w:p>
    <w:p w14:paraId="2EF1D69B" w14:textId="77777777" w:rsidR="009D5308" w:rsidRPr="009D5308" w:rsidRDefault="009D5308" w:rsidP="009D5308">
      <w:pPr>
        <w:spacing w:after="0" w:line="240" w:lineRule="auto"/>
        <w:jc w:val="both"/>
        <w:rPr>
          <w:rFonts w:ascii="Verdana" w:eastAsia="Calibri" w:hAnsi="Verdana" w:cs="Arial"/>
          <w:b/>
          <w:color w:val="000000"/>
          <w:sz w:val="24"/>
          <w:szCs w:val="24"/>
          <w:lang w:val="es-ES_tradnl" w:eastAsia="es-ES_tradnl"/>
        </w:rPr>
      </w:pPr>
      <w:r w:rsidRPr="009D5308">
        <w:rPr>
          <w:rFonts w:ascii="Verdana" w:eastAsia="Calibri" w:hAnsi="Verdana" w:cs="Arial"/>
          <w:b/>
          <w:color w:val="000000"/>
          <w:sz w:val="24"/>
          <w:szCs w:val="24"/>
          <w:lang w:val="es-ES_tradnl" w:eastAsia="es-ES_tradnl"/>
        </w:rPr>
        <w:t>LEY 2195 DE 2022 – Artículo 56 – Personas jurídicas de derecho privado – Documentos tipo – Estatuto General de Contratación de la Administración Pública</w:t>
      </w:r>
    </w:p>
    <w:p w14:paraId="0EC2C171" w14:textId="77777777" w:rsidR="009D5308" w:rsidRPr="009D5308" w:rsidRDefault="009D5308" w:rsidP="009D5308">
      <w:pPr>
        <w:spacing w:after="0" w:line="240" w:lineRule="auto"/>
        <w:jc w:val="both"/>
        <w:rPr>
          <w:rFonts w:ascii="Verdana" w:eastAsia="Calibri" w:hAnsi="Verdana" w:cs="Arial"/>
          <w:b/>
          <w:color w:val="000000"/>
          <w:sz w:val="24"/>
          <w:szCs w:val="24"/>
          <w:lang w:val="es-ES_tradnl" w:eastAsia="es-ES_tradnl"/>
        </w:rPr>
      </w:pPr>
    </w:p>
    <w:p w14:paraId="6083CA51" w14:textId="77777777" w:rsidR="009D5308" w:rsidRPr="009D5308" w:rsidRDefault="009D5308" w:rsidP="009D5308">
      <w:pPr>
        <w:spacing w:after="0" w:line="240" w:lineRule="auto"/>
        <w:jc w:val="both"/>
        <w:rPr>
          <w:rFonts w:ascii="Verdana" w:eastAsia="Times New Roman" w:hAnsi="Verdana" w:cs="Arial"/>
          <w:noProof/>
          <w:color w:val="000000"/>
          <w:sz w:val="20"/>
          <w:szCs w:val="20"/>
          <w:lang w:val="es-ES_tradnl" w:eastAsia="es-ES_tradnl"/>
        </w:rPr>
      </w:pPr>
      <w:r w:rsidRPr="009D5308">
        <w:rPr>
          <w:rFonts w:ascii="Verdana" w:eastAsia="Calibri" w:hAnsi="Verdana" w:cs="Arial"/>
          <w:sz w:val="20"/>
          <w:szCs w:val="20"/>
          <w:lang w:val="es-ES_tradnl" w:eastAsia="es-ES"/>
        </w:rPr>
        <w:t xml:space="preserve">[…] </w:t>
      </w:r>
      <w:r w:rsidRPr="009D5308">
        <w:rPr>
          <w:rFonts w:ascii="Verdana" w:eastAsia="Times New Roman" w:hAnsi="Verdana" w:cs="Arial"/>
          <w:noProof/>
          <w:color w:val="000000"/>
          <w:sz w:val="20"/>
          <w:szCs w:val="20"/>
          <w:lang w:val="es-ES_tradnl" w:eastAsia="es-ES_tradnl"/>
        </w:rPr>
        <w:t>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3AF55D18" w14:textId="77777777" w:rsidR="009D5308" w:rsidRPr="009D5308" w:rsidRDefault="009D5308" w:rsidP="009D5308">
      <w:pPr>
        <w:spacing w:after="0" w:line="276" w:lineRule="auto"/>
        <w:jc w:val="both"/>
        <w:rPr>
          <w:rFonts w:ascii="Verdana" w:eastAsia="Times New Roman" w:hAnsi="Verdana" w:cs="Arial"/>
          <w:noProof/>
          <w:color w:val="000000"/>
          <w:sz w:val="24"/>
          <w:szCs w:val="24"/>
          <w:lang w:val="es-ES_tradnl" w:eastAsia="es-ES_tradnl"/>
        </w:rPr>
      </w:pPr>
    </w:p>
    <w:p w14:paraId="7201291F" w14:textId="77777777" w:rsidR="009D5308" w:rsidRPr="009D5308" w:rsidRDefault="009D5308" w:rsidP="009D5308">
      <w:pPr>
        <w:tabs>
          <w:tab w:val="left" w:pos="0"/>
        </w:tabs>
        <w:spacing w:after="0" w:line="276" w:lineRule="auto"/>
        <w:jc w:val="both"/>
        <w:rPr>
          <w:rFonts w:ascii="Verdana" w:eastAsia="Calibri" w:hAnsi="Verdana" w:cs="Arial"/>
          <w:b/>
          <w:color w:val="000000"/>
          <w:sz w:val="24"/>
          <w:szCs w:val="24"/>
          <w:lang w:val="es-ES_tradnl" w:eastAsia="es-ES_tradnl"/>
        </w:rPr>
      </w:pPr>
      <w:r w:rsidRPr="009D5308">
        <w:rPr>
          <w:rFonts w:ascii="Verdana" w:eastAsia="Calibri" w:hAnsi="Verdana" w:cs="Arial"/>
          <w:b/>
          <w:color w:val="000000"/>
          <w:sz w:val="24"/>
          <w:szCs w:val="24"/>
          <w:lang w:val="es-ES_tradnl" w:eastAsia="es-ES_tradnl"/>
        </w:rPr>
        <w:t xml:space="preserve">LEY 2195 DE 2022 – Artículo 56 – Parágrafo – Alcance </w:t>
      </w:r>
    </w:p>
    <w:p w14:paraId="31938E70" w14:textId="77777777" w:rsidR="009D5308" w:rsidRPr="009D5308" w:rsidRDefault="009D5308" w:rsidP="009D5308">
      <w:pPr>
        <w:tabs>
          <w:tab w:val="left" w:pos="0"/>
        </w:tabs>
        <w:spacing w:after="0" w:line="240" w:lineRule="auto"/>
        <w:jc w:val="both"/>
        <w:rPr>
          <w:rFonts w:ascii="Arial" w:eastAsia="Times New Roman" w:hAnsi="Arial" w:cs="Arial"/>
          <w:noProof/>
          <w:color w:val="000000"/>
          <w:sz w:val="24"/>
          <w:szCs w:val="24"/>
          <w:lang w:val="es-ES_tradnl" w:eastAsia="es-ES_tradnl"/>
        </w:rPr>
      </w:pPr>
    </w:p>
    <w:p w14:paraId="04CC220D" w14:textId="77777777" w:rsidR="009D5308" w:rsidRPr="009D5308" w:rsidRDefault="009D5308" w:rsidP="009D5308">
      <w:pPr>
        <w:tabs>
          <w:tab w:val="left" w:pos="0"/>
        </w:tabs>
        <w:spacing w:after="0" w:line="240" w:lineRule="auto"/>
        <w:jc w:val="both"/>
        <w:rPr>
          <w:rFonts w:ascii="Arial" w:eastAsia="Calibri" w:hAnsi="Arial" w:cs="Arial"/>
          <w:bCs/>
          <w:sz w:val="20"/>
          <w:szCs w:val="20"/>
          <w:lang w:val="es-ES_tradnl" w:eastAsia="es-MX"/>
        </w:rPr>
      </w:pPr>
      <w:r w:rsidRPr="009D5308">
        <w:rPr>
          <w:rFonts w:ascii="Verdana" w:eastAsia="Times New Roman" w:hAnsi="Verdana" w:cs="Arial"/>
          <w:color w:val="000000"/>
          <w:sz w:val="20"/>
          <w:szCs w:val="20"/>
          <w:lang w:eastAsia="es-MX"/>
        </w:rPr>
        <w:t xml:space="preserve">En este contexto, </w:t>
      </w:r>
      <w:r w:rsidRPr="009D5308">
        <w:rPr>
          <w:rFonts w:ascii="Verdana" w:eastAsia="Calibri" w:hAnsi="Verdana" w:cs="Arial"/>
          <w:bCs/>
          <w:sz w:val="20"/>
          <w:szCs w:val="20"/>
          <w:lang w:val="es-ES_tradnl" w:eastAsia="es-ES_tradnl"/>
        </w:rPr>
        <w:t>de la lectura conjunta de los incisos primero y segundo</w:t>
      </w:r>
      <w:r w:rsidRPr="009D5308">
        <w:rPr>
          <w:rFonts w:ascii="Verdana" w:eastAsia="Calibri" w:hAnsi="Verdana" w:cs="Arial"/>
          <w:bCs/>
          <w:sz w:val="20"/>
          <w:szCs w:val="20"/>
          <w:lang w:eastAsia="es-ES_tradnl"/>
        </w:rPr>
        <w:t xml:space="preserve"> del artículo 56 de la Ley 2195 de 2022,</w:t>
      </w:r>
      <w:r w:rsidRPr="009D5308">
        <w:rPr>
          <w:rFonts w:ascii="Verdana" w:eastAsia="Calibri" w:hAnsi="Verdana" w:cs="Arial"/>
          <w:bCs/>
          <w:sz w:val="20"/>
          <w:szCs w:val="20"/>
          <w:lang w:val="es-ES_tradnl" w:eastAsia="es-ES_tradnl"/>
        </w:rPr>
        <w:t xml:space="preserve"> se desprende que </w:t>
      </w:r>
      <w:r w:rsidRPr="009D5308">
        <w:rPr>
          <w:rFonts w:ascii="Verdana" w:eastAsia="Calibri" w:hAnsi="Verdana" w:cs="Arial"/>
          <w:bCs/>
          <w:sz w:val="20"/>
          <w:szCs w:val="20"/>
          <w:lang w:eastAsia="es-ES_tradnl"/>
        </w:rPr>
        <w:t xml:space="preserve">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w:t>
      </w:r>
      <w:r w:rsidRPr="009D5308">
        <w:rPr>
          <w:rFonts w:ascii="Verdana" w:eastAsia="Calibri" w:hAnsi="Verdana" w:cs="Arial"/>
          <w:bCs/>
          <w:sz w:val="20"/>
          <w:szCs w:val="20"/>
          <w:lang w:eastAsia="es-ES_tradnl"/>
        </w:rPr>
        <w:lastRenderedPageBreak/>
        <w:t>materializar dicha contratación, haciendo uso obligatorio de dichos documentos</w:t>
      </w:r>
      <w:r w:rsidRPr="009D5308">
        <w:rPr>
          <w:rFonts w:ascii="Arial" w:eastAsia="Calibri" w:hAnsi="Arial" w:cs="Arial"/>
          <w:bCs/>
          <w:sz w:val="20"/>
          <w:szCs w:val="20"/>
          <w:lang w:val="es-ES_tradnl" w:eastAsia="es-MX"/>
        </w:rPr>
        <w:t xml:space="preserve"> </w:t>
      </w:r>
      <w:r w:rsidRPr="009D5308">
        <w:rPr>
          <w:rFonts w:ascii="Verdana" w:eastAsia="Calibri" w:hAnsi="Verdana" w:cs="Arial"/>
          <w:bCs/>
          <w:sz w:val="20"/>
          <w:szCs w:val="20"/>
          <w:lang w:val="es-ES_tradnl" w:eastAsia="es-MX"/>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26430B84" w14:textId="77777777" w:rsidR="009D5308" w:rsidRPr="009D5308" w:rsidRDefault="009D5308" w:rsidP="009D5308">
      <w:pPr>
        <w:tabs>
          <w:tab w:val="left" w:pos="0"/>
        </w:tabs>
        <w:spacing w:after="0" w:line="240" w:lineRule="auto"/>
        <w:jc w:val="both"/>
        <w:rPr>
          <w:rFonts w:ascii="Verdana" w:eastAsia="Calibri" w:hAnsi="Verdana" w:cs="Arial"/>
          <w:bCs/>
          <w:sz w:val="20"/>
          <w:szCs w:val="20"/>
          <w:lang w:val="es-ES_tradnl" w:eastAsia="es-ES_tradnl"/>
        </w:rPr>
      </w:pPr>
    </w:p>
    <w:p w14:paraId="751D82AB" w14:textId="77777777" w:rsidR="009D5308" w:rsidRPr="009D5308" w:rsidRDefault="009D5308" w:rsidP="009D5308">
      <w:pPr>
        <w:tabs>
          <w:tab w:val="left" w:pos="0"/>
        </w:tabs>
        <w:spacing w:after="0" w:line="240" w:lineRule="auto"/>
        <w:jc w:val="both"/>
        <w:rPr>
          <w:rFonts w:ascii="Verdana" w:eastAsia="Calibri" w:hAnsi="Verdana" w:cs="Arial"/>
          <w:bCs/>
          <w:color w:val="000000"/>
          <w:sz w:val="20"/>
          <w:szCs w:val="20"/>
          <w:lang w:val="es-ES_tradnl" w:eastAsia="es-ES_tradnl"/>
        </w:rPr>
      </w:pPr>
      <w:r w:rsidRPr="009D5308">
        <w:rPr>
          <w:rFonts w:ascii="Verdana" w:eastAsia="Calibri" w:hAnsi="Verdana" w:cs="Arial"/>
          <w:bCs/>
          <w:sz w:val="20"/>
          <w:szCs w:val="20"/>
          <w:lang w:val="es-ES_tradnl" w:eastAsia="es-ES_tradnl"/>
        </w:rPr>
        <w:t>Sin perjuicio de lo anterior</w:t>
      </w:r>
      <w:r w:rsidRPr="009D5308">
        <w:rPr>
          <w:rFonts w:ascii="Verdana" w:eastAsia="Times New Roman" w:hAnsi="Verdana" w:cs="Arial"/>
          <w:sz w:val="20"/>
          <w:szCs w:val="20"/>
          <w:lang w:eastAsia="es-ES_tradnl"/>
        </w:rPr>
        <w:t xml:space="preserve">, </w:t>
      </w:r>
      <w:r w:rsidRPr="009D5308">
        <w:rPr>
          <w:rFonts w:ascii="Verdana" w:eastAsia="Calibri" w:hAnsi="Verdana" w:cs="Arial"/>
          <w:bCs/>
          <w:sz w:val="20"/>
          <w:szCs w:val="20"/>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9D5308">
        <w:rPr>
          <w:rFonts w:ascii="Verdana" w:eastAsia="Calibri" w:hAnsi="Verdana" w:cs="Arial"/>
          <w:bCs/>
          <w:i/>
          <w:iCs/>
          <w:sz w:val="20"/>
          <w:szCs w:val="20"/>
          <w:lang w:val="es-ES_tradnl" w:eastAsia="es-ES_tradnl"/>
        </w:rPr>
        <w:t>giro ordinario</w:t>
      </w:r>
      <w:r w:rsidRPr="009D5308">
        <w:rPr>
          <w:rFonts w:ascii="Verdana" w:eastAsia="Calibri" w:hAnsi="Verdana" w:cs="Arial"/>
          <w:bCs/>
          <w:sz w:val="20"/>
          <w:szCs w:val="20"/>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9D5308">
        <w:rPr>
          <w:rFonts w:ascii="Verdana" w:eastAsia="Calibri" w:hAnsi="Verdana" w:cs="Arial"/>
          <w:bCs/>
          <w:sz w:val="20"/>
          <w:szCs w:val="20"/>
          <w:lang w:val="es-ES_tradnl" w:eastAsia="es-ES_tradnl"/>
        </w:rPr>
        <w:t>ii</w:t>
      </w:r>
      <w:proofErr w:type="spellEnd"/>
      <w:r w:rsidRPr="009D5308">
        <w:rPr>
          <w:rFonts w:ascii="Verdana" w:eastAsia="Calibri" w:hAnsi="Verdana" w:cs="Arial"/>
          <w:bCs/>
          <w:sz w:val="20"/>
          <w:szCs w:val="20"/>
          <w:lang w:val="es-ES_tradnl" w:eastAsia="es-ES_tradnl"/>
        </w:rPr>
        <w:t xml:space="preserve">) las </w:t>
      </w:r>
      <w:r w:rsidRPr="009D5308">
        <w:rPr>
          <w:rFonts w:ascii="Verdana" w:eastAsia="Calibri" w:hAnsi="Verdana" w:cs="Arial"/>
          <w:bCs/>
          <w:i/>
          <w:iCs/>
          <w:sz w:val="20"/>
          <w:szCs w:val="20"/>
          <w:lang w:val="es-ES_tradnl" w:eastAsia="es-ES_tradnl"/>
        </w:rPr>
        <w:t>empresas sociales del Estado</w:t>
      </w:r>
      <w:r w:rsidRPr="009D5308">
        <w:rPr>
          <w:rFonts w:ascii="Verdana" w:eastAsia="Calibri" w:hAnsi="Verdana" w:cs="Arial"/>
          <w:bCs/>
          <w:sz w:val="20"/>
          <w:szCs w:val="20"/>
          <w:lang w:val="es-ES_tradnl" w:eastAsia="es-ES_tradnl"/>
        </w:rPr>
        <w:t xml:space="preserve">, </w:t>
      </w:r>
      <w:proofErr w:type="spellStart"/>
      <w:r w:rsidRPr="009D5308">
        <w:rPr>
          <w:rFonts w:ascii="Verdana" w:eastAsia="Calibri" w:hAnsi="Verdana" w:cs="Arial"/>
          <w:bCs/>
          <w:sz w:val="20"/>
          <w:szCs w:val="20"/>
          <w:lang w:val="es-ES_tradnl" w:eastAsia="es-ES_tradnl"/>
        </w:rPr>
        <w:t>iii</w:t>
      </w:r>
      <w:proofErr w:type="spellEnd"/>
      <w:r w:rsidRPr="009D5308">
        <w:rPr>
          <w:rFonts w:ascii="Verdana" w:eastAsia="Calibri" w:hAnsi="Verdana" w:cs="Arial"/>
          <w:bCs/>
          <w:sz w:val="20"/>
          <w:szCs w:val="20"/>
          <w:lang w:val="es-ES_tradnl" w:eastAsia="es-ES_tradnl"/>
        </w:rPr>
        <w:t xml:space="preserve">) las sociedades de economía mixta y </w:t>
      </w:r>
      <w:proofErr w:type="spellStart"/>
      <w:r w:rsidRPr="009D5308">
        <w:rPr>
          <w:rFonts w:ascii="Verdana" w:eastAsia="Calibri" w:hAnsi="Verdana" w:cs="Arial"/>
          <w:bCs/>
          <w:sz w:val="20"/>
          <w:szCs w:val="20"/>
          <w:lang w:val="es-ES_tradnl" w:eastAsia="es-ES_tradnl"/>
        </w:rPr>
        <w:t>iv</w:t>
      </w:r>
      <w:proofErr w:type="spellEnd"/>
      <w:r w:rsidRPr="009D5308">
        <w:rPr>
          <w:rFonts w:ascii="Verdana" w:eastAsia="Calibri" w:hAnsi="Verdana" w:cs="Arial"/>
          <w:bCs/>
          <w:sz w:val="20"/>
          <w:szCs w:val="20"/>
          <w:lang w:val="es-ES_tradnl" w:eastAsia="es-ES_tradnl"/>
        </w:rPr>
        <w:t xml:space="preserve">) las empresas industriales y comerciales del Estado, únicamente, en la contratación relacionada con el </w:t>
      </w:r>
      <w:r w:rsidRPr="009D5308">
        <w:rPr>
          <w:rFonts w:ascii="Verdana" w:eastAsia="Calibri" w:hAnsi="Verdana" w:cs="Arial"/>
          <w:bCs/>
          <w:i/>
          <w:iCs/>
          <w:sz w:val="20"/>
          <w:szCs w:val="20"/>
          <w:lang w:val="es-ES_tradnl" w:eastAsia="es-ES_tradnl"/>
        </w:rPr>
        <w:t>giro ordinario.</w:t>
      </w:r>
      <w:r w:rsidRPr="009D5308">
        <w:rPr>
          <w:rFonts w:ascii="Verdana" w:eastAsia="Calibri" w:hAnsi="Verdana" w:cs="Arial"/>
          <w:bCs/>
          <w:sz w:val="20"/>
          <w:szCs w:val="20"/>
          <w:lang w:val="es-ES_tradnl" w:eastAsia="es-ES_tradnl"/>
        </w:rPr>
        <w:t xml:space="preserve"> Esto significa que, en la contratación asociada a su </w:t>
      </w:r>
      <w:r w:rsidRPr="009D5308">
        <w:rPr>
          <w:rFonts w:ascii="Verdana" w:eastAsia="Calibri" w:hAnsi="Verdana" w:cs="Arial"/>
          <w:bCs/>
          <w:i/>
          <w:iCs/>
          <w:sz w:val="20"/>
          <w:szCs w:val="20"/>
          <w:lang w:val="es-ES_tradnl" w:eastAsia="es-ES_tradnl"/>
        </w:rPr>
        <w:t xml:space="preserve">giro ordinario, </w:t>
      </w:r>
      <w:r w:rsidRPr="009D5308">
        <w:rPr>
          <w:rFonts w:ascii="Verdana" w:eastAsia="Calibri" w:hAnsi="Verdana" w:cs="Arial"/>
          <w:bCs/>
          <w:sz w:val="20"/>
          <w:szCs w:val="20"/>
          <w:lang w:val="es-ES_tradnl" w:eastAsia="es-ES_tradnl"/>
        </w:rPr>
        <w:t>estos tipos de entidades no tendrían que aplicar, de manera obligatoria, los Documentos Tipo, ni tampoco el EGCAP.</w:t>
      </w:r>
      <w:r w:rsidRPr="009D5308">
        <w:rPr>
          <w:rFonts w:ascii="Verdana" w:eastAsia="Times New Roman" w:hAnsi="Verdana" w:cs="Arial"/>
          <w:sz w:val="20"/>
          <w:szCs w:val="20"/>
          <w:lang w:eastAsia="es-ES_tradnl"/>
        </w:rPr>
        <w:t xml:space="preserve"> </w:t>
      </w:r>
      <w:r w:rsidRPr="009D5308">
        <w:rPr>
          <w:rFonts w:ascii="Verdana" w:eastAsia="Calibri" w:hAnsi="Verdana" w:cs="Arial"/>
          <w:bCs/>
          <w:sz w:val="20"/>
          <w:szCs w:val="20"/>
          <w:lang w:val="es-ES_tradnl" w:eastAsia="es-ES_tradnl"/>
        </w:rPr>
        <w:t>En este caso, la norma se limita a fomentar la implementación de Documentos Tipo a modo de buena práctica contractual, en los casos en los que se estime conveniente.</w:t>
      </w:r>
      <w:r w:rsidRPr="009D5308">
        <w:rPr>
          <w:rFonts w:ascii="Verdana" w:eastAsia="Calibri" w:hAnsi="Verdana" w:cs="Arial"/>
          <w:bCs/>
          <w:color w:val="000000"/>
          <w:sz w:val="20"/>
          <w:szCs w:val="20"/>
          <w:lang w:val="es-ES_tradnl" w:eastAsia="es-ES_tradnl"/>
        </w:rPr>
        <w:t xml:space="preserve"> </w:t>
      </w:r>
    </w:p>
    <w:p w14:paraId="082AD169" w14:textId="77777777" w:rsidR="009D5308" w:rsidRPr="009D5308" w:rsidRDefault="009D5308" w:rsidP="009D5308">
      <w:pPr>
        <w:spacing w:after="0" w:line="240" w:lineRule="auto"/>
        <w:jc w:val="both"/>
        <w:rPr>
          <w:rFonts w:ascii="Verdana" w:eastAsia="Calibri" w:hAnsi="Verdana" w:cs="Arial"/>
          <w:b/>
          <w:bCs/>
          <w:lang w:val="es-ES_tradnl" w:eastAsia="es-MX"/>
        </w:rPr>
      </w:pPr>
    </w:p>
    <w:p w14:paraId="6DB06336" w14:textId="77777777" w:rsidR="009D5308" w:rsidRPr="009D5308" w:rsidRDefault="009D5308" w:rsidP="009D5308">
      <w:pPr>
        <w:spacing w:after="0" w:line="240" w:lineRule="auto"/>
        <w:jc w:val="both"/>
        <w:rPr>
          <w:rFonts w:ascii="Verdana" w:eastAsia="Calibri" w:hAnsi="Verdana" w:cs="Arial"/>
          <w:b/>
          <w:bCs/>
          <w:lang w:val="es-ES_tradnl" w:eastAsia="es-MX"/>
        </w:rPr>
      </w:pPr>
      <w:r w:rsidRPr="009D5308">
        <w:rPr>
          <w:rFonts w:ascii="Verdana" w:eastAsia="Calibri" w:hAnsi="Verdana" w:cs="Arial"/>
          <w:b/>
          <w:bCs/>
          <w:lang w:val="es-ES_tradnl" w:eastAsia="es-MX"/>
        </w:rPr>
        <w:t>DOCUMENTOS TIPO – Sector social – Obra – Resoluciones – Subsectores</w:t>
      </w:r>
    </w:p>
    <w:p w14:paraId="22DB060E" w14:textId="77777777" w:rsidR="009D5308" w:rsidRPr="009D5308" w:rsidRDefault="009D5308" w:rsidP="009D5308">
      <w:pPr>
        <w:spacing w:after="0" w:line="240" w:lineRule="auto"/>
        <w:jc w:val="both"/>
        <w:textAlignment w:val="baseline"/>
        <w:rPr>
          <w:rFonts w:ascii="Verdana" w:eastAsia="Calibri" w:hAnsi="Verdana" w:cs="Arial"/>
          <w:b/>
          <w:bCs/>
          <w:lang w:val="es-ES_tradnl" w:eastAsia="es-MX"/>
        </w:rPr>
      </w:pPr>
    </w:p>
    <w:p w14:paraId="47840F18" w14:textId="77777777" w:rsidR="009D5308" w:rsidRPr="009D5308" w:rsidRDefault="009D5308" w:rsidP="009D5308">
      <w:pPr>
        <w:spacing w:after="0" w:line="240" w:lineRule="auto"/>
        <w:jc w:val="both"/>
        <w:textAlignment w:val="baseline"/>
        <w:rPr>
          <w:rFonts w:ascii="Verdana" w:eastAsia="Calibri" w:hAnsi="Verdana" w:cs="Arial"/>
          <w:sz w:val="20"/>
          <w:szCs w:val="20"/>
          <w:lang w:eastAsia="es-MX"/>
        </w:rPr>
      </w:pPr>
      <w:r w:rsidRPr="009D5308">
        <w:rPr>
          <w:rFonts w:ascii="Verdana" w:eastAsia="Aptos" w:hAnsi="Verdana" w:cs="Times New Roman"/>
          <w:sz w:val="20"/>
          <w:szCs w:val="20"/>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9D5308">
        <w:rPr>
          <w:rFonts w:ascii="Verdana" w:eastAsia="Calibri" w:hAnsi="Verdana" w:cs="Arial"/>
          <w:sz w:val="20"/>
          <w:szCs w:val="20"/>
          <w:lang w:eastAsia="es-MX"/>
        </w:rPr>
        <w:t>.</w:t>
      </w:r>
    </w:p>
    <w:p w14:paraId="3043D48D" w14:textId="77777777" w:rsidR="009D5308" w:rsidRPr="009D5308" w:rsidRDefault="009D5308" w:rsidP="009D5308">
      <w:pPr>
        <w:spacing w:after="0" w:line="240" w:lineRule="auto"/>
        <w:jc w:val="both"/>
        <w:textAlignment w:val="baseline"/>
        <w:rPr>
          <w:rFonts w:ascii="Verdana" w:eastAsia="Calibri" w:hAnsi="Verdana" w:cs="Arial"/>
          <w:sz w:val="20"/>
          <w:szCs w:val="20"/>
          <w:lang w:eastAsia="es-MX"/>
        </w:rPr>
      </w:pPr>
    </w:p>
    <w:p w14:paraId="353DEDFB" w14:textId="77777777" w:rsidR="009D5308" w:rsidRPr="009D5308" w:rsidRDefault="009D5308" w:rsidP="009D5308">
      <w:pPr>
        <w:widowControl w:val="0"/>
        <w:autoSpaceDE w:val="0"/>
        <w:autoSpaceDN w:val="0"/>
        <w:spacing w:after="0" w:line="276" w:lineRule="auto"/>
        <w:jc w:val="both"/>
        <w:rPr>
          <w:rFonts w:ascii="Verdana" w:eastAsia="Calibri" w:hAnsi="Verdana" w:cs="Arial"/>
          <w:b/>
          <w:bCs/>
          <w:lang w:val="es-ES_tradnl" w:eastAsia="es-MX"/>
        </w:rPr>
      </w:pPr>
      <w:r w:rsidRPr="009D5308">
        <w:rPr>
          <w:rFonts w:ascii="Verdana" w:eastAsia="Calibri" w:hAnsi="Verdana" w:cs="Arial"/>
          <w:b/>
          <w:bCs/>
          <w:lang w:val="es-ES_tradnl" w:eastAsia="es-MX"/>
        </w:rPr>
        <w:t xml:space="preserve">DOCUMENTOS TIPO – Sector social – Aplicación </w:t>
      </w:r>
    </w:p>
    <w:p w14:paraId="23DF77F9" w14:textId="77777777" w:rsidR="009D5308" w:rsidRPr="009D5308" w:rsidRDefault="009D5308" w:rsidP="009D5308">
      <w:pPr>
        <w:widowControl w:val="0"/>
        <w:autoSpaceDE w:val="0"/>
        <w:autoSpaceDN w:val="0"/>
        <w:spacing w:after="0" w:line="276" w:lineRule="auto"/>
        <w:jc w:val="both"/>
        <w:rPr>
          <w:rFonts w:ascii="Verdana" w:eastAsia="Calibri" w:hAnsi="Verdana" w:cs="Arial"/>
          <w:lang w:eastAsia="es-MX"/>
        </w:rPr>
      </w:pPr>
    </w:p>
    <w:p w14:paraId="4F0A515D" w14:textId="77777777" w:rsidR="009D5308" w:rsidRPr="009D5308" w:rsidRDefault="009D5308" w:rsidP="009D5308">
      <w:pPr>
        <w:widowControl w:val="0"/>
        <w:autoSpaceDE w:val="0"/>
        <w:autoSpaceDN w:val="0"/>
        <w:snapToGrid w:val="0"/>
        <w:spacing w:after="0" w:line="276" w:lineRule="auto"/>
        <w:jc w:val="both"/>
        <w:rPr>
          <w:rFonts w:ascii="Verdana" w:eastAsia="Calibri" w:hAnsi="Verdana" w:cs="Arial"/>
          <w:sz w:val="20"/>
          <w:szCs w:val="20"/>
          <w:lang w:eastAsia="es-MX"/>
        </w:rPr>
      </w:pPr>
      <w:r w:rsidRPr="009D5308">
        <w:rPr>
          <w:rFonts w:ascii="Verdana" w:eastAsia="Calibri" w:hAnsi="Verdana" w:cs="Arial"/>
          <w:sz w:val="20"/>
          <w:szCs w:val="20"/>
          <w:lang w:eastAsia="es-MX"/>
        </w:rPr>
        <w:t xml:space="preserve">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 -supuesto que debe observarse de acuerdo con lo explicado en el punto i. de este concepto-. </w:t>
      </w:r>
    </w:p>
    <w:p w14:paraId="59E048AE" w14:textId="77777777" w:rsidR="009D5308" w:rsidRPr="009D5308" w:rsidRDefault="009D5308" w:rsidP="009D5308">
      <w:pPr>
        <w:snapToGrid w:val="0"/>
        <w:spacing w:after="0" w:line="276" w:lineRule="auto"/>
        <w:jc w:val="both"/>
        <w:rPr>
          <w:rFonts w:ascii="Verdana" w:eastAsia="Calibri" w:hAnsi="Verdana" w:cs="Arial"/>
          <w:lang w:eastAsia="es-MX"/>
        </w:rPr>
      </w:pPr>
    </w:p>
    <w:p w14:paraId="0C512AA2" w14:textId="77777777" w:rsidR="009D5308" w:rsidRPr="009D5308" w:rsidRDefault="009D5308" w:rsidP="009D5308">
      <w:pPr>
        <w:snapToGrid w:val="0"/>
        <w:spacing w:after="0" w:line="240" w:lineRule="auto"/>
        <w:jc w:val="both"/>
        <w:rPr>
          <w:rFonts w:ascii="Verdana" w:eastAsia="Calibri" w:hAnsi="Verdana" w:cs="Arial"/>
          <w:b/>
          <w:bCs/>
          <w:lang w:val="es-ES_tradnl" w:eastAsia="es-MX"/>
        </w:rPr>
      </w:pPr>
      <w:r w:rsidRPr="009D5308">
        <w:rPr>
          <w:rFonts w:ascii="Verdana" w:eastAsia="Calibri" w:hAnsi="Verdana" w:cs="Arial"/>
          <w:b/>
          <w:bCs/>
          <w:lang w:val="es-ES_tradnl" w:eastAsia="es-MX"/>
        </w:rPr>
        <w:t>SECTOR EDUCATIVO – Documentos tipo – Infraestructura educativa – Alcance – NSR 10</w:t>
      </w:r>
    </w:p>
    <w:p w14:paraId="20DD4027" w14:textId="77777777" w:rsidR="009D5308" w:rsidRPr="009D5308" w:rsidRDefault="009D5308" w:rsidP="009D5308">
      <w:pPr>
        <w:snapToGrid w:val="0"/>
        <w:spacing w:after="0" w:line="276" w:lineRule="auto"/>
        <w:jc w:val="both"/>
        <w:rPr>
          <w:rFonts w:ascii="Verdana" w:eastAsia="Calibri" w:hAnsi="Verdana" w:cs="Arial"/>
          <w:lang w:eastAsia="es-MX"/>
        </w:rPr>
      </w:pPr>
    </w:p>
    <w:p w14:paraId="62F2CD97" w14:textId="77777777" w:rsidR="009D5308" w:rsidRPr="009D5308" w:rsidRDefault="009D5308" w:rsidP="009D5308">
      <w:pPr>
        <w:spacing w:after="0" w:line="240" w:lineRule="auto"/>
        <w:jc w:val="both"/>
        <w:rPr>
          <w:rFonts w:ascii="Verdana" w:eastAsia="Times New Roman" w:hAnsi="Verdana" w:cs="Times New Roman"/>
          <w:color w:val="000000"/>
          <w:sz w:val="20"/>
          <w:szCs w:val="20"/>
          <w:lang w:eastAsia="es-CO"/>
        </w:rPr>
      </w:pPr>
      <w:r w:rsidRPr="009D5308">
        <w:rPr>
          <w:rFonts w:ascii="Verdana" w:eastAsia="Arial" w:hAnsi="Verdana" w:cs="Aptos"/>
          <w:sz w:val="20"/>
          <w:szCs w:val="20"/>
          <w:lang w:eastAsia="es-ES"/>
        </w:rPr>
        <w:t>De esta forma, los tipos de obras señaladas y las actividades previstas en la Matriz 1</w:t>
      </w:r>
      <w:r w:rsidRPr="009D5308">
        <w:rPr>
          <w:rFonts w:ascii="Verdana" w:eastAsia="Calibri" w:hAnsi="Verdana" w:cs="Times New Roman"/>
          <w:sz w:val="20"/>
          <w:szCs w:val="20"/>
          <w:lang w:val="es-ES" w:eastAsia="es-MX"/>
        </w:rPr>
        <w:t xml:space="preserve">– Experiencia del Sector Educativo, </w:t>
      </w:r>
      <w:r w:rsidRPr="009D5308">
        <w:rPr>
          <w:rFonts w:ascii="Verdana" w:eastAsia="Times New Roman" w:hAnsi="Verdana" w:cs="Times New Roman"/>
          <w:color w:val="000000"/>
          <w:sz w:val="20"/>
          <w:szCs w:val="20"/>
          <w:lang w:eastAsia="es-CO"/>
        </w:rPr>
        <w:t xml:space="preserve">en la modalidad de licitación pública, selección </w:t>
      </w:r>
      <w:r w:rsidRPr="009D5308">
        <w:rPr>
          <w:rFonts w:ascii="Verdana" w:eastAsia="Times New Roman" w:hAnsi="Verdana" w:cs="Times New Roman"/>
          <w:color w:val="000000"/>
          <w:sz w:val="20"/>
          <w:szCs w:val="20"/>
          <w:lang w:eastAsia="es-CO"/>
        </w:rPr>
        <w:lastRenderedPageBreak/>
        <w:t>abreviada de menor cuantía y mínima cuantía, recaen sobre infraestructura educativa. Esto es importante para precisar el ámbito de aplicación de los Documentos Tipo de este sector adoptados en de las Resoluciones 539, 540 y 541 de 2025.</w:t>
      </w:r>
    </w:p>
    <w:p w14:paraId="17C60741" w14:textId="77777777" w:rsidR="009D5308" w:rsidRPr="009D5308" w:rsidRDefault="009D5308" w:rsidP="009D5308">
      <w:pPr>
        <w:spacing w:after="0" w:line="240" w:lineRule="auto"/>
        <w:jc w:val="both"/>
        <w:rPr>
          <w:rFonts w:ascii="Verdana" w:eastAsia="Times New Roman" w:hAnsi="Verdana" w:cs="Times New Roman"/>
          <w:color w:val="000000"/>
          <w:sz w:val="20"/>
          <w:szCs w:val="20"/>
          <w:lang w:eastAsia="es-CO"/>
        </w:rPr>
      </w:pPr>
    </w:p>
    <w:p w14:paraId="23110395" w14:textId="77777777" w:rsidR="009D5308" w:rsidRPr="009D5308" w:rsidRDefault="009D5308" w:rsidP="009D5308">
      <w:pPr>
        <w:spacing w:after="0" w:line="240" w:lineRule="auto"/>
        <w:jc w:val="both"/>
        <w:rPr>
          <w:rFonts w:ascii="Verdana" w:eastAsia="Calibri" w:hAnsi="Verdana" w:cs="Arial"/>
          <w:color w:val="0D0D0D"/>
          <w:sz w:val="20"/>
          <w:szCs w:val="20"/>
          <w:lang w:eastAsia="es-MX"/>
        </w:rPr>
      </w:pPr>
      <w:r w:rsidRPr="009D5308">
        <w:rPr>
          <w:rFonts w:ascii="Verdana" w:eastAsia="Calibri" w:hAnsi="Verdana" w:cs="Arial"/>
          <w:color w:val="0D0D0D"/>
          <w:sz w:val="20"/>
          <w:szCs w:val="20"/>
          <w:lang w:eastAsia="es-MX"/>
        </w:rPr>
        <w:t xml:space="preserve">En este sentido, el Subgrupo de Ocupación Institucional de Educación corresponde a una categoría de clasificación establecida por la NSR-10 que agrupa a aquellas edificaciones o espacios destinados o empleados para le reunión de personas con propósitos educativos y de instrucción. Este subgrupo comprende Universidades, Colegios, Escuelas, Centros de educación, Academias, Jardines Infantiles, entre otros. La expresión “Otras instituciones docentes” evidencia que la enumeración no es taxativa, sino enunciativa, por lo incluye todas aquellas edificaciones que por su naturaleza y finalidad, se utilizan para propósitos educativos y de instrucción.  </w:t>
      </w:r>
    </w:p>
    <w:p w14:paraId="5EC34318" w14:textId="77777777" w:rsidR="009D5308" w:rsidRPr="009D5308" w:rsidRDefault="009D5308" w:rsidP="009D5308">
      <w:pPr>
        <w:spacing w:after="0" w:line="276" w:lineRule="auto"/>
        <w:jc w:val="both"/>
        <w:rPr>
          <w:rFonts w:ascii="Verdana" w:eastAsia="Calibri" w:hAnsi="Verdana" w:cs="Arial"/>
          <w:color w:val="0D0D0D"/>
          <w:sz w:val="20"/>
          <w:szCs w:val="20"/>
          <w:lang w:eastAsia="es-MX"/>
        </w:rPr>
      </w:pPr>
    </w:p>
    <w:p w14:paraId="03F1D301" w14:textId="77777777" w:rsidR="009D5308" w:rsidRPr="009D5308" w:rsidRDefault="009D5308" w:rsidP="009D5308">
      <w:pPr>
        <w:snapToGrid w:val="0"/>
        <w:spacing w:after="0" w:line="240" w:lineRule="auto"/>
        <w:jc w:val="both"/>
        <w:rPr>
          <w:rFonts w:ascii="Verdana" w:eastAsia="Calibri" w:hAnsi="Verdana" w:cs="Arial"/>
          <w:b/>
          <w:bCs/>
          <w:lang w:val="es-ES_tradnl" w:eastAsia="es-MX"/>
        </w:rPr>
      </w:pPr>
      <w:r w:rsidRPr="009D5308">
        <w:rPr>
          <w:rFonts w:ascii="Verdana" w:eastAsia="Calibri" w:hAnsi="Verdana" w:cs="Arial"/>
          <w:b/>
          <w:bCs/>
          <w:lang w:val="es-ES_tradnl" w:eastAsia="es-MX"/>
        </w:rPr>
        <w:t>SECTOR EDUCATIVO – Documentos tipo – Infraestructura educativa – Aplicación – Instituciones de educación superior</w:t>
      </w:r>
    </w:p>
    <w:p w14:paraId="6F387453" w14:textId="77777777" w:rsidR="009D5308" w:rsidRPr="009D5308" w:rsidRDefault="009D5308" w:rsidP="009D5308">
      <w:pPr>
        <w:spacing w:after="0" w:line="276" w:lineRule="auto"/>
        <w:jc w:val="both"/>
        <w:rPr>
          <w:rFonts w:ascii="Verdana" w:eastAsia="Calibri" w:hAnsi="Verdana" w:cs="Arial"/>
          <w:color w:val="0D0D0D"/>
          <w:lang w:eastAsia="es-MX"/>
        </w:rPr>
      </w:pPr>
    </w:p>
    <w:p w14:paraId="63D37F5F" w14:textId="77777777" w:rsidR="009D5308" w:rsidRPr="009D5308" w:rsidRDefault="009D5308" w:rsidP="009D5308">
      <w:pPr>
        <w:spacing w:after="0" w:line="240" w:lineRule="auto"/>
        <w:jc w:val="both"/>
        <w:rPr>
          <w:rFonts w:ascii="Verdana" w:eastAsia="Calibri" w:hAnsi="Verdana" w:cs="Arial"/>
          <w:color w:val="0D0D0D"/>
          <w:sz w:val="20"/>
          <w:szCs w:val="20"/>
          <w:lang w:eastAsia="es-MX"/>
        </w:rPr>
      </w:pPr>
      <w:r w:rsidRPr="009D5308">
        <w:rPr>
          <w:rFonts w:ascii="Verdana" w:eastAsia="Calibri" w:hAnsi="Verdana" w:cs="Arial"/>
          <w:color w:val="0D0D0D"/>
          <w:sz w:val="20"/>
          <w:szCs w:val="20"/>
          <w:lang w:eastAsia="es-MX"/>
        </w:rPr>
        <w:t xml:space="preserve">En atención a lo expuesto, una Institución de Educación Superior (IES) debe clasificarse dentro del Subgrupo de Ocupación Institucional de Educación (I-3) de la NSR-10, en la medida en que sus edificaciones están destinadas a la reunión de personas con propósitos educativos y de instrucción, finalidad que constituye el núcleo esencial de su actividad. </w:t>
      </w:r>
    </w:p>
    <w:p w14:paraId="43CA5D04" w14:textId="77777777" w:rsidR="009D5308" w:rsidRPr="009D5308" w:rsidRDefault="009D5308" w:rsidP="009D5308">
      <w:pPr>
        <w:spacing w:after="0" w:line="240" w:lineRule="auto"/>
        <w:jc w:val="both"/>
        <w:rPr>
          <w:rFonts w:ascii="Verdana" w:eastAsia="Calibri" w:hAnsi="Verdana" w:cs="Arial"/>
          <w:color w:val="0D0D0D"/>
          <w:sz w:val="20"/>
          <w:szCs w:val="20"/>
          <w:lang w:eastAsia="es-MX"/>
        </w:rPr>
      </w:pPr>
    </w:p>
    <w:p w14:paraId="455F45CF" w14:textId="77777777" w:rsidR="009D5308" w:rsidRPr="009D5308" w:rsidRDefault="009D5308" w:rsidP="009D5308">
      <w:pPr>
        <w:spacing w:after="0" w:line="240" w:lineRule="auto"/>
        <w:jc w:val="both"/>
        <w:rPr>
          <w:rFonts w:ascii="Verdana" w:eastAsia="Calibri" w:hAnsi="Verdana" w:cs="Arial"/>
          <w:color w:val="0D0D0D"/>
          <w:sz w:val="20"/>
          <w:szCs w:val="20"/>
          <w:lang w:eastAsia="es-MX"/>
        </w:rPr>
      </w:pPr>
      <w:r w:rsidRPr="009D5308">
        <w:rPr>
          <w:rFonts w:ascii="Verdana" w:eastAsia="Calibri" w:hAnsi="Verdana" w:cs="Arial"/>
          <w:color w:val="0D0D0D"/>
          <w:sz w:val="20"/>
          <w:szCs w:val="20"/>
          <w:lang w:eastAsia="es-MX"/>
        </w:rPr>
        <w:t>La norma incluye expresamente dentro de este subgrupo a las universidades y demás instituciones docentes, y precisa que dicha enumeración es enunciativa y no taxativa, al emplear la expresión “Otras instituciones docentes”, lo que permite comprender todas aquellas edificaciones cuya naturaleza y finalidad estén orientadas a la prestación del servicio público de educación. En concordancia con el Anexo 5 – Glosario de los Documentos Tipo, las IES -sean instituciones técnico y/o profesionales, tecnológicas, instituciones universitarias o universidades, conforme a la Ley 30 de 1992 y la Ley 749 de 2002- son entidades habilitadas para prestar el servicio público de educación superior, por lo que sus instalaciones constituyen infraestructura educativa y, en consecuencia, se enmarcan dentro del referido Subgrupo de Ocupación Institucional de Educación (I-3).</w:t>
      </w:r>
    </w:p>
    <w:p w14:paraId="7305EA7E" w14:textId="77777777" w:rsidR="009D5308" w:rsidRPr="009D5308" w:rsidRDefault="009D5308" w:rsidP="009D5308">
      <w:pPr>
        <w:spacing w:after="0" w:line="240" w:lineRule="auto"/>
        <w:jc w:val="both"/>
        <w:rPr>
          <w:rFonts w:ascii="Verdana" w:eastAsia="Calibri" w:hAnsi="Verdana" w:cs="Arial"/>
          <w:color w:val="0D0D0D"/>
          <w:sz w:val="20"/>
          <w:szCs w:val="20"/>
          <w:lang w:eastAsia="es-MX"/>
        </w:rPr>
      </w:pPr>
    </w:p>
    <w:p w14:paraId="4501CAE0" w14:textId="77777777" w:rsidR="009D5308" w:rsidRPr="009D5308" w:rsidRDefault="009D5308" w:rsidP="009D5308">
      <w:pPr>
        <w:widowControl w:val="0"/>
        <w:autoSpaceDE w:val="0"/>
        <w:autoSpaceDN w:val="0"/>
        <w:spacing w:after="0" w:line="276" w:lineRule="auto"/>
        <w:jc w:val="both"/>
        <w:rPr>
          <w:rFonts w:ascii="Verdana" w:eastAsia="Calibri" w:hAnsi="Verdana" w:cs="Times New Roman"/>
          <w:lang w:val="es-ES" w:eastAsia="es-MX"/>
        </w:rPr>
      </w:pPr>
    </w:p>
    <w:p w14:paraId="70D0CAD0" w14:textId="77777777" w:rsidR="009D5308" w:rsidRPr="009D5308" w:rsidRDefault="009D5308" w:rsidP="009D5308">
      <w:pPr>
        <w:spacing w:after="0" w:line="240" w:lineRule="auto"/>
        <w:jc w:val="both"/>
        <w:rPr>
          <w:rFonts w:ascii="Arial" w:eastAsia="Calibri" w:hAnsi="Arial" w:cs="Arial"/>
          <w:b/>
          <w:bCs/>
          <w:color w:val="000000"/>
          <w:sz w:val="24"/>
          <w:szCs w:val="24"/>
          <w:lang w:eastAsia="es-MX"/>
        </w:rPr>
      </w:pPr>
    </w:p>
    <w:p w14:paraId="15018CCB" w14:textId="77777777" w:rsidR="009D5308" w:rsidRPr="009D5308" w:rsidRDefault="009D5308" w:rsidP="009D5308">
      <w:pPr>
        <w:spacing w:after="0" w:line="240" w:lineRule="auto"/>
        <w:jc w:val="both"/>
        <w:rPr>
          <w:rFonts w:ascii="Arial" w:eastAsia="Calibri" w:hAnsi="Arial" w:cs="Arial"/>
          <w:b/>
          <w:bCs/>
          <w:color w:val="000000"/>
          <w:sz w:val="24"/>
          <w:szCs w:val="24"/>
          <w:lang w:eastAsia="es-MX"/>
        </w:rPr>
      </w:pPr>
    </w:p>
    <w:p w14:paraId="77830B8E" w14:textId="77777777" w:rsidR="009D5308" w:rsidRPr="009D5308" w:rsidRDefault="009D5308" w:rsidP="009D5308">
      <w:pPr>
        <w:spacing w:after="0" w:line="240" w:lineRule="auto"/>
        <w:jc w:val="both"/>
        <w:rPr>
          <w:rFonts w:ascii="Arial" w:eastAsia="Calibri" w:hAnsi="Arial" w:cs="Arial"/>
          <w:b/>
          <w:bCs/>
          <w:color w:val="000000"/>
          <w:sz w:val="24"/>
          <w:szCs w:val="24"/>
          <w:lang w:eastAsia="es-MX"/>
        </w:rPr>
      </w:pPr>
    </w:p>
    <w:p w14:paraId="795F2F2F" w14:textId="77777777" w:rsidR="009D5308" w:rsidRPr="009D5308" w:rsidRDefault="009D5308" w:rsidP="009D5308">
      <w:pPr>
        <w:spacing w:after="0" w:line="240" w:lineRule="auto"/>
        <w:jc w:val="both"/>
        <w:rPr>
          <w:rFonts w:ascii="Arial" w:eastAsia="Calibri" w:hAnsi="Arial" w:cs="Arial"/>
          <w:b/>
          <w:bCs/>
          <w:color w:val="000000"/>
          <w:sz w:val="24"/>
          <w:szCs w:val="24"/>
          <w:lang w:eastAsia="es-MX"/>
        </w:rPr>
      </w:pPr>
    </w:p>
    <w:p w14:paraId="53A20DCB" w14:textId="77777777" w:rsidR="009D5308" w:rsidRPr="009D5308" w:rsidRDefault="009D5308" w:rsidP="009D5308">
      <w:pPr>
        <w:spacing w:after="0" w:line="240" w:lineRule="auto"/>
        <w:jc w:val="both"/>
        <w:rPr>
          <w:rFonts w:ascii="Arial" w:eastAsia="Calibri" w:hAnsi="Arial" w:cs="Arial"/>
          <w:b/>
          <w:bCs/>
          <w:color w:val="000000"/>
          <w:sz w:val="24"/>
          <w:szCs w:val="24"/>
          <w:lang w:eastAsia="es-MX"/>
        </w:rPr>
      </w:pPr>
    </w:p>
    <w:p w14:paraId="0AF7F7FF" w14:textId="77777777" w:rsidR="009D5308" w:rsidRPr="009D5308" w:rsidRDefault="009D5308" w:rsidP="009D5308">
      <w:pPr>
        <w:spacing w:after="0" w:line="240" w:lineRule="auto"/>
        <w:jc w:val="both"/>
        <w:rPr>
          <w:rFonts w:ascii="Arial" w:eastAsia="Calibri" w:hAnsi="Arial" w:cs="Arial"/>
          <w:b/>
          <w:bCs/>
          <w:color w:val="000000"/>
          <w:sz w:val="24"/>
          <w:szCs w:val="24"/>
          <w:lang w:eastAsia="es-MX"/>
        </w:rPr>
      </w:pPr>
    </w:p>
    <w:p w14:paraId="65F19D8B" w14:textId="77777777" w:rsidR="009D5308" w:rsidRPr="009D5308" w:rsidRDefault="009D5308" w:rsidP="009D5308">
      <w:pPr>
        <w:spacing w:after="0" w:line="240" w:lineRule="auto"/>
        <w:jc w:val="both"/>
        <w:rPr>
          <w:rFonts w:ascii="Arial" w:eastAsia="Calibri" w:hAnsi="Arial" w:cs="Arial"/>
          <w:b/>
          <w:bCs/>
          <w:color w:val="000000"/>
          <w:sz w:val="24"/>
          <w:szCs w:val="24"/>
          <w:lang w:eastAsia="es-MX"/>
        </w:rPr>
      </w:pPr>
    </w:p>
    <w:p w14:paraId="0135C846" w14:textId="77777777" w:rsidR="009D5308" w:rsidRPr="009D5308" w:rsidRDefault="009D5308" w:rsidP="009D5308">
      <w:pPr>
        <w:spacing w:after="0" w:line="240" w:lineRule="auto"/>
        <w:jc w:val="both"/>
        <w:rPr>
          <w:rFonts w:ascii="Arial" w:eastAsia="Calibri" w:hAnsi="Arial" w:cs="Arial"/>
          <w:b/>
          <w:bCs/>
          <w:color w:val="000000"/>
          <w:sz w:val="24"/>
          <w:szCs w:val="24"/>
          <w:lang w:eastAsia="es-MX"/>
        </w:rPr>
      </w:pPr>
    </w:p>
    <w:p w14:paraId="0750D2B1" w14:textId="77777777" w:rsidR="009D5308" w:rsidRPr="009D5308" w:rsidRDefault="009D5308" w:rsidP="009D5308">
      <w:pPr>
        <w:spacing w:after="0" w:line="240" w:lineRule="auto"/>
        <w:jc w:val="both"/>
        <w:rPr>
          <w:rFonts w:ascii="Arial" w:eastAsia="Calibri" w:hAnsi="Arial" w:cs="Arial"/>
          <w:b/>
          <w:bCs/>
          <w:color w:val="000000"/>
          <w:sz w:val="24"/>
          <w:szCs w:val="24"/>
          <w:lang w:eastAsia="es-MX"/>
        </w:rPr>
      </w:pPr>
    </w:p>
    <w:p w14:paraId="42AF78B0" w14:textId="1466F58E" w:rsidR="009D5308" w:rsidRDefault="00B95096" w:rsidP="009D5308">
      <w:pPr>
        <w:spacing w:after="0" w:line="240" w:lineRule="auto"/>
        <w:rPr>
          <w:rFonts w:ascii="Verdana" w:eastAsia="Aptos" w:hAnsi="Verdana" w:cs="Times New Roman"/>
          <w:sz w:val="24"/>
          <w:szCs w:val="24"/>
          <w:lang w:eastAsia="es-MX"/>
        </w:rPr>
      </w:pPr>
      <w:r w:rsidRPr="00B95096">
        <w:rPr>
          <w:rFonts w:ascii="Verdana" w:eastAsia="Aptos" w:hAnsi="Verdana" w:cs="Times New Roman"/>
          <w:sz w:val="24"/>
          <w:szCs w:val="24"/>
          <w:lang w:eastAsia="es-MX"/>
        </w:rPr>
        <w:lastRenderedPageBreak/>
        <w:drawing>
          <wp:anchor distT="0" distB="0" distL="114300" distR="114300" simplePos="0" relativeHeight="251658240" behindDoc="0" locked="0" layoutInCell="1" allowOverlap="1" wp14:anchorId="15C2882D" wp14:editId="11BED701">
            <wp:simplePos x="0" y="0"/>
            <wp:positionH relativeFrom="column">
              <wp:posOffset>3771138</wp:posOffset>
            </wp:positionH>
            <wp:positionV relativeFrom="paragraph">
              <wp:posOffset>181229</wp:posOffset>
            </wp:positionV>
            <wp:extent cx="2364740" cy="782974"/>
            <wp:effectExtent l="0" t="0" r="0" b="4445"/>
            <wp:wrapNone/>
            <wp:docPr id="15803918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39182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64740" cy="782974"/>
                    </a:xfrm>
                    <a:prstGeom prst="rect">
                      <a:avLst/>
                    </a:prstGeom>
                  </pic:spPr>
                </pic:pic>
              </a:graphicData>
            </a:graphic>
            <wp14:sizeRelH relativeFrom="page">
              <wp14:pctWidth>0</wp14:pctWidth>
            </wp14:sizeRelH>
            <wp14:sizeRelV relativeFrom="page">
              <wp14:pctHeight>0</wp14:pctHeight>
            </wp14:sizeRelV>
          </wp:anchor>
        </w:drawing>
      </w:r>
      <w:r w:rsidR="009D5308" w:rsidRPr="009D5308">
        <w:rPr>
          <w:rFonts w:ascii="Verdana" w:eastAsia="Aptos" w:hAnsi="Verdana" w:cs="Times New Roman"/>
          <w:sz w:val="24"/>
          <w:szCs w:val="24"/>
          <w:lang w:eastAsia="es-MX"/>
        </w:rPr>
        <w:t xml:space="preserve">Bogotá D.C., </w:t>
      </w:r>
      <w:r>
        <w:rPr>
          <w:rFonts w:ascii="Verdana" w:eastAsia="Aptos" w:hAnsi="Verdana" w:cs="Times New Roman"/>
          <w:sz w:val="24"/>
          <w:szCs w:val="24"/>
          <w:lang w:eastAsia="es-MX"/>
        </w:rPr>
        <w:t xml:space="preserve">12 de marzo de 2026 </w:t>
      </w:r>
    </w:p>
    <w:p w14:paraId="1B17E444" w14:textId="299D42CC" w:rsidR="00B95096" w:rsidRDefault="00B95096" w:rsidP="009D5308">
      <w:pPr>
        <w:spacing w:after="0" w:line="240" w:lineRule="auto"/>
        <w:rPr>
          <w:rFonts w:ascii="Verdana" w:eastAsia="Aptos" w:hAnsi="Verdana" w:cs="Times New Roman"/>
          <w:sz w:val="24"/>
          <w:szCs w:val="24"/>
          <w:lang w:eastAsia="es-MX"/>
        </w:rPr>
      </w:pPr>
    </w:p>
    <w:p w14:paraId="6112A330" w14:textId="2159FDB6" w:rsidR="00B95096" w:rsidRPr="009D5308" w:rsidRDefault="00B95096" w:rsidP="009D5308">
      <w:pPr>
        <w:spacing w:after="0" w:line="240" w:lineRule="auto"/>
        <w:rPr>
          <w:rFonts w:ascii="Verdana" w:eastAsia="Aptos" w:hAnsi="Verdana" w:cs="Times New Roman"/>
          <w:sz w:val="24"/>
          <w:szCs w:val="24"/>
          <w:lang w:eastAsia="es-MX"/>
        </w:rPr>
      </w:pPr>
    </w:p>
    <w:p w14:paraId="60B5D99B" w14:textId="77777777" w:rsidR="009D5308" w:rsidRPr="009D5308" w:rsidRDefault="009D5308" w:rsidP="009D5308">
      <w:pPr>
        <w:spacing w:after="0" w:line="240" w:lineRule="auto"/>
        <w:rPr>
          <w:rFonts w:ascii="Verdana" w:eastAsia="Calibri" w:hAnsi="Verdana" w:cs="Arial"/>
          <w:lang w:val="es-ES" w:eastAsia="es-ES"/>
        </w:rPr>
      </w:pPr>
    </w:p>
    <w:p w14:paraId="3B69F37D" w14:textId="77777777" w:rsidR="009D5308" w:rsidRPr="009D5308" w:rsidRDefault="009D5308" w:rsidP="009D5308">
      <w:pPr>
        <w:spacing w:after="0" w:line="240" w:lineRule="auto"/>
        <w:rPr>
          <w:rFonts w:ascii="Verdana" w:eastAsia="Calibri" w:hAnsi="Verdana" w:cs="Arial"/>
          <w:lang w:val="es-ES" w:eastAsia="es-ES"/>
        </w:rPr>
      </w:pPr>
      <w:r w:rsidRPr="009D5308">
        <w:rPr>
          <w:rFonts w:ascii="Verdana" w:eastAsia="Calibri" w:hAnsi="Verdana" w:cs="Arial"/>
          <w:lang w:val="es-ES" w:eastAsia="es-ES"/>
        </w:rPr>
        <w:t>Señor</w:t>
      </w:r>
    </w:p>
    <w:p w14:paraId="6AAED6A1" w14:textId="77777777" w:rsidR="009D5308" w:rsidRPr="009D5308" w:rsidRDefault="009D5308" w:rsidP="009D5308">
      <w:pPr>
        <w:spacing w:after="0" w:line="240" w:lineRule="auto"/>
        <w:rPr>
          <w:rFonts w:ascii="Verdana" w:eastAsia="Times New Roman" w:hAnsi="Verdana" w:cs="Times New Roman"/>
          <w:b/>
          <w:bCs/>
          <w:color w:val="242424"/>
          <w:shd w:val="clear" w:color="auto" w:fill="FFFFFF"/>
          <w:lang w:eastAsia="es-MX"/>
        </w:rPr>
      </w:pPr>
      <w:r w:rsidRPr="009D5308">
        <w:rPr>
          <w:rFonts w:ascii="Verdana" w:eastAsia="Times New Roman" w:hAnsi="Verdana" w:cs="Times New Roman"/>
          <w:b/>
          <w:bCs/>
          <w:color w:val="242424"/>
          <w:shd w:val="clear" w:color="auto" w:fill="FFFFFF"/>
          <w:lang w:eastAsia="es-MX"/>
        </w:rPr>
        <w:t xml:space="preserve">Nicolás David </w:t>
      </w:r>
      <w:proofErr w:type="spellStart"/>
      <w:r w:rsidRPr="009D5308">
        <w:rPr>
          <w:rFonts w:ascii="Verdana" w:eastAsia="Times New Roman" w:hAnsi="Verdana" w:cs="Times New Roman"/>
          <w:b/>
          <w:bCs/>
          <w:color w:val="242424"/>
          <w:shd w:val="clear" w:color="auto" w:fill="FFFFFF"/>
          <w:lang w:eastAsia="es-MX"/>
        </w:rPr>
        <w:t>Tarrá</w:t>
      </w:r>
      <w:proofErr w:type="spellEnd"/>
      <w:r w:rsidRPr="009D5308">
        <w:rPr>
          <w:rFonts w:ascii="Verdana" w:eastAsia="Times New Roman" w:hAnsi="Verdana" w:cs="Times New Roman"/>
          <w:b/>
          <w:bCs/>
          <w:color w:val="242424"/>
          <w:shd w:val="clear" w:color="auto" w:fill="FFFFFF"/>
          <w:lang w:eastAsia="es-MX"/>
        </w:rPr>
        <w:t xml:space="preserve"> Buriticá</w:t>
      </w:r>
    </w:p>
    <w:p w14:paraId="506CBE9F" w14:textId="77777777" w:rsidR="009D5308" w:rsidRPr="009D5308" w:rsidRDefault="009D5308" w:rsidP="009D5308">
      <w:pPr>
        <w:spacing w:after="0" w:line="240" w:lineRule="auto"/>
        <w:rPr>
          <w:rFonts w:ascii="Verdana" w:eastAsia="Aptos" w:hAnsi="Verdana" w:cs="Times New Roman"/>
          <w:lang w:eastAsia="es-MX"/>
        </w:rPr>
      </w:pPr>
      <w:r w:rsidRPr="009D5308">
        <w:rPr>
          <w:rFonts w:ascii="Verdana" w:eastAsia="Times New Roman" w:hAnsi="Verdana" w:cs="Times New Roman"/>
          <w:color w:val="242424"/>
          <w:shd w:val="clear" w:color="auto" w:fill="FFFFFF"/>
          <w:lang w:eastAsia="es-MX"/>
        </w:rPr>
        <w:t>Bogotá D.C</w:t>
      </w:r>
    </w:p>
    <w:p w14:paraId="76D9B552" w14:textId="77777777" w:rsidR="009D5308" w:rsidRPr="009D5308" w:rsidRDefault="009D5308" w:rsidP="009D5308">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9D5308" w:rsidRPr="009D5308" w14:paraId="764CA8CD" w14:textId="77777777" w:rsidTr="008D2A26">
        <w:trPr>
          <w:trHeight w:val="229"/>
        </w:trPr>
        <w:tc>
          <w:tcPr>
            <w:tcW w:w="2268" w:type="dxa"/>
          </w:tcPr>
          <w:p w14:paraId="190E09A5" w14:textId="77777777" w:rsidR="009D5308" w:rsidRPr="009D5308" w:rsidRDefault="009D5308" w:rsidP="009D5308">
            <w:pPr>
              <w:jc w:val="both"/>
              <w:rPr>
                <w:rFonts w:ascii="Verdana" w:eastAsia="Calibri" w:hAnsi="Verdana" w:cs="Arial"/>
                <w:b/>
                <w:bCs/>
                <w:lang w:val="es-ES_tradnl" w:eastAsia="es-ES_tradnl"/>
              </w:rPr>
            </w:pPr>
          </w:p>
        </w:tc>
        <w:tc>
          <w:tcPr>
            <w:tcW w:w="6100" w:type="dxa"/>
          </w:tcPr>
          <w:p w14:paraId="4A94C659" w14:textId="77777777" w:rsidR="009D5308" w:rsidRPr="009D5308" w:rsidRDefault="009D5308" w:rsidP="009D5308">
            <w:pPr>
              <w:jc w:val="both"/>
              <w:rPr>
                <w:rFonts w:ascii="Verdana" w:eastAsia="Calibri" w:hAnsi="Verdana" w:cs="Arial"/>
                <w:b/>
                <w:bCs/>
                <w:lang w:val="es-ES" w:eastAsia="es-ES"/>
              </w:rPr>
            </w:pPr>
            <w:r w:rsidRPr="009D5308">
              <w:rPr>
                <w:rFonts w:ascii="Verdana" w:eastAsia="Calibri" w:hAnsi="Verdana" w:cs="Arial"/>
                <w:b/>
                <w:bCs/>
                <w:lang w:val="es-ES" w:eastAsia="es-ES"/>
              </w:rPr>
              <w:t xml:space="preserve">Concepto </w:t>
            </w:r>
            <w:bookmarkStart w:id="1" w:name="OLE_LINK1"/>
            <w:r w:rsidRPr="009D5308">
              <w:rPr>
                <w:rFonts w:ascii="Verdana" w:eastAsia="Calibri" w:hAnsi="Verdana" w:cs="Arial"/>
                <w:b/>
                <w:bCs/>
                <w:lang w:val="es-ES" w:eastAsia="es-ES"/>
              </w:rPr>
              <w:t>C-246 de 2026</w:t>
            </w:r>
            <w:bookmarkEnd w:id="1"/>
          </w:p>
          <w:p w14:paraId="488A2224" w14:textId="77777777" w:rsidR="009D5308" w:rsidRPr="009D5308" w:rsidRDefault="009D5308" w:rsidP="009D5308">
            <w:pPr>
              <w:jc w:val="both"/>
              <w:rPr>
                <w:rFonts w:ascii="Verdana" w:eastAsia="Calibri" w:hAnsi="Verdana" w:cs="Arial"/>
                <w:b/>
                <w:bCs/>
                <w:lang w:val="es-ES" w:eastAsia="es-ES"/>
              </w:rPr>
            </w:pPr>
          </w:p>
        </w:tc>
      </w:tr>
      <w:tr w:rsidR="009D5308" w:rsidRPr="009D5308" w14:paraId="1E78EDA7" w14:textId="77777777" w:rsidTr="008D2A26">
        <w:trPr>
          <w:trHeight w:val="884"/>
        </w:trPr>
        <w:tc>
          <w:tcPr>
            <w:tcW w:w="2268" w:type="dxa"/>
          </w:tcPr>
          <w:p w14:paraId="75F4A59F" w14:textId="77777777" w:rsidR="009D5308" w:rsidRPr="009D5308" w:rsidRDefault="009D5308" w:rsidP="009D5308">
            <w:pPr>
              <w:jc w:val="both"/>
              <w:rPr>
                <w:rFonts w:ascii="Verdana" w:eastAsia="Calibri" w:hAnsi="Verdana" w:cs="Arial"/>
                <w:lang w:val="es-ES_tradnl" w:eastAsia="es-ES_tradnl"/>
              </w:rPr>
            </w:pPr>
            <w:r w:rsidRPr="009D5308">
              <w:rPr>
                <w:rFonts w:ascii="Verdana" w:eastAsia="Calibri" w:hAnsi="Verdana" w:cs="Arial"/>
                <w:b/>
                <w:lang w:val="es-ES_tradnl" w:eastAsia="es-ES_tradnl"/>
              </w:rPr>
              <w:t>Temas:</w:t>
            </w:r>
            <w:r w:rsidRPr="009D5308">
              <w:rPr>
                <w:rFonts w:ascii="Verdana" w:eastAsia="Calibri" w:hAnsi="Verdana" w:cs="Arial"/>
                <w:lang w:val="es-ES_tradnl" w:eastAsia="es-ES_tradnl"/>
              </w:rPr>
              <w:t xml:space="preserve">                   </w:t>
            </w:r>
          </w:p>
        </w:tc>
        <w:tc>
          <w:tcPr>
            <w:tcW w:w="6100" w:type="dxa"/>
          </w:tcPr>
          <w:p w14:paraId="4582CD35" w14:textId="77777777" w:rsidR="009D5308" w:rsidRPr="009D5308" w:rsidRDefault="009D5308" w:rsidP="009D5308">
            <w:pPr>
              <w:snapToGrid w:val="0"/>
              <w:jc w:val="both"/>
              <w:rPr>
                <w:rFonts w:ascii="Verdana" w:eastAsia="Calibri" w:hAnsi="Verdana" w:cs="Arial"/>
                <w:lang w:val="es-ES_tradnl" w:eastAsia="es-MX"/>
              </w:rPr>
            </w:pPr>
            <w:r w:rsidRPr="009D5308">
              <w:rPr>
                <w:rFonts w:ascii="Verdana" w:eastAsia="Calibri" w:hAnsi="Verdana" w:cs="Arial"/>
                <w:lang w:val="es-ES_tradnl" w:eastAsia="es-MX"/>
              </w:rPr>
              <w:t>DOCUMENTOS TIPO – Sector social – Obra – Resoluciones – Subsectores / DOCUMENTOS TIPO – Sector social – Aplicación / SECTOR EDUCATIVO – Documentos tipo – Infraestructura educativa – Alcance – NSR 10 / SECTOR EDUCATIVO – Documentos tipo – Infraestructura educativa – Aplicación – Instituciones de educación superior</w:t>
            </w:r>
          </w:p>
          <w:p w14:paraId="46073B40" w14:textId="77777777" w:rsidR="009D5308" w:rsidRPr="009D5308" w:rsidRDefault="009D5308" w:rsidP="009D5308">
            <w:pPr>
              <w:jc w:val="both"/>
              <w:rPr>
                <w:rFonts w:ascii="Verdana" w:eastAsia="Calibri" w:hAnsi="Verdana" w:cs="Arial"/>
                <w:bCs/>
                <w:lang w:val="es-ES_tradnl" w:eastAsia="es-ES"/>
              </w:rPr>
            </w:pPr>
          </w:p>
        </w:tc>
      </w:tr>
      <w:tr w:rsidR="009D5308" w:rsidRPr="009D5308" w14:paraId="798548BF" w14:textId="77777777" w:rsidTr="008D2A26">
        <w:tc>
          <w:tcPr>
            <w:tcW w:w="2268" w:type="dxa"/>
          </w:tcPr>
          <w:p w14:paraId="2041EC9F" w14:textId="77777777" w:rsidR="009D5308" w:rsidRPr="009D5308" w:rsidRDefault="009D5308" w:rsidP="009D5308">
            <w:pPr>
              <w:jc w:val="both"/>
              <w:rPr>
                <w:rFonts w:ascii="Verdana" w:eastAsia="Calibri" w:hAnsi="Verdana" w:cs="Arial"/>
                <w:b/>
                <w:lang w:val="es-ES_tradnl" w:eastAsia="es-ES_tradnl"/>
              </w:rPr>
            </w:pPr>
            <w:r w:rsidRPr="009D5308">
              <w:rPr>
                <w:rFonts w:ascii="Verdana" w:eastAsia="Calibri" w:hAnsi="Verdana" w:cs="Arial"/>
                <w:b/>
                <w:lang w:val="es-ES_tradnl" w:eastAsia="es-ES_tradnl"/>
              </w:rPr>
              <w:t>Radicación:</w:t>
            </w:r>
            <w:r w:rsidRPr="009D5308">
              <w:rPr>
                <w:rFonts w:ascii="Verdana" w:eastAsia="Calibri" w:hAnsi="Verdana" w:cs="Arial"/>
                <w:lang w:val="es-ES_tradnl" w:eastAsia="es-ES_tradnl"/>
              </w:rPr>
              <w:t xml:space="preserve">               </w:t>
            </w:r>
          </w:p>
        </w:tc>
        <w:tc>
          <w:tcPr>
            <w:tcW w:w="6100" w:type="dxa"/>
          </w:tcPr>
          <w:p w14:paraId="1C1F5825" w14:textId="77777777" w:rsidR="009D5308" w:rsidRPr="009D5308" w:rsidRDefault="009D5308" w:rsidP="009D5308">
            <w:pPr>
              <w:ind w:left="3" w:hanging="3"/>
              <w:jc w:val="both"/>
              <w:rPr>
                <w:rFonts w:ascii="Verdana" w:eastAsia="Calibri" w:hAnsi="Verdana" w:cs="Arial"/>
                <w:lang w:val="es-ES_tradnl" w:eastAsia="es-ES_tradnl"/>
              </w:rPr>
            </w:pPr>
            <w:r w:rsidRPr="009D5308">
              <w:rPr>
                <w:rFonts w:ascii="Verdana" w:eastAsia="Calibri" w:hAnsi="Verdana" w:cs="Arial"/>
                <w:lang w:val="es-ES_tradnl" w:eastAsia="es-ES_tradnl"/>
              </w:rPr>
              <w:t>Respuesta a consulta con radicado No. 1_2026_02_18_002113</w:t>
            </w:r>
          </w:p>
        </w:tc>
      </w:tr>
    </w:tbl>
    <w:p w14:paraId="0944C844" w14:textId="77777777" w:rsidR="009D5308" w:rsidRPr="009D5308" w:rsidRDefault="009D5308" w:rsidP="009D5308">
      <w:pPr>
        <w:spacing w:after="0" w:line="240" w:lineRule="auto"/>
        <w:jc w:val="both"/>
        <w:rPr>
          <w:rFonts w:ascii="Verdana" w:eastAsia="Calibri" w:hAnsi="Verdana" w:cs="Arial"/>
          <w:lang w:val="es-ES_tradnl" w:eastAsia="es-ES_tradnl"/>
        </w:rPr>
      </w:pPr>
    </w:p>
    <w:p w14:paraId="2EC39C5D" w14:textId="77777777" w:rsidR="009D5308" w:rsidRPr="009D5308" w:rsidRDefault="009D5308" w:rsidP="009D5308">
      <w:pPr>
        <w:spacing w:after="0" w:line="276" w:lineRule="auto"/>
        <w:jc w:val="both"/>
        <w:rPr>
          <w:rFonts w:ascii="Verdana" w:eastAsia="Calibri" w:hAnsi="Verdana" w:cs="Arial"/>
          <w:lang w:val="es-ES" w:eastAsia="es-ES"/>
        </w:rPr>
      </w:pPr>
      <w:r w:rsidRPr="009D5308">
        <w:rPr>
          <w:rFonts w:ascii="Verdana" w:eastAsia="Calibri" w:hAnsi="Verdana" w:cs="Arial"/>
          <w:lang w:val="es-ES" w:eastAsia="es-ES"/>
        </w:rPr>
        <w:t xml:space="preserve">Estimado señor </w:t>
      </w:r>
      <w:proofErr w:type="spellStart"/>
      <w:r w:rsidRPr="009D5308">
        <w:rPr>
          <w:rFonts w:ascii="Verdana" w:eastAsia="Times New Roman" w:hAnsi="Verdana" w:cs="Times New Roman"/>
          <w:color w:val="242424"/>
          <w:shd w:val="clear" w:color="auto" w:fill="FFFFFF"/>
          <w:lang w:eastAsia="es-MX"/>
        </w:rPr>
        <w:t>Tarrá</w:t>
      </w:r>
      <w:proofErr w:type="spellEnd"/>
      <w:r w:rsidRPr="009D5308">
        <w:rPr>
          <w:rFonts w:ascii="Verdana" w:eastAsia="Times New Roman" w:hAnsi="Verdana" w:cs="Times New Roman"/>
          <w:color w:val="242424"/>
          <w:shd w:val="clear" w:color="auto" w:fill="FFFFFF"/>
          <w:lang w:eastAsia="es-MX"/>
        </w:rPr>
        <w:t xml:space="preserve"> Buriticá</w:t>
      </w:r>
      <w:r w:rsidRPr="009D5308">
        <w:rPr>
          <w:rFonts w:ascii="Verdana" w:eastAsia="Calibri" w:hAnsi="Verdana" w:cs="Arial"/>
          <w:lang w:val="es-ES" w:eastAsia="es-ES"/>
        </w:rPr>
        <w:t xml:space="preserve">: </w:t>
      </w:r>
    </w:p>
    <w:p w14:paraId="21527673" w14:textId="77777777" w:rsidR="009D5308" w:rsidRPr="009D5308" w:rsidRDefault="009D5308" w:rsidP="009D5308">
      <w:pPr>
        <w:tabs>
          <w:tab w:val="left" w:pos="3768"/>
        </w:tabs>
        <w:spacing w:after="0" w:line="276" w:lineRule="auto"/>
        <w:jc w:val="both"/>
        <w:rPr>
          <w:rFonts w:ascii="Verdana" w:eastAsia="Calibri" w:hAnsi="Verdana" w:cs="Arial"/>
          <w:lang w:val="es-ES" w:eastAsia="es-ES"/>
        </w:rPr>
      </w:pPr>
      <w:r w:rsidRPr="009D5308">
        <w:rPr>
          <w:rFonts w:ascii="Verdana" w:eastAsia="Calibri" w:hAnsi="Verdana" w:cs="Arial"/>
          <w:lang w:val="es-ES" w:eastAsia="es-ES"/>
        </w:rPr>
        <w:tab/>
      </w:r>
    </w:p>
    <w:p w14:paraId="7396EB5F" w14:textId="77777777" w:rsidR="009D5308" w:rsidRPr="009D5308" w:rsidRDefault="009D5308" w:rsidP="009D5308">
      <w:pPr>
        <w:spacing w:after="0" w:line="276" w:lineRule="auto"/>
        <w:jc w:val="both"/>
        <w:rPr>
          <w:rFonts w:ascii="Verdana" w:eastAsia="Calibri" w:hAnsi="Verdana" w:cs="Arial"/>
          <w:lang w:val="es-ES" w:eastAsia="es-ES"/>
        </w:rPr>
      </w:pPr>
      <w:r w:rsidRPr="009D5308">
        <w:rPr>
          <w:rFonts w:ascii="Verdana" w:eastAsia="Calibri" w:hAnsi="Verdana" w:cs="Arial"/>
          <w:lang w:val="es-ES" w:eastAsia="es-ES"/>
        </w:rPr>
        <w:t>En ejercicio de la competencia otorgada por los artículos 3, numeral 5º, y 11, numeral 8º, del Decreto Ley 4170 de 2011,</w:t>
      </w:r>
      <w:r w:rsidRPr="009D5308">
        <w:rPr>
          <w:rFonts w:ascii="Verdana" w:eastAsia="Arial MT" w:hAnsi="Verdana" w:cs="Arial MT"/>
          <w:lang w:val="es-ES" w:eastAsia="es-ES"/>
        </w:rPr>
        <w:t xml:space="preserve"> </w:t>
      </w:r>
      <w:r w:rsidRPr="009D5308">
        <w:rPr>
          <w:rFonts w:ascii="Verdana" w:eastAsia="Calibri" w:hAnsi="Verdana" w:cs="Arial"/>
          <w:lang w:eastAsia="es-MX"/>
        </w:rPr>
        <w:t xml:space="preserve">así como lo establecido por la </w:t>
      </w:r>
      <w:r w:rsidRPr="009D5308">
        <w:rPr>
          <w:rFonts w:ascii="Verdana" w:eastAsia="Aptos" w:hAnsi="Verdana" w:cs="Arial"/>
          <w:bCs/>
          <w:lang w:eastAsia="es-ES" w:bidi="es-ES"/>
        </w:rPr>
        <w:t>Resolución 469 de 2025 expedida por esta Entidad</w:t>
      </w:r>
      <w:r w:rsidRPr="009D5308">
        <w:rPr>
          <w:rFonts w:ascii="Verdana" w:eastAsia="Calibri" w:hAnsi="Verdana" w:cs="Arial"/>
          <w:lang w:eastAsia="es-MX"/>
        </w:rPr>
        <w:t xml:space="preserve">, </w:t>
      </w:r>
      <w:r w:rsidRPr="009D5308">
        <w:rPr>
          <w:rFonts w:ascii="Verdana" w:eastAsia="Calibri" w:hAnsi="Verdana" w:cs="Arial"/>
          <w:lang w:val="es-ES" w:eastAsia="es-ES"/>
        </w:rPr>
        <w:t xml:space="preserve">la Agencia Nacional de Contratación Pública – Colombia Compra Eficiente– responde su solicitud de consulta del 18 de febrero de 2026, en la cual manifiesta lo siguiente: </w:t>
      </w:r>
    </w:p>
    <w:p w14:paraId="7FD0944B" w14:textId="77777777" w:rsidR="009D5308" w:rsidRPr="009D5308" w:rsidRDefault="009D5308" w:rsidP="009D5308">
      <w:pPr>
        <w:tabs>
          <w:tab w:val="left" w:pos="142"/>
          <w:tab w:val="left" w:pos="284"/>
        </w:tabs>
        <w:spacing w:after="0" w:line="276" w:lineRule="auto"/>
        <w:ind w:left="709" w:right="709"/>
        <w:jc w:val="both"/>
        <w:rPr>
          <w:rFonts w:ascii="Verdana" w:eastAsia="Century Gothic" w:hAnsi="Verdana" w:cs="Century Gothic"/>
          <w:b/>
          <w:bCs/>
          <w:lang w:val="es-ES" w:eastAsia="es-MX"/>
        </w:rPr>
      </w:pPr>
    </w:p>
    <w:p w14:paraId="7FD5F9F4"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t xml:space="preserve">“1) El Instituto Nacional de Formación Técnica Profesional de San Juan del Cesar-INFOTEP o el Instituto Técnico Nacional de Comercio "Simón Rodríguez" de Cali-INTENALCO, son Instituciones de Educación Superior Públicas del Orden Nacional que se encuentran adscritas al Ministerio de Educación Nacional. Se debe señalar que el INFOTEP y el INTENALCO hacen parte de la Rama Ejecutiva y no hace parte de ninguna entidad territorial, es decir, son del Orden Nacional. </w:t>
      </w:r>
    </w:p>
    <w:p w14:paraId="4EE2F775"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t>2) En relación con la obligatoriedad de la utilización de documentos tipo frente a Instituciones de Educación Superior Públicas, la Ley 2195 de 2022 dispuso:</w:t>
      </w:r>
    </w:p>
    <w:p w14:paraId="743C1A0B"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t>(…)</w:t>
      </w:r>
    </w:p>
    <w:p w14:paraId="40C01055"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lastRenderedPageBreak/>
        <w:t xml:space="preserve">3) La Agencia Nacional de Contratación Pública-Colombia Compra Eficiente a través de la Resolución No.539 de 2025 adoptó la versión 2 de los documentos tipo para los procesos de licitación de obra pública de infraestructura social, derogó la Resolución No. 219 de 2021 y adoptó los documentos tipo complementarios para los procesos de licitación de obra pública de infraestructura social relacionados con los sectores de educación, salud, cultura, recreación y deporte. </w:t>
      </w:r>
    </w:p>
    <w:p w14:paraId="233F5BC8"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t xml:space="preserve">4) Adicionalmente, en las referencias que existían en el Anexo-Glosario de las derogadas Resoluciones No. 219 de 2021 y 221 de 2020, en relación con los procesos de Licitación de Obra Pública del Sector Educativo sólo se relacionaba la educación preescolar y básica (primaria y secundaria), pero no se hacía ninguna clase de referencia a las Instituciones de Educación Superior o al menos a la Ley 30 de 1992, aspecto que se desconoce si fue modificado en la nueva versión del Anexo 5 – Glosario derivado de la Resolución No.539 de 2025. </w:t>
      </w:r>
    </w:p>
    <w:p w14:paraId="50B0C565"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t>5) A su vez, en la matriz de experiencia para el sector educativo de la Resolución No.539 de 2025, se incluye una nota que hace referencia a la NTC 4595, correspondiente a la Norma Técnica Colombiana para el “PLANEAMIENTO Y DISEÑO DE INSTALACIONES Y AMBIENTES ESCOLARES” aplicable solo a Instituciones de Educación Básica:</w:t>
      </w:r>
    </w:p>
    <w:p w14:paraId="2891A74F"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t>(…)</w:t>
      </w:r>
    </w:p>
    <w:p w14:paraId="76CC3F96"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t xml:space="preserve">6) Por último, el Concepto Unificado CU-870 de 2025 y los Conceptos C-155 de 2025, C-501 de 2024 y C-169 de 2024, entre otros, emitidos por la Agencia Nacional de Contratación Pública – Colombia Compra Eficiente, precisaron que, de conformidad con lo dispuesto en el parágrafo del artículo 56 de la Ley 2195 de 2022, las instituciones de educación superior públicas no están obligadas a implementar los documentos tipo en los procesos de contratación relacionados con el giro ordinario de sus funciones. </w:t>
      </w:r>
    </w:p>
    <w:p w14:paraId="14B05F0C"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t>No obstante, esta exoneración no impide que tales entidades, en ejercicio de su autonomía, adopten los documentos tipo como una buena práctica contractual, cuando así lo establezcan sus respectivos manuales internos de contratación.</w:t>
      </w:r>
    </w:p>
    <w:p w14:paraId="4D3B0515"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color w:val="242424"/>
          <w:sz w:val="21"/>
          <w:szCs w:val="21"/>
          <w:lang w:eastAsia="es-MX"/>
        </w:rPr>
        <w:t>(…)</w:t>
      </w:r>
    </w:p>
    <w:p w14:paraId="6C3ED988"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sz w:val="21"/>
          <w:szCs w:val="21"/>
          <w:lang w:eastAsia="es-MX"/>
        </w:rPr>
      </w:pPr>
      <w:r w:rsidRPr="009D5308">
        <w:rPr>
          <w:rFonts w:ascii="Verdana" w:eastAsia="Times New Roman" w:hAnsi="Verdana" w:cs="Times New Roman"/>
          <w:sz w:val="21"/>
          <w:szCs w:val="21"/>
          <w:lang w:eastAsia="es-MX"/>
        </w:rPr>
        <w:t xml:space="preserve">1. ¿La Resolución No. 539 de 2025 expedida por la Agencia Nacional de Contratación Pública-Colombia Compra Eficiente tiene aplicabilidad o debe implementarse en los procesos de licitación de obra pública de infraestructura que inicien las Instituciones de Educación Superior Públicas del Orden Nacional como el Instituto Nacional de Formación </w:t>
      </w:r>
      <w:r w:rsidRPr="009D5308">
        <w:rPr>
          <w:rFonts w:ascii="Verdana" w:eastAsia="Times New Roman" w:hAnsi="Verdana" w:cs="Times New Roman"/>
          <w:sz w:val="21"/>
          <w:szCs w:val="21"/>
          <w:lang w:eastAsia="es-MX"/>
        </w:rPr>
        <w:lastRenderedPageBreak/>
        <w:t xml:space="preserve">Técnica Profesional de San Juan del Cesar-INFOTEP o el Instituto Técnico Nacional de Comercio "Simón Rodríguez" de Cali-INTENALCO? </w:t>
      </w:r>
    </w:p>
    <w:p w14:paraId="422C2D9E"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sz w:val="21"/>
          <w:szCs w:val="21"/>
          <w:lang w:eastAsia="es-MX"/>
        </w:rPr>
      </w:pPr>
      <w:r w:rsidRPr="009D5308">
        <w:rPr>
          <w:rFonts w:ascii="Verdana" w:eastAsia="Times New Roman" w:hAnsi="Verdana" w:cs="Times New Roman"/>
          <w:sz w:val="21"/>
          <w:szCs w:val="21"/>
          <w:lang w:eastAsia="es-MX"/>
        </w:rPr>
        <w:t xml:space="preserve">2. ¿Cuáles documentos tipo deben aplicarse o implementarse en los procesos de contratación que inicien las Instituciones de Educación Superior Públicas del Orden Nacional como el Instituto Nacional de Formación Técnica Profesional de San Juan del Cesar-INFOTEP o el Instituto Técnico Nacional de Comercio "Simón Rodríguez" de Cali-INTENALCO? </w:t>
      </w:r>
    </w:p>
    <w:p w14:paraId="33DEDFF0"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sz w:val="21"/>
          <w:szCs w:val="21"/>
          <w:lang w:eastAsia="es-MX"/>
        </w:rPr>
      </w:pPr>
      <w:r w:rsidRPr="009D5308">
        <w:rPr>
          <w:rFonts w:ascii="Verdana" w:eastAsia="Times New Roman" w:hAnsi="Verdana" w:cs="Times New Roman"/>
          <w:sz w:val="21"/>
          <w:szCs w:val="21"/>
          <w:lang w:eastAsia="es-MX"/>
        </w:rPr>
        <w:t xml:space="preserve">3. ¿Existe alguna previsión normativa al interior de la Resolución No. 539 de 2025 y/o sus anexos que señale en forma expresa la obligatoriedad de uso de documentos tipo para las Instituciones de Educación Superior Públicas? </w:t>
      </w:r>
    </w:p>
    <w:p w14:paraId="0841D65A" w14:textId="77777777" w:rsidR="009D5308" w:rsidRPr="009D5308" w:rsidRDefault="009D5308" w:rsidP="009D5308">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9D5308">
        <w:rPr>
          <w:rFonts w:ascii="Verdana" w:eastAsia="Times New Roman" w:hAnsi="Verdana" w:cs="Times New Roman"/>
          <w:sz w:val="21"/>
          <w:szCs w:val="21"/>
          <w:lang w:eastAsia="es-MX"/>
        </w:rPr>
        <w:t xml:space="preserve">4. En el evento de que, como consecuencia de la Resolución No. 539 de 2025 o sus anexos técnicos sea obligatoria la implementación de documentos tipo en las Instituciones de Educación Superior Públicas en procesos de licitación de obra pública, ¿Cómo armonizaría ello al tenor de lo dispuesto en el parágrafo del artículo 56 de la Ley 2195 de 2022 según </w:t>
      </w:r>
      <w:proofErr w:type="spellStart"/>
      <w:r w:rsidRPr="009D5308">
        <w:rPr>
          <w:rFonts w:ascii="Verdana" w:eastAsia="Times New Roman" w:hAnsi="Verdana" w:cs="Times New Roman"/>
          <w:sz w:val="21"/>
          <w:szCs w:val="21"/>
          <w:lang w:eastAsia="es-MX"/>
        </w:rPr>
        <w:t>en</w:t>
      </w:r>
      <w:proofErr w:type="spellEnd"/>
      <w:r w:rsidRPr="009D5308">
        <w:rPr>
          <w:rFonts w:ascii="Verdana" w:eastAsia="Times New Roman" w:hAnsi="Verdana" w:cs="Times New Roman"/>
          <w:sz w:val="21"/>
          <w:szCs w:val="21"/>
          <w:lang w:eastAsia="es-MX"/>
        </w:rPr>
        <w:t xml:space="preserve"> cual se exceptúan de la aplicación de documentos tipo las Instituciones de Educación Superior Públicas, en el entendido de que la Ley, jurídicamente le resulta jerárquicamente superior?</w:t>
      </w:r>
      <w:r w:rsidRPr="009D5308">
        <w:rPr>
          <w:rFonts w:ascii="Verdana" w:eastAsia="Times New Roman" w:hAnsi="Verdana" w:cs="Times New Roman"/>
          <w:color w:val="242424"/>
          <w:sz w:val="21"/>
          <w:szCs w:val="21"/>
          <w:lang w:eastAsia="es-MX"/>
        </w:rPr>
        <w:t>”.</w:t>
      </w:r>
    </w:p>
    <w:p w14:paraId="60C8FE34" w14:textId="77777777" w:rsidR="009D5308" w:rsidRPr="009D5308" w:rsidRDefault="009D5308" w:rsidP="009D5308">
      <w:pPr>
        <w:spacing w:after="0" w:line="240" w:lineRule="auto"/>
        <w:ind w:right="709"/>
        <w:jc w:val="both"/>
        <w:rPr>
          <w:rFonts w:ascii="Arial" w:eastAsia="Aptos" w:hAnsi="Arial" w:cs="Arial"/>
          <w:sz w:val="21"/>
          <w:szCs w:val="21"/>
          <w:lang w:eastAsia="es-MX"/>
        </w:rPr>
      </w:pPr>
    </w:p>
    <w:p w14:paraId="19CD03FC" w14:textId="77777777" w:rsidR="009D5308" w:rsidRPr="009D5308" w:rsidRDefault="009D5308" w:rsidP="009D5308">
      <w:pPr>
        <w:spacing w:after="120" w:line="276" w:lineRule="auto"/>
        <w:ind w:firstLine="709"/>
        <w:jc w:val="both"/>
        <w:rPr>
          <w:rFonts w:ascii="Verdana" w:eastAsia="Calibri" w:hAnsi="Verdana" w:cs="Arial"/>
          <w:color w:val="000000"/>
          <w:lang w:val="es-ES" w:eastAsia="es-ES"/>
        </w:rPr>
      </w:pPr>
      <w:r w:rsidRPr="009D5308">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D5308">
        <w:rPr>
          <w:rFonts w:ascii="Verdana" w:eastAsia="Calibri" w:hAnsi="Verdana" w:cs="Arial"/>
          <w:color w:val="000000"/>
          <w:lang w:val="es-ES_tradnl" w:eastAsia="es-ES_tradnl"/>
        </w:rPr>
        <w:tab/>
      </w:r>
    </w:p>
    <w:p w14:paraId="691E8E05" w14:textId="77777777" w:rsidR="009D5308" w:rsidRPr="009D5308" w:rsidRDefault="009D5308" w:rsidP="009D5308">
      <w:pPr>
        <w:spacing w:after="0" w:line="276" w:lineRule="auto"/>
        <w:ind w:firstLine="709"/>
        <w:jc w:val="both"/>
        <w:rPr>
          <w:rFonts w:ascii="Verdana" w:eastAsia="Calibri" w:hAnsi="Verdana" w:cs="Arial"/>
          <w:color w:val="000000"/>
          <w:lang w:val="es-ES" w:eastAsia="es-ES"/>
        </w:rPr>
      </w:pPr>
      <w:r w:rsidRPr="009D5308">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w:t>
      </w:r>
      <w:r w:rsidRPr="009D5308">
        <w:rPr>
          <w:rFonts w:ascii="Verdana" w:eastAsia="Calibri" w:hAnsi="Verdana" w:cs="Arial"/>
          <w:color w:val="000000"/>
          <w:lang w:val="es-ES" w:eastAsia="es-ES"/>
        </w:rPr>
        <w:lastRenderedPageBreak/>
        <w:t>consideraciones sobre las normas generales relacionadas con el</w:t>
      </w:r>
      <w:r w:rsidRPr="009D5308">
        <w:rPr>
          <w:rFonts w:ascii="Verdana" w:eastAsia="Calibri" w:hAnsi="Verdana" w:cs="Arial"/>
          <w:color w:val="7030A0"/>
          <w:lang w:val="es-ES" w:eastAsia="es-ES"/>
        </w:rPr>
        <w:t xml:space="preserve"> </w:t>
      </w:r>
      <w:r w:rsidRPr="009D5308">
        <w:rPr>
          <w:rFonts w:ascii="Verdana" w:eastAsia="Calibri" w:hAnsi="Verdana" w:cs="Arial"/>
          <w:color w:val="000000"/>
          <w:lang w:val="es-ES" w:eastAsia="es-ES"/>
        </w:rPr>
        <w:t>problema</w:t>
      </w:r>
      <w:r w:rsidRPr="009D5308">
        <w:rPr>
          <w:rFonts w:ascii="Verdana" w:eastAsia="Calibri" w:hAnsi="Verdana" w:cs="Arial"/>
          <w:color w:val="7030A0"/>
          <w:lang w:val="es-ES" w:eastAsia="es-ES"/>
        </w:rPr>
        <w:t xml:space="preserve"> </w:t>
      </w:r>
      <w:r w:rsidRPr="009D5308">
        <w:rPr>
          <w:rFonts w:ascii="Verdana" w:eastAsia="Calibri" w:hAnsi="Verdana" w:cs="Arial"/>
          <w:color w:val="000000"/>
          <w:lang w:val="es-ES" w:eastAsia="es-ES"/>
        </w:rPr>
        <w:t>jurídico</w:t>
      </w:r>
      <w:r w:rsidRPr="009D5308">
        <w:rPr>
          <w:rFonts w:ascii="Verdana" w:eastAsia="Calibri" w:hAnsi="Verdana" w:cs="Arial"/>
          <w:color w:val="7030A0"/>
          <w:lang w:val="es-ES" w:eastAsia="es-ES"/>
        </w:rPr>
        <w:t xml:space="preserve"> </w:t>
      </w:r>
      <w:r w:rsidRPr="009D5308">
        <w:rPr>
          <w:rFonts w:ascii="Verdana" w:eastAsia="Calibri" w:hAnsi="Verdana" w:cs="Arial"/>
          <w:color w:val="000000"/>
          <w:lang w:val="es-ES" w:eastAsia="es-ES"/>
        </w:rPr>
        <w:t xml:space="preserve">de su consulta. </w:t>
      </w:r>
    </w:p>
    <w:p w14:paraId="543B4DDA" w14:textId="77777777" w:rsidR="009D5308" w:rsidRPr="009D5308" w:rsidRDefault="009D5308" w:rsidP="009D5308">
      <w:pPr>
        <w:spacing w:after="0" w:line="276" w:lineRule="auto"/>
        <w:jc w:val="both"/>
        <w:rPr>
          <w:rFonts w:ascii="Verdana" w:eastAsia="Calibri" w:hAnsi="Verdana" w:cs="Arial"/>
          <w:lang w:val="es-ES" w:eastAsia="es-ES"/>
        </w:rPr>
      </w:pPr>
    </w:p>
    <w:p w14:paraId="02267D97" w14:textId="77777777" w:rsidR="009D5308" w:rsidRPr="009D5308" w:rsidRDefault="009D5308" w:rsidP="009D5308">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9D5308">
        <w:rPr>
          <w:rFonts w:ascii="Verdana" w:eastAsia="Century Gothic" w:hAnsi="Verdana" w:cs="Century Gothic"/>
          <w:b/>
          <w:bCs/>
          <w:lang w:eastAsia="es-MX"/>
        </w:rPr>
        <w:t>Problema planteado:</w:t>
      </w:r>
    </w:p>
    <w:p w14:paraId="19ACB1B8" w14:textId="77777777" w:rsidR="009D5308" w:rsidRPr="009D5308" w:rsidRDefault="009D5308" w:rsidP="009D5308">
      <w:pPr>
        <w:tabs>
          <w:tab w:val="left" w:pos="426"/>
        </w:tabs>
        <w:spacing w:after="0" w:line="276" w:lineRule="auto"/>
        <w:jc w:val="both"/>
        <w:rPr>
          <w:rFonts w:ascii="Verdana" w:eastAsia="Century Gothic" w:hAnsi="Verdana" w:cs="Century Gothic"/>
          <w:lang w:val="es-ES" w:eastAsia="es-MX"/>
        </w:rPr>
      </w:pPr>
    </w:p>
    <w:p w14:paraId="112AAB9A" w14:textId="77777777" w:rsidR="009D5308" w:rsidRPr="009D5308" w:rsidRDefault="009D5308" w:rsidP="009D5308">
      <w:pPr>
        <w:spacing w:after="0" w:line="276" w:lineRule="auto"/>
        <w:jc w:val="both"/>
        <w:rPr>
          <w:rFonts w:ascii="Verdana" w:eastAsia="Century Gothic" w:hAnsi="Verdana" w:cs="Century Gothic"/>
          <w:lang w:eastAsia="es-MX"/>
        </w:rPr>
      </w:pPr>
      <w:r w:rsidRPr="009D5308">
        <w:rPr>
          <w:rFonts w:ascii="Verdana" w:eastAsia="Century Gothic" w:hAnsi="Verdana" w:cs="Century Gothic"/>
          <w:lang w:eastAsia="es-MX"/>
        </w:rPr>
        <w:t xml:space="preserve">De acuerdo con el contenido de su solicitud, esta Agencia resolverá los siguientes problemas jurídicos: i) De conformidad con el artículo 56 de la Ley 2195 de 2022: ¿debe una Institución de Educación Superior aplicar los documentos tipo expedidos por esta Agencia? y </w:t>
      </w:r>
      <w:proofErr w:type="spellStart"/>
      <w:r w:rsidRPr="009D5308">
        <w:rPr>
          <w:rFonts w:ascii="Verdana" w:eastAsia="Century Gothic" w:hAnsi="Verdana" w:cs="Century Gothic"/>
          <w:lang w:eastAsia="es-MX"/>
        </w:rPr>
        <w:t>ii</w:t>
      </w:r>
      <w:proofErr w:type="spellEnd"/>
      <w:r w:rsidRPr="009D5308">
        <w:rPr>
          <w:rFonts w:ascii="Verdana" w:eastAsia="Century Gothic" w:hAnsi="Verdana" w:cs="Century Gothic"/>
          <w:lang w:eastAsia="es-MX"/>
        </w:rPr>
        <w:t xml:space="preserve">) ¿Los documentos tipo del sector educativo aplican para realizar obras que recaigan sobre Instituciones de Educación superior? </w:t>
      </w:r>
    </w:p>
    <w:p w14:paraId="2D05EF90" w14:textId="77777777" w:rsidR="009D5308" w:rsidRPr="009D5308" w:rsidRDefault="009D5308" w:rsidP="009D5308">
      <w:pPr>
        <w:spacing w:after="0" w:line="276" w:lineRule="auto"/>
        <w:jc w:val="both"/>
        <w:rPr>
          <w:rFonts w:ascii="Verdana" w:eastAsia="Century Gothic" w:hAnsi="Verdana" w:cs="Century Gothic"/>
          <w:lang w:eastAsia="es-MX"/>
        </w:rPr>
      </w:pPr>
    </w:p>
    <w:p w14:paraId="57C43F21" w14:textId="77777777" w:rsidR="009D5308" w:rsidRPr="009D5308" w:rsidRDefault="009D5308" w:rsidP="009D5308">
      <w:pPr>
        <w:tabs>
          <w:tab w:val="left" w:pos="142"/>
          <w:tab w:val="left" w:pos="284"/>
        </w:tabs>
        <w:spacing w:after="0" w:line="276" w:lineRule="auto"/>
        <w:contextualSpacing/>
        <w:jc w:val="both"/>
        <w:rPr>
          <w:rFonts w:ascii="Verdana" w:eastAsia="Century Gothic" w:hAnsi="Verdana" w:cs="Century Gothic"/>
          <w:b/>
          <w:bCs/>
          <w:lang w:val="es-ES" w:eastAsia="es-MX"/>
        </w:rPr>
      </w:pPr>
      <w:r w:rsidRPr="009D5308">
        <w:rPr>
          <w:rFonts w:ascii="Verdana" w:eastAsia="Century Gothic" w:hAnsi="Verdana" w:cs="Century Gothic"/>
          <w:b/>
          <w:bCs/>
          <w:lang w:val="es-ES" w:eastAsia="es-MX"/>
        </w:rPr>
        <w:t>2. Respuestas:</w:t>
      </w:r>
    </w:p>
    <w:p w14:paraId="1EB6AA55" w14:textId="77777777" w:rsidR="009D5308" w:rsidRPr="009D5308" w:rsidRDefault="009D5308" w:rsidP="009D5308">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D5308" w:rsidRPr="009D5308" w14:paraId="126DBC2A" w14:textId="77777777" w:rsidTr="008D2A26">
        <w:trPr>
          <w:trHeight w:val="40"/>
        </w:trPr>
        <w:tc>
          <w:tcPr>
            <w:tcW w:w="8828" w:type="dxa"/>
            <w:tcBorders>
              <w:top w:val="dotted" w:sz="4" w:space="0" w:color="auto"/>
              <w:left w:val="dotted" w:sz="4" w:space="0" w:color="auto"/>
              <w:bottom w:val="dotted" w:sz="4" w:space="0" w:color="auto"/>
              <w:right w:val="dotted" w:sz="4" w:space="0" w:color="auto"/>
            </w:tcBorders>
          </w:tcPr>
          <w:p w14:paraId="60B15472" w14:textId="77777777" w:rsidR="009D5308" w:rsidRPr="009D5308" w:rsidRDefault="009D5308" w:rsidP="009D5308">
            <w:pPr>
              <w:spacing w:before="120" w:line="276" w:lineRule="auto"/>
              <w:jc w:val="both"/>
              <w:rPr>
                <w:rFonts w:ascii="Verdana" w:eastAsia="Calibri" w:hAnsi="Verdana" w:cs="Arial"/>
                <w:lang w:val="es-ES" w:eastAsia="es-MX"/>
              </w:rPr>
            </w:pPr>
            <w:r w:rsidRPr="009D5308">
              <w:rPr>
                <w:rFonts w:ascii="Verdana" w:eastAsia="Calibri" w:hAnsi="Verdana" w:cs="Arial"/>
                <w:lang w:val="es-ES" w:eastAsia="es-MX"/>
              </w:rPr>
              <w:t xml:space="preserve">i.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w:t>
            </w:r>
            <w:r w:rsidRPr="009D5308">
              <w:rPr>
                <w:rFonts w:ascii="Verdana" w:eastAsia="Calibri" w:hAnsi="Verdana" w:cs="Arial"/>
                <w:i/>
                <w:iCs/>
                <w:lang w:val="es-ES" w:eastAsia="es-MX"/>
              </w:rPr>
              <w:t>otros sujetos cuyo régimen de contratación prevalente es el derecho privado</w:t>
            </w:r>
            <w:r w:rsidRPr="009D5308">
              <w:rPr>
                <w:rFonts w:ascii="Verdana" w:eastAsia="Calibri" w:hAnsi="Verdana" w:cs="Arial"/>
                <w:lang w:val="es-ES" w:eastAsia="es-MX"/>
              </w:rPr>
              <w:t xml:space="preserve">. Esto de tal forma que cuando una entidad estatal regida por el EGCAP celebre contratos o convenios con otra i) entidad estatal de régimen especial o con </w:t>
            </w:r>
            <w:proofErr w:type="spellStart"/>
            <w:r w:rsidRPr="009D5308">
              <w:rPr>
                <w:rFonts w:ascii="Verdana" w:eastAsia="Calibri" w:hAnsi="Verdana" w:cs="Arial"/>
                <w:lang w:val="es-ES" w:eastAsia="es-MX"/>
              </w:rPr>
              <w:t>ii</w:t>
            </w:r>
            <w:proofErr w:type="spellEnd"/>
            <w:r w:rsidRPr="009D5308">
              <w:rPr>
                <w:rFonts w:ascii="Verdana" w:eastAsia="Calibri" w:hAnsi="Verdana" w:cs="Arial"/>
                <w:lang w:val="es-ES" w:eastAsia="es-MX"/>
              </w:rPr>
              <w:t xml:space="preserve">) patrimonios autónomos o </w:t>
            </w:r>
            <w:proofErr w:type="spellStart"/>
            <w:r w:rsidRPr="009D5308">
              <w:rPr>
                <w:rFonts w:ascii="Verdana" w:eastAsia="Calibri" w:hAnsi="Verdana" w:cs="Arial"/>
                <w:lang w:val="es-ES" w:eastAsia="es-MX"/>
              </w:rPr>
              <w:t>iii</w:t>
            </w:r>
            <w:proofErr w:type="spellEnd"/>
            <w:r w:rsidRPr="009D5308">
              <w:rPr>
                <w:rFonts w:ascii="Verdana" w:eastAsia="Calibri" w:hAnsi="Verdana" w:cs="Arial"/>
                <w:lang w:val="es-ES" w:eastAsia="es-MX"/>
              </w:rPr>
              <w:t>)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0E0183E4" w14:textId="77777777" w:rsidR="009D5308" w:rsidRPr="009D5308" w:rsidRDefault="009D5308" w:rsidP="009D5308">
            <w:pPr>
              <w:spacing w:before="120" w:line="276" w:lineRule="auto"/>
              <w:ind w:firstLine="743"/>
              <w:jc w:val="both"/>
              <w:rPr>
                <w:rFonts w:ascii="Verdana" w:eastAsia="Calibri" w:hAnsi="Verdana" w:cs="Arial"/>
                <w:lang w:val="es-ES" w:eastAsia="es-MX"/>
              </w:rPr>
            </w:pPr>
            <w:r w:rsidRPr="009D5308">
              <w:rPr>
                <w:rFonts w:ascii="Verdana" w:eastAsia="Calibri" w:hAnsi="Verdana" w:cs="Arial"/>
                <w:lang w:val="es-ES" w:eastAsia="es-ES"/>
              </w:rPr>
              <w:t>Por otra parte, el segundo inciso de la norma en estudio usa la expresión “los procedimientos de selección y contratos que realicen en desarrollo de los anteriores negocios jurídicos”, a los que se refiere el primer inciso, en los que, además de la aplicación de los documentos tipo, se dispone la aplicación del EGCAP.</w:t>
            </w:r>
          </w:p>
          <w:p w14:paraId="6B2D7993" w14:textId="77777777" w:rsidR="009D5308" w:rsidRPr="009D5308" w:rsidRDefault="009D5308" w:rsidP="009D5308">
            <w:pPr>
              <w:spacing w:before="120" w:after="120" w:line="276" w:lineRule="auto"/>
              <w:ind w:firstLine="601"/>
              <w:jc w:val="both"/>
              <w:rPr>
                <w:rFonts w:ascii="Verdana" w:eastAsia="Calibri" w:hAnsi="Verdana" w:cs="Arial"/>
                <w:bCs/>
                <w:lang w:val="es-ES_tradnl" w:eastAsia="es-MX"/>
              </w:rPr>
            </w:pPr>
            <w:r w:rsidRPr="009D5308">
              <w:rPr>
                <w:rFonts w:ascii="Verdana" w:eastAsia="Aptos" w:hAnsi="Verdana" w:cs="Arial"/>
                <w:color w:val="000000"/>
                <w:shd w:val="clear" w:color="auto" w:fill="FFFFFF"/>
                <w:lang w:val="es-ES" w:eastAsia="es-MX"/>
              </w:rPr>
              <w:lastRenderedPageBreak/>
              <w:t xml:space="preserve">Así, </w:t>
            </w:r>
            <w:r w:rsidRPr="009D5308">
              <w:rPr>
                <w:rFonts w:ascii="Verdana" w:eastAsia="Calibri" w:hAnsi="Verdana" w:cs="Arial"/>
                <w:bCs/>
                <w:lang w:val="es-ES_tradnl" w:eastAsia="es-ES_tradnl"/>
              </w:rPr>
              <w:t>de la lectura conjunta de los incisos primero y segundo</w:t>
            </w:r>
            <w:r w:rsidRPr="009D5308">
              <w:rPr>
                <w:rFonts w:ascii="Verdana" w:eastAsia="Calibri" w:hAnsi="Verdana" w:cs="Arial"/>
                <w:bCs/>
                <w:lang w:eastAsia="es-ES_tradnl"/>
              </w:rPr>
              <w:t xml:space="preserve"> del artículo 56 de la Ley 2195 de 2022,</w:t>
            </w:r>
            <w:r w:rsidRPr="009D5308">
              <w:rPr>
                <w:rFonts w:ascii="Verdana" w:eastAsia="Calibri" w:hAnsi="Verdana" w:cs="Arial"/>
                <w:bCs/>
                <w:lang w:val="es-ES_tradnl" w:eastAsia="es-ES_tradnl"/>
              </w:rPr>
              <w:t xml:space="preserve"> se desprende que </w:t>
            </w:r>
            <w:r w:rsidRPr="009D5308">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de materializar dicha contratación, haciendo uso obligatorio de dichos documentos</w:t>
            </w:r>
            <w:r w:rsidRPr="009D5308">
              <w:rPr>
                <w:rFonts w:ascii="Arial" w:eastAsia="Calibri" w:hAnsi="Arial" w:cs="Arial"/>
                <w:bCs/>
                <w:lang w:val="es-ES_tradnl" w:eastAsia="es-MX"/>
              </w:rPr>
              <w:t xml:space="preserve"> </w:t>
            </w:r>
            <w:r w:rsidRPr="009D5308">
              <w:rPr>
                <w:rFonts w:ascii="Verdana" w:eastAsia="Calibri" w:hAnsi="Verdana" w:cs="Arial"/>
                <w:bCs/>
                <w:lang w:val="es-ES_tradnl" w:eastAsia="es-MX"/>
              </w:rPr>
              <w:t>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w:t>
            </w:r>
            <w:r w:rsidRPr="009D5308">
              <w:rPr>
                <w:rFonts w:ascii="Verdana" w:eastAsia="Aptos" w:hAnsi="Verdana" w:cs="Arial"/>
                <w:color w:val="000000"/>
                <w:shd w:val="clear" w:color="auto" w:fill="FFFFFF"/>
                <w:lang w:val="es-ES" w:eastAsia="es-MX"/>
              </w:rPr>
              <w:t xml:space="preserve">. </w:t>
            </w:r>
          </w:p>
          <w:p w14:paraId="4A9DDBA3" w14:textId="77777777" w:rsidR="009D5308" w:rsidRPr="009D5308" w:rsidRDefault="009D5308" w:rsidP="009D5308">
            <w:pPr>
              <w:spacing w:line="276" w:lineRule="auto"/>
              <w:ind w:firstLine="601"/>
              <w:jc w:val="both"/>
              <w:rPr>
                <w:rFonts w:ascii="Verdana" w:eastAsia="Aptos" w:hAnsi="Verdana" w:cs="Arial"/>
                <w:shd w:val="clear" w:color="auto" w:fill="FFFFFF"/>
                <w:lang w:val="es-ES_tradnl" w:eastAsia="es-MX"/>
              </w:rPr>
            </w:pPr>
            <w:r w:rsidRPr="009D5308">
              <w:rPr>
                <w:rFonts w:ascii="Verdana" w:eastAsia="Aptos" w:hAnsi="Verdana" w:cs="Arial"/>
                <w:color w:val="000000"/>
                <w:shd w:val="clear" w:color="auto" w:fill="FFFFFF"/>
                <w:lang w:val="es-ES_tradnl" w:eastAsia="es-MX"/>
              </w:rPr>
              <w:t xml:space="preserve">De esta manera, la obligación de aplicar documentos tipo, y en general, las disposiciones del Estatuto General de Contratación de la Administración Pública se extienden a los compromisos contractuales derivados la celebración del contrato o convenio, según lo expresamente consagrado en el segundo inciso del artículo 56 de la ley citada. </w:t>
            </w:r>
            <w:r w:rsidRPr="009D5308">
              <w:rPr>
                <w:rFonts w:ascii="Verdana" w:eastAsia="Aptos" w:hAnsi="Verdana" w:cs="Arial"/>
                <w:shd w:val="clear" w:color="auto" w:fill="FFFFFF"/>
                <w:lang w:val="es-ES_tradnl" w:eastAsia="es-MX"/>
              </w:rPr>
              <w:t xml:space="preserve">No obstante, se encuentran exceptuadas de dicha obligación </w:t>
            </w:r>
            <w:r w:rsidRPr="009D5308">
              <w:rPr>
                <w:rFonts w:ascii="Verdana" w:eastAsia="Aptos" w:hAnsi="Verdana" w:cs="Arial"/>
                <w:shd w:val="clear" w:color="auto" w:fill="FFFFFF"/>
                <w:lang w:eastAsia="es-MX"/>
              </w:rPr>
              <w:t>las Instituciones de Educación Superior públicas, las empresas sociales del Estado, las sociedades de economía mixta y las empresas industriales y comerciales del Estado, únicamente en cuanto a la contratación de su g</w:t>
            </w:r>
            <w:r w:rsidRPr="009D5308">
              <w:rPr>
                <w:rFonts w:ascii="Verdana" w:eastAsia="Aptos" w:hAnsi="Verdana" w:cs="Arial"/>
                <w:i/>
                <w:iCs/>
                <w:shd w:val="clear" w:color="auto" w:fill="FFFFFF"/>
                <w:lang w:eastAsia="es-MX"/>
              </w:rPr>
              <w:t>iro ordinario</w:t>
            </w:r>
            <w:r w:rsidRPr="009D5308">
              <w:rPr>
                <w:rFonts w:ascii="Verdana" w:eastAsia="Aptos" w:hAnsi="Verdana" w:cs="Arial"/>
                <w:shd w:val="clear" w:color="auto" w:fill="FFFFFF"/>
                <w:lang w:eastAsia="es-MX"/>
              </w:rPr>
              <w:t>, tal como se establece en el parágrafo del artículo 56 de la Ley 2195 de 2022</w:t>
            </w:r>
            <w:r w:rsidRPr="009D5308">
              <w:rPr>
                <w:rFonts w:ascii="Verdana" w:eastAsia="Aptos" w:hAnsi="Verdana" w:cs="Arial"/>
                <w:shd w:val="clear" w:color="auto" w:fill="FFFFFF"/>
                <w:lang w:val="es-ES_tradnl" w:eastAsia="es-MX"/>
              </w:rPr>
              <w:t>.</w:t>
            </w:r>
          </w:p>
          <w:p w14:paraId="24FFD0F6" w14:textId="77777777" w:rsidR="009D5308" w:rsidRPr="009D5308" w:rsidRDefault="009D5308" w:rsidP="009D5308">
            <w:pPr>
              <w:spacing w:line="276" w:lineRule="auto"/>
              <w:ind w:firstLine="601"/>
              <w:jc w:val="both"/>
              <w:rPr>
                <w:rFonts w:ascii="Verdana" w:eastAsia="Aptos" w:hAnsi="Verdana" w:cs="Arial"/>
                <w:shd w:val="clear" w:color="auto" w:fill="FFFFFF"/>
                <w:lang w:val="es-ES_tradnl" w:eastAsia="es-MX"/>
              </w:rPr>
            </w:pPr>
          </w:p>
          <w:p w14:paraId="0500318E" w14:textId="77777777" w:rsidR="009D5308" w:rsidRPr="009D5308" w:rsidRDefault="009D5308" w:rsidP="009D5308">
            <w:pPr>
              <w:widowControl w:val="0"/>
              <w:autoSpaceDE w:val="0"/>
              <w:autoSpaceDN w:val="0"/>
              <w:spacing w:after="120" w:line="276" w:lineRule="auto"/>
              <w:jc w:val="both"/>
              <w:rPr>
                <w:rFonts w:ascii="Verdana" w:eastAsia="Aptos" w:hAnsi="Verdana" w:cs="Arial"/>
                <w:color w:val="000000"/>
                <w:shd w:val="clear" w:color="auto" w:fill="FFFFFF"/>
                <w:lang w:val="es-ES" w:eastAsia="es-MX"/>
              </w:rPr>
            </w:pPr>
            <w:proofErr w:type="spellStart"/>
            <w:r w:rsidRPr="08D4D27B">
              <w:rPr>
                <w:rFonts w:ascii="Verdana" w:eastAsia="Aptos" w:hAnsi="Verdana" w:cs="Arial"/>
                <w:shd w:val="clear" w:color="auto" w:fill="FFFFFF"/>
                <w:lang w:val="es-ES" w:eastAsia="es-MX"/>
              </w:rPr>
              <w:t>ii</w:t>
            </w:r>
            <w:proofErr w:type="spellEnd"/>
            <w:r w:rsidRPr="08D4D27B">
              <w:rPr>
                <w:rFonts w:ascii="Verdana" w:eastAsia="Aptos" w:hAnsi="Verdana" w:cs="Arial"/>
                <w:shd w:val="clear" w:color="auto" w:fill="FFFFFF"/>
                <w:lang w:val="es-ES" w:eastAsia="es-MX"/>
              </w:rPr>
              <w:t>. D</w:t>
            </w:r>
            <w:r w:rsidRPr="08D4D27B">
              <w:rPr>
                <w:rFonts w:ascii="Verdana" w:eastAsia="Aptos" w:hAnsi="Verdana" w:cs="Arial"/>
                <w:color w:val="000000"/>
                <w:shd w:val="clear" w:color="auto" w:fill="FFFFFF"/>
                <w:lang w:val="es-ES" w:eastAsia="es-MX"/>
              </w:rPr>
              <w:t>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o personas naturales o jurídicas de derecho público o privado que por mandato legal estén obligadas a su aplicación, es decir, aquellas que de acuerdo con el artículo 56 de la Ley 2195 de 2022, deban aplicar estos documentos -de conformidad con lo explicado en el punto i. de este concepto-.</w:t>
            </w:r>
          </w:p>
          <w:p w14:paraId="7379D34C" w14:textId="77777777" w:rsidR="009D5308" w:rsidRPr="009D5308" w:rsidRDefault="009D5308" w:rsidP="009D5308">
            <w:pPr>
              <w:spacing w:after="120" w:line="276" w:lineRule="auto"/>
              <w:ind w:firstLine="601"/>
              <w:jc w:val="both"/>
              <w:rPr>
                <w:rFonts w:ascii="Verdana" w:eastAsia="Aptos" w:hAnsi="Verdana" w:cs="Arial"/>
                <w:color w:val="000000"/>
                <w:shd w:val="clear" w:color="auto" w:fill="FFFFFF"/>
                <w:lang w:val="es-ES_tradnl" w:eastAsia="es-MX"/>
              </w:rPr>
            </w:pPr>
            <w:r w:rsidRPr="009D5308">
              <w:rPr>
                <w:rFonts w:ascii="Verdana" w:eastAsia="Aptos" w:hAnsi="Verdana" w:cs="Arial"/>
                <w:color w:val="000000"/>
                <w:shd w:val="clear" w:color="auto" w:fill="FFFFFF"/>
                <w:lang w:val="es-ES_tradnl" w:eastAsia="es-MX"/>
              </w:rPr>
              <w:t xml:space="preserve">Sobre el ámbito de aplicación de los documentos tipo señalados, el parágrafo segundo del artículo 9 de las Resoluciones 539, 540 y 541 del 21 de agosto de 2025, indican que estos documentos aplican a los procesos </w:t>
            </w:r>
            <w:r w:rsidRPr="009D5308">
              <w:rPr>
                <w:rFonts w:ascii="Verdana" w:eastAsia="Aptos" w:hAnsi="Verdana" w:cs="Arial"/>
                <w:color w:val="000000"/>
                <w:shd w:val="clear" w:color="auto" w:fill="FFFFFF"/>
                <w:lang w:val="es-ES_tradnl" w:eastAsia="es-MX"/>
              </w:rPr>
              <w:lastRenderedPageBreak/>
              <w:t xml:space="preserve">contractuales que correspondan a las actividades definidas en la Matriz 1 – Experiencia del Sector Educativo. </w:t>
            </w:r>
          </w:p>
          <w:p w14:paraId="23AC0C16" w14:textId="77777777" w:rsidR="009D5308" w:rsidRPr="009D5308" w:rsidRDefault="009D5308" w:rsidP="009D5308">
            <w:pPr>
              <w:spacing w:after="120" w:line="276" w:lineRule="auto"/>
              <w:ind w:firstLine="601"/>
              <w:jc w:val="both"/>
              <w:rPr>
                <w:rFonts w:ascii="Verdana" w:eastAsia="Aptos" w:hAnsi="Verdana" w:cs="Arial"/>
                <w:color w:val="000000"/>
                <w:shd w:val="clear" w:color="auto" w:fill="FFFFFF"/>
                <w:lang w:val="es-ES_tradnl" w:eastAsia="es-MX"/>
              </w:rPr>
            </w:pPr>
            <w:r w:rsidRPr="009D5308">
              <w:rPr>
                <w:rFonts w:ascii="Verdana" w:eastAsia="Calibri" w:hAnsi="Verdana" w:cs="Times New Roman"/>
                <w:lang w:val="es-ES" w:eastAsia="es-MX"/>
              </w:rPr>
              <w:t xml:space="preserve">La Matriz 1 – Experiencia del Sector Educativo, </w:t>
            </w:r>
            <w:r w:rsidRPr="009D5308">
              <w:rPr>
                <w:rFonts w:ascii="Verdana" w:eastAsia="Times New Roman" w:hAnsi="Verdana" w:cs="Times New Roman"/>
                <w:color w:val="000000"/>
                <w:lang w:eastAsia="es-CO"/>
              </w:rPr>
              <w:t xml:space="preserve">en la modalidad de licitación pública, selección abreviada de menor cuantía y mínima cuantía disponen unos tipos de obras </w:t>
            </w:r>
            <w:r w:rsidRPr="009D5308">
              <w:rPr>
                <w:rFonts w:ascii="Verdana" w:eastAsia="Arial" w:hAnsi="Verdana" w:cs="Aptos"/>
                <w:lang w:eastAsia="es-ES"/>
              </w:rPr>
              <w:t xml:space="preserve">y actividades que </w:t>
            </w:r>
            <w:r w:rsidRPr="009D5308">
              <w:rPr>
                <w:rFonts w:ascii="Verdana" w:eastAsia="Times New Roman" w:hAnsi="Verdana" w:cs="Times New Roman"/>
                <w:color w:val="000000"/>
                <w:lang w:eastAsia="es-CO"/>
              </w:rPr>
              <w:t>recaen sobre infraestructura educativa. Esto es importante para precisar el ámbito de aplicación de los documentos tipo de este sector adoptados en el capítulo II de las Resoluciones 539, 540 y 541 de 2025.</w:t>
            </w:r>
          </w:p>
          <w:p w14:paraId="1A587D0A" w14:textId="77777777" w:rsidR="009D5308" w:rsidRPr="009D5308" w:rsidRDefault="009D5308" w:rsidP="009D5308">
            <w:pPr>
              <w:spacing w:after="120" w:line="276" w:lineRule="auto"/>
              <w:jc w:val="both"/>
              <w:rPr>
                <w:rFonts w:ascii="Verdana" w:eastAsia="Calibri" w:hAnsi="Verdana" w:cs="Times New Roman"/>
                <w:lang w:val="es-ES" w:eastAsia="es-MX"/>
              </w:rPr>
            </w:pPr>
            <w:r w:rsidRPr="009D5308">
              <w:rPr>
                <w:rFonts w:ascii="Verdana" w:eastAsia="Times New Roman" w:hAnsi="Verdana" w:cs="Times New Roman"/>
                <w:color w:val="000000"/>
                <w:lang w:eastAsia="es-CO"/>
              </w:rPr>
              <w:tab/>
              <w:t xml:space="preserve">La nota general 1 de la </w:t>
            </w:r>
            <w:r w:rsidRPr="009D5308">
              <w:rPr>
                <w:rFonts w:ascii="Verdana" w:eastAsia="Arial" w:hAnsi="Verdana" w:cs="Aptos"/>
                <w:lang w:eastAsia="es-ES"/>
              </w:rPr>
              <w:t>Matriz 1</w:t>
            </w:r>
            <w:r w:rsidRPr="009D5308">
              <w:rPr>
                <w:rFonts w:ascii="Verdana" w:eastAsia="Calibri" w:hAnsi="Verdana" w:cs="Times New Roman"/>
                <w:lang w:val="es-ES" w:eastAsia="es-MX"/>
              </w:rPr>
              <w:t>– Experiencia del Sector Educativo en las distintas modalidades de los documentos tipo adoptados por esta Agencia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4FC1A254" w14:textId="77777777" w:rsidR="009D5308" w:rsidRPr="009D5308" w:rsidRDefault="009D5308" w:rsidP="009D5308">
            <w:pPr>
              <w:spacing w:after="120" w:line="276" w:lineRule="auto"/>
              <w:ind w:firstLine="708"/>
              <w:jc w:val="both"/>
              <w:rPr>
                <w:rFonts w:ascii="Verdana" w:eastAsia="Calibri" w:hAnsi="Verdana" w:cs="Arial"/>
                <w:color w:val="0D0D0D"/>
                <w:lang w:eastAsia="es-MX"/>
              </w:rPr>
            </w:pPr>
            <w:r w:rsidRPr="009D5308">
              <w:rPr>
                <w:rFonts w:ascii="Verdana" w:eastAsia="Calibri" w:hAnsi="Verdana" w:cs="Arial"/>
                <w:lang w:val="es-ES_tradnl" w:eastAsia="es-MX"/>
              </w:rPr>
              <w:t xml:space="preserve">De esta forma, considerando que las actividades señaladas recaen sobre </w:t>
            </w:r>
            <w:r w:rsidRPr="009D5308">
              <w:rPr>
                <w:rFonts w:ascii="Verdana" w:eastAsia="Times New Roman" w:hAnsi="Verdana" w:cs="Calibri"/>
                <w:lang w:eastAsia="es-MX"/>
              </w:rPr>
              <w:t xml:space="preserve">obras en proyectos de infraestructura educativa, para determinar qué abarca este tipo de infraestructura, debe indicarse que de conformidad con la norma </w:t>
            </w:r>
            <w:r w:rsidRPr="009D5308">
              <w:rPr>
                <w:rFonts w:ascii="Verdana" w:eastAsia="Calibri" w:hAnsi="Verdana" w:cs="Arial"/>
                <w:color w:val="0D0D0D"/>
                <w:lang w:eastAsia="es-MX"/>
              </w:rPr>
              <w:t xml:space="preserve">NSR-10 en el Subgrupo de Ocupación Institucional de Educación (I-3) </w:t>
            </w:r>
            <w:r w:rsidRPr="009D5308">
              <w:rPr>
                <w:rFonts w:ascii="Verdana" w:eastAsia="Calibri" w:hAnsi="Verdana" w:cs="Arial"/>
                <w:i/>
                <w:iCs/>
                <w:color w:val="0D0D0D"/>
                <w:lang w:eastAsia="es-MX"/>
              </w:rPr>
              <w:t>“(…) se clasifican las edificaciones o espacios empleados para le reunión de personas con propósitos educativos y de instrucción (…)”</w:t>
            </w:r>
            <w:r w:rsidRPr="009D5308">
              <w:rPr>
                <w:rFonts w:ascii="Verdana" w:eastAsia="Calibri" w:hAnsi="Verdana" w:cs="Times New Roman"/>
                <w:i/>
                <w:iCs/>
                <w:vertAlign w:val="superscript"/>
                <w:lang w:eastAsia="es-MX"/>
              </w:rPr>
              <w:footnoteReference w:id="2"/>
            </w:r>
            <w:r w:rsidRPr="009D5308">
              <w:rPr>
                <w:rFonts w:ascii="Verdana" w:eastAsia="Calibri" w:hAnsi="Verdana" w:cs="Arial"/>
                <w:i/>
                <w:iCs/>
                <w:color w:val="0D0D0D"/>
                <w:vertAlign w:val="superscript"/>
                <w:lang w:eastAsia="es-MX"/>
              </w:rPr>
              <w:t>.</w:t>
            </w:r>
            <w:r w:rsidRPr="009D5308">
              <w:rPr>
                <w:rFonts w:ascii="Verdana" w:eastAsia="Calibri" w:hAnsi="Verdana" w:cs="Arial"/>
                <w:color w:val="0D0D0D"/>
                <w:lang w:eastAsia="es-MX"/>
              </w:rPr>
              <w:t xml:space="preserve"> Entre las edificaciones o espacios que pertenecen a este Subgrupo se encuentran las siguientes: “</w:t>
            </w:r>
            <w:r w:rsidRPr="009D5308">
              <w:rPr>
                <w:rFonts w:ascii="Verdana" w:eastAsia="Calibri" w:hAnsi="Verdana" w:cs="Arial"/>
                <w:i/>
                <w:iCs/>
                <w:color w:val="0D0D0D"/>
                <w:lang w:eastAsia="es-MX"/>
              </w:rPr>
              <w:t>Universidades, Colegios, Escuelas, Centros de educación, Academias, Jardines Infantiles, Otras instituciones docentes</w:t>
            </w:r>
            <w:r w:rsidRPr="009D5308">
              <w:rPr>
                <w:rFonts w:ascii="Verdana" w:eastAsia="Calibri" w:hAnsi="Verdana" w:cs="Arial"/>
                <w:color w:val="0D0D0D"/>
                <w:lang w:eastAsia="es-MX"/>
              </w:rPr>
              <w:t>”</w:t>
            </w:r>
            <w:r w:rsidRPr="009D5308">
              <w:rPr>
                <w:rFonts w:ascii="Verdana" w:eastAsia="Calibri" w:hAnsi="Verdana" w:cs="Arial"/>
                <w:color w:val="0D0D0D"/>
                <w:vertAlign w:val="superscript"/>
                <w:lang w:eastAsia="es-MX"/>
              </w:rPr>
              <w:footnoteReference w:id="3"/>
            </w:r>
            <w:r w:rsidRPr="009D5308">
              <w:rPr>
                <w:rFonts w:ascii="Verdana" w:eastAsia="Calibri" w:hAnsi="Verdana" w:cs="Arial"/>
                <w:color w:val="0D0D0D"/>
                <w:lang w:eastAsia="es-MX"/>
              </w:rPr>
              <w:t>.</w:t>
            </w:r>
          </w:p>
          <w:p w14:paraId="527D451C" w14:textId="77777777" w:rsidR="009D5308" w:rsidRPr="009D5308" w:rsidRDefault="009D5308" w:rsidP="009D5308">
            <w:pPr>
              <w:spacing w:after="120" w:line="276" w:lineRule="auto"/>
              <w:ind w:firstLine="708"/>
              <w:jc w:val="both"/>
              <w:rPr>
                <w:rFonts w:ascii="Verdana" w:eastAsia="Times New Roman" w:hAnsi="Verdana" w:cs="Aptos"/>
                <w:sz w:val="21"/>
                <w:szCs w:val="21"/>
                <w:lang w:val="es-ES" w:eastAsia="es-MX"/>
              </w:rPr>
            </w:pPr>
            <w:r w:rsidRPr="009D5308">
              <w:rPr>
                <w:rFonts w:ascii="Verdana" w:eastAsia="Calibri" w:hAnsi="Verdana" w:cs="Arial"/>
                <w:color w:val="0D0D0D"/>
                <w:lang w:eastAsia="es-MX"/>
              </w:rPr>
              <w:t xml:space="preserve">Para efectos de su solicitud en la que indaga sí los Documentos Tipo complementario del sector educativo, aplican para realizar actividades sobre una institución de educación superior. Para responder al problema jurídico le informamos que, el Anexo 5 – Glosario de los Documentos Tipo señalado, en el numeral 3.74 define este tipo de instituciones. </w:t>
            </w:r>
          </w:p>
          <w:p w14:paraId="2AD11FC9" w14:textId="77777777" w:rsidR="009D5308" w:rsidRPr="009D5308" w:rsidRDefault="009D5308" w:rsidP="009D5308">
            <w:pPr>
              <w:spacing w:after="120" w:line="276" w:lineRule="auto"/>
              <w:ind w:firstLine="709"/>
              <w:jc w:val="both"/>
              <w:rPr>
                <w:rFonts w:ascii="Verdana" w:eastAsia="Calibri" w:hAnsi="Verdana" w:cs="Arial"/>
                <w:color w:val="0D0D0D"/>
                <w:lang w:eastAsia="es-MX"/>
              </w:rPr>
            </w:pPr>
            <w:r w:rsidRPr="009D5308">
              <w:rPr>
                <w:rFonts w:ascii="Verdana" w:eastAsia="Calibri" w:hAnsi="Verdana" w:cs="Arial"/>
                <w:color w:val="0D0D0D"/>
                <w:lang w:eastAsia="es-MX"/>
              </w:rPr>
              <w:lastRenderedPageBreak/>
              <w:t xml:space="preserve">En atención a lo expuesto, una Institución de Educación Superior (IES) debe clasificarse dentro del Subgrupo de Ocupación Institucional de Educación (I-3) de la NSR-10, en la medida en que sus edificaciones están destinadas a la reunión de personas con propósitos educativos y de instrucción, finalidad que constituye el núcleo esencial de su actividad. </w:t>
            </w:r>
          </w:p>
          <w:p w14:paraId="33BD28FA" w14:textId="77777777" w:rsidR="009D5308" w:rsidRPr="009D5308" w:rsidRDefault="009D5308" w:rsidP="009D5308">
            <w:pPr>
              <w:spacing w:after="120" w:line="276" w:lineRule="auto"/>
              <w:ind w:firstLine="709"/>
              <w:jc w:val="both"/>
              <w:rPr>
                <w:rFonts w:ascii="Verdana" w:eastAsia="Calibri" w:hAnsi="Verdana" w:cs="Arial"/>
                <w:color w:val="0D0D0D"/>
                <w:lang w:eastAsia="es-MX"/>
              </w:rPr>
            </w:pPr>
            <w:r w:rsidRPr="009D5308">
              <w:rPr>
                <w:rFonts w:ascii="Verdana" w:eastAsia="Calibri" w:hAnsi="Verdana" w:cs="Arial"/>
                <w:color w:val="0D0D0D"/>
                <w:lang w:eastAsia="es-MX"/>
              </w:rPr>
              <w:t>La norma incluye expresamente dentro de este subgrupo a las universidades y demás instituciones docentes, y precisa que dicha enumeración es enunciativa y no taxativa, al emplear la expresión “Otras instituciones docentes”, lo que permite comprender todas aquellas edificaciones cuya naturaleza y finalidad estén orientadas a la prestación del servicio público de educación. En concordancia con el Anexo 5 – Glosario de los Documentos Tipo, las IES -sean instituciones técnico y/o profesionales, tecnológicas, instituciones universitarias o universidades, conforme a la Ley 30 de 1992 y la Ley 749 de 2002- son entidades habilitadas para prestar el servicio público de educación superior, por lo que sus instalaciones constituyen infraestructura educativa y, en consecuencia, se enmarcan dentro del referido Subgrupo de Ocupación Institucional de Educación (I-3).</w:t>
            </w:r>
          </w:p>
          <w:p w14:paraId="7AD9D92E" w14:textId="77777777" w:rsidR="009D5308" w:rsidRPr="009D5308" w:rsidRDefault="009D5308" w:rsidP="009D5308">
            <w:pPr>
              <w:spacing w:line="278" w:lineRule="auto"/>
              <w:ind w:firstLine="708"/>
              <w:jc w:val="both"/>
              <w:rPr>
                <w:rFonts w:ascii="Verdana" w:eastAsia="Calibri" w:hAnsi="Verdana" w:cs="Arial"/>
                <w:lang w:val="es-ES" w:eastAsia="es-MX"/>
              </w:rPr>
            </w:pPr>
            <w:r w:rsidRPr="009D5308">
              <w:rPr>
                <w:rFonts w:ascii="Verdana" w:eastAsia="Calibri" w:hAnsi="Verdana" w:cs="Arial"/>
                <w:lang w:val="es-ES" w:eastAsia="es-MX"/>
              </w:rPr>
              <w:t xml:space="preserve">Por lo anterior, la Agencia Nacional de Contratación Pública – Colombia Compra Eficiente le informa que a partir del 16 de febrero de 2026, </w:t>
            </w:r>
            <w:r w:rsidRPr="009D5308">
              <w:rPr>
                <w:rFonts w:ascii="Verdana" w:eastAsia="Calibri" w:hAnsi="Verdana" w:cs="Arial"/>
                <w:i/>
                <w:iCs/>
                <w:lang w:val="es-ES" w:eastAsia="es-MX"/>
              </w:rPr>
              <w:t>si una entidad de aquellas obligadas a utilizar los Documentos Tipo expedidos por esta Entidad</w:t>
            </w:r>
            <w:r w:rsidRPr="009D5308">
              <w:rPr>
                <w:rFonts w:ascii="Verdana" w:eastAsia="Calibri" w:hAnsi="Verdana" w:cs="Arial"/>
                <w:lang w:val="es-ES" w:eastAsia="es-MX"/>
              </w:rPr>
              <w:t xml:space="preserve"> adelanta un proceso que tenga por objeto la(s) actividad(es) prevista(s) en la Matriz 1 – Experiencia del sector educativo, </w:t>
            </w:r>
            <w:r w:rsidRPr="009D5308">
              <w:rPr>
                <w:rFonts w:ascii="Verdana" w:eastAsia="Times New Roman" w:hAnsi="Verdana" w:cs="Aptos"/>
                <w:lang w:eastAsia="es-MX"/>
              </w:rPr>
              <w:t xml:space="preserve">sobre </w:t>
            </w:r>
            <w:r w:rsidRPr="009D5308">
              <w:rPr>
                <w:rFonts w:ascii="Verdana" w:eastAsia="Arial" w:hAnsi="Verdana" w:cs="Aptos"/>
                <w:i/>
                <w:iCs/>
                <w:lang w:eastAsia="es-ES"/>
              </w:rPr>
              <w:t>infraestructura educativa como pueden ser obras sobre instituciones de educación superior,</w:t>
            </w:r>
            <w:r w:rsidRPr="009D5308">
              <w:rPr>
                <w:rFonts w:ascii="Verdana" w:eastAsia="Times New Roman" w:hAnsi="Verdana" w:cs="Aptos"/>
                <w:lang w:eastAsia="es-MX"/>
              </w:rPr>
              <w:t xml:space="preserve"> </w:t>
            </w:r>
            <w:r w:rsidRPr="009D5308">
              <w:rPr>
                <w:rFonts w:ascii="Verdana" w:eastAsia="Calibri" w:hAnsi="Verdana" w:cs="Arial"/>
                <w:lang w:val="es-ES" w:eastAsia="es-MX"/>
              </w:rPr>
              <w:t>deberá implementar los Documentos Tipo acogidos mediante las Resoluciones 539, 540 y 541 de 2025, según el proyecto se adelante por la modalidad de licitación de obra pública, selección abreviada de menor cuantía o mínima cuantía.</w:t>
            </w:r>
          </w:p>
        </w:tc>
      </w:tr>
    </w:tbl>
    <w:p w14:paraId="16D853E1" w14:textId="77777777" w:rsidR="009D5308" w:rsidRPr="009D5308" w:rsidRDefault="009D5308" w:rsidP="009D5308">
      <w:pPr>
        <w:tabs>
          <w:tab w:val="left" w:pos="142"/>
          <w:tab w:val="left" w:pos="284"/>
        </w:tabs>
        <w:spacing w:after="0" w:line="276" w:lineRule="auto"/>
        <w:jc w:val="both"/>
        <w:rPr>
          <w:rFonts w:ascii="Verdana" w:eastAsia="Century Gothic" w:hAnsi="Verdana" w:cs="Century Gothic"/>
          <w:b/>
          <w:bCs/>
          <w:lang w:val="es-ES" w:eastAsia="es-MX"/>
        </w:rPr>
      </w:pPr>
    </w:p>
    <w:p w14:paraId="04169032" w14:textId="77777777" w:rsidR="009D5308" w:rsidRPr="009D5308" w:rsidRDefault="009D5308" w:rsidP="009D5308">
      <w:pPr>
        <w:tabs>
          <w:tab w:val="left" w:pos="142"/>
          <w:tab w:val="left" w:pos="284"/>
        </w:tabs>
        <w:spacing w:after="0" w:line="276" w:lineRule="auto"/>
        <w:jc w:val="both"/>
        <w:rPr>
          <w:rFonts w:ascii="Verdana" w:eastAsia="Century Gothic" w:hAnsi="Verdana" w:cs="Century Gothic"/>
          <w:b/>
          <w:bCs/>
          <w:lang w:val="es-ES" w:eastAsia="es-MX"/>
        </w:rPr>
      </w:pPr>
      <w:r w:rsidRPr="009D5308">
        <w:rPr>
          <w:rFonts w:ascii="Verdana" w:eastAsia="Century Gothic" w:hAnsi="Verdana" w:cs="Century Gothic"/>
          <w:b/>
          <w:bCs/>
          <w:lang w:val="es-ES" w:eastAsia="es-MX"/>
        </w:rPr>
        <w:t>3. Razones de la respuesta:</w:t>
      </w:r>
    </w:p>
    <w:p w14:paraId="70A67D24" w14:textId="77777777" w:rsidR="009D5308" w:rsidRPr="009D5308" w:rsidRDefault="009D5308" w:rsidP="009D5308">
      <w:pPr>
        <w:spacing w:after="0" w:line="276" w:lineRule="auto"/>
        <w:jc w:val="both"/>
        <w:rPr>
          <w:rFonts w:ascii="Verdana" w:eastAsia="Calibri" w:hAnsi="Verdana" w:cs="Arial"/>
          <w:lang w:val="es-ES" w:eastAsia="es-MX"/>
        </w:rPr>
      </w:pPr>
    </w:p>
    <w:p w14:paraId="3E1BCA03" w14:textId="77777777" w:rsidR="009D5308" w:rsidRPr="009D5308" w:rsidRDefault="009D5308" w:rsidP="009D5308">
      <w:pPr>
        <w:spacing w:after="120" w:line="276" w:lineRule="auto"/>
        <w:jc w:val="both"/>
        <w:rPr>
          <w:rFonts w:ascii="Verdana" w:eastAsia="Calibri" w:hAnsi="Verdana" w:cs="Arial"/>
          <w:lang w:val="es-ES_tradnl" w:eastAsia="es-ES"/>
        </w:rPr>
      </w:pPr>
      <w:bookmarkStart w:id="2" w:name="_Hlk176861190"/>
      <w:bookmarkStart w:id="3" w:name="_Hlk176877108"/>
      <w:r w:rsidRPr="009D5308">
        <w:rPr>
          <w:rFonts w:ascii="Verdana" w:eastAsia="Calibri" w:hAnsi="Verdana" w:cs="Arial"/>
          <w:lang w:val="es-ES_tradnl" w:eastAsia="es-ES"/>
        </w:rPr>
        <w:t xml:space="preserve">i. La </w:t>
      </w:r>
      <w:bookmarkStart w:id="4" w:name="_Hlk176876754"/>
      <w:r w:rsidRPr="009D5308">
        <w:rPr>
          <w:rFonts w:ascii="Verdana" w:eastAsia="Calibri" w:hAnsi="Verdana" w:cs="Arial"/>
          <w:lang w:val="es-ES_tradnl" w:eastAsia="es-ES"/>
        </w:rPr>
        <w:t>Ley 2022 de 2020, modificó el contenido del parágrafo 7 del artículo 2 de la Ley 1150 de 2007, que había sido adicionado por la Ley 1882 de 2018</w:t>
      </w:r>
      <w:bookmarkEnd w:id="4"/>
      <w:r w:rsidRPr="009D5308">
        <w:rPr>
          <w:rFonts w:ascii="Verdana" w:eastAsia="Times New Roman" w:hAnsi="Verdana" w:cs="Times New Roman"/>
          <w:vertAlign w:val="superscript"/>
          <w:lang w:eastAsia="es-ES"/>
        </w:rPr>
        <w:footnoteReference w:id="4"/>
      </w:r>
      <w:r w:rsidRPr="009D5308">
        <w:rPr>
          <w:rFonts w:ascii="Verdana" w:eastAsia="Calibri" w:hAnsi="Verdana" w:cs="Arial"/>
          <w:lang w:val="es-ES_tradnl" w:eastAsia="es-ES"/>
        </w:rPr>
        <w:t xml:space="preserve">. Con </w:t>
      </w:r>
      <w:r w:rsidRPr="009D5308">
        <w:rPr>
          <w:rFonts w:ascii="Verdana" w:eastAsia="Calibri" w:hAnsi="Verdana" w:cs="Arial"/>
          <w:lang w:val="es-ES_tradnl" w:eastAsia="es-ES"/>
        </w:rPr>
        <w:lastRenderedPageBreak/>
        <w:t xml:space="preserve">esta modificación, si bien se mantuvo el mandato de aplicación obligatoria de los Documentos Tipo por parte de las entidades sometidas al </w:t>
      </w:r>
      <w:r w:rsidRPr="009D5308">
        <w:rPr>
          <w:rFonts w:ascii="Verdana" w:eastAsia="Calibri" w:hAnsi="Verdana" w:cs="Arial"/>
          <w:bCs/>
          <w:lang w:val="es-ES_tradnl" w:eastAsia="es-ES_tradnl"/>
        </w:rPr>
        <w:t>EGCAP</w:t>
      </w:r>
      <w:r w:rsidRPr="009D5308">
        <w:rPr>
          <w:rFonts w:ascii="Verdana" w:eastAsia="Calibri" w:hAnsi="Verdana" w:cs="Arial"/>
          <w:lang w:val="es-ES_tradnl" w:eastAsia="es-ES"/>
        </w:rPr>
        <w:t xml:space="preserve">, se atribuyó a la </w:t>
      </w:r>
      <w:r w:rsidRPr="009D5308">
        <w:rPr>
          <w:rFonts w:ascii="Verdana" w:eastAsia="Calibri" w:hAnsi="Verdana" w:cs="Arial"/>
          <w:lang w:val="es-ES_tradnl" w:eastAsia="es-ES_tradnl"/>
        </w:rPr>
        <w:t xml:space="preserve">Agencia Nacional de Contratación Pública – Colombia Compra Eficiente la competencia para su expedición. </w:t>
      </w:r>
    </w:p>
    <w:p w14:paraId="4B219933" w14:textId="77777777" w:rsidR="009D5308" w:rsidRPr="009D5308" w:rsidRDefault="009D5308" w:rsidP="009D5308">
      <w:pPr>
        <w:spacing w:after="120" w:line="276" w:lineRule="auto"/>
        <w:ind w:firstLine="709"/>
        <w:jc w:val="both"/>
        <w:rPr>
          <w:rFonts w:ascii="Verdana" w:eastAsia="Aptos" w:hAnsi="Verdana" w:cs="Arial"/>
          <w:lang w:val="es-ES" w:eastAsia="es-MX"/>
        </w:rPr>
      </w:pPr>
      <w:r w:rsidRPr="009D5308">
        <w:rPr>
          <w:rFonts w:ascii="Verdana" w:eastAsia="Aptos" w:hAnsi="Verdana" w:cs="Arial"/>
          <w:lang w:val="es-ES" w:eastAsia="es-MX"/>
        </w:rPr>
        <w:t xml:space="preserve">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 </w:t>
      </w:r>
    </w:p>
    <w:p w14:paraId="62FF17A3" w14:textId="77777777" w:rsidR="009D5308" w:rsidRPr="009D5308" w:rsidRDefault="009D5308" w:rsidP="009D5308">
      <w:pPr>
        <w:spacing w:after="120" w:line="276" w:lineRule="auto"/>
        <w:ind w:firstLine="708"/>
        <w:jc w:val="both"/>
        <w:rPr>
          <w:rFonts w:ascii="Verdana" w:eastAsia="Calibri" w:hAnsi="Verdana" w:cs="Arial"/>
          <w:lang w:eastAsia="es-MX"/>
        </w:rPr>
      </w:pPr>
      <w:r w:rsidRPr="009D5308">
        <w:rPr>
          <w:rFonts w:ascii="Verdana" w:eastAsia="Calibri" w:hAnsi="Verdana" w:cs="Arial"/>
          <w:lang w:eastAsia="es-ES_tradnl"/>
        </w:rPr>
        <w:t xml:space="preserve">De acuerdo con lo expuesto, </w:t>
      </w:r>
      <w:r w:rsidRPr="009D5308">
        <w:rPr>
          <w:rFonts w:ascii="Verdana" w:eastAsia="Calibri" w:hAnsi="Verdana" w:cs="Arial"/>
          <w:bdr w:val="none" w:sz="0" w:space="0" w:color="auto" w:frame="1"/>
          <w:lang w:eastAsia="es-ES_tradnl"/>
        </w:rPr>
        <w:t xml:space="preserve">los Documentos Tipo adoptados son obligatorios para las Entidades Estatales regidas por el </w:t>
      </w:r>
      <w:r w:rsidRPr="009D5308">
        <w:rPr>
          <w:rFonts w:ascii="Verdana" w:eastAsia="Calibri" w:hAnsi="Verdana" w:cs="Arial"/>
          <w:bCs/>
          <w:lang w:val="es-ES_tradnl" w:eastAsia="es-ES_tradnl"/>
        </w:rPr>
        <w:t>EGCAP</w:t>
      </w:r>
      <w:r w:rsidRPr="009D5308">
        <w:rPr>
          <w:rFonts w:ascii="Verdana" w:eastAsia="Calibri" w:hAnsi="Verdana" w:cs="Arial"/>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w:t>
      </w:r>
      <w:r w:rsidRPr="009D5308">
        <w:rPr>
          <w:rFonts w:ascii="Verdana" w:eastAsia="Calibri" w:hAnsi="Verdana" w:cs="Arial"/>
          <w:bdr w:val="none" w:sz="0" w:space="0" w:color="auto" w:frame="1"/>
          <w:vertAlign w:val="superscript"/>
          <w:lang w:eastAsia="es-ES_tradnl"/>
        </w:rPr>
        <w:footnoteReference w:id="5"/>
      </w:r>
      <w:r w:rsidRPr="009D5308">
        <w:rPr>
          <w:rFonts w:ascii="Verdana" w:eastAsia="Calibri" w:hAnsi="Verdana" w:cs="Arial"/>
          <w:bdr w:val="none" w:sz="0" w:space="0" w:color="auto" w:frame="1"/>
          <w:lang w:eastAsia="es-ES_tradnl"/>
        </w:rPr>
        <w:t xml:space="preserve">. </w:t>
      </w:r>
      <w:r w:rsidRPr="009D5308">
        <w:rPr>
          <w:rFonts w:ascii="Verdana" w:eastAsia="Calibri" w:hAnsi="Verdana" w:cs="Arial"/>
          <w:lang w:eastAsia="es-MX"/>
        </w:rPr>
        <w:t xml:space="preserve">Esta obligatoriedad implica, a su vez, que las Entidades </w:t>
      </w:r>
      <w:r w:rsidRPr="009D5308">
        <w:rPr>
          <w:rFonts w:ascii="Verdana" w:eastAsia="Calibri" w:hAnsi="Verdana" w:cs="Arial"/>
          <w:lang w:eastAsia="es-MX"/>
        </w:rPr>
        <w:lastRenderedPageBreak/>
        <w:t xml:space="preserve">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6F3AA772" w14:textId="77777777" w:rsidR="009D5308" w:rsidRPr="009D5308" w:rsidRDefault="009D5308" w:rsidP="009D5308">
      <w:pPr>
        <w:spacing w:after="120" w:line="276" w:lineRule="auto"/>
        <w:ind w:firstLine="709"/>
        <w:jc w:val="both"/>
        <w:rPr>
          <w:rFonts w:ascii="Verdana" w:eastAsia="Calibri" w:hAnsi="Verdana" w:cs="Arial"/>
          <w:lang w:val="es-ES" w:eastAsia="es-MX"/>
        </w:rPr>
      </w:pPr>
      <w:r w:rsidRPr="009D5308">
        <w:rPr>
          <w:rFonts w:ascii="Verdana" w:eastAsia="Calibri" w:hAnsi="Verdana" w:cs="Arial"/>
          <w:shd w:val="clear" w:color="auto" w:fill="FFFFFF"/>
          <w:lang w:val="es-ES" w:eastAsia="es-MX"/>
        </w:rPr>
        <w:t xml:space="preserve">En ese orden, </w:t>
      </w:r>
      <w:r w:rsidRPr="009D5308">
        <w:rPr>
          <w:rFonts w:ascii="Verdana" w:eastAsia="Calibri" w:hAnsi="Verdana" w:cs="Arial"/>
          <w:lang w:val="es-ES" w:eastAsia="es-MX"/>
        </w:rPr>
        <w:t xml:space="preserve">las Entidades Estatales regidas por el EGCAP,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relaciona con actividades u objetos contractuales descritos en los Documentos Tipo que han sido expedidos por Colombia Compra Eficiente, o estos no aplican a la modalidad de escogencia aplicable, no será obligatorio aplicar los Pliegos Tipo. </w:t>
      </w:r>
    </w:p>
    <w:p w14:paraId="3836BB72" w14:textId="77777777" w:rsidR="009D5308" w:rsidRPr="009D5308" w:rsidRDefault="009D5308" w:rsidP="009D5308">
      <w:pPr>
        <w:spacing w:after="120" w:line="276" w:lineRule="auto"/>
        <w:ind w:firstLine="709"/>
        <w:jc w:val="both"/>
        <w:rPr>
          <w:rFonts w:ascii="Verdana" w:eastAsia="Calibri" w:hAnsi="Verdana" w:cs="Arial"/>
          <w:lang w:val="es-ES_tradnl" w:eastAsia="es-MX"/>
        </w:rPr>
      </w:pPr>
      <w:r w:rsidRPr="009D5308">
        <w:rPr>
          <w:rFonts w:ascii="Verdana" w:eastAsia="Calibri" w:hAnsi="Verdana" w:cs="Arial"/>
          <w:lang w:val="es-ES" w:eastAsia="es-MX"/>
        </w:rPr>
        <w:t>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específicas contempladas en cada una de dichas matrices de experiencia. En este sentido, la matriz de experiencia de cada uno de los Documentos Tipo, además de estandarizar este importante requisito en los procedimientos de selección, delimita o precisa el ámbito de aplicación de estos, por lo que aplicarán a las actividades establecidas en cada una de estas matrices</w:t>
      </w:r>
      <w:r w:rsidRPr="009D5308">
        <w:rPr>
          <w:rFonts w:ascii="Verdana" w:eastAsia="Calibri" w:hAnsi="Verdana" w:cs="Arial"/>
          <w:vertAlign w:val="superscript"/>
          <w:lang w:val="es-ES" w:eastAsia="es-MX"/>
        </w:rPr>
        <w:footnoteReference w:id="6"/>
      </w:r>
      <w:r w:rsidRPr="009D5308">
        <w:rPr>
          <w:rFonts w:ascii="Verdana" w:eastAsia="Calibri" w:hAnsi="Verdana" w:cs="Arial"/>
          <w:lang w:val="es-ES" w:eastAsia="es-MX"/>
        </w:rPr>
        <w:t>.</w:t>
      </w:r>
    </w:p>
    <w:p w14:paraId="26C1E7FF" w14:textId="77777777" w:rsidR="009D5308" w:rsidRPr="009D5308" w:rsidRDefault="009D5308" w:rsidP="009D5308">
      <w:pPr>
        <w:spacing w:after="120" w:line="276" w:lineRule="auto"/>
        <w:jc w:val="both"/>
        <w:rPr>
          <w:rFonts w:ascii="Verdana" w:eastAsia="Aptos" w:hAnsi="Verdana" w:cs="Arial"/>
          <w:lang w:val="es-ES" w:eastAsia="es-MX"/>
        </w:rPr>
      </w:pPr>
      <w:r w:rsidRPr="009D5308">
        <w:rPr>
          <w:rFonts w:ascii="Verdana" w:eastAsia="Aptos" w:hAnsi="Verdana" w:cs="Arial"/>
          <w:lang w:val="es-ES" w:eastAsia="es-MX"/>
        </w:rPr>
        <w:tab/>
      </w:r>
      <w:bookmarkStart w:id="5" w:name="_Hlk104104535"/>
      <w:r w:rsidRPr="009D5308">
        <w:rPr>
          <w:rFonts w:ascii="Verdana" w:eastAsia="Aptos" w:hAnsi="Verdana" w:cs="Arial"/>
          <w:lang w:val="es-ES" w:eastAsia="es-MX"/>
        </w:rPr>
        <w:t xml:space="preserve">En conclusión, la definición de si a un Proceso de Contratación le aplican los Documentos Tipo radicará en si el contrato a ejecutar </w:t>
      </w:r>
      <w:proofErr w:type="gramStart"/>
      <w:r w:rsidRPr="009D5308">
        <w:rPr>
          <w:rFonts w:ascii="Verdana" w:eastAsia="Aptos" w:hAnsi="Verdana" w:cs="Arial"/>
          <w:lang w:val="es-ES" w:eastAsia="es-MX"/>
        </w:rPr>
        <w:t>se enmarca dentro de</w:t>
      </w:r>
      <w:proofErr w:type="gramEnd"/>
      <w:r w:rsidRPr="009D5308">
        <w:rPr>
          <w:rFonts w:ascii="Verdana" w:eastAsia="Aptos" w:hAnsi="Verdana" w:cs="Arial"/>
          <w:lang w:val="es-ES" w:eastAsia="es-MX"/>
        </w:rPr>
        <w:t xml:space="preserve"> las actividades establecidas en la matriz de experiencia del Documento Tipo, de </w:t>
      </w:r>
      <w:r w:rsidRPr="009D5308">
        <w:rPr>
          <w:rFonts w:ascii="Verdana" w:eastAsia="Aptos" w:hAnsi="Verdana" w:cs="Arial"/>
          <w:lang w:val="es-ES" w:eastAsia="es-MX"/>
        </w:rPr>
        <w:lastRenderedPageBreak/>
        <w:t xml:space="preserve">modo que las Entidades Estatales sometidas al EGCAP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bookmarkEnd w:id="5"/>
    </w:p>
    <w:p w14:paraId="77EDE478" w14:textId="77777777" w:rsidR="009D5308" w:rsidRPr="009D5308" w:rsidRDefault="009D5308" w:rsidP="009D5308">
      <w:pPr>
        <w:spacing w:after="120" w:line="276" w:lineRule="auto"/>
        <w:ind w:firstLine="708"/>
        <w:jc w:val="both"/>
        <w:rPr>
          <w:rFonts w:ascii="Verdana" w:eastAsia="Aptos" w:hAnsi="Verdana" w:cs="Arial"/>
          <w:lang w:val="es-ES" w:eastAsia="es-MX"/>
        </w:rPr>
      </w:pPr>
      <w:r w:rsidRPr="009D5308">
        <w:rPr>
          <w:rFonts w:ascii="Verdana" w:eastAsia="Calibri" w:hAnsi="Verdana" w:cs="Arial"/>
          <w:bCs/>
          <w:lang w:val="es-ES_tradnl" w:eastAsia="es-ES_tradnl"/>
        </w:rPr>
        <w:t xml:space="preserve">Conforme se explicó en los párrafos anteriores,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excluyen del ámbito de aplicación de los Documentos Tipo la contratación de Entidades Estatales de régimen exceptuado, por lo general, sujetas al derecho privado. </w:t>
      </w:r>
    </w:p>
    <w:p w14:paraId="7C62D0B1" w14:textId="77777777" w:rsidR="009D5308" w:rsidRPr="009D5308" w:rsidRDefault="009D5308" w:rsidP="009D5308">
      <w:pPr>
        <w:spacing w:after="120" w:line="276" w:lineRule="auto"/>
        <w:jc w:val="both"/>
        <w:rPr>
          <w:rFonts w:ascii="Verdana" w:eastAsia="Calibri" w:hAnsi="Verdana" w:cs="Arial"/>
          <w:lang w:val="es-ES" w:eastAsia="es-ES"/>
        </w:rPr>
      </w:pPr>
      <w:proofErr w:type="spellStart"/>
      <w:r w:rsidRPr="009D5308">
        <w:rPr>
          <w:rFonts w:ascii="Verdana" w:eastAsia="Calibri" w:hAnsi="Verdana" w:cs="Arial"/>
          <w:lang w:val="es-ES" w:eastAsia="es-ES"/>
        </w:rPr>
        <w:t>ii</w:t>
      </w:r>
      <w:proofErr w:type="spellEnd"/>
      <w:r w:rsidRPr="009D5308">
        <w:rPr>
          <w:rFonts w:ascii="Verdana" w:eastAsia="Calibri" w:hAnsi="Verdana" w:cs="Arial"/>
          <w:lang w:val="es-ES" w:eastAsia="es-ES"/>
        </w:rPr>
        <w:t xml:space="preserve">. No obstante, este panorama varió con la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75ED154D" w14:textId="77777777" w:rsidR="009D5308" w:rsidRPr="009D5308" w:rsidRDefault="009D5308" w:rsidP="009D5308">
      <w:pPr>
        <w:spacing w:after="0" w:line="276" w:lineRule="auto"/>
        <w:ind w:firstLine="708"/>
        <w:jc w:val="both"/>
        <w:rPr>
          <w:rFonts w:ascii="Verdana" w:eastAsia="Calibri" w:hAnsi="Verdana" w:cs="Arial"/>
          <w:bCs/>
          <w:lang w:val="es-ES_tradnl" w:eastAsia="es-ES_tradnl"/>
        </w:rPr>
      </w:pPr>
      <w:r w:rsidRPr="009D5308">
        <w:rPr>
          <w:rFonts w:ascii="Verdana" w:eastAsia="Calibri" w:hAnsi="Verdana" w:cs="Arial"/>
          <w:bCs/>
          <w:lang w:val="es-ES_tradnl" w:eastAsia="es-ES_tradnl"/>
        </w:rPr>
        <w:t>Entre las medidas adoptadas por la Ley mencionada se destaca el artículo 56, norma sobre la que versa la presente consulta. Esta disposición se refiere de manera expresa a los documentos tipo y a su aplicabilidad a sujetos diferentes de las entidades estatales sometidas al Estatuto General de Contratación de la Administración Pública:</w:t>
      </w:r>
    </w:p>
    <w:p w14:paraId="235726AE" w14:textId="77777777" w:rsidR="009D5308" w:rsidRPr="009D5308" w:rsidRDefault="009D5308" w:rsidP="009D5308">
      <w:pPr>
        <w:tabs>
          <w:tab w:val="left" w:pos="0"/>
        </w:tabs>
        <w:spacing w:after="0" w:line="276" w:lineRule="auto"/>
        <w:jc w:val="both"/>
        <w:rPr>
          <w:rFonts w:ascii="Arial" w:eastAsia="Calibri" w:hAnsi="Arial" w:cs="Arial"/>
          <w:bCs/>
          <w:szCs w:val="24"/>
          <w:lang w:val="es-ES_tradnl" w:eastAsia="es-ES_tradnl"/>
        </w:rPr>
      </w:pPr>
    </w:p>
    <w:p w14:paraId="6173B6DA" w14:textId="77777777" w:rsidR="009D5308" w:rsidRPr="009D5308" w:rsidRDefault="009D5308" w:rsidP="009D5308">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9D5308">
        <w:rPr>
          <w:rFonts w:ascii="Verdana" w:eastAsia="Times New Roman" w:hAnsi="Verdana" w:cs="Arial"/>
          <w:sz w:val="20"/>
          <w:szCs w:val="20"/>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w:t>
      </w:r>
      <w:r w:rsidRPr="009D5308">
        <w:rPr>
          <w:rFonts w:ascii="Verdana" w:eastAsia="Times New Roman" w:hAnsi="Verdana" w:cs="Arial"/>
          <w:sz w:val="20"/>
          <w:szCs w:val="20"/>
          <w:lang w:val="es-ES_tradnl" w:eastAsia="es-ES_tradnl"/>
        </w:rPr>
        <w:lastRenderedPageBreak/>
        <w:t xml:space="preserve">haga sus veces, conforme al parágrafo 7 del artículo 2 de la Ley 1150 de 2007 o las normas que lo modifiquen o sustituyan. </w:t>
      </w:r>
    </w:p>
    <w:p w14:paraId="2F3ABAA3" w14:textId="77777777" w:rsidR="009D5308" w:rsidRPr="009D5308" w:rsidRDefault="009D5308" w:rsidP="009D5308">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7B16D933" w14:textId="77777777" w:rsidR="009D5308" w:rsidRPr="009D5308" w:rsidRDefault="009D5308" w:rsidP="009D5308">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9D5308">
        <w:rPr>
          <w:rFonts w:ascii="Verdana" w:eastAsia="Times New Roman" w:hAnsi="Verdana" w:cs="Arial"/>
          <w:sz w:val="20"/>
          <w:szCs w:val="20"/>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36977F80" w14:textId="77777777" w:rsidR="009D5308" w:rsidRPr="009D5308" w:rsidRDefault="009D5308" w:rsidP="009D5308">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6D0322A5" w14:textId="77777777" w:rsidR="009D5308" w:rsidRPr="009D5308" w:rsidRDefault="009D5308" w:rsidP="009D5308">
      <w:pPr>
        <w:spacing w:after="0" w:line="240" w:lineRule="auto"/>
        <w:ind w:left="709" w:right="709"/>
        <w:jc w:val="both"/>
        <w:rPr>
          <w:rFonts w:ascii="Verdana" w:eastAsia="Calibri" w:hAnsi="Verdana" w:cs="Arial"/>
          <w:sz w:val="20"/>
          <w:szCs w:val="20"/>
          <w:lang w:val="es-ES" w:eastAsia="es-ES"/>
        </w:rPr>
      </w:pPr>
      <w:r w:rsidRPr="009D5308">
        <w:rPr>
          <w:rFonts w:ascii="Verdana" w:eastAsia="Times New Roman" w:hAnsi="Verdana" w:cs="Arial"/>
          <w:sz w:val="20"/>
          <w:szCs w:val="20"/>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9D5308">
        <w:rPr>
          <w:rFonts w:ascii="Verdana" w:eastAsia="Times New Roman" w:hAnsi="Verdana" w:cs="Arial"/>
          <w:i/>
          <w:iCs/>
          <w:sz w:val="20"/>
          <w:szCs w:val="20"/>
          <w:lang w:val="es-ES" w:eastAsia="es-ES"/>
        </w:rPr>
        <w:t>giro ordinario</w:t>
      </w:r>
      <w:r w:rsidRPr="009D5308">
        <w:rPr>
          <w:rFonts w:ascii="Verdana" w:eastAsia="Times New Roman" w:hAnsi="Verdana" w:cs="Arial"/>
          <w:sz w:val="20"/>
          <w:szCs w:val="20"/>
          <w:lang w:val="es-ES" w:eastAsia="es-ES"/>
        </w:rPr>
        <w:t>. En estos casos, en los manuales de contratación de estas entidades, se fomentará como buena práctica la aplicación de los pliegos tipo.</w:t>
      </w:r>
    </w:p>
    <w:p w14:paraId="2C550948" w14:textId="77777777" w:rsidR="009D5308" w:rsidRPr="009D5308" w:rsidRDefault="009D5308" w:rsidP="009D5308">
      <w:pPr>
        <w:tabs>
          <w:tab w:val="left" w:pos="0"/>
        </w:tabs>
        <w:spacing w:after="0" w:line="276" w:lineRule="auto"/>
        <w:jc w:val="both"/>
        <w:rPr>
          <w:rFonts w:ascii="Arial" w:eastAsia="Calibri" w:hAnsi="Arial" w:cs="Arial"/>
          <w:bCs/>
          <w:szCs w:val="24"/>
          <w:lang w:val="es-ES_tradnl" w:eastAsia="es-ES_tradnl"/>
        </w:rPr>
      </w:pPr>
    </w:p>
    <w:p w14:paraId="5551D3DD" w14:textId="77777777" w:rsidR="009D5308" w:rsidRPr="009D5308" w:rsidRDefault="009D5308" w:rsidP="009D5308">
      <w:pPr>
        <w:tabs>
          <w:tab w:val="left" w:pos="0"/>
        </w:tabs>
        <w:spacing w:after="120" w:line="276" w:lineRule="auto"/>
        <w:jc w:val="both"/>
        <w:rPr>
          <w:rFonts w:ascii="Verdana" w:eastAsia="Calibri" w:hAnsi="Verdana" w:cs="Arial"/>
          <w:color w:val="000000"/>
        </w:rPr>
      </w:pPr>
      <w:r w:rsidRPr="009D5308">
        <w:rPr>
          <w:rFonts w:ascii="Arial" w:eastAsia="Calibri" w:hAnsi="Arial" w:cs="Arial"/>
          <w:bCs/>
          <w:szCs w:val="24"/>
          <w:lang w:val="es-ES_tradnl" w:eastAsia="es-ES_tradnl"/>
        </w:rPr>
        <w:tab/>
      </w:r>
      <w:r w:rsidRPr="009D5308">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estatales, </w:t>
      </w:r>
      <w:proofErr w:type="gramStart"/>
      <w:r w:rsidRPr="009D5308">
        <w:rPr>
          <w:rFonts w:ascii="Verdana" w:eastAsia="Calibri" w:hAnsi="Verdana" w:cs="Arial"/>
          <w:bCs/>
          <w:szCs w:val="24"/>
          <w:lang w:val="es-ES_tradnl" w:eastAsia="es-ES_tradnl"/>
        </w:rPr>
        <w:t>que</w:t>
      </w:r>
      <w:proofErr w:type="gramEnd"/>
      <w:r w:rsidRPr="009D5308">
        <w:rPr>
          <w:rFonts w:ascii="Verdana" w:eastAsia="Calibri" w:hAnsi="Verdana" w:cs="Arial"/>
          <w:bCs/>
          <w:szCs w:val="24"/>
          <w:lang w:val="es-ES_tradnl" w:eastAsia="es-ES_tradnl"/>
        </w:rPr>
        <w:t xml:space="preserve"> como consecuencia de la entrada en vigor de la disposición en cita, ven alterado su régimen jurídico. </w:t>
      </w:r>
      <w:r w:rsidRPr="009D5308">
        <w:rPr>
          <w:rFonts w:ascii="Verdana" w:eastAsia="Calibri" w:hAnsi="Verdana" w:cs="Arial"/>
          <w:color w:val="000000"/>
        </w:rPr>
        <w:t xml:space="preserve">En tal sentido, para efectos de dar respuesta concreta al problema jurídico planteado y unificar el criterio de esta Subdirección, es importante tener en cuenta las posturas que se han sustentado en torno al alcance del artículo 56 de la Ley 2195 de 2022. </w:t>
      </w:r>
    </w:p>
    <w:p w14:paraId="3F39B4C7" w14:textId="77777777" w:rsidR="009D5308" w:rsidRPr="009D5308" w:rsidRDefault="009D5308" w:rsidP="009D5308">
      <w:pPr>
        <w:tabs>
          <w:tab w:val="left" w:pos="0"/>
        </w:tabs>
        <w:spacing w:after="120" w:line="276" w:lineRule="auto"/>
        <w:ind w:firstLine="709"/>
        <w:jc w:val="both"/>
        <w:rPr>
          <w:rFonts w:ascii="Verdana" w:eastAsia="Calibri" w:hAnsi="Verdana" w:cs="Arial"/>
          <w:bCs/>
          <w:szCs w:val="24"/>
          <w:lang w:val="es-ES_tradnl" w:eastAsia="es-ES_tradnl"/>
        </w:rPr>
      </w:pPr>
      <w:r w:rsidRPr="009D5308">
        <w:rPr>
          <w:rFonts w:ascii="Verdana" w:eastAsia="Calibri" w:hAnsi="Verdana" w:cs="Arial"/>
          <w:color w:val="000000"/>
        </w:rPr>
        <w:t xml:space="preserve">Así, </w:t>
      </w:r>
      <w:r w:rsidRPr="009D5308">
        <w:rPr>
          <w:rFonts w:ascii="Verdana" w:eastAsia="Times New Roman" w:hAnsi="Verdana" w:cs="Arial"/>
          <w:lang w:eastAsia="es-ES_tradnl"/>
        </w:rPr>
        <w:t>a partir del concepto C-066 del 28 de enero de 2022</w:t>
      </w:r>
      <w:r w:rsidRPr="009D5308">
        <w:rPr>
          <w:rFonts w:ascii="Verdana" w:eastAsia="Times New Roman" w:hAnsi="Verdana" w:cs="Arial"/>
          <w:vertAlign w:val="superscript"/>
          <w:lang w:eastAsia="es-ES_tradnl"/>
        </w:rPr>
        <w:footnoteReference w:id="7"/>
      </w:r>
      <w:r w:rsidRPr="009D5308">
        <w:rPr>
          <w:rFonts w:ascii="Verdana" w:eastAsia="Times New Roman" w:hAnsi="Verdana" w:cs="Arial"/>
          <w:lang w:eastAsia="es-ES_tradnl"/>
        </w:rPr>
        <w:t xml:space="preserve">, esta agencia consideró que </w:t>
      </w:r>
      <w:r w:rsidRPr="009D5308">
        <w:rPr>
          <w:rFonts w:ascii="Verdana" w:eastAsia="Calibri" w:hAnsi="Verdana" w:cs="Arial"/>
          <w:bCs/>
          <w:lang w:val="es-ES_tradnl" w:eastAsia="es-ES_tradnl"/>
        </w:rPr>
        <w:t xml:space="preserve">el primer y principal mandato de la norma se encuentra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En ese sentido, el primer inciso de la norma reafirma el deber de las entidades sometidas al EGCAP de aplicar los Documentos Tipo. </w:t>
      </w:r>
    </w:p>
    <w:p w14:paraId="23D91AEC" w14:textId="77777777" w:rsidR="009D5308" w:rsidRPr="009D5308" w:rsidRDefault="009D5308" w:rsidP="009D5308">
      <w:pPr>
        <w:spacing w:after="120" w:line="276" w:lineRule="auto"/>
        <w:jc w:val="both"/>
        <w:rPr>
          <w:rFonts w:ascii="Verdana" w:eastAsia="Calibri" w:hAnsi="Verdana" w:cs="Arial"/>
          <w:lang w:val="es-ES"/>
        </w:rPr>
      </w:pPr>
      <w:r w:rsidRPr="009D5308">
        <w:rPr>
          <w:rFonts w:ascii="Verdana" w:eastAsia="Calibri" w:hAnsi="Verdana" w:cs="Arial"/>
          <w:bCs/>
          <w:lang w:val="es-ES_tradnl" w:eastAsia="es-ES_tradnl"/>
        </w:rPr>
        <w:lastRenderedPageBreak/>
        <w:tab/>
      </w:r>
      <w:r w:rsidRPr="009D5308">
        <w:rPr>
          <w:rFonts w:ascii="Verdana" w:eastAsia="Calibri" w:hAnsi="Verdana" w:cs="Arial"/>
          <w:lang w:val="es-ES"/>
        </w:rPr>
        <w:t xml:space="preserve">De acuerdo con esto, se sostuvo que el artículo 56 de la Ley 2195 de 2022 es una norma que complementa al parágrafo 7 del artículo 2 de la Ley 1150 de 2007, modificado por la Ley 2022 de 2020, que establece el mandato de aplicación obligatoria de los Documentos Tipo para las entidades sometidas al EGCAP. Si bien el texto de la Ley 2022 de 2020 establece con claridad la regla de aplicación obligatoria de los documentos tipo en los Procesos de Contratación adelantados por las entidades estatales regidas por el EGCAP, lo cierto es que sus efectos no eran los mismos en los procesos de selección adelantados por entidades exceptuadas o con regímenes especiales.  </w:t>
      </w:r>
    </w:p>
    <w:p w14:paraId="5AEAA766" w14:textId="77777777" w:rsidR="009D5308" w:rsidRPr="009D5308" w:rsidRDefault="009D5308" w:rsidP="009D5308">
      <w:pPr>
        <w:spacing w:after="120" w:line="276" w:lineRule="auto"/>
        <w:jc w:val="both"/>
        <w:rPr>
          <w:rFonts w:ascii="Verdana" w:eastAsia="Calibri" w:hAnsi="Verdana" w:cs="Arial"/>
          <w:lang w:val="es-ES"/>
        </w:rPr>
      </w:pPr>
      <w:r w:rsidRPr="009D5308">
        <w:rPr>
          <w:rFonts w:ascii="Verdana" w:eastAsia="Calibri" w:hAnsi="Verdana" w:cs="Arial"/>
          <w:bCs/>
          <w:lang w:val="es-ES_tradnl"/>
        </w:rPr>
        <w:tab/>
      </w:r>
      <w:r w:rsidRPr="009D5308">
        <w:rPr>
          <w:rFonts w:ascii="Verdana" w:eastAsia="Calibri" w:hAnsi="Verdana" w:cs="Arial"/>
          <w:lang w:val="es-ES"/>
        </w:rPr>
        <w:t xml:space="preserve">Antes de la expedición del artículo 56 </w:t>
      </w:r>
      <w:proofErr w:type="spellStart"/>
      <w:r w:rsidRPr="009D5308">
        <w:rPr>
          <w:rFonts w:ascii="Verdana" w:eastAsia="Calibri" w:hAnsi="Verdana" w:cs="Arial"/>
          <w:i/>
          <w:iCs/>
          <w:lang w:val="es-ES"/>
        </w:rPr>
        <w:t>ibídem</w:t>
      </w:r>
      <w:proofErr w:type="spellEnd"/>
      <w:r w:rsidRPr="009D5308">
        <w:rPr>
          <w:rFonts w:ascii="Verdana" w:eastAsia="Calibri" w:hAnsi="Verdana" w:cs="Arial"/>
          <w:i/>
          <w:iCs/>
          <w:lang w:val="es-ES"/>
        </w:rPr>
        <w:t>,</w:t>
      </w:r>
      <w:r w:rsidRPr="009D5308">
        <w:rPr>
          <w:rFonts w:ascii="Verdana" w:eastAsia="Calibri" w:hAnsi="Verdana" w:cs="Arial"/>
          <w:lang w:val="es-ES"/>
        </w:rPr>
        <w:t xml:space="preserve"> la Ley 2022 de 2020 ya había establecido el mandato de aplicación obligatoria de los Documentos Tipo, atribuyendo a esta a Agencia la competencia para expedirlos. Dicha Ley restringe su aplicación en los Procesos de Contratación a través de los que una entidad 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2020, incluso tratándose de obras o servicios para cuya contratación les resultaba aplicable los Documentos Tipo vigentes, comoquiera que la aplicación de estos solo era procedente cuando el régimen de la entidad contratante fuera el EGCAP, toda vez que el parágrafo 7 del artículo 2 de la Ley 1150 de 2007 solo se refiere a la obligación de aplicar los Documentos Tipo en los Procesos de Contratación que adelanten las entidades sometidas al EGCAP. </w:t>
      </w:r>
    </w:p>
    <w:p w14:paraId="7724E1D2" w14:textId="77777777" w:rsidR="009D5308" w:rsidRPr="009D5308" w:rsidRDefault="009D5308" w:rsidP="009D5308">
      <w:pPr>
        <w:spacing w:after="120" w:line="276" w:lineRule="auto"/>
        <w:jc w:val="both"/>
        <w:rPr>
          <w:rFonts w:ascii="Verdana" w:eastAsia="Calibri" w:hAnsi="Verdana" w:cs="Arial"/>
          <w:lang w:val="es-ES"/>
        </w:rPr>
      </w:pPr>
      <w:r w:rsidRPr="009D5308">
        <w:rPr>
          <w:rFonts w:ascii="Verdana" w:eastAsia="Calibri" w:hAnsi="Verdana" w:cs="Arial"/>
          <w:bCs/>
          <w:lang w:val="es-ES_tradnl"/>
        </w:rPr>
        <w:tab/>
      </w:r>
      <w:r w:rsidRPr="009D5308">
        <w:rPr>
          <w:rFonts w:ascii="Verdana" w:eastAsia="Calibri" w:hAnsi="Verdana" w:cs="Arial"/>
          <w:lang w:val="es-ES"/>
        </w:rPr>
        <w:t>Por tanto, la norma, por el hecho de estar dirigida únicamente a las entidades sometidas a la Ley 80 de 1993 y la Ley 1150 de 2007, solo permitía que los Documentos Tipo tuvieran que aplicarse de manera obligatoria cuando este era el régimen general de la contratación de la entidad que adelantaba el Proceso de Contratación. En estos términos, si bien la Ley 2022 de 2020 no limitó la aplicabilidad de los Documentos Tipo expedidos por esta Agencia a una modalidad en específico, sí estableció que su implementación debía hacerse en el marco del EGCAP.</w:t>
      </w:r>
    </w:p>
    <w:p w14:paraId="5CF83976" w14:textId="77777777" w:rsidR="009D5308" w:rsidRPr="009D5308" w:rsidRDefault="009D5308" w:rsidP="009D5308">
      <w:pPr>
        <w:spacing w:after="120" w:line="276" w:lineRule="auto"/>
        <w:ind w:firstLine="709"/>
        <w:jc w:val="both"/>
        <w:rPr>
          <w:rFonts w:ascii="Verdana" w:eastAsia="Calibri" w:hAnsi="Verdana" w:cs="Arial"/>
          <w:bCs/>
          <w:lang w:val="es-ES_tradnl"/>
        </w:rPr>
      </w:pPr>
      <w:r w:rsidRPr="009D5308">
        <w:rPr>
          <w:rFonts w:ascii="Verdana" w:eastAsia="Calibri" w:hAnsi="Verdana" w:cs="Arial"/>
          <w:lang w:val="es-ES"/>
        </w:rPr>
        <w:t xml:space="preserve">En este escenario, se explicó que </w:t>
      </w:r>
      <w:r w:rsidRPr="009D5308">
        <w:rPr>
          <w:rFonts w:ascii="Verdana" w:eastAsia="Calibri" w:hAnsi="Verdana" w:cs="Arial"/>
          <w:bCs/>
          <w:lang w:val="es-ES_tradnl"/>
        </w:rPr>
        <w:t xml:space="preserve">el efecto del artículo 56 de la Ley 2195 de 2022 es ampliar el ámbito de aplicación de los Documentos Tipo, haciendo </w:t>
      </w:r>
      <w:r w:rsidRPr="009D5308">
        <w:rPr>
          <w:rFonts w:ascii="Verdana" w:eastAsia="Calibri" w:hAnsi="Verdana" w:cs="Arial"/>
          <w:bCs/>
          <w:lang w:val="es-ES_tradnl"/>
        </w:rPr>
        <w:lastRenderedPageBreak/>
        <w:t xml:space="preserve">obligatoria su aplicación a unos sujetos que, en principio, de acuerdo con la Ley 2022 de 2020, no estarían obligados a aplicarlos. De igual forma, la norma hace extensiva la aplicación del EGCAP a sujetos que en virtud de su naturaleza jurídica tienen como regla general un régimen de contratación diferente, como, por ejemplo, las entidades exceptuadas, los patrimonios autónomos, personas naturales y jurídicas de derecho privado, a los que expresamente hace alusión el artículo 56.    </w:t>
      </w:r>
    </w:p>
    <w:p w14:paraId="39C14D97" w14:textId="77777777" w:rsidR="009D5308" w:rsidRPr="009D5308" w:rsidRDefault="009D5308" w:rsidP="009D5308">
      <w:pPr>
        <w:spacing w:after="120" w:line="276" w:lineRule="auto"/>
        <w:ind w:firstLine="709"/>
        <w:jc w:val="both"/>
        <w:rPr>
          <w:rFonts w:ascii="Verdana" w:eastAsia="Calibri" w:hAnsi="Verdana" w:cs="Arial"/>
          <w:lang w:val="es-ES_tradnl"/>
        </w:rPr>
      </w:pPr>
      <w:r w:rsidRPr="009D5308">
        <w:rPr>
          <w:rFonts w:ascii="Verdana" w:eastAsia="Calibri" w:hAnsi="Verdana" w:cs="Arial"/>
          <w:lang w:val="es-ES"/>
        </w:rPr>
        <w:t xml:space="preserve">Por consiguiente, se concluyó que </w:t>
      </w:r>
      <w:r w:rsidRPr="009D5308">
        <w:rPr>
          <w:rFonts w:ascii="Verdana" w:eastAsia="Calibri" w:hAnsi="Verdana" w:cs="Arial"/>
          <w:lang w:val="es-ES_tradnl"/>
        </w:rPr>
        <w:t xml:space="preserve">de conformidad con el artículo 56 de la Ley 2195 de 2022, las entidades de régimen especial o exceptuado, los patrimonios autónomos, las personas naturales y jurídicas de derecho privado, que, en el marco de compromisos contractuales derivados de contratos o convenios de cualquier índole con entidades sometidas al Estatuto General de Contratación de la Administración Pública, deban contratar objetos cobijados por el ámbito de aplicación de Documentos Tipo, están obligados a contratarlos aplicando los mencionados documentos. En virtud de dicha disposición, tales entidades, además, deberán adelantar el Proceso de Contratación y celebrar contrato aplicando las disposiciones que integran el Estatuto General de Contratación de la Administración Pública, de manera obligatoria.  </w:t>
      </w:r>
    </w:p>
    <w:p w14:paraId="47CA7F02" w14:textId="77777777" w:rsidR="009D5308" w:rsidRPr="009D5308" w:rsidRDefault="009D5308" w:rsidP="009D5308">
      <w:pPr>
        <w:spacing w:after="120" w:line="276" w:lineRule="auto"/>
        <w:ind w:firstLine="709"/>
        <w:jc w:val="both"/>
        <w:rPr>
          <w:rFonts w:ascii="Verdana" w:eastAsia="Calibri" w:hAnsi="Verdana" w:cs="Arial"/>
          <w:lang w:val="es-ES_tradnl" w:eastAsia="es-ES_tradnl"/>
        </w:rPr>
      </w:pPr>
      <w:r w:rsidRPr="009D5308">
        <w:rPr>
          <w:rFonts w:ascii="Verdana" w:eastAsia="Calibri" w:hAnsi="Verdana" w:cs="Arial"/>
          <w:lang w:val="es-ES"/>
        </w:rPr>
        <w:t xml:space="preserve">Por otro lado, en los conceptos </w:t>
      </w:r>
      <w:r w:rsidRPr="009D5308">
        <w:rPr>
          <w:rFonts w:ascii="Verdana" w:eastAsia="Calibri" w:hAnsi="Verdana" w:cs="Arial"/>
          <w:lang w:eastAsia="es-ES_tradnl"/>
        </w:rPr>
        <w:t>C-486 del 2 de septiembre de 2022</w:t>
      </w:r>
      <w:r w:rsidRPr="009D5308">
        <w:rPr>
          <w:rFonts w:ascii="Verdana" w:eastAsia="Calibri" w:hAnsi="Verdana" w:cs="Arial"/>
          <w:lang w:val="es-ES_tradnl" w:eastAsia="es-ES_tradnl"/>
        </w:rPr>
        <w:t xml:space="preserve">, </w:t>
      </w:r>
      <w:r w:rsidRPr="009D5308">
        <w:rPr>
          <w:rFonts w:ascii="Verdana" w:eastAsia="Calibri" w:hAnsi="Verdana" w:cs="Arial"/>
          <w:lang w:eastAsia="es-ES_tradnl"/>
        </w:rPr>
        <w:t>C-671 del 19 de octubre de 2022, C-576 del 25 de octubre de 2022,</w:t>
      </w:r>
      <w:r w:rsidRPr="009D5308">
        <w:rPr>
          <w:rFonts w:ascii="Verdana" w:eastAsia="Calibri" w:hAnsi="Verdana" w:cs="Arial"/>
          <w:lang w:val="es-ES_tradnl" w:eastAsia="es-ES_tradnl"/>
        </w:rPr>
        <w:t xml:space="preserve"> </w:t>
      </w:r>
      <w:r w:rsidRPr="009D5308">
        <w:rPr>
          <w:rFonts w:ascii="Verdana" w:eastAsia="Calibri" w:hAnsi="Verdana" w:cs="Arial"/>
          <w:lang w:eastAsia="es-ES_tradnl"/>
        </w:rPr>
        <w:t xml:space="preserve"> C-042 del 29 de marzo de 2023, C-299 del 24 de julio de 2023, </w:t>
      </w:r>
      <w:r w:rsidRPr="009D5308">
        <w:rPr>
          <w:rFonts w:ascii="Verdana" w:eastAsia="Calibri" w:hAnsi="Verdana" w:cs="Arial"/>
          <w:lang w:val="es-ES_tradnl" w:eastAsia="es-ES_tradnl"/>
        </w:rPr>
        <w:t>C-354 del 6 de septiembre de 2023,</w:t>
      </w:r>
      <w:r w:rsidRPr="009D5308">
        <w:rPr>
          <w:rFonts w:ascii="Verdana" w:eastAsia="Calibri" w:hAnsi="Verdana" w:cs="Arial"/>
          <w:lang w:eastAsia="es-ES_tradnl"/>
        </w:rPr>
        <w:t xml:space="preserve"> </w:t>
      </w:r>
      <w:r w:rsidRPr="009D5308">
        <w:rPr>
          <w:rFonts w:ascii="Verdana" w:eastAsia="Calibri" w:hAnsi="Verdana" w:cs="Arial"/>
          <w:lang w:val="es-ES_tradnl" w:eastAsia="es-ES_tradnl"/>
        </w:rPr>
        <w:t>C-399 del 27 de septiembre de 2023, C-079 del 5 de junio de 2024, C-055 del 9 de mayo de 2024, C-095 del 19 de junio de 2024, C-104 del 21 de junio de 2024,</w:t>
      </w:r>
      <w:r w:rsidRPr="009D5308">
        <w:rPr>
          <w:rFonts w:ascii="Verdana" w:eastAsia="Calibri" w:hAnsi="Verdana" w:cs="Arial"/>
          <w:lang w:val="es-ES"/>
        </w:rPr>
        <w:t xml:space="preserve"> C-396 del 10 de septiembre de 2024,</w:t>
      </w:r>
      <w:r w:rsidRPr="009D5308">
        <w:rPr>
          <w:rFonts w:ascii="Verdana" w:eastAsia="Calibri" w:hAnsi="Verdana" w:cs="Arial"/>
          <w:lang w:val="es-ES_tradnl" w:eastAsia="es-ES_tradnl"/>
        </w:rPr>
        <w:t xml:space="preserve"> </w:t>
      </w:r>
      <w:r w:rsidRPr="009D5308">
        <w:rPr>
          <w:rFonts w:ascii="Verdana" w:eastAsia="Calibri" w:hAnsi="Verdana" w:cs="Arial"/>
          <w:lang w:val="es-ES"/>
        </w:rPr>
        <w:t>C-802 del 13 de diciembre de 2024</w:t>
      </w:r>
      <w:bookmarkStart w:id="7" w:name="_Hlk176877694"/>
      <w:r w:rsidRPr="009D5308">
        <w:rPr>
          <w:rFonts w:ascii="Verdana" w:eastAsia="Calibri" w:hAnsi="Verdana" w:cs="Arial"/>
          <w:lang w:val="es-ES"/>
        </w:rPr>
        <w:t xml:space="preserve"> y 049 del 17 de febrero de 2025</w:t>
      </w:r>
      <w:r w:rsidRPr="009D5308">
        <w:rPr>
          <w:rFonts w:ascii="Verdana" w:eastAsia="Calibri" w:hAnsi="Verdana" w:cs="Arial"/>
          <w:lang w:eastAsia="es-ES_tradnl"/>
        </w:rPr>
        <w:t xml:space="preserve"> </w:t>
      </w:r>
      <w:r w:rsidRPr="009D5308">
        <w:rPr>
          <w:rFonts w:ascii="Verdana" w:eastAsia="Calibri" w:hAnsi="Verdana" w:cs="Arial"/>
          <w:lang w:val="es-ES_tradnl" w:eastAsia="es-ES_tradnl"/>
        </w:rPr>
        <w:t xml:space="preserve">se indicó que la aplicación del inciso primero del artículo 56 de la Ley 2195 de 2022 se debe efectuar </w:t>
      </w:r>
      <w:bookmarkEnd w:id="7"/>
      <w:r w:rsidRPr="009D5308">
        <w:rPr>
          <w:rFonts w:ascii="Verdana" w:eastAsia="Calibri" w:hAnsi="Verdana" w:cs="Arial"/>
          <w:lang w:val="es-ES_tradnl" w:eastAsia="es-ES_tradnl"/>
        </w:rPr>
        <w:t>en el marco de la regla de interpretación por contexto conforme al criterio hermenéutico del artículo 30 del Código Civil</w:t>
      </w:r>
      <w:r w:rsidRPr="009D5308">
        <w:rPr>
          <w:rFonts w:ascii="Verdana" w:eastAsia="Calibri" w:hAnsi="Verdana" w:cs="Arial"/>
          <w:vertAlign w:val="superscript"/>
          <w:lang w:val="es-ES_tradnl" w:eastAsia="es-ES_tradnl"/>
        </w:rPr>
        <w:footnoteReference w:id="8"/>
      </w:r>
      <w:r w:rsidRPr="009D5308">
        <w:rPr>
          <w:rFonts w:ascii="Verdana" w:eastAsia="Calibri" w:hAnsi="Verdana" w:cs="Arial"/>
          <w:lang w:val="es-ES_tradnl" w:eastAsia="es-ES_tradnl"/>
        </w:rPr>
        <w:t xml:space="preserve">, y de interpretación por extensión de una ley consagrada en el artículo 31 </w:t>
      </w:r>
      <w:r w:rsidRPr="009D5308">
        <w:rPr>
          <w:rFonts w:ascii="Verdana" w:eastAsia="Calibri" w:hAnsi="Verdana" w:cs="Arial"/>
          <w:i/>
          <w:iCs/>
          <w:lang w:val="es-ES_tradnl" w:eastAsia="es-ES_tradnl"/>
        </w:rPr>
        <w:t>ibidem</w:t>
      </w:r>
      <w:r w:rsidRPr="009D5308">
        <w:rPr>
          <w:rFonts w:ascii="Verdana" w:eastAsia="Calibri" w:hAnsi="Verdana" w:cs="Arial"/>
          <w:i/>
          <w:iCs/>
          <w:vertAlign w:val="superscript"/>
          <w:lang w:val="es-ES_tradnl" w:eastAsia="es-ES_tradnl"/>
        </w:rPr>
        <w:footnoteReference w:id="9"/>
      </w:r>
      <w:r w:rsidRPr="009D5308">
        <w:rPr>
          <w:rFonts w:ascii="Verdana" w:eastAsia="Calibri" w:hAnsi="Verdana" w:cs="Arial"/>
          <w:lang w:val="es-ES_tradnl" w:eastAsia="es-ES_tradnl"/>
        </w:rPr>
        <w:t>. De conformidad con ello se explicó que “</w:t>
      </w:r>
      <w:r w:rsidRPr="009D5308">
        <w:rPr>
          <w:rFonts w:ascii="Verdana" w:eastAsia="Calibri" w:hAnsi="Verdana" w:cs="Arial"/>
          <w:bCs/>
          <w:lang w:val="es-ES_tradnl" w:eastAsia="es-ES_tradnl"/>
        </w:rPr>
        <w:t>no pudiera</w:t>
      </w:r>
      <w:r w:rsidRPr="009D5308">
        <w:rPr>
          <w:rFonts w:ascii="Verdana" w:eastAsia="Calibri" w:hAnsi="Verdana" w:cs="Arial"/>
          <w:lang w:val="es-ES_tradnl" w:eastAsia="es-ES_tradnl"/>
        </w:rPr>
        <w:t xml:space="preserve"> pensarse que se extiende la aplicación a particulares y a entidades con régimen de contratación especial la obligatoriedad de adelantar procesos de </w:t>
      </w:r>
      <w:r w:rsidRPr="009D5308">
        <w:rPr>
          <w:rFonts w:ascii="Verdana" w:eastAsia="Calibri" w:hAnsi="Verdana" w:cs="Arial"/>
          <w:lang w:val="es-ES_tradnl" w:eastAsia="es-ES_tradnl"/>
        </w:rPr>
        <w:lastRenderedPageBreak/>
        <w:t>selección y suscribir contratos sometidos al EGCAP, puesto que el texto de la Ley 2022 de 2020 establece de manera literal que la regla de aplicación obligatoria de los Documentos Tipo en los Procesos de Contratación adelantados por las Entidades Estatales regidas por el EGCAP, es decir,</w:t>
      </w:r>
      <w:r w:rsidRPr="009D5308">
        <w:rPr>
          <w:rFonts w:ascii="Verdana" w:eastAsia="Calibri" w:hAnsi="Verdana" w:cs="Arial"/>
          <w:bCs/>
          <w:lang w:val="es-ES_tradnl" w:eastAsia="es-ES_tradnl"/>
        </w:rPr>
        <w:t xml:space="preserve"> </w:t>
      </w:r>
      <w:r w:rsidRPr="009D5308">
        <w:rPr>
          <w:rFonts w:ascii="Verdana" w:eastAsia="Calibri" w:hAnsi="Verdana" w:cs="Arial"/>
          <w:lang w:val="es-ES_tradnl" w:eastAsia="es-ES_tradnl"/>
        </w:rPr>
        <w:t xml:space="preserve">la obligatoriedad de utilizar Documentos Tipo </w:t>
      </w:r>
      <w:r w:rsidRPr="009D5308">
        <w:rPr>
          <w:rFonts w:ascii="Verdana" w:eastAsia="Calibri" w:hAnsi="Verdana" w:cs="Arial"/>
          <w:bCs/>
          <w:lang w:val="es-ES_tradnl" w:eastAsia="es-ES_tradnl"/>
        </w:rPr>
        <w:t xml:space="preserve">se extiende </w:t>
      </w:r>
      <w:r w:rsidRPr="009D5308">
        <w:rPr>
          <w:rFonts w:ascii="Verdana" w:eastAsia="Calibri" w:hAnsi="Verdana" w:cs="Arial"/>
          <w:lang w:val="es-ES_tradnl" w:eastAsia="es-ES_tradnl"/>
        </w:rPr>
        <w:t xml:space="preserve">en los convenios o contratos interadministrativos o de cualquier otra índole, </w:t>
      </w:r>
      <w:r w:rsidRPr="009D5308">
        <w:rPr>
          <w:rFonts w:ascii="Verdana" w:eastAsia="Calibri" w:hAnsi="Verdana" w:cs="Arial"/>
          <w:bCs/>
          <w:lang w:val="es-ES_tradnl" w:eastAsia="es-ES_tradnl"/>
        </w:rPr>
        <w:t xml:space="preserve">y </w:t>
      </w:r>
      <w:r w:rsidRPr="009D5308">
        <w:rPr>
          <w:rFonts w:ascii="Verdana" w:eastAsia="Calibri" w:hAnsi="Verdana" w:cs="Arial"/>
          <w:lang w:val="es-ES_tradnl" w:eastAsia="es-ES_tradnl"/>
        </w:rPr>
        <w:t>a las diferentes modalidades de selección de los Procesos de Contratación adelantados por entidades sometidas al EGCAP</w:t>
      </w:r>
      <w:r w:rsidRPr="009D5308">
        <w:rPr>
          <w:rFonts w:ascii="Verdana" w:eastAsia="Calibri" w:hAnsi="Verdana" w:cs="Arial"/>
          <w:bCs/>
          <w:lang w:val="es-ES_tradnl" w:eastAsia="es-ES_tradnl"/>
        </w:rPr>
        <w:t>.”</w:t>
      </w:r>
    </w:p>
    <w:p w14:paraId="3E7751CF" w14:textId="77777777" w:rsidR="009D5308" w:rsidRPr="009D5308" w:rsidRDefault="009D5308" w:rsidP="009D5308">
      <w:pPr>
        <w:spacing w:after="120" w:line="276" w:lineRule="auto"/>
        <w:ind w:firstLine="709"/>
        <w:jc w:val="both"/>
        <w:rPr>
          <w:rFonts w:ascii="Verdana" w:eastAsia="Calibri" w:hAnsi="Verdana" w:cs="Arial"/>
          <w:bCs/>
          <w:lang w:val="es-ES_tradnl" w:eastAsia="es-ES_tradnl"/>
        </w:rPr>
      </w:pPr>
      <w:r w:rsidRPr="009D5308">
        <w:rPr>
          <w:rFonts w:ascii="Verdana" w:eastAsia="Calibri" w:hAnsi="Verdana" w:cs="Arial"/>
          <w:lang w:val="es-ES" w:eastAsia="es-ES"/>
        </w:rPr>
        <w:t xml:space="preserve">De esta forma, se argumentó que </w:t>
      </w:r>
      <w:bookmarkStart w:id="8" w:name="_Hlk176861444"/>
      <w:bookmarkStart w:id="9" w:name="_Hlk144075366"/>
      <w:r w:rsidRPr="009D5308">
        <w:rPr>
          <w:rFonts w:ascii="Verdana" w:eastAsia="Calibri" w:hAnsi="Verdana" w:cs="Arial"/>
          <w:bCs/>
          <w:lang w:val="es-ES_tradnl" w:eastAsia="es-ES_tradnl"/>
        </w:rPr>
        <w:t xml:space="preserve">con la entrada en vigencia del artículo 56 de la Ley 2195 de 2022, la aplicación de Documentos Pliego Tipo resulta obligatoria cuando la Entidad Estatal opta por celebrar convenios o contratos interadministrativos, o de cualquier otra índole, sin que por ello implique que las entidades de regímenes especiales de contratación, patrimonios autónomos o personas naturales o jurídicas de derecho privado se las haya habilitado legalmente para que apliquen Documentos Pliego Tipo en su contratación privada, por cuanto, la norma parte de la premisa fundamental de que la aplicación de estos solo es procedente para entidades cuyo régimen contractual corresponde al EGCAP. Esto en la medida en que, </w:t>
      </w:r>
      <w:bookmarkStart w:id="10" w:name="_Hlk109963698"/>
      <w:r w:rsidRPr="009D5308">
        <w:rPr>
          <w:rFonts w:ascii="Verdana" w:eastAsia="Calibri" w:hAnsi="Verdana" w:cs="Arial"/>
          <w:bCs/>
          <w:lang w:val="es-ES_tradnl" w:eastAsia="es-ES_tradnl"/>
        </w:rPr>
        <w:t>el parágrafo 7 del artículo 2 de la Ley 1150 de 2007, modificado por la Ley 2022 de 2020, solo se refiere a la obligación de aplicar los Documentos Tipo en los Procesos de Contratación que adelanten las entidades sometidas al EGCAP.</w:t>
      </w:r>
      <w:r w:rsidRPr="009D5308">
        <w:rPr>
          <w:rFonts w:ascii="Verdana" w:eastAsia="Calibri" w:hAnsi="Verdana" w:cs="Arial"/>
          <w:bCs/>
          <w:strike/>
          <w:lang w:val="es-ES_tradnl" w:eastAsia="es-ES_tradnl"/>
        </w:rPr>
        <w:t xml:space="preserve"> </w:t>
      </w:r>
      <w:bookmarkEnd w:id="8"/>
      <w:bookmarkEnd w:id="10"/>
    </w:p>
    <w:bookmarkEnd w:id="9"/>
    <w:p w14:paraId="028A4320" w14:textId="77777777" w:rsidR="009D5308" w:rsidRPr="009D5308" w:rsidRDefault="009D5308" w:rsidP="009D5308">
      <w:pPr>
        <w:spacing w:after="120" w:line="276" w:lineRule="auto"/>
        <w:ind w:firstLine="709"/>
        <w:jc w:val="both"/>
        <w:rPr>
          <w:rFonts w:ascii="Verdana" w:eastAsia="Calibri" w:hAnsi="Verdana" w:cs="Arial"/>
        </w:rPr>
      </w:pPr>
      <w:r w:rsidRPr="009D5308">
        <w:rPr>
          <w:rFonts w:ascii="Verdana" w:eastAsia="Calibri" w:hAnsi="Verdana" w:cs="Arial"/>
          <w:lang w:val="es-ES"/>
        </w:rPr>
        <w:t xml:space="preserve">Así, se concluyó que para la interpretación del inciso primero del artículo 56 de la Ley 2195 de 2022 deberán tenerse en cuenta las siguientes reglas: i) </w:t>
      </w:r>
      <w:r w:rsidRPr="009D5308">
        <w:rPr>
          <w:rFonts w:ascii="Verdana" w:eastAsia="Calibri" w:hAnsi="Verdana" w:cs="Arial"/>
          <w:i/>
          <w:lang w:val="es-ES"/>
        </w:rPr>
        <w:t>en el caso de los convenios interadministrativos o de cualquier otra índole:</w:t>
      </w:r>
      <w:r w:rsidRPr="009D5308">
        <w:rPr>
          <w:rFonts w:ascii="Verdana" w:eastAsia="Calibri" w:hAnsi="Verdana" w:cs="Arial"/>
          <w:lang w:val="es-ES"/>
        </w:rPr>
        <w:t xml:space="preserve"> la obligación de llevar a cabo la selección de los Procesos de Contratación y celebrar los respectivos contratos para adquirir aquellas obras o servicios para cuya contratación le fuese aplicable los Documentos Tipo vigentes y que deban contratarse en el marco del convenio, deberán ser adelantados por la entidad sometida al EGCAP; y, </w:t>
      </w:r>
      <w:proofErr w:type="spellStart"/>
      <w:r w:rsidRPr="009D5308">
        <w:rPr>
          <w:rFonts w:ascii="Verdana" w:eastAsia="Calibri" w:hAnsi="Verdana" w:cs="Arial"/>
          <w:lang w:val="es-ES"/>
        </w:rPr>
        <w:t>ii</w:t>
      </w:r>
      <w:proofErr w:type="spellEnd"/>
      <w:r w:rsidRPr="009D5308">
        <w:rPr>
          <w:rFonts w:ascii="Verdana" w:eastAsia="Calibri" w:hAnsi="Verdana" w:cs="Arial"/>
          <w:lang w:val="es-ES"/>
        </w:rPr>
        <w:t xml:space="preserve">) </w:t>
      </w:r>
      <w:r w:rsidRPr="009D5308">
        <w:rPr>
          <w:rFonts w:ascii="Verdana" w:eastAsia="Calibri" w:hAnsi="Verdana" w:cs="Arial"/>
          <w:i/>
          <w:lang w:val="es-ES"/>
        </w:rPr>
        <w:t>en el caso de los contratos interadministrativos</w:t>
      </w:r>
      <w:r w:rsidRPr="009D5308">
        <w:rPr>
          <w:rFonts w:ascii="Verdana" w:eastAsia="Calibri" w:hAnsi="Verdana" w:cs="Arial"/>
          <w:lang w:val="es-ES"/>
        </w:rPr>
        <w:t xml:space="preserve"> </w:t>
      </w:r>
      <w:r w:rsidRPr="009D5308">
        <w:rPr>
          <w:rFonts w:ascii="Verdana" w:eastAsia="Calibri" w:hAnsi="Verdana" w:cs="Arial"/>
          <w:i/>
          <w:lang w:val="es-ES"/>
        </w:rPr>
        <w:t>o de cualquier otra índole</w:t>
      </w:r>
      <w:r w:rsidRPr="009D5308">
        <w:rPr>
          <w:rFonts w:ascii="Verdana" w:eastAsia="Calibri" w:hAnsi="Verdana" w:cs="Arial"/>
          <w:lang w:val="es-ES"/>
        </w:rPr>
        <w:t xml:space="preserve">: </w:t>
      </w:r>
      <w:r w:rsidRPr="009D5308">
        <w:rPr>
          <w:rFonts w:ascii="Verdana" w:eastAsia="Calibri" w:hAnsi="Verdana" w:cs="Arial"/>
        </w:rPr>
        <w:t xml:space="preserve">implica que si las Entidades Estatales exceptuadas, los patrimonios autónomos y las personas naturales o jurídicas de derecho privado pretenden ser adjudicatarias de estos contratos, deben someterse a un proceso de selección en el que se apliquen Documentos Tipo expedidos por esta Agencia a cargo de la </w:t>
      </w:r>
      <w:r w:rsidRPr="009D5308">
        <w:rPr>
          <w:rFonts w:ascii="Verdana" w:eastAsia="Calibri" w:hAnsi="Verdana" w:cs="Arial"/>
          <w:lang w:val="es-ES"/>
        </w:rPr>
        <w:t>entidad sometida al EGCAP</w:t>
      </w:r>
      <w:r w:rsidRPr="009D5308">
        <w:rPr>
          <w:rFonts w:ascii="Verdana" w:eastAsia="Calibri" w:hAnsi="Verdana" w:cs="Arial"/>
        </w:rPr>
        <w:t xml:space="preserve">. </w:t>
      </w:r>
    </w:p>
    <w:p w14:paraId="0D3DDCB3" w14:textId="77777777" w:rsidR="009D5308" w:rsidRPr="009D5308" w:rsidRDefault="009D5308" w:rsidP="009D5308">
      <w:pPr>
        <w:spacing w:after="120" w:line="276" w:lineRule="auto"/>
        <w:ind w:firstLine="709"/>
        <w:jc w:val="both"/>
        <w:rPr>
          <w:rFonts w:ascii="Verdana" w:eastAsia="Calibri" w:hAnsi="Verdana" w:cs="Arial"/>
        </w:rPr>
      </w:pPr>
      <w:r w:rsidRPr="009D5308">
        <w:rPr>
          <w:rFonts w:ascii="Verdana" w:eastAsia="Calibri" w:hAnsi="Verdana" w:cs="Arial"/>
        </w:rPr>
        <w:t xml:space="preserve">Además, se expuso que </w:t>
      </w:r>
      <w:r w:rsidRPr="009D5308">
        <w:rPr>
          <w:rFonts w:ascii="Verdana" w:eastAsia="Calibri" w:hAnsi="Verdana" w:cs="Arial"/>
          <w:lang w:val="es-ES" w:eastAsia="es-ES"/>
        </w:rPr>
        <w:t xml:space="preserve">el hecho de que la norma esté dirigida a las entidades sometidas al EGCAP, no tiene otro fin más que el de indicar que la </w:t>
      </w:r>
      <w:r w:rsidRPr="009D5308">
        <w:rPr>
          <w:rFonts w:ascii="Verdana" w:eastAsia="Calibri" w:hAnsi="Verdana" w:cs="Arial"/>
          <w:lang w:val="es-ES" w:eastAsia="es-ES"/>
        </w:rPr>
        <w:lastRenderedPageBreak/>
        <w:t xml:space="preserve">obligación de emplear los Documentos Tipo en el marco de un contrato o convenio interadministrativo, o de cualquier otra índole, recae sobre la misma, pues sólo así puede garantizarse que el mandato imperativo dispuesto en el literal segundo del artículo en cita, tenga un efecto jurídico, pues estas entidades deben realizar procesos de selección y celebrar contratos con sujeción al EGCAP, requerido para la aplicación de Documentos Tipo en virtud de lo regulado en el parágrafo 7 del artículo 2 de la Ley 1150 de 2007, modificado por la Ley 2022 de 2020. </w:t>
      </w:r>
    </w:p>
    <w:p w14:paraId="194869BE" w14:textId="77777777" w:rsidR="009D5308" w:rsidRPr="009D5308" w:rsidRDefault="009D5308" w:rsidP="009D5308">
      <w:pPr>
        <w:spacing w:after="120" w:line="276" w:lineRule="auto"/>
        <w:ind w:firstLine="709"/>
        <w:jc w:val="both"/>
        <w:rPr>
          <w:rFonts w:ascii="Verdana" w:eastAsia="Calibri" w:hAnsi="Verdana" w:cs="Arial"/>
          <w:lang w:eastAsia="es-ES"/>
        </w:rPr>
      </w:pPr>
      <w:r w:rsidRPr="009D5308">
        <w:rPr>
          <w:rFonts w:ascii="Verdana" w:eastAsia="Calibri" w:hAnsi="Verdana" w:cs="Arial"/>
          <w:lang w:val="es-ES"/>
        </w:rPr>
        <w:t>En este contexto, teniendo en cuenta el contraste de las posturas señaladas que exponen tesis distintas frente a la interpretación del artículo 56 de la</w:t>
      </w:r>
      <w:r w:rsidRPr="009D5308">
        <w:rPr>
          <w:rFonts w:ascii="Verdana" w:eastAsia="Calibri" w:hAnsi="Verdana" w:cs="Arial"/>
          <w:lang w:val="es-ES" w:eastAsia="es-ES"/>
        </w:rPr>
        <w:t xml:space="preserve"> Ley 2195 de 2022</w:t>
      </w:r>
      <w:r w:rsidRPr="009D5308">
        <w:rPr>
          <w:rFonts w:ascii="Verdana" w:eastAsia="Calibri" w:hAnsi="Verdana" w:cs="Arial"/>
          <w:lang w:val="es-ES"/>
        </w:rPr>
        <w:t>, esta Subdirección considera necesario unificar la línea doctrinal respecto del alcance interpretativo de dicha norma</w:t>
      </w:r>
      <w:r w:rsidRPr="009D5308">
        <w:rPr>
          <w:rFonts w:ascii="Verdana" w:eastAsia="Calibri" w:hAnsi="Verdana" w:cs="Arial"/>
          <w:lang w:val="es-ES" w:eastAsia="es-ES"/>
        </w:rPr>
        <w:t xml:space="preserve">. </w:t>
      </w:r>
      <w:r w:rsidRPr="009D5308">
        <w:rPr>
          <w:rFonts w:ascii="Verdana" w:eastAsia="Calibri" w:hAnsi="Verdana" w:cs="Arial"/>
          <w:lang w:eastAsia="es-ES"/>
        </w:rPr>
        <w:t xml:space="preserve">Para tales efectos, se estima que la interpretación más adecuada de la norma, atendiendo a su tenor literal y al espíritu de la misma, se alinea con la primera tesis expuesta en el concepto C-066 del 28 de enero de 2022 </w:t>
      </w:r>
      <w:r w:rsidRPr="009D5308">
        <w:rPr>
          <w:rFonts w:ascii="Verdana" w:eastAsia="Calibri" w:hAnsi="Verdana" w:cs="Times New Roman"/>
        </w:rPr>
        <w:t>desarrollada y complementada en los conceptos</w:t>
      </w:r>
      <w:r w:rsidRPr="009D5308">
        <w:rPr>
          <w:rFonts w:ascii="Verdana" w:eastAsia="Calibri" w:hAnsi="Verdana" w:cs="Times New Roman"/>
          <w:sz w:val="16"/>
          <w:szCs w:val="16"/>
        </w:rPr>
        <w:t xml:space="preserve"> </w:t>
      </w:r>
      <w:r w:rsidRPr="009D5308">
        <w:rPr>
          <w:rFonts w:ascii="Verdana" w:eastAsia="Calibri" w:hAnsi="Verdana" w:cs="Times New Roman"/>
        </w:rPr>
        <w:t>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 2025.</w:t>
      </w:r>
    </w:p>
    <w:p w14:paraId="0A0D56AA" w14:textId="77777777" w:rsidR="009D5308" w:rsidRPr="009D5308" w:rsidRDefault="009D5308" w:rsidP="009D5308">
      <w:pPr>
        <w:spacing w:after="120" w:line="276" w:lineRule="auto"/>
        <w:jc w:val="both"/>
        <w:rPr>
          <w:rFonts w:ascii="Verdana" w:eastAsia="Calibri" w:hAnsi="Verdana" w:cs="Arial"/>
          <w:lang w:val="es-ES"/>
        </w:rPr>
      </w:pPr>
      <w:r w:rsidRPr="009D5308">
        <w:rPr>
          <w:rFonts w:ascii="Arial" w:eastAsia="Calibri" w:hAnsi="Arial" w:cs="Arial"/>
          <w:bCs/>
          <w:lang w:val="es-ES_tradnl"/>
        </w:rPr>
        <w:tab/>
      </w:r>
      <w:bookmarkStart w:id="11" w:name="_Hlk99351345"/>
      <w:r w:rsidRPr="009D5308">
        <w:rPr>
          <w:rFonts w:ascii="Verdana" w:eastAsia="Calibri" w:hAnsi="Verdana" w:cs="Arial"/>
          <w:lang w:val="es-ES"/>
        </w:rPr>
        <w:t xml:space="preserve"> De esta forma, se unifica la interpretación en el sentido de indicar que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9D5308">
        <w:rPr>
          <w:rFonts w:ascii="Verdana" w:eastAsia="Calibri" w:hAnsi="Verdana" w:cs="Arial"/>
          <w:lang w:val="es-ES"/>
        </w:rPr>
        <w:t>ii</w:t>
      </w:r>
      <w:proofErr w:type="spellEnd"/>
      <w:r w:rsidRPr="009D5308">
        <w:rPr>
          <w:rFonts w:ascii="Verdana" w:eastAsia="Calibri" w:hAnsi="Verdana" w:cs="Arial"/>
          <w:lang w:val="es-ES"/>
        </w:rPr>
        <w:t xml:space="preserve">) patrimonios autónomos o </w:t>
      </w:r>
      <w:proofErr w:type="spellStart"/>
      <w:r w:rsidRPr="009D5308">
        <w:rPr>
          <w:rFonts w:ascii="Verdana" w:eastAsia="Calibri" w:hAnsi="Verdana" w:cs="Arial"/>
          <w:lang w:val="es-ES"/>
        </w:rPr>
        <w:t>iii</w:t>
      </w:r>
      <w:proofErr w:type="spellEnd"/>
      <w:r w:rsidRPr="009D5308">
        <w:rPr>
          <w:rFonts w:ascii="Verdana" w:eastAsia="Calibri" w:hAnsi="Verdana" w:cs="Arial"/>
          <w:lang w:val="es-ES"/>
        </w:rPr>
        <w:t xml:space="preserve">) con personas naturales o jurídicas de derecho privado, tenga que hacerlo aplicando Documentos Tipo. Los efectos del primer inciso del artículo 56 se proyectarían entonces a los contratos o convenios interadministrativos o de </w:t>
      </w:r>
      <w:r w:rsidRPr="009D5308">
        <w:rPr>
          <w:rFonts w:ascii="Verdana" w:eastAsia="Calibri" w:hAnsi="Verdana" w:cs="Arial"/>
          <w:lang w:val="es-ES"/>
        </w:rPr>
        <w:lastRenderedPageBreak/>
        <w:t>cualquier otra índole, que se deban celebrar con estos sujetos, cuyos objetos comprendan la adquisición de bienes, obras o servicios, que, al tenor de lo dispuesto en el apartado normativo bajo examen, deberán celebrarse mediante Documentos Tipo.</w:t>
      </w:r>
    </w:p>
    <w:bookmarkEnd w:id="11"/>
    <w:p w14:paraId="3CC26846" w14:textId="77777777" w:rsidR="009D5308" w:rsidRPr="009D5308" w:rsidRDefault="009D5308" w:rsidP="009D5308">
      <w:pPr>
        <w:tabs>
          <w:tab w:val="left" w:pos="0"/>
        </w:tabs>
        <w:spacing w:after="120" w:line="276" w:lineRule="auto"/>
        <w:jc w:val="both"/>
        <w:rPr>
          <w:rFonts w:ascii="Verdana" w:eastAsia="Calibri" w:hAnsi="Verdana" w:cs="Arial"/>
          <w:lang w:val="es-ES" w:eastAsia="es-ES"/>
        </w:rPr>
      </w:pPr>
      <w:r w:rsidRPr="009D5308">
        <w:rPr>
          <w:rFonts w:ascii="Verdana" w:eastAsia="Calibri" w:hAnsi="Verdana" w:cs="Arial"/>
          <w:bCs/>
          <w:lang w:val="es-ES_tradnl" w:eastAsia="es-ES_tradnl"/>
        </w:rPr>
        <w:tab/>
      </w:r>
      <w:r w:rsidRPr="009D5308">
        <w:rPr>
          <w:rFonts w:ascii="Verdana" w:eastAsia="Calibri" w:hAnsi="Verdana" w:cs="Arial"/>
          <w:lang w:val="es-ES" w:eastAsia="es-ES"/>
        </w:rPr>
        <w:t xml:space="preserve"> Sin perjuicio de lo anterior, solo es posible comprender los efectos de lo dispuesto en el artículo 56 de la </w:t>
      </w:r>
      <w:bookmarkStart w:id="12" w:name="_Hlk205276572"/>
      <w:r w:rsidRPr="009D5308">
        <w:rPr>
          <w:rFonts w:ascii="Verdana" w:eastAsia="Calibri" w:hAnsi="Verdana" w:cs="Arial"/>
          <w:lang w:val="es-ES" w:eastAsia="es-ES"/>
        </w:rPr>
        <w:t xml:space="preserve">Ley 2195 de 2022 </w:t>
      </w:r>
      <w:bookmarkEnd w:id="12"/>
      <w:r w:rsidRPr="009D5308">
        <w:rPr>
          <w:rFonts w:ascii="Verdana" w:eastAsia="Calibri" w:hAnsi="Verdana" w:cs="Arial"/>
          <w:lang w:val="es-ES" w:eastAsia="es-ES"/>
        </w:rPr>
        <w:t xml:space="preserve">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09272395" w14:textId="77777777" w:rsidR="009D5308" w:rsidRPr="009D5308" w:rsidRDefault="009D5308" w:rsidP="009D5308">
      <w:pPr>
        <w:tabs>
          <w:tab w:val="left" w:pos="0"/>
        </w:tabs>
        <w:spacing w:after="120" w:line="276" w:lineRule="auto"/>
        <w:jc w:val="both"/>
        <w:rPr>
          <w:rFonts w:ascii="Verdana" w:eastAsia="Calibri" w:hAnsi="Verdana" w:cs="Arial"/>
          <w:lang w:val="es-ES" w:eastAsia="es-ES"/>
        </w:rPr>
      </w:pPr>
      <w:r w:rsidRPr="009D5308">
        <w:rPr>
          <w:rFonts w:ascii="Verdana" w:eastAsia="Calibri" w:hAnsi="Verdana" w:cs="Arial"/>
          <w:lang w:val="es-ES" w:eastAsia="es-ES"/>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proofErr w:type="spellStart"/>
      <w:r w:rsidRPr="009D5308">
        <w:rPr>
          <w:rFonts w:ascii="Verdana" w:eastAsia="Calibri" w:hAnsi="Verdana" w:cs="Arial"/>
          <w:lang w:val="es-ES" w:eastAsia="es-ES"/>
        </w:rPr>
        <w:t>ejusdem</w:t>
      </w:r>
      <w:proofErr w:type="spellEnd"/>
      <w:r w:rsidRPr="009D5308">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así como celebrar el respectivo contrato, implementando los Documentos Tipo  y aplicando las disposiciones del EGCAP. </w:t>
      </w:r>
    </w:p>
    <w:p w14:paraId="3D8CB457" w14:textId="77777777" w:rsidR="009D5308" w:rsidRPr="009D5308" w:rsidRDefault="009D5308" w:rsidP="009D5308">
      <w:pPr>
        <w:tabs>
          <w:tab w:val="left" w:pos="0"/>
        </w:tabs>
        <w:spacing w:after="0" w:line="276" w:lineRule="auto"/>
        <w:jc w:val="both"/>
        <w:rPr>
          <w:rFonts w:ascii="Verdana" w:eastAsia="Calibri" w:hAnsi="Verdana" w:cs="Arial"/>
          <w:lang w:val="es-ES" w:eastAsia="es-ES"/>
        </w:rPr>
      </w:pPr>
      <w:r w:rsidRPr="009D5308">
        <w:rPr>
          <w:rFonts w:ascii="Arial" w:eastAsia="Calibri" w:hAnsi="Arial" w:cs="Arial"/>
          <w:bCs/>
          <w:color w:val="000000"/>
          <w:lang w:val="es-ES_tradnl"/>
        </w:rPr>
        <w:tab/>
      </w:r>
      <w:r w:rsidRPr="009D5308">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jurídica del proyecto ley, este: </w:t>
      </w:r>
    </w:p>
    <w:p w14:paraId="59EF43B2" w14:textId="77777777" w:rsidR="009D5308" w:rsidRPr="009D5308" w:rsidRDefault="009D5308" w:rsidP="009D5308">
      <w:pPr>
        <w:tabs>
          <w:tab w:val="left" w:pos="0"/>
        </w:tabs>
        <w:spacing w:after="0" w:line="276" w:lineRule="auto"/>
        <w:jc w:val="both"/>
        <w:rPr>
          <w:rFonts w:ascii="Verdana" w:eastAsia="Calibri" w:hAnsi="Verdana" w:cs="Arial"/>
          <w:lang w:val="es-ES" w:eastAsia="es-ES"/>
        </w:rPr>
      </w:pPr>
    </w:p>
    <w:p w14:paraId="4B04F88D" w14:textId="77777777" w:rsidR="009D5308" w:rsidRPr="009D5308" w:rsidRDefault="009D5308" w:rsidP="009D5308">
      <w:pPr>
        <w:tabs>
          <w:tab w:val="left" w:pos="0"/>
        </w:tabs>
        <w:spacing w:after="0"/>
        <w:ind w:left="709" w:right="709"/>
        <w:jc w:val="both"/>
        <w:rPr>
          <w:rFonts w:ascii="Verdana" w:eastAsia="Calibri" w:hAnsi="Verdana" w:cs="Arial"/>
          <w:bCs/>
          <w:color w:val="000000"/>
          <w:sz w:val="20"/>
          <w:szCs w:val="20"/>
          <w:lang w:val="es-ES_tradnl"/>
        </w:rPr>
      </w:pPr>
      <w:r w:rsidRPr="009D5308">
        <w:rPr>
          <w:rFonts w:ascii="Verdana" w:eastAsia="Calibri" w:hAnsi="Verdana" w:cs="Arial"/>
          <w:bCs/>
          <w:color w:val="000000"/>
          <w:sz w:val="20"/>
          <w:szCs w:val="20"/>
          <w:lang w:val="es-ES_tradnl"/>
        </w:rPr>
        <w:lastRenderedPageBreak/>
        <w:t>“[…]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9D5308">
        <w:rPr>
          <w:rFonts w:ascii="Verdana" w:eastAsia="Calibri" w:hAnsi="Verdana" w:cs="Arial"/>
          <w:color w:val="000000"/>
          <w:sz w:val="20"/>
          <w:szCs w:val="20"/>
          <w:vertAlign w:val="superscript"/>
        </w:rPr>
        <w:footnoteReference w:id="10"/>
      </w:r>
      <w:r w:rsidRPr="009D5308">
        <w:rPr>
          <w:rFonts w:ascii="Verdana" w:eastAsia="Calibri" w:hAnsi="Verdana" w:cs="Arial"/>
          <w:bCs/>
          <w:color w:val="000000"/>
          <w:sz w:val="20"/>
          <w:szCs w:val="20"/>
          <w:lang w:val="es-ES_tradnl"/>
        </w:rPr>
        <w:t xml:space="preserve">. </w:t>
      </w:r>
    </w:p>
    <w:p w14:paraId="18C020DA" w14:textId="77777777" w:rsidR="009D5308" w:rsidRPr="009D5308" w:rsidRDefault="009D5308" w:rsidP="009D5308">
      <w:pPr>
        <w:tabs>
          <w:tab w:val="left" w:pos="0"/>
        </w:tabs>
        <w:spacing w:after="0" w:line="276" w:lineRule="auto"/>
        <w:jc w:val="both"/>
        <w:rPr>
          <w:rFonts w:ascii="Arial" w:eastAsia="Calibri" w:hAnsi="Arial" w:cs="Arial"/>
          <w:bCs/>
          <w:color w:val="000000"/>
          <w:lang w:val="es-ES_tradnl"/>
        </w:rPr>
      </w:pPr>
      <w:r w:rsidRPr="009D5308">
        <w:rPr>
          <w:rFonts w:ascii="Arial" w:eastAsia="Calibri" w:hAnsi="Arial" w:cs="Arial"/>
          <w:bCs/>
          <w:color w:val="000000"/>
          <w:lang w:val="es-ES_tradnl"/>
        </w:rPr>
        <w:tab/>
        <w:t xml:space="preserve"> </w:t>
      </w:r>
    </w:p>
    <w:p w14:paraId="1DB906B1" w14:textId="77777777" w:rsidR="009D5308" w:rsidRPr="009D5308" w:rsidRDefault="009D5308" w:rsidP="009D5308">
      <w:pPr>
        <w:spacing w:after="120" w:line="276" w:lineRule="auto"/>
        <w:jc w:val="both"/>
        <w:rPr>
          <w:rFonts w:ascii="Verdana" w:eastAsia="Calibri" w:hAnsi="Verdana" w:cs="Arial"/>
          <w:color w:val="000000"/>
          <w:lang w:val="es-ES"/>
        </w:rPr>
      </w:pPr>
      <w:r w:rsidRPr="009D5308">
        <w:rPr>
          <w:rFonts w:ascii="Arial" w:eastAsia="Calibri" w:hAnsi="Arial" w:cs="Arial"/>
          <w:bCs/>
          <w:color w:val="000000"/>
          <w:lang w:val="es-ES_tradnl"/>
        </w:rPr>
        <w:tab/>
      </w:r>
      <w:r w:rsidRPr="009D5308">
        <w:rPr>
          <w:rFonts w:ascii="Verdana" w:eastAsia="Calibri" w:hAnsi="Verdana" w:cs="Arial"/>
          <w:color w:val="000000"/>
          <w:lang w:val="es-ES"/>
        </w:rPr>
        <w:t xml:space="preserve">De lo anterior se evidencia 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  </w:t>
      </w:r>
    </w:p>
    <w:p w14:paraId="5E427051" w14:textId="77777777" w:rsidR="009D5308" w:rsidRPr="009D5308" w:rsidRDefault="009D5308" w:rsidP="009D5308">
      <w:pPr>
        <w:spacing w:after="120" w:line="276" w:lineRule="auto"/>
        <w:ind w:firstLine="709"/>
        <w:jc w:val="both"/>
        <w:rPr>
          <w:rFonts w:ascii="Verdana" w:eastAsia="Calibri" w:hAnsi="Verdana" w:cs="Arial"/>
          <w:lang w:val="es-ES" w:eastAsia="es-ES"/>
        </w:rPr>
      </w:pPr>
      <w:r w:rsidRPr="009D5308">
        <w:rPr>
          <w:rFonts w:ascii="Verdana" w:eastAsia="Calibri" w:hAnsi="Verdana" w:cs="Arial"/>
          <w:lang w:val="es-ES" w:eastAsia="es-ES"/>
        </w:rPr>
        <w:t xml:space="preserve">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w:t>
      </w:r>
      <w:r w:rsidRPr="009D5308">
        <w:rPr>
          <w:rFonts w:ascii="Verdana" w:eastAsia="Calibri" w:hAnsi="Verdana" w:cs="Arial"/>
          <w:lang w:val="es-ES" w:eastAsia="es-ES"/>
        </w:rPr>
        <w:lastRenderedPageBreak/>
        <w:t>desarrollara su actividad en competencia con el sector privado, o cuando la ejecución del contrato tuviere relación directa con el desarrollo de su actividad, eventos en los que se imponía el derecho privado.</w:t>
      </w:r>
    </w:p>
    <w:p w14:paraId="35DBC039" w14:textId="77777777" w:rsidR="009D5308" w:rsidRPr="009D5308" w:rsidRDefault="009D5308" w:rsidP="009D5308">
      <w:pPr>
        <w:spacing w:after="120" w:line="276" w:lineRule="auto"/>
        <w:ind w:firstLine="709"/>
        <w:jc w:val="both"/>
        <w:rPr>
          <w:rFonts w:ascii="Verdana" w:eastAsia="Calibri" w:hAnsi="Verdana" w:cs="Arial"/>
          <w:lang w:val="es-ES" w:eastAsia="es-ES"/>
        </w:rPr>
      </w:pPr>
      <w:r w:rsidRPr="009D5308">
        <w:rPr>
          <w:rFonts w:ascii="Verdana" w:eastAsia="Calibri" w:hAnsi="Verdana" w:cs="Arial"/>
          <w:lang w:val="es-ES" w:eastAsia="es-ES"/>
        </w:rPr>
        <w:t xml:space="preserve">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4A6A1AA8" w14:textId="77777777" w:rsidR="009D5308" w:rsidRPr="009D5308" w:rsidRDefault="009D5308" w:rsidP="009D5308">
      <w:pPr>
        <w:spacing w:after="120" w:line="276" w:lineRule="auto"/>
        <w:jc w:val="both"/>
        <w:rPr>
          <w:rFonts w:ascii="Verdana" w:eastAsia="Calibri" w:hAnsi="Verdana" w:cs="Arial"/>
          <w:lang w:val="es-ES" w:eastAsia="es-ES"/>
        </w:rPr>
      </w:pPr>
      <w:r w:rsidRPr="009D5308">
        <w:rPr>
          <w:rFonts w:ascii="Verdana" w:eastAsia="Calibri" w:hAnsi="Verdana" w:cs="Arial"/>
          <w:bCs/>
          <w:lang w:val="es-ES_tradnl" w:eastAsia="es-ES_tradnl"/>
        </w:rPr>
        <w:tab/>
      </w:r>
      <w:r w:rsidRPr="009D5308">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638D719A" w14:textId="77777777" w:rsidR="009D5308" w:rsidRPr="009D5308" w:rsidRDefault="009D5308" w:rsidP="009D5308">
      <w:pPr>
        <w:tabs>
          <w:tab w:val="left" w:pos="0"/>
        </w:tabs>
        <w:spacing w:after="120" w:line="276" w:lineRule="auto"/>
        <w:jc w:val="both"/>
        <w:rPr>
          <w:rFonts w:ascii="Verdana" w:eastAsia="Calibri" w:hAnsi="Verdana" w:cs="Arial"/>
          <w:bCs/>
          <w:lang w:val="es-ES_tradnl" w:eastAsia="es-ES_tradnl"/>
        </w:rPr>
      </w:pPr>
      <w:r w:rsidRPr="009D5308">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444C013A" w14:textId="77777777" w:rsidR="009D5308" w:rsidRPr="009D5308" w:rsidRDefault="009D5308" w:rsidP="009D5308">
      <w:pPr>
        <w:spacing w:after="120" w:line="276" w:lineRule="auto"/>
        <w:jc w:val="both"/>
        <w:rPr>
          <w:rFonts w:ascii="Verdana" w:eastAsia="Calibri" w:hAnsi="Verdana" w:cs="Arial"/>
          <w:lang w:val="es-ES" w:eastAsia="es-ES"/>
        </w:rPr>
      </w:pPr>
      <w:r w:rsidRPr="009D5308">
        <w:rPr>
          <w:rFonts w:ascii="Verdana" w:eastAsia="Calibri" w:hAnsi="Verdana" w:cs="Arial"/>
          <w:bCs/>
          <w:lang w:val="es-ES_tradnl" w:eastAsia="es-ES_tradnl"/>
        </w:rPr>
        <w:tab/>
      </w:r>
      <w:r w:rsidRPr="009D5308">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w:t>
      </w:r>
      <w:r w:rsidRPr="009D5308">
        <w:rPr>
          <w:rFonts w:ascii="Verdana" w:eastAsia="Calibri" w:hAnsi="Verdana" w:cs="Arial"/>
          <w:lang w:val="es-ES" w:eastAsia="es-ES"/>
        </w:rPr>
        <w:lastRenderedPageBreak/>
        <w:t xml:space="preserve">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9D5308">
        <w:rPr>
          <w:rFonts w:ascii="Verdana" w:eastAsia="Calibri" w:hAnsi="Verdana" w:cs="Arial"/>
          <w:bCs/>
          <w:highlight w:val="yellow"/>
          <w:lang w:val="es-ES_tradnl" w:eastAsia="es-ES_tradnl"/>
        </w:rPr>
        <w:t xml:space="preserve"> </w:t>
      </w:r>
    </w:p>
    <w:p w14:paraId="32D7F792" w14:textId="77777777" w:rsidR="009D5308" w:rsidRPr="009D5308" w:rsidRDefault="009D5308" w:rsidP="009D5308">
      <w:pPr>
        <w:tabs>
          <w:tab w:val="left" w:pos="0"/>
        </w:tabs>
        <w:spacing w:after="120" w:line="276" w:lineRule="auto"/>
        <w:ind w:firstLine="709"/>
        <w:jc w:val="both"/>
        <w:rPr>
          <w:rFonts w:ascii="Arial" w:eastAsia="Calibri" w:hAnsi="Arial" w:cs="Arial"/>
          <w:bCs/>
          <w:lang w:val="es-ES_tradnl"/>
        </w:rPr>
      </w:pPr>
      <w:r w:rsidRPr="009D5308">
        <w:rPr>
          <w:rFonts w:ascii="Verdana" w:eastAsia="Calibri" w:hAnsi="Verdana" w:cs="Arial"/>
          <w:color w:val="000000"/>
        </w:rPr>
        <w:t xml:space="preserve">En este contexto, </w:t>
      </w:r>
      <w:r w:rsidRPr="009D5308">
        <w:rPr>
          <w:rFonts w:ascii="Verdana" w:eastAsia="Calibri" w:hAnsi="Verdana" w:cs="Arial"/>
          <w:bCs/>
          <w:lang w:val="es-ES_tradnl" w:eastAsia="es-ES_tradnl"/>
        </w:rPr>
        <w:t>de la lectura conjunta de los incisos primero y segundo</w:t>
      </w:r>
      <w:r w:rsidRPr="009D5308">
        <w:rPr>
          <w:rFonts w:ascii="Verdana" w:eastAsia="Calibri" w:hAnsi="Verdana" w:cs="Arial"/>
          <w:bCs/>
          <w:lang w:eastAsia="es-ES_tradnl"/>
        </w:rPr>
        <w:t xml:space="preserve"> del artículo 56 de la Ley 2195 de 2022,</w:t>
      </w:r>
      <w:r w:rsidRPr="009D5308">
        <w:rPr>
          <w:rFonts w:ascii="Verdana" w:eastAsia="Calibri" w:hAnsi="Verdana" w:cs="Arial"/>
          <w:bCs/>
          <w:lang w:val="es-ES_tradnl" w:eastAsia="es-ES_tradnl"/>
        </w:rPr>
        <w:t xml:space="preserve"> se desprende que </w:t>
      </w:r>
      <w:r w:rsidRPr="009D5308">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9D5308">
        <w:rPr>
          <w:rFonts w:ascii="Arial" w:eastAsia="Calibri" w:hAnsi="Arial" w:cs="Arial"/>
          <w:bCs/>
          <w:lang w:val="es-ES_tradnl"/>
        </w:rPr>
        <w:t xml:space="preserve"> </w:t>
      </w:r>
      <w:r w:rsidRPr="009D5308">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22416C4A" w14:textId="77777777" w:rsidR="009D5308" w:rsidRPr="009D5308" w:rsidRDefault="009D5308" w:rsidP="009D5308">
      <w:pPr>
        <w:tabs>
          <w:tab w:val="left" w:pos="0"/>
        </w:tabs>
        <w:spacing w:after="120" w:line="276" w:lineRule="auto"/>
        <w:ind w:firstLine="709"/>
        <w:jc w:val="both"/>
        <w:rPr>
          <w:rFonts w:ascii="Verdana" w:eastAsia="Calibri" w:hAnsi="Verdana" w:cs="Arial"/>
          <w:bCs/>
          <w:color w:val="000000"/>
          <w:lang w:val="es-ES_tradnl" w:eastAsia="es-ES_tradnl"/>
        </w:rPr>
      </w:pPr>
      <w:r w:rsidRPr="009D5308">
        <w:rPr>
          <w:rFonts w:ascii="Verdana" w:eastAsia="Calibri" w:hAnsi="Verdana" w:cs="Arial"/>
          <w:bCs/>
          <w:lang w:val="es-ES_tradnl" w:eastAsia="es-ES_tradnl"/>
        </w:rPr>
        <w:t>Sin perjuicio de lo anterior</w:t>
      </w:r>
      <w:r w:rsidRPr="009D5308">
        <w:rPr>
          <w:rFonts w:ascii="Verdana" w:eastAsia="Times New Roman" w:hAnsi="Verdana" w:cs="Arial"/>
          <w:lang w:eastAsia="es-ES_tradnl"/>
        </w:rPr>
        <w:t xml:space="preserve">, </w:t>
      </w:r>
      <w:r w:rsidRPr="009D5308">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9D5308">
        <w:rPr>
          <w:rFonts w:ascii="Verdana" w:eastAsia="Calibri" w:hAnsi="Verdana" w:cs="Arial"/>
          <w:bCs/>
          <w:i/>
          <w:iCs/>
          <w:lang w:val="es-ES_tradnl" w:eastAsia="es-ES_tradnl"/>
        </w:rPr>
        <w:t>giro ordinario</w:t>
      </w:r>
      <w:r w:rsidRPr="009D5308">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9D5308">
        <w:rPr>
          <w:rFonts w:ascii="Verdana" w:eastAsia="Calibri" w:hAnsi="Verdana" w:cs="Arial"/>
          <w:bCs/>
          <w:lang w:val="es-ES_tradnl" w:eastAsia="es-ES_tradnl"/>
        </w:rPr>
        <w:t>ii</w:t>
      </w:r>
      <w:proofErr w:type="spellEnd"/>
      <w:r w:rsidRPr="009D5308">
        <w:rPr>
          <w:rFonts w:ascii="Verdana" w:eastAsia="Calibri" w:hAnsi="Verdana" w:cs="Arial"/>
          <w:bCs/>
          <w:lang w:val="es-ES_tradnl" w:eastAsia="es-ES_tradnl"/>
        </w:rPr>
        <w:t xml:space="preserve">) las empresas sociales del Estado, </w:t>
      </w:r>
      <w:proofErr w:type="spellStart"/>
      <w:r w:rsidRPr="009D5308">
        <w:rPr>
          <w:rFonts w:ascii="Verdana" w:eastAsia="Calibri" w:hAnsi="Verdana" w:cs="Arial"/>
          <w:bCs/>
          <w:lang w:val="es-ES_tradnl" w:eastAsia="es-ES_tradnl"/>
        </w:rPr>
        <w:t>iii</w:t>
      </w:r>
      <w:proofErr w:type="spellEnd"/>
      <w:r w:rsidRPr="009D5308">
        <w:rPr>
          <w:rFonts w:ascii="Verdana" w:eastAsia="Calibri" w:hAnsi="Verdana" w:cs="Arial"/>
          <w:bCs/>
          <w:lang w:val="es-ES_tradnl" w:eastAsia="es-ES_tradnl"/>
        </w:rPr>
        <w:t xml:space="preserve">) las sociedades de economía mixta y </w:t>
      </w:r>
      <w:proofErr w:type="spellStart"/>
      <w:r w:rsidRPr="009D5308">
        <w:rPr>
          <w:rFonts w:ascii="Verdana" w:eastAsia="Calibri" w:hAnsi="Verdana" w:cs="Arial"/>
          <w:bCs/>
          <w:lang w:val="es-ES_tradnl" w:eastAsia="es-ES_tradnl"/>
        </w:rPr>
        <w:t>iv</w:t>
      </w:r>
      <w:proofErr w:type="spellEnd"/>
      <w:r w:rsidRPr="009D5308">
        <w:rPr>
          <w:rFonts w:ascii="Verdana" w:eastAsia="Calibri" w:hAnsi="Verdana" w:cs="Arial"/>
          <w:bCs/>
          <w:lang w:val="es-ES_tradnl" w:eastAsia="es-ES_tradnl"/>
        </w:rPr>
        <w:t xml:space="preserve">) las empresas industriales y comerciales del Estado, únicamente, en la contratación relacionada con el </w:t>
      </w:r>
      <w:r w:rsidRPr="009D5308">
        <w:rPr>
          <w:rFonts w:ascii="Verdana" w:eastAsia="Calibri" w:hAnsi="Verdana" w:cs="Arial"/>
          <w:bCs/>
          <w:i/>
          <w:iCs/>
          <w:lang w:val="es-ES_tradnl" w:eastAsia="es-ES_tradnl"/>
        </w:rPr>
        <w:t>giro ordinario.</w:t>
      </w:r>
      <w:r w:rsidRPr="009D5308">
        <w:rPr>
          <w:rFonts w:ascii="Verdana" w:eastAsia="Calibri" w:hAnsi="Verdana" w:cs="Arial"/>
          <w:bCs/>
          <w:lang w:val="es-ES_tradnl" w:eastAsia="es-ES_tradnl"/>
        </w:rPr>
        <w:t xml:space="preserve"> Esto significa que, en la contratación asociada a su </w:t>
      </w:r>
      <w:r w:rsidRPr="009D5308">
        <w:rPr>
          <w:rFonts w:ascii="Verdana" w:eastAsia="Calibri" w:hAnsi="Verdana" w:cs="Arial"/>
          <w:bCs/>
          <w:i/>
          <w:iCs/>
          <w:lang w:val="es-ES_tradnl" w:eastAsia="es-ES_tradnl"/>
        </w:rPr>
        <w:t xml:space="preserve">giro ordinario, </w:t>
      </w:r>
      <w:r w:rsidRPr="009D5308">
        <w:rPr>
          <w:rFonts w:ascii="Verdana" w:eastAsia="Calibri" w:hAnsi="Verdana" w:cs="Arial"/>
          <w:bCs/>
          <w:lang w:val="es-ES_tradnl" w:eastAsia="es-ES_tradnl"/>
        </w:rPr>
        <w:t>estos tipos de entidades no tendrían que aplicar, de manera obligatoria, los Documentos Tipo, ni tampoco el EGCAP.</w:t>
      </w:r>
      <w:r w:rsidRPr="009D5308">
        <w:rPr>
          <w:rFonts w:ascii="Verdana" w:eastAsia="Times New Roman" w:hAnsi="Verdana" w:cs="Arial"/>
          <w:lang w:eastAsia="es-ES_tradnl"/>
        </w:rPr>
        <w:t xml:space="preserve"> </w:t>
      </w:r>
      <w:r w:rsidRPr="009D5308">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9D5308">
        <w:rPr>
          <w:rFonts w:ascii="Verdana" w:eastAsia="Calibri" w:hAnsi="Verdana" w:cs="Arial"/>
          <w:bCs/>
          <w:color w:val="000000"/>
          <w:lang w:val="es-ES_tradnl" w:eastAsia="es-ES_tradnl"/>
        </w:rPr>
        <w:t xml:space="preserve"> </w:t>
      </w:r>
    </w:p>
    <w:p w14:paraId="42E41AF7" w14:textId="77777777" w:rsidR="009D5308" w:rsidRPr="009D5308" w:rsidRDefault="009D5308" w:rsidP="009D5308">
      <w:pPr>
        <w:tabs>
          <w:tab w:val="left" w:pos="0"/>
        </w:tabs>
        <w:spacing w:after="120" w:line="276" w:lineRule="auto"/>
        <w:ind w:firstLine="709"/>
        <w:jc w:val="both"/>
        <w:rPr>
          <w:rFonts w:ascii="Verdana" w:eastAsia="Arial" w:hAnsi="Verdana" w:cs="Arial"/>
          <w:lang w:val="es-ES_tradnl" w:eastAsia="es-ES_tradnl"/>
        </w:rPr>
      </w:pPr>
      <w:r w:rsidRPr="009D5308">
        <w:rPr>
          <w:rFonts w:ascii="Verdana" w:eastAsia="Calibri" w:hAnsi="Verdana" w:cs="Arial"/>
          <w:bCs/>
          <w:lang w:val="es-ES_tradnl" w:eastAsia="es-ES_tradnl"/>
        </w:rPr>
        <w:lastRenderedPageBreak/>
        <w:t xml:space="preserve">Es importante tener en cuenta que cuando la norma se refiere a la contratación del </w:t>
      </w:r>
      <w:r w:rsidRPr="009D5308">
        <w:rPr>
          <w:rFonts w:ascii="Verdana" w:eastAsia="Calibri" w:hAnsi="Verdana" w:cs="Arial"/>
          <w:bCs/>
          <w:i/>
          <w:iCs/>
          <w:lang w:val="es-ES_tradnl" w:eastAsia="es-ES_tradnl"/>
        </w:rPr>
        <w:t>giro ordinario</w:t>
      </w:r>
      <w:r w:rsidRPr="009D5308">
        <w:rPr>
          <w:rFonts w:ascii="Verdana" w:eastAsia="Calibri" w:hAnsi="Verdana" w:cs="Arial"/>
          <w:bCs/>
          <w:lang w:val="es-ES_tradnl" w:eastAsia="es-ES_tradnl"/>
        </w:rPr>
        <w:t>, emplea un concepto jurídico indeterminado</w:t>
      </w:r>
      <w:r w:rsidRPr="009D5308">
        <w:rPr>
          <w:rFonts w:ascii="Verdana" w:eastAsia="Calibri" w:hAnsi="Verdana" w:cs="Arial"/>
          <w:vertAlign w:val="superscript"/>
          <w:lang w:eastAsia="es-ES_tradnl"/>
        </w:rPr>
        <w:footnoteReference w:id="11"/>
      </w:r>
      <w:r w:rsidRPr="009D5308">
        <w:rPr>
          <w:rFonts w:ascii="Verdana" w:eastAsia="Calibri" w:hAnsi="Verdana" w:cs="Arial"/>
          <w:bCs/>
          <w:lang w:val="es-ES_tradnl" w:eastAsia="es-ES_tradnl"/>
        </w:rPr>
        <w:t xml:space="preserve">. </w:t>
      </w:r>
      <w:r w:rsidRPr="009D5308">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9D5308">
        <w:rPr>
          <w:rFonts w:ascii="Verdana" w:eastAsia="Arial" w:hAnsi="Verdana" w:cs="Arial"/>
          <w:i/>
          <w:iCs/>
          <w:lang w:val="es-ES_tradnl" w:eastAsia="es-ES_tradnl"/>
        </w:rPr>
        <w:t>giro ordinario</w:t>
      </w:r>
      <w:r w:rsidRPr="009D5308">
        <w:rPr>
          <w:rFonts w:ascii="Verdana" w:eastAsia="Arial" w:hAnsi="Verdana" w:cs="Arial"/>
          <w:lang w:val="es-ES_tradnl" w:eastAsia="es-ES_tradnl"/>
        </w:rPr>
        <w:t xml:space="preserve"> de sus negocios. </w:t>
      </w:r>
    </w:p>
    <w:p w14:paraId="43EB4587" w14:textId="77777777" w:rsidR="009D5308" w:rsidRPr="009D5308" w:rsidRDefault="009D5308" w:rsidP="009D5308">
      <w:pPr>
        <w:tabs>
          <w:tab w:val="left" w:pos="0"/>
        </w:tabs>
        <w:spacing w:after="120" w:line="276" w:lineRule="auto"/>
        <w:ind w:firstLine="709"/>
        <w:jc w:val="both"/>
        <w:rPr>
          <w:rFonts w:ascii="Verdana" w:eastAsia="Calibri" w:hAnsi="Verdana" w:cs="Arial"/>
          <w:bCs/>
          <w:lang w:val="es-ES_tradnl" w:eastAsia="es-ES_tradnl"/>
        </w:rPr>
      </w:pPr>
      <w:r w:rsidRPr="009D5308">
        <w:rPr>
          <w:rFonts w:ascii="Verdana" w:eastAsia="Arial" w:hAnsi="Verdana" w:cs="Arial"/>
          <w:lang w:val="es-ES_tradnl" w:eastAsia="es-ES_tradnl"/>
        </w:rPr>
        <w:t>La Corte Constitucional</w:t>
      </w:r>
      <w:r w:rsidRPr="009D5308">
        <w:rPr>
          <w:rFonts w:ascii="Verdana" w:eastAsia="Arial" w:hAnsi="Verdana" w:cs="Arial"/>
          <w:vertAlign w:val="superscript"/>
          <w:lang w:eastAsia="es-ES_tradnl"/>
        </w:rPr>
        <w:footnoteReference w:id="12"/>
      </w:r>
      <w:r w:rsidRPr="009D5308">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r w:rsidRPr="009D5308">
        <w:rPr>
          <w:rFonts w:ascii="Verdana" w:eastAsia="Calibri" w:hAnsi="Verdana" w:cs="Arial"/>
          <w:bCs/>
          <w:lang w:val="es-ES_tradnl" w:eastAsia="es-ES_tradnl"/>
        </w:rPr>
        <w:t xml:space="preserve"> </w:t>
      </w:r>
    </w:p>
    <w:p w14:paraId="33D7370B" w14:textId="77777777" w:rsidR="009D5308" w:rsidRPr="009D5308" w:rsidRDefault="009D5308" w:rsidP="009D5308">
      <w:pPr>
        <w:tabs>
          <w:tab w:val="left" w:pos="0"/>
        </w:tabs>
        <w:spacing w:after="0" w:line="276" w:lineRule="auto"/>
        <w:ind w:firstLine="709"/>
        <w:jc w:val="both"/>
        <w:rPr>
          <w:rFonts w:ascii="Verdana" w:eastAsia="Calibri" w:hAnsi="Verdana" w:cs="Arial"/>
          <w:bCs/>
          <w:lang w:val="es-ES_tradnl" w:eastAsia="es-ES_tradnl"/>
        </w:rPr>
      </w:pPr>
      <w:r w:rsidRPr="009D5308">
        <w:rPr>
          <w:rFonts w:ascii="Verdana" w:eastAsia="Calibri" w:hAnsi="Verdana"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9D5308">
        <w:rPr>
          <w:rFonts w:ascii="Verdana" w:eastAsia="Calibri" w:hAnsi="Verdana" w:cs="Arial"/>
          <w:bCs/>
          <w:i/>
          <w:iCs/>
          <w:lang w:val="es-ES_tradnl" w:eastAsia="es-ES_tradnl"/>
        </w:rPr>
        <w:t xml:space="preserve">giro ordinario </w:t>
      </w:r>
      <w:r w:rsidRPr="009D5308">
        <w:rPr>
          <w:rFonts w:ascii="Verdana" w:eastAsia="Calibri" w:hAnsi="Verdana" w:cs="Arial"/>
          <w:bCs/>
          <w:lang w:val="es-ES_tradnl" w:eastAsia="es-ES_tradnl"/>
        </w:rPr>
        <w:t>incluida en la redacción original del parágrafo 1° del artículo 32 de la Ley 80 de 1993</w:t>
      </w:r>
      <w:r w:rsidRPr="009D5308">
        <w:rPr>
          <w:rFonts w:ascii="Verdana" w:eastAsia="Calibri" w:hAnsi="Verdana" w:cs="Arial"/>
          <w:vertAlign w:val="superscript"/>
          <w:lang w:eastAsia="es-ES_tradnl"/>
        </w:rPr>
        <w:footnoteReference w:id="13"/>
      </w:r>
      <w:r w:rsidRPr="009D5308">
        <w:rPr>
          <w:rFonts w:ascii="Verdana" w:eastAsia="Calibri" w:hAnsi="Verdana" w:cs="Arial"/>
          <w:bCs/>
          <w:lang w:val="es-ES_tradnl" w:eastAsia="es-ES_tradnl"/>
        </w:rPr>
        <w:t xml:space="preserve">, la Sección Tercera manifestó lo siguiente: </w:t>
      </w:r>
    </w:p>
    <w:p w14:paraId="62676328" w14:textId="77777777" w:rsidR="009D5308" w:rsidRPr="009D5308" w:rsidRDefault="009D5308" w:rsidP="009D5308">
      <w:pPr>
        <w:tabs>
          <w:tab w:val="left" w:pos="0"/>
        </w:tabs>
        <w:spacing w:after="0" w:line="276" w:lineRule="auto"/>
        <w:jc w:val="both"/>
        <w:rPr>
          <w:rFonts w:ascii="Verdana" w:eastAsia="Calibri" w:hAnsi="Verdana" w:cs="Arial"/>
          <w:bCs/>
          <w:lang w:val="es-ES_tradnl" w:eastAsia="es-ES_tradnl"/>
        </w:rPr>
      </w:pPr>
    </w:p>
    <w:p w14:paraId="3353DE48" w14:textId="77777777" w:rsidR="009D5308" w:rsidRPr="009D5308" w:rsidRDefault="009D5308" w:rsidP="009D5308">
      <w:pPr>
        <w:spacing w:after="0" w:line="240" w:lineRule="auto"/>
        <w:ind w:left="709" w:right="709"/>
        <w:jc w:val="both"/>
        <w:rPr>
          <w:rFonts w:ascii="Verdana" w:eastAsia="Times New Roman" w:hAnsi="Verdana" w:cs="Arial"/>
          <w:sz w:val="20"/>
          <w:szCs w:val="20"/>
          <w:lang w:val="es-ES_tradnl" w:eastAsia="es-CO"/>
        </w:rPr>
      </w:pPr>
      <w:r w:rsidRPr="009D5308">
        <w:rPr>
          <w:rFonts w:ascii="Verdana" w:eastAsia="Times New Roman" w:hAnsi="Verdana" w:cs="Arial"/>
          <w:sz w:val="20"/>
          <w:szCs w:val="20"/>
          <w:lang w:val="es-ES_tradnl" w:eastAsia="es-ES_tradnl"/>
        </w:rPr>
        <w:t xml:space="preserve">“[E]l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w:t>
      </w:r>
      <w:proofErr w:type="gramStart"/>
      <w:r w:rsidRPr="009D5308">
        <w:rPr>
          <w:rFonts w:ascii="Verdana" w:eastAsia="Times New Roman" w:hAnsi="Verdana" w:cs="Arial"/>
          <w:sz w:val="20"/>
          <w:szCs w:val="20"/>
          <w:lang w:val="es-ES_tradnl" w:eastAsia="es-ES_tradnl"/>
        </w:rPr>
        <w:t>Siendo</w:t>
      </w:r>
      <w:proofErr w:type="gramEnd"/>
      <w:r w:rsidRPr="009D5308">
        <w:rPr>
          <w:rFonts w:ascii="Verdana" w:eastAsia="Times New Roman" w:hAnsi="Verdana" w:cs="Arial"/>
          <w:sz w:val="20"/>
          <w:szCs w:val="20"/>
          <w:lang w:val="es-ES_tradnl" w:eastAsia="es-ES_tradnl"/>
        </w:rPr>
        <w:t xml:space="preserve">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9D5308">
        <w:rPr>
          <w:rFonts w:ascii="Verdana" w:eastAsia="Times New Roman" w:hAnsi="Verdana" w:cs="Arial"/>
          <w:sz w:val="20"/>
          <w:szCs w:val="20"/>
          <w:vertAlign w:val="superscript"/>
          <w:lang w:eastAsia="es-ES_tradnl"/>
        </w:rPr>
        <w:footnoteReference w:id="14"/>
      </w:r>
      <w:r w:rsidRPr="009D5308">
        <w:rPr>
          <w:rFonts w:ascii="Verdana" w:eastAsia="Times New Roman" w:hAnsi="Verdana" w:cs="Arial"/>
          <w:sz w:val="20"/>
          <w:szCs w:val="20"/>
          <w:lang w:val="es-ES_tradnl" w:eastAsia="es-ES_tradnl"/>
        </w:rPr>
        <w:t>.</w:t>
      </w:r>
    </w:p>
    <w:p w14:paraId="33834773" w14:textId="77777777" w:rsidR="009D5308" w:rsidRPr="009D5308" w:rsidRDefault="009D5308" w:rsidP="009D5308">
      <w:pPr>
        <w:tabs>
          <w:tab w:val="left" w:pos="0"/>
        </w:tabs>
        <w:spacing w:after="0" w:line="276" w:lineRule="auto"/>
        <w:jc w:val="both"/>
        <w:rPr>
          <w:rFonts w:ascii="Verdana" w:eastAsia="Calibri" w:hAnsi="Verdana" w:cs="Arial"/>
          <w:bCs/>
          <w:i/>
          <w:iCs/>
          <w:lang w:val="es-ES_tradnl" w:eastAsia="es-ES_tradnl"/>
        </w:rPr>
      </w:pPr>
    </w:p>
    <w:p w14:paraId="4E58D1B5" w14:textId="77777777" w:rsidR="009D5308" w:rsidRPr="009D5308" w:rsidRDefault="009D5308" w:rsidP="009D5308">
      <w:pPr>
        <w:tabs>
          <w:tab w:val="left" w:pos="0"/>
        </w:tabs>
        <w:spacing w:after="120" w:line="276" w:lineRule="auto"/>
        <w:jc w:val="both"/>
        <w:rPr>
          <w:rFonts w:ascii="Verdana" w:eastAsia="Calibri" w:hAnsi="Verdana" w:cs="Arial"/>
          <w:bCs/>
          <w:lang w:val="es-ES_tradnl" w:eastAsia="es-ES_tradnl"/>
        </w:rPr>
      </w:pPr>
      <w:r w:rsidRPr="009D5308">
        <w:rPr>
          <w:rFonts w:ascii="Verdana" w:eastAsia="Calibri" w:hAnsi="Verdana" w:cs="Arial"/>
          <w:bCs/>
          <w:lang w:val="es-ES_tradnl" w:eastAsia="es-ES_tradnl"/>
        </w:rPr>
        <w:tab/>
        <w:t xml:space="preserve">En el mismo sentido se pronunció recientemente el Alto Tribunal de lo Contencioso Administrativo, reiterando las anteriores consideraciones, al expresar que el concepto de </w:t>
      </w:r>
      <w:r w:rsidRPr="009D5308">
        <w:rPr>
          <w:rFonts w:ascii="Verdana" w:eastAsia="Calibri" w:hAnsi="Verdana" w:cs="Arial"/>
          <w:i/>
          <w:lang w:val="es-ES_tradnl" w:eastAsia="es-ES_tradnl"/>
        </w:rPr>
        <w:t xml:space="preserve">“giro ordinario de los negocios” </w:t>
      </w:r>
      <w:r w:rsidRPr="009D5308">
        <w:rPr>
          <w:rFonts w:ascii="Verdana" w:eastAsia="Calibri" w:hAnsi="Verdana" w:cs="Arial"/>
          <w:bCs/>
          <w:lang w:val="es-ES_tradnl" w:eastAsia="es-ES_tradnl"/>
        </w:rPr>
        <w:t>se refiere a aquellas actividades compatibles con el objeto social, funciones previstas en la ley, o en las normas de creación y en sus estatutos internos de las personas</w:t>
      </w:r>
      <w:r w:rsidRPr="009D5308">
        <w:rPr>
          <w:rFonts w:ascii="Verdana" w:eastAsia="Calibri" w:hAnsi="Verdana" w:cs="Arial"/>
          <w:vertAlign w:val="superscript"/>
          <w:lang w:eastAsia="es-ES_tradnl"/>
        </w:rPr>
        <w:footnoteReference w:id="15"/>
      </w:r>
      <w:r w:rsidRPr="009D5308">
        <w:rPr>
          <w:rFonts w:ascii="Verdana" w:eastAsia="Calibri" w:hAnsi="Verdana" w:cs="Arial"/>
          <w:bCs/>
          <w:lang w:val="es-ES_tradnl" w:eastAsia="es-ES_tradnl"/>
        </w:rPr>
        <w:t xml:space="preserve"> y la doctrina societaria</w:t>
      </w:r>
      <w:r w:rsidRPr="009D5308">
        <w:rPr>
          <w:rFonts w:ascii="Verdana" w:eastAsia="Calibri" w:hAnsi="Verdana" w:cs="Arial"/>
          <w:bCs/>
          <w:vertAlign w:val="superscript"/>
          <w:lang w:val="es-ES_tradnl" w:eastAsia="es-ES_tradnl"/>
        </w:rPr>
        <w:footnoteReference w:id="16"/>
      </w:r>
      <w:r w:rsidRPr="009D5308">
        <w:rPr>
          <w:rFonts w:ascii="Verdana" w:eastAsia="Calibri" w:hAnsi="Verdana" w:cs="Arial"/>
          <w:bCs/>
          <w:lang w:val="es-ES_tradnl" w:eastAsia="es-ES_tradnl"/>
        </w:rPr>
        <w:t xml:space="preserve">. </w:t>
      </w:r>
    </w:p>
    <w:p w14:paraId="4071D8CE" w14:textId="77777777" w:rsidR="009D5308" w:rsidRPr="009D5308" w:rsidRDefault="009D5308" w:rsidP="009D5308">
      <w:pPr>
        <w:spacing w:after="120" w:line="276" w:lineRule="auto"/>
        <w:jc w:val="both"/>
        <w:rPr>
          <w:rFonts w:ascii="Verdana" w:eastAsia="Calibri" w:hAnsi="Verdana" w:cs="Arial"/>
          <w:lang w:val="es-ES" w:eastAsia="es-ES"/>
        </w:rPr>
      </w:pPr>
      <w:r w:rsidRPr="009D5308">
        <w:rPr>
          <w:rFonts w:ascii="Verdana" w:eastAsia="Calibri" w:hAnsi="Verdana" w:cs="Arial"/>
          <w:bCs/>
          <w:lang w:val="es-ES_tradnl" w:eastAsia="es-ES_tradnl"/>
        </w:rPr>
        <w:lastRenderedPageBreak/>
        <w:tab/>
      </w:r>
      <w:r w:rsidRPr="009D5308">
        <w:rPr>
          <w:rFonts w:ascii="Verdana" w:eastAsia="Calibri" w:hAnsi="Verdana" w:cs="Arial"/>
          <w:lang w:val="es-ES" w:eastAsia="es-ES"/>
        </w:rPr>
        <w:t xml:space="preserve">Conforme con lo expresado, el </w:t>
      </w:r>
      <w:r w:rsidRPr="009D5308">
        <w:rPr>
          <w:rFonts w:ascii="Verdana" w:eastAsia="Calibri" w:hAnsi="Verdana" w:cs="Arial"/>
          <w:i/>
          <w:lang w:val="es-ES" w:eastAsia="es-ES"/>
        </w:rPr>
        <w:t xml:space="preserve">giro ordinario </w:t>
      </w:r>
      <w:r w:rsidRPr="009D5308">
        <w:rPr>
          <w:rFonts w:ascii="Verdana" w:eastAsia="Calibri" w:hAnsi="Verdana" w:cs="Arial"/>
          <w:lang w:val="es-ES" w:eastAsia="es-ES"/>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9D5308">
        <w:rPr>
          <w:rFonts w:ascii="Verdana" w:eastAsia="Times New Roman" w:hAnsi="Verdana" w:cs="Arial"/>
          <w:lang w:val="es-ES" w:eastAsia="es-ES"/>
        </w:rPr>
        <w:t>S]e</w:t>
      </w:r>
      <w:r w:rsidRPr="009D5308">
        <w:rPr>
          <w:rFonts w:ascii="Verdana" w:eastAsia="Calibri" w:hAnsi="Verdana" w:cs="Arial"/>
          <w:lang w:val="es-ES" w:eastAsia="es-ES"/>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9D5308">
        <w:rPr>
          <w:rFonts w:ascii="Verdana" w:eastAsia="Calibri" w:hAnsi="Verdana" w:cs="Arial"/>
          <w:vertAlign w:val="superscript"/>
          <w:lang w:eastAsia="es-ES"/>
        </w:rPr>
        <w:footnoteReference w:id="17"/>
      </w:r>
    </w:p>
    <w:p w14:paraId="6A973EAF" w14:textId="77777777" w:rsidR="009D5308" w:rsidRPr="009D5308" w:rsidRDefault="009D5308" w:rsidP="009D5308">
      <w:pPr>
        <w:spacing w:before="120" w:after="120" w:line="276" w:lineRule="auto"/>
        <w:jc w:val="both"/>
        <w:rPr>
          <w:rFonts w:ascii="Verdana" w:eastAsia="Calibri" w:hAnsi="Verdana" w:cs="Arial"/>
          <w:lang w:val="es-ES" w:eastAsia="es-ES"/>
        </w:rPr>
      </w:pPr>
      <w:r w:rsidRPr="009D5308">
        <w:rPr>
          <w:rFonts w:ascii="Verdana" w:eastAsia="Calibri" w:hAnsi="Verdana" w:cs="Arial"/>
          <w:bCs/>
          <w:lang w:val="es-ES_tradnl" w:eastAsia="es-ES_tradnl"/>
        </w:rPr>
        <w:tab/>
      </w:r>
      <w:r w:rsidRPr="009D5308">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9D5308">
        <w:rPr>
          <w:rFonts w:ascii="Verdana" w:eastAsia="Calibri" w:hAnsi="Verdana" w:cs="Arial"/>
          <w:i/>
          <w:lang w:val="es-ES" w:eastAsia="es-ES"/>
        </w:rPr>
        <w:t xml:space="preserve">giro ordinario </w:t>
      </w:r>
      <w:r w:rsidRPr="009D5308">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9D5308">
        <w:rPr>
          <w:rFonts w:ascii="Verdana" w:eastAsia="Calibri" w:hAnsi="Verdana" w:cs="Arial"/>
          <w:i/>
          <w:lang w:val="es-ES" w:eastAsia="es-ES"/>
        </w:rPr>
        <w:t>giro ordinario</w:t>
      </w:r>
      <w:r w:rsidRPr="009D5308">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9D5308">
        <w:rPr>
          <w:rFonts w:ascii="Verdana" w:eastAsia="Calibri" w:hAnsi="Verdana" w:cs="Arial"/>
          <w:i/>
          <w:lang w:val="es-ES" w:eastAsia="es-ES"/>
        </w:rPr>
        <w:t>ejusdem</w:t>
      </w:r>
      <w:proofErr w:type="spellEnd"/>
      <w:r w:rsidRPr="009D5308">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474CB656" w14:textId="77777777" w:rsidR="009D5308" w:rsidRPr="009D5308" w:rsidRDefault="009D5308" w:rsidP="009D5308">
      <w:pPr>
        <w:tabs>
          <w:tab w:val="left" w:pos="0"/>
        </w:tabs>
        <w:spacing w:before="120" w:after="120" w:line="276" w:lineRule="auto"/>
        <w:ind w:firstLine="709"/>
        <w:jc w:val="both"/>
        <w:rPr>
          <w:rFonts w:ascii="Verdana" w:eastAsia="Calibri" w:hAnsi="Verdana" w:cs="Arial"/>
          <w:bCs/>
          <w:lang w:val="es-ES_tradnl"/>
        </w:rPr>
      </w:pPr>
      <w:r w:rsidRPr="009D5308">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w:t>
      </w:r>
      <w:r w:rsidRPr="009D5308">
        <w:rPr>
          <w:rFonts w:ascii="Verdana" w:eastAsia="Calibri" w:hAnsi="Verdana" w:cs="Arial"/>
          <w:lang w:val="es-ES" w:eastAsia="es-ES"/>
        </w:rPr>
        <w:lastRenderedPageBreak/>
        <w:t xml:space="preserve">indicó, al explicar la naturaleza de los conceptos jurídicos indeterminados, la concreción del alcance de la expresión </w:t>
      </w:r>
      <w:r w:rsidRPr="009D5308">
        <w:rPr>
          <w:rFonts w:ascii="Verdana" w:eastAsia="Calibri" w:hAnsi="Verdana" w:cs="Arial"/>
          <w:i/>
          <w:lang w:val="es-ES" w:eastAsia="es-ES"/>
        </w:rPr>
        <w:t>giro ordinario</w:t>
      </w:r>
      <w:r w:rsidRPr="009D5308">
        <w:rPr>
          <w:rFonts w:ascii="Verdana" w:eastAsia="Calibri" w:hAnsi="Verdana" w:cs="Arial"/>
          <w:lang w:val="es-ES" w:eastAsia="es-ES"/>
        </w:rPr>
        <w:t xml:space="preserve"> debe hacerse en el caso concreto, empleando un criterio de interpretación restrictiva. Ello en la medida en que el parágrafo del artículo 56 consagra una excepción a una regla general. </w:t>
      </w:r>
      <w:r w:rsidRPr="009D5308">
        <w:rPr>
          <w:rFonts w:ascii="Verdana" w:eastAsia="Calibri" w:hAnsi="Verdana" w:cs="Arial"/>
          <w:bCs/>
          <w:lang w:val="es-ES_tradnl"/>
        </w:rPr>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64FBD742" w14:textId="77777777" w:rsidR="009D5308" w:rsidRPr="009D5308" w:rsidRDefault="009D5308" w:rsidP="009D5308">
      <w:pPr>
        <w:spacing w:before="120" w:after="120" w:line="276" w:lineRule="auto"/>
        <w:jc w:val="both"/>
        <w:rPr>
          <w:rFonts w:ascii="Verdana" w:eastAsia="Calibri" w:hAnsi="Verdana" w:cs="Arial"/>
          <w:lang w:val="es-ES" w:eastAsia="es-ES"/>
        </w:rPr>
      </w:pPr>
      <w:r w:rsidRPr="009D5308">
        <w:rPr>
          <w:rFonts w:ascii="Verdana" w:eastAsia="Calibri" w:hAnsi="Verdana" w:cs="Arial"/>
          <w:bCs/>
          <w:lang w:val="es-ES_tradnl" w:eastAsia="es-ES_tradnl"/>
        </w:rPr>
        <w:tab/>
      </w:r>
      <w:r w:rsidRPr="009D5308">
        <w:rPr>
          <w:rFonts w:ascii="Verdana" w:eastAsia="Calibri" w:hAnsi="Verdana" w:cs="Arial"/>
          <w:color w:val="000000"/>
          <w:lang w:val="es-ES"/>
        </w:rPr>
        <w:t xml:space="preserve"> </w:t>
      </w:r>
      <w:r w:rsidRPr="009D5308">
        <w:rPr>
          <w:rFonts w:ascii="Verdana" w:eastAsia="Calibri" w:hAnsi="Verdana" w:cs="Arial"/>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únicamente para la contratación relacionada con el </w:t>
      </w:r>
      <w:r w:rsidRPr="009D5308">
        <w:rPr>
          <w:rFonts w:ascii="Verdana" w:eastAsia="Calibri" w:hAnsi="Verdana" w:cs="Arial"/>
          <w:i/>
          <w:iCs/>
          <w:lang w:val="es-ES" w:eastAsia="es-ES"/>
        </w:rPr>
        <w:t xml:space="preserve">giro ordinario </w:t>
      </w:r>
      <w:r w:rsidRPr="009D5308">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9D5308">
        <w:rPr>
          <w:rFonts w:ascii="Verdana" w:eastAsia="Calibri" w:hAnsi="Verdana" w:cs="Arial"/>
          <w:i/>
          <w:iCs/>
          <w:lang w:val="es-ES" w:eastAsia="es-ES"/>
        </w:rPr>
        <w:t>su giro ordinario</w:t>
      </w:r>
      <w:r w:rsidRPr="009D5308">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9D5308">
        <w:rPr>
          <w:rFonts w:ascii="Verdana" w:eastAsia="Calibri" w:hAnsi="Verdana" w:cs="Arial"/>
          <w:i/>
          <w:iCs/>
          <w:lang w:val="es-ES" w:eastAsia="es-ES"/>
        </w:rPr>
        <w:t>giro ordinario</w:t>
      </w:r>
      <w:r w:rsidRPr="009D5308">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bookmarkEnd w:id="2"/>
    <w:bookmarkEnd w:id="3"/>
    <w:p w14:paraId="2C7DECE6" w14:textId="77777777" w:rsidR="009D5308" w:rsidRPr="009D5308" w:rsidRDefault="009D5308" w:rsidP="009D5308">
      <w:pPr>
        <w:spacing w:after="120" w:line="276" w:lineRule="auto"/>
        <w:jc w:val="both"/>
        <w:rPr>
          <w:rFonts w:ascii="Verdana" w:eastAsia="Times New Roman" w:hAnsi="Verdana" w:cs="Times New Roman"/>
          <w:color w:val="000000"/>
          <w:lang w:eastAsia="es-CO"/>
        </w:rPr>
      </w:pPr>
      <w:proofErr w:type="spellStart"/>
      <w:r w:rsidRPr="009D5308">
        <w:rPr>
          <w:rFonts w:ascii="Verdana" w:eastAsia="Calibri" w:hAnsi="Verdana" w:cs="Arial"/>
          <w:lang w:val="es-ES" w:eastAsia="es-MX"/>
        </w:rPr>
        <w:t>iii</w:t>
      </w:r>
      <w:proofErr w:type="spellEnd"/>
      <w:r w:rsidRPr="009D5308">
        <w:rPr>
          <w:rFonts w:ascii="Verdana" w:eastAsia="Calibri" w:hAnsi="Verdana" w:cs="Arial"/>
          <w:lang w:val="es-ES" w:eastAsia="es-MX"/>
        </w:rPr>
        <w:t xml:space="preserve">. </w:t>
      </w:r>
      <w:r w:rsidRPr="009D5308">
        <w:rPr>
          <w:rFonts w:ascii="Verdana" w:eastAsia="Aptos" w:hAnsi="Verdana" w:cs="Arial"/>
          <w:lang w:eastAsia="es-MX"/>
        </w:rPr>
        <w:t xml:space="preserve">En el sector social, </w:t>
      </w:r>
      <w:r w:rsidRPr="009D5308">
        <w:rPr>
          <w:rFonts w:ascii="Verdana" w:eastAsia="Calibri" w:hAnsi="Verdana" w:cs="Arial"/>
          <w:lang w:val="es-MX" w:eastAsia="es-MX"/>
        </w:rPr>
        <w:t xml:space="preserve">la Agencia Nacional de Contratación Pública – Colombia Compra </w:t>
      </w:r>
      <w:r w:rsidRPr="009D5308">
        <w:rPr>
          <w:rFonts w:ascii="Verdana" w:eastAsia="Calibri" w:hAnsi="Verdana" w:cs="Arial"/>
          <w:lang w:eastAsia="es-MX"/>
        </w:rPr>
        <w:t xml:space="preserve">Eficiente </w:t>
      </w:r>
      <w:r w:rsidRPr="009D5308">
        <w:rPr>
          <w:rFonts w:ascii="Verdana" w:eastAsia="Times New Roman" w:hAnsi="Verdana" w:cs="Times New Roman"/>
          <w:color w:val="000000"/>
          <w:lang w:eastAsia="es-CO"/>
        </w:rPr>
        <w:t>en el segundo semestre del año 2025 adoptó las siguientes Resoluciones para contratar obra pública y concurso de méritos:</w:t>
      </w:r>
    </w:p>
    <w:p w14:paraId="75F5F8EF" w14:textId="77777777" w:rsidR="009D5308" w:rsidRPr="009D5308" w:rsidRDefault="009D5308" w:rsidP="009D5308">
      <w:pPr>
        <w:spacing w:after="120" w:line="276" w:lineRule="auto"/>
        <w:ind w:firstLine="708"/>
        <w:jc w:val="both"/>
        <w:rPr>
          <w:rFonts w:ascii="Verdana" w:eastAsia="Times New Roman" w:hAnsi="Verdana" w:cs="Times New Roman"/>
          <w:color w:val="000000"/>
          <w:lang w:eastAsia="es-CO"/>
        </w:rPr>
      </w:pPr>
      <w:r w:rsidRPr="009D5308">
        <w:rPr>
          <w:rFonts w:ascii="Verdana" w:eastAsia="Times New Roman" w:hAnsi="Verdana" w:cs="Times New Roman"/>
          <w:color w:val="000000"/>
          <w:lang w:eastAsia="es-CO"/>
        </w:rPr>
        <w:t xml:space="preserve">i) Resolución 539 del 21 de agosto de 2015 "Por la cual se adopta la versión -2- de los Documentos Tipo para los procesos de selección de licitación de obra pública del sector de infraestructura social y se deroga la Resolución 219 </w:t>
      </w:r>
      <w:r w:rsidRPr="009D5308">
        <w:rPr>
          <w:rFonts w:ascii="Verdana" w:eastAsia="Times New Roman" w:hAnsi="Verdana" w:cs="Times New Roman"/>
          <w:color w:val="000000"/>
          <w:lang w:eastAsia="es-CO"/>
        </w:rPr>
        <w:lastRenderedPageBreak/>
        <w:t>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85BF0AB" w14:textId="77777777" w:rsidR="009D5308" w:rsidRPr="009D5308" w:rsidRDefault="009D5308" w:rsidP="009D5308">
      <w:pPr>
        <w:spacing w:after="120" w:line="276" w:lineRule="auto"/>
        <w:ind w:firstLine="708"/>
        <w:jc w:val="both"/>
        <w:rPr>
          <w:rFonts w:ascii="Verdana" w:eastAsia="Times New Roman" w:hAnsi="Verdana" w:cs="Times New Roman"/>
          <w:color w:val="000000"/>
          <w:lang w:eastAsia="es-CO"/>
        </w:rPr>
      </w:pPr>
      <w:r w:rsidRPr="009D5308">
        <w:rPr>
          <w:rFonts w:ascii="Verdana" w:eastAsia="Times New Roman" w:hAnsi="Verdana" w:cs="Times New Roman"/>
          <w:color w:val="000000"/>
          <w:lang w:eastAsia="es-CO"/>
        </w:rPr>
        <w:t xml:space="preserve"> </w:t>
      </w:r>
      <w:proofErr w:type="spellStart"/>
      <w:r w:rsidRPr="009D5308">
        <w:rPr>
          <w:rFonts w:ascii="Verdana" w:eastAsia="Times New Roman" w:hAnsi="Verdana" w:cs="Times New Roman"/>
          <w:color w:val="000000"/>
          <w:lang w:eastAsia="es-CO"/>
        </w:rPr>
        <w:t>ii</w:t>
      </w:r>
      <w:proofErr w:type="spellEnd"/>
      <w:r w:rsidRPr="009D5308">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7A2CB618" w14:textId="77777777" w:rsidR="009D5308" w:rsidRPr="009D5308" w:rsidRDefault="009D5308" w:rsidP="009D5308">
      <w:pPr>
        <w:spacing w:after="120" w:line="276" w:lineRule="auto"/>
        <w:ind w:firstLine="708"/>
        <w:jc w:val="both"/>
        <w:rPr>
          <w:rFonts w:ascii="Verdana" w:eastAsia="Times New Roman" w:hAnsi="Verdana" w:cs="Times New Roman"/>
          <w:color w:val="000000"/>
          <w:lang w:eastAsia="es-CO"/>
        </w:rPr>
      </w:pPr>
      <w:proofErr w:type="spellStart"/>
      <w:r w:rsidRPr="009D5308">
        <w:rPr>
          <w:rFonts w:ascii="Verdana" w:eastAsia="Times New Roman" w:hAnsi="Verdana" w:cs="Times New Roman"/>
          <w:color w:val="000000"/>
          <w:lang w:eastAsia="es-CO"/>
        </w:rPr>
        <w:t>iii</w:t>
      </w:r>
      <w:proofErr w:type="spellEnd"/>
      <w:r w:rsidRPr="009D5308">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052BF2A" w14:textId="77777777" w:rsidR="009D5308" w:rsidRPr="009D5308" w:rsidRDefault="009D5308" w:rsidP="009D5308">
      <w:pPr>
        <w:spacing w:after="120" w:line="276" w:lineRule="auto"/>
        <w:ind w:firstLine="708"/>
        <w:jc w:val="both"/>
        <w:rPr>
          <w:rFonts w:ascii="Verdana" w:eastAsia="Times New Roman" w:hAnsi="Verdana" w:cs="Times New Roman"/>
          <w:color w:val="000000"/>
          <w:lang w:eastAsia="es-CO"/>
        </w:rPr>
      </w:pPr>
      <w:proofErr w:type="spellStart"/>
      <w:r w:rsidRPr="009D5308">
        <w:rPr>
          <w:rFonts w:ascii="Verdana" w:eastAsia="Times New Roman" w:hAnsi="Verdana" w:cs="Times New Roman"/>
          <w:color w:val="000000"/>
          <w:lang w:eastAsia="es-CO"/>
        </w:rPr>
        <w:t>iv</w:t>
      </w:r>
      <w:proofErr w:type="spellEnd"/>
      <w:r w:rsidRPr="009D5308">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217C7F42" w14:textId="77777777" w:rsidR="009D5308" w:rsidRPr="009D5308" w:rsidRDefault="009D5308" w:rsidP="009D5308">
      <w:pPr>
        <w:spacing w:after="120" w:line="276" w:lineRule="auto"/>
        <w:ind w:firstLine="708"/>
        <w:jc w:val="both"/>
        <w:rPr>
          <w:rFonts w:ascii="Verdana" w:eastAsia="Times New Roman" w:hAnsi="Verdana" w:cs="Times New Roman"/>
          <w:color w:val="000000"/>
          <w:lang w:eastAsia="es-CO"/>
        </w:rPr>
      </w:pPr>
      <w:r w:rsidRPr="009D5308">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9D5308">
        <w:rPr>
          <w:rFonts w:ascii="Verdana" w:eastAsia="Aptos" w:hAnsi="Verdana" w:cs="Times New Roman"/>
          <w:lang w:eastAsia="es-MX"/>
        </w:rPr>
        <w:t xml:space="preserve"> </w:t>
      </w:r>
    </w:p>
    <w:p w14:paraId="402AC804" w14:textId="77777777" w:rsidR="009D5308" w:rsidRPr="009D5308" w:rsidRDefault="009D5308" w:rsidP="009D5308">
      <w:pPr>
        <w:spacing w:after="120" w:line="276" w:lineRule="auto"/>
        <w:ind w:firstLine="708"/>
        <w:jc w:val="both"/>
        <w:textAlignment w:val="baseline"/>
        <w:rPr>
          <w:rFonts w:ascii="Verdana" w:eastAsia="Calibri" w:hAnsi="Verdana" w:cs="Arial"/>
          <w:lang w:eastAsia="es-MX"/>
        </w:rPr>
      </w:pPr>
      <w:r w:rsidRPr="009D5308">
        <w:rPr>
          <w:rFonts w:ascii="Verdana" w:eastAsia="Aptos" w:hAnsi="Verdana" w:cs="Times New Roman"/>
          <w:lang w:eastAsia="es-MX"/>
        </w:rPr>
        <w:t xml:space="preserve">Las Resoluciones 539, 540 y 541 del 21 de agosto de 2025, así como las Resoluciones 952 y 953 del 15 de diciembre de 2025, adoptadas en el sector de infraestructura social, aplican de forma transversal a las modalidades de </w:t>
      </w:r>
      <w:r w:rsidRPr="009D5308">
        <w:rPr>
          <w:rFonts w:ascii="Verdana" w:eastAsia="Aptos" w:hAnsi="Verdana" w:cs="Times New Roman"/>
          <w:lang w:eastAsia="es-MX"/>
        </w:rPr>
        <w:lastRenderedPageBreak/>
        <w:t>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9D5308">
        <w:rPr>
          <w:rFonts w:ascii="Verdana" w:eastAsia="Calibri" w:hAnsi="Verdana" w:cs="Arial"/>
          <w:vertAlign w:val="superscript"/>
          <w:lang w:eastAsia="es-MX"/>
        </w:rPr>
        <w:footnoteReference w:id="18"/>
      </w:r>
      <w:r w:rsidRPr="009D5308">
        <w:rPr>
          <w:rFonts w:ascii="Verdana" w:eastAsia="Calibri" w:hAnsi="Verdana" w:cs="Arial"/>
          <w:lang w:eastAsia="es-MX"/>
        </w:rPr>
        <w:t>.</w:t>
      </w:r>
    </w:p>
    <w:p w14:paraId="44480E68" w14:textId="77777777" w:rsidR="009D5308" w:rsidRPr="009D5308" w:rsidRDefault="009D5308" w:rsidP="009D5308">
      <w:pPr>
        <w:widowControl w:val="0"/>
        <w:autoSpaceDE w:val="0"/>
        <w:autoSpaceDN w:val="0"/>
        <w:spacing w:after="120" w:line="276" w:lineRule="auto"/>
        <w:ind w:firstLine="708"/>
        <w:jc w:val="both"/>
        <w:rPr>
          <w:rFonts w:ascii="Verdana" w:eastAsia="Calibri" w:hAnsi="Verdana" w:cs="Arial"/>
          <w:lang w:eastAsia="es-MX"/>
        </w:rPr>
      </w:pPr>
      <w:r w:rsidRPr="009D5308">
        <w:rPr>
          <w:rFonts w:ascii="Verdana" w:eastAsia="Calibri" w:hAnsi="Verdana" w:cs="Arial"/>
          <w:lang w:eastAsia="es-MX"/>
        </w:rPr>
        <w:t xml:space="preserve">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 -supuesto que debe observarse de acuerdo con lo explicado en el punto i. de este concepto-. </w:t>
      </w:r>
    </w:p>
    <w:p w14:paraId="1B5D742A" w14:textId="77777777" w:rsidR="009D5308" w:rsidRPr="009D5308" w:rsidRDefault="009D5308" w:rsidP="009D5308">
      <w:pPr>
        <w:widowControl w:val="0"/>
        <w:autoSpaceDE w:val="0"/>
        <w:autoSpaceDN w:val="0"/>
        <w:spacing w:after="120" w:line="276" w:lineRule="auto"/>
        <w:ind w:firstLine="708"/>
        <w:jc w:val="both"/>
        <w:rPr>
          <w:rFonts w:ascii="Verdana" w:eastAsia="Calibri" w:hAnsi="Verdana" w:cs="Arial"/>
          <w:lang w:eastAsia="es-MX"/>
        </w:rPr>
      </w:pPr>
      <w:r w:rsidRPr="009D5308">
        <w:rPr>
          <w:rFonts w:ascii="Verdana" w:eastAsia="Calibri" w:hAnsi="Verdana" w:cs="Arial"/>
          <w:lang w:eastAsia="es-MX"/>
        </w:rPr>
        <w:lastRenderedPageBreak/>
        <w:t xml:space="preserve">En consecuencia, los obligados a su aplicación, al adelantar sus procedimientos de selección, solo podrán modificarlos en los aspectos que los Documentos Tipo lo permitan. </w:t>
      </w:r>
      <w:r w:rsidRPr="009D5308">
        <w:rPr>
          <w:rFonts w:ascii="Verdana" w:eastAsia="Calibri" w:hAnsi="Verdana" w:cs="Times New Roman"/>
          <w:lang w:val="es-ES" w:eastAsia="es-MX"/>
        </w:rPr>
        <w:t xml:space="preserve">Esto corresponde a aquellos aspectos que se encuentran entre corchetes y resaltados en gris </w:t>
      </w:r>
      <w:r w:rsidRPr="009D5308">
        <w:rPr>
          <w:rFonts w:ascii="Verdana" w:eastAsia="Calibri" w:hAnsi="Verdana" w:cs="Times New Roman"/>
          <w:shd w:val="clear" w:color="auto" w:fill="E8E8E8"/>
          <w:lang w:val="es-ES" w:eastAsia="es-MX"/>
        </w:rPr>
        <w:t>–[texto]–,</w:t>
      </w:r>
      <w:r w:rsidRPr="009D5308">
        <w:rPr>
          <w:rFonts w:ascii="Verdana" w:eastAsia="Calibri" w:hAnsi="Verdana" w:cs="Times New Roman"/>
          <w:lang w:val="es-ES" w:eastAsia="es-MX"/>
        </w:rPr>
        <w:t xml:space="preserve"> para lo cual deberán observarse las instrucciones contenidas en los mismos para su diligenciamiento.</w:t>
      </w:r>
    </w:p>
    <w:p w14:paraId="6B3E3490" w14:textId="77777777" w:rsidR="009D5308" w:rsidRPr="009D5308" w:rsidRDefault="009D5308" w:rsidP="009D5308">
      <w:pPr>
        <w:widowControl w:val="0"/>
        <w:autoSpaceDE w:val="0"/>
        <w:autoSpaceDN w:val="0"/>
        <w:spacing w:after="120" w:line="276" w:lineRule="auto"/>
        <w:ind w:firstLine="708"/>
        <w:jc w:val="both"/>
        <w:rPr>
          <w:rFonts w:ascii="Verdana" w:eastAsia="Calibri" w:hAnsi="Verdana" w:cs="Times New Roman"/>
          <w:lang w:val="es-ES" w:eastAsia="es-MX"/>
        </w:rPr>
      </w:pPr>
      <w:r w:rsidRPr="009D5308">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4C737930" w14:textId="77777777" w:rsidR="009D5308" w:rsidRPr="009D5308" w:rsidRDefault="009D5308" w:rsidP="009D5308">
      <w:pPr>
        <w:spacing w:after="120" w:line="276" w:lineRule="auto"/>
        <w:jc w:val="both"/>
        <w:rPr>
          <w:rFonts w:ascii="Verdana" w:eastAsia="Calibri" w:hAnsi="Verdana" w:cs="Times New Roman"/>
          <w:lang w:val="es-ES" w:eastAsia="es-MX"/>
        </w:rPr>
      </w:pPr>
      <w:proofErr w:type="spellStart"/>
      <w:r w:rsidRPr="009D5308">
        <w:rPr>
          <w:rFonts w:ascii="Verdana" w:eastAsia="Calibri" w:hAnsi="Verdana" w:cs="Times New Roman"/>
          <w:lang w:val="es-ES" w:eastAsia="es-MX"/>
        </w:rPr>
        <w:t>iv</w:t>
      </w:r>
      <w:proofErr w:type="spellEnd"/>
      <w:r w:rsidRPr="009D5308">
        <w:rPr>
          <w:rFonts w:ascii="Verdana" w:eastAsia="Calibri" w:hAnsi="Verdana" w:cs="Times New Roman"/>
          <w:lang w:val="es-ES" w:eastAsia="es-MX"/>
        </w:rPr>
        <w:t xml:space="preserve">. El artículo 8 de las Resoluciones 539, 540 y 541 del 21 de agosto de 2025, adoptan los Documentos Tipo complementarios para los procesos de infraestructura social relacionados con el sector educativo -según la modalidad que corresponda-. De acuerdo con el parágrafo segundo del artículo 9 de las citadas resoluciones, estos documentos aplican a los procesos contractuales que correspondan a las actividades definidas en la Matriz 1 – Experiencia del Sector Educativo. </w:t>
      </w:r>
    </w:p>
    <w:p w14:paraId="04FD1077" w14:textId="77777777" w:rsidR="009D5308" w:rsidRPr="009D5308" w:rsidRDefault="009D5308" w:rsidP="009D5308">
      <w:pPr>
        <w:spacing w:after="120" w:line="276" w:lineRule="auto"/>
        <w:jc w:val="both"/>
        <w:rPr>
          <w:rFonts w:ascii="Verdana" w:eastAsia="Arial" w:hAnsi="Verdana" w:cs="Aptos"/>
          <w:lang w:eastAsia="es-ES"/>
        </w:rPr>
      </w:pPr>
      <w:r w:rsidRPr="009D5308">
        <w:rPr>
          <w:rFonts w:ascii="Verdana" w:eastAsia="Calibri" w:hAnsi="Verdana" w:cs="Times New Roman"/>
          <w:lang w:val="es-ES" w:eastAsia="es-MX"/>
        </w:rPr>
        <w:tab/>
        <w:t xml:space="preserve">La Matriz 1 – Experiencia del Sector Educativo, </w:t>
      </w:r>
      <w:r w:rsidRPr="009D5308">
        <w:rPr>
          <w:rFonts w:ascii="Verdana" w:eastAsia="Times New Roman" w:hAnsi="Verdana" w:cs="Times New Roman"/>
          <w:color w:val="000000"/>
          <w:lang w:eastAsia="es-CO"/>
        </w:rPr>
        <w:t>en la modalidad de licitación pública, selección abreviada de menor cuantía y mínima cuantía dispone de los siguientes cuatro (4) tipos de obras de infraestructura educativa:</w:t>
      </w:r>
      <w:r w:rsidRPr="009D5308">
        <w:rPr>
          <w:rFonts w:ascii="Times New Roman" w:eastAsia="Arial" w:hAnsi="Times New Roman" w:cs="Aptos"/>
          <w:lang w:eastAsia="es-ES"/>
        </w:rPr>
        <w:t xml:space="preserve"> </w:t>
      </w:r>
      <w:r w:rsidRPr="009D5308">
        <w:rPr>
          <w:rFonts w:ascii="Verdana" w:eastAsia="Arial" w:hAnsi="Verdana" w:cs="Aptos"/>
          <w:lang w:eastAsia="es-ES"/>
        </w:rPr>
        <w:t xml:space="preserve">“1. OBRAS EN INFRAESTRUCTURA DE EDUCACIÓN, 2. OBRAS EN INFRAESTRUCTURA RECREODEPORTIVA Y CULTURAL EN INFRAESTRUCTURA EDUCATIVA, 3. OBRAS EN VÍAS DE ACCESO O PARQUEADEROS O ZONAS DE CIRCULACIÓN (VEHICULAR O PEATONAL) O PLAZUELAS O PLAZAS O PLAZUELAS EN INFRAESTRUCTURA EDUCATIVA, y 4. OBRAS PARA ATENCIÓN, PREVENCIÓN O MITIGACIÓN DE EMERGENCIAS DIFERENTES A CONTRATACIÓN DIRECTA PARA EL SECTOR EDUCATIVO. Sobre los tipos de obras señaladas, la Matriz 1 – Experiencia contiene una serie de actividades donde la entidad debe encuadrar el objeto del proceso que pretende ejecutar. Estas actividades se relacionan con proyectos de construcción, ampliación, reconstrucción, adecuación, conservación, intervención, remodelación, mantenimiento, mejoramiento, modificación, optimización, rehabilitación, remodelación, reposición y/o reparación, entre otras actividades, sobre infraestructura educativa. </w:t>
      </w:r>
    </w:p>
    <w:p w14:paraId="7B6D5987" w14:textId="77777777" w:rsidR="009D5308" w:rsidRPr="009D5308" w:rsidRDefault="009D5308" w:rsidP="009D5308">
      <w:pPr>
        <w:spacing w:after="120" w:line="276" w:lineRule="auto"/>
        <w:jc w:val="both"/>
        <w:rPr>
          <w:rFonts w:ascii="Verdana" w:eastAsia="Times New Roman" w:hAnsi="Verdana" w:cs="Times New Roman"/>
          <w:color w:val="000000"/>
          <w:lang w:eastAsia="es-CO"/>
        </w:rPr>
      </w:pPr>
      <w:r w:rsidRPr="009D5308">
        <w:rPr>
          <w:rFonts w:ascii="Verdana" w:eastAsia="Arial" w:hAnsi="Verdana" w:cs="Aptos"/>
          <w:lang w:eastAsia="es-ES"/>
        </w:rPr>
        <w:lastRenderedPageBreak/>
        <w:tab/>
        <w:t>De esta forma, los tipos de obras señaladas y las actividades previstas en la Matriz 1</w:t>
      </w:r>
      <w:r w:rsidRPr="009D5308">
        <w:rPr>
          <w:rFonts w:ascii="Verdana" w:eastAsia="Calibri" w:hAnsi="Verdana" w:cs="Times New Roman"/>
          <w:lang w:val="es-ES" w:eastAsia="es-MX"/>
        </w:rPr>
        <w:t xml:space="preserve">– Experiencia del Sector Educativo, </w:t>
      </w:r>
      <w:r w:rsidRPr="009D5308">
        <w:rPr>
          <w:rFonts w:ascii="Verdana" w:eastAsia="Times New Roman" w:hAnsi="Verdana" w:cs="Times New Roman"/>
          <w:color w:val="000000"/>
          <w:lang w:eastAsia="es-CO"/>
        </w:rPr>
        <w:t>en la modalidad de licitación pública, selección abreviada de menor cuantía y mínima cuantía, recaen sobre infraestructura educativa. Esto es importante para precisar el ámbito de aplicación de los Documentos Tipo de este sector adoptados en de las Resoluciones 539, 540 y 541 de 2025.</w:t>
      </w:r>
    </w:p>
    <w:p w14:paraId="2D108801" w14:textId="77777777" w:rsidR="009D5308" w:rsidRPr="009D5308" w:rsidRDefault="009D5308" w:rsidP="009D5308">
      <w:pPr>
        <w:spacing w:after="120" w:line="276" w:lineRule="auto"/>
        <w:jc w:val="both"/>
        <w:rPr>
          <w:rFonts w:ascii="Verdana" w:eastAsia="Calibri" w:hAnsi="Verdana" w:cs="Times New Roman"/>
          <w:lang w:val="es-ES" w:eastAsia="es-MX"/>
        </w:rPr>
      </w:pPr>
      <w:r w:rsidRPr="009D5308">
        <w:rPr>
          <w:rFonts w:ascii="Verdana" w:eastAsia="Times New Roman" w:hAnsi="Verdana" w:cs="Times New Roman"/>
          <w:color w:val="000000"/>
          <w:lang w:eastAsia="es-CO"/>
        </w:rPr>
        <w:tab/>
        <w:t xml:space="preserve">La nota general 1 de la </w:t>
      </w:r>
      <w:r w:rsidRPr="009D5308">
        <w:rPr>
          <w:rFonts w:ascii="Verdana" w:eastAsia="Arial" w:hAnsi="Verdana" w:cs="Aptos"/>
          <w:lang w:eastAsia="es-ES"/>
        </w:rPr>
        <w:t>Matriz 1</w:t>
      </w:r>
      <w:r w:rsidRPr="009D5308">
        <w:rPr>
          <w:rFonts w:ascii="Verdana" w:eastAsia="Calibri" w:hAnsi="Verdana" w:cs="Times New Roman"/>
          <w:lang w:val="es-ES" w:eastAsia="es-MX"/>
        </w:rPr>
        <w:t>– Experiencia del Sector Educativo en las distintas modalidades de los Documentos Tipo adoptados por esta Agencia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6E3E60DB" w14:textId="77777777" w:rsidR="009D5308" w:rsidRPr="009D5308" w:rsidRDefault="009D5308" w:rsidP="009D5308">
      <w:pPr>
        <w:spacing w:after="120" w:line="276" w:lineRule="auto"/>
        <w:ind w:firstLine="708"/>
        <w:jc w:val="both"/>
        <w:rPr>
          <w:rFonts w:ascii="Verdana" w:eastAsia="Calibri" w:hAnsi="Verdana" w:cs="Arial"/>
          <w:lang w:val="es-ES_tradnl" w:eastAsia="es-MX"/>
        </w:rPr>
      </w:pPr>
      <w:r w:rsidRPr="009D5308">
        <w:rPr>
          <w:rFonts w:ascii="Verdana" w:eastAsia="Calibri" w:hAnsi="Verdana" w:cs="Times New Roman"/>
          <w:lang w:eastAsia="es-MX"/>
        </w:rPr>
        <w:t xml:space="preserve">La nota general 1 contenida en la Matriz 1 – Experiencia de los Documentos Tipo indicados, es congruente con </w:t>
      </w:r>
      <w:r w:rsidRPr="009D5308">
        <w:rPr>
          <w:rFonts w:ascii="Verdana" w:eastAsia="Calibri" w:hAnsi="Verdana" w:cs="Arial"/>
          <w:lang w:val="es-ES_tradnl" w:eastAsia="es-MX"/>
        </w:rPr>
        <w:t>el numeral 1.10 del documento base que dispone que “</w:t>
      </w:r>
      <w:r w:rsidRPr="009D5308">
        <w:rPr>
          <w:rFonts w:ascii="Verdana" w:eastAsia="Calibri" w:hAnsi="Verdana" w:cs="Arial"/>
          <w:lang w:val="es-MX" w:eastAsia="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9D5308">
        <w:rPr>
          <w:rFonts w:ascii="Verdana" w:eastAsia="Calibri" w:hAnsi="Verdana" w:cs="Arial"/>
          <w:lang w:val="es-ES_tradnl" w:eastAsia="es-MX"/>
        </w:rPr>
        <w:t>”.</w:t>
      </w:r>
    </w:p>
    <w:p w14:paraId="6A16B13C" w14:textId="77777777" w:rsidR="009D5308" w:rsidRPr="009D5308" w:rsidRDefault="009D5308" w:rsidP="009D5308">
      <w:pPr>
        <w:spacing w:after="120" w:line="276" w:lineRule="auto"/>
        <w:ind w:firstLine="708"/>
        <w:jc w:val="both"/>
        <w:rPr>
          <w:rFonts w:ascii="Verdana" w:eastAsia="Calibri" w:hAnsi="Verdana" w:cs="Arial"/>
          <w:color w:val="0D0D0D"/>
          <w:lang w:eastAsia="es-MX"/>
        </w:rPr>
      </w:pPr>
      <w:r w:rsidRPr="009D5308">
        <w:rPr>
          <w:rFonts w:ascii="Verdana" w:eastAsia="Calibri" w:hAnsi="Verdana" w:cs="Arial"/>
          <w:lang w:val="es-ES_tradnl" w:eastAsia="es-MX"/>
        </w:rPr>
        <w:t xml:space="preserve">De esta forma, considerando que las actividades señaladas recaen sobre </w:t>
      </w:r>
      <w:r w:rsidRPr="009D5308">
        <w:rPr>
          <w:rFonts w:ascii="Verdana" w:eastAsia="Times New Roman" w:hAnsi="Verdana" w:cs="Calibri"/>
          <w:lang w:eastAsia="es-MX"/>
        </w:rPr>
        <w:t xml:space="preserve">obras en proyectos de infraestructura educativa, para determinar qué abarca este tipo de infraestructura, debe indicarse que de conformidad con la norma </w:t>
      </w:r>
      <w:r w:rsidRPr="009D5308">
        <w:rPr>
          <w:rFonts w:ascii="Verdana" w:eastAsia="Calibri" w:hAnsi="Verdana" w:cs="Arial"/>
          <w:color w:val="0D0D0D"/>
          <w:lang w:eastAsia="es-MX"/>
        </w:rPr>
        <w:t xml:space="preserve">NSR-10 en el Subgrupo de Ocupación Institucional de Educación (I-3) </w:t>
      </w:r>
      <w:r w:rsidRPr="009D5308">
        <w:rPr>
          <w:rFonts w:ascii="Verdana" w:eastAsia="Calibri" w:hAnsi="Verdana" w:cs="Arial"/>
          <w:i/>
          <w:iCs/>
          <w:color w:val="0D0D0D"/>
          <w:lang w:eastAsia="es-MX"/>
        </w:rPr>
        <w:t>“(…) se clasifican las edificaciones o espacios empleados para le reunión de personas con propósitos educativos y de instrucción (…)”</w:t>
      </w:r>
      <w:r w:rsidRPr="009D5308">
        <w:rPr>
          <w:rFonts w:ascii="Times New Roman" w:eastAsia="Calibri" w:hAnsi="Times New Roman" w:cs="Times New Roman"/>
          <w:i/>
          <w:iCs/>
          <w:sz w:val="24"/>
          <w:szCs w:val="24"/>
          <w:vertAlign w:val="superscript"/>
          <w:lang w:eastAsia="es-MX"/>
        </w:rPr>
        <w:footnoteReference w:id="19"/>
      </w:r>
      <w:r w:rsidRPr="009D5308">
        <w:rPr>
          <w:rFonts w:ascii="Verdana" w:eastAsia="Calibri" w:hAnsi="Verdana" w:cs="Arial"/>
          <w:i/>
          <w:iCs/>
          <w:color w:val="0D0D0D"/>
          <w:vertAlign w:val="superscript"/>
          <w:lang w:eastAsia="es-MX"/>
        </w:rPr>
        <w:t>.</w:t>
      </w:r>
      <w:r w:rsidRPr="009D5308">
        <w:rPr>
          <w:rFonts w:ascii="Verdana" w:eastAsia="Calibri" w:hAnsi="Verdana" w:cs="Arial"/>
          <w:color w:val="0D0D0D"/>
          <w:lang w:eastAsia="es-MX"/>
        </w:rPr>
        <w:t xml:space="preserve"> Entre las edificaciones o espacios que pertenecen a este Subgrupo se encuentran las siguientes: “</w:t>
      </w:r>
      <w:r w:rsidRPr="009D5308">
        <w:rPr>
          <w:rFonts w:ascii="Verdana" w:eastAsia="Calibri" w:hAnsi="Verdana" w:cs="Arial"/>
          <w:i/>
          <w:iCs/>
          <w:color w:val="0D0D0D"/>
          <w:lang w:eastAsia="es-MX"/>
        </w:rPr>
        <w:t>Universidades, Colegios, Escuelas, Centros de educación, Academias, Jardines Infantiles, Otras instituciones docentes</w:t>
      </w:r>
      <w:r w:rsidRPr="009D5308">
        <w:rPr>
          <w:rFonts w:ascii="Verdana" w:eastAsia="Calibri" w:hAnsi="Verdana" w:cs="Arial"/>
          <w:color w:val="0D0D0D"/>
          <w:lang w:eastAsia="es-MX"/>
        </w:rPr>
        <w:t>”</w:t>
      </w:r>
      <w:r w:rsidRPr="009D5308">
        <w:rPr>
          <w:rFonts w:ascii="Verdana" w:eastAsia="Calibri" w:hAnsi="Verdana" w:cs="Arial"/>
          <w:color w:val="0D0D0D"/>
          <w:vertAlign w:val="superscript"/>
          <w:lang w:eastAsia="es-MX"/>
        </w:rPr>
        <w:footnoteReference w:id="20"/>
      </w:r>
      <w:r w:rsidRPr="009D5308">
        <w:rPr>
          <w:rFonts w:ascii="Verdana" w:eastAsia="Calibri" w:hAnsi="Verdana" w:cs="Arial"/>
          <w:color w:val="0D0D0D"/>
          <w:lang w:eastAsia="es-MX"/>
        </w:rPr>
        <w:t>.</w:t>
      </w:r>
    </w:p>
    <w:p w14:paraId="039A386C" w14:textId="77777777" w:rsidR="009D5308" w:rsidRPr="009D5308" w:rsidRDefault="009D5308" w:rsidP="009D5308">
      <w:pPr>
        <w:spacing w:after="120" w:line="276" w:lineRule="auto"/>
        <w:ind w:firstLine="708"/>
        <w:jc w:val="both"/>
        <w:rPr>
          <w:rFonts w:ascii="Verdana" w:eastAsia="Calibri" w:hAnsi="Verdana" w:cs="Arial"/>
          <w:color w:val="0D0D0D"/>
          <w:lang w:eastAsia="es-MX"/>
        </w:rPr>
      </w:pPr>
      <w:r w:rsidRPr="009D5308">
        <w:rPr>
          <w:rFonts w:ascii="Verdana" w:eastAsia="Calibri" w:hAnsi="Verdana" w:cs="Arial"/>
          <w:color w:val="0D0D0D"/>
          <w:lang w:eastAsia="es-MX"/>
        </w:rPr>
        <w:lastRenderedPageBreak/>
        <w:t xml:space="preserve">En este sentido, el Subgrupo de Ocupación Institucional de Educación corresponde a una categoría de clasificación establecida por la NSR-10 que agrupa a aquellas edificaciones o espacios destinados o empleados para le reunión de personas con propósitos educativos y de instrucción. Este subgrupo comprende Universidades, Colegios, Escuelas, Centros de educación, Academias, Jardines Infantiles, entre otros. La expresión “Otras instituciones docentes” evidencia que la enumeración no es taxativa, sino enunciativa, por lo incluye todas aquellas edificaciones que por su naturaleza y finalidad, se utilizan para propósitos educativos y de instrucción.  </w:t>
      </w:r>
    </w:p>
    <w:p w14:paraId="4E7330BE" w14:textId="77777777" w:rsidR="009D5308" w:rsidRPr="009D5308" w:rsidRDefault="009D5308" w:rsidP="009D5308">
      <w:pPr>
        <w:spacing w:after="0" w:line="276" w:lineRule="auto"/>
        <w:ind w:firstLine="708"/>
        <w:jc w:val="both"/>
        <w:rPr>
          <w:rFonts w:ascii="Verdana" w:eastAsia="Calibri" w:hAnsi="Verdana" w:cs="Arial"/>
          <w:color w:val="0D0D0D"/>
          <w:lang w:eastAsia="es-MX"/>
        </w:rPr>
      </w:pPr>
      <w:r w:rsidRPr="009D5308">
        <w:rPr>
          <w:rFonts w:ascii="Verdana" w:eastAsia="Calibri" w:hAnsi="Verdana" w:cs="Arial"/>
          <w:color w:val="0D0D0D"/>
          <w:lang w:eastAsia="es-MX"/>
        </w:rPr>
        <w:t>Para efectos de su solicitud en la que indaga sí los Documentos Tipo complementario del sector educativo, aplican para realizar actividades sobre una institución de educación superior. Para responder al problema jurídico le informamos que, el Anexo 5 – Glosario de los Documentos Tipo señalado, en el numeral 3.74 define este tipo de instituciones en los siguientes términos:</w:t>
      </w:r>
    </w:p>
    <w:p w14:paraId="3421DAFE" w14:textId="77777777" w:rsidR="009D5308" w:rsidRPr="009D5308" w:rsidRDefault="009D5308" w:rsidP="009D5308">
      <w:pPr>
        <w:spacing w:after="0" w:line="276" w:lineRule="auto"/>
        <w:ind w:firstLine="708"/>
        <w:jc w:val="both"/>
        <w:rPr>
          <w:rFonts w:ascii="Verdana" w:eastAsia="Calibri" w:hAnsi="Verdana" w:cs="Arial"/>
          <w:color w:val="0D0D0D"/>
          <w:lang w:eastAsia="es-MX"/>
        </w:rPr>
      </w:pPr>
    </w:p>
    <w:p w14:paraId="11DB0051" w14:textId="77777777" w:rsidR="009D5308" w:rsidRPr="009D5308" w:rsidRDefault="009D5308" w:rsidP="009D5308">
      <w:pPr>
        <w:spacing w:after="0" w:line="240" w:lineRule="auto"/>
        <w:ind w:left="709" w:right="709"/>
        <w:contextualSpacing/>
        <w:jc w:val="both"/>
        <w:rPr>
          <w:rFonts w:ascii="Verdana" w:eastAsia="Times New Roman" w:hAnsi="Verdana" w:cs="Aptos"/>
          <w:sz w:val="21"/>
          <w:szCs w:val="21"/>
          <w:lang w:val="es-ES" w:eastAsia="es-MX"/>
        </w:rPr>
      </w:pPr>
      <w:r w:rsidRPr="009D5308">
        <w:rPr>
          <w:rFonts w:ascii="Verdana" w:eastAsia="Times New Roman" w:hAnsi="Verdana" w:cs="Aptos"/>
          <w:b/>
          <w:bCs/>
          <w:sz w:val="21"/>
          <w:szCs w:val="21"/>
          <w:lang w:val="es-ES" w:eastAsia="es-MX"/>
        </w:rPr>
        <w:t>“Instituciones de Educación Superior (IES):</w:t>
      </w:r>
      <w:r w:rsidRPr="009D5308">
        <w:rPr>
          <w:rFonts w:ascii="Verdana" w:eastAsia="Times New Roman" w:hAnsi="Verdana" w:cs="Aptos"/>
          <w:sz w:val="21"/>
          <w:szCs w:val="21"/>
          <w:lang w:val="es-ES" w:eastAsia="es-MX"/>
        </w:rPr>
        <w:t xml:space="preserve"> se refiere a aquellas instituciones de naturaleza oficial o privada, que están habilitadas para prestar el servicio público de educación superior, y que por su naturaleza jurídica no están destinadas a distribuir utilidades o beneficios entre sus miembros, sino a su reinversión en el desarrollo de la actividad social que les corresponde. En atención a su carácter académico y de acuerdo con los articulas 16 de la Ley 30 de 1992 y 1 y 2 de la Ley 749 de 2002, dichas instituciones pueden ser: i) instituciones técnico-profesionales, </w:t>
      </w:r>
      <w:proofErr w:type="spellStart"/>
      <w:r w:rsidRPr="009D5308">
        <w:rPr>
          <w:rFonts w:ascii="Verdana" w:eastAsia="Times New Roman" w:hAnsi="Verdana" w:cs="Aptos"/>
          <w:sz w:val="21"/>
          <w:szCs w:val="21"/>
          <w:lang w:val="es-ES" w:eastAsia="es-MX"/>
        </w:rPr>
        <w:t>ii</w:t>
      </w:r>
      <w:proofErr w:type="spellEnd"/>
      <w:r w:rsidRPr="009D5308">
        <w:rPr>
          <w:rFonts w:ascii="Verdana" w:eastAsia="Times New Roman" w:hAnsi="Verdana" w:cs="Aptos"/>
          <w:sz w:val="21"/>
          <w:szCs w:val="21"/>
          <w:lang w:val="es-ES" w:eastAsia="es-MX"/>
        </w:rPr>
        <w:t xml:space="preserve">) instituciones tecnológicas, </w:t>
      </w:r>
      <w:proofErr w:type="spellStart"/>
      <w:r w:rsidRPr="009D5308">
        <w:rPr>
          <w:rFonts w:ascii="Verdana" w:eastAsia="Times New Roman" w:hAnsi="Verdana" w:cs="Aptos"/>
          <w:sz w:val="21"/>
          <w:szCs w:val="21"/>
          <w:lang w:val="es-ES" w:eastAsia="es-MX"/>
        </w:rPr>
        <w:t>iii</w:t>
      </w:r>
      <w:proofErr w:type="spellEnd"/>
      <w:r w:rsidRPr="009D5308">
        <w:rPr>
          <w:rFonts w:ascii="Verdana" w:eastAsia="Times New Roman" w:hAnsi="Verdana" w:cs="Aptos"/>
          <w:sz w:val="21"/>
          <w:szCs w:val="21"/>
          <w:lang w:val="es-ES" w:eastAsia="es-MX"/>
        </w:rPr>
        <w:t xml:space="preserve">) instituciones universitarias o escuelas tecnológicas y </w:t>
      </w:r>
      <w:proofErr w:type="spellStart"/>
      <w:r w:rsidRPr="009D5308">
        <w:rPr>
          <w:rFonts w:ascii="Verdana" w:eastAsia="Times New Roman" w:hAnsi="Verdana" w:cs="Aptos"/>
          <w:sz w:val="21"/>
          <w:szCs w:val="21"/>
          <w:lang w:val="es-ES" w:eastAsia="es-MX"/>
        </w:rPr>
        <w:t>iv</w:t>
      </w:r>
      <w:proofErr w:type="spellEnd"/>
      <w:r w:rsidRPr="009D5308">
        <w:rPr>
          <w:rFonts w:ascii="Verdana" w:eastAsia="Times New Roman" w:hAnsi="Verdana" w:cs="Aptos"/>
          <w:sz w:val="21"/>
          <w:szCs w:val="21"/>
          <w:lang w:val="es-ES" w:eastAsia="es-MX"/>
        </w:rPr>
        <w:t xml:space="preserve">) universidades”. </w:t>
      </w:r>
    </w:p>
    <w:p w14:paraId="19A7E631" w14:textId="77777777" w:rsidR="009D5308" w:rsidRPr="009D5308" w:rsidRDefault="009D5308" w:rsidP="009D5308">
      <w:pPr>
        <w:spacing w:after="0" w:line="276" w:lineRule="auto"/>
        <w:ind w:firstLine="708"/>
        <w:jc w:val="both"/>
        <w:rPr>
          <w:rFonts w:ascii="Verdana" w:eastAsia="Calibri" w:hAnsi="Verdana" w:cs="Arial"/>
          <w:color w:val="0D0D0D"/>
          <w:lang w:eastAsia="es-MX"/>
        </w:rPr>
      </w:pPr>
    </w:p>
    <w:p w14:paraId="59369335" w14:textId="77777777" w:rsidR="009D5308" w:rsidRPr="009D5308" w:rsidRDefault="009D5308" w:rsidP="009D5308">
      <w:pPr>
        <w:spacing w:after="120" w:line="276" w:lineRule="auto"/>
        <w:ind w:firstLine="709"/>
        <w:jc w:val="both"/>
        <w:rPr>
          <w:rFonts w:ascii="Verdana" w:eastAsia="Calibri" w:hAnsi="Verdana" w:cs="Arial"/>
          <w:color w:val="0D0D0D"/>
          <w:lang w:eastAsia="es-MX"/>
        </w:rPr>
      </w:pPr>
      <w:r w:rsidRPr="009D5308">
        <w:rPr>
          <w:rFonts w:ascii="Verdana" w:eastAsia="Calibri" w:hAnsi="Verdana" w:cs="Arial"/>
          <w:color w:val="0D0D0D"/>
          <w:lang w:eastAsia="es-MX"/>
        </w:rPr>
        <w:t xml:space="preserve">En atención a lo expuesto, una Institución de Educación Superior (IES) debe clasificarse dentro del Subgrupo de Ocupación Institucional de Educación (I-3) de la NSR-10, en la medida en que sus edificaciones están destinadas a la reunión de personas con propósitos educativos y de instrucción, finalidad que constituye el núcleo esencial de su actividad. </w:t>
      </w:r>
    </w:p>
    <w:p w14:paraId="1DBA34F1" w14:textId="77777777" w:rsidR="009D5308" w:rsidRPr="009D5308" w:rsidRDefault="009D5308" w:rsidP="009D5308">
      <w:pPr>
        <w:spacing w:after="120" w:line="276" w:lineRule="auto"/>
        <w:ind w:firstLine="709"/>
        <w:jc w:val="both"/>
        <w:rPr>
          <w:rFonts w:ascii="Verdana" w:eastAsia="Calibri" w:hAnsi="Verdana" w:cs="Arial"/>
          <w:color w:val="0D0D0D"/>
          <w:lang w:eastAsia="es-MX"/>
        </w:rPr>
      </w:pPr>
      <w:r w:rsidRPr="009D5308">
        <w:rPr>
          <w:rFonts w:ascii="Verdana" w:eastAsia="Calibri" w:hAnsi="Verdana" w:cs="Arial"/>
          <w:color w:val="0D0D0D"/>
          <w:lang w:eastAsia="es-MX"/>
        </w:rPr>
        <w:t xml:space="preserve">La norma incluye expresamente dentro de este subgrupo a las universidades y demás instituciones docentes, y precisa que dicha enumeración es enunciativa y no taxativa, al emplear la expresión “Otras instituciones docentes”, lo que permite comprender todas aquellas edificaciones cuya naturaleza y finalidad estén orientadas a la prestación del servicio público de </w:t>
      </w:r>
      <w:r w:rsidRPr="009D5308">
        <w:rPr>
          <w:rFonts w:ascii="Verdana" w:eastAsia="Calibri" w:hAnsi="Verdana" w:cs="Arial"/>
          <w:color w:val="0D0D0D"/>
          <w:lang w:eastAsia="es-MX"/>
        </w:rPr>
        <w:lastRenderedPageBreak/>
        <w:t>educación. En concordancia con el Anexo 5 – Glosario de los Documentos Tipo, las IES -sean instituciones técnico y/o profesionales, tecnológicas, instituciones universitarias o universidades, conforme a la Ley 30 de 1992 y la Ley 749 de 2002- son entidades habilitadas para prestar el servicio público de educación superior, por lo que sus instalaciones constituyen infraestructura educativa y, en consecuencia, se enmarcan dentro del referido Subgrupo de Ocupación Institucional de Educación (I-3).</w:t>
      </w:r>
    </w:p>
    <w:p w14:paraId="0B8DCF7B" w14:textId="77777777" w:rsidR="009D5308" w:rsidRPr="009D5308" w:rsidRDefault="009D5308" w:rsidP="009D5308">
      <w:pPr>
        <w:spacing w:after="120" w:line="276" w:lineRule="auto"/>
        <w:ind w:firstLine="708"/>
        <w:jc w:val="both"/>
        <w:rPr>
          <w:rFonts w:ascii="Verdana" w:eastAsia="Calibri" w:hAnsi="Verdana" w:cs="Arial"/>
          <w:color w:val="0D0D0D"/>
          <w:lang w:eastAsia="es-MX"/>
        </w:rPr>
      </w:pPr>
      <w:r w:rsidRPr="009D5308">
        <w:rPr>
          <w:rFonts w:ascii="Verdana" w:eastAsia="Calibri" w:hAnsi="Verdana" w:cs="Arial"/>
          <w:color w:val="0D0D0D"/>
          <w:lang w:eastAsia="es-MX"/>
        </w:rPr>
        <w:t>Precisamente, con la adopción de los Documentos Tipo complementarios del sector educativo – Versión 2, su ámbito de aplicación se enmarca en lo dispuesto por la norma técnica NSR-10. En este contexto, algunas de las actividades previstas en la Matriz 1 – Experiencia de los Documentos Tipo adoptados mediante la Resolución 220 de 2021 -sector educativo versión 1- fueron actualizadas en la Versión 2 de estos documentos tipo. Por ejemplo, las obras que anteriormente recaían sobre “Instituciones Educativas” pasaron a denominarse “Infraestructura Educativa”, ampliando así el ámbito de aplicación de los referidos Documentos Tipo y alineándolos con la norma técnica mencionada.</w:t>
      </w:r>
    </w:p>
    <w:p w14:paraId="5A5D5190" w14:textId="77777777" w:rsidR="009D5308" w:rsidRPr="009D5308" w:rsidRDefault="009D5308" w:rsidP="009D5308">
      <w:pPr>
        <w:spacing w:after="120" w:line="278" w:lineRule="auto"/>
        <w:ind w:firstLine="708"/>
        <w:jc w:val="both"/>
        <w:rPr>
          <w:rFonts w:ascii="Verdana" w:eastAsia="Calibri" w:hAnsi="Verdana" w:cs="Arial"/>
          <w:lang w:val="es-ES" w:eastAsia="es-MX"/>
        </w:rPr>
      </w:pPr>
      <w:r w:rsidRPr="009D5308">
        <w:rPr>
          <w:rFonts w:ascii="Verdana" w:eastAsia="Calibri" w:hAnsi="Verdana" w:cs="Arial"/>
          <w:lang w:val="es-ES" w:eastAsia="es-MX"/>
        </w:rPr>
        <w:t xml:space="preserve">Por lo anterior, la Agencia Nacional de Contratación Pública – Colombia Compra Eficiente le informa que a partir del 16 de febrero de 2026, si una entidad de aquellas obligadas a utilizar los Documentos Tipo expedidos por esta Entidad adelanta un proceso que tenga por objeto la(s) actividad(es) prevista(s) en la Matriz 1 – Experiencia del sector educativo, </w:t>
      </w:r>
      <w:r w:rsidRPr="009D5308">
        <w:rPr>
          <w:rFonts w:ascii="Verdana" w:eastAsia="Times New Roman" w:hAnsi="Verdana" w:cs="Aptos"/>
          <w:lang w:eastAsia="es-MX"/>
        </w:rPr>
        <w:t xml:space="preserve">sobre </w:t>
      </w:r>
      <w:r w:rsidRPr="009D5308">
        <w:rPr>
          <w:rFonts w:ascii="Verdana" w:eastAsia="Arial" w:hAnsi="Verdana" w:cs="Aptos"/>
          <w:i/>
          <w:iCs/>
          <w:lang w:eastAsia="es-ES"/>
        </w:rPr>
        <w:t>infraestructura educativa,</w:t>
      </w:r>
      <w:r w:rsidRPr="009D5308">
        <w:rPr>
          <w:rFonts w:ascii="Verdana" w:eastAsia="Times New Roman" w:hAnsi="Verdana" w:cs="Aptos"/>
          <w:lang w:eastAsia="es-MX"/>
        </w:rPr>
        <w:t xml:space="preserve"> </w:t>
      </w:r>
      <w:r w:rsidRPr="009D5308">
        <w:rPr>
          <w:rFonts w:ascii="Verdana" w:eastAsia="Calibri" w:hAnsi="Verdana" w:cs="Arial"/>
          <w:lang w:val="es-ES" w:eastAsia="es-MX"/>
        </w:rPr>
        <w:t>deberá implementar los Documentos Tipo acogidos mediante las Resoluciones 539, 540 y 541 de 2025, según el proyecto se adelante por la modalidad de licitación de obra pública, selección abreviada de menor cuantía o mínima cuantía.</w:t>
      </w:r>
    </w:p>
    <w:p w14:paraId="490EDDC6" w14:textId="77777777" w:rsidR="009D5308" w:rsidRPr="009D5308" w:rsidRDefault="009D5308" w:rsidP="009D5308">
      <w:pPr>
        <w:spacing w:after="120" w:line="276" w:lineRule="auto"/>
        <w:jc w:val="both"/>
        <w:rPr>
          <w:rFonts w:ascii="Verdana" w:eastAsia="Times New Roman" w:hAnsi="Verdana" w:cs="Times New Roman"/>
          <w:lang w:eastAsia="es-MX"/>
        </w:rPr>
      </w:pPr>
      <w:r w:rsidRPr="009D5308">
        <w:rPr>
          <w:rFonts w:ascii="Verdana" w:eastAsia="Calibri" w:hAnsi="Verdana" w:cs="Arial"/>
          <w:lang w:eastAsia="es-MX"/>
        </w:rPr>
        <w:t xml:space="preserve">v. </w:t>
      </w:r>
      <w:r w:rsidRPr="009D5308">
        <w:rPr>
          <w:rFonts w:ascii="Verdana" w:eastAsia="Calibri" w:hAnsi="Verdana" w:cs="Arial"/>
          <w:bCs/>
          <w:color w:val="000000"/>
          <w:lang w:eastAsia="es-MX"/>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9D5308">
        <w:rPr>
          <w:rFonts w:ascii="Verdana" w:eastAsia="Calibri" w:hAnsi="Verdana" w:cs="Arial"/>
          <w:bCs/>
          <w:color w:val="000000"/>
          <w:lang w:eastAsia="es-MX"/>
        </w:rPr>
        <w:lastRenderedPageBreak/>
        <w:t>correspondiente y, en caso de conflicto, a las autoridades judiciales, fiscales y disciplinarias.</w:t>
      </w:r>
    </w:p>
    <w:p w14:paraId="5A5ED450" w14:textId="77777777" w:rsidR="009D5308" w:rsidRPr="009D5308" w:rsidRDefault="009D5308" w:rsidP="009D5308">
      <w:pPr>
        <w:spacing w:after="0" w:line="276" w:lineRule="auto"/>
        <w:ind w:firstLine="708"/>
        <w:jc w:val="both"/>
        <w:rPr>
          <w:rFonts w:ascii="Verdana" w:eastAsia="Calibri" w:hAnsi="Verdana" w:cs="Arial"/>
          <w:bCs/>
          <w:color w:val="000000"/>
          <w:lang w:eastAsia="es-MX"/>
        </w:rPr>
      </w:pPr>
      <w:r w:rsidRPr="009D5308">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303E3AC" w14:textId="77777777" w:rsidR="009D5308" w:rsidRPr="009D5308" w:rsidRDefault="009D5308" w:rsidP="009D5308">
      <w:pPr>
        <w:spacing w:after="0" w:line="276" w:lineRule="auto"/>
        <w:jc w:val="both"/>
        <w:rPr>
          <w:rFonts w:ascii="Verdana" w:eastAsia="Calibri" w:hAnsi="Verdana" w:cs="Times New Roman"/>
          <w:lang w:eastAsia="es-MX"/>
        </w:rPr>
      </w:pPr>
    </w:p>
    <w:p w14:paraId="4741F275" w14:textId="77777777" w:rsidR="009D5308" w:rsidRPr="009D5308" w:rsidRDefault="009D5308" w:rsidP="009D5308">
      <w:pPr>
        <w:tabs>
          <w:tab w:val="left" w:pos="142"/>
          <w:tab w:val="left" w:pos="284"/>
        </w:tabs>
        <w:spacing w:after="0" w:line="276" w:lineRule="auto"/>
        <w:jc w:val="both"/>
        <w:rPr>
          <w:rFonts w:ascii="Verdana" w:eastAsia="Century Gothic" w:hAnsi="Verdana" w:cs="Century Gothic"/>
          <w:b/>
          <w:bCs/>
          <w:lang w:val="es-ES_tradnl" w:eastAsia="es-MX"/>
        </w:rPr>
      </w:pPr>
      <w:r w:rsidRPr="009D5308">
        <w:rPr>
          <w:rFonts w:ascii="Verdana" w:eastAsia="Century Gothic" w:hAnsi="Verdana" w:cs="Century Gothic"/>
          <w:b/>
          <w:bCs/>
          <w:lang w:val="es-ES_tradnl" w:eastAsia="es-MX"/>
        </w:rPr>
        <w:t>4. Referencias normativas, jurisprudenciales y otras fuentes:</w:t>
      </w:r>
    </w:p>
    <w:p w14:paraId="47FF5C74" w14:textId="77777777" w:rsidR="009D5308" w:rsidRPr="009D5308" w:rsidRDefault="009D5308" w:rsidP="009D5308">
      <w:pPr>
        <w:spacing w:after="0"/>
        <w:ind w:left="-15840"/>
        <w:jc w:val="both"/>
        <w:rPr>
          <w:rFonts w:ascii="Verdana" w:eastAsia="Calibri" w:hAnsi="Verdana" w:cs="Arial"/>
          <w:b/>
          <w:bCs/>
          <w:lang w:eastAsia="es-MX"/>
        </w:rPr>
      </w:pPr>
      <w:r w:rsidRPr="009D5308">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D5308" w:rsidRPr="009D5308" w14:paraId="7D5AB9A3" w14:textId="77777777" w:rsidTr="008D2A26">
        <w:trPr>
          <w:trHeight w:val="297"/>
        </w:trPr>
        <w:tc>
          <w:tcPr>
            <w:tcW w:w="8647" w:type="dxa"/>
            <w:tcBorders>
              <w:top w:val="dotted" w:sz="4" w:space="0" w:color="auto"/>
              <w:left w:val="dotted" w:sz="4" w:space="0" w:color="auto"/>
              <w:bottom w:val="dotted" w:sz="4" w:space="0" w:color="auto"/>
              <w:right w:val="dotted" w:sz="4" w:space="0" w:color="auto"/>
            </w:tcBorders>
          </w:tcPr>
          <w:p w14:paraId="2A8AB8D7" w14:textId="77777777" w:rsidR="009D5308" w:rsidRPr="009D5308" w:rsidRDefault="009D5308" w:rsidP="009D5308">
            <w:pPr>
              <w:contextualSpacing/>
              <w:jc w:val="both"/>
              <w:rPr>
                <w:rFonts w:ascii="Verdana" w:eastAsia="Calibri" w:hAnsi="Verdana" w:cs="Arial"/>
                <w:bCs/>
                <w:lang w:eastAsia="es-MX"/>
              </w:rPr>
            </w:pPr>
          </w:p>
          <w:p w14:paraId="26E1DCC2" w14:textId="77777777" w:rsidR="009D5308" w:rsidRPr="009D5308" w:rsidRDefault="009D5308" w:rsidP="009D5308">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9D5308">
              <w:rPr>
                <w:rFonts w:ascii="Verdana" w:eastAsia="Calibri" w:hAnsi="Verdana" w:cs="Arial"/>
                <w:lang w:val="es-ES_tradnl" w:eastAsia="es-MX"/>
              </w:rPr>
              <w:t xml:space="preserve">Ley 2022 de 2020, artículo 1. </w:t>
            </w:r>
          </w:p>
          <w:p w14:paraId="41DED159" w14:textId="77777777" w:rsidR="009D5308" w:rsidRPr="009D5308" w:rsidRDefault="009D5308" w:rsidP="009D5308">
            <w:pPr>
              <w:widowControl w:val="0"/>
              <w:numPr>
                <w:ilvl w:val="0"/>
                <w:numId w:val="16"/>
              </w:numPr>
              <w:autoSpaceDE w:val="0"/>
              <w:autoSpaceDN w:val="0"/>
              <w:spacing w:line="276" w:lineRule="auto"/>
              <w:jc w:val="both"/>
              <w:rPr>
                <w:rFonts w:ascii="Verdana" w:eastAsia="Calibri" w:hAnsi="Verdana" w:cs="Arial"/>
                <w:lang w:eastAsia="es-MX"/>
              </w:rPr>
            </w:pPr>
            <w:r w:rsidRPr="009D5308">
              <w:rPr>
                <w:rFonts w:ascii="Verdana" w:eastAsia="Calibri" w:hAnsi="Verdana" w:cs="Arial"/>
                <w:lang w:eastAsia="es-MX"/>
              </w:rPr>
              <w:t>Ley 1150 de 2007, artículo 2.</w:t>
            </w:r>
          </w:p>
          <w:p w14:paraId="1C121921" w14:textId="77777777" w:rsidR="009D5308" w:rsidRPr="009D5308" w:rsidRDefault="009D5308" w:rsidP="009D5308">
            <w:pPr>
              <w:widowControl w:val="0"/>
              <w:numPr>
                <w:ilvl w:val="0"/>
                <w:numId w:val="16"/>
              </w:numPr>
              <w:autoSpaceDE w:val="0"/>
              <w:autoSpaceDN w:val="0"/>
              <w:spacing w:line="276" w:lineRule="auto"/>
              <w:contextualSpacing/>
              <w:jc w:val="both"/>
              <w:rPr>
                <w:rFonts w:ascii="Verdana" w:eastAsia="Calibri" w:hAnsi="Verdana" w:cs="Arial"/>
                <w:lang w:eastAsia="es-MX"/>
              </w:rPr>
            </w:pPr>
            <w:r w:rsidRPr="009D5308">
              <w:rPr>
                <w:rFonts w:ascii="Verdana" w:eastAsia="Calibri" w:hAnsi="Verdana" w:cs="Arial"/>
                <w:lang w:val="es-ES_tradnl" w:eastAsia="es-MX"/>
              </w:rPr>
              <w:t xml:space="preserve">Documentos Tipo. Disponibles en: </w:t>
            </w:r>
            <w:hyperlink r:id="rId11" w:history="1">
              <w:r w:rsidRPr="009D5308">
                <w:rPr>
                  <w:rFonts w:ascii="Verdana" w:eastAsia="Calibri" w:hAnsi="Verdana" w:cs="Arial"/>
                  <w:color w:val="0000FF"/>
                  <w:u w:val="single"/>
                  <w:lang w:val="es-ES_tradnl" w:eastAsia="es-MX"/>
                </w:rPr>
                <w:t>https://www.colombiacompra.gov.co/documentos-tipo/documentos-tipo</w:t>
              </w:r>
            </w:hyperlink>
            <w:r w:rsidRPr="009D5308">
              <w:rPr>
                <w:rFonts w:ascii="Verdana" w:eastAsia="Calibri" w:hAnsi="Verdana" w:cs="Arial"/>
                <w:lang w:val="es-ES_tradnl" w:eastAsia="es-MX"/>
              </w:rPr>
              <w:t>.</w:t>
            </w:r>
          </w:p>
        </w:tc>
      </w:tr>
    </w:tbl>
    <w:p w14:paraId="1C909A54" w14:textId="77777777" w:rsidR="009D5308" w:rsidRPr="009D5308" w:rsidRDefault="009D5308" w:rsidP="009D5308">
      <w:pPr>
        <w:tabs>
          <w:tab w:val="left" w:pos="142"/>
          <w:tab w:val="left" w:pos="284"/>
        </w:tabs>
        <w:spacing w:after="0" w:line="276" w:lineRule="auto"/>
        <w:jc w:val="both"/>
        <w:rPr>
          <w:rFonts w:ascii="Verdana" w:eastAsia="Calibri" w:hAnsi="Verdana" w:cs="Arial"/>
          <w:lang w:eastAsia="es-MX"/>
        </w:rPr>
      </w:pPr>
    </w:p>
    <w:p w14:paraId="727D4295" w14:textId="77777777" w:rsidR="009D5308" w:rsidRPr="009D5308" w:rsidRDefault="009D5308" w:rsidP="009D5308">
      <w:pPr>
        <w:tabs>
          <w:tab w:val="left" w:pos="142"/>
          <w:tab w:val="left" w:pos="284"/>
        </w:tabs>
        <w:spacing w:after="0" w:line="276" w:lineRule="auto"/>
        <w:jc w:val="both"/>
        <w:rPr>
          <w:rFonts w:ascii="Verdana" w:eastAsia="Century Gothic" w:hAnsi="Verdana" w:cs="Century Gothic"/>
          <w:b/>
          <w:bCs/>
          <w:lang w:val="es-ES" w:eastAsia="es-MX"/>
        </w:rPr>
      </w:pPr>
      <w:r w:rsidRPr="009D5308">
        <w:rPr>
          <w:rFonts w:ascii="Verdana" w:eastAsia="Calibri" w:hAnsi="Verdana" w:cs="Arial"/>
          <w:b/>
          <w:bCs/>
          <w:lang w:eastAsia="es-MX"/>
        </w:rPr>
        <w:t>5</w:t>
      </w:r>
      <w:r w:rsidRPr="009D5308">
        <w:rPr>
          <w:rFonts w:ascii="Verdana" w:eastAsia="Calibri" w:hAnsi="Verdana" w:cs="Arial"/>
          <w:lang w:eastAsia="es-MX"/>
        </w:rPr>
        <w:t>.</w:t>
      </w:r>
      <w:r w:rsidRPr="009D5308">
        <w:rPr>
          <w:rFonts w:ascii="Verdana" w:eastAsia="Century Gothic" w:hAnsi="Verdana" w:cs="Century Gothic"/>
          <w:b/>
          <w:bCs/>
          <w:lang w:val="es-ES" w:eastAsia="es-MX"/>
        </w:rPr>
        <w:t>Doctrina de la Agencia Nacional de Contratación Pública:</w:t>
      </w:r>
    </w:p>
    <w:p w14:paraId="4A704590" w14:textId="77777777" w:rsidR="009D5308" w:rsidRPr="009D5308" w:rsidRDefault="009D5308" w:rsidP="009D5308">
      <w:pPr>
        <w:widowControl w:val="0"/>
        <w:autoSpaceDE w:val="0"/>
        <w:autoSpaceDN w:val="0"/>
        <w:spacing w:after="0" w:line="276" w:lineRule="auto"/>
        <w:jc w:val="both"/>
        <w:rPr>
          <w:rFonts w:ascii="Verdana" w:eastAsia="Calibri" w:hAnsi="Verdana" w:cs="Arial"/>
          <w:lang w:eastAsia="es-MX"/>
        </w:rPr>
      </w:pPr>
    </w:p>
    <w:p w14:paraId="502993AE" w14:textId="77777777" w:rsidR="009D5308" w:rsidRPr="009D5308" w:rsidRDefault="009D5308" w:rsidP="009D5308">
      <w:pPr>
        <w:spacing w:after="0" w:line="276" w:lineRule="auto"/>
        <w:jc w:val="both"/>
        <w:rPr>
          <w:rFonts w:ascii="Verdana" w:eastAsia="Calibri" w:hAnsi="Verdana" w:cs="Arial"/>
          <w:shd w:val="clear" w:color="auto" w:fill="FFFFFF"/>
          <w:lang w:val="es-ES" w:eastAsia="es-MX"/>
        </w:rPr>
      </w:pPr>
      <w:r w:rsidRPr="009D5308">
        <w:rPr>
          <w:rFonts w:ascii="Verdana" w:eastAsia="Calibri" w:hAnsi="Verdana" w:cs="Arial"/>
          <w:shd w:val="clear" w:color="auto" w:fill="FFFFFF"/>
          <w:lang w:val="es-ES" w:eastAsia="es-MX"/>
        </w:rPr>
        <w:t>La Agencia Nacional de Contratación Pública – Colombia Compra Eficiente se pronunció</w:t>
      </w:r>
      <w:r w:rsidRPr="009D5308">
        <w:rPr>
          <w:rFonts w:ascii="Verdana" w:eastAsia="Calibri" w:hAnsi="Verdana" w:cs="Times New Roman"/>
          <w:lang w:eastAsia="es-MX"/>
        </w:rPr>
        <w:t xml:space="preserve"> </w:t>
      </w:r>
      <w:r w:rsidRPr="009D5308">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9D5308">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w:t>
      </w:r>
    </w:p>
    <w:p w14:paraId="66136967" w14:textId="77777777" w:rsidR="009D5308" w:rsidRPr="009D5308" w:rsidRDefault="009D5308" w:rsidP="009D5308">
      <w:pPr>
        <w:spacing w:after="0" w:line="240" w:lineRule="auto"/>
        <w:jc w:val="both"/>
        <w:rPr>
          <w:rFonts w:ascii="Verdana" w:eastAsia="Calibri" w:hAnsi="Verdana" w:cs="Arial"/>
          <w:color w:val="000000"/>
          <w:shd w:val="clear" w:color="auto" w:fill="FFFFFF"/>
          <w:lang w:eastAsia="es-MX"/>
        </w:rPr>
      </w:pPr>
    </w:p>
    <w:p w14:paraId="11BF838A" w14:textId="77777777" w:rsidR="009D5308" w:rsidRPr="009D5308" w:rsidRDefault="009D5308" w:rsidP="009D5308">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9D5308">
        <w:rPr>
          <w:rFonts w:ascii="Verdana" w:eastAsia="Calibri" w:hAnsi="Verdana" w:cs="Arial"/>
          <w:color w:val="000000"/>
          <w:shd w:val="clear" w:color="auto" w:fill="FFFFFF"/>
          <w:lang w:eastAsia="es-MX"/>
        </w:rPr>
        <w:t xml:space="preserve">Estos y otros conceptos se encuentran disponibles para consulta en el Sistema de Relatoría de la Agencia, en el cual también podrás encontrar jurisprudencia </w:t>
      </w:r>
      <w:r w:rsidRPr="009D5308">
        <w:rPr>
          <w:rFonts w:ascii="Verdana" w:eastAsia="Calibri" w:hAnsi="Verdana" w:cs="Arial"/>
          <w:color w:val="000000"/>
          <w:shd w:val="clear" w:color="auto" w:fill="FFFFFF"/>
          <w:lang w:eastAsia="es-MX"/>
        </w:rPr>
        <w:lastRenderedPageBreak/>
        <w:t>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9D5308">
          <w:rPr>
            <w:rFonts w:ascii="Verdana" w:eastAsia="Calibri" w:hAnsi="Verdana" w:cs="Arial"/>
            <w:color w:val="0000FF"/>
            <w:u w:val="single"/>
            <w:shd w:val="clear" w:color="auto" w:fill="FFFFFF"/>
            <w:lang w:eastAsia="es-MX"/>
          </w:rPr>
          <w:t>https://relatoria.colombiacompra.gov.co/</w:t>
        </w:r>
      </w:hyperlink>
      <w:r w:rsidRPr="009D5308">
        <w:rPr>
          <w:rFonts w:ascii="Verdana" w:eastAsia="Calibri" w:hAnsi="Verdana" w:cs="Arial"/>
          <w:color w:val="0000FF"/>
          <w:u w:val="single"/>
          <w:shd w:val="clear" w:color="auto" w:fill="FFFFFF"/>
          <w:lang w:eastAsia="es-MX"/>
        </w:rPr>
        <w:t> .</w:t>
      </w:r>
    </w:p>
    <w:p w14:paraId="7B2606EB" w14:textId="77777777" w:rsidR="009D5308" w:rsidRPr="009D5308" w:rsidRDefault="009D5308" w:rsidP="009D5308">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7CE451A4" w14:textId="77777777" w:rsidR="009D5308" w:rsidRPr="009D5308" w:rsidRDefault="009D5308" w:rsidP="009D5308">
      <w:pPr>
        <w:spacing w:after="0" w:line="276" w:lineRule="auto"/>
        <w:jc w:val="both"/>
        <w:rPr>
          <w:rFonts w:ascii="Verdana" w:eastAsia="Times New Roman" w:hAnsi="Verdana" w:cs="Arial"/>
          <w:lang w:eastAsia="es-MX"/>
        </w:rPr>
      </w:pPr>
      <w:r w:rsidRPr="009D5308">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9D5308">
        <w:rPr>
          <w:rFonts w:ascii="Verdana" w:eastAsia="Times New Roman" w:hAnsi="Verdana" w:cs="Arial"/>
          <w:b/>
          <w:bCs/>
          <w:lang w:eastAsia="es-MX"/>
        </w:rPr>
        <w:t>Curso de Contratación Pública Sostenible y Socialmente Responsable</w:t>
      </w:r>
      <w:r w:rsidRPr="009D5308">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9D5308">
        <w:rPr>
          <w:rFonts w:ascii="Verdana" w:eastAsia="Times New Roman" w:hAnsi="Verdana" w:cs="Arial"/>
          <w:lang w:eastAsia="es-MX"/>
        </w:rPr>
        <w:br/>
      </w:r>
      <w:hyperlink r:id="rId13" w:tgtFrame="_new" w:history="1">
        <w:r w:rsidRPr="009D5308">
          <w:rPr>
            <w:rFonts w:ascii="Verdana" w:eastAsia="Times New Roman" w:hAnsi="Verdana" w:cs="Arial"/>
            <w:color w:val="0000FF"/>
            <w:u w:val="single"/>
            <w:lang w:eastAsia="es-MX"/>
          </w:rPr>
          <w:t>https://formacionvirtual.colombiacompra.gov.co/mod/page/view.php?id=3718</w:t>
        </w:r>
      </w:hyperlink>
    </w:p>
    <w:p w14:paraId="5E1CEC8C" w14:textId="77777777" w:rsidR="009D5308" w:rsidRPr="009D5308" w:rsidRDefault="009D5308" w:rsidP="009D5308">
      <w:pPr>
        <w:spacing w:after="0" w:line="276" w:lineRule="auto"/>
        <w:jc w:val="both"/>
        <w:rPr>
          <w:rFonts w:ascii="Verdana" w:eastAsia="Times New Roman" w:hAnsi="Verdana" w:cs="Arial"/>
          <w:lang w:eastAsia="es-MX"/>
        </w:rPr>
      </w:pPr>
      <w:r w:rsidRPr="009D5308">
        <w:rPr>
          <w:rFonts w:ascii="Verdana" w:eastAsia="Times New Roman" w:hAnsi="Verdana" w:cs="Arial"/>
          <w:lang w:eastAsia="es-MX"/>
        </w:rPr>
        <w:t xml:space="preserve">De otro lado, te contamos que esta Agencia ha da un paso decisivo en la estandarización y modernización del </w:t>
      </w:r>
      <w:r w:rsidRPr="009D5308">
        <w:rPr>
          <w:rFonts w:ascii="Verdana" w:eastAsia="Times New Roman" w:hAnsi="Verdana" w:cs="Arial"/>
          <w:b/>
          <w:bCs/>
          <w:lang w:eastAsia="es-MX"/>
        </w:rPr>
        <w:t>sector  social</w:t>
      </w:r>
      <w:r w:rsidRPr="009D5308">
        <w:rPr>
          <w:rFonts w:ascii="Verdana" w:eastAsia="Times New Roman" w:hAnsi="Verdana" w:cs="Arial"/>
          <w:lang w:eastAsia="es-MX"/>
        </w:rPr>
        <w:t xml:space="preserve"> con la expedición de las </w:t>
      </w:r>
      <w:r w:rsidRPr="009D5308">
        <w:rPr>
          <w:rFonts w:ascii="Verdana" w:eastAsia="Times New Roman" w:hAnsi="Verdana" w:cs="Arial"/>
          <w:b/>
          <w:bCs/>
          <w:lang w:eastAsia="es-MX"/>
        </w:rPr>
        <w:t>Resoluciones 539, 540, 541, 952 y 953 de 2025</w:t>
      </w:r>
      <w:r w:rsidRPr="009D5308">
        <w:rPr>
          <w:rFonts w:ascii="Verdana" w:eastAsia="Times New Roman" w:hAnsi="Verdana" w:cs="Arial"/>
          <w:lang w:eastAsia="es-MX"/>
        </w:rPr>
        <w:t xml:space="preserve">, </w:t>
      </w:r>
      <w:r w:rsidRPr="009D5308">
        <w:rPr>
          <w:rFonts w:ascii="Verdana" w:eastAsia="Times New Roman" w:hAnsi="Verdana" w:cs="Arial"/>
          <w:b/>
          <w:bCs/>
          <w:lang w:eastAsia="es-MX"/>
        </w:rPr>
        <w:t>mediante las cuales adoptó Documentos Tipo</w:t>
      </w:r>
      <w:r w:rsidRPr="009D5308">
        <w:rPr>
          <w:rFonts w:ascii="Verdana" w:eastAsia="Times New Roman" w:hAnsi="Verdana" w:cs="Arial"/>
          <w:lang w:eastAsia="es-MX"/>
        </w:rPr>
        <w:t xml:space="preserve"> para las modalidades de selección de</w:t>
      </w:r>
      <w:r w:rsidRPr="009D5308">
        <w:rPr>
          <w:rFonts w:ascii="Verdana" w:eastAsia="Times New Roman" w:hAnsi="Verdana" w:cs="Arial"/>
          <w:b/>
          <w:bCs/>
          <w:lang w:eastAsia="es-MX"/>
        </w:rPr>
        <w:t xml:space="preserve"> licitación pública (versión 2), selección abreviada de menor cuantía, mínima cuantía, consultoría e interventoría</w:t>
      </w:r>
      <w:r w:rsidRPr="009D5308">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9D5308">
          <w:rPr>
            <w:rFonts w:ascii="Verdana" w:eastAsia="Times New Roman" w:hAnsi="Verdana" w:cs="Arial"/>
            <w:color w:val="0000FF"/>
            <w:u w:val="single"/>
            <w:lang w:eastAsia="es-MX"/>
          </w:rPr>
          <w:t>https://www.colombiacompra.gov.co/normativa-y-relatoria/documentos-tipo</w:t>
        </w:r>
      </w:hyperlink>
    </w:p>
    <w:p w14:paraId="16ABAD53" w14:textId="77777777" w:rsidR="009D5308" w:rsidRPr="009D5308" w:rsidRDefault="009D5308" w:rsidP="009D5308">
      <w:pPr>
        <w:spacing w:after="0" w:line="276" w:lineRule="auto"/>
        <w:jc w:val="both"/>
        <w:rPr>
          <w:rFonts w:ascii="Verdana" w:eastAsia="Times New Roman" w:hAnsi="Verdana" w:cs="Arial"/>
          <w:lang w:eastAsia="es-MX"/>
        </w:rPr>
      </w:pPr>
    </w:p>
    <w:p w14:paraId="5325034C" w14:textId="77777777" w:rsidR="009D5308" w:rsidRPr="009D5308" w:rsidRDefault="009D5308" w:rsidP="009D5308">
      <w:pPr>
        <w:spacing w:after="0" w:line="276" w:lineRule="auto"/>
        <w:jc w:val="both"/>
        <w:rPr>
          <w:rFonts w:ascii="Verdana" w:eastAsia="Times New Roman" w:hAnsi="Verdana" w:cs="Arial"/>
          <w:lang w:eastAsia="es-MX"/>
        </w:rPr>
      </w:pPr>
      <w:r w:rsidRPr="009D5308">
        <w:rPr>
          <w:rFonts w:ascii="Verdana" w:eastAsia="Times New Roman" w:hAnsi="Verdana" w:cs="Arial"/>
          <w:lang w:eastAsia="es-MX"/>
        </w:rPr>
        <w:t xml:space="preserve">Si quieres conocer más sobre la aplicación de Documentos Tipo puedes consultar la última versión de la </w:t>
      </w:r>
      <w:r w:rsidRPr="009D5308">
        <w:rPr>
          <w:rFonts w:ascii="Verdana" w:eastAsia="Times New Roman" w:hAnsi="Verdana" w:cs="Arial"/>
          <w:b/>
          <w:bCs/>
          <w:lang w:eastAsia="es-MX"/>
        </w:rPr>
        <w:t>Guía para la comprensión e implementación de los Documentos Tipo de obra pública de infraestructura de transporte</w:t>
      </w:r>
      <w:r w:rsidRPr="009D5308">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D5308">
        <w:rPr>
          <w:rFonts w:ascii="Verdana" w:eastAsia="Times New Roman" w:hAnsi="Verdana" w:cs="Arial"/>
          <w:lang w:eastAsia="es-MX"/>
        </w:rPr>
        <w:br/>
      </w:r>
      <w:hyperlink r:id="rId15" w:tgtFrame="_new" w:history="1">
        <w:r w:rsidRPr="009D5308">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4DFC52A6" w14:textId="77777777" w:rsidR="009D5308" w:rsidRPr="009D5308" w:rsidRDefault="009D5308" w:rsidP="009D5308">
      <w:pPr>
        <w:spacing w:after="0"/>
        <w:jc w:val="both"/>
        <w:rPr>
          <w:rFonts w:ascii="Verdana" w:eastAsia="Aptos" w:hAnsi="Verdana" w:cs="Times New Roman"/>
          <w:color w:val="212121"/>
          <w:lang w:eastAsia="es-MX"/>
        </w:rPr>
      </w:pPr>
    </w:p>
    <w:p w14:paraId="63FB948D" w14:textId="77777777" w:rsidR="009D5308" w:rsidRPr="009D5308" w:rsidRDefault="009D5308" w:rsidP="009D5308">
      <w:pPr>
        <w:spacing w:after="0" w:line="240" w:lineRule="auto"/>
        <w:jc w:val="both"/>
        <w:rPr>
          <w:rFonts w:ascii="Verdana" w:eastAsia="Calibri" w:hAnsi="Verdana" w:cs="Times New Roman"/>
          <w:lang w:eastAsia="es-MX"/>
        </w:rPr>
      </w:pPr>
      <w:r w:rsidRPr="009D5308">
        <w:rPr>
          <w:rFonts w:ascii="Verdana" w:eastAsia="Aptos" w:hAnsi="Verdana" w:cs="Times New Roman"/>
          <w:lang w:eastAsia="es-MX"/>
        </w:rPr>
        <w:t xml:space="preserve">Por último, lo invitamos a seguirnos en las redes sociales en las cuales se difunde información institucional: </w:t>
      </w:r>
    </w:p>
    <w:p w14:paraId="457ED4CA" w14:textId="77777777" w:rsidR="009D5308" w:rsidRPr="009D5308" w:rsidRDefault="009D5308" w:rsidP="009D5308">
      <w:pPr>
        <w:spacing w:after="0" w:line="240" w:lineRule="auto"/>
        <w:jc w:val="both"/>
        <w:rPr>
          <w:rFonts w:ascii="Verdana" w:eastAsia="Aptos" w:hAnsi="Verdana" w:cs="Times New Roman"/>
          <w:lang w:eastAsia="es-MX"/>
        </w:rPr>
      </w:pPr>
    </w:p>
    <w:p w14:paraId="2DB634FB" w14:textId="77777777" w:rsidR="009D5308" w:rsidRPr="009D5308" w:rsidRDefault="009D5308" w:rsidP="009D5308">
      <w:pPr>
        <w:spacing w:after="0" w:line="240" w:lineRule="auto"/>
        <w:jc w:val="both"/>
        <w:rPr>
          <w:rFonts w:ascii="Verdana" w:eastAsia="Aptos" w:hAnsi="Verdana" w:cs="Times New Roman"/>
          <w:lang w:eastAsia="es-MX"/>
        </w:rPr>
      </w:pPr>
      <w:r w:rsidRPr="009D5308">
        <w:rPr>
          <w:rFonts w:ascii="Verdana" w:eastAsia="Aptos" w:hAnsi="Verdana" w:cs="Times New Roman"/>
          <w:lang w:eastAsia="es-MX"/>
        </w:rPr>
        <w:t xml:space="preserve">Twitter: </w:t>
      </w:r>
      <w:r w:rsidRPr="009D5308">
        <w:rPr>
          <w:rFonts w:ascii="Verdana" w:eastAsia="Calibri" w:hAnsi="Verdana" w:cs="Times New Roman"/>
          <w:color w:val="156082"/>
          <w:u w:val="single"/>
          <w:lang w:eastAsia="es-MX"/>
        </w:rPr>
        <w:t>@colombiacompra</w:t>
      </w:r>
      <w:r w:rsidRPr="009D5308">
        <w:rPr>
          <w:rFonts w:ascii="Verdana" w:eastAsia="Calibri" w:hAnsi="Verdana" w:cs="Times New Roman"/>
          <w:color w:val="156082"/>
          <w:lang w:eastAsia="es-MX"/>
        </w:rPr>
        <w:t xml:space="preserve"> </w:t>
      </w:r>
    </w:p>
    <w:p w14:paraId="421B54BB" w14:textId="77777777" w:rsidR="009D5308" w:rsidRPr="009D5308" w:rsidRDefault="009D5308" w:rsidP="009D5308">
      <w:pPr>
        <w:spacing w:after="0" w:line="240" w:lineRule="auto"/>
        <w:jc w:val="both"/>
        <w:rPr>
          <w:rFonts w:ascii="Verdana" w:eastAsia="Aptos" w:hAnsi="Verdana" w:cs="Times New Roman"/>
          <w:lang w:eastAsia="es-MX"/>
        </w:rPr>
      </w:pPr>
      <w:r w:rsidRPr="009D5308">
        <w:rPr>
          <w:rFonts w:ascii="Verdana" w:eastAsia="Aptos" w:hAnsi="Verdana" w:cs="Times New Roman"/>
          <w:lang w:eastAsia="es-MX"/>
        </w:rPr>
        <w:t xml:space="preserve">Facebook: </w:t>
      </w:r>
      <w:proofErr w:type="spellStart"/>
      <w:r w:rsidRPr="009D5308">
        <w:rPr>
          <w:rFonts w:ascii="Verdana" w:eastAsia="Calibri" w:hAnsi="Verdana" w:cs="Times New Roman"/>
          <w:color w:val="156082"/>
          <w:u w:val="single"/>
          <w:lang w:eastAsia="es-MX"/>
        </w:rPr>
        <w:t>ColombiaCompraEficiente</w:t>
      </w:r>
      <w:proofErr w:type="spellEnd"/>
    </w:p>
    <w:p w14:paraId="2D8E51B7" w14:textId="77777777" w:rsidR="009D5308" w:rsidRPr="009D5308" w:rsidRDefault="009D5308" w:rsidP="009D5308">
      <w:pPr>
        <w:spacing w:after="0" w:line="240" w:lineRule="auto"/>
        <w:jc w:val="both"/>
        <w:rPr>
          <w:rFonts w:ascii="Verdana" w:eastAsia="Aptos" w:hAnsi="Verdana" w:cs="Times New Roman"/>
          <w:lang w:eastAsia="es-MX"/>
        </w:rPr>
      </w:pPr>
      <w:r w:rsidRPr="009D5308">
        <w:rPr>
          <w:rFonts w:ascii="Verdana" w:eastAsia="Aptos" w:hAnsi="Verdana" w:cs="Times New Roman"/>
          <w:lang w:eastAsia="es-MX"/>
        </w:rPr>
        <w:t xml:space="preserve">LinkedIn: </w:t>
      </w:r>
      <w:r w:rsidRPr="009D5308">
        <w:rPr>
          <w:rFonts w:ascii="Verdana" w:eastAsia="Calibri" w:hAnsi="Verdana" w:cs="Times New Roman"/>
          <w:color w:val="156082"/>
          <w:u w:val="single"/>
          <w:lang w:eastAsia="es-MX"/>
        </w:rPr>
        <w:t>Agencia Nacional de Contratación Pública - Colombia Compra Eficiente</w:t>
      </w:r>
      <w:r w:rsidRPr="009D5308">
        <w:rPr>
          <w:rFonts w:ascii="Verdana" w:eastAsia="Calibri" w:hAnsi="Verdana" w:cs="Times New Roman"/>
          <w:color w:val="156082"/>
          <w:lang w:eastAsia="es-MX"/>
        </w:rPr>
        <w:t xml:space="preserve"> </w:t>
      </w:r>
      <w:r w:rsidRPr="009D5308">
        <w:rPr>
          <w:rFonts w:ascii="Verdana" w:eastAsia="Aptos" w:hAnsi="Verdana" w:cs="Times New Roman"/>
          <w:lang w:eastAsia="es-MX"/>
        </w:rPr>
        <w:t xml:space="preserve">Instagram: </w:t>
      </w:r>
      <w:r w:rsidRPr="009D5308">
        <w:rPr>
          <w:rFonts w:ascii="Verdana" w:eastAsia="Calibri" w:hAnsi="Verdana" w:cs="Times New Roman"/>
          <w:color w:val="156082"/>
          <w:u w:val="single"/>
          <w:lang w:eastAsia="es-MX"/>
        </w:rPr>
        <w:t>@colombiacompraeficiente_cce</w:t>
      </w:r>
    </w:p>
    <w:p w14:paraId="47E1B3C5" w14:textId="77777777" w:rsidR="009D5308" w:rsidRPr="009D5308" w:rsidRDefault="009D5308" w:rsidP="009D5308">
      <w:pPr>
        <w:spacing w:after="0" w:line="276" w:lineRule="auto"/>
        <w:jc w:val="both"/>
        <w:rPr>
          <w:rFonts w:ascii="Verdana" w:eastAsia="Aptos" w:hAnsi="Verdana" w:cs="Times New Roman"/>
          <w:lang w:eastAsia="es-MX"/>
        </w:rPr>
      </w:pPr>
    </w:p>
    <w:p w14:paraId="38BA61B0" w14:textId="77777777" w:rsidR="009D5308" w:rsidRPr="009D5308" w:rsidRDefault="009D5308" w:rsidP="009D5308">
      <w:pPr>
        <w:spacing w:after="0" w:line="276" w:lineRule="auto"/>
        <w:jc w:val="both"/>
        <w:rPr>
          <w:rFonts w:ascii="Verdana" w:eastAsia="Calibri" w:hAnsi="Verdana" w:cs="Times New Roman"/>
          <w:bCs/>
          <w:lang w:val="es-ES_tradnl" w:eastAsia="es-MX"/>
        </w:rPr>
      </w:pPr>
      <w:r w:rsidRPr="009D5308">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1425D99" w14:textId="77777777" w:rsidR="009D5308" w:rsidRPr="009D5308" w:rsidRDefault="009D5308" w:rsidP="009D5308">
      <w:pPr>
        <w:spacing w:after="0" w:line="276" w:lineRule="auto"/>
        <w:jc w:val="both"/>
        <w:rPr>
          <w:rFonts w:ascii="Verdana" w:eastAsia="Calibri" w:hAnsi="Verdana" w:cs="Times New Roman"/>
          <w:lang w:eastAsia="es-MX"/>
        </w:rPr>
      </w:pPr>
    </w:p>
    <w:p w14:paraId="4A0DAD6B" w14:textId="77777777" w:rsidR="009D5308" w:rsidRPr="009D5308" w:rsidRDefault="009D5308" w:rsidP="009D5308">
      <w:pPr>
        <w:spacing w:after="0" w:line="276" w:lineRule="auto"/>
        <w:jc w:val="both"/>
        <w:rPr>
          <w:rFonts w:ascii="Verdana" w:eastAsia="Calibri" w:hAnsi="Verdana" w:cs="Times New Roman"/>
          <w:lang w:eastAsia="es-MX"/>
        </w:rPr>
      </w:pPr>
      <w:r w:rsidRPr="009D5308">
        <w:rPr>
          <w:rFonts w:ascii="Verdana" w:eastAsia="Calibri" w:hAnsi="Verdana" w:cs="Times New Roman"/>
          <w:lang w:eastAsia="es-MX"/>
        </w:rPr>
        <w:t>Atentamente,</w:t>
      </w:r>
    </w:p>
    <w:p w14:paraId="09C2BEDC" w14:textId="197001F3" w:rsidR="009D5308" w:rsidRPr="009D5308" w:rsidRDefault="00947D9E" w:rsidP="009D5308">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7907756E" wp14:editId="2E30F8F8">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p w14:paraId="0F20C15C" w14:textId="77777777" w:rsidR="009D5308" w:rsidRPr="009D5308" w:rsidRDefault="009D5308" w:rsidP="009D5308">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9D5308" w:rsidRPr="009D5308" w14:paraId="1753A361" w14:textId="77777777" w:rsidTr="0973A07E">
        <w:trPr>
          <w:trHeight w:val="323"/>
        </w:trPr>
        <w:tc>
          <w:tcPr>
            <w:tcW w:w="1041" w:type="dxa"/>
            <w:vAlign w:val="center"/>
            <w:hideMark/>
          </w:tcPr>
          <w:p w14:paraId="76A6AC2D" w14:textId="77777777" w:rsidR="009D5308" w:rsidRPr="009D5308" w:rsidRDefault="009D5308" w:rsidP="009D5308">
            <w:pPr>
              <w:rPr>
                <w:rFonts w:ascii="Verdana" w:eastAsia="Calibri" w:hAnsi="Verdana" w:cs="Arial"/>
                <w:sz w:val="16"/>
                <w:szCs w:val="16"/>
                <w:lang w:val="es-ES_tradnl" w:eastAsia="es-ES"/>
              </w:rPr>
            </w:pPr>
            <w:r w:rsidRPr="009D5308">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73283EAB" w14:textId="77777777" w:rsidR="009D5308" w:rsidRPr="009D5308" w:rsidRDefault="009D5308" w:rsidP="009D5308">
            <w:pPr>
              <w:rPr>
                <w:rFonts w:ascii="Verdana" w:eastAsia="Arial" w:hAnsi="Verdana" w:cs="Arial"/>
                <w:sz w:val="16"/>
                <w:szCs w:val="16"/>
                <w:lang w:val="es-ES" w:eastAsia="es-MX"/>
              </w:rPr>
            </w:pPr>
            <w:r w:rsidRPr="009D5308">
              <w:rPr>
                <w:rFonts w:ascii="Verdana" w:eastAsia="Arial" w:hAnsi="Verdana" w:cs="Arial"/>
                <w:sz w:val="16"/>
                <w:szCs w:val="16"/>
                <w:lang w:val="es-ES" w:eastAsia="es-MX"/>
              </w:rPr>
              <w:t xml:space="preserve">Carlos Mario Castrillón Endo </w:t>
            </w:r>
          </w:p>
          <w:p w14:paraId="69F91DC8" w14:textId="77777777" w:rsidR="009D5308" w:rsidRPr="009D5308" w:rsidRDefault="009D5308" w:rsidP="009D5308">
            <w:pPr>
              <w:rPr>
                <w:rFonts w:ascii="Verdana" w:eastAsia="Arial" w:hAnsi="Verdana" w:cs="Arial"/>
                <w:sz w:val="16"/>
                <w:szCs w:val="16"/>
                <w:lang w:val="es-ES_tradnl" w:eastAsia="es-MX"/>
              </w:rPr>
            </w:pPr>
            <w:r w:rsidRPr="009D5308">
              <w:rPr>
                <w:rFonts w:ascii="Verdana" w:eastAsia="Arial" w:hAnsi="Verdana" w:cs="Arial"/>
                <w:sz w:val="16"/>
                <w:szCs w:val="16"/>
                <w:lang w:val="es-ES_tradnl" w:eastAsia="es-MX"/>
              </w:rPr>
              <w:t>Contratista de la Subdirección de Gestión Contractual</w:t>
            </w:r>
          </w:p>
          <w:p w14:paraId="14F85EA5" w14:textId="77777777" w:rsidR="009D5308" w:rsidRPr="009D5308" w:rsidRDefault="009D5308" w:rsidP="009D5308">
            <w:pPr>
              <w:rPr>
                <w:rFonts w:ascii="Verdana" w:eastAsia="Arial" w:hAnsi="Verdana" w:cs="Arial"/>
                <w:sz w:val="16"/>
                <w:szCs w:val="16"/>
                <w:lang w:val="es-ES_tradnl" w:eastAsia="es-MX"/>
              </w:rPr>
            </w:pPr>
          </w:p>
        </w:tc>
      </w:tr>
      <w:tr w:rsidR="009D5308" w:rsidRPr="009D5308" w14:paraId="1D9E3EAC" w14:textId="77777777" w:rsidTr="0973A07E">
        <w:trPr>
          <w:trHeight w:val="338"/>
        </w:trPr>
        <w:tc>
          <w:tcPr>
            <w:tcW w:w="1041" w:type="dxa"/>
            <w:vAlign w:val="center"/>
            <w:hideMark/>
          </w:tcPr>
          <w:p w14:paraId="7EAF85FE" w14:textId="77777777" w:rsidR="009D5308" w:rsidRPr="009D5308" w:rsidRDefault="009D5308" w:rsidP="009D5308">
            <w:pPr>
              <w:rPr>
                <w:rFonts w:ascii="Verdana" w:eastAsia="Calibri" w:hAnsi="Verdana" w:cs="Arial"/>
                <w:sz w:val="16"/>
                <w:szCs w:val="16"/>
                <w:lang w:val="es-ES_tradnl" w:eastAsia="es-ES"/>
              </w:rPr>
            </w:pPr>
            <w:r w:rsidRPr="009D5308">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2EB46599" w14:textId="77777777" w:rsidR="009D5308" w:rsidRPr="009D5308" w:rsidRDefault="009D5308" w:rsidP="009D5308">
            <w:pPr>
              <w:rPr>
                <w:rFonts w:ascii="Verdana" w:eastAsia="Arial" w:hAnsi="Verdana" w:cs="Arial"/>
                <w:sz w:val="16"/>
                <w:szCs w:val="16"/>
                <w:lang w:val="es-ES" w:eastAsia="es-MX"/>
              </w:rPr>
            </w:pPr>
            <w:r w:rsidRPr="0973A07E">
              <w:rPr>
                <w:rFonts w:ascii="Verdana" w:eastAsia="Arial" w:hAnsi="Verdana" w:cs="Arial"/>
                <w:sz w:val="16"/>
                <w:szCs w:val="16"/>
                <w:lang w:val="es-ES" w:eastAsia="es-MX"/>
              </w:rPr>
              <w:t xml:space="preserve">Lida Milena </w:t>
            </w:r>
            <w:proofErr w:type="spellStart"/>
            <w:r w:rsidRPr="0973A07E">
              <w:rPr>
                <w:rFonts w:ascii="Verdana" w:eastAsia="Arial" w:hAnsi="Verdana" w:cs="Arial"/>
                <w:sz w:val="16"/>
                <w:szCs w:val="16"/>
                <w:lang w:val="es-ES" w:eastAsia="es-MX"/>
              </w:rPr>
              <w:t>Guanumen</w:t>
            </w:r>
            <w:proofErr w:type="spellEnd"/>
            <w:r w:rsidRPr="0973A07E">
              <w:rPr>
                <w:rFonts w:ascii="Verdana" w:eastAsia="Arial" w:hAnsi="Verdana" w:cs="Arial"/>
                <w:sz w:val="16"/>
                <w:szCs w:val="16"/>
                <w:lang w:val="es-ES" w:eastAsia="es-MX"/>
              </w:rPr>
              <w:t xml:space="preserve"> Pacheco</w:t>
            </w:r>
          </w:p>
          <w:p w14:paraId="59AA6FE1" w14:textId="77777777" w:rsidR="009D5308" w:rsidRPr="009D5308" w:rsidRDefault="009D5308" w:rsidP="009D5308">
            <w:pPr>
              <w:rPr>
                <w:rFonts w:ascii="Verdana" w:eastAsia="Arial" w:hAnsi="Verdana" w:cs="Arial"/>
                <w:sz w:val="16"/>
                <w:szCs w:val="16"/>
                <w:lang w:val="es-ES" w:eastAsia="es-MX"/>
              </w:rPr>
            </w:pPr>
            <w:r w:rsidRPr="009D5308">
              <w:rPr>
                <w:rFonts w:ascii="Verdana" w:eastAsia="Arial" w:hAnsi="Verdana" w:cs="Arial"/>
                <w:sz w:val="16"/>
                <w:szCs w:val="16"/>
                <w:lang w:val="es-ES_tradnl" w:eastAsia="es-MX"/>
              </w:rPr>
              <w:t>Contratista de la Subdirección de Gestión Contractual</w:t>
            </w:r>
          </w:p>
          <w:p w14:paraId="7A92E7A5" w14:textId="77777777" w:rsidR="009D5308" w:rsidRPr="009D5308" w:rsidRDefault="009D5308" w:rsidP="009D5308">
            <w:pPr>
              <w:rPr>
                <w:rFonts w:ascii="Verdana" w:eastAsia="Arial" w:hAnsi="Verdana" w:cs="Arial"/>
                <w:sz w:val="16"/>
                <w:szCs w:val="16"/>
                <w:lang w:val="es-ES" w:eastAsia="es-MX"/>
              </w:rPr>
            </w:pPr>
            <w:r w:rsidRPr="009D5308">
              <w:rPr>
                <w:rFonts w:ascii="Verdana" w:eastAsia="Arial" w:hAnsi="Verdana" w:cs="Arial"/>
                <w:sz w:val="16"/>
                <w:szCs w:val="16"/>
                <w:lang w:val="es-ES" w:eastAsia="es-MX"/>
              </w:rPr>
              <w:t>Martha Alicia Romero Vargas</w:t>
            </w:r>
          </w:p>
          <w:p w14:paraId="70CDAE22" w14:textId="77777777" w:rsidR="009D5308" w:rsidRPr="009D5308" w:rsidRDefault="009D5308" w:rsidP="009D5308">
            <w:pPr>
              <w:rPr>
                <w:rFonts w:ascii="Verdana" w:eastAsia="Arial" w:hAnsi="Verdana" w:cs="Arial"/>
                <w:sz w:val="16"/>
                <w:szCs w:val="16"/>
                <w:lang w:val="es-ES_tradnl" w:eastAsia="es-MX"/>
              </w:rPr>
            </w:pPr>
            <w:r w:rsidRPr="009D5308">
              <w:rPr>
                <w:rFonts w:ascii="Verdana" w:eastAsia="Arial" w:hAnsi="Verdana" w:cs="Arial"/>
                <w:sz w:val="16"/>
                <w:szCs w:val="16"/>
                <w:lang w:val="es-ES_tradnl" w:eastAsia="es-MX"/>
              </w:rPr>
              <w:t>Gestor T1-15 de la Subdirección de Gestión Contractual</w:t>
            </w:r>
          </w:p>
        </w:tc>
      </w:tr>
      <w:tr w:rsidR="009D5308" w:rsidRPr="009D5308" w14:paraId="6F07889A" w14:textId="77777777" w:rsidTr="0973A07E">
        <w:trPr>
          <w:trHeight w:val="308"/>
        </w:trPr>
        <w:tc>
          <w:tcPr>
            <w:tcW w:w="1041" w:type="dxa"/>
            <w:vAlign w:val="center"/>
          </w:tcPr>
          <w:p w14:paraId="5AD70AC0" w14:textId="77777777" w:rsidR="009D5308" w:rsidRPr="009D5308" w:rsidRDefault="009D5308" w:rsidP="009D5308">
            <w:pPr>
              <w:rPr>
                <w:rFonts w:ascii="Verdana" w:eastAsia="Calibri" w:hAnsi="Verdana" w:cs="Arial"/>
                <w:sz w:val="16"/>
                <w:szCs w:val="16"/>
                <w:lang w:val="es-ES_tradnl" w:eastAsia="es-ES"/>
              </w:rPr>
            </w:pPr>
            <w:r w:rsidRPr="009D5308">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06C43F6B" w14:textId="77777777" w:rsidR="009D5308" w:rsidRPr="009D5308" w:rsidRDefault="009D5308" w:rsidP="009D5308">
            <w:pPr>
              <w:rPr>
                <w:rFonts w:ascii="Verdana" w:eastAsia="Calibri" w:hAnsi="Verdana" w:cs="Arial"/>
                <w:sz w:val="16"/>
                <w:szCs w:val="16"/>
                <w:lang w:val="es-ES" w:eastAsia="es-ES"/>
              </w:rPr>
            </w:pPr>
            <w:r w:rsidRPr="009D5308">
              <w:rPr>
                <w:rFonts w:ascii="Verdana" w:eastAsia="Calibri" w:hAnsi="Verdana" w:cs="Arial"/>
                <w:sz w:val="16"/>
                <w:szCs w:val="16"/>
                <w:lang w:val="es-ES" w:eastAsia="es-ES"/>
              </w:rPr>
              <w:t xml:space="preserve">Carolina Quintero </w:t>
            </w:r>
            <w:proofErr w:type="spellStart"/>
            <w:r w:rsidRPr="009D5308">
              <w:rPr>
                <w:rFonts w:ascii="Verdana" w:eastAsia="Calibri" w:hAnsi="Verdana" w:cs="Arial"/>
                <w:sz w:val="16"/>
                <w:szCs w:val="16"/>
                <w:lang w:val="es-ES" w:eastAsia="es-ES"/>
              </w:rPr>
              <w:t>Gacharná</w:t>
            </w:r>
            <w:proofErr w:type="spellEnd"/>
          </w:p>
          <w:p w14:paraId="31C1B347" w14:textId="77777777" w:rsidR="009D5308" w:rsidRPr="009D5308" w:rsidRDefault="009D5308" w:rsidP="009D5308">
            <w:pPr>
              <w:rPr>
                <w:rFonts w:ascii="Verdana" w:eastAsia="Calibri" w:hAnsi="Verdana" w:cs="Arial"/>
                <w:sz w:val="16"/>
                <w:szCs w:val="16"/>
                <w:lang w:val="es-ES_tradnl" w:eastAsia="es-ES"/>
              </w:rPr>
            </w:pPr>
            <w:r w:rsidRPr="009D5308">
              <w:rPr>
                <w:rFonts w:ascii="Verdana" w:eastAsia="Calibri" w:hAnsi="Verdana" w:cs="Arial"/>
                <w:sz w:val="16"/>
                <w:szCs w:val="16"/>
                <w:lang w:val="es-ES_tradnl" w:eastAsia="es-ES"/>
              </w:rPr>
              <w:t>Subdirectora de Gestión Contractual ANCP – CCE</w:t>
            </w:r>
          </w:p>
        </w:tc>
      </w:tr>
      <w:bookmarkEnd w:id="0"/>
    </w:tbl>
    <w:p w14:paraId="0F1065AC" w14:textId="77777777" w:rsidR="009D5308" w:rsidRPr="009D5308" w:rsidRDefault="009D5308" w:rsidP="009D5308">
      <w:pPr>
        <w:spacing w:after="0"/>
        <w:rPr>
          <w:rFonts w:ascii="Calibri" w:eastAsia="Calibri" w:hAnsi="Calibri" w:cs="Times New Roman"/>
          <w:lang w:eastAsia="es-MX"/>
        </w:rPr>
      </w:pPr>
    </w:p>
    <w:p w14:paraId="0319365A" w14:textId="77777777" w:rsidR="009D5308" w:rsidRPr="009D5308" w:rsidRDefault="009D5308" w:rsidP="009D5308">
      <w:pPr>
        <w:spacing w:after="0"/>
        <w:rPr>
          <w:rFonts w:ascii="Aptos" w:eastAsia="Aptos" w:hAnsi="Aptos" w:cs="Times New Roman"/>
          <w:lang w:eastAsia="es-MX"/>
        </w:rPr>
      </w:pPr>
    </w:p>
    <w:p w14:paraId="7946DD61" w14:textId="77777777" w:rsidR="009D5308" w:rsidRPr="009D5308" w:rsidRDefault="009D5308" w:rsidP="009D5308">
      <w:pPr>
        <w:spacing w:after="0"/>
        <w:rPr>
          <w:rFonts w:ascii="Calibri" w:eastAsia="Calibri" w:hAnsi="Calibri" w:cs="Times New Roman"/>
          <w:lang w:eastAsia="es-MX"/>
        </w:rPr>
      </w:pPr>
    </w:p>
    <w:p w14:paraId="2EA7C568" w14:textId="77777777" w:rsidR="009D5308" w:rsidRPr="009D5308" w:rsidRDefault="009D5308" w:rsidP="009D5308">
      <w:pPr>
        <w:spacing w:after="0" w:line="240" w:lineRule="auto"/>
        <w:rPr>
          <w:rFonts w:ascii="Aptos" w:eastAsia="Aptos" w:hAnsi="Aptos" w:cs="Times New Roman"/>
          <w:sz w:val="24"/>
          <w:szCs w:val="24"/>
          <w:lang w:eastAsia="es-MX"/>
        </w:rPr>
      </w:pPr>
    </w:p>
    <w:p w14:paraId="754CF83A" w14:textId="77777777" w:rsidR="009D5308" w:rsidRPr="009D5308" w:rsidRDefault="009D5308" w:rsidP="009D5308">
      <w:pPr>
        <w:spacing w:after="0" w:line="240" w:lineRule="auto"/>
        <w:rPr>
          <w:rFonts w:ascii="Aptos" w:eastAsia="Aptos" w:hAnsi="Aptos" w:cs="Times New Roman"/>
          <w:sz w:val="24"/>
          <w:szCs w:val="24"/>
          <w:lang w:eastAsia="es-MX"/>
        </w:rPr>
      </w:pPr>
    </w:p>
    <w:p w14:paraId="24DBB3EC" w14:textId="77777777" w:rsidR="009D5308" w:rsidRPr="009D5308" w:rsidRDefault="009D5308" w:rsidP="009D5308">
      <w:pPr>
        <w:spacing w:after="0" w:line="240" w:lineRule="auto"/>
        <w:rPr>
          <w:rFonts w:ascii="Aptos" w:eastAsia="Aptos" w:hAnsi="Aptos" w:cs="Times New Roman"/>
          <w:sz w:val="24"/>
          <w:szCs w:val="24"/>
          <w:lang w:eastAsia="es-MX"/>
        </w:rPr>
      </w:pPr>
    </w:p>
    <w:p w14:paraId="1B9218F6" w14:textId="77777777" w:rsidR="009D5308" w:rsidRPr="009D5308" w:rsidRDefault="009D5308" w:rsidP="009D5308">
      <w:pPr>
        <w:spacing w:after="0" w:line="240" w:lineRule="auto"/>
        <w:rPr>
          <w:rFonts w:ascii="Times New Roman" w:eastAsia="Times New Roman" w:hAnsi="Times New Roman" w:cs="Times New Roman"/>
          <w:sz w:val="24"/>
          <w:szCs w:val="24"/>
          <w:lang w:eastAsia="es-MX"/>
        </w:rPr>
      </w:pPr>
    </w:p>
    <w:p w14:paraId="4ED45FFF" w14:textId="77777777" w:rsidR="009D5308" w:rsidRPr="009D5308" w:rsidRDefault="009D5308" w:rsidP="009D5308">
      <w:pPr>
        <w:spacing w:after="0" w:line="240" w:lineRule="auto"/>
        <w:rPr>
          <w:rFonts w:ascii="Times New Roman" w:eastAsia="Times New Roman" w:hAnsi="Times New Roman" w:cs="Times New Roman"/>
          <w:sz w:val="24"/>
          <w:szCs w:val="24"/>
          <w:lang w:eastAsia="es-MX"/>
        </w:rPr>
      </w:pPr>
    </w:p>
    <w:p w14:paraId="4473902E" w14:textId="77777777" w:rsidR="009D5308" w:rsidRPr="009D5308" w:rsidRDefault="009D5308" w:rsidP="009D5308">
      <w:pPr>
        <w:spacing w:after="0" w:line="240" w:lineRule="auto"/>
        <w:rPr>
          <w:rFonts w:ascii="Times New Roman" w:eastAsia="Times New Roman" w:hAnsi="Times New Roman" w:cs="Times New Roman"/>
          <w:sz w:val="24"/>
          <w:szCs w:val="24"/>
          <w:lang w:eastAsia="es-MX"/>
        </w:rPr>
      </w:pPr>
    </w:p>
    <w:p w14:paraId="0F293BF4" w14:textId="02AFED68" w:rsidR="00127233" w:rsidRPr="007F31C4" w:rsidRDefault="00127233" w:rsidP="007F31C4"/>
    <w:sectPr w:rsidR="00127233" w:rsidRPr="007F31C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8D9AA" w14:textId="77777777" w:rsidR="009A1C6F" w:rsidRDefault="009A1C6F" w:rsidP="004A1847">
      <w:pPr>
        <w:spacing w:after="0" w:line="240" w:lineRule="auto"/>
      </w:pPr>
      <w:r>
        <w:separator/>
      </w:r>
    </w:p>
  </w:endnote>
  <w:endnote w:type="continuationSeparator" w:id="0">
    <w:p w14:paraId="7F54E1B0" w14:textId="77777777" w:rsidR="009A1C6F" w:rsidRDefault="009A1C6F" w:rsidP="004A1847">
      <w:pPr>
        <w:spacing w:after="0" w:line="240" w:lineRule="auto"/>
      </w:pPr>
      <w:r>
        <w:continuationSeparator/>
      </w:r>
    </w:p>
  </w:endnote>
  <w:endnote w:type="continuationNotice" w:id="1">
    <w:p w14:paraId="0AFA4F8A" w14:textId="77777777" w:rsidR="00EB043F" w:rsidRDefault="00EB04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9D5308">
      <w:rPr>
        <w:rFonts w:ascii="Verdana" w:eastAsia="Verdana" w:hAnsi="Verdana" w:cs="Verdana"/>
        <w:b/>
        <w:bCs/>
        <w:color w:val="000000"/>
        <w:sz w:val="18"/>
        <w:szCs w:val="18"/>
        <w:lang w:eastAsia="es-CO"/>
      </w:rPr>
      <w:t xml:space="preserve">Código: </w:t>
    </w:r>
    <w:r w:rsidRPr="009D5308">
      <w:rPr>
        <w:rFonts w:ascii="Verdana" w:eastAsia="Verdana" w:hAnsi="Verdana" w:cs="Verdana"/>
        <w:color w:val="000000"/>
        <w:sz w:val="18"/>
        <w:szCs w:val="18"/>
        <w:lang w:eastAsia="es-CO"/>
      </w:rPr>
      <w:t xml:space="preserve">CCE-REC-FM-17 </w:t>
    </w:r>
    <w:r w:rsidRPr="009D5308">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F3A6E" w14:textId="77777777" w:rsidR="009A1C6F" w:rsidRDefault="009A1C6F" w:rsidP="004A1847">
      <w:pPr>
        <w:spacing w:after="0" w:line="240" w:lineRule="auto"/>
      </w:pPr>
      <w:r>
        <w:separator/>
      </w:r>
    </w:p>
  </w:footnote>
  <w:footnote w:type="continuationSeparator" w:id="0">
    <w:p w14:paraId="1855ECED" w14:textId="77777777" w:rsidR="009A1C6F" w:rsidRDefault="009A1C6F" w:rsidP="004A1847">
      <w:pPr>
        <w:spacing w:after="0" w:line="240" w:lineRule="auto"/>
      </w:pPr>
      <w:r>
        <w:continuationSeparator/>
      </w:r>
    </w:p>
  </w:footnote>
  <w:footnote w:type="continuationNotice" w:id="1">
    <w:p w14:paraId="6F2101ED" w14:textId="77777777" w:rsidR="00EB043F" w:rsidRDefault="00EB043F">
      <w:pPr>
        <w:spacing w:after="0" w:line="240" w:lineRule="auto"/>
      </w:pPr>
    </w:p>
  </w:footnote>
  <w:footnote w:id="2">
    <w:p w14:paraId="2C16A410" w14:textId="77777777" w:rsidR="009D5308" w:rsidRPr="00B1066F" w:rsidRDefault="009D5308" w:rsidP="009D5308">
      <w:pPr>
        <w:pStyle w:val="Textonotapie"/>
        <w:ind w:firstLine="708"/>
        <w:jc w:val="both"/>
        <w:rPr>
          <w:rFonts w:ascii="Verdana" w:hAnsi="Verdana"/>
          <w:sz w:val="19"/>
          <w:szCs w:val="19"/>
        </w:rPr>
      </w:pPr>
      <w:r w:rsidRPr="00B1066F">
        <w:rPr>
          <w:rStyle w:val="Refdenotaalpie"/>
          <w:rFonts w:ascii="Verdana" w:hAnsi="Verdana"/>
          <w:sz w:val="19"/>
          <w:szCs w:val="19"/>
        </w:rPr>
        <w:footnoteRef/>
      </w:r>
      <w:r w:rsidRPr="00B1066F">
        <w:rPr>
          <w:rFonts w:ascii="Verdana" w:hAnsi="Verdana"/>
          <w:sz w:val="19"/>
          <w:szCs w:val="19"/>
        </w:rPr>
        <w:t xml:space="preserve"> Reglamento Colombiano de Construcción Sismo Resistente NSR-10, Título K – Requisitos complementarios. Consultado en: www.idrd.gov.co/sites/default/files/documentos/Construcciones/11titulo-k-nsr-100.pdf </w:t>
      </w:r>
    </w:p>
    <w:p w14:paraId="7BA0C70F" w14:textId="77777777" w:rsidR="009D5308" w:rsidRPr="00B1066F" w:rsidRDefault="009D5308" w:rsidP="009D5308">
      <w:pPr>
        <w:pStyle w:val="Textonotapie"/>
        <w:ind w:firstLine="708"/>
        <w:jc w:val="both"/>
        <w:rPr>
          <w:rFonts w:ascii="Verdana" w:hAnsi="Verdana"/>
          <w:sz w:val="19"/>
          <w:szCs w:val="19"/>
          <w:lang w:val="es-ES_tradnl"/>
        </w:rPr>
      </w:pPr>
    </w:p>
  </w:footnote>
  <w:footnote w:id="3">
    <w:p w14:paraId="62019511" w14:textId="77777777" w:rsidR="009D5308" w:rsidRPr="00B1066F" w:rsidRDefault="009D5308" w:rsidP="009D5308">
      <w:pPr>
        <w:pStyle w:val="Textonotapie"/>
        <w:ind w:firstLine="708"/>
        <w:jc w:val="both"/>
        <w:rPr>
          <w:rFonts w:ascii="Verdana" w:hAnsi="Verdana"/>
          <w:sz w:val="19"/>
          <w:szCs w:val="19"/>
          <w:lang w:val="es-ES_tradnl"/>
        </w:rPr>
      </w:pPr>
      <w:r w:rsidRPr="00B1066F">
        <w:rPr>
          <w:rStyle w:val="Refdenotaalpie"/>
          <w:rFonts w:ascii="Verdana" w:hAnsi="Verdana"/>
          <w:sz w:val="19"/>
          <w:szCs w:val="19"/>
        </w:rPr>
        <w:footnoteRef/>
      </w:r>
      <w:r w:rsidRPr="00B1066F">
        <w:rPr>
          <w:rFonts w:ascii="Verdana" w:hAnsi="Verdana"/>
          <w:sz w:val="19"/>
          <w:szCs w:val="19"/>
        </w:rPr>
        <w:t xml:space="preserve"> </w:t>
      </w:r>
      <w:r w:rsidRPr="00B1066F">
        <w:rPr>
          <w:rFonts w:ascii="Verdana" w:hAnsi="Verdana"/>
          <w:sz w:val="19"/>
          <w:szCs w:val="19"/>
          <w:lang w:val="es-ES_tradnl"/>
        </w:rPr>
        <w:t xml:space="preserve">Ibidem </w:t>
      </w:r>
    </w:p>
    <w:p w14:paraId="71C0885C" w14:textId="77777777" w:rsidR="009D5308" w:rsidRPr="00B1066F" w:rsidRDefault="009D5308" w:rsidP="009D5308">
      <w:pPr>
        <w:pStyle w:val="Textonotapie"/>
        <w:ind w:firstLine="708"/>
        <w:jc w:val="both"/>
        <w:rPr>
          <w:rFonts w:ascii="Verdana" w:hAnsi="Verdana"/>
          <w:sz w:val="19"/>
          <w:szCs w:val="19"/>
          <w:lang w:val="es-ES_tradnl"/>
        </w:rPr>
      </w:pPr>
    </w:p>
  </w:footnote>
  <w:footnote w:id="4">
    <w:p w14:paraId="023C33CD" w14:textId="77777777" w:rsidR="009D5308" w:rsidRPr="00257557" w:rsidRDefault="009D5308" w:rsidP="009D5308">
      <w:pPr>
        <w:pStyle w:val="NormalWeb"/>
        <w:spacing w:before="0" w:beforeAutospacing="0" w:after="0" w:afterAutospacing="0"/>
        <w:ind w:firstLine="708"/>
        <w:contextualSpacing/>
        <w:jc w:val="both"/>
        <w:rPr>
          <w:rFonts w:ascii="Verdana" w:hAnsi="Verdana" w:cs="Arial"/>
          <w:color w:val="000000"/>
          <w:sz w:val="16"/>
          <w:szCs w:val="16"/>
        </w:rPr>
      </w:pPr>
      <w:r w:rsidRPr="00257557">
        <w:rPr>
          <w:rStyle w:val="Refdenotaalpie"/>
          <w:rFonts w:ascii="Verdana" w:hAnsi="Verdana" w:cs="Arial"/>
          <w:color w:val="000000"/>
          <w:sz w:val="16"/>
          <w:szCs w:val="16"/>
        </w:rPr>
        <w:footnoteRef/>
      </w:r>
      <w:r w:rsidRPr="00257557">
        <w:rPr>
          <w:rFonts w:ascii="Verdana" w:hAnsi="Verdana" w:cs="Arial"/>
          <w:color w:val="000000"/>
          <w:sz w:val="16"/>
          <w:szCs w:val="16"/>
        </w:rPr>
        <w:t xml:space="preserve"> Ley 2022 de 2020: “</w:t>
      </w:r>
      <w:r w:rsidRPr="00257557">
        <w:rPr>
          <w:rStyle w:val="Textoennegrita"/>
          <w:rFonts w:ascii="Verdana" w:hAnsi="Verdana" w:cs="Arial"/>
          <w:color w:val="000000"/>
          <w:sz w:val="16"/>
          <w:szCs w:val="16"/>
        </w:rPr>
        <w:t xml:space="preserve">Artículo 1º. </w:t>
      </w:r>
      <w:r w:rsidRPr="00257557">
        <w:rPr>
          <w:rFonts w:ascii="Verdana" w:hAnsi="Verdana" w:cs="Arial"/>
          <w:color w:val="000000"/>
          <w:sz w:val="16"/>
          <w:szCs w:val="16"/>
        </w:rPr>
        <w:t>Modifíquese el artículo 4º de la Ley 1882 de 2018, el cual quedará así:</w:t>
      </w:r>
    </w:p>
    <w:p w14:paraId="5A9BF50C" w14:textId="77777777" w:rsidR="009D5308" w:rsidRPr="00257557" w:rsidRDefault="009D5308" w:rsidP="009D5308">
      <w:pPr>
        <w:pStyle w:val="NormalWeb"/>
        <w:spacing w:before="0" w:beforeAutospacing="0" w:after="0" w:afterAutospacing="0"/>
        <w:ind w:firstLine="708"/>
        <w:contextualSpacing/>
        <w:jc w:val="both"/>
        <w:rPr>
          <w:rFonts w:ascii="Verdana" w:hAnsi="Verdana" w:cs="Arial"/>
          <w:color w:val="000000"/>
          <w:sz w:val="16"/>
          <w:szCs w:val="16"/>
        </w:rPr>
      </w:pPr>
      <w:r w:rsidRPr="00257557">
        <w:rPr>
          <w:rStyle w:val="Textoennegrita"/>
          <w:rFonts w:ascii="Verdana" w:hAnsi="Verdana" w:cs="Arial"/>
          <w:color w:val="000000"/>
          <w:sz w:val="16"/>
          <w:szCs w:val="16"/>
        </w:rPr>
        <w:t xml:space="preserve">“Artículo 4º. </w:t>
      </w:r>
      <w:r w:rsidRPr="00257557">
        <w:rPr>
          <w:rFonts w:ascii="Verdana" w:hAnsi="Verdana" w:cs="Arial"/>
          <w:color w:val="000000"/>
          <w:sz w:val="16"/>
          <w:szCs w:val="16"/>
        </w:rPr>
        <w:t>Adiciónese el siguiente parágrafo al artículo 2º de la Ley 1150 de 2007.</w:t>
      </w:r>
    </w:p>
    <w:p w14:paraId="2C14A255" w14:textId="77777777" w:rsidR="009D5308" w:rsidRPr="00257557" w:rsidRDefault="009D5308" w:rsidP="009D5308">
      <w:pPr>
        <w:pStyle w:val="NormalWeb"/>
        <w:spacing w:before="0" w:beforeAutospacing="0" w:after="0" w:afterAutospacing="0"/>
        <w:ind w:firstLine="708"/>
        <w:contextualSpacing/>
        <w:jc w:val="both"/>
        <w:rPr>
          <w:rFonts w:ascii="Verdana" w:hAnsi="Verdana" w:cs="Arial"/>
          <w:color w:val="000000"/>
          <w:sz w:val="16"/>
          <w:szCs w:val="16"/>
        </w:rPr>
      </w:pPr>
      <w:r w:rsidRPr="00257557">
        <w:rPr>
          <w:rStyle w:val="Textoennegrita"/>
          <w:rFonts w:ascii="Verdana" w:hAnsi="Verdana" w:cs="Arial"/>
          <w:color w:val="000000"/>
          <w:sz w:val="16"/>
          <w:szCs w:val="16"/>
        </w:rPr>
        <w:t xml:space="preserve">Parágrafo 7º. </w:t>
      </w:r>
      <w:r w:rsidRPr="00257557">
        <w:rPr>
          <w:rFonts w:ascii="Verdana" w:hAnsi="Verdana" w:cs="Arial"/>
          <w:color w:val="000000"/>
          <w:sz w:val="16"/>
          <w:szCs w:val="16"/>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EA4609C" w14:textId="77777777" w:rsidR="009D5308" w:rsidRPr="00257557" w:rsidRDefault="009D5308" w:rsidP="009D5308">
      <w:pPr>
        <w:pStyle w:val="NormalWeb"/>
        <w:spacing w:before="0" w:beforeAutospacing="0" w:after="0" w:afterAutospacing="0"/>
        <w:ind w:firstLine="708"/>
        <w:contextualSpacing/>
        <w:jc w:val="both"/>
        <w:rPr>
          <w:rFonts w:ascii="Verdana" w:hAnsi="Verdana" w:cs="Arial"/>
          <w:color w:val="000000"/>
          <w:sz w:val="16"/>
          <w:szCs w:val="16"/>
        </w:rPr>
      </w:pPr>
      <w:r w:rsidRPr="00257557">
        <w:rPr>
          <w:rFonts w:ascii="Verdana" w:hAnsi="Verdana" w:cs="Arial"/>
          <w:color w:val="000000"/>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31B1051" w14:textId="77777777" w:rsidR="009D5308" w:rsidRPr="00257557" w:rsidRDefault="009D5308" w:rsidP="009D5308">
      <w:pPr>
        <w:pStyle w:val="NormalWeb"/>
        <w:spacing w:before="0" w:beforeAutospacing="0" w:after="0" w:afterAutospacing="0"/>
        <w:ind w:firstLine="708"/>
        <w:contextualSpacing/>
        <w:jc w:val="both"/>
        <w:rPr>
          <w:rFonts w:ascii="Verdana" w:hAnsi="Verdana" w:cs="Arial"/>
          <w:color w:val="000000"/>
          <w:sz w:val="16"/>
          <w:szCs w:val="16"/>
        </w:rPr>
      </w:pPr>
      <w:r w:rsidRPr="00257557">
        <w:rPr>
          <w:rFonts w:ascii="Verdana" w:hAnsi="Verdana" w:cs="Arial"/>
          <w:color w:val="000000"/>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704DF6D9" w14:textId="77777777" w:rsidR="009D5308" w:rsidRPr="00257557" w:rsidRDefault="009D5308" w:rsidP="009D5308">
      <w:pPr>
        <w:pStyle w:val="NormalWeb"/>
        <w:spacing w:before="0" w:beforeAutospacing="0" w:after="0" w:afterAutospacing="0"/>
        <w:ind w:firstLine="708"/>
        <w:contextualSpacing/>
        <w:jc w:val="both"/>
        <w:rPr>
          <w:rFonts w:ascii="Verdana" w:hAnsi="Verdana" w:cs="Arial"/>
          <w:color w:val="000000"/>
          <w:sz w:val="16"/>
          <w:szCs w:val="16"/>
        </w:rPr>
      </w:pPr>
      <w:r w:rsidRPr="00257557">
        <w:rPr>
          <w:rFonts w:ascii="Verdana" w:hAnsi="Verdana" w:cs="Arial"/>
          <w:color w:val="000000"/>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7A03D399" w14:textId="77777777" w:rsidR="009D5308" w:rsidRPr="00257557" w:rsidRDefault="009D5308" w:rsidP="009D5308">
      <w:pPr>
        <w:pStyle w:val="NormalWeb"/>
        <w:spacing w:before="0" w:beforeAutospacing="0" w:after="0" w:afterAutospacing="0"/>
        <w:ind w:firstLine="708"/>
        <w:contextualSpacing/>
        <w:jc w:val="both"/>
        <w:rPr>
          <w:rFonts w:ascii="Verdana" w:hAnsi="Verdana" w:cs="Arial"/>
          <w:color w:val="000000"/>
          <w:sz w:val="16"/>
          <w:szCs w:val="16"/>
        </w:rPr>
      </w:pPr>
      <w:r w:rsidRPr="00257557">
        <w:rPr>
          <w:rFonts w:ascii="Verdana" w:hAnsi="Verdana" w:cs="Arial"/>
          <w:color w:val="000000"/>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5">
    <w:p w14:paraId="7FD97CA7" w14:textId="77777777" w:rsidR="009D5308" w:rsidRPr="00257557" w:rsidRDefault="009D5308" w:rsidP="009D5308">
      <w:pPr>
        <w:pStyle w:val="Textonotapie"/>
        <w:ind w:firstLine="708"/>
        <w:contextualSpacing/>
        <w:jc w:val="both"/>
        <w:rPr>
          <w:rFonts w:ascii="Verdana" w:hAnsi="Verdana" w:cs="Arial"/>
          <w:color w:val="000000"/>
          <w:sz w:val="16"/>
          <w:szCs w:val="16"/>
        </w:rPr>
      </w:pPr>
      <w:r w:rsidRPr="00257557">
        <w:rPr>
          <w:rStyle w:val="Refdenotaalpie"/>
          <w:rFonts w:ascii="Verdana" w:hAnsi="Verdana" w:cs="Arial"/>
          <w:color w:val="000000"/>
          <w:sz w:val="16"/>
          <w:szCs w:val="16"/>
        </w:rPr>
        <w:footnoteRef/>
      </w:r>
      <w:r w:rsidRPr="00257557">
        <w:rPr>
          <w:rFonts w:ascii="Verdana" w:hAnsi="Verdana" w:cs="Arial"/>
          <w:color w:val="000000"/>
          <w:sz w:val="16"/>
          <w:szCs w:val="16"/>
        </w:rPr>
        <w:t xml:space="preserve"> Los Documentos Tipo expedidos por la Agencia Nacional de Contratación Pública – Colombia Compra Eficiente pueden ser consultados en el siguiente enlace: </w:t>
      </w:r>
      <w:hyperlink r:id="rId1" w:history="1">
        <w:r w:rsidRPr="00257557">
          <w:rPr>
            <w:rStyle w:val="Hipervnculo"/>
            <w:rFonts w:ascii="Verdana" w:hAnsi="Verdana" w:cs="Arial"/>
            <w:color w:val="000000"/>
            <w:sz w:val="16"/>
            <w:szCs w:val="16"/>
          </w:rPr>
          <w:t>https://www.colombiacompra.gov.co/documentos-tipo/documentos-tipo</w:t>
        </w:r>
      </w:hyperlink>
      <w:r w:rsidRPr="00257557">
        <w:rPr>
          <w:rFonts w:ascii="Verdana" w:hAnsi="Verdana" w:cs="Arial"/>
          <w:color w:val="000000"/>
          <w:sz w:val="16"/>
          <w:szCs w:val="16"/>
        </w:rPr>
        <w:t xml:space="preserve"> </w:t>
      </w:r>
    </w:p>
  </w:footnote>
  <w:footnote w:id="6">
    <w:p w14:paraId="55901E69" w14:textId="77777777" w:rsidR="009D5308" w:rsidRPr="00257557" w:rsidRDefault="009D5308" w:rsidP="009D5308">
      <w:pPr>
        <w:pStyle w:val="Textonotapie"/>
        <w:ind w:firstLine="708"/>
        <w:contextualSpacing/>
        <w:jc w:val="both"/>
        <w:rPr>
          <w:rFonts w:ascii="Verdana" w:hAnsi="Verdana" w:cs="Arial"/>
          <w:color w:val="000000"/>
          <w:sz w:val="16"/>
          <w:szCs w:val="16"/>
        </w:rPr>
      </w:pPr>
      <w:r w:rsidRPr="00257557">
        <w:rPr>
          <w:rStyle w:val="Refdenotaalpie"/>
          <w:rFonts w:ascii="Verdana" w:hAnsi="Verdana" w:cs="Arial"/>
          <w:color w:val="000000"/>
          <w:sz w:val="16"/>
          <w:szCs w:val="16"/>
        </w:rPr>
        <w:footnoteRef/>
      </w:r>
      <w:r w:rsidRPr="00257557">
        <w:rPr>
          <w:rFonts w:ascii="Verdana" w:hAnsi="Verdana" w:cs="Arial"/>
          <w:color w:val="000000"/>
          <w:sz w:val="16"/>
          <w:szCs w:val="16"/>
        </w:rPr>
        <w:t xml:space="preserve"> En este sentido, a modo de ejemplo, en el «documento base» del documento tipo de licitación se establece lo siguiente: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 w:id="7">
    <w:p w14:paraId="14EB72D8" w14:textId="77777777" w:rsidR="009D5308" w:rsidRPr="00B1066F" w:rsidRDefault="009D5308" w:rsidP="009D5308">
      <w:pPr>
        <w:pStyle w:val="Textonotapie"/>
        <w:ind w:firstLine="709"/>
        <w:jc w:val="both"/>
        <w:rPr>
          <w:rFonts w:ascii="Verdana" w:hAnsi="Verdana"/>
          <w:bCs/>
          <w:sz w:val="19"/>
          <w:szCs w:val="19"/>
          <w:lang w:val="es-ES_tradnl"/>
        </w:rPr>
      </w:pPr>
      <w:r w:rsidRPr="00B1066F">
        <w:rPr>
          <w:rStyle w:val="Refdenotaalpie"/>
          <w:rFonts w:ascii="Verdana" w:hAnsi="Verdana"/>
          <w:sz w:val="19"/>
          <w:szCs w:val="19"/>
        </w:rPr>
        <w:footnoteRef/>
      </w:r>
      <w:r w:rsidRPr="00B1066F">
        <w:rPr>
          <w:rFonts w:ascii="Verdana" w:hAnsi="Verdana"/>
          <w:sz w:val="19"/>
          <w:szCs w:val="19"/>
        </w:rPr>
        <w:t xml:space="preserve"> </w:t>
      </w:r>
      <w:r w:rsidRPr="00B1066F">
        <w:rPr>
          <w:rFonts w:ascii="Verdana" w:hAnsi="Verdana"/>
          <w:sz w:val="19"/>
          <w:szCs w:val="19"/>
          <w:lang w:val="es-CO"/>
        </w:rPr>
        <w:t xml:space="preserve">Esta tesis se desarrolló y complementó, entre otros, en los siguientes conceptos </w:t>
      </w:r>
      <w:bookmarkStart w:id="6" w:name="_Hlk205384358"/>
      <w:r w:rsidRPr="00B1066F">
        <w:rPr>
          <w:rFonts w:ascii="Verdana" w:hAnsi="Verdana"/>
          <w:sz w:val="19"/>
          <w:szCs w:val="19"/>
          <w:lang w:val="es-CO"/>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de2025 </w:t>
      </w:r>
      <w:bookmarkEnd w:id="6"/>
    </w:p>
  </w:footnote>
  <w:footnote w:id="8">
    <w:p w14:paraId="27A19400" w14:textId="77777777" w:rsidR="009D5308" w:rsidRPr="00B1066F" w:rsidRDefault="009D5308" w:rsidP="009D5308">
      <w:pPr>
        <w:pStyle w:val="Textonotapie"/>
        <w:ind w:firstLine="709"/>
        <w:jc w:val="both"/>
        <w:rPr>
          <w:rFonts w:ascii="Verdana" w:hAnsi="Verdana"/>
          <w:sz w:val="19"/>
          <w:szCs w:val="19"/>
          <w:lang w:val="es-CO"/>
        </w:rPr>
      </w:pPr>
      <w:r w:rsidRPr="00B1066F">
        <w:rPr>
          <w:rStyle w:val="Refdenotaalpie"/>
          <w:rFonts w:ascii="Verdana" w:hAnsi="Verdana"/>
          <w:sz w:val="19"/>
          <w:szCs w:val="19"/>
        </w:rPr>
        <w:footnoteRef/>
      </w:r>
      <w:r w:rsidRPr="00B1066F">
        <w:rPr>
          <w:rFonts w:ascii="Verdana" w:hAnsi="Verdana"/>
          <w:sz w:val="19"/>
          <w:szCs w:val="19"/>
        </w:rPr>
        <w:t xml:space="preserve"> </w:t>
      </w:r>
      <w:r w:rsidRPr="00B1066F">
        <w:rPr>
          <w:rFonts w:ascii="Verdana" w:eastAsia="Calibri" w:hAnsi="Verdana" w:cs="Arial"/>
          <w:sz w:val="19"/>
          <w:szCs w:val="19"/>
          <w:lang w:val="es-ES_tradnl" w:eastAsia="es-ES_tradnl"/>
        </w:rPr>
        <w:t>Según el cual “Los pasajes oscuros de una ley pueden ser ilustrados por medio de otras leyes, particularmente si versan sobre el mismo asunto”,</w:t>
      </w:r>
    </w:p>
  </w:footnote>
  <w:footnote w:id="9">
    <w:p w14:paraId="7CB77B12" w14:textId="77777777" w:rsidR="009D5308" w:rsidRPr="00B1066F" w:rsidRDefault="009D5308" w:rsidP="009D5308">
      <w:pPr>
        <w:pStyle w:val="Textonotapie"/>
        <w:ind w:firstLine="709"/>
        <w:jc w:val="both"/>
        <w:rPr>
          <w:rFonts w:ascii="Verdana" w:hAnsi="Verdana"/>
          <w:sz w:val="19"/>
          <w:szCs w:val="19"/>
          <w:lang w:val="es-CO"/>
        </w:rPr>
      </w:pPr>
      <w:r w:rsidRPr="00B1066F">
        <w:rPr>
          <w:rStyle w:val="Refdenotaalpie"/>
          <w:rFonts w:ascii="Verdana" w:hAnsi="Verdana"/>
          <w:sz w:val="19"/>
          <w:szCs w:val="19"/>
        </w:rPr>
        <w:footnoteRef/>
      </w:r>
      <w:r w:rsidRPr="00B1066F">
        <w:rPr>
          <w:rFonts w:ascii="Verdana" w:hAnsi="Verdana"/>
          <w:sz w:val="19"/>
          <w:szCs w:val="19"/>
        </w:rPr>
        <w:t xml:space="preserve">  </w:t>
      </w:r>
      <w:r w:rsidRPr="00B1066F">
        <w:rPr>
          <w:rFonts w:ascii="Verdana" w:eastAsia="Calibri" w:hAnsi="Verdana" w:cs="Arial"/>
          <w:sz w:val="19"/>
          <w:szCs w:val="19"/>
          <w:lang w:val="es-ES_tradnl" w:eastAsia="es-ES_tradnl"/>
        </w:rPr>
        <w:t>Conforme al cual “Lo favorable u odioso de una disposición no se tomará en cuenta para ampliar o restringir su interpretación. La extensión que deba darse a toda ley se determinará por su genuino sentido, y según las reglas de interpretación precedentes”.</w:t>
      </w:r>
    </w:p>
  </w:footnote>
  <w:footnote w:id="10">
    <w:p w14:paraId="25F94EC9" w14:textId="77777777" w:rsidR="009D5308" w:rsidRPr="00B1066F" w:rsidRDefault="009D5308" w:rsidP="009D5308">
      <w:pPr>
        <w:pStyle w:val="Textonotapie"/>
        <w:ind w:firstLine="709"/>
        <w:jc w:val="both"/>
        <w:rPr>
          <w:rFonts w:ascii="Verdana" w:hAnsi="Verdana" w:cs="Arial"/>
          <w:color w:val="000000"/>
          <w:sz w:val="19"/>
          <w:szCs w:val="19"/>
        </w:rPr>
      </w:pPr>
      <w:r w:rsidRPr="00B1066F">
        <w:rPr>
          <w:rStyle w:val="Refdenotaalpie"/>
          <w:rFonts w:ascii="Verdana" w:hAnsi="Verdana" w:cs="Arial"/>
          <w:color w:val="000000"/>
          <w:sz w:val="19"/>
          <w:szCs w:val="19"/>
        </w:rPr>
        <w:footnoteRef/>
      </w:r>
      <w:r w:rsidRPr="00B1066F">
        <w:rPr>
          <w:rFonts w:ascii="Verdana" w:hAnsi="Verdana" w:cs="Arial"/>
          <w:color w:val="000000"/>
          <w:sz w:val="19"/>
          <w:szCs w:val="19"/>
        </w:rPr>
        <w:t xml:space="preserve"> CONGRESO DE LA REPÚBLICA. Gaceta Nº 1677 del 23 de noviembre de 2021. Justificación jurídica del Proyecto de Ley No. 226 de 2021 Cámara. p. 15.</w:t>
      </w:r>
      <w:r w:rsidRPr="00B1066F">
        <w:rPr>
          <w:rFonts w:ascii="Verdana" w:hAnsi="Verdana" w:cs="Arial"/>
          <w:color w:val="000000"/>
          <w:sz w:val="19"/>
          <w:szCs w:val="19"/>
        </w:rPr>
        <w:cr/>
      </w:r>
    </w:p>
  </w:footnote>
  <w:footnote w:id="11">
    <w:p w14:paraId="6850486A" w14:textId="77777777" w:rsidR="009D5308" w:rsidRPr="00B1066F" w:rsidRDefault="009D5308" w:rsidP="009D5308">
      <w:pPr>
        <w:pStyle w:val="Textonotapie"/>
        <w:ind w:firstLine="709"/>
        <w:contextualSpacing/>
        <w:jc w:val="both"/>
        <w:rPr>
          <w:rFonts w:ascii="Verdana" w:hAnsi="Verdana" w:cs="Arial"/>
          <w:color w:val="000000"/>
          <w:sz w:val="19"/>
          <w:szCs w:val="19"/>
          <w:lang w:val="es-ES"/>
        </w:rPr>
      </w:pPr>
      <w:r w:rsidRPr="00B1066F">
        <w:rPr>
          <w:rStyle w:val="Refdenotaalpie"/>
          <w:rFonts w:ascii="Verdana" w:hAnsi="Verdana" w:cs="Arial"/>
          <w:color w:val="000000"/>
          <w:sz w:val="19"/>
          <w:szCs w:val="19"/>
        </w:rPr>
        <w:footnoteRef/>
      </w:r>
      <w:r w:rsidRPr="00B1066F">
        <w:rPr>
          <w:rFonts w:ascii="Verdana" w:hAnsi="Verdana" w:cs="Arial"/>
          <w:color w:val="000000"/>
          <w:sz w:val="19"/>
          <w:szCs w:val="19"/>
        </w:rPr>
        <w:t xml:space="preserve"> </w:t>
      </w:r>
      <w:r w:rsidRPr="00B1066F">
        <w:rPr>
          <w:rFonts w:ascii="Verdana" w:hAnsi="Verdana" w:cs="Arial"/>
          <w:color w:val="000000"/>
          <w:sz w:val="19"/>
          <w:szCs w:val="19"/>
          <w:lang w:val="es-ES"/>
        </w:rPr>
        <w:t>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footnote>
  <w:footnote w:id="12">
    <w:p w14:paraId="6AF6EAB7" w14:textId="77777777" w:rsidR="009D5308" w:rsidRPr="00B1066F" w:rsidRDefault="009D5308" w:rsidP="009D5308">
      <w:pPr>
        <w:pStyle w:val="Textonotapie"/>
        <w:ind w:firstLine="709"/>
        <w:contextualSpacing/>
        <w:jc w:val="both"/>
        <w:rPr>
          <w:rFonts w:ascii="Verdana" w:hAnsi="Verdana" w:cs="Arial"/>
          <w:color w:val="000000"/>
          <w:sz w:val="19"/>
          <w:szCs w:val="19"/>
        </w:rPr>
      </w:pPr>
      <w:r w:rsidRPr="00B1066F">
        <w:rPr>
          <w:rStyle w:val="Refdenotaalpie"/>
          <w:rFonts w:ascii="Verdana" w:hAnsi="Verdana" w:cs="Arial"/>
          <w:color w:val="000000"/>
          <w:sz w:val="19"/>
          <w:szCs w:val="19"/>
        </w:rPr>
        <w:footnoteRef/>
      </w:r>
      <w:r w:rsidRPr="00B1066F">
        <w:rPr>
          <w:rFonts w:ascii="Verdana" w:hAnsi="Verdana" w:cs="Arial"/>
          <w:color w:val="000000"/>
          <w:sz w:val="19"/>
          <w:szCs w:val="19"/>
        </w:rPr>
        <w:t xml:space="preserve"> CORTE CONSTITUCIONAL, Sentencia C-382 de 2019, M.P. Alejandro Linares Cantillo.</w:t>
      </w:r>
    </w:p>
  </w:footnote>
  <w:footnote w:id="13">
    <w:p w14:paraId="1D975103" w14:textId="77777777" w:rsidR="009D5308" w:rsidRPr="00B1066F" w:rsidRDefault="009D5308" w:rsidP="009D5308">
      <w:pPr>
        <w:pStyle w:val="Textonotapie"/>
        <w:ind w:firstLine="709"/>
        <w:contextualSpacing/>
        <w:jc w:val="both"/>
        <w:rPr>
          <w:rFonts w:ascii="Verdana" w:hAnsi="Verdana" w:cs="Arial"/>
          <w:color w:val="000000"/>
          <w:sz w:val="19"/>
          <w:szCs w:val="19"/>
        </w:rPr>
      </w:pPr>
      <w:r w:rsidRPr="00B1066F">
        <w:rPr>
          <w:rStyle w:val="Refdenotaalpie"/>
          <w:rFonts w:ascii="Verdana" w:hAnsi="Verdana" w:cs="Arial"/>
          <w:color w:val="000000"/>
          <w:sz w:val="19"/>
          <w:szCs w:val="19"/>
        </w:rPr>
        <w:footnoteRef/>
      </w:r>
      <w:r w:rsidRPr="00B1066F">
        <w:rPr>
          <w:rFonts w:ascii="Verdana" w:hAnsi="Verdana" w:cs="Arial"/>
          <w:color w:val="000000"/>
          <w:sz w:val="19"/>
          <w:szCs w:val="19"/>
        </w:rPr>
        <w:t xml:space="preserve"> La redacción original del parágrafo primero del artículo 32 de la Ley 80 de 1993, incluía la expresión giro ordinario,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footnote>
  <w:footnote w:id="14">
    <w:p w14:paraId="510BB489" w14:textId="77777777" w:rsidR="009D5308" w:rsidRPr="00B1066F" w:rsidRDefault="009D5308" w:rsidP="009D5308">
      <w:pPr>
        <w:pStyle w:val="Textonotapie"/>
        <w:ind w:firstLine="709"/>
        <w:contextualSpacing/>
        <w:jc w:val="both"/>
        <w:rPr>
          <w:rFonts w:ascii="Verdana" w:hAnsi="Verdana" w:cs="Arial"/>
          <w:color w:val="000000"/>
          <w:sz w:val="19"/>
          <w:szCs w:val="19"/>
        </w:rPr>
      </w:pPr>
      <w:r w:rsidRPr="00B1066F">
        <w:rPr>
          <w:rStyle w:val="Refdenotaalpie"/>
          <w:rFonts w:ascii="Verdana" w:hAnsi="Verdana" w:cs="Arial"/>
          <w:color w:val="000000"/>
          <w:sz w:val="19"/>
          <w:szCs w:val="19"/>
        </w:rPr>
        <w:footnoteRef/>
      </w:r>
      <w:r w:rsidRPr="00B1066F">
        <w:rPr>
          <w:rFonts w:ascii="Verdana" w:hAnsi="Verdana" w:cs="Arial"/>
          <w:color w:val="000000"/>
          <w:sz w:val="19"/>
          <w:szCs w:val="19"/>
        </w:rPr>
        <w:t xml:space="preserve"> CONSEJO DE ESTADO. Sección Tercera. Subsección B. Sentencia del 12 de octubre de 2011. Exp. No. 20070. C.P. Danilo Rojas Betancourt.</w:t>
      </w:r>
    </w:p>
  </w:footnote>
  <w:footnote w:id="15">
    <w:p w14:paraId="4919BA72" w14:textId="77777777" w:rsidR="009D5308" w:rsidRPr="00B1066F" w:rsidRDefault="009D5308" w:rsidP="009D5308">
      <w:pPr>
        <w:tabs>
          <w:tab w:val="left" w:pos="0"/>
        </w:tabs>
        <w:contextualSpacing/>
        <w:jc w:val="both"/>
        <w:rPr>
          <w:rFonts w:ascii="Verdana" w:eastAsia="Calibri" w:hAnsi="Verdana" w:cs="Arial"/>
          <w:color w:val="000000"/>
          <w:sz w:val="19"/>
          <w:szCs w:val="19"/>
          <w:lang w:val="es-ES_tradnl" w:eastAsia="es-ES_tradnl"/>
        </w:rPr>
      </w:pPr>
      <w:r w:rsidRPr="00B1066F">
        <w:rPr>
          <w:rFonts w:ascii="Verdana" w:hAnsi="Verdana" w:cs="Arial"/>
          <w:color w:val="000000"/>
          <w:sz w:val="19"/>
          <w:szCs w:val="19"/>
        </w:rPr>
        <w:tab/>
      </w:r>
      <w:r w:rsidRPr="00B1066F">
        <w:rPr>
          <w:rStyle w:val="Refdenotaalpie"/>
          <w:rFonts w:ascii="Verdana" w:hAnsi="Verdana" w:cs="Arial"/>
          <w:color w:val="000000"/>
          <w:sz w:val="19"/>
          <w:szCs w:val="19"/>
        </w:rPr>
        <w:footnoteRef/>
      </w:r>
      <w:r w:rsidRPr="00B1066F">
        <w:rPr>
          <w:rFonts w:ascii="Verdana" w:hAnsi="Verdana" w:cs="Arial"/>
          <w:color w:val="000000"/>
          <w:sz w:val="19"/>
          <w:szCs w:val="19"/>
        </w:rPr>
        <w:t xml:space="preserve"> CONSEJO DE ESTADO. Sección Tercera. Subsección A. Sentencia del 3 de marzo de 2021. Exp. No. 51373. C.P. José Roberto Sáchica Méndez. </w:t>
      </w:r>
      <w:r w:rsidRPr="00B1066F">
        <w:rPr>
          <w:rFonts w:ascii="Verdana" w:eastAsia="Calibri" w:hAnsi="Verdana" w:cs="Arial"/>
          <w:color w:val="000000"/>
          <w:sz w:val="19"/>
          <w:szCs w:val="19"/>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16">
    <w:p w14:paraId="7B12769C" w14:textId="77777777" w:rsidR="009D5308" w:rsidRPr="00B1066F" w:rsidRDefault="009D5308" w:rsidP="009D5308">
      <w:pPr>
        <w:pStyle w:val="Textonotapie"/>
        <w:ind w:firstLine="708"/>
        <w:contextualSpacing/>
        <w:jc w:val="both"/>
        <w:rPr>
          <w:rFonts w:ascii="Verdana" w:hAnsi="Verdana" w:cs="Arial"/>
          <w:color w:val="000000"/>
          <w:sz w:val="19"/>
          <w:szCs w:val="19"/>
        </w:rPr>
      </w:pPr>
      <w:r w:rsidRPr="00B1066F">
        <w:rPr>
          <w:rStyle w:val="Refdenotaalpie"/>
          <w:rFonts w:ascii="Verdana" w:hAnsi="Verdana" w:cs="Arial"/>
          <w:color w:val="000000"/>
          <w:sz w:val="19"/>
          <w:szCs w:val="19"/>
        </w:rPr>
        <w:footnoteRef/>
      </w:r>
      <w:r w:rsidRPr="00B1066F">
        <w:rPr>
          <w:rFonts w:ascii="Verdana" w:hAnsi="Verdana" w:cs="Arial"/>
          <w:color w:val="000000"/>
          <w:sz w:val="19"/>
          <w:szCs w:val="19"/>
        </w:rPr>
        <w:t xml:space="preserve"> la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p>
  </w:footnote>
  <w:footnote w:id="17">
    <w:p w14:paraId="0E5D3EA7" w14:textId="77777777" w:rsidR="009D5308" w:rsidRPr="00B1066F" w:rsidRDefault="009D5308" w:rsidP="009D5308">
      <w:pPr>
        <w:pStyle w:val="Textonotapie"/>
        <w:ind w:firstLine="709"/>
        <w:contextualSpacing/>
        <w:jc w:val="both"/>
        <w:rPr>
          <w:rFonts w:ascii="Verdana" w:hAnsi="Verdana" w:cs="Arial"/>
          <w:color w:val="000000"/>
          <w:sz w:val="19"/>
          <w:szCs w:val="19"/>
        </w:rPr>
      </w:pPr>
      <w:r w:rsidRPr="00B1066F">
        <w:rPr>
          <w:rStyle w:val="Refdenotaalpie"/>
          <w:rFonts w:ascii="Verdana" w:hAnsi="Verdana" w:cs="Arial"/>
          <w:color w:val="000000"/>
          <w:sz w:val="19"/>
          <w:szCs w:val="19"/>
        </w:rPr>
        <w:footnoteRef/>
      </w:r>
      <w:r w:rsidRPr="00B1066F">
        <w:rPr>
          <w:rFonts w:ascii="Verdana" w:hAnsi="Verdana" w:cs="Arial"/>
          <w:color w:val="000000"/>
          <w:sz w:val="19"/>
          <w:szCs w:val="19"/>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2A394970" w14:textId="77777777" w:rsidR="009D5308" w:rsidRPr="00B1066F" w:rsidRDefault="009D5308" w:rsidP="009D5308">
      <w:pPr>
        <w:pStyle w:val="Textonotapie"/>
        <w:ind w:firstLine="709"/>
        <w:contextualSpacing/>
        <w:jc w:val="both"/>
        <w:rPr>
          <w:rFonts w:ascii="Verdana" w:hAnsi="Verdana" w:cs="Arial"/>
          <w:color w:val="000000"/>
          <w:sz w:val="19"/>
          <w:szCs w:val="19"/>
        </w:rPr>
      </w:pPr>
      <w:r w:rsidRPr="00B1066F">
        <w:rPr>
          <w:rFonts w:ascii="Verdana" w:hAnsi="Verdana" w:cs="Arial"/>
          <w:color w:val="000000"/>
          <w:sz w:val="19"/>
          <w:szCs w:val="19"/>
        </w:rPr>
        <w:t>“En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Exp. No. 11575. C.P. Alier E. Hernández Enríquez).</w:t>
      </w:r>
    </w:p>
  </w:footnote>
  <w:footnote w:id="18">
    <w:p w14:paraId="72C30D13" w14:textId="77777777" w:rsidR="009D5308" w:rsidRPr="00B1066F" w:rsidRDefault="009D5308" w:rsidP="009D5308">
      <w:pPr>
        <w:pStyle w:val="Textonotapie"/>
        <w:ind w:firstLine="708"/>
        <w:jc w:val="both"/>
        <w:rPr>
          <w:rFonts w:ascii="Verdana" w:hAnsi="Verdana"/>
          <w:sz w:val="19"/>
          <w:szCs w:val="19"/>
        </w:rPr>
      </w:pPr>
      <w:r w:rsidRPr="00B1066F">
        <w:rPr>
          <w:rStyle w:val="Refdenotaalpie"/>
          <w:rFonts w:ascii="Verdana" w:hAnsi="Verdana"/>
          <w:sz w:val="19"/>
          <w:szCs w:val="19"/>
        </w:rPr>
        <w:footnoteRef/>
      </w:r>
      <w:r w:rsidRPr="00B1066F">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3FD9855E" w14:textId="77777777" w:rsidR="009D5308" w:rsidRPr="00B1066F" w:rsidRDefault="009D5308" w:rsidP="009D5308">
      <w:pPr>
        <w:pStyle w:val="Textonotapie"/>
        <w:ind w:firstLine="708"/>
        <w:jc w:val="both"/>
        <w:rPr>
          <w:rFonts w:ascii="Verdana" w:hAnsi="Verdana"/>
          <w:sz w:val="19"/>
          <w:szCs w:val="19"/>
        </w:rPr>
      </w:pPr>
    </w:p>
    <w:p w14:paraId="16DE3D8B" w14:textId="77777777" w:rsidR="009D5308" w:rsidRPr="00B1066F" w:rsidRDefault="009D5308" w:rsidP="009D5308">
      <w:pPr>
        <w:pStyle w:val="Textonotapie"/>
        <w:ind w:firstLine="708"/>
        <w:jc w:val="both"/>
        <w:rPr>
          <w:rFonts w:ascii="Verdana" w:hAnsi="Verdana"/>
          <w:sz w:val="19"/>
          <w:szCs w:val="19"/>
        </w:rPr>
      </w:pPr>
      <w:r w:rsidRPr="00B1066F">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6EBC187" w14:textId="77777777" w:rsidR="009D5308" w:rsidRPr="00B1066F" w:rsidRDefault="009D5308" w:rsidP="009D5308">
      <w:pPr>
        <w:pStyle w:val="Textonotapie"/>
        <w:ind w:firstLine="708"/>
        <w:jc w:val="both"/>
        <w:rPr>
          <w:rFonts w:ascii="Verdana" w:hAnsi="Verdana"/>
          <w:sz w:val="19"/>
          <w:szCs w:val="19"/>
        </w:rPr>
      </w:pPr>
    </w:p>
    <w:p w14:paraId="7D6C558B" w14:textId="77777777" w:rsidR="009D5308" w:rsidRPr="00B1066F" w:rsidRDefault="009D5308" w:rsidP="009D5308">
      <w:pPr>
        <w:pStyle w:val="Textonotapie"/>
        <w:ind w:firstLine="708"/>
        <w:jc w:val="both"/>
        <w:rPr>
          <w:rFonts w:ascii="Verdana" w:hAnsi="Verdana"/>
          <w:sz w:val="19"/>
          <w:szCs w:val="19"/>
        </w:rPr>
      </w:pPr>
      <w:r w:rsidRPr="00B1066F">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401ABF37" w14:textId="77777777" w:rsidR="009D5308" w:rsidRPr="00B1066F" w:rsidRDefault="009D5308" w:rsidP="009D5308">
      <w:pPr>
        <w:pStyle w:val="Textonotapie"/>
        <w:ind w:firstLine="708"/>
        <w:jc w:val="both"/>
        <w:rPr>
          <w:rFonts w:ascii="Verdana" w:hAnsi="Verdana"/>
          <w:sz w:val="19"/>
          <w:szCs w:val="19"/>
        </w:rPr>
      </w:pPr>
    </w:p>
    <w:p w14:paraId="5D267546" w14:textId="77777777" w:rsidR="009D5308" w:rsidRPr="00B1066F" w:rsidRDefault="009D5308" w:rsidP="009D5308">
      <w:pPr>
        <w:pStyle w:val="Textonotapie"/>
        <w:ind w:firstLine="708"/>
        <w:jc w:val="both"/>
        <w:rPr>
          <w:rFonts w:ascii="Verdana" w:hAnsi="Verdana"/>
          <w:sz w:val="19"/>
          <w:szCs w:val="19"/>
        </w:rPr>
      </w:pPr>
      <w:r w:rsidRPr="00B1066F">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276DE588" w14:textId="77777777" w:rsidR="009D5308" w:rsidRPr="00B1066F" w:rsidRDefault="009D5308" w:rsidP="009D5308">
      <w:pPr>
        <w:pStyle w:val="Textonotapie"/>
        <w:ind w:firstLine="708"/>
        <w:jc w:val="both"/>
        <w:rPr>
          <w:rFonts w:ascii="Verdana" w:hAnsi="Verdana"/>
          <w:sz w:val="19"/>
          <w:szCs w:val="19"/>
        </w:rPr>
      </w:pPr>
    </w:p>
    <w:p w14:paraId="3E0B69D9" w14:textId="77777777" w:rsidR="009D5308" w:rsidRPr="00B1066F" w:rsidRDefault="009D5308" w:rsidP="009D5308">
      <w:pPr>
        <w:pStyle w:val="Textonotapie"/>
        <w:ind w:firstLine="708"/>
        <w:jc w:val="both"/>
        <w:rPr>
          <w:rFonts w:ascii="Verdana" w:hAnsi="Verdana"/>
          <w:sz w:val="19"/>
          <w:szCs w:val="19"/>
        </w:rPr>
      </w:pPr>
      <w:r w:rsidRPr="00B1066F">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19">
    <w:p w14:paraId="56E882B2" w14:textId="77777777" w:rsidR="009D5308" w:rsidRPr="00B1066F" w:rsidRDefault="009D5308" w:rsidP="009D5308">
      <w:pPr>
        <w:pStyle w:val="Textonotapie"/>
        <w:ind w:firstLine="708"/>
        <w:jc w:val="both"/>
        <w:rPr>
          <w:rFonts w:ascii="Verdana" w:hAnsi="Verdana"/>
          <w:sz w:val="19"/>
          <w:szCs w:val="19"/>
        </w:rPr>
      </w:pPr>
      <w:r w:rsidRPr="00B1066F">
        <w:rPr>
          <w:rStyle w:val="Refdenotaalpie"/>
          <w:rFonts w:ascii="Verdana" w:hAnsi="Verdana"/>
          <w:sz w:val="19"/>
          <w:szCs w:val="19"/>
        </w:rPr>
        <w:footnoteRef/>
      </w:r>
      <w:r w:rsidRPr="00B1066F">
        <w:rPr>
          <w:rFonts w:ascii="Verdana" w:hAnsi="Verdana"/>
          <w:sz w:val="19"/>
          <w:szCs w:val="19"/>
        </w:rPr>
        <w:t xml:space="preserve"> Reglamento Colombiano de Construcción Sismo Resistente NSR-10, Título K – Requisitos complementarios. Consultado en: www.idrd.gov.co/sites/default/files/documentos/Construcciones/11titulo-k-nsr-100.pdf </w:t>
      </w:r>
    </w:p>
    <w:p w14:paraId="30EAD0D7" w14:textId="77777777" w:rsidR="009D5308" w:rsidRPr="00B1066F" w:rsidRDefault="009D5308" w:rsidP="009D5308">
      <w:pPr>
        <w:pStyle w:val="Textonotapie"/>
        <w:ind w:firstLine="708"/>
        <w:jc w:val="both"/>
        <w:rPr>
          <w:rFonts w:ascii="Verdana" w:hAnsi="Verdana"/>
          <w:sz w:val="19"/>
          <w:szCs w:val="19"/>
          <w:lang w:val="es-ES_tradnl"/>
        </w:rPr>
      </w:pPr>
    </w:p>
  </w:footnote>
  <w:footnote w:id="20">
    <w:p w14:paraId="3B5A8A58" w14:textId="77777777" w:rsidR="009D5308" w:rsidRPr="00B1066F" w:rsidRDefault="009D5308" w:rsidP="009D5308">
      <w:pPr>
        <w:pStyle w:val="Textonotapie"/>
        <w:ind w:firstLine="708"/>
        <w:jc w:val="both"/>
        <w:rPr>
          <w:rFonts w:ascii="Verdana" w:hAnsi="Verdana"/>
          <w:sz w:val="19"/>
          <w:szCs w:val="19"/>
          <w:lang w:val="es-ES_tradnl"/>
        </w:rPr>
      </w:pPr>
      <w:r w:rsidRPr="00B1066F">
        <w:rPr>
          <w:rStyle w:val="Refdenotaalpie"/>
          <w:rFonts w:ascii="Verdana" w:hAnsi="Verdana"/>
          <w:sz w:val="19"/>
          <w:szCs w:val="19"/>
        </w:rPr>
        <w:footnoteRef/>
      </w:r>
      <w:r w:rsidRPr="00B1066F">
        <w:rPr>
          <w:rFonts w:ascii="Verdana" w:hAnsi="Verdana"/>
          <w:sz w:val="19"/>
          <w:szCs w:val="19"/>
        </w:rPr>
        <w:t xml:space="preserve"> </w:t>
      </w:r>
      <w:r w:rsidRPr="00B1066F">
        <w:rPr>
          <w:rFonts w:ascii="Verdana" w:hAnsi="Verdana"/>
          <w:sz w:val="19"/>
          <w:szCs w:val="19"/>
          <w:lang w:val="es-ES_tradnl"/>
        </w:rPr>
        <w:t xml:space="preserve">Ibidem </w:t>
      </w:r>
    </w:p>
    <w:p w14:paraId="1B7A1B53" w14:textId="77777777" w:rsidR="009D5308" w:rsidRPr="00B1066F" w:rsidRDefault="009D5308" w:rsidP="009D5308">
      <w:pPr>
        <w:pStyle w:val="Textonotapie"/>
        <w:ind w:firstLine="708"/>
        <w:jc w:val="both"/>
        <w:rPr>
          <w:rFonts w:ascii="Verdana" w:hAnsi="Verdana"/>
          <w:sz w:val="19"/>
          <w:szCs w:val="19"/>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proofState w:spelling="clean" w:grammar="clean"/>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9F6"/>
    <w:rsid w:val="00082362"/>
    <w:rsid w:val="000A683E"/>
    <w:rsid w:val="000B19B9"/>
    <w:rsid w:val="000D0334"/>
    <w:rsid w:val="000D5DA7"/>
    <w:rsid w:val="000F5561"/>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7F5"/>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81D41"/>
    <w:rsid w:val="00591460"/>
    <w:rsid w:val="005A65E0"/>
    <w:rsid w:val="005C3777"/>
    <w:rsid w:val="005C5CDC"/>
    <w:rsid w:val="005D476C"/>
    <w:rsid w:val="006200BF"/>
    <w:rsid w:val="006219F8"/>
    <w:rsid w:val="006302F7"/>
    <w:rsid w:val="00646B9F"/>
    <w:rsid w:val="00665D70"/>
    <w:rsid w:val="006900D9"/>
    <w:rsid w:val="006D5F8D"/>
    <w:rsid w:val="00706C16"/>
    <w:rsid w:val="007340C3"/>
    <w:rsid w:val="0075235A"/>
    <w:rsid w:val="00756841"/>
    <w:rsid w:val="007649AB"/>
    <w:rsid w:val="00771D0C"/>
    <w:rsid w:val="007833AC"/>
    <w:rsid w:val="007B268C"/>
    <w:rsid w:val="007B7171"/>
    <w:rsid w:val="007C0C0F"/>
    <w:rsid w:val="007C3DC2"/>
    <w:rsid w:val="007E5497"/>
    <w:rsid w:val="007F31C4"/>
    <w:rsid w:val="00806F5F"/>
    <w:rsid w:val="00820278"/>
    <w:rsid w:val="008258C9"/>
    <w:rsid w:val="00844AE9"/>
    <w:rsid w:val="00867F95"/>
    <w:rsid w:val="008843B6"/>
    <w:rsid w:val="00891928"/>
    <w:rsid w:val="008A446D"/>
    <w:rsid w:val="008B25F1"/>
    <w:rsid w:val="008D180B"/>
    <w:rsid w:val="008F0EA7"/>
    <w:rsid w:val="00904311"/>
    <w:rsid w:val="00923EEF"/>
    <w:rsid w:val="009419F9"/>
    <w:rsid w:val="00947D9E"/>
    <w:rsid w:val="0095685E"/>
    <w:rsid w:val="00961B09"/>
    <w:rsid w:val="00965334"/>
    <w:rsid w:val="0097093E"/>
    <w:rsid w:val="009A0DFA"/>
    <w:rsid w:val="009A1C6F"/>
    <w:rsid w:val="009B2D26"/>
    <w:rsid w:val="009C71FA"/>
    <w:rsid w:val="009C72E7"/>
    <w:rsid w:val="009C7F7E"/>
    <w:rsid w:val="009D3058"/>
    <w:rsid w:val="009D5308"/>
    <w:rsid w:val="009F3A13"/>
    <w:rsid w:val="009F4F98"/>
    <w:rsid w:val="00A122D3"/>
    <w:rsid w:val="00A14468"/>
    <w:rsid w:val="00A17F13"/>
    <w:rsid w:val="00A20739"/>
    <w:rsid w:val="00A23AF9"/>
    <w:rsid w:val="00A33C78"/>
    <w:rsid w:val="00A734E4"/>
    <w:rsid w:val="00AB0ADB"/>
    <w:rsid w:val="00AF4716"/>
    <w:rsid w:val="00B00C0E"/>
    <w:rsid w:val="00B01B1A"/>
    <w:rsid w:val="00B0381D"/>
    <w:rsid w:val="00B44A47"/>
    <w:rsid w:val="00B72CD3"/>
    <w:rsid w:val="00B72FFF"/>
    <w:rsid w:val="00B95096"/>
    <w:rsid w:val="00BC3D36"/>
    <w:rsid w:val="00BD54A6"/>
    <w:rsid w:val="00BD7F72"/>
    <w:rsid w:val="00BF7425"/>
    <w:rsid w:val="00C04FB3"/>
    <w:rsid w:val="00C11D8B"/>
    <w:rsid w:val="00C15139"/>
    <w:rsid w:val="00C330EB"/>
    <w:rsid w:val="00C33562"/>
    <w:rsid w:val="00C50D69"/>
    <w:rsid w:val="00C5365C"/>
    <w:rsid w:val="00C754BE"/>
    <w:rsid w:val="00C76B1C"/>
    <w:rsid w:val="00C925AC"/>
    <w:rsid w:val="00C9334C"/>
    <w:rsid w:val="00CB6357"/>
    <w:rsid w:val="00CC1B26"/>
    <w:rsid w:val="00D331A8"/>
    <w:rsid w:val="00D361FD"/>
    <w:rsid w:val="00D423A2"/>
    <w:rsid w:val="00D44E26"/>
    <w:rsid w:val="00D520D8"/>
    <w:rsid w:val="00D56E8E"/>
    <w:rsid w:val="00D63AC2"/>
    <w:rsid w:val="00D7383B"/>
    <w:rsid w:val="00D7788A"/>
    <w:rsid w:val="00DA231B"/>
    <w:rsid w:val="00DC39FC"/>
    <w:rsid w:val="00DF5254"/>
    <w:rsid w:val="00E02524"/>
    <w:rsid w:val="00E16408"/>
    <w:rsid w:val="00E20894"/>
    <w:rsid w:val="00E245AB"/>
    <w:rsid w:val="00E2764C"/>
    <w:rsid w:val="00E27F2E"/>
    <w:rsid w:val="00E50AFE"/>
    <w:rsid w:val="00E71388"/>
    <w:rsid w:val="00E75C92"/>
    <w:rsid w:val="00E771DC"/>
    <w:rsid w:val="00E8772A"/>
    <w:rsid w:val="00E90F6B"/>
    <w:rsid w:val="00E92C27"/>
    <w:rsid w:val="00EA0E3D"/>
    <w:rsid w:val="00EB043F"/>
    <w:rsid w:val="00EC38A7"/>
    <w:rsid w:val="00EE1AA8"/>
    <w:rsid w:val="00F23FEA"/>
    <w:rsid w:val="00F31EDC"/>
    <w:rsid w:val="00F462B3"/>
    <w:rsid w:val="00F5664F"/>
    <w:rsid w:val="00F666C4"/>
    <w:rsid w:val="00F76AFC"/>
    <w:rsid w:val="00FA2FBF"/>
    <w:rsid w:val="00FA47C0"/>
    <w:rsid w:val="00FB5DD1"/>
    <w:rsid w:val="00FC2B5D"/>
    <w:rsid w:val="00FD344E"/>
    <w:rsid w:val="00FF1449"/>
    <w:rsid w:val="00FF7963"/>
    <w:rsid w:val="071B8F93"/>
    <w:rsid w:val="07C73DD1"/>
    <w:rsid w:val="08D4D27B"/>
    <w:rsid w:val="0973A07E"/>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9D53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D5308"/>
    <w:pPr>
      <w:spacing w:after="0" w:line="240" w:lineRule="exact"/>
    </w:pPr>
    <w:rPr>
      <w:vertAlign w:val="superscript"/>
    </w:rPr>
  </w:style>
  <w:style w:type="character" w:styleId="Textoennegrita">
    <w:name w:val="Strong"/>
    <w:basedOn w:val="Fuentedeprrafopredeter"/>
    <w:uiPriority w:val="22"/>
    <w:qFormat/>
    <w:rsid w:val="009D530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DBFF079-0374-45A6-B049-D0DA994301E3}"/>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35</Pages>
  <Words>11883</Words>
  <Characters>65358</Characters>
  <Application>Microsoft Office Word</Application>
  <DocSecurity>0</DocSecurity>
  <Lines>544</Lines>
  <Paragraphs>154</Paragraphs>
  <ScaleCrop>false</ScaleCrop>
  <Company/>
  <LinksUpToDate>false</LinksUpToDate>
  <CharactersWithSpaces>77087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4</cp:revision>
  <cp:lastPrinted>2023-01-10T21:18:00Z</cp:lastPrinted>
  <dcterms:created xsi:type="dcterms:W3CDTF">2026-03-10T22:02:00Z</dcterms:created>
  <dcterms:modified xsi:type="dcterms:W3CDTF">2026-03-12T14:32:00Z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