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A2378" w14:textId="77777777" w:rsidR="00134F05" w:rsidRPr="009B46EA" w:rsidRDefault="00134F05" w:rsidP="00134F05">
      <w:pPr>
        <w:pStyle w:val="Textoindependiente"/>
        <w:spacing w:after="0" w:line="240" w:lineRule="auto"/>
        <w:ind w:right="102"/>
        <w:jc w:val="both"/>
        <w:rPr>
          <w:rFonts w:ascii="Verdana" w:hAnsi="Verdana" w:cs="Arial"/>
          <w:b/>
          <w:color w:val="000000" w:themeColor="text1"/>
          <w:sz w:val="20"/>
          <w:szCs w:val="20"/>
          <w:lang w:val="es-ES_tradnl"/>
        </w:rPr>
      </w:pPr>
    </w:p>
    <w:p w14:paraId="351F94FA" w14:textId="77777777" w:rsidR="00134F05" w:rsidRPr="009B46EA" w:rsidRDefault="00134F05" w:rsidP="00134F05">
      <w:pPr>
        <w:pStyle w:val="Textoindependiente"/>
        <w:spacing w:after="0" w:line="240" w:lineRule="auto"/>
        <w:ind w:right="102"/>
        <w:jc w:val="both"/>
        <w:rPr>
          <w:rFonts w:ascii="Verdana" w:hAnsi="Verdana" w:cs="Arial"/>
          <w:b/>
          <w:color w:val="000000" w:themeColor="text1"/>
          <w:lang w:val="es-ES_tradnl"/>
        </w:rPr>
      </w:pPr>
      <w:r w:rsidRPr="009B46EA">
        <w:rPr>
          <w:rFonts w:ascii="Verdana" w:hAnsi="Verdana" w:cs="Arial"/>
          <w:b/>
          <w:color w:val="000000" w:themeColor="text1"/>
          <w:lang w:val="es-ES_tradnl"/>
        </w:rPr>
        <w:t xml:space="preserve">DECRETO 092 DE 2017 – Finalidad – Clases de contratos </w:t>
      </w:r>
    </w:p>
    <w:p w14:paraId="17A30141" w14:textId="77777777" w:rsidR="00134F05" w:rsidRPr="009B46EA" w:rsidRDefault="00134F05" w:rsidP="00134F05">
      <w:pPr>
        <w:pStyle w:val="Textoindependiente"/>
        <w:spacing w:after="0" w:line="240" w:lineRule="auto"/>
        <w:ind w:right="102"/>
        <w:jc w:val="both"/>
        <w:rPr>
          <w:rFonts w:ascii="Verdana" w:hAnsi="Verdana" w:cs="Arial"/>
          <w:color w:val="000000" w:themeColor="text1"/>
          <w:sz w:val="20"/>
          <w:szCs w:val="20"/>
          <w:lang w:val="es-ES_tradnl"/>
        </w:rPr>
      </w:pPr>
    </w:p>
    <w:p w14:paraId="6373EA8F" w14:textId="77777777" w:rsidR="00134F05" w:rsidRPr="009B46EA" w:rsidRDefault="00134F05" w:rsidP="00134F05">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70FA68E1"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p>
    <w:p w14:paraId="51968662"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16AE472E" w14:textId="77777777" w:rsidR="00134F05" w:rsidRPr="009B46EA" w:rsidRDefault="00134F05" w:rsidP="00134F05">
      <w:pPr>
        <w:spacing w:after="0" w:line="240" w:lineRule="auto"/>
        <w:jc w:val="both"/>
        <w:rPr>
          <w:rFonts w:ascii="Verdana" w:eastAsia="Calibri" w:hAnsi="Verdana" w:cs="Arial"/>
          <w:bCs/>
          <w:color w:val="000000" w:themeColor="text1"/>
          <w:sz w:val="20"/>
          <w:szCs w:val="20"/>
          <w:lang w:val="es-ES_tradnl"/>
        </w:rPr>
      </w:pPr>
    </w:p>
    <w:p w14:paraId="36ED6091" w14:textId="77777777" w:rsidR="00134F05" w:rsidRPr="009B46EA" w:rsidRDefault="00134F05" w:rsidP="00134F0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4B9E5EA3" w14:textId="77777777" w:rsidR="00134F05" w:rsidRPr="009B46EA" w:rsidRDefault="00134F05" w:rsidP="00134F05">
      <w:pPr>
        <w:spacing w:after="0" w:line="240" w:lineRule="auto"/>
        <w:jc w:val="both"/>
        <w:rPr>
          <w:rFonts w:ascii="Verdana" w:hAnsi="Verdana" w:cs="Arial"/>
          <w:color w:val="000000" w:themeColor="text1"/>
          <w:sz w:val="21"/>
          <w:szCs w:val="21"/>
          <w:lang w:val="es-ES_tradnl"/>
        </w:rPr>
      </w:pPr>
    </w:p>
    <w:p w14:paraId="15A16364"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Contrato de asociación – Objeto – Alcance </w:t>
      </w:r>
    </w:p>
    <w:p w14:paraId="6B6EB470"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p>
    <w:p w14:paraId="110D26F9" w14:textId="77777777" w:rsidR="00134F05" w:rsidRPr="009B46EA" w:rsidRDefault="00134F05" w:rsidP="00134F0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409CE2B8" w14:textId="77777777" w:rsidR="00134F05" w:rsidRPr="009B46EA" w:rsidRDefault="00134F05" w:rsidP="00134F05">
      <w:pPr>
        <w:spacing w:after="0" w:line="240" w:lineRule="auto"/>
        <w:jc w:val="both"/>
        <w:rPr>
          <w:rFonts w:ascii="Verdana" w:hAnsi="Verdana" w:cs="Arial"/>
          <w:color w:val="000000" w:themeColor="text1"/>
          <w:sz w:val="20"/>
          <w:szCs w:val="20"/>
          <w:lang w:val="es-ES_tradnl"/>
        </w:rPr>
      </w:pPr>
    </w:p>
    <w:p w14:paraId="5DB27287"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21E07C09" w14:textId="77777777" w:rsidR="00134F05" w:rsidRPr="009B46EA" w:rsidRDefault="00134F05" w:rsidP="00134F05">
      <w:pPr>
        <w:spacing w:after="0" w:line="240" w:lineRule="auto"/>
        <w:jc w:val="both"/>
        <w:rPr>
          <w:rFonts w:ascii="Verdana" w:hAnsi="Verdana" w:cs="Arial"/>
          <w:color w:val="000000" w:themeColor="text1"/>
          <w:sz w:val="20"/>
          <w:szCs w:val="20"/>
          <w:lang w:val="es-ES_tradnl"/>
        </w:rPr>
      </w:pPr>
    </w:p>
    <w:p w14:paraId="3C033AB0" w14:textId="77777777" w:rsidR="00134F05" w:rsidRPr="009B46EA" w:rsidRDefault="00134F05" w:rsidP="00134F05">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w:t>
      </w:r>
      <w:r w:rsidRPr="009B46EA">
        <w:rPr>
          <w:rFonts w:ascii="Verdana" w:hAnsi="Verdana" w:cs="Arial"/>
          <w:color w:val="000000" w:themeColor="text1"/>
          <w:sz w:val="20"/>
          <w:szCs w:val="20"/>
          <w:lang w:val="es-ES_tradnl"/>
        </w:rPr>
        <w:lastRenderedPageBreak/>
        <w:t>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62EF4E79" w14:textId="77777777" w:rsidR="00134F05" w:rsidRPr="009B46EA" w:rsidRDefault="00134F05" w:rsidP="00134F05">
      <w:pPr>
        <w:pStyle w:val="Sinespaciado"/>
        <w:jc w:val="both"/>
        <w:rPr>
          <w:rFonts w:ascii="Verdana" w:hAnsi="Verdana" w:cs="Arial"/>
          <w:color w:val="000000" w:themeColor="text1"/>
          <w:sz w:val="20"/>
          <w:szCs w:val="20"/>
          <w:lang w:val="es-ES_tradnl"/>
        </w:rPr>
      </w:pPr>
    </w:p>
    <w:p w14:paraId="11A25E50" w14:textId="77777777" w:rsidR="00134F05" w:rsidRPr="009B46EA" w:rsidRDefault="00134F05" w:rsidP="00134F0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1D08DB30" w14:textId="77777777" w:rsidR="00134F05" w:rsidRPr="009B46EA" w:rsidRDefault="00134F05" w:rsidP="00134F05">
      <w:pPr>
        <w:spacing w:after="0" w:line="240" w:lineRule="auto"/>
        <w:jc w:val="both"/>
        <w:rPr>
          <w:rFonts w:ascii="Verdana" w:hAnsi="Verdana" w:cs="Arial"/>
          <w:color w:val="000000" w:themeColor="text1"/>
          <w:sz w:val="21"/>
          <w:szCs w:val="21"/>
          <w:lang w:val="es-ES_tradnl"/>
        </w:rPr>
      </w:pPr>
    </w:p>
    <w:p w14:paraId="77CD75C9" w14:textId="77777777" w:rsidR="00134F05" w:rsidRDefault="00134F05" w:rsidP="00134F0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202C8673" w14:textId="77777777" w:rsidR="00134F05" w:rsidRPr="009B46EA" w:rsidRDefault="00134F05" w:rsidP="00134F05">
      <w:pPr>
        <w:spacing w:after="0" w:line="240" w:lineRule="auto"/>
        <w:jc w:val="both"/>
        <w:rPr>
          <w:rFonts w:ascii="Verdana" w:hAnsi="Verdana" w:cs="Arial"/>
          <w:color w:val="000000" w:themeColor="text1"/>
          <w:sz w:val="20"/>
          <w:szCs w:val="20"/>
          <w:lang w:val="es-ES_tradnl"/>
        </w:rPr>
      </w:pPr>
    </w:p>
    <w:p w14:paraId="672EA8F1" w14:textId="77777777" w:rsidR="00134F05" w:rsidRPr="009B46EA" w:rsidRDefault="00134F05" w:rsidP="00134F05">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0414041D" w14:textId="77777777" w:rsidR="00134F05" w:rsidRPr="009B46EA" w:rsidRDefault="00134F05" w:rsidP="00134F05">
      <w:pPr>
        <w:spacing w:after="0" w:line="240" w:lineRule="auto"/>
        <w:jc w:val="both"/>
        <w:rPr>
          <w:rFonts w:ascii="Verdana" w:eastAsia="Arial" w:hAnsi="Verdana" w:cs="Arial"/>
          <w:b/>
          <w:bCs/>
          <w:color w:val="000000" w:themeColor="text1"/>
          <w:lang w:val="es-ES_tradnl"/>
        </w:rPr>
      </w:pPr>
    </w:p>
    <w:p w14:paraId="0EEE88DB" w14:textId="77777777" w:rsidR="00134F05" w:rsidRDefault="00134F05" w:rsidP="00134F05">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304EAFA2" w14:textId="77777777" w:rsidR="00134F05" w:rsidRDefault="00134F05" w:rsidP="00DF1783">
      <w:pPr>
        <w:spacing w:after="0" w:line="240" w:lineRule="auto"/>
        <w:rPr>
          <w:rFonts w:ascii="Verdana" w:eastAsia="Times New Roman" w:hAnsi="Verdana" w:cs="Arial"/>
          <w:color w:val="000000"/>
          <w:sz w:val="20"/>
          <w:szCs w:val="20"/>
          <w:lang w:eastAsia="es-MX"/>
        </w:rPr>
      </w:pPr>
    </w:p>
    <w:p w14:paraId="05AAAB73" w14:textId="33752665" w:rsidR="00DF1783" w:rsidRPr="00593A5F" w:rsidRDefault="00DF1783" w:rsidP="00DF178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F45A0" w:rsidRPr="0075132B">
        <w:rPr>
          <w:rFonts w:ascii="Verdana" w:eastAsia="Geomanist Light" w:hAnsi="Verdana" w:cs="Arial"/>
          <w:color w:val="000000" w:themeColor="text1"/>
          <w:lang w:val="es-MX"/>
        </w:rPr>
        <w:t xml:space="preserve">04 de </w:t>
      </w:r>
      <w:r w:rsidR="007F45A0">
        <w:rPr>
          <w:rFonts w:ascii="Verdana" w:eastAsia="Geomanist Light" w:hAnsi="Verdana" w:cs="Arial"/>
          <w:color w:val="000000" w:themeColor="text1"/>
          <w:lang w:val="es-MX"/>
        </w:rPr>
        <w:t>Marzo</w:t>
      </w:r>
      <w:r w:rsidR="007F45A0" w:rsidRPr="0075132B">
        <w:rPr>
          <w:rFonts w:ascii="Verdana" w:eastAsia="Geomanist Light" w:hAnsi="Verdana" w:cs="Arial"/>
          <w:color w:val="000000" w:themeColor="text1"/>
          <w:lang w:val="es-MX"/>
        </w:rPr>
        <w:t xml:space="preserve"> de 2026</w:t>
      </w:r>
    </w:p>
    <w:p w14:paraId="7F8020AF" w14:textId="77777777" w:rsidR="00DF1783" w:rsidRDefault="00DF1783" w:rsidP="00DF1783">
      <w:pPr>
        <w:spacing w:after="0" w:line="240" w:lineRule="auto"/>
        <w:jc w:val="both"/>
        <w:rPr>
          <w:rFonts w:ascii="Verdana" w:eastAsia="Calibri" w:hAnsi="Verdana" w:cs="Arial"/>
          <w:color w:val="000000"/>
          <w:lang w:val="es-ES"/>
        </w:rPr>
      </w:pPr>
    </w:p>
    <w:p w14:paraId="1E36ECC7" w14:textId="4D43C454" w:rsidR="007232B5" w:rsidRDefault="007232B5" w:rsidP="007232B5">
      <w:pPr>
        <w:spacing w:after="0" w:line="240" w:lineRule="auto"/>
        <w:jc w:val="right"/>
        <w:rPr>
          <w:rFonts w:ascii="Verdana" w:eastAsia="Calibri" w:hAnsi="Verdana" w:cs="Arial"/>
          <w:color w:val="000000"/>
          <w:lang w:val="es-ES"/>
        </w:rPr>
      </w:pPr>
      <w:r w:rsidRPr="007232B5">
        <w:rPr>
          <w:rFonts w:ascii="Verdana" w:eastAsia="Calibri" w:hAnsi="Verdana" w:cs="Arial"/>
          <w:color w:val="000000"/>
          <w:lang w:val="es-ES"/>
        </w:rPr>
        <w:drawing>
          <wp:inline distT="0" distB="0" distL="0" distR="0" wp14:anchorId="3BCFB0A5" wp14:editId="29B87386">
            <wp:extent cx="2400300" cy="622300"/>
            <wp:effectExtent l="0" t="0" r="0" b="0"/>
            <wp:docPr id="8641530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153017" name=""/>
                    <pic:cNvPicPr/>
                  </pic:nvPicPr>
                  <pic:blipFill>
                    <a:blip r:embed="rId10"/>
                    <a:stretch>
                      <a:fillRect/>
                    </a:stretch>
                  </pic:blipFill>
                  <pic:spPr>
                    <a:xfrm>
                      <a:off x="0" y="0"/>
                      <a:ext cx="2400300" cy="622300"/>
                    </a:xfrm>
                    <a:prstGeom prst="rect">
                      <a:avLst/>
                    </a:prstGeom>
                  </pic:spPr>
                </pic:pic>
              </a:graphicData>
            </a:graphic>
          </wp:inline>
        </w:drawing>
      </w:r>
    </w:p>
    <w:p w14:paraId="7172C578" w14:textId="77777777" w:rsidR="00DF1783" w:rsidRPr="00593A5F" w:rsidRDefault="00DF1783" w:rsidP="00DF1783">
      <w:pPr>
        <w:spacing w:after="0" w:line="240" w:lineRule="auto"/>
        <w:jc w:val="both"/>
        <w:rPr>
          <w:rFonts w:ascii="Verdana" w:eastAsia="Calibri" w:hAnsi="Verdana" w:cs="Arial"/>
          <w:color w:val="000000"/>
          <w:lang w:val="es-ES"/>
        </w:rPr>
      </w:pPr>
    </w:p>
    <w:p w14:paraId="5B0E7C03" w14:textId="77777777" w:rsidR="00DF1783" w:rsidRPr="00B96799" w:rsidRDefault="00DF1783" w:rsidP="00DF1783">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5B85CD3" w14:textId="77777777" w:rsidR="00DF1783" w:rsidRPr="0085423D" w:rsidRDefault="00DF1783" w:rsidP="00DF1783">
      <w:pPr>
        <w:spacing w:after="0" w:line="240" w:lineRule="auto"/>
        <w:rPr>
          <w:rFonts w:ascii="Verdana" w:eastAsia="Calibri" w:hAnsi="Verdana" w:cs="Arial"/>
          <w:b/>
          <w:lang w:val="es-ES_tradnl" w:eastAsia="es-ES_tradnl"/>
        </w:rPr>
      </w:pPr>
      <w:bookmarkStart w:id="1" w:name="OLE_LINK1"/>
      <w:r w:rsidRPr="00C54C66">
        <w:rPr>
          <w:rFonts w:ascii="Verdana" w:eastAsia="Calibri" w:hAnsi="Verdana" w:cs="Arial"/>
          <w:b/>
          <w:lang w:val="es-ES_tradnl" w:eastAsia="es-ES_tradnl"/>
        </w:rPr>
        <w:t>Diana Marcela Castillo Rangel</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1CCDED69" w14:textId="77777777" w:rsidR="00DF1783" w:rsidRPr="00A804BA" w:rsidRDefault="00DF1783" w:rsidP="00DF1783">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91F9E">
        <w:rPr>
          <w:rFonts w:ascii="Verdana" w:hAnsi="Verdana"/>
        </w:rPr>
        <w:instrText>dianamcr88@gmail.com</w:instrText>
      </w:r>
      <w:r>
        <w:rPr>
          <w:rFonts w:ascii="Verdana" w:hAnsi="Verdana"/>
        </w:rPr>
        <w:instrText>"</w:instrText>
      </w:r>
      <w:r>
        <w:rPr>
          <w:rFonts w:ascii="Verdana" w:hAnsi="Verdana"/>
        </w:rPr>
      </w:r>
      <w:r>
        <w:rPr>
          <w:rFonts w:ascii="Verdana" w:hAnsi="Verdana"/>
        </w:rPr>
        <w:fldChar w:fldCharType="separate"/>
      </w:r>
      <w:r w:rsidRPr="00326B52">
        <w:rPr>
          <w:rStyle w:val="Hipervnculo"/>
          <w:rFonts w:ascii="Verdana" w:hAnsi="Verdana"/>
        </w:rPr>
        <w:t>dianamcr88@gmail.com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2319980F" w14:textId="77777777" w:rsidR="00DF1783" w:rsidRDefault="00DF1783" w:rsidP="00DF1783">
      <w:pPr>
        <w:spacing w:after="0" w:line="240" w:lineRule="auto"/>
        <w:rPr>
          <w:rFonts w:ascii="Verdana" w:eastAsia="Calibri" w:hAnsi="Verdana" w:cs="Arial"/>
          <w:lang w:val="es-ES" w:eastAsia="es-ES"/>
        </w:rPr>
      </w:pPr>
      <w:r w:rsidRPr="00891F9E">
        <w:rPr>
          <w:rFonts w:ascii="Verdana" w:eastAsia="Calibri" w:hAnsi="Verdana" w:cs="Arial"/>
          <w:lang w:val="es-ES" w:eastAsia="es-ES"/>
        </w:rPr>
        <w:t>Fusagasugá</w:t>
      </w:r>
      <w:r>
        <w:rPr>
          <w:rFonts w:ascii="Verdana" w:eastAsia="Calibri" w:hAnsi="Verdana" w:cs="Arial"/>
          <w:lang w:val="es-ES" w:eastAsia="es-ES"/>
        </w:rPr>
        <w:t xml:space="preserve">, Cundinamarca </w:t>
      </w:r>
    </w:p>
    <w:p w14:paraId="27EB32CB" w14:textId="77777777" w:rsidR="00DF1783" w:rsidRPr="00593A5F" w:rsidRDefault="00DF1783" w:rsidP="00DF1783">
      <w:pPr>
        <w:spacing w:after="0" w:line="240" w:lineRule="auto"/>
        <w:rPr>
          <w:rFonts w:ascii="Verdana" w:eastAsia="Calibri" w:hAnsi="Verdana" w:cs="Arial"/>
          <w:b/>
          <w:bCs/>
          <w:color w:val="000000"/>
          <w:lang w:val="es-ES_tradnl" w:eastAsia="es-ES_tradnl"/>
        </w:rPr>
      </w:pPr>
    </w:p>
    <w:p w14:paraId="05086A32" w14:textId="77777777" w:rsidR="00DF1783" w:rsidRPr="00593A5F" w:rsidRDefault="00DF1783" w:rsidP="00DF178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1783" w:rsidRPr="00593A5F" w14:paraId="19B00AEF" w14:textId="77777777" w:rsidTr="00080168">
        <w:trPr>
          <w:trHeight w:val="884"/>
        </w:trPr>
        <w:tc>
          <w:tcPr>
            <w:tcW w:w="2689" w:type="dxa"/>
          </w:tcPr>
          <w:p w14:paraId="2EDEA87A" w14:textId="77777777" w:rsidR="00DF1783" w:rsidRPr="00C00976" w:rsidRDefault="00DF1783" w:rsidP="00080168">
            <w:pPr>
              <w:jc w:val="both"/>
              <w:rPr>
                <w:rFonts w:ascii="Verdana" w:eastAsia="Calibri" w:hAnsi="Verdana" w:cs="Arial"/>
                <w:b/>
                <w:bCs/>
                <w:color w:val="7030A0"/>
                <w:lang w:val="es-ES_tradnl" w:eastAsia="es-ES_tradnl"/>
              </w:rPr>
            </w:pPr>
          </w:p>
        </w:tc>
        <w:tc>
          <w:tcPr>
            <w:tcW w:w="6100" w:type="dxa"/>
          </w:tcPr>
          <w:p w14:paraId="2EF21F85" w14:textId="52578DB4" w:rsidR="00DF1783" w:rsidRPr="00C00976" w:rsidRDefault="00DF1783" w:rsidP="0008016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BE6D85">
              <w:rPr>
                <w:rFonts w:ascii="Verdana" w:eastAsia="Calibri" w:hAnsi="Verdana" w:cs="Arial"/>
                <w:b/>
                <w:bCs/>
                <w:lang w:val="es-ES" w:eastAsia="es-ES"/>
              </w:rPr>
              <w:t>251</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F1783" w:rsidRPr="00593A5F" w14:paraId="12A7FC40" w14:textId="77777777" w:rsidTr="00080168">
        <w:trPr>
          <w:trHeight w:val="884"/>
        </w:trPr>
        <w:tc>
          <w:tcPr>
            <w:tcW w:w="2689" w:type="dxa"/>
          </w:tcPr>
          <w:p w14:paraId="11A02F98" w14:textId="77777777" w:rsidR="00DF1783" w:rsidRPr="00593A5F" w:rsidRDefault="00DF1783" w:rsidP="0008016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94E999C" w14:textId="77777777" w:rsidR="00DF1783" w:rsidRDefault="00DF1783" w:rsidP="00080168">
            <w:pPr>
              <w:spacing w:line="276" w:lineRule="auto"/>
              <w:jc w:val="both"/>
              <w:rPr>
                <w:rFonts w:ascii="Verdana" w:eastAsia="Calibri" w:hAnsi="Verdana" w:cs="Arial"/>
                <w:lang w:val="es-ES" w:eastAsia="es-ES"/>
              </w:rPr>
            </w:pPr>
            <w:r w:rsidRPr="00013C41">
              <w:rPr>
                <w:rFonts w:ascii="Verdana" w:eastAsia="Calibri" w:hAnsi="Verdana" w:cs="Arial"/>
                <w:lang w:val="es-ES" w:eastAsia="es-ES"/>
              </w:rPr>
              <w:t>DECRETO 092 DE 2017 – Finalidad – Clases de contratos / CONTRATACIÓN CON ESAL – Contrato de colaboración – Objeto – Alcance / CONTRATACIÓN CON ESAL – Contrato de asociación – Objeto – Alcance / CONVENIOS DE ASOCIACIÓN – Multiplicidad de sujetos – Límites legales / DECRETO 092 DE 2017 – Criterios – Aplicación / DECRETO 092 DE 2017 – Normativa vigente</w:t>
            </w:r>
          </w:p>
          <w:p w14:paraId="6767C2C5" w14:textId="77777777" w:rsidR="00DF1783" w:rsidRPr="00593A5F" w:rsidRDefault="00DF1783" w:rsidP="0008016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F1783" w:rsidRPr="008E6AD9" w14:paraId="63A368EA" w14:textId="77777777" w:rsidTr="00080168">
        <w:tc>
          <w:tcPr>
            <w:tcW w:w="2689" w:type="dxa"/>
          </w:tcPr>
          <w:p w14:paraId="5184E051" w14:textId="77777777" w:rsidR="00DF1783" w:rsidRPr="008E6AD9" w:rsidRDefault="00DF1783" w:rsidP="0008016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19E5EB0" w14:textId="77777777" w:rsidR="00DF1783" w:rsidRPr="00B92340" w:rsidRDefault="00DF1783" w:rsidP="0008016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9B53E9">
              <w:rPr>
                <w:rFonts w:ascii="Verdana" w:eastAsia="Calibri" w:hAnsi="Verdana" w:cs="Arial"/>
                <w:lang w:val="es-ES_tradnl" w:eastAsia="es-ES_tradnl"/>
              </w:rPr>
              <w:t>1_2026_02_18_002124</w:t>
            </w:r>
            <w:r>
              <w:rPr>
                <w:rFonts w:ascii="Verdana" w:eastAsia="Calibri" w:hAnsi="Verdana" w:cs="Arial"/>
                <w:lang w:val="es-ES_tradnl" w:eastAsia="es-ES_tradnl"/>
              </w:rPr>
              <w:t xml:space="preserve">                                   </w:t>
            </w:r>
          </w:p>
        </w:tc>
      </w:tr>
    </w:tbl>
    <w:p w14:paraId="0EFCD744" w14:textId="77777777" w:rsidR="00DF1783" w:rsidRPr="00593A5F" w:rsidRDefault="00DF1783" w:rsidP="00DF1783">
      <w:pPr>
        <w:spacing w:after="0" w:line="240" w:lineRule="auto"/>
        <w:jc w:val="both"/>
        <w:rPr>
          <w:rFonts w:ascii="Verdana" w:eastAsia="Calibri" w:hAnsi="Verdana" w:cs="Arial"/>
          <w:color w:val="000000"/>
          <w:lang w:val="es-ES_tradnl" w:eastAsia="es-ES_tradnl"/>
        </w:rPr>
      </w:pPr>
    </w:p>
    <w:p w14:paraId="14DB01A8" w14:textId="77777777" w:rsidR="00DF1783" w:rsidRPr="00593A5F" w:rsidRDefault="00DF1783" w:rsidP="00DF1783">
      <w:pPr>
        <w:spacing w:after="0" w:line="240" w:lineRule="auto"/>
        <w:jc w:val="both"/>
        <w:rPr>
          <w:rFonts w:ascii="Verdana" w:eastAsia="Calibri" w:hAnsi="Verdana" w:cs="Arial"/>
          <w:color w:val="000000"/>
          <w:lang w:val="es-ES_tradnl" w:eastAsia="es-ES_tradnl"/>
        </w:rPr>
      </w:pPr>
    </w:p>
    <w:p w14:paraId="30DB351E" w14:textId="77777777" w:rsidR="00DF1783" w:rsidRPr="008E6AD9" w:rsidRDefault="00DF1783" w:rsidP="00DF178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F74562">
        <w:rPr>
          <w:rFonts w:ascii="Verdana" w:eastAsia="Calibri" w:hAnsi="Verdana" w:cs="Arial"/>
          <w:lang w:val="es-ES" w:eastAsia="es-ES"/>
        </w:rPr>
        <w:t>Castillo Rangel</w:t>
      </w:r>
      <w:r w:rsidRPr="008E6AD9">
        <w:rPr>
          <w:rFonts w:ascii="Verdana" w:eastAsia="Calibri" w:hAnsi="Verdana" w:cs="Arial"/>
          <w:lang w:val="es-ES" w:eastAsia="es-ES"/>
        </w:rPr>
        <w:t xml:space="preserve">: </w:t>
      </w:r>
    </w:p>
    <w:p w14:paraId="64918462" w14:textId="77777777" w:rsidR="00DF1783" w:rsidRDefault="00DF1783" w:rsidP="00DF178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D907E31" w14:textId="77777777" w:rsidR="00DF1783" w:rsidRPr="00593A5F" w:rsidRDefault="00DF1783" w:rsidP="00DF178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6C27D4">
        <w:rPr>
          <w:rFonts w:ascii="Verdana" w:hAnsi="Verdana" w:cs="Arial"/>
        </w:rPr>
        <w:t>así como lo establecido en el artículo 4 de la Resolución 469 de 2025 expedida por esta Entidad</w:t>
      </w:r>
      <w:r w:rsidRPr="00593A5F">
        <w:rPr>
          <w:rFonts w:ascii="Verdana" w:hAnsi="Verdana" w:cs="Arial"/>
        </w:rPr>
        <w:t xml:space="preserve">,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18 de febrero de 2026</w:t>
      </w:r>
      <w:r>
        <w:rPr>
          <w:rFonts w:ascii="Verdana" w:eastAsia="Calibri" w:hAnsi="Verdana" w:cs="Arial"/>
          <w:lang w:val="es-ES" w:eastAsia="es-ES"/>
        </w:rPr>
        <w:t>, donde solicita lo siguiente</w:t>
      </w:r>
      <w:r w:rsidRPr="008E6AD9">
        <w:rPr>
          <w:rFonts w:ascii="Verdana" w:eastAsia="Calibri" w:hAnsi="Verdana" w:cs="Arial"/>
          <w:lang w:val="es-ES" w:eastAsia="es-ES"/>
        </w:rPr>
        <w:t xml:space="preserve">: </w:t>
      </w:r>
    </w:p>
    <w:p w14:paraId="6B45E86D" w14:textId="77777777" w:rsidR="00DF1783" w:rsidRPr="00272A7B" w:rsidRDefault="00DF1783" w:rsidP="00DF1783">
      <w:pPr>
        <w:pStyle w:val="Prrafodelista"/>
        <w:tabs>
          <w:tab w:val="left" w:pos="142"/>
          <w:tab w:val="left" w:pos="284"/>
        </w:tabs>
        <w:spacing w:after="0" w:line="276" w:lineRule="auto"/>
        <w:ind w:left="0"/>
        <w:jc w:val="both"/>
        <w:rPr>
          <w:rFonts w:ascii="Verdana" w:eastAsia="Century Gothic" w:hAnsi="Verdana" w:cs="Century Gothic"/>
          <w:b/>
          <w:bCs/>
        </w:rPr>
      </w:pPr>
    </w:p>
    <w:p w14:paraId="73F29A80" w14:textId="77777777" w:rsidR="00DF1783" w:rsidRPr="00AA6517" w:rsidRDefault="00DF1783" w:rsidP="00DF1783">
      <w:pPr>
        <w:spacing w:after="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t>“</w:t>
      </w:r>
      <w:bookmarkEnd w:id="2"/>
      <w:r w:rsidRPr="00814F19">
        <w:rPr>
          <w:rFonts w:ascii="Verdana" w:eastAsia="Century Gothic" w:hAnsi="Verdana" w:cs="Century Gothic"/>
          <w:sz w:val="20"/>
          <w:szCs w:val="20"/>
          <w:lang w:val="es-ES"/>
        </w:rPr>
        <w:t xml:space="preserve">Se informe de conformidad con el Decreto 092 de 2017, que se entiende por una ''entidad privada sin ánimo de lucro''. En concreto, si una ESAL </w:t>
      </w:r>
      <w:r w:rsidRPr="00814F19">
        <w:rPr>
          <w:rFonts w:ascii="Verdana" w:eastAsia="Century Gothic" w:hAnsi="Verdana" w:cs="Century Gothic"/>
          <w:sz w:val="20"/>
          <w:szCs w:val="20"/>
          <w:lang w:val="es-ES"/>
        </w:rPr>
        <w:lastRenderedPageBreak/>
        <w:t>(fundación) que tiene 66% de aportes públicos, tiene el carácter de entidad pública y en este sentido no es una entidad privada sin ánimo de lucro y no puede participar en los procesos competitivos del decreto mencionado. Así mismo se consulta sobre la existencia de la categoría de ESAL PUBLICA ya que la guía y el decreto solo habla de entidades privadas pero no de las que tiene carácter mixto con participación mayoritaria pública</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3D1E18E9" w14:textId="77777777" w:rsidR="00DF1783" w:rsidRPr="008E6AD9" w:rsidRDefault="00DF1783" w:rsidP="00DF1783">
      <w:pPr>
        <w:pStyle w:val="Prrafodelista"/>
        <w:tabs>
          <w:tab w:val="left" w:pos="142"/>
          <w:tab w:val="left" w:pos="284"/>
        </w:tabs>
        <w:spacing w:after="0" w:line="276" w:lineRule="auto"/>
        <w:ind w:left="0"/>
        <w:jc w:val="both"/>
        <w:rPr>
          <w:rFonts w:ascii="Verdana" w:eastAsia="Century Gothic" w:hAnsi="Verdana" w:cs="Century Gothic"/>
          <w:b/>
          <w:bCs/>
        </w:rPr>
      </w:pPr>
    </w:p>
    <w:p w14:paraId="46AE7896" w14:textId="77777777" w:rsidR="00DF1783" w:rsidRPr="00A652FF" w:rsidRDefault="00DF1783" w:rsidP="00DF178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E54F972" w14:textId="77777777" w:rsidR="00DF1783" w:rsidRDefault="00DF1783" w:rsidP="00DF178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CF253EC" w14:textId="77777777" w:rsidR="00DF1783" w:rsidRPr="00593A5F" w:rsidRDefault="00DF1783" w:rsidP="00DF1783">
      <w:pPr>
        <w:spacing w:after="0" w:line="276" w:lineRule="auto"/>
        <w:ind w:firstLine="709"/>
        <w:jc w:val="both"/>
        <w:rPr>
          <w:rFonts w:ascii="Verdana" w:eastAsia="Calibri" w:hAnsi="Verdana" w:cs="Arial"/>
          <w:color w:val="000000"/>
          <w:lang w:val="es-ES" w:eastAsia="es-ES"/>
        </w:rPr>
      </w:pPr>
    </w:p>
    <w:p w14:paraId="478A3F7A" w14:textId="77777777" w:rsidR="00DF1783" w:rsidRPr="00593A5F" w:rsidRDefault="00DF1783" w:rsidP="00DF17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DB214BF" w14:textId="77777777" w:rsidR="00DF1783" w:rsidRPr="00593A5F" w:rsidRDefault="00DF1783" w:rsidP="00DF1783">
      <w:pPr>
        <w:tabs>
          <w:tab w:val="left" w:pos="426"/>
        </w:tabs>
        <w:spacing w:after="0" w:line="276" w:lineRule="auto"/>
        <w:jc w:val="both"/>
        <w:rPr>
          <w:rFonts w:ascii="Verdana" w:eastAsia="Century Gothic" w:hAnsi="Verdana" w:cs="Century Gothic"/>
          <w:lang w:val="es-ES"/>
        </w:rPr>
      </w:pPr>
    </w:p>
    <w:p w14:paraId="53D2ACAA" w14:textId="77777777" w:rsidR="00DF1783" w:rsidRPr="00593A5F" w:rsidRDefault="00DF1783" w:rsidP="00DF178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1C6F0B">
        <w:rPr>
          <w:rFonts w:ascii="Verdana" w:eastAsia="Century Gothic" w:hAnsi="Verdana" w:cs="Century Gothic"/>
        </w:rPr>
        <w:t>¿</w:t>
      </w:r>
      <w:r>
        <w:rPr>
          <w:rFonts w:ascii="Verdana" w:eastAsia="Century Gothic" w:hAnsi="Verdana" w:cs="Century Gothic"/>
        </w:rPr>
        <w:t>el régimen jurídico del Decreto 092 de 2017 es aplicable a las</w:t>
      </w:r>
      <w:r>
        <w:rPr>
          <w:rFonts w:ascii="Verdana" w:eastAsia="Calibri" w:hAnsi="Verdana" w:cs="Arial"/>
          <w:bCs/>
          <w:iCs/>
          <w:lang w:val="es-ES_tradnl"/>
        </w:rPr>
        <w:t xml:space="preserve"> personas jurídicas sin ánimo de lucro con participación mayoritaria del Estado</w:t>
      </w:r>
      <w:r w:rsidRPr="001C6F0B">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436E852" w14:textId="77777777" w:rsidR="00DF1783" w:rsidRPr="004B140F" w:rsidRDefault="00DF1783" w:rsidP="00DF1783">
      <w:pPr>
        <w:spacing w:after="0" w:line="276" w:lineRule="auto"/>
        <w:jc w:val="both"/>
        <w:rPr>
          <w:rFonts w:ascii="Verdana" w:eastAsia="Calibri" w:hAnsi="Verdana" w:cs="Arial"/>
          <w:color w:val="7030A0"/>
        </w:rPr>
      </w:pPr>
    </w:p>
    <w:p w14:paraId="597B8793" w14:textId="77777777" w:rsidR="00DF1783" w:rsidRPr="00593A5F" w:rsidRDefault="00DF1783" w:rsidP="00DF1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30D00EB" w14:textId="77777777" w:rsidR="00DF1783" w:rsidRPr="00593A5F" w:rsidRDefault="00DF1783" w:rsidP="00DF178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1783" w:rsidRPr="00593A5F" w14:paraId="3C345495" w14:textId="77777777" w:rsidTr="00080168">
        <w:trPr>
          <w:jc w:val="center"/>
        </w:trPr>
        <w:tc>
          <w:tcPr>
            <w:tcW w:w="8828" w:type="dxa"/>
          </w:tcPr>
          <w:p w14:paraId="54E93480" w14:textId="77777777" w:rsidR="00DF1783" w:rsidRDefault="00DF1783" w:rsidP="00080168">
            <w:pPr>
              <w:tabs>
                <w:tab w:val="left" w:pos="0"/>
              </w:tabs>
              <w:spacing w:after="120" w:line="276" w:lineRule="auto"/>
              <w:jc w:val="both"/>
              <w:rPr>
                <w:rFonts w:ascii="Verdana" w:eastAsia="Calibri" w:hAnsi="Verdana" w:cs="Arial"/>
                <w:bCs/>
                <w:iCs/>
                <w:lang w:val="es-ES_tradnl"/>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Calibri" w:hAnsi="Verdana" w:cs="Arial"/>
                <w:color w:val="000000" w:themeColor="text1"/>
              </w:rPr>
              <w:t xml:space="preserve">tanto los </w:t>
            </w:r>
            <w:r w:rsidRPr="0063743B">
              <w:rPr>
                <w:rFonts w:ascii="Verdana" w:eastAsia="Calibri" w:hAnsi="Verdana" w:cs="Arial"/>
                <w:i/>
                <w:iCs/>
                <w:lang w:val="es-ES"/>
              </w:rPr>
              <w:t>contratos del artículo 355 de la Constitución Política</w:t>
            </w:r>
            <w:r>
              <w:rPr>
                <w:rFonts w:ascii="Verdana" w:eastAsia="Calibri" w:hAnsi="Verdana" w:cs="Arial"/>
                <w:lang w:val="es-ES"/>
              </w:rPr>
              <w:t xml:space="preserve"> como </w:t>
            </w:r>
            <w:r>
              <w:rPr>
                <w:rFonts w:ascii="Verdana" w:eastAsia="Calibri" w:hAnsi="Verdana" w:cs="Arial"/>
                <w:lang w:val="es-ES"/>
              </w:rPr>
              <w:lastRenderedPageBreak/>
              <w:t xml:space="preserve">los </w:t>
            </w:r>
            <w:r w:rsidRPr="0063743B">
              <w:rPr>
                <w:rFonts w:ascii="Verdana" w:eastAsia="Calibri" w:hAnsi="Verdana" w:cs="Arial"/>
                <w:bCs/>
                <w:i/>
                <w:lang w:val="es-ES_tradnl"/>
              </w:rPr>
              <w:t>convenios de asociación</w:t>
            </w:r>
            <w:r>
              <w:rPr>
                <w:rFonts w:ascii="Verdana" w:eastAsia="Calibri" w:hAnsi="Verdana" w:cs="Arial"/>
                <w:bCs/>
                <w:i/>
                <w:lang w:val="es-ES_tradnl"/>
              </w:rPr>
              <w:t xml:space="preserve"> del artículo 96 de la Ley 489 de 1998</w:t>
            </w:r>
            <w:r>
              <w:rPr>
                <w:rFonts w:ascii="Verdana" w:eastAsia="Calibri" w:hAnsi="Verdana" w:cs="Arial"/>
                <w:bCs/>
                <w:iCs/>
                <w:lang w:val="es-ES_tradnl"/>
              </w:rPr>
              <w:t xml:space="preserve"> sólo pueden suscribirse con “entidades privadas sin ánimo de lucro”. Por un lado, el inciso segundo del artículo 355 superior dispone que “</w:t>
            </w:r>
            <w:r w:rsidRPr="0039527A">
              <w:rPr>
                <w:rFonts w:ascii="Verdana" w:eastAsia="Calibri" w:hAnsi="Verdana" w:cs="Arial"/>
                <w:bCs/>
                <w:iCs/>
                <w:lang w:val="es-ES_tradnl"/>
              </w:rPr>
              <w:t xml:space="preserve">El Gobierno, en los niveles nacional, departamental, distrital y municipal podrá, con recursos de los respectivos presupuestos, celebrar contratos con </w:t>
            </w:r>
            <w:r w:rsidRPr="0039527A">
              <w:rPr>
                <w:rFonts w:ascii="Verdana" w:eastAsia="Calibri" w:hAnsi="Verdana" w:cs="Arial"/>
                <w:bCs/>
                <w:i/>
                <w:lang w:val="es-ES_tradnl"/>
              </w:rPr>
              <w:t>entidades privadas sin ánimo de lucro</w:t>
            </w:r>
            <w:r w:rsidRPr="0039527A">
              <w:rPr>
                <w:rFonts w:ascii="Verdana" w:eastAsia="Calibri" w:hAnsi="Verdana" w:cs="Arial"/>
                <w:bCs/>
                <w:iCs/>
                <w:lang w:val="es-ES_tradnl"/>
              </w:rPr>
              <w:t xml:space="preserve"> y de reconocida idoneidad con el fin de impulsar programas y actividades de interés público acordes con el Plan Nacional y con los planes seccionales de Desarrollo</w:t>
            </w:r>
            <w:r>
              <w:rPr>
                <w:rFonts w:ascii="Verdana" w:eastAsia="Calibri" w:hAnsi="Verdana" w:cs="Arial"/>
                <w:bCs/>
                <w:iCs/>
                <w:lang w:val="es-ES_tradnl"/>
              </w:rPr>
              <w:t xml:space="preserve"> […]” (Énfasis fuera de texto)</w:t>
            </w:r>
          </w:p>
          <w:p w14:paraId="118FF961" w14:textId="77777777" w:rsidR="00DF1783" w:rsidRDefault="00DF1783" w:rsidP="00080168">
            <w:pPr>
              <w:tabs>
                <w:tab w:val="left" w:pos="0"/>
              </w:tabs>
              <w:spacing w:after="120" w:line="276" w:lineRule="auto"/>
              <w:jc w:val="both"/>
              <w:rPr>
                <w:rFonts w:ascii="Verdana" w:eastAsia="Calibri" w:hAnsi="Verdana" w:cs="Arial"/>
                <w:lang w:val="es-ES" w:eastAsia="es-ES"/>
              </w:rPr>
            </w:pPr>
            <w:r>
              <w:rPr>
                <w:rFonts w:ascii="Verdana" w:eastAsia="Calibri" w:hAnsi="Verdana" w:cs="Arial"/>
                <w:bCs/>
                <w:iCs/>
                <w:lang w:val="es-ES_tradnl"/>
              </w:rPr>
              <w:tab/>
              <w:t xml:space="preserve">Por otra parte, </w:t>
            </w:r>
            <w:r>
              <w:rPr>
                <w:rFonts w:ascii="Verdana" w:eastAsia="Calibri" w:hAnsi="Verdana" w:cs="Arial"/>
              </w:rPr>
              <w:t>a</w:t>
            </w:r>
            <w:r w:rsidRPr="000C25C9">
              <w:rPr>
                <w:rFonts w:ascii="Verdana" w:eastAsia="Calibri" w:hAnsi="Verdana" w:cs="Arial"/>
              </w:rPr>
              <w:t xml:space="preserve">unque el artículo 96 de la Ley 489 de 1998 se refiere genéricamente a la noción “personas jurídicas particulares”, lo cierto es que los </w:t>
            </w:r>
            <w:r w:rsidRPr="000C25C9">
              <w:rPr>
                <w:rFonts w:ascii="Verdana" w:eastAsia="Calibri" w:hAnsi="Verdana" w:cs="Arial"/>
                <w:i/>
                <w:iCs/>
              </w:rPr>
              <w:t xml:space="preserve">convenios de asociación </w:t>
            </w:r>
            <w:r w:rsidRPr="000C25C9">
              <w:rPr>
                <w:rFonts w:ascii="Verdana" w:eastAsia="Calibri" w:hAnsi="Verdana" w:cs="Arial"/>
              </w:rPr>
              <w:t>que regula esa norma únicamente pueden celebrarse con ESAL. Esto es así porque el inciso segundo de la misma disposición establece que tales convenios “se celebrarán de conformidad con lo dispuesto en el artículo 355 de la Constitución Política”,</w:t>
            </w:r>
            <w:r>
              <w:rPr>
                <w:rFonts w:ascii="Verdana" w:eastAsia="Calibri" w:hAnsi="Verdana" w:cs="Arial"/>
              </w:rPr>
              <w:t xml:space="preserve"> es decir, </w:t>
            </w:r>
            <w:r>
              <w:rPr>
                <w:rFonts w:ascii="Verdana" w:eastAsia="Calibri" w:hAnsi="Verdana" w:cs="Arial"/>
                <w:bCs/>
                <w:iCs/>
                <w:lang w:val="es-ES_tradnl"/>
              </w:rPr>
              <w:t>con “entidades privadas sin ánimo de lucro” en los términos indicados en el párrafo precedente</w:t>
            </w:r>
            <w:r w:rsidRPr="000C25C9">
              <w:rPr>
                <w:rFonts w:ascii="Verdana" w:eastAsia="Calibri" w:hAnsi="Verdana" w:cs="Arial"/>
              </w:rPr>
              <w:t xml:space="preserve">. </w:t>
            </w:r>
          </w:p>
          <w:p w14:paraId="5B5EC0C6" w14:textId="79BB428D" w:rsidR="00DF1783" w:rsidRPr="001C6F0B" w:rsidRDefault="00DF1783" w:rsidP="00080168">
            <w:pPr>
              <w:spacing w:after="120" w:line="276" w:lineRule="auto"/>
              <w:jc w:val="both"/>
              <w:rPr>
                <w:rFonts w:ascii="Verdana" w:eastAsia="Times New Roman" w:hAnsi="Verdana" w:cs="Arial"/>
                <w:color w:val="000000" w:themeColor="text1"/>
                <w:lang w:eastAsia="es-CO"/>
              </w:rPr>
            </w:pPr>
            <w:r>
              <w:rPr>
                <w:rFonts w:ascii="Verdana" w:eastAsia="Calibri" w:hAnsi="Verdana" w:cs="Arial"/>
                <w:lang w:val="es-ES" w:eastAsia="es-ES"/>
              </w:rPr>
              <w:tab/>
              <w:t xml:space="preserve">Aunque el artículo 96 </w:t>
            </w:r>
            <w:proofErr w:type="spellStart"/>
            <w:r w:rsidRPr="328108F9">
              <w:rPr>
                <w:rFonts w:ascii="Verdana" w:eastAsia="Calibri" w:hAnsi="Verdana" w:cs="Arial"/>
                <w:i/>
                <w:iCs/>
                <w:lang w:val="es-ES" w:eastAsia="es-ES"/>
              </w:rPr>
              <w:t>ib</w:t>
            </w:r>
            <w:r w:rsidR="726D02D9" w:rsidRPr="328108F9">
              <w:rPr>
                <w:rFonts w:ascii="Verdana" w:eastAsia="Calibri" w:hAnsi="Verdana" w:cs="Arial"/>
                <w:i/>
                <w:iCs/>
                <w:lang w:val="es-ES" w:eastAsia="es-ES"/>
              </w:rPr>
              <w:t>í</w:t>
            </w:r>
            <w:r w:rsidRPr="328108F9">
              <w:rPr>
                <w:rFonts w:ascii="Verdana" w:eastAsia="Calibri" w:hAnsi="Verdana" w:cs="Arial"/>
                <w:i/>
                <w:iCs/>
                <w:lang w:val="es-ES" w:eastAsia="es-ES"/>
              </w:rPr>
              <w:t>dem</w:t>
            </w:r>
            <w:proofErr w:type="spellEnd"/>
            <w:r>
              <w:rPr>
                <w:rFonts w:ascii="Verdana" w:eastAsia="Calibri" w:hAnsi="Verdana" w:cs="Arial"/>
                <w:lang w:val="es-ES" w:eastAsia="es-ES"/>
              </w:rPr>
              <w:t xml:space="preserve"> también permite que las entidades públicas se asocien con </w:t>
            </w:r>
            <w:r w:rsidRPr="328108F9">
              <w:rPr>
                <w:rFonts w:ascii="Verdana" w:eastAsia="Calibri" w:hAnsi="Verdana" w:cs="Arial"/>
                <w:lang w:val="es-ES"/>
              </w:rPr>
              <w:t xml:space="preserve">particulares para crear personas jurídicas sin ánimo de lucro conforme a las reglas del Código Civil para las asociaciones civiles de utilidad común, es necesario tener en cuenta que –de acuerdo con el literal a) del artículo 2.1 de la Ley 80 de 1993– son entidades públicas “[…] las sociedades de economía mixta en las que el Estado tenga participación superior al cincuenta por ciento (50%), así como las entidades descentralizadas indirectas y </w:t>
            </w:r>
            <w:r w:rsidRPr="328108F9">
              <w:rPr>
                <w:rFonts w:ascii="Verdana" w:eastAsia="Calibri" w:hAnsi="Verdana" w:cs="Arial"/>
                <w:i/>
                <w:lang w:val="es-ES"/>
              </w:rPr>
              <w:t>las demás personas jurídicas en las que exista dicha participación pública mayoritaria, cualquiera sea la denominación que ellas adopten, en todos los órdenes y niveles</w:t>
            </w:r>
            <w:r w:rsidRPr="328108F9">
              <w:rPr>
                <w:rFonts w:ascii="Verdana" w:eastAsia="Calibri" w:hAnsi="Verdana" w:cs="Arial"/>
                <w:lang w:val="es-ES"/>
              </w:rPr>
              <w:t>” (Énfasis fuera de texto). Luego, las personas jurídicas sin ánimo de lucro con participación mayoritaria del Estado son entidades públicas; razón por la cual, al no tener el carácter de “entidades privadas sin ánimo de lucro”, no son destinatarias del régimen jurídico especial del Decreto 092 de 2017.</w:t>
            </w:r>
          </w:p>
          <w:p w14:paraId="5D165128" w14:textId="77777777" w:rsidR="00DF1783" w:rsidRPr="001941FD" w:rsidRDefault="00DF1783" w:rsidP="00080168">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w:t>
            </w:r>
            <w:r w:rsidRPr="00AD5A94">
              <w:rPr>
                <w:rStyle w:val="s15"/>
                <w:rFonts w:ascii="Verdana" w:hAnsi="Verdana"/>
                <w:color w:val="000000"/>
              </w:rPr>
              <w:lastRenderedPageBreak/>
              <w:t>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3E9DA4EE" w14:textId="77777777" w:rsidR="00DF1783" w:rsidRPr="00593A5F" w:rsidRDefault="00DF1783" w:rsidP="00DF1783">
      <w:pPr>
        <w:tabs>
          <w:tab w:val="left" w:pos="142"/>
          <w:tab w:val="left" w:pos="284"/>
        </w:tabs>
        <w:spacing w:after="0" w:line="276" w:lineRule="auto"/>
        <w:jc w:val="both"/>
        <w:rPr>
          <w:rFonts w:ascii="Verdana" w:eastAsia="Century Gothic" w:hAnsi="Verdana" w:cs="Century Gothic"/>
          <w:b/>
          <w:bCs/>
          <w:lang w:val="es-ES"/>
        </w:rPr>
      </w:pPr>
    </w:p>
    <w:bookmarkEnd w:id="3"/>
    <w:p w14:paraId="40CD1F45" w14:textId="77777777" w:rsidR="00DF1783" w:rsidRPr="00593A5F" w:rsidRDefault="00DF1783" w:rsidP="00DF1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835679F" w14:textId="77777777" w:rsidR="00DF1783" w:rsidRPr="00593A5F" w:rsidRDefault="00DF1783" w:rsidP="00DF1783">
      <w:pPr>
        <w:spacing w:after="0" w:line="276" w:lineRule="auto"/>
        <w:jc w:val="both"/>
        <w:rPr>
          <w:rFonts w:ascii="Verdana" w:eastAsia="Calibri" w:hAnsi="Verdana" w:cs="Arial"/>
          <w:color w:val="7030A0"/>
          <w:lang w:val="es-ES"/>
        </w:rPr>
      </w:pPr>
    </w:p>
    <w:p w14:paraId="53D4F229" w14:textId="77777777" w:rsidR="00DF1783" w:rsidRDefault="00DF1783" w:rsidP="00DF178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B5AFFF7" w14:textId="77777777" w:rsidR="00DF1783" w:rsidRPr="008305C9" w:rsidRDefault="00DF1783" w:rsidP="00DF1783">
      <w:pPr>
        <w:spacing w:after="0" w:line="276" w:lineRule="auto"/>
        <w:jc w:val="both"/>
        <w:rPr>
          <w:rFonts w:ascii="Verdana" w:eastAsia="Calibri" w:hAnsi="Verdana" w:cs="Arial"/>
          <w:lang w:val="es-ES"/>
        </w:rPr>
      </w:pPr>
    </w:p>
    <w:p w14:paraId="5D1A5DE0" w14:textId="77777777" w:rsidR="00DF1783" w:rsidRPr="00003ACC" w:rsidRDefault="00DF1783" w:rsidP="00DF1783">
      <w:pPr>
        <w:spacing w:after="0" w:line="276" w:lineRule="auto"/>
        <w:jc w:val="both"/>
        <w:rPr>
          <w:rFonts w:ascii="Verdana" w:eastAsia="Times New Roman" w:hAnsi="Verdana" w:cs="Arial"/>
          <w:color w:val="000000" w:themeColor="text1"/>
          <w:lang w:eastAsia="es-CO"/>
        </w:rPr>
      </w:pPr>
      <w:r>
        <w:rPr>
          <w:rFonts w:ascii="Verdana" w:eastAsia="Calibri" w:hAnsi="Verdana" w:cs="Arial"/>
          <w:bCs/>
          <w:lang w:val="es-ES_tradnl"/>
        </w:rPr>
        <w:t xml:space="preserve">El </w:t>
      </w:r>
      <w:r w:rsidRPr="0063743B">
        <w:rPr>
          <w:rFonts w:ascii="Verdana" w:eastAsia="Calibri" w:hAnsi="Verdana" w:cs="Arial"/>
          <w:bCs/>
          <w:lang w:val="es-ES_tradnl"/>
        </w:rPr>
        <w:t>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1"/>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63743B">
        <w:rPr>
          <w:rStyle w:val="Refdenotaalpie"/>
          <w:rFonts w:ascii="Verdana" w:eastAsia="Calibri" w:hAnsi="Verdana" w:cs="Arial"/>
          <w:bCs/>
          <w:lang w:val="es-ES_tradnl"/>
        </w:rPr>
        <w:footnoteReference w:id="2"/>
      </w:r>
      <w:r w:rsidRPr="0063743B">
        <w:rPr>
          <w:rFonts w:ascii="Verdana" w:eastAsia="Calibri" w:hAnsi="Verdana" w:cs="Arial"/>
          <w:bCs/>
          <w:lang w:val="es-ES_tradnl"/>
        </w:rPr>
        <w:t>.</w:t>
      </w:r>
    </w:p>
    <w:p w14:paraId="57904E96" w14:textId="77777777" w:rsidR="00DF1783" w:rsidRPr="0063743B" w:rsidRDefault="00DF1783" w:rsidP="00DF1783">
      <w:pPr>
        <w:spacing w:before="120" w:after="120" w:line="276" w:lineRule="auto"/>
        <w:ind w:firstLine="709"/>
        <w:jc w:val="both"/>
        <w:rPr>
          <w:rFonts w:ascii="Verdana" w:eastAsia="Calibri" w:hAnsi="Verdana" w:cs="Arial"/>
          <w:lang w:val="es-ES"/>
        </w:rPr>
      </w:pPr>
      <w:bookmarkStart w:id="5" w:name="_Hlk38819155"/>
      <w:r w:rsidRPr="0063743B">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5"/>
    </w:p>
    <w:p w14:paraId="5623C621" w14:textId="77777777" w:rsidR="00DF1783" w:rsidRPr="0063743B" w:rsidRDefault="00DF1783" w:rsidP="00DF1783">
      <w:pPr>
        <w:spacing w:before="120" w:after="120" w:line="276" w:lineRule="auto"/>
        <w:ind w:firstLine="709"/>
        <w:jc w:val="both"/>
        <w:rPr>
          <w:rFonts w:ascii="Verdana" w:eastAsia="Calibri" w:hAnsi="Verdana" w:cs="Arial"/>
          <w:lang w:val="es-ES"/>
        </w:rPr>
      </w:pPr>
      <w:bookmarkStart w:id="6" w:name="_Hlk95756032"/>
      <w:r w:rsidRPr="0063743B">
        <w:rPr>
          <w:rFonts w:ascii="Verdana" w:eastAsia="Calibri" w:hAnsi="Verdana" w:cs="Arial"/>
          <w:lang w:val="es-ES"/>
        </w:rPr>
        <w:lastRenderedPageBreak/>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6"/>
    <w:p w14:paraId="3574C092" w14:textId="77777777" w:rsidR="00DF1783" w:rsidRPr="0063743B" w:rsidRDefault="00DF1783" w:rsidP="00DF1783">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3"/>
      </w:r>
      <w:r w:rsidRPr="0063743B">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4"/>
      </w:r>
      <w:r w:rsidRPr="0063743B">
        <w:rPr>
          <w:rFonts w:ascii="Verdana" w:eastAsia="Calibri" w:hAnsi="Verdana" w:cs="Arial"/>
          <w:bCs/>
          <w:lang w:val="es-ES_tradnl"/>
        </w:rPr>
        <w:t>.</w:t>
      </w:r>
    </w:p>
    <w:p w14:paraId="5B0C800C" w14:textId="77777777" w:rsidR="00DF1783" w:rsidRPr="0063743B" w:rsidRDefault="00DF1783" w:rsidP="00DF1783">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 xml:space="preserve">La normativa vigente no impide que varias entidades suscriban conjuntamente el convenio de asociación y tampoco que dos o más ESAL pueden </w:t>
      </w:r>
      <w:r w:rsidRPr="0063743B">
        <w:rPr>
          <w:rFonts w:ascii="Verdana" w:eastAsia="Calibri" w:hAnsi="Verdana" w:cs="Arial"/>
          <w:bCs/>
          <w:lang w:val="es-ES_tradnl"/>
        </w:rPr>
        <w:lastRenderedPageBreak/>
        <w:t>hacerlo, a través de las figuras asociativas autorizadas por la ley, por ejemplo, como unión temporal o como consorcio</w:t>
      </w:r>
      <w:r w:rsidRPr="0063743B">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0999327E" w14:textId="77777777" w:rsidR="00DF1783" w:rsidRPr="0063743B" w:rsidRDefault="00DF1783" w:rsidP="00DF1783">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532AEFD" w14:textId="77777777" w:rsidR="00DF1783" w:rsidRPr="0063743B" w:rsidRDefault="00DF1783" w:rsidP="00DF1783">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w:t>
      </w:r>
      <w:r w:rsidRPr="0063743B">
        <w:rPr>
          <w:rFonts w:ascii="Verdana" w:hAnsi="Verdana" w:cs="Arial"/>
          <w:color w:val="000000" w:themeColor="text1"/>
          <w:sz w:val="22"/>
        </w:rPr>
        <w:lastRenderedPageBreak/>
        <w:t>2007, y no el Decreto 092 de 2017”</w:t>
      </w:r>
      <w:r w:rsidRPr="0063743B">
        <w:rPr>
          <w:rStyle w:val="Refdenotaalpie"/>
          <w:rFonts w:ascii="Verdana" w:hAnsi="Verdana" w:cs="Arial"/>
          <w:color w:val="000000" w:themeColor="text1"/>
          <w:sz w:val="22"/>
        </w:rPr>
        <w:footnoteReference w:id="5"/>
      </w:r>
      <w:r w:rsidRPr="0063743B">
        <w:rPr>
          <w:rFonts w:ascii="Verdana" w:hAnsi="Verdana" w:cs="Arial"/>
          <w:color w:val="000000" w:themeColor="text1"/>
          <w:sz w:val="22"/>
        </w:rPr>
        <w:t>. Así lo consideró la Sala de Consulta y Servicio Civil del Consejo de Estado:</w:t>
      </w:r>
    </w:p>
    <w:p w14:paraId="147007FD" w14:textId="77777777" w:rsidR="00DF1783" w:rsidRPr="0063743B" w:rsidRDefault="00DF1783" w:rsidP="00DF1783">
      <w:pPr>
        <w:pStyle w:val="Sinespaciado"/>
        <w:spacing w:line="276" w:lineRule="auto"/>
        <w:jc w:val="both"/>
        <w:rPr>
          <w:rFonts w:ascii="Verdana" w:hAnsi="Verdana" w:cs="Arial"/>
          <w:color w:val="000000" w:themeColor="text1"/>
          <w:sz w:val="22"/>
        </w:rPr>
      </w:pPr>
    </w:p>
    <w:p w14:paraId="28EF33DA" w14:textId="77777777" w:rsidR="00DF1783" w:rsidRPr="00E92DA5" w:rsidRDefault="00DF1783" w:rsidP="00DF1783">
      <w:pPr>
        <w:spacing w:line="240" w:lineRule="auto"/>
        <w:ind w:left="709"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7BA4FBD9" w14:textId="77777777" w:rsidR="00DF1783" w:rsidRPr="00E92DA5" w:rsidRDefault="00DF1783" w:rsidP="00DF1783">
      <w:pPr>
        <w:spacing w:after="0" w:line="240" w:lineRule="auto"/>
        <w:ind w:left="708"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E92DA5">
        <w:rPr>
          <w:rStyle w:val="Refdenotaalpie"/>
          <w:rFonts w:ascii="Verdana" w:hAnsi="Verdana" w:cs="Arial"/>
          <w:color w:val="000000" w:themeColor="text1"/>
          <w:sz w:val="20"/>
          <w:szCs w:val="20"/>
        </w:rPr>
        <w:footnoteReference w:id="6"/>
      </w:r>
      <w:r w:rsidRPr="00E92DA5">
        <w:rPr>
          <w:rFonts w:ascii="Verdana" w:eastAsia="Calibri" w:hAnsi="Verdana" w:cs="Arial"/>
          <w:color w:val="000000" w:themeColor="text1"/>
          <w:sz w:val="20"/>
          <w:szCs w:val="20"/>
        </w:rPr>
        <w:t>.</w:t>
      </w:r>
    </w:p>
    <w:p w14:paraId="035EA2E1" w14:textId="77777777" w:rsidR="00DF1783" w:rsidRPr="0063743B" w:rsidRDefault="00DF1783" w:rsidP="00DF1783">
      <w:pPr>
        <w:spacing w:after="0" w:line="276" w:lineRule="auto"/>
        <w:ind w:firstLine="708"/>
        <w:jc w:val="both"/>
        <w:rPr>
          <w:rFonts w:ascii="Verdana" w:eastAsia="Calibri" w:hAnsi="Verdana" w:cs="Arial"/>
          <w:color w:val="000000" w:themeColor="text1"/>
        </w:rPr>
      </w:pPr>
      <w:bookmarkStart w:id="7" w:name="_Hlk95756200"/>
    </w:p>
    <w:p w14:paraId="609B4C8E" w14:textId="77777777" w:rsidR="00DF1783" w:rsidRPr="0063743B" w:rsidRDefault="00DF1783" w:rsidP="00DF1783">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7"/>
      <w:r w:rsidRPr="0063743B">
        <w:rPr>
          <w:rFonts w:ascii="Verdana" w:eastAsia="Calibri" w:hAnsi="Verdana" w:cs="Arial"/>
          <w:color w:val="000000" w:themeColor="text1"/>
        </w:rPr>
        <w:t>Así lo reconoció la Corte Constitucional en la sentencia C-287 del 18 de abril de 2012, en la que sostuvo lo siguiente:</w:t>
      </w:r>
    </w:p>
    <w:p w14:paraId="40D4D3FB" w14:textId="77777777" w:rsidR="00DF1783" w:rsidRPr="0063743B" w:rsidRDefault="00DF1783" w:rsidP="00DF1783">
      <w:pPr>
        <w:spacing w:after="0" w:line="276" w:lineRule="auto"/>
        <w:ind w:firstLine="708"/>
        <w:jc w:val="both"/>
        <w:rPr>
          <w:rFonts w:ascii="Verdana" w:eastAsia="Calibri" w:hAnsi="Verdana" w:cs="Arial"/>
          <w:color w:val="000000" w:themeColor="text1"/>
        </w:rPr>
      </w:pPr>
    </w:p>
    <w:p w14:paraId="3FD50958" w14:textId="77777777" w:rsidR="00DF1783" w:rsidRPr="00E92DA5" w:rsidRDefault="00DF1783" w:rsidP="00DF1783">
      <w:pPr>
        <w:spacing w:line="240" w:lineRule="auto"/>
        <w:ind w:left="709"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6AD4418B" w14:textId="77777777" w:rsidR="00DF1783" w:rsidRPr="0063743B" w:rsidRDefault="00DF1783" w:rsidP="00DF1783">
      <w:pPr>
        <w:spacing w:after="0" w:line="240" w:lineRule="auto"/>
        <w:ind w:left="709" w:right="709"/>
        <w:jc w:val="both"/>
        <w:rPr>
          <w:rFonts w:ascii="Verdana" w:eastAsia="Calibri" w:hAnsi="Verdana" w:cs="Arial"/>
          <w:color w:val="000000" w:themeColor="text1"/>
          <w:sz w:val="21"/>
          <w:szCs w:val="21"/>
        </w:rPr>
      </w:pPr>
      <w:r w:rsidRPr="00E92DA5">
        <w:rPr>
          <w:rFonts w:ascii="Verdana" w:eastAsia="Calibri" w:hAnsi="Verdana" w:cs="Arial"/>
          <w:i/>
          <w:iCs/>
          <w:color w:val="000000" w:themeColor="text1"/>
          <w:sz w:val="20"/>
          <w:szCs w:val="20"/>
        </w:rPr>
        <w:t xml:space="preserve">Sin embargo, el hecho que no persigan una finalidad lucrativa, no significa que no desarrollen actividades que generen utilidades, lo que pasa es que </w:t>
      </w:r>
      <w:r w:rsidRPr="00E92DA5">
        <w:rPr>
          <w:rFonts w:ascii="Verdana" w:eastAsia="Calibri" w:hAnsi="Verdana" w:cs="Arial"/>
          <w:i/>
          <w:iCs/>
          <w:color w:val="000000" w:themeColor="text1"/>
          <w:sz w:val="20"/>
          <w:szCs w:val="20"/>
        </w:rPr>
        <w:lastRenderedPageBreak/>
        <w:t>a diferencia de las sociedades, el lucro o ganancia obtenida no se reparte entre sus miembros sino que se integra al patrimonio de la asociación para la obtención del fin deseado</w:t>
      </w:r>
      <w:r w:rsidRPr="00E92DA5">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6BE363C2" w14:textId="77777777" w:rsidR="00DF1783" w:rsidRPr="0063743B" w:rsidRDefault="00DF1783" w:rsidP="00DF1783">
      <w:pPr>
        <w:spacing w:after="0" w:line="276" w:lineRule="auto"/>
        <w:ind w:firstLine="709"/>
        <w:jc w:val="both"/>
        <w:rPr>
          <w:rFonts w:ascii="Verdana" w:eastAsia="Calibri" w:hAnsi="Verdana" w:cs="Arial"/>
          <w:color w:val="000000" w:themeColor="text1"/>
        </w:rPr>
      </w:pPr>
    </w:p>
    <w:p w14:paraId="0D7709D5" w14:textId="77777777" w:rsidR="00DF1783" w:rsidRPr="0063743B" w:rsidRDefault="00DF1783" w:rsidP="00DF1783">
      <w:pPr>
        <w:spacing w:after="12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2AC0E9B3" w14:textId="77777777" w:rsidR="00DF1783" w:rsidRPr="000A33B7" w:rsidRDefault="00DF1783" w:rsidP="00DF1783">
      <w:pPr>
        <w:spacing w:line="276" w:lineRule="auto"/>
        <w:ind w:firstLine="709"/>
        <w:jc w:val="both"/>
        <w:rPr>
          <w:rFonts w:ascii="Verdana" w:eastAsia="Calibri" w:hAnsi="Verdana" w:cs="Arial"/>
          <w:color w:val="000000" w:themeColor="text1"/>
        </w:rPr>
      </w:pPr>
      <w:r>
        <w:rPr>
          <w:rFonts w:ascii="Verdana" w:hAnsi="Verdana" w:cs="Arial"/>
          <w:color w:val="000000" w:themeColor="text1"/>
        </w:rPr>
        <w:t>Es importante tener en cuenta que 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y v) el contrato no debe establecer una </w:t>
      </w:r>
      <w:r w:rsidRPr="000A33B7">
        <w:rPr>
          <w:rFonts w:ascii="Verdana" w:hAnsi="Verdana" w:cs="Arial"/>
          <w:color w:val="000000" w:themeColor="text1"/>
        </w:rPr>
        <w:lastRenderedPageBreak/>
        <w:t>relación conmutativa en el cual haya una contraprestación directa a favor de la entidad, ni instrucciones precisas dadas por esta al contratista para cumplir con el objeto del contrato.</w:t>
      </w:r>
    </w:p>
    <w:p w14:paraId="45D25025" w14:textId="77777777" w:rsidR="00DF1783" w:rsidRDefault="00DF1783" w:rsidP="00DF1783">
      <w:pPr>
        <w:tabs>
          <w:tab w:val="left" w:pos="0"/>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0A33B7">
        <w:rPr>
          <w:rStyle w:val="Refdenotaalpie"/>
          <w:rFonts w:ascii="Verdana" w:hAnsi="Verdana" w:cs="Arial"/>
          <w:color w:val="000000" w:themeColor="text1"/>
        </w:rPr>
        <w:footnoteReference w:id="7"/>
      </w:r>
      <w:r w:rsidRPr="000A33B7">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0A33B7">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3059664C" w14:textId="77777777" w:rsidR="00DF1783" w:rsidRDefault="00DF1783" w:rsidP="00DF1783">
      <w:pPr>
        <w:tabs>
          <w:tab w:val="left" w:pos="0"/>
        </w:tabs>
        <w:spacing w:after="120" w:line="276" w:lineRule="auto"/>
        <w:jc w:val="both"/>
        <w:rPr>
          <w:rFonts w:ascii="Verdana" w:eastAsia="Calibri" w:hAnsi="Verdana" w:cs="Arial"/>
          <w:bCs/>
          <w:iCs/>
          <w:lang w:val="es-ES_tradnl"/>
        </w:rPr>
      </w:pPr>
      <w:r>
        <w:rPr>
          <w:rFonts w:ascii="Verdana" w:eastAsia="Calibri" w:hAnsi="Verdana" w:cs="Arial"/>
          <w:color w:val="000000" w:themeColor="text1"/>
        </w:rPr>
        <w:tab/>
        <w:t xml:space="preserve">Lo importante es que tanto los </w:t>
      </w:r>
      <w:r w:rsidRPr="0063743B">
        <w:rPr>
          <w:rFonts w:ascii="Verdana" w:eastAsia="Calibri" w:hAnsi="Verdana" w:cs="Arial"/>
          <w:i/>
          <w:iCs/>
          <w:lang w:val="es-ES"/>
        </w:rPr>
        <w:t>contratos del artículo 355 de la Constitución Política</w:t>
      </w:r>
      <w:r>
        <w:rPr>
          <w:rFonts w:ascii="Verdana" w:eastAsia="Calibri" w:hAnsi="Verdana" w:cs="Arial"/>
          <w:lang w:val="es-ES"/>
        </w:rPr>
        <w:t xml:space="preserve"> como los </w:t>
      </w:r>
      <w:r w:rsidRPr="0063743B">
        <w:rPr>
          <w:rFonts w:ascii="Verdana" w:eastAsia="Calibri" w:hAnsi="Verdana" w:cs="Arial"/>
          <w:bCs/>
          <w:i/>
          <w:lang w:val="es-ES_tradnl"/>
        </w:rPr>
        <w:t>convenios de asociación</w:t>
      </w:r>
      <w:r>
        <w:rPr>
          <w:rFonts w:ascii="Verdana" w:eastAsia="Calibri" w:hAnsi="Verdana" w:cs="Arial"/>
          <w:bCs/>
          <w:i/>
          <w:lang w:val="es-ES_tradnl"/>
        </w:rPr>
        <w:t xml:space="preserve"> del artículo 96 de la Ley 489 de 1998</w:t>
      </w:r>
      <w:r>
        <w:rPr>
          <w:rFonts w:ascii="Verdana" w:eastAsia="Calibri" w:hAnsi="Verdana" w:cs="Arial"/>
          <w:bCs/>
          <w:iCs/>
          <w:lang w:val="es-ES_tradnl"/>
        </w:rPr>
        <w:t xml:space="preserve"> sólo pueden suscribirse con “entidades privadas sin ánimo de lucro”. Por un lado, el inciso segundo del artículo 355 superior dispone que “</w:t>
      </w:r>
      <w:r w:rsidRPr="0039527A">
        <w:rPr>
          <w:rFonts w:ascii="Verdana" w:eastAsia="Calibri" w:hAnsi="Verdana" w:cs="Arial"/>
          <w:bCs/>
          <w:iCs/>
          <w:lang w:val="es-ES_tradnl"/>
        </w:rPr>
        <w:t xml:space="preserve">El Gobierno, en los niveles nacional, departamental, distrital y municipal podrá, con recursos de los respectivos presupuestos, celebrar contratos con </w:t>
      </w:r>
      <w:r w:rsidRPr="0039527A">
        <w:rPr>
          <w:rFonts w:ascii="Verdana" w:eastAsia="Calibri" w:hAnsi="Verdana" w:cs="Arial"/>
          <w:bCs/>
          <w:i/>
          <w:lang w:val="es-ES_tradnl"/>
        </w:rPr>
        <w:t>entidades privadas sin ánimo de lucro</w:t>
      </w:r>
      <w:r w:rsidRPr="0039527A">
        <w:rPr>
          <w:rFonts w:ascii="Verdana" w:eastAsia="Calibri" w:hAnsi="Verdana" w:cs="Arial"/>
          <w:bCs/>
          <w:iCs/>
          <w:lang w:val="es-ES_tradnl"/>
        </w:rPr>
        <w:t xml:space="preserve"> y de reconocida idoneidad con el fin de impulsar programas y actividades de interés público acordes con el Plan Nacional y con los planes seccionales de Desarrollo</w:t>
      </w:r>
      <w:r>
        <w:rPr>
          <w:rFonts w:ascii="Verdana" w:eastAsia="Calibri" w:hAnsi="Verdana" w:cs="Arial"/>
          <w:bCs/>
          <w:iCs/>
          <w:lang w:val="es-ES_tradnl"/>
        </w:rPr>
        <w:t xml:space="preserve"> […]” (Énfasis fuera de texto)</w:t>
      </w:r>
    </w:p>
    <w:p w14:paraId="70B636B1" w14:textId="77777777" w:rsidR="00DF1783" w:rsidRDefault="00DF1783" w:rsidP="00DF1783">
      <w:pPr>
        <w:tabs>
          <w:tab w:val="left" w:pos="0"/>
        </w:tabs>
        <w:spacing w:after="120" w:line="276" w:lineRule="auto"/>
        <w:jc w:val="both"/>
        <w:rPr>
          <w:rFonts w:ascii="Verdana" w:eastAsia="Calibri" w:hAnsi="Verdana" w:cs="Arial"/>
          <w:lang w:val="es-ES" w:eastAsia="es-ES"/>
        </w:rPr>
      </w:pPr>
      <w:r>
        <w:rPr>
          <w:rFonts w:ascii="Verdana" w:eastAsia="Calibri" w:hAnsi="Verdana" w:cs="Arial"/>
          <w:bCs/>
          <w:iCs/>
          <w:lang w:val="es-ES_tradnl"/>
        </w:rPr>
        <w:tab/>
        <w:t xml:space="preserve">Por otra parte, </w:t>
      </w:r>
      <w:r>
        <w:rPr>
          <w:rFonts w:ascii="Verdana" w:eastAsia="Calibri" w:hAnsi="Verdana" w:cs="Arial"/>
        </w:rPr>
        <w:t>a</w:t>
      </w:r>
      <w:r w:rsidRPr="000C25C9">
        <w:rPr>
          <w:rFonts w:ascii="Verdana" w:eastAsia="Calibri" w:hAnsi="Verdana" w:cs="Arial"/>
        </w:rPr>
        <w:t xml:space="preserve">unque el artículo 96 de la Ley 489 de 1998 se refiere genéricamente a la noción “personas jurídicas particulares”, lo cierto es que los </w:t>
      </w:r>
      <w:r w:rsidRPr="000C25C9">
        <w:rPr>
          <w:rFonts w:ascii="Verdana" w:eastAsia="Calibri" w:hAnsi="Verdana" w:cs="Arial"/>
          <w:i/>
          <w:iCs/>
        </w:rPr>
        <w:t xml:space="preserve">convenios de asociación </w:t>
      </w:r>
      <w:r w:rsidRPr="000C25C9">
        <w:rPr>
          <w:rFonts w:ascii="Verdana" w:eastAsia="Calibri" w:hAnsi="Verdana" w:cs="Arial"/>
        </w:rPr>
        <w:t>que regula esa norma únicamente pueden celebrarse con ESAL. Esto es así porque el inciso segundo de la misma disposición establece que tales convenios “se celebrarán de conformidad con lo dispuesto en el artículo 355 de la Constitución Política”,</w:t>
      </w:r>
      <w:r>
        <w:rPr>
          <w:rFonts w:ascii="Verdana" w:eastAsia="Calibri" w:hAnsi="Verdana" w:cs="Arial"/>
        </w:rPr>
        <w:t xml:space="preserve"> es decir, </w:t>
      </w:r>
      <w:r>
        <w:rPr>
          <w:rFonts w:ascii="Verdana" w:eastAsia="Calibri" w:hAnsi="Verdana" w:cs="Arial"/>
          <w:bCs/>
          <w:iCs/>
          <w:lang w:val="es-ES_tradnl"/>
        </w:rPr>
        <w:t>con “entidades privadas sin ánimo de lucro” en los términos indicados en el párrafo precedente</w:t>
      </w:r>
      <w:r w:rsidRPr="000C25C9">
        <w:rPr>
          <w:rFonts w:ascii="Verdana" w:eastAsia="Calibri" w:hAnsi="Verdana" w:cs="Arial"/>
        </w:rPr>
        <w:t xml:space="preserve">. Es de resaltar que el artículo 355 de la Constitución fue desarrollado por el Decreto </w:t>
      </w:r>
      <w:r>
        <w:rPr>
          <w:rFonts w:ascii="Verdana" w:eastAsia="Calibri" w:hAnsi="Verdana" w:cs="Arial"/>
        </w:rPr>
        <w:t>0</w:t>
      </w:r>
      <w:r w:rsidRPr="000C25C9">
        <w:rPr>
          <w:rFonts w:ascii="Verdana" w:eastAsia="Calibri" w:hAnsi="Verdana" w:cs="Arial"/>
        </w:rPr>
        <w:t xml:space="preserve">92 de 2017, cuyo </w:t>
      </w:r>
      <w:r w:rsidRPr="000C25C9">
        <w:rPr>
          <w:rFonts w:ascii="Verdana" w:eastAsia="Calibri" w:hAnsi="Verdana" w:cs="Arial"/>
        </w:rPr>
        <w:lastRenderedPageBreak/>
        <w:t>artículo 5 señala concretamente que los negocios jurídicos se deben celebrar únicamente con las ESAL.</w:t>
      </w:r>
      <w:r>
        <w:rPr>
          <w:rFonts w:ascii="Verdana" w:eastAsia="Calibri" w:hAnsi="Verdana" w:cs="Arial"/>
        </w:rPr>
        <w:t xml:space="preserve"> Por ello, en el Concepto C-057 </w:t>
      </w:r>
      <w:r>
        <w:rPr>
          <w:rFonts w:ascii="Verdana" w:eastAsia="Calibri" w:hAnsi="Verdana" w:cs="Arial"/>
          <w:lang w:val="es-ES" w:eastAsia="es-ES"/>
        </w:rPr>
        <w:t xml:space="preserve">del 10 de marzo de 2021, la Agencia sostuvo que “[…] </w:t>
      </w:r>
      <w:r w:rsidRPr="000C25C9">
        <w:rPr>
          <w:rFonts w:ascii="Verdana" w:eastAsia="Calibri" w:hAnsi="Verdana" w:cs="Arial"/>
          <w:lang w:val="es-ES" w:eastAsia="es-ES"/>
        </w:rPr>
        <w:t>debe destacarse el requisito consistente en que los convenios de que trata el Decreto 092 de 2017 solamente se pueden celebrar con entidades privadas sin ánimo de lucro –ESAL–, por lo que no es posible celebrarlos con personas con ánimo de lucro</w:t>
      </w:r>
      <w:r>
        <w:rPr>
          <w:rFonts w:ascii="Verdana" w:eastAsia="Calibri" w:hAnsi="Verdana" w:cs="Arial"/>
          <w:lang w:val="es-ES" w:eastAsia="es-ES"/>
        </w:rPr>
        <w:t>”</w:t>
      </w:r>
      <w:r w:rsidRPr="000C25C9">
        <w:rPr>
          <w:rFonts w:ascii="Verdana" w:eastAsia="Calibri" w:hAnsi="Verdana" w:cs="Arial"/>
          <w:lang w:val="es-ES" w:eastAsia="es-ES"/>
        </w:rPr>
        <w:t>.</w:t>
      </w:r>
    </w:p>
    <w:p w14:paraId="195D1046" w14:textId="77777777" w:rsidR="00DF1783" w:rsidRPr="00A0384D" w:rsidRDefault="00DF1783" w:rsidP="00DF1783">
      <w:pPr>
        <w:tabs>
          <w:tab w:val="left" w:pos="0"/>
        </w:tabs>
        <w:spacing w:after="120" w:line="276" w:lineRule="auto"/>
        <w:jc w:val="both"/>
        <w:rPr>
          <w:rFonts w:ascii="Verdana" w:eastAsia="Calibri" w:hAnsi="Verdana" w:cs="Arial"/>
          <w:iCs/>
          <w:color w:val="000000" w:themeColor="text1"/>
        </w:rPr>
      </w:pPr>
      <w:r>
        <w:rPr>
          <w:rFonts w:ascii="Verdana" w:eastAsia="Calibri" w:hAnsi="Verdana" w:cs="Arial"/>
          <w:lang w:val="es-ES" w:eastAsia="es-ES"/>
        </w:rPr>
        <w:tab/>
        <w:t xml:space="preserve">Aunque el artículo 96 </w:t>
      </w:r>
      <w:r w:rsidRPr="00EC2324">
        <w:rPr>
          <w:rFonts w:ascii="Verdana" w:eastAsia="Calibri" w:hAnsi="Verdana" w:cs="Arial"/>
          <w:i/>
          <w:iCs/>
          <w:lang w:val="es-ES" w:eastAsia="es-ES"/>
        </w:rPr>
        <w:t>ibidem</w:t>
      </w:r>
      <w:r>
        <w:rPr>
          <w:rFonts w:ascii="Verdana" w:eastAsia="Calibri" w:hAnsi="Verdana" w:cs="Arial"/>
          <w:lang w:val="es-ES" w:eastAsia="es-ES"/>
        </w:rPr>
        <w:t xml:space="preserve"> también permite que las entidades públicas se asocien con </w:t>
      </w:r>
      <w:r>
        <w:rPr>
          <w:rFonts w:ascii="Verdana" w:eastAsia="Calibri" w:hAnsi="Verdana" w:cs="Arial"/>
          <w:bCs/>
          <w:iCs/>
          <w:lang w:val="es-ES_tradnl"/>
        </w:rPr>
        <w:t>particulares para crear personas jurídicas sin ánimo de lucro conforme a las reglas d</w:t>
      </w:r>
      <w:r w:rsidRPr="00EC2324">
        <w:rPr>
          <w:rFonts w:ascii="Verdana" w:eastAsia="Calibri" w:hAnsi="Verdana" w:cs="Arial"/>
          <w:bCs/>
          <w:iCs/>
          <w:lang w:val="es-ES_tradnl"/>
        </w:rPr>
        <w:t>el Código Civil para las asociaciones civiles de utilidad común</w:t>
      </w:r>
      <w:r>
        <w:rPr>
          <w:rFonts w:ascii="Verdana" w:eastAsia="Calibri" w:hAnsi="Verdana" w:cs="Arial"/>
          <w:bCs/>
          <w:iCs/>
          <w:lang w:val="es-ES_tradnl"/>
        </w:rPr>
        <w:t xml:space="preserve">, es necesario tener en cuenta que –de acuerdo con el literal a) del artículo 2.1 de la Ley 80 de 1993– son entidades públicas “[…] </w:t>
      </w:r>
      <w:r w:rsidRPr="00A0384D">
        <w:rPr>
          <w:rFonts w:ascii="Verdana" w:eastAsia="Calibri" w:hAnsi="Verdana" w:cs="Arial"/>
          <w:bCs/>
          <w:iCs/>
          <w:lang w:val="es-ES_tradnl"/>
        </w:rPr>
        <w:t xml:space="preserve">las sociedades de economía mixta en las que el Estado tenga participación superior al cincuenta por ciento (50%), así como las entidades descentralizadas indirectas y </w:t>
      </w:r>
      <w:r w:rsidRPr="00A0384D">
        <w:rPr>
          <w:rFonts w:ascii="Verdana" w:eastAsia="Calibri" w:hAnsi="Verdana" w:cs="Arial"/>
          <w:bCs/>
          <w:i/>
          <w:lang w:val="es-ES_tradnl"/>
        </w:rPr>
        <w:t>las demás personas jurídicas en las que exista dicha participación pública mayoritaria, cualquiera sea la denominación que ellas adopten, en todos los órdenes y niveles</w:t>
      </w:r>
      <w:r>
        <w:rPr>
          <w:rFonts w:ascii="Verdana" w:eastAsia="Calibri" w:hAnsi="Verdana" w:cs="Arial"/>
          <w:bCs/>
          <w:iCs/>
          <w:lang w:val="es-ES_tradnl"/>
        </w:rPr>
        <w:t>” (Énfasis fuera de texto). Luego, las personas jurídicas sin ánimo de lucro con participación mayoritaria del Estado son entidades públicas; razón por la cual, al no tener el carácter de “entidades privadas sin ánimo de lucro”, no son destinatarias del régimen jurídico especial del Decreto 092 de 2017.</w:t>
      </w:r>
    </w:p>
    <w:p w14:paraId="22461D88" w14:textId="77777777" w:rsidR="00DF1783" w:rsidRDefault="00DF1783" w:rsidP="00DF1783">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6E7A48C" w14:textId="77777777" w:rsidR="00DF1783" w:rsidRPr="00301910" w:rsidRDefault="00DF1783" w:rsidP="00DF1783">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6539F8">
        <w:rPr>
          <w:rFonts w:ascii="Verdana" w:hAnsi="Verdana" w:cs="Arial"/>
          <w:lang w:eastAsia="es-ES"/>
        </w:rPr>
        <w:lastRenderedPageBreak/>
        <w:t>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2FA08D44" w14:textId="77777777" w:rsidR="00DF1783" w:rsidRPr="00182C89" w:rsidRDefault="00DF1783" w:rsidP="00DF1783">
      <w:pPr>
        <w:tabs>
          <w:tab w:val="left" w:pos="709"/>
        </w:tabs>
        <w:spacing w:after="0" w:line="276" w:lineRule="auto"/>
        <w:jc w:val="both"/>
        <w:rPr>
          <w:rFonts w:ascii="Verdana" w:eastAsia="Calibri" w:hAnsi="Verdana" w:cs="Arial"/>
          <w:color w:val="000000" w:themeColor="text1"/>
        </w:rPr>
      </w:pPr>
    </w:p>
    <w:p w14:paraId="3D582DAA" w14:textId="77777777" w:rsidR="00DF1783" w:rsidRPr="00AE65D5" w:rsidRDefault="00DF1783" w:rsidP="00DF1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ADCA2EE" w14:textId="77777777" w:rsidR="00DF1783" w:rsidRPr="00593A5F" w:rsidRDefault="00DF1783" w:rsidP="00DF178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1783" w:rsidRPr="002407CE" w14:paraId="06CB89C6" w14:textId="77777777" w:rsidTr="00080168">
        <w:trPr>
          <w:trHeight w:val="870"/>
          <w:jc w:val="center"/>
        </w:trPr>
        <w:tc>
          <w:tcPr>
            <w:tcW w:w="8647" w:type="dxa"/>
          </w:tcPr>
          <w:p w14:paraId="7D636BEF" w14:textId="77777777" w:rsidR="00DF1783" w:rsidRPr="00192B26" w:rsidRDefault="00DF1783" w:rsidP="0008016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355.</w:t>
            </w:r>
          </w:p>
          <w:p w14:paraId="6A30AA2E" w14:textId="77777777" w:rsidR="00DF1783" w:rsidRDefault="00DF1783" w:rsidP="0008016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67FD9860" w14:textId="77777777" w:rsidR="00DF1783" w:rsidRPr="00450036" w:rsidRDefault="00DF1783" w:rsidP="0008016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092 de 2017, artículos 2, 3, 4, 5, 6, 7 y 8. </w:t>
            </w:r>
            <w:r w:rsidRPr="00450036">
              <w:rPr>
                <w:rFonts w:ascii="Verdana" w:hAnsi="Verdana" w:cs="Arial"/>
              </w:rPr>
              <w:t xml:space="preserve">  </w:t>
            </w:r>
          </w:p>
        </w:tc>
      </w:tr>
    </w:tbl>
    <w:p w14:paraId="49711DD0" w14:textId="77777777" w:rsidR="00DF1783" w:rsidRPr="002407CE" w:rsidRDefault="00DF1783" w:rsidP="00DF1783">
      <w:pPr>
        <w:widowControl w:val="0"/>
        <w:autoSpaceDE w:val="0"/>
        <w:autoSpaceDN w:val="0"/>
        <w:spacing w:after="0" w:line="276" w:lineRule="auto"/>
        <w:jc w:val="both"/>
        <w:rPr>
          <w:rFonts w:ascii="Verdana" w:hAnsi="Verdana" w:cs="Arial"/>
        </w:rPr>
      </w:pPr>
    </w:p>
    <w:p w14:paraId="139186D6" w14:textId="77777777" w:rsidR="00DF1783" w:rsidRPr="00593A5F" w:rsidRDefault="00DF1783" w:rsidP="00DF1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0EE8427" w14:textId="77777777" w:rsidR="00DF1783" w:rsidRPr="00593A5F" w:rsidRDefault="00DF1783" w:rsidP="00DF1783">
      <w:pPr>
        <w:widowControl w:val="0"/>
        <w:autoSpaceDE w:val="0"/>
        <w:autoSpaceDN w:val="0"/>
        <w:spacing w:after="0" w:line="276" w:lineRule="auto"/>
        <w:jc w:val="both"/>
        <w:rPr>
          <w:rFonts w:ascii="Verdana" w:hAnsi="Verdana" w:cs="Arial"/>
        </w:rPr>
      </w:pPr>
    </w:p>
    <w:p w14:paraId="69509FC9" w14:textId="77777777" w:rsidR="00DF1783" w:rsidRPr="007E4299" w:rsidRDefault="00DF1783" w:rsidP="00DF1783">
      <w:pPr>
        <w:widowControl w:val="0"/>
        <w:autoSpaceDE w:val="0"/>
        <w:autoSpaceDN w:val="0"/>
        <w:spacing w:after="0" w:line="276" w:lineRule="auto"/>
        <w:jc w:val="both"/>
        <w:rPr>
          <w:rStyle w:val="normaltextrun"/>
          <w:rFonts w:ascii="Verdana" w:hAnsi="Verdana"/>
        </w:rPr>
      </w:pPr>
      <w:r w:rsidRPr="003775F4">
        <w:rPr>
          <w:rFonts w:ascii="Verdana" w:eastAsia="Calibri"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w:t>
      </w:r>
      <w:r>
        <w:rPr>
          <w:rFonts w:ascii="Verdana" w:eastAsia="Calibri" w:hAnsi="Verdana" w:cs="Arial"/>
          <w:shd w:val="clear" w:color="auto" w:fill="FFFFFF"/>
        </w:rPr>
        <w:t>,</w:t>
      </w:r>
      <w:r w:rsidRPr="003775F4">
        <w:rPr>
          <w:rFonts w:ascii="Verdana" w:eastAsia="Calibri" w:hAnsi="Verdana" w:cs="Arial"/>
          <w:shd w:val="clear" w:color="auto" w:fill="FFFFFF"/>
        </w:rPr>
        <w:t xml:space="preserve"> C-957 del 17 de diciembre de 2024</w:t>
      </w:r>
      <w:r>
        <w:rPr>
          <w:rFonts w:ascii="Verdana" w:eastAsia="Calibri" w:hAnsi="Verdana" w:cs="Arial"/>
          <w:shd w:val="clear" w:color="auto" w:fill="FFFFFF"/>
        </w:rPr>
        <w:t xml:space="preserve"> y C-967 del 1˚ de agosto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w:t>
      </w:r>
      <w:r w:rsidRPr="008D0AB0">
        <w:rPr>
          <w:rStyle w:val="normaltextrun"/>
          <w:rFonts w:ascii="Verdana" w:hAnsi="Verdana" w:cs="Arial"/>
          <w:shd w:val="clear" w:color="auto" w:fill="FFFFFF"/>
        </w:rPr>
        <w:lastRenderedPageBreak/>
        <w:t xml:space="preserve">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50ED722" w14:textId="77777777" w:rsidR="00DF1783" w:rsidRPr="00096788" w:rsidRDefault="00DF1783" w:rsidP="00DF1783">
      <w:pPr>
        <w:widowControl w:val="0"/>
        <w:autoSpaceDE w:val="0"/>
        <w:autoSpaceDN w:val="0"/>
        <w:spacing w:after="0" w:line="276" w:lineRule="auto"/>
        <w:jc w:val="both"/>
        <w:rPr>
          <w:rFonts w:ascii="Verdana" w:hAnsi="Verdana" w:cs="Arial"/>
          <w:color w:val="000000" w:themeColor="text1"/>
          <w:shd w:val="clear" w:color="auto" w:fill="FFFFFF"/>
        </w:rPr>
      </w:pPr>
    </w:p>
    <w:p w14:paraId="35600985" w14:textId="77777777" w:rsidR="00DF1783" w:rsidRDefault="00DF1783" w:rsidP="00DF1783">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405A08CF" w14:textId="77777777" w:rsidR="00DF1783" w:rsidRPr="009A385A" w:rsidRDefault="00DF1783" w:rsidP="00DF1783">
      <w:pPr>
        <w:spacing w:after="0"/>
        <w:jc w:val="both"/>
        <w:rPr>
          <w:rFonts w:ascii="Verdana" w:hAnsi="Verdana"/>
        </w:rPr>
      </w:pPr>
    </w:p>
    <w:p w14:paraId="5910D0B4" w14:textId="77777777" w:rsidR="00DF1783" w:rsidRDefault="00DF1783" w:rsidP="00DF1783">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75236B9E" w14:textId="77777777" w:rsidR="00DF1783" w:rsidRDefault="00DF1783" w:rsidP="00DF1783">
      <w:pPr>
        <w:spacing w:after="0"/>
        <w:jc w:val="both"/>
        <w:rPr>
          <w:rFonts w:ascii="Verdana" w:hAnsi="Verdana"/>
        </w:rPr>
      </w:pPr>
    </w:p>
    <w:p w14:paraId="6AE4919E" w14:textId="77777777" w:rsidR="00DF1783" w:rsidRPr="008E1CD7" w:rsidRDefault="00DF1783" w:rsidP="00DF1783">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DB358F3" w14:textId="77777777" w:rsidR="00DF1783" w:rsidRDefault="00DF1783" w:rsidP="00DF1783">
      <w:pPr>
        <w:shd w:val="clear" w:color="auto" w:fill="FFFFFF"/>
        <w:spacing w:after="0" w:line="276" w:lineRule="auto"/>
        <w:jc w:val="both"/>
        <w:rPr>
          <w:rFonts w:ascii="Verdana" w:hAnsi="Verdana"/>
          <w:color w:val="000000"/>
          <w:u w:val="single"/>
        </w:rPr>
      </w:pPr>
    </w:p>
    <w:p w14:paraId="44685A8A" w14:textId="77777777" w:rsidR="00DF1783" w:rsidRPr="0038088D" w:rsidRDefault="00DF1783" w:rsidP="00DF1783">
      <w:pPr>
        <w:spacing w:after="0"/>
        <w:jc w:val="both"/>
        <w:rPr>
          <w:rFonts w:ascii="Verdana" w:hAnsi="Verdana"/>
        </w:rPr>
      </w:pPr>
      <w:r>
        <w:rPr>
          <w:rFonts w:ascii="Verdana" w:hAnsi="Verdana"/>
        </w:rPr>
        <w:lastRenderedPageBreak/>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72662810" w14:textId="77777777" w:rsidR="00DF1783" w:rsidRPr="0038088D" w:rsidRDefault="00DF1783" w:rsidP="00DF1783">
      <w:pPr>
        <w:spacing w:after="0"/>
        <w:jc w:val="both"/>
        <w:rPr>
          <w:rFonts w:ascii="Verdana" w:hAnsi="Verdana"/>
        </w:rPr>
      </w:pPr>
    </w:p>
    <w:p w14:paraId="541BD609" w14:textId="77777777" w:rsidR="00DF1783" w:rsidRPr="0038088D" w:rsidRDefault="00DF1783" w:rsidP="00DF178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AEF0A95" w14:textId="77777777" w:rsidR="00DF1783" w:rsidRPr="0038088D" w:rsidRDefault="00DF1783" w:rsidP="00DF178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4F75E4DF" w14:textId="77777777" w:rsidR="00DF1783" w:rsidRPr="0038088D" w:rsidRDefault="00DF1783" w:rsidP="00DF178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78DA2AAE" w14:textId="77777777" w:rsidR="00DF1783" w:rsidRPr="0038088D" w:rsidRDefault="00DF1783" w:rsidP="00DF178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64A45616" w14:textId="77777777" w:rsidR="00DF1783" w:rsidRPr="0038088D" w:rsidRDefault="00DF1783" w:rsidP="00DF1783">
      <w:pPr>
        <w:spacing w:after="0" w:line="240" w:lineRule="auto"/>
        <w:ind w:left="720"/>
        <w:jc w:val="both"/>
        <w:rPr>
          <w:rFonts w:ascii="Verdana" w:hAnsi="Verdana"/>
        </w:rPr>
      </w:pPr>
    </w:p>
    <w:p w14:paraId="0F877405" w14:textId="77777777" w:rsidR="00DF1783" w:rsidRPr="0038088D" w:rsidRDefault="00DF1783" w:rsidP="00DF1783">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A7A981D" w14:textId="77777777" w:rsidR="00DF1783" w:rsidRPr="0038088D" w:rsidRDefault="00DF1783" w:rsidP="00DF1783">
      <w:pPr>
        <w:spacing w:after="0" w:line="240" w:lineRule="auto"/>
        <w:rPr>
          <w:rFonts w:ascii="Verdana" w:hAnsi="Verdana"/>
        </w:rPr>
      </w:pPr>
    </w:p>
    <w:p w14:paraId="2C2A887F" w14:textId="77777777" w:rsidR="00DF1783" w:rsidRPr="0038088D" w:rsidRDefault="00DF1783" w:rsidP="00DF178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76C3428E" w14:textId="77777777" w:rsidR="00DF1783" w:rsidRPr="00116940" w:rsidRDefault="00DF1783" w:rsidP="00DF1783">
      <w:pPr>
        <w:spacing w:after="0" w:line="240" w:lineRule="auto"/>
        <w:jc w:val="both"/>
        <w:rPr>
          <w:rFonts w:ascii="Verdana" w:hAnsi="Verdana"/>
        </w:rPr>
      </w:pPr>
    </w:p>
    <w:p w14:paraId="3BDD3A4C" w14:textId="77777777" w:rsidR="00DF1783" w:rsidRPr="00116940" w:rsidRDefault="00DF1783" w:rsidP="00DF178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1124110" w14:textId="77777777" w:rsidR="00DF1783" w:rsidRPr="00116940" w:rsidRDefault="00DF1783" w:rsidP="00DF178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456D948" w14:textId="77777777" w:rsidR="00DF1783" w:rsidRPr="00E22E6E" w:rsidRDefault="00DF1783" w:rsidP="00DF178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2DA6A29" w14:textId="77777777" w:rsidR="00DF1783" w:rsidRPr="009C4035" w:rsidRDefault="00DF1783" w:rsidP="00DF178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02779EB" w14:textId="77777777" w:rsidR="00DF1783" w:rsidRPr="00593A5F" w:rsidRDefault="00DF1783" w:rsidP="00DF178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57CE9BE" w14:textId="77777777" w:rsidR="00DF1783" w:rsidRPr="00593A5F" w:rsidRDefault="00DF1783" w:rsidP="00DF1783">
      <w:pPr>
        <w:widowControl w:val="0"/>
        <w:autoSpaceDE w:val="0"/>
        <w:autoSpaceDN w:val="0"/>
        <w:spacing w:after="0" w:line="276" w:lineRule="auto"/>
        <w:jc w:val="both"/>
        <w:rPr>
          <w:rFonts w:ascii="Verdana" w:hAnsi="Verdana" w:cs="Arial"/>
        </w:rPr>
      </w:pPr>
    </w:p>
    <w:p w14:paraId="241FC870" w14:textId="77777777" w:rsidR="00DF1783" w:rsidRPr="00593A5F" w:rsidRDefault="00DF1783" w:rsidP="00DF178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2592B31" w14:textId="2017EB0F" w:rsidR="00DF1783" w:rsidRPr="00593A5F" w:rsidRDefault="00374C41" w:rsidP="00DF1783">
      <w:pPr>
        <w:spacing w:line="276" w:lineRule="auto"/>
        <w:jc w:val="center"/>
        <w:rPr>
          <w:rFonts w:ascii="Verdana" w:hAnsi="Verdana" w:cs="Arial"/>
          <w:color w:val="000000"/>
          <w:lang w:val="es-ES_tradnl" w:eastAsia="es-CO"/>
        </w:rPr>
      </w:pPr>
      <w:r>
        <w:rPr>
          <w:noProof/>
        </w:rPr>
        <w:lastRenderedPageBreak/>
        <w:drawing>
          <wp:inline distT="0" distB="0" distL="0" distR="0" wp14:anchorId="50A170CB" wp14:editId="5C710D7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1783" w:rsidRPr="00593A5F" w14:paraId="2160AD56" w14:textId="77777777" w:rsidTr="00080168">
        <w:trPr>
          <w:trHeight w:val="315"/>
        </w:trPr>
        <w:tc>
          <w:tcPr>
            <w:tcW w:w="893" w:type="dxa"/>
            <w:vAlign w:val="center"/>
            <w:hideMark/>
          </w:tcPr>
          <w:p w14:paraId="61DADACA" w14:textId="77777777" w:rsidR="00DF1783" w:rsidRPr="003751C7" w:rsidRDefault="00DF1783" w:rsidP="0008016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0873B1" w14:textId="77777777" w:rsidR="00DF1783" w:rsidRPr="00254A7A" w:rsidRDefault="00DF1783" w:rsidP="0008016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34B0DE3" w14:textId="77777777" w:rsidR="00DF1783" w:rsidRPr="00254A7A" w:rsidRDefault="00DF1783" w:rsidP="0008016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F1783" w:rsidRPr="00593A5F" w14:paraId="3DD3DE11" w14:textId="77777777" w:rsidTr="00080168">
        <w:trPr>
          <w:trHeight w:val="330"/>
        </w:trPr>
        <w:tc>
          <w:tcPr>
            <w:tcW w:w="893" w:type="dxa"/>
            <w:vAlign w:val="center"/>
            <w:hideMark/>
          </w:tcPr>
          <w:p w14:paraId="14E67710" w14:textId="77777777" w:rsidR="00DF1783" w:rsidRPr="003751C7" w:rsidRDefault="00DF1783" w:rsidP="0008016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8726AD7" w14:textId="77777777" w:rsidR="00DF1783" w:rsidRPr="00D54D3D" w:rsidRDefault="00DF1783" w:rsidP="00080168">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0879A5A2" w14:textId="77777777" w:rsidR="00DF1783" w:rsidRPr="00254A7A" w:rsidRDefault="00DF1783" w:rsidP="00080168">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DF1783" w:rsidRPr="00593A5F" w14:paraId="3D5151F7" w14:textId="77777777" w:rsidTr="00080168">
        <w:trPr>
          <w:trHeight w:val="300"/>
        </w:trPr>
        <w:tc>
          <w:tcPr>
            <w:tcW w:w="893" w:type="dxa"/>
            <w:vAlign w:val="center"/>
          </w:tcPr>
          <w:p w14:paraId="03FAFE15" w14:textId="77777777" w:rsidR="00DF1783" w:rsidRPr="003751C7" w:rsidRDefault="00DF1783" w:rsidP="0008016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F21F2E" w14:textId="77777777" w:rsidR="00DF1783" w:rsidRPr="001133D2" w:rsidRDefault="00DF1783" w:rsidP="00080168">
            <w:pPr>
              <w:contextualSpacing/>
              <w:rPr>
                <w:rFonts w:ascii="Verdana" w:eastAsia="Calibri" w:hAnsi="Verdana" w:cs="Arial"/>
                <w:sz w:val="16"/>
                <w:szCs w:val="16"/>
                <w:lang w:val="es-ES" w:eastAsia="es-ES"/>
              </w:rPr>
            </w:pPr>
            <w:r w:rsidRPr="328108F9">
              <w:rPr>
                <w:rFonts w:ascii="Verdana" w:eastAsia="Calibri" w:hAnsi="Verdana" w:cs="Arial"/>
                <w:sz w:val="16"/>
                <w:szCs w:val="16"/>
                <w:lang w:val="es-ES" w:eastAsia="es-ES"/>
              </w:rPr>
              <w:t xml:space="preserve">Carolina Quintero </w:t>
            </w:r>
            <w:proofErr w:type="spellStart"/>
            <w:r w:rsidRPr="328108F9">
              <w:rPr>
                <w:rFonts w:ascii="Verdana" w:eastAsia="Calibri" w:hAnsi="Verdana" w:cs="Arial"/>
                <w:sz w:val="16"/>
                <w:szCs w:val="16"/>
                <w:lang w:val="es-ES" w:eastAsia="es-ES"/>
              </w:rPr>
              <w:t>Gacharná</w:t>
            </w:r>
            <w:proofErr w:type="spellEnd"/>
          </w:p>
          <w:p w14:paraId="39A3005A" w14:textId="77777777" w:rsidR="00DF1783" w:rsidRPr="003751C7" w:rsidRDefault="00DF1783" w:rsidP="00080168">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73C23F54" w14:textId="77777777" w:rsidR="00DF1783" w:rsidRDefault="00DF1783" w:rsidP="00DF1783"/>
    <w:p w14:paraId="7E04681B" w14:textId="77777777" w:rsidR="00DF1783" w:rsidRPr="00543BFE" w:rsidRDefault="00DF1783" w:rsidP="00DF1783">
      <w:r>
        <w:rPr>
          <w:noProof/>
        </w:rPr>
        <w:drawing>
          <wp:inline distT="0" distB="0" distL="0" distR="0" wp14:anchorId="7A956C17" wp14:editId="5160A98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A1AD7E9" w14:textId="77777777" w:rsidR="00DF1783" w:rsidRPr="00543BFE" w:rsidRDefault="00DF1783" w:rsidP="00DF1783"/>
    <w:p w14:paraId="0F293BF4" w14:textId="6FEC8412" w:rsidR="00127233" w:rsidRPr="00076A7E" w:rsidRDefault="00127233" w:rsidP="00076A7E"/>
    <w:sectPr w:rsidR="00127233" w:rsidRPr="00076A7E"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A3DD0" w14:textId="77777777" w:rsidR="00AB288F" w:rsidRDefault="00AB288F" w:rsidP="004A1847">
      <w:pPr>
        <w:spacing w:after="0" w:line="240" w:lineRule="auto"/>
      </w:pPr>
      <w:r>
        <w:separator/>
      </w:r>
    </w:p>
  </w:endnote>
  <w:endnote w:type="continuationSeparator" w:id="0">
    <w:p w14:paraId="68453BAC" w14:textId="77777777" w:rsidR="00AB288F" w:rsidRDefault="00AB288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9FCCA" w14:textId="77777777" w:rsidR="00AB288F" w:rsidRDefault="00AB288F" w:rsidP="004A1847">
      <w:pPr>
        <w:spacing w:after="0" w:line="240" w:lineRule="auto"/>
      </w:pPr>
      <w:r>
        <w:separator/>
      </w:r>
    </w:p>
  </w:footnote>
  <w:footnote w:type="continuationSeparator" w:id="0">
    <w:p w14:paraId="75A93A15" w14:textId="77777777" w:rsidR="00AB288F" w:rsidRDefault="00AB288F" w:rsidP="004A1847">
      <w:pPr>
        <w:spacing w:after="0" w:line="240" w:lineRule="auto"/>
      </w:pPr>
      <w:r>
        <w:continuationSeparator/>
      </w:r>
    </w:p>
  </w:footnote>
  <w:footnote w:id="1">
    <w:p w14:paraId="0454DE4A" w14:textId="77777777" w:rsidR="00DF1783" w:rsidRPr="00881DAB" w:rsidRDefault="00DF1783" w:rsidP="00DF178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2">
    <w:p w14:paraId="46E0777A" w14:textId="77777777" w:rsidR="00DF1783" w:rsidRPr="00881DAB" w:rsidRDefault="00DF1783" w:rsidP="00DF1783">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C545ECF" w14:textId="77777777" w:rsidR="00DF1783" w:rsidRPr="00881DAB" w:rsidRDefault="00DF1783" w:rsidP="00DF1783">
      <w:pPr>
        <w:pStyle w:val="Textonotapie"/>
        <w:ind w:firstLine="708"/>
        <w:jc w:val="both"/>
        <w:rPr>
          <w:rFonts w:ascii="Verdana" w:hAnsi="Verdana" w:cs="Arial"/>
          <w:sz w:val="16"/>
          <w:szCs w:val="16"/>
        </w:rPr>
      </w:pPr>
      <w:r w:rsidRPr="00881DAB">
        <w:rPr>
          <w:rFonts w:ascii="Verdana" w:hAnsi="Verdana" w:cs="Arial"/>
          <w:sz w:val="16"/>
          <w:szCs w:val="16"/>
        </w:rPr>
        <w:t xml:space="preserve">Los convenios de asociación a que se refiere el presente artículo </w:t>
      </w:r>
      <w:bookmarkStart w:id="4" w:name="_Hlk36023315"/>
      <w:r w:rsidRPr="00881DAB">
        <w:rPr>
          <w:rFonts w:ascii="Verdana" w:hAnsi="Verdana" w:cs="Arial"/>
          <w:sz w:val="16"/>
          <w:szCs w:val="16"/>
        </w:rPr>
        <w:t>se celebrarán de conformidad con lo dispuesto en el artículo 355 de la Constitución Política</w:t>
      </w:r>
      <w:bookmarkEnd w:id="4"/>
      <w:r w:rsidRPr="00881DAB">
        <w:rPr>
          <w:rFonts w:ascii="Verdana" w:hAnsi="Verdana" w:cs="Arial"/>
          <w:sz w:val="16"/>
          <w:szCs w:val="16"/>
        </w:rPr>
        <w:t>, en ellos se determinará con precisión su objeto, término, obligaciones de las partes, aportes, coordinación y todos aquellos aspectos que se consideren pertinentes”.</w:t>
      </w:r>
    </w:p>
  </w:footnote>
  <w:footnote w:id="3">
    <w:p w14:paraId="3BC5FCB9" w14:textId="77777777" w:rsidR="00DF1783" w:rsidRPr="00881DAB" w:rsidRDefault="00DF1783" w:rsidP="00DF178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Concepto del 3 de septiembre de 2019, con radicado No. 2201913000006512.</w:t>
      </w:r>
    </w:p>
  </w:footnote>
  <w:footnote w:id="4">
    <w:p w14:paraId="357D10A9" w14:textId="77777777" w:rsidR="00DF1783" w:rsidRPr="00881DAB" w:rsidRDefault="00DF1783" w:rsidP="00DF178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5">
    <w:p w14:paraId="19F4F9DD" w14:textId="77777777" w:rsidR="00DF1783" w:rsidRPr="00881DAB" w:rsidRDefault="00DF1783" w:rsidP="00DF1783">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Cfr. Concepto del 21 de agosto de 2019, dictado dentro del radicado No. 2201913000006047.</w:t>
      </w:r>
    </w:p>
  </w:footnote>
  <w:footnote w:id="6">
    <w:p w14:paraId="66225E49" w14:textId="77777777" w:rsidR="00DF1783" w:rsidRPr="00881DAB" w:rsidRDefault="00DF1783" w:rsidP="00DF1783">
      <w:pPr>
        <w:pStyle w:val="Textonotapie"/>
        <w:ind w:firstLine="708"/>
        <w:jc w:val="both"/>
        <w:rPr>
          <w:rFonts w:ascii="Verdana" w:hAnsi="Verdana" w:cs="Arial"/>
          <w:color w:val="000000" w:themeColor="text1"/>
          <w:sz w:val="16"/>
          <w:szCs w:val="16"/>
          <w:lang w:val="es-ES"/>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Concepto del 24 de febrero de 2005, con radicado No. 1626, C.P. Dra. Gloria Duque Hernández</w:t>
      </w:r>
    </w:p>
  </w:footnote>
  <w:footnote w:id="7">
    <w:p w14:paraId="4F880FE7" w14:textId="77777777" w:rsidR="00DF1783" w:rsidRPr="00881DAB" w:rsidRDefault="00DF1783" w:rsidP="00DF1783">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pt;height:11.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6A7E"/>
    <w:rsid w:val="00082362"/>
    <w:rsid w:val="000A683E"/>
    <w:rsid w:val="000B19B9"/>
    <w:rsid w:val="000D0334"/>
    <w:rsid w:val="000D5DA7"/>
    <w:rsid w:val="000F6486"/>
    <w:rsid w:val="00116940"/>
    <w:rsid w:val="00125105"/>
    <w:rsid w:val="00127233"/>
    <w:rsid w:val="00134F05"/>
    <w:rsid w:val="0014242F"/>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482F"/>
    <w:rsid w:val="0030657A"/>
    <w:rsid w:val="00322A85"/>
    <w:rsid w:val="00324168"/>
    <w:rsid w:val="00330834"/>
    <w:rsid w:val="003448F4"/>
    <w:rsid w:val="00367009"/>
    <w:rsid w:val="00374C41"/>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4FBF"/>
    <w:rsid w:val="006900D9"/>
    <w:rsid w:val="006903E8"/>
    <w:rsid w:val="00706C16"/>
    <w:rsid w:val="007232B5"/>
    <w:rsid w:val="007340C3"/>
    <w:rsid w:val="0075235A"/>
    <w:rsid w:val="00756841"/>
    <w:rsid w:val="007649AB"/>
    <w:rsid w:val="00771D0C"/>
    <w:rsid w:val="007833AC"/>
    <w:rsid w:val="007B268C"/>
    <w:rsid w:val="007B7171"/>
    <w:rsid w:val="007C0C0F"/>
    <w:rsid w:val="007C3DC2"/>
    <w:rsid w:val="007E5497"/>
    <w:rsid w:val="007F45A0"/>
    <w:rsid w:val="00806F5F"/>
    <w:rsid w:val="00820278"/>
    <w:rsid w:val="008258C9"/>
    <w:rsid w:val="00844AE9"/>
    <w:rsid w:val="00867F95"/>
    <w:rsid w:val="008843B6"/>
    <w:rsid w:val="00891928"/>
    <w:rsid w:val="008A446D"/>
    <w:rsid w:val="008B25F1"/>
    <w:rsid w:val="008C42F7"/>
    <w:rsid w:val="008D180B"/>
    <w:rsid w:val="008F0EA7"/>
    <w:rsid w:val="00923EEF"/>
    <w:rsid w:val="009419F9"/>
    <w:rsid w:val="0095685E"/>
    <w:rsid w:val="00961B09"/>
    <w:rsid w:val="00965334"/>
    <w:rsid w:val="0097093E"/>
    <w:rsid w:val="009A0DFA"/>
    <w:rsid w:val="009A1C6F"/>
    <w:rsid w:val="009B2D26"/>
    <w:rsid w:val="009C5ABD"/>
    <w:rsid w:val="009C71FA"/>
    <w:rsid w:val="009C72E7"/>
    <w:rsid w:val="009C7F7E"/>
    <w:rsid w:val="009D3058"/>
    <w:rsid w:val="009F3A13"/>
    <w:rsid w:val="00A122D3"/>
    <w:rsid w:val="00A14468"/>
    <w:rsid w:val="00A17F13"/>
    <w:rsid w:val="00A20739"/>
    <w:rsid w:val="00A23AF9"/>
    <w:rsid w:val="00A33C78"/>
    <w:rsid w:val="00AB0ADB"/>
    <w:rsid w:val="00AB288F"/>
    <w:rsid w:val="00B00C0E"/>
    <w:rsid w:val="00B01B1A"/>
    <w:rsid w:val="00B0381D"/>
    <w:rsid w:val="00B44A47"/>
    <w:rsid w:val="00B72CD3"/>
    <w:rsid w:val="00B72FFF"/>
    <w:rsid w:val="00BC3D36"/>
    <w:rsid w:val="00BD54A6"/>
    <w:rsid w:val="00BD7F72"/>
    <w:rsid w:val="00BE6D85"/>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6BED"/>
    <w:rsid w:val="00D7788A"/>
    <w:rsid w:val="00DA231B"/>
    <w:rsid w:val="00DC39FC"/>
    <w:rsid w:val="00DD0D55"/>
    <w:rsid w:val="00DD5190"/>
    <w:rsid w:val="00DF178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EE1E026"/>
    <w:rsid w:val="30821638"/>
    <w:rsid w:val="328108F9"/>
    <w:rsid w:val="32A4F9CF"/>
    <w:rsid w:val="33A1FF93"/>
    <w:rsid w:val="356CEDFD"/>
    <w:rsid w:val="3C591AFD"/>
    <w:rsid w:val="42183F0A"/>
    <w:rsid w:val="545B112A"/>
    <w:rsid w:val="5BEB1497"/>
    <w:rsid w:val="69614A15"/>
    <w:rsid w:val="726D02D9"/>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178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1783"/>
    <w:rPr>
      <w:rFonts w:ascii="Geomanist Light" w:hAnsi="Geomanist Light"/>
      <w:lang w:val="es-ES"/>
    </w:rPr>
  </w:style>
  <w:style w:type="paragraph" w:styleId="Textoindependiente">
    <w:name w:val="Body Text"/>
    <w:basedOn w:val="Normal"/>
    <w:link w:val="TextoindependienteCar"/>
    <w:uiPriority w:val="99"/>
    <w:unhideWhenUsed/>
    <w:rsid w:val="00DF178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F1783"/>
    <w:rPr>
      <w:rFonts w:eastAsiaTheme="minorEastAsia"/>
      <w:lang w:eastAsia="es-CO"/>
    </w:rPr>
  </w:style>
  <w:style w:type="character" w:customStyle="1" w:styleId="s15">
    <w:name w:val="s15"/>
    <w:basedOn w:val="Fuentedeprrafopredeter"/>
    <w:rsid w:val="00DF1783"/>
  </w:style>
  <w:style w:type="paragraph" w:styleId="Sinespaciado">
    <w:name w:val="No Spacing"/>
    <w:aliases w:val="No Indent"/>
    <w:uiPriority w:val="3"/>
    <w:qFormat/>
    <w:rsid w:val="00DF1783"/>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1B603F4-686A-4B14-AD46-7A20B2AB5DE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16</Pages>
  <Words>5552</Words>
  <Characters>30537</Characters>
  <Application>Microsoft Office Word</Application>
  <DocSecurity>0</DocSecurity>
  <Lines>254</Lines>
  <Paragraphs>72</Paragraphs>
  <ScaleCrop>false</ScaleCrop>
  <Company/>
  <LinksUpToDate>false</LinksUpToDate>
  <CharactersWithSpaces>36017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2026-03-03T21:37:00Z</dcterms:created>
  <dcterms:modified xsi:type="dcterms:W3CDTF">2026-03-04T15:03:00Z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