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1D790" w14:textId="77777777" w:rsidR="00F93FD6" w:rsidRPr="00AE620C" w:rsidRDefault="00F93FD6" w:rsidP="00F93FD6">
      <w:pPr>
        <w:spacing w:after="0" w:line="240" w:lineRule="auto"/>
        <w:rPr>
          <w:rFonts w:ascii="Verdana" w:eastAsia="Calibri" w:hAnsi="Verdana" w:cs="Arial"/>
          <w:b/>
          <w:sz w:val="20"/>
          <w:szCs w:val="20"/>
          <w:lang w:val="es-ES_tradnl" w:eastAsia="es-ES_tradnl"/>
        </w:rPr>
      </w:pPr>
      <w:bookmarkStart w:id="0" w:name="_Hlk143780582"/>
    </w:p>
    <w:p w14:paraId="1D275A07" w14:textId="77777777" w:rsidR="00F93FD6" w:rsidRPr="00AE620C" w:rsidRDefault="00F93FD6" w:rsidP="00F93FD6">
      <w:pPr>
        <w:spacing w:after="0" w:line="240" w:lineRule="auto"/>
        <w:jc w:val="both"/>
        <w:rPr>
          <w:rFonts w:ascii="Verdana" w:hAnsi="Verdana" w:cs="Arial"/>
          <w:b/>
          <w:lang w:val="es-MX" w:eastAsia="es-ES_tradnl"/>
        </w:rPr>
      </w:pPr>
      <w:r w:rsidRPr="00AE620C">
        <w:rPr>
          <w:rFonts w:ascii="Verdana" w:hAnsi="Verdana" w:cs="Arial"/>
          <w:b/>
          <w:lang w:val="es-MX" w:eastAsia="es-ES_tradnl"/>
        </w:rPr>
        <w:t xml:space="preserve">LEY DE GARANTÍAS ELECTORALES </w:t>
      </w:r>
      <w:r w:rsidRPr="00AE620C">
        <w:rPr>
          <w:rFonts w:ascii="Verdana" w:hAnsi="Verdana" w:cs="Arial"/>
          <w:b/>
          <w:bCs/>
          <w:lang w:val="es-MX" w:eastAsia="es-ES_tradnl"/>
        </w:rPr>
        <w:t>‒</w:t>
      </w:r>
      <w:r w:rsidRPr="00AE620C">
        <w:rPr>
          <w:rFonts w:ascii="Verdana" w:hAnsi="Verdana" w:cs="Arial"/>
          <w:b/>
          <w:lang w:val="es-MX" w:eastAsia="es-ES_tradnl"/>
        </w:rPr>
        <w:t xml:space="preserve"> Finalidad </w:t>
      </w:r>
    </w:p>
    <w:p w14:paraId="09B57731" w14:textId="77777777" w:rsidR="00F93FD6" w:rsidRPr="00AE620C" w:rsidRDefault="00F93FD6" w:rsidP="00F93FD6">
      <w:pPr>
        <w:spacing w:after="0" w:line="240" w:lineRule="auto"/>
        <w:jc w:val="both"/>
        <w:rPr>
          <w:rFonts w:ascii="Verdana" w:hAnsi="Verdana" w:cs="Arial"/>
          <w:b/>
          <w:lang w:val="es-MX" w:eastAsia="es-ES_tradnl"/>
        </w:rPr>
      </w:pPr>
    </w:p>
    <w:p w14:paraId="11AA5291" w14:textId="77777777" w:rsidR="00F93FD6" w:rsidRPr="00AE620C" w:rsidRDefault="00F93FD6" w:rsidP="00F93FD6">
      <w:pPr>
        <w:spacing w:after="0" w:line="240" w:lineRule="auto"/>
        <w:jc w:val="both"/>
        <w:rPr>
          <w:rFonts w:ascii="Verdana" w:eastAsia="Times New Roman" w:hAnsi="Verdana" w:cs="Arial"/>
          <w:sz w:val="20"/>
          <w:lang w:val="es-MX" w:eastAsia="es-CO"/>
        </w:rPr>
      </w:pPr>
      <w:r w:rsidRPr="00AE620C">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4E2E4E41" w14:textId="77777777" w:rsidR="00F93FD6" w:rsidRPr="00AE620C" w:rsidRDefault="00F93FD6" w:rsidP="00F93FD6">
      <w:pPr>
        <w:spacing w:after="0" w:line="240" w:lineRule="auto"/>
        <w:jc w:val="both"/>
        <w:rPr>
          <w:rFonts w:ascii="Verdana" w:hAnsi="Verdana" w:cs="Arial"/>
          <w:b/>
          <w:sz w:val="20"/>
          <w:lang w:val="es-MX" w:eastAsia="es-ES_tradnl"/>
        </w:rPr>
      </w:pPr>
    </w:p>
    <w:p w14:paraId="617CFBB0" w14:textId="77777777" w:rsidR="00F93FD6" w:rsidRPr="00AE620C" w:rsidRDefault="00F93FD6" w:rsidP="00F93FD6">
      <w:pPr>
        <w:spacing w:after="0" w:line="240" w:lineRule="auto"/>
        <w:jc w:val="both"/>
        <w:rPr>
          <w:rFonts w:ascii="Verdana" w:hAnsi="Verdana" w:cs="Arial"/>
          <w:b/>
          <w:lang w:val="es-MX" w:eastAsia="es-ES_tradnl"/>
        </w:rPr>
      </w:pPr>
      <w:r w:rsidRPr="00AE620C">
        <w:rPr>
          <w:rFonts w:ascii="Verdana" w:hAnsi="Verdana" w:cs="Arial"/>
          <w:b/>
          <w:lang w:val="es-MX" w:eastAsia="es-ES_tradnl"/>
        </w:rPr>
        <w:t xml:space="preserve">LEY DE GARANTÍAS ELECTORALES </w:t>
      </w:r>
      <w:r w:rsidRPr="00AE620C">
        <w:rPr>
          <w:rFonts w:ascii="Verdana" w:hAnsi="Verdana" w:cs="Arial"/>
          <w:b/>
          <w:bCs/>
          <w:lang w:val="es-MX" w:eastAsia="es-ES_tradnl"/>
        </w:rPr>
        <w:t>‒</w:t>
      </w:r>
      <w:r w:rsidRPr="00AE620C">
        <w:rPr>
          <w:rFonts w:ascii="Verdana" w:hAnsi="Verdana" w:cs="Arial"/>
          <w:b/>
          <w:lang w:val="es-MX" w:eastAsia="es-ES_tradnl"/>
        </w:rPr>
        <w:t xml:space="preserve"> Tipos de restricciones </w:t>
      </w:r>
      <w:r w:rsidRPr="00AE620C">
        <w:rPr>
          <w:rFonts w:ascii="Verdana" w:hAnsi="Verdana" w:cs="Arial"/>
          <w:b/>
          <w:bCs/>
          <w:lang w:val="es-MX" w:eastAsia="es-ES_tradnl"/>
        </w:rPr>
        <w:t>‒</w:t>
      </w:r>
      <w:r w:rsidRPr="00AE620C">
        <w:rPr>
          <w:rFonts w:ascii="Verdana" w:hAnsi="Verdana" w:cs="Arial"/>
          <w:b/>
          <w:lang w:val="es-MX" w:eastAsia="es-ES_tradnl"/>
        </w:rPr>
        <w:t xml:space="preserve"> Ámbito temporal – celebración- límite</w:t>
      </w:r>
    </w:p>
    <w:p w14:paraId="12D0743E" w14:textId="77777777" w:rsidR="00F93FD6" w:rsidRPr="00AE620C" w:rsidRDefault="00F93FD6" w:rsidP="00F93FD6">
      <w:pPr>
        <w:spacing w:after="0" w:line="240" w:lineRule="auto"/>
        <w:jc w:val="both"/>
        <w:rPr>
          <w:rFonts w:ascii="Verdana" w:hAnsi="Verdana" w:cs="Arial"/>
          <w:b/>
          <w:lang w:val="es-MX" w:eastAsia="es-ES_tradnl"/>
        </w:rPr>
      </w:pPr>
    </w:p>
    <w:p w14:paraId="6208382D" w14:textId="77777777" w:rsidR="00F93FD6" w:rsidRPr="00AE620C" w:rsidRDefault="00F93FD6" w:rsidP="00F93FD6">
      <w:pPr>
        <w:spacing w:after="0" w:line="240" w:lineRule="auto"/>
        <w:jc w:val="both"/>
        <w:rPr>
          <w:rFonts w:ascii="Verdana" w:eastAsia="Calibri" w:hAnsi="Verdana" w:cs="Arial"/>
          <w:sz w:val="20"/>
        </w:rPr>
      </w:pPr>
      <w:r w:rsidRPr="00AE620C">
        <w:rPr>
          <w:rFonts w:ascii="Verdana" w:eastAsia="Calibri" w:hAnsi="Verdana" w:cs="Arial"/>
          <w:sz w:val="20"/>
        </w:rPr>
        <w:t xml:space="preserve">Por un lado, el </w:t>
      </w:r>
      <w:r w:rsidRPr="00AE620C">
        <w:rPr>
          <w:rFonts w:ascii="Verdana" w:eastAsia="Calibri" w:hAnsi="Verdana" w:cs="Arial"/>
          <w:i/>
          <w:iCs/>
          <w:sz w:val="20"/>
        </w:rPr>
        <w:t>artículo 33 de la Ley 996 de 2005</w:t>
      </w:r>
      <w:r w:rsidRPr="00AE620C">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0600564" w14:textId="77777777" w:rsidR="00F93FD6" w:rsidRPr="00AE620C" w:rsidRDefault="00F93FD6" w:rsidP="00F93FD6">
      <w:pPr>
        <w:spacing w:after="0" w:line="240" w:lineRule="auto"/>
        <w:jc w:val="both"/>
        <w:rPr>
          <w:rFonts w:ascii="Verdana" w:eastAsia="Calibri" w:hAnsi="Verdana" w:cs="Arial"/>
          <w:sz w:val="20"/>
        </w:rPr>
      </w:pPr>
    </w:p>
    <w:p w14:paraId="2EBBAE83" w14:textId="77777777" w:rsidR="00F93FD6" w:rsidRPr="00AE620C" w:rsidRDefault="00F93FD6" w:rsidP="00F93FD6">
      <w:pPr>
        <w:widowControl w:val="0"/>
        <w:autoSpaceDE w:val="0"/>
        <w:autoSpaceDN w:val="0"/>
        <w:spacing w:after="0" w:line="240" w:lineRule="auto"/>
        <w:ind w:right="113"/>
        <w:jc w:val="both"/>
        <w:rPr>
          <w:rFonts w:ascii="Verdana" w:eastAsia="Arial" w:hAnsi="Verdana" w:cs="Arial"/>
          <w:sz w:val="20"/>
          <w:lang w:val="es-ES" w:eastAsia="es-ES" w:bidi="es-ES"/>
        </w:rPr>
      </w:pPr>
      <w:r w:rsidRPr="00AE620C">
        <w:rPr>
          <w:rFonts w:ascii="Verdana" w:eastAsia="Calibri" w:hAnsi="Verdana" w:cs="Arial"/>
          <w:sz w:val="20"/>
        </w:rPr>
        <w:t xml:space="preserve">Por otro lado, </w:t>
      </w:r>
      <w:r w:rsidRPr="00AE620C">
        <w:rPr>
          <w:rFonts w:ascii="Verdana" w:eastAsia="Calibri" w:hAnsi="Verdana" w:cs="Arial"/>
          <w:i/>
          <w:iCs/>
          <w:sz w:val="20"/>
        </w:rPr>
        <w:t>el parágrafo del artículo 38 de la Ley 996 de 2005</w:t>
      </w:r>
      <w:r w:rsidRPr="00AE620C">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AE620C">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E620C">
        <w:rPr>
          <w:rFonts w:ascii="Verdana" w:eastAsia="Calibri" w:hAnsi="Verdana" w:cs="Arial"/>
          <w:sz w:val="20"/>
        </w:rPr>
        <w:t>”</w:t>
      </w:r>
      <w:r w:rsidRPr="00AE620C">
        <w:rPr>
          <w:rFonts w:ascii="Verdana" w:eastAsia="Calibri" w:hAnsi="Verdana" w:cs="Arial"/>
          <w:sz w:val="20"/>
          <w:lang w:val="es-MX"/>
        </w:rPr>
        <w:t>.</w:t>
      </w:r>
      <w:r w:rsidRPr="00AE620C">
        <w:rPr>
          <w:rFonts w:ascii="Verdana" w:eastAsia="Arial" w:hAnsi="Verdana" w:cs="Arial"/>
          <w:sz w:val="20"/>
          <w:lang w:val="es-ES" w:eastAsia="es-ES" w:bidi="es-ES"/>
        </w:rPr>
        <w:t xml:space="preserve"> </w:t>
      </w:r>
    </w:p>
    <w:p w14:paraId="7122A1B1" w14:textId="77777777" w:rsidR="00F93FD6" w:rsidRPr="00AE620C" w:rsidRDefault="00F93FD6" w:rsidP="00F93FD6">
      <w:pPr>
        <w:widowControl w:val="0"/>
        <w:autoSpaceDE w:val="0"/>
        <w:autoSpaceDN w:val="0"/>
        <w:spacing w:after="0" w:line="240" w:lineRule="auto"/>
        <w:ind w:right="113"/>
        <w:jc w:val="both"/>
        <w:rPr>
          <w:rFonts w:ascii="Verdana" w:eastAsia="Arial" w:hAnsi="Verdana" w:cs="Arial"/>
          <w:sz w:val="20"/>
          <w:lang w:val="es-ES" w:eastAsia="es-ES" w:bidi="es-ES"/>
        </w:rPr>
      </w:pPr>
    </w:p>
    <w:p w14:paraId="58A1F5CA" w14:textId="77777777" w:rsidR="00F93FD6" w:rsidRPr="00AE620C" w:rsidRDefault="00F93FD6" w:rsidP="00F93FD6">
      <w:pPr>
        <w:spacing w:after="0" w:line="240" w:lineRule="auto"/>
        <w:jc w:val="both"/>
        <w:rPr>
          <w:rFonts w:ascii="Verdana" w:eastAsia="Times New Roman" w:hAnsi="Verdana" w:cs="Arial"/>
          <w:bCs/>
          <w:sz w:val="20"/>
          <w:lang w:val="es-ES" w:eastAsia="es-CO"/>
        </w:rPr>
      </w:pPr>
      <w:r w:rsidRPr="00AE620C">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AE620C">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AE620C">
        <w:rPr>
          <w:rFonts w:ascii="Verdana" w:eastAsia="Times New Roman" w:hAnsi="Verdana" w:cs="Arial"/>
          <w:bCs/>
          <w:i/>
          <w:sz w:val="20"/>
          <w:lang w:val="es-ES" w:eastAsia="es-CO"/>
        </w:rPr>
        <w:t>ibídem</w:t>
      </w:r>
      <w:r w:rsidRPr="00AE620C">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85F3533" w14:textId="77777777" w:rsidR="00F93FD6" w:rsidRPr="00AE620C" w:rsidRDefault="00F93FD6" w:rsidP="00F93FD6">
      <w:pPr>
        <w:spacing w:after="0" w:line="240" w:lineRule="auto"/>
        <w:jc w:val="both"/>
        <w:rPr>
          <w:rFonts w:ascii="Verdana" w:hAnsi="Verdana" w:cs="Arial"/>
          <w:b/>
          <w:lang w:val="es-ES" w:eastAsia="es-ES_tradnl"/>
        </w:rPr>
      </w:pPr>
    </w:p>
    <w:p w14:paraId="5788D82B" w14:textId="77777777" w:rsidR="00F93FD6" w:rsidRPr="00AE620C" w:rsidRDefault="00F93FD6" w:rsidP="00F93FD6">
      <w:pPr>
        <w:spacing w:after="0" w:line="240" w:lineRule="auto"/>
        <w:jc w:val="both"/>
        <w:rPr>
          <w:rFonts w:ascii="Verdana" w:hAnsi="Verdana" w:cs="Arial"/>
          <w:b/>
          <w:lang w:val="es-MX" w:eastAsia="es-ES_tradnl"/>
        </w:rPr>
      </w:pPr>
      <w:r w:rsidRPr="00AE620C">
        <w:rPr>
          <w:rFonts w:ascii="Verdana" w:hAnsi="Verdana" w:cs="Arial"/>
          <w:b/>
          <w:lang w:val="es-MX" w:eastAsia="es-ES_tradnl"/>
        </w:rPr>
        <w:lastRenderedPageBreak/>
        <w:t xml:space="preserve">LEY DE GARANTÍAS ELECTORALES – Contratos y convenios interadministrativos – Criterio orgánico </w:t>
      </w:r>
    </w:p>
    <w:p w14:paraId="37D9C004" w14:textId="77777777" w:rsidR="00F93FD6" w:rsidRPr="00AE620C" w:rsidRDefault="00F93FD6" w:rsidP="00F93FD6">
      <w:pPr>
        <w:spacing w:after="0" w:line="240" w:lineRule="auto"/>
        <w:jc w:val="both"/>
        <w:rPr>
          <w:rFonts w:ascii="Verdana" w:hAnsi="Verdana" w:cs="Arial"/>
          <w:b/>
          <w:lang w:val="es-MX" w:eastAsia="es-ES_tradnl"/>
        </w:rPr>
      </w:pPr>
    </w:p>
    <w:p w14:paraId="37A81D7D" w14:textId="77777777" w:rsidR="00F93FD6" w:rsidRPr="00AE620C" w:rsidRDefault="00F93FD6" w:rsidP="00F93FD6">
      <w:pPr>
        <w:spacing w:after="0" w:line="240" w:lineRule="auto"/>
        <w:jc w:val="both"/>
        <w:rPr>
          <w:rFonts w:ascii="Verdana" w:eastAsia="Calibri" w:hAnsi="Verdana" w:cs="Arial"/>
          <w:sz w:val="20"/>
          <w:lang w:bidi="es-ES"/>
        </w:rPr>
      </w:pPr>
      <w:r w:rsidRPr="00AE620C">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AE620C">
        <w:rPr>
          <w:rFonts w:ascii="Verdana" w:eastAsia="Arial" w:hAnsi="Verdana" w:cs="Arial"/>
          <w:sz w:val="20"/>
          <w:lang w:val="es-ES" w:eastAsia="es-ES" w:bidi="es-ES"/>
        </w:rPr>
        <w:t>e</w:t>
      </w:r>
      <w:r w:rsidRPr="00AE620C">
        <w:rPr>
          <w:rFonts w:ascii="Verdana" w:eastAsia="Calibri" w:hAnsi="Verdana" w:cs="Arial"/>
          <w:sz w:val="20"/>
        </w:rPr>
        <w:t xml:space="preserve">l parágrafo del artículo 38 cobija tanto a los convenios como a los contratos interadministrativos. Esta tesis se fundamenta en que </w:t>
      </w:r>
      <w:r w:rsidRPr="00AE620C">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83E0D99" w14:textId="77777777" w:rsidR="00DE571E" w:rsidRPr="00AE620C" w:rsidRDefault="00DE571E" w:rsidP="00F93FD6">
      <w:pPr>
        <w:spacing w:after="0" w:line="240" w:lineRule="auto"/>
        <w:jc w:val="both"/>
        <w:rPr>
          <w:rFonts w:ascii="Verdana" w:eastAsia="Calibri" w:hAnsi="Verdana" w:cs="Arial"/>
          <w:sz w:val="20"/>
          <w:lang w:bidi="es-ES"/>
        </w:rPr>
      </w:pPr>
    </w:p>
    <w:p w14:paraId="09FCEB89" w14:textId="77777777" w:rsidR="00DE571E" w:rsidRPr="00AE620C" w:rsidRDefault="00DE571E" w:rsidP="00F93FD6">
      <w:pPr>
        <w:spacing w:after="0" w:line="240" w:lineRule="auto"/>
        <w:jc w:val="both"/>
        <w:rPr>
          <w:rFonts w:ascii="Verdana" w:eastAsia="Calibri" w:hAnsi="Verdana" w:cs="Arial"/>
          <w:b/>
          <w:bCs/>
          <w:lang w:val="es-ES" w:eastAsia="es-ES"/>
        </w:rPr>
      </w:pPr>
      <w:r w:rsidRPr="00AE620C">
        <w:rPr>
          <w:rFonts w:ascii="Verdana" w:eastAsia="Calibri" w:hAnsi="Verdana" w:cs="Arial"/>
          <w:b/>
          <w:bCs/>
          <w:lang w:val="es-ES" w:eastAsia="es-ES"/>
        </w:rPr>
        <w:t xml:space="preserve">LEY DE GARANTÍAS ELECTORALES ‒ Contratación directa – Alcance </w:t>
      </w:r>
    </w:p>
    <w:p w14:paraId="51699FD3" w14:textId="77777777" w:rsidR="004C3D3E" w:rsidRPr="00AE620C" w:rsidRDefault="004C3D3E" w:rsidP="00F93FD6">
      <w:pPr>
        <w:spacing w:after="0" w:line="240" w:lineRule="auto"/>
        <w:jc w:val="both"/>
        <w:rPr>
          <w:rFonts w:ascii="Verdana" w:eastAsia="Calibri" w:hAnsi="Verdana" w:cs="Arial"/>
          <w:b/>
          <w:bCs/>
          <w:lang w:val="es-ES" w:eastAsia="es-ES"/>
        </w:rPr>
      </w:pPr>
    </w:p>
    <w:p w14:paraId="4DF2FE81" w14:textId="601B7681" w:rsidR="004C3D3E" w:rsidRPr="004C3D3E" w:rsidRDefault="004C3D3E" w:rsidP="004C3D3E">
      <w:pPr>
        <w:spacing w:after="0" w:line="240" w:lineRule="auto"/>
        <w:jc w:val="both"/>
        <w:rPr>
          <w:rFonts w:ascii="Verdana" w:eastAsia="Calibri" w:hAnsi="Verdana" w:cs="Arial"/>
          <w:sz w:val="20"/>
          <w:szCs w:val="20"/>
          <w:lang w:eastAsia="es-ES"/>
        </w:rPr>
      </w:pPr>
      <w:r w:rsidRPr="00AE620C">
        <w:rPr>
          <w:rFonts w:ascii="Verdana" w:eastAsia="Arial" w:hAnsi="Verdana" w:cs="Arial"/>
          <w:sz w:val="20"/>
          <w:lang w:val="es-MX" w:eastAsia="es-ES" w:bidi="es-ES"/>
        </w:rPr>
        <w:t>[…]</w:t>
      </w:r>
      <w:r w:rsidRPr="004C3D3E">
        <w:rPr>
          <w:rFonts w:ascii="Verdana" w:eastAsia="Calibri" w:hAnsi="Verdana" w:cs="Arial"/>
          <w:sz w:val="20"/>
          <w:szCs w:val="20"/>
          <w:lang w:eastAsia="es-ES"/>
        </w:rPr>
        <w:t xml:space="preserve">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w:t>
      </w:r>
      <w:r w:rsidRPr="004C3D3E">
        <w:rPr>
          <w:rFonts w:ascii="Verdana" w:eastAsia="Calibri" w:hAnsi="Verdana" w:cs="Arial"/>
          <w:sz w:val="20"/>
          <w:szCs w:val="20"/>
          <w:lang w:val="es-ES_tradnl" w:eastAsia="es-ES"/>
        </w:rPr>
        <w:t xml:space="preserve">y la mínima cuantía </w:t>
      </w:r>
      <w:r w:rsidRPr="004C3D3E">
        <w:rPr>
          <w:rFonts w:ascii="Verdana" w:eastAsia="Calibri" w:hAnsi="Verdana" w:cs="Arial"/>
          <w:sz w:val="20"/>
          <w:szCs w:val="20"/>
          <w:lang w:eastAsia="es-ES"/>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r w:rsidRPr="00AE620C">
        <w:rPr>
          <w:rFonts w:ascii="Verdana" w:eastAsia="Arial" w:hAnsi="Verdana" w:cs="Arial"/>
          <w:sz w:val="20"/>
          <w:lang w:val="es-MX" w:eastAsia="es-ES" w:bidi="es-ES"/>
        </w:rPr>
        <w:t xml:space="preserve"> […]</w:t>
      </w:r>
    </w:p>
    <w:p w14:paraId="4BAAACCC" w14:textId="77777777" w:rsidR="00DE571E" w:rsidRPr="00AE620C" w:rsidRDefault="00DE571E" w:rsidP="00F93FD6">
      <w:pPr>
        <w:spacing w:after="0" w:line="240" w:lineRule="auto"/>
        <w:jc w:val="both"/>
        <w:rPr>
          <w:rFonts w:ascii="Verdana" w:eastAsia="Calibri" w:hAnsi="Verdana" w:cs="Arial"/>
          <w:b/>
          <w:bCs/>
          <w:lang w:val="es-ES" w:eastAsia="es-ES"/>
        </w:rPr>
      </w:pPr>
    </w:p>
    <w:p w14:paraId="156CD914" w14:textId="46E49EBE" w:rsidR="00DE571E" w:rsidRPr="00AE620C" w:rsidRDefault="00DE571E" w:rsidP="00F93FD6">
      <w:pPr>
        <w:spacing w:after="0" w:line="240" w:lineRule="auto"/>
        <w:jc w:val="both"/>
        <w:rPr>
          <w:rFonts w:ascii="Verdana" w:eastAsia="Calibri" w:hAnsi="Verdana" w:cs="Arial"/>
          <w:b/>
          <w:bCs/>
          <w:lang w:val="es-ES" w:eastAsia="es-ES"/>
        </w:rPr>
      </w:pPr>
      <w:r w:rsidRPr="00AE620C">
        <w:rPr>
          <w:rFonts w:ascii="Verdana" w:eastAsia="Calibri" w:hAnsi="Verdana" w:cs="Arial"/>
          <w:b/>
          <w:bCs/>
          <w:lang w:val="es-ES" w:eastAsia="es-ES"/>
        </w:rPr>
        <w:t>LEY DE GARANTÍAS ELECTORALES ‒ Contratación Directa – Excepciones – Entidades sanitarias y hospitalarias</w:t>
      </w:r>
    </w:p>
    <w:p w14:paraId="199AFA00" w14:textId="77777777" w:rsidR="00DF0F22" w:rsidRPr="00AE620C" w:rsidRDefault="00DF0F22" w:rsidP="00F93FD6">
      <w:pPr>
        <w:spacing w:after="0" w:line="240" w:lineRule="auto"/>
        <w:jc w:val="both"/>
        <w:rPr>
          <w:rFonts w:ascii="Verdana" w:eastAsia="Calibri" w:hAnsi="Verdana" w:cs="Arial"/>
          <w:b/>
          <w:bCs/>
          <w:lang w:val="es-ES" w:eastAsia="es-ES"/>
        </w:rPr>
      </w:pPr>
    </w:p>
    <w:p w14:paraId="21885CC3" w14:textId="77777777" w:rsidR="00DF0F22" w:rsidRPr="00AE620C" w:rsidRDefault="00DF0F22" w:rsidP="00DF0F22">
      <w:pPr>
        <w:spacing w:after="0" w:line="240" w:lineRule="auto"/>
        <w:jc w:val="both"/>
        <w:rPr>
          <w:rFonts w:ascii="Verdana" w:eastAsia="Calibri" w:hAnsi="Verdana" w:cs="Arial"/>
          <w:sz w:val="20"/>
          <w:lang w:val="es-MX" w:bidi="es-ES"/>
        </w:rPr>
      </w:pPr>
      <w:r w:rsidRPr="00DF0F22">
        <w:rPr>
          <w:rFonts w:ascii="Verdana" w:eastAsia="Calibri" w:hAnsi="Verdana" w:cs="Arial"/>
          <w:sz w:val="20"/>
          <w:lang w:val="es-MX" w:bidi="es-ES"/>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98C92DA" w14:textId="10EA7530" w:rsidR="00B83B2F" w:rsidRPr="00AE620C" w:rsidRDefault="00B83B2F" w:rsidP="00DF0F22">
      <w:pPr>
        <w:spacing w:after="0" w:line="240" w:lineRule="auto"/>
        <w:jc w:val="both"/>
        <w:rPr>
          <w:rFonts w:ascii="Verdana" w:eastAsia="Calibri" w:hAnsi="Verdana" w:cs="Arial"/>
          <w:sz w:val="20"/>
          <w:lang w:val="es-MX" w:bidi="es-ES"/>
        </w:rPr>
      </w:pPr>
      <w:r w:rsidRPr="00AE620C">
        <w:rPr>
          <w:rFonts w:ascii="Verdana" w:eastAsia="Arial" w:hAnsi="Verdana" w:cs="Arial"/>
          <w:sz w:val="20"/>
          <w:lang w:val="es-MX" w:eastAsia="es-ES" w:bidi="es-ES"/>
        </w:rPr>
        <w:lastRenderedPageBreak/>
        <w:t>[…]</w:t>
      </w:r>
    </w:p>
    <w:p w14:paraId="6076BDFC" w14:textId="03A85AD7" w:rsidR="00DF0F22" w:rsidRPr="00AE620C" w:rsidRDefault="00B83B2F" w:rsidP="00B83B2F">
      <w:pPr>
        <w:spacing w:before="120" w:after="120" w:line="240" w:lineRule="auto"/>
        <w:jc w:val="both"/>
        <w:rPr>
          <w:rFonts w:ascii="Verdana" w:eastAsia="Arial" w:hAnsi="Verdana" w:cs="Arial"/>
          <w:color w:val="000000" w:themeColor="text1"/>
          <w:sz w:val="20"/>
          <w:szCs w:val="20"/>
          <w:lang w:val="es-ES"/>
        </w:rPr>
      </w:pPr>
      <w:r w:rsidRPr="00AE620C">
        <w:rPr>
          <w:rFonts w:ascii="Verdana" w:eastAsia="Arial" w:hAnsi="Verdana" w:cs="Arial"/>
          <w:color w:val="000000" w:themeColor="text1"/>
          <w:sz w:val="20"/>
          <w:szCs w:val="20"/>
        </w:rPr>
        <w:t xml:space="preserve">Es necesario tener en cuenta que la excepción del artículo 33 de la Ley de Garantías Electorales solo aplica a las </w:t>
      </w:r>
      <w:r w:rsidRPr="00AE620C">
        <w:rPr>
          <w:rFonts w:ascii="Verdana" w:eastAsia="Arial" w:hAnsi="Verdana" w:cs="Arial"/>
          <w:i/>
          <w:iCs/>
          <w:color w:val="000000" w:themeColor="text1"/>
          <w:sz w:val="20"/>
          <w:szCs w:val="20"/>
        </w:rPr>
        <w:t>entidades sanitarias</w:t>
      </w:r>
      <w:r w:rsidRPr="00AE620C">
        <w:rPr>
          <w:rFonts w:ascii="Verdana" w:eastAsia="Arial" w:hAnsi="Verdana" w:cs="Arial"/>
          <w:color w:val="000000" w:themeColor="text1"/>
          <w:sz w:val="20"/>
          <w:szCs w:val="20"/>
        </w:rPr>
        <w:t xml:space="preserve">, no a las </w:t>
      </w:r>
      <w:r w:rsidRPr="00AE620C">
        <w:rPr>
          <w:rFonts w:ascii="Verdana" w:eastAsia="Arial" w:hAnsi="Verdana" w:cs="Arial"/>
          <w:i/>
          <w:iCs/>
          <w:color w:val="000000" w:themeColor="text1"/>
          <w:sz w:val="20"/>
          <w:szCs w:val="20"/>
        </w:rPr>
        <w:t>autoridades sanitarias</w:t>
      </w:r>
      <w:r w:rsidRPr="00AE620C">
        <w:rPr>
          <w:rFonts w:ascii="Verdana" w:eastAsia="Arial" w:hAnsi="Verdana" w:cs="Arial"/>
          <w:color w:val="000000" w:themeColor="text1"/>
          <w:sz w:val="20"/>
          <w:szCs w:val="20"/>
        </w:rPr>
        <w:t xml:space="preserve">. </w:t>
      </w:r>
      <w:r w:rsidRPr="00AE620C">
        <w:rPr>
          <w:rFonts w:ascii="Verdana" w:eastAsia="Arial" w:hAnsi="Verdana" w:cs="Arial"/>
          <w:color w:val="000000" w:themeColor="text1"/>
          <w:sz w:val="20"/>
          <w:szCs w:val="20"/>
          <w:lang w:val="es-ES"/>
        </w:rPr>
        <w:t xml:space="preserve">Así las cosas, para efectos de la excepción del artículo 33 es indiferente que la entidad estatal tenga funciones de </w:t>
      </w:r>
      <w:r w:rsidRPr="00AE620C">
        <w:rPr>
          <w:rFonts w:ascii="Verdana" w:eastAsia="Arial" w:hAnsi="Verdana" w:cs="Arial"/>
          <w:i/>
          <w:iCs/>
          <w:color w:val="000000" w:themeColor="text1"/>
          <w:sz w:val="20"/>
          <w:szCs w:val="20"/>
          <w:lang w:val="es-ES"/>
        </w:rPr>
        <w:t>autoridad sanitaria</w:t>
      </w:r>
      <w:r w:rsidRPr="00AE620C">
        <w:rPr>
          <w:rFonts w:ascii="Verdana" w:eastAsia="Arial" w:hAnsi="Verdana" w:cs="Arial"/>
          <w:color w:val="000000" w:themeColor="text1"/>
          <w:sz w:val="20"/>
          <w:szCs w:val="20"/>
          <w:lang w:val="es-ES"/>
        </w:rPr>
        <w:t xml:space="preserve">, pues lo relevante para determinar si la contratación está exceptuada de la prohibición general no es el carácter de autoridad sanitaria, sino que se trate de una </w:t>
      </w:r>
      <w:r w:rsidRPr="00AE620C">
        <w:rPr>
          <w:rFonts w:ascii="Verdana" w:eastAsia="Arial" w:hAnsi="Verdana" w:cs="Arial"/>
          <w:i/>
          <w:iCs/>
          <w:color w:val="000000" w:themeColor="text1"/>
          <w:sz w:val="20"/>
          <w:szCs w:val="20"/>
          <w:lang w:val="es-ES"/>
        </w:rPr>
        <w:t>entidad sanitaria</w:t>
      </w:r>
      <w:r w:rsidRPr="00AE620C">
        <w:rPr>
          <w:rFonts w:ascii="Verdana" w:eastAsia="Arial" w:hAnsi="Verdana" w:cs="Arial"/>
          <w:color w:val="000000" w:themeColor="text1"/>
          <w:sz w:val="20"/>
          <w:szCs w:val="20"/>
          <w:lang w:val="es-ES"/>
        </w:rPr>
        <w:t xml:space="preserve">. </w:t>
      </w:r>
    </w:p>
    <w:p w14:paraId="47801B8D" w14:textId="77777777" w:rsidR="00F93FD6" w:rsidRPr="00AE620C" w:rsidRDefault="00F93FD6" w:rsidP="00F93FD6">
      <w:pPr>
        <w:spacing w:after="0" w:line="240" w:lineRule="auto"/>
        <w:jc w:val="both"/>
        <w:rPr>
          <w:rFonts w:ascii="Verdana" w:hAnsi="Verdana" w:cs="Arial"/>
          <w:b/>
          <w:lang w:val="es-MX" w:eastAsia="es-ES_tradnl"/>
        </w:rPr>
      </w:pPr>
    </w:p>
    <w:p w14:paraId="5F9AA90F" w14:textId="0F6ECB24" w:rsidR="00F93FD6" w:rsidRPr="00AE620C" w:rsidRDefault="00DE571E" w:rsidP="00F93FD6">
      <w:pPr>
        <w:spacing w:after="0" w:line="240" w:lineRule="auto"/>
        <w:jc w:val="both"/>
        <w:rPr>
          <w:rFonts w:ascii="Verdana" w:hAnsi="Verdana" w:cs="Arial"/>
          <w:b/>
          <w:lang w:val="es-MX" w:eastAsia="es-ES_tradnl"/>
        </w:rPr>
      </w:pPr>
      <w:r w:rsidRPr="00AE620C">
        <w:rPr>
          <w:rFonts w:ascii="Verdana" w:hAnsi="Verdana" w:cs="Arial"/>
          <w:b/>
          <w:lang w:val="es-MX" w:eastAsia="es-ES_tradnl"/>
        </w:rPr>
        <w:t>LEY DE GARANTÍAS ELECTORALES – Convenios interadministrativos – Criterio orgánico</w:t>
      </w:r>
    </w:p>
    <w:p w14:paraId="7F0A354A" w14:textId="77777777" w:rsidR="00DE571E" w:rsidRPr="00AE620C" w:rsidRDefault="00DE571E" w:rsidP="00F93FD6">
      <w:pPr>
        <w:spacing w:after="0" w:line="240" w:lineRule="auto"/>
        <w:jc w:val="both"/>
        <w:rPr>
          <w:rFonts w:ascii="Verdana" w:hAnsi="Verdana" w:cs="Arial"/>
          <w:b/>
          <w:lang w:val="es-MX" w:eastAsia="es-ES_tradnl"/>
        </w:rPr>
      </w:pPr>
    </w:p>
    <w:p w14:paraId="01B7A7C1" w14:textId="298D4C4A" w:rsidR="00DF0F22" w:rsidRPr="00AE620C" w:rsidRDefault="00DF0F22" w:rsidP="0085743A">
      <w:pPr>
        <w:spacing w:after="0" w:line="240" w:lineRule="auto"/>
        <w:jc w:val="both"/>
        <w:rPr>
          <w:rFonts w:ascii="Verdana" w:eastAsia="Calibri" w:hAnsi="Verdana" w:cs="Arial"/>
          <w:sz w:val="20"/>
          <w:lang w:bidi="es-ES"/>
        </w:rPr>
      </w:pPr>
      <w:r w:rsidRPr="00DF0F22">
        <w:rPr>
          <w:rFonts w:ascii="Verdana" w:eastAsia="Calibri" w:hAnsi="Verdana" w:cs="Arial"/>
          <w:sz w:val="20"/>
          <w:lang w:bidi="es-ES"/>
        </w:rPr>
        <w:t>Para tales efectos, debe precisarse que los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30A448E5" w14:textId="77777777" w:rsidR="00DF0F22" w:rsidRPr="00DF0F22" w:rsidRDefault="00DF0F22" w:rsidP="0085743A">
      <w:pPr>
        <w:spacing w:after="0" w:line="240" w:lineRule="auto"/>
        <w:jc w:val="both"/>
        <w:rPr>
          <w:rFonts w:ascii="Verdana" w:eastAsia="Calibri" w:hAnsi="Verdana" w:cs="Arial"/>
          <w:sz w:val="20"/>
          <w:lang w:bidi="es-ES"/>
        </w:rPr>
      </w:pPr>
    </w:p>
    <w:p w14:paraId="7DAB5719" w14:textId="21A82DD5" w:rsidR="00DF0F22" w:rsidRPr="00DF0F22" w:rsidRDefault="00DF0F22" w:rsidP="0085743A">
      <w:pPr>
        <w:spacing w:after="0" w:line="240" w:lineRule="auto"/>
        <w:jc w:val="both"/>
        <w:rPr>
          <w:rFonts w:ascii="Verdana" w:eastAsia="Calibri" w:hAnsi="Verdana" w:cs="Arial"/>
          <w:sz w:val="20"/>
          <w:lang w:bidi="es-ES"/>
        </w:rPr>
      </w:pPr>
      <w:r w:rsidRPr="00DF0F22">
        <w:rPr>
          <w:rFonts w:ascii="Verdana" w:eastAsia="Calibri" w:hAnsi="Verdana" w:cs="Arial"/>
          <w:sz w:val="20"/>
          <w:lang w:bidi="es-ES"/>
        </w:rPr>
        <w:t xml:space="preserve">Si bien </w:t>
      </w:r>
      <w:r w:rsidRPr="00AE620C">
        <w:rPr>
          <w:rFonts w:ascii="Verdana" w:eastAsia="Calibri" w:hAnsi="Verdana" w:cs="Arial"/>
          <w:sz w:val="20"/>
          <w:lang w:bidi="es-ES"/>
        </w:rPr>
        <w:t xml:space="preserve">los </w:t>
      </w:r>
      <w:r w:rsidRPr="00DF0F22">
        <w:rPr>
          <w:rFonts w:ascii="Verdana" w:eastAsia="Calibri" w:hAnsi="Verdana" w:cs="Arial"/>
          <w:sz w:val="20"/>
          <w:lang w:bidi="es-ES"/>
        </w:rPr>
        <w:t>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83EF6F0" w14:textId="77777777" w:rsidR="00F93FD6" w:rsidRPr="00AE620C" w:rsidRDefault="00F93FD6" w:rsidP="00F93FD6">
      <w:pPr>
        <w:spacing w:after="0"/>
        <w:rPr>
          <w:rFonts w:ascii="Verdana" w:hAnsi="Verdana"/>
        </w:rPr>
      </w:pPr>
    </w:p>
    <w:p w14:paraId="565379F4" w14:textId="42B0267F" w:rsidR="00F93FD6" w:rsidRPr="00AE620C" w:rsidRDefault="00DE571E" w:rsidP="00F93FD6">
      <w:pPr>
        <w:spacing w:after="0"/>
        <w:jc w:val="both"/>
        <w:rPr>
          <w:rFonts w:ascii="Verdana" w:hAnsi="Verdana" w:cs="Arial"/>
          <w:b/>
          <w:lang w:val="es-MX" w:eastAsia="es-ES_tradnl"/>
        </w:rPr>
      </w:pPr>
      <w:r w:rsidRPr="00AE620C">
        <w:rPr>
          <w:rFonts w:ascii="Verdana" w:hAnsi="Verdana" w:cs="Arial"/>
          <w:b/>
          <w:lang w:val="es-MX" w:eastAsia="es-ES_tradnl"/>
        </w:rPr>
        <w:t>LEY DE GARANTÍAS ELECTORALES - Convenios Interadministrativos – Circular Externa Única – Consejo de Estado – Nulidad – Suspensión</w:t>
      </w:r>
    </w:p>
    <w:p w14:paraId="20F2E2A2" w14:textId="77777777" w:rsidR="00DE571E" w:rsidRPr="00AE620C" w:rsidRDefault="00DE571E" w:rsidP="00F93FD6">
      <w:pPr>
        <w:spacing w:after="0"/>
        <w:jc w:val="both"/>
        <w:rPr>
          <w:rFonts w:ascii="Verdana" w:hAnsi="Verdana"/>
          <w:b/>
        </w:rPr>
      </w:pPr>
    </w:p>
    <w:p w14:paraId="5B7A58CF" w14:textId="77777777" w:rsidR="00F93FD6" w:rsidRPr="00AE620C" w:rsidRDefault="00F93FD6" w:rsidP="00F93FD6">
      <w:pPr>
        <w:spacing w:after="0" w:line="240" w:lineRule="auto"/>
        <w:jc w:val="both"/>
        <w:rPr>
          <w:rFonts w:ascii="Verdana" w:hAnsi="Verdana"/>
          <w:sz w:val="18"/>
          <w:szCs w:val="20"/>
        </w:rPr>
      </w:pPr>
      <w:r w:rsidRPr="00AE620C">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AE620C">
        <w:rPr>
          <w:rFonts w:ascii="Verdana" w:hAnsi="Verdana"/>
          <w:sz w:val="20"/>
        </w:rPr>
        <w:t>numeral 16.2 de la Circular Externa Única de 2022 expedida por la Agencia Nacional de Contratación Pública -Colombia Compra Eficiente-, concretamente, respecto de los siguientes apartes normativos</w:t>
      </w:r>
      <w:r w:rsidRPr="00AE620C">
        <w:rPr>
          <w:rFonts w:ascii="Verdana" w:hAnsi="Verdana"/>
          <w:sz w:val="18"/>
          <w:szCs w:val="20"/>
        </w:rPr>
        <w:t xml:space="preserve"> </w:t>
      </w:r>
    </w:p>
    <w:p w14:paraId="7FADEEDD" w14:textId="77777777" w:rsidR="00F93FD6" w:rsidRPr="00AE620C" w:rsidRDefault="00F93FD6" w:rsidP="00F93FD6">
      <w:pPr>
        <w:spacing w:after="0" w:line="240" w:lineRule="auto"/>
        <w:ind w:left="709" w:right="709"/>
        <w:jc w:val="both"/>
        <w:rPr>
          <w:rFonts w:ascii="Verdana" w:hAnsi="Verdana"/>
          <w:sz w:val="20"/>
        </w:rPr>
      </w:pPr>
    </w:p>
    <w:p w14:paraId="4EB1832E" w14:textId="77777777" w:rsidR="00F93FD6" w:rsidRPr="00AE620C" w:rsidRDefault="00F93FD6" w:rsidP="00F93FD6">
      <w:pPr>
        <w:spacing w:after="0" w:line="240" w:lineRule="auto"/>
        <w:jc w:val="both"/>
        <w:rPr>
          <w:rFonts w:ascii="Verdana" w:eastAsia="Arial" w:hAnsi="Verdana" w:cs="Arial"/>
          <w:i/>
          <w:iCs/>
          <w:sz w:val="20"/>
          <w:lang w:eastAsia="es-ES" w:bidi="es-ES"/>
        </w:rPr>
      </w:pPr>
      <w:r w:rsidRPr="00AE620C">
        <w:rPr>
          <w:rFonts w:ascii="Verdana" w:eastAsia="Arial" w:hAnsi="Verdana" w:cs="Arial"/>
          <w:sz w:val="20"/>
          <w:lang w:val="es-MX" w:eastAsia="es-ES" w:bidi="es-ES"/>
        </w:rPr>
        <w:t xml:space="preserve">De conformidad con los argumentos de dicha providencia, se parte de la distinción entre los conceptos </w:t>
      </w:r>
      <w:r w:rsidRPr="00AE620C">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AE620C">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AE620C">
        <w:rPr>
          <w:rFonts w:ascii="Verdana" w:eastAsia="Arial" w:hAnsi="Verdana" w:cs="Arial"/>
          <w:sz w:val="20"/>
          <w:lang w:eastAsia="es-ES" w:bidi="es-ES"/>
        </w:rPr>
        <w:t xml:space="preserve">Por tal motivo, para efectos de decretar la medida de suspensión provisional de los apartes señalados del numeral 16.2 de la Circular Externa </w:t>
      </w:r>
      <w:r w:rsidRPr="00AE620C">
        <w:rPr>
          <w:rFonts w:ascii="Verdana" w:eastAsia="Arial" w:hAnsi="Verdana" w:cs="Arial"/>
          <w:sz w:val="20"/>
          <w:lang w:eastAsia="es-ES" w:bidi="es-ES"/>
        </w:rPr>
        <w:lastRenderedPageBreak/>
        <w:t xml:space="preserve">Única, argumentó que </w:t>
      </w:r>
      <w:r w:rsidRPr="00AE620C">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B024EF6" w14:textId="77777777" w:rsidR="00F93FD6" w:rsidRPr="00AE620C" w:rsidRDefault="00F93FD6" w:rsidP="00F93FD6">
      <w:pPr>
        <w:spacing w:after="0" w:line="240" w:lineRule="auto"/>
        <w:jc w:val="both"/>
        <w:rPr>
          <w:rFonts w:ascii="Verdana" w:eastAsia="Arial" w:hAnsi="Verdana" w:cs="Arial"/>
          <w:i/>
          <w:iCs/>
          <w:sz w:val="20"/>
          <w:lang w:val="es-MX" w:eastAsia="es-ES" w:bidi="es-ES"/>
        </w:rPr>
      </w:pPr>
    </w:p>
    <w:p w14:paraId="729BDF46" w14:textId="77777777" w:rsidR="00F93FD6" w:rsidRPr="00AE620C" w:rsidRDefault="00F93FD6" w:rsidP="00F93FD6">
      <w:pPr>
        <w:spacing w:after="0" w:line="240" w:lineRule="auto"/>
        <w:jc w:val="both"/>
        <w:rPr>
          <w:rFonts w:ascii="Verdana" w:eastAsia="Calibri" w:hAnsi="Verdana" w:cs="Arial"/>
          <w:sz w:val="20"/>
          <w:lang w:val="es-MX"/>
        </w:rPr>
      </w:pPr>
      <w:r w:rsidRPr="00AE620C">
        <w:rPr>
          <w:rFonts w:ascii="Verdana" w:eastAsia="Arial" w:hAnsi="Verdana" w:cs="Arial"/>
          <w:sz w:val="20"/>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AE620C">
        <w:rPr>
          <w:rFonts w:ascii="Verdana" w:eastAsia="Arial" w:hAnsi="Verdana" w:cs="Arial"/>
          <w:sz w:val="20"/>
          <w:lang w:eastAsia="es-ES" w:bidi="es-ES"/>
        </w:rPr>
        <w:t>16.2 de la Circular Externa Única</w:t>
      </w:r>
      <w:r w:rsidRPr="00AE620C">
        <w:rPr>
          <w:rFonts w:ascii="Verdana" w:eastAsia="Arial" w:hAnsi="Verdana" w:cs="Arial"/>
          <w:sz w:val="20"/>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AE620C">
        <w:rPr>
          <w:rFonts w:ascii="Verdana" w:eastAsia="Times New Roman" w:hAnsi="Verdana" w:cs="Arial"/>
          <w:sz w:val="20"/>
          <w:lang w:val="es-MX" w:eastAsia="es-CO"/>
        </w:rPr>
        <w:t xml:space="preserve">evitar cualquier tipo de arbitrariedad, de ventaja injustificada, de uso irregular de los recursos del Estado en las campañas políticas, o que </w:t>
      </w:r>
      <w:r w:rsidRPr="00AE620C">
        <w:rPr>
          <w:rFonts w:ascii="Verdana" w:eastAsia="Calibri" w:hAnsi="Verdana" w:cs="Arial"/>
          <w:sz w:val="20"/>
          <w:lang w:val="es-MX"/>
        </w:rPr>
        <w:t xml:space="preserve">los recursos del Estado se ejecuten para lograr apoyos indebidos mediante la suscripción de contratos y/o convenios, que para efectos de la Ley de Garantías tienen la misma connotación y propósitos. </w:t>
      </w:r>
    </w:p>
    <w:p w14:paraId="60D16B33" w14:textId="77777777" w:rsidR="00F93FD6" w:rsidRPr="00AE620C" w:rsidRDefault="00F93FD6" w:rsidP="00F93FD6">
      <w:pPr>
        <w:spacing w:after="0" w:line="240" w:lineRule="auto"/>
        <w:jc w:val="both"/>
        <w:rPr>
          <w:rFonts w:ascii="Verdana" w:eastAsia="Calibri" w:hAnsi="Verdana" w:cs="Arial"/>
          <w:sz w:val="20"/>
          <w:lang w:val="es-MX"/>
        </w:rPr>
      </w:pPr>
    </w:p>
    <w:p w14:paraId="5D0A7D96" w14:textId="77777777" w:rsidR="00F93FD6" w:rsidRPr="00AE620C" w:rsidRDefault="00F93FD6" w:rsidP="00F93FD6">
      <w:pPr>
        <w:tabs>
          <w:tab w:val="left" w:pos="709"/>
        </w:tabs>
        <w:spacing w:after="0" w:line="240" w:lineRule="auto"/>
        <w:jc w:val="both"/>
        <w:rPr>
          <w:rFonts w:ascii="Verdana" w:eastAsia="Calibri" w:hAnsi="Verdana" w:cs="Arial"/>
          <w:b/>
          <w:bCs/>
          <w:color w:val="000000" w:themeColor="text1"/>
          <w:lang w:val="es-ES_tradnl"/>
        </w:rPr>
      </w:pPr>
      <w:r w:rsidRPr="00AE620C">
        <w:rPr>
          <w:rFonts w:ascii="Verdana" w:eastAsia="Calibri" w:hAnsi="Verdana" w:cs="Arial"/>
          <w:b/>
          <w:bCs/>
          <w:color w:val="000000" w:themeColor="text1"/>
          <w:lang w:val="es-ES_tradnl"/>
        </w:rPr>
        <w:t>ACTO ADMINISTRATIVO – Transferencia de recursos – Leyes especiales – No prohibido</w:t>
      </w:r>
    </w:p>
    <w:p w14:paraId="7680B935" w14:textId="77777777" w:rsidR="00F93FD6" w:rsidRPr="00AE620C" w:rsidRDefault="00F93FD6" w:rsidP="00F93FD6">
      <w:pPr>
        <w:tabs>
          <w:tab w:val="left" w:pos="709"/>
        </w:tabs>
        <w:spacing w:after="0" w:line="240" w:lineRule="auto"/>
        <w:jc w:val="both"/>
        <w:rPr>
          <w:rFonts w:ascii="Verdana" w:eastAsia="Calibri" w:hAnsi="Verdana" w:cs="Arial"/>
          <w:color w:val="000000" w:themeColor="text1"/>
          <w:sz w:val="20"/>
          <w:szCs w:val="20"/>
          <w:lang w:val="es-ES_tradnl"/>
        </w:rPr>
      </w:pPr>
    </w:p>
    <w:p w14:paraId="434E1EAA" w14:textId="77777777" w:rsidR="00F93FD6" w:rsidRPr="00AE620C" w:rsidRDefault="00F93FD6" w:rsidP="00F93FD6">
      <w:pPr>
        <w:tabs>
          <w:tab w:val="left" w:pos="709"/>
        </w:tabs>
        <w:spacing w:after="0" w:line="240" w:lineRule="auto"/>
        <w:jc w:val="both"/>
        <w:rPr>
          <w:rFonts w:ascii="Verdana" w:eastAsia="Calibri" w:hAnsi="Verdana" w:cs="Arial"/>
          <w:color w:val="000000" w:themeColor="text1"/>
          <w:sz w:val="20"/>
          <w:szCs w:val="20"/>
          <w:lang w:val="es-MX"/>
        </w:rPr>
      </w:pPr>
      <w:r w:rsidRPr="00AE620C">
        <w:rPr>
          <w:rFonts w:ascii="Verdana" w:eastAsia="Calibri" w:hAnsi="Verdana" w:cs="Arial"/>
          <w:color w:val="000000" w:themeColor="text1"/>
          <w:sz w:val="20"/>
          <w:szCs w:val="20"/>
          <w:lang w:val="es-ES_tradnl"/>
        </w:rPr>
        <w:t xml:space="preserve">Conforme a la interpretación de las normas generales del sistema de compras y contratación pública, </w:t>
      </w:r>
      <w:r w:rsidRPr="00AE620C">
        <w:rPr>
          <w:rFonts w:ascii="Verdana" w:eastAsia="Calibri" w:hAnsi="Verdana" w:cs="Arial"/>
          <w:color w:val="000000" w:themeColor="text1"/>
          <w:sz w:val="20"/>
          <w:szCs w:val="20"/>
          <w:lang w:val="es-MX"/>
        </w:rPr>
        <w:t xml:space="preserve">la transferencia de recursos efectuada mediante la expedición de un acto administrativo, </w:t>
      </w:r>
      <w:r w:rsidRPr="00AE620C">
        <w:rPr>
          <w:rFonts w:ascii="Verdana" w:eastAsia="Calibri" w:hAnsi="Verdana" w:cs="Arial"/>
          <w:i/>
          <w:iCs/>
          <w:color w:val="000000" w:themeColor="text1"/>
          <w:sz w:val="20"/>
          <w:szCs w:val="20"/>
          <w:lang w:val="es-MX"/>
        </w:rPr>
        <w:t>permitida expresamente por una ley</w:t>
      </w:r>
      <w:r w:rsidRPr="00AE620C">
        <w:rPr>
          <w:rFonts w:ascii="Verdana" w:eastAsia="Calibri" w:hAnsi="Verdana" w:cs="Arial"/>
          <w:color w:val="000000" w:themeColor="text1"/>
          <w:sz w:val="20"/>
          <w:szCs w:val="20"/>
          <w:lang w:val="es-MX"/>
        </w:rPr>
        <w:t>, no le resultan aplicables las restricciones previstas en el artículo 38 de la Ley 996 de 2005, porque lo que en este precepto se prohíbe es “celebrar convenios interadministrativos para la ejecución de recursos públicos”.</w:t>
      </w:r>
    </w:p>
    <w:p w14:paraId="26FB35B4" w14:textId="77777777" w:rsidR="00F93FD6" w:rsidRPr="00AE620C" w:rsidRDefault="00F93FD6" w:rsidP="00F93FD6">
      <w:pPr>
        <w:tabs>
          <w:tab w:val="left" w:pos="709"/>
        </w:tabs>
        <w:spacing w:after="0" w:line="240" w:lineRule="auto"/>
        <w:jc w:val="both"/>
        <w:rPr>
          <w:rFonts w:ascii="Verdana" w:eastAsia="Calibri" w:hAnsi="Verdana" w:cs="Arial"/>
          <w:color w:val="000000" w:themeColor="text1"/>
          <w:sz w:val="20"/>
          <w:szCs w:val="20"/>
          <w:lang w:val="es-MX"/>
        </w:rPr>
      </w:pPr>
    </w:p>
    <w:p w14:paraId="0E47FAFB" w14:textId="77777777" w:rsidR="00F93FD6" w:rsidRPr="00AE620C" w:rsidRDefault="00F93FD6" w:rsidP="00F93FD6">
      <w:pPr>
        <w:tabs>
          <w:tab w:val="left" w:pos="709"/>
        </w:tabs>
        <w:spacing w:after="0" w:line="240" w:lineRule="auto"/>
        <w:jc w:val="both"/>
        <w:rPr>
          <w:rFonts w:ascii="Verdana" w:eastAsia="Calibri" w:hAnsi="Verdana" w:cs="Arial"/>
          <w:bCs/>
          <w:color w:val="000000" w:themeColor="text1"/>
          <w:sz w:val="20"/>
          <w:szCs w:val="20"/>
        </w:rPr>
      </w:pPr>
      <w:r w:rsidRPr="00AE620C">
        <w:rPr>
          <w:rFonts w:ascii="Verdana" w:eastAsia="Calibri" w:hAnsi="Verdana" w:cs="Arial"/>
          <w:color w:val="000000" w:themeColor="text1"/>
          <w:sz w:val="20"/>
          <w:szCs w:val="20"/>
          <w:lang w:val="es-MX"/>
        </w:rPr>
        <w:t xml:space="preserve">Como se explica en el presente oficio, un convenio interadministrativo es un </w:t>
      </w:r>
      <w:r w:rsidRPr="00AE620C">
        <w:rPr>
          <w:rFonts w:ascii="Verdana" w:eastAsia="Calibri" w:hAnsi="Verdana" w:cs="Arial"/>
          <w:i/>
          <w:iCs/>
          <w:color w:val="000000" w:themeColor="text1"/>
          <w:sz w:val="20"/>
          <w:szCs w:val="20"/>
          <w:lang w:val="es-MX"/>
        </w:rPr>
        <w:t>acuerdo de voluntades</w:t>
      </w:r>
      <w:r w:rsidRPr="00AE620C">
        <w:rPr>
          <w:rFonts w:ascii="Verdana" w:eastAsia="Calibri" w:hAnsi="Verdana" w:cs="Arial"/>
          <w:color w:val="000000" w:themeColor="text1"/>
          <w:sz w:val="20"/>
          <w:szCs w:val="20"/>
          <w:lang w:val="es-MX"/>
        </w:rPr>
        <w:t xml:space="preserve"> en el que intervienen dos o más entidades públicas, o sea un acto jurídico bilateral o que participa de la forma contractual, de conformidad con el artículo 1495 del Código Civil. La forma jurídica consagrada, para efectuar la transferencia gratuita de recursos, en disposiciones como el artículo 9 del Decreto 559 de 2020, el artículo 5 del Decreto Legislativo 538 de 2020 y el parágrafo 2 del artículo 10 del Decreto Legislativo 800 de 2020, entre otras, </w:t>
      </w:r>
      <w:r w:rsidRPr="00AE620C">
        <w:rPr>
          <w:rFonts w:ascii="Verdana" w:eastAsia="Calibri" w:hAnsi="Verdana" w:cs="Arial"/>
          <w:i/>
          <w:iCs/>
          <w:color w:val="000000" w:themeColor="text1"/>
          <w:sz w:val="20"/>
          <w:szCs w:val="20"/>
          <w:lang w:val="es-MX"/>
        </w:rPr>
        <w:t>es el acto administrativo</w:t>
      </w:r>
      <w:r w:rsidRPr="00AE620C">
        <w:rPr>
          <w:rFonts w:ascii="Verdana" w:eastAsia="Calibri" w:hAnsi="Verdana" w:cs="Arial"/>
          <w:color w:val="000000" w:themeColor="text1"/>
          <w:sz w:val="20"/>
          <w:szCs w:val="20"/>
          <w:lang w:val="es-MX"/>
        </w:rPr>
        <w:t xml:space="preserve">, no el convenio interadministrativo. Si el parágrafo del artículo 38 de la Ley 996 de 2005 prohibió la celebración de convenios interadministrativos, no puede entenderse </w:t>
      </w:r>
      <w:r w:rsidRPr="00AE620C">
        <w:rPr>
          <w:rFonts w:ascii="Verdana" w:eastAsia="Calibri" w:hAnsi="Verdana" w:cs="Arial"/>
          <w:i/>
          <w:iCs/>
          <w:color w:val="000000" w:themeColor="text1"/>
          <w:sz w:val="20"/>
          <w:szCs w:val="20"/>
          <w:lang w:val="es-MX"/>
        </w:rPr>
        <w:t>también</w:t>
      </w:r>
      <w:r w:rsidRPr="00AE620C">
        <w:rPr>
          <w:rFonts w:ascii="Verdana" w:eastAsia="Calibri" w:hAnsi="Verdana" w:cs="Arial"/>
          <w:color w:val="000000" w:themeColor="text1"/>
          <w:sz w:val="20"/>
          <w:szCs w:val="20"/>
          <w:lang w:val="es-MX"/>
        </w:rPr>
        <w:t xml:space="preserve"> prohibida la transferencia llevada a cabo por un acto administrativo permitida por una norma legal especial, porque se estaría incluyendo una circunstancia que el supuesto de hecho de la restricción no contempla.</w:t>
      </w:r>
    </w:p>
    <w:p w14:paraId="3C5181A4" w14:textId="77777777" w:rsidR="009E2A9B" w:rsidRPr="00C278CC" w:rsidRDefault="009E2A9B" w:rsidP="30821638">
      <w:pPr>
        <w:spacing w:after="0"/>
        <w:rPr>
          <w:rFonts w:ascii="Verdana" w:eastAsia="Verdana" w:hAnsi="Verdana" w:cs="Verdana"/>
        </w:rPr>
      </w:pPr>
    </w:p>
    <w:p w14:paraId="26F03F93" w14:textId="77777777" w:rsidR="00F93FD6" w:rsidRDefault="00F93FD6" w:rsidP="30821638">
      <w:pPr>
        <w:spacing w:after="0"/>
        <w:rPr>
          <w:rFonts w:ascii="Verdana" w:eastAsia="Verdana" w:hAnsi="Verdana" w:cs="Verdana"/>
        </w:rPr>
      </w:pPr>
    </w:p>
    <w:p w14:paraId="315E17E8" w14:textId="77777777" w:rsidR="00DB0B28" w:rsidRPr="00C278CC" w:rsidRDefault="00DB0B28" w:rsidP="30821638">
      <w:pPr>
        <w:spacing w:after="0"/>
        <w:rPr>
          <w:rFonts w:ascii="Verdana" w:eastAsia="Verdana" w:hAnsi="Verdana" w:cs="Verdana"/>
        </w:rPr>
      </w:pPr>
    </w:p>
    <w:p w14:paraId="2B917B31" w14:textId="77777777" w:rsidR="009E2A9B" w:rsidRPr="00C278CC" w:rsidRDefault="009E2A9B" w:rsidP="30821638">
      <w:pPr>
        <w:spacing w:after="0"/>
        <w:rPr>
          <w:rFonts w:ascii="Verdana" w:eastAsia="Verdana" w:hAnsi="Verdana" w:cs="Verdana"/>
        </w:rPr>
      </w:pPr>
    </w:p>
    <w:p w14:paraId="1468C46D" w14:textId="396CD57F" w:rsidR="00C15139" w:rsidRDefault="00C15139" w:rsidP="30821638">
      <w:pPr>
        <w:spacing w:after="0"/>
        <w:rPr>
          <w:rFonts w:ascii="Verdana" w:hAnsi="Verdana"/>
        </w:rPr>
      </w:pPr>
      <w:r w:rsidRPr="00C278CC">
        <w:rPr>
          <w:rFonts w:ascii="Verdana" w:eastAsia="Verdana" w:hAnsi="Verdana" w:cs="Verdana"/>
        </w:rPr>
        <w:lastRenderedPageBreak/>
        <w:t xml:space="preserve">Bogotá D.C., </w:t>
      </w:r>
      <w:r w:rsidR="006839FA">
        <w:rPr>
          <w:rFonts w:ascii="Verdana" w:eastAsia="Verdana" w:hAnsi="Verdana" w:cs="Verdana"/>
        </w:rPr>
        <w:t>29</w:t>
      </w:r>
      <w:r w:rsidR="00E7271D">
        <w:rPr>
          <w:rFonts w:ascii="Verdana" w:eastAsia="Verdana" w:hAnsi="Verdana" w:cs="Verdana"/>
        </w:rPr>
        <w:t xml:space="preserve"> de marzo del 2026</w:t>
      </w:r>
      <w:r w:rsidRPr="00C278CC">
        <w:rPr>
          <w:rFonts w:ascii="Verdana" w:hAnsi="Verdana"/>
        </w:rPr>
        <w:tab/>
      </w:r>
      <w:r w:rsidRPr="00C278CC">
        <w:rPr>
          <w:rFonts w:ascii="Verdana" w:hAnsi="Verdana"/>
        </w:rPr>
        <w:br/>
      </w:r>
      <w:r w:rsidRPr="00C278CC">
        <w:rPr>
          <w:rFonts w:ascii="Verdana" w:hAnsi="Verdana"/>
        </w:rPr>
        <w:tab/>
      </w:r>
    </w:p>
    <w:p w14:paraId="15398B4D" w14:textId="2058BCCA" w:rsidR="00931394" w:rsidRPr="00C278CC" w:rsidRDefault="006839FA" w:rsidP="006839FA">
      <w:pPr>
        <w:spacing w:after="0"/>
        <w:jc w:val="right"/>
        <w:rPr>
          <w:rFonts w:ascii="Verdana" w:eastAsia="Verdana" w:hAnsi="Verdana" w:cs="Verdana"/>
        </w:rPr>
      </w:pPr>
      <w:r w:rsidRPr="006839FA">
        <w:rPr>
          <w:rFonts w:ascii="Verdana" w:eastAsia="Verdana" w:hAnsi="Verdana" w:cs="Verdana"/>
        </w:rPr>
        <w:drawing>
          <wp:inline distT="0" distB="0" distL="0" distR="0" wp14:anchorId="074F53A0" wp14:editId="116F3021">
            <wp:extent cx="2971165" cy="866775"/>
            <wp:effectExtent l="0" t="0" r="635" b="9525"/>
            <wp:docPr id="14619560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956091" name=""/>
                    <pic:cNvPicPr/>
                  </pic:nvPicPr>
                  <pic:blipFill>
                    <a:blip r:embed="rId11"/>
                    <a:stretch>
                      <a:fillRect/>
                    </a:stretch>
                  </pic:blipFill>
                  <pic:spPr>
                    <a:xfrm>
                      <a:off x="0" y="0"/>
                      <a:ext cx="2973427" cy="867435"/>
                    </a:xfrm>
                    <a:prstGeom prst="rect">
                      <a:avLst/>
                    </a:prstGeom>
                  </pic:spPr>
                </pic:pic>
              </a:graphicData>
            </a:graphic>
          </wp:inline>
        </w:drawing>
      </w:r>
    </w:p>
    <w:p w14:paraId="28EE5EE9" w14:textId="6B3C5422" w:rsidR="00505871" w:rsidRPr="00C278CC" w:rsidRDefault="00B574DB" w:rsidP="00505871">
      <w:pPr>
        <w:spacing w:after="0" w:line="240" w:lineRule="auto"/>
        <w:rPr>
          <w:rFonts w:ascii="Verdana" w:hAnsi="Verdana"/>
        </w:rPr>
      </w:pPr>
      <w:r w:rsidRPr="00C278CC">
        <w:rPr>
          <w:rFonts w:ascii="Verdana" w:eastAsia="Calibri" w:hAnsi="Verdana" w:cs="Arial"/>
          <w:color w:val="000000" w:themeColor="text1"/>
          <w:lang w:val="es-ES" w:eastAsia="es-ES"/>
        </w:rPr>
        <w:t>Señora</w:t>
      </w:r>
      <w:r w:rsidR="00633532" w:rsidRPr="00C278CC">
        <w:rPr>
          <w:rFonts w:ascii="Verdana" w:eastAsia="Calibri" w:hAnsi="Verdana" w:cs="Arial"/>
          <w:color w:val="000000" w:themeColor="text1"/>
          <w:lang w:val="es-ES" w:eastAsia="es-ES"/>
        </w:rPr>
        <w:t>:</w:t>
      </w:r>
    </w:p>
    <w:p w14:paraId="5192BA91" w14:textId="5E8D1B12" w:rsidR="00505871" w:rsidRPr="00C278CC" w:rsidRDefault="00633532" w:rsidP="00633532">
      <w:pPr>
        <w:spacing w:after="0" w:line="240" w:lineRule="auto"/>
        <w:jc w:val="both"/>
        <w:rPr>
          <w:rFonts w:ascii="Verdana" w:eastAsia="Calibri" w:hAnsi="Verdana" w:cs="Arial"/>
          <w:b/>
          <w:bCs/>
          <w:color w:val="000000" w:themeColor="text1"/>
          <w:lang w:eastAsia="es-ES"/>
        </w:rPr>
      </w:pPr>
      <w:r w:rsidRPr="00C278CC">
        <w:rPr>
          <w:rFonts w:ascii="Verdana" w:eastAsia="Calibri" w:hAnsi="Verdana" w:cs="Arial"/>
          <w:b/>
          <w:bCs/>
          <w:color w:val="000000" w:themeColor="text1"/>
          <w:lang w:eastAsia="es-ES"/>
        </w:rPr>
        <w:t>Dennis Amparo Vásquez Arias</w:t>
      </w:r>
    </w:p>
    <w:p w14:paraId="219742B2" w14:textId="36B07739" w:rsidR="004A2F3B" w:rsidRPr="00C278CC" w:rsidRDefault="00633532" w:rsidP="004A2F3B">
      <w:pPr>
        <w:spacing w:after="0" w:line="240" w:lineRule="auto"/>
        <w:jc w:val="both"/>
        <w:rPr>
          <w:rFonts w:ascii="Verdana" w:eastAsia="Calibri" w:hAnsi="Verdana" w:cs="Arial"/>
          <w:color w:val="000000" w:themeColor="text1"/>
          <w:lang w:eastAsia="es-ES"/>
        </w:rPr>
      </w:pPr>
      <w:r w:rsidRPr="00C278CC">
        <w:rPr>
          <w:rFonts w:ascii="Verdana" w:eastAsia="Calibri" w:hAnsi="Verdana" w:cs="Arial"/>
          <w:color w:val="000000" w:themeColor="text1"/>
          <w:lang w:eastAsia="es-ES"/>
        </w:rPr>
        <w:t>E</w:t>
      </w:r>
      <w:r w:rsidR="003372CD" w:rsidRPr="00C278CC">
        <w:rPr>
          <w:rFonts w:ascii="Verdana" w:eastAsia="Calibri" w:hAnsi="Verdana" w:cs="Arial"/>
          <w:color w:val="000000" w:themeColor="text1"/>
          <w:lang w:eastAsia="es-ES"/>
        </w:rPr>
        <w:t>.</w:t>
      </w:r>
      <w:r w:rsidRPr="00C278CC">
        <w:rPr>
          <w:rFonts w:ascii="Verdana" w:eastAsia="Calibri" w:hAnsi="Verdana" w:cs="Arial"/>
          <w:color w:val="000000" w:themeColor="text1"/>
          <w:lang w:eastAsia="es-ES"/>
        </w:rPr>
        <w:t>S</w:t>
      </w:r>
      <w:r w:rsidR="003372CD" w:rsidRPr="00C278CC">
        <w:rPr>
          <w:rFonts w:ascii="Verdana" w:eastAsia="Calibri" w:hAnsi="Verdana" w:cs="Arial"/>
          <w:color w:val="000000" w:themeColor="text1"/>
          <w:lang w:eastAsia="es-ES"/>
        </w:rPr>
        <w:t>.</w:t>
      </w:r>
      <w:r w:rsidRPr="00C278CC">
        <w:rPr>
          <w:rFonts w:ascii="Verdana" w:eastAsia="Calibri" w:hAnsi="Verdana" w:cs="Arial"/>
          <w:color w:val="000000" w:themeColor="text1"/>
          <w:lang w:eastAsia="es-ES"/>
        </w:rPr>
        <w:t>E HOSPITAL SAN RAFAEL DE LETICI</w:t>
      </w:r>
      <w:r w:rsidR="004A2F3B" w:rsidRPr="00C278CC">
        <w:rPr>
          <w:rFonts w:ascii="Verdana" w:eastAsia="Calibri" w:hAnsi="Verdana" w:cs="Arial"/>
          <w:color w:val="000000" w:themeColor="text1"/>
          <w:lang w:eastAsia="es-ES"/>
        </w:rPr>
        <w:t>A</w:t>
      </w:r>
    </w:p>
    <w:p w14:paraId="1BA1A0D2" w14:textId="6FF2450D" w:rsidR="004A2F3B" w:rsidRPr="00C278CC" w:rsidRDefault="004A2F3B" w:rsidP="004A2F3B">
      <w:pPr>
        <w:spacing w:after="0" w:line="240" w:lineRule="auto"/>
        <w:jc w:val="both"/>
        <w:rPr>
          <w:rFonts w:ascii="Verdana" w:eastAsia="Calibri" w:hAnsi="Verdana" w:cs="Arial"/>
          <w:color w:val="000000" w:themeColor="text1"/>
          <w:lang w:eastAsia="es-ES"/>
        </w:rPr>
      </w:pPr>
      <w:hyperlink r:id="rId12" w:history="1">
        <w:r w:rsidRPr="00C278CC">
          <w:rPr>
            <w:rStyle w:val="Hipervnculo"/>
            <w:rFonts w:ascii="Verdana" w:eastAsia="Calibri" w:hAnsi="Verdana" w:cs="Arial"/>
            <w:lang w:eastAsia="es-ES"/>
          </w:rPr>
          <w:t>gerencia@esehospitalsanrafael-leticia-amazonas.gov.co</w:t>
        </w:r>
      </w:hyperlink>
      <w:r w:rsidRPr="00C278CC">
        <w:rPr>
          <w:rFonts w:ascii="Verdana" w:eastAsia="Calibri" w:hAnsi="Verdana" w:cs="Arial"/>
          <w:color w:val="000000" w:themeColor="text1"/>
          <w:lang w:eastAsia="es-ES"/>
        </w:rPr>
        <w:t xml:space="preserve"> </w:t>
      </w:r>
    </w:p>
    <w:p w14:paraId="050C1F53" w14:textId="1B227CFC" w:rsidR="00505871" w:rsidRPr="00C278CC" w:rsidRDefault="004A2F3B" w:rsidP="004A2F3B">
      <w:pPr>
        <w:spacing w:after="0" w:line="240" w:lineRule="auto"/>
        <w:jc w:val="both"/>
        <w:rPr>
          <w:rFonts w:ascii="Verdana" w:eastAsia="Calibri" w:hAnsi="Verdana" w:cs="Arial"/>
          <w:color w:val="000000" w:themeColor="text1"/>
          <w:lang w:eastAsia="es-ES"/>
        </w:rPr>
      </w:pPr>
      <w:r w:rsidRPr="00C278CC">
        <w:rPr>
          <w:rFonts w:ascii="Verdana" w:eastAsia="Calibri" w:hAnsi="Verdana" w:cs="Arial"/>
          <w:color w:val="000000" w:themeColor="text1"/>
          <w:lang w:val="es-ES_tradnl" w:eastAsia="es-ES"/>
        </w:rPr>
        <w:t>Leticia, Amazonas</w:t>
      </w:r>
    </w:p>
    <w:p w14:paraId="3D1A740A" w14:textId="77777777" w:rsidR="00505871" w:rsidRPr="00C278CC" w:rsidRDefault="00505871" w:rsidP="00505871">
      <w:pPr>
        <w:spacing w:after="0" w:line="240" w:lineRule="auto"/>
        <w:rPr>
          <w:rFonts w:ascii="Verdana" w:eastAsia="Calibri" w:hAnsi="Verdana" w:cs="Arial"/>
          <w:b/>
          <w:bCs/>
          <w:color w:val="000000" w:themeColor="text1"/>
          <w:lang w:val="es-ES_tradnl" w:eastAsia="es-ES_tradnl"/>
        </w:rPr>
      </w:pPr>
    </w:p>
    <w:p w14:paraId="3AE28903" w14:textId="6C329D6C" w:rsidR="00505871" w:rsidRPr="00C278CC" w:rsidRDefault="008A2EA0" w:rsidP="008A2EA0">
      <w:pPr>
        <w:tabs>
          <w:tab w:val="left" w:pos="2730"/>
        </w:tabs>
        <w:spacing w:after="0" w:line="240" w:lineRule="auto"/>
        <w:rPr>
          <w:rFonts w:ascii="Verdana" w:eastAsia="Calibri" w:hAnsi="Verdana" w:cs="Arial"/>
          <w:b/>
          <w:bCs/>
          <w:color w:val="000000" w:themeColor="text1"/>
          <w:lang w:val="es-ES_tradnl" w:eastAsia="es-ES_tradnl"/>
        </w:rPr>
      </w:pPr>
      <w:r w:rsidRPr="00C278CC">
        <w:rPr>
          <w:rFonts w:ascii="Verdana" w:eastAsia="Calibri" w:hAnsi="Verdana" w:cs="Arial"/>
          <w:b/>
          <w:bCs/>
          <w:color w:val="000000" w:themeColor="text1"/>
          <w:lang w:val="es-ES_tradnl" w:eastAsia="es-ES_tradnl"/>
        </w:rPr>
        <w:tab/>
      </w:r>
    </w:p>
    <w:p w14:paraId="1FAF08B7" w14:textId="195F9DF0" w:rsidR="00505871" w:rsidRPr="00C278CC" w:rsidRDefault="00505871" w:rsidP="00505871">
      <w:pPr>
        <w:spacing w:after="0" w:line="240" w:lineRule="auto"/>
        <w:rPr>
          <w:rFonts w:ascii="Verdana" w:eastAsia="Calibri" w:hAnsi="Verdana" w:cs="Arial"/>
          <w:b/>
          <w:bCs/>
          <w:color w:val="000000" w:themeColor="text1"/>
          <w:lang w:val="es-ES_tradnl" w:eastAsia="es-ES_tradnl"/>
        </w:rPr>
      </w:pPr>
      <w:r w:rsidRPr="00C278CC">
        <w:rPr>
          <w:rFonts w:ascii="Verdana" w:eastAsia="Calibri" w:hAnsi="Verdana" w:cs="Arial"/>
          <w:b/>
          <w:bCs/>
          <w:color w:val="000000" w:themeColor="text1"/>
          <w:lang w:val="es-ES_tradnl" w:eastAsia="es-ES_tradnl"/>
        </w:rPr>
        <w:t xml:space="preserve">                                   Concepto </w:t>
      </w:r>
      <w:r w:rsidR="00C87E59" w:rsidRPr="00C278CC">
        <w:rPr>
          <w:rFonts w:ascii="Verdana" w:eastAsia="Calibri" w:hAnsi="Verdana" w:cs="Arial"/>
          <w:b/>
          <w:bCs/>
          <w:color w:val="000000" w:themeColor="text1"/>
          <w:lang w:val="es-ES_tradnl" w:eastAsia="es-ES_tradnl"/>
        </w:rPr>
        <w:t xml:space="preserve">C-256 </w:t>
      </w:r>
      <w:r w:rsidRPr="00C278CC">
        <w:rPr>
          <w:rFonts w:ascii="Verdana" w:eastAsia="Calibri" w:hAnsi="Verdana" w:cs="Arial"/>
          <w:b/>
          <w:bCs/>
          <w:color w:val="000000" w:themeColor="text1"/>
          <w:lang w:val="es-ES_tradnl" w:eastAsia="es-ES_tradnl"/>
        </w:rPr>
        <w:t>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05871" w:rsidRPr="00C278CC" w14:paraId="1419FC50" w14:textId="77777777" w:rsidTr="002027A0">
        <w:trPr>
          <w:gridAfter w:val="1"/>
          <w:wAfter w:w="6100" w:type="dxa"/>
          <w:trHeight w:val="101"/>
        </w:trPr>
        <w:tc>
          <w:tcPr>
            <w:tcW w:w="2689" w:type="dxa"/>
          </w:tcPr>
          <w:p w14:paraId="01437632" w14:textId="77777777" w:rsidR="00505871" w:rsidRPr="00C278CC" w:rsidRDefault="00505871" w:rsidP="006A2218">
            <w:pPr>
              <w:jc w:val="both"/>
              <w:rPr>
                <w:rFonts w:ascii="Verdana" w:eastAsia="Calibri" w:hAnsi="Verdana" w:cs="Arial"/>
                <w:b/>
                <w:bCs/>
                <w:color w:val="000000" w:themeColor="text1"/>
                <w:highlight w:val="cyan"/>
                <w:lang w:val="es-ES_tradnl" w:eastAsia="es-ES_tradnl"/>
              </w:rPr>
            </w:pPr>
          </w:p>
        </w:tc>
      </w:tr>
      <w:tr w:rsidR="00505871" w:rsidRPr="00C278CC" w14:paraId="1D86F08B" w14:textId="77777777" w:rsidTr="006A2218">
        <w:trPr>
          <w:trHeight w:val="884"/>
        </w:trPr>
        <w:tc>
          <w:tcPr>
            <w:tcW w:w="2689" w:type="dxa"/>
          </w:tcPr>
          <w:p w14:paraId="43F1399E" w14:textId="77777777" w:rsidR="00505871" w:rsidRPr="00C278CC" w:rsidRDefault="00505871" w:rsidP="006A2218">
            <w:pPr>
              <w:jc w:val="both"/>
              <w:rPr>
                <w:rFonts w:ascii="Verdana" w:eastAsia="Calibri" w:hAnsi="Verdana" w:cs="Arial"/>
                <w:color w:val="000000" w:themeColor="text1"/>
                <w:lang w:val="es-ES_tradnl" w:eastAsia="es-ES_tradnl"/>
              </w:rPr>
            </w:pPr>
            <w:r w:rsidRPr="00C278CC">
              <w:rPr>
                <w:rFonts w:ascii="Verdana" w:eastAsia="Calibri" w:hAnsi="Verdana" w:cs="Arial"/>
                <w:b/>
                <w:color w:val="000000" w:themeColor="text1"/>
                <w:lang w:val="es-ES_tradnl" w:eastAsia="es-ES_tradnl"/>
              </w:rPr>
              <w:t>Temas:</w:t>
            </w:r>
            <w:r w:rsidRPr="00C278CC">
              <w:rPr>
                <w:rFonts w:ascii="Verdana" w:eastAsia="Calibri" w:hAnsi="Verdana" w:cs="Arial"/>
                <w:color w:val="000000" w:themeColor="text1"/>
                <w:lang w:val="es-ES_tradnl" w:eastAsia="es-ES_tradnl"/>
              </w:rPr>
              <w:t xml:space="preserve">                   </w:t>
            </w:r>
          </w:p>
        </w:tc>
        <w:tc>
          <w:tcPr>
            <w:tcW w:w="6100" w:type="dxa"/>
          </w:tcPr>
          <w:p w14:paraId="43F27769" w14:textId="5EFBD2ED" w:rsidR="00A23F89" w:rsidRPr="00C278CC" w:rsidRDefault="00A23F89" w:rsidP="00A23F89">
            <w:pPr>
              <w:spacing w:line="276" w:lineRule="auto"/>
              <w:jc w:val="both"/>
              <w:rPr>
                <w:rFonts w:ascii="Verdana" w:eastAsia="Calibri" w:hAnsi="Verdana" w:cs="Arial"/>
                <w:lang w:val="es-ES" w:eastAsia="es-ES"/>
              </w:rPr>
            </w:pPr>
            <w:r w:rsidRPr="00C278CC">
              <w:rPr>
                <w:rFonts w:ascii="Verdana" w:eastAsia="Calibri" w:hAnsi="Verdana" w:cs="Arial"/>
                <w:lang w:val="es-ES" w:eastAsia="es-ES"/>
              </w:rPr>
              <w:t xml:space="preserve">LEY DE GARANTÍAS ELECTORALES ‒ Finalidad / LEY DE GARANTÍAS ELECTORALES ‒ Tipos de restricciones ‒ Ámbito temporal – Celebración – Límite </w:t>
            </w:r>
            <w:r w:rsidR="00D3336D" w:rsidRPr="00C278CC">
              <w:rPr>
                <w:rFonts w:ascii="Verdana" w:eastAsia="Calibri" w:hAnsi="Verdana" w:cs="Arial"/>
                <w:lang w:val="es-ES" w:eastAsia="es-ES"/>
              </w:rPr>
              <w:t xml:space="preserve">/ LEY DE GARANTÍAS ELECTORALES ‒ Contratación directa – Alcance / LEY DE GARANTÍAS ELECTORALES ‒ Contratación Directa – Excepciones – Entidades sanitarias y hospitalarias </w:t>
            </w:r>
            <w:r w:rsidRPr="00C278CC">
              <w:rPr>
                <w:rFonts w:ascii="Verdana" w:eastAsia="Calibri" w:hAnsi="Verdana" w:cs="Arial"/>
                <w:lang w:val="es-ES" w:eastAsia="es-ES"/>
              </w:rPr>
              <w:t>/ LEY DE GARANTÍAS ELECTORALES –</w:t>
            </w:r>
            <w:r w:rsidR="00D3336D" w:rsidRPr="00C278CC">
              <w:rPr>
                <w:rFonts w:ascii="Verdana" w:eastAsia="Calibri" w:hAnsi="Verdana" w:cs="Arial"/>
                <w:lang w:val="es-ES" w:eastAsia="es-ES"/>
              </w:rPr>
              <w:t xml:space="preserve"> C</w:t>
            </w:r>
            <w:r w:rsidRPr="00C278CC">
              <w:rPr>
                <w:rFonts w:ascii="Verdana" w:eastAsia="Calibri" w:hAnsi="Verdana" w:cs="Arial"/>
                <w:lang w:val="es-ES" w:eastAsia="es-ES"/>
              </w:rPr>
              <w:t xml:space="preserve">onvenios interadministrativos – Criterio orgánico / </w:t>
            </w:r>
            <w:r w:rsidR="00D3336D" w:rsidRPr="00C278CC">
              <w:rPr>
                <w:rFonts w:ascii="Verdana" w:eastAsia="Calibri" w:hAnsi="Verdana" w:cs="Arial"/>
                <w:lang w:val="es-ES" w:eastAsia="es-ES"/>
              </w:rPr>
              <w:t xml:space="preserve">LEY DE GARANTÍAS ELECTORALES - </w:t>
            </w:r>
            <w:r w:rsidRPr="00C278CC">
              <w:rPr>
                <w:rFonts w:ascii="Verdana" w:eastAsia="Calibri" w:hAnsi="Verdana" w:cs="Arial"/>
                <w:lang w:val="es-ES" w:eastAsia="es-ES"/>
              </w:rPr>
              <w:t>C</w:t>
            </w:r>
            <w:r w:rsidR="00D3336D" w:rsidRPr="00C278CC">
              <w:rPr>
                <w:rFonts w:ascii="Verdana" w:eastAsia="Calibri" w:hAnsi="Verdana" w:cs="Arial"/>
                <w:lang w:val="es-ES" w:eastAsia="es-ES"/>
              </w:rPr>
              <w:t>onvenios</w:t>
            </w:r>
            <w:r w:rsidRPr="00C278CC">
              <w:rPr>
                <w:rFonts w:ascii="Verdana" w:eastAsia="Calibri" w:hAnsi="Verdana" w:cs="Arial"/>
                <w:lang w:val="es-ES" w:eastAsia="es-ES"/>
              </w:rPr>
              <w:t xml:space="preserve"> </w:t>
            </w:r>
            <w:r w:rsidR="00D20314" w:rsidRPr="00C278CC">
              <w:rPr>
                <w:rFonts w:ascii="Verdana" w:eastAsia="Calibri" w:hAnsi="Verdana" w:cs="Arial"/>
                <w:lang w:val="es-ES" w:eastAsia="es-ES"/>
              </w:rPr>
              <w:t xml:space="preserve">Interadministrativos </w:t>
            </w:r>
            <w:r w:rsidRPr="00C278CC">
              <w:rPr>
                <w:rFonts w:ascii="Verdana" w:eastAsia="Calibri" w:hAnsi="Verdana" w:cs="Arial"/>
                <w:lang w:val="es-ES" w:eastAsia="es-ES"/>
              </w:rPr>
              <w:t xml:space="preserve">– Circular Externa Única – </w:t>
            </w:r>
            <w:r w:rsidR="00D20314" w:rsidRPr="00C278CC">
              <w:rPr>
                <w:rFonts w:ascii="Verdana" w:eastAsia="Calibri" w:hAnsi="Verdana" w:cs="Arial"/>
                <w:lang w:val="es-ES" w:eastAsia="es-ES"/>
              </w:rPr>
              <w:t>Consejo de Estado – Nulidad - Suspensión</w:t>
            </w:r>
            <w:r w:rsidRPr="00C278CC">
              <w:rPr>
                <w:rFonts w:ascii="Verdana" w:eastAsia="Calibri" w:hAnsi="Verdana" w:cs="Arial"/>
                <w:lang w:val="es-ES" w:eastAsia="es-ES"/>
              </w:rPr>
              <w:t xml:space="preserve"> </w:t>
            </w:r>
            <w:r w:rsidR="00D20314" w:rsidRPr="00C278CC">
              <w:rPr>
                <w:rFonts w:ascii="Verdana" w:eastAsia="Calibri" w:hAnsi="Verdana" w:cs="Arial"/>
                <w:lang w:val="es-ES" w:eastAsia="es-ES"/>
              </w:rPr>
              <w:t xml:space="preserve">/ </w:t>
            </w:r>
            <w:r w:rsidRPr="00C278CC">
              <w:rPr>
                <w:rFonts w:ascii="Verdana" w:eastAsia="Calibri" w:hAnsi="Verdana" w:cs="Arial"/>
                <w:lang w:val="es-ES" w:eastAsia="es-ES"/>
              </w:rPr>
              <w:t xml:space="preserve">ACTO ADMINISTRATIVO – Transferencia de recursos – Leyes especiales – No prohibido                    </w:t>
            </w:r>
          </w:p>
          <w:p w14:paraId="59E411AD" w14:textId="77777777" w:rsidR="00505871" w:rsidRPr="00C278CC" w:rsidRDefault="00505871" w:rsidP="006A2218">
            <w:pPr>
              <w:jc w:val="both"/>
              <w:rPr>
                <w:rFonts w:ascii="Verdana" w:hAnsi="Verdana" w:cs="Arial"/>
                <w:bCs/>
                <w:color w:val="000000" w:themeColor="text1"/>
                <w:lang w:val="es-ES"/>
              </w:rPr>
            </w:pPr>
          </w:p>
        </w:tc>
      </w:tr>
      <w:tr w:rsidR="00505871" w:rsidRPr="00C278CC" w14:paraId="3F19D4DF" w14:textId="77777777" w:rsidTr="006A2218">
        <w:tc>
          <w:tcPr>
            <w:tcW w:w="2689" w:type="dxa"/>
          </w:tcPr>
          <w:p w14:paraId="5CC6BE0A" w14:textId="77777777" w:rsidR="00505871" w:rsidRPr="00C278CC" w:rsidRDefault="00505871" w:rsidP="006A2218">
            <w:pPr>
              <w:jc w:val="both"/>
              <w:rPr>
                <w:rFonts w:ascii="Verdana" w:eastAsia="Calibri" w:hAnsi="Verdana" w:cs="Arial"/>
                <w:b/>
                <w:color w:val="000000" w:themeColor="text1"/>
                <w:lang w:val="es-ES_tradnl" w:eastAsia="es-ES_tradnl"/>
              </w:rPr>
            </w:pPr>
            <w:r w:rsidRPr="00C278CC">
              <w:rPr>
                <w:rFonts w:ascii="Verdana" w:eastAsia="Calibri" w:hAnsi="Verdana" w:cs="Arial"/>
                <w:b/>
                <w:color w:val="000000" w:themeColor="text1"/>
                <w:lang w:val="es-ES_tradnl" w:eastAsia="es-ES_tradnl"/>
              </w:rPr>
              <w:t>Radicación:</w:t>
            </w:r>
            <w:r w:rsidRPr="00C278CC">
              <w:rPr>
                <w:rFonts w:ascii="Verdana" w:eastAsia="Calibri" w:hAnsi="Verdana" w:cs="Arial"/>
                <w:color w:val="000000" w:themeColor="text1"/>
                <w:lang w:val="es-ES_tradnl" w:eastAsia="es-ES_tradnl"/>
              </w:rPr>
              <w:t xml:space="preserve">               </w:t>
            </w:r>
          </w:p>
        </w:tc>
        <w:tc>
          <w:tcPr>
            <w:tcW w:w="6100" w:type="dxa"/>
          </w:tcPr>
          <w:p w14:paraId="4F7572A7" w14:textId="0AC0D3A1" w:rsidR="00505871" w:rsidRPr="00C278CC" w:rsidRDefault="00505871" w:rsidP="006A2218">
            <w:pPr>
              <w:jc w:val="both"/>
              <w:rPr>
                <w:rFonts w:ascii="Verdana" w:eastAsia="Calibri" w:hAnsi="Verdana" w:cs="Arial"/>
                <w:color w:val="000000" w:themeColor="text1"/>
                <w:lang w:eastAsia="es-ES_tradnl"/>
              </w:rPr>
            </w:pPr>
            <w:r w:rsidRPr="00C278CC">
              <w:rPr>
                <w:rFonts w:ascii="Verdana" w:eastAsia="Calibri" w:hAnsi="Verdana" w:cs="Arial"/>
                <w:color w:val="000000" w:themeColor="text1"/>
                <w:lang w:val="es-ES_tradnl" w:eastAsia="es-ES_tradnl"/>
              </w:rPr>
              <w:t>Respuesta a</w:t>
            </w:r>
            <w:r w:rsidR="005674E6" w:rsidRPr="00C278CC">
              <w:rPr>
                <w:rFonts w:ascii="Verdana" w:eastAsia="Calibri" w:hAnsi="Verdana" w:cs="Arial"/>
                <w:color w:val="000000" w:themeColor="text1"/>
                <w:lang w:val="es-ES_tradnl" w:eastAsia="es-ES_tradnl"/>
              </w:rPr>
              <w:t xml:space="preserve"> la</w:t>
            </w:r>
            <w:r w:rsidRPr="00C278CC">
              <w:rPr>
                <w:rFonts w:ascii="Verdana" w:eastAsia="Calibri" w:hAnsi="Verdana" w:cs="Arial"/>
                <w:color w:val="000000" w:themeColor="text1"/>
                <w:lang w:val="es-ES_tradnl" w:eastAsia="es-ES_tradnl"/>
              </w:rPr>
              <w:t xml:space="preserve"> consulta con radicado No.</w:t>
            </w:r>
            <w:r w:rsidRPr="00C278CC">
              <w:rPr>
                <w:rFonts w:ascii="Verdana" w:hAnsi="Verdana"/>
              </w:rPr>
              <w:t xml:space="preserve"> </w:t>
            </w:r>
            <w:r w:rsidR="00633532" w:rsidRPr="00C278CC">
              <w:rPr>
                <w:rFonts w:ascii="Verdana" w:eastAsia="Calibri" w:hAnsi="Verdana" w:cs="Arial"/>
                <w:color w:val="000000" w:themeColor="text1"/>
                <w:lang w:eastAsia="es-ES_tradnl"/>
              </w:rPr>
              <w:t>1_2026_02_18_002178</w:t>
            </w:r>
            <w:r w:rsidR="005C3B7D" w:rsidRPr="00C278CC">
              <w:rPr>
                <w:rFonts w:ascii="Verdana" w:eastAsia="Calibri" w:hAnsi="Verdana" w:cs="Arial"/>
                <w:color w:val="000000" w:themeColor="text1"/>
                <w:lang w:eastAsia="es-ES_tradnl"/>
              </w:rPr>
              <w:t xml:space="preserve"> acumulada con </w:t>
            </w:r>
            <w:r w:rsidR="00D714D8" w:rsidRPr="00C278CC">
              <w:rPr>
                <w:rFonts w:ascii="Verdana" w:eastAsia="Calibri" w:hAnsi="Verdana" w:cs="Arial"/>
                <w:color w:val="000000" w:themeColor="text1"/>
                <w:lang w:eastAsia="es-ES_tradnl"/>
              </w:rPr>
              <w:t>la Nro. 1_2026_02_26_002730</w:t>
            </w:r>
          </w:p>
          <w:p w14:paraId="67BC5585" w14:textId="77777777" w:rsidR="00505871" w:rsidRPr="00C278CC" w:rsidRDefault="00505871" w:rsidP="006A2218">
            <w:pPr>
              <w:jc w:val="both"/>
              <w:rPr>
                <w:rFonts w:ascii="Verdana" w:hAnsi="Verdana" w:cs="Arial"/>
              </w:rPr>
            </w:pPr>
          </w:p>
          <w:p w14:paraId="3F29BBE3" w14:textId="77777777" w:rsidR="00505871" w:rsidRPr="00C278CC" w:rsidRDefault="00505871" w:rsidP="006A2218">
            <w:pPr>
              <w:jc w:val="both"/>
              <w:rPr>
                <w:rFonts w:ascii="Verdana" w:hAnsi="Verdana"/>
                <w:color w:val="000000"/>
              </w:rPr>
            </w:pPr>
          </w:p>
        </w:tc>
      </w:tr>
    </w:tbl>
    <w:p w14:paraId="5D084DF2" w14:textId="73A362BE" w:rsidR="00505871" w:rsidRPr="00C278CC" w:rsidRDefault="00505871" w:rsidP="007D4EF3">
      <w:pPr>
        <w:spacing w:after="0" w:line="276" w:lineRule="auto"/>
        <w:jc w:val="both"/>
        <w:rPr>
          <w:rFonts w:ascii="Verdana" w:eastAsia="Calibri" w:hAnsi="Verdana" w:cs="Arial"/>
          <w:color w:val="000000" w:themeColor="text1"/>
          <w:lang w:val="es-ES" w:eastAsia="es-ES"/>
        </w:rPr>
      </w:pPr>
      <w:r w:rsidRPr="00C278CC">
        <w:rPr>
          <w:rFonts w:ascii="Verdana" w:eastAsia="Calibri" w:hAnsi="Verdana" w:cs="Arial"/>
          <w:color w:val="000000" w:themeColor="text1"/>
          <w:lang w:val="es-ES" w:eastAsia="es-ES"/>
        </w:rPr>
        <w:t>Estimad</w:t>
      </w:r>
      <w:r w:rsidR="00B574DB" w:rsidRPr="00C278CC">
        <w:rPr>
          <w:rFonts w:ascii="Verdana" w:eastAsia="Calibri" w:hAnsi="Verdana" w:cs="Arial"/>
          <w:color w:val="000000" w:themeColor="text1"/>
          <w:lang w:val="es-ES" w:eastAsia="es-ES"/>
        </w:rPr>
        <w:t>a</w:t>
      </w:r>
      <w:r w:rsidRPr="00C278CC">
        <w:rPr>
          <w:rFonts w:ascii="Verdana" w:eastAsia="Calibri" w:hAnsi="Verdana" w:cs="Arial"/>
          <w:color w:val="000000" w:themeColor="text1"/>
          <w:lang w:val="es-ES" w:eastAsia="es-ES"/>
        </w:rPr>
        <w:t xml:space="preserve"> </w:t>
      </w:r>
      <w:r w:rsidR="00B574DB" w:rsidRPr="00C278CC">
        <w:rPr>
          <w:rFonts w:ascii="Verdana" w:eastAsia="Calibri" w:hAnsi="Verdana" w:cs="Arial"/>
          <w:color w:val="000000" w:themeColor="text1"/>
          <w:lang w:val="es-ES" w:eastAsia="es-ES"/>
        </w:rPr>
        <w:t>señora Vásquez</w:t>
      </w:r>
      <w:r w:rsidRPr="00C278CC">
        <w:rPr>
          <w:rFonts w:ascii="Verdana" w:eastAsia="Calibri" w:hAnsi="Verdana" w:cs="Arial"/>
          <w:color w:val="000000" w:themeColor="text1"/>
          <w:lang w:val="es-ES" w:eastAsia="es-ES"/>
        </w:rPr>
        <w:t xml:space="preserve">: </w:t>
      </w:r>
    </w:p>
    <w:p w14:paraId="22A31C13" w14:textId="77777777" w:rsidR="00505871" w:rsidRPr="00C278CC" w:rsidRDefault="00505871" w:rsidP="007D4EF3">
      <w:pPr>
        <w:spacing w:after="0" w:line="276" w:lineRule="auto"/>
        <w:rPr>
          <w:rFonts w:ascii="Verdana" w:eastAsia="Times New Roman" w:hAnsi="Verdana" w:cs="Segoe UI"/>
          <w:highlight w:val="cyan"/>
          <w:lang w:eastAsia="es-CO"/>
        </w:rPr>
      </w:pPr>
    </w:p>
    <w:p w14:paraId="6678D29A" w14:textId="59FE9C88" w:rsidR="00505871" w:rsidRPr="00C278CC" w:rsidRDefault="00505871" w:rsidP="007D4EF3">
      <w:pPr>
        <w:spacing w:after="0" w:line="276" w:lineRule="auto"/>
        <w:jc w:val="both"/>
        <w:rPr>
          <w:rFonts w:ascii="Verdana" w:eastAsia="Calibri" w:hAnsi="Verdana" w:cs="Arial"/>
          <w:lang w:val="es-ES" w:eastAsia="es-ES"/>
        </w:rPr>
      </w:pPr>
      <w:r w:rsidRPr="00C278CC">
        <w:rPr>
          <w:rFonts w:ascii="Verdana" w:eastAsia="Calibri" w:hAnsi="Verdana" w:cs="Arial"/>
          <w:lang w:val="es-ES" w:eastAsia="es-ES"/>
        </w:rPr>
        <w:t>En ejercicio de la competencia otorgada por los artículos 3, numeral 5º, y 11, numeral 8º, del Decreto Ley 4170 de 2011,</w:t>
      </w:r>
      <w:r w:rsidRPr="00C278CC">
        <w:rPr>
          <w:rFonts w:ascii="Verdana" w:eastAsia="Arial MT" w:hAnsi="Verdana" w:cs="Arial"/>
          <w:lang w:val="es-ES" w:eastAsia="es-ES"/>
        </w:rPr>
        <w:t xml:space="preserve"> </w:t>
      </w:r>
      <w:r w:rsidRPr="00C278CC">
        <w:rPr>
          <w:rFonts w:ascii="Verdana" w:hAnsi="Verdana" w:cs="Arial"/>
        </w:rPr>
        <w:t xml:space="preserve">así como lo establecido en el artículo </w:t>
      </w:r>
      <w:r w:rsidRPr="00C278CC">
        <w:rPr>
          <w:rFonts w:ascii="Verdana" w:hAnsi="Verdana" w:cs="Arial"/>
        </w:rPr>
        <w:lastRenderedPageBreak/>
        <w:t xml:space="preserve">4 de la Resolución 1707 de 2018 expedida por esta Entidad, </w:t>
      </w:r>
      <w:r w:rsidRPr="00C278CC">
        <w:rPr>
          <w:rFonts w:ascii="Verdana" w:eastAsia="Calibri" w:hAnsi="Verdana" w:cs="Arial"/>
          <w:lang w:val="es-ES" w:eastAsia="es-ES"/>
        </w:rPr>
        <w:t xml:space="preserve">la Agencia Nacional de Contratación Pública – Colombia Compra Eficiente– responde </w:t>
      </w:r>
      <w:r w:rsidR="00392A72" w:rsidRPr="00C278CC">
        <w:rPr>
          <w:rFonts w:ascii="Verdana" w:eastAsia="Calibri" w:hAnsi="Verdana" w:cs="Arial"/>
          <w:lang w:val="es-ES" w:eastAsia="es-ES"/>
        </w:rPr>
        <w:t>a las</w:t>
      </w:r>
      <w:r w:rsidRPr="00C278CC">
        <w:rPr>
          <w:rFonts w:ascii="Verdana" w:eastAsia="Calibri" w:hAnsi="Verdana" w:cs="Arial"/>
          <w:lang w:val="es-ES" w:eastAsia="es-ES"/>
        </w:rPr>
        <w:t xml:space="preserve"> solicitud</w:t>
      </w:r>
      <w:r w:rsidR="00392A72" w:rsidRPr="00C278CC">
        <w:rPr>
          <w:rFonts w:ascii="Verdana" w:eastAsia="Calibri" w:hAnsi="Verdana" w:cs="Arial"/>
          <w:lang w:val="es-ES" w:eastAsia="es-ES"/>
        </w:rPr>
        <w:t>es</w:t>
      </w:r>
      <w:r w:rsidRPr="00C278CC">
        <w:rPr>
          <w:rFonts w:ascii="Verdana" w:eastAsia="Calibri" w:hAnsi="Verdana" w:cs="Arial"/>
          <w:lang w:val="es-ES" w:eastAsia="es-ES"/>
        </w:rPr>
        <w:t xml:space="preserve"> del </w:t>
      </w:r>
      <w:r w:rsidR="00B574DB" w:rsidRPr="00C278CC">
        <w:rPr>
          <w:rFonts w:ascii="Verdana" w:eastAsia="Calibri" w:hAnsi="Verdana" w:cs="Arial"/>
          <w:lang w:val="es-ES" w:eastAsia="es-ES"/>
        </w:rPr>
        <w:t>03 de febrero del 2026</w:t>
      </w:r>
      <w:r w:rsidRPr="00C278CC">
        <w:rPr>
          <w:rFonts w:ascii="Verdana" w:eastAsia="Calibri" w:hAnsi="Verdana" w:cs="Arial"/>
          <w:lang w:val="es-ES" w:eastAsia="es-ES"/>
        </w:rPr>
        <w:t>,</w:t>
      </w:r>
      <w:r w:rsidR="00B574DB" w:rsidRPr="00C278CC">
        <w:rPr>
          <w:rFonts w:ascii="Verdana" w:eastAsia="Calibri" w:hAnsi="Verdana" w:cs="Arial"/>
          <w:lang w:val="es-ES" w:eastAsia="es-ES"/>
        </w:rPr>
        <w:t xml:space="preserve"> trasladada por el </w:t>
      </w:r>
      <w:r w:rsidR="00FB1D1F" w:rsidRPr="00C278CC">
        <w:rPr>
          <w:rFonts w:ascii="Verdana" w:eastAsia="Calibri" w:hAnsi="Verdana" w:cs="Arial"/>
          <w:lang w:val="es-ES" w:eastAsia="es-ES"/>
        </w:rPr>
        <w:t xml:space="preserve">Ministerio de Salud y Protección Social, el </w:t>
      </w:r>
      <w:r w:rsidR="003874BC" w:rsidRPr="00C278CC">
        <w:rPr>
          <w:rFonts w:ascii="Verdana" w:eastAsia="Calibri" w:hAnsi="Verdana" w:cs="Arial"/>
          <w:lang w:val="es-ES" w:eastAsia="es-ES"/>
        </w:rPr>
        <w:t>18</w:t>
      </w:r>
      <w:r w:rsidR="00FB1D1F" w:rsidRPr="00C278CC">
        <w:rPr>
          <w:rFonts w:ascii="Verdana" w:eastAsia="Calibri" w:hAnsi="Verdana" w:cs="Arial"/>
          <w:lang w:val="es-ES" w:eastAsia="es-ES"/>
        </w:rPr>
        <w:t xml:space="preserve"> de febrero del 2026</w:t>
      </w:r>
      <w:r w:rsidR="00392A72" w:rsidRPr="00C278CC">
        <w:rPr>
          <w:rFonts w:ascii="Verdana" w:eastAsia="Calibri" w:hAnsi="Verdana" w:cs="Arial"/>
          <w:lang w:val="es-ES" w:eastAsia="es-ES"/>
        </w:rPr>
        <w:t xml:space="preserve">, y </w:t>
      </w:r>
      <w:r w:rsidR="0004575E" w:rsidRPr="00C278CC">
        <w:rPr>
          <w:rFonts w:ascii="Verdana" w:eastAsia="Calibri" w:hAnsi="Verdana" w:cs="Arial"/>
          <w:lang w:val="es-ES" w:eastAsia="es-ES"/>
        </w:rPr>
        <w:t>a la del</w:t>
      </w:r>
      <w:r w:rsidR="00392A72" w:rsidRPr="00C278CC">
        <w:rPr>
          <w:rFonts w:ascii="Verdana" w:eastAsia="Calibri" w:hAnsi="Verdana" w:cs="Arial"/>
          <w:lang w:val="es-ES" w:eastAsia="es-ES"/>
        </w:rPr>
        <w:t xml:space="preserve"> </w:t>
      </w:r>
      <w:r w:rsidR="00B23106" w:rsidRPr="00C278CC">
        <w:rPr>
          <w:rFonts w:ascii="Verdana" w:eastAsia="Calibri" w:hAnsi="Verdana" w:cs="Arial"/>
          <w:lang w:val="es-ES" w:eastAsia="es-ES"/>
        </w:rPr>
        <w:t xml:space="preserve">26 de febrero del 2026, </w:t>
      </w:r>
      <w:r w:rsidRPr="00C278CC">
        <w:rPr>
          <w:rFonts w:ascii="Verdana" w:eastAsia="Calibri" w:hAnsi="Verdana" w:cs="Arial"/>
          <w:lang w:val="es-ES" w:eastAsia="es-ES"/>
        </w:rPr>
        <w:t>en la</w:t>
      </w:r>
      <w:r w:rsidR="00B23106" w:rsidRPr="00C278CC">
        <w:rPr>
          <w:rFonts w:ascii="Verdana" w:eastAsia="Calibri" w:hAnsi="Verdana" w:cs="Arial"/>
          <w:lang w:val="es-ES" w:eastAsia="es-ES"/>
        </w:rPr>
        <w:t>s</w:t>
      </w:r>
      <w:r w:rsidRPr="00C278CC">
        <w:rPr>
          <w:rFonts w:ascii="Verdana" w:eastAsia="Calibri" w:hAnsi="Verdana" w:cs="Arial"/>
          <w:lang w:val="es-ES" w:eastAsia="es-ES"/>
        </w:rPr>
        <w:t xml:space="preserve"> cual</w:t>
      </w:r>
      <w:r w:rsidR="00B23106" w:rsidRPr="00C278CC">
        <w:rPr>
          <w:rFonts w:ascii="Verdana" w:eastAsia="Calibri" w:hAnsi="Verdana" w:cs="Arial"/>
          <w:lang w:val="es-ES" w:eastAsia="es-ES"/>
        </w:rPr>
        <w:t>es</w:t>
      </w:r>
      <w:r w:rsidRPr="00C278CC">
        <w:rPr>
          <w:rFonts w:ascii="Verdana" w:eastAsia="Calibri" w:hAnsi="Verdana" w:cs="Arial"/>
          <w:lang w:val="es-ES" w:eastAsia="es-ES"/>
        </w:rPr>
        <w:t xml:space="preserve"> manifiesta lo siguiente: </w:t>
      </w:r>
    </w:p>
    <w:p w14:paraId="443445A5" w14:textId="77777777" w:rsidR="00505871" w:rsidRPr="00C278CC" w:rsidRDefault="00505871" w:rsidP="007D4EF3">
      <w:pPr>
        <w:spacing w:after="0" w:line="276" w:lineRule="auto"/>
        <w:jc w:val="both"/>
        <w:rPr>
          <w:rFonts w:ascii="Verdana" w:eastAsia="Calibri" w:hAnsi="Verdana" w:cs="Arial"/>
          <w:highlight w:val="cyan"/>
          <w:lang w:val="es-ES" w:eastAsia="es-ES"/>
        </w:rPr>
      </w:pPr>
    </w:p>
    <w:p w14:paraId="2460B3C5" w14:textId="466E9655" w:rsidR="00505871" w:rsidRPr="00C278CC" w:rsidRDefault="00505871" w:rsidP="00505871">
      <w:pPr>
        <w:spacing w:after="0" w:line="240" w:lineRule="auto"/>
        <w:ind w:left="709" w:right="709"/>
        <w:jc w:val="both"/>
        <w:rPr>
          <w:rFonts w:ascii="Verdana" w:eastAsia="Century Gothic" w:hAnsi="Verdana" w:cs="Arial"/>
          <w:sz w:val="20"/>
          <w:szCs w:val="20"/>
        </w:rPr>
      </w:pPr>
      <w:r w:rsidRPr="00C278CC">
        <w:rPr>
          <w:rFonts w:ascii="Verdana" w:eastAsia="Century Gothic" w:hAnsi="Verdana" w:cs="Arial"/>
          <w:sz w:val="20"/>
          <w:szCs w:val="20"/>
          <w:lang w:val="es-ES"/>
        </w:rPr>
        <w:t xml:space="preserve">“[…] </w:t>
      </w:r>
      <w:r w:rsidR="004C10CE" w:rsidRPr="00C278CC">
        <w:rPr>
          <w:rFonts w:ascii="Verdana" w:eastAsia="Century Gothic" w:hAnsi="Verdana" w:cs="Arial"/>
          <w:sz w:val="20"/>
          <w:szCs w:val="20"/>
          <w:lang w:val="es-ES"/>
        </w:rPr>
        <w:t xml:space="preserve">1. </w:t>
      </w:r>
      <w:r w:rsidR="004C10CE" w:rsidRPr="00C278CC">
        <w:rPr>
          <w:rFonts w:ascii="Verdana" w:eastAsia="Century Gothic" w:hAnsi="Verdana" w:cs="Arial"/>
          <w:sz w:val="20"/>
          <w:szCs w:val="20"/>
        </w:rPr>
        <w:t xml:space="preserve">Emitir concepto jurídico expreso sobre la viabilidad constitucional y legal de que la Gobernación del Amazonas – Secretaria de Salud suscriba un convenio administrativo y otro instrumento jurídico con la ESE Hospital San Rafael de Leticia, para la transferencia de recursos del susidio a la oferta, durante la vigencia de la ley 996 de 2005, cuando dicha transferencia resulte indispensable para garantizar la continuidad del servicio público esencial de salud. </w:t>
      </w:r>
    </w:p>
    <w:p w14:paraId="4571A787" w14:textId="77777777" w:rsidR="004C10CE" w:rsidRPr="00C278CC" w:rsidRDefault="004C10CE" w:rsidP="00505871">
      <w:pPr>
        <w:spacing w:after="0" w:line="240" w:lineRule="auto"/>
        <w:ind w:left="709" w:right="709"/>
        <w:jc w:val="both"/>
        <w:rPr>
          <w:rFonts w:ascii="Verdana" w:eastAsia="Century Gothic" w:hAnsi="Verdana" w:cs="Arial"/>
          <w:sz w:val="20"/>
          <w:szCs w:val="20"/>
        </w:rPr>
      </w:pPr>
    </w:p>
    <w:p w14:paraId="390141EA" w14:textId="77777777" w:rsidR="004C10CE" w:rsidRPr="00C278CC" w:rsidRDefault="004C10CE" w:rsidP="00505871">
      <w:pPr>
        <w:spacing w:after="0" w:line="240" w:lineRule="auto"/>
        <w:ind w:left="709" w:right="709"/>
        <w:jc w:val="both"/>
        <w:rPr>
          <w:rFonts w:ascii="Verdana" w:eastAsia="Century Gothic" w:hAnsi="Verdana" w:cs="Arial"/>
          <w:sz w:val="20"/>
          <w:szCs w:val="20"/>
        </w:rPr>
      </w:pPr>
      <w:r w:rsidRPr="00C278CC">
        <w:rPr>
          <w:rFonts w:ascii="Verdana" w:eastAsia="Century Gothic" w:hAnsi="Verdana" w:cs="Arial"/>
          <w:sz w:val="20"/>
          <w:szCs w:val="20"/>
        </w:rPr>
        <w:t xml:space="preserve">2. Precisar si la protección del derecho fundamental a la salud y a la vida de las poblaciones indígenas, así como la situación de intervención administrativa de la ESE Hospital Sal Rafael de Leticia, constituyen una excepción material que habilita la adopción de mecanismos jurídicos de financiación, pese a las restricciones de la ley de garantías electorales. </w:t>
      </w:r>
    </w:p>
    <w:p w14:paraId="43F19C88" w14:textId="77777777" w:rsidR="004C10CE" w:rsidRPr="00C278CC" w:rsidRDefault="004C10CE" w:rsidP="00505871">
      <w:pPr>
        <w:spacing w:after="0" w:line="240" w:lineRule="auto"/>
        <w:ind w:left="709" w:right="709"/>
        <w:jc w:val="both"/>
        <w:rPr>
          <w:rFonts w:ascii="Verdana" w:eastAsia="Century Gothic" w:hAnsi="Verdana" w:cs="Arial"/>
          <w:sz w:val="20"/>
          <w:szCs w:val="20"/>
        </w:rPr>
      </w:pPr>
    </w:p>
    <w:p w14:paraId="294FACDD" w14:textId="77777777" w:rsidR="004C10CE" w:rsidRPr="00C278CC" w:rsidRDefault="004C10CE" w:rsidP="004C10CE">
      <w:pPr>
        <w:spacing w:after="0" w:line="240" w:lineRule="auto"/>
        <w:ind w:left="709" w:right="709"/>
        <w:jc w:val="both"/>
        <w:rPr>
          <w:rFonts w:ascii="Verdana" w:eastAsia="Century Gothic" w:hAnsi="Verdana" w:cs="Arial"/>
          <w:sz w:val="20"/>
          <w:szCs w:val="20"/>
        </w:rPr>
      </w:pPr>
      <w:r w:rsidRPr="00C278CC">
        <w:rPr>
          <w:rFonts w:ascii="Verdana" w:eastAsia="Century Gothic" w:hAnsi="Verdana" w:cs="Arial"/>
          <w:sz w:val="20"/>
          <w:szCs w:val="20"/>
        </w:rPr>
        <w:t xml:space="preserve">3. Indicar alternativas jurídicas concretas que permitan efectuar dicha transferencia de recursos, garantizando los principios de legalidad, transparencia, finalidad constitucional del gasto público y continuidad del servicio. </w:t>
      </w:r>
    </w:p>
    <w:p w14:paraId="60A93D9E" w14:textId="77777777" w:rsidR="004C10CE" w:rsidRPr="00C278CC" w:rsidRDefault="004C10CE" w:rsidP="004C10CE">
      <w:pPr>
        <w:spacing w:after="0" w:line="240" w:lineRule="auto"/>
        <w:ind w:left="709" w:right="709"/>
        <w:jc w:val="both"/>
        <w:rPr>
          <w:rFonts w:ascii="Verdana" w:eastAsia="Century Gothic" w:hAnsi="Verdana" w:cs="Arial"/>
          <w:sz w:val="20"/>
          <w:szCs w:val="20"/>
        </w:rPr>
      </w:pPr>
    </w:p>
    <w:p w14:paraId="4045C3B1" w14:textId="77777777" w:rsidR="004C10CE" w:rsidRPr="00C278CC" w:rsidRDefault="00505871" w:rsidP="004C10CE">
      <w:pPr>
        <w:spacing w:after="0" w:line="240" w:lineRule="auto"/>
        <w:ind w:left="709" w:right="709"/>
        <w:jc w:val="both"/>
        <w:rPr>
          <w:rFonts w:ascii="Verdana" w:eastAsia="Century Gothic" w:hAnsi="Verdana" w:cs="Arial"/>
          <w:sz w:val="20"/>
          <w:szCs w:val="20"/>
        </w:rPr>
      </w:pPr>
      <w:r w:rsidRPr="00C278CC">
        <w:rPr>
          <w:rFonts w:ascii="Verdana" w:eastAsia="Century Gothic" w:hAnsi="Verdana" w:cs="Arial"/>
          <w:sz w:val="20"/>
          <w:szCs w:val="20"/>
        </w:rPr>
        <w:t>[…]</w:t>
      </w:r>
    </w:p>
    <w:p w14:paraId="433B0A52" w14:textId="77777777" w:rsidR="004C10CE" w:rsidRPr="00C278CC" w:rsidRDefault="004C10CE" w:rsidP="004C10CE">
      <w:pPr>
        <w:spacing w:after="0" w:line="240" w:lineRule="auto"/>
        <w:ind w:left="709" w:right="709"/>
        <w:jc w:val="both"/>
        <w:rPr>
          <w:rFonts w:ascii="Verdana" w:eastAsia="Century Gothic" w:hAnsi="Verdana" w:cs="Arial"/>
          <w:sz w:val="20"/>
          <w:szCs w:val="20"/>
        </w:rPr>
      </w:pPr>
    </w:p>
    <w:p w14:paraId="0840F1FA" w14:textId="77777777" w:rsidR="00446708" w:rsidRPr="00C278CC" w:rsidRDefault="00E362F0" w:rsidP="00446708">
      <w:pPr>
        <w:spacing w:after="0" w:line="240" w:lineRule="auto"/>
        <w:ind w:left="709" w:right="709"/>
        <w:jc w:val="both"/>
        <w:rPr>
          <w:rFonts w:ascii="Verdana" w:eastAsia="Century Gothic" w:hAnsi="Verdana" w:cs="Arial"/>
          <w:sz w:val="20"/>
          <w:szCs w:val="20"/>
        </w:rPr>
      </w:pPr>
      <w:r w:rsidRPr="00C278CC">
        <w:rPr>
          <w:rFonts w:ascii="Verdana" w:eastAsia="Century Gothic" w:hAnsi="Verdana" w:cs="Arial"/>
          <w:sz w:val="20"/>
          <w:szCs w:val="20"/>
        </w:rPr>
        <w:t>Con toda atención me permito solicitar concepto frente a la modalidad de contratación en periodo de Ley de Garantías electorales para la ejecución de los recursos del subcomponente de subsidio a la oferta vigencia 2026.</w:t>
      </w:r>
    </w:p>
    <w:p w14:paraId="2C7484E5" w14:textId="77777777" w:rsidR="00446708" w:rsidRPr="00C278CC" w:rsidRDefault="00446708" w:rsidP="00446708">
      <w:pPr>
        <w:spacing w:after="0" w:line="240" w:lineRule="auto"/>
        <w:ind w:left="709" w:right="709"/>
        <w:jc w:val="both"/>
        <w:rPr>
          <w:rFonts w:ascii="Verdana" w:eastAsia="Century Gothic" w:hAnsi="Verdana" w:cs="Arial"/>
          <w:sz w:val="20"/>
          <w:szCs w:val="20"/>
        </w:rPr>
      </w:pPr>
    </w:p>
    <w:p w14:paraId="60D09220" w14:textId="77777777" w:rsidR="00446708" w:rsidRPr="00C278CC" w:rsidRDefault="00E362F0" w:rsidP="00446708">
      <w:pPr>
        <w:spacing w:after="0" w:line="240" w:lineRule="auto"/>
        <w:ind w:left="709" w:right="709"/>
        <w:jc w:val="both"/>
        <w:rPr>
          <w:rFonts w:ascii="Verdana" w:eastAsia="Century Gothic" w:hAnsi="Verdana" w:cs="Arial"/>
          <w:sz w:val="20"/>
          <w:szCs w:val="20"/>
        </w:rPr>
      </w:pPr>
      <w:r w:rsidRPr="00C278CC">
        <w:rPr>
          <w:rFonts w:ascii="Verdana" w:eastAsia="Century Gothic" w:hAnsi="Verdana" w:cs="Arial"/>
          <w:sz w:val="20"/>
          <w:szCs w:val="20"/>
        </w:rPr>
        <w:t>[…]</w:t>
      </w:r>
    </w:p>
    <w:p w14:paraId="7E78040B" w14:textId="77777777" w:rsidR="00446708" w:rsidRPr="00C278CC" w:rsidRDefault="00446708" w:rsidP="00446708">
      <w:pPr>
        <w:spacing w:after="0" w:line="240" w:lineRule="auto"/>
        <w:ind w:left="709" w:right="709"/>
        <w:jc w:val="both"/>
        <w:rPr>
          <w:rFonts w:ascii="Verdana" w:eastAsia="Century Gothic" w:hAnsi="Verdana" w:cs="Arial"/>
          <w:sz w:val="20"/>
          <w:szCs w:val="20"/>
        </w:rPr>
      </w:pPr>
    </w:p>
    <w:p w14:paraId="6343BEAB" w14:textId="7F67C8D5" w:rsidR="00505871" w:rsidRPr="00C278CC" w:rsidRDefault="00446708" w:rsidP="00446708">
      <w:pPr>
        <w:spacing w:after="0" w:line="240" w:lineRule="auto"/>
        <w:ind w:left="709" w:right="709"/>
        <w:jc w:val="both"/>
        <w:rPr>
          <w:rFonts w:ascii="Verdana" w:eastAsia="Century Gothic" w:hAnsi="Verdana" w:cs="Arial"/>
          <w:sz w:val="20"/>
          <w:szCs w:val="20"/>
        </w:rPr>
      </w:pPr>
      <w:r w:rsidRPr="00C278CC">
        <w:rPr>
          <w:rFonts w:ascii="Verdana" w:eastAsia="Century Gothic" w:hAnsi="Verdana" w:cs="Arial"/>
          <w:sz w:val="20"/>
          <w:szCs w:val="20"/>
        </w:rPr>
        <w:t xml:space="preserve">Es importante mencionar que estos recursos ya fueron asignados por parte del Departamento Nacional de Planeación a través del Documento de Distribución de Recursos DD SGP 108-2026 y que en cumplimiento del artículo sexto de la resolución 484 de 2024 se deberá realizar suscripción del convenio o contrato para su ejecución entre el departamento de Amazonas y el Hospital San Rafael de Leticia y ante la no claridad frente a la modalidad de contratación de estos recursos fundamentales para la prestación de servicios en las 10 áreas no municipalizadas y el municipio de Puerto Nariño, solicitamos a ustedes concepto frente a la viabilidad de celebrar en periodo de Ley de Garantías Electorales a través de la </w:t>
      </w:r>
      <w:r w:rsidRPr="00C278CC">
        <w:rPr>
          <w:rFonts w:ascii="Verdana" w:eastAsia="Century Gothic" w:hAnsi="Verdana" w:cs="Arial"/>
          <w:b/>
          <w:bCs/>
          <w:sz w:val="20"/>
          <w:szCs w:val="20"/>
        </w:rPr>
        <w:lastRenderedPageBreak/>
        <w:t>modalidad de contrato interadministrativo</w:t>
      </w:r>
      <w:r w:rsidRPr="00C278CC">
        <w:rPr>
          <w:rFonts w:ascii="Verdana" w:eastAsia="Century Gothic" w:hAnsi="Verdana" w:cs="Arial"/>
          <w:sz w:val="20"/>
          <w:szCs w:val="20"/>
        </w:rPr>
        <w:t xml:space="preserve"> la ejecución de estos recursos para la vigencia 2026 […]</w:t>
      </w:r>
      <w:r w:rsidR="00505871" w:rsidRPr="00C278CC">
        <w:rPr>
          <w:rFonts w:ascii="Verdana" w:eastAsia="Century Gothic" w:hAnsi="Verdana" w:cs="Arial"/>
          <w:sz w:val="20"/>
          <w:szCs w:val="20"/>
        </w:rPr>
        <w:t>”</w:t>
      </w:r>
    </w:p>
    <w:p w14:paraId="38F6826F" w14:textId="77777777" w:rsidR="00505871" w:rsidRPr="00C278CC" w:rsidRDefault="00505871" w:rsidP="00505871">
      <w:pPr>
        <w:spacing w:after="0"/>
        <w:jc w:val="both"/>
        <w:rPr>
          <w:rFonts w:ascii="Verdana" w:hAnsi="Verdana" w:cs="Arial"/>
          <w:highlight w:val="cyan"/>
          <w:lang w:val="es-ES"/>
        </w:rPr>
      </w:pPr>
    </w:p>
    <w:p w14:paraId="63F6ADC5" w14:textId="62042F3A" w:rsidR="00505871" w:rsidRPr="00C278CC" w:rsidRDefault="00505871" w:rsidP="00505871">
      <w:pPr>
        <w:spacing w:after="120" w:line="276" w:lineRule="auto"/>
        <w:ind w:firstLine="709"/>
        <w:jc w:val="both"/>
        <w:rPr>
          <w:rFonts w:ascii="Verdana" w:eastAsia="Calibri" w:hAnsi="Verdana" w:cs="Arial"/>
          <w:color w:val="000000"/>
          <w:lang w:val="es-ES_tradnl" w:eastAsia="es-ES_tradnl"/>
        </w:rPr>
      </w:pPr>
      <w:r w:rsidRPr="00C278CC">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7D4EF3" w:rsidRPr="00C278CC">
        <w:rPr>
          <w:rFonts w:ascii="Verdana" w:eastAsia="Calibri" w:hAnsi="Verdana" w:cs="Arial"/>
          <w:color w:val="000000"/>
          <w:lang w:val="es-ES" w:eastAsia="es-ES"/>
        </w:rPr>
        <w:t xml:space="preserve">la Agencia Nacional de Contratación Pública – </w:t>
      </w:r>
      <w:r w:rsidRPr="00C278CC">
        <w:rPr>
          <w:rFonts w:ascii="Verdana" w:eastAsia="Calibri" w:hAnsi="Verdana" w:cs="Arial"/>
          <w:color w:val="000000"/>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975496B" w14:textId="3ED31B37" w:rsidR="00505871" w:rsidRPr="00C278CC" w:rsidRDefault="00505871" w:rsidP="00505871">
      <w:pPr>
        <w:spacing w:after="0" w:line="276" w:lineRule="auto"/>
        <w:ind w:firstLine="709"/>
        <w:jc w:val="both"/>
        <w:rPr>
          <w:rFonts w:ascii="Verdana" w:eastAsia="Calibri" w:hAnsi="Verdana" w:cs="Arial"/>
          <w:color w:val="000000"/>
          <w:lang w:val="es-ES" w:eastAsia="es-ES"/>
        </w:rPr>
      </w:pPr>
      <w:r w:rsidRPr="00C278CC">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7D4EF3" w:rsidRPr="00C278CC">
        <w:rPr>
          <w:rFonts w:ascii="Verdana" w:eastAsia="Calibri" w:hAnsi="Verdana" w:cs="Arial"/>
          <w:color w:val="000000"/>
          <w:lang w:val="es-ES" w:eastAsia="es-ES"/>
        </w:rPr>
        <w:t>señalando alg</w:t>
      </w:r>
      <w:r w:rsidRPr="00C278CC">
        <w:rPr>
          <w:rFonts w:ascii="Verdana" w:eastAsia="Calibri" w:hAnsi="Verdana" w:cs="Arial"/>
          <w:color w:val="000000"/>
          <w:lang w:val="es-ES" w:eastAsia="es-ES"/>
        </w:rPr>
        <w:t xml:space="preserve">unas consideraciones sobre las normas generales relacionadas con los problemas jurídicos de su consulta.  </w:t>
      </w:r>
    </w:p>
    <w:p w14:paraId="738E4218" w14:textId="77777777" w:rsidR="00505871" w:rsidRPr="00C278CC" w:rsidRDefault="00505871" w:rsidP="00505871">
      <w:pPr>
        <w:spacing w:after="0" w:line="276" w:lineRule="auto"/>
        <w:jc w:val="both"/>
        <w:rPr>
          <w:rStyle w:val="Hipervnculo"/>
          <w:rFonts w:ascii="Verdana" w:hAnsi="Verdana"/>
          <w:highlight w:val="cyan"/>
          <w:lang w:val="es-ES"/>
        </w:rPr>
      </w:pPr>
    </w:p>
    <w:p w14:paraId="338A83B6" w14:textId="77777777" w:rsidR="00505871" w:rsidRPr="00C278CC" w:rsidRDefault="00505871" w:rsidP="0050587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C278CC">
        <w:rPr>
          <w:rFonts w:ascii="Verdana" w:eastAsia="Century Gothic" w:hAnsi="Verdana" w:cs="Arial"/>
          <w:b/>
          <w:bCs/>
        </w:rPr>
        <w:t>Problema planteado:</w:t>
      </w:r>
    </w:p>
    <w:p w14:paraId="63EBB3A8" w14:textId="77777777" w:rsidR="00505871" w:rsidRPr="00C278CC" w:rsidRDefault="00505871" w:rsidP="00505871">
      <w:pPr>
        <w:spacing w:after="0" w:line="276" w:lineRule="auto"/>
        <w:jc w:val="both"/>
        <w:rPr>
          <w:rStyle w:val="Hipervnculo"/>
          <w:rFonts w:ascii="Verdana" w:hAnsi="Verdana" w:cs="Arial"/>
          <w:highlight w:val="cyan"/>
        </w:rPr>
      </w:pPr>
    </w:p>
    <w:p w14:paraId="25AAE10D" w14:textId="3301D1C7" w:rsidR="00505871" w:rsidRPr="00C278CC" w:rsidRDefault="00505871" w:rsidP="00505871">
      <w:pPr>
        <w:spacing w:after="0" w:line="276" w:lineRule="auto"/>
        <w:jc w:val="both"/>
        <w:rPr>
          <w:rFonts w:ascii="Verdana" w:eastAsia="Century Gothic" w:hAnsi="Verdana" w:cs="Century Gothic"/>
          <w:lang w:val="es-ES_tradnl"/>
        </w:rPr>
      </w:pPr>
      <w:r w:rsidRPr="00C278CC">
        <w:rPr>
          <w:rFonts w:ascii="Verdana" w:eastAsia="Century Gothic" w:hAnsi="Verdana" w:cs="Arial"/>
        </w:rPr>
        <w:t xml:space="preserve">De acuerdo con el contenido de su solicitud, esta Agencia resolverá </w:t>
      </w:r>
      <w:r w:rsidR="000D7D9D" w:rsidRPr="00C278CC">
        <w:rPr>
          <w:rFonts w:ascii="Verdana" w:eastAsia="Century Gothic" w:hAnsi="Verdana" w:cs="Arial"/>
        </w:rPr>
        <w:t>los</w:t>
      </w:r>
      <w:r w:rsidRPr="00C278CC">
        <w:rPr>
          <w:rFonts w:ascii="Verdana" w:eastAsia="Century Gothic" w:hAnsi="Verdana" w:cs="Arial"/>
        </w:rPr>
        <w:t xml:space="preserve"> siguiente</w:t>
      </w:r>
      <w:r w:rsidR="000D7D9D" w:rsidRPr="00C278CC">
        <w:rPr>
          <w:rFonts w:ascii="Verdana" w:eastAsia="Century Gothic" w:hAnsi="Verdana" w:cs="Arial"/>
        </w:rPr>
        <w:t>s</w:t>
      </w:r>
      <w:r w:rsidRPr="00C278CC">
        <w:rPr>
          <w:rFonts w:ascii="Verdana" w:eastAsia="Century Gothic" w:hAnsi="Verdana" w:cs="Arial"/>
        </w:rPr>
        <w:t xml:space="preserve"> problema</w:t>
      </w:r>
      <w:r w:rsidR="000D7D9D" w:rsidRPr="00C278CC">
        <w:rPr>
          <w:rFonts w:ascii="Verdana" w:eastAsia="Century Gothic" w:hAnsi="Verdana" w:cs="Arial"/>
        </w:rPr>
        <w:t>s</w:t>
      </w:r>
      <w:r w:rsidRPr="00C278CC">
        <w:rPr>
          <w:rFonts w:ascii="Verdana" w:eastAsia="Century Gothic" w:hAnsi="Verdana" w:cs="Arial"/>
        </w:rPr>
        <w:t xml:space="preserve"> jurídico</w:t>
      </w:r>
      <w:r w:rsidR="000D7D9D" w:rsidRPr="00C278CC">
        <w:rPr>
          <w:rFonts w:ascii="Verdana" w:eastAsia="Century Gothic" w:hAnsi="Verdana" w:cs="Arial"/>
        </w:rPr>
        <w:t>s</w:t>
      </w:r>
      <w:r w:rsidRPr="00C278CC">
        <w:rPr>
          <w:rFonts w:ascii="Verdana" w:eastAsia="Century Gothic" w:hAnsi="Verdana" w:cs="Arial"/>
        </w:rPr>
        <w:t>:</w:t>
      </w:r>
      <w:r w:rsidR="00EE79C2" w:rsidRPr="00C278CC">
        <w:rPr>
          <w:rFonts w:ascii="Verdana" w:eastAsia="Century Gothic" w:hAnsi="Verdana" w:cs="Arial"/>
        </w:rPr>
        <w:t xml:space="preserve"> i) </w:t>
      </w:r>
      <w:r w:rsidR="00DF6C12" w:rsidRPr="00C278CC">
        <w:rPr>
          <w:rFonts w:ascii="Verdana" w:eastAsia="Century Gothic" w:hAnsi="Verdana" w:cs="Arial"/>
        </w:rPr>
        <w:t xml:space="preserve">¿Resulta aplicable la restricción de contratación directa contenida en el artículo 33 de la Ley 996 de 2005 o las excepciones a los contratos relacionados con servicios de salud?; ii) </w:t>
      </w:r>
      <w:r w:rsidR="00D01CC5" w:rsidRPr="00C278CC">
        <w:rPr>
          <w:rFonts w:ascii="Verdana" w:eastAsia="Century Gothic" w:hAnsi="Verdana" w:cs="Century Gothic"/>
        </w:rPr>
        <w:t>¿</w:t>
      </w:r>
      <w:r w:rsidR="00D01CC5" w:rsidRPr="00C278CC">
        <w:rPr>
          <w:rFonts w:ascii="Verdana" w:eastAsia="Century Gothic" w:hAnsi="Verdana" w:cs="Century Gothic"/>
          <w:lang w:val="es-ES_tradnl"/>
        </w:rPr>
        <w:t xml:space="preserve">Resulta aplicable las restricciones establecidas en el artículo 38 de la </w:t>
      </w:r>
      <w:r w:rsidR="00D01CC5" w:rsidRPr="00C278CC">
        <w:rPr>
          <w:rFonts w:ascii="Verdana" w:hAnsi="Verdana"/>
          <w:iCs/>
        </w:rPr>
        <w:t xml:space="preserve">Ley 996 de 2005 –Ley de Garantías Electorales- a la celebración de los </w:t>
      </w:r>
      <w:r w:rsidR="00D01CC5" w:rsidRPr="00C278CC">
        <w:rPr>
          <w:rFonts w:ascii="Verdana" w:hAnsi="Verdana"/>
          <w:i/>
        </w:rPr>
        <w:t xml:space="preserve">contratos </w:t>
      </w:r>
      <w:r w:rsidR="00D01CC5" w:rsidRPr="00C278CC">
        <w:rPr>
          <w:rFonts w:ascii="Verdana" w:eastAsia="Century Gothic" w:hAnsi="Verdana" w:cs="Century Gothic"/>
          <w:i/>
          <w:lang w:val="es-ES_tradnl"/>
        </w:rPr>
        <w:t>interadministrativos</w:t>
      </w:r>
      <w:r w:rsidR="00D01CC5" w:rsidRPr="00C278CC">
        <w:rPr>
          <w:rFonts w:ascii="Verdana" w:eastAsia="Century Gothic" w:hAnsi="Verdana" w:cs="Century Gothic"/>
          <w:lang w:val="es-ES_tradnl"/>
        </w:rPr>
        <w:t>?</w:t>
      </w:r>
      <w:r w:rsidR="002C77FC" w:rsidRPr="00C278CC">
        <w:rPr>
          <w:rFonts w:ascii="Verdana" w:eastAsia="Century Gothic" w:hAnsi="Verdana" w:cs="Century Gothic"/>
          <w:lang w:val="es-ES_tradnl"/>
        </w:rPr>
        <w:t xml:space="preserve"> y; </w:t>
      </w:r>
      <w:r w:rsidR="002C77FC" w:rsidRPr="00C278CC">
        <w:rPr>
          <w:rFonts w:ascii="Verdana" w:eastAsia="Century Gothic" w:hAnsi="Verdana" w:cs="Arial"/>
        </w:rPr>
        <w:t>iii) ¿A la expedición de actos administrativos que disponen la transferencia de recursos les resultan aplicables las restricciones previstas en la Ley 996 de 2005?</w:t>
      </w:r>
    </w:p>
    <w:p w14:paraId="24C78711" w14:textId="77777777" w:rsidR="00D01CC5" w:rsidRPr="00C278CC" w:rsidRDefault="00D01CC5" w:rsidP="00505871">
      <w:pPr>
        <w:spacing w:after="0" w:line="276" w:lineRule="auto"/>
        <w:jc w:val="both"/>
        <w:rPr>
          <w:rStyle w:val="Hipervnculo"/>
          <w:rFonts w:ascii="Verdana" w:hAnsi="Verdana" w:cs="Arial"/>
          <w:highlight w:val="cyan"/>
        </w:rPr>
      </w:pPr>
    </w:p>
    <w:p w14:paraId="27886D77" w14:textId="77777777" w:rsidR="00505871" w:rsidRPr="00C278CC" w:rsidRDefault="00505871" w:rsidP="00505871">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C278CC">
        <w:rPr>
          <w:rFonts w:ascii="Verdana" w:eastAsia="Arial" w:hAnsi="Verdana" w:cs="Arial"/>
          <w:b/>
          <w:bCs/>
        </w:rPr>
        <w:t>Respuesta:</w:t>
      </w:r>
    </w:p>
    <w:p w14:paraId="37DC3B7B" w14:textId="77777777" w:rsidR="00505871" w:rsidRPr="00C278CC" w:rsidRDefault="00505871" w:rsidP="00505871">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05871" w:rsidRPr="00C278CC" w14:paraId="1EA0980F" w14:textId="77777777" w:rsidTr="006A2218">
        <w:tc>
          <w:tcPr>
            <w:tcW w:w="8828" w:type="dxa"/>
          </w:tcPr>
          <w:p w14:paraId="16E2C1F1" w14:textId="0650B401" w:rsidR="00505871" w:rsidRPr="00C278CC" w:rsidRDefault="00505871" w:rsidP="006A2218">
            <w:pPr>
              <w:spacing w:after="120" w:line="276" w:lineRule="auto"/>
              <w:jc w:val="both"/>
              <w:rPr>
                <w:rFonts w:ascii="Verdana" w:hAnsi="Verdana" w:cs="Arial"/>
                <w:color w:val="000000" w:themeColor="text1"/>
              </w:rPr>
            </w:pPr>
            <w:bookmarkStart w:id="1" w:name="_Hlk171067516"/>
            <w:r w:rsidRPr="00C278CC">
              <w:rPr>
                <w:rFonts w:ascii="Verdana" w:hAnsi="Verdana" w:cs="Arial"/>
                <w:color w:val="000000" w:themeColor="text1"/>
              </w:rPr>
              <w:lastRenderedPageBreak/>
              <w:t xml:space="preserve">En respuesta </w:t>
            </w:r>
            <w:r w:rsidR="008C5D77" w:rsidRPr="00C278CC">
              <w:rPr>
                <w:rFonts w:ascii="Verdana" w:hAnsi="Verdana" w:cs="Arial"/>
                <w:color w:val="000000" w:themeColor="text1"/>
              </w:rPr>
              <w:t>a</w:t>
            </w:r>
            <w:r w:rsidR="00EE79C2" w:rsidRPr="00C278CC">
              <w:rPr>
                <w:rFonts w:ascii="Verdana" w:hAnsi="Verdana" w:cs="Arial"/>
                <w:color w:val="000000" w:themeColor="text1"/>
              </w:rPr>
              <w:t xml:space="preserve"> </w:t>
            </w:r>
            <w:r w:rsidR="008C5D77" w:rsidRPr="00C278CC">
              <w:rPr>
                <w:rFonts w:ascii="Verdana" w:hAnsi="Verdana" w:cs="Arial"/>
                <w:color w:val="000000" w:themeColor="text1"/>
              </w:rPr>
              <w:t>l</w:t>
            </w:r>
            <w:r w:rsidR="00EE79C2" w:rsidRPr="00C278CC">
              <w:rPr>
                <w:rFonts w:ascii="Verdana" w:hAnsi="Verdana" w:cs="Arial"/>
                <w:color w:val="000000" w:themeColor="text1"/>
              </w:rPr>
              <w:t>os</w:t>
            </w:r>
            <w:r w:rsidRPr="00C278CC">
              <w:rPr>
                <w:rFonts w:ascii="Verdana" w:hAnsi="Verdana" w:cs="Arial"/>
                <w:color w:val="000000" w:themeColor="text1"/>
              </w:rPr>
              <w:t xml:space="preserve"> problema</w:t>
            </w:r>
            <w:r w:rsidR="00EE79C2" w:rsidRPr="00C278CC">
              <w:rPr>
                <w:rFonts w:ascii="Verdana" w:hAnsi="Verdana" w:cs="Arial"/>
                <w:color w:val="000000" w:themeColor="text1"/>
              </w:rPr>
              <w:t>s</w:t>
            </w:r>
            <w:r w:rsidR="008C5D77" w:rsidRPr="00C278CC">
              <w:rPr>
                <w:rFonts w:ascii="Verdana" w:hAnsi="Verdana" w:cs="Arial"/>
                <w:color w:val="000000" w:themeColor="text1"/>
              </w:rPr>
              <w:t xml:space="preserve"> </w:t>
            </w:r>
            <w:r w:rsidRPr="00C278CC">
              <w:rPr>
                <w:rFonts w:ascii="Verdana" w:hAnsi="Verdana" w:cs="Arial"/>
                <w:color w:val="000000" w:themeColor="text1"/>
              </w:rPr>
              <w:t>ante</w:t>
            </w:r>
            <w:r w:rsidR="00EE79C2" w:rsidRPr="00C278CC">
              <w:rPr>
                <w:rFonts w:ascii="Verdana" w:hAnsi="Verdana" w:cs="Arial"/>
                <w:color w:val="000000" w:themeColor="text1"/>
              </w:rPr>
              <w:t xml:space="preserve">s </w:t>
            </w:r>
            <w:r w:rsidRPr="00C278CC">
              <w:rPr>
                <w:rFonts w:ascii="Verdana" w:hAnsi="Verdana" w:cs="Arial"/>
                <w:color w:val="000000" w:themeColor="text1"/>
              </w:rPr>
              <w:t>planteado</w:t>
            </w:r>
            <w:r w:rsidR="00EE79C2" w:rsidRPr="00C278CC">
              <w:rPr>
                <w:rFonts w:ascii="Verdana" w:hAnsi="Verdana" w:cs="Arial"/>
                <w:color w:val="000000" w:themeColor="text1"/>
              </w:rPr>
              <w:t>s</w:t>
            </w:r>
            <w:r w:rsidRPr="00C278CC">
              <w:rPr>
                <w:rFonts w:ascii="Verdana" w:hAnsi="Verdana" w:cs="Arial"/>
                <w:color w:val="000000" w:themeColor="text1"/>
              </w:rPr>
              <w:t>, esta Subdirección manifiesta lo siguiente:</w:t>
            </w:r>
          </w:p>
          <w:p w14:paraId="64450035" w14:textId="22578667" w:rsidR="002C77FC" w:rsidRPr="00C278CC" w:rsidRDefault="00505871" w:rsidP="002027A0">
            <w:pPr>
              <w:spacing w:before="120" w:after="120" w:line="276" w:lineRule="auto"/>
              <w:ind w:firstLine="709"/>
              <w:jc w:val="both"/>
              <w:rPr>
                <w:rFonts w:ascii="Verdana" w:eastAsia="Calibri" w:hAnsi="Verdana" w:cs="Arial"/>
              </w:rPr>
            </w:pPr>
            <w:r w:rsidRPr="00C278CC">
              <w:rPr>
                <w:rFonts w:ascii="Verdana" w:eastAsia="Calibri" w:hAnsi="Verdana" w:cs="Arial"/>
                <w:i/>
                <w:color w:val="000000" w:themeColor="text1"/>
              </w:rPr>
              <w:t>En primer lugar</w:t>
            </w:r>
            <w:r w:rsidRPr="00C278CC">
              <w:rPr>
                <w:rFonts w:ascii="Verdana" w:hAnsi="Verdana" w:cs="Arial"/>
              </w:rPr>
              <w:t xml:space="preserve">, </w:t>
            </w:r>
            <w:r w:rsidR="002C77FC" w:rsidRPr="00C278CC">
              <w:rPr>
                <w:rFonts w:ascii="Verdana" w:hAnsi="Verdana" w:cs="Arial"/>
              </w:rPr>
              <w:t xml:space="preserve">en relación con el primer problema jurídico planteado </w:t>
            </w:r>
            <w:r w:rsidR="002C77FC" w:rsidRPr="00C278CC">
              <w:rPr>
                <w:rFonts w:ascii="Verdana" w:eastAsia="Calibri" w:hAnsi="Verdana" w:cs="Arial"/>
              </w:rPr>
              <w:t xml:space="preserve">y conforme a lo previsto en el artículo 33 de la Ley 996 de 2005, </w:t>
            </w:r>
            <w:r w:rsidR="006346F4" w:rsidRPr="00C278CC">
              <w:rPr>
                <w:rFonts w:ascii="Verdana" w:eastAsia="Times New Roman" w:hAnsi="Verdana" w:cs="Arial"/>
                <w:lang w:eastAsia="es-CO"/>
              </w:rPr>
              <w:t>se encuentra prohibida</w:t>
            </w:r>
            <w:r w:rsidR="002C77FC" w:rsidRPr="00C278CC">
              <w:rPr>
                <w:rFonts w:ascii="Verdana" w:eastAsia="Times New Roman" w:hAnsi="Verdana" w:cs="Arial"/>
                <w:lang w:eastAsia="es-CO"/>
              </w:rPr>
              <w:t xml:space="preserve"> “[…] la contratación directa por parte de todos los entes del Estado” durante los cuatro (4) meses anteriores a las elecciones presidenciales</w:t>
            </w:r>
            <w:r w:rsidR="006346F4" w:rsidRPr="00C278CC">
              <w:rPr>
                <w:rFonts w:ascii="Verdana" w:eastAsia="Times New Roman" w:hAnsi="Verdana" w:cs="Arial"/>
                <w:lang w:eastAsia="es-CO"/>
              </w:rPr>
              <w:t xml:space="preserve">. El mismo artículo, en su parágrafo, </w:t>
            </w:r>
            <w:r w:rsidR="002C77FC" w:rsidRPr="00C278CC">
              <w:rPr>
                <w:rFonts w:ascii="Verdana" w:eastAsia="Calibri" w:hAnsi="Verdana" w:cs="Arial"/>
              </w:rPr>
              <w:t>estableció excepciones puntuales a la prohibición general de celebrar contratos mediante la modalidad de contratación directa durante el período preelectoral de la presidencia de la Republica. Dichas excepciones, consagradas de manera taxativa en el inciso final de la citada disposición, habilitan a las entidades estatales para contratar sin acudir a procesos de selección pública cuando se configuren determinados supuestos de especial relevancia para el interés general.</w:t>
            </w:r>
          </w:p>
          <w:p w14:paraId="4625D97B" w14:textId="77777777" w:rsidR="002C77FC" w:rsidRPr="00C278CC" w:rsidRDefault="002C77FC" w:rsidP="002C77FC">
            <w:pPr>
              <w:spacing w:after="120" w:line="276" w:lineRule="auto"/>
              <w:ind w:firstLine="709"/>
              <w:jc w:val="both"/>
              <w:rPr>
                <w:rFonts w:ascii="Verdana" w:eastAsia="Calibri" w:hAnsi="Verdana" w:cs="Arial"/>
              </w:rPr>
            </w:pPr>
            <w:r w:rsidRPr="00C278CC">
              <w:rPr>
                <w:rFonts w:ascii="Verdana" w:eastAsia="Calibri" w:hAnsi="Verdana" w:cs="Arial"/>
              </w:rPr>
              <w:t>Entre estos eventos se encuentran los contratos destinados a garantizar la defensa y seguridad del Estado, las operaciones de crédito público, así como aquellos requeridos para la atención de emergencias en los sectores educativo, sanitario o para enfrentar situaciones derivadas de desastres. Igualmente, la norma permite la contratación directa en los casos orientados a la reconstrucción de infraestructura vial, energética o de comunicaciones que haya resultado afectada por atentados, acciones terroristas, desastres naturales o eventos de fuerza mayor, así como aquellos contratos necesarios para garantizar la operatividad y funcionalidad de las entidades del sector salud y hospitalario.</w:t>
            </w:r>
          </w:p>
          <w:p w14:paraId="35151090" w14:textId="77777777" w:rsidR="002C77FC" w:rsidRPr="00C278CC" w:rsidRDefault="002C77FC" w:rsidP="002C77FC">
            <w:pPr>
              <w:spacing w:after="120" w:line="276" w:lineRule="auto"/>
              <w:ind w:firstLine="709"/>
              <w:jc w:val="both"/>
              <w:rPr>
                <w:rFonts w:ascii="Verdana" w:eastAsia="Calibri" w:hAnsi="Verdana" w:cs="Arial"/>
              </w:rPr>
            </w:pPr>
            <w:r w:rsidRPr="00C278CC">
              <w:rPr>
                <w:rFonts w:ascii="Verdana" w:eastAsia="Calibri" w:hAnsi="Verdana" w:cs="Arial"/>
              </w:rPr>
              <w:t>De manera particular, conforme a la consulta que nos ocupa, merece un énfasis especial la excepción relativa a los contratos necesarios para las entidades del sector salud y hospitalario. Esta previsión responde al carácter esencial e ininterrumpido del servicio público de salud, cuyo cumplimiento no admite dilaciones derivadas de restricciones electorales, en la medida en que se encuentra directamente ligado a la protección de derechos fundamentales como la vida, la integridad personal y la salud. En este sentido, el legislador reconoció que la paralización o limitación de la actividad contractual en este sector podría comprometer gravemente la prestación del servicio y, por ende, el interés general.</w:t>
            </w:r>
          </w:p>
          <w:p w14:paraId="042925BB" w14:textId="77777777" w:rsidR="002C77FC" w:rsidRPr="00C278CC" w:rsidRDefault="002C77FC" w:rsidP="002C77FC">
            <w:pPr>
              <w:spacing w:after="120" w:line="276" w:lineRule="auto"/>
              <w:ind w:firstLine="709"/>
              <w:jc w:val="both"/>
              <w:rPr>
                <w:rFonts w:ascii="Verdana" w:eastAsia="Calibri" w:hAnsi="Verdana" w:cs="Arial"/>
              </w:rPr>
            </w:pPr>
            <w:r w:rsidRPr="00C278CC">
              <w:rPr>
                <w:rFonts w:ascii="Verdana" w:eastAsia="Calibri" w:hAnsi="Verdana" w:cs="Arial"/>
              </w:rPr>
              <w:t xml:space="preserve">En conclusión, de la lectura taxativa del artículo 33 de la Ley 996 de 2005 se infiere que la excepción a la prohibición de contratar durante el </w:t>
            </w:r>
            <w:r w:rsidRPr="00C278CC">
              <w:rPr>
                <w:rFonts w:ascii="Verdana" w:eastAsia="Calibri" w:hAnsi="Verdana" w:cs="Arial"/>
              </w:rPr>
              <w:lastRenderedPageBreak/>
              <w:t>período preelectoral cobija a las entidades hospitalarias, categoría en la que se inscriben las Empresas Sociales del Estado y aquellas instituciones públicas que, aun sin haber culminado el proceso de reestructuración previsto en la Ley 100 de 1993, prestan de manera directa servicios de salud. En tal medida, dichas entidades se encuentran jurídicamente habilitadas para celebrar contratos bajo la modalidad de contratación directa, durante la vigencia de la prohibición, conforme a las reglas y procedimientos previstos en sus respectivos manuales de contratación, sin que les sea oponible la restricción general establecida por la Ley de Garantías Electorales, en atención a la naturaleza esencial y continua del servicio público de salud que están llamadas a garantizar.</w:t>
            </w:r>
          </w:p>
          <w:p w14:paraId="5B62A050" w14:textId="77777777" w:rsidR="002968AB" w:rsidRPr="00C278CC" w:rsidRDefault="002968AB" w:rsidP="002968AB">
            <w:pPr>
              <w:spacing w:after="120" w:line="276" w:lineRule="auto"/>
              <w:ind w:right="51" w:firstLine="1015"/>
              <w:jc w:val="both"/>
              <w:rPr>
                <w:rFonts w:ascii="Verdana" w:eastAsia="Calibri" w:hAnsi="Verdana" w:cs="Arial"/>
                <w:bCs/>
                <w:color w:val="000000" w:themeColor="text1"/>
              </w:rPr>
            </w:pPr>
            <w:r w:rsidRPr="00C278CC">
              <w:rPr>
                <w:rFonts w:ascii="Verdana" w:eastAsia="Calibri" w:hAnsi="Verdana" w:cs="Arial"/>
                <w:bCs/>
                <w:i/>
                <w:iCs/>
                <w:color w:val="000000" w:themeColor="text1"/>
              </w:rPr>
              <w:t>En segundo lugar,</w:t>
            </w:r>
            <w:r w:rsidRPr="00C278CC">
              <w:rPr>
                <w:rFonts w:ascii="Verdana" w:eastAsia="Calibri" w:hAnsi="Verdana" w:cs="Arial"/>
                <w:bCs/>
                <w:color w:val="000000" w:themeColor="text1"/>
              </w:rPr>
              <w:t xml:space="preserve"> es necesario tener en cuenta </w:t>
            </w:r>
            <w:r w:rsidRPr="00C278CC">
              <w:rPr>
                <w:rFonts w:ascii="Verdana" w:hAnsi="Verdana" w:cs="Arial"/>
              </w:rPr>
              <w:t>que, r</w:t>
            </w:r>
            <w:r w:rsidRPr="00C278CC">
              <w:rPr>
                <w:rFonts w:ascii="Verdana" w:eastAsia="Times New Roman" w:hAnsi="Verdana" w:cs="Arial"/>
                <w:lang w:eastAsia="es-CO"/>
              </w:rPr>
              <w:t xml:space="preserve">especto del parágrafo del artículo 38 de la Ley 996 de 2005, se precisa que este prohíbe a los Alcaldes, Gobernadores, Secretarios, Gerentes y Directores de las entidades del orden municipal, departamental o distrital celebrar </w:t>
            </w:r>
            <w:r w:rsidRPr="00C278CC">
              <w:rPr>
                <w:rFonts w:ascii="Verdana" w:eastAsia="Times New Roman" w:hAnsi="Verdana" w:cs="Arial"/>
                <w:i/>
                <w:iCs/>
                <w:lang w:eastAsia="es-CO"/>
              </w:rPr>
              <w:t>convenios interadministrativos</w:t>
            </w:r>
            <w:r w:rsidRPr="00C278CC">
              <w:rPr>
                <w:rFonts w:ascii="Verdana" w:eastAsia="Times New Roman" w:hAnsi="Verdana" w:cs="Arial"/>
                <w:lang w:eastAsia="es-CO"/>
              </w:rPr>
              <w:t xml:space="preserve"> </w:t>
            </w:r>
            <w:r w:rsidRPr="00C278CC">
              <w:rPr>
                <w:rFonts w:ascii="Verdana" w:eastAsia="Times New Roman" w:hAnsi="Verdana" w:cs="Arial"/>
                <w:i/>
                <w:iCs/>
                <w:lang w:eastAsia="es-CO"/>
              </w:rPr>
              <w:t>para la ejecución de recursos públicos</w:t>
            </w:r>
            <w:r w:rsidRPr="00C278CC">
              <w:rPr>
                <w:rFonts w:ascii="Verdana" w:eastAsia="Times New Roman" w:hAnsi="Verdana" w:cs="Arial"/>
                <w:lang w:eastAsia="es-CO"/>
              </w:rPr>
              <w:t xml:space="preserve">. En este sentido, si una o ambas partes de la relación contractual es una entidad de aquellas descritas en el parágrafo </w:t>
            </w:r>
            <w:r w:rsidRPr="00C278CC">
              <w:rPr>
                <w:rFonts w:ascii="Verdana" w:eastAsia="Times New Roman" w:hAnsi="Verdana" w:cs="Arial"/>
                <w:i/>
                <w:lang w:eastAsia="es-CO"/>
              </w:rPr>
              <w:t>ibidem</w:t>
            </w:r>
            <w:r w:rsidRPr="00C278CC">
              <w:rPr>
                <w:rFonts w:ascii="Verdana" w:eastAsia="Times New Roman" w:hAnsi="Verdana" w:cs="Arial"/>
                <w:lang w:eastAsia="es-CO"/>
              </w:rPr>
              <w:t xml:space="preserve">, no podrá celebrar tales </w:t>
            </w:r>
            <w:r w:rsidRPr="00C278CC">
              <w:rPr>
                <w:rFonts w:ascii="Verdana" w:eastAsia="Times New Roman" w:hAnsi="Verdana" w:cs="Arial"/>
                <w:i/>
                <w:iCs/>
                <w:lang w:eastAsia="es-CO"/>
              </w:rPr>
              <w:t>convenios</w:t>
            </w:r>
            <w:r w:rsidRPr="00C278CC">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1ACFCAB" w14:textId="77777777" w:rsidR="002968AB" w:rsidRPr="00C278CC" w:rsidRDefault="002968AB" w:rsidP="002968AB">
            <w:pPr>
              <w:spacing w:after="120" w:line="276" w:lineRule="auto"/>
              <w:ind w:firstLine="708"/>
              <w:jc w:val="both"/>
              <w:rPr>
                <w:rFonts w:ascii="Verdana" w:eastAsia="Times New Roman" w:hAnsi="Verdana" w:cs="Arial"/>
                <w:lang w:eastAsia="es-CO"/>
              </w:rPr>
            </w:pPr>
            <w:r w:rsidRPr="00C278CC">
              <w:rPr>
                <w:rFonts w:ascii="Verdana" w:eastAsia="Times New Roman" w:hAnsi="Verdana" w:cs="Arial"/>
                <w:lang w:eastAsia="es-CO"/>
              </w:rPr>
              <w:t xml:space="preserve">Ahora bien, a la luz de lo expuesto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00C278CC">
              <w:rPr>
                <w:rFonts w:ascii="Verdana" w:eastAsia="Arial" w:hAnsi="Verdana" w:cs="Arial"/>
                <w:lang w:eastAsia="es-ES" w:bidi="es-ES"/>
              </w:rPr>
              <w:t xml:space="preserve">de suspensión provisional parcial del </w:t>
            </w:r>
            <w:r w:rsidRPr="00C278CC">
              <w:rPr>
                <w:rFonts w:ascii="Verdana" w:hAnsi="Verdana" w:cs="Arial"/>
              </w:rPr>
              <w:t xml:space="preserve">numeral 16.2 de la Circular Externa Única de 2022 expedida por la Agencia Nacional de Contratación Pública -Colombia Compra Eficiente-, y </w:t>
            </w:r>
            <w:r w:rsidRPr="00C278CC">
              <w:rPr>
                <w:rFonts w:ascii="Verdana" w:eastAsia="Arial" w:hAnsi="Verdana" w:cs="Arial"/>
                <w:lang w:eastAsia="es-ES" w:bidi="es-ES"/>
              </w:rPr>
              <w:t>de los apartes cuestionados del inciso segundo y del inciso cuarto del numeral 16.2 de la Circular Externa Única, versión 3 del 27 de diciembre de 2023,</w:t>
            </w:r>
            <w:r w:rsidRPr="00C278CC">
              <w:rPr>
                <w:rFonts w:ascii="Verdana" w:eastAsia="Times New Roman" w:hAnsi="Verdana" w:cs="Arial"/>
                <w:lang w:eastAsia="es-CO"/>
              </w:rPr>
              <w:t xml:space="preserve"> no resultaría aplicable la prohibición del parágrafo del artículo 38 de la Ley de Garantías Electorales a los </w:t>
            </w:r>
            <w:r w:rsidRPr="00C278CC">
              <w:rPr>
                <w:rFonts w:ascii="Verdana" w:eastAsia="Times New Roman" w:hAnsi="Verdana" w:cs="Arial"/>
                <w:i/>
                <w:lang w:eastAsia="es-CO"/>
              </w:rPr>
              <w:t>contratos interadministrativos</w:t>
            </w:r>
            <w:r w:rsidRPr="00C278CC">
              <w:rPr>
                <w:rFonts w:ascii="Verdana" w:eastAsia="Times New Roman" w:hAnsi="Verdana" w:cs="Arial"/>
                <w:lang w:eastAsia="es-CO"/>
              </w:rPr>
              <w:t>.</w:t>
            </w:r>
          </w:p>
          <w:p w14:paraId="146623A2" w14:textId="77777777" w:rsidR="002968AB" w:rsidRPr="00C278CC" w:rsidRDefault="002968AB" w:rsidP="002968AB">
            <w:pPr>
              <w:spacing w:after="120" w:line="276" w:lineRule="auto"/>
              <w:ind w:firstLine="708"/>
              <w:jc w:val="both"/>
              <w:rPr>
                <w:rFonts w:ascii="Verdana" w:eastAsia="Times New Roman" w:hAnsi="Verdana" w:cs="Arial"/>
                <w:lang w:eastAsia="es-CO"/>
              </w:rPr>
            </w:pPr>
            <w:r w:rsidRPr="00C278CC">
              <w:rPr>
                <w:rFonts w:ascii="Verdana" w:eastAsia="Times New Roman" w:hAnsi="Verdana" w:cs="Arial"/>
                <w:lang w:eastAsia="es-CO"/>
              </w:rPr>
              <w:t xml:space="preserve">Así las cosas, conforme a lo señalado por el Consejo de Estado, cuando dos entidades públicas celebren un </w:t>
            </w:r>
            <w:r w:rsidRPr="00C278CC">
              <w:rPr>
                <w:rFonts w:ascii="Verdana" w:eastAsia="Times New Roman" w:hAnsi="Verdana" w:cs="Arial"/>
                <w:i/>
                <w:iCs/>
                <w:lang w:eastAsia="es-CO"/>
              </w:rPr>
              <w:t>contrato interadministrativo,</w:t>
            </w:r>
            <w:r w:rsidRPr="00C278CC">
              <w:rPr>
                <w:rFonts w:ascii="Verdana" w:eastAsia="Times New Roman" w:hAnsi="Verdana" w:cs="Arial"/>
                <w:lang w:eastAsia="es-CO"/>
              </w:rPr>
              <w:t xml:space="preserve"> independientemente del objeto, dicho contrato puede suscribirse durante el </w:t>
            </w:r>
            <w:r w:rsidRPr="00C278CC">
              <w:rPr>
                <w:rFonts w:ascii="Verdana" w:eastAsia="Times New Roman" w:hAnsi="Verdana" w:cs="Arial"/>
                <w:lang w:eastAsia="es-CO"/>
              </w:rPr>
              <w:lastRenderedPageBreak/>
              <w:t xml:space="preserve">periodo preelectoral. No obstante, lo anterior, es importante mencionar que aún se encuentra por definir la demanda </w:t>
            </w:r>
            <w:r w:rsidRPr="00C278CC">
              <w:rPr>
                <w:rFonts w:ascii="Verdana" w:eastAsia="Calibri" w:hAnsi="Verdana" w:cs="Arial"/>
                <w:lang w:val="es-ES" w:eastAsia="es-ES"/>
              </w:rPr>
              <w:t xml:space="preserve">de nulidad simple, identificada con el Radicado número 11001-03-26-000-2025-00016-00, en la cual se cuestiona </w:t>
            </w:r>
            <w:r w:rsidRPr="00C278CC">
              <w:rPr>
                <w:rFonts w:ascii="Verdana" w:eastAsia="Calibri" w:hAnsi="Verdana" w:cs="Arial"/>
                <w:lang w:eastAsia="es-ES"/>
              </w:rPr>
              <w:t>parcialmente el numeral 16.2 de la Circular Externa Única CCE-EICP-MA-06, Versión 03 del 27 de diciembre de 2023.</w:t>
            </w:r>
            <w:r w:rsidRPr="00C278CC">
              <w:rPr>
                <w:rFonts w:ascii="Verdana" w:eastAsia="Calibri" w:hAnsi="Verdana" w:cs="Arial"/>
                <w:lang w:val="es-ES" w:eastAsia="es-ES"/>
              </w:rPr>
              <w:t xml:space="preserve"> </w:t>
            </w:r>
          </w:p>
          <w:p w14:paraId="1436EF61" w14:textId="4DD134D7" w:rsidR="00505871" w:rsidRPr="00C278CC" w:rsidRDefault="002968AB" w:rsidP="006A2218">
            <w:pPr>
              <w:spacing w:before="120" w:after="120" w:line="276" w:lineRule="auto"/>
              <w:ind w:firstLine="709"/>
              <w:jc w:val="both"/>
              <w:rPr>
                <w:rFonts w:ascii="Verdana" w:hAnsi="Verdana" w:cs="Arial"/>
                <w:lang w:val="es-MX"/>
              </w:rPr>
            </w:pPr>
            <w:r w:rsidRPr="00C278CC">
              <w:rPr>
                <w:rFonts w:ascii="Verdana" w:hAnsi="Verdana" w:cs="Arial"/>
                <w:lang w:val="es-ES"/>
              </w:rPr>
              <w:t xml:space="preserve">Sobre el tercer problema jurídico, </w:t>
            </w:r>
            <w:r w:rsidR="00505871" w:rsidRPr="00C278CC">
              <w:rPr>
                <w:rFonts w:ascii="Verdana" w:hAnsi="Verdana" w:cs="Arial"/>
                <w:lang w:val="es-ES"/>
              </w:rPr>
              <w:t>debe indicarse que</w:t>
            </w:r>
            <w:r w:rsidRPr="00C278CC">
              <w:rPr>
                <w:rFonts w:ascii="Verdana" w:hAnsi="Verdana" w:cs="Arial"/>
                <w:lang w:val="es-ES"/>
              </w:rPr>
              <w:t>,</w:t>
            </w:r>
            <w:r w:rsidR="00505871" w:rsidRPr="00C278CC">
              <w:rPr>
                <w:rFonts w:ascii="Verdana" w:hAnsi="Verdana" w:cs="Arial"/>
                <w:lang w:val="es-ES"/>
              </w:rPr>
              <w:t xml:space="preserve"> </w:t>
            </w:r>
            <w:r w:rsidR="00A2703E" w:rsidRPr="00C278CC">
              <w:rPr>
                <w:rFonts w:ascii="Verdana" w:hAnsi="Verdana" w:cs="Arial"/>
                <w:lang w:val="es-ES"/>
              </w:rPr>
              <w:t>conforme a la interpretación general de las normas del sistema de compras públicas, respecto a la transferencia de recursos efectuada mediante la expedición de un acto administrativo, permitida expresamente por una ley, no le resultan aplicables las restricciones previstas en el artículo 38 de la Ley 996 de 2005, porque lo que en este precepto se prohíbe es “celebrar convenios interadministrativos para la ejecución de recursos públicos”.</w:t>
            </w:r>
          </w:p>
          <w:p w14:paraId="38C24719" w14:textId="77777777" w:rsidR="003A3C36" w:rsidRPr="00C278CC" w:rsidRDefault="003A3C36" w:rsidP="003A3C36">
            <w:pPr>
              <w:spacing w:after="120" w:line="276" w:lineRule="auto"/>
              <w:ind w:right="51" w:firstLine="1015"/>
              <w:jc w:val="both"/>
              <w:rPr>
                <w:rFonts w:ascii="Verdana" w:eastAsia="Arial" w:hAnsi="Verdana" w:cs="Arial"/>
                <w:lang w:val="es-MX" w:eastAsia="es-ES" w:bidi="es-ES"/>
              </w:rPr>
            </w:pPr>
            <w:r w:rsidRPr="00C278CC">
              <w:rPr>
                <w:rFonts w:ascii="Verdana" w:eastAsia="Arial" w:hAnsi="Verdana" w:cs="Arial"/>
                <w:lang w:val="es-MX" w:eastAsia="es-ES" w:bidi="es-ES"/>
              </w:rPr>
              <w:t xml:space="preserve">Como se explica en el presente oficio, un convenio interadministrativo es un </w:t>
            </w:r>
            <w:r w:rsidRPr="00C278CC">
              <w:rPr>
                <w:rFonts w:ascii="Verdana" w:eastAsia="Arial" w:hAnsi="Verdana" w:cs="Arial"/>
                <w:i/>
                <w:iCs/>
                <w:lang w:val="es-MX" w:eastAsia="es-ES" w:bidi="es-ES"/>
              </w:rPr>
              <w:t>acuerdo de voluntades</w:t>
            </w:r>
            <w:r w:rsidRPr="00C278CC">
              <w:rPr>
                <w:rFonts w:ascii="Verdana" w:eastAsia="Arial" w:hAnsi="Verdana" w:cs="Arial"/>
                <w:lang w:val="es-MX" w:eastAsia="es-ES" w:bidi="es-ES"/>
              </w:rPr>
              <w:t xml:space="preserve"> en el que intervienen dos o más entidades públicas, o sea un acto jurídico bilateral o que participa de la forma contractual, de conformidad con el artículo 1495 del Código Civil. La forma jurídica consagrada, para efectuar la transferencia gratuita de recursos, en disposiciones como el artículo 9 del Decreto 559 de 2020, el artículo 5 del Decreto Legislativo 538 de 2020 y el parágrafo 2 del artículo 10 del Decreto Legislativo 800 de 2020, entre otras, </w:t>
            </w:r>
            <w:r w:rsidRPr="00C278CC">
              <w:rPr>
                <w:rFonts w:ascii="Verdana" w:eastAsia="Arial" w:hAnsi="Verdana" w:cs="Arial"/>
                <w:i/>
                <w:iCs/>
                <w:lang w:val="es-MX" w:eastAsia="es-ES" w:bidi="es-ES"/>
              </w:rPr>
              <w:t>es el acto administrativo</w:t>
            </w:r>
            <w:r w:rsidRPr="00C278CC">
              <w:rPr>
                <w:rFonts w:ascii="Verdana" w:eastAsia="Arial" w:hAnsi="Verdana" w:cs="Arial"/>
                <w:lang w:val="es-MX" w:eastAsia="es-ES" w:bidi="es-ES"/>
              </w:rPr>
              <w:t xml:space="preserve">, no el convenio interadministrativo. Si el parágrafo del artículo 38 de la Ley 996 de 2005 prohibió la celebración de convenios interadministrativos, no puede entenderse </w:t>
            </w:r>
            <w:r w:rsidRPr="00C278CC">
              <w:rPr>
                <w:rFonts w:ascii="Verdana" w:eastAsia="Arial" w:hAnsi="Verdana" w:cs="Arial"/>
                <w:i/>
                <w:iCs/>
                <w:lang w:val="es-MX" w:eastAsia="es-ES" w:bidi="es-ES"/>
              </w:rPr>
              <w:t>también</w:t>
            </w:r>
            <w:r w:rsidRPr="00C278CC">
              <w:rPr>
                <w:rFonts w:ascii="Verdana" w:eastAsia="Arial" w:hAnsi="Verdana" w:cs="Arial"/>
                <w:lang w:val="es-MX" w:eastAsia="es-ES" w:bidi="es-ES"/>
              </w:rPr>
              <w:t xml:space="preserve"> prohibida la transferencia llevada a cabo por un acto administrativo permitida por una norma legal especial, porque se estaría incluyendo una circunstancia que el supuesto de hecho de la restricción no contempla.</w:t>
            </w:r>
          </w:p>
          <w:p w14:paraId="28EDD433" w14:textId="1F36BD29" w:rsidR="00763609" w:rsidRPr="00C278CC" w:rsidRDefault="009800CE" w:rsidP="00763609">
            <w:pPr>
              <w:spacing w:after="120" w:line="276" w:lineRule="auto"/>
              <w:ind w:right="51" w:firstLine="1015"/>
              <w:jc w:val="both"/>
              <w:rPr>
                <w:rFonts w:ascii="Verdana" w:eastAsia="Calibri" w:hAnsi="Verdana" w:cs="Arial"/>
                <w:bCs/>
                <w:color w:val="000000" w:themeColor="text1"/>
              </w:rPr>
            </w:pPr>
            <w:r w:rsidRPr="00C278CC">
              <w:rPr>
                <w:rFonts w:ascii="Verdana" w:eastAsia="Calibri" w:hAnsi="Verdana" w:cs="Arial"/>
                <w:bCs/>
                <w:color w:val="000000" w:themeColor="text1"/>
              </w:rPr>
              <w:t xml:space="preserve">La Agencia llama la atención sobre el deber de las </w:t>
            </w:r>
            <w:r w:rsidR="002968AB" w:rsidRPr="00C278CC">
              <w:rPr>
                <w:rFonts w:ascii="Verdana" w:eastAsia="Calibri" w:hAnsi="Verdana" w:cs="Arial"/>
                <w:bCs/>
                <w:color w:val="000000" w:themeColor="text1"/>
              </w:rPr>
              <w:t>e</w:t>
            </w:r>
            <w:r w:rsidRPr="00C278CC">
              <w:rPr>
                <w:rFonts w:ascii="Verdana" w:eastAsia="Calibri" w:hAnsi="Verdana" w:cs="Arial"/>
                <w:bCs/>
                <w:color w:val="000000" w:themeColor="text1"/>
              </w:rPr>
              <w:t xml:space="preserve">ntidades </w:t>
            </w:r>
            <w:r w:rsidR="002968AB" w:rsidRPr="00C278CC">
              <w:rPr>
                <w:rFonts w:ascii="Verdana" w:eastAsia="Calibri" w:hAnsi="Verdana" w:cs="Arial"/>
                <w:bCs/>
                <w:color w:val="000000" w:themeColor="text1"/>
              </w:rPr>
              <w:t>e</w:t>
            </w:r>
            <w:r w:rsidRPr="00C278CC">
              <w:rPr>
                <w:rFonts w:ascii="Verdana" w:eastAsia="Calibri" w:hAnsi="Verdana" w:cs="Arial"/>
                <w:bCs/>
                <w:color w:val="000000" w:themeColor="text1"/>
              </w:rPr>
              <w:t xml:space="preserve">statales de analizar en cada caso la norma atributiva de la competencia, para observar cuál es la forma jurídica que consagra. Si la norma no permite expedir un acto administrativo para disponer de recursos durante el período de vigencia de la ley de garantías electorales, no puede la entidad pretender burlar el efecto de la prohibición de contratar directamente o de celebrar un convenio, según el caso, expidiendo un acto administrativo para disponer de los recursos. El artículo 6 de la Constitución establece que los servidores públicos son responsables “[…] por infringir la Constitución y las leyes” y “[…] </w:t>
            </w:r>
            <w:r w:rsidRPr="00C278CC">
              <w:rPr>
                <w:rFonts w:ascii="Verdana" w:eastAsia="Calibri" w:hAnsi="Verdana" w:cs="Arial"/>
                <w:bCs/>
                <w:color w:val="000000" w:themeColor="text1"/>
              </w:rPr>
              <w:lastRenderedPageBreak/>
              <w:t xml:space="preserve">por omisión o extralimitación en el ejercicio de sus funciones”, es decir que solo pueden hacer lo que les esté expresamente permitido. Así las cosas, la interpretación efectuada por la Agencia en este concepto tiene en cuenta la existencia de normas de carácter legal que permiten efectuar una transferencia gratuita de recursos </w:t>
            </w:r>
            <w:r w:rsidRPr="00C278CC">
              <w:rPr>
                <w:rFonts w:ascii="Verdana" w:eastAsia="Calibri" w:hAnsi="Verdana" w:cs="Arial"/>
                <w:bCs/>
                <w:i/>
                <w:iCs/>
                <w:color w:val="000000" w:themeColor="text1"/>
              </w:rPr>
              <w:t>a través de un acto administrativo</w:t>
            </w:r>
            <w:r w:rsidRPr="00C278CC">
              <w:rPr>
                <w:rFonts w:ascii="Verdana" w:eastAsia="Calibri" w:hAnsi="Verdana" w:cs="Arial"/>
                <w:bCs/>
                <w:color w:val="000000" w:themeColor="text1"/>
              </w:rPr>
              <w:t>, pero este criterio no se puede generalizar en hipótesis que no establezcan dicha permisión legal expresa.</w:t>
            </w:r>
          </w:p>
          <w:p w14:paraId="6457FD62" w14:textId="28561CAB" w:rsidR="001E4B17" w:rsidRPr="00C278CC" w:rsidRDefault="001E4B17" w:rsidP="001E4B17">
            <w:pPr>
              <w:spacing w:after="120" w:line="276" w:lineRule="auto"/>
              <w:ind w:firstLine="708"/>
              <w:jc w:val="both"/>
              <w:rPr>
                <w:rFonts w:ascii="Verdana" w:eastAsia="Times New Roman" w:hAnsi="Verdana" w:cs="Arial"/>
                <w:lang w:eastAsia="es-CO"/>
              </w:rPr>
            </w:pPr>
            <w:r w:rsidRPr="00C278CC">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C278CC">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bookmarkEnd w:id="1"/>
    </w:tbl>
    <w:p w14:paraId="11F629CE" w14:textId="77777777" w:rsidR="00505871" w:rsidRPr="00C278CC" w:rsidRDefault="00505871" w:rsidP="00505871">
      <w:pPr>
        <w:widowControl w:val="0"/>
        <w:autoSpaceDE w:val="0"/>
        <w:autoSpaceDN w:val="0"/>
        <w:spacing w:before="1" w:after="0" w:line="276" w:lineRule="auto"/>
        <w:ind w:left="360" w:hanging="360"/>
        <w:outlineLvl w:val="0"/>
        <w:rPr>
          <w:rFonts w:ascii="Verdana" w:eastAsia="Arial" w:hAnsi="Verdana" w:cs="Arial"/>
          <w:b/>
          <w:bCs/>
          <w:highlight w:val="cyan"/>
          <w:lang w:val="es-ES"/>
        </w:rPr>
      </w:pPr>
    </w:p>
    <w:p w14:paraId="2BAE79B6" w14:textId="77777777" w:rsidR="00505871" w:rsidRPr="00C278CC" w:rsidRDefault="00505871" w:rsidP="00505871">
      <w:pPr>
        <w:widowControl w:val="0"/>
        <w:autoSpaceDE w:val="0"/>
        <w:autoSpaceDN w:val="0"/>
        <w:spacing w:before="1" w:after="0" w:line="276" w:lineRule="auto"/>
        <w:ind w:left="360" w:hanging="360"/>
        <w:outlineLvl w:val="0"/>
        <w:rPr>
          <w:rFonts w:ascii="Verdana" w:eastAsia="Arial" w:hAnsi="Verdana" w:cs="Arial"/>
          <w:b/>
          <w:bCs/>
          <w:lang w:val="es-ES"/>
        </w:rPr>
      </w:pPr>
      <w:r w:rsidRPr="00C278CC">
        <w:rPr>
          <w:rFonts w:ascii="Verdana" w:eastAsia="Arial" w:hAnsi="Verdana" w:cs="Arial"/>
          <w:b/>
          <w:bCs/>
          <w:lang w:val="es-ES"/>
        </w:rPr>
        <w:t>3. Razones de la respuesta:</w:t>
      </w:r>
    </w:p>
    <w:p w14:paraId="5F800598" w14:textId="77777777" w:rsidR="00505871" w:rsidRPr="00C278CC" w:rsidRDefault="00505871" w:rsidP="00505871">
      <w:pPr>
        <w:spacing w:after="0" w:line="276" w:lineRule="auto"/>
        <w:jc w:val="both"/>
        <w:rPr>
          <w:rFonts w:ascii="Verdana" w:eastAsia="Calibri" w:hAnsi="Verdana" w:cs="Arial"/>
          <w:lang w:val="es-ES"/>
        </w:rPr>
      </w:pPr>
    </w:p>
    <w:p w14:paraId="4D638730" w14:textId="77777777" w:rsidR="00505871" w:rsidRPr="00C278CC" w:rsidRDefault="00505871" w:rsidP="00505871">
      <w:pPr>
        <w:spacing w:after="0" w:line="276" w:lineRule="auto"/>
        <w:jc w:val="both"/>
        <w:rPr>
          <w:rFonts w:ascii="Verdana" w:eastAsia="Calibri" w:hAnsi="Verdana" w:cs="Arial"/>
          <w:lang w:val="es-ES"/>
        </w:rPr>
      </w:pPr>
      <w:r w:rsidRPr="00C278CC">
        <w:rPr>
          <w:rFonts w:ascii="Verdana" w:eastAsia="Calibri" w:hAnsi="Verdana" w:cs="Arial"/>
          <w:lang w:val="es-ES"/>
        </w:rPr>
        <w:t xml:space="preserve">La respuesta anterior se sustenta en las siguientes consideraciones: </w:t>
      </w:r>
    </w:p>
    <w:p w14:paraId="4B20491E" w14:textId="77777777" w:rsidR="00940DBD" w:rsidRPr="00C278CC" w:rsidRDefault="00940DBD" w:rsidP="30821638">
      <w:pPr>
        <w:spacing w:after="0"/>
        <w:rPr>
          <w:rFonts w:ascii="Verdana" w:eastAsia="Verdana" w:hAnsi="Verdana" w:cs="Verdana"/>
          <w:lang w:val="es-ES"/>
        </w:rPr>
      </w:pPr>
    </w:p>
    <w:p w14:paraId="1EE72B45" w14:textId="70A3CD40" w:rsidR="007E5EE3" w:rsidRPr="00C278CC" w:rsidRDefault="007E5EE3" w:rsidP="007E5EE3">
      <w:pPr>
        <w:tabs>
          <w:tab w:val="left" w:pos="426"/>
        </w:tabs>
        <w:spacing w:after="120" w:line="276" w:lineRule="auto"/>
        <w:jc w:val="both"/>
        <w:rPr>
          <w:rFonts w:ascii="Verdana" w:eastAsia="Times New Roman" w:hAnsi="Verdana" w:cs="Arial"/>
          <w:lang w:eastAsia="es-CO"/>
        </w:rPr>
      </w:pPr>
      <w:r w:rsidRPr="00C278CC">
        <w:rPr>
          <w:rFonts w:ascii="Verdana" w:eastAsia="Calibri" w:hAnsi="Verdana" w:cs="Arial"/>
          <w:color w:val="000000" w:themeColor="text1"/>
        </w:rPr>
        <w:t xml:space="preserve">i. </w:t>
      </w:r>
      <w:r w:rsidRPr="00C278CC">
        <w:rPr>
          <w:rFonts w:ascii="Verdana" w:eastAsia="Calibri" w:hAnsi="Verdana" w:cs="Arial"/>
        </w:rPr>
        <w:t>El ordenamiento jurídico colombiano contempla previsiones claras para evitar la obtención de beneficios personales en asuntos propios de la administración pública</w:t>
      </w:r>
      <w:r w:rsidRPr="00C278CC">
        <w:rPr>
          <w:rFonts w:ascii="Verdana" w:eastAsia="Calibri" w:hAnsi="Verdana" w:cs="Arial"/>
          <w:i/>
        </w:rPr>
        <w:t xml:space="preserve">. </w:t>
      </w:r>
      <w:r w:rsidRPr="00C278CC">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C278CC">
        <w:rPr>
          <w:rFonts w:ascii="Verdana" w:eastAsia="Calibri" w:hAnsi="Verdana" w:cs="Arial"/>
          <w:vertAlign w:val="superscript"/>
        </w:rPr>
        <w:footnoteReference w:id="1"/>
      </w:r>
      <w:r w:rsidRPr="00C278CC">
        <w:rPr>
          <w:rFonts w:ascii="Verdana" w:eastAsia="Calibri" w:hAnsi="Verdana" w:cs="Arial"/>
        </w:rPr>
        <w:t xml:space="preserve">. </w:t>
      </w:r>
    </w:p>
    <w:p w14:paraId="78742AA4" w14:textId="77777777" w:rsidR="008462B9" w:rsidRPr="00C278CC" w:rsidRDefault="007E5EE3" w:rsidP="002027A0">
      <w:pPr>
        <w:tabs>
          <w:tab w:val="left" w:pos="426"/>
        </w:tabs>
        <w:spacing w:after="120" w:line="276" w:lineRule="auto"/>
        <w:ind w:firstLine="709"/>
        <w:jc w:val="both"/>
        <w:rPr>
          <w:rFonts w:ascii="Verdana" w:eastAsia="Calibri" w:hAnsi="Verdana" w:cs="Arial"/>
          <w:lang w:val="es-ES_tradnl"/>
        </w:rPr>
      </w:pPr>
      <w:r w:rsidRPr="00C278CC">
        <w:rPr>
          <w:rFonts w:ascii="Verdana" w:eastAsia="Times New Roman" w:hAnsi="Verdana" w:cs="Arial"/>
          <w:lang w:eastAsia="es-CO"/>
        </w:rPr>
        <w:lastRenderedPageBreak/>
        <w:t>En el mismo sentido</w:t>
      </w:r>
      <w:r w:rsidRPr="00C278CC">
        <w:rPr>
          <w:rFonts w:ascii="Verdana" w:eastAsia="Times New Roman" w:hAnsi="Verdana" w:cs="Arial"/>
          <w:lang w:val="es-MX" w:eastAsia="es-CO"/>
        </w:rPr>
        <w:t xml:space="preserve">, </w:t>
      </w:r>
      <w:bookmarkStart w:id="2" w:name="_Hlk99576829"/>
      <w:r w:rsidRPr="00C278CC">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278CC">
        <w:rPr>
          <w:rFonts w:ascii="Verdana" w:eastAsia="Times New Roman" w:hAnsi="Verdana" w:cs="Arial"/>
          <w:vertAlign w:val="superscript"/>
          <w:lang w:val="es-MX" w:eastAsia="es-CO"/>
        </w:rPr>
        <w:footnoteReference w:id="2"/>
      </w:r>
      <w:r w:rsidRPr="00C278CC">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C278CC">
        <w:rPr>
          <w:rFonts w:ascii="Verdana" w:eastAsia="Calibri" w:hAnsi="Verdana" w:cs="Arial"/>
          <w:lang w:val="es-ES_tradnl"/>
        </w:rPr>
        <w:t xml:space="preserve"> </w:t>
      </w:r>
      <w:bookmarkEnd w:id="2"/>
    </w:p>
    <w:p w14:paraId="2573CB69" w14:textId="28A90D69" w:rsidR="007E5EE3" w:rsidRPr="00C278CC" w:rsidRDefault="007E5EE3" w:rsidP="007E5EE3">
      <w:pPr>
        <w:tabs>
          <w:tab w:val="left" w:pos="426"/>
        </w:tabs>
        <w:spacing w:after="0" w:line="276" w:lineRule="auto"/>
        <w:ind w:firstLine="709"/>
        <w:jc w:val="both"/>
        <w:rPr>
          <w:rFonts w:ascii="Verdana" w:eastAsia="Times New Roman" w:hAnsi="Verdana" w:cs="Arial"/>
          <w:lang w:val="es-MX" w:eastAsia="es-CO"/>
        </w:rPr>
      </w:pPr>
      <w:r w:rsidRPr="00C278CC">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64F50B6" w14:textId="77777777" w:rsidR="007E5EE3" w:rsidRPr="00C278CC" w:rsidRDefault="007E5EE3" w:rsidP="007E5EE3">
      <w:pPr>
        <w:spacing w:after="0" w:line="276" w:lineRule="auto"/>
        <w:ind w:right="709"/>
        <w:contextualSpacing/>
        <w:jc w:val="both"/>
        <w:rPr>
          <w:rFonts w:ascii="Verdana" w:eastAsia="Times New Roman" w:hAnsi="Verdana" w:cs="Arial"/>
          <w:sz w:val="21"/>
          <w:szCs w:val="21"/>
          <w:lang w:val="es-ES" w:eastAsia="es-CO"/>
        </w:rPr>
      </w:pPr>
    </w:p>
    <w:p w14:paraId="0BD84098" w14:textId="77777777" w:rsidR="007E5EE3" w:rsidRPr="00C278CC" w:rsidRDefault="007E5EE3" w:rsidP="008462B9">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ES" w:eastAsia="es-CO"/>
        </w:rPr>
        <w:t xml:space="preserve">“[…] </w:t>
      </w:r>
      <w:r w:rsidRPr="00C278C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232BEF8" w14:textId="77777777" w:rsidR="007E5EE3" w:rsidRPr="00C278CC" w:rsidRDefault="007E5EE3" w:rsidP="002027A0">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MX" w:eastAsia="es-CO"/>
        </w:rPr>
        <w:t xml:space="preserve">[…] </w:t>
      </w:r>
    </w:p>
    <w:p w14:paraId="6FD4E8F6" w14:textId="77777777" w:rsidR="007E5EE3" w:rsidRPr="00C278CC" w:rsidRDefault="007E5EE3" w:rsidP="002027A0">
      <w:pPr>
        <w:spacing w:after="0" w:line="240" w:lineRule="auto"/>
        <w:ind w:left="709" w:right="709"/>
        <w:contextualSpacing/>
        <w:jc w:val="both"/>
        <w:rPr>
          <w:rFonts w:ascii="Verdana" w:eastAsia="Times New Roman" w:hAnsi="Verdana" w:cs="Arial"/>
          <w:sz w:val="12"/>
          <w:szCs w:val="12"/>
          <w:lang w:val="es-MX" w:eastAsia="es-CO"/>
        </w:rPr>
      </w:pPr>
    </w:p>
    <w:p w14:paraId="55FA2067" w14:textId="77777777" w:rsidR="007E5EE3" w:rsidRPr="00C278CC" w:rsidRDefault="007E5EE3" w:rsidP="008462B9">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278CC">
        <w:rPr>
          <w:rFonts w:ascii="Verdana" w:eastAsia="Calibri" w:hAnsi="Verdana" w:cs="Arial"/>
          <w:sz w:val="20"/>
          <w:szCs w:val="20"/>
          <w:vertAlign w:val="superscript"/>
          <w:lang w:val="es-MX"/>
        </w:rPr>
        <w:footnoteReference w:id="3"/>
      </w:r>
      <w:r w:rsidRPr="00C278CC">
        <w:rPr>
          <w:rFonts w:ascii="Verdana" w:eastAsia="Times New Roman" w:hAnsi="Verdana" w:cs="Arial"/>
          <w:sz w:val="20"/>
          <w:szCs w:val="20"/>
          <w:lang w:val="es-MX" w:eastAsia="es-CO"/>
        </w:rPr>
        <w:t>.</w:t>
      </w:r>
    </w:p>
    <w:p w14:paraId="77B9E3B6" w14:textId="77777777" w:rsidR="007E5EE3" w:rsidRPr="00C278CC" w:rsidRDefault="007E5EE3" w:rsidP="007B2FCC">
      <w:pPr>
        <w:spacing w:after="0" w:line="276" w:lineRule="auto"/>
        <w:ind w:left="709" w:right="709"/>
        <w:contextualSpacing/>
        <w:jc w:val="both"/>
        <w:rPr>
          <w:rFonts w:ascii="Verdana" w:eastAsia="Times New Roman" w:hAnsi="Verdana" w:cs="Arial"/>
          <w:lang w:val="es-MX" w:eastAsia="es-CO"/>
        </w:rPr>
      </w:pPr>
    </w:p>
    <w:p w14:paraId="1D148DA3" w14:textId="77777777" w:rsidR="007B2FCC" w:rsidRPr="00C278CC" w:rsidRDefault="007E5EE3" w:rsidP="002027A0">
      <w:pPr>
        <w:spacing w:after="120" w:line="276" w:lineRule="auto"/>
        <w:ind w:firstLine="709"/>
        <w:jc w:val="both"/>
        <w:rPr>
          <w:rFonts w:ascii="Verdana" w:eastAsia="Times New Roman" w:hAnsi="Verdana" w:cs="Arial"/>
          <w:lang w:val="es-MX" w:eastAsia="es-CO"/>
        </w:rPr>
      </w:pPr>
      <w:bookmarkStart w:id="3" w:name="_Hlk78818186"/>
      <w:r w:rsidRPr="00C278CC">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C278CC">
        <w:rPr>
          <w:rFonts w:ascii="Verdana" w:eastAsia="Times New Roman" w:hAnsi="Verdana" w:cs="Arial"/>
          <w:lang w:val="es-MX" w:eastAsia="es-CO"/>
        </w:rPr>
        <w:t xml:space="preserve">Por ello, varias de las disposiciones de la Ley 996 de 2005, al contener normas prohibitivas, no admiten una interpretación amplia, sino que deben interpretarse restrictivamente. </w:t>
      </w:r>
    </w:p>
    <w:p w14:paraId="3161A438" w14:textId="5059B8D4" w:rsidR="007E5EE3" w:rsidRPr="00C278CC" w:rsidRDefault="007E5EE3" w:rsidP="007B2FCC">
      <w:pPr>
        <w:spacing w:after="0" w:line="276" w:lineRule="auto"/>
        <w:ind w:firstLine="709"/>
        <w:jc w:val="both"/>
        <w:rPr>
          <w:rFonts w:ascii="Verdana" w:eastAsia="Times New Roman" w:hAnsi="Verdana" w:cs="Arial"/>
          <w:lang w:val="es-MX" w:eastAsia="es-CO"/>
        </w:rPr>
      </w:pPr>
      <w:r w:rsidRPr="00C278CC">
        <w:rPr>
          <w:rFonts w:ascii="Verdana" w:eastAsia="Times New Roman" w:hAnsi="Verdana" w:cs="Arial"/>
          <w:lang w:val="es-MX" w:eastAsia="es-CO"/>
        </w:rPr>
        <w:lastRenderedPageBreak/>
        <w:t>En efecto, la Sala de Consulta y Servicio Civil del Consejo de Estado, precisó lo siguiente:</w:t>
      </w:r>
    </w:p>
    <w:p w14:paraId="09E5CFCA" w14:textId="77777777" w:rsidR="007E5EE3" w:rsidRPr="00C278CC" w:rsidRDefault="007E5EE3" w:rsidP="007B2FCC">
      <w:pPr>
        <w:spacing w:after="0" w:line="276" w:lineRule="auto"/>
        <w:ind w:firstLine="709"/>
        <w:contextualSpacing/>
        <w:jc w:val="both"/>
        <w:rPr>
          <w:rFonts w:ascii="Verdana" w:eastAsia="Times New Roman" w:hAnsi="Verdana" w:cs="Arial"/>
          <w:lang w:val="es-MX" w:eastAsia="es-CO"/>
        </w:rPr>
      </w:pPr>
    </w:p>
    <w:p w14:paraId="50612AE2" w14:textId="77777777" w:rsidR="007E5EE3" w:rsidRPr="00C278CC" w:rsidRDefault="007E5EE3" w:rsidP="007E5EE3">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AB70A47" w14:textId="77777777" w:rsidR="007E5EE3" w:rsidRPr="00C278CC" w:rsidRDefault="007E5EE3" w:rsidP="007E5EE3">
      <w:pPr>
        <w:spacing w:after="0" w:line="240" w:lineRule="auto"/>
        <w:ind w:right="709"/>
        <w:contextualSpacing/>
        <w:jc w:val="both"/>
        <w:rPr>
          <w:rFonts w:ascii="Verdana" w:eastAsia="Times New Roman" w:hAnsi="Verdana" w:cs="Arial"/>
          <w:sz w:val="12"/>
          <w:szCs w:val="12"/>
          <w:lang w:val="es-MX" w:eastAsia="es-CO"/>
        </w:rPr>
      </w:pPr>
    </w:p>
    <w:p w14:paraId="1B120808" w14:textId="77777777" w:rsidR="007E5EE3" w:rsidRPr="00C278CC" w:rsidRDefault="007E5EE3" w:rsidP="007E5EE3">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MX" w:eastAsia="es-CO"/>
        </w:rPr>
        <w:t>La jurisprudencia de la Corte Constitucional</w:t>
      </w:r>
      <w:r w:rsidRPr="00C278CC">
        <w:rPr>
          <w:rFonts w:ascii="Verdana" w:eastAsia="Times New Roman" w:hAnsi="Verdana" w:cs="Arial"/>
          <w:sz w:val="20"/>
          <w:szCs w:val="20"/>
          <w:vertAlign w:val="superscript"/>
          <w:lang w:val="es-MX" w:eastAsia="es-CO"/>
        </w:rPr>
        <w:footnoteReference w:id="4"/>
      </w:r>
      <w:r w:rsidRPr="00C278CC">
        <w:rPr>
          <w:rFonts w:ascii="Verdana" w:eastAsia="Times New Roman" w:hAnsi="Verdana" w:cs="Arial"/>
          <w:sz w:val="20"/>
          <w:szCs w:val="20"/>
          <w:lang w:val="es-MX" w:eastAsia="es-CO"/>
        </w:rPr>
        <w:t> y del Consejo de Estado</w:t>
      </w:r>
      <w:r w:rsidRPr="00C278CC">
        <w:rPr>
          <w:rFonts w:ascii="Verdana" w:eastAsia="Times New Roman" w:hAnsi="Verdana" w:cs="Arial"/>
          <w:sz w:val="20"/>
          <w:szCs w:val="20"/>
          <w:vertAlign w:val="superscript"/>
          <w:lang w:val="es-MX" w:eastAsia="es-CO"/>
        </w:rPr>
        <w:footnoteReference w:id="5"/>
      </w:r>
      <w:r w:rsidRPr="00C278C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278CC">
        <w:rPr>
          <w:rFonts w:ascii="Verdana" w:eastAsia="Times New Roman" w:hAnsi="Verdana" w:cs="Arial"/>
          <w:sz w:val="20"/>
          <w:szCs w:val="20"/>
          <w:vertAlign w:val="superscript"/>
          <w:lang w:val="es-MX" w:eastAsia="es-CO"/>
        </w:rPr>
        <w:footnoteReference w:id="6"/>
      </w:r>
      <w:r w:rsidRPr="00C278CC">
        <w:rPr>
          <w:rFonts w:ascii="Verdana" w:eastAsia="Times New Roman" w:hAnsi="Verdana" w:cs="Arial"/>
          <w:sz w:val="20"/>
          <w:szCs w:val="20"/>
          <w:lang w:val="es-MX" w:eastAsia="es-CO"/>
        </w:rPr>
        <w:t>.</w:t>
      </w:r>
    </w:p>
    <w:p w14:paraId="1DCAE443" w14:textId="77777777" w:rsidR="007E5EE3" w:rsidRPr="00C278CC" w:rsidRDefault="007E5EE3" w:rsidP="007E5EE3">
      <w:pPr>
        <w:spacing w:after="0" w:line="276" w:lineRule="auto"/>
        <w:ind w:right="709"/>
        <w:contextualSpacing/>
        <w:jc w:val="both"/>
        <w:rPr>
          <w:rFonts w:ascii="Verdana" w:eastAsia="Times New Roman" w:hAnsi="Verdana" w:cs="Arial"/>
          <w:sz w:val="21"/>
          <w:szCs w:val="21"/>
          <w:lang w:val="es-MX" w:eastAsia="es-CO"/>
        </w:rPr>
      </w:pPr>
    </w:p>
    <w:p w14:paraId="0BA3B184" w14:textId="77777777" w:rsidR="007E5EE3" w:rsidRPr="00C278CC" w:rsidRDefault="007E5EE3" w:rsidP="007E5EE3">
      <w:pPr>
        <w:spacing w:after="120" w:line="276" w:lineRule="auto"/>
        <w:jc w:val="both"/>
        <w:rPr>
          <w:rFonts w:ascii="Verdana" w:eastAsia="Arial" w:hAnsi="Verdana" w:cs="Arial"/>
          <w:lang w:val="es-ES" w:eastAsia="es-ES" w:bidi="es-ES"/>
        </w:rPr>
      </w:pPr>
      <w:r w:rsidRPr="00C278CC">
        <w:rPr>
          <w:rFonts w:ascii="Verdana" w:eastAsia="Times New Roman" w:hAnsi="Verdana" w:cs="Arial"/>
          <w:lang w:val="es-MX" w:eastAsia="es-CO"/>
        </w:rPr>
        <w:tab/>
        <w:t>De</w:t>
      </w:r>
      <w:r w:rsidRPr="00C278CC">
        <w:rPr>
          <w:rFonts w:ascii="Verdana" w:eastAsia="Arial" w:hAnsi="Verdana" w:cs="Arial"/>
          <w:lang w:val="es-ES" w:eastAsia="es-ES" w:bidi="es-ES"/>
        </w:rPr>
        <w:t xml:space="preserve"> conformidad con lo anterior, </w:t>
      </w:r>
      <w:bookmarkStart w:id="4" w:name="_Hlk77236098"/>
      <w:bookmarkStart w:id="5" w:name="_Hlk100679383"/>
      <w:r w:rsidRPr="00C278CC">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w:t>
      </w:r>
      <w:r w:rsidRPr="00C278CC">
        <w:rPr>
          <w:rFonts w:ascii="Verdana" w:eastAsia="Arial" w:hAnsi="Verdana" w:cs="Arial"/>
          <w:lang w:val="es-ES" w:eastAsia="es-ES" w:bidi="es-ES"/>
        </w:rPr>
        <w:lastRenderedPageBreak/>
        <w:t>y las demás que se adelanten para la elección de los demás cargos de elección popular, tanto a nivel nacional como territorial.</w:t>
      </w:r>
      <w:bookmarkEnd w:id="4"/>
    </w:p>
    <w:p w14:paraId="21DDB9E5" w14:textId="77777777" w:rsidR="007E5EE3" w:rsidRPr="00C278CC" w:rsidRDefault="007E5EE3" w:rsidP="007E5EE3">
      <w:pPr>
        <w:spacing w:after="120" w:line="276" w:lineRule="auto"/>
        <w:ind w:firstLine="708"/>
        <w:jc w:val="both"/>
        <w:rPr>
          <w:rFonts w:ascii="Verdana" w:eastAsia="Calibri" w:hAnsi="Verdana" w:cs="Arial"/>
        </w:rPr>
      </w:pPr>
      <w:r w:rsidRPr="00C278CC">
        <w:rPr>
          <w:rFonts w:ascii="Verdana" w:eastAsia="Calibri" w:hAnsi="Verdana" w:cs="Arial"/>
          <w:i/>
          <w:iCs/>
        </w:rPr>
        <w:t>Por un lado</w:t>
      </w:r>
      <w:r w:rsidRPr="00C278CC">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278CC">
        <w:rPr>
          <w:rFonts w:ascii="Verdana" w:eastAsia="Calibri" w:hAnsi="Verdana" w:cs="Arial"/>
          <w:vertAlign w:val="superscript"/>
        </w:rPr>
        <w:footnoteReference w:id="7"/>
      </w:r>
      <w:r w:rsidRPr="00C278CC">
        <w:rPr>
          <w:rFonts w:ascii="Verdana" w:eastAsia="Calibri" w:hAnsi="Verdana" w:cs="Arial"/>
        </w:rPr>
        <w:t>.</w:t>
      </w:r>
    </w:p>
    <w:p w14:paraId="1628E879" w14:textId="7B318E2F" w:rsidR="008462B9" w:rsidRPr="00C278CC" w:rsidRDefault="007E5EE3" w:rsidP="002027A0">
      <w:pPr>
        <w:widowControl w:val="0"/>
        <w:autoSpaceDE w:val="0"/>
        <w:autoSpaceDN w:val="0"/>
        <w:spacing w:after="120" w:line="276" w:lineRule="auto"/>
        <w:ind w:right="113" w:firstLine="709"/>
        <w:jc w:val="both"/>
        <w:rPr>
          <w:rFonts w:ascii="Verdana" w:eastAsia="Arial" w:hAnsi="Verdana" w:cs="Arial"/>
          <w:lang w:val="es-ES" w:eastAsia="es-ES" w:bidi="es-ES"/>
        </w:rPr>
      </w:pPr>
      <w:r w:rsidRPr="00C278CC">
        <w:rPr>
          <w:rFonts w:ascii="Verdana" w:eastAsia="Calibri" w:hAnsi="Verdana" w:cs="Arial"/>
          <w:i/>
          <w:iCs/>
        </w:rPr>
        <w:t>Por otro</w:t>
      </w:r>
      <w:r w:rsidR="00562628" w:rsidRPr="00C278CC">
        <w:rPr>
          <w:rFonts w:ascii="Verdana" w:eastAsia="Calibri" w:hAnsi="Verdana" w:cs="Arial"/>
          <w:i/>
          <w:iCs/>
        </w:rPr>
        <w:t xml:space="preserve"> lado</w:t>
      </w:r>
      <w:r w:rsidRPr="00C278CC">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C278CC">
        <w:rPr>
          <w:rFonts w:ascii="Verdana" w:eastAsia="Calibri" w:hAnsi="Verdana" w:cs="Arial"/>
          <w:lang w:val="es-MX"/>
        </w:rPr>
        <w:t xml:space="preserve">celebrar </w:t>
      </w:r>
      <w:r w:rsidRPr="00C278CC">
        <w:rPr>
          <w:rFonts w:ascii="Verdana" w:eastAsia="Calibri" w:hAnsi="Verdana" w:cs="Arial"/>
          <w:i/>
          <w:iCs/>
          <w:lang w:val="es-MX"/>
        </w:rPr>
        <w:t>convenios interadministrativos</w:t>
      </w:r>
      <w:r w:rsidRPr="00C278CC">
        <w:rPr>
          <w:rFonts w:ascii="Verdana" w:eastAsia="Calibri" w:hAnsi="Verdana" w:cs="Arial"/>
          <w:lang w:val="es-MX"/>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C278CC">
        <w:rPr>
          <w:rFonts w:ascii="Verdana" w:eastAsia="Calibri" w:hAnsi="Verdana" w:cs="Arial"/>
          <w:sz w:val="19"/>
          <w:szCs w:val="19"/>
        </w:rPr>
        <w:t>”</w:t>
      </w:r>
      <w:bookmarkEnd w:id="5"/>
      <w:r w:rsidRPr="00C278CC">
        <w:rPr>
          <w:rFonts w:ascii="Verdana" w:eastAsia="Calibri" w:hAnsi="Verdana" w:cs="Arial"/>
          <w:sz w:val="19"/>
          <w:szCs w:val="19"/>
          <w:vertAlign w:val="superscript"/>
        </w:rPr>
        <w:footnoteReference w:id="8"/>
      </w:r>
      <w:r w:rsidRPr="00C278CC">
        <w:rPr>
          <w:rFonts w:ascii="Verdana" w:eastAsia="Calibri" w:hAnsi="Verdana" w:cs="Arial"/>
          <w:lang w:val="es-MX"/>
        </w:rPr>
        <w:t>.</w:t>
      </w:r>
      <w:r w:rsidRPr="00C278CC">
        <w:rPr>
          <w:rFonts w:ascii="Verdana" w:eastAsia="Arial" w:hAnsi="Verdana" w:cs="Arial"/>
          <w:lang w:val="es-ES" w:eastAsia="es-ES" w:bidi="es-ES"/>
        </w:rPr>
        <w:t xml:space="preserve"> </w:t>
      </w:r>
    </w:p>
    <w:p w14:paraId="52314EB9" w14:textId="68CCDC36" w:rsidR="007E5EE3" w:rsidRPr="00C278CC" w:rsidRDefault="007E5EE3" w:rsidP="007E5EE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278CC">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48A5E274" w14:textId="77777777" w:rsidR="007E5EE3" w:rsidRPr="00C278CC" w:rsidRDefault="007E5EE3" w:rsidP="007E5EE3">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1EED4E6A" w14:textId="77777777" w:rsidR="007E5EE3" w:rsidRPr="00C278CC" w:rsidRDefault="007E5EE3" w:rsidP="007E5EE3">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C278CC">
        <w:rPr>
          <w:rFonts w:ascii="Verdana" w:eastAsia="Arial" w:hAnsi="Verdana" w:cs="Arial"/>
          <w:sz w:val="20"/>
          <w:szCs w:val="20"/>
          <w:lang w:val="es-ES" w:eastAsia="es-ES" w:bidi="es-ES"/>
        </w:rPr>
        <w:lastRenderedPageBreak/>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C278CC">
        <w:rPr>
          <w:rFonts w:ascii="Verdana" w:eastAsia="Arial" w:hAnsi="Verdana" w:cs="Arial"/>
          <w:sz w:val="20"/>
          <w:szCs w:val="20"/>
          <w:lang w:val="es-ES" w:eastAsia="es-ES" w:bidi="es-ES"/>
        </w:rPr>
        <w:t>se integran parcialmente</w:t>
      </w:r>
      <w:bookmarkEnd w:id="8"/>
      <w:r w:rsidRPr="00C278CC">
        <w:rPr>
          <w:rFonts w:ascii="Verdana" w:eastAsia="Arial" w:hAnsi="Verdana" w:cs="Arial"/>
          <w:sz w:val="20"/>
          <w:szCs w:val="20"/>
          <w:lang w:val="es-ES"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C278CC">
        <w:rPr>
          <w:rFonts w:ascii="Verdana" w:eastAsia="Arial" w:hAnsi="Verdana" w:cs="Arial"/>
          <w:sz w:val="20"/>
          <w:szCs w:val="20"/>
          <w:vertAlign w:val="superscript"/>
          <w:lang w:val="es-ES" w:eastAsia="es-ES" w:bidi="es-ES"/>
        </w:rPr>
        <w:footnoteReference w:id="9"/>
      </w:r>
      <w:r w:rsidRPr="00C278CC">
        <w:rPr>
          <w:rFonts w:ascii="Verdana" w:eastAsia="Arial" w:hAnsi="Verdana" w:cs="Arial"/>
          <w:sz w:val="20"/>
          <w:szCs w:val="20"/>
          <w:lang w:val="es-ES" w:eastAsia="es-ES" w:bidi="es-ES"/>
        </w:rPr>
        <w:t>.</w:t>
      </w:r>
    </w:p>
    <w:p w14:paraId="10E5FCEC" w14:textId="77777777" w:rsidR="007E5EE3" w:rsidRPr="00C278CC" w:rsidRDefault="007E5EE3" w:rsidP="007E5EE3">
      <w:pPr>
        <w:widowControl w:val="0"/>
        <w:autoSpaceDE w:val="0"/>
        <w:autoSpaceDN w:val="0"/>
        <w:spacing w:after="0" w:line="276" w:lineRule="auto"/>
        <w:contextualSpacing/>
        <w:rPr>
          <w:rFonts w:ascii="Verdana" w:eastAsia="Arial" w:hAnsi="Verdana" w:cs="Arial"/>
          <w:lang w:val="es-ES" w:eastAsia="es-ES" w:bidi="es-ES"/>
        </w:rPr>
      </w:pPr>
    </w:p>
    <w:p w14:paraId="622496FD" w14:textId="77777777" w:rsidR="007E5EE3" w:rsidRPr="00C278CC" w:rsidRDefault="007E5EE3" w:rsidP="007E5EE3">
      <w:pPr>
        <w:spacing w:after="120" w:line="276" w:lineRule="auto"/>
        <w:ind w:firstLine="709"/>
        <w:jc w:val="both"/>
        <w:rPr>
          <w:rFonts w:ascii="Verdana" w:eastAsia="Arial" w:hAnsi="Verdana" w:cs="Arial"/>
          <w:lang w:val="es-ES" w:eastAsia="es-ES" w:bidi="es-ES"/>
        </w:rPr>
      </w:pPr>
      <w:r w:rsidRPr="00C278CC">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C278CC">
        <w:rPr>
          <w:rFonts w:ascii="Verdana" w:eastAsia="Arial" w:hAnsi="Verdana" w:cs="Arial"/>
          <w:lang w:val="es-ES" w:eastAsia="es-ES" w:bidi="es-ES"/>
        </w:rPr>
        <w:t xml:space="preserve">la Ley 996 de 2005 establece dos (2) tipos de restricciones en materia de contratación, las cuales coinciden parcialmente. </w:t>
      </w:r>
      <w:r w:rsidRPr="00C278CC">
        <w:rPr>
          <w:rFonts w:ascii="Verdana" w:eastAsia="Arial" w:hAnsi="Verdana" w:cs="Arial"/>
          <w:i/>
          <w:lang w:val="es-ES" w:eastAsia="es-ES" w:bidi="es-ES"/>
        </w:rPr>
        <w:t>En primer lugar</w:t>
      </w:r>
      <w:r w:rsidRPr="00C278CC">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278CC">
        <w:rPr>
          <w:rFonts w:ascii="Verdana" w:eastAsia="Arial" w:hAnsi="Verdana" w:cs="Arial"/>
          <w:i/>
          <w:lang w:val="es-ES" w:eastAsia="es-ES" w:bidi="es-ES"/>
        </w:rPr>
        <w:t>En segundo lugar</w:t>
      </w:r>
      <w:r w:rsidRPr="00C278CC">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30C15D06" w14:textId="77777777" w:rsidR="007E5EE3" w:rsidRPr="00C278CC" w:rsidRDefault="007E5EE3" w:rsidP="007E5EE3">
      <w:pPr>
        <w:spacing w:after="120" w:line="276" w:lineRule="auto"/>
        <w:ind w:firstLine="709"/>
        <w:jc w:val="both"/>
        <w:rPr>
          <w:rFonts w:ascii="Verdana" w:eastAsia="Arial" w:hAnsi="Verdana" w:cs="Arial"/>
          <w:lang w:val="es-ES" w:eastAsia="es-ES" w:bidi="es-ES"/>
        </w:rPr>
      </w:pPr>
      <w:r w:rsidRPr="00C278CC">
        <w:rPr>
          <w:rFonts w:ascii="Verdana" w:eastAsia="Arial" w:hAnsi="Verdana" w:cs="Arial"/>
          <w:lang w:val="es-ES" w:eastAsia="es-ES" w:bidi="es-ES"/>
        </w:rPr>
        <w:t xml:space="preserve">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w:t>
      </w:r>
      <w:r w:rsidRPr="00C278CC">
        <w:rPr>
          <w:rFonts w:ascii="Verdana" w:eastAsia="Arial" w:hAnsi="Verdana" w:cs="Arial"/>
          <w:lang w:val="es-ES" w:eastAsia="es-ES" w:bidi="es-ES"/>
        </w:rPr>
        <w:lastRenderedPageBreak/>
        <w:t>tratándose de elecciones en general, excluyendo las correspondientes al Presidente de la República, las autoridades allí mencionadas sólo deben aplicar las restricciones contenidas en el parágrafo del artículo 38.</w:t>
      </w:r>
    </w:p>
    <w:bookmarkEnd w:id="11"/>
    <w:p w14:paraId="051A855A" w14:textId="77777777" w:rsidR="007E5EE3" w:rsidRPr="00C278CC" w:rsidRDefault="007E5EE3" w:rsidP="007E5EE3">
      <w:pPr>
        <w:spacing w:after="0" w:line="276" w:lineRule="auto"/>
        <w:ind w:firstLine="708"/>
        <w:jc w:val="both"/>
        <w:rPr>
          <w:rFonts w:ascii="Verdana" w:eastAsia="Arial" w:hAnsi="Verdana" w:cs="Arial"/>
          <w:lang w:val="es-ES" w:eastAsia="es-ES" w:bidi="es-ES"/>
        </w:rPr>
      </w:pPr>
      <w:r w:rsidRPr="00C278CC">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657A7CD3" w14:textId="77777777" w:rsidR="007E5EE3" w:rsidRPr="00C278CC" w:rsidRDefault="007E5EE3" w:rsidP="007E5EE3">
      <w:pPr>
        <w:spacing w:after="0" w:line="276" w:lineRule="auto"/>
        <w:jc w:val="both"/>
        <w:rPr>
          <w:rFonts w:ascii="Verdana" w:eastAsia="Arial" w:hAnsi="Verdana" w:cs="Arial"/>
          <w:lang w:val="es-ES" w:eastAsia="es-ES" w:bidi="es-ES"/>
        </w:rPr>
      </w:pPr>
    </w:p>
    <w:p w14:paraId="27138E29" w14:textId="62312074" w:rsidR="007E5EE3" w:rsidRPr="00C278CC" w:rsidRDefault="007E5EE3" w:rsidP="007E5EE3">
      <w:pPr>
        <w:spacing w:after="0" w:line="276" w:lineRule="auto"/>
        <w:jc w:val="both"/>
        <w:rPr>
          <w:rFonts w:ascii="Verdana" w:hAnsi="Verdana" w:cs="Arial"/>
          <w:bCs/>
          <w:lang w:val="es-MX" w:eastAsia="es-CO"/>
        </w:rPr>
      </w:pPr>
      <w:r w:rsidRPr="00C278CC">
        <w:rPr>
          <w:rFonts w:ascii="Verdana" w:eastAsia="Arial" w:hAnsi="Verdana" w:cs="Arial"/>
          <w:lang w:val="es-ES" w:eastAsia="es-ES" w:bidi="es-ES"/>
        </w:rPr>
        <w:t xml:space="preserve">ii. </w:t>
      </w:r>
      <w:r w:rsidRPr="00C278CC">
        <w:rPr>
          <w:rFonts w:ascii="Verdana" w:hAnsi="Verdana" w:cs="Arial"/>
          <w:bCs/>
          <w:lang w:val="es-MX" w:eastAsia="x-none"/>
        </w:rPr>
        <w:t xml:space="preserve">El ámbito material de la prohibición contenida en el artículo 33 de la </w:t>
      </w:r>
      <w:r w:rsidR="00581587" w:rsidRPr="00C278CC">
        <w:rPr>
          <w:rFonts w:ascii="Verdana" w:hAnsi="Verdana" w:cs="Arial"/>
          <w:bCs/>
          <w:lang w:val="es-MX" w:eastAsia="x-none"/>
        </w:rPr>
        <w:t>L</w:t>
      </w:r>
      <w:r w:rsidRPr="00C278CC">
        <w:rPr>
          <w:rFonts w:ascii="Verdana" w:hAnsi="Verdana" w:cs="Arial"/>
          <w:bCs/>
          <w:lang w:val="es-MX" w:eastAsia="x-none"/>
        </w:rPr>
        <w:t xml:space="preserve">ey 996 de 2005 está delimitado por la expresión </w:t>
      </w:r>
      <w:r w:rsidRPr="00C278CC">
        <w:rPr>
          <w:rFonts w:ascii="Verdana" w:eastAsia="Calibri" w:hAnsi="Verdana" w:cs="Arial"/>
          <w:bCs/>
          <w:sz w:val="20"/>
          <w:szCs w:val="20"/>
          <w:lang w:val="es-MX"/>
        </w:rPr>
        <w:t>“</w:t>
      </w:r>
      <w:r w:rsidRPr="00C278CC">
        <w:rPr>
          <w:rFonts w:ascii="Verdana" w:hAnsi="Verdana" w:cs="Arial"/>
          <w:bCs/>
          <w:lang w:val="es-MX" w:eastAsia="x-none"/>
        </w:rPr>
        <w:t>queda prohibida la contratación directa</w:t>
      </w:r>
      <w:r w:rsidRPr="00C278CC">
        <w:rPr>
          <w:rFonts w:ascii="Verdana" w:hAnsi="Verdana" w:cs="Arial"/>
          <w:sz w:val="20"/>
          <w:szCs w:val="20"/>
          <w:lang w:val="es-MX"/>
        </w:rPr>
        <w:t>”</w:t>
      </w:r>
      <w:r w:rsidRPr="00C278CC">
        <w:rPr>
          <w:rFonts w:ascii="Verdana" w:hAnsi="Verdana" w:cs="Arial"/>
          <w:bCs/>
          <w:lang w:val="es-MX" w:eastAsia="x-none"/>
        </w:rPr>
        <w:t xml:space="preserve">. </w:t>
      </w:r>
      <w:r w:rsidRPr="00C278CC">
        <w:rPr>
          <w:rFonts w:ascii="Verdana" w:hAnsi="Verdana" w:cs="Arial"/>
          <w:lang w:val="es-MX" w:eastAsia="es-CO"/>
        </w:rPr>
        <w:t xml:space="preserve"> A propósito de </w:t>
      </w:r>
      <w:r w:rsidRPr="00C278CC">
        <w:rPr>
          <w:rFonts w:ascii="Verdana" w:hAnsi="Verdana" w:cs="Arial"/>
          <w:lang w:eastAsia="es-CO"/>
        </w:rPr>
        <w:t>esta restricción de la Ley de Garantías Electorales, la Sala de Consulta y Servicio Civil del Consejo de Estado ha considerado que:</w:t>
      </w:r>
    </w:p>
    <w:p w14:paraId="344176C3" w14:textId="77777777" w:rsidR="007E5EE3" w:rsidRPr="00C278CC" w:rsidRDefault="007E5EE3" w:rsidP="007E5EE3">
      <w:pPr>
        <w:spacing w:after="0" w:line="276" w:lineRule="auto"/>
        <w:ind w:left="708" w:right="709"/>
        <w:jc w:val="both"/>
        <w:rPr>
          <w:rFonts w:ascii="Verdana" w:hAnsi="Verdana" w:cs="Arial"/>
          <w:lang w:val="es-MX"/>
        </w:rPr>
      </w:pPr>
    </w:p>
    <w:p w14:paraId="4E75F5B3" w14:textId="1F87C462" w:rsidR="007E5EE3" w:rsidRPr="00C278CC" w:rsidRDefault="007E5EE3" w:rsidP="00202A94">
      <w:pPr>
        <w:spacing w:after="0"/>
        <w:ind w:left="709" w:right="709"/>
        <w:jc w:val="both"/>
        <w:rPr>
          <w:rFonts w:ascii="Verdana" w:hAnsi="Verdana" w:cs="Arial"/>
          <w:sz w:val="20"/>
          <w:szCs w:val="20"/>
          <w:lang w:val="es-MX"/>
        </w:rPr>
      </w:pPr>
      <w:r w:rsidRPr="00C278CC">
        <w:rPr>
          <w:rFonts w:ascii="Verdana" w:hAnsi="Verdana" w:cs="Arial"/>
          <w:sz w:val="18"/>
          <w:szCs w:val="18"/>
          <w:lang w:val="es-MX"/>
        </w:rPr>
        <w:t>“</w:t>
      </w:r>
      <w:r w:rsidRPr="00C278CC">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C278CC">
        <w:rPr>
          <w:rFonts w:ascii="Verdana" w:hAnsi="Verdana" w:cs="Arial"/>
          <w:sz w:val="20"/>
          <w:szCs w:val="20"/>
          <w:vertAlign w:val="superscript"/>
          <w:lang w:eastAsia="es-CO"/>
        </w:rPr>
        <w:footnoteReference w:id="10"/>
      </w:r>
      <w:r w:rsidRPr="00C278CC">
        <w:rPr>
          <w:rFonts w:ascii="Verdana" w:hAnsi="Verdana" w:cs="Arial"/>
          <w:sz w:val="20"/>
          <w:szCs w:val="20"/>
          <w:lang w:val="es-MX"/>
        </w:rPr>
        <w:t>.</w:t>
      </w:r>
    </w:p>
    <w:p w14:paraId="36859D39" w14:textId="77777777" w:rsidR="00BA71D8" w:rsidRPr="00C278CC" w:rsidRDefault="00BA71D8" w:rsidP="002027A0">
      <w:pPr>
        <w:spacing w:after="0"/>
        <w:ind w:left="709" w:right="709"/>
        <w:jc w:val="both"/>
        <w:rPr>
          <w:rFonts w:ascii="Verdana" w:hAnsi="Verdana" w:cs="Arial"/>
          <w:sz w:val="20"/>
          <w:szCs w:val="20"/>
          <w:lang w:val="es-MX"/>
        </w:rPr>
      </w:pPr>
    </w:p>
    <w:p w14:paraId="1E5FAC38" w14:textId="77777777" w:rsidR="007E5EE3" w:rsidRPr="00C278CC" w:rsidRDefault="007E5EE3" w:rsidP="002027A0">
      <w:pPr>
        <w:spacing w:after="0"/>
        <w:ind w:left="709" w:right="709"/>
        <w:jc w:val="both"/>
        <w:rPr>
          <w:rFonts w:ascii="Verdana" w:hAnsi="Verdana" w:cs="Arial"/>
          <w:sz w:val="20"/>
          <w:szCs w:val="20"/>
          <w:lang w:val="es-MX"/>
        </w:rPr>
      </w:pPr>
      <w:r w:rsidRPr="00C278CC">
        <w:rPr>
          <w:rFonts w:ascii="Verdana" w:hAnsi="Verdana" w:cs="Arial"/>
          <w:sz w:val="20"/>
          <w:szCs w:val="20"/>
          <w:lang w:val="es-MX"/>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w:t>
      </w:r>
      <w:r w:rsidRPr="00C278CC">
        <w:rPr>
          <w:rFonts w:ascii="Verdana" w:hAnsi="Verdana" w:cs="Arial"/>
          <w:sz w:val="20"/>
          <w:szCs w:val="20"/>
          <w:lang w:val="es-MX"/>
        </w:rPr>
        <w:lastRenderedPageBreak/>
        <w:t>concurso</w:t>
      </w:r>
      <w:r w:rsidRPr="00C278CC">
        <w:rPr>
          <w:rFonts w:ascii="Verdana" w:hAnsi="Verdana" w:cs="Arial"/>
          <w:sz w:val="20"/>
          <w:szCs w:val="20"/>
          <w:vertAlign w:val="superscript"/>
          <w:lang w:val="es-MX"/>
        </w:rPr>
        <w:footnoteReference w:id="11"/>
      </w:r>
      <w:r w:rsidRPr="00C278CC">
        <w:rPr>
          <w:rFonts w:ascii="Verdana" w:hAnsi="Verdana" w:cs="Arial"/>
          <w:sz w:val="20"/>
          <w:szCs w:val="20"/>
          <w:vertAlign w:val="superscript"/>
          <w:lang w:val="es-MX"/>
        </w:rPr>
        <w:t>.</w:t>
      </w:r>
      <w:r w:rsidRPr="00C278CC">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C278CC">
        <w:rPr>
          <w:rFonts w:ascii="Verdana" w:hAnsi="Verdana" w:cs="Arial"/>
          <w:sz w:val="20"/>
          <w:szCs w:val="20"/>
          <w:vertAlign w:val="superscript"/>
          <w:lang w:eastAsia="es-CO"/>
        </w:rPr>
        <w:footnoteReference w:id="12"/>
      </w:r>
      <w:r w:rsidRPr="00C278CC">
        <w:rPr>
          <w:rFonts w:ascii="Verdana" w:hAnsi="Verdana" w:cs="Arial"/>
          <w:sz w:val="20"/>
          <w:szCs w:val="20"/>
          <w:lang w:val="es-MX"/>
        </w:rPr>
        <w:t>.</w:t>
      </w:r>
    </w:p>
    <w:p w14:paraId="575EB22A" w14:textId="77777777" w:rsidR="007E5EE3" w:rsidRPr="00C278CC" w:rsidRDefault="007E5EE3" w:rsidP="007E5EE3">
      <w:pPr>
        <w:shd w:val="clear" w:color="auto" w:fill="FFFFFF"/>
        <w:spacing w:after="0" w:line="276" w:lineRule="auto"/>
        <w:ind w:firstLine="709"/>
        <w:jc w:val="both"/>
        <w:rPr>
          <w:rFonts w:ascii="Verdana" w:hAnsi="Verdana" w:cs="Arial"/>
          <w:lang w:eastAsia="x-none"/>
        </w:rPr>
      </w:pPr>
    </w:p>
    <w:p w14:paraId="66E5DC95" w14:textId="32975606" w:rsidR="007E5EE3" w:rsidRPr="00C278CC" w:rsidRDefault="007E5EE3" w:rsidP="007E5EE3">
      <w:pPr>
        <w:spacing w:after="120" w:line="276" w:lineRule="auto"/>
        <w:ind w:firstLine="708"/>
        <w:jc w:val="both"/>
        <w:rPr>
          <w:rFonts w:ascii="Verdana" w:hAnsi="Verdana" w:cs="Arial"/>
          <w:bCs/>
          <w:lang w:eastAsia="x-none"/>
        </w:rPr>
      </w:pPr>
      <w:r w:rsidRPr="00C278CC">
        <w:rPr>
          <w:rFonts w:ascii="Verdana" w:hAnsi="Verdana" w:cs="Arial"/>
          <w:lang w:eastAsia="x-none"/>
        </w:rPr>
        <w:t xml:space="preserve">De acuerdo con el citado concepto, la prohibición del artículo 33 de la Ley de Garantías Electorales se refiere a </w:t>
      </w:r>
      <w:r w:rsidRPr="00C278CC">
        <w:rPr>
          <w:rFonts w:ascii="Verdana" w:hAnsi="Verdana" w:cs="Arial"/>
          <w:sz w:val="19"/>
          <w:szCs w:val="19"/>
          <w:lang w:eastAsia="en-GB"/>
        </w:rPr>
        <w:t>“</w:t>
      </w:r>
      <w:r w:rsidRPr="00C278CC">
        <w:rPr>
          <w:rFonts w:ascii="Verdana" w:hAnsi="Verdana" w:cs="Arial"/>
          <w:lang w:eastAsia="x-none"/>
        </w:rPr>
        <w:t>cualquier sistema que no implique convocatoria pública y posibilidad de pluralidad de oferentes</w:t>
      </w:r>
      <w:r w:rsidRPr="00C278CC">
        <w:rPr>
          <w:rFonts w:ascii="Verdana" w:hAnsi="Verdana" w:cs="Arial"/>
          <w:lang w:eastAsia="en-GB"/>
        </w:rPr>
        <w:t>”</w:t>
      </w:r>
      <w:r w:rsidRPr="00C278CC">
        <w:rPr>
          <w:rFonts w:ascii="Verdana" w:hAnsi="Verdana" w:cs="Arial"/>
          <w:lang w:eastAsia="x-none"/>
        </w:rPr>
        <w:t>, por lo que excluye las demás modalidades de contratación previstas en la Ley 1150 de 2007, es decir, la licitación pública, la selección abreviada y el concurso de méritos u otr</w:t>
      </w:r>
      <w:r w:rsidR="00BA71D8" w:rsidRPr="00C278CC">
        <w:rPr>
          <w:rFonts w:ascii="Verdana" w:hAnsi="Verdana" w:cs="Arial"/>
          <w:lang w:eastAsia="x-none"/>
        </w:rPr>
        <w:t>a</w:t>
      </w:r>
      <w:r w:rsidRPr="00C278CC">
        <w:rPr>
          <w:rFonts w:ascii="Verdana" w:hAnsi="Verdana" w:cs="Arial"/>
          <w:lang w:eastAsia="x-none"/>
        </w:rPr>
        <w:t>s</w:t>
      </w:r>
      <w:r w:rsidR="00BA71D8" w:rsidRPr="00C278CC">
        <w:rPr>
          <w:rFonts w:ascii="Verdana" w:hAnsi="Verdana" w:cs="Arial"/>
          <w:lang w:eastAsia="x-none"/>
        </w:rPr>
        <w:t xml:space="preserve"> modalidades de selección abiertas y competitivas</w:t>
      </w:r>
      <w:r w:rsidRPr="00C278CC">
        <w:rPr>
          <w:rFonts w:ascii="Verdana" w:hAnsi="Verdana" w:cs="Arial"/>
          <w:lang w:eastAsia="x-none"/>
        </w:rPr>
        <w:t xml:space="preserve"> previst</w:t>
      </w:r>
      <w:r w:rsidR="00BA71D8" w:rsidRPr="00C278CC">
        <w:rPr>
          <w:rFonts w:ascii="Verdana" w:hAnsi="Verdana" w:cs="Arial"/>
          <w:lang w:eastAsia="x-none"/>
        </w:rPr>
        <w:t>a</w:t>
      </w:r>
      <w:r w:rsidRPr="00C278CC">
        <w:rPr>
          <w:rFonts w:ascii="Verdana" w:hAnsi="Verdana" w:cs="Arial"/>
          <w:lang w:eastAsia="x-none"/>
        </w:rPr>
        <w:t>s en normas especiales. Esta posición es congruente con la expedición de la Ley 1150 de 2007 que, entre otras reformas, introdujo la selección abreviada, rediseñó el concurso de méritos</w:t>
      </w:r>
      <w:r w:rsidRPr="00C278CC">
        <w:rPr>
          <w:rFonts w:ascii="Verdana" w:hAnsi="Verdana" w:cs="Arial"/>
          <w:vertAlign w:val="superscript"/>
          <w:lang w:val="en-GB" w:eastAsia="x-none"/>
        </w:rPr>
        <w:footnoteReference w:id="13"/>
      </w:r>
      <w:r w:rsidRPr="00C278CC">
        <w:rPr>
          <w:rFonts w:ascii="Verdana" w:hAnsi="Verdana" w:cs="Arial"/>
          <w:lang w:eastAsia="x-none"/>
        </w:rPr>
        <w:t xml:space="preserve"> y sistematizó las causales de contratación directa</w:t>
      </w:r>
      <w:r w:rsidRPr="00C278CC">
        <w:rPr>
          <w:rFonts w:ascii="Verdana" w:hAnsi="Verdana" w:cs="Arial"/>
          <w:vertAlign w:val="superscript"/>
          <w:lang w:val="en-GB" w:eastAsia="x-none"/>
        </w:rPr>
        <w:footnoteReference w:id="14"/>
      </w:r>
      <w:r w:rsidRPr="00C278CC">
        <w:rPr>
          <w:rFonts w:ascii="Verdana" w:hAnsi="Verdana" w:cs="Arial"/>
          <w:lang w:eastAsia="x-none"/>
        </w:rPr>
        <w:t xml:space="preserve">. </w:t>
      </w:r>
    </w:p>
    <w:p w14:paraId="1B4C2C7A" w14:textId="77777777" w:rsidR="007E5EE3" w:rsidRPr="00C278CC" w:rsidRDefault="007E5EE3" w:rsidP="007E5EE3">
      <w:pPr>
        <w:spacing w:after="120" w:line="276" w:lineRule="auto"/>
        <w:ind w:firstLine="708"/>
        <w:jc w:val="both"/>
        <w:rPr>
          <w:rFonts w:ascii="Verdana" w:hAnsi="Verdana" w:cs="Arial"/>
          <w:lang w:val="es-MX" w:eastAsia="x-none"/>
        </w:rPr>
      </w:pPr>
      <w:r w:rsidRPr="00C278CC">
        <w:rPr>
          <w:rFonts w:ascii="Verdana" w:hAnsi="Verdana" w:cs="Arial"/>
          <w:lang w:eastAsia="x-none"/>
        </w:rPr>
        <w:t xml:space="preserve">De esta forma, con fundamento en la evolución de la normativa sobre la contratación pública, se ha depurado la noción de </w:t>
      </w:r>
      <w:r w:rsidRPr="00C278CC">
        <w:rPr>
          <w:rFonts w:ascii="Verdana" w:hAnsi="Verdana" w:cs="Arial"/>
          <w:sz w:val="19"/>
          <w:szCs w:val="19"/>
          <w:lang w:eastAsia="en-GB"/>
        </w:rPr>
        <w:t>“</w:t>
      </w:r>
      <w:r w:rsidRPr="00C278CC">
        <w:rPr>
          <w:rFonts w:ascii="Verdana" w:hAnsi="Verdana" w:cs="Arial"/>
          <w:lang w:eastAsia="x-none"/>
        </w:rPr>
        <w:t>contratación directa</w:t>
      </w:r>
      <w:r w:rsidRPr="00C278CC">
        <w:rPr>
          <w:rFonts w:ascii="Verdana" w:hAnsi="Verdana" w:cs="Arial"/>
          <w:lang w:eastAsia="en-GB"/>
        </w:rPr>
        <w:t>”</w:t>
      </w:r>
      <w:r w:rsidRPr="00C278CC">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C278CC">
        <w:rPr>
          <w:rFonts w:ascii="Verdana" w:hAnsi="Verdana" w:cs="Arial"/>
          <w:vertAlign w:val="superscript"/>
          <w:lang w:val="en-GB" w:eastAsia="x-none"/>
        </w:rPr>
        <w:footnoteReference w:id="15"/>
      </w:r>
      <w:r w:rsidRPr="00C278CC">
        <w:rPr>
          <w:rFonts w:ascii="Verdana" w:hAnsi="Verdana" w:cs="Arial"/>
          <w:lang w:eastAsia="x-none"/>
        </w:rPr>
        <w:t>, han establecido sistemas de contratación que implican convocatoria pública y participación de varios oferentes</w:t>
      </w:r>
      <w:r w:rsidRPr="00C278CC">
        <w:rPr>
          <w:rFonts w:ascii="Verdana" w:hAnsi="Verdana" w:cs="Arial"/>
          <w:lang w:eastAsia="en-GB"/>
        </w:rPr>
        <w:t>”</w:t>
      </w:r>
      <w:r w:rsidRPr="00C278CC">
        <w:rPr>
          <w:rFonts w:ascii="Verdana" w:hAnsi="Verdana" w:cs="Arial"/>
          <w:lang w:eastAsia="x-none"/>
        </w:rPr>
        <w:t xml:space="preserve">. </w:t>
      </w:r>
    </w:p>
    <w:p w14:paraId="545310D2" w14:textId="77777777" w:rsidR="007E5EE3" w:rsidRPr="00C278CC" w:rsidRDefault="007E5EE3" w:rsidP="007E5EE3">
      <w:pPr>
        <w:spacing w:after="120" w:line="276" w:lineRule="auto"/>
        <w:ind w:firstLine="708"/>
        <w:jc w:val="both"/>
        <w:rPr>
          <w:rFonts w:ascii="Verdana" w:hAnsi="Verdana" w:cs="Arial"/>
          <w:bCs/>
          <w:lang w:val="es-MX" w:eastAsia="es-CO"/>
        </w:rPr>
      </w:pPr>
      <w:r w:rsidRPr="00C278CC">
        <w:rPr>
          <w:rFonts w:ascii="Verdana" w:hAnsi="Verdana" w:cs="Arial"/>
          <w:bCs/>
          <w:lang w:val="es-MX" w:eastAsia="x-none"/>
        </w:rPr>
        <w:t>E</w:t>
      </w:r>
      <w:r w:rsidRPr="00C278CC">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w:t>
      </w:r>
      <w:r w:rsidRPr="00C278CC">
        <w:rPr>
          <w:rFonts w:ascii="Verdana" w:hAnsi="Verdana" w:cs="Arial"/>
          <w:lang w:eastAsia="x-none"/>
        </w:rPr>
        <w:lastRenderedPageBreak/>
        <w:t>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C278CC">
        <w:rPr>
          <w:rFonts w:ascii="Verdana" w:hAnsi="Verdana" w:cs="Arial"/>
          <w:vertAlign w:val="superscript"/>
          <w:lang w:eastAsia="x-none"/>
        </w:rPr>
        <w:footnoteReference w:id="16"/>
      </w:r>
      <w:r w:rsidRPr="00C278CC">
        <w:rPr>
          <w:rFonts w:ascii="Verdana" w:hAnsi="Verdana" w:cs="Arial"/>
          <w:lang w:eastAsia="x-none"/>
        </w:rPr>
        <w:t xml:space="preserve">. </w:t>
      </w:r>
    </w:p>
    <w:p w14:paraId="11B93397" w14:textId="72CBFA45" w:rsidR="007E5EE3" w:rsidRPr="00C278CC" w:rsidRDefault="007E5EE3" w:rsidP="007E5EE3">
      <w:pPr>
        <w:spacing w:after="120" w:line="276" w:lineRule="auto"/>
        <w:ind w:firstLine="708"/>
        <w:jc w:val="both"/>
        <w:rPr>
          <w:rFonts w:ascii="Verdana" w:hAnsi="Verdana" w:cs="Arial"/>
          <w:bCs/>
          <w:lang w:val="es-MX" w:eastAsia="es-CO"/>
        </w:rPr>
      </w:pPr>
      <w:r w:rsidRPr="00C278CC">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w:t>
      </w:r>
      <w:r w:rsidR="00202A94" w:rsidRPr="00C278CC">
        <w:rPr>
          <w:rFonts w:ascii="Verdana" w:hAnsi="Verdana" w:cs="Arial"/>
          <w:bCs/>
          <w:lang w:val="es-MX" w:eastAsia="es-CO"/>
        </w:rPr>
        <w:t>G</w:t>
      </w:r>
      <w:r w:rsidRPr="00C278CC">
        <w:rPr>
          <w:rFonts w:ascii="Verdana" w:hAnsi="Verdana" w:cs="Arial"/>
          <w:bCs/>
          <w:lang w:val="es-MX" w:eastAsia="es-CO"/>
        </w:rPr>
        <w:t>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8FCDF88" w14:textId="77777777" w:rsidR="007E5EE3" w:rsidRPr="00C278CC" w:rsidRDefault="007E5EE3" w:rsidP="007E5EE3">
      <w:pPr>
        <w:spacing w:after="120" w:line="276" w:lineRule="auto"/>
        <w:ind w:firstLine="708"/>
        <w:jc w:val="both"/>
        <w:rPr>
          <w:rFonts w:ascii="Verdana" w:hAnsi="Verdana" w:cs="Arial"/>
          <w:bCs/>
          <w:lang w:val="es-MX" w:eastAsia="x-none"/>
        </w:rPr>
      </w:pPr>
      <w:r w:rsidRPr="00C278CC">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278CC">
        <w:rPr>
          <w:rFonts w:ascii="Verdana" w:hAnsi="Verdana" w:cs="Arial"/>
          <w:vertAlign w:val="superscript"/>
          <w:lang w:eastAsia="x-none"/>
        </w:rPr>
        <w:footnoteReference w:id="17"/>
      </w:r>
      <w:r w:rsidRPr="00C278CC">
        <w:rPr>
          <w:rFonts w:ascii="Verdana" w:hAnsi="Verdana" w:cs="Arial"/>
          <w:bCs/>
          <w:lang w:val="es-MX" w:eastAsia="x-none"/>
        </w:rPr>
        <w:t>.</w:t>
      </w:r>
      <w:r w:rsidRPr="00C278CC">
        <w:rPr>
          <w:rFonts w:ascii="Verdana" w:hAnsi="Verdana" w:cs="Arial"/>
          <w:vertAlign w:val="superscript"/>
          <w:lang w:eastAsia="x-none"/>
        </w:rPr>
        <w:t xml:space="preserve"> </w:t>
      </w:r>
    </w:p>
    <w:p w14:paraId="6818164E" w14:textId="77777777" w:rsidR="007E5EE3" w:rsidRPr="00C278CC" w:rsidRDefault="007E5EE3" w:rsidP="007E5EE3">
      <w:pPr>
        <w:spacing w:after="120" w:line="276" w:lineRule="auto"/>
        <w:ind w:firstLine="708"/>
        <w:jc w:val="both"/>
        <w:rPr>
          <w:rFonts w:ascii="Verdana" w:hAnsi="Verdana" w:cs="Arial"/>
          <w:lang w:eastAsia="x-none"/>
        </w:rPr>
      </w:pPr>
      <w:r w:rsidRPr="00C278CC">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C278CC">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7F1CAD7C" w14:textId="3167A98B" w:rsidR="007E5EE3" w:rsidRPr="00C278CC" w:rsidRDefault="007E5EE3" w:rsidP="0064611A">
      <w:pPr>
        <w:spacing w:after="0" w:line="276" w:lineRule="auto"/>
        <w:ind w:firstLine="708"/>
        <w:jc w:val="both"/>
        <w:rPr>
          <w:rFonts w:ascii="Verdana" w:hAnsi="Verdana" w:cs="Arial"/>
          <w:bCs/>
          <w:lang w:val="es-MX" w:eastAsia="es-CO"/>
        </w:rPr>
      </w:pPr>
      <w:bookmarkStart w:id="12" w:name="_Hlk77237094"/>
      <w:r w:rsidRPr="00C278CC">
        <w:rPr>
          <w:rFonts w:ascii="Verdana" w:hAnsi="Verdana" w:cs="Arial"/>
          <w:bCs/>
          <w:lang w:val="es-MX" w:eastAsia="es-CO"/>
        </w:rPr>
        <w:t xml:space="preserve">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w:t>
      </w:r>
      <w:r w:rsidRPr="00C278CC">
        <w:rPr>
          <w:rFonts w:ascii="Verdana" w:hAnsi="Verdana" w:cs="Arial"/>
          <w:bCs/>
          <w:lang w:val="es-MX" w:eastAsia="es-CO"/>
        </w:rPr>
        <w:lastRenderedPageBreak/>
        <w:t>sin que ello haga nugatoria la restricción de la contratación directa y siempre que cumplan los principios de planeación, transparencia y responsabilidad.</w:t>
      </w:r>
      <w:bookmarkEnd w:id="12"/>
    </w:p>
    <w:p w14:paraId="70E00FD0" w14:textId="77777777" w:rsidR="0064611A" w:rsidRPr="00C278CC" w:rsidRDefault="0064611A" w:rsidP="002027A0">
      <w:pPr>
        <w:spacing w:after="0" w:line="276" w:lineRule="auto"/>
        <w:ind w:firstLine="708"/>
        <w:jc w:val="both"/>
        <w:rPr>
          <w:rFonts w:ascii="Verdana" w:hAnsi="Verdana" w:cs="Arial"/>
          <w:bCs/>
          <w:lang w:val="es-MX" w:eastAsia="x-none"/>
        </w:rPr>
      </w:pPr>
    </w:p>
    <w:p w14:paraId="021A155D" w14:textId="46B9689F" w:rsidR="0064611A" w:rsidRPr="00C278CC" w:rsidRDefault="0064611A" w:rsidP="002027A0">
      <w:pPr>
        <w:spacing w:after="120" w:line="276" w:lineRule="auto"/>
        <w:jc w:val="both"/>
        <w:rPr>
          <w:rFonts w:ascii="Verdana" w:hAnsi="Verdana" w:cs="Arial"/>
          <w:bCs/>
          <w:lang w:val="es-MX" w:eastAsia="es-CO"/>
        </w:rPr>
      </w:pPr>
      <w:r w:rsidRPr="00C278CC">
        <w:rPr>
          <w:rFonts w:ascii="Verdana" w:hAnsi="Verdana" w:cs="Arial"/>
          <w:bCs/>
          <w:lang w:val="es-MX" w:eastAsia="x-none"/>
        </w:rPr>
        <w:t xml:space="preserve">iii. </w:t>
      </w:r>
      <w:r w:rsidR="007E5EE3" w:rsidRPr="00C278CC">
        <w:rPr>
          <w:rFonts w:ascii="Verdana" w:hAnsi="Verdana" w:cs="Arial"/>
          <w:bCs/>
          <w:lang w:val="es-MX" w:eastAsia="x-none"/>
        </w:rPr>
        <w:t>De otro lado, las excepciones a la restricción prevista en la Ley de Garantías</w:t>
      </w:r>
      <w:r w:rsidR="00DF59F7" w:rsidRPr="00C278CC">
        <w:rPr>
          <w:rFonts w:ascii="Verdana" w:hAnsi="Verdana" w:cs="Arial"/>
          <w:bCs/>
          <w:lang w:val="es-MX" w:eastAsia="x-none"/>
        </w:rPr>
        <w:t xml:space="preserve"> Electorales</w:t>
      </w:r>
      <w:r w:rsidR="007E5EE3" w:rsidRPr="00C278CC">
        <w:rPr>
          <w:rFonts w:ascii="Verdana" w:hAnsi="Verdana" w:cs="Arial"/>
          <w:bCs/>
          <w:lang w:val="es-MX" w:eastAsia="x-none"/>
        </w:rPr>
        <w:t xml:space="preserve">,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w:t>
      </w:r>
      <w:r w:rsidR="007E5EE3" w:rsidRPr="00C278CC">
        <w:rPr>
          <w:rFonts w:ascii="Verdana" w:hAnsi="Verdana" w:cs="Arial"/>
          <w:bCs/>
          <w:i/>
          <w:iCs/>
          <w:lang w:val="es-MX" w:eastAsia="x-none"/>
        </w:rPr>
        <w:t>entidades sanitarias y hospitalarias.</w:t>
      </w:r>
      <w:r w:rsidR="007E5EE3" w:rsidRPr="00C278CC">
        <w:rPr>
          <w:rFonts w:ascii="Verdana" w:hAnsi="Verdana" w:cs="Arial"/>
          <w:bCs/>
          <w:lang w:val="es-MX" w:eastAsia="es-CO"/>
        </w:rPr>
        <w:t xml:space="preserve"> </w:t>
      </w:r>
    </w:p>
    <w:p w14:paraId="0A38779E" w14:textId="164D1DF5" w:rsidR="007E5EE3" w:rsidRPr="00C278CC" w:rsidRDefault="0064611A" w:rsidP="007E5EE3">
      <w:pPr>
        <w:spacing w:after="120" w:line="276" w:lineRule="auto"/>
        <w:ind w:firstLine="708"/>
        <w:jc w:val="both"/>
        <w:rPr>
          <w:rFonts w:ascii="Verdana" w:hAnsi="Verdana" w:cs="Arial"/>
          <w:bCs/>
          <w:lang w:val="es-MX" w:eastAsia="es-CO"/>
        </w:rPr>
      </w:pPr>
      <w:r w:rsidRPr="00C278CC">
        <w:rPr>
          <w:rFonts w:ascii="Verdana" w:hAnsi="Verdana" w:cs="Arial"/>
          <w:bCs/>
          <w:lang w:val="es-MX" w:eastAsia="es-CO"/>
        </w:rPr>
        <w:t>Conforme a lo anterior, e</w:t>
      </w:r>
      <w:r w:rsidR="007E5EE3" w:rsidRPr="00C278CC">
        <w:rPr>
          <w:rFonts w:ascii="Verdana" w:hAnsi="Verdana" w:cs="Arial"/>
          <w:bCs/>
          <w:lang w:val="es-MX" w:eastAsia="es-CO"/>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351AEC2" w14:textId="77777777" w:rsidR="007E5EE3" w:rsidRPr="00C278CC" w:rsidRDefault="007E5EE3" w:rsidP="002027A0">
      <w:pPr>
        <w:spacing w:after="120" w:line="276" w:lineRule="auto"/>
        <w:ind w:firstLine="709"/>
        <w:jc w:val="both"/>
        <w:rPr>
          <w:rFonts w:ascii="Verdana" w:hAnsi="Verdana" w:cs="Arial"/>
          <w:bCs/>
          <w:lang w:val="es-MX" w:eastAsia="x-none"/>
        </w:rPr>
      </w:pPr>
      <w:r w:rsidRPr="00C278CC">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C278CC">
        <w:rPr>
          <w:rFonts w:ascii="Verdana" w:hAnsi="Verdana" w:cs="Arial"/>
          <w:bCs/>
          <w:lang w:val="es-MX" w:eastAsia="x-none"/>
        </w:rPr>
        <w:t>que “</w:t>
      </w:r>
      <w:bookmarkEnd w:id="13"/>
      <w:r w:rsidRPr="00C278CC">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C278CC">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C278CC">
        <w:rPr>
          <w:rFonts w:ascii="Verdana" w:hAnsi="Verdana" w:cs="Arial"/>
          <w:vertAlign w:val="superscript"/>
          <w:lang w:val="es-MX"/>
        </w:rPr>
        <w:footnoteReference w:id="18"/>
      </w:r>
      <w:r w:rsidRPr="00C278CC">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323EFAFA" w14:textId="77777777" w:rsidR="0064611A" w:rsidRPr="00C278CC" w:rsidRDefault="0064611A" w:rsidP="0064611A">
      <w:pPr>
        <w:tabs>
          <w:tab w:val="left" w:pos="426"/>
        </w:tabs>
        <w:spacing w:after="120" w:line="276" w:lineRule="auto"/>
        <w:ind w:firstLine="709"/>
        <w:jc w:val="both"/>
        <w:rPr>
          <w:rFonts w:ascii="Verdana" w:hAnsi="Verdana" w:cs="Arial"/>
          <w:color w:val="000000" w:themeColor="text1"/>
          <w:lang w:val="es-ES"/>
        </w:rPr>
      </w:pPr>
      <w:r w:rsidRPr="00C278CC">
        <w:rPr>
          <w:rFonts w:ascii="Verdana" w:hAnsi="Verdana" w:cs="Arial"/>
          <w:color w:val="000000" w:themeColor="text1"/>
          <w:lang w:val="es-ES"/>
        </w:rPr>
        <w:t>En este punto, es pertinente analizar el quinto evento</w:t>
      </w:r>
      <w:r w:rsidRPr="00C278CC">
        <w:rPr>
          <w:rFonts w:ascii="Verdana" w:hAnsi="Verdana" w:cs="Arial"/>
          <w:i/>
          <w:iCs/>
          <w:color w:val="000000" w:themeColor="text1"/>
          <w:lang w:val="es-ES"/>
        </w:rPr>
        <w:t xml:space="preserve"> </w:t>
      </w:r>
      <w:r w:rsidRPr="00C278CC">
        <w:rPr>
          <w:rFonts w:ascii="Verdana" w:hAnsi="Verdana" w:cs="Arial"/>
          <w:color w:val="000000" w:themeColor="text1"/>
          <w:lang w:val="es-ES"/>
        </w:rPr>
        <w:t xml:space="preserve">exceptuado de la prohibición, relacionado con la contratación por parte de las entidades sanitarias </w:t>
      </w:r>
      <w:r w:rsidRPr="00C278CC">
        <w:rPr>
          <w:rFonts w:ascii="Verdana" w:hAnsi="Verdana" w:cs="Arial"/>
          <w:color w:val="000000" w:themeColor="text1"/>
          <w:lang w:val="es-ES"/>
        </w:rPr>
        <w:lastRenderedPageBreak/>
        <w:t xml:space="preserve">y hospitalarias. Para ello, debe tenerse en cuenta el artículo 94 de la Ley 100 de 1993, que dispone </w:t>
      </w:r>
      <w:r w:rsidRPr="00C278CC">
        <w:rPr>
          <w:rFonts w:ascii="Verdana" w:hAnsi="Verdana" w:cs="Arial"/>
          <w:color w:val="000000" w:themeColor="text1"/>
          <w:lang w:val="es-ES" w:eastAsia="es-CO"/>
        </w:rPr>
        <w:t>“</w:t>
      </w:r>
      <w:r w:rsidRPr="00C278CC">
        <w:rPr>
          <w:rFonts w:ascii="Verdana" w:hAnsi="Verdana" w:cs="Arial"/>
          <w:color w:val="000000" w:themeColor="text1"/>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352F1C97" w14:textId="77777777" w:rsidR="0064611A" w:rsidRPr="00C278CC" w:rsidRDefault="0064611A" w:rsidP="0064611A">
      <w:pPr>
        <w:tabs>
          <w:tab w:val="left" w:pos="426"/>
        </w:tabs>
        <w:spacing w:after="120" w:line="276" w:lineRule="auto"/>
        <w:ind w:firstLine="709"/>
        <w:jc w:val="both"/>
        <w:rPr>
          <w:rFonts w:ascii="Verdana" w:hAnsi="Verdana" w:cs="Arial"/>
          <w:color w:val="000000" w:themeColor="text1"/>
        </w:rPr>
      </w:pPr>
      <w:r w:rsidRPr="00C278CC">
        <w:rPr>
          <w:rFonts w:ascii="Verdana" w:hAnsi="Verdana" w:cs="Arial"/>
          <w:color w:val="000000" w:themeColor="text1"/>
          <w:lang w:val="es-ES"/>
        </w:rPr>
        <w:t>Es decir que, a partir de la entrada en vigencia de la Ley 100 de 1993, las Empresas Sociales del Estado son las entidades públicas que tienen a su cargo la prestación de servicios de salud de manera directa. Igualmente, el artículo 197 de la misma disposición</w:t>
      </w:r>
      <w:r w:rsidRPr="00C278CC">
        <w:rPr>
          <w:rFonts w:ascii="Verdana" w:hAnsi="Verdana" w:cs="Arial"/>
          <w:color w:val="000000" w:themeColor="text1"/>
          <w:vertAlign w:val="superscript"/>
          <w:lang w:val="es-ES_tradnl"/>
        </w:rPr>
        <w:footnoteReference w:id="19"/>
      </w:r>
      <w:r w:rsidRPr="00C278CC">
        <w:rPr>
          <w:rFonts w:ascii="Verdana" w:hAnsi="Verdana" w:cs="Arial"/>
          <w:color w:val="000000" w:themeColor="text1"/>
          <w:lang w:val="es-ES"/>
        </w:rPr>
        <w:t xml:space="preserve"> otorgó un término de seis (6) meses a las entidades territoriales prestadoras del servicio de salud para restructurarlas en Empresas Sociales del Estado. </w:t>
      </w:r>
    </w:p>
    <w:p w14:paraId="6B68A98A" w14:textId="77777777" w:rsidR="0064611A" w:rsidRPr="00C278CC" w:rsidRDefault="0064611A" w:rsidP="0064611A">
      <w:pPr>
        <w:tabs>
          <w:tab w:val="left" w:pos="426"/>
        </w:tabs>
        <w:spacing w:after="120" w:line="276" w:lineRule="auto"/>
        <w:ind w:firstLine="709"/>
        <w:jc w:val="both"/>
        <w:rPr>
          <w:rFonts w:ascii="Verdana" w:hAnsi="Verdana" w:cs="Arial"/>
          <w:color w:val="000000" w:themeColor="text1"/>
          <w:lang w:val="es-ES"/>
        </w:rPr>
      </w:pPr>
      <w:r w:rsidRPr="00C278CC">
        <w:rPr>
          <w:rFonts w:ascii="Verdana" w:hAnsi="Verdana" w:cs="Arial"/>
          <w:color w:val="000000" w:themeColor="text1"/>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293D076C" w14:textId="77777777" w:rsidR="0064611A" w:rsidRPr="00C278CC" w:rsidRDefault="0064611A" w:rsidP="0064611A">
      <w:pPr>
        <w:tabs>
          <w:tab w:val="left" w:pos="426"/>
        </w:tabs>
        <w:spacing w:after="120" w:line="276" w:lineRule="auto"/>
        <w:ind w:firstLine="709"/>
        <w:jc w:val="both"/>
        <w:rPr>
          <w:rFonts w:ascii="Verdana" w:hAnsi="Verdana" w:cs="Arial"/>
          <w:color w:val="000000" w:themeColor="text1"/>
          <w:lang w:val="es-ES"/>
        </w:rPr>
      </w:pPr>
      <w:r w:rsidRPr="00C278CC">
        <w:rPr>
          <w:rFonts w:ascii="Verdana" w:hAnsi="Verdana" w:cs="Arial"/>
          <w:color w:val="000000" w:themeColor="text1"/>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2552907B" w14:textId="77777777" w:rsidR="0064611A" w:rsidRPr="00C278CC" w:rsidRDefault="0064611A" w:rsidP="0064611A">
      <w:pPr>
        <w:tabs>
          <w:tab w:val="left" w:pos="426"/>
        </w:tabs>
        <w:spacing w:after="0" w:line="276" w:lineRule="auto"/>
        <w:ind w:firstLine="709"/>
        <w:jc w:val="both"/>
        <w:rPr>
          <w:rFonts w:ascii="Verdana" w:hAnsi="Verdana" w:cs="Arial"/>
          <w:color w:val="000000" w:themeColor="text1"/>
          <w:lang w:val="es-ES"/>
        </w:rPr>
      </w:pPr>
      <w:r w:rsidRPr="00C278CC">
        <w:rPr>
          <w:rFonts w:ascii="Verdana" w:hAnsi="Verdana" w:cs="Arial"/>
          <w:color w:val="000000" w:themeColor="text1"/>
          <w:lang w:val="es-ES"/>
        </w:rPr>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w:t>
      </w:r>
      <w:r w:rsidRPr="00C278CC">
        <w:rPr>
          <w:rFonts w:ascii="Verdana" w:hAnsi="Verdana" w:cs="Arial"/>
          <w:color w:val="000000" w:themeColor="text1"/>
          <w:lang w:val="es-ES"/>
        </w:rPr>
        <w:lastRenderedPageBreak/>
        <w:t xml:space="preserve">excepción establecida en el inciso 2 del artículo 33 de la Ley de Garantías Electorales, frente a las entidades sanitarias y hospitalarias, puso de presente el retardo en el proceso de reestructuración mencionado en la Ley 100 de 1993, así: </w:t>
      </w:r>
    </w:p>
    <w:p w14:paraId="6B7D74C8" w14:textId="77777777" w:rsidR="0064611A" w:rsidRPr="00C278CC" w:rsidRDefault="0064611A" w:rsidP="0064611A">
      <w:pPr>
        <w:tabs>
          <w:tab w:val="left" w:pos="426"/>
        </w:tabs>
        <w:spacing w:after="0" w:line="276" w:lineRule="auto"/>
        <w:ind w:firstLine="709"/>
        <w:jc w:val="both"/>
        <w:rPr>
          <w:rFonts w:ascii="Verdana" w:hAnsi="Verdana" w:cs="Arial"/>
          <w:color w:val="000000" w:themeColor="text1"/>
          <w:lang w:val="es-ES"/>
        </w:rPr>
      </w:pPr>
    </w:p>
    <w:p w14:paraId="46F5FC0A" w14:textId="77777777" w:rsidR="0064611A" w:rsidRPr="00C278CC" w:rsidRDefault="0064611A" w:rsidP="00E07D53">
      <w:pPr>
        <w:tabs>
          <w:tab w:val="left" w:pos="426"/>
        </w:tabs>
        <w:spacing w:after="0" w:line="240" w:lineRule="auto"/>
        <w:ind w:left="709" w:right="709"/>
        <w:jc w:val="both"/>
        <w:rPr>
          <w:rFonts w:ascii="Verdana" w:hAnsi="Verdana" w:cs="Arial"/>
          <w:color w:val="000000" w:themeColor="text1"/>
          <w:sz w:val="20"/>
          <w:szCs w:val="20"/>
          <w:shd w:val="clear" w:color="auto" w:fill="FFFFFF"/>
          <w:lang w:val="es-ES"/>
        </w:rPr>
      </w:pPr>
      <w:r w:rsidRPr="00C278CC">
        <w:rPr>
          <w:rFonts w:ascii="Verdana" w:hAnsi="Verdana" w:cs="Arial"/>
          <w:color w:val="000000" w:themeColor="text1"/>
          <w:sz w:val="20"/>
          <w:szCs w:val="20"/>
          <w:shd w:val="clear" w:color="auto" w:fill="FFFFFF"/>
          <w:lang w:val="es-ES"/>
        </w:rPr>
        <w:t xml:space="preserve">“[…] se encuentran cubiertos por la excepción contemplada en el inciso 2 del artículo 33 de la Ley de Garantías Electorales, las entidades hospitalarias que a la luz de las normas vigentes </w:t>
      </w:r>
      <w:r w:rsidRPr="00C278CC">
        <w:rPr>
          <w:rFonts w:ascii="Verdana" w:hAnsi="Verdana" w:cs="Arial"/>
          <w:i/>
          <w:iCs/>
          <w:color w:val="000000" w:themeColor="text1"/>
          <w:sz w:val="20"/>
          <w:szCs w:val="20"/>
          <w:shd w:val="clear" w:color="auto" w:fill="FFFFFF"/>
          <w:lang w:val="es-ES"/>
        </w:rPr>
        <w:t>no son otras distintas que las Empresas Sociales del estado y todas aquellas instituciones públicas que a pesar de no haberse transformado en Empresas Sociales del Estado, prestan un servicio de salud directo sobre el usuario en su carácter general de entidad hospitalaria</w:t>
      </w:r>
      <w:r w:rsidRPr="00C278CC">
        <w:rPr>
          <w:rFonts w:ascii="Verdana" w:hAnsi="Verdana" w:cs="Arial"/>
          <w:color w:val="000000" w:themeColor="text1"/>
          <w:sz w:val="20"/>
          <w:szCs w:val="20"/>
          <w:shd w:val="clear" w:color="auto" w:fill="FFFFFF"/>
          <w:lang w:val="es-ES"/>
        </w:rPr>
        <w:t xml:space="preserve"> […]”. (Énfasis fuera de texto) </w:t>
      </w:r>
    </w:p>
    <w:p w14:paraId="65D2EE50" w14:textId="77777777" w:rsidR="0064611A" w:rsidRPr="00C278CC" w:rsidRDefault="0064611A" w:rsidP="0064611A">
      <w:pPr>
        <w:tabs>
          <w:tab w:val="left" w:pos="426"/>
        </w:tabs>
        <w:spacing w:after="0" w:line="276" w:lineRule="auto"/>
        <w:ind w:left="709" w:right="709"/>
        <w:jc w:val="both"/>
        <w:rPr>
          <w:rFonts w:ascii="Verdana" w:hAnsi="Verdana" w:cs="Arial"/>
          <w:color w:val="000000" w:themeColor="text1"/>
          <w:lang w:val="es-ES"/>
        </w:rPr>
      </w:pPr>
    </w:p>
    <w:p w14:paraId="680D555E" w14:textId="77777777" w:rsidR="0064611A" w:rsidRPr="00C278CC" w:rsidRDefault="0064611A" w:rsidP="0064611A">
      <w:pPr>
        <w:tabs>
          <w:tab w:val="left" w:pos="426"/>
        </w:tabs>
        <w:spacing w:after="120" w:line="276" w:lineRule="auto"/>
        <w:ind w:firstLine="709"/>
        <w:jc w:val="both"/>
        <w:rPr>
          <w:rFonts w:ascii="Verdana" w:hAnsi="Verdana" w:cs="Arial"/>
          <w:color w:val="000000" w:themeColor="text1"/>
          <w:lang w:val="es-ES"/>
        </w:rPr>
      </w:pPr>
      <w:r w:rsidRPr="00C278CC">
        <w:rPr>
          <w:rFonts w:ascii="Verdana" w:hAnsi="Verdana" w:cs="Arial"/>
          <w:color w:val="000000" w:themeColor="text1"/>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6290DCF9" w14:textId="77777777" w:rsidR="0064611A" w:rsidRPr="00C278CC" w:rsidRDefault="0064611A" w:rsidP="0064611A">
      <w:pPr>
        <w:tabs>
          <w:tab w:val="left" w:pos="426"/>
        </w:tabs>
        <w:spacing w:before="120" w:line="276" w:lineRule="auto"/>
        <w:ind w:firstLine="709"/>
        <w:jc w:val="both"/>
        <w:rPr>
          <w:rFonts w:ascii="Verdana" w:hAnsi="Verdana" w:cs="Arial"/>
          <w:color w:val="000000" w:themeColor="text1"/>
          <w:lang w:val="es-ES"/>
        </w:rPr>
      </w:pPr>
      <w:r w:rsidRPr="00C278CC">
        <w:rPr>
          <w:rFonts w:ascii="Verdana" w:hAnsi="Verdana" w:cs="Arial"/>
          <w:color w:val="000000" w:themeColor="text1"/>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478483F9" w14:textId="77777777" w:rsidR="0064611A" w:rsidRPr="00C278CC" w:rsidRDefault="0064611A" w:rsidP="0064611A">
      <w:pPr>
        <w:spacing w:before="120" w:after="120" w:line="276" w:lineRule="auto"/>
        <w:ind w:firstLine="709"/>
        <w:jc w:val="both"/>
        <w:rPr>
          <w:rFonts w:ascii="Verdana" w:eastAsia="Arial" w:hAnsi="Verdana" w:cs="Arial"/>
          <w:color w:val="000000" w:themeColor="text1"/>
        </w:rPr>
      </w:pPr>
      <w:r w:rsidRPr="00C278CC">
        <w:rPr>
          <w:rFonts w:ascii="Verdana" w:eastAsia="Arial" w:hAnsi="Verdana" w:cs="Arial"/>
          <w:color w:val="000000" w:themeColor="text1"/>
        </w:rPr>
        <w:t xml:space="preserve">De otro lado, en relación con las entidades sanitarias, conviene diferenciar los conceptos de entidad sanitaria y autoridad sanitara. En efecto, el artículo 2.8.8.1.1.3 del Decreto 780 de 2016, “Por medio del cual se expide el Decreto Único Reglamentario del Sector Salud y Protección Social”, define las </w:t>
      </w:r>
      <w:r w:rsidRPr="00C278CC">
        <w:rPr>
          <w:rFonts w:ascii="Verdana" w:eastAsia="Arial" w:hAnsi="Verdana" w:cs="Arial"/>
          <w:i/>
          <w:iCs/>
          <w:color w:val="000000" w:themeColor="text1"/>
        </w:rPr>
        <w:t>entidades sanitarias</w:t>
      </w:r>
      <w:r w:rsidRPr="00C278CC">
        <w:rPr>
          <w:rFonts w:ascii="Verdana" w:eastAsia="Arial" w:hAnsi="Verdana" w:cs="Arial"/>
          <w:color w:val="000000" w:themeColor="text1"/>
        </w:rPr>
        <w:t xml:space="preserve"> como “Entidades del Estado que prestan servicios sanitarios o de sanidad con el propósito de preservar la salud humana y la salud pública”. Así mismo, el artículo citado también define las </w:t>
      </w:r>
      <w:r w:rsidRPr="00C278CC">
        <w:rPr>
          <w:rFonts w:ascii="Verdana" w:eastAsia="Arial" w:hAnsi="Verdana" w:cs="Arial"/>
          <w:i/>
          <w:iCs/>
          <w:color w:val="000000" w:themeColor="text1"/>
        </w:rPr>
        <w:t>autoridades sanitarias</w:t>
      </w:r>
      <w:r w:rsidRPr="00C278CC">
        <w:rPr>
          <w:rFonts w:ascii="Verdana" w:eastAsia="Arial" w:hAnsi="Verdana" w:cs="Arial"/>
          <w:color w:val="000000" w:themeColor="text1"/>
        </w:rPr>
        <w:t xml:space="preserve"> como “Entidades jurídicas de carácter público con atribuciones para ejercer funciones de rectoría, regulación, inspección, vigilancia y control de los sectores público y </w:t>
      </w:r>
      <w:r w:rsidRPr="00C278CC">
        <w:rPr>
          <w:rFonts w:ascii="Verdana" w:eastAsia="Arial" w:hAnsi="Verdana" w:cs="Arial"/>
          <w:color w:val="000000" w:themeColor="text1"/>
        </w:rPr>
        <w:lastRenderedPageBreak/>
        <w:t>privado en salud y adoptar medidas de prevención y seguimiento que garanticen la protección de la salud pública”</w:t>
      </w:r>
      <w:r w:rsidRPr="00C278CC">
        <w:rPr>
          <w:rFonts w:ascii="Verdana" w:eastAsia="Arial" w:hAnsi="Verdana" w:cs="Arial"/>
          <w:bCs/>
          <w:color w:val="000000" w:themeColor="text1"/>
          <w:vertAlign w:val="superscript"/>
        </w:rPr>
        <w:footnoteReference w:id="20"/>
      </w:r>
      <w:r w:rsidRPr="00C278CC">
        <w:rPr>
          <w:rFonts w:ascii="Verdana" w:eastAsia="Arial" w:hAnsi="Verdana" w:cs="Arial"/>
          <w:color w:val="000000" w:themeColor="text1"/>
        </w:rPr>
        <w:t xml:space="preserve">. </w:t>
      </w:r>
    </w:p>
    <w:p w14:paraId="6A7A36E3" w14:textId="7C2851D3" w:rsidR="0064611A" w:rsidRPr="00C278CC" w:rsidRDefault="0064611A" w:rsidP="0064611A">
      <w:pPr>
        <w:spacing w:before="120" w:after="120" w:line="276" w:lineRule="auto"/>
        <w:ind w:firstLine="709"/>
        <w:jc w:val="both"/>
        <w:rPr>
          <w:rFonts w:ascii="Verdana" w:eastAsia="Arial" w:hAnsi="Verdana" w:cs="Arial"/>
          <w:color w:val="000000" w:themeColor="text1"/>
          <w:lang w:val="es-ES"/>
        </w:rPr>
      </w:pPr>
      <w:r w:rsidRPr="00C278CC">
        <w:rPr>
          <w:rFonts w:ascii="Verdana" w:eastAsia="Arial" w:hAnsi="Verdana" w:cs="Arial"/>
          <w:color w:val="000000" w:themeColor="text1"/>
        </w:rPr>
        <w:t xml:space="preserve">Sin embargo, es necesario tener en cuenta que la excepción del artículo 33 de la Ley de Garantías Electorales solo aplica a las </w:t>
      </w:r>
      <w:r w:rsidRPr="00C278CC">
        <w:rPr>
          <w:rFonts w:ascii="Verdana" w:eastAsia="Arial" w:hAnsi="Verdana" w:cs="Arial"/>
          <w:i/>
          <w:iCs/>
          <w:color w:val="000000" w:themeColor="text1"/>
        </w:rPr>
        <w:t>entidades sanitarias</w:t>
      </w:r>
      <w:r w:rsidRPr="00C278CC">
        <w:rPr>
          <w:rFonts w:ascii="Verdana" w:eastAsia="Arial" w:hAnsi="Verdana" w:cs="Arial"/>
          <w:color w:val="000000" w:themeColor="text1"/>
        </w:rPr>
        <w:t xml:space="preserve">, no a las </w:t>
      </w:r>
      <w:r w:rsidRPr="00C278CC">
        <w:rPr>
          <w:rFonts w:ascii="Verdana" w:eastAsia="Arial" w:hAnsi="Verdana" w:cs="Arial"/>
          <w:i/>
          <w:iCs/>
          <w:color w:val="000000" w:themeColor="text1"/>
        </w:rPr>
        <w:t>autoridades sanitarias</w:t>
      </w:r>
      <w:r w:rsidRPr="00C278CC">
        <w:rPr>
          <w:rFonts w:ascii="Verdana" w:eastAsia="Arial" w:hAnsi="Verdana" w:cs="Arial"/>
          <w:color w:val="000000" w:themeColor="text1"/>
        </w:rPr>
        <w:t xml:space="preserve">. </w:t>
      </w:r>
      <w:r w:rsidRPr="00C278CC">
        <w:rPr>
          <w:rFonts w:ascii="Verdana" w:eastAsia="Arial" w:hAnsi="Verdana" w:cs="Arial"/>
          <w:color w:val="000000" w:themeColor="text1"/>
          <w:lang w:val="es-ES"/>
        </w:rPr>
        <w:t xml:space="preserve">Así las cosas, para efectos de la excepción del artículo 33 es indiferente que la entidad estatal tenga funciones de </w:t>
      </w:r>
      <w:r w:rsidRPr="00C278CC">
        <w:rPr>
          <w:rFonts w:ascii="Verdana" w:eastAsia="Arial" w:hAnsi="Verdana" w:cs="Arial"/>
          <w:i/>
          <w:iCs/>
          <w:color w:val="000000" w:themeColor="text1"/>
          <w:lang w:val="es-ES"/>
        </w:rPr>
        <w:t>autoridad sanitaria</w:t>
      </w:r>
      <w:r w:rsidRPr="00C278CC">
        <w:rPr>
          <w:rFonts w:ascii="Verdana" w:eastAsia="Arial" w:hAnsi="Verdana" w:cs="Arial"/>
          <w:color w:val="000000" w:themeColor="text1"/>
          <w:lang w:val="es-ES"/>
        </w:rPr>
        <w:t xml:space="preserve">, pues lo relevante para determinar si la contratación está exceptuada de la prohibición general no es el carácter de autoridad sanitaria, sino que se trate de una </w:t>
      </w:r>
      <w:r w:rsidRPr="00C278CC">
        <w:rPr>
          <w:rFonts w:ascii="Verdana" w:eastAsia="Arial" w:hAnsi="Verdana" w:cs="Arial"/>
          <w:i/>
          <w:iCs/>
          <w:color w:val="000000" w:themeColor="text1"/>
          <w:lang w:val="es-ES"/>
        </w:rPr>
        <w:t>entidad sanitaria</w:t>
      </w:r>
      <w:r w:rsidRPr="00C278CC">
        <w:rPr>
          <w:rFonts w:ascii="Verdana" w:eastAsia="Arial" w:hAnsi="Verdana" w:cs="Arial"/>
          <w:color w:val="000000" w:themeColor="text1"/>
          <w:lang w:val="es-ES"/>
        </w:rPr>
        <w:t xml:space="preserve">. </w:t>
      </w:r>
    </w:p>
    <w:p w14:paraId="174E3F22" w14:textId="525DD794" w:rsidR="00DB434B" w:rsidRPr="00C278CC" w:rsidRDefault="0064611A" w:rsidP="0064611A">
      <w:pPr>
        <w:spacing w:after="0" w:line="276" w:lineRule="auto"/>
        <w:ind w:firstLine="708"/>
        <w:jc w:val="both"/>
        <w:rPr>
          <w:rFonts w:ascii="Verdana" w:eastAsia="Arial" w:hAnsi="Verdana" w:cs="Arial"/>
          <w:bCs/>
        </w:rPr>
      </w:pPr>
      <w:r w:rsidRPr="00C278CC">
        <w:rPr>
          <w:rFonts w:ascii="Verdana" w:eastAsia="Arial" w:hAnsi="Verdana" w:cs="Arial"/>
          <w:bCs/>
        </w:rPr>
        <w:t>Es decir, en caso en que los departamentos ejerzan funciones de autoridad sanitaria –no de entidades sanitarias– no estarían dentro de la excepción,razón por la cual, debieronn adoptar las medidas administrativas y presupuestales necesarias para suscribir los contratos antes de la vigencia de las prohibiciones. Para ello, la entidad interesada acudirá a las figuras jurídicas propias de su régimen contractual, esto es, las de la Ley 80 de 1993, especialmente, considerando que los departamentos son entidades estatales en los términos del literal a) del artículo 2.1 del E</w:t>
      </w:r>
      <w:r w:rsidR="00E07D53" w:rsidRPr="00C278CC">
        <w:rPr>
          <w:rFonts w:ascii="Verdana" w:eastAsia="Arial" w:hAnsi="Verdana" w:cs="Arial"/>
          <w:bCs/>
        </w:rPr>
        <w:t xml:space="preserve">statuto </w:t>
      </w:r>
      <w:r w:rsidRPr="00C278CC">
        <w:rPr>
          <w:rFonts w:ascii="Verdana" w:eastAsia="Arial" w:hAnsi="Verdana" w:cs="Arial"/>
          <w:bCs/>
        </w:rPr>
        <w:t>G</w:t>
      </w:r>
      <w:r w:rsidR="00E07D53" w:rsidRPr="00C278CC">
        <w:rPr>
          <w:rFonts w:ascii="Verdana" w:eastAsia="Arial" w:hAnsi="Verdana" w:cs="Arial"/>
          <w:bCs/>
        </w:rPr>
        <w:t xml:space="preserve">eneral de </w:t>
      </w:r>
      <w:r w:rsidRPr="00C278CC">
        <w:rPr>
          <w:rFonts w:ascii="Verdana" w:eastAsia="Arial" w:hAnsi="Verdana" w:cs="Arial"/>
          <w:bCs/>
        </w:rPr>
        <w:t>C</w:t>
      </w:r>
      <w:r w:rsidR="00E07D53" w:rsidRPr="00C278CC">
        <w:rPr>
          <w:rFonts w:ascii="Verdana" w:eastAsia="Arial" w:hAnsi="Verdana" w:cs="Arial"/>
          <w:bCs/>
        </w:rPr>
        <w:t xml:space="preserve">ontratación de la </w:t>
      </w:r>
      <w:r w:rsidRPr="00C278CC">
        <w:rPr>
          <w:rFonts w:ascii="Verdana" w:eastAsia="Arial" w:hAnsi="Verdana" w:cs="Arial"/>
          <w:bCs/>
        </w:rPr>
        <w:t>A</w:t>
      </w:r>
      <w:r w:rsidR="00E07D53" w:rsidRPr="00C278CC">
        <w:rPr>
          <w:rFonts w:ascii="Verdana" w:eastAsia="Arial" w:hAnsi="Verdana" w:cs="Arial"/>
          <w:bCs/>
        </w:rPr>
        <w:t xml:space="preserve">dministración </w:t>
      </w:r>
      <w:r w:rsidRPr="00C278CC">
        <w:rPr>
          <w:rFonts w:ascii="Verdana" w:eastAsia="Arial" w:hAnsi="Verdana" w:cs="Arial"/>
          <w:bCs/>
        </w:rPr>
        <w:t>P</w:t>
      </w:r>
      <w:r w:rsidR="00E07D53" w:rsidRPr="00C278CC">
        <w:rPr>
          <w:rFonts w:ascii="Verdana" w:eastAsia="Arial" w:hAnsi="Verdana" w:cs="Arial"/>
          <w:bCs/>
        </w:rPr>
        <w:t>ública</w:t>
      </w:r>
      <w:r w:rsidRPr="00C278CC">
        <w:rPr>
          <w:rStyle w:val="Refdenotaalpie"/>
          <w:rFonts w:ascii="Verdana" w:eastAsia="Arial" w:hAnsi="Verdana" w:cs="Arial"/>
          <w:bCs/>
        </w:rPr>
        <w:footnoteReference w:id="21"/>
      </w:r>
      <w:r w:rsidRPr="00C278CC">
        <w:rPr>
          <w:rFonts w:ascii="Verdana" w:eastAsia="Arial" w:hAnsi="Verdana" w:cs="Arial"/>
          <w:bCs/>
        </w:rPr>
        <w:t xml:space="preserve">. </w:t>
      </w:r>
    </w:p>
    <w:p w14:paraId="67F49D8D" w14:textId="77777777" w:rsidR="0064611A" w:rsidRPr="00C278CC" w:rsidRDefault="0064611A" w:rsidP="002027A0">
      <w:pPr>
        <w:spacing w:after="0" w:line="276" w:lineRule="auto"/>
        <w:ind w:firstLine="708"/>
        <w:jc w:val="both"/>
        <w:rPr>
          <w:rFonts w:ascii="Verdana" w:eastAsia="Arial" w:hAnsi="Verdana" w:cs="Arial"/>
          <w:lang w:val="es-MX" w:eastAsia="es-ES" w:bidi="es-ES"/>
        </w:rPr>
      </w:pPr>
    </w:p>
    <w:p w14:paraId="4762CB90" w14:textId="4B08E794" w:rsidR="00DB434B" w:rsidRPr="00C278CC" w:rsidRDefault="007E5EE3" w:rsidP="002027A0">
      <w:pPr>
        <w:spacing w:after="120" w:line="276" w:lineRule="auto"/>
        <w:jc w:val="both"/>
        <w:rPr>
          <w:rFonts w:ascii="Verdana" w:hAnsi="Verdana" w:cs="Arial"/>
          <w:bCs/>
          <w:lang w:val="es-MX" w:eastAsia="x-none"/>
        </w:rPr>
      </w:pPr>
      <w:r w:rsidRPr="00C278CC">
        <w:rPr>
          <w:rFonts w:ascii="Verdana" w:eastAsia="Arial" w:hAnsi="Verdana" w:cs="Arial"/>
          <w:lang w:val="es-MX" w:eastAsia="es-ES" w:bidi="es-ES"/>
        </w:rPr>
        <w:t>i</w:t>
      </w:r>
      <w:r w:rsidR="0064611A" w:rsidRPr="00C278CC">
        <w:rPr>
          <w:rFonts w:ascii="Verdana" w:eastAsia="Arial" w:hAnsi="Verdana" w:cs="Arial"/>
          <w:lang w:val="es-MX" w:eastAsia="es-ES" w:bidi="es-ES"/>
        </w:rPr>
        <w:t>v</w:t>
      </w:r>
      <w:r w:rsidRPr="00C278CC">
        <w:rPr>
          <w:rFonts w:ascii="Verdana" w:eastAsia="Arial" w:hAnsi="Verdana" w:cs="Arial"/>
          <w:lang w:val="es-MX" w:eastAsia="es-ES" w:bidi="es-ES"/>
        </w:rPr>
        <w:t xml:space="preserve">. </w:t>
      </w:r>
      <w:r w:rsidRPr="00C278CC">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C278CC">
        <w:rPr>
          <w:rFonts w:ascii="Verdana" w:hAnsi="Verdana" w:cs="Arial"/>
          <w:lang w:val="es-MX"/>
        </w:rPr>
        <w:t xml:space="preserve"> </w:t>
      </w:r>
      <w:r w:rsidRPr="00C278CC">
        <w:rPr>
          <w:rFonts w:ascii="Verdana" w:hAnsi="Verdana" w:cs="Arial"/>
          <w:bCs/>
          <w:lang w:val="es-MX" w:eastAsia="x-none"/>
        </w:rPr>
        <w:t>En efecto, tal como lo ha sostenido el Consejo de Estado, el vocablo “todos” utilizado por el legislador comprende</w:t>
      </w:r>
      <w:r w:rsidRPr="00C278CC">
        <w:rPr>
          <w:rFonts w:ascii="Verdana" w:hAnsi="Verdana" w:cs="Arial"/>
          <w:lang w:val="es-MX"/>
        </w:rPr>
        <w:t xml:space="preserve"> </w:t>
      </w:r>
      <w:r w:rsidRPr="00C278CC">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w:t>
      </w:r>
      <w:r w:rsidRPr="00C278CC">
        <w:rPr>
          <w:rFonts w:ascii="Verdana" w:hAnsi="Verdana" w:cs="Arial"/>
          <w:bCs/>
          <w:lang w:val="es-MX" w:eastAsia="x-none"/>
        </w:rPr>
        <w:lastRenderedPageBreak/>
        <w:t xml:space="preserve">e incluso si las entidades estatales tienen régimen especial de contratación y están exceptuadas del ámbito de aplicación del Estatuto General de Contratación de la Administración Pública. </w:t>
      </w:r>
    </w:p>
    <w:p w14:paraId="1A6C8C33" w14:textId="35EFB0EA" w:rsidR="007E5EE3" w:rsidRPr="00C278CC" w:rsidRDefault="007E5EE3" w:rsidP="002027A0">
      <w:pPr>
        <w:spacing w:after="0" w:line="276" w:lineRule="auto"/>
        <w:ind w:firstLine="708"/>
        <w:jc w:val="both"/>
        <w:rPr>
          <w:rFonts w:ascii="Verdana" w:hAnsi="Verdana" w:cs="Arial"/>
          <w:bCs/>
          <w:lang w:val="es-MX" w:eastAsia="x-none"/>
        </w:rPr>
      </w:pPr>
      <w:r w:rsidRPr="00C278CC">
        <w:rPr>
          <w:rFonts w:ascii="Verdana" w:hAnsi="Verdana" w:cs="Arial"/>
          <w:bCs/>
          <w:lang w:val="es-MX" w:eastAsia="x-none"/>
        </w:rPr>
        <w:t xml:space="preserve">El Consejo de Estado, en Concepto con radicado 1727 de fecha 20 de febrero de 2006, consideró que: </w:t>
      </w:r>
    </w:p>
    <w:p w14:paraId="514B3A12" w14:textId="77777777" w:rsidR="007E5EE3" w:rsidRPr="00C278CC" w:rsidRDefault="007E5EE3" w:rsidP="007E5EE3">
      <w:pPr>
        <w:spacing w:after="0" w:line="276" w:lineRule="auto"/>
        <w:ind w:firstLine="708"/>
        <w:jc w:val="both"/>
        <w:rPr>
          <w:rFonts w:ascii="Verdana" w:hAnsi="Verdana" w:cs="Arial"/>
          <w:bCs/>
          <w:lang w:val="es-MX" w:eastAsia="x-none"/>
        </w:rPr>
      </w:pPr>
    </w:p>
    <w:p w14:paraId="4DFFB18F" w14:textId="77777777" w:rsidR="007E5EE3" w:rsidRPr="00C278CC" w:rsidRDefault="007E5EE3" w:rsidP="007E5EE3">
      <w:pPr>
        <w:spacing w:after="0" w:line="240" w:lineRule="auto"/>
        <w:ind w:left="708" w:right="709"/>
        <w:jc w:val="both"/>
        <w:rPr>
          <w:rFonts w:ascii="Verdana" w:hAnsi="Verdana" w:cs="Arial"/>
          <w:bCs/>
          <w:sz w:val="20"/>
          <w:szCs w:val="20"/>
          <w:lang w:val="es-MX" w:eastAsia="es-CO"/>
        </w:rPr>
      </w:pPr>
      <w:r w:rsidRPr="00C278CC">
        <w:rPr>
          <w:rFonts w:ascii="Verdana" w:hAnsi="Verdana" w:cs="Arial"/>
          <w:bCs/>
          <w:sz w:val="20"/>
          <w:szCs w:val="20"/>
          <w:lang w:val="es-MX" w:eastAsia="x-none"/>
        </w:rPr>
        <w:t xml:space="preserve">“El artículo 33 de la ley 996 de 2005, </w:t>
      </w:r>
      <w:bookmarkStart w:id="15" w:name="_Hlk75787147"/>
      <w:r w:rsidRPr="00C278CC">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C278CC">
        <w:rPr>
          <w:rFonts w:ascii="Verdana" w:hAnsi="Verdana" w:cs="Arial"/>
          <w:bCs/>
          <w:sz w:val="20"/>
          <w:szCs w:val="20"/>
          <w:vertAlign w:val="superscript"/>
          <w:lang w:val="es-MX" w:eastAsia="x-none"/>
        </w:rPr>
        <w:footnoteReference w:id="22"/>
      </w:r>
      <w:r w:rsidRPr="00C278CC">
        <w:rPr>
          <w:rFonts w:ascii="Verdana" w:hAnsi="Verdana" w:cs="Arial"/>
          <w:bCs/>
          <w:sz w:val="20"/>
          <w:szCs w:val="20"/>
          <w:lang w:val="es-MX" w:eastAsia="x-none"/>
        </w:rPr>
        <w:t>.</w:t>
      </w:r>
      <w:r w:rsidRPr="00C278CC">
        <w:rPr>
          <w:rFonts w:ascii="Verdana" w:hAnsi="Verdana" w:cs="Arial"/>
          <w:bCs/>
          <w:sz w:val="20"/>
          <w:szCs w:val="20"/>
          <w:lang w:val="es-MX" w:eastAsia="es-CO"/>
        </w:rPr>
        <w:t xml:space="preserve"> </w:t>
      </w:r>
    </w:p>
    <w:p w14:paraId="654B9FCD" w14:textId="77777777" w:rsidR="007E5EE3" w:rsidRPr="00C278CC" w:rsidRDefault="007E5EE3" w:rsidP="00D14086">
      <w:pPr>
        <w:spacing w:after="0" w:line="276" w:lineRule="auto"/>
        <w:ind w:firstLine="708"/>
        <w:jc w:val="both"/>
        <w:rPr>
          <w:rFonts w:ascii="Verdana" w:hAnsi="Verdana" w:cs="Arial"/>
          <w:bCs/>
          <w:lang w:val="es-MX" w:eastAsia="es-CO"/>
        </w:rPr>
      </w:pPr>
    </w:p>
    <w:p w14:paraId="213E680C" w14:textId="77777777" w:rsidR="007E5EE3" w:rsidRPr="00C278CC" w:rsidRDefault="007E5EE3" w:rsidP="00D14086">
      <w:pPr>
        <w:spacing w:after="0" w:line="276" w:lineRule="auto"/>
        <w:ind w:firstLine="708"/>
        <w:jc w:val="both"/>
        <w:rPr>
          <w:rFonts w:ascii="Verdana" w:hAnsi="Verdana" w:cs="Arial"/>
          <w:lang w:val="es-MX"/>
        </w:rPr>
      </w:pPr>
      <w:r w:rsidRPr="00C278CC">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6" w:name="_Hlk75758868"/>
      <w:bookmarkStart w:id="17" w:name="_Hlk75741220"/>
      <w:r w:rsidRPr="00C278CC">
        <w:rPr>
          <w:rFonts w:ascii="Verdana" w:hAnsi="Verdana" w:cs="Arial"/>
          <w:vertAlign w:val="superscript"/>
          <w:lang w:val="es-MX"/>
        </w:rPr>
        <w:footnoteReference w:id="23"/>
      </w:r>
      <w:bookmarkEnd w:id="16"/>
      <w:bookmarkEnd w:id="17"/>
      <w:r w:rsidRPr="00C278CC">
        <w:rPr>
          <w:rFonts w:ascii="Verdana" w:hAnsi="Verdana" w:cs="Arial"/>
          <w:bCs/>
          <w:lang w:val="es-MX" w:eastAsia="x-none"/>
        </w:rPr>
        <w:t>.</w:t>
      </w:r>
      <w:r w:rsidRPr="00C278CC">
        <w:rPr>
          <w:rFonts w:ascii="Verdana" w:hAnsi="Verdana" w:cs="Arial"/>
          <w:lang w:val="es-MX"/>
        </w:rPr>
        <w:t xml:space="preserve"> Sin embargo, debe precisarse el siguiente aspecto que distinguió la Sala de Consulta y Servicio Civil:</w:t>
      </w:r>
    </w:p>
    <w:p w14:paraId="722A4F66" w14:textId="77777777" w:rsidR="007E5EE3" w:rsidRPr="00C278CC" w:rsidRDefault="007E5EE3" w:rsidP="00D14086">
      <w:pPr>
        <w:spacing w:after="0" w:line="276" w:lineRule="auto"/>
        <w:jc w:val="both"/>
        <w:rPr>
          <w:rFonts w:ascii="Verdana" w:hAnsi="Verdana" w:cs="Arial"/>
          <w:lang w:val="es-MX"/>
        </w:rPr>
      </w:pPr>
    </w:p>
    <w:p w14:paraId="5C35015A" w14:textId="77777777" w:rsidR="007E5EE3" w:rsidRPr="00C278CC" w:rsidRDefault="007E5EE3" w:rsidP="007E5EE3">
      <w:pPr>
        <w:spacing w:after="0" w:line="240" w:lineRule="auto"/>
        <w:ind w:left="708" w:right="709"/>
        <w:jc w:val="both"/>
        <w:rPr>
          <w:rFonts w:ascii="Verdana" w:hAnsi="Verdana" w:cs="Arial"/>
          <w:sz w:val="20"/>
          <w:szCs w:val="20"/>
          <w:lang w:val="es-MX"/>
        </w:rPr>
      </w:pPr>
      <w:bookmarkStart w:id="19" w:name="_Hlk75811446"/>
      <w:r w:rsidRPr="00C278CC">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w:t>
      </w:r>
      <w:r w:rsidRPr="00C278CC">
        <w:rPr>
          <w:rFonts w:ascii="Verdana" w:hAnsi="Verdana" w:cs="Arial"/>
          <w:sz w:val="20"/>
          <w:szCs w:val="20"/>
          <w:lang w:val="es-MX"/>
        </w:rPr>
        <w:lastRenderedPageBreak/>
        <w:t>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C278CC">
        <w:rPr>
          <w:rFonts w:ascii="Verdana" w:hAnsi="Verdana" w:cs="Arial"/>
          <w:sz w:val="20"/>
          <w:szCs w:val="20"/>
          <w:lang w:val="es-MX"/>
        </w:rPr>
        <w:t>”</w:t>
      </w:r>
      <w:r w:rsidRPr="00C278CC">
        <w:rPr>
          <w:rFonts w:ascii="Verdana" w:hAnsi="Verdana" w:cs="Arial"/>
          <w:sz w:val="20"/>
          <w:szCs w:val="20"/>
          <w:vertAlign w:val="superscript"/>
          <w:lang w:val="es-MX"/>
        </w:rPr>
        <w:footnoteReference w:id="24"/>
      </w:r>
      <w:r w:rsidRPr="00C278CC">
        <w:rPr>
          <w:rFonts w:ascii="Verdana" w:hAnsi="Verdana" w:cs="Arial"/>
          <w:bCs/>
          <w:sz w:val="20"/>
          <w:szCs w:val="20"/>
          <w:lang w:val="es-MX" w:eastAsia="x-none"/>
        </w:rPr>
        <w:t>.</w:t>
      </w:r>
    </w:p>
    <w:p w14:paraId="7881B8ED" w14:textId="77777777" w:rsidR="007E5EE3" w:rsidRPr="00C278CC" w:rsidRDefault="007E5EE3" w:rsidP="007E5EE3">
      <w:pPr>
        <w:spacing w:after="0" w:line="276" w:lineRule="auto"/>
        <w:jc w:val="both"/>
        <w:rPr>
          <w:rFonts w:ascii="Verdana" w:hAnsi="Verdana" w:cs="Arial"/>
          <w:lang w:val="es-MX"/>
        </w:rPr>
      </w:pPr>
    </w:p>
    <w:p w14:paraId="23A05722" w14:textId="2FA90843" w:rsidR="007E5EE3" w:rsidRPr="00C278CC" w:rsidRDefault="007E5EE3" w:rsidP="007E5EE3">
      <w:pPr>
        <w:spacing w:after="120" w:line="276" w:lineRule="auto"/>
        <w:ind w:firstLine="709"/>
        <w:jc w:val="both"/>
        <w:rPr>
          <w:rFonts w:ascii="Verdana" w:hAnsi="Verdana" w:cs="Arial"/>
          <w:bCs/>
          <w:lang w:val="es-MX" w:eastAsia="x-none"/>
        </w:rPr>
      </w:pPr>
      <w:r w:rsidRPr="00C278CC">
        <w:rPr>
          <w:rFonts w:ascii="Verdana" w:hAnsi="Verdana" w:cs="Arial"/>
          <w:lang w:val="es-MX"/>
        </w:rPr>
        <w:t>Aplicando este razonamiento,</w:t>
      </w:r>
      <w:bookmarkStart w:id="20" w:name="_Hlk75811096"/>
      <w:r w:rsidRPr="00C278CC">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sidRPr="00C278CC">
        <w:rPr>
          <w:rFonts w:ascii="Verdana" w:hAnsi="Verdana" w:cs="Arial"/>
          <w:lang w:val="es-MX"/>
        </w:rPr>
        <w:t>”</w:t>
      </w:r>
      <w:r w:rsidRPr="00C278CC">
        <w:rPr>
          <w:rFonts w:ascii="Verdana" w:hAnsi="Verdana" w:cs="Arial"/>
          <w:vertAlign w:val="superscript"/>
          <w:lang w:val="es-MX"/>
        </w:rPr>
        <w:footnoteReference w:id="25"/>
      </w:r>
      <w:r w:rsidRPr="00C278CC">
        <w:rPr>
          <w:rFonts w:ascii="Verdana" w:hAnsi="Verdana" w:cs="Arial"/>
          <w:lang w:val="es-MX"/>
        </w:rPr>
        <w:t>.</w:t>
      </w:r>
    </w:p>
    <w:p w14:paraId="593B70B7" w14:textId="77777777" w:rsidR="007E5EE3" w:rsidRPr="00C278CC" w:rsidRDefault="007E5EE3" w:rsidP="007E5EE3">
      <w:pPr>
        <w:spacing w:after="0" w:line="276" w:lineRule="auto"/>
        <w:ind w:firstLine="708"/>
        <w:jc w:val="both"/>
        <w:rPr>
          <w:rFonts w:ascii="Verdana" w:hAnsi="Verdana" w:cs="Arial"/>
          <w:bCs/>
          <w:lang w:val="es-MX" w:eastAsia="x-none"/>
        </w:rPr>
      </w:pPr>
      <w:bookmarkStart w:id="21" w:name="_Hlk77237229"/>
      <w:bookmarkEnd w:id="15"/>
      <w:r w:rsidRPr="00C278CC">
        <w:rPr>
          <w:rFonts w:ascii="Verdana" w:hAnsi="Verdana" w:cs="Arial"/>
          <w:lang w:val="es-MX"/>
        </w:rPr>
        <w:t>Por lo tanto, la restricción prevista en la Ley 996 de 200</w:t>
      </w:r>
      <w:bookmarkStart w:id="22" w:name="_Hlk75741539"/>
      <w:r w:rsidRPr="00C278CC">
        <w:rPr>
          <w:rFonts w:ascii="Verdana" w:hAnsi="Verdana" w:cs="Arial"/>
          <w:lang w:val="es-MX"/>
        </w:rPr>
        <w:t xml:space="preserve">5, </w:t>
      </w:r>
      <w:r w:rsidRPr="00C278CC">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5860139E" w14:textId="77777777" w:rsidR="007E5EE3" w:rsidRPr="00C278CC" w:rsidRDefault="007E5EE3" w:rsidP="007E5EE3">
      <w:pPr>
        <w:spacing w:after="0" w:line="276" w:lineRule="auto"/>
        <w:ind w:firstLine="708"/>
        <w:jc w:val="both"/>
        <w:rPr>
          <w:rFonts w:ascii="Verdana" w:hAnsi="Verdana" w:cs="Arial"/>
          <w:bCs/>
          <w:lang w:val="es-MX" w:eastAsia="x-none"/>
        </w:rPr>
      </w:pPr>
    </w:p>
    <w:p w14:paraId="5E2AFA18" w14:textId="77777777" w:rsidR="00A04298" w:rsidRPr="00C278CC" w:rsidRDefault="00DB434B" w:rsidP="00A04298">
      <w:pPr>
        <w:spacing w:after="120" w:line="276" w:lineRule="auto"/>
        <w:jc w:val="both"/>
        <w:rPr>
          <w:rFonts w:ascii="Verdana" w:hAnsi="Verdana" w:cs="Arial"/>
          <w:lang w:val="es-ES"/>
        </w:rPr>
      </w:pPr>
      <w:r w:rsidRPr="00C278CC">
        <w:rPr>
          <w:rFonts w:ascii="Verdana" w:hAnsi="Verdana" w:cs="Arial"/>
          <w:bCs/>
          <w:lang w:val="es-MX" w:eastAsia="x-none"/>
        </w:rPr>
        <w:t xml:space="preserve">v. </w:t>
      </w:r>
      <w:r w:rsidR="00A04298" w:rsidRPr="00C278CC">
        <w:rPr>
          <w:rFonts w:ascii="Verdana" w:hAnsi="Verdana" w:cs="Arial"/>
          <w:lang w:val="es-ES"/>
        </w:rPr>
        <w:t xml:space="preserve">Ahora bien, respecto del alcance del parágrafo </w:t>
      </w:r>
      <w:r w:rsidR="00A04298" w:rsidRPr="00C278CC">
        <w:rPr>
          <w:rFonts w:ascii="Verdana" w:hAnsi="Verdana" w:cs="Arial"/>
        </w:rPr>
        <w:t xml:space="preserve">del artículo 38 de la Ley 996 de 2005, esta prohibición dispone que “Los Gobernadores, Alcaldes Municipales y/o Distritales, Secretarios, Gerentes y directores de Entidades Descentralizadas </w:t>
      </w:r>
      <w:r w:rsidR="00A04298" w:rsidRPr="00C278CC">
        <w:rPr>
          <w:rFonts w:ascii="Verdana" w:hAnsi="Verdana" w:cs="Arial"/>
        </w:rPr>
        <w:lastRenderedPageBreak/>
        <w:t>del orden Municipal, Departamental o Distrital, dentro de los cuatro (4) meses anteriores a las elecciones, no podrán celebrar convenios interadministrativos para la ejecución de recursos públicos”.</w:t>
      </w:r>
      <w:r w:rsidR="00A04298" w:rsidRPr="00C278CC">
        <w:rPr>
          <w:rFonts w:ascii="Verdana" w:eastAsia="Times New Roman" w:hAnsi="Verdana" w:cs="Arial"/>
          <w:lang w:val="es-MX" w:eastAsia="x-none"/>
        </w:rPr>
        <w:t xml:space="preserve"> </w:t>
      </w:r>
    </w:p>
    <w:p w14:paraId="31C94E60" w14:textId="77777777" w:rsidR="00A04298" w:rsidRPr="00C278CC" w:rsidRDefault="00A04298" w:rsidP="00A04298">
      <w:pPr>
        <w:spacing w:after="120" w:line="276" w:lineRule="auto"/>
        <w:ind w:firstLine="709"/>
        <w:jc w:val="both"/>
        <w:rPr>
          <w:rFonts w:ascii="Verdana" w:hAnsi="Verdana" w:cs="Arial"/>
          <w:lang w:eastAsia="es-ES"/>
        </w:rPr>
      </w:pPr>
      <w:r w:rsidRPr="00C278CC">
        <w:rPr>
          <w:rFonts w:ascii="Verdana" w:eastAsia="Times New Roman" w:hAnsi="Verdana" w:cs="Arial"/>
          <w:lang w:val="es-ES" w:eastAsia="es-ES"/>
        </w:rPr>
        <w:t xml:space="preserve">Para tales efectos, debe precisarse que </w:t>
      </w:r>
      <w:r w:rsidRPr="00C278CC">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278CC">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278CC">
        <w:rPr>
          <w:rFonts w:ascii="Verdana" w:hAnsi="Verdana" w:cs="Arial"/>
          <w:vertAlign w:val="superscript"/>
          <w:lang w:eastAsia="es-ES"/>
        </w:rPr>
        <w:footnoteReference w:id="26"/>
      </w:r>
      <w:r w:rsidRPr="00C278CC">
        <w:rPr>
          <w:rFonts w:ascii="Verdana" w:hAnsi="Verdana" w:cs="Arial"/>
          <w:lang w:eastAsia="es-ES"/>
        </w:rPr>
        <w:t>.</w:t>
      </w:r>
    </w:p>
    <w:p w14:paraId="12D082AF" w14:textId="77777777" w:rsidR="00A04298" w:rsidRPr="00C278CC" w:rsidRDefault="00A04298" w:rsidP="00A04298">
      <w:pPr>
        <w:spacing w:after="120" w:line="276" w:lineRule="auto"/>
        <w:ind w:firstLine="709"/>
        <w:jc w:val="both"/>
        <w:rPr>
          <w:rFonts w:ascii="Verdana" w:hAnsi="Verdana" w:cs="Arial"/>
          <w:color w:val="000000" w:themeColor="text1"/>
          <w:lang w:val="es-ES_tradnl"/>
        </w:rPr>
      </w:pPr>
      <w:r w:rsidRPr="00C278CC">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43223D3" w14:textId="77777777" w:rsidR="00A04298" w:rsidRPr="00C278CC" w:rsidRDefault="00A04298" w:rsidP="00A04298">
      <w:pPr>
        <w:spacing w:before="120" w:after="0" w:line="276" w:lineRule="auto"/>
        <w:ind w:firstLine="708"/>
        <w:jc w:val="both"/>
        <w:rPr>
          <w:rFonts w:ascii="Verdana" w:hAnsi="Verdana" w:cs="Arial"/>
          <w:lang w:val="es-ES_tradnl"/>
        </w:rPr>
      </w:pPr>
      <w:r w:rsidRPr="00C278CC">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278CC">
        <w:rPr>
          <w:rFonts w:ascii="Verdana" w:hAnsi="Verdana" w:cs="Arial"/>
          <w:vertAlign w:val="superscript"/>
          <w:lang w:val="es-ES"/>
        </w:rPr>
        <w:footnoteReference w:id="27"/>
      </w:r>
      <w:r w:rsidRPr="00C278CC">
        <w:rPr>
          <w:rFonts w:ascii="Verdana" w:hAnsi="Verdana" w:cs="Arial"/>
          <w:lang w:val="es-ES"/>
        </w:rPr>
        <w:t>. Nótese que, en este caso, lo que cambia es la modalidad de selección y no la naturaleza de contrato interadministrativo.</w:t>
      </w:r>
    </w:p>
    <w:p w14:paraId="729554F4" w14:textId="77777777" w:rsidR="00A04298" w:rsidRPr="00C278CC" w:rsidRDefault="00A04298" w:rsidP="00A04298">
      <w:pPr>
        <w:spacing w:before="120" w:after="0" w:line="276" w:lineRule="auto"/>
        <w:ind w:firstLine="708"/>
        <w:jc w:val="both"/>
        <w:rPr>
          <w:rFonts w:ascii="Verdana" w:hAnsi="Verdana" w:cs="Arial"/>
          <w:lang w:val="es-ES_tradnl"/>
        </w:rPr>
      </w:pPr>
      <w:r w:rsidRPr="00C278CC">
        <w:rPr>
          <w:rFonts w:ascii="Verdana" w:hAnsi="Verdana" w:cs="Arial"/>
          <w:lang w:val="es-ES"/>
        </w:rPr>
        <w:t xml:space="preserve">Además, es necesario tener en cuenta que para que un contrato o convenio interadministrativo exista debe cumplir con los siguientes elementos: </w:t>
      </w:r>
      <w:r w:rsidRPr="00C278CC">
        <w:rPr>
          <w:rFonts w:ascii="Verdana" w:hAnsi="Verdana" w:cs="Arial"/>
          <w:lang w:val="es-ES"/>
        </w:rPr>
        <w:lastRenderedPageBreak/>
        <w:t>acuerdo sobre el objeto y la contraprestación y que conste por escrito</w:t>
      </w:r>
      <w:r w:rsidRPr="00C278CC">
        <w:rPr>
          <w:rFonts w:ascii="Verdana" w:hAnsi="Verdana" w:cs="Arial"/>
          <w:vertAlign w:val="superscript"/>
          <w:lang w:val="es-ES"/>
        </w:rPr>
        <w:footnoteReference w:id="28"/>
      </w:r>
      <w:r w:rsidRPr="00C278CC">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65E905C8" w14:textId="77777777" w:rsidR="00A04298" w:rsidRPr="00C278CC" w:rsidRDefault="00A04298" w:rsidP="00A04298">
      <w:pPr>
        <w:spacing w:before="120" w:after="0" w:line="276" w:lineRule="auto"/>
        <w:ind w:firstLine="708"/>
        <w:jc w:val="both"/>
        <w:rPr>
          <w:rFonts w:ascii="Verdana" w:hAnsi="Verdana"/>
          <w:sz w:val="24"/>
          <w:szCs w:val="24"/>
          <w:lang w:eastAsia="es-CO"/>
        </w:rPr>
      </w:pPr>
      <w:r w:rsidRPr="00C278CC">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278CC">
        <w:rPr>
          <w:rFonts w:ascii="Verdana" w:hAnsi="Verdana" w:cs="Arial"/>
          <w:vertAlign w:val="superscript"/>
          <w:lang w:val="es-ES"/>
        </w:rPr>
        <w:footnoteReference w:id="29"/>
      </w:r>
      <w:r w:rsidRPr="00C278CC">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278CC">
        <w:rPr>
          <w:rFonts w:ascii="Verdana" w:hAnsi="Verdana"/>
          <w:sz w:val="24"/>
          <w:szCs w:val="24"/>
          <w:lang w:eastAsia="es-CO"/>
        </w:rPr>
        <w:t>.</w:t>
      </w:r>
    </w:p>
    <w:p w14:paraId="378FAE49" w14:textId="77777777" w:rsidR="00A04298" w:rsidRPr="00C278CC" w:rsidRDefault="00A04298" w:rsidP="00A04298">
      <w:pPr>
        <w:spacing w:before="120" w:after="0" w:line="276" w:lineRule="auto"/>
        <w:ind w:firstLine="708"/>
        <w:jc w:val="both"/>
        <w:rPr>
          <w:rFonts w:ascii="Verdana" w:eastAsia="Times New Roman" w:hAnsi="Verdana" w:cs="Arial"/>
          <w:lang w:val="es-MX" w:eastAsia="es-CO"/>
        </w:rPr>
      </w:pPr>
      <w:r w:rsidRPr="00C278CC">
        <w:rPr>
          <w:rFonts w:ascii="Verdana" w:eastAsia="Arial" w:hAnsi="Verdana" w:cs="Arial"/>
          <w:lang w:val="es-MX" w:eastAsia="es-ES" w:bidi="es-ES"/>
        </w:rPr>
        <w:t>De esta manera, se</w:t>
      </w:r>
      <w:r w:rsidRPr="00C278CC">
        <w:rPr>
          <w:rFonts w:ascii="Verdana" w:eastAsia="Times New Roman" w:hAnsi="Verdana" w:cs="Arial"/>
          <w:lang w:eastAsia="es-CO"/>
        </w:rPr>
        <w:t xml:space="preserve"> observa entonces que </w:t>
      </w:r>
      <w:r w:rsidRPr="00C278CC">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278CC">
        <w:rPr>
          <w:rFonts w:ascii="Verdana" w:eastAsia="Times New Roman" w:hAnsi="Verdana" w:cs="Arial"/>
          <w:i/>
          <w:iCs/>
          <w:lang w:val="es-MX" w:eastAsia="es-CO"/>
        </w:rPr>
        <w:t>convenios interadministrativos</w:t>
      </w:r>
      <w:r w:rsidRPr="00C278CC">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278CC">
        <w:rPr>
          <w:rFonts w:ascii="Verdana" w:eastAsia="Times New Roman" w:hAnsi="Verdana" w:cs="Arial"/>
          <w:i/>
          <w:lang w:val="es-MX" w:eastAsia="es-CO"/>
        </w:rPr>
        <w:t>ibidem</w:t>
      </w:r>
      <w:r w:rsidRPr="00C278CC">
        <w:rPr>
          <w:rFonts w:ascii="Verdana" w:eastAsia="Times New Roman" w:hAnsi="Verdana" w:cs="Arial"/>
          <w:lang w:val="es-MX" w:eastAsia="es-CO"/>
        </w:rPr>
        <w:t xml:space="preserve">, no podrá celebrar tales </w:t>
      </w:r>
      <w:r w:rsidRPr="00C278CC">
        <w:rPr>
          <w:rFonts w:ascii="Verdana" w:eastAsia="Times New Roman" w:hAnsi="Verdana" w:cs="Arial"/>
          <w:i/>
          <w:iCs/>
          <w:lang w:val="es-MX" w:eastAsia="es-CO"/>
        </w:rPr>
        <w:t>convenios</w:t>
      </w:r>
      <w:r w:rsidRPr="00C278CC">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E1DFE30" w14:textId="32E860FC" w:rsidR="00A04298" w:rsidRPr="00C278CC" w:rsidRDefault="00A04298" w:rsidP="00A04298">
      <w:pPr>
        <w:spacing w:before="120" w:after="0" w:line="276" w:lineRule="auto"/>
        <w:ind w:firstLine="708"/>
        <w:jc w:val="both"/>
        <w:rPr>
          <w:rFonts w:ascii="Verdana" w:eastAsia="Times New Roman" w:hAnsi="Verdana" w:cs="Arial"/>
          <w:lang w:eastAsia="es-CO"/>
        </w:rPr>
      </w:pPr>
      <w:r w:rsidRPr="00C278CC">
        <w:rPr>
          <w:rFonts w:ascii="Verdana" w:eastAsia="Times New Roman" w:hAnsi="Verdana" w:cs="Arial"/>
          <w:lang w:val="es-MX" w:eastAsia="es-CO"/>
        </w:rPr>
        <w:t>Respecto del alcance de esta prohibición la Circular Externa No. 006 de 2025 expedida por la A</w:t>
      </w:r>
      <w:r w:rsidR="00190101" w:rsidRPr="00C278CC">
        <w:rPr>
          <w:rFonts w:ascii="Verdana" w:eastAsia="Times New Roman" w:hAnsi="Verdana" w:cs="Arial"/>
          <w:lang w:val="es-MX" w:eastAsia="es-CO"/>
        </w:rPr>
        <w:t xml:space="preserve">gencia </w:t>
      </w:r>
      <w:r w:rsidRPr="00C278CC">
        <w:rPr>
          <w:rFonts w:ascii="Verdana" w:eastAsia="Times New Roman" w:hAnsi="Verdana" w:cs="Arial"/>
          <w:lang w:val="es-MX" w:eastAsia="es-CO"/>
        </w:rPr>
        <w:t>N</w:t>
      </w:r>
      <w:r w:rsidR="00190101" w:rsidRPr="00C278CC">
        <w:rPr>
          <w:rFonts w:ascii="Verdana" w:eastAsia="Times New Roman" w:hAnsi="Verdana" w:cs="Arial"/>
          <w:lang w:val="es-MX" w:eastAsia="es-CO"/>
        </w:rPr>
        <w:t xml:space="preserve">acional de </w:t>
      </w:r>
      <w:r w:rsidRPr="00C278CC">
        <w:rPr>
          <w:rFonts w:ascii="Verdana" w:eastAsia="Times New Roman" w:hAnsi="Verdana" w:cs="Arial"/>
          <w:lang w:val="es-MX" w:eastAsia="es-CO"/>
        </w:rPr>
        <w:t>C</w:t>
      </w:r>
      <w:r w:rsidR="00190101" w:rsidRPr="00C278CC">
        <w:rPr>
          <w:rFonts w:ascii="Verdana" w:eastAsia="Times New Roman" w:hAnsi="Verdana" w:cs="Arial"/>
          <w:lang w:val="es-MX" w:eastAsia="es-CO"/>
        </w:rPr>
        <w:t xml:space="preserve">ontratación </w:t>
      </w:r>
      <w:r w:rsidRPr="00C278CC">
        <w:rPr>
          <w:rFonts w:ascii="Verdana" w:eastAsia="Times New Roman" w:hAnsi="Verdana" w:cs="Arial"/>
          <w:lang w:val="es-MX" w:eastAsia="es-CO"/>
        </w:rPr>
        <w:t>P</w:t>
      </w:r>
      <w:r w:rsidR="00190101" w:rsidRPr="00C278CC">
        <w:rPr>
          <w:rFonts w:ascii="Verdana" w:eastAsia="Times New Roman" w:hAnsi="Verdana" w:cs="Arial"/>
          <w:lang w:val="es-MX" w:eastAsia="es-CO"/>
        </w:rPr>
        <w:t xml:space="preserve">ública – </w:t>
      </w:r>
      <w:r w:rsidRPr="00C278CC">
        <w:rPr>
          <w:rFonts w:ascii="Verdana" w:eastAsia="Times New Roman" w:hAnsi="Verdana" w:cs="Arial"/>
          <w:lang w:val="es-MX" w:eastAsia="es-CO"/>
        </w:rPr>
        <w:t>C</w:t>
      </w:r>
      <w:r w:rsidR="00190101" w:rsidRPr="00C278CC">
        <w:rPr>
          <w:rFonts w:ascii="Verdana" w:eastAsia="Times New Roman" w:hAnsi="Verdana" w:cs="Arial"/>
          <w:lang w:val="es-MX" w:eastAsia="es-CO"/>
        </w:rPr>
        <w:t xml:space="preserve">olombia </w:t>
      </w:r>
      <w:r w:rsidRPr="00C278CC">
        <w:rPr>
          <w:rFonts w:ascii="Verdana" w:eastAsia="Times New Roman" w:hAnsi="Verdana" w:cs="Arial"/>
          <w:lang w:val="es-MX" w:eastAsia="es-CO"/>
        </w:rPr>
        <w:t>C</w:t>
      </w:r>
      <w:r w:rsidR="00190101" w:rsidRPr="00C278CC">
        <w:rPr>
          <w:rFonts w:ascii="Verdana" w:eastAsia="Times New Roman" w:hAnsi="Verdana" w:cs="Arial"/>
          <w:lang w:val="es-MX" w:eastAsia="es-CO"/>
        </w:rPr>
        <w:t xml:space="preserve">ompra </w:t>
      </w:r>
      <w:r w:rsidRPr="00C278CC">
        <w:rPr>
          <w:rFonts w:ascii="Verdana" w:eastAsia="Times New Roman" w:hAnsi="Verdana" w:cs="Arial"/>
          <w:lang w:val="es-MX" w:eastAsia="es-CO"/>
        </w:rPr>
        <w:t>E</w:t>
      </w:r>
      <w:r w:rsidR="00190101" w:rsidRPr="00C278CC">
        <w:rPr>
          <w:rFonts w:ascii="Verdana" w:eastAsia="Times New Roman" w:hAnsi="Verdana" w:cs="Arial"/>
          <w:lang w:val="es-MX" w:eastAsia="es-CO"/>
        </w:rPr>
        <w:t>fciente</w:t>
      </w:r>
      <w:r w:rsidRPr="00C278CC">
        <w:rPr>
          <w:rFonts w:ascii="Verdana" w:eastAsia="Times New Roman" w:hAnsi="Verdana" w:cs="Arial"/>
          <w:lang w:val="es-MX" w:eastAsia="es-CO"/>
        </w:rPr>
        <w:t>, en los literales ii) y iv) del numeral 2</w:t>
      </w:r>
      <w:r w:rsidRPr="00C278CC">
        <w:rPr>
          <w:rFonts w:ascii="Verdana" w:eastAsia="Times New Roman" w:hAnsi="Verdana" w:cs="Arial"/>
          <w:lang w:eastAsia="es-CO"/>
        </w:rPr>
        <w:t>,</w:t>
      </w:r>
      <w:r w:rsidRPr="00C278CC">
        <w:rPr>
          <w:rFonts w:ascii="Verdana" w:eastAsia="Times New Roman" w:hAnsi="Verdana" w:cs="Arial"/>
          <w:lang w:val="es-MX" w:eastAsia="es-CO"/>
        </w:rPr>
        <w:t xml:space="preserve"> indica que el </w:t>
      </w:r>
      <w:r w:rsidRPr="00C278CC">
        <w:rPr>
          <w:rFonts w:ascii="Verdana" w:eastAsia="Times New Roman" w:hAnsi="Verdana" w:cs="Arial"/>
          <w:lang w:eastAsia="es-CO"/>
        </w:rPr>
        <w:t xml:space="preserve">parágrafo del artículo 38 de la Ley 996 de 2005 cobija expresamente a los </w:t>
      </w:r>
      <w:r w:rsidRPr="00C278CC">
        <w:rPr>
          <w:rFonts w:ascii="Verdana" w:eastAsia="Times New Roman" w:hAnsi="Verdana" w:cs="Arial"/>
          <w:i/>
          <w:iCs/>
          <w:lang w:eastAsia="es-CO"/>
        </w:rPr>
        <w:t>convenios interadministrativos</w:t>
      </w:r>
      <w:r w:rsidRPr="00C278CC">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w:t>
      </w:r>
      <w:r w:rsidRPr="00C278CC">
        <w:rPr>
          <w:rFonts w:ascii="Verdana" w:eastAsia="Times New Roman" w:hAnsi="Verdana" w:cs="Arial"/>
          <w:lang w:eastAsia="es-CO"/>
        </w:rPr>
        <w:lastRenderedPageBreak/>
        <w:t xml:space="preserve">celebración de convenios interadministrativos aplicará a los sujetos allí señalados, </w:t>
      </w:r>
      <w:r w:rsidRPr="00C278CC">
        <w:rPr>
          <w:rFonts w:ascii="Verdana" w:eastAsia="Times New Roman" w:hAnsi="Verdana" w:cs="Arial"/>
          <w:i/>
          <w:iCs/>
          <w:lang w:eastAsia="es-CO"/>
        </w:rPr>
        <w:t>“aunque se configure alguno de los supuestos de excepción que señaló el inciso final del artículo 33</w:t>
      </w:r>
      <w:r w:rsidRPr="00C278CC">
        <w:rPr>
          <w:rFonts w:ascii="Verdana" w:eastAsia="Times New Roman" w:hAnsi="Verdana" w:cs="Arial"/>
          <w:lang w:eastAsia="es-CO"/>
        </w:rPr>
        <w:t xml:space="preserve">”. </w:t>
      </w:r>
    </w:p>
    <w:p w14:paraId="7FAD3ED7" w14:textId="77777777" w:rsidR="00A04298" w:rsidRPr="00C278CC" w:rsidRDefault="00A04298" w:rsidP="00A04298">
      <w:pPr>
        <w:spacing w:before="120" w:after="0" w:line="276" w:lineRule="auto"/>
        <w:ind w:firstLine="708"/>
        <w:jc w:val="both"/>
        <w:rPr>
          <w:rFonts w:ascii="Verdana" w:eastAsia="Times New Roman" w:hAnsi="Verdana" w:cs="Arial"/>
          <w:lang w:eastAsia="es-CO"/>
        </w:rPr>
      </w:pPr>
      <w:r w:rsidRPr="00C278CC">
        <w:rPr>
          <w:rFonts w:ascii="Verdana" w:eastAsia="Times New Roman" w:hAnsi="Verdana" w:cs="Arial"/>
          <w:lang w:eastAsia="es-CO"/>
        </w:rPr>
        <w:t xml:space="preserve">De esta manera, conforme a lo dispuesto en la Circular referida, si se suscriben </w:t>
      </w:r>
      <w:r w:rsidRPr="00C278CC">
        <w:rPr>
          <w:rFonts w:ascii="Verdana" w:eastAsia="Times New Roman" w:hAnsi="Verdana" w:cs="Arial"/>
          <w:i/>
          <w:iCs/>
          <w:lang w:eastAsia="es-CO"/>
        </w:rPr>
        <w:t>convenios interadministrativos para la ejecución de recursos públicos</w:t>
      </w:r>
      <w:r w:rsidRPr="00C278CC">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278CC">
        <w:rPr>
          <w:rFonts w:ascii="Verdana" w:eastAsia="Times New Roman" w:hAnsi="Verdana" w:cs="Arial"/>
          <w:i/>
          <w:iCs/>
          <w:lang w:eastAsia="es-CO"/>
        </w:rPr>
        <w:t>ibidem</w:t>
      </w:r>
      <w:r w:rsidRPr="00C278CC">
        <w:rPr>
          <w:rFonts w:ascii="Verdana" w:eastAsia="Times New Roman" w:hAnsi="Verdana" w:cs="Arial"/>
          <w:lang w:eastAsia="es-CO"/>
        </w:rPr>
        <w:t>, independientemente de que se configure alguno de los supuestos de excepción que señaló el inciso final del artículo 33, es decir, que se trate de:</w:t>
      </w:r>
      <w:r w:rsidRPr="00C278CC">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278CC">
        <w:rPr>
          <w:rFonts w:ascii="Verdana" w:hAnsi="Verdana" w:cs="Arial"/>
          <w:bCs/>
          <w:lang w:val="es-MX" w:eastAsia="es-CO"/>
        </w:rPr>
        <w:t xml:space="preserve"> </w:t>
      </w:r>
      <w:r w:rsidRPr="00C278CC">
        <w:rPr>
          <w:rFonts w:ascii="Verdana" w:eastAsia="Times New Roman" w:hAnsi="Verdana" w:cs="Arial"/>
          <w:lang w:eastAsia="es-CO"/>
        </w:rPr>
        <w:t xml:space="preserve">  </w:t>
      </w:r>
    </w:p>
    <w:p w14:paraId="3450C248" w14:textId="77777777" w:rsidR="00A04298" w:rsidRPr="00C278CC" w:rsidRDefault="00A04298" w:rsidP="00A04298">
      <w:pPr>
        <w:spacing w:before="120" w:after="0" w:line="276" w:lineRule="auto"/>
        <w:ind w:firstLine="708"/>
        <w:jc w:val="both"/>
        <w:rPr>
          <w:rFonts w:ascii="Verdana" w:eastAsia="Times New Roman" w:hAnsi="Verdana" w:cs="Arial"/>
          <w:lang w:eastAsia="es-CO"/>
        </w:rPr>
      </w:pPr>
      <w:r w:rsidRPr="00C278CC">
        <w:rPr>
          <w:rFonts w:ascii="Verdana" w:eastAsia="Times New Roman" w:hAnsi="Verdana" w:cs="Arial"/>
          <w:lang w:eastAsia="es-CO"/>
        </w:rPr>
        <w:t xml:space="preserve">En este punto, teniendo en cuenta lo señalado en el contenido de su petición, vale la pena destacar que </w:t>
      </w:r>
      <w:r w:rsidRPr="00C278CC">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278CC">
        <w:rPr>
          <w:rFonts w:ascii="Verdana" w:hAnsi="Verdana" w:cs="Arial"/>
        </w:rPr>
        <w:t>numeral 16.2 de la Circular Externa Única de 2022 expedida por la Agencia Nacional de Contratación Pública – Colombia Compra Eficiente, concretamente, respecto de los siguientes apartes normativos</w:t>
      </w:r>
      <w:r w:rsidRPr="00C278CC">
        <w:rPr>
          <w:rFonts w:ascii="Verdana" w:hAnsi="Verdana" w:cs="Arial"/>
          <w:vertAlign w:val="superscript"/>
        </w:rPr>
        <w:footnoteReference w:id="30"/>
      </w:r>
      <w:r w:rsidRPr="00C278CC">
        <w:rPr>
          <w:rFonts w:ascii="Verdana" w:hAnsi="Verdana" w:cs="Arial"/>
        </w:rPr>
        <w:t xml:space="preserve">: </w:t>
      </w:r>
    </w:p>
    <w:p w14:paraId="193A0785" w14:textId="77777777" w:rsidR="00A04298" w:rsidRPr="00C278CC" w:rsidRDefault="00A04298" w:rsidP="00A04298">
      <w:pPr>
        <w:spacing w:after="0" w:line="276" w:lineRule="auto"/>
        <w:ind w:firstLine="709"/>
        <w:jc w:val="both"/>
        <w:rPr>
          <w:rFonts w:ascii="Verdana" w:hAnsi="Verdana" w:cs="Arial"/>
        </w:rPr>
      </w:pPr>
    </w:p>
    <w:p w14:paraId="623F381B" w14:textId="77777777" w:rsidR="00A04298" w:rsidRPr="00C278CC" w:rsidRDefault="00A04298" w:rsidP="00A04298">
      <w:pPr>
        <w:spacing w:after="120" w:line="240" w:lineRule="auto"/>
        <w:ind w:left="709" w:right="709"/>
        <w:jc w:val="both"/>
        <w:rPr>
          <w:rFonts w:ascii="Verdana" w:hAnsi="Verdana" w:cs="Arial"/>
          <w:sz w:val="20"/>
          <w:szCs w:val="20"/>
        </w:rPr>
      </w:pPr>
      <w:r w:rsidRPr="00C278CC">
        <w:rPr>
          <w:rFonts w:ascii="Verdana" w:hAnsi="Verdana" w:cs="Arial"/>
          <w:sz w:val="20"/>
          <w:szCs w:val="20"/>
          <w:lang w:val="es-MX"/>
        </w:rPr>
        <w:t>“i)</w:t>
      </w:r>
      <w:r w:rsidRPr="00C278CC">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E5845E4" w14:textId="77777777" w:rsidR="00A04298" w:rsidRPr="00C278CC" w:rsidRDefault="00A04298" w:rsidP="00A04298">
      <w:pPr>
        <w:spacing w:after="0" w:line="240" w:lineRule="auto"/>
        <w:ind w:left="709" w:right="709"/>
        <w:jc w:val="both"/>
        <w:rPr>
          <w:rFonts w:ascii="Verdana" w:hAnsi="Verdana" w:cs="Arial"/>
          <w:sz w:val="20"/>
          <w:szCs w:val="20"/>
        </w:rPr>
      </w:pPr>
      <w:r w:rsidRPr="00C278CC">
        <w:rPr>
          <w:rFonts w:ascii="Verdana" w:hAnsi="Verdana" w:cs="Arial"/>
          <w:sz w:val="20"/>
          <w:szCs w:val="20"/>
        </w:rPr>
        <w:t xml:space="preserve">ii) la expresión y el siguiente párrafo contenidos en el inciso cuarto ‘contratos’ y ‘En este sentido, la prohibición que establece el parágrafo del </w:t>
      </w:r>
      <w:r w:rsidRPr="00C278CC">
        <w:rPr>
          <w:rFonts w:ascii="Verdana" w:hAnsi="Verdana" w:cs="Arial"/>
          <w:sz w:val="20"/>
          <w:szCs w:val="20"/>
        </w:rPr>
        <w:lastRenderedPageBreak/>
        <w:t xml:space="preserve">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0B7E0CC1" w14:textId="77777777" w:rsidR="00A04298" w:rsidRPr="00C278CC" w:rsidRDefault="00A04298" w:rsidP="00A04298">
      <w:pPr>
        <w:spacing w:after="0" w:line="276" w:lineRule="auto"/>
        <w:ind w:left="709" w:right="709"/>
        <w:jc w:val="both"/>
        <w:rPr>
          <w:rFonts w:ascii="Verdana" w:hAnsi="Verdana" w:cs="Arial"/>
        </w:rPr>
      </w:pPr>
    </w:p>
    <w:p w14:paraId="7DBC022E" w14:textId="77777777" w:rsidR="00A04298" w:rsidRPr="00C278CC" w:rsidRDefault="00A04298" w:rsidP="00A04298">
      <w:pPr>
        <w:spacing w:after="120" w:line="276" w:lineRule="auto"/>
        <w:ind w:firstLine="709"/>
        <w:jc w:val="both"/>
        <w:rPr>
          <w:rFonts w:ascii="Verdana" w:eastAsia="Arial" w:hAnsi="Verdana" w:cs="Arial"/>
          <w:i/>
          <w:iCs/>
          <w:lang w:eastAsia="es-ES" w:bidi="es-ES"/>
        </w:rPr>
      </w:pPr>
      <w:r w:rsidRPr="00C278CC">
        <w:rPr>
          <w:rFonts w:ascii="Verdana" w:eastAsia="Arial" w:hAnsi="Verdana" w:cs="Arial"/>
          <w:lang w:val="es-MX" w:eastAsia="es-ES" w:bidi="es-ES"/>
        </w:rPr>
        <w:t xml:space="preserve">De conformidad con los argumentos de dicha providencia, se parte de la distinción entre los conceptos </w:t>
      </w:r>
      <w:r w:rsidRPr="00C278CC">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278CC">
        <w:rPr>
          <w:rFonts w:ascii="Verdana" w:hAnsi="Verdana"/>
          <w:sz w:val="24"/>
          <w:szCs w:val="24"/>
          <w:lang w:eastAsia="es-CO"/>
        </w:rPr>
        <w:t xml:space="preserve"> </w:t>
      </w:r>
      <w:r w:rsidRPr="00C278CC">
        <w:rPr>
          <w:rFonts w:ascii="Verdana" w:eastAsia="Arial" w:hAnsi="Verdana" w:cs="Arial"/>
          <w:lang w:eastAsia="es-ES" w:bidi="es-ES"/>
        </w:rPr>
        <w:t xml:space="preserve">En este sentido, en relación con el parágrafo del artículo 38 de la Ley 996 de 2005 concluyó que </w:t>
      </w:r>
      <w:r w:rsidRPr="00C278CC">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278CC">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278CC">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C278CC">
        <w:rPr>
          <w:rFonts w:ascii="Verdana" w:eastAsia="Arial" w:hAnsi="Verdana" w:cs="Arial"/>
          <w:lang w:eastAsia="es-ES" w:bidi="es-ES"/>
        </w:rPr>
        <w:t>”</w:t>
      </w:r>
      <w:r w:rsidRPr="00C278CC">
        <w:rPr>
          <w:rFonts w:ascii="Verdana" w:eastAsia="Arial" w:hAnsi="Verdana" w:cs="Arial"/>
          <w:i/>
          <w:iCs/>
          <w:lang w:eastAsia="es-ES" w:bidi="es-ES"/>
        </w:rPr>
        <w:t xml:space="preserve">. </w:t>
      </w:r>
    </w:p>
    <w:p w14:paraId="30AC9626" w14:textId="77777777" w:rsidR="00A04298" w:rsidRPr="00C278CC" w:rsidRDefault="00A04298" w:rsidP="00A04298">
      <w:pPr>
        <w:spacing w:after="120" w:line="276" w:lineRule="auto"/>
        <w:ind w:firstLine="709"/>
        <w:jc w:val="both"/>
        <w:rPr>
          <w:rFonts w:ascii="Verdana" w:eastAsia="Arial" w:hAnsi="Verdana" w:cs="Arial"/>
          <w:lang w:eastAsia="es-ES" w:bidi="es-ES"/>
        </w:rPr>
      </w:pPr>
      <w:r w:rsidRPr="00C278CC">
        <w:rPr>
          <w:rFonts w:ascii="Verdana" w:eastAsia="Arial" w:hAnsi="Verdana" w:cs="Arial"/>
          <w:lang w:eastAsia="es-ES" w:bidi="es-ES"/>
        </w:rPr>
        <w:t>De igual manera, mediante auto del 6 de noviembre de 2025, el Consejo de Estado, Subsección A de la Sección Tercera, decretó</w:t>
      </w:r>
      <w:r w:rsidRPr="00C278CC">
        <w:rPr>
          <w:rFonts w:ascii="Verdana" w:eastAsia="Arial" w:hAnsi="Verdana" w:cs="Arial"/>
          <w:b/>
          <w:bCs/>
          <w:lang w:eastAsia="es-ES" w:bidi="es-ES"/>
        </w:rPr>
        <w:t xml:space="preserve"> </w:t>
      </w:r>
      <w:r w:rsidRPr="00C278CC">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278CC">
        <w:rPr>
          <w:rFonts w:ascii="Verdana" w:eastAsia="Arial" w:hAnsi="Verdana" w:cs="Arial"/>
          <w:vertAlign w:val="superscript"/>
          <w:lang w:eastAsia="es-ES" w:bidi="es-ES"/>
        </w:rPr>
        <w:footnoteReference w:id="31"/>
      </w:r>
      <w:r w:rsidRPr="00C278CC">
        <w:rPr>
          <w:rFonts w:ascii="Verdana" w:eastAsia="Arial" w:hAnsi="Verdana" w:cs="Arial"/>
          <w:lang w:eastAsia="es-ES" w:bidi="es-ES"/>
        </w:rPr>
        <w:t xml:space="preserve">. Para tales </w:t>
      </w:r>
      <w:r w:rsidRPr="00C278CC">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6808F7F5" w14:textId="77777777" w:rsidR="00A04298" w:rsidRPr="00C278CC" w:rsidRDefault="00A04298" w:rsidP="00A04298">
      <w:pPr>
        <w:spacing w:after="120" w:line="276" w:lineRule="auto"/>
        <w:ind w:firstLine="709"/>
        <w:jc w:val="both"/>
        <w:rPr>
          <w:rFonts w:ascii="Verdana" w:eastAsia="Times New Roman" w:hAnsi="Verdana" w:cs="Times New Roman"/>
          <w:lang w:eastAsia="es-ES"/>
        </w:rPr>
      </w:pPr>
      <w:r w:rsidRPr="00C278CC">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278CC">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B1D6F23" w14:textId="77777777" w:rsidR="00A04298" w:rsidRPr="00C278CC" w:rsidRDefault="00A04298" w:rsidP="00A04298">
      <w:pPr>
        <w:spacing w:after="120" w:line="276" w:lineRule="auto"/>
        <w:ind w:firstLine="709"/>
        <w:jc w:val="both"/>
        <w:rPr>
          <w:rFonts w:ascii="Verdana" w:eastAsia="Times New Roman" w:hAnsi="Verdana" w:cs="Times New Roman"/>
          <w:lang w:eastAsia="es-ES"/>
        </w:rPr>
      </w:pPr>
      <w:r w:rsidRPr="00C278CC">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278CC">
        <w:rPr>
          <w:rFonts w:ascii="Verdana" w:eastAsia="Times New Roman" w:hAnsi="Verdana" w:cs="Times New Roman"/>
          <w:vertAlign w:val="superscript"/>
          <w:lang w:eastAsia="es-ES"/>
        </w:rPr>
        <w:footnoteReference w:id="32"/>
      </w:r>
      <w:r w:rsidRPr="00C278CC">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33D523A" w14:textId="77777777" w:rsidR="00A04298" w:rsidRPr="00C278CC" w:rsidRDefault="00A04298" w:rsidP="00A04298">
      <w:pPr>
        <w:spacing w:after="120" w:line="276" w:lineRule="auto"/>
        <w:ind w:firstLine="709"/>
        <w:jc w:val="both"/>
        <w:rPr>
          <w:rFonts w:ascii="Verdana" w:eastAsia="Times New Roman" w:hAnsi="Verdana" w:cs="Arial"/>
          <w:lang w:eastAsia="es-CO"/>
        </w:rPr>
      </w:pPr>
      <w:r w:rsidRPr="00C278CC">
        <w:rPr>
          <w:rFonts w:ascii="Verdana" w:eastAsia="Times New Roman" w:hAnsi="Verdana" w:cs="Times New Roman"/>
          <w:lang w:eastAsia="es-ES"/>
        </w:rPr>
        <w:t xml:space="preserve">A juicio de la Sala, aunque el propósito de la Circular Externa era legítimo –evitar el uso indebido de recursos en época electoral–, el numeral 16.2. </w:t>
      </w:r>
      <w:r w:rsidRPr="00C278CC">
        <w:rPr>
          <w:rFonts w:ascii="Verdana" w:eastAsia="Times New Roman" w:hAnsi="Verdana" w:cs="Times New Roman"/>
          <w:lang w:eastAsia="es-ES"/>
        </w:rPr>
        <w:lastRenderedPageBreak/>
        <w:t xml:space="preserve">desconoció el alcance literal del artículo 38 de la Ley 996 de 2005 y los límites de la potestad reglamentaria, lo que configuró un vicio de contenido. </w:t>
      </w:r>
      <w:r w:rsidRPr="00C278CC">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278CC">
        <w:rPr>
          <w:rFonts w:ascii="Verdana" w:eastAsia="Times New Roman" w:hAnsi="Verdana" w:cs="Arial"/>
          <w:i/>
          <w:iCs/>
          <w:lang w:eastAsia="es-CO"/>
        </w:rPr>
        <w:t>contratos interadministrativos</w:t>
      </w:r>
      <w:r w:rsidRPr="00C278CC">
        <w:rPr>
          <w:rFonts w:ascii="Verdana" w:eastAsia="Times New Roman" w:hAnsi="Verdana" w:cs="Arial"/>
          <w:lang w:eastAsia="es-CO"/>
        </w:rPr>
        <w:t>, esta prohibición solo aplicaría a los convenios interadministrativos que impliquen la ejecución de recursos públicos</w:t>
      </w:r>
      <w:r w:rsidRPr="00C278CC">
        <w:rPr>
          <w:rFonts w:ascii="Verdana" w:eastAsia="Times New Roman" w:hAnsi="Verdana" w:cs="Arial"/>
          <w:vertAlign w:val="superscript"/>
          <w:lang w:eastAsia="es-CO"/>
        </w:rPr>
        <w:footnoteReference w:id="33"/>
      </w:r>
      <w:r w:rsidRPr="00C278CC">
        <w:rPr>
          <w:rFonts w:ascii="Verdana" w:eastAsia="Times New Roman" w:hAnsi="Verdana" w:cs="Arial"/>
          <w:lang w:eastAsia="es-CO"/>
        </w:rPr>
        <w:t>.</w:t>
      </w:r>
    </w:p>
    <w:p w14:paraId="430ABB10" w14:textId="06C29D49" w:rsidR="00DB434B" w:rsidRPr="00C278CC" w:rsidRDefault="00A04298" w:rsidP="002027A0">
      <w:pPr>
        <w:spacing w:after="120" w:line="276" w:lineRule="auto"/>
        <w:ind w:firstLine="708"/>
        <w:jc w:val="both"/>
        <w:rPr>
          <w:rFonts w:ascii="Verdana" w:eastAsia="Calibri" w:hAnsi="Verdana" w:cs="Arial"/>
          <w:bCs/>
          <w:color w:val="000000" w:themeColor="text1"/>
        </w:rPr>
      </w:pPr>
      <w:r w:rsidRPr="00C278CC">
        <w:rPr>
          <w:rFonts w:ascii="Verdana" w:eastAsia="Times New Roman" w:hAnsi="Verdana" w:cs="Arial"/>
          <w:lang w:eastAsia="es-CO" w:bidi="es-ES"/>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C278CC">
        <w:rPr>
          <w:rFonts w:ascii="Verdana" w:eastAsia="Times New Roman" w:hAnsi="Verdana" w:cs="Arial"/>
          <w:vertAlign w:val="superscript"/>
          <w:lang w:eastAsia="es-CO" w:bidi="es-ES"/>
        </w:rPr>
        <w:footnoteReference w:id="34"/>
      </w:r>
      <w:r w:rsidRPr="00C278CC">
        <w:rPr>
          <w:rFonts w:ascii="Verdana" w:eastAsia="Times New Roman" w:hAnsi="Verdana" w:cs="Arial"/>
          <w:lang w:eastAsia="es-CO" w:bidi="es-ES"/>
        </w:rPr>
        <w:t>.</w:t>
      </w:r>
    </w:p>
    <w:p w14:paraId="61B5170F" w14:textId="42C51633" w:rsidR="007E5EE3" w:rsidRPr="00C278CC" w:rsidRDefault="002C77FC" w:rsidP="002027A0">
      <w:pPr>
        <w:spacing w:after="120" w:line="276" w:lineRule="auto"/>
        <w:jc w:val="both"/>
        <w:rPr>
          <w:rFonts w:ascii="Verdana" w:eastAsia="Times New Roman" w:hAnsi="Verdana" w:cs="Arial"/>
          <w:lang w:val="es-MX" w:eastAsia="es-CO"/>
        </w:rPr>
      </w:pPr>
      <w:r w:rsidRPr="00C278CC">
        <w:rPr>
          <w:rFonts w:ascii="Verdana" w:eastAsia="Times New Roman" w:hAnsi="Verdana" w:cs="Arial"/>
          <w:lang w:val="es-MX" w:eastAsia="x-none"/>
        </w:rPr>
        <w:tab/>
      </w:r>
      <w:r w:rsidR="007E5EE3" w:rsidRPr="00C278CC">
        <w:rPr>
          <w:rFonts w:ascii="Verdana" w:eastAsia="Arial" w:hAnsi="Verdana" w:cs="Arial"/>
          <w:lang w:val="es-MX" w:eastAsia="es-ES" w:bidi="es-ES"/>
        </w:rPr>
        <w:t>De esta manera, s</w:t>
      </w:r>
      <w:r w:rsidR="007E5EE3" w:rsidRPr="00C278CC">
        <w:rPr>
          <w:rFonts w:ascii="Verdana" w:eastAsia="Times New Roman" w:hAnsi="Verdana" w:cs="Arial"/>
          <w:lang w:eastAsia="es-CO"/>
        </w:rPr>
        <w:t xml:space="preserve">e observa entonces que </w:t>
      </w:r>
      <w:r w:rsidR="007E5EE3" w:rsidRPr="00C278CC">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007E5EE3" w:rsidRPr="00C278CC">
        <w:rPr>
          <w:rFonts w:ascii="Verdana" w:eastAsia="Times New Roman" w:hAnsi="Verdana" w:cs="Arial"/>
          <w:i/>
          <w:iCs/>
          <w:lang w:val="es-MX" w:eastAsia="es-CO"/>
        </w:rPr>
        <w:t>convenios interadministrativos</w:t>
      </w:r>
      <w:r w:rsidR="007E5EE3" w:rsidRPr="00C278CC">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007E5EE3" w:rsidRPr="00C278CC">
        <w:rPr>
          <w:rFonts w:ascii="Verdana" w:eastAsia="Times New Roman" w:hAnsi="Verdana" w:cs="Arial"/>
          <w:i/>
          <w:lang w:val="es-MX" w:eastAsia="es-CO"/>
        </w:rPr>
        <w:t>ibidem</w:t>
      </w:r>
      <w:r w:rsidR="007E5EE3" w:rsidRPr="00C278CC">
        <w:rPr>
          <w:rFonts w:ascii="Verdana" w:eastAsia="Times New Roman" w:hAnsi="Verdana" w:cs="Arial"/>
          <w:lang w:val="es-MX" w:eastAsia="es-CO"/>
        </w:rPr>
        <w:t xml:space="preserve">, no podrá celebrar tales </w:t>
      </w:r>
      <w:r w:rsidR="007E5EE3" w:rsidRPr="00C278CC">
        <w:rPr>
          <w:rFonts w:ascii="Verdana" w:eastAsia="Times New Roman" w:hAnsi="Verdana" w:cs="Arial"/>
          <w:i/>
          <w:iCs/>
          <w:lang w:val="es-MX" w:eastAsia="es-CO"/>
        </w:rPr>
        <w:t>convenios</w:t>
      </w:r>
      <w:r w:rsidR="007E5EE3" w:rsidRPr="00C278CC">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B427CAD" w14:textId="07F7B20A" w:rsidR="007E5EE3" w:rsidRPr="00C278CC" w:rsidRDefault="007E5EE3" w:rsidP="007E5EE3">
      <w:pPr>
        <w:spacing w:after="0" w:line="276" w:lineRule="auto"/>
        <w:ind w:firstLine="709"/>
        <w:jc w:val="both"/>
        <w:rPr>
          <w:rFonts w:ascii="Verdana" w:eastAsia="Arial" w:hAnsi="Verdana" w:cs="Arial"/>
          <w:lang w:val="es-ES" w:eastAsia="es-ES" w:bidi="es-ES"/>
        </w:rPr>
      </w:pPr>
      <w:r w:rsidRPr="00C278CC">
        <w:rPr>
          <w:rFonts w:ascii="Verdana" w:eastAsia="Times New Roman" w:hAnsi="Verdana" w:cs="Arial"/>
          <w:lang w:val="es-ES" w:eastAsia="es-CO" w:bidi="es-ES"/>
        </w:rPr>
        <w:t>En todo caso</w:t>
      </w:r>
      <w:r w:rsidRPr="00C278CC">
        <w:rPr>
          <w:rFonts w:ascii="Verdana" w:eastAsia="Arial" w:hAnsi="Verdana" w:cs="Arial"/>
          <w:lang w:val="es-ES" w:eastAsia="es-ES" w:bidi="es-ES"/>
        </w:rPr>
        <w:t xml:space="preserve">, es importante resaltar que la Sala de Consulta y Servicio Civil del Consejo de Estado se ha pronunciado en el sentido de que no se les aplica la restricción contemplada en el artículo 38 de la Ley de Garantías a los </w:t>
      </w:r>
      <w:r w:rsidRPr="00C278CC">
        <w:rPr>
          <w:rFonts w:ascii="Verdana" w:eastAsia="Arial" w:hAnsi="Verdana" w:cs="Arial"/>
          <w:lang w:val="es-ES" w:eastAsia="es-ES" w:bidi="es-ES"/>
        </w:rPr>
        <w:lastRenderedPageBreak/>
        <w:t>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C278CC">
        <w:rPr>
          <w:rFonts w:ascii="Verdana" w:eastAsia="Arial" w:hAnsi="Verdana" w:cs="Arial"/>
          <w:vertAlign w:val="superscript"/>
          <w:lang w:val="es-ES" w:eastAsia="es-ES" w:bidi="es-ES"/>
        </w:rPr>
        <w:footnoteReference w:id="35"/>
      </w:r>
      <w:bookmarkEnd w:id="21"/>
      <w:bookmarkEnd w:id="22"/>
      <w:r w:rsidRPr="00C278CC">
        <w:rPr>
          <w:rFonts w:ascii="Verdana" w:eastAsia="Arial" w:hAnsi="Verdana" w:cs="Arial"/>
          <w:lang w:val="es-ES" w:eastAsia="es-ES" w:bidi="es-ES"/>
        </w:rPr>
        <w:t>.</w:t>
      </w:r>
    </w:p>
    <w:p w14:paraId="40B5FE12" w14:textId="77777777" w:rsidR="007E5EE3" w:rsidRPr="00C278CC" w:rsidRDefault="007E5EE3" w:rsidP="007E5EE3">
      <w:pPr>
        <w:spacing w:after="0" w:line="276" w:lineRule="auto"/>
        <w:ind w:firstLine="709"/>
        <w:jc w:val="both"/>
        <w:rPr>
          <w:rFonts w:ascii="Verdana" w:eastAsia="Arial" w:hAnsi="Verdana" w:cs="Arial"/>
          <w:lang w:val="es-ES" w:eastAsia="es-ES" w:bidi="es-ES"/>
        </w:rPr>
      </w:pPr>
    </w:p>
    <w:p w14:paraId="1360A74E" w14:textId="039ECC09" w:rsidR="004102E0" w:rsidRPr="00C278CC" w:rsidRDefault="007E5EE3" w:rsidP="002027A0">
      <w:pPr>
        <w:spacing w:after="120" w:line="276" w:lineRule="auto"/>
        <w:jc w:val="both"/>
        <w:rPr>
          <w:rFonts w:ascii="Verdana" w:hAnsi="Verdana" w:cs="Arial"/>
          <w:bCs/>
          <w:lang w:val="es-ES_tradnl" w:eastAsia="es-CO"/>
        </w:rPr>
      </w:pPr>
      <w:r w:rsidRPr="00C278CC">
        <w:rPr>
          <w:rFonts w:ascii="Verdana" w:eastAsia="Calibri" w:hAnsi="Verdana" w:cs="Arial"/>
          <w:bCs/>
          <w:color w:val="000000" w:themeColor="text1"/>
        </w:rPr>
        <w:t xml:space="preserve">vi. </w:t>
      </w:r>
      <w:r w:rsidRPr="00C278CC">
        <w:rPr>
          <w:rFonts w:ascii="Verdana" w:hAnsi="Verdana" w:cs="Arial"/>
          <w:bCs/>
          <w:lang w:val="es-ES_tradnl" w:eastAsia="es-CO"/>
        </w:rPr>
        <w:t xml:space="preserve">Como se indicó en los numerales anteriores de este oficio, la Ley 996 de 2005 consagra, en los artículos 33 y 38, restricciones generales para contratar directamente y para celebrar </w:t>
      </w:r>
      <w:r w:rsidR="004E0790" w:rsidRPr="00C278CC">
        <w:rPr>
          <w:rFonts w:ascii="Verdana" w:hAnsi="Verdana" w:cs="Arial"/>
          <w:bCs/>
          <w:lang w:val="es-ES_tradnl" w:eastAsia="es-CO"/>
        </w:rPr>
        <w:t xml:space="preserve">convenios </w:t>
      </w:r>
      <w:r w:rsidRPr="00C278CC">
        <w:rPr>
          <w:rFonts w:ascii="Verdana" w:hAnsi="Verdana" w:cs="Arial"/>
          <w:bCs/>
          <w:lang w:val="es-ES_tradnl" w:eastAsia="es-CO"/>
        </w:rPr>
        <w:t xml:space="preserve">interadministrativos por parte de las entidades estatales, en los períodos previos a las elecciones que en dicha ley se definen. Ahora bien, de allí no se sigue que cualquier forma de transferencia directa de recursos ingrese en el radio de las prohibiciones previstas en la </w:t>
      </w:r>
      <w:r w:rsidR="004102E0" w:rsidRPr="00C278CC">
        <w:rPr>
          <w:rFonts w:ascii="Verdana" w:hAnsi="Verdana" w:cs="Arial"/>
          <w:bCs/>
          <w:lang w:val="es-ES_tradnl" w:eastAsia="es-CO"/>
        </w:rPr>
        <w:t>L</w:t>
      </w:r>
      <w:r w:rsidRPr="00C278CC">
        <w:rPr>
          <w:rFonts w:ascii="Verdana" w:hAnsi="Verdana" w:cs="Arial"/>
          <w:bCs/>
          <w:lang w:val="es-ES_tradnl" w:eastAsia="es-CO"/>
        </w:rPr>
        <w:t xml:space="preserve">ey de </w:t>
      </w:r>
      <w:r w:rsidR="004102E0" w:rsidRPr="00C278CC">
        <w:rPr>
          <w:rFonts w:ascii="Verdana" w:hAnsi="Verdana" w:cs="Arial"/>
          <w:bCs/>
          <w:lang w:val="es-ES_tradnl" w:eastAsia="es-CO"/>
        </w:rPr>
        <w:t>G</w:t>
      </w:r>
      <w:r w:rsidRPr="00C278CC">
        <w:rPr>
          <w:rFonts w:ascii="Verdana" w:hAnsi="Verdana" w:cs="Arial"/>
          <w:bCs/>
          <w:lang w:val="es-ES_tradnl" w:eastAsia="es-CO"/>
        </w:rPr>
        <w:t xml:space="preserve">arantías </w:t>
      </w:r>
      <w:r w:rsidR="004102E0" w:rsidRPr="00C278CC">
        <w:rPr>
          <w:rFonts w:ascii="Verdana" w:hAnsi="Verdana" w:cs="Arial"/>
          <w:bCs/>
          <w:lang w:val="es-ES_tradnl" w:eastAsia="es-CO"/>
        </w:rPr>
        <w:t>E</w:t>
      </w:r>
      <w:r w:rsidRPr="00C278CC">
        <w:rPr>
          <w:rFonts w:ascii="Verdana" w:hAnsi="Verdana" w:cs="Arial"/>
          <w:bCs/>
          <w:lang w:val="es-ES_tradnl" w:eastAsia="es-CO"/>
        </w:rPr>
        <w:t xml:space="preserve">lectorales. Debe destacarse que las disposiciones normativas que establecen prohibiciones deben interpretarse restrictivamente, para no ampliar de manera injustificada sus supuestos de hecho a circunstancias que, en sentido lógico, no caben en aquellos. </w:t>
      </w:r>
    </w:p>
    <w:p w14:paraId="20E0D0E2" w14:textId="7E0637F4" w:rsidR="007E5EE3" w:rsidRPr="00C278CC" w:rsidRDefault="00192D95" w:rsidP="002027A0">
      <w:pPr>
        <w:spacing w:after="0" w:line="276" w:lineRule="auto"/>
        <w:ind w:firstLine="708"/>
        <w:jc w:val="both"/>
        <w:rPr>
          <w:rFonts w:ascii="Verdana" w:hAnsi="Verdana" w:cs="Arial"/>
          <w:bCs/>
          <w:lang w:val="es-ES_tradnl" w:eastAsia="es-CO"/>
        </w:rPr>
      </w:pPr>
      <w:r w:rsidRPr="00C278CC">
        <w:rPr>
          <w:rFonts w:ascii="Verdana" w:hAnsi="Verdana" w:cs="Arial"/>
          <w:bCs/>
          <w:lang w:val="es-ES_tradnl" w:eastAsia="es-CO"/>
        </w:rPr>
        <w:t xml:space="preserve">Al respecto, la </w:t>
      </w:r>
      <w:r w:rsidR="007E5EE3" w:rsidRPr="00C278CC">
        <w:rPr>
          <w:rFonts w:ascii="Verdana" w:hAnsi="Verdana" w:cs="Arial"/>
          <w:bCs/>
          <w:lang w:val="es-ES_tradnl" w:eastAsia="es-CO"/>
        </w:rPr>
        <w:t>Sala de Consulta y Servicio Civil del Consejo de Estado así lo sostuvo, refiriéndose, precisamente, al alcance de las limitaciones contractuales contenidas en la ley de garantías electorales. Al respecto, afirmó:</w:t>
      </w:r>
    </w:p>
    <w:p w14:paraId="6BBA277F" w14:textId="77777777" w:rsidR="007E5EE3" w:rsidRPr="00C278CC" w:rsidRDefault="007E5EE3" w:rsidP="007E5EE3">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5F8A1238" w14:textId="3A1B70C9" w:rsidR="007E5EE3" w:rsidRPr="00C278CC" w:rsidRDefault="007E5EE3" w:rsidP="00B70280">
      <w:pPr>
        <w:shd w:val="clear" w:color="auto" w:fill="FFFFFF"/>
        <w:spacing w:after="0" w:line="240" w:lineRule="auto"/>
        <w:ind w:left="709" w:right="709"/>
        <w:jc w:val="both"/>
        <w:rPr>
          <w:rFonts w:ascii="Verdana" w:eastAsia="Times New Roman" w:hAnsi="Verdana" w:cs="Arial"/>
          <w:color w:val="000000"/>
          <w:sz w:val="20"/>
          <w:szCs w:val="20"/>
          <w:lang w:val="es-ES" w:eastAsia="es-CO"/>
        </w:rPr>
      </w:pPr>
      <w:r w:rsidRPr="00C278CC">
        <w:rPr>
          <w:rFonts w:ascii="Verdana" w:eastAsia="Times New Roman" w:hAnsi="Verdana" w:cs="Arial"/>
          <w:color w:val="000000"/>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r w:rsidRPr="00C278CC">
        <w:rPr>
          <w:rFonts w:ascii="Verdana" w:eastAsia="Times New Roman" w:hAnsi="Verdana" w:cs="Arial"/>
          <w:i/>
          <w:iCs/>
          <w:color w:val="000000"/>
          <w:sz w:val="20"/>
          <w:szCs w:val="20"/>
          <w:lang w:val="es-ES" w:eastAsia="es-CO"/>
        </w:rPr>
        <w:t>legis </w:t>
      </w:r>
      <w:r w:rsidRPr="00C278CC">
        <w:rPr>
          <w:rFonts w:ascii="Verdana" w:eastAsia="Times New Roman" w:hAnsi="Verdana" w:cs="Arial"/>
          <w:color w:val="000000"/>
          <w:sz w:val="20"/>
          <w:szCs w:val="20"/>
          <w:lang w:val="es-ES" w:eastAsia="es-CO"/>
        </w:rPr>
        <w:t>o </w:t>
      </w:r>
      <w:r w:rsidRPr="00C278CC">
        <w:rPr>
          <w:rFonts w:ascii="Verdana" w:eastAsia="Times New Roman" w:hAnsi="Verdana" w:cs="Arial"/>
          <w:i/>
          <w:iCs/>
          <w:color w:val="000000"/>
          <w:sz w:val="20"/>
          <w:szCs w:val="20"/>
          <w:lang w:val="es-ES" w:eastAsia="es-CO"/>
        </w:rPr>
        <w:t>iuris</w:t>
      </w:r>
      <w:r w:rsidRPr="00C278CC">
        <w:rPr>
          <w:rFonts w:ascii="Verdana" w:eastAsia="Times New Roman" w:hAnsi="Verdana" w:cs="Arial"/>
          <w:color w:val="000000"/>
          <w:sz w:val="20"/>
          <w:szCs w:val="20"/>
          <w:lang w:val="es-ES" w:eastAsia="es-CO"/>
        </w:rPr>
        <w:t>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9C29BBF" w14:textId="77777777" w:rsidR="00B70280" w:rsidRPr="00C278CC" w:rsidRDefault="00B70280" w:rsidP="00B70280">
      <w:pPr>
        <w:shd w:val="clear" w:color="auto" w:fill="FFFFFF"/>
        <w:spacing w:after="0" w:line="240" w:lineRule="auto"/>
        <w:ind w:left="709" w:right="709"/>
        <w:jc w:val="both"/>
        <w:rPr>
          <w:rFonts w:ascii="Verdana" w:eastAsia="Times New Roman" w:hAnsi="Verdana" w:cs="Arial"/>
          <w:color w:val="000000"/>
          <w:sz w:val="20"/>
          <w:szCs w:val="20"/>
          <w:lang w:val="es-ES" w:eastAsia="es-CO"/>
        </w:rPr>
      </w:pPr>
    </w:p>
    <w:p w14:paraId="4EE9DB84" w14:textId="32662C58" w:rsidR="007E5EE3" w:rsidRPr="00C278CC" w:rsidRDefault="007E5EE3" w:rsidP="00B70280">
      <w:pPr>
        <w:shd w:val="clear" w:color="auto" w:fill="FFFFFF"/>
        <w:spacing w:after="0" w:line="240" w:lineRule="auto"/>
        <w:ind w:left="709" w:right="709"/>
        <w:jc w:val="both"/>
        <w:rPr>
          <w:rFonts w:ascii="Verdana" w:eastAsia="Times New Roman" w:hAnsi="Verdana" w:cs="Arial"/>
          <w:color w:val="000000"/>
          <w:sz w:val="20"/>
          <w:szCs w:val="20"/>
          <w:lang w:val="es-ES_tradnl" w:eastAsia="es-CO"/>
        </w:rPr>
      </w:pPr>
      <w:r w:rsidRPr="00C278CC">
        <w:rPr>
          <w:rFonts w:ascii="Verdana" w:eastAsia="Times New Roman" w:hAnsi="Verdana" w:cs="Arial"/>
          <w:color w:val="000000"/>
          <w:sz w:val="20"/>
          <w:szCs w:val="20"/>
          <w:lang w:val="es-ES_tradnl" w:eastAsia="es-CO"/>
        </w:rPr>
        <w:t>[…]</w:t>
      </w:r>
    </w:p>
    <w:p w14:paraId="14C009EF" w14:textId="77777777" w:rsidR="00B70280" w:rsidRPr="00C278CC" w:rsidRDefault="00B70280" w:rsidP="00B70280">
      <w:pPr>
        <w:shd w:val="clear" w:color="auto" w:fill="FFFFFF"/>
        <w:spacing w:after="0" w:line="240" w:lineRule="auto"/>
        <w:ind w:left="709" w:right="709"/>
        <w:jc w:val="both"/>
        <w:rPr>
          <w:rFonts w:ascii="Verdana" w:eastAsia="Times New Roman" w:hAnsi="Verdana" w:cs="Arial"/>
          <w:color w:val="000000"/>
          <w:sz w:val="20"/>
          <w:szCs w:val="20"/>
          <w:lang w:val="es-ES_tradnl" w:eastAsia="es-CO"/>
        </w:rPr>
      </w:pPr>
    </w:p>
    <w:p w14:paraId="7C972360" w14:textId="6F441268" w:rsidR="007E5EE3" w:rsidRPr="00C278CC" w:rsidRDefault="007E5EE3" w:rsidP="00B70280">
      <w:pPr>
        <w:shd w:val="clear" w:color="auto" w:fill="FFFFFF"/>
        <w:spacing w:after="0" w:line="240" w:lineRule="auto"/>
        <w:ind w:left="709" w:right="709"/>
        <w:jc w:val="both"/>
        <w:rPr>
          <w:rFonts w:ascii="Verdana" w:eastAsia="Times New Roman" w:hAnsi="Verdana" w:cs="Arial"/>
          <w:color w:val="000000"/>
          <w:sz w:val="20"/>
          <w:szCs w:val="20"/>
          <w:lang w:val="es-ES" w:eastAsia="es-CO"/>
        </w:rPr>
      </w:pPr>
      <w:r w:rsidRPr="00C278CC">
        <w:rPr>
          <w:rFonts w:ascii="Verdana" w:eastAsia="Times New Roman" w:hAnsi="Verdana" w:cs="Arial"/>
          <w:color w:val="000000"/>
          <w:sz w:val="20"/>
          <w:szCs w:val="20"/>
          <w:lang w:val="es-ES" w:eastAsia="es-CO"/>
        </w:rPr>
        <w:t>Así, en esta materia cobra importancia la regla de hermenéutica consagrada en el artículo 31 del Código Civil, según la cual, </w:t>
      </w:r>
      <w:r w:rsidRPr="00C278CC">
        <w:rPr>
          <w:rFonts w:ascii="Verdana" w:eastAsia="Times New Roman" w:hAnsi="Verdana" w:cs="Arial"/>
          <w:i/>
          <w:iCs/>
          <w:color w:val="000000"/>
          <w:sz w:val="20"/>
          <w:szCs w:val="20"/>
          <w:lang w:val="es-ES" w:eastAsia="es-CO"/>
        </w:rPr>
        <w:t xml:space="preserve">‘[l]o favorable u odioso de una disposición no se tomará en cuenta para ampliar o restringir su interpretación. La extensión que deba darse a toda ley se </w:t>
      </w:r>
      <w:r w:rsidRPr="00C278CC">
        <w:rPr>
          <w:rFonts w:ascii="Verdana" w:eastAsia="Times New Roman" w:hAnsi="Verdana" w:cs="Arial"/>
          <w:i/>
          <w:iCs/>
          <w:color w:val="000000"/>
          <w:sz w:val="20"/>
          <w:szCs w:val="20"/>
          <w:lang w:val="es-ES" w:eastAsia="es-CO"/>
        </w:rPr>
        <w:lastRenderedPageBreak/>
        <w:t>determinará por su genuino sentido, y según las reglas de interpretación…’ (‘favorabilia sunt amplianda, odiosa sunt restringenda’); </w:t>
      </w:r>
      <w:r w:rsidRPr="00C278CC">
        <w:rPr>
          <w:rFonts w:ascii="Verdana" w:eastAsia="Times New Roman" w:hAnsi="Verdana" w:cs="Arial"/>
          <w:color w:val="000000"/>
          <w:sz w:val="20"/>
          <w:szCs w:val="20"/>
          <w:lang w:val="es-ES" w:eastAsia="es-CO"/>
        </w:rPr>
        <w:t>y de ahí la proscripción de las interpretaciones extensivas de las normas prohibitivas, tal y como lo precisó la Corte Suprema de Justicia, al señalar que </w:t>
      </w:r>
      <w:r w:rsidRPr="00C278CC">
        <w:rPr>
          <w:rFonts w:ascii="Verdana" w:eastAsia="Times New Roman" w:hAnsi="Verdana" w:cs="Arial"/>
          <w:i/>
          <w:iCs/>
          <w:color w:val="000000"/>
          <w:sz w:val="20"/>
          <w:szCs w:val="20"/>
          <w:lang w:val="es-ES" w:eastAsia="es-CO"/>
        </w:rPr>
        <w:t>‘[e]n la interpretación de las leyes prohibitivas no deben buscarse analogías o razones para hacerlas extensivas a casos no comprendidos claramente en la prohibición’.</w:t>
      </w:r>
      <w:r w:rsidRPr="00C278CC">
        <w:rPr>
          <w:rFonts w:ascii="Verdana" w:eastAsia="Times New Roman" w:hAnsi="Verdana" w:cs="Arial"/>
          <w:color w:val="000000"/>
          <w:sz w:val="20"/>
          <w:szCs w:val="20"/>
          <w:lang w:val="es-ES" w:eastAsia="es-CO"/>
        </w:rPr>
        <w:t> </w:t>
      </w:r>
    </w:p>
    <w:p w14:paraId="218320BC" w14:textId="77777777" w:rsidR="00B70280" w:rsidRPr="00C278CC" w:rsidRDefault="00B70280" w:rsidP="002027A0">
      <w:pPr>
        <w:shd w:val="clear" w:color="auto" w:fill="FFFFFF"/>
        <w:spacing w:after="0" w:line="240" w:lineRule="auto"/>
        <w:ind w:left="709" w:right="709"/>
        <w:jc w:val="both"/>
        <w:rPr>
          <w:rFonts w:ascii="Verdana" w:eastAsia="Times New Roman" w:hAnsi="Verdana" w:cs="Arial"/>
          <w:color w:val="000000"/>
          <w:sz w:val="20"/>
          <w:szCs w:val="20"/>
          <w:lang w:val="es-ES" w:eastAsia="es-CO"/>
        </w:rPr>
      </w:pPr>
    </w:p>
    <w:p w14:paraId="4D352491" w14:textId="77777777" w:rsidR="007E5EE3" w:rsidRPr="00C278CC" w:rsidRDefault="007E5EE3" w:rsidP="002027A0">
      <w:pPr>
        <w:pStyle w:val="NormalWeb"/>
        <w:shd w:val="clear" w:color="auto" w:fill="FFFFFF"/>
        <w:spacing w:before="0" w:beforeAutospacing="0" w:after="0" w:afterAutospacing="0"/>
        <w:ind w:left="709" w:right="709"/>
        <w:jc w:val="both"/>
        <w:rPr>
          <w:rFonts w:ascii="Verdana" w:hAnsi="Verdana" w:cs="Arial"/>
          <w:color w:val="000000" w:themeColor="text1"/>
          <w:sz w:val="20"/>
          <w:szCs w:val="20"/>
          <w:lang w:val="es-ES_tradnl"/>
        </w:rPr>
      </w:pPr>
      <w:r w:rsidRPr="00C278CC">
        <w:rPr>
          <w:rFonts w:ascii="Verdana" w:hAnsi="Verdana" w:cs="Arial"/>
          <w:color w:val="000000"/>
          <w:sz w:val="20"/>
          <w:szCs w:val="20"/>
          <w:lang w:val="es-ES_tradnl" w:eastAsia="es-ES_tradnl"/>
        </w:rPr>
        <w:t>En consecuencia, la interpretación y aplicación restrictiva es una regla que rige tratándose de normas prohibitivas, dado que consagran limitaciones al ejercicio de un derecho o de competencias señaladas en la ley, criterio hermenéutico que responde al principio de taxatividad, de acuerdo con el cual solo operan las prohibiciones que en forma precisa establece el legislador”</w:t>
      </w:r>
      <w:r w:rsidRPr="00C278CC">
        <w:rPr>
          <w:rStyle w:val="Refdenotaalpie"/>
          <w:rFonts w:ascii="Verdana" w:hAnsi="Verdana" w:cs="Arial"/>
          <w:color w:val="000000" w:themeColor="text1"/>
          <w:sz w:val="20"/>
          <w:szCs w:val="20"/>
          <w:lang w:val="es-ES_tradnl"/>
        </w:rPr>
        <w:footnoteReference w:id="36"/>
      </w:r>
      <w:r w:rsidRPr="00C278CC">
        <w:rPr>
          <w:rFonts w:ascii="Verdana" w:hAnsi="Verdana" w:cs="Arial"/>
          <w:color w:val="000000" w:themeColor="text1"/>
          <w:sz w:val="20"/>
          <w:szCs w:val="20"/>
          <w:lang w:val="es-ES_tradnl"/>
        </w:rPr>
        <w:t>.</w:t>
      </w:r>
    </w:p>
    <w:p w14:paraId="0AC8B0E9" w14:textId="77777777" w:rsidR="007E5EE3" w:rsidRPr="00C278CC" w:rsidRDefault="007E5EE3" w:rsidP="007E5EE3">
      <w:pPr>
        <w:pStyle w:val="NormalWeb"/>
        <w:shd w:val="clear" w:color="auto" w:fill="FFFFFF"/>
        <w:spacing w:before="0" w:beforeAutospacing="0" w:after="0" w:afterAutospacing="0" w:line="276" w:lineRule="auto"/>
        <w:ind w:left="709" w:right="709"/>
        <w:jc w:val="both"/>
        <w:rPr>
          <w:rFonts w:ascii="Verdana" w:hAnsi="Verdana" w:cs="Arial"/>
          <w:color w:val="333333"/>
          <w:sz w:val="22"/>
          <w:szCs w:val="22"/>
          <w:lang w:val="es-ES_tradnl"/>
        </w:rPr>
      </w:pPr>
    </w:p>
    <w:p w14:paraId="50379324" w14:textId="77777777" w:rsidR="007E5EE3" w:rsidRPr="00C278CC" w:rsidRDefault="007E5EE3" w:rsidP="007E5EE3">
      <w:pPr>
        <w:spacing w:line="276" w:lineRule="auto"/>
        <w:ind w:firstLine="709"/>
        <w:jc w:val="both"/>
        <w:rPr>
          <w:rFonts w:ascii="Verdana" w:hAnsi="Verdana" w:cs="Arial"/>
          <w:bCs/>
          <w:lang w:val="es-ES_tradnl" w:eastAsia="es-CO"/>
        </w:rPr>
      </w:pPr>
      <w:r w:rsidRPr="00C278CC">
        <w:rPr>
          <w:rFonts w:ascii="Verdana" w:hAnsi="Verdana" w:cs="Arial"/>
          <w:bCs/>
          <w:lang w:val="es-ES_tradnl" w:eastAsia="es-CO"/>
        </w:rPr>
        <w:t>Partiendo de este contexto normativo, y sobre todo considerando los criterios de interpretación a los que se ha hecho referencia, es importante, para resolver la consulta bajo análisis, mencionar las particularidades del escenario regulatorio que motiva la presente consulta. En efecto, existen varias leyes especiales que permiten hacer transferencias directas de recursos en dinero o en especie, a través de la expedición de actos administrativos. A modo de ejemplo, se destacan las siguientes disposiciones normativas:</w:t>
      </w:r>
    </w:p>
    <w:p w14:paraId="7F14A444" w14:textId="77777777" w:rsidR="007E5EE3" w:rsidRPr="00C278CC" w:rsidRDefault="007E5EE3" w:rsidP="007E5EE3">
      <w:pPr>
        <w:spacing w:before="120" w:after="0" w:line="276" w:lineRule="auto"/>
        <w:ind w:firstLine="709"/>
        <w:jc w:val="both"/>
        <w:rPr>
          <w:rFonts w:ascii="Verdana" w:hAnsi="Verdana" w:cs="Arial"/>
          <w:bCs/>
          <w:lang w:val="es-ES_tradnl" w:eastAsia="es-CO"/>
        </w:rPr>
      </w:pPr>
      <w:r w:rsidRPr="00C278CC">
        <w:rPr>
          <w:rFonts w:ascii="Verdana" w:hAnsi="Verdana" w:cs="Arial"/>
          <w:bCs/>
          <w:lang w:val="es-ES_tradnl" w:eastAsia="es-CO"/>
        </w:rPr>
        <w:t>El Decreto Legislativo 538 de 2020, “Por el cual se adoptan medidas en el sector salud, para contener y mitigar la pandemia de COVID-19 y garantizar la prestación de los servicios de salud, en el marco del Estado de Emergencia Económica, Social y Ecológica”, establecía en el primer inciso del artículo 5:</w:t>
      </w:r>
    </w:p>
    <w:p w14:paraId="55EEBCE3" w14:textId="77777777" w:rsidR="007E5EE3" w:rsidRPr="00C278CC" w:rsidRDefault="007E5EE3" w:rsidP="007E5EE3">
      <w:pPr>
        <w:spacing w:after="0" w:line="276" w:lineRule="auto"/>
        <w:ind w:firstLine="709"/>
        <w:jc w:val="both"/>
        <w:rPr>
          <w:rFonts w:ascii="Verdana" w:hAnsi="Verdana" w:cs="Arial"/>
          <w:bCs/>
          <w:lang w:val="es-ES_tradnl" w:eastAsia="es-CO"/>
        </w:rPr>
      </w:pPr>
      <w:r w:rsidRPr="00C278CC">
        <w:rPr>
          <w:rFonts w:ascii="Verdana" w:hAnsi="Verdana" w:cs="Arial"/>
          <w:bCs/>
          <w:lang w:val="es-ES_tradnl" w:eastAsia="es-CO"/>
        </w:rPr>
        <w:t xml:space="preserve">  </w:t>
      </w:r>
    </w:p>
    <w:p w14:paraId="42D137CB" w14:textId="77777777" w:rsidR="007E5EE3" w:rsidRPr="00C278CC" w:rsidRDefault="007E5EE3" w:rsidP="007E5EE3">
      <w:pPr>
        <w:spacing w:after="0" w:line="240" w:lineRule="auto"/>
        <w:ind w:left="709" w:right="709"/>
        <w:jc w:val="both"/>
        <w:rPr>
          <w:rFonts w:ascii="Verdana" w:hAnsi="Verdana" w:cs="Arial"/>
          <w:bCs/>
          <w:sz w:val="20"/>
          <w:szCs w:val="20"/>
          <w:lang w:eastAsia="es-CO"/>
        </w:rPr>
      </w:pPr>
      <w:r w:rsidRPr="00C278CC">
        <w:rPr>
          <w:rFonts w:ascii="Verdana" w:hAnsi="Verdana" w:cs="Arial"/>
          <w:bCs/>
          <w:sz w:val="20"/>
          <w:szCs w:val="20"/>
          <w:lang w:eastAsia="es-CO"/>
        </w:rPr>
        <w:t xml:space="preserve">“Durante el término de la emergencia sanitaria declarada por el Ministerio de Salud y Protección Social, con ocasión de la pandemia derivada del Coronavirus COVID-19, este Ministerio y las entidades territoriales podrán efectuar transferencias directas de recursos </w:t>
      </w:r>
      <w:r w:rsidRPr="00C278CC">
        <w:rPr>
          <w:rFonts w:ascii="Verdana" w:hAnsi="Verdana" w:cs="Arial"/>
          <w:bCs/>
          <w:i/>
          <w:iCs/>
          <w:sz w:val="20"/>
          <w:szCs w:val="20"/>
          <w:lang w:eastAsia="es-CO"/>
        </w:rPr>
        <w:t>mediante actos administrativos</w:t>
      </w:r>
      <w:r w:rsidRPr="00C278CC">
        <w:rPr>
          <w:rFonts w:ascii="Verdana" w:hAnsi="Verdana" w:cs="Arial"/>
          <w:bCs/>
          <w:sz w:val="20"/>
          <w:szCs w:val="20"/>
          <w:lang w:eastAsia="es-CO"/>
        </w:rPr>
        <w:t xml:space="preserve"> de asignación a las Empresas Sociales del Estado y a los administradores de infraestructura pública de propiedad de las entidades territoriales, destinadas a la prestación de servicios de salud, para la financiación de la operación corriente o para inversión en dotación de equipamiento biomédico, con el fin de garantizar la prestación de servicios de salud a la población afectada por causa de la emergencia derivada del Coronavirus COVID-19” (énfasis fuera de texto). </w:t>
      </w:r>
    </w:p>
    <w:p w14:paraId="6F562CBA" w14:textId="77777777" w:rsidR="007E5EE3" w:rsidRPr="00C278CC" w:rsidRDefault="007E5EE3" w:rsidP="007E5EE3">
      <w:pPr>
        <w:spacing w:after="0" w:line="276" w:lineRule="auto"/>
        <w:ind w:firstLine="709"/>
        <w:jc w:val="both"/>
        <w:rPr>
          <w:rFonts w:ascii="Verdana" w:hAnsi="Verdana" w:cs="Arial"/>
          <w:bCs/>
          <w:lang w:eastAsia="es-CO"/>
        </w:rPr>
      </w:pPr>
    </w:p>
    <w:p w14:paraId="57FECE6F" w14:textId="77777777" w:rsidR="007E5EE3" w:rsidRPr="00C278CC" w:rsidRDefault="007E5EE3" w:rsidP="007E5EE3">
      <w:pPr>
        <w:spacing w:line="276" w:lineRule="auto"/>
        <w:ind w:firstLine="709"/>
        <w:jc w:val="both"/>
        <w:rPr>
          <w:rFonts w:ascii="Verdana" w:hAnsi="Verdana" w:cs="Arial"/>
          <w:bCs/>
          <w:lang w:val="es-ES_tradnl" w:eastAsia="es-CO"/>
        </w:rPr>
      </w:pPr>
      <w:r w:rsidRPr="00C278CC">
        <w:rPr>
          <w:rFonts w:ascii="Verdana" w:hAnsi="Verdana" w:cs="Arial"/>
          <w:bCs/>
          <w:lang w:val="es-ES_tradnl" w:eastAsia="es-CO"/>
        </w:rPr>
        <w:lastRenderedPageBreak/>
        <w:t xml:space="preserve">En similar sentido, el Decreto Legislativo 800 de 2020, “Por el cual se adoptan medidas para el flujo de recursos en el Sistema General de Seguridad Social en Salud y mantener la afiliación al mismo de quienes han perdido la capacidad de pago, en el marco del Estado de Emergencia Económica, Social y Ecológica”, dispuso, en el parágrafo 2 del artículo 10, que “El Ministerio de Salud y Protección Social podrá realizar, </w:t>
      </w:r>
      <w:r w:rsidRPr="00C278CC">
        <w:rPr>
          <w:rFonts w:ascii="Verdana" w:hAnsi="Verdana" w:cs="Arial"/>
          <w:bCs/>
          <w:i/>
          <w:iCs/>
          <w:lang w:val="es-ES_tradnl" w:eastAsia="es-CO"/>
        </w:rPr>
        <w:t>mediante acto administrativo</w:t>
      </w:r>
      <w:r w:rsidRPr="00C278CC">
        <w:rPr>
          <w:rFonts w:ascii="Verdana" w:hAnsi="Verdana" w:cs="Arial"/>
          <w:bCs/>
          <w:lang w:val="es-ES_tradnl" w:eastAsia="es-CO"/>
        </w:rPr>
        <w:t xml:space="preserve">, transferencias de bienes en especie a título gratuito a las Empresas Sociales del Estado o a las Entidades Territoriales” </w:t>
      </w:r>
      <w:r w:rsidRPr="00C278CC">
        <w:rPr>
          <w:rFonts w:ascii="Verdana" w:hAnsi="Verdana" w:cs="Arial"/>
          <w:bCs/>
          <w:lang w:eastAsia="es-CO"/>
        </w:rPr>
        <w:t>(énfasis fuera de texto)</w:t>
      </w:r>
      <w:r w:rsidRPr="00C278CC">
        <w:rPr>
          <w:rFonts w:ascii="Verdana" w:hAnsi="Verdana" w:cs="Arial"/>
          <w:bCs/>
          <w:lang w:val="es-ES_tradnl" w:eastAsia="es-CO"/>
        </w:rPr>
        <w:t xml:space="preserve">. </w:t>
      </w:r>
    </w:p>
    <w:p w14:paraId="654263B2" w14:textId="77777777" w:rsidR="007E5EE3" w:rsidRPr="00C278CC" w:rsidRDefault="007E5EE3" w:rsidP="007E5EE3">
      <w:pPr>
        <w:spacing w:before="120" w:after="0" w:line="276" w:lineRule="auto"/>
        <w:ind w:firstLine="709"/>
        <w:jc w:val="both"/>
        <w:rPr>
          <w:rFonts w:ascii="Verdana" w:hAnsi="Verdana" w:cs="Arial"/>
          <w:bCs/>
          <w:lang w:val="es-ES_tradnl" w:eastAsia="es-CO"/>
        </w:rPr>
      </w:pPr>
      <w:r w:rsidRPr="00C278CC">
        <w:rPr>
          <w:rFonts w:ascii="Verdana" w:hAnsi="Verdana" w:cs="Arial"/>
          <w:bCs/>
          <w:lang w:val="es-ES_tradnl" w:eastAsia="es-CO"/>
        </w:rPr>
        <w:t xml:space="preserve">Otro ejemplo de este tipo de habilitación normativa, analizada por esta Agencia en el Concepto C-592 del 7 de diciembre de 2021, se encuentra en el artículo 9 del Decreto Legislativo 559 de 2020, “Por el cual se adoptan medidas para crear una Subcuenta para la Mitigación de Emergencias -Covid19- en el Fondo Nacional de Gestión del Riesgo de Desastres y se establecen las reglas para su administración, en el marco del Estado de Emergencia Económica, Social y Ecológica”, a cuyo tenor: </w:t>
      </w:r>
    </w:p>
    <w:p w14:paraId="3EF788AB" w14:textId="77777777" w:rsidR="007E5EE3" w:rsidRPr="00C278CC" w:rsidRDefault="007E5EE3" w:rsidP="007E5EE3">
      <w:pPr>
        <w:spacing w:after="0"/>
        <w:ind w:left="709" w:right="709"/>
        <w:jc w:val="both"/>
        <w:rPr>
          <w:rFonts w:ascii="Verdana" w:hAnsi="Verdana" w:cs="Arial"/>
          <w:bCs/>
          <w:sz w:val="21"/>
          <w:szCs w:val="21"/>
          <w:lang w:eastAsia="es-CO"/>
        </w:rPr>
      </w:pPr>
    </w:p>
    <w:p w14:paraId="3942DC44" w14:textId="77777777" w:rsidR="007E5EE3" w:rsidRPr="00C278CC" w:rsidRDefault="007E5EE3" w:rsidP="00863DB5">
      <w:pPr>
        <w:spacing w:after="0" w:line="240" w:lineRule="auto"/>
        <w:ind w:left="709" w:right="709"/>
        <w:jc w:val="both"/>
        <w:rPr>
          <w:rFonts w:ascii="Verdana" w:hAnsi="Verdana" w:cs="Arial"/>
          <w:bCs/>
          <w:sz w:val="20"/>
          <w:szCs w:val="20"/>
          <w:lang w:eastAsia="es-CO"/>
        </w:rPr>
      </w:pPr>
      <w:r w:rsidRPr="00C278CC">
        <w:rPr>
          <w:rFonts w:ascii="Verdana" w:hAnsi="Verdana" w:cs="Arial"/>
          <w:bCs/>
          <w:sz w:val="20"/>
          <w:szCs w:val="20"/>
          <w:lang w:eastAsia="es-CO"/>
        </w:rPr>
        <w:t xml:space="preserve">“El administrador fiduciario del Fondo Nacional de Gestión del Riesgo de Desastres transferirá a título gratuito a las entidades públicas los bienes que se adquieran en cumplimiento del objeto y finalidad de la subcuenta. Dicha transferencia se adelantará a través de </w:t>
      </w:r>
      <w:r w:rsidRPr="00C278CC">
        <w:rPr>
          <w:rFonts w:ascii="Verdana" w:hAnsi="Verdana" w:cs="Arial"/>
          <w:bCs/>
          <w:i/>
          <w:iCs/>
          <w:sz w:val="20"/>
          <w:szCs w:val="20"/>
          <w:lang w:eastAsia="es-CO"/>
        </w:rPr>
        <w:t>acto administrativo</w:t>
      </w:r>
      <w:r w:rsidRPr="00C278CC">
        <w:rPr>
          <w:rFonts w:ascii="Verdana" w:hAnsi="Verdana" w:cs="Arial"/>
          <w:bCs/>
          <w:sz w:val="20"/>
          <w:szCs w:val="20"/>
          <w:lang w:eastAsia="es-CO"/>
        </w:rPr>
        <w:t xml:space="preserve"> que profiera el Director de la Unidad Nacional de Gestión de Riesgo de Desastre o su delegado en donde se indique la valoración contable de los mismos para efectos del control que se requiera para el efecto” (énfasis fuera de texto). </w:t>
      </w:r>
    </w:p>
    <w:p w14:paraId="5508F5DE" w14:textId="77777777" w:rsidR="007E5EE3" w:rsidRPr="00C278CC" w:rsidRDefault="007E5EE3" w:rsidP="007E5EE3">
      <w:pPr>
        <w:spacing w:after="0" w:line="276" w:lineRule="auto"/>
        <w:jc w:val="both"/>
        <w:rPr>
          <w:rFonts w:ascii="Verdana" w:hAnsi="Verdana" w:cs="Arial"/>
          <w:bCs/>
          <w:lang w:val="es-ES_tradnl" w:eastAsia="es-CO"/>
        </w:rPr>
      </w:pPr>
    </w:p>
    <w:p w14:paraId="53CD2555" w14:textId="4B686F45" w:rsidR="007E5EE3" w:rsidRPr="00C278CC" w:rsidRDefault="007E5EE3" w:rsidP="002027A0">
      <w:pPr>
        <w:spacing w:after="120" w:line="276" w:lineRule="auto"/>
        <w:ind w:firstLine="709"/>
        <w:jc w:val="both"/>
        <w:rPr>
          <w:rFonts w:ascii="Verdana" w:hAnsi="Verdana" w:cs="Arial"/>
          <w:bCs/>
          <w:lang w:val="es-ES_tradnl" w:eastAsia="es-CO"/>
        </w:rPr>
      </w:pPr>
      <w:r w:rsidRPr="00C278CC">
        <w:rPr>
          <w:rFonts w:ascii="Verdana" w:hAnsi="Verdana" w:cs="Arial"/>
          <w:bCs/>
          <w:lang w:val="es-ES_tradnl" w:eastAsia="es-CO"/>
        </w:rPr>
        <w:t xml:space="preserve">Obsérvese que las normas citadas no disponen que la transferencia de los recursos debe hacerse a través de convenio o contrato. Por el contrario, establecen que debe formalizarse mediante la expedición de un </w:t>
      </w:r>
      <w:r w:rsidRPr="00C278CC">
        <w:rPr>
          <w:rFonts w:ascii="Verdana" w:hAnsi="Verdana" w:cs="Arial"/>
          <w:bCs/>
          <w:i/>
          <w:iCs/>
          <w:lang w:val="es-ES_tradnl" w:eastAsia="es-CO"/>
        </w:rPr>
        <w:t>acto administrativo</w:t>
      </w:r>
      <w:r w:rsidR="00863DB5" w:rsidRPr="00C278CC">
        <w:rPr>
          <w:rFonts w:ascii="Verdana" w:hAnsi="Verdana" w:cs="Arial"/>
          <w:bCs/>
          <w:lang w:val="es-ES_tradnl" w:eastAsia="es-CO"/>
        </w:rPr>
        <w:t>, es decir, una actuación administrativa distinta</w:t>
      </w:r>
      <w:r w:rsidRPr="00C278CC">
        <w:rPr>
          <w:rFonts w:ascii="Verdana" w:hAnsi="Verdana" w:cs="Arial"/>
          <w:bCs/>
          <w:lang w:val="es-ES_tradnl" w:eastAsia="es-CO"/>
        </w:rPr>
        <w:t>. Esta diferencia adquiere relevancia para saber si la transferencia gratuita de recursos efectuada mediante acto administrativo está prohibida por el parágrafo del artículo 38 de la Ley 996 de 2005.</w:t>
      </w:r>
    </w:p>
    <w:p w14:paraId="36D633CE" w14:textId="77777777" w:rsidR="009D35BB" w:rsidRPr="00C278CC" w:rsidRDefault="007E5EE3" w:rsidP="002027A0">
      <w:pPr>
        <w:spacing w:after="120" w:line="276" w:lineRule="auto"/>
        <w:ind w:firstLine="709"/>
        <w:jc w:val="both"/>
        <w:rPr>
          <w:rFonts w:ascii="Verdana" w:hAnsi="Verdana" w:cs="Arial"/>
          <w:lang w:val="es-ES" w:eastAsia="es-CO"/>
        </w:rPr>
      </w:pPr>
      <w:r w:rsidRPr="00C278CC">
        <w:rPr>
          <w:rFonts w:ascii="Verdana" w:hAnsi="Verdana" w:cs="Arial"/>
          <w:lang w:val="es-ES" w:eastAsia="es-CO"/>
        </w:rPr>
        <w:t xml:space="preserve">Para resolver dicho interrogante, es necesario indicar que, en el ordenamiento jurídico colombiano, el contrato y el acto administrativo, constituyen instituciones distintas. En efecto, según el artículo 1495 del Código </w:t>
      </w:r>
      <w:r w:rsidRPr="00C278CC">
        <w:rPr>
          <w:rFonts w:ascii="Verdana" w:hAnsi="Verdana" w:cs="Arial"/>
          <w:lang w:val="es-ES" w:eastAsia="es-CO"/>
        </w:rPr>
        <w:lastRenderedPageBreak/>
        <w:t>Civil</w:t>
      </w:r>
      <w:r w:rsidRPr="00C278CC">
        <w:rPr>
          <w:rStyle w:val="Refdenotaalpie"/>
          <w:rFonts w:ascii="Verdana" w:hAnsi="Verdana" w:cs="Arial"/>
          <w:lang w:val="es-ES" w:eastAsia="es-CO"/>
        </w:rPr>
        <w:footnoteReference w:id="37"/>
      </w:r>
      <w:r w:rsidRPr="00C278CC">
        <w:rPr>
          <w:rFonts w:ascii="Verdana" w:hAnsi="Verdana" w:cs="Arial"/>
          <w:lang w:val="es-ES" w:eastAsia="es-CO"/>
        </w:rPr>
        <w:t xml:space="preserve">, “Contrato o convención es un acto por el cual una parte se obliga para con otra a dar, hacer o no hacer alguna cosa”. En cambio, el acto administrativo es una declaración o manifestación unilateral de voluntad proferida por un órgano del Estado o un particular –en ejercicio de función administrativa, electoral o de control–, encaminada a producir efectos jurídicos. </w:t>
      </w:r>
    </w:p>
    <w:p w14:paraId="001E0600" w14:textId="742B2924" w:rsidR="007E5EE3" w:rsidRPr="00C278CC" w:rsidRDefault="007E5EE3" w:rsidP="002027A0">
      <w:pPr>
        <w:spacing w:after="120" w:line="276" w:lineRule="auto"/>
        <w:ind w:firstLine="709"/>
        <w:jc w:val="both"/>
        <w:rPr>
          <w:rFonts w:ascii="Verdana" w:hAnsi="Verdana" w:cs="Arial"/>
          <w:lang w:val="es-ES" w:eastAsia="es-CO"/>
        </w:rPr>
      </w:pPr>
      <w:r w:rsidRPr="00C278CC">
        <w:rPr>
          <w:rFonts w:ascii="Verdana" w:hAnsi="Verdana" w:cs="Arial"/>
          <w:lang w:val="es-ES" w:eastAsia="es-CO"/>
        </w:rPr>
        <w:t>La unilateralidad, como elemento de la definición del acto administrativo, se observa en la Sentencia C-487 de 1996</w:t>
      </w:r>
      <w:r w:rsidRPr="00C278CC">
        <w:rPr>
          <w:rStyle w:val="Refdenotaalpie"/>
          <w:rFonts w:ascii="Verdana" w:hAnsi="Verdana" w:cs="Arial"/>
          <w:lang w:val="es-ES" w:eastAsia="es-CO"/>
        </w:rPr>
        <w:footnoteReference w:id="38"/>
      </w:r>
      <w:r w:rsidRPr="00C278CC">
        <w:rPr>
          <w:rFonts w:ascii="Verdana" w:hAnsi="Verdana" w:cs="Arial"/>
          <w:lang w:val="es-ES" w:eastAsia="es-CO"/>
        </w:rPr>
        <w:t xml:space="preserve">, en la que la Corte Constitucional afirmó que el acto administrativo “[…] se manifiesta a través de las declaraciones </w:t>
      </w:r>
      <w:r w:rsidRPr="00C278CC">
        <w:rPr>
          <w:rFonts w:ascii="Verdana" w:hAnsi="Verdana" w:cs="Arial"/>
          <w:i/>
          <w:iCs/>
          <w:lang w:val="es-ES" w:eastAsia="es-CO"/>
        </w:rPr>
        <w:t>unilaterales</w:t>
      </w:r>
      <w:r w:rsidRPr="00C278CC">
        <w:rPr>
          <w:rFonts w:ascii="Verdana" w:hAnsi="Verdana" w:cs="Arial"/>
          <w:lang w:val="es-ES" w:eastAsia="es-CO"/>
        </w:rPr>
        <w:t>, creadoras de situaciones jurídicas generales, objetivas y abstractas, o subjetivas particulares y concretas” (énfasis fuera de texto). Así también lo señaló en la Sentencia C-542 de 2005</w:t>
      </w:r>
      <w:r w:rsidRPr="00C278CC">
        <w:rPr>
          <w:rStyle w:val="Refdenotaalpie"/>
          <w:rFonts w:ascii="Verdana" w:hAnsi="Verdana" w:cs="Arial"/>
          <w:lang w:val="es-ES" w:eastAsia="es-CO"/>
        </w:rPr>
        <w:footnoteReference w:id="39"/>
      </w:r>
      <w:r w:rsidRPr="00C278CC">
        <w:rPr>
          <w:rFonts w:ascii="Verdana" w:hAnsi="Verdana" w:cs="Arial"/>
          <w:lang w:val="es-ES" w:eastAsia="es-CO"/>
        </w:rPr>
        <w:t xml:space="preserve">. El Consejo de Estado, asimismo, ha indicado que el acto administrativo es “toda manifestación </w:t>
      </w:r>
      <w:r w:rsidRPr="00C278CC">
        <w:rPr>
          <w:rFonts w:ascii="Verdana" w:hAnsi="Verdana" w:cs="Arial"/>
          <w:i/>
          <w:iCs/>
          <w:lang w:val="es-ES" w:eastAsia="es-CO"/>
        </w:rPr>
        <w:t>unilateral</w:t>
      </w:r>
      <w:r w:rsidRPr="00C278CC">
        <w:rPr>
          <w:rFonts w:ascii="Verdana" w:hAnsi="Verdana" w:cs="Arial"/>
          <w:lang w:val="es-ES" w:eastAsia="es-CO"/>
        </w:rPr>
        <w:t>, por regla general de voluntad, de quienes ejercen funciones administrativas, tendiente a la producción de efectos jurídicos” (énfasis fuera de texto).</w:t>
      </w:r>
    </w:p>
    <w:p w14:paraId="2DF0F9DB" w14:textId="77777777" w:rsidR="009D35BB" w:rsidRPr="00C278CC" w:rsidRDefault="007E5EE3" w:rsidP="002027A0">
      <w:pPr>
        <w:spacing w:after="120" w:line="276" w:lineRule="auto"/>
        <w:ind w:firstLine="709"/>
        <w:jc w:val="both"/>
        <w:rPr>
          <w:rFonts w:ascii="Verdana" w:hAnsi="Verdana" w:cs="Arial"/>
          <w:lang w:val="es-ES" w:eastAsia="es-CO"/>
        </w:rPr>
      </w:pPr>
      <w:r w:rsidRPr="00C278CC">
        <w:rPr>
          <w:rFonts w:ascii="Verdana" w:hAnsi="Verdana" w:cs="Arial"/>
          <w:lang w:val="es-ES" w:eastAsia="es-CO"/>
        </w:rPr>
        <w:t>Una explicación de la unilateralidad como elemento definitorio del acto administrativo, en comparación con la bilateralidad propia del contrato, se encuentra suficientemente desarrollada en la obra de José Antonio García-Trevijano Fos</w:t>
      </w:r>
      <w:r w:rsidRPr="00C278CC">
        <w:rPr>
          <w:rStyle w:val="Refdenotaalpie"/>
          <w:rFonts w:ascii="Verdana" w:hAnsi="Verdana" w:cs="Arial"/>
          <w:lang w:val="es-ES" w:eastAsia="es-CO"/>
        </w:rPr>
        <w:footnoteReference w:id="40"/>
      </w:r>
      <w:r w:rsidRPr="00C278CC">
        <w:rPr>
          <w:rFonts w:ascii="Verdana" w:hAnsi="Verdana" w:cs="Arial"/>
          <w:lang w:val="es-ES" w:eastAsia="es-CO"/>
        </w:rPr>
        <w:t xml:space="preserve">. Este autor inicia su análisis diferenciando el acto administrativo y el contrato, indicando que el primero debe ser un acto </w:t>
      </w:r>
      <w:r w:rsidRPr="00C278CC">
        <w:rPr>
          <w:rFonts w:ascii="Verdana" w:hAnsi="Verdana" w:cs="Arial"/>
          <w:i/>
          <w:iCs/>
          <w:lang w:val="es-ES" w:eastAsia="es-CO"/>
        </w:rPr>
        <w:t>unilateral</w:t>
      </w:r>
      <w:r w:rsidRPr="00C278CC">
        <w:rPr>
          <w:rFonts w:ascii="Verdana" w:hAnsi="Verdana" w:cs="Arial"/>
          <w:lang w:val="es-ES" w:eastAsia="es-CO"/>
        </w:rPr>
        <w:t xml:space="preserve">, mientras que el segundo ha de consistir en un acto </w:t>
      </w:r>
      <w:r w:rsidRPr="00C278CC">
        <w:rPr>
          <w:rFonts w:ascii="Verdana" w:hAnsi="Verdana" w:cs="Arial"/>
          <w:i/>
          <w:iCs/>
          <w:lang w:val="es-ES" w:eastAsia="es-CO"/>
        </w:rPr>
        <w:t>bilateral</w:t>
      </w:r>
      <w:r w:rsidRPr="00C278CC">
        <w:rPr>
          <w:rStyle w:val="Refdenotaalpie"/>
          <w:rFonts w:ascii="Verdana" w:hAnsi="Verdana" w:cs="Arial"/>
          <w:lang w:val="es-ES" w:eastAsia="es-CO"/>
        </w:rPr>
        <w:footnoteReference w:id="41"/>
      </w:r>
      <w:r w:rsidRPr="00C278CC">
        <w:rPr>
          <w:rFonts w:ascii="Verdana" w:hAnsi="Verdana" w:cs="Arial"/>
          <w:lang w:val="es-ES" w:eastAsia="es-CO"/>
        </w:rPr>
        <w:t xml:space="preserve">. De igual manera, aclara que cuando emplea los conceptos unilateralidad y bilateralidad no está aludiendo a los efectos, sino a la relación jurídica o fuente de la declaración. Esta aclaración es importante, porque también está sobre la base de las definiciones jurisprudenciales que se mencionaron en el párrafo precedente. </w:t>
      </w:r>
    </w:p>
    <w:p w14:paraId="1AD8D27E" w14:textId="2BCB365B" w:rsidR="007E5EE3" w:rsidRPr="00C278CC" w:rsidRDefault="007E5EE3" w:rsidP="007E5EE3">
      <w:pPr>
        <w:spacing w:before="120" w:after="0" w:line="276" w:lineRule="auto"/>
        <w:ind w:firstLine="709"/>
        <w:jc w:val="both"/>
        <w:rPr>
          <w:rFonts w:ascii="Verdana" w:hAnsi="Verdana" w:cs="Arial"/>
          <w:lang w:val="es-ES" w:eastAsia="es-CO"/>
        </w:rPr>
      </w:pPr>
      <w:r w:rsidRPr="00C278CC">
        <w:rPr>
          <w:rFonts w:ascii="Verdana" w:hAnsi="Verdana" w:cs="Arial"/>
          <w:lang w:val="es-ES" w:eastAsia="es-CO"/>
        </w:rPr>
        <w:t xml:space="preserve">Pero, ¿qué quiere decir, por tanto, que el acto administrativo es unilateral, en oposición al contrato, que es bilateral –o sea, un negocio jurídico–? García-Trevijano Fos lo aclara así: </w:t>
      </w:r>
    </w:p>
    <w:p w14:paraId="0B0FF0DD" w14:textId="77777777" w:rsidR="007E5EE3" w:rsidRPr="00C278CC" w:rsidRDefault="007E5EE3" w:rsidP="007E5EE3">
      <w:pPr>
        <w:spacing w:after="0"/>
        <w:ind w:left="709" w:right="709"/>
        <w:jc w:val="both"/>
        <w:rPr>
          <w:rFonts w:ascii="Verdana" w:hAnsi="Verdana" w:cs="Arial"/>
          <w:bCs/>
          <w:sz w:val="21"/>
          <w:szCs w:val="21"/>
          <w:lang w:val="es-ES_tradnl" w:eastAsia="es-CO"/>
        </w:rPr>
      </w:pPr>
    </w:p>
    <w:p w14:paraId="7D97FBEA" w14:textId="77777777" w:rsidR="007E5EE3" w:rsidRPr="00C278CC" w:rsidRDefault="007E5EE3" w:rsidP="00E75BF2">
      <w:pPr>
        <w:spacing w:after="0" w:line="240" w:lineRule="auto"/>
        <w:ind w:left="709" w:right="709"/>
        <w:jc w:val="both"/>
        <w:rPr>
          <w:rFonts w:ascii="Verdana" w:hAnsi="Verdana" w:cs="Arial"/>
          <w:bCs/>
          <w:sz w:val="20"/>
          <w:szCs w:val="20"/>
          <w:lang w:val="es-ES_tradnl" w:eastAsia="es-CO"/>
        </w:rPr>
      </w:pPr>
      <w:r w:rsidRPr="00C278CC">
        <w:rPr>
          <w:rFonts w:ascii="Verdana" w:hAnsi="Verdana" w:cs="Arial"/>
          <w:bCs/>
          <w:sz w:val="20"/>
          <w:szCs w:val="20"/>
          <w:lang w:val="es-ES_tradnl" w:eastAsia="es-CO"/>
        </w:rPr>
        <w:t xml:space="preserve">“La unilateralidad en el Derecho administrativo hay que encontrarla en el origen de la relación jurídica y de aquí la irrelevancia de la voluntad del </w:t>
      </w:r>
      <w:r w:rsidRPr="00C278CC">
        <w:rPr>
          <w:rFonts w:ascii="Verdana" w:hAnsi="Verdana" w:cs="Arial"/>
          <w:bCs/>
          <w:sz w:val="20"/>
          <w:szCs w:val="20"/>
          <w:lang w:val="es-ES_tradnl" w:eastAsia="es-CO"/>
        </w:rPr>
        <w:lastRenderedPageBreak/>
        <w:t>administrado que, aunque ponga en marcha un procedimiento y el acto que se dicte al final sea a su petición, no tiene fuerza suficiente para generar un contrato. De mantener una tesis contractualista habría que llegar a consecuencias aberrantes porque serían contratos, es decir, actos bilaterales por su origen, los convenios expropiatorios, la imposición de multas con aceptación, el servicio militar como voluntario, los recursos administrativos estimados y, en fin, todo acto jurídico procedente de la Administración a instancia de parte se transformaría en un contrato”</w:t>
      </w:r>
      <w:r w:rsidRPr="00C278CC">
        <w:rPr>
          <w:rStyle w:val="Refdenotaalpie"/>
          <w:rFonts w:ascii="Verdana" w:hAnsi="Verdana" w:cs="Arial"/>
          <w:bCs/>
          <w:sz w:val="20"/>
          <w:szCs w:val="20"/>
          <w:lang w:val="es-ES_tradnl" w:eastAsia="es-CO"/>
        </w:rPr>
        <w:footnoteReference w:id="42"/>
      </w:r>
      <w:r w:rsidRPr="00C278CC">
        <w:rPr>
          <w:rFonts w:ascii="Verdana" w:hAnsi="Verdana" w:cs="Arial"/>
          <w:bCs/>
          <w:sz w:val="20"/>
          <w:szCs w:val="20"/>
          <w:lang w:val="es-ES_tradnl" w:eastAsia="es-CO"/>
        </w:rPr>
        <w:t>.</w:t>
      </w:r>
    </w:p>
    <w:p w14:paraId="4AA83199" w14:textId="77777777" w:rsidR="007E5EE3" w:rsidRPr="00C278CC" w:rsidRDefault="007E5EE3" w:rsidP="007E5EE3">
      <w:pPr>
        <w:spacing w:after="0" w:line="276" w:lineRule="auto"/>
        <w:ind w:firstLine="709"/>
        <w:jc w:val="both"/>
        <w:rPr>
          <w:rFonts w:ascii="Verdana" w:hAnsi="Verdana" w:cs="Arial"/>
          <w:bCs/>
          <w:lang w:val="es-ES_tradnl" w:eastAsia="es-CO"/>
        </w:rPr>
      </w:pPr>
    </w:p>
    <w:p w14:paraId="3183A282" w14:textId="77777777" w:rsidR="007E5EE3" w:rsidRPr="00C278CC" w:rsidRDefault="007E5EE3" w:rsidP="007E5EE3">
      <w:pPr>
        <w:spacing w:line="276" w:lineRule="auto"/>
        <w:ind w:firstLine="709"/>
        <w:jc w:val="both"/>
        <w:rPr>
          <w:rFonts w:ascii="Verdana" w:hAnsi="Verdana" w:cs="Arial"/>
          <w:lang w:val="es-ES" w:eastAsia="es-CO"/>
        </w:rPr>
      </w:pPr>
      <w:r w:rsidRPr="00C278CC">
        <w:rPr>
          <w:rFonts w:ascii="Verdana" w:hAnsi="Verdana" w:cs="Arial"/>
          <w:lang w:val="es-ES" w:eastAsia="es-CO"/>
        </w:rPr>
        <w:t xml:space="preserve">Es cierto que en ocasiones el destinatario del acto administrativo acepta la decisión contenida en este –por ejemplo, accede a pagar la multa impuesta, recibe el subsidio, se posesiona en el cargo para el cual fue nombrado o no lo recurre (lo que podría entenderse como una aceptación tácita)–, pero esto no significa que, por haber tolerado o estado de acuerdo con el acto administrativo, este se convierta en un contrato. En tales eventos el acto administrativo no pierde su naturaleza de declaración </w:t>
      </w:r>
      <w:r w:rsidRPr="00C278CC">
        <w:rPr>
          <w:rFonts w:ascii="Verdana" w:hAnsi="Verdana" w:cs="Arial"/>
          <w:i/>
          <w:iCs/>
          <w:lang w:val="es-ES" w:eastAsia="es-CO"/>
        </w:rPr>
        <w:t>unilateral</w:t>
      </w:r>
      <w:r w:rsidRPr="00C278CC">
        <w:rPr>
          <w:rFonts w:ascii="Verdana" w:hAnsi="Verdana" w:cs="Arial"/>
          <w:lang w:val="es-ES" w:eastAsia="es-CO"/>
        </w:rPr>
        <w:t xml:space="preserve"> de voluntad, porque se perfeccionó siendo eso: una decisión. Por tanto, la declaración </w:t>
      </w:r>
      <w:r w:rsidRPr="00C278CC">
        <w:rPr>
          <w:rFonts w:ascii="Verdana" w:hAnsi="Verdana" w:cs="Arial"/>
          <w:i/>
          <w:iCs/>
          <w:lang w:val="es-ES" w:eastAsia="es-CO"/>
        </w:rPr>
        <w:t>posterior</w:t>
      </w:r>
      <w:r w:rsidRPr="00C278CC">
        <w:rPr>
          <w:rFonts w:ascii="Verdana" w:hAnsi="Verdana" w:cs="Arial"/>
          <w:lang w:val="es-ES" w:eastAsia="es-CO"/>
        </w:rPr>
        <w:t xml:space="preserve"> de un sujeto mostrándose conforme con lo decidido o cumpliendo lo dispuesto en la resolución no cambia la naturaleza del acto administrativo, pues este completa sus requisitos de existencia desde que se presenta la declaración unilateral. De ahí la relevancia de fijarse en el origen de la relación jurídica para apreciar la unilateralidad y no en sus efectos.</w:t>
      </w:r>
    </w:p>
    <w:p w14:paraId="21FE2C98" w14:textId="77777777" w:rsidR="007E5EE3" w:rsidRPr="00C278CC" w:rsidRDefault="007E5EE3" w:rsidP="007E5EE3">
      <w:pPr>
        <w:spacing w:before="120" w:line="276" w:lineRule="auto"/>
        <w:ind w:firstLine="709"/>
        <w:jc w:val="both"/>
        <w:rPr>
          <w:rFonts w:ascii="Verdana" w:hAnsi="Verdana" w:cs="Arial"/>
          <w:lang w:val="es-ES" w:eastAsia="es-CO"/>
        </w:rPr>
      </w:pPr>
      <w:r w:rsidRPr="00C278CC">
        <w:rPr>
          <w:rFonts w:ascii="Verdana" w:hAnsi="Verdana" w:cs="Arial"/>
          <w:lang w:val="es-ES" w:eastAsia="es-CO"/>
        </w:rPr>
        <w:t xml:space="preserve">Tampoco puede afirmarse válidamente que el acto administrativo se convierta en un contrato o convenio por la circunstancia de establecer condiciones para que se activen los efectos favorables dispuestos en la decisión o por el hecho de que el acto prevea obligaciones de variada índole, que deban cumplir sus destinatarios. Por esta razón, la doctrina explica que en los actos administrativos “se suelen incluir una serie de cláusulas que </w:t>
      </w:r>
      <w:r w:rsidRPr="00C278CC">
        <w:rPr>
          <w:rFonts w:ascii="Verdana" w:hAnsi="Verdana" w:cs="Arial"/>
          <w:i/>
          <w:iCs/>
          <w:lang w:val="es-ES" w:eastAsia="es-CO"/>
        </w:rPr>
        <w:t>complementan, delimitan o modulan</w:t>
      </w:r>
      <w:r w:rsidRPr="00C278CC">
        <w:rPr>
          <w:rFonts w:ascii="Verdana" w:hAnsi="Verdana" w:cs="Arial"/>
          <w:lang w:val="es-ES" w:eastAsia="es-CO"/>
        </w:rPr>
        <w:t xml:space="preserve"> la situación jurídica”</w:t>
      </w:r>
      <w:r w:rsidRPr="00C278CC">
        <w:rPr>
          <w:rStyle w:val="Refdenotaalpie"/>
          <w:rFonts w:ascii="Verdana" w:hAnsi="Verdana" w:cs="Arial"/>
          <w:lang w:val="es-ES" w:eastAsia="es-CO"/>
        </w:rPr>
        <w:footnoteReference w:id="43"/>
      </w:r>
      <w:r w:rsidRPr="00C278CC">
        <w:rPr>
          <w:rFonts w:ascii="Verdana" w:hAnsi="Verdana" w:cs="Arial"/>
          <w:lang w:val="es-ES" w:eastAsia="es-CO"/>
        </w:rPr>
        <w:t>. Esas cláusulas pueden ser términos, condiciones, modos o cargas, facultades o reservas de modificación o de revocación</w:t>
      </w:r>
      <w:r w:rsidRPr="00C278CC">
        <w:rPr>
          <w:rStyle w:val="Refdenotaalpie"/>
          <w:rFonts w:ascii="Verdana" w:hAnsi="Verdana" w:cs="Arial"/>
          <w:lang w:val="es-ES" w:eastAsia="es-CO"/>
        </w:rPr>
        <w:footnoteReference w:id="44"/>
      </w:r>
      <w:r w:rsidRPr="00C278CC">
        <w:rPr>
          <w:rFonts w:ascii="Verdana" w:hAnsi="Verdana" w:cs="Arial"/>
          <w:lang w:val="es-ES" w:eastAsia="es-CO"/>
        </w:rPr>
        <w:t xml:space="preserve">. “La condición es una cláusula que hace depender el comienzo (condición </w:t>
      </w:r>
      <w:r w:rsidRPr="00C278CC">
        <w:rPr>
          <w:rFonts w:ascii="Verdana" w:hAnsi="Verdana" w:cs="Arial"/>
          <w:i/>
          <w:iCs/>
          <w:lang w:val="es-ES" w:eastAsia="es-CO"/>
        </w:rPr>
        <w:t>suspensiva</w:t>
      </w:r>
      <w:r w:rsidRPr="00C278CC">
        <w:rPr>
          <w:rFonts w:ascii="Verdana" w:hAnsi="Verdana" w:cs="Arial"/>
          <w:lang w:val="es-ES" w:eastAsia="es-CO"/>
        </w:rPr>
        <w:t xml:space="preserve">) o la finalización (condición </w:t>
      </w:r>
      <w:r w:rsidRPr="00C278CC">
        <w:rPr>
          <w:rFonts w:ascii="Verdana" w:hAnsi="Verdana" w:cs="Arial"/>
          <w:i/>
          <w:iCs/>
          <w:lang w:val="es-ES" w:eastAsia="es-CO"/>
        </w:rPr>
        <w:t>resolutoria</w:t>
      </w:r>
      <w:r w:rsidRPr="00C278CC">
        <w:rPr>
          <w:rFonts w:ascii="Verdana" w:hAnsi="Verdana" w:cs="Arial"/>
          <w:lang w:val="es-ES" w:eastAsia="es-CO"/>
        </w:rPr>
        <w:t>) de la eficacia de una resolución de un acontecimiento futuro”</w:t>
      </w:r>
      <w:r w:rsidRPr="00C278CC">
        <w:rPr>
          <w:rStyle w:val="Refdenotaalpie"/>
          <w:rFonts w:ascii="Verdana" w:hAnsi="Verdana" w:cs="Arial"/>
          <w:lang w:val="es-ES" w:eastAsia="es-CO"/>
        </w:rPr>
        <w:footnoteReference w:id="45"/>
      </w:r>
      <w:r w:rsidRPr="00C278CC">
        <w:rPr>
          <w:rFonts w:ascii="Verdana" w:hAnsi="Verdana" w:cs="Arial"/>
          <w:lang w:val="es-ES" w:eastAsia="es-CO"/>
        </w:rPr>
        <w:t xml:space="preserve">, mientras que “Los modos o </w:t>
      </w:r>
      <w:r w:rsidRPr="00C278CC">
        <w:rPr>
          <w:rFonts w:ascii="Verdana" w:hAnsi="Verdana" w:cs="Arial"/>
          <w:lang w:val="es-ES" w:eastAsia="es-CO"/>
        </w:rPr>
        <w:lastRenderedPageBreak/>
        <w:t>cargas constituyen en las resoluciones […] obligaciones de realizar, tolerar u omitir determinadas actuaciones de la Administración vinculadas al derecho otorgado”</w:t>
      </w:r>
      <w:r w:rsidRPr="00C278CC">
        <w:rPr>
          <w:rStyle w:val="Refdenotaalpie"/>
          <w:rFonts w:ascii="Verdana" w:hAnsi="Verdana" w:cs="Arial"/>
          <w:lang w:val="es-ES" w:eastAsia="es-CO"/>
        </w:rPr>
        <w:footnoteReference w:id="46"/>
      </w:r>
      <w:r w:rsidRPr="00C278CC">
        <w:rPr>
          <w:rFonts w:ascii="Verdana" w:hAnsi="Verdana" w:cs="Arial"/>
          <w:lang w:val="es-ES" w:eastAsia="es-CO"/>
        </w:rPr>
        <w:t xml:space="preserve">. Conforme a esto, el hecho de que un acto administrativo mediante el cual se realice una transferencia de recursos esté sujeto a condiciones o cargas no muta dicho acto en un contrato, pues dicha condición o carga la impone la autoridad de manera unilateral. </w:t>
      </w:r>
    </w:p>
    <w:p w14:paraId="2F01951E" w14:textId="77777777" w:rsidR="007E5EE3" w:rsidRPr="00C278CC" w:rsidRDefault="007E5EE3" w:rsidP="007E5EE3">
      <w:pPr>
        <w:spacing w:before="120" w:line="276" w:lineRule="auto"/>
        <w:ind w:firstLine="709"/>
        <w:jc w:val="both"/>
        <w:rPr>
          <w:rFonts w:ascii="Verdana" w:hAnsi="Verdana" w:cs="Arial"/>
          <w:lang w:val="es-ES" w:eastAsia="es-CO"/>
        </w:rPr>
      </w:pPr>
      <w:r w:rsidRPr="00C278CC">
        <w:rPr>
          <w:rFonts w:ascii="Verdana" w:hAnsi="Verdana" w:cs="Arial"/>
          <w:lang w:val="es-ES" w:eastAsia="es-CO"/>
        </w:rPr>
        <w:t xml:space="preserve">Circunstancia distinta es aquella en la que dos sujetos –públicos, privados o entremezclados– acuerden algo, produciendo </w:t>
      </w:r>
      <w:r w:rsidRPr="00C278CC">
        <w:rPr>
          <w:rFonts w:ascii="Verdana" w:hAnsi="Verdana" w:cs="Arial"/>
          <w:i/>
          <w:iCs/>
          <w:lang w:val="es-ES" w:eastAsia="es-CO"/>
        </w:rPr>
        <w:t>en su origen</w:t>
      </w:r>
      <w:r w:rsidRPr="00C278CC">
        <w:rPr>
          <w:rFonts w:ascii="Verdana" w:hAnsi="Verdana" w:cs="Arial"/>
          <w:lang w:val="es-ES" w:eastAsia="es-CO"/>
        </w:rPr>
        <w:t xml:space="preserve"> un contrato, bien sea desde que se exprese el consentimiento –contrato consensual–, se entregue una cosa –contrato real– o se cumple con la solemnidad habilitante –contrato solemne–. En todas estas modalidades convencionales hay un acuerdo de voluntades desde el inicio de la relación jurídica. En otras palabras, “La conjunción de voluntades de las partes, con la finalidad de crear vínculos jurídicos entre ellas, reconocidos en derecho, es lo que en técnica jurídica podemos denominar consentimiento, que es el primer requisito de existencia de todo contrato”</w:t>
      </w:r>
      <w:r w:rsidRPr="00C278CC">
        <w:rPr>
          <w:rStyle w:val="Refdenotaalpie"/>
          <w:rFonts w:ascii="Verdana" w:hAnsi="Verdana" w:cs="Arial"/>
          <w:lang w:val="es-ES" w:eastAsia="es-CO"/>
        </w:rPr>
        <w:footnoteReference w:id="47"/>
      </w:r>
      <w:r w:rsidRPr="00C278CC">
        <w:rPr>
          <w:rFonts w:ascii="Verdana" w:hAnsi="Verdana" w:cs="Arial"/>
          <w:lang w:val="es-ES" w:eastAsia="es-CO"/>
        </w:rPr>
        <w:t xml:space="preserve">. Sin ese acuerdo de voluntades el contrato no existiría jamás. Esto también resulta predicable de los </w:t>
      </w:r>
      <w:r w:rsidRPr="00C278CC">
        <w:rPr>
          <w:rFonts w:ascii="Verdana" w:hAnsi="Verdana" w:cs="Arial"/>
          <w:i/>
          <w:iCs/>
          <w:lang w:val="es-ES" w:eastAsia="es-CO"/>
        </w:rPr>
        <w:t>contratos de adhesión</w:t>
      </w:r>
      <w:r w:rsidRPr="00C278CC">
        <w:rPr>
          <w:rFonts w:ascii="Verdana" w:hAnsi="Verdana" w:cs="Arial"/>
          <w:lang w:val="es-ES" w:eastAsia="es-CO"/>
        </w:rPr>
        <w:t>, en los que, si bien hay asimetría entre las partes, es evidente que se presenta un acuerdo de voluntades en el que, quien se adhiere a las condiciones de uno de los sujetos también expresa su consentimiento, pues, de lo contrario, no se perfeccionaría el contrato</w:t>
      </w:r>
      <w:r w:rsidRPr="00C278CC">
        <w:rPr>
          <w:rStyle w:val="Refdenotaalpie"/>
          <w:rFonts w:ascii="Verdana" w:hAnsi="Verdana" w:cs="Arial"/>
          <w:lang w:val="es-ES" w:eastAsia="es-CO"/>
        </w:rPr>
        <w:footnoteReference w:id="48"/>
      </w:r>
      <w:r w:rsidRPr="00C278CC">
        <w:rPr>
          <w:rFonts w:ascii="Verdana" w:hAnsi="Verdana" w:cs="Arial"/>
          <w:lang w:val="es-ES" w:eastAsia="es-CO"/>
        </w:rPr>
        <w:t>. Por eso, puede afirmarse que la unilateralidad de la voluntad contradice la idea de contrato. Aun cuando en el derecho privado también haya espacio para los actos jurídicos unilaterales –uno de cuyos ejemplos prototípicos, como se verá, es el testamento–, lo cierto es que dichos actos no son contratos.</w:t>
      </w:r>
    </w:p>
    <w:p w14:paraId="6AC267D4" w14:textId="77777777" w:rsidR="007E5EE3" w:rsidRPr="00C278CC" w:rsidRDefault="007E5EE3" w:rsidP="007E5EE3">
      <w:pPr>
        <w:spacing w:before="120" w:line="276" w:lineRule="auto"/>
        <w:ind w:firstLine="709"/>
        <w:jc w:val="both"/>
        <w:rPr>
          <w:rFonts w:ascii="Verdana" w:hAnsi="Verdana" w:cs="Arial"/>
          <w:lang w:val="es-ES" w:eastAsia="es-CO"/>
        </w:rPr>
      </w:pPr>
      <w:r w:rsidRPr="00C278CC">
        <w:rPr>
          <w:rFonts w:ascii="Verdana" w:hAnsi="Verdana" w:cs="Arial"/>
          <w:lang w:val="es-ES" w:eastAsia="es-CO"/>
        </w:rPr>
        <w:lastRenderedPageBreak/>
        <w:t>A partir de la precisión hecha sobre la unilateralidad en el origen, como aquello que determina la diferencia entre el acto administrativo y el contrato –independientemente del régimen jurídico aplicable a este–, puede comprenderse por qué aunque un contrato en ocasiones reciba el nombre de “unilateral”, sigue siendo bilateral en su origen, es decir, en su perfeccionamiento. En efecto, el artículo 1496 del Código Civil establece que “El contrato es unilateral cuando una de las partes se obliga para con otra que no contrae obligación alguna; y bilateral, cuando las partes contratantes se obligan recíprocamente”. Sin embargo, en ambos casos hay negocio jurídico, es decir, acuerdo de voluntades para crear obligaciones. El hecho de que estas se creen solo a cargo de una de las partes no desdice de su carácter contractual. En consecuencia, cuando el mencionado artículo plantea la distinción de los contratos en unilaterales y bilaterales no se está refiriendo al origen, sino a los efectos del acuerdo sobre las obligaciones.</w:t>
      </w:r>
    </w:p>
    <w:p w14:paraId="3F16183E" w14:textId="74B4DF45" w:rsidR="007E5EE3" w:rsidRPr="00C278CC" w:rsidRDefault="007E5EE3" w:rsidP="007E5EE3">
      <w:pPr>
        <w:spacing w:before="120" w:line="276" w:lineRule="auto"/>
        <w:ind w:firstLine="709"/>
        <w:jc w:val="both"/>
        <w:rPr>
          <w:rFonts w:ascii="Verdana" w:hAnsi="Verdana" w:cs="Arial"/>
          <w:lang w:val="es-ES" w:eastAsia="es-CO"/>
        </w:rPr>
      </w:pPr>
      <w:r w:rsidRPr="00C278CC">
        <w:rPr>
          <w:rFonts w:ascii="Verdana" w:hAnsi="Verdana" w:cs="Arial"/>
          <w:lang w:val="es-ES" w:eastAsia="es-CO"/>
        </w:rPr>
        <w:t xml:space="preserve">El contrato de donación es un buen ejemplo de un contrato unilateral en sus efectos, más no en su origen, que además se caracteriza por ser gratuito. Aun así, no es un acto unilateral en su origen, porque para que se perfeccione la donación se requiere que confluyan la voluntad del donante y del donatario –quien debe aceptar lo donado–. Esto es lo que dispone el artículo 1443 del Código Civil: “La donación entre vivos es un acto por el cual una persona transfiere, gratuita e irrevocablemente, una parte de sus bienes a otra persona </w:t>
      </w:r>
      <w:r w:rsidRPr="00C278CC">
        <w:rPr>
          <w:rFonts w:ascii="Verdana" w:hAnsi="Verdana" w:cs="Arial"/>
          <w:i/>
          <w:iCs/>
          <w:lang w:val="es-ES" w:eastAsia="es-CO"/>
        </w:rPr>
        <w:t>que la acepta</w:t>
      </w:r>
      <w:r w:rsidRPr="00C278CC">
        <w:rPr>
          <w:rFonts w:ascii="Verdana" w:hAnsi="Verdana" w:cs="Arial"/>
          <w:lang w:val="es-ES" w:eastAsia="es-CO"/>
        </w:rPr>
        <w:t>” (énfasis fuera de texto). Es por esta razón que la Corte Suprema de Justicia ha sostenido que “Se trata, pues, de un negocio jurídico bilateral, en tanto exige el concurso de voluntades de donante y donatario (Cfr. CSJ SC, 20 may. 2004, rad. 8565), que puede ser consensual –es la regla general–, o solemne –v.gr., si se trata de donaciones de inmuebles, o aquellas que tienen causa onerosa–”</w:t>
      </w:r>
      <w:r w:rsidRPr="00C278CC">
        <w:rPr>
          <w:rStyle w:val="Refdenotaalpie"/>
          <w:rFonts w:ascii="Verdana" w:hAnsi="Verdana" w:cs="Arial"/>
          <w:lang w:val="es-ES" w:eastAsia="es-CO"/>
        </w:rPr>
        <w:footnoteReference w:id="49"/>
      </w:r>
      <w:r w:rsidRPr="00C278CC">
        <w:rPr>
          <w:rFonts w:ascii="Verdana" w:hAnsi="Verdana" w:cs="Arial"/>
          <w:lang w:val="es-ES" w:eastAsia="es-CO"/>
        </w:rPr>
        <w:t>.</w:t>
      </w:r>
    </w:p>
    <w:p w14:paraId="4DACCF66" w14:textId="77777777" w:rsidR="007E5EE3" w:rsidRPr="00C278CC" w:rsidRDefault="007E5EE3" w:rsidP="007E5EE3">
      <w:pPr>
        <w:spacing w:before="120" w:line="276" w:lineRule="auto"/>
        <w:ind w:firstLine="709"/>
        <w:jc w:val="both"/>
        <w:rPr>
          <w:rFonts w:ascii="Verdana" w:hAnsi="Verdana" w:cs="Arial"/>
          <w:lang w:val="es-ES" w:eastAsia="es-CO"/>
        </w:rPr>
      </w:pPr>
      <w:r w:rsidRPr="00C278CC">
        <w:rPr>
          <w:rFonts w:ascii="Verdana" w:hAnsi="Verdana" w:cs="Arial"/>
          <w:lang w:val="es-ES" w:eastAsia="es-CO"/>
        </w:rPr>
        <w:t xml:space="preserve">El contrato de donación, sin embargo, no es la única forma de realizar la transferencia gratuita de recursos. El testamento –como lo señala el artículo 1055 del Código Civil– “[…] es un acto más o menos solemne, en que una persona dispone del todo o de una parte de sus bienes para que tenga pleno efecto después de sus días, conservando la facultad de revocar las disposiciones contenidas en él mientras viva”, y se considera un acto jurídico </w:t>
      </w:r>
      <w:r w:rsidRPr="00C278CC">
        <w:rPr>
          <w:rFonts w:ascii="Verdana" w:hAnsi="Verdana" w:cs="Arial"/>
          <w:i/>
          <w:iCs/>
          <w:lang w:val="es-ES" w:eastAsia="es-CO"/>
        </w:rPr>
        <w:t>unilateral</w:t>
      </w:r>
      <w:r w:rsidRPr="00C278CC">
        <w:rPr>
          <w:rFonts w:ascii="Verdana" w:hAnsi="Verdana" w:cs="Arial"/>
          <w:lang w:val="es-ES" w:eastAsia="es-CO"/>
        </w:rPr>
        <w:t xml:space="preserve">, porque </w:t>
      </w:r>
      <w:r w:rsidRPr="00C278CC">
        <w:rPr>
          <w:rFonts w:ascii="Verdana" w:hAnsi="Verdana" w:cs="Arial"/>
          <w:lang w:val="es-ES" w:eastAsia="es-CO"/>
        </w:rPr>
        <w:lastRenderedPageBreak/>
        <w:t>“[…] es obra de la sola voluntad del testador”</w:t>
      </w:r>
      <w:r w:rsidRPr="00C278CC">
        <w:rPr>
          <w:rStyle w:val="Refdenotaalpie"/>
          <w:rFonts w:ascii="Verdana" w:hAnsi="Verdana" w:cs="Arial"/>
          <w:lang w:val="es-ES" w:eastAsia="es-CO"/>
        </w:rPr>
        <w:footnoteReference w:id="50"/>
      </w:r>
      <w:r w:rsidRPr="00C278CC">
        <w:rPr>
          <w:rFonts w:ascii="Verdana" w:hAnsi="Verdana" w:cs="Arial"/>
          <w:lang w:val="es-ES" w:eastAsia="es-CO"/>
        </w:rPr>
        <w:t xml:space="preserve">. Algo similar sucede en el ejercicio de la función administrativa, cuando una autoridad, mediante un acto unilateral –siempre que lo permita el ordenamiento jurídico, porque exista una norma que atribuya la competencia– transfiere recursos en dinero o en especie a favor de alguien, como es recurrente en la actividad de fomento a cargo del Estado, materializada en el otorgamiento de subsidios o ayudas. En tales casos, el beneficiario no necesariamente debe celebrar un contrato con el Estado, así acepte recibir el recurso; como tampoco suscribe un contrato con el testador el que acepta la herencia. No firma, del mismo modo, contrato alguno el empleado público que se posesiona en el cargo, pues allí la relación no es contractual, sino legal y reglamentaria. </w:t>
      </w:r>
    </w:p>
    <w:p w14:paraId="799D63D4" w14:textId="77777777" w:rsidR="007E5EE3" w:rsidRPr="00C278CC" w:rsidRDefault="007E5EE3" w:rsidP="007E5EE3">
      <w:pPr>
        <w:spacing w:before="120" w:line="276" w:lineRule="auto"/>
        <w:ind w:firstLine="709"/>
        <w:jc w:val="both"/>
        <w:rPr>
          <w:rFonts w:ascii="Verdana" w:hAnsi="Verdana" w:cs="Arial"/>
          <w:lang w:val="es-ES" w:eastAsia="es-CO"/>
        </w:rPr>
      </w:pPr>
      <w:r w:rsidRPr="00C278CC">
        <w:rPr>
          <w:rFonts w:ascii="Verdana" w:hAnsi="Verdana" w:cs="Arial"/>
          <w:lang w:val="es-ES" w:eastAsia="es-CO"/>
        </w:rPr>
        <w:t>De lo anterior se deriva que la transferencia de recursos no requiere en todos los casos de la celebración de un contrato, toda vez que el ordenamiento jurídico establece normas que, en ciertos eventos, permiten efectuar dicha entrega a través de actos unilaterales. Es decir, sin perjuicio de que las entidades públicas acepten la transferencia, esta se formaliza y existe desde que se manifiesta unilateralmente la voluntad de la autoridad que la realiza.</w:t>
      </w:r>
    </w:p>
    <w:p w14:paraId="6E221A41" w14:textId="77777777" w:rsidR="00E75BF2" w:rsidRPr="00C278CC" w:rsidRDefault="007E5EE3" w:rsidP="007E5EE3">
      <w:pPr>
        <w:spacing w:before="120" w:line="276" w:lineRule="auto"/>
        <w:ind w:firstLine="709"/>
        <w:jc w:val="both"/>
        <w:rPr>
          <w:rFonts w:ascii="Verdana" w:hAnsi="Verdana" w:cs="Arial"/>
          <w:bCs/>
          <w:lang w:val="es-ES_tradnl" w:eastAsia="es-CO"/>
        </w:rPr>
      </w:pPr>
      <w:r w:rsidRPr="00C278CC">
        <w:rPr>
          <w:rFonts w:ascii="Verdana" w:hAnsi="Verdana" w:cs="Arial"/>
          <w:bCs/>
          <w:lang w:val="es-ES_tradnl" w:eastAsia="es-CO"/>
        </w:rPr>
        <w:t xml:space="preserve">Por consiguiente, a la transferencia de recursos efectuada cumpliendo los requisitos establecidos en las leyes especiales que permiten hacerla mediante la expedición de un acto administrativo, no le resultan aplicables las restricciones previstas en el artículo 38 de la Ley 996 de 2005, porque lo que en este precepto se prohíbe es “celebrar convenios interadministrativos para la ejecución de recursos públicos”. Un convenio interadministrativo es un </w:t>
      </w:r>
      <w:r w:rsidRPr="00C278CC">
        <w:rPr>
          <w:rFonts w:ascii="Verdana" w:hAnsi="Verdana" w:cs="Arial"/>
          <w:bCs/>
          <w:i/>
          <w:iCs/>
          <w:lang w:val="es-ES_tradnl" w:eastAsia="es-CO"/>
        </w:rPr>
        <w:t>acuerdo de voluntades</w:t>
      </w:r>
      <w:r w:rsidRPr="00C278CC">
        <w:rPr>
          <w:rFonts w:ascii="Verdana" w:hAnsi="Verdana" w:cs="Arial"/>
          <w:bCs/>
          <w:lang w:val="es-ES_tradnl" w:eastAsia="es-CO"/>
        </w:rPr>
        <w:t xml:space="preserve"> en el que intervienen dos o más entidades públicas, o sea un acto jurídico </w:t>
      </w:r>
      <w:r w:rsidRPr="00C278CC">
        <w:rPr>
          <w:rFonts w:ascii="Verdana" w:hAnsi="Verdana" w:cs="Arial"/>
          <w:bCs/>
          <w:i/>
          <w:iCs/>
          <w:lang w:val="es-ES_tradnl" w:eastAsia="es-CO"/>
        </w:rPr>
        <w:t>bilateral</w:t>
      </w:r>
      <w:r w:rsidRPr="00C278CC">
        <w:rPr>
          <w:rFonts w:ascii="Verdana" w:hAnsi="Verdana" w:cs="Arial"/>
          <w:bCs/>
          <w:lang w:val="es-ES_tradnl" w:eastAsia="es-CO"/>
        </w:rPr>
        <w:t xml:space="preserve"> o que participa de la forma contractual, de conformidad con el artículo 1495 del Código Civil. </w:t>
      </w:r>
    </w:p>
    <w:p w14:paraId="260BABCF" w14:textId="4053E918" w:rsidR="007E5EE3" w:rsidRPr="00C278CC" w:rsidRDefault="007E5EE3" w:rsidP="007E5EE3">
      <w:pPr>
        <w:spacing w:before="120" w:line="276" w:lineRule="auto"/>
        <w:ind w:firstLine="709"/>
        <w:jc w:val="both"/>
        <w:rPr>
          <w:rFonts w:ascii="Verdana" w:hAnsi="Verdana" w:cs="Arial"/>
          <w:bCs/>
          <w:lang w:val="es-ES_tradnl" w:eastAsia="es-CO"/>
        </w:rPr>
      </w:pPr>
      <w:r w:rsidRPr="00C278CC">
        <w:rPr>
          <w:rFonts w:ascii="Verdana" w:hAnsi="Verdana" w:cs="Arial"/>
          <w:bCs/>
          <w:lang w:val="es-ES_tradnl" w:eastAsia="es-CO"/>
        </w:rPr>
        <w:t xml:space="preserve">La forma jurídica consagrada, para efectuar la transferencia gratuita de recursos, en disposiciones como el artículo 9 del Decreto 559 de 2020, el artículo 5 del Decreto Legislativo 538 de 2020 y el parágrafo 2 del artículo 10 del Decreto Legislativo 800 de 2020, entre otras, </w:t>
      </w:r>
      <w:r w:rsidRPr="00C278CC">
        <w:rPr>
          <w:rFonts w:ascii="Verdana" w:hAnsi="Verdana" w:cs="Arial"/>
          <w:bCs/>
          <w:i/>
          <w:iCs/>
          <w:lang w:val="es-ES_tradnl" w:eastAsia="es-CO"/>
        </w:rPr>
        <w:t>es el acto administrativo</w:t>
      </w:r>
      <w:r w:rsidRPr="00C278CC">
        <w:rPr>
          <w:rFonts w:ascii="Verdana" w:hAnsi="Verdana" w:cs="Arial"/>
          <w:bCs/>
          <w:lang w:val="es-ES_tradnl" w:eastAsia="es-CO"/>
        </w:rPr>
        <w:t xml:space="preserve">, no el convenio interadministrativo. Si el parágrafo del artículo 38 de la Ley 996 de 2005 prohibió la celebración de convenios interadministrativos, no puede entenderse </w:t>
      </w:r>
      <w:r w:rsidRPr="00C278CC">
        <w:rPr>
          <w:rFonts w:ascii="Verdana" w:hAnsi="Verdana" w:cs="Arial"/>
          <w:bCs/>
          <w:i/>
          <w:iCs/>
          <w:lang w:val="es-ES_tradnl" w:eastAsia="es-CO"/>
        </w:rPr>
        <w:t>también</w:t>
      </w:r>
      <w:r w:rsidRPr="00C278CC">
        <w:rPr>
          <w:rFonts w:ascii="Verdana" w:hAnsi="Verdana" w:cs="Arial"/>
          <w:bCs/>
          <w:lang w:val="es-ES_tradnl" w:eastAsia="es-CO"/>
        </w:rPr>
        <w:t xml:space="preserve"> </w:t>
      </w:r>
      <w:r w:rsidRPr="00C278CC">
        <w:rPr>
          <w:rFonts w:ascii="Verdana" w:hAnsi="Verdana" w:cs="Arial"/>
          <w:bCs/>
          <w:lang w:val="es-ES_tradnl" w:eastAsia="es-CO"/>
        </w:rPr>
        <w:lastRenderedPageBreak/>
        <w:t>prohibida la transferencia llevada a cabo por un acto administrativo permitida por una norma legal especial, porque se estaría incluyendo una circunstancia que el supuesto de hecho de la restricción no contempla.</w:t>
      </w:r>
    </w:p>
    <w:p w14:paraId="28CAFE57" w14:textId="2C31500A" w:rsidR="007E5EE3" w:rsidRPr="00C278CC" w:rsidRDefault="007E5EE3" w:rsidP="007E5EE3">
      <w:pPr>
        <w:spacing w:before="120" w:after="0" w:line="276" w:lineRule="auto"/>
        <w:ind w:firstLine="709"/>
        <w:jc w:val="both"/>
        <w:rPr>
          <w:rFonts w:ascii="Verdana" w:hAnsi="Verdana" w:cs="Arial"/>
          <w:lang w:val="es-ES" w:eastAsia="es-CO"/>
        </w:rPr>
      </w:pPr>
      <w:r w:rsidRPr="00C278CC">
        <w:rPr>
          <w:rFonts w:ascii="Verdana" w:hAnsi="Verdana" w:cs="Arial"/>
          <w:lang w:val="es-ES" w:eastAsia="es-CO"/>
        </w:rPr>
        <w:t xml:space="preserve">La Agencia llama la atención sobre el deber de las </w:t>
      </w:r>
      <w:r w:rsidR="00E75BF2" w:rsidRPr="00C278CC">
        <w:rPr>
          <w:rFonts w:ascii="Verdana" w:hAnsi="Verdana" w:cs="Arial"/>
          <w:lang w:val="es-ES" w:eastAsia="es-CO"/>
        </w:rPr>
        <w:t>e</w:t>
      </w:r>
      <w:r w:rsidRPr="00C278CC">
        <w:rPr>
          <w:rFonts w:ascii="Verdana" w:hAnsi="Verdana" w:cs="Arial"/>
          <w:lang w:val="es-ES" w:eastAsia="es-CO"/>
        </w:rPr>
        <w:t xml:space="preserve">ntidades </w:t>
      </w:r>
      <w:r w:rsidR="00E75BF2" w:rsidRPr="00C278CC">
        <w:rPr>
          <w:rFonts w:ascii="Verdana" w:hAnsi="Verdana" w:cs="Arial"/>
          <w:lang w:val="es-ES" w:eastAsia="es-CO"/>
        </w:rPr>
        <w:t>e</w:t>
      </w:r>
      <w:r w:rsidRPr="00C278CC">
        <w:rPr>
          <w:rFonts w:ascii="Verdana" w:hAnsi="Verdana" w:cs="Arial"/>
          <w:lang w:val="es-ES" w:eastAsia="es-CO"/>
        </w:rPr>
        <w:t xml:space="preserve">statales de analizar en cada caso la norma atributiva de la competencia, para observar cuál es la forma jurídica que consagra. Si la norma no permite expedir un acto administrativo para disponer de recursos durante el período de vigencia de la </w:t>
      </w:r>
      <w:r w:rsidR="00E434A2" w:rsidRPr="00C278CC">
        <w:rPr>
          <w:rFonts w:ascii="Verdana" w:hAnsi="Verdana" w:cs="Arial"/>
          <w:lang w:val="es-ES" w:eastAsia="es-CO"/>
        </w:rPr>
        <w:t>L</w:t>
      </w:r>
      <w:r w:rsidRPr="00C278CC">
        <w:rPr>
          <w:rFonts w:ascii="Verdana" w:hAnsi="Verdana" w:cs="Arial"/>
          <w:lang w:val="es-ES" w:eastAsia="es-CO"/>
        </w:rPr>
        <w:t xml:space="preserve">ey de </w:t>
      </w:r>
      <w:r w:rsidR="00E434A2" w:rsidRPr="00C278CC">
        <w:rPr>
          <w:rFonts w:ascii="Verdana" w:hAnsi="Verdana" w:cs="Arial"/>
          <w:lang w:val="es-ES" w:eastAsia="es-CO"/>
        </w:rPr>
        <w:t>G</w:t>
      </w:r>
      <w:r w:rsidRPr="00C278CC">
        <w:rPr>
          <w:rFonts w:ascii="Verdana" w:hAnsi="Verdana" w:cs="Arial"/>
          <w:lang w:val="es-ES" w:eastAsia="es-CO"/>
        </w:rPr>
        <w:t xml:space="preserve">arantías </w:t>
      </w:r>
      <w:r w:rsidR="00E434A2" w:rsidRPr="00C278CC">
        <w:rPr>
          <w:rFonts w:ascii="Verdana" w:hAnsi="Verdana" w:cs="Arial"/>
          <w:lang w:val="es-ES" w:eastAsia="es-CO"/>
        </w:rPr>
        <w:t>E</w:t>
      </w:r>
      <w:r w:rsidRPr="00C278CC">
        <w:rPr>
          <w:rFonts w:ascii="Verdana" w:hAnsi="Verdana" w:cs="Arial"/>
          <w:lang w:val="es-ES" w:eastAsia="es-CO"/>
        </w:rPr>
        <w:t>lectorales, no puede la entidad pretender burlar el efecto de la prohibición de contratar directamente o de celebrar un convenio, según el caso, expidiendo un acto administrativo para disponer de los recursos. El artículo 6 de la Constitución establece que los servidores públicos son responsables “[…] por infringir la Constitución y las leyes” y “</w:t>
      </w:r>
      <w:r w:rsidRPr="00C278CC">
        <w:rPr>
          <w:rFonts w:ascii="Verdana" w:hAnsi="Verdana" w:cs="Arial"/>
          <w:lang w:val="es-ES"/>
        </w:rPr>
        <w:t xml:space="preserve">[…] </w:t>
      </w:r>
      <w:r w:rsidRPr="00C278CC">
        <w:rPr>
          <w:rFonts w:ascii="Verdana" w:hAnsi="Verdana" w:cs="Arial"/>
          <w:lang w:val="es-ES" w:eastAsia="es-CO"/>
        </w:rPr>
        <w:t xml:space="preserve">por omisión o extralimitación en el ejercicio de sus funciones”, es decir que solo pueden hacer lo que les esté expresamente permitido. Así las cosas, la interpretación efectuada por la Agencia en este concepto tiene en cuenta la existencia de normas de carácter legal que permiten efectuar una transferencia gratuita de recursos </w:t>
      </w:r>
      <w:r w:rsidRPr="00C278CC">
        <w:rPr>
          <w:rFonts w:ascii="Verdana" w:hAnsi="Verdana" w:cs="Arial"/>
          <w:i/>
          <w:iCs/>
          <w:lang w:val="es-ES" w:eastAsia="es-CO"/>
        </w:rPr>
        <w:t>a través de un acto administrativo</w:t>
      </w:r>
      <w:r w:rsidRPr="00C278CC">
        <w:rPr>
          <w:rFonts w:ascii="Verdana" w:hAnsi="Verdana" w:cs="Arial"/>
          <w:lang w:val="es-ES" w:eastAsia="es-CO"/>
        </w:rPr>
        <w:t>, pero este criterio no se puede generalizar en hipótesis que no establezcan dicha permisión legal expresa.</w:t>
      </w:r>
    </w:p>
    <w:p w14:paraId="0E8C16CA" w14:textId="77777777" w:rsidR="007E5EE3" w:rsidRPr="00C278CC" w:rsidRDefault="007E5EE3" w:rsidP="007E5EE3">
      <w:pPr>
        <w:spacing w:after="0" w:line="276" w:lineRule="auto"/>
        <w:ind w:firstLine="709"/>
        <w:jc w:val="both"/>
        <w:rPr>
          <w:rFonts w:ascii="Verdana" w:hAnsi="Verdana" w:cs="Arial"/>
          <w:lang w:val="es-ES" w:eastAsia="es-CO"/>
        </w:rPr>
      </w:pPr>
    </w:p>
    <w:p w14:paraId="2F530C4A" w14:textId="77777777" w:rsidR="007E5EE3" w:rsidRPr="00C278CC" w:rsidRDefault="007E5EE3" w:rsidP="007E5EE3">
      <w:pPr>
        <w:spacing w:after="120" w:line="276" w:lineRule="auto"/>
        <w:jc w:val="both"/>
        <w:rPr>
          <w:rFonts w:ascii="Verdana" w:eastAsia="Calibri" w:hAnsi="Verdana" w:cs="Arial"/>
          <w:bCs/>
          <w:color w:val="000000" w:themeColor="text1"/>
        </w:rPr>
      </w:pPr>
      <w:r w:rsidRPr="00C278CC">
        <w:rPr>
          <w:rFonts w:ascii="Verdana" w:eastAsia="Calibri" w:hAnsi="Verdana" w:cs="Arial"/>
          <w:bCs/>
          <w:color w:val="000000" w:themeColor="text1"/>
        </w:rPr>
        <w:t>vii.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00B429C" w14:textId="77777777" w:rsidR="007E5EE3" w:rsidRPr="00C278CC" w:rsidRDefault="007E5EE3" w:rsidP="007E5EE3">
      <w:pPr>
        <w:spacing w:after="0" w:line="276" w:lineRule="auto"/>
        <w:ind w:firstLine="708"/>
        <w:jc w:val="both"/>
        <w:rPr>
          <w:rFonts w:ascii="Verdana" w:eastAsia="Calibri" w:hAnsi="Verdana" w:cs="Arial"/>
          <w:bCs/>
          <w:color w:val="000000" w:themeColor="text1"/>
        </w:rPr>
      </w:pPr>
      <w:r w:rsidRPr="00C278C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C278CC">
        <w:rPr>
          <w:rFonts w:ascii="Verdana" w:eastAsia="Calibri" w:hAnsi="Verdana" w:cs="Arial"/>
          <w:bCs/>
          <w:color w:val="000000" w:themeColor="text1"/>
        </w:rPr>
        <w:lastRenderedPageBreak/>
        <w:t xml:space="preserve">el principio de juridicidad. Así, cada entidad definirá la forma de adelantar su gestión contractual, sin que sea atribución de Colombia Compra Eficiente validar sus actuaciones. </w:t>
      </w:r>
    </w:p>
    <w:p w14:paraId="4F5F8B3C" w14:textId="77777777" w:rsidR="00D85184" w:rsidRPr="00C278CC" w:rsidRDefault="00D85184" w:rsidP="00785257">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6067A719" w14:textId="77777777" w:rsidR="00785257" w:rsidRPr="00C278CC" w:rsidRDefault="00785257" w:rsidP="00785257">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C278CC">
        <w:rPr>
          <w:rFonts w:ascii="Verdana" w:eastAsia="Century Gothic" w:hAnsi="Verdana" w:cs="Century Gothic"/>
          <w:b/>
          <w:bCs/>
        </w:rPr>
        <w:t>Referencias normativas, jurisprudenciales y otras fuentes:</w:t>
      </w:r>
    </w:p>
    <w:p w14:paraId="03824340" w14:textId="77777777" w:rsidR="00785257" w:rsidRPr="00C278CC" w:rsidRDefault="00785257" w:rsidP="0078525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85257" w:rsidRPr="00C278CC" w14:paraId="6A9D5883" w14:textId="77777777" w:rsidTr="006A2218">
        <w:trPr>
          <w:trHeight w:val="870"/>
        </w:trPr>
        <w:tc>
          <w:tcPr>
            <w:tcW w:w="8647" w:type="dxa"/>
          </w:tcPr>
          <w:p w14:paraId="57297642" w14:textId="77777777" w:rsidR="00D85184" w:rsidRPr="00C278CC" w:rsidRDefault="00D85184" w:rsidP="00D85184">
            <w:pPr>
              <w:widowControl w:val="0"/>
              <w:numPr>
                <w:ilvl w:val="0"/>
                <w:numId w:val="18"/>
              </w:numPr>
              <w:autoSpaceDE w:val="0"/>
              <w:autoSpaceDN w:val="0"/>
              <w:spacing w:before="120" w:after="120" w:line="276" w:lineRule="auto"/>
              <w:jc w:val="both"/>
              <w:rPr>
                <w:rFonts w:ascii="Verdana" w:eastAsia="Arial MT" w:hAnsi="Verdana" w:cs="Arial"/>
                <w:lang w:val="es-ES" w:eastAsia="es-ES" w:bidi="es-ES"/>
              </w:rPr>
            </w:pPr>
            <w:r w:rsidRPr="00C278CC">
              <w:rPr>
                <w:rFonts w:ascii="Verdana" w:eastAsia="Arial MT" w:hAnsi="Verdana" w:cs="Arial"/>
                <w:lang w:val="es-ES" w:eastAsia="es-ES" w:bidi="es-ES"/>
              </w:rPr>
              <w:t>Constitución Política, artículo 127.</w:t>
            </w:r>
          </w:p>
          <w:p w14:paraId="1055EC43" w14:textId="77777777" w:rsidR="00E434A2" w:rsidRPr="00C278CC" w:rsidRDefault="00E434A2" w:rsidP="00E434A2">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C278CC">
              <w:rPr>
                <w:rFonts w:ascii="Verdana" w:hAnsi="Verdana" w:cs="Arial"/>
                <w:lang w:val="es-ES" w:eastAsia="es-CO"/>
              </w:rPr>
              <w:t>Código Civil, artículos 1055, 1443, 1495 y 1496.</w:t>
            </w:r>
          </w:p>
          <w:p w14:paraId="6CAA9BD0" w14:textId="77777777" w:rsidR="00D85184" w:rsidRPr="00C278CC" w:rsidRDefault="00D85184" w:rsidP="00D85184">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C278CC">
              <w:rPr>
                <w:rFonts w:ascii="Verdana" w:eastAsia="Arial MT" w:hAnsi="Verdana" w:cs="Arial"/>
                <w:bCs/>
                <w:lang w:val="es-ES" w:eastAsia="es-ES" w:bidi="es-ES"/>
              </w:rPr>
              <w:t>Ley 996 de 2005, artículos 33 y 38.</w:t>
            </w:r>
          </w:p>
          <w:p w14:paraId="4C729D6F" w14:textId="77777777" w:rsidR="00E434A2" w:rsidRPr="00C278CC" w:rsidRDefault="00E434A2" w:rsidP="00E434A2">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C278CC">
              <w:rPr>
                <w:rFonts w:ascii="Verdana" w:hAnsi="Verdana" w:cs="Arial"/>
              </w:rPr>
              <w:t>Ley 80 de 1993, artículo 2.</w:t>
            </w:r>
          </w:p>
          <w:p w14:paraId="0211FF8A" w14:textId="77777777" w:rsidR="00C26617" w:rsidRPr="00C278CC" w:rsidRDefault="00C26617" w:rsidP="00C26617">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C278CC">
              <w:rPr>
                <w:rFonts w:ascii="Verdana" w:hAnsi="Verdana" w:cs="Arial"/>
              </w:rPr>
              <w:t>Ley 1150 de 2007, artículo 2.</w:t>
            </w:r>
          </w:p>
          <w:p w14:paraId="2523D44B" w14:textId="2B57997C" w:rsidR="00F05EE0" w:rsidRPr="00C278CC" w:rsidRDefault="00F05EE0" w:rsidP="00F05EE0">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C278CC">
              <w:rPr>
                <w:rFonts w:ascii="Verdana" w:hAnsi="Verdana" w:cs="Arial"/>
              </w:rPr>
              <w:t>Ley 1753 de 2015, artículo 69.</w:t>
            </w:r>
          </w:p>
          <w:p w14:paraId="72C1311E" w14:textId="77777777" w:rsidR="00D85184" w:rsidRPr="00C278CC" w:rsidRDefault="00D85184" w:rsidP="00D85184">
            <w:pPr>
              <w:widowControl w:val="0"/>
              <w:numPr>
                <w:ilvl w:val="0"/>
                <w:numId w:val="18"/>
              </w:numPr>
              <w:autoSpaceDE w:val="0"/>
              <w:autoSpaceDN w:val="0"/>
              <w:spacing w:after="120" w:line="276" w:lineRule="auto"/>
              <w:jc w:val="both"/>
              <w:rPr>
                <w:rFonts w:ascii="Verdana" w:hAnsi="Verdana" w:cs="Arial"/>
                <w:lang w:val="es-ES"/>
              </w:rPr>
            </w:pPr>
            <w:r w:rsidRPr="00C278CC">
              <w:rPr>
                <w:rFonts w:ascii="Verdana" w:hAnsi="Verdana" w:cs="Arial"/>
                <w:lang w:val="pt-BR"/>
              </w:rPr>
              <w:t>Corte Constitucional. Sentencia C-671 de 2015. M.P. Alberto Rojas Ríos.</w:t>
            </w:r>
          </w:p>
          <w:p w14:paraId="78864E6C" w14:textId="77777777" w:rsidR="00D85184" w:rsidRPr="00C278CC" w:rsidRDefault="00D85184" w:rsidP="00D85184">
            <w:pPr>
              <w:widowControl w:val="0"/>
              <w:numPr>
                <w:ilvl w:val="0"/>
                <w:numId w:val="18"/>
              </w:numPr>
              <w:autoSpaceDE w:val="0"/>
              <w:autoSpaceDN w:val="0"/>
              <w:spacing w:after="120" w:line="276" w:lineRule="auto"/>
              <w:jc w:val="both"/>
              <w:rPr>
                <w:rFonts w:ascii="Verdana" w:hAnsi="Verdana" w:cs="Arial"/>
                <w:lang w:val="es-ES"/>
              </w:rPr>
            </w:pPr>
            <w:r w:rsidRPr="00C278CC">
              <w:rPr>
                <w:rFonts w:ascii="Verdana" w:hAnsi="Verdana" w:cs="Arial"/>
                <w:lang w:val="es-ES"/>
              </w:rPr>
              <w:t xml:space="preserve">Consejo de Estado, Sección Primera. Sentencia de 3 de marzo de 2005, Exp. 2004-00823-01(PI). </w:t>
            </w:r>
          </w:p>
          <w:p w14:paraId="537B6F42" w14:textId="77777777" w:rsidR="00D85184" w:rsidRPr="00C278CC" w:rsidRDefault="00D85184" w:rsidP="00D85184">
            <w:pPr>
              <w:numPr>
                <w:ilvl w:val="0"/>
                <w:numId w:val="18"/>
              </w:numPr>
              <w:spacing w:before="120" w:after="120" w:line="276" w:lineRule="auto"/>
              <w:jc w:val="both"/>
              <w:rPr>
                <w:rFonts w:ascii="Verdana" w:hAnsi="Verdana" w:cs="Arial"/>
                <w:lang w:val="es-ES"/>
              </w:rPr>
            </w:pPr>
            <w:r w:rsidRPr="00C278CC">
              <w:rPr>
                <w:rFonts w:ascii="Verdana" w:hAnsi="Verdana" w:cs="Arial"/>
              </w:rPr>
              <w:t>Consejo de Estado. Sala de Consulta y Servicio Civil. Concepto del 15 de noviembre de 2007. Expediente número 1863. Consejero Ponente: Luis Fernando Álvarez Jaramillo</w:t>
            </w:r>
          </w:p>
          <w:p w14:paraId="416811B7" w14:textId="77777777" w:rsidR="00D85184" w:rsidRPr="00C278CC" w:rsidRDefault="00D85184" w:rsidP="00D85184">
            <w:pPr>
              <w:widowControl w:val="0"/>
              <w:numPr>
                <w:ilvl w:val="0"/>
                <w:numId w:val="18"/>
              </w:numPr>
              <w:autoSpaceDE w:val="0"/>
              <w:autoSpaceDN w:val="0"/>
              <w:spacing w:after="120" w:line="276" w:lineRule="auto"/>
              <w:jc w:val="both"/>
              <w:rPr>
                <w:rFonts w:ascii="Verdana" w:hAnsi="Verdana" w:cs="Arial"/>
                <w:lang w:val="es-ES"/>
              </w:rPr>
            </w:pPr>
            <w:r w:rsidRPr="00C278CC">
              <w:rPr>
                <w:rFonts w:ascii="Verdana" w:hAnsi="Verdana" w:cs="Arial"/>
                <w:lang w:val="es-ES"/>
              </w:rPr>
              <w:t xml:space="preserve">Consejo de Estado, Sala de Consulta y Servicio Civil, Concepto de fecha 24 de julio de 2013, Rad. 2166, C. P. Álvaro Namén Vargas. </w:t>
            </w:r>
          </w:p>
          <w:p w14:paraId="507C720C" w14:textId="77777777" w:rsidR="00D85184" w:rsidRPr="00C278CC" w:rsidRDefault="00D85184" w:rsidP="00D85184">
            <w:pPr>
              <w:numPr>
                <w:ilvl w:val="0"/>
                <w:numId w:val="18"/>
              </w:numPr>
              <w:spacing w:before="120" w:after="120" w:line="276" w:lineRule="auto"/>
              <w:jc w:val="both"/>
              <w:rPr>
                <w:rFonts w:ascii="Verdana" w:hAnsi="Verdana" w:cs="Arial"/>
                <w:lang w:val="es-ES"/>
              </w:rPr>
            </w:pPr>
            <w:r w:rsidRPr="00C278CC">
              <w:rPr>
                <w:rFonts w:ascii="Verdana" w:hAnsi="Verdana" w:cs="Arial"/>
              </w:rPr>
              <w:t>Consejo de Estado. Sala de Consulta y Servicio Civil. Concepto del 2 de septiembre de 2013 Radicado No: 2168. CP: Alvaro Namén Vargas.</w:t>
            </w:r>
          </w:p>
          <w:p w14:paraId="513004A9" w14:textId="77777777" w:rsidR="00D85184" w:rsidRPr="00C278CC" w:rsidRDefault="00D85184" w:rsidP="00D85184">
            <w:pPr>
              <w:numPr>
                <w:ilvl w:val="0"/>
                <w:numId w:val="18"/>
              </w:numPr>
              <w:spacing w:before="120" w:after="120" w:line="276" w:lineRule="auto"/>
              <w:jc w:val="both"/>
              <w:rPr>
                <w:rFonts w:ascii="Verdana" w:hAnsi="Verdana" w:cs="Arial"/>
                <w:lang w:val="es-ES"/>
              </w:rPr>
            </w:pPr>
            <w:r w:rsidRPr="00C278CC">
              <w:rPr>
                <w:rFonts w:ascii="Verdana" w:hAnsi="Verdana" w:cs="Arial"/>
                <w:lang w:val="es-ES"/>
              </w:rPr>
              <w:t>Consejo de Estado. Sala de Consulta y Servicio Civil. Concepto del 17 de febrero de 2015. C.P. William Zambrano Cetina. Radicación No. 11001-03-06-000-2015-00164-00(2269).</w:t>
            </w:r>
          </w:p>
          <w:p w14:paraId="3A2F9A1E" w14:textId="77777777" w:rsidR="00D85184" w:rsidRPr="00C278CC" w:rsidRDefault="00D85184" w:rsidP="00D85184">
            <w:pPr>
              <w:numPr>
                <w:ilvl w:val="0"/>
                <w:numId w:val="18"/>
              </w:numPr>
              <w:spacing w:before="120" w:after="120" w:line="276" w:lineRule="auto"/>
              <w:jc w:val="both"/>
              <w:rPr>
                <w:rFonts w:ascii="Verdana" w:hAnsi="Verdana" w:cs="Arial"/>
                <w:lang w:val="es-ES"/>
              </w:rPr>
            </w:pPr>
            <w:r w:rsidRPr="00C278CC">
              <w:rPr>
                <w:rFonts w:ascii="Verdana" w:hAnsi="Verdana" w:cs="Arial"/>
                <w:lang w:val="es-ES"/>
              </w:rPr>
              <w:t>Consejo de Estado, Sala de Consulta y Servicio Civil, Concepto de fecha 8 de mayo de 2018, No. 2382. C. P. Álvaro Namén Vargas.</w:t>
            </w:r>
          </w:p>
          <w:p w14:paraId="4F3838C1" w14:textId="77777777" w:rsidR="00D85184" w:rsidRPr="00C278CC" w:rsidRDefault="00D85184" w:rsidP="00D85184">
            <w:pPr>
              <w:widowControl w:val="0"/>
              <w:numPr>
                <w:ilvl w:val="0"/>
                <w:numId w:val="18"/>
              </w:numPr>
              <w:autoSpaceDE w:val="0"/>
              <w:autoSpaceDN w:val="0"/>
              <w:spacing w:after="120" w:line="276" w:lineRule="auto"/>
              <w:jc w:val="both"/>
              <w:rPr>
                <w:rFonts w:ascii="Verdana" w:hAnsi="Verdana" w:cs="Arial"/>
                <w:lang w:val="es-ES"/>
              </w:rPr>
            </w:pPr>
            <w:r w:rsidRPr="00C278CC">
              <w:rPr>
                <w:rFonts w:ascii="Verdana" w:hAnsi="Verdana" w:cs="Arial"/>
                <w:lang w:val="pt-BR"/>
              </w:rPr>
              <w:t>Consejo de Estado, Sección Tercera. Auto del 4 de octubre de 2024. Exp. 70.313. C.P: Fredy Ibarra Martínez.</w:t>
            </w:r>
          </w:p>
          <w:p w14:paraId="3AE6255F" w14:textId="77777777" w:rsidR="00D85184" w:rsidRPr="00C278CC" w:rsidRDefault="00D85184" w:rsidP="00D85184">
            <w:pPr>
              <w:widowControl w:val="0"/>
              <w:numPr>
                <w:ilvl w:val="0"/>
                <w:numId w:val="18"/>
              </w:numPr>
              <w:autoSpaceDE w:val="0"/>
              <w:autoSpaceDN w:val="0"/>
              <w:spacing w:after="120" w:line="276" w:lineRule="auto"/>
              <w:jc w:val="both"/>
              <w:rPr>
                <w:rFonts w:ascii="Verdana" w:hAnsi="Verdana" w:cs="Arial"/>
                <w:lang w:val="es-ES"/>
              </w:rPr>
            </w:pPr>
            <w:r w:rsidRPr="00C278CC">
              <w:rPr>
                <w:rFonts w:ascii="Verdana" w:eastAsia="Times New Roman" w:hAnsi="Verdana" w:cs="Times New Roman"/>
                <w:lang w:eastAsia="es-ES_tradnl"/>
              </w:rPr>
              <w:lastRenderedPageBreak/>
              <w:t xml:space="preserve">Consejo de Estado. Sala de lo Contencioso Administrativo. Sección Tercera. Subsección B. 17 de octubre de 2025. Magistrado Ponente: Fredy Ibarra Martínez.  </w:t>
            </w:r>
          </w:p>
          <w:p w14:paraId="3B58B0A3" w14:textId="098EBA55" w:rsidR="001D0AFA" w:rsidRPr="00C278CC" w:rsidRDefault="001D0AFA" w:rsidP="00D85184">
            <w:pPr>
              <w:widowControl w:val="0"/>
              <w:numPr>
                <w:ilvl w:val="0"/>
                <w:numId w:val="18"/>
              </w:numPr>
              <w:autoSpaceDE w:val="0"/>
              <w:autoSpaceDN w:val="0"/>
              <w:spacing w:after="120" w:line="276" w:lineRule="auto"/>
              <w:jc w:val="both"/>
              <w:rPr>
                <w:rFonts w:ascii="Verdana" w:hAnsi="Verdana" w:cs="Arial"/>
                <w:lang w:val="es-ES"/>
              </w:rPr>
            </w:pPr>
            <w:r w:rsidRPr="00C278CC">
              <w:rPr>
                <w:rFonts w:ascii="Verdana" w:hAnsi="Verdana" w:cs="Arial"/>
                <w:lang w:val="es-ES"/>
              </w:rPr>
              <w:t>Corte Suprema de Justicia. Sala de Casación Civil. Sentencia del 8 de septiembre de 2021. Magistrado Ponente: Luis Alonso Rico Puerta. Radicación: Radicación n.º 76001-31-03-004-2012-00180-01.</w:t>
            </w:r>
          </w:p>
          <w:p w14:paraId="1A2DD050" w14:textId="2A347E83" w:rsidR="00785257" w:rsidRPr="00C278CC" w:rsidRDefault="00D85184" w:rsidP="00D85184">
            <w:pPr>
              <w:widowControl w:val="0"/>
              <w:numPr>
                <w:ilvl w:val="0"/>
                <w:numId w:val="18"/>
              </w:numPr>
              <w:autoSpaceDE w:val="0"/>
              <w:autoSpaceDN w:val="0"/>
              <w:spacing w:after="120" w:line="276" w:lineRule="auto"/>
              <w:jc w:val="both"/>
              <w:rPr>
                <w:rFonts w:ascii="Verdana" w:hAnsi="Verdana" w:cs="Arial"/>
              </w:rPr>
            </w:pPr>
            <w:r w:rsidRPr="00C278CC">
              <w:rPr>
                <w:rFonts w:ascii="Verdana" w:hAnsi="Verdana" w:cs="Arial"/>
              </w:rPr>
              <w:t xml:space="preserve">Circular Externa No. 006 de 2025 </w:t>
            </w:r>
            <w:hyperlink r:id="rId13" w:history="1">
              <w:r w:rsidRPr="00C278CC">
                <w:rPr>
                  <w:rFonts w:ascii="Verdana" w:hAnsi="Verdana" w:cs="Arial"/>
                  <w:color w:val="0000FF"/>
                  <w:u w:val="single"/>
                </w:rPr>
                <w:t>https://www.colombiacompra.gov.co/archivos/circular/circular-externa-006-de-2025</w:t>
              </w:r>
            </w:hyperlink>
          </w:p>
        </w:tc>
      </w:tr>
    </w:tbl>
    <w:p w14:paraId="3159966C" w14:textId="77777777" w:rsidR="00785257" w:rsidRPr="00C278CC" w:rsidRDefault="00785257" w:rsidP="00E434A2">
      <w:pPr>
        <w:widowControl w:val="0"/>
        <w:autoSpaceDE w:val="0"/>
        <w:autoSpaceDN w:val="0"/>
        <w:spacing w:after="0" w:line="276" w:lineRule="auto"/>
        <w:jc w:val="both"/>
        <w:rPr>
          <w:rFonts w:ascii="Verdana" w:hAnsi="Verdana" w:cs="Arial"/>
        </w:rPr>
      </w:pPr>
    </w:p>
    <w:p w14:paraId="54EC783D" w14:textId="77777777" w:rsidR="00785257" w:rsidRPr="00C278CC" w:rsidRDefault="00785257" w:rsidP="00E434A2">
      <w:pPr>
        <w:pStyle w:val="Prrafodelista"/>
        <w:numPr>
          <w:ilvl w:val="0"/>
          <w:numId w:val="19"/>
        </w:numPr>
        <w:tabs>
          <w:tab w:val="left" w:pos="142"/>
          <w:tab w:val="left" w:pos="284"/>
        </w:tabs>
        <w:spacing w:after="0" w:line="276" w:lineRule="auto"/>
        <w:ind w:left="0" w:firstLine="0"/>
        <w:contextualSpacing w:val="0"/>
        <w:jc w:val="both"/>
        <w:rPr>
          <w:rFonts w:ascii="Verdana" w:eastAsia="Century Gothic" w:hAnsi="Verdana" w:cs="Arial"/>
          <w:b/>
          <w:bCs/>
        </w:rPr>
      </w:pPr>
      <w:r w:rsidRPr="00C278CC">
        <w:rPr>
          <w:rFonts w:ascii="Verdana" w:eastAsia="Century Gothic" w:hAnsi="Verdana" w:cs="Arial"/>
          <w:b/>
          <w:bCs/>
        </w:rPr>
        <w:t>Doctrina de la Agencia Nacional de Contratación Pública:</w:t>
      </w:r>
    </w:p>
    <w:p w14:paraId="0ECD8F2F" w14:textId="77777777" w:rsidR="00785257" w:rsidRPr="00C278CC" w:rsidRDefault="00785257" w:rsidP="00E434A2">
      <w:pPr>
        <w:widowControl w:val="0"/>
        <w:autoSpaceDE w:val="0"/>
        <w:autoSpaceDN w:val="0"/>
        <w:spacing w:after="0" w:line="276" w:lineRule="auto"/>
        <w:jc w:val="both"/>
        <w:rPr>
          <w:rFonts w:ascii="Verdana" w:hAnsi="Verdana" w:cs="Arial"/>
        </w:rPr>
      </w:pPr>
    </w:p>
    <w:p w14:paraId="5E0FB360" w14:textId="3172E81C" w:rsidR="00F82363" w:rsidRPr="00C278CC" w:rsidRDefault="00F82363" w:rsidP="00E434A2">
      <w:pPr>
        <w:widowControl w:val="0"/>
        <w:autoSpaceDE w:val="0"/>
        <w:autoSpaceDN w:val="0"/>
        <w:spacing w:after="0" w:line="276" w:lineRule="auto"/>
        <w:jc w:val="both"/>
        <w:rPr>
          <w:rStyle w:val="normaltextrun"/>
          <w:rFonts w:ascii="Verdana" w:hAnsi="Verdana" w:cs="Arial"/>
          <w:shd w:val="clear" w:color="auto" w:fill="FFFFFF"/>
        </w:rPr>
      </w:pPr>
      <w:r w:rsidRPr="00C278CC">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w:t>
      </w:r>
      <w:r w:rsidR="00DE0460" w:rsidRPr="00C278CC">
        <w:rPr>
          <w:rFonts w:ascii="Verdana" w:hAnsi="Verdana" w:cs="Arial"/>
          <w:shd w:val="clear" w:color="auto" w:fill="FFFFFF"/>
        </w:rPr>
        <w:t xml:space="preserve"> C-1350 del 1˚ de octubre de 2025, C-1488 del 30 de octubre del 2025, </w:t>
      </w:r>
      <w:r w:rsidR="00EB2166" w:rsidRPr="00C278CC">
        <w:rPr>
          <w:rFonts w:ascii="Verdana" w:hAnsi="Verdana" w:cs="Arial"/>
          <w:shd w:val="clear" w:color="auto" w:fill="FFFFFF"/>
        </w:rPr>
        <w:t>C-001</w:t>
      </w:r>
      <w:r w:rsidR="008C417D" w:rsidRPr="00C278CC">
        <w:rPr>
          <w:rFonts w:ascii="Verdana" w:hAnsi="Verdana" w:cs="Arial"/>
          <w:shd w:val="clear" w:color="auto" w:fill="FFFFFF"/>
        </w:rPr>
        <w:t xml:space="preserve"> del 21 de enero del 2026, C-</w:t>
      </w:r>
      <w:r w:rsidR="00CE7960" w:rsidRPr="00C278CC">
        <w:rPr>
          <w:rFonts w:ascii="Verdana" w:hAnsi="Verdana" w:cs="Arial"/>
          <w:shd w:val="clear" w:color="auto" w:fill="FFFFFF"/>
        </w:rPr>
        <w:t xml:space="preserve">026 del 23 de enero del 2026, C-042 del </w:t>
      </w:r>
      <w:r w:rsidR="00332360" w:rsidRPr="00C278CC">
        <w:rPr>
          <w:rFonts w:ascii="Verdana" w:hAnsi="Verdana" w:cs="Arial"/>
          <w:shd w:val="clear" w:color="auto" w:fill="FFFFFF"/>
        </w:rPr>
        <w:t xml:space="preserve">30 de enero del 2026, C-050 del 16 de febrero del 2026, </w:t>
      </w:r>
      <w:r w:rsidR="00AA2092" w:rsidRPr="00C278CC">
        <w:rPr>
          <w:rFonts w:ascii="Verdana" w:hAnsi="Verdana" w:cs="Arial"/>
          <w:shd w:val="clear" w:color="auto" w:fill="FFFFFF"/>
        </w:rPr>
        <w:t xml:space="preserve">C-137 del 17 de febrero del 2026, C-176 del </w:t>
      </w:r>
      <w:r w:rsidR="00903DC8" w:rsidRPr="00C278CC">
        <w:rPr>
          <w:rFonts w:ascii="Verdana" w:hAnsi="Verdana" w:cs="Arial"/>
          <w:shd w:val="clear" w:color="auto" w:fill="FFFFFF"/>
        </w:rPr>
        <w:t xml:space="preserve">18 de febrero del 2026, C-172 del 19 de febrero del 2026, </w:t>
      </w:r>
      <w:r w:rsidR="00B20FBE" w:rsidRPr="00C278CC">
        <w:rPr>
          <w:rFonts w:ascii="Verdana" w:hAnsi="Verdana" w:cs="Arial"/>
          <w:shd w:val="clear" w:color="auto" w:fill="FFFFFF"/>
        </w:rPr>
        <w:t>C-279 del 27 de febrero del 2026</w:t>
      </w:r>
      <w:r w:rsidR="00DB66BC" w:rsidRPr="00C278CC">
        <w:rPr>
          <w:rFonts w:ascii="Verdana" w:hAnsi="Verdana" w:cs="Arial"/>
          <w:shd w:val="clear" w:color="auto" w:fill="FFFFFF"/>
        </w:rPr>
        <w:t xml:space="preserve"> y C-322 del 04 de marzo del 2026.</w:t>
      </w:r>
      <w:r w:rsidRPr="00C278CC">
        <w:rPr>
          <w:rFonts w:ascii="Verdana" w:hAnsi="Verdana" w:cs="Arial"/>
          <w:shd w:val="clear" w:color="auto" w:fill="FFFFFF"/>
        </w:rPr>
        <w:t>Estos y otros </w:t>
      </w:r>
      <w:r w:rsidRPr="00C278CC">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4" w:history="1">
        <w:r w:rsidRPr="00C278CC">
          <w:rPr>
            <w:rStyle w:val="Hipervnculo"/>
            <w:rFonts w:ascii="Verdana" w:hAnsi="Verdana" w:cs="Arial"/>
            <w:shd w:val="clear" w:color="auto" w:fill="FFFFFF"/>
          </w:rPr>
          <w:t>https://relatoria.colombiacompra.gov.co/busqueda/conceptos</w:t>
        </w:r>
      </w:hyperlink>
      <w:r w:rsidRPr="00C278CC">
        <w:rPr>
          <w:rStyle w:val="normaltextrun"/>
          <w:rFonts w:ascii="Verdana" w:hAnsi="Verdana" w:cs="Arial"/>
          <w:shd w:val="clear" w:color="auto" w:fill="FFFFFF"/>
        </w:rPr>
        <w:t xml:space="preserve">. </w:t>
      </w:r>
      <w:r w:rsidRPr="00C278CC">
        <w:rPr>
          <w:rStyle w:val="normaltextrun"/>
          <w:rFonts w:ascii="Verdana" w:hAnsi="Verdana" w:cs="Arial"/>
          <w:color w:val="FF0000"/>
          <w:shd w:val="clear" w:color="auto" w:fill="FFFFFF"/>
          <w:lang w:val="es-ES"/>
        </w:rPr>
        <w:t xml:space="preserve"> </w:t>
      </w:r>
    </w:p>
    <w:p w14:paraId="525EF5EF" w14:textId="77777777" w:rsidR="00785257" w:rsidRPr="00C278CC" w:rsidRDefault="00785257" w:rsidP="00E434A2">
      <w:pPr>
        <w:spacing w:after="0" w:line="276" w:lineRule="auto"/>
        <w:jc w:val="both"/>
        <w:rPr>
          <w:rFonts w:ascii="Verdana" w:hAnsi="Verdana" w:cs="Arial"/>
        </w:rPr>
      </w:pPr>
    </w:p>
    <w:p w14:paraId="200DBE2C" w14:textId="77777777" w:rsidR="00785257" w:rsidRPr="00C278CC" w:rsidRDefault="00785257" w:rsidP="00E434A2">
      <w:pPr>
        <w:spacing w:after="0" w:line="276" w:lineRule="auto"/>
        <w:jc w:val="both"/>
        <w:rPr>
          <w:rFonts w:ascii="Verdana" w:hAnsi="Verdana" w:cs="Arial"/>
        </w:rPr>
      </w:pPr>
      <w:r w:rsidRPr="00C278CC">
        <w:rPr>
          <w:rFonts w:ascii="Verdana" w:hAnsi="Verdana" w:cs="Arial"/>
        </w:rPr>
        <w:t xml:space="preserve">La sostenibilidad no es una opción, es una obligación. Por ello, la Agencia Nacional de Contratación Pública –Colombia Compra Eficiente– te invita a realizar el </w:t>
      </w:r>
      <w:r w:rsidRPr="00C278CC">
        <w:rPr>
          <w:rFonts w:ascii="Verdana" w:hAnsi="Verdana" w:cs="Arial"/>
          <w:b/>
          <w:bCs/>
        </w:rPr>
        <w:t>Curso de Contratación Pública Sostenible y Socialmente Responsable</w:t>
      </w:r>
      <w:r w:rsidRPr="00C278CC">
        <w:rPr>
          <w:rFonts w:ascii="Verdana" w:hAnsi="Verdana" w:cs="Arial"/>
        </w:rPr>
        <w:t xml:space="preserve">, una herramienta clave para fortalecer las capacidades de todos </w:t>
      </w:r>
      <w:r w:rsidRPr="00C278CC">
        <w:rPr>
          <w:rFonts w:ascii="Verdana" w:hAnsi="Verdana" w:cs="Arial"/>
        </w:rPr>
        <w:lastRenderedPageBreak/>
        <w:t>los compradores públicos, proveedores, servidores públicos v para generar mayor valor público. Accede al curso y aprende como implementar criterios sociales y ambientales en las diferentes etapas del proceso de contratación:</w:t>
      </w:r>
      <w:r w:rsidRPr="00C278CC">
        <w:rPr>
          <w:rFonts w:ascii="Verdana" w:hAnsi="Verdana" w:cs="Arial"/>
        </w:rPr>
        <w:br/>
      </w:r>
      <w:hyperlink r:id="rId15" w:tgtFrame="_new" w:history="1">
        <w:r w:rsidRPr="00C278CC">
          <w:rPr>
            <w:rStyle w:val="Hipervnculo"/>
            <w:rFonts w:ascii="Verdana" w:hAnsi="Verdana" w:cs="Arial"/>
          </w:rPr>
          <w:t>https://formacionvirtual.colombiacompra.gov.co/mod/page/view.php?id=3718</w:t>
        </w:r>
      </w:hyperlink>
    </w:p>
    <w:p w14:paraId="4A456A7C" w14:textId="77777777" w:rsidR="00785257" w:rsidRPr="00C278CC" w:rsidRDefault="00785257" w:rsidP="00E434A2">
      <w:pPr>
        <w:spacing w:after="0" w:line="276" w:lineRule="auto"/>
        <w:jc w:val="both"/>
        <w:rPr>
          <w:rFonts w:ascii="Verdana" w:hAnsi="Verdana" w:cs="Arial"/>
        </w:rPr>
      </w:pPr>
    </w:p>
    <w:p w14:paraId="64130258" w14:textId="77777777" w:rsidR="00785257" w:rsidRPr="00C278CC" w:rsidRDefault="00785257" w:rsidP="00E434A2">
      <w:pPr>
        <w:spacing w:after="0" w:line="276" w:lineRule="auto"/>
        <w:jc w:val="both"/>
        <w:rPr>
          <w:rFonts w:ascii="Verdana" w:hAnsi="Verdana" w:cs="Arial"/>
        </w:rPr>
      </w:pPr>
      <w:r w:rsidRPr="00C278CC">
        <w:rPr>
          <w:rFonts w:ascii="Verdana" w:hAnsi="Verdana" w:cs="Arial"/>
        </w:rPr>
        <w:t xml:space="preserve">De otro lado, te contamos que esta Agencia ha da un paso decisivo en la estandarización y modernización del </w:t>
      </w:r>
      <w:r w:rsidRPr="00C278CC">
        <w:rPr>
          <w:rFonts w:ascii="Verdana" w:hAnsi="Verdana" w:cs="Arial"/>
          <w:b/>
          <w:bCs/>
        </w:rPr>
        <w:t>sector  social</w:t>
      </w:r>
      <w:r w:rsidRPr="00C278CC">
        <w:rPr>
          <w:rFonts w:ascii="Verdana" w:hAnsi="Verdana" w:cs="Arial"/>
        </w:rPr>
        <w:t xml:space="preserve"> con la expedición de las </w:t>
      </w:r>
      <w:r w:rsidRPr="00C278CC">
        <w:rPr>
          <w:rFonts w:ascii="Verdana" w:hAnsi="Verdana" w:cs="Arial"/>
          <w:b/>
          <w:bCs/>
        </w:rPr>
        <w:t>Resoluciones 539, 540, 541, 952 y 953 de 2025</w:t>
      </w:r>
      <w:r w:rsidRPr="00C278CC">
        <w:rPr>
          <w:rFonts w:ascii="Verdana" w:hAnsi="Verdana" w:cs="Arial"/>
        </w:rPr>
        <w:t xml:space="preserve">, </w:t>
      </w:r>
      <w:r w:rsidRPr="00C278CC">
        <w:rPr>
          <w:rFonts w:ascii="Verdana" w:hAnsi="Verdana" w:cs="Arial"/>
          <w:b/>
          <w:bCs/>
        </w:rPr>
        <w:t>mediante las cuales adoptó Documentos Tipo</w:t>
      </w:r>
      <w:r w:rsidRPr="00C278CC">
        <w:rPr>
          <w:rFonts w:ascii="Verdana" w:hAnsi="Verdana" w:cs="Arial"/>
        </w:rPr>
        <w:t xml:space="preserve"> para las modalidades de selección de</w:t>
      </w:r>
      <w:r w:rsidRPr="00C278CC">
        <w:rPr>
          <w:rFonts w:ascii="Verdana" w:hAnsi="Verdana" w:cs="Arial"/>
          <w:b/>
          <w:bCs/>
        </w:rPr>
        <w:t xml:space="preserve"> licitación pública (versión 2), selección abreviada de menor cuantía, mínima cuantía, consultoría e interventoría</w:t>
      </w:r>
      <w:r w:rsidRPr="00C278CC">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C278CC">
          <w:rPr>
            <w:rStyle w:val="Hipervnculo"/>
            <w:rFonts w:ascii="Verdana" w:hAnsi="Verdana" w:cs="Arial"/>
          </w:rPr>
          <w:t>https://www.colombiacompra.gov.co/normativa-y-relatoria/documentos-tipo</w:t>
        </w:r>
      </w:hyperlink>
    </w:p>
    <w:p w14:paraId="484DC801" w14:textId="77777777" w:rsidR="00785257" w:rsidRPr="00C278CC" w:rsidRDefault="00785257" w:rsidP="00E434A2">
      <w:pPr>
        <w:spacing w:after="0" w:line="276" w:lineRule="auto"/>
        <w:jc w:val="both"/>
        <w:rPr>
          <w:rFonts w:ascii="Verdana" w:hAnsi="Verdana" w:cs="Arial"/>
        </w:rPr>
      </w:pPr>
    </w:p>
    <w:p w14:paraId="6AFEA6A0" w14:textId="654B70A0" w:rsidR="00785257" w:rsidRPr="00C278CC" w:rsidRDefault="00785257" w:rsidP="00E434A2">
      <w:pPr>
        <w:spacing w:after="0" w:line="276" w:lineRule="auto"/>
        <w:jc w:val="both"/>
        <w:rPr>
          <w:rFonts w:ascii="Verdana" w:hAnsi="Verdana" w:cs="Arial"/>
        </w:rPr>
      </w:pPr>
      <w:r w:rsidRPr="00C278CC">
        <w:rPr>
          <w:rFonts w:ascii="Verdana" w:hAnsi="Verdana" w:cs="Arial"/>
        </w:rPr>
        <w:t xml:space="preserve">Si quieres conocer más sobre la aplicación de Documentos Tipo puedes consultar la última versión de la </w:t>
      </w:r>
      <w:r w:rsidRPr="00C278CC">
        <w:rPr>
          <w:rFonts w:ascii="Verdana" w:hAnsi="Verdana" w:cs="Arial"/>
          <w:b/>
          <w:bCs/>
        </w:rPr>
        <w:t>Guía para la comprensión e implementación de los Documentos Tipo de obra pública de infraestructura de transporte</w:t>
      </w:r>
      <w:r w:rsidRPr="00C278CC">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278CC">
        <w:rPr>
          <w:rFonts w:ascii="Verdana" w:hAnsi="Verdana" w:cs="Arial"/>
        </w:rPr>
        <w:br/>
      </w:r>
      <w:hyperlink r:id="rId17" w:tgtFrame="_new" w:history="1">
        <w:r w:rsidR="00CA5575" w:rsidRPr="00C278CC">
          <w:rPr>
            <w:rStyle w:val="Hipervnculo"/>
            <w:rFonts w:ascii="Verdana" w:hAnsi="Verdana" w:cs="Arial"/>
          </w:rPr>
          <w:t>Guía para la comprensión e implementación de los Documentos Tipo de obra pública de infraestructura de transporte</w:t>
        </w:r>
      </w:hyperlink>
    </w:p>
    <w:p w14:paraId="464B4747" w14:textId="77777777" w:rsidR="00785257" w:rsidRPr="00C278CC" w:rsidRDefault="00785257" w:rsidP="00E434A2">
      <w:pPr>
        <w:spacing w:after="0" w:line="276" w:lineRule="auto"/>
        <w:jc w:val="both"/>
        <w:rPr>
          <w:rFonts w:ascii="Verdana" w:hAnsi="Verdana" w:cs="Arial"/>
        </w:rPr>
      </w:pPr>
    </w:p>
    <w:p w14:paraId="50FA5212" w14:textId="77777777" w:rsidR="00785257" w:rsidRPr="00C278CC" w:rsidRDefault="00785257" w:rsidP="00E434A2">
      <w:pPr>
        <w:spacing w:after="0" w:line="276" w:lineRule="auto"/>
        <w:jc w:val="both"/>
        <w:rPr>
          <w:rFonts w:ascii="Verdana" w:hAnsi="Verdana" w:cs="Arial"/>
        </w:rPr>
      </w:pPr>
      <w:r w:rsidRPr="00C278CC">
        <w:rPr>
          <w:rFonts w:ascii="Verdana" w:hAnsi="Verdana" w:cs="Arial"/>
        </w:rPr>
        <w:t xml:space="preserve">Por último, lo invitamos a seguirnos en las redes sociales en las cuales se difunde información institucional: </w:t>
      </w:r>
    </w:p>
    <w:p w14:paraId="2E2B703B" w14:textId="77777777" w:rsidR="00785257" w:rsidRPr="00C278CC" w:rsidRDefault="00785257" w:rsidP="00E434A2">
      <w:pPr>
        <w:spacing w:after="0" w:line="276" w:lineRule="auto"/>
        <w:jc w:val="both"/>
        <w:rPr>
          <w:rFonts w:ascii="Verdana" w:hAnsi="Verdana" w:cs="Arial"/>
        </w:rPr>
      </w:pPr>
    </w:p>
    <w:p w14:paraId="537D4C4B" w14:textId="77777777" w:rsidR="00785257" w:rsidRPr="00C278CC" w:rsidRDefault="00785257" w:rsidP="00E434A2">
      <w:pPr>
        <w:spacing w:after="0" w:line="276" w:lineRule="auto"/>
        <w:jc w:val="both"/>
        <w:rPr>
          <w:rFonts w:ascii="Verdana" w:hAnsi="Verdana" w:cs="Arial"/>
        </w:rPr>
      </w:pPr>
      <w:r w:rsidRPr="00C278CC">
        <w:rPr>
          <w:rFonts w:ascii="Verdana" w:hAnsi="Verdana" w:cs="Arial"/>
        </w:rPr>
        <w:t xml:space="preserve">Twitter: </w:t>
      </w:r>
      <w:r w:rsidRPr="00C278CC">
        <w:rPr>
          <w:rStyle w:val="Hipervnculo"/>
          <w:rFonts w:ascii="Verdana" w:hAnsi="Verdana" w:cs="Arial"/>
          <w:color w:val="4472C4" w:themeColor="accent1"/>
        </w:rPr>
        <w:t>@colombiacompra</w:t>
      </w:r>
      <w:r w:rsidRPr="00C278CC">
        <w:rPr>
          <w:rFonts w:ascii="Verdana" w:hAnsi="Verdana" w:cs="Arial"/>
          <w:color w:val="4472C4" w:themeColor="accent1"/>
        </w:rPr>
        <w:t xml:space="preserve"> </w:t>
      </w:r>
    </w:p>
    <w:p w14:paraId="08E4B051" w14:textId="77777777" w:rsidR="00785257" w:rsidRPr="00C278CC" w:rsidRDefault="00785257" w:rsidP="00E434A2">
      <w:pPr>
        <w:spacing w:after="0" w:line="276" w:lineRule="auto"/>
        <w:jc w:val="both"/>
        <w:rPr>
          <w:rFonts w:ascii="Verdana" w:hAnsi="Verdana" w:cs="Arial"/>
        </w:rPr>
      </w:pPr>
      <w:r w:rsidRPr="00C278CC">
        <w:rPr>
          <w:rFonts w:ascii="Verdana" w:hAnsi="Verdana" w:cs="Arial"/>
        </w:rPr>
        <w:t xml:space="preserve">Facebook: </w:t>
      </w:r>
      <w:r w:rsidRPr="00C278CC">
        <w:rPr>
          <w:rStyle w:val="Hipervnculo"/>
          <w:rFonts w:ascii="Verdana" w:hAnsi="Verdana" w:cs="Arial"/>
          <w:color w:val="4472C4" w:themeColor="accent1"/>
        </w:rPr>
        <w:t>ColombiaCompraEficiente</w:t>
      </w:r>
    </w:p>
    <w:p w14:paraId="484CC973" w14:textId="77777777" w:rsidR="00785257" w:rsidRPr="00C278CC" w:rsidRDefault="00785257" w:rsidP="00E434A2">
      <w:pPr>
        <w:spacing w:after="0" w:line="276" w:lineRule="auto"/>
        <w:jc w:val="both"/>
        <w:rPr>
          <w:rStyle w:val="Hipervnculo"/>
          <w:rFonts w:ascii="Verdana" w:hAnsi="Verdana" w:cs="Arial"/>
          <w:color w:val="4472C4" w:themeColor="accent1"/>
        </w:rPr>
      </w:pPr>
      <w:r w:rsidRPr="00C278CC">
        <w:rPr>
          <w:rFonts w:ascii="Verdana" w:hAnsi="Verdana" w:cs="Arial"/>
        </w:rPr>
        <w:t xml:space="preserve">LinkedIn: </w:t>
      </w:r>
      <w:r w:rsidRPr="00C278CC">
        <w:rPr>
          <w:rStyle w:val="Hipervnculo"/>
          <w:rFonts w:ascii="Verdana" w:hAnsi="Verdana" w:cs="Arial"/>
          <w:color w:val="4472C4" w:themeColor="accent1"/>
        </w:rPr>
        <w:t>Agencia Nacional de Contratación Pública - Colombia Compra Eficiente</w:t>
      </w:r>
      <w:r w:rsidRPr="00C278CC">
        <w:rPr>
          <w:rFonts w:ascii="Verdana" w:hAnsi="Verdana" w:cs="Arial"/>
          <w:color w:val="4472C4" w:themeColor="accent1"/>
        </w:rPr>
        <w:t xml:space="preserve"> </w:t>
      </w:r>
      <w:r w:rsidRPr="00C278CC">
        <w:rPr>
          <w:rFonts w:ascii="Verdana" w:hAnsi="Verdana" w:cs="Arial"/>
        </w:rPr>
        <w:t xml:space="preserve">Instagram: </w:t>
      </w:r>
      <w:r w:rsidRPr="00C278CC">
        <w:rPr>
          <w:rStyle w:val="Hipervnculo"/>
          <w:rFonts w:ascii="Verdana" w:hAnsi="Verdana" w:cs="Arial"/>
          <w:color w:val="4472C4" w:themeColor="accent1"/>
        </w:rPr>
        <w:t>@colombiacompraeficiente_cce</w:t>
      </w:r>
    </w:p>
    <w:p w14:paraId="44D91931" w14:textId="77777777" w:rsidR="00785257" w:rsidRPr="00C278CC" w:rsidRDefault="00785257" w:rsidP="00E434A2">
      <w:pPr>
        <w:spacing w:after="0" w:line="276" w:lineRule="auto"/>
        <w:jc w:val="both"/>
        <w:rPr>
          <w:rStyle w:val="Hipervnculo"/>
          <w:rFonts w:ascii="Verdana" w:hAnsi="Verdana" w:cs="Arial"/>
          <w:color w:val="4472C4" w:themeColor="accent1"/>
        </w:rPr>
      </w:pPr>
    </w:p>
    <w:p w14:paraId="57A85387" w14:textId="77777777" w:rsidR="00785257" w:rsidRPr="00C278CC" w:rsidRDefault="00785257" w:rsidP="00E434A2">
      <w:pPr>
        <w:widowControl w:val="0"/>
        <w:autoSpaceDE w:val="0"/>
        <w:autoSpaceDN w:val="0"/>
        <w:spacing w:after="0" w:line="276" w:lineRule="auto"/>
        <w:jc w:val="both"/>
        <w:rPr>
          <w:rFonts w:ascii="Verdana" w:hAnsi="Verdana" w:cs="Arial"/>
          <w:lang w:val="es-ES_tradnl"/>
        </w:rPr>
      </w:pPr>
      <w:r w:rsidRPr="00C278CC">
        <w:rPr>
          <w:rFonts w:ascii="Verdana" w:hAnsi="Verdana" w:cs="Arial"/>
        </w:rPr>
        <w:lastRenderedPageBreak/>
        <w:t xml:space="preserve">Este concepto tiene el alcance previsto en el artículo 28 del Código de Procedimiento Administrativo y de lo Contencioso Administrativo </w:t>
      </w:r>
      <w:r w:rsidRPr="00C278CC">
        <w:rPr>
          <w:rFonts w:ascii="Verdana" w:hAnsi="Verdana" w:cs="Arial"/>
          <w:lang w:val="es-ES_tradnl"/>
        </w:rPr>
        <w:t>y las expresiones aquí utilizadas con mayúscula inicial deben ser entendidas con el significado que les otorga el artículo 2.2.1.1.1.3.1. del Decreto 1082 de 2015.</w:t>
      </w:r>
    </w:p>
    <w:p w14:paraId="6F993D01" w14:textId="77777777" w:rsidR="00785257" w:rsidRPr="00C278CC" w:rsidRDefault="00785257" w:rsidP="00E434A2">
      <w:pPr>
        <w:widowControl w:val="0"/>
        <w:autoSpaceDE w:val="0"/>
        <w:autoSpaceDN w:val="0"/>
        <w:spacing w:after="0" w:line="276" w:lineRule="auto"/>
        <w:jc w:val="both"/>
        <w:rPr>
          <w:rFonts w:ascii="Verdana" w:hAnsi="Verdana" w:cs="Arial"/>
        </w:rPr>
      </w:pPr>
    </w:p>
    <w:p w14:paraId="64C63CD5" w14:textId="77777777" w:rsidR="00785257" w:rsidRPr="00C278CC" w:rsidRDefault="00785257" w:rsidP="00E434A2">
      <w:pPr>
        <w:spacing w:after="0" w:line="276" w:lineRule="auto"/>
        <w:jc w:val="both"/>
        <w:rPr>
          <w:rFonts w:ascii="Verdana" w:hAnsi="Verdana" w:cs="Arial"/>
          <w:lang w:eastAsia="es-CO"/>
        </w:rPr>
      </w:pPr>
      <w:r w:rsidRPr="00C278CC">
        <w:rPr>
          <w:rFonts w:ascii="Verdana" w:eastAsia="Times New Roman" w:hAnsi="Verdana" w:cs="Arial"/>
          <w:lang w:eastAsia="es-CO"/>
        </w:rPr>
        <w:t>Atentamente,</w:t>
      </w:r>
      <w:r w:rsidRPr="00C278CC">
        <w:rPr>
          <w:rFonts w:ascii="Verdana" w:hAnsi="Verdana" w:cs="Arial"/>
          <w:lang w:eastAsia="es-CO"/>
        </w:rPr>
        <w:t xml:space="preserve"> </w:t>
      </w:r>
    </w:p>
    <w:p w14:paraId="24189FC2" w14:textId="66421EBA" w:rsidR="00785257" w:rsidRPr="00C278CC" w:rsidRDefault="00787B7E" w:rsidP="00785257">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11A1C002" wp14:editId="054FB890">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5257" w:rsidRPr="00C278CC" w14:paraId="03B39B01" w14:textId="77777777" w:rsidTr="006A2218">
        <w:trPr>
          <w:trHeight w:val="315"/>
        </w:trPr>
        <w:tc>
          <w:tcPr>
            <w:tcW w:w="893" w:type="dxa"/>
            <w:vAlign w:val="center"/>
            <w:hideMark/>
          </w:tcPr>
          <w:p w14:paraId="5FB589ED" w14:textId="77777777" w:rsidR="00785257" w:rsidRPr="00C278CC" w:rsidRDefault="00785257" w:rsidP="006A2218">
            <w:pPr>
              <w:contextualSpacing/>
              <w:rPr>
                <w:rFonts w:ascii="Verdana" w:hAnsi="Verdana" w:cs="Arial"/>
                <w:sz w:val="16"/>
                <w:szCs w:val="16"/>
                <w:lang w:val="es-ES" w:eastAsia="es-ES"/>
              </w:rPr>
            </w:pPr>
            <w:r w:rsidRPr="00C278C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7928A1" w14:textId="77777777" w:rsidR="00785257" w:rsidRPr="00C278CC" w:rsidRDefault="00785257" w:rsidP="006A2218">
            <w:pPr>
              <w:contextualSpacing/>
              <w:rPr>
                <w:rFonts w:ascii="Verdana" w:eastAsia="Arial" w:hAnsi="Verdana" w:cs="Arial"/>
                <w:sz w:val="16"/>
                <w:szCs w:val="16"/>
              </w:rPr>
            </w:pPr>
            <w:r w:rsidRPr="00C278CC">
              <w:rPr>
                <w:rFonts w:ascii="Verdana" w:eastAsia="Arial" w:hAnsi="Verdana" w:cs="Arial"/>
                <w:sz w:val="16"/>
                <w:szCs w:val="16"/>
              </w:rPr>
              <w:t>Ana María Ortiz Ballesteros</w:t>
            </w:r>
          </w:p>
          <w:p w14:paraId="0D189909" w14:textId="77777777" w:rsidR="00785257" w:rsidRPr="00C278CC" w:rsidRDefault="00785257" w:rsidP="006A2218">
            <w:pPr>
              <w:contextualSpacing/>
              <w:rPr>
                <w:rFonts w:ascii="Verdana" w:eastAsia="Arial" w:hAnsi="Verdana" w:cs="Arial"/>
                <w:sz w:val="16"/>
                <w:szCs w:val="16"/>
              </w:rPr>
            </w:pPr>
            <w:r w:rsidRPr="00C278CC">
              <w:rPr>
                <w:rStyle w:val="normaltextrun"/>
                <w:rFonts w:ascii="Verdana" w:eastAsia="Arial" w:hAnsi="Verdana" w:cs="Arial"/>
                <w:sz w:val="16"/>
                <w:szCs w:val="16"/>
              </w:rPr>
              <w:t>C</w:t>
            </w:r>
            <w:r w:rsidRPr="00C278CC">
              <w:rPr>
                <w:rStyle w:val="normaltextrun"/>
                <w:rFonts w:ascii="Verdana" w:hAnsi="Verdana"/>
                <w:sz w:val="16"/>
                <w:szCs w:val="16"/>
              </w:rPr>
              <w:t>ontratista</w:t>
            </w:r>
            <w:r w:rsidRPr="00C278CC">
              <w:rPr>
                <w:rStyle w:val="normaltextrun"/>
                <w:rFonts w:ascii="Verdana" w:eastAsia="Arial" w:hAnsi="Verdana" w:cs="Arial"/>
                <w:sz w:val="16"/>
                <w:szCs w:val="16"/>
              </w:rPr>
              <w:t xml:space="preserve"> de la Subdirección de Gestión Contractual</w:t>
            </w:r>
          </w:p>
        </w:tc>
      </w:tr>
      <w:tr w:rsidR="00785257" w:rsidRPr="00C278CC" w14:paraId="16E37D6D" w14:textId="77777777" w:rsidTr="006A2218">
        <w:trPr>
          <w:trHeight w:val="330"/>
        </w:trPr>
        <w:tc>
          <w:tcPr>
            <w:tcW w:w="893" w:type="dxa"/>
            <w:vAlign w:val="center"/>
            <w:hideMark/>
          </w:tcPr>
          <w:p w14:paraId="1C4E39B3" w14:textId="77777777" w:rsidR="00785257" w:rsidRPr="00C278CC" w:rsidRDefault="00785257" w:rsidP="006A2218">
            <w:pPr>
              <w:contextualSpacing/>
              <w:rPr>
                <w:rFonts w:ascii="Verdana" w:hAnsi="Verdana" w:cs="Arial"/>
                <w:sz w:val="16"/>
                <w:szCs w:val="16"/>
                <w:lang w:val="es-ES" w:eastAsia="es-ES"/>
              </w:rPr>
            </w:pPr>
            <w:r w:rsidRPr="00C278C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0854AF" w14:textId="77777777" w:rsidR="00785257" w:rsidRPr="00C278CC" w:rsidRDefault="00785257" w:rsidP="006A2218">
            <w:pPr>
              <w:pStyle w:val="paragraph"/>
              <w:spacing w:before="0" w:beforeAutospacing="0" w:after="0" w:afterAutospacing="0"/>
              <w:contextualSpacing/>
              <w:textAlignment w:val="baseline"/>
              <w:rPr>
                <w:rFonts w:ascii="Verdana" w:hAnsi="Verdana" w:cs="Arial"/>
                <w:sz w:val="16"/>
                <w:szCs w:val="16"/>
              </w:rPr>
            </w:pPr>
            <w:r w:rsidRPr="00C278CC">
              <w:rPr>
                <w:rFonts w:ascii="Verdana" w:hAnsi="Verdana" w:cs="Arial"/>
                <w:sz w:val="16"/>
                <w:szCs w:val="16"/>
              </w:rPr>
              <w:t>Diana Lucia Saavedra Castañeda</w:t>
            </w:r>
          </w:p>
          <w:p w14:paraId="5AA56A15" w14:textId="77777777" w:rsidR="00785257" w:rsidRPr="00C278CC" w:rsidRDefault="00785257" w:rsidP="006A2218">
            <w:pPr>
              <w:pStyle w:val="paragraph"/>
              <w:spacing w:before="0" w:beforeAutospacing="0" w:after="0" w:afterAutospacing="0"/>
              <w:contextualSpacing/>
              <w:textAlignment w:val="baseline"/>
              <w:rPr>
                <w:rFonts w:ascii="Verdana" w:hAnsi="Verdana" w:cs="Arial"/>
                <w:sz w:val="16"/>
                <w:szCs w:val="16"/>
              </w:rPr>
            </w:pPr>
            <w:r w:rsidRPr="00C278CC">
              <w:rPr>
                <w:rStyle w:val="normaltextrun"/>
                <w:rFonts w:ascii="Verdana" w:eastAsia="Arial" w:hAnsi="Verdana" w:cs="Arial"/>
                <w:sz w:val="16"/>
                <w:szCs w:val="16"/>
              </w:rPr>
              <w:t>C</w:t>
            </w:r>
            <w:r w:rsidRPr="00C278CC">
              <w:rPr>
                <w:rStyle w:val="normaltextrun"/>
                <w:rFonts w:ascii="Verdana" w:hAnsi="Verdana"/>
                <w:sz w:val="16"/>
                <w:szCs w:val="16"/>
              </w:rPr>
              <w:t>ontratista</w:t>
            </w:r>
            <w:r w:rsidRPr="00C278CC">
              <w:rPr>
                <w:rStyle w:val="normaltextrun"/>
                <w:rFonts w:ascii="Verdana" w:eastAsia="Arial" w:hAnsi="Verdana" w:cs="Arial"/>
                <w:sz w:val="16"/>
                <w:szCs w:val="16"/>
              </w:rPr>
              <w:t xml:space="preserve"> de la Subdirección de Gestión Contractual</w:t>
            </w:r>
          </w:p>
        </w:tc>
      </w:tr>
      <w:tr w:rsidR="00785257" w:rsidRPr="00C278CC" w14:paraId="767BE0A4" w14:textId="77777777" w:rsidTr="006A2218">
        <w:trPr>
          <w:trHeight w:val="300"/>
        </w:trPr>
        <w:tc>
          <w:tcPr>
            <w:tcW w:w="893" w:type="dxa"/>
            <w:vAlign w:val="center"/>
          </w:tcPr>
          <w:p w14:paraId="304F7EE3" w14:textId="77777777" w:rsidR="00785257" w:rsidRPr="00C278CC" w:rsidRDefault="00785257" w:rsidP="006A2218">
            <w:pPr>
              <w:contextualSpacing/>
              <w:rPr>
                <w:rFonts w:ascii="Verdana" w:hAnsi="Verdana" w:cs="Arial"/>
                <w:sz w:val="16"/>
                <w:szCs w:val="16"/>
                <w:lang w:val="es-ES" w:eastAsia="es-ES"/>
              </w:rPr>
            </w:pPr>
            <w:r w:rsidRPr="00C278C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4C39E75" w14:textId="77777777" w:rsidR="00785257" w:rsidRPr="00C278CC" w:rsidRDefault="00785257" w:rsidP="006A2218">
            <w:pPr>
              <w:contextualSpacing/>
              <w:rPr>
                <w:rFonts w:ascii="Verdana" w:eastAsia="Calibri" w:hAnsi="Verdana" w:cs="Arial"/>
                <w:sz w:val="16"/>
                <w:szCs w:val="16"/>
                <w:lang w:val="pt-BR" w:eastAsia="es-ES"/>
              </w:rPr>
            </w:pPr>
            <w:r w:rsidRPr="00C278CC">
              <w:rPr>
                <w:rFonts w:ascii="Verdana" w:eastAsia="Calibri" w:hAnsi="Verdana" w:cs="Arial"/>
                <w:sz w:val="16"/>
                <w:szCs w:val="16"/>
                <w:lang w:val="pt-BR" w:eastAsia="es-ES"/>
              </w:rPr>
              <w:t>Carolina Quintero Gacharná</w:t>
            </w:r>
          </w:p>
          <w:p w14:paraId="0FA2E019" w14:textId="77777777" w:rsidR="00785257" w:rsidRPr="00C278CC" w:rsidRDefault="00785257" w:rsidP="006A2218">
            <w:pPr>
              <w:contextualSpacing/>
              <w:rPr>
                <w:rFonts w:ascii="Verdana" w:eastAsia="Calibri" w:hAnsi="Verdana" w:cs="Arial"/>
                <w:sz w:val="16"/>
                <w:szCs w:val="16"/>
                <w:lang w:val="pt-BR" w:eastAsia="es-ES"/>
              </w:rPr>
            </w:pPr>
            <w:r w:rsidRPr="00C278CC">
              <w:rPr>
                <w:rFonts w:ascii="Verdana" w:eastAsia="Calibri" w:hAnsi="Verdana" w:cs="Arial"/>
                <w:sz w:val="16"/>
                <w:szCs w:val="16"/>
                <w:lang w:eastAsia="es-ES"/>
              </w:rPr>
              <w:t>Subdirectora</w:t>
            </w:r>
            <w:r w:rsidRPr="00C278CC">
              <w:rPr>
                <w:rFonts w:ascii="Verdana" w:eastAsia="Calibri" w:hAnsi="Verdana" w:cs="Arial"/>
                <w:sz w:val="16"/>
                <w:szCs w:val="16"/>
                <w:lang w:val="pt-BR" w:eastAsia="es-ES"/>
              </w:rPr>
              <w:t xml:space="preserve"> de Gestión Contractual ANCP – CCE</w:t>
            </w:r>
          </w:p>
        </w:tc>
      </w:tr>
    </w:tbl>
    <w:p w14:paraId="4CBBCDB8" w14:textId="77777777" w:rsidR="00940DBD" w:rsidRPr="00C278CC" w:rsidRDefault="00940DBD" w:rsidP="30821638">
      <w:pPr>
        <w:spacing w:after="0"/>
        <w:rPr>
          <w:rFonts w:ascii="Verdana" w:eastAsia="Verdana" w:hAnsi="Verdana" w:cs="Verdana"/>
        </w:rPr>
      </w:pPr>
    </w:p>
    <w:bookmarkEnd w:id="0"/>
    <w:p w14:paraId="0F293BF4" w14:textId="3DB96204" w:rsidR="00127233" w:rsidRPr="00C278CC" w:rsidRDefault="00127233" w:rsidP="00D31AFD">
      <w:pPr>
        <w:spacing w:after="0"/>
        <w:rPr>
          <w:rFonts w:ascii="Verdana" w:eastAsia="Verdana" w:hAnsi="Verdana" w:cs="Verdana"/>
        </w:rPr>
      </w:pPr>
    </w:p>
    <w:sectPr w:rsidR="00127233" w:rsidRPr="00C278CC"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83AB0" w14:textId="77777777" w:rsidR="00650AE6" w:rsidRDefault="00650AE6" w:rsidP="004A1847">
      <w:pPr>
        <w:spacing w:after="0" w:line="240" w:lineRule="auto"/>
      </w:pPr>
      <w:r>
        <w:separator/>
      </w:r>
    </w:p>
  </w:endnote>
  <w:endnote w:type="continuationSeparator" w:id="0">
    <w:p w14:paraId="443F8591" w14:textId="77777777" w:rsidR="00650AE6" w:rsidRDefault="00650AE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B1518" w14:textId="77777777" w:rsidR="00650AE6" w:rsidRDefault="00650AE6" w:rsidP="004A1847">
      <w:pPr>
        <w:spacing w:after="0" w:line="240" w:lineRule="auto"/>
      </w:pPr>
      <w:r>
        <w:separator/>
      </w:r>
    </w:p>
  </w:footnote>
  <w:footnote w:type="continuationSeparator" w:id="0">
    <w:p w14:paraId="1BA9F90B" w14:textId="77777777" w:rsidR="00650AE6" w:rsidRDefault="00650AE6" w:rsidP="004A1847">
      <w:pPr>
        <w:spacing w:after="0" w:line="240" w:lineRule="auto"/>
      </w:pPr>
      <w:r>
        <w:continuationSeparator/>
      </w:r>
    </w:p>
  </w:footnote>
  <w:footnote w:id="1">
    <w:p w14:paraId="0A3D87E4" w14:textId="77777777" w:rsidR="007E5EE3" w:rsidRPr="002968AB" w:rsidRDefault="007E5EE3" w:rsidP="002027A0">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592F7FD" w14:textId="77777777" w:rsidR="007E5EE3" w:rsidRPr="002968AB" w:rsidRDefault="007E5EE3" w:rsidP="002027A0">
      <w:pPr>
        <w:pStyle w:val="Textonotapie"/>
        <w:ind w:firstLine="709"/>
        <w:jc w:val="both"/>
        <w:rPr>
          <w:rFonts w:ascii="Verdana" w:hAnsi="Verdana" w:cs="Arial"/>
          <w:sz w:val="16"/>
          <w:szCs w:val="16"/>
        </w:rPr>
      </w:pPr>
      <w:r w:rsidRPr="002968AB">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22408DA9" w14:textId="77777777" w:rsidR="007E5EE3" w:rsidRPr="002968AB" w:rsidRDefault="007E5EE3" w:rsidP="002027A0">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Gaceta del Congreso de la República No. 71 del 2005.</w:t>
      </w:r>
    </w:p>
  </w:footnote>
  <w:footnote w:id="3">
    <w:p w14:paraId="218763D7" w14:textId="77777777" w:rsidR="007E5EE3" w:rsidRPr="002968AB" w:rsidRDefault="007E5EE3" w:rsidP="002027A0">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Corte Constitucional, Sentencia C- 1153 de 2005, M.P. Marco Gerardo Monroy Cabra.</w:t>
      </w:r>
    </w:p>
  </w:footnote>
  <w:footnote w:id="4">
    <w:p w14:paraId="620DE19B" w14:textId="77777777" w:rsidR="007E5EE3" w:rsidRPr="002968AB" w:rsidRDefault="007E5EE3" w:rsidP="002027A0">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4994E17B" w14:textId="77777777" w:rsidR="007E5EE3" w:rsidRPr="002968AB" w:rsidRDefault="007E5EE3" w:rsidP="002027A0">
      <w:pPr>
        <w:pStyle w:val="Textonotapie"/>
        <w:ind w:firstLine="709"/>
        <w:jc w:val="both"/>
        <w:rPr>
          <w:rFonts w:ascii="Verdana" w:hAnsi="Verdana" w:cs="Arial"/>
          <w:sz w:val="16"/>
          <w:szCs w:val="16"/>
          <w:lang w:val="es-CO"/>
        </w:rPr>
      </w:pPr>
      <w:r w:rsidRPr="002968AB">
        <w:rPr>
          <w:rStyle w:val="Refdenotaalpie"/>
          <w:rFonts w:ascii="Verdana" w:hAnsi="Verdana" w:cs="Arial"/>
          <w:sz w:val="16"/>
          <w:szCs w:val="16"/>
        </w:rPr>
        <w:footnoteRef/>
      </w:r>
      <w:r w:rsidRPr="002968AB">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F9B1448" w14:textId="77777777" w:rsidR="007E5EE3" w:rsidRPr="002968AB" w:rsidRDefault="007E5EE3" w:rsidP="002027A0">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2B65FDE0" w14:textId="77777777" w:rsidR="007E5EE3" w:rsidRPr="002968AB" w:rsidRDefault="007E5EE3" w:rsidP="002027A0">
      <w:pPr>
        <w:spacing w:after="0" w:line="240" w:lineRule="auto"/>
        <w:ind w:firstLine="709"/>
        <w:jc w:val="both"/>
        <w:rPr>
          <w:rFonts w:ascii="Verdana" w:eastAsia="Times New Roman"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w:t>
      </w:r>
      <w:bookmarkStart w:id="6" w:name="33"/>
      <w:r w:rsidRPr="002968AB">
        <w:rPr>
          <w:rFonts w:ascii="Verdana" w:eastAsia="Calibri" w:hAnsi="Verdana" w:cs="Arial"/>
          <w:color w:val="000000"/>
          <w:sz w:val="16"/>
          <w:szCs w:val="16"/>
        </w:rPr>
        <w:t>“</w:t>
      </w:r>
      <w:r w:rsidRPr="002968AB">
        <w:rPr>
          <w:rFonts w:ascii="Verdana" w:eastAsia="Times New Roman" w:hAnsi="Verdana" w:cs="Arial"/>
          <w:sz w:val="16"/>
          <w:szCs w:val="16"/>
        </w:rPr>
        <w:t>Artículo 33. Restricciones a la contratación pública.</w:t>
      </w:r>
      <w:bookmarkEnd w:id="6"/>
      <w:r w:rsidRPr="002968AB">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2C94DA0" w14:textId="77777777" w:rsidR="007E5EE3" w:rsidRPr="002968AB" w:rsidRDefault="007E5EE3" w:rsidP="002027A0">
      <w:pPr>
        <w:spacing w:after="0" w:line="240" w:lineRule="auto"/>
        <w:ind w:firstLine="709"/>
        <w:jc w:val="both"/>
        <w:rPr>
          <w:rFonts w:ascii="Verdana" w:eastAsia="Times New Roman" w:hAnsi="Verdana" w:cs="Arial"/>
          <w:sz w:val="16"/>
          <w:szCs w:val="16"/>
        </w:rPr>
      </w:pPr>
      <w:r w:rsidRPr="002968AB">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968AB">
        <w:rPr>
          <w:rFonts w:ascii="Verdana" w:eastAsia="Calibri" w:hAnsi="Verdana" w:cs="Arial"/>
          <w:color w:val="000000"/>
          <w:sz w:val="16"/>
          <w:szCs w:val="16"/>
        </w:rPr>
        <w:t>”</w:t>
      </w:r>
      <w:r w:rsidRPr="002968AB">
        <w:rPr>
          <w:rFonts w:ascii="Verdana" w:eastAsia="Times New Roman" w:hAnsi="Verdana" w:cs="Arial"/>
          <w:sz w:val="16"/>
          <w:szCs w:val="16"/>
        </w:rPr>
        <w:t>.</w:t>
      </w:r>
    </w:p>
  </w:footnote>
  <w:footnote w:id="8">
    <w:p w14:paraId="7FB39F08" w14:textId="77777777" w:rsidR="007E5EE3" w:rsidRPr="002968AB" w:rsidRDefault="007E5EE3" w:rsidP="002027A0">
      <w:pPr>
        <w:pStyle w:val="NormalWeb"/>
        <w:spacing w:before="0" w:beforeAutospacing="0" w:after="0" w:afterAutospacing="0"/>
        <w:ind w:firstLine="709"/>
        <w:jc w:val="both"/>
        <w:rPr>
          <w:rFonts w:ascii="Verdana" w:hAnsi="Verdana" w:cs="Arial"/>
          <w:sz w:val="16"/>
          <w:szCs w:val="16"/>
          <w:lang w:val="es-MX"/>
        </w:rPr>
      </w:pPr>
      <w:r w:rsidRPr="002968AB">
        <w:rPr>
          <w:rStyle w:val="Refdenotaalpie"/>
          <w:rFonts w:ascii="Verdana" w:hAnsi="Verdana" w:cs="Arial"/>
          <w:sz w:val="16"/>
          <w:szCs w:val="16"/>
        </w:rPr>
        <w:footnoteRef/>
      </w:r>
      <w:r w:rsidRPr="002968AB">
        <w:rPr>
          <w:rFonts w:ascii="Verdana" w:hAnsi="Verdana" w:cs="Arial"/>
          <w:sz w:val="16"/>
          <w:szCs w:val="16"/>
        </w:rPr>
        <w:t xml:space="preserve"> </w:t>
      </w:r>
      <w:bookmarkStart w:id="7" w:name="38"/>
      <w:r w:rsidRPr="002968AB">
        <w:rPr>
          <w:rFonts w:ascii="Verdana" w:eastAsia="Calibri" w:hAnsi="Verdana" w:cs="Arial"/>
          <w:color w:val="000000"/>
          <w:sz w:val="16"/>
          <w:szCs w:val="16"/>
        </w:rPr>
        <w:t>“</w:t>
      </w:r>
      <w:r w:rsidRPr="002968AB">
        <w:rPr>
          <w:rFonts w:ascii="Verdana" w:hAnsi="Verdana" w:cs="Arial"/>
          <w:sz w:val="16"/>
          <w:szCs w:val="16"/>
          <w:lang w:val="es-MX"/>
        </w:rPr>
        <w:t>Artículo 38. Prohibiciones para los servidores públicos. A los empleados del Estado les está prohibido:</w:t>
      </w:r>
      <w:bookmarkEnd w:id="7"/>
    </w:p>
    <w:p w14:paraId="28E8E0AF" w14:textId="77777777" w:rsidR="007E5EE3" w:rsidRPr="002968AB" w:rsidRDefault="007E5EE3" w:rsidP="002027A0">
      <w:pPr>
        <w:pStyle w:val="NormalWeb"/>
        <w:spacing w:before="0" w:beforeAutospacing="0" w:after="0" w:afterAutospacing="0"/>
        <w:ind w:firstLine="709"/>
        <w:jc w:val="both"/>
        <w:rPr>
          <w:rFonts w:ascii="Verdana" w:hAnsi="Verdana" w:cs="Arial"/>
          <w:sz w:val="16"/>
          <w:szCs w:val="16"/>
          <w:lang w:val="es-MX"/>
        </w:rPr>
      </w:pPr>
      <w:r w:rsidRPr="002968AB">
        <w:rPr>
          <w:rFonts w:ascii="Verdana" w:hAnsi="Verdana" w:cs="Arial"/>
          <w:sz w:val="16"/>
          <w:szCs w:val="16"/>
          <w:lang w:val="es-MX"/>
        </w:rPr>
        <w:t>[…]</w:t>
      </w:r>
    </w:p>
    <w:p w14:paraId="09005DD6" w14:textId="77777777" w:rsidR="007E5EE3" w:rsidRPr="002968AB" w:rsidRDefault="007E5EE3" w:rsidP="002027A0">
      <w:pPr>
        <w:pStyle w:val="NormalWeb"/>
        <w:spacing w:before="0" w:beforeAutospacing="0" w:after="0" w:afterAutospacing="0"/>
        <w:ind w:firstLine="709"/>
        <w:jc w:val="both"/>
        <w:rPr>
          <w:rFonts w:ascii="Verdana" w:hAnsi="Verdana" w:cs="Arial"/>
          <w:sz w:val="16"/>
          <w:szCs w:val="16"/>
          <w:lang w:val="es-MX"/>
        </w:rPr>
      </w:pPr>
      <w:r w:rsidRPr="002968AB">
        <w:rPr>
          <w:rStyle w:val="baj"/>
          <w:rFonts w:ascii="Verdana" w:eastAsiaTheme="minorEastAsia" w:hAnsi="Verdana" w:cs="Arial"/>
          <w:sz w:val="16"/>
          <w:szCs w:val="16"/>
          <w:lang w:val="es-MX"/>
        </w:rPr>
        <w:t>Parágrafo.</w:t>
      </w:r>
      <w:r w:rsidRPr="002968AB">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968AB">
        <w:rPr>
          <w:rFonts w:ascii="Verdana" w:eastAsia="Calibri" w:hAnsi="Verdana" w:cs="Arial"/>
          <w:color w:val="000000"/>
          <w:sz w:val="16"/>
          <w:szCs w:val="16"/>
        </w:rPr>
        <w:t>”</w:t>
      </w:r>
      <w:r w:rsidRPr="002968AB">
        <w:rPr>
          <w:rFonts w:ascii="Verdana" w:hAnsi="Verdana" w:cs="Arial"/>
          <w:sz w:val="16"/>
          <w:szCs w:val="16"/>
          <w:lang w:val="es-MX"/>
        </w:rPr>
        <w:t>.</w:t>
      </w:r>
    </w:p>
  </w:footnote>
  <w:footnote w:id="9">
    <w:p w14:paraId="6E1CA06C" w14:textId="77777777" w:rsidR="007E5EE3" w:rsidRPr="002968AB" w:rsidRDefault="007E5EE3" w:rsidP="002027A0">
      <w:pPr>
        <w:spacing w:after="0" w:line="240" w:lineRule="auto"/>
        <w:ind w:left="100" w:right="244"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5B434C97" w14:textId="77777777" w:rsidR="007E5EE3" w:rsidRPr="002968AB" w:rsidRDefault="007E5EE3" w:rsidP="002968AB">
      <w:pPr>
        <w:pStyle w:val="Textonotapie"/>
        <w:ind w:right="51"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 xml:space="preserve">[25] </w:t>
      </w:r>
      <w:r w:rsidRPr="002968AB">
        <w:rPr>
          <w:rFonts w:ascii="Verdana" w:hAnsi="Verdana" w:cs="Arial"/>
          <w:sz w:val="16"/>
          <w:szCs w:val="16"/>
        </w:rPr>
        <w:t>Cfr. Consejo de Estado. Sección Tercera. Sentencia de 3 de diciembre de 2007. Radicados: 24.715, 25.206, 25.409, 24.524, 27.834, 25.410, 26.105, 28.244, 31.447 -acumulados-”.</w:t>
      </w:r>
    </w:p>
  </w:footnote>
  <w:footnote w:id="11">
    <w:p w14:paraId="3FDE1259" w14:textId="77777777" w:rsidR="007E5EE3" w:rsidRPr="002968AB" w:rsidRDefault="007E5EE3" w:rsidP="002968AB">
      <w:pPr>
        <w:pStyle w:val="Textonotapie"/>
        <w:ind w:right="51"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 xml:space="preserve">[26] </w:t>
      </w:r>
      <w:r w:rsidRPr="002968AB">
        <w:rPr>
          <w:rFonts w:ascii="Verdana" w:hAnsi="Verdana" w:cs="Arial"/>
          <w:sz w:val="16"/>
          <w:szCs w:val="16"/>
        </w:rPr>
        <w:t>Al respecto ver el concepto 1712 de 2 de febrero de 2006. Consejo de Estado Sala de Consulta y Servicio Civil”.</w:t>
      </w:r>
    </w:p>
  </w:footnote>
  <w:footnote w:id="12">
    <w:p w14:paraId="4572C3D6" w14:textId="77777777" w:rsidR="007E5EE3" w:rsidRPr="002968AB" w:rsidRDefault="007E5EE3"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5ECFCAF9"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 xml:space="preserve">Artículo 2. </w:t>
      </w:r>
    </w:p>
  </w:footnote>
  <w:footnote w:id="14">
    <w:p w14:paraId="64AA9150"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i/>
          <w:sz w:val="16"/>
          <w:szCs w:val="16"/>
          <w:lang w:val="es-ES"/>
        </w:rPr>
        <w:t>Ibidem</w:t>
      </w:r>
      <w:r w:rsidRPr="002968AB">
        <w:rPr>
          <w:rFonts w:ascii="Verdana" w:hAnsi="Verdana" w:cs="Arial"/>
          <w:sz w:val="16"/>
          <w:szCs w:val="16"/>
          <w:lang w:val="es-ES"/>
        </w:rPr>
        <w:t>.</w:t>
      </w:r>
    </w:p>
  </w:footnote>
  <w:footnote w:id="15">
    <w:p w14:paraId="7E95A89D"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Style w:val="Refdenotaalpie"/>
          <w:rFonts w:ascii="Verdana" w:hAnsi="Verdana" w:cs="Arial"/>
          <w:sz w:val="16"/>
          <w:szCs w:val="16"/>
        </w:rPr>
        <w:t xml:space="preserve"> </w:t>
      </w:r>
      <w:r w:rsidRPr="002968AB">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4E728738" w14:textId="77777777" w:rsidR="007E5EE3" w:rsidRPr="002968AB" w:rsidRDefault="007E5EE3" w:rsidP="002027A0">
      <w:pPr>
        <w:shd w:val="clear" w:color="auto" w:fill="FFFFFF"/>
        <w:spacing w:after="0" w:line="240" w:lineRule="auto"/>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Style w:val="Refdenotaalpie"/>
          <w:rFonts w:ascii="Verdana" w:hAnsi="Verdana" w:cs="Arial"/>
          <w:sz w:val="16"/>
          <w:szCs w:val="16"/>
        </w:rPr>
        <w:t xml:space="preserve"> </w:t>
      </w:r>
      <w:r w:rsidRPr="002968AB">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1ABA56AC" w14:textId="77777777" w:rsidR="007E5EE3" w:rsidRPr="002968AB" w:rsidRDefault="007E5EE3"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Concepto del 08 de mayo de 2018. Exp. 2.382. C.P. Álvaro Namén Vargas.</w:t>
      </w:r>
    </w:p>
  </w:footnote>
  <w:footnote w:id="18">
    <w:p w14:paraId="799BCA77" w14:textId="77777777" w:rsidR="007E5EE3" w:rsidRPr="002968AB" w:rsidRDefault="007E5EE3"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6D989B06" w14:textId="77777777" w:rsidR="0064611A" w:rsidRPr="002968AB" w:rsidRDefault="0064611A" w:rsidP="002968AB">
      <w:pPr>
        <w:pStyle w:val="Textonotapie"/>
        <w:ind w:firstLine="708"/>
        <w:jc w:val="both"/>
        <w:rPr>
          <w:rFonts w:ascii="Verdana" w:hAnsi="Verdana" w:cs="Arial"/>
          <w:color w:val="000000" w:themeColor="text1"/>
          <w:sz w:val="16"/>
          <w:szCs w:val="16"/>
          <w:lang w:val="es-ES"/>
        </w:rPr>
      </w:pPr>
      <w:r w:rsidRPr="002027A0">
        <w:rPr>
          <w:rStyle w:val="Refdenotaalpie"/>
          <w:rFonts w:ascii="Verdana" w:hAnsi="Verdana" w:cs="Arial"/>
          <w:color w:val="000000" w:themeColor="text1"/>
          <w:sz w:val="16"/>
          <w:szCs w:val="16"/>
        </w:rPr>
        <w:footnoteRef/>
      </w:r>
      <w:r w:rsidRPr="002027A0">
        <w:rPr>
          <w:rFonts w:ascii="Verdana" w:hAnsi="Verdana" w:cs="Arial"/>
          <w:color w:val="000000" w:themeColor="text1"/>
          <w:sz w:val="16"/>
          <w:szCs w:val="16"/>
        </w:rPr>
        <w:t xml:space="preserve"> </w:t>
      </w:r>
      <w:r w:rsidRPr="002027A0">
        <w:rPr>
          <w:rFonts w:ascii="Verdana" w:hAnsi="Verdana" w:cs="Arial"/>
          <w:color w:val="000000" w:themeColor="text1"/>
          <w:sz w:val="16"/>
          <w:szCs w:val="16"/>
          <w:lang w:val="es-CO"/>
        </w:rPr>
        <w:t>«</w:t>
      </w:r>
      <w:r w:rsidRPr="002027A0">
        <w:rPr>
          <w:rFonts w:ascii="Verdana" w:hAnsi="Verdana" w:cs="Arial"/>
          <w:color w:val="000000" w:themeColor="text1"/>
          <w:sz w:val="16"/>
          <w:szCs w:val="16"/>
        </w:rPr>
        <w:t>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0">
    <w:p w14:paraId="128018FD" w14:textId="77777777" w:rsidR="0064611A" w:rsidRPr="002027A0" w:rsidRDefault="0064611A" w:rsidP="002968AB">
      <w:pPr>
        <w:pStyle w:val="Textonotapie"/>
        <w:ind w:firstLine="708"/>
        <w:jc w:val="both"/>
        <w:rPr>
          <w:rFonts w:ascii="Verdana" w:hAnsi="Verdana" w:cs="Arial"/>
          <w:color w:val="000000" w:themeColor="text1"/>
          <w:sz w:val="16"/>
          <w:szCs w:val="16"/>
        </w:rPr>
      </w:pPr>
      <w:r w:rsidRPr="002027A0">
        <w:rPr>
          <w:rStyle w:val="Refdenotaalpie"/>
          <w:rFonts w:ascii="Verdana" w:hAnsi="Verdana" w:cs="Arial"/>
          <w:color w:val="000000" w:themeColor="text1"/>
          <w:sz w:val="16"/>
          <w:szCs w:val="16"/>
        </w:rPr>
        <w:footnoteRef/>
      </w:r>
      <w:r w:rsidRPr="002027A0">
        <w:rPr>
          <w:rFonts w:ascii="Verdana" w:hAnsi="Verdana" w:cs="Arial"/>
          <w:color w:val="000000" w:themeColor="text1"/>
          <w:sz w:val="16"/>
          <w:szCs w:val="16"/>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2027A0">
        <w:rPr>
          <w:rFonts w:ascii="Verdana" w:hAnsi="Verdana" w:cs="Arial"/>
          <w:i/>
          <w:iCs/>
          <w:color w:val="000000" w:themeColor="text1"/>
          <w:sz w:val="16"/>
          <w:szCs w:val="16"/>
        </w:rPr>
        <w:t>y todas aquellas entidades que de acuerdo con la ley ejerzan funciones de vigilancia y control sanitario</w:t>
      </w:r>
      <w:r w:rsidRPr="002027A0">
        <w:rPr>
          <w:rFonts w:ascii="Verdana" w:hAnsi="Verdana" w:cs="Arial"/>
          <w:color w:val="000000" w:themeColor="text1"/>
          <w:sz w:val="16"/>
          <w:szCs w:val="16"/>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 w:id="21">
    <w:p w14:paraId="1B508063" w14:textId="77777777" w:rsidR="0064611A" w:rsidRPr="002968AB" w:rsidRDefault="0064611A" w:rsidP="002968AB">
      <w:pPr>
        <w:pStyle w:val="Textonotapie"/>
        <w:ind w:firstLine="708"/>
        <w:jc w:val="both"/>
        <w:rPr>
          <w:rFonts w:ascii="Verdana" w:hAnsi="Verdana"/>
          <w:sz w:val="16"/>
          <w:szCs w:val="16"/>
        </w:rPr>
      </w:pPr>
      <w:r w:rsidRPr="002968AB">
        <w:rPr>
          <w:rStyle w:val="Refdenotaalpie"/>
          <w:rFonts w:ascii="Verdana" w:hAnsi="Verdana"/>
          <w:sz w:val="16"/>
          <w:szCs w:val="16"/>
        </w:rPr>
        <w:footnoteRef/>
      </w:r>
      <w:r w:rsidRPr="002968AB">
        <w:rPr>
          <w:rFonts w:ascii="Verdana" w:hAnsi="Verdana"/>
          <w:sz w:val="16"/>
          <w:szCs w:val="16"/>
        </w:rPr>
        <w:t xml:space="preserve"> Al respecto, el numeral 3 de la Circular Externa 006 del 25 de septiembre de 2025 explica que “Las entidades deberán realizar una adecuada planeación que garantice el cumplimiento de sus funciones durante los periodos en que rigen las restricciones de la Ley de Garantías Electorales. Para lo anterior, deberán tener en cuenta la posibilidad de acudir a procedimientos de selección distintos a la contratación directa (en el caso de la prohibición del artículo 33), o a la suscripción de convenios interadministrativos (con respecto a la prohibición del parágrafo del artículo 38)”. </w:t>
      </w:r>
    </w:p>
  </w:footnote>
  <w:footnote w:id="22">
    <w:p w14:paraId="68B32A18" w14:textId="77777777" w:rsidR="007E5EE3" w:rsidRPr="002968AB" w:rsidRDefault="007E5EE3" w:rsidP="002027A0">
      <w:pPr>
        <w:spacing w:after="0" w:line="240" w:lineRule="auto"/>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3C62C617" w14:textId="77777777" w:rsidR="007E5EE3" w:rsidRPr="002968AB" w:rsidRDefault="007E5EE3" w:rsidP="002968AB">
      <w:pPr>
        <w:pStyle w:val="Textonotapie"/>
        <w:ind w:right="51"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w:t>
      </w:r>
      <w:bookmarkStart w:id="18" w:name="_Hlk75633115"/>
      <w:r w:rsidRPr="002968AB">
        <w:rPr>
          <w:rFonts w:ascii="Verdana" w:hAnsi="Verdana" w:cs="Arial"/>
          <w:sz w:val="16"/>
          <w:szCs w:val="16"/>
        </w:rPr>
        <w:t xml:space="preserve">Consejo de Estado. Sala de Consulta y Servicio Civil. Concepto </w:t>
      </w:r>
      <w:bookmarkEnd w:id="18"/>
      <w:r w:rsidRPr="002968AB">
        <w:rPr>
          <w:rFonts w:ascii="Verdana" w:hAnsi="Verdana" w:cs="Arial"/>
          <w:sz w:val="16"/>
          <w:szCs w:val="16"/>
        </w:rPr>
        <w:t>de 6 de abril de 2006. Radicación Número: 11001-03-06-000-2006-00038-00(1738). Consejero Ponente: Enrique José Arboleda Perdomo:</w:t>
      </w:r>
      <w:r w:rsidRPr="002968AB">
        <w:rPr>
          <w:rFonts w:ascii="Verdana" w:eastAsia="Times New Roman" w:hAnsi="Verdana" w:cs="Arial"/>
          <w:bCs/>
          <w:sz w:val="16"/>
          <w:szCs w:val="16"/>
          <w:lang w:eastAsia="x-none"/>
        </w:rPr>
        <w:t xml:space="preserve"> “</w:t>
      </w:r>
      <w:r w:rsidRPr="002968AB">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2968AB">
        <w:rPr>
          <w:rFonts w:ascii="Verdana" w:eastAsia="Times New Roman" w:hAnsi="Verdana" w:cs="Arial"/>
          <w:bCs/>
          <w:sz w:val="16"/>
          <w:szCs w:val="16"/>
          <w:lang w:eastAsia="x-none"/>
        </w:rPr>
        <w:t>”.</w:t>
      </w:r>
    </w:p>
  </w:footnote>
  <w:footnote w:id="24">
    <w:p w14:paraId="3456455C" w14:textId="77777777" w:rsidR="007E5EE3" w:rsidRPr="002968AB" w:rsidRDefault="007E5EE3" w:rsidP="002968AB">
      <w:pPr>
        <w:pStyle w:val="Textonotapie"/>
        <w:ind w:right="51"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5">
    <w:p w14:paraId="6CAFAE90" w14:textId="77777777" w:rsidR="007E5EE3" w:rsidRPr="002968AB" w:rsidRDefault="007E5EE3" w:rsidP="002968AB">
      <w:pPr>
        <w:pStyle w:val="Textonotapie"/>
        <w:ind w:right="51"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w:t>
      </w:r>
      <w:r w:rsidRPr="002968AB">
        <w:rPr>
          <w:rFonts w:ascii="Verdana" w:hAnsi="Verdana" w:cs="Arial"/>
          <w:i/>
          <w:iCs/>
          <w:sz w:val="16"/>
          <w:szCs w:val="16"/>
        </w:rPr>
        <w:t>ibidem</w:t>
      </w:r>
      <w:r w:rsidRPr="002968AB">
        <w:rPr>
          <w:rFonts w:ascii="Verdana" w:hAnsi="Verdana" w:cs="Arial"/>
          <w:sz w:val="16"/>
          <w:szCs w:val="16"/>
        </w:rPr>
        <w:t>.</w:t>
      </w:r>
    </w:p>
  </w:footnote>
  <w:footnote w:id="26">
    <w:p w14:paraId="05AF60D8" w14:textId="77777777" w:rsidR="00A04298" w:rsidRPr="002968AB" w:rsidRDefault="00A04298" w:rsidP="002968AB">
      <w:pPr>
        <w:pStyle w:val="Textonotapie"/>
        <w:ind w:firstLine="709"/>
        <w:jc w:val="both"/>
        <w:rPr>
          <w:rFonts w:ascii="Verdana" w:hAnsi="Verdana" w:cs="Arial"/>
          <w:sz w:val="16"/>
          <w:szCs w:val="16"/>
        </w:rPr>
      </w:pPr>
      <w:r w:rsidRPr="002968AB">
        <w:rPr>
          <w:rStyle w:val="Refdenotaalpie"/>
          <w:rFonts w:ascii="Verdana" w:hAnsi="Verdana"/>
          <w:sz w:val="16"/>
          <w:szCs w:val="16"/>
        </w:rPr>
        <w:footnoteRef/>
      </w:r>
      <w:r w:rsidRPr="002968AB">
        <w:rPr>
          <w:rFonts w:ascii="Verdana" w:hAnsi="Verdana"/>
          <w:sz w:val="16"/>
          <w:szCs w:val="16"/>
        </w:rPr>
        <w:t xml:space="preserve"> </w:t>
      </w:r>
      <w:r w:rsidRPr="002968AB">
        <w:rPr>
          <w:rFonts w:ascii="Verdana" w:hAnsi="Verdana" w:cs="Arial"/>
          <w:sz w:val="16"/>
          <w:szCs w:val="16"/>
        </w:rPr>
        <w:t>Consejo de Estado -Sección Tercera-. Sentencia del 21 de febrero de 2025. Radicación Número: 68.280. CP: José Roberto Sáchica Méndez.</w:t>
      </w:r>
    </w:p>
  </w:footnote>
  <w:footnote w:id="27">
    <w:p w14:paraId="3422E4E8" w14:textId="77777777" w:rsidR="00A04298" w:rsidRPr="002968AB" w:rsidRDefault="00A04298" w:rsidP="002968AB">
      <w:pPr>
        <w:pStyle w:val="Textonotapie"/>
        <w:ind w:firstLine="709"/>
        <w:jc w:val="both"/>
        <w:rPr>
          <w:rFonts w:ascii="Verdana" w:hAnsi="Verdana" w:cs="Arial"/>
          <w:sz w:val="16"/>
          <w:szCs w:val="16"/>
        </w:rPr>
      </w:pPr>
      <w:r w:rsidRPr="002968AB">
        <w:rPr>
          <w:rFonts w:ascii="Verdana" w:hAnsi="Verdana"/>
          <w:sz w:val="16"/>
          <w:szCs w:val="16"/>
          <w:vertAlign w:val="superscript"/>
        </w:rPr>
        <w:footnoteRef/>
      </w:r>
      <w:r w:rsidRPr="002968AB">
        <w:rPr>
          <w:rFonts w:ascii="Verdana" w:hAnsi="Verdana"/>
          <w:sz w:val="16"/>
          <w:szCs w:val="16"/>
          <w:vertAlign w:val="superscript"/>
        </w:rPr>
        <w:t xml:space="preserve"> </w:t>
      </w:r>
      <w:r w:rsidRPr="002968AB">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8">
    <w:p w14:paraId="39B47917" w14:textId="77777777" w:rsidR="00A04298" w:rsidRPr="002968AB" w:rsidRDefault="00A04298" w:rsidP="002968AB">
      <w:pPr>
        <w:pStyle w:val="Textonotapie"/>
        <w:ind w:firstLine="709"/>
        <w:jc w:val="both"/>
        <w:rPr>
          <w:rFonts w:ascii="Verdana" w:hAnsi="Verdana" w:cs="Arial"/>
          <w:sz w:val="16"/>
          <w:szCs w:val="16"/>
        </w:rPr>
      </w:pPr>
      <w:r w:rsidRPr="002968AB">
        <w:rPr>
          <w:rFonts w:ascii="Verdana" w:hAnsi="Verdana"/>
          <w:sz w:val="16"/>
          <w:szCs w:val="16"/>
          <w:vertAlign w:val="superscript"/>
        </w:rPr>
        <w:footnoteRef/>
      </w:r>
      <w:r w:rsidRPr="002968AB">
        <w:rPr>
          <w:rFonts w:ascii="Verdana" w:hAnsi="Verdana" w:cs="Arial"/>
          <w:sz w:val="16"/>
          <w:szCs w:val="16"/>
          <w:vertAlign w:val="superscript"/>
        </w:rPr>
        <w:t xml:space="preserve"> </w:t>
      </w:r>
      <w:r w:rsidRPr="002968AB">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5B9634E8" w14:textId="77777777" w:rsidR="00A04298" w:rsidRPr="002968AB" w:rsidRDefault="00A04298" w:rsidP="002968AB">
      <w:pPr>
        <w:pStyle w:val="Textonotapie"/>
        <w:ind w:firstLine="709"/>
        <w:jc w:val="both"/>
        <w:rPr>
          <w:rFonts w:ascii="Verdana" w:hAnsi="Verdana" w:cs="Arial"/>
          <w:sz w:val="16"/>
          <w:szCs w:val="16"/>
        </w:rPr>
      </w:pPr>
      <w:r w:rsidRPr="002968AB">
        <w:rPr>
          <w:rFonts w:ascii="Verdana" w:hAnsi="Verdana" w:cs="Arial"/>
          <w:sz w:val="16"/>
          <w:szCs w:val="16"/>
        </w:rPr>
        <w:t>[…]”.</w:t>
      </w:r>
    </w:p>
  </w:footnote>
  <w:footnote w:id="29">
    <w:p w14:paraId="2C78820C" w14:textId="77777777" w:rsidR="00A04298" w:rsidRPr="002968AB" w:rsidRDefault="00A04298" w:rsidP="002968AB">
      <w:pPr>
        <w:pStyle w:val="Textonotapie"/>
        <w:ind w:firstLine="709"/>
        <w:jc w:val="both"/>
        <w:rPr>
          <w:rFonts w:ascii="Verdana" w:hAnsi="Verdana" w:cs="Arial"/>
          <w:sz w:val="16"/>
          <w:szCs w:val="16"/>
        </w:rPr>
      </w:pPr>
      <w:r w:rsidRPr="002968AB">
        <w:rPr>
          <w:rFonts w:ascii="Verdana" w:hAnsi="Verdana"/>
          <w:sz w:val="16"/>
          <w:szCs w:val="16"/>
          <w:vertAlign w:val="superscript"/>
        </w:rPr>
        <w:footnoteRef/>
      </w:r>
      <w:r w:rsidRPr="002968AB">
        <w:rPr>
          <w:rFonts w:ascii="Verdana" w:hAnsi="Verdana" w:cs="Arial"/>
          <w:sz w:val="16"/>
          <w:szCs w:val="16"/>
          <w:vertAlign w:val="superscript"/>
        </w:rPr>
        <w:t xml:space="preserve"> </w:t>
      </w:r>
      <w:r w:rsidRPr="002968AB">
        <w:rPr>
          <w:rFonts w:ascii="Verdana" w:hAnsi="Verdana" w:cs="Arial"/>
          <w:sz w:val="16"/>
          <w:szCs w:val="16"/>
        </w:rPr>
        <w:t>Código Civil: “Artículo 27. Cuando el sentido de la ley sea claro, no se desatenderá su tenor a pretexto de consultar su espíritu”.</w:t>
      </w:r>
    </w:p>
  </w:footnote>
  <w:footnote w:id="30">
    <w:p w14:paraId="2621D111" w14:textId="77777777" w:rsidR="00A04298" w:rsidRPr="002968AB" w:rsidRDefault="00A04298" w:rsidP="002968AB">
      <w:pPr>
        <w:pStyle w:val="Textonotapie"/>
        <w:ind w:firstLine="709"/>
        <w:jc w:val="both"/>
        <w:rPr>
          <w:rFonts w:ascii="Verdana" w:hAnsi="Verdana"/>
          <w:sz w:val="16"/>
          <w:szCs w:val="16"/>
          <w:lang w:val="es-CO"/>
        </w:rPr>
      </w:pPr>
      <w:r w:rsidRPr="002968AB">
        <w:rPr>
          <w:rStyle w:val="Refdenotaalpie"/>
          <w:rFonts w:ascii="Verdana" w:hAnsi="Verdana"/>
          <w:sz w:val="16"/>
          <w:szCs w:val="16"/>
        </w:rPr>
        <w:footnoteRef/>
      </w:r>
      <w:r w:rsidRPr="002968AB">
        <w:rPr>
          <w:rFonts w:ascii="Verdana" w:hAnsi="Verdana"/>
          <w:sz w:val="16"/>
          <w:szCs w:val="16"/>
          <w:lang w:val="es-CO"/>
        </w:rPr>
        <w:t xml:space="preserve"> Consejo de Estado, Sección Tercera. Auto del 4 de octubre de 2024. Exp. 70.313. C.P: Fredy Ibarra Martínez.</w:t>
      </w:r>
    </w:p>
  </w:footnote>
  <w:footnote w:id="31">
    <w:p w14:paraId="7A5E3052" w14:textId="77777777" w:rsidR="00A04298" w:rsidRPr="002968AB" w:rsidRDefault="00A04298" w:rsidP="002968AB">
      <w:pPr>
        <w:pStyle w:val="Textonotapie"/>
        <w:ind w:firstLine="709"/>
        <w:jc w:val="both"/>
        <w:rPr>
          <w:rFonts w:ascii="Verdana" w:hAnsi="Verdana"/>
          <w:sz w:val="16"/>
          <w:szCs w:val="16"/>
          <w:lang w:val="es-CO"/>
        </w:rPr>
      </w:pPr>
      <w:r w:rsidRPr="002968AB">
        <w:rPr>
          <w:rStyle w:val="Refdenotaalpie"/>
          <w:rFonts w:ascii="Verdana" w:hAnsi="Verdana"/>
          <w:sz w:val="16"/>
          <w:szCs w:val="16"/>
        </w:rPr>
        <w:footnoteRef/>
      </w:r>
      <w:r w:rsidRPr="002968AB">
        <w:rPr>
          <w:rFonts w:ascii="Verdana" w:hAnsi="Verdana"/>
          <w:sz w:val="16"/>
          <w:szCs w:val="16"/>
        </w:rPr>
        <w:t xml:space="preserve"> La parte resolutiva del auto dispone lo siguiente; “</w:t>
      </w:r>
      <w:r w:rsidRPr="002968AB">
        <w:rPr>
          <w:rFonts w:ascii="Verdana" w:hAnsi="Verdana"/>
          <w:b/>
          <w:sz w:val="16"/>
          <w:szCs w:val="16"/>
          <w:lang w:val="es-CO"/>
        </w:rPr>
        <w:t xml:space="preserve">PRIMERO: DECRETAR </w:t>
      </w:r>
      <w:r w:rsidRPr="002968AB">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2968AB">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2968AB">
        <w:rPr>
          <w:rFonts w:ascii="Verdana" w:hAnsi="Verdana"/>
          <w:sz w:val="16"/>
          <w:szCs w:val="16"/>
          <w:lang w:val="es-CO"/>
        </w:rPr>
        <w:t xml:space="preserve">, por las razones expuestas en precedencia. </w:t>
      </w:r>
    </w:p>
    <w:p w14:paraId="0A70AE02" w14:textId="77777777" w:rsidR="00A04298" w:rsidRPr="002968AB" w:rsidRDefault="00A04298" w:rsidP="002968AB">
      <w:pPr>
        <w:pStyle w:val="Textonotapie"/>
        <w:ind w:firstLine="709"/>
        <w:jc w:val="both"/>
        <w:rPr>
          <w:rFonts w:ascii="Verdana" w:hAnsi="Verdana"/>
          <w:sz w:val="16"/>
          <w:szCs w:val="16"/>
          <w:lang w:val="es-CO"/>
        </w:rPr>
      </w:pPr>
      <w:r w:rsidRPr="002968AB">
        <w:rPr>
          <w:rFonts w:ascii="Verdana" w:hAnsi="Verdana"/>
          <w:b/>
          <w:sz w:val="16"/>
          <w:szCs w:val="16"/>
          <w:lang w:val="es-CO"/>
        </w:rPr>
        <w:t xml:space="preserve">SEGUNDO: DECRETAR </w:t>
      </w:r>
      <w:r w:rsidRPr="002968AB">
        <w:rPr>
          <w:rFonts w:ascii="Verdana" w:hAnsi="Verdana"/>
          <w:sz w:val="16"/>
          <w:szCs w:val="16"/>
          <w:lang w:val="es-CO"/>
        </w:rPr>
        <w:t>la suspensión provisional de la expresión “</w:t>
      </w:r>
      <w:r w:rsidRPr="002968AB">
        <w:rPr>
          <w:rFonts w:ascii="Verdana" w:hAnsi="Verdana"/>
          <w:i/>
          <w:sz w:val="16"/>
          <w:szCs w:val="16"/>
          <w:lang w:val="es-CO"/>
        </w:rPr>
        <w:t>contratos</w:t>
      </w:r>
      <w:r w:rsidRPr="002968AB">
        <w:rPr>
          <w:rFonts w:ascii="Verdana" w:hAnsi="Verdana"/>
          <w:sz w:val="16"/>
          <w:szCs w:val="16"/>
          <w:lang w:val="es-CO"/>
        </w:rPr>
        <w:t xml:space="preserve">” y del párrafo </w:t>
      </w:r>
      <w:r w:rsidRPr="002968AB">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2968AB">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2">
    <w:p w14:paraId="1FD02BB7" w14:textId="77777777" w:rsidR="00A04298" w:rsidRPr="002968AB" w:rsidRDefault="00A04298" w:rsidP="002027A0">
      <w:pPr>
        <w:spacing w:after="0" w:line="240" w:lineRule="auto"/>
        <w:ind w:firstLine="709"/>
        <w:jc w:val="both"/>
        <w:rPr>
          <w:rFonts w:ascii="Verdana" w:eastAsia="Times New Roman" w:hAnsi="Verdana" w:cs="Times New Roman"/>
          <w:sz w:val="16"/>
          <w:szCs w:val="16"/>
          <w:lang w:eastAsia="es-ES"/>
        </w:rPr>
      </w:pPr>
      <w:r w:rsidRPr="002968AB">
        <w:rPr>
          <w:rStyle w:val="Refdenotaalpie"/>
          <w:rFonts w:ascii="Verdana" w:hAnsi="Verdana"/>
          <w:sz w:val="16"/>
          <w:szCs w:val="16"/>
        </w:rPr>
        <w:footnoteRef/>
      </w:r>
      <w:r w:rsidRPr="002968AB">
        <w:rPr>
          <w:rFonts w:ascii="Verdana" w:hAnsi="Verdana"/>
          <w:sz w:val="16"/>
          <w:szCs w:val="16"/>
        </w:rPr>
        <w:t xml:space="preserve"> </w:t>
      </w:r>
      <w:r w:rsidRPr="002968AB">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2968AB">
        <w:rPr>
          <w:rFonts w:ascii="Verdana" w:hAnsi="Verdana"/>
          <w:sz w:val="16"/>
          <w:szCs w:val="16"/>
        </w:rPr>
        <w:t xml:space="preserve">La parte de la providencia señala: </w:t>
      </w:r>
      <w:r w:rsidRPr="002968AB">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3">
    <w:p w14:paraId="1029CCAC" w14:textId="77777777" w:rsidR="00A04298" w:rsidRPr="002968AB" w:rsidRDefault="00A04298" w:rsidP="002968AB">
      <w:pPr>
        <w:pStyle w:val="Textonotapie"/>
        <w:ind w:firstLine="709"/>
        <w:jc w:val="both"/>
        <w:rPr>
          <w:rFonts w:ascii="Verdana" w:hAnsi="Verdana"/>
          <w:sz w:val="16"/>
          <w:szCs w:val="16"/>
          <w:lang w:val="es-CO"/>
        </w:rPr>
      </w:pPr>
      <w:r w:rsidRPr="002968AB">
        <w:rPr>
          <w:rStyle w:val="Refdenotaalpie"/>
          <w:rFonts w:ascii="Verdana" w:hAnsi="Verdana"/>
          <w:sz w:val="16"/>
          <w:szCs w:val="16"/>
        </w:rPr>
        <w:footnoteRef/>
      </w:r>
      <w:r w:rsidRPr="002968AB">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4">
    <w:p w14:paraId="2E9D9703" w14:textId="77777777" w:rsidR="00A04298" w:rsidRPr="002968AB" w:rsidRDefault="00A04298"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 w:id="35">
    <w:p w14:paraId="77610428" w14:textId="77777777" w:rsidR="007E5EE3" w:rsidRPr="002968AB" w:rsidRDefault="007E5EE3"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 w:id="36">
    <w:p w14:paraId="5FE95F8D"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Consejo de Estado. Sala de Consulta y Servicio Civil. Concepto del 24 de julio de 2013. Consejero Ponente: Álvaro Namén Vargas. Número interno: 2166.</w:t>
      </w:r>
    </w:p>
  </w:footnote>
  <w:footnote w:id="37">
    <w:p w14:paraId="17038927"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Disposición aplicable tanto a las entidades exceptuadas, como a las sometidas al Estatuto General de Contratación de la Administración Pública, en este último caso, por la remisión prevista en los artículos 13, 32 y 40 al derecho privado.</w:t>
      </w:r>
    </w:p>
  </w:footnote>
  <w:footnote w:id="38">
    <w:p w14:paraId="7DB16A57" w14:textId="77777777" w:rsidR="007E5EE3" w:rsidRPr="002968AB" w:rsidRDefault="007E5EE3" w:rsidP="002027A0">
      <w:pPr>
        <w:spacing w:after="0" w:line="240" w:lineRule="auto"/>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M.P. Antonio Barrera Carbonell.</w:t>
      </w:r>
    </w:p>
  </w:footnote>
  <w:footnote w:id="39">
    <w:p w14:paraId="1A498F42" w14:textId="77777777" w:rsidR="007E5EE3" w:rsidRPr="002968AB" w:rsidRDefault="007E5EE3"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M.P. Humberto Antonio Sierra Porto.</w:t>
      </w:r>
    </w:p>
  </w:footnote>
  <w:footnote w:id="40">
    <w:p w14:paraId="13099000"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 xml:space="preserve">GARCÍA-TREVIJANO FOS, José Antonio. </w:t>
      </w:r>
      <w:r w:rsidRPr="002968AB">
        <w:rPr>
          <w:rFonts w:ascii="Verdana" w:hAnsi="Verdana" w:cs="Arial"/>
          <w:i/>
          <w:iCs/>
          <w:sz w:val="16"/>
          <w:szCs w:val="16"/>
          <w:lang w:val="es-ES"/>
        </w:rPr>
        <w:t>Los actos administrativos</w:t>
      </w:r>
      <w:r w:rsidRPr="002968AB">
        <w:rPr>
          <w:rFonts w:ascii="Verdana" w:hAnsi="Verdana" w:cs="Arial"/>
          <w:sz w:val="16"/>
          <w:szCs w:val="16"/>
          <w:lang w:val="es-ES"/>
        </w:rPr>
        <w:t>. Madrid: Civitas, 1986. pp. 95-97.</w:t>
      </w:r>
    </w:p>
  </w:footnote>
  <w:footnote w:id="41">
    <w:p w14:paraId="70E60C3D" w14:textId="77777777" w:rsidR="007E5EE3" w:rsidRPr="002968AB" w:rsidRDefault="007E5EE3"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Ibíd., pp. 44-45.</w:t>
      </w:r>
    </w:p>
  </w:footnote>
  <w:footnote w:id="42">
    <w:p w14:paraId="447081DC"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Ibíd., p. 96.</w:t>
      </w:r>
    </w:p>
  </w:footnote>
  <w:footnote w:id="43">
    <w:p w14:paraId="2B32BEF2"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 xml:space="preserve">GALLEGO ANABITARTE, Alfredo y MENÉNDEZ REXACH, Ángel. </w:t>
      </w:r>
      <w:r w:rsidRPr="002968AB">
        <w:rPr>
          <w:rFonts w:ascii="Verdana" w:hAnsi="Verdana" w:cs="Arial"/>
          <w:i/>
          <w:iCs/>
          <w:sz w:val="16"/>
          <w:szCs w:val="16"/>
          <w:lang w:val="es-ES"/>
        </w:rPr>
        <w:t>Acto y procedimiento administrativo</w:t>
      </w:r>
      <w:r w:rsidRPr="002968AB">
        <w:rPr>
          <w:rFonts w:ascii="Verdana" w:hAnsi="Verdana" w:cs="Arial"/>
          <w:sz w:val="16"/>
          <w:szCs w:val="16"/>
          <w:lang w:val="es-ES"/>
        </w:rPr>
        <w:t>. Madrid: Marcial Pons, 2001, p. 109.</w:t>
      </w:r>
    </w:p>
  </w:footnote>
  <w:footnote w:id="44">
    <w:p w14:paraId="54D42494" w14:textId="77777777" w:rsidR="007E5EE3" w:rsidRPr="002968AB" w:rsidRDefault="007E5EE3" w:rsidP="002968AB">
      <w:pPr>
        <w:pStyle w:val="Textonotapie"/>
        <w:ind w:firstLine="708"/>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Ibíd., p. 109.</w:t>
      </w:r>
    </w:p>
  </w:footnote>
  <w:footnote w:id="45">
    <w:p w14:paraId="698C135C" w14:textId="77777777" w:rsidR="007E5EE3" w:rsidRPr="002968AB" w:rsidRDefault="007E5EE3" w:rsidP="002968AB">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Ibíd., p. 111.</w:t>
      </w:r>
    </w:p>
  </w:footnote>
  <w:footnote w:id="46">
    <w:p w14:paraId="3DCFA935" w14:textId="77777777" w:rsidR="007E5EE3" w:rsidRPr="002968AB" w:rsidRDefault="007E5EE3"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Ibíd., p. 111.</w:t>
      </w:r>
    </w:p>
  </w:footnote>
  <w:footnote w:id="47">
    <w:p w14:paraId="629B2899" w14:textId="77777777" w:rsidR="007E5EE3" w:rsidRPr="002968AB" w:rsidRDefault="007E5EE3" w:rsidP="002968AB">
      <w:pPr>
        <w:pStyle w:val="Textonotapie"/>
        <w:ind w:firstLine="709"/>
        <w:jc w:val="both"/>
        <w:rPr>
          <w:rFonts w:ascii="Verdana" w:hAnsi="Verdana" w:cs="Arial"/>
          <w:sz w:val="16"/>
          <w:szCs w:val="16"/>
        </w:rPr>
      </w:pPr>
      <w:r w:rsidRPr="002968AB">
        <w:rPr>
          <w:rStyle w:val="Refdenotaalpie"/>
          <w:rFonts w:ascii="Verdana" w:hAnsi="Verdana" w:cs="Arial"/>
          <w:sz w:val="16"/>
          <w:szCs w:val="16"/>
        </w:rPr>
        <w:footnoteRef/>
      </w:r>
      <w:r w:rsidRPr="002968AB">
        <w:rPr>
          <w:rFonts w:ascii="Verdana" w:hAnsi="Verdana" w:cs="Arial"/>
          <w:sz w:val="16"/>
          <w:szCs w:val="16"/>
        </w:rPr>
        <w:t xml:space="preserve"> JIMÉNEZ VALDERRAMA, Fernando. </w:t>
      </w:r>
      <w:r w:rsidRPr="002968AB">
        <w:rPr>
          <w:rFonts w:ascii="Verdana" w:hAnsi="Verdana" w:cs="Arial"/>
          <w:i/>
          <w:iCs/>
          <w:sz w:val="16"/>
          <w:szCs w:val="16"/>
        </w:rPr>
        <w:t>Teoría general del contrato y del negocio jurídico</w:t>
      </w:r>
      <w:r w:rsidRPr="002968AB">
        <w:rPr>
          <w:rFonts w:ascii="Verdana" w:hAnsi="Verdana" w:cs="Arial"/>
          <w:sz w:val="16"/>
          <w:szCs w:val="16"/>
        </w:rPr>
        <w:t>. Bogotá: Legis, 2015. p. 34.</w:t>
      </w:r>
    </w:p>
  </w:footnote>
  <w:footnote w:id="48">
    <w:p w14:paraId="75716752" w14:textId="77777777" w:rsidR="007E5EE3" w:rsidRPr="002968AB" w:rsidRDefault="007E5EE3" w:rsidP="002027A0">
      <w:pPr>
        <w:spacing w:after="0" w:line="240" w:lineRule="auto"/>
        <w:ind w:firstLine="709"/>
        <w:jc w:val="both"/>
        <w:rPr>
          <w:rFonts w:ascii="Verdana" w:hAnsi="Verdana" w:cs="Arial"/>
          <w:color w:val="000000" w:themeColor="text1"/>
          <w:sz w:val="16"/>
          <w:szCs w:val="16"/>
          <w:lang w:val="es-ES"/>
        </w:rPr>
      </w:pPr>
      <w:r w:rsidRPr="002968AB">
        <w:rPr>
          <w:rStyle w:val="Refdenotaalpie"/>
          <w:rFonts w:ascii="Verdana" w:hAnsi="Verdana" w:cs="Arial"/>
          <w:color w:val="000000" w:themeColor="text1"/>
          <w:sz w:val="16"/>
          <w:szCs w:val="16"/>
        </w:rPr>
        <w:footnoteRef/>
      </w:r>
      <w:r w:rsidRPr="002968AB">
        <w:rPr>
          <w:rFonts w:ascii="Verdana" w:hAnsi="Verdana" w:cs="Arial"/>
          <w:color w:val="000000" w:themeColor="text1"/>
          <w:sz w:val="16"/>
          <w:szCs w:val="16"/>
        </w:rPr>
        <w:t xml:space="preserve"> </w:t>
      </w:r>
      <w:r w:rsidRPr="002968AB">
        <w:rPr>
          <w:rFonts w:ascii="Verdana" w:hAnsi="Verdana" w:cs="Arial"/>
          <w:color w:val="000000" w:themeColor="text1"/>
          <w:sz w:val="16"/>
          <w:szCs w:val="16"/>
          <w:lang w:val="es-ES"/>
        </w:rPr>
        <w:t xml:space="preserve">“La doctrina ha definido el contrato de adhesión como aquel acuerdo de voluntades por medio del cual uno de los contratantes, denominado predisponente, impone al otro, llamado adherente, el contenido del contrato sin ninguna posibilidad de discutirlo ni de modificarlo, contando únicamente con la facultad de decidir libremente si contrata o no bajo el clausulado ofrecido, dentro de un esquema de "lo toma o lo deja". En derecho colombiano, ni el Código Civil ni el Código de Comercio definen el concepto de contrato de adhesión, aunque podemos encontrar una definición en el Estatuto del Consumidor, según el cual se trata de "aquel en el que las cláusulas son dispuestas por el productor o proveedor, de manera que el consumidor no puede modificarlas, ni puede hacer otra cosa que aceptarlas o rechazarlas” (POSADA TORRES, Camilo. </w:t>
      </w:r>
      <w:r w:rsidRPr="002968AB">
        <w:rPr>
          <w:rFonts w:ascii="Verdana" w:hAnsi="Verdana" w:cs="Arial"/>
          <w:i/>
          <w:iCs/>
          <w:color w:val="000000" w:themeColor="text1"/>
          <w:sz w:val="16"/>
          <w:szCs w:val="16"/>
          <w:lang w:val="es-ES"/>
        </w:rPr>
        <w:t>Las cláusulas abusivas en los contratos de adhesión en el derecho colombiano</w:t>
      </w:r>
      <w:r w:rsidRPr="002968AB">
        <w:rPr>
          <w:rFonts w:ascii="Verdana" w:hAnsi="Verdana" w:cs="Arial"/>
          <w:color w:val="000000" w:themeColor="text1"/>
          <w:sz w:val="16"/>
          <w:szCs w:val="16"/>
          <w:lang w:val="es-ES"/>
        </w:rPr>
        <w:t xml:space="preserve">. En: Revista de Derecho Privado, Universidad Externado de Colombia, n.° 29, julio-diciembre de 2015, p. 141). Disponible en: </w:t>
      </w:r>
      <w:hyperlink r:id="rId1" w:history="1">
        <w:r w:rsidRPr="002968AB">
          <w:rPr>
            <w:rStyle w:val="Hipervnculo"/>
            <w:rFonts w:ascii="Verdana" w:hAnsi="Verdana" w:cs="Arial"/>
            <w:sz w:val="16"/>
            <w:szCs w:val="16"/>
          </w:rPr>
          <w:t>https://revistas.uexternado.edu.co/index.php/derpri/article/view/4328/5081</w:t>
        </w:r>
      </w:hyperlink>
    </w:p>
    <w:p w14:paraId="1A95AAA7" w14:textId="77777777" w:rsidR="007E5EE3" w:rsidRPr="002968AB" w:rsidRDefault="007E5EE3" w:rsidP="002027A0">
      <w:pPr>
        <w:spacing w:after="0" w:line="240" w:lineRule="auto"/>
        <w:ind w:firstLine="709"/>
        <w:jc w:val="both"/>
        <w:rPr>
          <w:rFonts w:ascii="Verdana" w:hAnsi="Verdana" w:cs="Arial"/>
          <w:sz w:val="16"/>
          <w:szCs w:val="16"/>
        </w:rPr>
      </w:pPr>
      <w:r w:rsidRPr="002968AB">
        <w:rPr>
          <w:rFonts w:ascii="Verdana" w:hAnsi="Verdana" w:cs="Arial"/>
          <w:color w:val="000000" w:themeColor="text1"/>
          <w:sz w:val="16"/>
          <w:szCs w:val="16"/>
          <w:lang w:val="es-ES"/>
        </w:rPr>
        <w:t>La norma del Estatuto del Consumidor –Ley 1480 de 2011–, citada textualmente por el autor del texto, es el artículo 5, numeral 4.</w:t>
      </w:r>
    </w:p>
  </w:footnote>
  <w:footnote w:id="49">
    <w:p w14:paraId="7AC097DD" w14:textId="77777777" w:rsidR="007E5EE3" w:rsidRPr="002968AB" w:rsidRDefault="007E5EE3" w:rsidP="002968AB">
      <w:pPr>
        <w:pStyle w:val="Textonotapie"/>
        <w:ind w:firstLine="709"/>
        <w:jc w:val="both"/>
        <w:rPr>
          <w:rFonts w:ascii="Verdana" w:hAnsi="Verdana" w:cs="Arial"/>
          <w:sz w:val="16"/>
          <w:szCs w:val="16"/>
          <w:lang w:val="es-CO"/>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Corte Suprema de Justicia. Sala de Casación Civil. Sentencia del 8 de septiembre de 2021. Magistrado Ponente: Luis Alonso Rico Puerta. Radicación: Radicación n.º 76001-31-03-004-2012-00180-01.</w:t>
      </w:r>
    </w:p>
  </w:footnote>
  <w:footnote w:id="50">
    <w:p w14:paraId="498EF943" w14:textId="77777777" w:rsidR="007E5EE3" w:rsidRPr="002968AB" w:rsidRDefault="007E5EE3" w:rsidP="002968AB">
      <w:pPr>
        <w:pStyle w:val="Textonotapie"/>
        <w:ind w:firstLine="708"/>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Fonts w:ascii="Verdana" w:hAnsi="Verdana" w:cs="Arial"/>
          <w:sz w:val="16"/>
          <w:szCs w:val="16"/>
        </w:rPr>
        <w:t xml:space="preserve"> </w:t>
      </w:r>
      <w:r w:rsidRPr="002968AB">
        <w:rPr>
          <w:rFonts w:ascii="Verdana" w:hAnsi="Verdana" w:cs="Arial"/>
          <w:sz w:val="16"/>
          <w:szCs w:val="16"/>
          <w:lang w:val="es-ES"/>
        </w:rPr>
        <w:t xml:space="preserve">Ospina Fernández, Guilllermo y Ospina Acosta, Eduardo. </w:t>
      </w:r>
      <w:r w:rsidRPr="002968AB">
        <w:rPr>
          <w:rFonts w:ascii="Verdana" w:hAnsi="Verdana" w:cs="Arial"/>
          <w:i/>
          <w:iCs/>
          <w:sz w:val="16"/>
          <w:szCs w:val="16"/>
          <w:lang w:val="es-ES"/>
        </w:rPr>
        <w:t>Teoría general del contrato y del negocio jurídico</w:t>
      </w:r>
      <w:r w:rsidRPr="002968AB">
        <w:rPr>
          <w:rFonts w:ascii="Verdana" w:hAnsi="Verdana" w:cs="Arial"/>
          <w:sz w:val="16"/>
          <w:szCs w:val="16"/>
          <w:lang w:val="es-ES"/>
        </w:rPr>
        <w:t>. 7ª ed. Bogotá: Temis, 2005, p. 43.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3E26ED5"/>
    <w:multiLevelType w:val="hybridMultilevel"/>
    <w:tmpl w:val="34D8BCCC"/>
    <w:lvl w:ilvl="0" w:tplc="1CDEDC7C">
      <w:start w:val="12"/>
      <w:numFmt w:val="bullet"/>
      <w:lvlText w:val="-"/>
      <w:lvlJc w:val="left"/>
      <w:pPr>
        <w:ind w:left="1069" w:hanging="360"/>
      </w:pPr>
      <w:rPr>
        <w:rFonts w:ascii="Verdana" w:eastAsia="Century Gothic"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1"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42108038">
    <w:abstractNumId w:val="6"/>
  </w:num>
  <w:num w:numId="2" w16cid:durableId="1805346519">
    <w:abstractNumId w:val="2"/>
  </w:num>
  <w:num w:numId="3" w16cid:durableId="1240945259">
    <w:abstractNumId w:val="4"/>
  </w:num>
  <w:num w:numId="4" w16cid:durableId="18492465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98174691">
    <w:abstractNumId w:val="2"/>
  </w:num>
  <w:num w:numId="6" w16cid:durableId="825821647">
    <w:abstractNumId w:val="15"/>
  </w:num>
  <w:num w:numId="7" w16cid:durableId="1258250572">
    <w:abstractNumId w:val="5"/>
  </w:num>
  <w:num w:numId="8" w16cid:durableId="420370775">
    <w:abstractNumId w:val="14"/>
  </w:num>
  <w:num w:numId="9" w16cid:durableId="1329364986">
    <w:abstractNumId w:val="7"/>
  </w:num>
  <w:num w:numId="10" w16cid:durableId="1904680181">
    <w:abstractNumId w:val="13"/>
  </w:num>
  <w:num w:numId="11" w16cid:durableId="953950072">
    <w:abstractNumId w:val="8"/>
  </w:num>
  <w:num w:numId="12" w16cid:durableId="227615267">
    <w:abstractNumId w:val="1"/>
  </w:num>
  <w:num w:numId="13" w16cid:durableId="1090931745">
    <w:abstractNumId w:val="3"/>
  </w:num>
  <w:num w:numId="14" w16cid:durableId="535196725">
    <w:abstractNumId w:val="16"/>
  </w:num>
  <w:num w:numId="15" w16cid:durableId="918952805">
    <w:abstractNumId w:val="12"/>
  </w:num>
  <w:num w:numId="16" w16cid:durableId="256257886">
    <w:abstractNumId w:val="0"/>
  </w:num>
  <w:num w:numId="17" w16cid:durableId="1956711204">
    <w:abstractNumId w:val="10"/>
  </w:num>
  <w:num w:numId="18" w16cid:durableId="221647778">
    <w:abstractNumId w:val="9"/>
  </w:num>
  <w:num w:numId="19" w16cid:durableId="2225660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A9E"/>
    <w:rsid w:val="00013D57"/>
    <w:rsid w:val="00016F78"/>
    <w:rsid w:val="000260EE"/>
    <w:rsid w:val="0004575E"/>
    <w:rsid w:val="00046945"/>
    <w:rsid w:val="00061B2A"/>
    <w:rsid w:val="00062E7B"/>
    <w:rsid w:val="00082362"/>
    <w:rsid w:val="00096912"/>
    <w:rsid w:val="000A683E"/>
    <w:rsid w:val="000B19B9"/>
    <w:rsid w:val="000B1D6F"/>
    <w:rsid w:val="000D0334"/>
    <w:rsid w:val="000D5DA7"/>
    <w:rsid w:val="000D7D9D"/>
    <w:rsid w:val="000F6486"/>
    <w:rsid w:val="00116940"/>
    <w:rsid w:val="00125105"/>
    <w:rsid w:val="00127233"/>
    <w:rsid w:val="00135A95"/>
    <w:rsid w:val="0015699B"/>
    <w:rsid w:val="00190101"/>
    <w:rsid w:val="00192C97"/>
    <w:rsid w:val="00192D95"/>
    <w:rsid w:val="001A33BF"/>
    <w:rsid w:val="001D0AFA"/>
    <w:rsid w:val="001E4177"/>
    <w:rsid w:val="001E4B17"/>
    <w:rsid w:val="001F0B24"/>
    <w:rsid w:val="001F7DC6"/>
    <w:rsid w:val="002027A0"/>
    <w:rsid w:val="00202A94"/>
    <w:rsid w:val="00213E0C"/>
    <w:rsid w:val="0022400B"/>
    <w:rsid w:val="002421BB"/>
    <w:rsid w:val="00253872"/>
    <w:rsid w:val="0025796E"/>
    <w:rsid w:val="002707A2"/>
    <w:rsid w:val="0029286B"/>
    <w:rsid w:val="002951A0"/>
    <w:rsid w:val="002962BC"/>
    <w:rsid w:val="002968AB"/>
    <w:rsid w:val="002A093D"/>
    <w:rsid w:val="002A0DD0"/>
    <w:rsid w:val="002A49AC"/>
    <w:rsid w:val="002A64FD"/>
    <w:rsid w:val="002B74F6"/>
    <w:rsid w:val="002C77FC"/>
    <w:rsid w:val="002C7A84"/>
    <w:rsid w:val="002E2BF8"/>
    <w:rsid w:val="002E4FD9"/>
    <w:rsid w:val="0030657A"/>
    <w:rsid w:val="00315C4C"/>
    <w:rsid w:val="00322A85"/>
    <w:rsid w:val="00324168"/>
    <w:rsid w:val="00330834"/>
    <w:rsid w:val="00332360"/>
    <w:rsid w:val="003372CD"/>
    <w:rsid w:val="003448F4"/>
    <w:rsid w:val="00374F5E"/>
    <w:rsid w:val="00377E3E"/>
    <w:rsid w:val="003874BC"/>
    <w:rsid w:val="00392A72"/>
    <w:rsid w:val="003A3C36"/>
    <w:rsid w:val="003A779E"/>
    <w:rsid w:val="003B0FC6"/>
    <w:rsid w:val="003B2FD4"/>
    <w:rsid w:val="003D0F4D"/>
    <w:rsid w:val="003D5B0D"/>
    <w:rsid w:val="003E0499"/>
    <w:rsid w:val="003E4F80"/>
    <w:rsid w:val="003E6439"/>
    <w:rsid w:val="003F3941"/>
    <w:rsid w:val="00406575"/>
    <w:rsid w:val="004102E0"/>
    <w:rsid w:val="00414C74"/>
    <w:rsid w:val="0042722E"/>
    <w:rsid w:val="004370C4"/>
    <w:rsid w:val="00441E6B"/>
    <w:rsid w:val="0044528D"/>
    <w:rsid w:val="00446708"/>
    <w:rsid w:val="00466E39"/>
    <w:rsid w:val="004A1847"/>
    <w:rsid w:val="004A2F3B"/>
    <w:rsid w:val="004A305D"/>
    <w:rsid w:val="004C10CE"/>
    <w:rsid w:val="004C3D3E"/>
    <w:rsid w:val="004E0790"/>
    <w:rsid w:val="004F1B3C"/>
    <w:rsid w:val="004F21C4"/>
    <w:rsid w:val="004F685F"/>
    <w:rsid w:val="00505871"/>
    <w:rsid w:val="005224C7"/>
    <w:rsid w:val="00550F69"/>
    <w:rsid w:val="005566E8"/>
    <w:rsid w:val="00562628"/>
    <w:rsid w:val="005674E6"/>
    <w:rsid w:val="00574867"/>
    <w:rsid w:val="00581587"/>
    <w:rsid w:val="00591460"/>
    <w:rsid w:val="00592337"/>
    <w:rsid w:val="005A65E0"/>
    <w:rsid w:val="005C0A5C"/>
    <w:rsid w:val="005C3777"/>
    <w:rsid w:val="005C3B7D"/>
    <w:rsid w:val="005C5CDC"/>
    <w:rsid w:val="005D14B5"/>
    <w:rsid w:val="005D476C"/>
    <w:rsid w:val="005E5BA4"/>
    <w:rsid w:val="006200BF"/>
    <w:rsid w:val="006219F8"/>
    <w:rsid w:val="006302F7"/>
    <w:rsid w:val="00633532"/>
    <w:rsid w:val="006346F4"/>
    <w:rsid w:val="0064611A"/>
    <w:rsid w:val="00646B9F"/>
    <w:rsid w:val="00650AE6"/>
    <w:rsid w:val="00662B2A"/>
    <w:rsid w:val="00665D70"/>
    <w:rsid w:val="006839FA"/>
    <w:rsid w:val="006900D9"/>
    <w:rsid w:val="006948E6"/>
    <w:rsid w:val="00697108"/>
    <w:rsid w:val="006D4DCB"/>
    <w:rsid w:val="006D69B9"/>
    <w:rsid w:val="00706C16"/>
    <w:rsid w:val="007340C3"/>
    <w:rsid w:val="0075235A"/>
    <w:rsid w:val="00756841"/>
    <w:rsid w:val="00763609"/>
    <w:rsid w:val="007649AB"/>
    <w:rsid w:val="00771D0C"/>
    <w:rsid w:val="007833AC"/>
    <w:rsid w:val="00785257"/>
    <w:rsid w:val="00787B7E"/>
    <w:rsid w:val="007B268C"/>
    <w:rsid w:val="007B2FCC"/>
    <w:rsid w:val="007B7171"/>
    <w:rsid w:val="007C0C0F"/>
    <w:rsid w:val="007C3DC2"/>
    <w:rsid w:val="007D4EF3"/>
    <w:rsid w:val="007D5841"/>
    <w:rsid w:val="007E5497"/>
    <w:rsid w:val="007E5EE3"/>
    <w:rsid w:val="00806F5F"/>
    <w:rsid w:val="00820278"/>
    <w:rsid w:val="0082185C"/>
    <w:rsid w:val="008258C9"/>
    <w:rsid w:val="00844AE9"/>
    <w:rsid w:val="008462B9"/>
    <w:rsid w:val="0085743A"/>
    <w:rsid w:val="00863DB5"/>
    <w:rsid w:val="00867F95"/>
    <w:rsid w:val="008843B6"/>
    <w:rsid w:val="00891928"/>
    <w:rsid w:val="008A2EA0"/>
    <w:rsid w:val="008A41E7"/>
    <w:rsid w:val="008A446D"/>
    <w:rsid w:val="008B25F1"/>
    <w:rsid w:val="008C1D6E"/>
    <w:rsid w:val="008C3CA4"/>
    <w:rsid w:val="008C417D"/>
    <w:rsid w:val="008C5D77"/>
    <w:rsid w:val="008D180B"/>
    <w:rsid w:val="008F0EA7"/>
    <w:rsid w:val="00903DC8"/>
    <w:rsid w:val="00923EEF"/>
    <w:rsid w:val="00931394"/>
    <w:rsid w:val="00940DBD"/>
    <w:rsid w:val="009419F9"/>
    <w:rsid w:val="0095685E"/>
    <w:rsid w:val="00961B09"/>
    <w:rsid w:val="00965334"/>
    <w:rsid w:val="0097093E"/>
    <w:rsid w:val="009800CE"/>
    <w:rsid w:val="009A0DFA"/>
    <w:rsid w:val="009A1C6F"/>
    <w:rsid w:val="009B2D26"/>
    <w:rsid w:val="009C71FA"/>
    <w:rsid w:val="009C72E7"/>
    <w:rsid w:val="009C7F7E"/>
    <w:rsid w:val="009D3058"/>
    <w:rsid w:val="009D35BB"/>
    <w:rsid w:val="009E2A9B"/>
    <w:rsid w:val="009F3A13"/>
    <w:rsid w:val="00A04298"/>
    <w:rsid w:val="00A122D3"/>
    <w:rsid w:val="00A14468"/>
    <w:rsid w:val="00A17F13"/>
    <w:rsid w:val="00A20739"/>
    <w:rsid w:val="00A23AF9"/>
    <w:rsid w:val="00A23F89"/>
    <w:rsid w:val="00A2703E"/>
    <w:rsid w:val="00A33C78"/>
    <w:rsid w:val="00A61BCF"/>
    <w:rsid w:val="00A633F1"/>
    <w:rsid w:val="00A71E7C"/>
    <w:rsid w:val="00AA2092"/>
    <w:rsid w:val="00AA4627"/>
    <w:rsid w:val="00AA64B4"/>
    <w:rsid w:val="00AB0ADB"/>
    <w:rsid w:val="00AC0F3D"/>
    <w:rsid w:val="00AE620C"/>
    <w:rsid w:val="00B00C0E"/>
    <w:rsid w:val="00B01B1A"/>
    <w:rsid w:val="00B0381D"/>
    <w:rsid w:val="00B12DA8"/>
    <w:rsid w:val="00B2059D"/>
    <w:rsid w:val="00B20FBE"/>
    <w:rsid w:val="00B23106"/>
    <w:rsid w:val="00B44A47"/>
    <w:rsid w:val="00B53C94"/>
    <w:rsid w:val="00B574DB"/>
    <w:rsid w:val="00B669AB"/>
    <w:rsid w:val="00B70280"/>
    <w:rsid w:val="00B72CD3"/>
    <w:rsid w:val="00B72FFF"/>
    <w:rsid w:val="00B83B2F"/>
    <w:rsid w:val="00BA71D8"/>
    <w:rsid w:val="00BC2306"/>
    <w:rsid w:val="00BC353C"/>
    <w:rsid w:val="00BC3D36"/>
    <w:rsid w:val="00BD28BA"/>
    <w:rsid w:val="00BD54A6"/>
    <w:rsid w:val="00BD7F72"/>
    <w:rsid w:val="00BF0099"/>
    <w:rsid w:val="00BF7425"/>
    <w:rsid w:val="00C04FB3"/>
    <w:rsid w:val="00C11D8B"/>
    <w:rsid w:val="00C15139"/>
    <w:rsid w:val="00C26617"/>
    <w:rsid w:val="00C278CC"/>
    <w:rsid w:val="00C330EB"/>
    <w:rsid w:val="00C50D69"/>
    <w:rsid w:val="00C5365C"/>
    <w:rsid w:val="00C754BE"/>
    <w:rsid w:val="00C76B1C"/>
    <w:rsid w:val="00C87E59"/>
    <w:rsid w:val="00C925AC"/>
    <w:rsid w:val="00C9595B"/>
    <w:rsid w:val="00CA34AD"/>
    <w:rsid w:val="00CA4CE2"/>
    <w:rsid w:val="00CA5575"/>
    <w:rsid w:val="00CB6357"/>
    <w:rsid w:val="00CC1B26"/>
    <w:rsid w:val="00CD72D9"/>
    <w:rsid w:val="00CE7960"/>
    <w:rsid w:val="00D01CC5"/>
    <w:rsid w:val="00D14086"/>
    <w:rsid w:val="00D20314"/>
    <w:rsid w:val="00D31AFD"/>
    <w:rsid w:val="00D3336D"/>
    <w:rsid w:val="00D361FD"/>
    <w:rsid w:val="00D423A2"/>
    <w:rsid w:val="00D44E26"/>
    <w:rsid w:val="00D520D8"/>
    <w:rsid w:val="00D61DD3"/>
    <w:rsid w:val="00D63AC2"/>
    <w:rsid w:val="00D714D8"/>
    <w:rsid w:val="00D7185A"/>
    <w:rsid w:val="00D7383B"/>
    <w:rsid w:val="00D7788A"/>
    <w:rsid w:val="00D85184"/>
    <w:rsid w:val="00D967DC"/>
    <w:rsid w:val="00DA231B"/>
    <w:rsid w:val="00DA3279"/>
    <w:rsid w:val="00DA6524"/>
    <w:rsid w:val="00DB0B28"/>
    <w:rsid w:val="00DB434B"/>
    <w:rsid w:val="00DB66BC"/>
    <w:rsid w:val="00DC39FC"/>
    <w:rsid w:val="00DE0460"/>
    <w:rsid w:val="00DE571E"/>
    <w:rsid w:val="00DF0F22"/>
    <w:rsid w:val="00DF5254"/>
    <w:rsid w:val="00DF59F7"/>
    <w:rsid w:val="00DF6C12"/>
    <w:rsid w:val="00E02524"/>
    <w:rsid w:val="00E07D53"/>
    <w:rsid w:val="00E16408"/>
    <w:rsid w:val="00E16F69"/>
    <w:rsid w:val="00E20894"/>
    <w:rsid w:val="00E245AB"/>
    <w:rsid w:val="00E2764C"/>
    <w:rsid w:val="00E27F2E"/>
    <w:rsid w:val="00E362F0"/>
    <w:rsid w:val="00E434A2"/>
    <w:rsid w:val="00E50AFE"/>
    <w:rsid w:val="00E7271D"/>
    <w:rsid w:val="00E75BF2"/>
    <w:rsid w:val="00E75C92"/>
    <w:rsid w:val="00E771DC"/>
    <w:rsid w:val="00E8772A"/>
    <w:rsid w:val="00E90F6B"/>
    <w:rsid w:val="00E92C27"/>
    <w:rsid w:val="00EA0E3D"/>
    <w:rsid w:val="00EB2166"/>
    <w:rsid w:val="00EC38A7"/>
    <w:rsid w:val="00EE1AA8"/>
    <w:rsid w:val="00EE79C2"/>
    <w:rsid w:val="00F05EE0"/>
    <w:rsid w:val="00F23FEA"/>
    <w:rsid w:val="00F31EDC"/>
    <w:rsid w:val="00F46156"/>
    <w:rsid w:val="00F462B3"/>
    <w:rsid w:val="00F5664F"/>
    <w:rsid w:val="00F622E1"/>
    <w:rsid w:val="00F666C4"/>
    <w:rsid w:val="00F76AFC"/>
    <w:rsid w:val="00F82363"/>
    <w:rsid w:val="00F93FD6"/>
    <w:rsid w:val="00FA47C0"/>
    <w:rsid w:val="00FB1D1F"/>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5871"/>
    <w:rPr>
      <w:rFonts w:ascii="Geomanist Light" w:hAnsi="Geomanist Light"/>
      <w:lang w:val="es-ES"/>
    </w:rPr>
  </w:style>
  <w:style w:type="character" w:customStyle="1" w:styleId="s15">
    <w:name w:val="s15"/>
    <w:basedOn w:val="Fuentedeprrafopredeter"/>
    <w:rsid w:val="00505871"/>
  </w:style>
  <w:style w:type="paragraph" w:customStyle="1" w:styleId="Appelnotedebasde">
    <w:name w:val="Appel note de bas de..."/>
    <w:basedOn w:val="Normal"/>
    <w:link w:val="Refdenotaalpie"/>
    <w:rsid w:val="007E5EE3"/>
    <w:pPr>
      <w:spacing w:line="240" w:lineRule="exact"/>
    </w:pPr>
    <w:rPr>
      <w:vertAlign w:val="superscript"/>
    </w:rPr>
  </w:style>
  <w:style w:type="character" w:customStyle="1" w:styleId="NormalWebCar">
    <w:name w:val="Normal (Web) Car"/>
    <w:link w:val="NormalWeb"/>
    <w:uiPriority w:val="99"/>
    <w:rsid w:val="007E5EE3"/>
    <w:rPr>
      <w:rFonts w:ascii="Times New Roman" w:eastAsia="Times New Roman" w:hAnsi="Times New Roman" w:cs="Times New Roman"/>
      <w:sz w:val="24"/>
      <w:szCs w:val="24"/>
      <w:lang w:eastAsia="es-CO"/>
    </w:rPr>
  </w:style>
  <w:style w:type="character" w:customStyle="1" w:styleId="baj">
    <w:name w:val="b_aj"/>
    <w:basedOn w:val="Fuentedeprrafopredeter"/>
    <w:rsid w:val="007E5EE3"/>
  </w:style>
  <w:style w:type="character" w:styleId="Refdecomentario">
    <w:name w:val="annotation reference"/>
    <w:basedOn w:val="Fuentedeprrafopredeter"/>
    <w:uiPriority w:val="99"/>
    <w:semiHidden/>
    <w:unhideWhenUsed/>
    <w:rsid w:val="002C77FC"/>
    <w:rPr>
      <w:sz w:val="16"/>
      <w:szCs w:val="16"/>
    </w:rPr>
  </w:style>
  <w:style w:type="paragraph" w:styleId="Textocomentario">
    <w:name w:val="annotation text"/>
    <w:basedOn w:val="Normal"/>
    <w:link w:val="TextocomentarioCar"/>
    <w:uiPriority w:val="99"/>
    <w:semiHidden/>
    <w:unhideWhenUsed/>
    <w:rsid w:val="002C77F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C77FC"/>
    <w:rPr>
      <w:sz w:val="20"/>
      <w:szCs w:val="20"/>
    </w:rPr>
  </w:style>
  <w:style w:type="paragraph" w:styleId="Asuntodelcomentario">
    <w:name w:val="annotation subject"/>
    <w:basedOn w:val="Textocomentario"/>
    <w:next w:val="Textocomentario"/>
    <w:link w:val="AsuntodelcomentarioCar"/>
    <w:uiPriority w:val="99"/>
    <w:semiHidden/>
    <w:unhideWhenUsed/>
    <w:rsid w:val="002C77FC"/>
    <w:rPr>
      <w:b/>
      <w:bCs/>
    </w:rPr>
  </w:style>
  <w:style w:type="character" w:customStyle="1" w:styleId="AsuntodelcomentarioCar">
    <w:name w:val="Asunto del comentario Car"/>
    <w:basedOn w:val="TextocomentarioCar"/>
    <w:link w:val="Asuntodelcomentario"/>
    <w:uiPriority w:val="99"/>
    <w:semiHidden/>
    <w:rsid w:val="002C77F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57235">
      <w:marLeft w:val="0"/>
      <w:marRight w:val="0"/>
      <w:marTop w:val="0"/>
      <w:marBottom w:val="0"/>
      <w:divBdr>
        <w:top w:val="none" w:sz="0" w:space="0" w:color="auto"/>
        <w:left w:val="none" w:sz="0" w:space="0" w:color="auto"/>
        <w:bottom w:val="none" w:sz="0" w:space="0" w:color="auto"/>
        <w:right w:val="none" w:sz="0" w:space="0" w:color="auto"/>
      </w:divBdr>
    </w:div>
    <w:div w:id="73011452">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74235488">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51144502">
      <w:marLeft w:val="0"/>
      <w:marRight w:val="0"/>
      <w:marTop w:val="0"/>
      <w:marBottom w:val="0"/>
      <w:divBdr>
        <w:top w:val="none" w:sz="0" w:space="0" w:color="auto"/>
        <w:left w:val="none" w:sz="0" w:space="0" w:color="auto"/>
        <w:bottom w:val="none" w:sz="0" w:space="0" w:color="auto"/>
        <w:right w:val="none" w:sz="0" w:space="0" w:color="auto"/>
      </w:divBdr>
    </w:div>
    <w:div w:id="957370138">
      <w:marLeft w:val="0"/>
      <w:marRight w:val="0"/>
      <w:marTop w:val="0"/>
      <w:marBottom w:val="0"/>
      <w:divBdr>
        <w:top w:val="none" w:sz="0" w:space="0" w:color="auto"/>
        <w:left w:val="none" w:sz="0" w:space="0" w:color="auto"/>
        <w:bottom w:val="none" w:sz="0" w:space="0" w:color="auto"/>
        <w:right w:val="none" w:sz="0" w:space="0" w:color="auto"/>
      </w:divBdr>
    </w:div>
    <w:div w:id="967054010">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88075839">
      <w:marLeft w:val="0"/>
      <w:marRight w:val="0"/>
      <w:marTop w:val="0"/>
      <w:marBottom w:val="0"/>
      <w:divBdr>
        <w:top w:val="none" w:sz="0" w:space="0" w:color="auto"/>
        <w:left w:val="none" w:sz="0" w:space="0" w:color="auto"/>
        <w:bottom w:val="none" w:sz="0" w:space="0" w:color="auto"/>
        <w:right w:val="none" w:sz="0" w:space="0" w:color="auto"/>
      </w:divBdr>
    </w:div>
    <w:div w:id="2046830938">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gerencia@esehospitalsanrafael-leticia-amazonas.gov.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uexternado.edu.co/index.php/derpri/article/view/4328/508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D1B5C-3B8B-4BDC-8CEA-B93DC401C6A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39891E0-6E37-D849-A684-2E99F3D5B122}">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43</Pages>
  <Words>14671</Words>
  <Characters>80696</Characters>
  <Application>Microsoft Office Word</Application>
  <DocSecurity>0</DocSecurity>
  <Lines>672</Lines>
  <Paragraphs>190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51</cp:revision>
  <cp:lastPrinted>2023-01-10T21:18:00Z</cp:lastPrinted>
  <dcterms:created xsi:type="dcterms:W3CDTF">2026-03-30T02:11:00Z</dcterms:created>
  <dcterms:modified xsi:type="dcterms:W3CDTF">2026-03-30T14:02:00Z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