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A75223" w14:textId="091B0572" w:rsidR="00E520A2" w:rsidRPr="00FE6DD9" w:rsidRDefault="00421DD2" w:rsidP="00FE6DD9">
      <w:pPr>
        <w:rPr>
          <w:rFonts w:ascii="Verdana" w:eastAsia="Calibri" w:hAnsi="Verdana" w:cs="Arial"/>
          <w:b/>
          <w:color w:val="1A1A1A" w:themeColor="background1" w:themeShade="1A"/>
          <w:lang w:val="es-ES_tradnl"/>
        </w:rPr>
      </w:pPr>
      <w:bookmarkStart w:id="0" w:name="_Hlk143780582"/>
      <w:r w:rsidRPr="007C7219">
        <w:rPr>
          <w:rFonts w:ascii="Verdana" w:eastAsia="Calibri" w:hAnsi="Verdana" w:cs="Arial"/>
          <w:b/>
          <w:color w:val="1A1A1A" w:themeColor="background1" w:themeShade="1A"/>
          <w:lang w:val="es-ES_tradnl"/>
        </w:rPr>
        <w:t xml:space="preserve">LEY DE GARANTÍAS ELECTORALES ─ Definición ─ Finalidad ─ Restricciones ─ Destinatarios </w:t>
      </w:r>
    </w:p>
    <w:p w14:paraId="337606BF" w14:textId="4E3906E9" w:rsidR="00E520A2" w:rsidRPr="00E520A2" w:rsidRDefault="00E520A2" w:rsidP="00E520A2">
      <w:pPr>
        <w:tabs>
          <w:tab w:val="left" w:pos="426"/>
        </w:tabs>
        <w:spacing w:after="0"/>
        <w:jc w:val="both"/>
        <w:rPr>
          <w:rFonts w:ascii="Verdana" w:eastAsia="Arial" w:hAnsi="Verdana" w:cs="Arial"/>
          <w:color w:val="1A1A1A" w:themeColor="background1" w:themeShade="1A"/>
          <w:sz w:val="20"/>
          <w:szCs w:val="20"/>
          <w:lang w:val="es-ES_tradnl"/>
        </w:rPr>
      </w:pPr>
      <w:r w:rsidRPr="00E520A2">
        <w:rPr>
          <w:rFonts w:ascii="Verdana" w:eastAsia="Calibri" w:hAnsi="Verdana" w:cs="Arial"/>
          <w:noProof/>
          <w:color w:val="1A1A1A" w:themeColor="background1" w:themeShade="1A"/>
          <w:sz w:val="20"/>
          <w:szCs w:val="20"/>
          <w:lang w:val="es-ES_tradnl"/>
        </w:rPr>
        <w:t xml:space="preserve">[…] La </w:t>
      </w:r>
      <w:r w:rsidRPr="00E520A2">
        <w:rPr>
          <w:rFonts w:ascii="Verdana" w:eastAsia="Arial" w:hAnsi="Verdana" w:cs="Arial"/>
          <w:color w:val="1A1A1A" w:themeColor="background1" w:themeShade="1A"/>
          <w:sz w:val="20"/>
          <w:szCs w:val="20"/>
          <w:lang w:val="es-ES_tradnl"/>
        </w:rPr>
        <w:t xml:space="preserve">Ley 996 de 2005, conocida como </w:t>
      </w:r>
      <w:r>
        <w:rPr>
          <w:rFonts w:ascii="Verdana" w:eastAsia="Arial" w:hAnsi="Verdana" w:cs="Arial"/>
          <w:color w:val="1A1A1A" w:themeColor="background1" w:themeShade="1A"/>
          <w:sz w:val="20"/>
          <w:szCs w:val="20"/>
          <w:lang w:val="es-ES_tradnl"/>
        </w:rPr>
        <w:t>“</w:t>
      </w:r>
      <w:r w:rsidRPr="00E520A2">
        <w:rPr>
          <w:rFonts w:ascii="Verdana" w:eastAsia="Arial" w:hAnsi="Verdana" w:cs="Arial"/>
          <w:color w:val="1A1A1A" w:themeColor="background1" w:themeShade="1A"/>
          <w:sz w:val="20"/>
          <w:szCs w:val="20"/>
          <w:lang w:val="es-ES_tradnl"/>
        </w:rPr>
        <w:t>Ley de Garantías Electorales</w:t>
      </w:r>
      <w:r>
        <w:rPr>
          <w:rFonts w:ascii="Verdana" w:eastAsia="Arial" w:hAnsi="Verdana" w:cs="Arial"/>
          <w:color w:val="1A1A1A" w:themeColor="background1" w:themeShade="1A"/>
          <w:sz w:val="20"/>
          <w:szCs w:val="20"/>
          <w:lang w:val="es-ES_tradnl"/>
        </w:rPr>
        <w:t>”</w:t>
      </w:r>
      <w:r w:rsidRPr="00E520A2">
        <w:rPr>
          <w:rFonts w:ascii="Verdana" w:eastAsia="Arial" w:hAnsi="Verdana" w:cs="Arial"/>
          <w:color w:val="1A1A1A" w:themeColor="background1" w:themeShade="1A"/>
          <w:sz w:val="20"/>
          <w:szCs w:val="20"/>
          <w:lang w:val="es-ES_tradnl"/>
        </w:rPr>
        <w:t xml:space="preserve">,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 </w:t>
      </w:r>
    </w:p>
    <w:p w14:paraId="51EDA221" w14:textId="77777777" w:rsidR="00E520A2" w:rsidRPr="00E520A2" w:rsidRDefault="00E520A2" w:rsidP="00E520A2">
      <w:pPr>
        <w:tabs>
          <w:tab w:val="left" w:pos="426"/>
        </w:tabs>
        <w:spacing w:after="0"/>
        <w:jc w:val="both"/>
        <w:rPr>
          <w:rFonts w:ascii="Verdana" w:eastAsia="Arial" w:hAnsi="Verdana" w:cs="Arial"/>
          <w:color w:val="1A1A1A" w:themeColor="background1" w:themeShade="1A"/>
          <w:sz w:val="20"/>
          <w:szCs w:val="20"/>
          <w:lang w:val="es-ES_tradnl"/>
        </w:rPr>
      </w:pPr>
    </w:p>
    <w:p w14:paraId="2471B68A" w14:textId="77777777" w:rsidR="00E520A2" w:rsidRPr="00E520A2" w:rsidRDefault="00E520A2" w:rsidP="00E520A2">
      <w:pPr>
        <w:tabs>
          <w:tab w:val="left" w:pos="426"/>
        </w:tabs>
        <w:spacing w:after="0"/>
        <w:jc w:val="both"/>
        <w:rPr>
          <w:rFonts w:ascii="Verdana" w:eastAsia="Arial" w:hAnsi="Verdana" w:cs="Arial"/>
          <w:color w:val="1A1A1A" w:themeColor="background1" w:themeShade="1A"/>
          <w:sz w:val="20"/>
          <w:szCs w:val="20"/>
          <w:lang w:val="es-ES_tradnl"/>
        </w:rPr>
      </w:pPr>
      <w:r w:rsidRPr="00E520A2">
        <w:rPr>
          <w:rFonts w:ascii="Verdana" w:eastAsia="Arial" w:hAnsi="Verdana" w:cs="Arial"/>
          <w:color w:val="1A1A1A" w:themeColor="background1" w:themeShade="1A"/>
          <w:sz w:val="20"/>
          <w:szCs w:val="20"/>
          <w:lang w:val="es-ES_tradnl"/>
        </w:rPr>
        <w:t>En este contexto, la Ley de Garantías Electorales establece el marco jurídico para el desarrollo de las elecciones, procurando condiciones de igualdad y transparencia para los aspirantes y paralelamente incluye restricciones en el actuar de los servidores públicos, evitando interferencias en la contienda electoral, así como la posible desviación de recursos públicos en aspiraciones electorales.</w:t>
      </w:r>
    </w:p>
    <w:p w14:paraId="39748AD9" w14:textId="77777777" w:rsidR="00E520A2" w:rsidRPr="00E520A2" w:rsidRDefault="00E520A2" w:rsidP="00E520A2">
      <w:pPr>
        <w:tabs>
          <w:tab w:val="left" w:pos="426"/>
        </w:tabs>
        <w:spacing w:after="0"/>
        <w:jc w:val="both"/>
        <w:rPr>
          <w:rFonts w:ascii="Verdana" w:eastAsia="Arial" w:hAnsi="Verdana" w:cs="Arial"/>
          <w:color w:val="1A1A1A" w:themeColor="background1" w:themeShade="1A"/>
          <w:sz w:val="20"/>
          <w:szCs w:val="20"/>
          <w:lang w:val="es-ES_tradnl"/>
        </w:rPr>
      </w:pPr>
    </w:p>
    <w:p w14:paraId="46FF81F2" w14:textId="1442B026" w:rsidR="00E520A2" w:rsidRDefault="00E520A2" w:rsidP="00E520A2">
      <w:pPr>
        <w:tabs>
          <w:tab w:val="left" w:pos="426"/>
        </w:tabs>
        <w:spacing w:after="0"/>
        <w:jc w:val="both"/>
        <w:rPr>
          <w:rFonts w:ascii="Verdana" w:eastAsia="Arial" w:hAnsi="Verdana" w:cs="Arial"/>
          <w:color w:val="1A1A1A" w:themeColor="background1" w:themeShade="1A"/>
          <w:sz w:val="20"/>
          <w:szCs w:val="20"/>
          <w:lang w:val="es-ES_tradnl"/>
        </w:rPr>
      </w:pPr>
      <w:r w:rsidRPr="00E520A2">
        <w:rPr>
          <w:rFonts w:ascii="Verdana" w:eastAsia="Calibri" w:hAnsi="Verdana" w:cs="Arial"/>
          <w:noProof/>
          <w:color w:val="1A1A1A" w:themeColor="background1" w:themeShade="1A"/>
          <w:sz w:val="20"/>
          <w:szCs w:val="20"/>
          <w:lang w:val="es-ES_tradnl"/>
        </w:rPr>
        <w:t xml:space="preserve">Bajo este contexto, la prohibición del artículo 33 de la Ley de Garantías Electorales cobija a todas las entidades estatales, incluidas las entidades territoriales como alcaldías y se refiere a </w:t>
      </w:r>
      <w:r>
        <w:rPr>
          <w:rFonts w:ascii="Verdana" w:eastAsia="Calibri" w:hAnsi="Verdana" w:cs="Arial"/>
          <w:noProof/>
          <w:color w:val="1A1A1A" w:themeColor="background1" w:themeShade="1A"/>
          <w:sz w:val="20"/>
          <w:szCs w:val="20"/>
          <w:lang w:val="es-ES_tradnl"/>
        </w:rPr>
        <w:t>“</w:t>
      </w:r>
      <w:r w:rsidRPr="00E520A2">
        <w:rPr>
          <w:rFonts w:ascii="Verdana" w:eastAsia="Calibri" w:hAnsi="Verdana" w:cs="Arial"/>
          <w:noProof/>
          <w:color w:val="1A1A1A" w:themeColor="background1" w:themeShade="1A"/>
          <w:sz w:val="20"/>
          <w:szCs w:val="20"/>
          <w:lang w:val="es-ES_tradnl"/>
        </w:rPr>
        <w:t>cualquier sistema que no implique convocatoria pública y posibilidad de pluralidad de oferentes</w:t>
      </w:r>
      <w:r>
        <w:rPr>
          <w:rFonts w:ascii="Verdana" w:eastAsia="Calibri" w:hAnsi="Verdana" w:cs="Arial"/>
          <w:noProof/>
          <w:color w:val="1A1A1A" w:themeColor="background1" w:themeShade="1A"/>
          <w:sz w:val="20"/>
          <w:szCs w:val="20"/>
          <w:lang w:val="es-ES_tradnl"/>
        </w:rPr>
        <w:t>”</w:t>
      </w:r>
      <w:r w:rsidRPr="00E520A2">
        <w:rPr>
          <w:rFonts w:ascii="Verdana" w:eastAsia="Calibri" w:hAnsi="Verdana" w:cs="Arial"/>
          <w:noProof/>
          <w:color w:val="1A1A1A" w:themeColor="background1" w:themeShade="1A"/>
          <w:sz w:val="20"/>
          <w:szCs w:val="20"/>
          <w:lang w:val="es-ES_tradnl"/>
        </w:rPr>
        <w:t xml:space="preserve">. Por tanto, si un contrato de comodato pretende celebrarse de manera directa le aplica, en principio, la prohibición establecida en el artículo 33 de la Ley 996 de 2005 </w:t>
      </w:r>
      <w:r w:rsidRPr="00E520A2">
        <w:rPr>
          <w:rFonts w:ascii="Verdana" w:eastAsia="Arial" w:hAnsi="Verdana" w:cs="Arial"/>
          <w:color w:val="1A1A1A" w:themeColor="background1" w:themeShade="1A"/>
          <w:sz w:val="20"/>
          <w:szCs w:val="20"/>
          <w:lang w:val="es-ES_tradnl"/>
        </w:rPr>
        <w:t xml:space="preserve">[…]. </w:t>
      </w:r>
    </w:p>
    <w:p w14:paraId="5328F5F5" w14:textId="77777777" w:rsidR="00E520A2" w:rsidRPr="0071727F" w:rsidRDefault="00E520A2" w:rsidP="00E520A2">
      <w:pPr>
        <w:tabs>
          <w:tab w:val="left" w:pos="426"/>
        </w:tabs>
        <w:spacing w:after="0"/>
        <w:jc w:val="both"/>
        <w:rPr>
          <w:rFonts w:ascii="Arial" w:eastAsia="Calibri" w:hAnsi="Arial" w:cs="Arial"/>
          <w:noProof/>
          <w:color w:val="1A1A1A" w:themeColor="background1" w:themeShade="1A"/>
          <w:lang w:val="es-ES_tradnl"/>
        </w:rPr>
      </w:pPr>
    </w:p>
    <w:p w14:paraId="4176E7B6" w14:textId="6CACAC52" w:rsidR="007C7219" w:rsidRDefault="007C7219" w:rsidP="00FE6DD9">
      <w:pPr>
        <w:rPr>
          <w:rFonts w:ascii="Verdana" w:eastAsia="Calibri" w:hAnsi="Verdana" w:cs="Arial"/>
          <w:b/>
          <w:color w:val="1A1A1A" w:themeColor="background1" w:themeShade="1A"/>
          <w:lang w:val="es-ES_tradnl"/>
        </w:rPr>
      </w:pPr>
      <w:r w:rsidRPr="007C7219">
        <w:rPr>
          <w:rFonts w:ascii="Verdana" w:eastAsia="Calibri" w:hAnsi="Verdana" w:cs="Arial"/>
          <w:b/>
          <w:color w:val="1A1A1A" w:themeColor="background1" w:themeShade="1A"/>
          <w:lang w:val="es-ES_tradnl"/>
        </w:rPr>
        <w:t xml:space="preserve">LEY DE GARANTÍAS ELECTORALES ─ Prohibición ─ Contratación Directa ─ Alcance ─ Excepciones </w:t>
      </w:r>
    </w:p>
    <w:p w14:paraId="5030A5F8" w14:textId="77777777" w:rsidR="0019380B" w:rsidRPr="0019380B" w:rsidRDefault="0019380B" w:rsidP="0019380B">
      <w:pPr>
        <w:tabs>
          <w:tab w:val="left" w:pos="426"/>
        </w:tabs>
        <w:spacing w:after="0"/>
        <w:jc w:val="both"/>
        <w:rPr>
          <w:rFonts w:ascii="Verdana" w:eastAsia="Calibri" w:hAnsi="Verdana" w:cs="Arial"/>
          <w:noProof/>
          <w:color w:val="1A1A1A" w:themeColor="background1" w:themeShade="1A"/>
          <w:sz w:val="20"/>
          <w:szCs w:val="20"/>
          <w:lang w:val="es-ES_tradnl"/>
        </w:rPr>
      </w:pPr>
      <w:r w:rsidRPr="0019380B">
        <w:rPr>
          <w:rFonts w:ascii="Verdana" w:eastAsia="Calibri" w:hAnsi="Verdana" w:cs="Arial"/>
          <w:noProof/>
          <w:color w:val="1A1A1A" w:themeColor="background1" w:themeShade="1A"/>
          <w:sz w:val="20"/>
          <w:szCs w:val="20"/>
          <w:lang w:val="es-ES_tradnl"/>
        </w:rPr>
        <w:t>[…] La Ley 996 de 2005 establece en su artículo 33 que queda prohibida la contratación directa dentro de los cuatro (4) meses anteriores a la celebración de los comicios, salvo las excepciones que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p>
    <w:p w14:paraId="224AA643" w14:textId="77777777" w:rsidR="0019380B" w:rsidRPr="0019380B" w:rsidRDefault="0019380B">
      <w:pPr>
        <w:rPr>
          <w:rFonts w:ascii="Verdana" w:eastAsia="Verdana" w:hAnsi="Verdana" w:cs="Verdana"/>
          <w:b/>
          <w:bCs/>
        </w:rPr>
      </w:pPr>
    </w:p>
    <w:p w14:paraId="53CF07B1" w14:textId="77777777" w:rsidR="00A54A7B" w:rsidRDefault="0019380B" w:rsidP="00A54A7B">
      <w:pPr>
        <w:rPr>
          <w:rFonts w:ascii="Verdana" w:hAnsi="Verdana" w:cs="Arial"/>
          <w:lang w:val="es-MX" w:eastAsia="es-ES_tradnl"/>
        </w:rPr>
      </w:pPr>
      <w:r w:rsidRPr="0019380B">
        <w:rPr>
          <w:rFonts w:ascii="Verdana" w:hAnsi="Verdana" w:cs="Arial"/>
          <w:b/>
          <w:bCs/>
          <w:lang w:val="es-MX" w:eastAsia="es-ES_tradnl"/>
        </w:rPr>
        <w:t>CONVENIOS INTERADMINISTRATIVOS – Criterio orgánico</w:t>
      </w:r>
      <w:r w:rsidRPr="0062667E">
        <w:rPr>
          <w:rFonts w:ascii="Verdana" w:hAnsi="Verdana" w:cs="Arial"/>
          <w:lang w:val="es-MX" w:eastAsia="es-ES_tradnl"/>
        </w:rPr>
        <w:t xml:space="preserve"> </w:t>
      </w:r>
    </w:p>
    <w:p w14:paraId="644B06D2" w14:textId="63E49904" w:rsidR="00A54A7B" w:rsidRPr="00A54A7B" w:rsidRDefault="00A54A7B" w:rsidP="00A54A7B">
      <w:pPr>
        <w:jc w:val="both"/>
        <w:rPr>
          <w:rFonts w:ascii="Verdana" w:hAnsi="Verdana" w:cs="Arial"/>
          <w:sz w:val="20"/>
          <w:szCs w:val="20"/>
          <w:lang w:val="es-MX" w:eastAsia="es-ES_tradnl"/>
        </w:rPr>
      </w:pPr>
      <w:r w:rsidRPr="00A54A7B">
        <w:rPr>
          <w:rFonts w:ascii="Verdana" w:eastAsia="Times New Roman" w:hAnsi="Verdana" w:cs="Arial"/>
          <w:bCs/>
          <w:sz w:val="20"/>
          <w:szCs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A54A7B">
        <w:rPr>
          <w:rFonts w:ascii="Verdana" w:eastAsia="Times New Roman" w:hAnsi="Verdana" w:cs="Arial"/>
          <w:bCs/>
          <w:sz w:val="20"/>
          <w:szCs w:val="20"/>
          <w:lang w:val="es-ES" w:eastAsia="es-CO"/>
        </w:rPr>
        <w:t xml:space="preserve">la existencia de los contratos estatales, es decir, la </w:t>
      </w:r>
      <w:r w:rsidRPr="00A54A7B">
        <w:rPr>
          <w:rFonts w:ascii="Verdana" w:eastAsia="Times New Roman" w:hAnsi="Verdana" w:cs="Arial"/>
          <w:bCs/>
          <w:sz w:val="20"/>
          <w:szCs w:val="20"/>
          <w:lang w:val="es-ES" w:eastAsia="es-CO"/>
        </w:rPr>
        <w:lastRenderedPageBreak/>
        <w:t xml:space="preserve">producción de efectos jurídicos en los términos del artículo 1501 </w:t>
      </w:r>
      <w:r w:rsidRPr="00A54A7B">
        <w:rPr>
          <w:rFonts w:ascii="Verdana" w:eastAsia="Times New Roman" w:hAnsi="Verdana" w:cs="Arial"/>
          <w:bCs/>
          <w:i/>
          <w:sz w:val="20"/>
          <w:szCs w:val="20"/>
          <w:lang w:val="es-ES" w:eastAsia="es-CO"/>
        </w:rPr>
        <w:t>ibidem</w:t>
      </w:r>
      <w:r w:rsidRPr="00A54A7B">
        <w:rPr>
          <w:rFonts w:ascii="Verdana" w:eastAsia="Times New Roman" w:hAnsi="Verdana" w:cs="Arial"/>
          <w:bCs/>
          <w:sz w:val="20"/>
          <w:szCs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501C2F2F" w14:textId="77777777" w:rsidR="00A54A7B" w:rsidRPr="00A54A7B" w:rsidRDefault="00A54A7B" w:rsidP="00A54A7B">
      <w:pPr>
        <w:spacing w:after="0"/>
        <w:rPr>
          <w:rFonts w:ascii="Verdana" w:hAnsi="Verdana" w:cs="Arial"/>
          <w:lang w:val="es-ES" w:eastAsia="es-ES_tradnl"/>
        </w:rPr>
      </w:pPr>
    </w:p>
    <w:p w14:paraId="5094112C" w14:textId="77777777" w:rsidR="0000755E" w:rsidRDefault="0000755E">
      <w:pPr>
        <w:rPr>
          <w:rFonts w:ascii="Verdana" w:hAnsi="Verdana" w:cs="Arial"/>
          <w:b/>
          <w:bCs/>
          <w:lang w:val="es-MX" w:eastAsia="es-ES_tradnl"/>
        </w:rPr>
      </w:pPr>
      <w:r w:rsidRPr="0000755E">
        <w:rPr>
          <w:rFonts w:ascii="Verdana" w:hAnsi="Verdana" w:cs="Arial"/>
          <w:b/>
          <w:bCs/>
          <w:lang w:val="es-MX" w:eastAsia="es-ES_tradnl"/>
        </w:rPr>
        <w:t xml:space="preserve">CONTRATOS Y CONVENIOS INTERADMINISTRATIVOS – Auto de suspensión </w:t>
      </w:r>
    </w:p>
    <w:p w14:paraId="01ED9666" w14:textId="6DF3A8AA" w:rsidR="00B31041" w:rsidRDefault="00B31041" w:rsidP="009540D8">
      <w:pPr>
        <w:spacing w:after="0" w:line="240" w:lineRule="auto"/>
        <w:jc w:val="both"/>
        <w:rPr>
          <w:rFonts w:ascii="Verdana" w:hAnsi="Verdana" w:cs="Arial"/>
          <w:b/>
          <w:bCs/>
          <w:lang w:val="es-MX" w:eastAsia="es-ES_tradnl"/>
        </w:rPr>
      </w:pPr>
    </w:p>
    <w:p w14:paraId="582929CD" w14:textId="53BC75FE" w:rsidR="009540D8" w:rsidRPr="00FE6DD9" w:rsidRDefault="009540D8" w:rsidP="00FE6DD9">
      <w:pPr>
        <w:spacing w:after="120" w:line="276" w:lineRule="auto"/>
        <w:jc w:val="both"/>
        <w:rPr>
          <w:rFonts w:ascii="Verdana" w:eastAsia="Arial" w:hAnsi="Verdana" w:cs="Arial"/>
          <w:lang w:eastAsia="es-ES" w:bidi="es-ES"/>
        </w:rPr>
      </w:pPr>
      <w:r w:rsidRPr="005F4412">
        <w:rPr>
          <w:rFonts w:ascii="Verdana" w:eastAsia="Arial" w:hAnsi="Verdana" w:cs="Arial"/>
          <w:sz w:val="20"/>
          <w:szCs w:val="20"/>
          <w:lang w:eastAsia="es-ES" w:bidi="es-ES"/>
        </w:rPr>
        <w:t>De igual manera, mediante auto del 6 de noviembre de 2025, el Consejo de Estado, Subsección A de la Sección Tercera, decretó</w:t>
      </w:r>
      <w:r w:rsidRPr="005F4412">
        <w:rPr>
          <w:rFonts w:ascii="Verdana" w:eastAsia="Arial" w:hAnsi="Verdana" w:cs="Arial"/>
          <w:b/>
          <w:bCs/>
          <w:sz w:val="20"/>
          <w:szCs w:val="20"/>
          <w:lang w:eastAsia="es-ES" w:bidi="es-ES"/>
        </w:rPr>
        <w:t xml:space="preserve"> </w:t>
      </w:r>
      <w:r w:rsidRPr="005F4412">
        <w:rPr>
          <w:rFonts w:ascii="Verdana" w:eastAsia="Arial" w:hAnsi="Verdana" w:cs="Arial"/>
          <w:sz w:val="20"/>
          <w:szCs w:val="20"/>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Pr>
          <w:rFonts w:ascii="Verdana" w:eastAsia="Arial" w:hAnsi="Verdana" w:cs="Arial"/>
          <w:sz w:val="20"/>
          <w:szCs w:val="20"/>
          <w:lang w:eastAsia="es-ES" w:bidi="es-ES"/>
        </w:rPr>
        <w:t>.</w:t>
      </w:r>
      <w:r w:rsidRPr="005F4412">
        <w:rPr>
          <w:rFonts w:ascii="Verdana" w:eastAsia="Arial" w:hAnsi="Verdana" w:cs="Arial"/>
          <w:sz w:val="20"/>
          <w:szCs w:val="20"/>
          <w:lang w:eastAsia="es-ES" w:bidi="es-ES"/>
        </w:rPr>
        <w:t xml:space="preserve">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w:t>
      </w:r>
      <w:r w:rsidRPr="00343E12">
        <w:rPr>
          <w:rFonts w:ascii="Verdana" w:eastAsia="Arial" w:hAnsi="Verdana" w:cs="Arial"/>
          <w:lang w:eastAsia="es-ES" w:bidi="es-ES"/>
        </w:rPr>
        <w:t xml:space="preserve">. </w:t>
      </w:r>
    </w:p>
    <w:p w14:paraId="3CA4A7D1" w14:textId="375BB1B0" w:rsidR="00653AD3" w:rsidRDefault="0000755E" w:rsidP="00FE6DD9">
      <w:pPr>
        <w:rPr>
          <w:rFonts w:ascii="Verdana" w:eastAsia="Verdana" w:hAnsi="Verdana" w:cs="Verdana"/>
          <w:b/>
        </w:rPr>
      </w:pPr>
      <w:r w:rsidRPr="0000755E">
        <w:rPr>
          <w:rFonts w:ascii="Verdana" w:eastAsia="Calibri" w:hAnsi="Verdana" w:cs="Arial"/>
          <w:b/>
          <w:color w:val="1A1A1A" w:themeColor="background1" w:themeShade="1A"/>
          <w:lang w:val="es-ES_tradnl"/>
        </w:rPr>
        <w:t>CONTRATOS DE COMODATO ─ Entidades públicas ─ ESAL</w:t>
      </w:r>
      <w:r w:rsidRPr="0000755E">
        <w:rPr>
          <w:rFonts w:ascii="Verdana" w:eastAsia="Verdana" w:hAnsi="Verdana" w:cs="Verdana"/>
          <w:b/>
        </w:rPr>
        <w:t xml:space="preserve"> </w:t>
      </w:r>
    </w:p>
    <w:p w14:paraId="13C6CC94" w14:textId="77777777" w:rsidR="00653AD3" w:rsidRPr="00981912" w:rsidRDefault="00653AD3" w:rsidP="00653AD3">
      <w:pPr>
        <w:spacing w:after="0" w:line="240" w:lineRule="auto"/>
        <w:jc w:val="both"/>
        <w:rPr>
          <w:rFonts w:ascii="Verdana" w:eastAsia="Aptos" w:hAnsi="Verdana" w:cs="Times New Roman"/>
          <w:sz w:val="20"/>
          <w:szCs w:val="20"/>
        </w:rPr>
      </w:pPr>
      <w:r w:rsidRPr="00981912">
        <w:rPr>
          <w:rFonts w:ascii="Verdana" w:eastAsia="Aptos" w:hAnsi="Verdana" w:cs="Times New Roman"/>
          <w:sz w:val="20"/>
          <w:szCs w:val="20"/>
        </w:rPr>
        <w:t xml:space="preserve">[…] i) 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por un término máximo de cinco (5) años, renovables, de acuerdo con el artículo 38 de la Ley 9 de 1989; ii) las entidades estatales pueden celebrar contratos de comodato de bienes muebles entre sí, de acuerdo con las reglas del Código Civil; iii) en virtud del artículo 355 de la Constitución Política, las entidades estatales pueden entregar en comodato sus bienes muebles a entidades privadas sin ánimo de lucro, y el tiempo de duración del contrato estará sujeto en todo caso a la actividad misional de la respectiva entidad estatal de acuerdo con lo previsto en el artículo 96 de la Ley 489 de 1998 y; </w:t>
      </w:r>
      <w:proofErr w:type="spellStart"/>
      <w:r w:rsidRPr="00981912">
        <w:rPr>
          <w:rFonts w:ascii="Verdana" w:eastAsia="Aptos" w:hAnsi="Verdana" w:cs="Times New Roman"/>
          <w:sz w:val="20"/>
          <w:szCs w:val="20"/>
        </w:rPr>
        <w:t>iv</w:t>
      </w:r>
      <w:proofErr w:type="spellEnd"/>
      <w:r w:rsidRPr="00981912">
        <w:rPr>
          <w:rFonts w:ascii="Verdana" w:eastAsia="Aptos" w:hAnsi="Verdana" w:cs="Times New Roman"/>
          <w:sz w:val="20"/>
          <w:szCs w:val="20"/>
        </w:rPr>
        <w:t xml:space="preserve">) las entidades estatales pueden celebrar contratos de comodato con privados, actuando en calidad de comodatarias, caso en el cual no tienen restricción normativa para celebrar este tipo de contratos, con fundamento en la autonomía de la voluntad que establece el artículo 32 de la Ley 80 de 1993, sin perjuicio del cumplimiento de los principios constitucionales aplicables a la función administrativa y los de la contratación estatal. En estos eventos, sin perjuicio de </w:t>
      </w:r>
      <w:r w:rsidRPr="00981912">
        <w:rPr>
          <w:rFonts w:ascii="Verdana" w:eastAsia="Aptos" w:hAnsi="Verdana" w:cs="Times New Roman"/>
          <w:sz w:val="20"/>
          <w:szCs w:val="20"/>
        </w:rPr>
        <w:lastRenderedPageBreak/>
        <w:t>las reglas especiales previstas en el EGCAP, el tipo contractual se rige por los artículos 2200 al 2220, dada la remisión expresa del artículo 13 de la Ley 80 de 1993 en cuanto al régimen aplicable a los contratos estatales.</w:t>
      </w:r>
    </w:p>
    <w:p w14:paraId="7C9A6976" w14:textId="713C981E" w:rsidR="00421DD2" w:rsidRPr="0000755E" w:rsidRDefault="00421DD2">
      <w:pPr>
        <w:rPr>
          <w:rFonts w:ascii="Verdana" w:eastAsia="Verdana" w:hAnsi="Verdana" w:cs="Verdana"/>
          <w:b/>
        </w:rPr>
      </w:pPr>
      <w:r w:rsidRPr="0000755E">
        <w:rPr>
          <w:rFonts w:ascii="Verdana" w:eastAsia="Verdana" w:hAnsi="Verdana" w:cs="Verdana"/>
          <w:b/>
        </w:rPr>
        <w:br w:type="page"/>
      </w:r>
    </w:p>
    <w:p w14:paraId="1468C46D" w14:textId="667DA11B" w:rsidR="00C15139" w:rsidRPr="0024624F" w:rsidRDefault="00921478" w:rsidP="008363F8">
      <w:pPr>
        <w:spacing w:after="0" w:line="240" w:lineRule="auto"/>
        <w:rPr>
          <w:rFonts w:ascii="Verdana" w:eastAsia="Verdana" w:hAnsi="Verdana" w:cs="Verdana"/>
        </w:rPr>
      </w:pPr>
      <w:r w:rsidRPr="00921478">
        <w:rPr>
          <w:rFonts w:ascii="Verdana" w:hAnsi="Verdana"/>
          <w:noProof/>
        </w:rPr>
        <w:lastRenderedPageBreak/>
        <w:drawing>
          <wp:anchor distT="0" distB="0" distL="114300" distR="114300" simplePos="0" relativeHeight="251659776" behindDoc="1" locked="0" layoutInCell="1" allowOverlap="1" wp14:anchorId="66FC998C" wp14:editId="575C72BA">
            <wp:simplePos x="0" y="0"/>
            <wp:positionH relativeFrom="column">
              <wp:posOffset>3232150</wp:posOffset>
            </wp:positionH>
            <wp:positionV relativeFrom="paragraph">
              <wp:posOffset>2540</wp:posOffset>
            </wp:positionV>
            <wp:extent cx="2306955" cy="633095"/>
            <wp:effectExtent l="0" t="0" r="0" b="0"/>
            <wp:wrapTight wrapText="bothSides">
              <wp:wrapPolygon edited="0">
                <wp:start x="0" y="0"/>
                <wp:lineTo x="0" y="20798"/>
                <wp:lineTo x="21404" y="20798"/>
                <wp:lineTo x="21404" y="0"/>
                <wp:lineTo x="0" y="0"/>
              </wp:wrapPolygon>
            </wp:wrapTight>
            <wp:docPr id="8507043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06955" cy="6330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139" w:rsidRPr="30821638">
        <w:rPr>
          <w:rFonts w:ascii="Verdana" w:eastAsia="Verdana" w:hAnsi="Verdana" w:cs="Verdana"/>
        </w:rPr>
        <w:t xml:space="preserve">Bogotá D.C., </w:t>
      </w:r>
      <w:r>
        <w:rPr>
          <w:rFonts w:ascii="Verdana" w:eastAsia="Verdana" w:hAnsi="Verdana" w:cs="Verdana"/>
        </w:rPr>
        <w:t>10 marzo 2026</w:t>
      </w:r>
      <w:r w:rsidR="00C15139" w:rsidRPr="008363F8">
        <w:rPr>
          <w:rFonts w:ascii="Verdana" w:hAnsi="Verdana"/>
        </w:rPr>
        <w:tab/>
      </w:r>
      <w:r w:rsidR="00C15139" w:rsidRPr="008363F8">
        <w:rPr>
          <w:rFonts w:ascii="Verdana" w:hAnsi="Verdana"/>
        </w:rPr>
        <w:br/>
      </w:r>
      <w:r w:rsidR="00C15139" w:rsidRPr="008363F8">
        <w:rPr>
          <w:rFonts w:ascii="Verdana" w:hAnsi="Verdana"/>
        </w:rPr>
        <w:tab/>
      </w:r>
    </w:p>
    <w:p w14:paraId="4EED72CF" w14:textId="15CAF695" w:rsidR="00C15139" w:rsidRDefault="00C15139" w:rsidP="008363F8">
      <w:pPr>
        <w:spacing w:after="0" w:line="240" w:lineRule="auto"/>
        <w:rPr>
          <w:rFonts w:ascii="Verdana" w:eastAsia="Verdana" w:hAnsi="Verdana" w:cs="Verdana"/>
          <w:lang w:val="es-MX"/>
        </w:rPr>
      </w:pPr>
      <w:r w:rsidRPr="30821638">
        <w:rPr>
          <w:rFonts w:ascii="Verdana" w:eastAsia="Verdana" w:hAnsi="Verdana" w:cs="Verdana"/>
          <w:lang w:val="es-MX"/>
        </w:rPr>
        <w:t>Señor</w:t>
      </w:r>
    </w:p>
    <w:p w14:paraId="3C8E1DC3" w14:textId="083A45E0" w:rsidR="00C44E30" w:rsidRPr="00ED0DA7" w:rsidRDefault="00550E96" w:rsidP="008363F8">
      <w:pPr>
        <w:spacing w:after="0" w:line="240" w:lineRule="auto"/>
        <w:rPr>
          <w:rFonts w:ascii="Verdana" w:eastAsia="Verdana" w:hAnsi="Verdana" w:cs="Verdana"/>
          <w:b/>
          <w:bCs/>
          <w:lang w:val="es-MX"/>
        </w:rPr>
      </w:pPr>
      <w:r w:rsidRPr="00ED0DA7">
        <w:rPr>
          <w:rFonts w:ascii="Verdana" w:eastAsia="Verdana" w:hAnsi="Verdana" w:cs="Verdana"/>
          <w:b/>
          <w:bCs/>
          <w:lang w:val="es-MX"/>
        </w:rPr>
        <w:t>David Fernando Pantoja Hidalgo</w:t>
      </w:r>
    </w:p>
    <w:p w14:paraId="4D49EEF0" w14:textId="1526C5B9" w:rsidR="00550E96" w:rsidRDefault="008A2B9E" w:rsidP="008363F8">
      <w:pPr>
        <w:spacing w:after="0" w:line="240" w:lineRule="auto"/>
        <w:rPr>
          <w:rFonts w:ascii="Verdana" w:eastAsia="Verdana" w:hAnsi="Verdana" w:cs="Verdana"/>
          <w:lang w:val="es-MX"/>
        </w:rPr>
      </w:pPr>
      <w:hyperlink r:id="rId12" w:history="1">
        <w:r w:rsidRPr="00F84DFE">
          <w:rPr>
            <w:rStyle w:val="Hipervnculo"/>
            <w:rFonts w:ascii="Verdana" w:eastAsia="Verdana" w:hAnsi="Verdana" w:cs="Verdana"/>
            <w:lang w:val="es-MX"/>
          </w:rPr>
          <w:t>davidfernandopantojahidalgo@gmail.com</w:t>
        </w:r>
      </w:hyperlink>
      <w:r>
        <w:rPr>
          <w:rFonts w:ascii="Verdana" w:eastAsia="Verdana" w:hAnsi="Verdana" w:cs="Verdana"/>
          <w:lang w:val="es-MX"/>
        </w:rPr>
        <w:t xml:space="preserve"> </w:t>
      </w:r>
    </w:p>
    <w:p w14:paraId="5C032FCE" w14:textId="49A5539B" w:rsidR="008A2B9E" w:rsidRDefault="00ED2680" w:rsidP="008363F8">
      <w:pPr>
        <w:spacing w:after="0" w:line="240" w:lineRule="auto"/>
        <w:rPr>
          <w:rFonts w:ascii="Verdana" w:eastAsia="Verdana" w:hAnsi="Verdana" w:cs="Verdana"/>
          <w:lang w:val="es-MX"/>
        </w:rPr>
      </w:pPr>
      <w:r>
        <w:rPr>
          <w:rFonts w:ascii="Verdana" w:eastAsia="Verdana" w:hAnsi="Verdana" w:cs="Verdana"/>
          <w:lang w:val="es-MX"/>
        </w:rPr>
        <w:t>Ciudad</w:t>
      </w:r>
    </w:p>
    <w:p w14:paraId="2E009EB3" w14:textId="77777777" w:rsidR="00ED2680" w:rsidRDefault="00ED2680" w:rsidP="008363F8">
      <w:pPr>
        <w:spacing w:after="0" w:line="240" w:lineRule="auto"/>
        <w:rPr>
          <w:rFonts w:ascii="Verdana" w:eastAsia="Verdana" w:hAnsi="Verdana" w:cs="Verdana"/>
          <w:lang w:val="es-MX"/>
        </w:rPr>
      </w:pPr>
    </w:p>
    <w:p w14:paraId="01C35253" w14:textId="77777777" w:rsidR="001D6F5D" w:rsidRPr="00981912" w:rsidRDefault="001D6F5D" w:rsidP="001D6F5D">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75"/>
        <w:gridCol w:w="6014"/>
      </w:tblGrid>
      <w:tr w:rsidR="001D6F5D" w:rsidRPr="00981912" w14:paraId="4286ED4D" w14:textId="77777777" w:rsidTr="008363F8">
        <w:trPr>
          <w:trHeight w:val="308"/>
        </w:trPr>
        <w:tc>
          <w:tcPr>
            <w:tcW w:w="2775" w:type="dxa"/>
          </w:tcPr>
          <w:p w14:paraId="3D39E400" w14:textId="77777777" w:rsidR="001D6F5D" w:rsidRPr="00981912" w:rsidRDefault="001D6F5D" w:rsidP="007119A0">
            <w:pPr>
              <w:jc w:val="both"/>
              <w:rPr>
                <w:rFonts w:ascii="Verdana" w:eastAsia="Calibri" w:hAnsi="Verdana" w:cs="Arial"/>
                <w:b/>
                <w:bCs/>
                <w:lang w:val="es-ES_tradnl" w:eastAsia="es-ES_tradnl"/>
              </w:rPr>
            </w:pPr>
          </w:p>
        </w:tc>
        <w:tc>
          <w:tcPr>
            <w:tcW w:w="6014" w:type="dxa"/>
          </w:tcPr>
          <w:p w14:paraId="23BFF567" w14:textId="77777777" w:rsidR="001D6F5D" w:rsidRDefault="001D6F5D" w:rsidP="0062667E">
            <w:pPr>
              <w:jc w:val="both"/>
              <w:rPr>
                <w:rFonts w:ascii="Verdana" w:eastAsia="Calibri" w:hAnsi="Verdana" w:cs="Arial"/>
                <w:b/>
                <w:bCs/>
                <w:lang w:val="es-ES" w:eastAsia="es-ES"/>
              </w:rPr>
            </w:pPr>
            <w:r w:rsidRPr="00981912">
              <w:rPr>
                <w:rFonts w:ascii="Verdana" w:eastAsia="Calibri" w:hAnsi="Verdana" w:cs="Arial"/>
                <w:b/>
                <w:bCs/>
                <w:lang w:val="es-ES" w:eastAsia="es-ES"/>
              </w:rPr>
              <w:t>Concepto C-</w:t>
            </w:r>
            <w:r w:rsidR="00867775">
              <w:rPr>
                <w:rFonts w:ascii="Verdana" w:eastAsia="Calibri" w:hAnsi="Verdana" w:cs="Arial"/>
                <w:b/>
                <w:bCs/>
                <w:lang w:val="es-ES" w:eastAsia="es-ES"/>
              </w:rPr>
              <w:t>257</w:t>
            </w:r>
            <w:r w:rsidR="00146C30">
              <w:rPr>
                <w:rFonts w:ascii="Verdana" w:eastAsia="Calibri" w:hAnsi="Verdana" w:cs="Arial"/>
                <w:b/>
                <w:bCs/>
                <w:lang w:val="es-ES" w:eastAsia="es-ES"/>
              </w:rPr>
              <w:t xml:space="preserve"> </w:t>
            </w:r>
            <w:r w:rsidRPr="00981912">
              <w:rPr>
                <w:rFonts w:ascii="Verdana" w:eastAsia="Calibri" w:hAnsi="Verdana" w:cs="Arial"/>
                <w:b/>
                <w:bCs/>
                <w:lang w:val="es-ES" w:eastAsia="es-ES"/>
              </w:rPr>
              <w:t>de 202</w:t>
            </w:r>
            <w:r w:rsidR="00867775">
              <w:rPr>
                <w:rFonts w:ascii="Verdana" w:eastAsia="Calibri" w:hAnsi="Verdana" w:cs="Arial"/>
                <w:b/>
                <w:bCs/>
                <w:lang w:val="es-ES" w:eastAsia="es-ES"/>
              </w:rPr>
              <w:t>6</w:t>
            </w:r>
          </w:p>
          <w:p w14:paraId="70ECABC7" w14:textId="46A7BF47" w:rsidR="001D6F5D" w:rsidRPr="00981912" w:rsidRDefault="001D6F5D" w:rsidP="007119A0">
            <w:pPr>
              <w:jc w:val="both"/>
              <w:rPr>
                <w:rFonts w:ascii="Verdana" w:eastAsia="Calibri" w:hAnsi="Verdana" w:cs="Arial"/>
                <w:b/>
                <w:bCs/>
                <w:lang w:val="es-ES" w:eastAsia="es-ES"/>
              </w:rPr>
            </w:pPr>
          </w:p>
        </w:tc>
      </w:tr>
      <w:tr w:rsidR="001D6F5D" w:rsidRPr="00B52642" w14:paraId="2326C3EC" w14:textId="77777777" w:rsidTr="007119A0">
        <w:trPr>
          <w:trHeight w:val="884"/>
        </w:trPr>
        <w:tc>
          <w:tcPr>
            <w:tcW w:w="2775" w:type="dxa"/>
          </w:tcPr>
          <w:p w14:paraId="4D4A6E20" w14:textId="77777777" w:rsidR="001D6F5D" w:rsidRPr="00981912" w:rsidRDefault="001D6F5D" w:rsidP="007119A0">
            <w:pPr>
              <w:jc w:val="both"/>
              <w:rPr>
                <w:rFonts w:ascii="Verdana" w:eastAsia="Calibri" w:hAnsi="Verdana" w:cs="Arial"/>
                <w:lang w:val="es-ES_tradnl" w:eastAsia="es-ES_tradnl"/>
              </w:rPr>
            </w:pPr>
            <w:r w:rsidRPr="00981912">
              <w:rPr>
                <w:rFonts w:ascii="Verdana" w:eastAsia="Calibri" w:hAnsi="Verdana" w:cs="Arial"/>
                <w:b/>
                <w:lang w:val="es-ES_tradnl" w:eastAsia="es-ES_tradnl"/>
              </w:rPr>
              <w:t>Temas:</w:t>
            </w:r>
            <w:r w:rsidRPr="00981912">
              <w:rPr>
                <w:rFonts w:ascii="Verdana" w:eastAsia="Calibri" w:hAnsi="Verdana" w:cs="Arial"/>
                <w:lang w:val="es-ES_tradnl" w:eastAsia="es-ES_tradnl"/>
              </w:rPr>
              <w:t xml:space="preserve">                   </w:t>
            </w:r>
          </w:p>
        </w:tc>
        <w:tc>
          <w:tcPr>
            <w:tcW w:w="6014" w:type="dxa"/>
          </w:tcPr>
          <w:p w14:paraId="321F8708" w14:textId="32F2CEED" w:rsidR="001D6F5D" w:rsidRPr="0062667E" w:rsidRDefault="00512128" w:rsidP="008363F8">
            <w:pPr>
              <w:jc w:val="both"/>
              <w:rPr>
                <w:rFonts w:ascii="Verdana" w:eastAsia="Calibri" w:hAnsi="Verdana" w:cs="Arial"/>
                <w:lang w:val="es-ES" w:eastAsia="es-ES"/>
              </w:rPr>
            </w:pPr>
            <w:r w:rsidRPr="008363F8">
              <w:rPr>
                <w:rFonts w:ascii="Verdana" w:eastAsia="Calibri" w:hAnsi="Verdana" w:cs="Arial"/>
                <w:bCs/>
                <w:color w:val="1A1A1A" w:themeColor="background1" w:themeShade="1A"/>
                <w:lang w:val="es-ES_tradnl"/>
              </w:rPr>
              <w:t xml:space="preserve">LEY DE GARANTÍAS ELECTORALES ─ Definición ─ Finalidad ─ Restricciones ─ Destinatarios / LEY DE GARANTÍAS ELECTORALES ─ Prohibición ─ Contratación Directa ─ Alcance ─ Excepciones / </w:t>
            </w:r>
            <w:r w:rsidR="0062667E" w:rsidRPr="0062667E">
              <w:rPr>
                <w:rFonts w:ascii="Verdana" w:hAnsi="Verdana" w:cs="Arial"/>
                <w:lang w:val="es-MX" w:eastAsia="es-ES_tradnl"/>
              </w:rPr>
              <w:t>CONVENIOS INTERADMINISTRATIVOS – Criterio orgánico /</w:t>
            </w:r>
            <w:r w:rsidR="0062667E" w:rsidRPr="0062667E">
              <w:rPr>
                <w:rFonts w:ascii="Verdana" w:hAnsi="Verdana"/>
              </w:rPr>
              <w:t xml:space="preserve"> </w:t>
            </w:r>
            <w:r w:rsidR="0062667E" w:rsidRPr="0062667E">
              <w:rPr>
                <w:rFonts w:ascii="Verdana" w:hAnsi="Verdana" w:cs="Arial"/>
                <w:lang w:val="es-MX" w:eastAsia="es-ES_tradnl"/>
              </w:rPr>
              <w:t>CONTRATOS Y CONVENIOS INTERADMINISTRATIVOS – Auto de suspensión /</w:t>
            </w:r>
            <w:r w:rsidRPr="008363F8">
              <w:rPr>
                <w:rFonts w:ascii="Verdana" w:eastAsia="Calibri" w:hAnsi="Verdana" w:cs="Arial"/>
                <w:bCs/>
                <w:color w:val="1A1A1A" w:themeColor="background1" w:themeShade="1A"/>
                <w:lang w:val="es-ES_tradnl"/>
              </w:rPr>
              <w:t xml:space="preserve"> CONTRATOS DE COMODATO ─ Entidades públicas ─ ESAL</w:t>
            </w:r>
          </w:p>
          <w:p w14:paraId="44BD099E" w14:textId="77777777" w:rsidR="001D6F5D" w:rsidRPr="00347408" w:rsidRDefault="001D6F5D" w:rsidP="008363F8">
            <w:pPr>
              <w:jc w:val="both"/>
              <w:rPr>
                <w:rFonts w:ascii="Verdana" w:eastAsia="Calibri" w:hAnsi="Verdana" w:cs="Arial"/>
                <w:lang w:val="es-ES" w:eastAsia="es-ES"/>
              </w:rPr>
            </w:pPr>
          </w:p>
        </w:tc>
      </w:tr>
      <w:tr w:rsidR="001D6F5D" w:rsidRPr="00B52642" w14:paraId="19AF1A4A" w14:textId="77777777" w:rsidTr="007119A0">
        <w:tc>
          <w:tcPr>
            <w:tcW w:w="2775" w:type="dxa"/>
          </w:tcPr>
          <w:p w14:paraId="21370030" w14:textId="77777777" w:rsidR="001D6F5D" w:rsidRPr="00B52642" w:rsidRDefault="001D6F5D" w:rsidP="007119A0">
            <w:pPr>
              <w:jc w:val="both"/>
              <w:rPr>
                <w:rFonts w:ascii="Verdana" w:eastAsia="Calibri" w:hAnsi="Verdana" w:cs="Arial"/>
                <w:b/>
                <w:lang w:val="es-ES_tradnl" w:eastAsia="es-ES_tradnl"/>
              </w:rPr>
            </w:pPr>
            <w:r w:rsidRPr="00B52642">
              <w:rPr>
                <w:rFonts w:ascii="Verdana" w:eastAsia="Calibri" w:hAnsi="Verdana" w:cs="Arial"/>
                <w:b/>
                <w:lang w:val="es-ES_tradnl" w:eastAsia="es-ES_tradnl"/>
              </w:rPr>
              <w:t>Radicación:</w:t>
            </w:r>
            <w:r w:rsidRPr="00B52642">
              <w:rPr>
                <w:rFonts w:ascii="Verdana" w:eastAsia="Calibri" w:hAnsi="Verdana" w:cs="Arial"/>
                <w:lang w:val="es-ES_tradnl" w:eastAsia="es-ES_tradnl"/>
              </w:rPr>
              <w:t xml:space="preserve">               </w:t>
            </w:r>
          </w:p>
        </w:tc>
        <w:tc>
          <w:tcPr>
            <w:tcW w:w="6014" w:type="dxa"/>
          </w:tcPr>
          <w:p w14:paraId="560F07E7" w14:textId="4963030D" w:rsidR="001D6F5D" w:rsidRPr="00B52642" w:rsidRDefault="001D6F5D" w:rsidP="007119A0">
            <w:pPr>
              <w:jc w:val="both"/>
              <w:rPr>
                <w:rFonts w:ascii="Verdana" w:eastAsia="Calibri" w:hAnsi="Verdana" w:cs="Arial"/>
                <w:lang w:val="es-ES_tradnl" w:eastAsia="es-ES_tradnl"/>
              </w:rPr>
            </w:pPr>
            <w:r w:rsidRPr="00B52642">
              <w:rPr>
                <w:rFonts w:ascii="Verdana" w:eastAsia="Calibri" w:hAnsi="Verdana" w:cs="Arial"/>
                <w:lang w:val="es-ES_tradnl" w:eastAsia="es-ES_tradnl"/>
              </w:rPr>
              <w:t xml:space="preserve">Respuesta a consulta con radicado </w:t>
            </w:r>
            <w:r w:rsidR="00867775" w:rsidRPr="00B52642">
              <w:rPr>
                <w:rFonts w:ascii="Verdana" w:eastAsia="Calibri" w:hAnsi="Verdana" w:cs="Arial"/>
                <w:lang w:val="es-ES_tradnl" w:eastAsia="es-ES_tradnl"/>
              </w:rPr>
              <w:t>No. 1</w:t>
            </w:r>
            <w:r w:rsidR="00ED0DA7" w:rsidRPr="00ED0DA7">
              <w:rPr>
                <w:rFonts w:ascii="Verdana" w:eastAsia="Calibri" w:hAnsi="Verdana" w:cs="Arial"/>
                <w:lang w:val="es-ES_tradnl" w:eastAsia="es-ES_tradnl"/>
              </w:rPr>
              <w:t>_2026_02_18_002191</w:t>
            </w:r>
          </w:p>
        </w:tc>
      </w:tr>
    </w:tbl>
    <w:p w14:paraId="6D90358A" w14:textId="77777777" w:rsidR="001D6F5D" w:rsidRPr="00B52642" w:rsidRDefault="001D6F5D" w:rsidP="001D6F5D">
      <w:pPr>
        <w:spacing w:after="0" w:line="240" w:lineRule="auto"/>
        <w:jc w:val="both"/>
        <w:rPr>
          <w:rFonts w:ascii="Verdana" w:eastAsia="Calibri" w:hAnsi="Verdana" w:cs="Arial"/>
          <w:lang w:val="es-ES_tradnl" w:eastAsia="es-ES_tradnl"/>
        </w:rPr>
      </w:pPr>
    </w:p>
    <w:p w14:paraId="5062D2DD" w14:textId="77777777" w:rsidR="001D6F5D" w:rsidRPr="00B52642" w:rsidRDefault="001D6F5D" w:rsidP="001D6F5D">
      <w:pPr>
        <w:spacing w:after="0" w:line="240" w:lineRule="auto"/>
        <w:jc w:val="both"/>
        <w:rPr>
          <w:rFonts w:ascii="Verdana" w:eastAsia="Calibri" w:hAnsi="Verdana" w:cs="Arial"/>
          <w:lang w:val="es-ES_tradnl" w:eastAsia="es-ES_tradnl"/>
        </w:rPr>
      </w:pPr>
    </w:p>
    <w:p w14:paraId="7A403921" w14:textId="5B2719FC" w:rsidR="001D6F5D" w:rsidRPr="00B52642" w:rsidRDefault="001D6F5D" w:rsidP="001D6F5D">
      <w:pPr>
        <w:spacing w:after="0" w:line="276" w:lineRule="auto"/>
        <w:jc w:val="both"/>
        <w:rPr>
          <w:rFonts w:ascii="Verdana" w:eastAsia="Calibri" w:hAnsi="Verdana" w:cs="Arial"/>
          <w:lang w:val="es-ES" w:eastAsia="es-ES"/>
        </w:rPr>
      </w:pPr>
      <w:r w:rsidRPr="00B52642">
        <w:rPr>
          <w:rFonts w:ascii="Verdana" w:eastAsia="Calibri" w:hAnsi="Verdana" w:cs="Arial"/>
          <w:lang w:val="es-ES" w:eastAsia="es-ES"/>
        </w:rPr>
        <w:t>Estimad</w:t>
      </w:r>
      <w:r>
        <w:rPr>
          <w:rFonts w:ascii="Verdana" w:eastAsia="Calibri" w:hAnsi="Verdana" w:cs="Arial"/>
          <w:lang w:val="es-ES" w:eastAsia="es-ES"/>
        </w:rPr>
        <w:t>o señor Pantoja</w:t>
      </w:r>
      <w:r w:rsidRPr="00B52642">
        <w:rPr>
          <w:rFonts w:ascii="Verdana" w:eastAsia="Calibri" w:hAnsi="Verdana" w:cs="Arial"/>
          <w:lang w:val="es-ES" w:eastAsia="es-ES"/>
        </w:rPr>
        <w:t xml:space="preserve">: </w:t>
      </w:r>
    </w:p>
    <w:p w14:paraId="0CDCA6D2" w14:textId="77777777" w:rsidR="001D6F5D" w:rsidRPr="00B52642" w:rsidRDefault="001D6F5D" w:rsidP="001D6F5D">
      <w:pPr>
        <w:tabs>
          <w:tab w:val="left" w:pos="3768"/>
        </w:tabs>
        <w:spacing w:after="0" w:line="276" w:lineRule="auto"/>
        <w:jc w:val="both"/>
        <w:rPr>
          <w:rFonts w:ascii="Verdana" w:eastAsia="Calibri" w:hAnsi="Verdana" w:cs="Arial"/>
          <w:lang w:val="es-ES" w:eastAsia="es-ES"/>
        </w:rPr>
      </w:pPr>
    </w:p>
    <w:p w14:paraId="07F87546" w14:textId="5F79289F" w:rsidR="001D6F5D" w:rsidRDefault="001D6F5D" w:rsidP="001D6F5D">
      <w:pPr>
        <w:spacing w:after="0" w:line="276" w:lineRule="auto"/>
        <w:jc w:val="both"/>
        <w:rPr>
          <w:rFonts w:ascii="Verdana" w:eastAsia="Calibri" w:hAnsi="Verdana" w:cs="Arial"/>
          <w:lang w:val="es-ES" w:eastAsia="es-ES"/>
        </w:rPr>
      </w:pPr>
      <w:r w:rsidRPr="00B52642">
        <w:rPr>
          <w:rFonts w:ascii="Verdana" w:eastAsia="Calibri" w:hAnsi="Verdana" w:cs="Arial"/>
          <w:lang w:val="es-ES" w:eastAsia="es-ES"/>
        </w:rPr>
        <w:t>En ejercicio de la competencia otorgada por los artículos 3, numeral 5º, y 11, numeral 8º, del Decreto Ley 4170 de 2011,</w:t>
      </w:r>
      <w:r w:rsidRPr="00B52642">
        <w:rPr>
          <w:rFonts w:ascii="Verdana" w:eastAsia="Arial MT" w:hAnsi="Verdana" w:cs="Arial MT"/>
          <w:lang w:val="es-ES" w:eastAsia="es-ES"/>
        </w:rPr>
        <w:t xml:space="preserve"> </w:t>
      </w:r>
      <w:r w:rsidRPr="00B52642">
        <w:rPr>
          <w:rFonts w:ascii="Verdana" w:eastAsia="Aptos" w:hAnsi="Verdana" w:cs="Arial"/>
        </w:rPr>
        <w:t xml:space="preserve">así como lo establecido en el artículo 4 de la Resolución 1707 de 2018 expedida por esta Entidad, </w:t>
      </w:r>
      <w:r w:rsidRPr="00B52642">
        <w:rPr>
          <w:rFonts w:ascii="Verdana" w:eastAsia="Calibri" w:hAnsi="Verdana" w:cs="Arial"/>
          <w:lang w:val="es-ES" w:eastAsia="es-ES"/>
        </w:rPr>
        <w:t xml:space="preserve">la Agencia Nacional de Contratación Pública – Colombia Compra Eficiente– responde su solicitud de petición de fecha del </w:t>
      </w:r>
      <w:r>
        <w:rPr>
          <w:rFonts w:ascii="Verdana" w:eastAsia="Calibri" w:hAnsi="Verdana" w:cs="Arial"/>
          <w:lang w:val="es-ES" w:eastAsia="es-ES"/>
        </w:rPr>
        <w:t>1</w:t>
      </w:r>
      <w:r w:rsidR="00ED0DA7">
        <w:rPr>
          <w:rFonts w:ascii="Verdana" w:eastAsia="Calibri" w:hAnsi="Verdana" w:cs="Arial"/>
          <w:lang w:val="es-ES" w:eastAsia="es-ES"/>
        </w:rPr>
        <w:t>8</w:t>
      </w:r>
      <w:r>
        <w:rPr>
          <w:rFonts w:ascii="Verdana" w:eastAsia="Calibri" w:hAnsi="Verdana" w:cs="Arial"/>
          <w:lang w:val="es-ES" w:eastAsia="es-ES"/>
        </w:rPr>
        <w:t xml:space="preserve"> de febrero de</w:t>
      </w:r>
      <w:r w:rsidRPr="00B52642">
        <w:rPr>
          <w:rFonts w:ascii="Verdana" w:eastAsia="Calibri" w:hAnsi="Verdana" w:cs="Arial"/>
          <w:lang w:val="es-ES" w:eastAsia="es-ES"/>
        </w:rPr>
        <w:t xml:space="preserve"> 202</w:t>
      </w:r>
      <w:r w:rsidR="00ED0DA7">
        <w:rPr>
          <w:rFonts w:ascii="Verdana" w:eastAsia="Calibri" w:hAnsi="Verdana" w:cs="Arial"/>
          <w:lang w:val="es-ES" w:eastAsia="es-ES"/>
        </w:rPr>
        <w:t>6</w:t>
      </w:r>
      <w:r w:rsidRPr="00B52642">
        <w:rPr>
          <w:rFonts w:ascii="Verdana" w:eastAsia="Calibri" w:hAnsi="Verdana" w:cs="Arial"/>
          <w:lang w:val="es-ES" w:eastAsia="es-ES"/>
        </w:rPr>
        <w:t>, en la que realiza la siguiente consulta:</w:t>
      </w:r>
    </w:p>
    <w:p w14:paraId="14913614" w14:textId="77777777" w:rsidR="00867775" w:rsidRDefault="00867775" w:rsidP="001D6F5D">
      <w:pPr>
        <w:spacing w:after="0" w:line="276" w:lineRule="auto"/>
        <w:jc w:val="both"/>
        <w:rPr>
          <w:rFonts w:ascii="Verdana" w:eastAsia="Calibri" w:hAnsi="Verdana" w:cs="Arial"/>
          <w:lang w:val="es-ES" w:eastAsia="es-ES"/>
        </w:rPr>
      </w:pPr>
    </w:p>
    <w:p w14:paraId="682D6613" w14:textId="3931DD14" w:rsidR="00867775" w:rsidRPr="00BC3889" w:rsidRDefault="000136EE" w:rsidP="00AB6915">
      <w:pPr>
        <w:spacing w:after="0" w:line="240" w:lineRule="auto"/>
        <w:ind w:left="709" w:right="709"/>
        <w:jc w:val="both"/>
        <w:rPr>
          <w:rFonts w:ascii="Verdana" w:eastAsia="Calibri" w:hAnsi="Verdana" w:cs="Arial"/>
          <w:sz w:val="21"/>
          <w:szCs w:val="21"/>
          <w:lang w:val="es-ES" w:eastAsia="es-ES"/>
        </w:rPr>
      </w:pPr>
      <w:r>
        <w:rPr>
          <w:rFonts w:ascii="Verdana" w:eastAsia="Calibri" w:hAnsi="Verdana" w:cs="Arial"/>
          <w:sz w:val="21"/>
          <w:szCs w:val="21"/>
          <w:lang w:val="es-ES" w:eastAsia="es-ES"/>
        </w:rPr>
        <w:t>“</w:t>
      </w:r>
      <w:r w:rsidR="009F02B5">
        <w:rPr>
          <w:rFonts w:ascii="Verdana" w:eastAsia="Calibri" w:hAnsi="Verdana" w:cs="Arial"/>
          <w:sz w:val="21"/>
          <w:szCs w:val="21"/>
          <w:lang w:val="es-ES" w:eastAsia="es-ES"/>
        </w:rPr>
        <w:t xml:space="preserve">[…] </w:t>
      </w:r>
      <w:r w:rsidR="00BC3889">
        <w:rPr>
          <w:rFonts w:ascii="Verdana" w:eastAsia="Calibri" w:hAnsi="Verdana" w:cs="Arial"/>
          <w:sz w:val="21"/>
          <w:szCs w:val="21"/>
          <w:lang w:val="es-ES" w:eastAsia="es-ES"/>
        </w:rPr>
        <w:t>¿</w:t>
      </w:r>
      <w:r w:rsidR="00502011">
        <w:rPr>
          <w:rFonts w:ascii="Verdana" w:eastAsia="Calibri" w:hAnsi="Verdana" w:cs="Arial"/>
          <w:sz w:val="21"/>
          <w:szCs w:val="21"/>
          <w:lang w:val="es-ES" w:eastAsia="es-ES"/>
        </w:rPr>
        <w:t xml:space="preserve">Los contratos de comodato entre Entidades Estatales en este caso de una gobernación y una asociación sin </w:t>
      </w:r>
      <w:r w:rsidR="003A796F">
        <w:rPr>
          <w:rFonts w:ascii="Verdana" w:eastAsia="Calibri" w:hAnsi="Verdana" w:cs="Arial"/>
          <w:sz w:val="21"/>
          <w:szCs w:val="21"/>
          <w:lang w:val="es-ES" w:eastAsia="es-ES"/>
        </w:rPr>
        <w:t>ánimo</w:t>
      </w:r>
      <w:r w:rsidR="00502011">
        <w:rPr>
          <w:rFonts w:ascii="Verdana" w:eastAsia="Calibri" w:hAnsi="Verdana" w:cs="Arial"/>
          <w:sz w:val="21"/>
          <w:szCs w:val="21"/>
          <w:lang w:val="es-ES" w:eastAsia="es-ES"/>
        </w:rPr>
        <w:t xml:space="preserve"> de l</w:t>
      </w:r>
      <w:r>
        <w:rPr>
          <w:rFonts w:ascii="Verdana" w:eastAsia="Calibri" w:hAnsi="Verdana" w:cs="Arial"/>
          <w:sz w:val="21"/>
          <w:szCs w:val="21"/>
          <w:lang w:val="es-ES" w:eastAsia="es-ES"/>
        </w:rPr>
        <w:t>ucro, se ven afectados por la aplicación de la Ley de Garantías?”</w:t>
      </w:r>
    </w:p>
    <w:p w14:paraId="61B7ADA2" w14:textId="77777777" w:rsidR="001D6F5D" w:rsidRDefault="001D6F5D" w:rsidP="00AB6915">
      <w:pPr>
        <w:spacing w:after="0" w:line="240" w:lineRule="auto"/>
        <w:ind w:left="709" w:right="709"/>
        <w:jc w:val="both"/>
        <w:rPr>
          <w:rFonts w:ascii="Verdana" w:eastAsia="Calibri" w:hAnsi="Verdana" w:cs="Arial"/>
          <w:lang w:val="es-ES" w:eastAsia="es-ES"/>
        </w:rPr>
      </w:pPr>
    </w:p>
    <w:p w14:paraId="4E5641F2" w14:textId="77777777" w:rsidR="00ED2680" w:rsidRPr="001D6F5D" w:rsidRDefault="00ED2680" w:rsidP="00C44E30">
      <w:pPr>
        <w:spacing w:after="0"/>
        <w:rPr>
          <w:rFonts w:ascii="Verdana" w:eastAsia="Verdana" w:hAnsi="Verdana" w:cs="Verdana"/>
          <w:lang w:val="es-ES"/>
        </w:rPr>
      </w:pPr>
    </w:p>
    <w:p w14:paraId="4C05D8E5" w14:textId="77777777" w:rsidR="00AB6915" w:rsidRPr="00B52642" w:rsidRDefault="00AB6915" w:rsidP="00AB6915">
      <w:pPr>
        <w:spacing w:after="120" w:line="276" w:lineRule="auto"/>
        <w:ind w:firstLine="709"/>
        <w:jc w:val="both"/>
        <w:rPr>
          <w:rFonts w:ascii="Verdana" w:eastAsia="Calibri" w:hAnsi="Verdana" w:cs="Arial"/>
          <w:szCs w:val="24"/>
          <w:lang w:val="es-ES_tradnl" w:eastAsia="es-ES_tradnl"/>
        </w:rPr>
      </w:pPr>
      <w:r w:rsidRPr="00B52642">
        <w:rPr>
          <w:rFonts w:ascii="Verdana" w:eastAsia="Calibri" w:hAnsi="Verdana" w:cs="Arial"/>
          <w:lang w:val="es-ES" w:eastAsia="es-ES"/>
        </w:rPr>
        <w:t xml:space="preserve">De manera preliminar, resulta necesario acotar que esta entidad solo tiene competencia para responder consultas sobre la aplicación de normas de carácter </w:t>
      </w:r>
      <w:r w:rsidRPr="00B52642">
        <w:rPr>
          <w:rFonts w:ascii="Verdana" w:eastAsia="Calibri" w:hAnsi="Verdana" w:cs="Arial"/>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75EB4F1" w14:textId="77777777" w:rsidR="00AB6915" w:rsidRPr="00B52642" w:rsidRDefault="00AB6915" w:rsidP="00AB6915">
      <w:pPr>
        <w:spacing w:after="0" w:line="276" w:lineRule="auto"/>
        <w:ind w:firstLine="709"/>
        <w:jc w:val="both"/>
        <w:rPr>
          <w:rFonts w:ascii="Verdana" w:eastAsia="Calibri" w:hAnsi="Verdana" w:cs="Arial"/>
          <w:lang w:val="es-ES" w:eastAsia="es-ES"/>
        </w:rPr>
      </w:pPr>
      <w:r w:rsidRPr="00B52642">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27503CAC" w14:textId="77777777" w:rsidR="00AB6915" w:rsidRPr="00B52642" w:rsidRDefault="00AB6915" w:rsidP="00AB6915">
      <w:pPr>
        <w:spacing w:after="0" w:line="276" w:lineRule="auto"/>
        <w:ind w:firstLine="709"/>
        <w:jc w:val="both"/>
        <w:rPr>
          <w:rFonts w:ascii="Verdana" w:eastAsia="Calibri" w:hAnsi="Verdana" w:cs="Arial"/>
          <w:lang w:val="es-ES" w:eastAsia="es-ES"/>
        </w:rPr>
      </w:pPr>
    </w:p>
    <w:p w14:paraId="4C345206" w14:textId="77777777" w:rsidR="00AB6915" w:rsidRPr="00B52642" w:rsidRDefault="00AB6915" w:rsidP="00AB6915">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B52642">
        <w:rPr>
          <w:rFonts w:ascii="Verdana" w:eastAsia="Arial" w:hAnsi="Verdana" w:cs="Arial"/>
          <w:b/>
          <w:bCs/>
          <w:lang w:val="es-ES"/>
        </w:rPr>
        <w:t>1. Problema planteado:</w:t>
      </w:r>
    </w:p>
    <w:p w14:paraId="0E3B8B39" w14:textId="77777777" w:rsidR="00AB6915" w:rsidRPr="00B52642" w:rsidRDefault="00AB6915" w:rsidP="00AB6915">
      <w:pPr>
        <w:tabs>
          <w:tab w:val="left" w:pos="426"/>
        </w:tabs>
        <w:spacing w:after="0" w:line="276" w:lineRule="auto"/>
        <w:jc w:val="both"/>
        <w:rPr>
          <w:rFonts w:ascii="Verdana" w:eastAsia="Century Gothic" w:hAnsi="Verdana" w:cs="Century Gothic"/>
          <w:lang w:val="es-ES"/>
        </w:rPr>
      </w:pPr>
    </w:p>
    <w:p w14:paraId="1D58B16C" w14:textId="458E1C75" w:rsidR="00AB6915" w:rsidRDefault="00AB6915" w:rsidP="00AB6915">
      <w:pPr>
        <w:spacing w:after="0" w:line="276" w:lineRule="auto"/>
        <w:jc w:val="both"/>
        <w:rPr>
          <w:rFonts w:ascii="Verdana" w:eastAsia="Century Gothic" w:hAnsi="Verdana" w:cs="Century Gothic"/>
        </w:rPr>
      </w:pPr>
      <w:r w:rsidRPr="00B52642">
        <w:rPr>
          <w:rFonts w:ascii="Verdana" w:eastAsia="Century Gothic" w:hAnsi="Verdana" w:cs="Century Gothic"/>
        </w:rPr>
        <w:t xml:space="preserve">De acuerdo con el contenido de su solicitud, le informamos que la misma será resuelta desde </w:t>
      </w:r>
      <w:r>
        <w:rPr>
          <w:rFonts w:ascii="Verdana" w:eastAsia="Century Gothic" w:hAnsi="Verdana" w:cs="Century Gothic"/>
        </w:rPr>
        <w:t>el siguiente interrogante</w:t>
      </w:r>
      <w:r w:rsidRPr="00B52642">
        <w:rPr>
          <w:rFonts w:ascii="Verdana" w:eastAsia="Century Gothic" w:hAnsi="Verdana" w:cs="Century Gothic"/>
        </w:rPr>
        <w:t xml:space="preserve">: </w:t>
      </w:r>
      <w:r w:rsidRPr="00E23EED">
        <w:rPr>
          <w:rFonts w:ascii="Verdana" w:eastAsia="Century Gothic" w:hAnsi="Verdana" w:cs="Century Gothic"/>
        </w:rPr>
        <w:t>¿</w:t>
      </w:r>
      <w:r w:rsidR="007B6C6A">
        <w:rPr>
          <w:rFonts w:ascii="Verdana" w:eastAsia="Century Gothic" w:hAnsi="Verdana" w:cs="Century Gothic"/>
        </w:rPr>
        <w:t xml:space="preserve">Los contratos de comodato entre una entidad y una ESAL se ven </w:t>
      </w:r>
      <w:r w:rsidR="00FE765D">
        <w:rPr>
          <w:rFonts w:ascii="Verdana" w:eastAsia="Century Gothic" w:hAnsi="Verdana" w:cs="Century Gothic"/>
        </w:rPr>
        <w:t>afectados por la aplicación de la Ley de Garantías?</w:t>
      </w:r>
    </w:p>
    <w:p w14:paraId="6E36E6F2" w14:textId="77777777" w:rsidR="000502BB" w:rsidRDefault="000502BB" w:rsidP="00AB6915">
      <w:pPr>
        <w:spacing w:after="0" w:line="276" w:lineRule="auto"/>
        <w:jc w:val="both"/>
        <w:rPr>
          <w:rFonts w:ascii="Verdana" w:eastAsia="Century Gothic" w:hAnsi="Verdana" w:cs="Century Gothic"/>
        </w:rPr>
      </w:pPr>
    </w:p>
    <w:p w14:paraId="76C99CB6" w14:textId="71F119BE" w:rsidR="000502BB" w:rsidRPr="000502BB" w:rsidRDefault="000502BB" w:rsidP="00AB6915">
      <w:pPr>
        <w:spacing w:after="0" w:line="276" w:lineRule="auto"/>
        <w:jc w:val="both"/>
        <w:rPr>
          <w:rFonts w:ascii="Verdana" w:eastAsia="Century Gothic" w:hAnsi="Verdana" w:cs="Century Gothic"/>
          <w:b/>
          <w:bCs/>
        </w:rPr>
      </w:pPr>
      <w:r w:rsidRPr="000502BB">
        <w:rPr>
          <w:rFonts w:ascii="Verdana" w:eastAsia="Century Gothic" w:hAnsi="Verdana" w:cs="Century Gothic"/>
          <w:b/>
          <w:bCs/>
        </w:rPr>
        <w:t xml:space="preserve">2. Respuesta: </w:t>
      </w:r>
    </w:p>
    <w:p w14:paraId="34D5A097" w14:textId="77777777" w:rsidR="00434F6E" w:rsidRDefault="00434F6E" w:rsidP="00AF46B4">
      <w:pPr>
        <w:pBdr>
          <w:top w:val="single" w:sz="4" w:space="1" w:color="auto"/>
          <w:left w:val="single" w:sz="4" w:space="4" w:color="auto"/>
          <w:bottom w:val="single" w:sz="4" w:space="1" w:color="auto"/>
          <w:right w:val="single" w:sz="4" w:space="4" w:color="auto"/>
        </w:pBdr>
        <w:spacing w:after="0" w:line="276" w:lineRule="auto"/>
        <w:jc w:val="both"/>
        <w:rPr>
          <w:rFonts w:ascii="Verdana" w:eastAsia="Century Gothic" w:hAnsi="Verdana" w:cs="Century Gothic"/>
          <w:b/>
          <w:bCs/>
        </w:rPr>
      </w:pPr>
    </w:p>
    <w:p w14:paraId="3977D96A" w14:textId="77777777" w:rsidR="00434F6E" w:rsidRPr="00593915" w:rsidRDefault="00434F6E" w:rsidP="00AF46B4">
      <w:pPr>
        <w:pBdr>
          <w:top w:val="single" w:sz="4" w:space="1" w:color="auto"/>
          <w:left w:val="single" w:sz="4" w:space="4" w:color="auto"/>
          <w:bottom w:val="single" w:sz="4" w:space="1" w:color="auto"/>
          <w:right w:val="single" w:sz="4" w:space="4" w:color="auto"/>
        </w:pBdr>
        <w:spacing w:after="120" w:line="276" w:lineRule="auto"/>
        <w:jc w:val="both"/>
        <w:rPr>
          <w:rFonts w:ascii="Verdana" w:eastAsia="Century Gothic" w:hAnsi="Verdana" w:cs="Century Gothic"/>
        </w:rPr>
      </w:pPr>
      <w:r w:rsidRPr="00593915">
        <w:rPr>
          <w:rFonts w:ascii="Verdana" w:eastAsia="Century Gothic" w:hAnsi="Verdana" w:cs="Century Gothic"/>
        </w:rPr>
        <w:t>Para dar respuesta al problema planteado, es importante mencionar que, el artículo 33 de la Ley 996 de 2005, prevé que: “durante los 4 cuatro meses anteriores a la elección presidencial y hasta la realización de la elección de segunda vuelta, si fuere el caso, queda prohibida la contratación directa por parte de todos los entes del Estado. 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5DC91DF" w14:textId="77777777" w:rsidR="00434F6E" w:rsidRPr="00593915" w:rsidRDefault="00434F6E" w:rsidP="00AF46B4">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Times New Roman" w:hAnsi="Verdana" w:cs="Arial"/>
          <w:lang w:eastAsia="es-CO"/>
        </w:rPr>
      </w:pPr>
      <w:r w:rsidRPr="00593915">
        <w:rPr>
          <w:rFonts w:ascii="Verdana" w:eastAsia="Times New Roman" w:hAnsi="Verdana" w:cs="Arial"/>
          <w:lang w:eastAsia="es-CO"/>
        </w:rPr>
        <w:lastRenderedPageBreak/>
        <w:t xml:space="preserve">Por su parte, el parágrafo del artículo 38 de la Ley 996 de 2005 prohíbe a los Alcaldes, Gobernadores, Secretarios, Gerentes y Directores de las entidades del orden municipal, departamental o distrital </w:t>
      </w:r>
      <w:r w:rsidRPr="00593915">
        <w:rPr>
          <w:rFonts w:ascii="Verdana" w:eastAsia="Times New Roman" w:hAnsi="Verdana" w:cs="Arial"/>
          <w:i/>
          <w:iCs/>
          <w:lang w:eastAsia="es-CO"/>
        </w:rPr>
        <w:t>celebrar convenios interadministrativos para la ejecución de recursos públicos</w:t>
      </w:r>
      <w:r w:rsidRPr="00593915">
        <w:rPr>
          <w:rFonts w:ascii="Verdana" w:eastAsia="Times New Roman" w:hAnsi="Verdana" w:cs="Arial"/>
          <w:lang w:eastAsia="es-CO"/>
        </w:rPr>
        <w:t xml:space="preserve">. En este sentido, si una o ambas partes de la relación contractual es una entidad de aquellas descritas en el parágrafo ibidem, no podrá celebrar tales convenios durante la aplicación de la Ley de Garantías Electorales, toda vez que la citada disposición hace referencia a dicha tipología contractual sin que el legislador hubiere contemplado un efecto extensivo a otra tipología. </w:t>
      </w:r>
    </w:p>
    <w:p w14:paraId="7B157C43" w14:textId="7932261C" w:rsidR="00434F6E" w:rsidRPr="00593915" w:rsidRDefault="00434F6E" w:rsidP="00AF46B4">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sidRPr="00593915">
        <w:rPr>
          <w:rFonts w:ascii="Verdana" w:eastAsia="Century Gothic" w:hAnsi="Verdana" w:cs="Century Gothic"/>
        </w:rPr>
        <w:t xml:space="preserve">Con base en lo anterior, cabe destacar que, a las Entidades Estatales les está restringido celebrar contratos de comodato en el periodo de aplicación de la Ley de Garantías, a través de contratación directa o por medio de la celebración de convenios interadministrativos celebrados entre </w:t>
      </w:r>
      <w:r w:rsidR="002E2234" w:rsidRPr="00593915">
        <w:rPr>
          <w:rFonts w:ascii="Verdana" w:eastAsia="Century Gothic" w:hAnsi="Verdana" w:cs="Century Gothic"/>
        </w:rPr>
        <w:t>entidades estatales</w:t>
      </w:r>
      <w:r w:rsidRPr="00593915">
        <w:rPr>
          <w:rFonts w:ascii="Verdana" w:eastAsia="Century Gothic" w:hAnsi="Verdana" w:cs="Century Gothic"/>
        </w:rPr>
        <w:t xml:space="preserve">. </w:t>
      </w:r>
      <w:r w:rsidR="0088315A" w:rsidRPr="00593915">
        <w:rPr>
          <w:rFonts w:ascii="Verdana" w:eastAsia="Century Gothic" w:hAnsi="Verdana" w:cs="Century Gothic"/>
        </w:rPr>
        <w:t>Tratando de contratos de comodato con ESAL</w:t>
      </w:r>
      <w:r w:rsidR="00593915" w:rsidRPr="00593915">
        <w:rPr>
          <w:rFonts w:ascii="Verdana" w:eastAsia="Century Gothic" w:hAnsi="Verdana" w:cs="Century Gothic"/>
        </w:rPr>
        <w:t>,</w:t>
      </w:r>
      <w:r w:rsidR="0088315A" w:rsidRPr="00593915">
        <w:rPr>
          <w:rFonts w:ascii="Verdana" w:eastAsia="Century Gothic" w:hAnsi="Verdana" w:cs="Century Gothic"/>
        </w:rPr>
        <w:t xml:space="preserve"> </w:t>
      </w:r>
      <w:r w:rsidR="00593915" w:rsidRPr="008363F8">
        <w:rPr>
          <w:rFonts w:ascii="Verdana" w:hAnsi="Verdana" w:cs="Arial"/>
          <w:color w:val="1A1A1A" w:themeColor="background1" w:themeShade="1A"/>
          <w:shd w:val="clear" w:color="auto" w:fill="FFFFFF"/>
          <w:lang w:val="es-ES_tradnl"/>
        </w:rPr>
        <w:t xml:space="preserve">en principio está prohibida </w:t>
      </w:r>
      <w:r w:rsidR="00593915" w:rsidRPr="008363F8">
        <w:rPr>
          <w:rFonts w:ascii="Verdana" w:hAnsi="Verdana" w:cs="Arial"/>
          <w:i/>
          <w:iCs/>
          <w:color w:val="1A1A1A" w:themeColor="background1" w:themeShade="1A"/>
          <w:shd w:val="clear" w:color="auto" w:fill="FFFFFF"/>
          <w:lang w:val="es-ES_tradnl"/>
        </w:rPr>
        <w:t>la contratación directa</w:t>
      </w:r>
      <w:r w:rsidR="00593915" w:rsidRPr="008363F8">
        <w:rPr>
          <w:rFonts w:ascii="Verdana" w:hAnsi="Verdana" w:cs="Arial"/>
          <w:color w:val="1A1A1A" w:themeColor="background1" w:themeShade="1A"/>
          <w:shd w:val="clear" w:color="auto" w:fill="FFFFFF"/>
          <w:lang w:val="es-ES_tradnl"/>
        </w:rPr>
        <w:t xml:space="preserve"> de los comodatos, salvo que se presenten los requisitos para celebrar, </w:t>
      </w:r>
      <w:r w:rsidR="00593915" w:rsidRPr="008363F8">
        <w:rPr>
          <w:rFonts w:ascii="Verdana" w:hAnsi="Verdana" w:cs="Arial"/>
          <w:i/>
          <w:iCs/>
          <w:color w:val="1A1A1A" w:themeColor="background1" w:themeShade="1A"/>
          <w:shd w:val="clear" w:color="auto" w:fill="FFFFFF"/>
          <w:lang w:val="es-ES_tradnl"/>
        </w:rPr>
        <w:t>de manera competitiva</w:t>
      </w:r>
      <w:r w:rsidR="00593915" w:rsidRPr="008363F8">
        <w:rPr>
          <w:rFonts w:ascii="Verdana" w:hAnsi="Verdana" w:cs="Arial"/>
          <w:color w:val="1A1A1A" w:themeColor="background1" w:themeShade="1A"/>
          <w:shd w:val="clear" w:color="auto" w:fill="FFFFFF"/>
          <w:lang w:val="es-ES_tradnl"/>
        </w:rPr>
        <w:t>, los convenios de interés público o de asociación regulados en el Decreto 092 de 2017 o que se configure alguna de las excepciones previstas en el artículo 33 de la Ley 996 de 2005.</w:t>
      </w:r>
    </w:p>
    <w:p w14:paraId="298626F5" w14:textId="77777777" w:rsidR="00434F6E" w:rsidRDefault="00434F6E" w:rsidP="00AF46B4">
      <w:pPr>
        <w:spacing w:after="0" w:line="276" w:lineRule="auto"/>
        <w:jc w:val="both"/>
        <w:rPr>
          <w:rFonts w:ascii="Verdana" w:eastAsia="Verdana" w:hAnsi="Verdana" w:cs="Verdana"/>
          <w:b/>
          <w:bCs/>
          <w:lang w:val="es-MX"/>
        </w:rPr>
      </w:pPr>
    </w:p>
    <w:p w14:paraId="7C9026E2" w14:textId="5EDEEF10" w:rsidR="002A0DD0" w:rsidRDefault="00325E04" w:rsidP="008363F8">
      <w:pPr>
        <w:spacing w:after="0" w:line="276" w:lineRule="auto"/>
        <w:jc w:val="both"/>
        <w:rPr>
          <w:rFonts w:ascii="Verdana" w:eastAsia="Verdana" w:hAnsi="Verdana" w:cs="Verdana"/>
          <w:b/>
          <w:bCs/>
          <w:lang w:val="es-MX"/>
        </w:rPr>
      </w:pPr>
      <w:r>
        <w:rPr>
          <w:rFonts w:ascii="Verdana" w:eastAsia="Verdana" w:hAnsi="Verdana" w:cs="Verdana"/>
          <w:b/>
          <w:bCs/>
          <w:lang w:val="es-MX"/>
        </w:rPr>
        <w:t xml:space="preserve">3. </w:t>
      </w:r>
      <w:r w:rsidR="00A05189">
        <w:rPr>
          <w:rFonts w:ascii="Verdana" w:eastAsia="Verdana" w:hAnsi="Verdana" w:cs="Verdana"/>
          <w:b/>
          <w:bCs/>
          <w:lang w:val="es-MX"/>
        </w:rPr>
        <w:t xml:space="preserve">Razones de la respuesta: </w:t>
      </w:r>
    </w:p>
    <w:p w14:paraId="7425CD00" w14:textId="77777777" w:rsidR="00A05189" w:rsidRDefault="00A05189" w:rsidP="008363F8">
      <w:pPr>
        <w:spacing w:after="0" w:line="276" w:lineRule="auto"/>
        <w:jc w:val="both"/>
        <w:rPr>
          <w:rFonts w:ascii="Verdana" w:eastAsia="Verdana" w:hAnsi="Verdana" w:cs="Verdana"/>
          <w:b/>
          <w:bCs/>
          <w:lang w:val="es-MX"/>
        </w:rPr>
      </w:pPr>
    </w:p>
    <w:p w14:paraId="2F4718E4" w14:textId="77777777" w:rsidR="00191F4A" w:rsidRDefault="00BC293A" w:rsidP="008363F8">
      <w:pPr>
        <w:spacing w:after="0" w:line="276" w:lineRule="auto"/>
        <w:jc w:val="both"/>
        <w:rPr>
          <w:rFonts w:ascii="Verdana" w:eastAsia="Verdana" w:hAnsi="Verdana" w:cs="Verdana"/>
          <w:lang w:val="es-MX"/>
        </w:rPr>
      </w:pPr>
      <w:r w:rsidRPr="00BC293A">
        <w:rPr>
          <w:rFonts w:ascii="Verdana" w:eastAsia="Verdana" w:hAnsi="Verdana" w:cs="Verdana"/>
          <w:lang w:val="es-MX"/>
        </w:rPr>
        <w:t xml:space="preserve">Lo anterior se sustenta en las siguientes consideraciones: </w:t>
      </w:r>
    </w:p>
    <w:p w14:paraId="68988F41" w14:textId="77777777" w:rsidR="00B36575" w:rsidRDefault="00B36575" w:rsidP="008363F8">
      <w:pPr>
        <w:spacing w:after="0" w:line="276" w:lineRule="auto"/>
        <w:jc w:val="both"/>
        <w:rPr>
          <w:rFonts w:ascii="Verdana" w:eastAsia="Calibri" w:hAnsi="Verdana" w:cs="Arial"/>
        </w:rPr>
      </w:pPr>
    </w:p>
    <w:p w14:paraId="721C03A2" w14:textId="643EB33F" w:rsidR="00880CAB" w:rsidRPr="00191F4A" w:rsidRDefault="001907CC" w:rsidP="008363F8">
      <w:pPr>
        <w:spacing w:after="120" w:line="276" w:lineRule="auto"/>
        <w:jc w:val="both"/>
        <w:rPr>
          <w:rFonts w:ascii="Verdana" w:eastAsia="Verdana" w:hAnsi="Verdana" w:cs="Verdana"/>
          <w:lang w:val="es-MX"/>
        </w:rPr>
      </w:pPr>
      <w:r>
        <w:rPr>
          <w:rFonts w:ascii="Verdana" w:eastAsia="Calibri" w:hAnsi="Verdana" w:cs="Arial"/>
        </w:rPr>
        <w:t xml:space="preserve">i) </w:t>
      </w:r>
      <w:r w:rsidR="00880CAB" w:rsidRPr="00FF007A">
        <w:rPr>
          <w:rFonts w:ascii="Verdana" w:eastAsia="Calibri" w:hAnsi="Verdana" w:cs="Arial"/>
        </w:rPr>
        <w:t xml:space="preserve">El ordenamiento jurídico colombiano contempla </w:t>
      </w:r>
      <w:r w:rsidR="000C26E7">
        <w:rPr>
          <w:rFonts w:ascii="Verdana" w:eastAsia="Calibri" w:hAnsi="Verdana" w:cs="Arial"/>
        </w:rPr>
        <w:t xml:space="preserve">diferentes </w:t>
      </w:r>
      <w:r w:rsidR="00880CAB" w:rsidRPr="00FF007A">
        <w:rPr>
          <w:rFonts w:ascii="Verdana" w:eastAsia="Calibri" w:hAnsi="Verdana" w:cs="Arial"/>
        </w:rPr>
        <w:t>medidas para evitar la obtención de beneficios personales en asuntos propios de la administración pública</w:t>
      </w:r>
      <w:r w:rsidR="00880CAB" w:rsidRPr="00FF007A">
        <w:rPr>
          <w:rFonts w:ascii="Verdana" w:eastAsia="Calibri" w:hAnsi="Verdana" w:cs="Arial"/>
          <w:i/>
        </w:rPr>
        <w:t xml:space="preserve">. </w:t>
      </w:r>
      <w:r w:rsidR="00880CAB" w:rsidRPr="00FF007A">
        <w:rPr>
          <w:rFonts w:ascii="Verdana" w:eastAsia="Calibri" w:hAnsi="Verdana" w:cs="Arial"/>
        </w:rPr>
        <w:t>Por ejemplo, el artículo 127 de la Constitución Política establece una prohibición contractual a los servidores públicos y, en cuanto a aspectos políticos, señala restricciones a ciertos empleados del Estado, incluso en época no electoral</w:t>
      </w:r>
      <w:r w:rsidR="00880CAB" w:rsidRPr="00FF007A">
        <w:rPr>
          <w:rFonts w:ascii="Verdana" w:hAnsi="Verdana"/>
          <w:vertAlign w:val="superscript"/>
        </w:rPr>
        <w:footnoteReference w:id="1"/>
      </w:r>
      <w:r w:rsidR="00880CAB" w:rsidRPr="00FF007A">
        <w:rPr>
          <w:rFonts w:ascii="Verdana" w:eastAsia="Calibri" w:hAnsi="Verdana" w:cs="Arial"/>
        </w:rPr>
        <w:t xml:space="preserve">. </w:t>
      </w:r>
    </w:p>
    <w:p w14:paraId="37C44F4B" w14:textId="77777777" w:rsidR="00880CAB" w:rsidRPr="00FF007A" w:rsidRDefault="00880CAB" w:rsidP="00220ED9">
      <w:pPr>
        <w:tabs>
          <w:tab w:val="left" w:pos="426"/>
        </w:tabs>
        <w:spacing w:after="120" w:line="276" w:lineRule="auto"/>
        <w:ind w:firstLine="709"/>
        <w:jc w:val="both"/>
        <w:rPr>
          <w:rFonts w:ascii="Verdana" w:eastAsia="Calibri" w:hAnsi="Verdana" w:cs="Arial"/>
        </w:rPr>
      </w:pPr>
      <w:r w:rsidRPr="00FF007A">
        <w:rPr>
          <w:rFonts w:ascii="Verdana" w:eastAsia="Times New Roman" w:hAnsi="Verdana" w:cs="Arial"/>
          <w:lang w:eastAsia="es-CO"/>
        </w:rPr>
        <w:lastRenderedPageBreak/>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F007A">
        <w:rPr>
          <w:rFonts w:ascii="Verdana" w:eastAsia="Times New Roman" w:hAnsi="Verdana" w:cs="Arial"/>
          <w:vertAlign w:val="superscript"/>
          <w:lang w:eastAsia="es-CO"/>
        </w:rPr>
        <w:footnoteReference w:id="2"/>
      </w:r>
      <w:r w:rsidRPr="00FF007A">
        <w:rPr>
          <w:rFonts w:ascii="Verdana" w:eastAsia="Times New Roman" w:hAnsi="Verdana" w:cs="Arial"/>
          <w:lang w:eastAsia="es-CO"/>
        </w:rPr>
        <w:t>. En esta medida, introduce limitaciones para realizar nombramientos, postulaciones, contrataciones o cualquier otro tipo de actividad que implique destinación de recursos públicos bajo el devenir propio de las Entidades Estatales.</w:t>
      </w:r>
      <w:r w:rsidRPr="00FF007A">
        <w:rPr>
          <w:rFonts w:ascii="Verdana" w:eastAsia="Calibri" w:hAnsi="Verdana" w:cs="Arial"/>
        </w:rPr>
        <w:t xml:space="preserve"> </w:t>
      </w:r>
    </w:p>
    <w:p w14:paraId="0122CA64" w14:textId="77777777" w:rsidR="00880CAB" w:rsidRPr="00FF007A" w:rsidRDefault="00880CAB" w:rsidP="008363F8">
      <w:pPr>
        <w:tabs>
          <w:tab w:val="left" w:pos="426"/>
        </w:tabs>
        <w:spacing w:after="0" w:line="276" w:lineRule="auto"/>
        <w:ind w:firstLine="709"/>
        <w:jc w:val="both"/>
        <w:rPr>
          <w:rFonts w:ascii="Verdana" w:eastAsia="Calibri" w:hAnsi="Verdana" w:cs="Arial"/>
        </w:rPr>
      </w:pPr>
      <w:r w:rsidRPr="00FF007A">
        <w:rPr>
          <w:rFonts w:ascii="Verdana" w:eastAsia="Times New Roman" w:hAnsi="Verdana" w:cs="Arial"/>
          <w:lang w:eastAsia="es-CO"/>
        </w:rPr>
        <w:t>En armonía con lo anterior, la Corte Constitucional ha abordado la definición de la Ley de Garantías Electorales. De esta manera, explica que tiene como propósito:</w:t>
      </w:r>
    </w:p>
    <w:p w14:paraId="2EBAFF26" w14:textId="77777777" w:rsidR="00880CAB" w:rsidRPr="00FF007A" w:rsidRDefault="00880CAB" w:rsidP="008363F8">
      <w:pPr>
        <w:spacing w:after="0" w:line="276" w:lineRule="auto"/>
        <w:ind w:right="709" w:firstLine="709"/>
        <w:jc w:val="both"/>
        <w:rPr>
          <w:rFonts w:ascii="Verdana" w:eastAsia="Times New Roman" w:hAnsi="Verdana" w:cs="Arial"/>
          <w:lang w:eastAsia="es-CO"/>
        </w:rPr>
      </w:pPr>
    </w:p>
    <w:p w14:paraId="56DB1DB6" w14:textId="77777777" w:rsidR="00880CAB" w:rsidRPr="008363F8" w:rsidRDefault="00880CAB" w:rsidP="00880CAB">
      <w:pPr>
        <w:spacing w:after="0" w:line="240" w:lineRule="auto"/>
        <w:ind w:left="709" w:right="709"/>
        <w:contextualSpacing/>
        <w:jc w:val="both"/>
        <w:rPr>
          <w:rFonts w:ascii="Verdana" w:eastAsia="Times New Roman" w:hAnsi="Verdana" w:cs="Arial"/>
          <w:sz w:val="20"/>
          <w:szCs w:val="20"/>
          <w:lang w:eastAsia="es-CO"/>
        </w:rPr>
      </w:pPr>
      <w:r w:rsidRPr="008363F8">
        <w:rPr>
          <w:rFonts w:ascii="Verdana" w:eastAsia="Times New Roman" w:hAnsi="Verdana" w:cs="Arial"/>
          <w:sz w:val="20"/>
          <w:szCs w:val="20"/>
          <w:lang w:eastAsia="es-CO"/>
        </w:rPr>
        <w:t>“[…] la definición de reglas claras que permitan acceder a los canales de expresión democrática de manera efectiva e igualitaria. El objetivo de una ley de garantías es definir esas reglas.</w:t>
      </w:r>
    </w:p>
    <w:p w14:paraId="2F0FAA58" w14:textId="77777777" w:rsidR="00880CAB" w:rsidRPr="008363F8" w:rsidRDefault="00880CAB" w:rsidP="00880CAB">
      <w:pPr>
        <w:spacing w:after="0" w:line="240" w:lineRule="auto"/>
        <w:ind w:left="709" w:right="709"/>
        <w:contextualSpacing/>
        <w:jc w:val="both"/>
        <w:rPr>
          <w:rFonts w:ascii="Verdana" w:eastAsia="Times New Roman" w:hAnsi="Verdana" w:cs="Arial"/>
          <w:sz w:val="20"/>
          <w:szCs w:val="20"/>
          <w:lang w:eastAsia="es-CO"/>
        </w:rPr>
      </w:pPr>
    </w:p>
    <w:p w14:paraId="0706BE40" w14:textId="77777777" w:rsidR="00880CAB" w:rsidRPr="008363F8" w:rsidRDefault="00880CAB" w:rsidP="00880CAB">
      <w:pPr>
        <w:spacing w:after="0" w:line="240" w:lineRule="auto"/>
        <w:ind w:left="709" w:right="709"/>
        <w:contextualSpacing/>
        <w:jc w:val="both"/>
        <w:rPr>
          <w:rFonts w:ascii="Verdana" w:eastAsia="Times New Roman" w:hAnsi="Verdana" w:cs="Arial"/>
          <w:sz w:val="20"/>
          <w:szCs w:val="20"/>
          <w:lang w:eastAsia="es-CO"/>
        </w:rPr>
      </w:pPr>
      <w:r w:rsidRPr="008363F8">
        <w:rPr>
          <w:rFonts w:ascii="Verdana" w:eastAsia="Times New Roman" w:hAnsi="Verdana" w:cs="Arial"/>
          <w:sz w:val="20"/>
          <w:szCs w:val="20"/>
          <w:lang w:eastAsia="es-CO"/>
        </w:rPr>
        <w:t xml:space="preserve">[…] </w:t>
      </w:r>
    </w:p>
    <w:p w14:paraId="28BD4D48" w14:textId="77777777" w:rsidR="00880CAB" w:rsidRPr="008363F8" w:rsidRDefault="00880CAB" w:rsidP="00880CAB">
      <w:pPr>
        <w:spacing w:after="0" w:line="240" w:lineRule="auto"/>
        <w:ind w:left="709" w:right="709"/>
        <w:contextualSpacing/>
        <w:jc w:val="both"/>
        <w:rPr>
          <w:rFonts w:ascii="Verdana" w:eastAsia="Times New Roman" w:hAnsi="Verdana" w:cs="Arial"/>
          <w:sz w:val="20"/>
          <w:szCs w:val="20"/>
          <w:lang w:eastAsia="es-CO"/>
        </w:rPr>
      </w:pPr>
    </w:p>
    <w:p w14:paraId="014A8732" w14:textId="77777777" w:rsidR="00880CAB" w:rsidRPr="008363F8" w:rsidRDefault="00880CAB" w:rsidP="00880CAB">
      <w:pPr>
        <w:spacing w:after="0" w:line="240" w:lineRule="auto"/>
        <w:ind w:left="709" w:right="709"/>
        <w:contextualSpacing/>
        <w:jc w:val="both"/>
        <w:rPr>
          <w:rFonts w:ascii="Verdana" w:eastAsia="Times New Roman" w:hAnsi="Verdana" w:cs="Arial"/>
          <w:sz w:val="20"/>
          <w:szCs w:val="20"/>
          <w:lang w:eastAsia="es-CO"/>
        </w:rPr>
      </w:pPr>
      <w:r w:rsidRPr="008363F8">
        <w:rPr>
          <w:rFonts w:ascii="Verdana" w:eastAsia="Times New Roman" w:hAnsi="Verdana" w:cs="Arial"/>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8363F8">
        <w:rPr>
          <w:rFonts w:ascii="Verdana" w:eastAsia="Calibri" w:hAnsi="Verdana" w:cs="Arial"/>
          <w:sz w:val="20"/>
          <w:szCs w:val="20"/>
          <w:vertAlign w:val="superscript"/>
        </w:rPr>
        <w:footnoteReference w:id="3"/>
      </w:r>
      <w:r w:rsidRPr="008363F8">
        <w:rPr>
          <w:rFonts w:ascii="Verdana" w:eastAsia="Times New Roman" w:hAnsi="Verdana" w:cs="Arial"/>
          <w:sz w:val="20"/>
          <w:szCs w:val="20"/>
          <w:lang w:eastAsia="es-CO"/>
        </w:rPr>
        <w:t>.</w:t>
      </w:r>
    </w:p>
    <w:p w14:paraId="233139F2" w14:textId="77777777" w:rsidR="00880CAB" w:rsidRPr="00FF007A" w:rsidRDefault="00880CAB" w:rsidP="00880CAB">
      <w:pPr>
        <w:spacing w:after="0" w:line="276" w:lineRule="auto"/>
        <w:ind w:firstLine="709"/>
        <w:jc w:val="both"/>
        <w:rPr>
          <w:rFonts w:ascii="Verdana" w:eastAsia="Times New Roman" w:hAnsi="Verdana" w:cs="Arial"/>
          <w:lang w:eastAsia="es-CO"/>
        </w:rPr>
      </w:pPr>
    </w:p>
    <w:p w14:paraId="3288B5E8" w14:textId="77777777" w:rsidR="00880CAB" w:rsidRPr="00FF007A" w:rsidRDefault="00880CAB" w:rsidP="00880CAB">
      <w:pPr>
        <w:spacing w:after="0" w:line="276" w:lineRule="auto"/>
        <w:ind w:firstLine="709"/>
        <w:jc w:val="both"/>
        <w:rPr>
          <w:rFonts w:ascii="Verdana" w:eastAsia="Times New Roman" w:hAnsi="Verdana" w:cs="Arial"/>
          <w:lang w:eastAsia="es-CO"/>
        </w:rPr>
      </w:pPr>
      <w:r w:rsidRPr="00FF007A">
        <w:rPr>
          <w:rFonts w:ascii="Verdana" w:eastAsia="Times New Roman" w:hAnsi="Verdana" w:cs="Arial"/>
          <w:lang w:eastAsia="es-CO"/>
        </w:rPr>
        <w:t xml:space="preserve">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w:t>
      </w:r>
      <w:r w:rsidRPr="00FF007A">
        <w:rPr>
          <w:rFonts w:ascii="Verdana" w:eastAsia="Times New Roman" w:hAnsi="Verdana" w:cs="Arial"/>
          <w:lang w:eastAsia="es-CO"/>
        </w:rPr>
        <w:lastRenderedPageBreak/>
        <w:t>normas prohibitivas, deben interpretarse restrictivamente. En efecto, la Sala de Consulta y Servicio Civil del Consejo de Estado, precisó:</w:t>
      </w:r>
    </w:p>
    <w:p w14:paraId="6897D9DB" w14:textId="77777777" w:rsidR="0078132A" w:rsidRDefault="0078132A" w:rsidP="00880CAB">
      <w:pPr>
        <w:spacing w:after="0" w:line="240" w:lineRule="auto"/>
        <w:ind w:left="709" w:right="709"/>
        <w:jc w:val="both"/>
        <w:rPr>
          <w:rFonts w:ascii="Verdana" w:eastAsia="Times New Roman" w:hAnsi="Verdana" w:cs="Arial"/>
          <w:sz w:val="21"/>
          <w:szCs w:val="21"/>
          <w:lang w:eastAsia="es-CO"/>
        </w:rPr>
      </w:pPr>
    </w:p>
    <w:p w14:paraId="33AD7FA7" w14:textId="517AA1A3" w:rsidR="00880CAB" w:rsidRPr="008363F8" w:rsidRDefault="00880CAB" w:rsidP="00880CAB">
      <w:pPr>
        <w:spacing w:after="0" w:line="240" w:lineRule="auto"/>
        <w:ind w:left="709" w:right="709"/>
        <w:jc w:val="both"/>
        <w:rPr>
          <w:rFonts w:ascii="Verdana" w:eastAsia="Times New Roman" w:hAnsi="Verdana" w:cs="Arial"/>
          <w:sz w:val="20"/>
          <w:szCs w:val="20"/>
          <w:lang w:eastAsia="es-CO"/>
        </w:rPr>
      </w:pPr>
      <w:r w:rsidRPr="008363F8">
        <w:rPr>
          <w:rFonts w:ascii="Verdana" w:eastAsia="Times New Roman" w:hAnsi="Verdana" w:cs="Arial"/>
          <w:sz w:val="20"/>
          <w:szCs w:val="20"/>
          <w:lang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207017C" w14:textId="77777777" w:rsidR="00880CAB" w:rsidRPr="008363F8" w:rsidRDefault="00880CAB" w:rsidP="00880CAB">
      <w:pPr>
        <w:spacing w:after="0" w:line="240" w:lineRule="auto"/>
        <w:ind w:right="709"/>
        <w:jc w:val="both"/>
        <w:rPr>
          <w:rFonts w:ascii="Verdana" w:eastAsia="Times New Roman" w:hAnsi="Verdana" w:cs="Arial"/>
          <w:sz w:val="20"/>
          <w:szCs w:val="20"/>
          <w:lang w:eastAsia="es-CO"/>
        </w:rPr>
      </w:pPr>
    </w:p>
    <w:p w14:paraId="01D0C765" w14:textId="77777777" w:rsidR="00880CAB" w:rsidRPr="008363F8" w:rsidRDefault="00880CAB" w:rsidP="00880CAB">
      <w:pPr>
        <w:spacing w:after="0" w:line="240" w:lineRule="auto"/>
        <w:ind w:left="709" w:right="709"/>
        <w:jc w:val="both"/>
        <w:rPr>
          <w:rFonts w:ascii="Verdana" w:eastAsia="Times New Roman" w:hAnsi="Verdana" w:cs="Arial"/>
          <w:sz w:val="20"/>
          <w:szCs w:val="20"/>
          <w:lang w:eastAsia="es-CO"/>
        </w:rPr>
      </w:pPr>
      <w:r w:rsidRPr="008363F8">
        <w:rPr>
          <w:rFonts w:ascii="Verdana" w:eastAsia="Times New Roman" w:hAnsi="Verdana" w:cs="Arial"/>
          <w:sz w:val="20"/>
          <w:szCs w:val="20"/>
          <w:lang w:eastAsia="es-CO"/>
        </w:rPr>
        <w:t>La jurisprudencia de la Corte Constitucional</w:t>
      </w:r>
      <w:r w:rsidRPr="008363F8">
        <w:rPr>
          <w:rFonts w:ascii="Verdana" w:eastAsia="Times New Roman" w:hAnsi="Verdana" w:cs="Arial"/>
          <w:sz w:val="20"/>
          <w:szCs w:val="20"/>
          <w:vertAlign w:val="superscript"/>
          <w:lang w:eastAsia="es-CO"/>
        </w:rPr>
        <w:footnoteReference w:id="4"/>
      </w:r>
      <w:r w:rsidRPr="008363F8">
        <w:rPr>
          <w:rFonts w:ascii="Verdana" w:eastAsia="Times New Roman" w:hAnsi="Verdana" w:cs="Arial"/>
          <w:sz w:val="20"/>
          <w:szCs w:val="20"/>
          <w:lang w:eastAsia="es-CO"/>
        </w:rPr>
        <w:t> y del Consejo de Estado</w:t>
      </w:r>
      <w:r w:rsidRPr="008363F8">
        <w:rPr>
          <w:rFonts w:ascii="Verdana" w:eastAsia="Times New Roman" w:hAnsi="Verdana" w:cs="Arial"/>
          <w:sz w:val="20"/>
          <w:szCs w:val="20"/>
          <w:vertAlign w:val="superscript"/>
          <w:lang w:eastAsia="es-CO"/>
        </w:rPr>
        <w:footnoteReference w:id="5"/>
      </w:r>
      <w:r w:rsidRPr="008363F8">
        <w:rPr>
          <w:rFonts w:ascii="Verdana" w:eastAsia="Times New Roman" w:hAnsi="Verdana" w:cs="Arial"/>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8363F8">
        <w:rPr>
          <w:rFonts w:ascii="Verdana" w:eastAsia="Times New Roman" w:hAnsi="Verdana" w:cs="Arial"/>
          <w:sz w:val="20"/>
          <w:szCs w:val="20"/>
          <w:vertAlign w:val="superscript"/>
          <w:lang w:eastAsia="es-CO"/>
        </w:rPr>
        <w:footnoteReference w:id="6"/>
      </w:r>
      <w:r w:rsidRPr="008363F8">
        <w:rPr>
          <w:rFonts w:ascii="Verdana" w:eastAsia="Times New Roman" w:hAnsi="Verdana" w:cs="Arial"/>
          <w:sz w:val="20"/>
          <w:szCs w:val="20"/>
          <w:lang w:eastAsia="es-CO"/>
        </w:rPr>
        <w:t>.</w:t>
      </w:r>
    </w:p>
    <w:p w14:paraId="417E1CE5" w14:textId="77777777" w:rsidR="00880CAB" w:rsidRPr="00FF007A" w:rsidRDefault="00880CAB" w:rsidP="00880CAB">
      <w:pPr>
        <w:spacing w:after="0" w:line="276" w:lineRule="auto"/>
        <w:jc w:val="both"/>
        <w:rPr>
          <w:rFonts w:ascii="Verdana" w:eastAsia="Calibri" w:hAnsi="Verdana" w:cs="Arial"/>
          <w:bCs/>
        </w:rPr>
      </w:pPr>
    </w:p>
    <w:p w14:paraId="1E2767AB" w14:textId="77777777" w:rsidR="00880CAB" w:rsidRDefault="00880CAB" w:rsidP="00220ED9">
      <w:pPr>
        <w:spacing w:after="120" w:line="276" w:lineRule="auto"/>
        <w:ind w:firstLine="709"/>
        <w:jc w:val="both"/>
        <w:rPr>
          <w:rFonts w:ascii="Verdana" w:eastAsia="Arial" w:hAnsi="Verdana" w:cs="Arial"/>
          <w:lang w:eastAsia="es-ES" w:bidi="es-ES"/>
        </w:rPr>
      </w:pPr>
      <w:r w:rsidRPr="00FF007A">
        <w:rPr>
          <w:rFonts w:ascii="Verdana" w:eastAsia="Times New Roman" w:hAnsi="Verdana" w:cs="Arial"/>
          <w:lang w:eastAsia="es-CO"/>
        </w:rPr>
        <w:t>De</w:t>
      </w:r>
      <w:r w:rsidRPr="00FF007A">
        <w:rPr>
          <w:rFonts w:ascii="Verdana" w:eastAsia="Arial" w:hAnsi="Verdana" w:cs="Arial"/>
          <w:lang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4973162E" w14:textId="15798422" w:rsidR="00880CAB" w:rsidRPr="00FF007A" w:rsidRDefault="00880CAB" w:rsidP="00191F4A">
      <w:pPr>
        <w:spacing w:after="120" w:line="276" w:lineRule="auto"/>
        <w:ind w:firstLine="708"/>
        <w:jc w:val="both"/>
        <w:rPr>
          <w:rFonts w:ascii="Verdana" w:eastAsia="Arial" w:hAnsi="Verdana" w:cs="Arial"/>
          <w:lang w:eastAsia="es-ES" w:bidi="es-ES"/>
        </w:rPr>
      </w:pPr>
      <w:r w:rsidRPr="00FF007A">
        <w:rPr>
          <w:rFonts w:ascii="Verdana" w:eastAsia="Arial" w:hAnsi="Verdana" w:cs="Arial"/>
          <w:lang w:eastAsia="es-ES" w:bidi="es-ES"/>
        </w:rPr>
        <w:t xml:space="preserve">Las restricciones consagradas en la Ley de Garantías </w:t>
      </w:r>
      <w:r w:rsidR="000147F9">
        <w:rPr>
          <w:rFonts w:ascii="Verdana" w:eastAsia="Arial" w:hAnsi="Verdana" w:cs="Arial"/>
          <w:lang w:eastAsia="es-ES" w:bidi="es-ES"/>
        </w:rPr>
        <w:t>Electorales</w:t>
      </w:r>
      <w:r w:rsidRPr="00FF007A">
        <w:rPr>
          <w:rFonts w:ascii="Verdana" w:eastAsia="Arial" w:hAnsi="Verdana" w:cs="Arial"/>
          <w:lang w:eastAsia="es-ES" w:bidi="es-ES"/>
        </w:rPr>
        <w:t xml:space="preserve"> se dirigen a dos (2) tipos de campañas electorales diferenciadas: las presidenciales y las </w:t>
      </w:r>
      <w:r w:rsidRPr="00FF007A">
        <w:rPr>
          <w:rFonts w:ascii="Verdana" w:eastAsia="Arial" w:hAnsi="Verdana" w:cs="Arial"/>
          <w:lang w:eastAsia="es-ES" w:bidi="es-ES"/>
        </w:rPr>
        <w:lastRenderedPageBreak/>
        <w:t>que se adelanten para la elección de los demás cargos de elección popular, tanto a nivel nacional como territorial.</w:t>
      </w:r>
    </w:p>
    <w:p w14:paraId="5F26B834" w14:textId="77777777" w:rsidR="00880CAB" w:rsidRPr="00FF007A" w:rsidRDefault="00880CAB" w:rsidP="00220ED9">
      <w:pPr>
        <w:spacing w:after="120" w:line="276" w:lineRule="auto"/>
        <w:ind w:firstLine="709"/>
        <w:jc w:val="both"/>
        <w:rPr>
          <w:rFonts w:ascii="Verdana" w:eastAsia="Calibri" w:hAnsi="Verdana" w:cs="Arial"/>
        </w:rPr>
      </w:pPr>
      <w:r w:rsidRPr="00FF007A">
        <w:rPr>
          <w:rFonts w:ascii="Verdana" w:eastAsia="Calibri" w:hAnsi="Verdana" w:cs="Arial"/>
        </w:rPr>
        <w:t xml:space="preserve">Por un lado, el </w:t>
      </w:r>
      <w:r w:rsidRPr="00FF007A">
        <w:rPr>
          <w:rFonts w:ascii="Verdana" w:eastAsia="Calibri" w:hAnsi="Verdana" w:cs="Arial"/>
          <w:i/>
          <w:iCs/>
        </w:rPr>
        <w:t xml:space="preserve">artículo 33 </w:t>
      </w:r>
      <w:r w:rsidRPr="00FF007A">
        <w:rPr>
          <w:rFonts w:ascii="Verdana" w:eastAsia="Calibri" w:hAnsi="Verdana" w:cs="Arial"/>
        </w:rPr>
        <w:t>de la Ley 996 de 2005 prohíbe “</w:t>
      </w:r>
      <w:r>
        <w:rPr>
          <w:rFonts w:ascii="Verdana" w:eastAsia="Calibri" w:hAnsi="Verdana" w:cs="Arial"/>
        </w:rPr>
        <w:t>(…)</w:t>
      </w:r>
      <w:r w:rsidRPr="00FF007A">
        <w:rPr>
          <w:rFonts w:ascii="Verdana" w:eastAsia="Calibri" w:hAnsi="Verdana" w:cs="Arial"/>
        </w:rPr>
        <w:t xml:space="preserve"> la contratación directa por parte de </w:t>
      </w:r>
      <w:r w:rsidRPr="00FF007A">
        <w:rPr>
          <w:rFonts w:ascii="Verdana" w:eastAsia="Calibri" w:hAnsi="Verdana" w:cs="Arial"/>
          <w:i/>
          <w:iCs/>
        </w:rPr>
        <w:t>todos los entes del Estado</w:t>
      </w:r>
      <w:r w:rsidRPr="00FF007A">
        <w:rPr>
          <w:rFonts w:ascii="Verdana" w:eastAsia="Calibri" w:hAnsi="Verdana" w:cs="Arial"/>
        </w:rPr>
        <w:t xml:space="preserve">” durante los cuatro (4) meses anteriores a las </w:t>
      </w:r>
      <w:r w:rsidRPr="00FF007A">
        <w:rPr>
          <w:rFonts w:ascii="Verdana" w:eastAsia="Calibri" w:hAnsi="Verdana" w:cs="Arial"/>
          <w:i/>
          <w:iCs/>
        </w:rPr>
        <w:t>elecciones presidenciales</w:t>
      </w:r>
      <w:r w:rsidRPr="00FF007A">
        <w:rPr>
          <w:rFonts w:ascii="Verdana" w:eastAsia="Calibri" w:hAnsi="Verdana" w:cs="Arial"/>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F007A">
        <w:rPr>
          <w:rFonts w:ascii="Verdana" w:eastAsia="Calibri" w:hAnsi="Verdana" w:cs="Arial"/>
          <w:vertAlign w:val="superscript"/>
        </w:rPr>
        <w:footnoteReference w:id="7"/>
      </w:r>
      <w:r w:rsidRPr="00FF007A">
        <w:rPr>
          <w:rFonts w:ascii="Verdana" w:eastAsia="Calibri" w:hAnsi="Verdana" w:cs="Arial"/>
        </w:rPr>
        <w:t>.</w:t>
      </w:r>
    </w:p>
    <w:p w14:paraId="067E268B" w14:textId="77777777" w:rsidR="00BF1CB3" w:rsidRDefault="00880CAB" w:rsidP="008363F8">
      <w:pPr>
        <w:widowControl w:val="0"/>
        <w:autoSpaceDE w:val="0"/>
        <w:autoSpaceDN w:val="0"/>
        <w:spacing w:after="120" w:line="276" w:lineRule="auto"/>
        <w:ind w:right="113" w:firstLine="709"/>
        <w:jc w:val="both"/>
        <w:rPr>
          <w:rFonts w:ascii="Verdana" w:eastAsia="Arial" w:hAnsi="Verdana" w:cs="Arial"/>
          <w:lang w:eastAsia="es-ES" w:bidi="es-ES"/>
        </w:rPr>
      </w:pPr>
      <w:r w:rsidRPr="00FF007A">
        <w:rPr>
          <w:rFonts w:ascii="Verdana" w:eastAsia="Calibri" w:hAnsi="Verdana" w:cs="Arial"/>
        </w:rPr>
        <w:t xml:space="preserve">Por otro lado, </w:t>
      </w:r>
      <w:r w:rsidRPr="00FF007A">
        <w:rPr>
          <w:rFonts w:ascii="Verdana" w:eastAsia="Calibri" w:hAnsi="Verdana" w:cs="Arial"/>
          <w:i/>
          <w:iCs/>
        </w:rPr>
        <w:t xml:space="preserve">el parágrafo del artículo 38 </w:t>
      </w:r>
      <w:r w:rsidRPr="00FF007A">
        <w:rPr>
          <w:rFonts w:ascii="Verdana" w:eastAsia="Calibri" w:hAnsi="Verdana" w:cs="Arial"/>
        </w:rPr>
        <w:t xml:space="preserve">de la Ley 996 de 2005 prevé una restricción, aplicable respecto de </w:t>
      </w:r>
      <w:r w:rsidRPr="00FF007A">
        <w:rPr>
          <w:rFonts w:ascii="Verdana" w:eastAsia="Calibri" w:hAnsi="Verdana" w:cs="Arial"/>
          <w:i/>
          <w:iCs/>
        </w:rPr>
        <w:t>cualquier tipo de contienda electoral</w:t>
      </w:r>
      <w:r w:rsidRPr="00FF007A">
        <w:rPr>
          <w:rFonts w:ascii="Verdana" w:eastAsia="Calibri" w:hAnsi="Verdana" w:cs="Arial"/>
        </w:rPr>
        <w:t>, que prohíbe a los gobernadores, alcaldes municipales o distritales, secretarios, gerentes y directores de entidades descentralizadas del orden municipal, departamental o distrital “</w:t>
      </w:r>
      <w:r>
        <w:rPr>
          <w:rFonts w:ascii="Verdana" w:eastAsia="Calibri" w:hAnsi="Verdana" w:cs="Arial"/>
        </w:rPr>
        <w:t xml:space="preserve">(…) </w:t>
      </w:r>
      <w:r w:rsidRPr="00FF007A">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F007A">
        <w:rPr>
          <w:rFonts w:ascii="Verdana" w:eastAsia="Calibri" w:hAnsi="Verdana" w:cs="Arial"/>
          <w:vertAlign w:val="superscript"/>
        </w:rPr>
        <w:footnoteReference w:id="8"/>
      </w:r>
      <w:r w:rsidRPr="00FF007A">
        <w:rPr>
          <w:rFonts w:ascii="Verdana" w:eastAsia="Calibri" w:hAnsi="Verdana" w:cs="Arial"/>
        </w:rPr>
        <w:t>.</w:t>
      </w:r>
      <w:r w:rsidRPr="00FF007A">
        <w:rPr>
          <w:rFonts w:ascii="Verdana" w:eastAsia="Arial" w:hAnsi="Verdana" w:cs="Arial"/>
          <w:lang w:eastAsia="es-ES" w:bidi="es-ES"/>
        </w:rPr>
        <w:t xml:space="preserve"> </w:t>
      </w:r>
    </w:p>
    <w:p w14:paraId="3DA732C6" w14:textId="350E73D3" w:rsidR="001907CC" w:rsidRPr="00E2397D" w:rsidRDefault="001907CC" w:rsidP="001907CC">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5253B0F7" w14:textId="77777777" w:rsidR="001907CC" w:rsidRPr="00E2397D" w:rsidRDefault="001907CC" w:rsidP="001907CC">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6FB8E82B" w14:textId="77777777" w:rsidR="001907CC" w:rsidRPr="00E2397D" w:rsidRDefault="001907CC" w:rsidP="001907CC">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w:t>
      </w:r>
      <w:r w:rsidRPr="00E2397D">
        <w:rPr>
          <w:rFonts w:ascii="Verdana" w:eastAsia="Arial" w:hAnsi="Verdana" w:cs="Arial"/>
          <w:sz w:val="20"/>
          <w:szCs w:val="20"/>
          <w:lang w:eastAsia="es-ES" w:bidi="es-ES"/>
        </w:rPr>
        <w:lastRenderedPageBreak/>
        <w:t>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9"/>
      </w:r>
    </w:p>
    <w:p w14:paraId="23AF9DCD" w14:textId="77777777" w:rsidR="001907CC" w:rsidRPr="00E2397D" w:rsidRDefault="001907CC" w:rsidP="001907CC">
      <w:pPr>
        <w:widowControl w:val="0"/>
        <w:autoSpaceDE w:val="0"/>
        <w:autoSpaceDN w:val="0"/>
        <w:spacing w:after="0" w:line="276" w:lineRule="auto"/>
        <w:rPr>
          <w:rFonts w:ascii="Verdana" w:eastAsia="Arial" w:hAnsi="Verdana" w:cs="Arial"/>
          <w:lang w:val="es-ES" w:eastAsia="es-ES" w:bidi="es-ES"/>
        </w:rPr>
      </w:pPr>
    </w:p>
    <w:p w14:paraId="234595C5" w14:textId="77777777" w:rsidR="001907CC" w:rsidRPr="00E2397D" w:rsidRDefault="001907CC" w:rsidP="001907CC">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3F8F674E" w14:textId="77777777" w:rsidR="001907CC" w:rsidRPr="00E2397D" w:rsidRDefault="001907CC" w:rsidP="001907CC">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w:t>
      </w:r>
      <w:r w:rsidRPr="00E2397D">
        <w:rPr>
          <w:rFonts w:ascii="Verdana" w:eastAsia="Arial" w:hAnsi="Verdana" w:cs="Arial"/>
          <w:lang w:val="es-ES" w:eastAsia="es-ES" w:bidi="es-ES"/>
        </w:rPr>
        <w:lastRenderedPageBreak/>
        <w:t>Presidente de la República, las autoridades allí mencionadas sólo deben aplicar las restricciones contenidas en el parágrafo del artículo 38.</w:t>
      </w:r>
    </w:p>
    <w:p w14:paraId="7B7AF2C6" w14:textId="77777777" w:rsidR="001907CC" w:rsidRDefault="001907CC" w:rsidP="001907CC">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313A610C" w14:textId="77777777" w:rsidR="001907CC" w:rsidRDefault="001907CC" w:rsidP="008363F8">
      <w:pPr>
        <w:spacing w:after="0" w:line="276" w:lineRule="auto"/>
        <w:jc w:val="both"/>
        <w:rPr>
          <w:rFonts w:ascii="Verdana" w:eastAsia="Times New Roman" w:hAnsi="Verdana" w:cs="Arial"/>
          <w:bCs/>
          <w:lang w:val="es-MX" w:eastAsia="es-CO"/>
        </w:rPr>
      </w:pPr>
    </w:p>
    <w:p w14:paraId="176BA5F9" w14:textId="4B3B5553" w:rsidR="00AA00F4" w:rsidRDefault="00BF1CB3" w:rsidP="008363F8">
      <w:pPr>
        <w:spacing w:after="120" w:line="276" w:lineRule="auto"/>
        <w:jc w:val="both"/>
        <w:rPr>
          <w:rFonts w:ascii="Verdana" w:eastAsia="Times New Roman" w:hAnsi="Verdana" w:cs="Arial"/>
          <w:bCs/>
          <w:lang w:eastAsia="es-CO"/>
        </w:rPr>
      </w:pPr>
      <w:r>
        <w:rPr>
          <w:rFonts w:ascii="Verdana" w:eastAsia="Times New Roman" w:hAnsi="Verdana" w:cs="Arial"/>
          <w:bCs/>
          <w:lang w:val="es-MX" w:eastAsia="es-CO"/>
        </w:rPr>
        <w:t xml:space="preserve">ii) </w:t>
      </w:r>
      <w:r w:rsidR="00AA00F4">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00AA00F4" w:rsidRPr="00116894">
        <w:rPr>
          <w:rFonts w:ascii="Verdana" w:eastAsia="Times New Roman" w:hAnsi="Verdana" w:cs="Arial"/>
          <w:bCs/>
          <w:lang w:val="es-MX" w:eastAsia="es-CO"/>
        </w:rPr>
        <w:t xml:space="preserve"> “</w:t>
      </w:r>
      <w:r w:rsidR="00AA00F4" w:rsidRPr="00116894">
        <w:rPr>
          <w:rFonts w:ascii="Verdana" w:eastAsia="Times New Roman" w:hAnsi="Verdana" w:cs="Arial"/>
          <w:bCs/>
          <w:lang w:eastAsia="es-CO"/>
        </w:rPr>
        <w:t>1. </w:t>
      </w:r>
      <w:r w:rsidR="00AA00F4" w:rsidRPr="00116894">
        <w:rPr>
          <w:rFonts w:ascii="Verdana" w:eastAsia="Times New Roman" w:hAnsi="Verdana" w:cs="Arial"/>
          <w:bCs/>
          <w:i/>
          <w:iCs/>
          <w:lang w:eastAsia="es-CO"/>
        </w:rPr>
        <w:t>Gral.</w:t>
      </w:r>
      <w:r w:rsidR="00AA00F4">
        <w:rPr>
          <w:rFonts w:ascii="Verdana" w:eastAsia="Times New Roman" w:hAnsi="Verdana" w:cs="Arial"/>
          <w:bCs/>
          <w:lang w:eastAsia="es-CO"/>
        </w:rPr>
        <w:t xml:space="preserve"> </w:t>
      </w:r>
      <w:r w:rsidR="00AA00F4" w:rsidRPr="00116894">
        <w:rPr>
          <w:rFonts w:ascii="Verdana" w:eastAsia="Times New Roman" w:hAnsi="Verdana" w:cs="Arial"/>
          <w:bCs/>
          <w:lang w:eastAsia="es-CO"/>
        </w:rPr>
        <w:t>Otorgar o firmar un contrato. 2</w:t>
      </w:r>
      <w:r w:rsidR="00AA00F4">
        <w:rPr>
          <w:rFonts w:ascii="Verdana" w:eastAsia="Times New Roman" w:hAnsi="Verdana" w:cs="Arial"/>
          <w:bCs/>
          <w:lang w:eastAsia="es-CO"/>
        </w:rPr>
        <w:t xml:space="preserve">. </w:t>
      </w:r>
      <w:proofErr w:type="spellStart"/>
      <w:r w:rsidR="00AA00F4" w:rsidRPr="00116894">
        <w:rPr>
          <w:rFonts w:ascii="Verdana" w:eastAsia="Times New Roman" w:hAnsi="Verdana" w:cs="Arial"/>
          <w:bCs/>
          <w:i/>
          <w:iCs/>
          <w:lang w:eastAsia="es-CO"/>
        </w:rPr>
        <w:t>Proc</w:t>
      </w:r>
      <w:proofErr w:type="spellEnd"/>
      <w:r w:rsidR="00AA00F4" w:rsidRPr="00116894">
        <w:rPr>
          <w:rFonts w:ascii="Verdana" w:eastAsia="Times New Roman" w:hAnsi="Verdana" w:cs="Arial"/>
          <w:bCs/>
          <w:i/>
          <w:iCs/>
          <w:lang w:eastAsia="es-CO"/>
        </w:rPr>
        <w:t>.</w:t>
      </w:r>
      <w:r w:rsidR="00AA00F4">
        <w:rPr>
          <w:rFonts w:ascii="Verdana" w:eastAsia="Times New Roman" w:hAnsi="Verdana" w:cs="Arial"/>
          <w:bCs/>
          <w:lang w:eastAsia="es-CO"/>
        </w:rPr>
        <w:t xml:space="preserve"> </w:t>
      </w:r>
      <w:r w:rsidR="00AA00F4" w:rsidRPr="00116894">
        <w:rPr>
          <w:rFonts w:ascii="Verdana" w:eastAsia="Times New Roman" w:hAnsi="Verdana" w:cs="Arial"/>
          <w:bCs/>
          <w:lang w:eastAsia="es-CO"/>
        </w:rPr>
        <w:t>Realizar los actos procesa</w:t>
      </w:r>
      <w:r w:rsidR="00AA00F4">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17CAFF47" w14:textId="77777777" w:rsidR="00AA00F4" w:rsidRDefault="00AA00F4" w:rsidP="00AA00F4">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xml:space="preserve">.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w:t>
      </w:r>
      <w:r w:rsidRPr="00447D82">
        <w:rPr>
          <w:rFonts w:ascii="Verdana" w:eastAsia="Times New Roman" w:hAnsi="Verdana" w:cs="Arial"/>
          <w:bCs/>
          <w:lang w:val="es-ES" w:eastAsia="es-CO"/>
        </w:rPr>
        <w:lastRenderedPageBreak/>
        <w:t>perfeccionan cuando se logre acuerdo sobre el objeto y la contraprestación y éste se eleve a escrito”.</w:t>
      </w:r>
      <w:r>
        <w:rPr>
          <w:rFonts w:ascii="Verdana" w:eastAsia="Times New Roman" w:hAnsi="Verdana" w:cs="Arial"/>
          <w:bCs/>
          <w:lang w:val="es-ES" w:eastAsia="es-CO"/>
        </w:rPr>
        <w:t xml:space="preserve"> </w:t>
      </w:r>
    </w:p>
    <w:p w14:paraId="61AFF4A6" w14:textId="77777777" w:rsidR="00AA00F4" w:rsidRDefault="00AA00F4" w:rsidP="00AA00F4">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36496470" w14:textId="33B66363" w:rsidR="00AA00F4" w:rsidRPr="00894384" w:rsidRDefault="00AA00F4" w:rsidP="008363F8">
      <w:pPr>
        <w:spacing w:after="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w:t>
      </w:r>
      <w:r w:rsidR="00887931">
        <w:rPr>
          <w:rFonts w:ascii="Verdana" w:eastAsia="Times New Roman" w:hAnsi="Verdana" w:cs="Arial"/>
          <w:bCs/>
          <w:lang w:val="es-MX" w:eastAsia="es-CO"/>
        </w:rPr>
        <w:t xml:space="preserve"> Electorales</w:t>
      </w:r>
      <w:r w:rsidRPr="00894384">
        <w:rPr>
          <w:rFonts w:ascii="Verdana" w:eastAsia="Times New Roman" w:hAnsi="Verdana" w:cs="Arial"/>
          <w:bCs/>
          <w:lang w:val="es-MX" w:eastAsia="es-CO"/>
        </w:rPr>
        <w:t>,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p>
    <w:p w14:paraId="6EE5FD14" w14:textId="4D61781B" w:rsidR="00AA00F4" w:rsidRPr="00191F4A" w:rsidRDefault="00AA00F4" w:rsidP="008363F8">
      <w:pPr>
        <w:spacing w:after="0" w:line="276" w:lineRule="auto"/>
        <w:jc w:val="both"/>
        <w:rPr>
          <w:rFonts w:ascii="Verdana" w:eastAsia="Arial" w:hAnsi="Verdana" w:cs="Arial"/>
          <w:lang w:val="es-ES" w:eastAsia="es-ES" w:bidi="es-ES"/>
        </w:rPr>
      </w:pPr>
      <w:r w:rsidRPr="0057193B">
        <w:rPr>
          <w:rFonts w:ascii="Verdana" w:eastAsia="Times New Roman" w:hAnsi="Verdana" w:cs="Arial"/>
          <w:bCs/>
          <w:lang w:val="es-MX" w:eastAsia="x-none"/>
        </w:rPr>
        <w:t xml:space="preserve">El ámbito material de la prohibición contenida en el artículo 33 de la </w:t>
      </w:r>
      <w:r w:rsidR="00E355C6" w:rsidRPr="00C739C1">
        <w:rPr>
          <w:rFonts w:ascii="Verdana" w:eastAsia="Times New Roman" w:hAnsi="Verdana" w:cs="Arial"/>
          <w:bCs/>
          <w:lang w:val="es-MX" w:eastAsia="x-none"/>
        </w:rPr>
        <w:t>L</w:t>
      </w:r>
      <w:r w:rsidRPr="0057193B">
        <w:rPr>
          <w:rFonts w:ascii="Verdana" w:eastAsia="Times New Roman" w:hAnsi="Verdana" w:cs="Arial"/>
          <w:bCs/>
          <w:lang w:val="es-MX" w:eastAsia="x-none"/>
        </w:rPr>
        <w:t xml:space="preserve">ey 996 de 2005 está delimitado por la expresión </w:t>
      </w:r>
      <w:r w:rsidRPr="008363F8">
        <w:rPr>
          <w:rFonts w:ascii="Verdana" w:eastAsia="Calibri" w:hAnsi="Verdana" w:cs="Arial"/>
          <w:lang w:val="es-MX"/>
        </w:rPr>
        <w:t>“</w:t>
      </w:r>
      <w:r w:rsidRPr="0057193B">
        <w:rPr>
          <w:rFonts w:ascii="Verdana" w:eastAsia="Times New Roman" w:hAnsi="Verdana" w:cs="Arial"/>
          <w:bCs/>
          <w:lang w:val="es-MX" w:eastAsia="x-none"/>
        </w:rPr>
        <w:t>queda prohibida la contratación directa</w:t>
      </w:r>
      <w:r w:rsidRPr="008363F8">
        <w:rPr>
          <w:rFonts w:ascii="Verdana" w:eastAsia="Calibri" w:hAnsi="Verdana" w:cs="Arial"/>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082AEA45" w14:textId="77777777" w:rsidR="00AA00F4" w:rsidRPr="00D631B0" w:rsidRDefault="00AA00F4" w:rsidP="00AA00F4">
      <w:pPr>
        <w:spacing w:after="0" w:line="276" w:lineRule="auto"/>
        <w:ind w:left="708" w:right="709"/>
        <w:jc w:val="both"/>
        <w:rPr>
          <w:rFonts w:ascii="Verdana" w:eastAsia="Calibri" w:hAnsi="Verdana" w:cs="Arial"/>
          <w:lang w:val="es-MX"/>
        </w:rPr>
      </w:pPr>
    </w:p>
    <w:p w14:paraId="716A123C" w14:textId="77777777" w:rsidR="00AA00F4" w:rsidRPr="00BB5022" w:rsidRDefault="00AA00F4" w:rsidP="00C739C1">
      <w:pPr>
        <w:spacing w:after="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w:t>
      </w:r>
      <w:r w:rsidRPr="00BB5022">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BB5022">
        <w:rPr>
          <w:rFonts w:ascii="Verdana" w:eastAsia="Times New Roman" w:hAnsi="Verdana" w:cs="Arial"/>
          <w:sz w:val="20"/>
          <w:szCs w:val="20"/>
          <w:vertAlign w:val="superscript"/>
          <w:lang w:eastAsia="es-CO"/>
        </w:rPr>
        <w:footnoteReference w:id="11"/>
      </w:r>
      <w:r w:rsidRPr="00BB5022">
        <w:rPr>
          <w:rFonts w:ascii="Verdana" w:eastAsia="Calibri" w:hAnsi="Verdana" w:cs="Arial"/>
          <w:sz w:val="20"/>
          <w:szCs w:val="20"/>
          <w:lang w:val="es-MX"/>
        </w:rPr>
        <w:t>.</w:t>
      </w:r>
    </w:p>
    <w:p w14:paraId="5F5D81D9" w14:textId="77777777" w:rsidR="00C739C1" w:rsidRPr="00BB5022" w:rsidRDefault="00C739C1" w:rsidP="008363F8">
      <w:pPr>
        <w:spacing w:after="0" w:line="240" w:lineRule="auto"/>
        <w:ind w:left="709" w:right="709"/>
        <w:jc w:val="both"/>
        <w:rPr>
          <w:rFonts w:ascii="Verdana" w:eastAsia="Calibri" w:hAnsi="Verdana" w:cs="Arial"/>
          <w:sz w:val="20"/>
          <w:szCs w:val="20"/>
          <w:lang w:val="es-MX"/>
        </w:rPr>
      </w:pPr>
    </w:p>
    <w:p w14:paraId="0D4A7858" w14:textId="77777777" w:rsidR="00AA00F4" w:rsidRPr="00BB5022" w:rsidRDefault="00AA00F4" w:rsidP="008363F8">
      <w:pPr>
        <w:spacing w:after="0" w:line="240" w:lineRule="auto"/>
        <w:ind w:left="709" w:right="709"/>
        <w:jc w:val="both"/>
        <w:rPr>
          <w:rFonts w:ascii="Verdana" w:eastAsia="Calibri" w:hAnsi="Verdana" w:cs="Arial"/>
          <w:sz w:val="20"/>
          <w:szCs w:val="20"/>
          <w:lang w:val="es-MX"/>
        </w:rPr>
      </w:pPr>
      <w:r w:rsidRPr="00BB5022">
        <w:rPr>
          <w:rFonts w:ascii="Verdana" w:eastAsia="Calibri" w:hAnsi="Verdana" w:cs="Arial"/>
          <w:sz w:val="20"/>
          <w:szCs w:val="20"/>
          <w:lang w:val="es-MX"/>
        </w:rPr>
        <w:t xml:space="preserve">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w:t>
      </w:r>
      <w:r w:rsidRPr="00BB5022">
        <w:rPr>
          <w:rFonts w:ascii="Verdana" w:eastAsia="Calibri" w:hAnsi="Verdana" w:cs="Arial"/>
          <w:sz w:val="20"/>
          <w:szCs w:val="20"/>
          <w:lang w:val="es-MX"/>
        </w:rPr>
        <w:lastRenderedPageBreak/>
        <w:t>concurso</w:t>
      </w:r>
      <w:r w:rsidRPr="00BB5022">
        <w:rPr>
          <w:rFonts w:ascii="Verdana" w:eastAsia="Times New Roman" w:hAnsi="Verdana" w:cs="Arial"/>
          <w:sz w:val="20"/>
          <w:szCs w:val="20"/>
          <w:vertAlign w:val="superscript"/>
          <w:lang w:val="es-MX"/>
        </w:rPr>
        <w:footnoteReference w:id="12"/>
      </w:r>
      <w:r w:rsidRPr="00BB5022">
        <w:rPr>
          <w:rFonts w:ascii="Verdana" w:eastAsia="Times New Roman" w:hAnsi="Verdana" w:cs="Arial"/>
          <w:sz w:val="20"/>
          <w:szCs w:val="20"/>
          <w:vertAlign w:val="superscript"/>
          <w:lang w:val="es-MX"/>
        </w:rPr>
        <w:t>.</w:t>
      </w:r>
      <w:r w:rsidRPr="00BB5022">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0"/>
          <w:szCs w:val="20"/>
          <w:lang w:val="es-MX"/>
        </w:rPr>
        <w:t>”</w:t>
      </w:r>
      <w:r w:rsidRPr="00BB5022">
        <w:rPr>
          <w:rFonts w:ascii="Verdana" w:eastAsia="Times New Roman" w:hAnsi="Verdana" w:cs="Arial"/>
          <w:sz w:val="20"/>
          <w:szCs w:val="20"/>
          <w:vertAlign w:val="superscript"/>
          <w:lang w:eastAsia="es-CO"/>
        </w:rPr>
        <w:footnoteReference w:id="13"/>
      </w:r>
      <w:r w:rsidRPr="00BB5022">
        <w:rPr>
          <w:rFonts w:ascii="Verdana" w:eastAsia="Calibri" w:hAnsi="Verdana" w:cs="Arial"/>
          <w:sz w:val="20"/>
          <w:szCs w:val="20"/>
          <w:lang w:val="es-MX"/>
        </w:rPr>
        <w:t>.</w:t>
      </w:r>
    </w:p>
    <w:p w14:paraId="7CF774D9" w14:textId="77777777" w:rsidR="00AA00F4" w:rsidRPr="0057193B" w:rsidRDefault="00AA00F4" w:rsidP="00AA00F4">
      <w:pPr>
        <w:shd w:val="clear" w:color="auto" w:fill="FFFFFF"/>
        <w:spacing w:after="0" w:line="276" w:lineRule="auto"/>
        <w:ind w:firstLine="709"/>
        <w:jc w:val="both"/>
        <w:rPr>
          <w:rFonts w:ascii="Verdana" w:eastAsia="Times New Roman" w:hAnsi="Verdana" w:cs="Arial"/>
          <w:lang w:eastAsia="x-none"/>
        </w:rPr>
      </w:pPr>
    </w:p>
    <w:p w14:paraId="3C4AA178" w14:textId="77777777" w:rsidR="00AA00F4" w:rsidRPr="0057193B" w:rsidRDefault="00AA00F4" w:rsidP="00AA00F4">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sidRPr="008363F8">
        <w:rPr>
          <w:rFonts w:ascii="Verdana" w:eastAsia="Times New Roman" w:hAnsi="Verdana" w:cs="Arial"/>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4"/>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w:t>
      </w:r>
      <w:r w:rsidRPr="00C739C1">
        <w:rPr>
          <w:rFonts w:ascii="Verdana" w:eastAsia="Calibri" w:hAnsi="Verdana" w:cs="Arial"/>
          <w:lang w:eastAsia="x-none"/>
        </w:rPr>
        <w:t>además lo es con la posterior creación de la modalidad de mínima cuantía establecida actualmente en el numeral 5 del artículo 2 de la Ley 1150 de 2007, de acuerdo con las modificaciones realizadas por leyes posteriores.</w:t>
      </w:r>
    </w:p>
    <w:p w14:paraId="16213D28" w14:textId="77777777" w:rsidR="00AA00F4" w:rsidRPr="0057193B" w:rsidRDefault="00AA00F4" w:rsidP="00AA00F4">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sidRPr="008363F8">
        <w:rPr>
          <w:rFonts w:ascii="Verdana" w:eastAsia="Times New Roman" w:hAnsi="Verdana" w:cs="Arial"/>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1433E2BA" w14:textId="77777777" w:rsidR="00AA00F4" w:rsidRPr="0057193B" w:rsidRDefault="00AA00F4" w:rsidP="00AA00F4">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E</w:t>
      </w:r>
      <w:r w:rsidRPr="0057193B">
        <w:rPr>
          <w:rFonts w:ascii="Verdana" w:eastAsia="Times New Roman" w:hAnsi="Verdana" w:cs="Arial"/>
          <w:lang w:eastAsia="x-none"/>
        </w:rPr>
        <w:t xml:space="preserve">n efecto, vale la pena mencionar que, en algunos sistemas de contratación, utilizados por entidades públicas con regímenes especiales, o </w:t>
      </w:r>
      <w:r w:rsidRPr="0057193B">
        <w:rPr>
          <w:rFonts w:ascii="Verdana" w:eastAsia="Times New Roman" w:hAnsi="Verdana" w:cs="Arial"/>
          <w:lang w:eastAsia="x-none"/>
        </w:rPr>
        <w:lastRenderedPageBreak/>
        <w:t xml:space="preserve">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57193B">
        <w:rPr>
          <w:rFonts w:ascii="Verdana" w:eastAsia="Times New Roman" w:hAnsi="Verdana" w:cs="Arial"/>
          <w:lang w:eastAsia="x-none"/>
        </w:rPr>
        <w:t>contratación directa</w:t>
      </w:r>
      <w:r>
        <w:rPr>
          <w:rFonts w:ascii="Verdana" w:eastAsia="Times New Roman" w:hAnsi="Verdana" w:cs="Arial"/>
          <w:lang w:eastAsia="x-none"/>
        </w:rPr>
        <w:t>”</w:t>
      </w:r>
      <w:r w:rsidRPr="0057193B">
        <w:rPr>
          <w:rFonts w:ascii="Verdana" w:eastAsia="Times New Roman" w:hAnsi="Verdana" w:cs="Arial"/>
          <w:lang w:eastAsia="x-none"/>
        </w:rPr>
        <w:t>,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7"/>
      </w:r>
      <w:r w:rsidRPr="0057193B">
        <w:rPr>
          <w:rFonts w:ascii="Verdana" w:eastAsia="Times New Roman" w:hAnsi="Verdana" w:cs="Arial"/>
          <w:lang w:eastAsia="x-none"/>
        </w:rPr>
        <w:t xml:space="preserve">. </w:t>
      </w:r>
    </w:p>
    <w:p w14:paraId="258DC014" w14:textId="2F498943" w:rsidR="00AA00F4" w:rsidRPr="0057193B" w:rsidRDefault="00AA00F4" w:rsidP="00AA00F4">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w:t>
      </w:r>
      <w:r w:rsidR="00FF3C66">
        <w:rPr>
          <w:rFonts w:ascii="Verdana" w:eastAsia="Times New Roman" w:hAnsi="Verdana" w:cs="Arial"/>
          <w:bCs/>
          <w:lang w:val="es-MX" w:eastAsia="es-CO"/>
        </w:rPr>
        <w:t xml:space="preserve"> Electorales</w:t>
      </w:r>
      <w:r w:rsidRPr="0057193B">
        <w:rPr>
          <w:rFonts w:ascii="Verdana" w:eastAsia="Times New Roman" w:hAnsi="Verdana" w:cs="Arial"/>
          <w:bCs/>
          <w:lang w:val="es-MX" w:eastAsia="es-CO"/>
        </w:rPr>
        <w:t xml:space="preserve">, al señalar que no solo aplica frente a las entidades sometidas al Estatuto </w:t>
      </w:r>
      <w:r w:rsidR="00FF3C66">
        <w:rPr>
          <w:rFonts w:ascii="Verdana" w:eastAsia="Times New Roman" w:hAnsi="Verdana" w:cs="Arial"/>
          <w:bCs/>
          <w:lang w:val="es-MX" w:eastAsia="es-CO"/>
        </w:rPr>
        <w:t>G</w:t>
      </w:r>
      <w:r w:rsidRPr="0057193B">
        <w:rPr>
          <w:rFonts w:ascii="Verdana" w:eastAsia="Times New Roman" w:hAnsi="Verdana" w:cs="Arial"/>
          <w:bCs/>
          <w:lang w:val="es-MX" w:eastAsia="es-CO"/>
        </w:rPr>
        <w:t xml:space="preserve">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eastAsia="Times New Roman" w:hAnsi="Verdana" w:cs="Arial"/>
          <w:bCs/>
          <w:lang w:val="es-MX" w:eastAsia="es-CO"/>
        </w:rPr>
        <w:t>“</w:t>
      </w:r>
      <w:r w:rsidRPr="0057193B">
        <w:rPr>
          <w:rFonts w:ascii="Verdana" w:eastAsia="Times New Roman" w:hAnsi="Verdana" w:cs="Arial"/>
          <w:bCs/>
          <w:lang w:val="es-MX" w:eastAsia="es-CO"/>
        </w:rPr>
        <w:t>contratación directa</w:t>
      </w:r>
      <w:r>
        <w:rPr>
          <w:rFonts w:ascii="Verdana" w:eastAsia="Times New Roman" w:hAnsi="Verdana" w:cs="Arial"/>
          <w:bCs/>
          <w:lang w:val="es-MX" w:eastAsia="es-CO"/>
        </w:rPr>
        <w:t>”</w:t>
      </w:r>
      <w:r w:rsidRPr="0057193B">
        <w:rPr>
          <w:rFonts w:ascii="Verdana" w:eastAsia="Times New Roman" w:hAnsi="Verdana" w:cs="Arial"/>
          <w:bCs/>
          <w:lang w:val="es-MX" w:eastAsia="es-CO"/>
        </w:rPr>
        <w:t>.</w:t>
      </w:r>
    </w:p>
    <w:p w14:paraId="4A0E962F" w14:textId="77777777" w:rsidR="00AA00F4" w:rsidRPr="0057193B" w:rsidRDefault="00AA00F4" w:rsidP="00AA00F4">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bCs/>
          <w:lang w:val="es-MX" w:eastAsia="x-none"/>
        </w:rPr>
        <w:t>.</w:t>
      </w:r>
    </w:p>
    <w:p w14:paraId="2CA45787" w14:textId="3323A6EF" w:rsidR="00AA00F4" w:rsidRPr="008363F8" w:rsidRDefault="00AA00F4" w:rsidP="00AA00F4">
      <w:pPr>
        <w:spacing w:after="120" w:line="276" w:lineRule="auto"/>
        <w:ind w:firstLine="709"/>
        <w:jc w:val="both"/>
        <w:rPr>
          <w:rFonts w:ascii="Verdana" w:eastAsia="Times New Roman" w:hAnsi="Verdana" w:cs="Arial"/>
          <w:lang w:eastAsia="x-none"/>
        </w:rPr>
      </w:pPr>
      <w:r w:rsidRPr="0057193B">
        <w:rPr>
          <w:rFonts w:ascii="Verdana" w:eastAsia="Times New Roman" w:hAnsi="Verdana" w:cs="Arial"/>
          <w:bCs/>
          <w:lang w:val="es-MX" w:eastAsia="x-none"/>
        </w:rPr>
        <w:t xml:space="preserve">De lo anterior se desprende que la restricción aplica, sin perjuicio de las excepciones establecidas en la misma </w:t>
      </w:r>
      <w:r w:rsidR="00792939">
        <w:rPr>
          <w:rFonts w:ascii="Verdana" w:eastAsia="Times New Roman" w:hAnsi="Verdana" w:cs="Arial"/>
          <w:bCs/>
          <w:lang w:val="es-MX" w:eastAsia="x-none"/>
        </w:rPr>
        <w:t>L</w:t>
      </w:r>
      <w:r w:rsidRPr="0057193B">
        <w:rPr>
          <w:rFonts w:ascii="Verdana" w:eastAsia="Times New Roman" w:hAnsi="Verdana" w:cs="Arial"/>
          <w:bCs/>
          <w:lang w:val="es-MX" w:eastAsia="x-none"/>
        </w:rPr>
        <w:t>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r>
        <w:rPr>
          <w:rFonts w:ascii="Verdana" w:eastAsia="Times New Roman" w:hAnsi="Verdana" w:cs="Arial"/>
          <w:lang w:eastAsia="x-none"/>
        </w:rPr>
        <w:t xml:space="preserve"> </w:t>
      </w:r>
    </w:p>
    <w:p w14:paraId="24B41939" w14:textId="72B9E161" w:rsidR="00AA00F4" w:rsidRPr="0057193B" w:rsidRDefault="00AA00F4" w:rsidP="00AA00F4">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De otro lado, las excepciones a la restricción prevista en la Ley de Garantías</w:t>
      </w:r>
      <w:r w:rsidR="00792939">
        <w:rPr>
          <w:rFonts w:ascii="Verdana" w:eastAsia="Times New Roman" w:hAnsi="Verdana" w:cs="Arial"/>
          <w:bCs/>
          <w:lang w:val="es-MX" w:eastAsia="x-none"/>
        </w:rPr>
        <w:t xml:space="preserve"> Electorales</w:t>
      </w:r>
      <w:r w:rsidRPr="0057193B">
        <w:rPr>
          <w:rFonts w:ascii="Verdana" w:eastAsia="Times New Roman" w:hAnsi="Verdana" w:cs="Arial"/>
          <w:bCs/>
          <w:lang w:val="es-MX" w:eastAsia="x-none"/>
        </w:rPr>
        <w:t xml:space="preserve">, con fundamento en las cuales podrán las entidades </w:t>
      </w:r>
      <w:r w:rsidRPr="0057193B">
        <w:rPr>
          <w:rFonts w:ascii="Verdana" w:eastAsia="Times New Roman" w:hAnsi="Verdana" w:cs="Arial"/>
          <w:bCs/>
          <w:lang w:val="es-MX" w:eastAsia="x-none"/>
        </w:rPr>
        <w:lastRenderedPageBreak/>
        <w:t>públicas adelantar procedimientos de selección directa en períodos previos a la contienda electoral por la Presidencia, se encuentran consagradas expresamente en el inciso final del citado artículo 33 de la Ley 996 de 2005 en lo referente a</w:t>
      </w:r>
      <w:r w:rsidR="00792939">
        <w:rPr>
          <w:rFonts w:ascii="Verdana" w:eastAsia="Times New Roman" w:hAnsi="Verdana" w:cs="Arial"/>
          <w:bCs/>
          <w:lang w:val="es-MX" w:eastAsia="x-none"/>
        </w:rPr>
        <w:t>:</w:t>
      </w:r>
      <w:r w:rsidRPr="0057193B">
        <w:rPr>
          <w:rFonts w:ascii="Verdana" w:eastAsia="Times New Roman" w:hAnsi="Verdana" w:cs="Arial"/>
          <w:bCs/>
          <w:lang w:val="es-MX" w:eastAsia="x-none"/>
        </w:rPr>
        <w:t xml:space="preserve"> i) la defensa y seguridad del Estado; ii) los contratos de crédito público; iii) los requeridos para cubrir las emergencias educativas, sanitarias y desastres; </w:t>
      </w:r>
      <w:proofErr w:type="spellStart"/>
      <w:r w:rsidRPr="0057193B">
        <w:rPr>
          <w:rFonts w:ascii="Verdana" w:eastAsia="Times New Roman" w:hAnsi="Verdana" w:cs="Arial"/>
          <w:bCs/>
          <w:lang w:val="es-MX" w:eastAsia="x-none"/>
        </w:rPr>
        <w:t>iv</w:t>
      </w:r>
      <w:proofErr w:type="spellEnd"/>
      <w:r w:rsidRPr="0057193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BF84CD4" w14:textId="77777777" w:rsidR="00191F4A" w:rsidRDefault="00AA00F4" w:rsidP="008363F8">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19"/>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3E1C9C7A" w14:textId="77777777" w:rsidR="00610AA3" w:rsidRDefault="00AA00F4" w:rsidP="008363F8">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w:t>
      </w:r>
      <w:r w:rsidRPr="0057193B">
        <w:rPr>
          <w:rFonts w:ascii="Verdana" w:eastAsia="Times New Roman" w:hAnsi="Verdana" w:cs="Arial"/>
          <w:bCs/>
          <w:lang w:val="es-MX" w:eastAsia="x-none"/>
        </w:rPr>
        <w:lastRenderedPageBreak/>
        <w:t xml:space="preserve">régimen especial de contratación y están exceptuadas del ámbito de aplicación del Estatuto General de Contratación de la Administración Pública. </w:t>
      </w:r>
    </w:p>
    <w:p w14:paraId="1283A5DD" w14:textId="0686D288" w:rsidR="00AA00F4" w:rsidRPr="0057193B" w:rsidRDefault="00610AA3" w:rsidP="00191F4A">
      <w:pPr>
        <w:spacing w:after="0" w:line="276" w:lineRule="auto"/>
        <w:ind w:firstLine="709"/>
        <w:jc w:val="both"/>
        <w:rPr>
          <w:rFonts w:ascii="Verdana" w:eastAsia="Times New Roman" w:hAnsi="Verdana" w:cs="Arial"/>
          <w:bCs/>
          <w:lang w:val="es-MX" w:eastAsia="x-none"/>
        </w:rPr>
      </w:pPr>
      <w:r>
        <w:rPr>
          <w:rFonts w:ascii="Verdana" w:eastAsia="Times New Roman" w:hAnsi="Verdana" w:cs="Arial"/>
          <w:bCs/>
          <w:lang w:val="es-ES_tradnl" w:eastAsia="x-none"/>
        </w:rPr>
        <w:t>Respecto de lo anterior, l</w:t>
      </w:r>
      <w:r w:rsidR="00AA00F4" w:rsidRPr="0057193B">
        <w:rPr>
          <w:rFonts w:ascii="Verdana" w:eastAsia="Times New Roman" w:hAnsi="Verdana" w:cs="Arial"/>
          <w:bCs/>
          <w:lang w:val="es-ES_tradnl" w:eastAsia="x-none"/>
        </w:rPr>
        <w:t xml:space="preserve">a Sala de Consulta y Servicio Civil del Consejo de Estado, en Concepto 1727 de fecha 20 de febrero de 2006, consideró que: </w:t>
      </w:r>
    </w:p>
    <w:p w14:paraId="5F7EB99E" w14:textId="77777777" w:rsidR="00AA00F4" w:rsidRPr="0057193B" w:rsidRDefault="00AA00F4" w:rsidP="00AA00F4">
      <w:pPr>
        <w:spacing w:after="0" w:line="276" w:lineRule="auto"/>
        <w:jc w:val="both"/>
        <w:rPr>
          <w:rFonts w:ascii="Verdana" w:eastAsia="Times New Roman" w:hAnsi="Verdana" w:cs="Arial"/>
          <w:bCs/>
          <w:lang w:val="es-MX" w:eastAsia="x-none"/>
        </w:rPr>
      </w:pPr>
    </w:p>
    <w:p w14:paraId="1BA3D44B" w14:textId="77777777" w:rsidR="00AA00F4" w:rsidRPr="00883B81" w:rsidRDefault="00AA00F4" w:rsidP="00AA00F4">
      <w:pPr>
        <w:spacing w:after="0" w:line="240" w:lineRule="auto"/>
        <w:ind w:left="708" w:right="709"/>
        <w:jc w:val="both"/>
        <w:rPr>
          <w:rFonts w:ascii="Verdana" w:eastAsia="Times New Roman" w:hAnsi="Verdana" w:cs="Arial"/>
          <w:bCs/>
          <w:sz w:val="20"/>
          <w:szCs w:val="20"/>
          <w:lang w:val="es-MX" w:eastAsia="es-CO"/>
        </w:rPr>
      </w:pPr>
      <w:r w:rsidRPr="00883B81">
        <w:rPr>
          <w:rFonts w:ascii="Verdana" w:eastAsia="Times New Roman" w:hAnsi="Verdana" w:cs="Arial"/>
          <w:bCs/>
          <w:sz w:val="20"/>
          <w:szCs w:val="2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883B81">
        <w:rPr>
          <w:rFonts w:ascii="Verdana" w:eastAsia="Times New Roman" w:hAnsi="Verdana" w:cs="Arial"/>
          <w:bCs/>
          <w:sz w:val="20"/>
          <w:szCs w:val="20"/>
          <w:vertAlign w:val="superscript"/>
          <w:lang w:val="es-MX" w:eastAsia="x-none"/>
        </w:rPr>
        <w:footnoteReference w:id="20"/>
      </w:r>
      <w:r w:rsidRPr="00883B81">
        <w:rPr>
          <w:rFonts w:ascii="Verdana" w:eastAsia="Times New Roman" w:hAnsi="Verdana" w:cs="Arial"/>
          <w:bCs/>
          <w:sz w:val="20"/>
          <w:szCs w:val="20"/>
          <w:lang w:val="es-MX" w:eastAsia="x-none"/>
        </w:rPr>
        <w:t>.</w:t>
      </w:r>
      <w:r w:rsidRPr="00883B81">
        <w:rPr>
          <w:rFonts w:ascii="Verdana" w:eastAsia="Times New Roman" w:hAnsi="Verdana" w:cs="Arial"/>
          <w:bCs/>
          <w:sz w:val="20"/>
          <w:szCs w:val="20"/>
          <w:lang w:val="es-MX" w:eastAsia="es-CO"/>
        </w:rPr>
        <w:t xml:space="preserve"> </w:t>
      </w:r>
    </w:p>
    <w:p w14:paraId="7713F851" w14:textId="77777777" w:rsidR="00AA00F4" w:rsidRPr="0057193B" w:rsidRDefault="00AA00F4" w:rsidP="00AA00F4">
      <w:pPr>
        <w:spacing w:after="0" w:line="276" w:lineRule="auto"/>
        <w:ind w:firstLine="708"/>
        <w:jc w:val="both"/>
        <w:rPr>
          <w:rFonts w:ascii="Verdana" w:eastAsia="Times New Roman" w:hAnsi="Verdana" w:cs="Arial"/>
          <w:bCs/>
          <w:lang w:val="es-MX" w:eastAsia="es-CO"/>
        </w:rPr>
      </w:pPr>
    </w:p>
    <w:p w14:paraId="4D75AAA5" w14:textId="77777777" w:rsidR="000A1034" w:rsidRPr="000A1034" w:rsidRDefault="000A1034" w:rsidP="000A1034">
      <w:pPr>
        <w:spacing w:after="0" w:line="276" w:lineRule="auto"/>
        <w:ind w:firstLine="708"/>
        <w:jc w:val="both"/>
        <w:rPr>
          <w:rFonts w:ascii="Verdana" w:eastAsia="Calibri" w:hAnsi="Verdana" w:cs="Arial"/>
          <w:lang w:val="es-MX"/>
        </w:rPr>
      </w:pPr>
      <w:r w:rsidRPr="000A1034">
        <w:rPr>
          <w:rFonts w:ascii="Verdana" w:eastAsia="Times New Roman" w:hAnsi="Verdana" w:cs="Arial"/>
          <w:bCs/>
          <w:lang w:val="es-MX" w:eastAsia="x-none"/>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0A1034">
        <w:rPr>
          <w:rFonts w:ascii="Verdana" w:eastAsia="Calibri" w:hAnsi="Verdana" w:cs="Arial"/>
          <w:vertAlign w:val="superscript"/>
          <w:lang w:val="es-MX"/>
        </w:rPr>
        <w:footnoteReference w:id="21"/>
      </w:r>
      <w:r w:rsidRPr="000A1034">
        <w:rPr>
          <w:rFonts w:ascii="Verdana" w:eastAsia="Times New Roman" w:hAnsi="Verdana" w:cs="Arial"/>
          <w:bCs/>
          <w:lang w:val="es-MX" w:eastAsia="x-none"/>
        </w:rPr>
        <w:t>.</w:t>
      </w:r>
      <w:r w:rsidRPr="000A1034">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36205E9F" w14:textId="77777777" w:rsidR="000A1034" w:rsidRPr="0057193B" w:rsidRDefault="000A1034" w:rsidP="000A1034">
      <w:pPr>
        <w:spacing w:after="0" w:line="276" w:lineRule="auto"/>
        <w:jc w:val="both"/>
        <w:rPr>
          <w:rFonts w:ascii="Verdana" w:eastAsia="Calibri" w:hAnsi="Verdana" w:cs="Arial"/>
          <w:lang w:val="es-MX"/>
        </w:rPr>
      </w:pPr>
    </w:p>
    <w:p w14:paraId="12DADC12" w14:textId="77777777" w:rsidR="000A1034" w:rsidRPr="008363F8" w:rsidRDefault="000A1034" w:rsidP="000A1034">
      <w:pPr>
        <w:spacing w:after="0" w:line="240" w:lineRule="auto"/>
        <w:ind w:left="709" w:right="709"/>
        <w:jc w:val="both"/>
        <w:rPr>
          <w:rFonts w:ascii="Verdana" w:eastAsia="Calibri" w:hAnsi="Verdana" w:cs="Arial"/>
          <w:sz w:val="20"/>
          <w:szCs w:val="20"/>
          <w:lang w:val="es-MX"/>
        </w:rPr>
      </w:pPr>
      <w:r w:rsidRPr="008363F8">
        <w:rPr>
          <w:rFonts w:ascii="Verdana" w:eastAsia="Calibri"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w:t>
      </w:r>
      <w:r w:rsidRPr="008363F8">
        <w:rPr>
          <w:rFonts w:ascii="Verdana" w:eastAsia="Calibri" w:hAnsi="Verdana" w:cs="Arial"/>
          <w:sz w:val="20"/>
          <w:szCs w:val="20"/>
          <w:lang w:val="es-MX"/>
        </w:rPr>
        <w:lastRenderedPageBreak/>
        <w:t>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71395E00" w14:textId="77777777" w:rsidR="000A1034" w:rsidRPr="008363F8" w:rsidRDefault="000A1034" w:rsidP="000A1034">
      <w:pPr>
        <w:spacing w:after="0" w:line="240" w:lineRule="auto"/>
        <w:ind w:left="709" w:right="709"/>
        <w:jc w:val="both"/>
        <w:rPr>
          <w:rFonts w:ascii="Verdana" w:eastAsia="Calibri" w:hAnsi="Verdana" w:cs="Arial"/>
          <w:sz w:val="20"/>
          <w:szCs w:val="20"/>
          <w:lang w:val="es-MX"/>
        </w:rPr>
      </w:pPr>
      <w:r w:rsidRPr="008363F8">
        <w:rPr>
          <w:rFonts w:ascii="Verdana" w:eastAsia="Calibri" w:hAnsi="Verdana" w:cs="Arial"/>
          <w:sz w:val="20"/>
          <w:szCs w:val="20"/>
          <w:lang w:val="es-MX"/>
        </w:rPr>
        <w:tab/>
      </w:r>
    </w:p>
    <w:p w14:paraId="40D8206F" w14:textId="77777777" w:rsidR="000A1034" w:rsidRPr="008363F8" w:rsidRDefault="000A1034" w:rsidP="000A1034">
      <w:pPr>
        <w:spacing w:after="0" w:line="240" w:lineRule="auto"/>
        <w:ind w:left="709" w:right="709"/>
        <w:jc w:val="both"/>
        <w:rPr>
          <w:rFonts w:ascii="Verdana" w:eastAsia="Calibri" w:hAnsi="Verdana" w:cs="Arial"/>
          <w:sz w:val="20"/>
          <w:szCs w:val="20"/>
          <w:lang w:val="es-MX"/>
        </w:rPr>
      </w:pPr>
      <w:r w:rsidRPr="008363F8">
        <w:rPr>
          <w:rFonts w:ascii="Verdana" w:eastAsia="Times New Roman" w:hAnsi="Verdana" w:cs="Arial"/>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8363F8">
        <w:rPr>
          <w:rFonts w:ascii="Verdana" w:eastAsia="Calibri" w:hAnsi="Verdana" w:cs="Arial"/>
          <w:sz w:val="20"/>
          <w:szCs w:val="20"/>
          <w:vertAlign w:val="superscript"/>
          <w:lang w:val="es-MX"/>
        </w:rPr>
        <w:footnoteReference w:id="22"/>
      </w:r>
      <w:r w:rsidRPr="008363F8">
        <w:rPr>
          <w:rFonts w:ascii="Verdana" w:eastAsia="Times New Roman" w:hAnsi="Verdana" w:cs="Arial"/>
          <w:sz w:val="20"/>
          <w:szCs w:val="20"/>
          <w:lang w:val="es-MX" w:eastAsia="x-none"/>
        </w:rPr>
        <w:t>.</w:t>
      </w:r>
    </w:p>
    <w:p w14:paraId="3E6114AC" w14:textId="77777777" w:rsidR="000A1034" w:rsidRPr="0057193B" w:rsidRDefault="000A1034" w:rsidP="000A1034">
      <w:pPr>
        <w:spacing w:after="0" w:line="276" w:lineRule="auto"/>
        <w:jc w:val="both"/>
        <w:rPr>
          <w:rFonts w:ascii="Verdana" w:eastAsia="Calibri" w:hAnsi="Verdana" w:cs="Arial"/>
          <w:lang w:val="es-MX"/>
        </w:rPr>
      </w:pPr>
    </w:p>
    <w:p w14:paraId="2D62D5DD" w14:textId="7D476B51" w:rsidR="000A1034" w:rsidRPr="000A1034" w:rsidRDefault="000A1034" w:rsidP="000A1034">
      <w:pPr>
        <w:spacing w:after="120" w:line="276" w:lineRule="auto"/>
        <w:ind w:firstLine="709"/>
        <w:jc w:val="both"/>
        <w:rPr>
          <w:rFonts w:ascii="Verdana" w:eastAsia="Times New Roman" w:hAnsi="Verdana" w:cs="Arial"/>
          <w:lang w:eastAsia="es-CO"/>
        </w:rPr>
      </w:pPr>
      <w:r w:rsidRPr="000A1034">
        <w:rPr>
          <w:rFonts w:ascii="Verdana" w:eastAsia="Calibri" w:hAnsi="Verdana" w:cs="Arial"/>
          <w:lang w:val="es-MX"/>
        </w:rPr>
        <w:t>De acuerdo con estos pronunciamientos de la Sala de Consulta y Servicio Civil del Consejo de Estado, la prohibición de la contratación directa también aplica frente a las entidades exceptuadas de la aplicación del E</w:t>
      </w:r>
      <w:r w:rsidR="006A1E53">
        <w:rPr>
          <w:rFonts w:ascii="Verdana" w:eastAsia="Calibri" w:hAnsi="Verdana" w:cs="Arial"/>
          <w:lang w:val="es-MX"/>
        </w:rPr>
        <w:t xml:space="preserve">statuto </w:t>
      </w:r>
      <w:r w:rsidRPr="000A1034">
        <w:rPr>
          <w:rFonts w:ascii="Verdana" w:eastAsia="Calibri" w:hAnsi="Verdana" w:cs="Arial"/>
          <w:lang w:val="es-MX"/>
        </w:rPr>
        <w:t>G</w:t>
      </w:r>
      <w:r w:rsidR="006A1E53">
        <w:rPr>
          <w:rFonts w:ascii="Verdana" w:eastAsia="Calibri" w:hAnsi="Verdana" w:cs="Arial"/>
          <w:lang w:val="es-MX"/>
        </w:rPr>
        <w:t xml:space="preserve">eneral de </w:t>
      </w:r>
      <w:r w:rsidR="006A1E53" w:rsidRPr="000A1034">
        <w:rPr>
          <w:rFonts w:ascii="Verdana" w:eastAsia="Calibri" w:hAnsi="Verdana" w:cs="Arial"/>
          <w:lang w:val="es-MX"/>
        </w:rPr>
        <w:t>C</w:t>
      </w:r>
      <w:r w:rsidR="006A1E53">
        <w:rPr>
          <w:rFonts w:ascii="Verdana" w:eastAsia="Calibri" w:hAnsi="Verdana" w:cs="Arial"/>
          <w:lang w:val="es-MX"/>
        </w:rPr>
        <w:t xml:space="preserve">ontratación de la </w:t>
      </w:r>
      <w:r w:rsidRPr="000A1034">
        <w:rPr>
          <w:rFonts w:ascii="Verdana" w:eastAsia="Calibri" w:hAnsi="Verdana" w:cs="Arial"/>
          <w:lang w:val="es-MX"/>
        </w:rPr>
        <w:t>A</w:t>
      </w:r>
      <w:r w:rsidR="006A1E53">
        <w:rPr>
          <w:rFonts w:ascii="Verdana" w:eastAsia="Calibri" w:hAnsi="Verdana" w:cs="Arial"/>
          <w:lang w:val="es-MX"/>
        </w:rPr>
        <w:t xml:space="preserve">dministración </w:t>
      </w:r>
      <w:r w:rsidRPr="000A1034">
        <w:rPr>
          <w:rFonts w:ascii="Verdana" w:eastAsia="Calibri" w:hAnsi="Verdana" w:cs="Arial"/>
          <w:lang w:val="es-MX"/>
        </w:rPr>
        <w:t>P</w:t>
      </w:r>
      <w:r w:rsidR="006A1E53">
        <w:rPr>
          <w:rFonts w:ascii="Verdana" w:eastAsia="Calibri" w:hAnsi="Verdana" w:cs="Arial"/>
          <w:lang w:val="es-MX"/>
        </w:rPr>
        <w:t>ública</w:t>
      </w:r>
      <w:r w:rsidRPr="000A1034">
        <w:rPr>
          <w:rFonts w:ascii="Verdana" w:eastAsia="Calibri" w:hAnsi="Verdana" w:cs="Arial"/>
          <w:lang w:val="es-MX"/>
        </w:rPr>
        <w:t xml:space="preserve"> y que se rigen en materia contractual por el derecho privado. Sin embargo, señaló que algunas de estas entidades, como sucede con las empresas de servicios públicos domiciliarios, los </w:t>
      </w:r>
      <w:r w:rsidRPr="000A1034">
        <w:rPr>
          <w:rFonts w:ascii="Verdana" w:eastAsia="Times New Roman" w:hAnsi="Verdana" w:cs="Arial"/>
          <w:bCs/>
          <w:lang w:val="es-MX" w:eastAsia="x-none"/>
        </w:rPr>
        <w:t>establecimientos de crédito, las sociedades de servicios financieros y las entidades aseguradoras</w:t>
      </w:r>
      <w:r w:rsidRPr="000A1034">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0A1034">
        <w:rPr>
          <w:rFonts w:ascii="Verdana" w:eastAsia="Calibri" w:hAnsi="Verdana" w:cs="Arial"/>
          <w:vertAlign w:val="superscript"/>
          <w:lang w:val="es-MX"/>
        </w:rPr>
        <w:footnoteReference w:id="23"/>
      </w:r>
      <w:r w:rsidRPr="000A1034">
        <w:rPr>
          <w:rFonts w:ascii="Verdana" w:eastAsia="Calibri" w:hAnsi="Verdana" w:cs="Arial"/>
          <w:lang w:val="es-MX"/>
        </w:rPr>
        <w:t>.</w:t>
      </w:r>
      <w:r w:rsidRPr="000A1034">
        <w:rPr>
          <w:rFonts w:ascii="Verdana" w:eastAsia="Times New Roman" w:hAnsi="Verdana" w:cs="Arial"/>
          <w:lang w:eastAsia="es-CO"/>
        </w:rPr>
        <w:t xml:space="preserve"> </w:t>
      </w:r>
    </w:p>
    <w:p w14:paraId="43B34EC9" w14:textId="68515A75" w:rsidR="000A1034" w:rsidRDefault="00AC7E5F" w:rsidP="008363F8">
      <w:pPr>
        <w:spacing w:after="0" w:line="276" w:lineRule="auto"/>
        <w:ind w:firstLine="709"/>
        <w:jc w:val="both"/>
        <w:rPr>
          <w:rFonts w:ascii="Verdana" w:eastAsia="Times New Roman" w:hAnsi="Verdana" w:cs="Arial"/>
          <w:bCs/>
          <w:lang w:val="es-MX" w:eastAsia="x-none"/>
        </w:rPr>
      </w:pPr>
      <w:r>
        <w:rPr>
          <w:rFonts w:ascii="Verdana" w:eastAsia="Times New Roman" w:hAnsi="Verdana" w:cs="Arial"/>
          <w:lang w:eastAsia="es-CO"/>
        </w:rPr>
        <w:lastRenderedPageBreak/>
        <w:t>Conforme a los expuesto,</w:t>
      </w:r>
      <w:r w:rsidR="000A1034" w:rsidRPr="000A1034">
        <w:rPr>
          <w:rFonts w:ascii="Verdana" w:eastAsia="Times New Roman" w:hAnsi="Verdana" w:cs="Arial"/>
          <w:lang w:eastAsia="es-CO"/>
        </w:rPr>
        <w:t xml:space="preserve"> </w:t>
      </w:r>
      <w:r w:rsidR="000A1034" w:rsidRPr="000A1034">
        <w:rPr>
          <w:rFonts w:ascii="Verdana" w:eastAsia="Calibri" w:hAnsi="Verdana" w:cs="Arial"/>
          <w:lang w:val="es-MX"/>
        </w:rPr>
        <w:t xml:space="preserve">la restricción prevista en la Ley 996 de 2005 </w:t>
      </w:r>
      <w:r w:rsidR="000A1034" w:rsidRPr="000A1034">
        <w:rPr>
          <w:rFonts w:ascii="Verdana" w:eastAsia="Times New Roman" w:hAnsi="Verdana" w:cs="Arial"/>
          <w:bCs/>
          <w:lang w:val="es-MX" w:eastAsia="x-none"/>
        </w:rPr>
        <w:t>cobija a cualquier entidad pública</w:t>
      </w:r>
      <w:r>
        <w:rPr>
          <w:rFonts w:ascii="Verdana" w:eastAsia="Times New Roman" w:hAnsi="Verdana" w:cs="Arial"/>
          <w:bCs/>
          <w:lang w:val="es-MX" w:eastAsia="x-none"/>
        </w:rPr>
        <w:t>,</w:t>
      </w:r>
      <w:r w:rsidR="000A1034" w:rsidRPr="000A1034">
        <w:rPr>
          <w:rFonts w:ascii="Verdana" w:eastAsia="Times New Roman" w:hAnsi="Verdana" w:cs="Arial"/>
          <w:bCs/>
          <w:lang w:val="es-MX" w:eastAsia="x-none"/>
        </w:rPr>
        <w:t xml:space="preserve"> independiente del régimen jurídico, que pueda mediante la contratación directa romper el equilibrio entre los candidatos en desarrollo de las elecciones presidenciales. </w:t>
      </w:r>
      <w:r>
        <w:rPr>
          <w:rFonts w:ascii="Verdana" w:eastAsia="Times New Roman" w:hAnsi="Verdana" w:cs="Arial"/>
          <w:bCs/>
          <w:lang w:val="es-MX" w:eastAsia="x-none"/>
        </w:rPr>
        <w:t>Así las cosas, no</w:t>
      </w:r>
      <w:r w:rsidR="000A1034" w:rsidRPr="000A1034">
        <w:rPr>
          <w:rFonts w:ascii="Verdana" w:eastAsia="Times New Roman" w:hAnsi="Verdana" w:cs="Arial"/>
          <w:bCs/>
          <w:lang w:val="es-MX" w:eastAsia="x-none"/>
        </w:rPr>
        <w:t xml:space="preserve">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4CE1A07B" w14:textId="77777777" w:rsidR="00AC7E5F" w:rsidRDefault="00AC7E5F" w:rsidP="008363F8">
      <w:pPr>
        <w:spacing w:after="0" w:line="276" w:lineRule="auto"/>
        <w:jc w:val="both"/>
        <w:rPr>
          <w:rFonts w:ascii="Verdana" w:eastAsia="Times New Roman" w:hAnsi="Verdana" w:cs="Arial"/>
          <w:bCs/>
          <w:lang w:val="es-MX" w:eastAsia="x-none"/>
        </w:rPr>
      </w:pPr>
    </w:p>
    <w:p w14:paraId="67146464" w14:textId="77777777" w:rsidR="007B6D52" w:rsidRPr="00C15525" w:rsidRDefault="003C2317" w:rsidP="007B6D52">
      <w:pPr>
        <w:spacing w:after="120" w:line="276" w:lineRule="auto"/>
        <w:jc w:val="both"/>
        <w:rPr>
          <w:rFonts w:ascii="Verdana" w:hAnsi="Verdana" w:cs="Arial"/>
          <w:lang w:val="es-ES"/>
        </w:rPr>
      </w:pPr>
      <w:proofErr w:type="spellStart"/>
      <w:r>
        <w:rPr>
          <w:rFonts w:ascii="Verdana" w:eastAsia="Times New Roman" w:hAnsi="Verdana" w:cs="Arial"/>
          <w:bCs/>
          <w:lang w:val="es-MX" w:eastAsia="x-none"/>
        </w:rPr>
        <w:t>iv</w:t>
      </w:r>
      <w:proofErr w:type="spellEnd"/>
      <w:r>
        <w:rPr>
          <w:rFonts w:ascii="Verdana" w:eastAsia="Times New Roman" w:hAnsi="Verdana" w:cs="Arial"/>
          <w:bCs/>
          <w:lang w:val="es-MX" w:eastAsia="x-none"/>
        </w:rPr>
        <w:t xml:space="preserve">) </w:t>
      </w:r>
      <w:r w:rsidR="007B6D52" w:rsidRPr="00C15525">
        <w:rPr>
          <w:rFonts w:ascii="Verdana" w:hAnsi="Verdana" w:cs="Arial"/>
          <w:lang w:val="es-ES"/>
        </w:rPr>
        <w:t xml:space="preserve">Ahora bien, respecto del alcance del parágrafo </w:t>
      </w:r>
      <w:r w:rsidR="007B6D52" w:rsidRPr="00C15525">
        <w:rPr>
          <w:rFonts w:ascii="Verdana" w:hAnsi="Verdana" w:cs="Arial"/>
        </w:rPr>
        <w:t>del artículo 38 de la Ley 996 de 2005, esta prohibición dispone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w:t>
      </w:r>
      <w:r w:rsidR="007B6D52" w:rsidRPr="00C15525">
        <w:rPr>
          <w:rFonts w:ascii="Verdana" w:eastAsia="Times New Roman" w:hAnsi="Verdana" w:cs="Arial"/>
          <w:lang w:val="es-MX" w:eastAsia="x-none"/>
        </w:rPr>
        <w:t xml:space="preserve"> </w:t>
      </w:r>
    </w:p>
    <w:p w14:paraId="145C3110" w14:textId="77777777" w:rsidR="007B6D52" w:rsidRPr="00C15525" w:rsidRDefault="007B6D52" w:rsidP="007B6D52">
      <w:pPr>
        <w:spacing w:after="120" w:line="276" w:lineRule="auto"/>
        <w:ind w:firstLine="709"/>
        <w:jc w:val="both"/>
        <w:rPr>
          <w:rFonts w:ascii="Verdana" w:hAnsi="Verdana" w:cs="Arial"/>
          <w:lang w:eastAsia="es-ES"/>
        </w:rPr>
      </w:pPr>
      <w:r w:rsidRPr="00C15525">
        <w:rPr>
          <w:rFonts w:ascii="Verdana" w:eastAsia="Times New Roman" w:hAnsi="Verdana" w:cs="Arial"/>
          <w:lang w:val="es-ES" w:eastAsia="es-ES"/>
        </w:rPr>
        <w:t xml:space="preserve">Para tales efectos, debe precisarse que </w:t>
      </w:r>
      <w:r w:rsidRPr="00C15525">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C15525">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C15525">
        <w:rPr>
          <w:rFonts w:ascii="Verdana" w:hAnsi="Verdana" w:cs="Arial"/>
          <w:vertAlign w:val="superscript"/>
          <w:lang w:eastAsia="es-ES"/>
        </w:rPr>
        <w:footnoteReference w:id="24"/>
      </w:r>
      <w:r w:rsidRPr="00C15525">
        <w:rPr>
          <w:rFonts w:ascii="Verdana" w:hAnsi="Verdana" w:cs="Arial"/>
          <w:lang w:eastAsia="es-ES"/>
        </w:rPr>
        <w:t>.</w:t>
      </w:r>
    </w:p>
    <w:p w14:paraId="2FD2F965" w14:textId="2FD4F242" w:rsidR="007B6D52" w:rsidRPr="00C15525" w:rsidRDefault="007B6D52" w:rsidP="007B6D52">
      <w:pPr>
        <w:spacing w:after="120" w:line="276" w:lineRule="auto"/>
        <w:ind w:firstLine="709"/>
        <w:jc w:val="both"/>
        <w:rPr>
          <w:rFonts w:ascii="Verdana" w:hAnsi="Verdana" w:cs="Arial"/>
          <w:color w:val="000000" w:themeColor="text1"/>
          <w:lang w:val="es-ES_tradnl"/>
        </w:rPr>
      </w:pPr>
      <w:r w:rsidRPr="00C15525">
        <w:rPr>
          <w:rFonts w:ascii="Verdana" w:hAnsi="Verdana" w:cs="Arial"/>
          <w:color w:val="000000" w:themeColor="text1"/>
          <w:lang w:val="es-ES_tradnl"/>
        </w:rPr>
        <w:t xml:space="preserve">Si bien los contratos o convenios interadministrativos están previstos en la Ley 80 de 1993, en la Ley 1150 de 2007 y en el Decreto 1082 de 2015, no quiere decir que solo puedan celebrarse entre </w:t>
      </w:r>
      <w:r w:rsidR="00135AC0" w:rsidRPr="00C15525">
        <w:rPr>
          <w:rFonts w:ascii="Verdana" w:hAnsi="Verdana" w:cs="Arial"/>
          <w:color w:val="000000" w:themeColor="text1"/>
          <w:lang w:val="es-ES_tradnl"/>
        </w:rPr>
        <w:t xml:space="preserve">entidades estatales </w:t>
      </w:r>
      <w:r w:rsidRPr="00C15525">
        <w:rPr>
          <w:rFonts w:ascii="Verdana" w:hAnsi="Verdana" w:cs="Arial"/>
          <w:color w:val="000000" w:themeColor="text1"/>
          <w:lang w:val="es-ES_tradnl"/>
        </w:rPr>
        <w:t xml:space="preserve">que apliquen el régimen de contratación allí previsto. En efecto, una </w:t>
      </w:r>
      <w:r w:rsidR="00135AC0" w:rsidRPr="00C15525">
        <w:rPr>
          <w:rFonts w:ascii="Verdana" w:hAnsi="Verdana" w:cs="Arial"/>
          <w:color w:val="000000" w:themeColor="text1"/>
          <w:lang w:val="es-ES_tradnl"/>
        </w:rPr>
        <w:t xml:space="preserve">entidad estatal </w:t>
      </w:r>
      <w:r w:rsidRPr="00C15525">
        <w:rPr>
          <w:rFonts w:ascii="Verdana" w:hAnsi="Verdana" w:cs="Arial"/>
          <w:color w:val="000000" w:themeColor="text1"/>
          <w:lang w:val="es-ES_tradnl"/>
        </w:rPr>
        <w:t xml:space="preserve">de la Ley 80 de 1993 – como es el caso de un municipio – bien puede celebrar esta clase de convenios con una </w:t>
      </w:r>
      <w:r w:rsidR="00470915" w:rsidRPr="00C15525">
        <w:rPr>
          <w:rFonts w:ascii="Verdana" w:hAnsi="Verdana" w:cs="Arial"/>
          <w:color w:val="000000" w:themeColor="text1"/>
          <w:lang w:val="es-ES_tradnl"/>
        </w:rPr>
        <w:t xml:space="preserve">entidad estatal </w:t>
      </w:r>
      <w:r w:rsidRPr="00C15525">
        <w:rPr>
          <w:rFonts w:ascii="Verdana" w:hAnsi="Verdana" w:cs="Arial"/>
          <w:color w:val="000000" w:themeColor="text1"/>
          <w:lang w:val="es-ES_tradnl"/>
        </w:rPr>
        <w:t>de régimen especial y no por ello dejará de ser un contrato o convenio interadministrativo.</w:t>
      </w:r>
    </w:p>
    <w:p w14:paraId="4BB67593" w14:textId="77777777" w:rsidR="007B6D52" w:rsidRPr="00C15525" w:rsidRDefault="007B6D52" w:rsidP="007B6D52">
      <w:pPr>
        <w:spacing w:before="120" w:after="0" w:line="276" w:lineRule="auto"/>
        <w:ind w:firstLine="708"/>
        <w:jc w:val="both"/>
        <w:rPr>
          <w:rFonts w:ascii="Verdana" w:hAnsi="Verdana" w:cs="Arial"/>
          <w:lang w:val="es-ES_tradnl"/>
        </w:rPr>
      </w:pPr>
      <w:r w:rsidRPr="00C15525">
        <w:rPr>
          <w:rFonts w:ascii="Verdana" w:hAnsi="Verdana" w:cs="Arial"/>
          <w:lang w:val="es-ES"/>
        </w:rPr>
        <w:t xml:space="preserve">Un contrato o convenio interadministrativo no está determinado por la modalidad de selección utilizada para celebrarlo. La Ley 1150 de 2007 establece </w:t>
      </w:r>
      <w:r w:rsidRPr="00C15525">
        <w:rPr>
          <w:rFonts w:ascii="Verdana" w:hAnsi="Verdana" w:cs="Arial"/>
          <w:lang w:val="es-ES"/>
        </w:rPr>
        <w:lastRenderedPageBreak/>
        <w:t>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C15525">
        <w:rPr>
          <w:rFonts w:ascii="Verdana" w:hAnsi="Verdana" w:cs="Arial"/>
          <w:vertAlign w:val="superscript"/>
          <w:lang w:val="es-ES"/>
        </w:rPr>
        <w:footnoteReference w:id="25"/>
      </w:r>
      <w:r w:rsidRPr="00C15525">
        <w:rPr>
          <w:rFonts w:ascii="Verdana" w:hAnsi="Verdana" w:cs="Arial"/>
          <w:lang w:val="es-ES"/>
        </w:rPr>
        <w:t>. Nótese que, en este caso, lo que cambia es la modalidad de selección y no la naturaleza de contrato interadministrativo.</w:t>
      </w:r>
    </w:p>
    <w:p w14:paraId="31C97918" w14:textId="77777777" w:rsidR="007B6D52" w:rsidRPr="00C15525" w:rsidRDefault="007B6D52" w:rsidP="007B6D52">
      <w:pPr>
        <w:spacing w:before="120" w:after="0" w:line="276" w:lineRule="auto"/>
        <w:ind w:firstLine="708"/>
        <w:jc w:val="both"/>
        <w:rPr>
          <w:rFonts w:ascii="Verdana" w:hAnsi="Verdana" w:cs="Arial"/>
          <w:lang w:val="es-ES_tradnl"/>
        </w:rPr>
      </w:pPr>
      <w:r w:rsidRPr="00C15525">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00C15525">
        <w:rPr>
          <w:rFonts w:ascii="Verdana" w:hAnsi="Verdana" w:cs="Arial"/>
          <w:vertAlign w:val="superscript"/>
          <w:lang w:val="es-ES"/>
        </w:rPr>
        <w:footnoteReference w:id="26"/>
      </w:r>
      <w:r w:rsidRPr="00C15525">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19376EC1" w14:textId="77777777" w:rsidR="007B6D52" w:rsidRPr="00C15525" w:rsidRDefault="007B6D52" w:rsidP="007B6D52">
      <w:pPr>
        <w:spacing w:before="120" w:after="0" w:line="276" w:lineRule="auto"/>
        <w:ind w:firstLine="708"/>
        <w:jc w:val="both"/>
        <w:rPr>
          <w:rFonts w:ascii="Verdana" w:hAnsi="Verdana"/>
          <w:sz w:val="24"/>
          <w:szCs w:val="24"/>
          <w:lang w:eastAsia="es-CO"/>
        </w:rPr>
      </w:pPr>
      <w:r w:rsidRPr="00C15525">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C15525">
        <w:rPr>
          <w:rFonts w:ascii="Verdana" w:hAnsi="Verdana" w:cs="Arial"/>
          <w:vertAlign w:val="superscript"/>
          <w:lang w:val="es-ES"/>
        </w:rPr>
        <w:footnoteReference w:id="27"/>
      </w:r>
      <w:r w:rsidRPr="00C15525">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C15525">
        <w:rPr>
          <w:rFonts w:ascii="Verdana" w:hAnsi="Verdana"/>
          <w:sz w:val="24"/>
          <w:szCs w:val="24"/>
          <w:lang w:eastAsia="es-CO"/>
        </w:rPr>
        <w:t>.</w:t>
      </w:r>
    </w:p>
    <w:p w14:paraId="7EA09E34" w14:textId="77777777" w:rsidR="007B6D52" w:rsidRPr="00C15525" w:rsidRDefault="007B6D52" w:rsidP="007B6D52">
      <w:pPr>
        <w:spacing w:before="120" w:after="0" w:line="276" w:lineRule="auto"/>
        <w:ind w:firstLine="708"/>
        <w:jc w:val="both"/>
        <w:rPr>
          <w:rFonts w:ascii="Verdana" w:eastAsia="Times New Roman" w:hAnsi="Verdana" w:cs="Arial"/>
          <w:lang w:val="es-MX" w:eastAsia="es-CO"/>
        </w:rPr>
      </w:pPr>
      <w:r w:rsidRPr="00C15525">
        <w:rPr>
          <w:rFonts w:ascii="Verdana" w:eastAsia="Arial" w:hAnsi="Verdana" w:cs="Arial"/>
          <w:lang w:val="es-MX" w:eastAsia="es-ES" w:bidi="es-ES"/>
        </w:rPr>
        <w:t>De esta manera, se</w:t>
      </w:r>
      <w:r w:rsidRPr="00C15525">
        <w:rPr>
          <w:rFonts w:ascii="Verdana" w:eastAsia="Times New Roman" w:hAnsi="Verdana" w:cs="Arial"/>
          <w:lang w:eastAsia="es-CO"/>
        </w:rPr>
        <w:t xml:space="preserve"> observa entonces que </w:t>
      </w:r>
      <w:r w:rsidRPr="00C15525">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w:t>
      </w:r>
      <w:r w:rsidRPr="00C15525">
        <w:rPr>
          <w:rFonts w:ascii="Verdana" w:eastAsia="Times New Roman" w:hAnsi="Verdana" w:cs="Arial"/>
          <w:lang w:val="es-MX" w:eastAsia="es-CO"/>
        </w:rPr>
        <w:lastRenderedPageBreak/>
        <w:t xml:space="preserve">celebrar </w:t>
      </w:r>
      <w:r w:rsidRPr="00C15525">
        <w:rPr>
          <w:rFonts w:ascii="Verdana" w:eastAsia="Times New Roman" w:hAnsi="Verdana" w:cs="Arial"/>
          <w:i/>
          <w:iCs/>
          <w:lang w:val="es-MX" w:eastAsia="es-CO"/>
        </w:rPr>
        <w:t>convenios interadministrativos</w:t>
      </w:r>
      <w:r w:rsidRPr="00C15525">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C15525">
        <w:rPr>
          <w:rFonts w:ascii="Verdana" w:eastAsia="Times New Roman" w:hAnsi="Verdana" w:cs="Arial"/>
          <w:i/>
          <w:lang w:val="es-MX" w:eastAsia="es-CO"/>
        </w:rPr>
        <w:t>ibidem</w:t>
      </w:r>
      <w:r w:rsidRPr="00C15525">
        <w:rPr>
          <w:rFonts w:ascii="Verdana" w:eastAsia="Times New Roman" w:hAnsi="Verdana" w:cs="Arial"/>
          <w:lang w:val="es-MX" w:eastAsia="es-CO"/>
        </w:rPr>
        <w:t xml:space="preserve">, no podrá celebrar tales </w:t>
      </w:r>
      <w:r w:rsidRPr="00C15525">
        <w:rPr>
          <w:rFonts w:ascii="Verdana" w:eastAsia="Times New Roman" w:hAnsi="Verdana" w:cs="Arial"/>
          <w:i/>
          <w:iCs/>
          <w:lang w:val="es-MX" w:eastAsia="es-CO"/>
        </w:rPr>
        <w:t>convenios</w:t>
      </w:r>
      <w:r w:rsidRPr="00C15525">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w:t>
      </w:r>
      <w:r w:rsidR="000A1034" w:rsidRPr="00C15525">
        <w:rPr>
          <w:rFonts w:ascii="Verdana" w:eastAsia="Times New Roman" w:hAnsi="Verdana" w:cs="Arial"/>
          <w:lang w:val="es-MX" w:eastAsia="es-CO"/>
        </w:rPr>
        <w:t xml:space="preserve">otra </w:t>
      </w:r>
      <w:r w:rsidRPr="00C15525">
        <w:rPr>
          <w:rFonts w:ascii="Verdana" w:eastAsia="Times New Roman" w:hAnsi="Verdana" w:cs="Arial"/>
          <w:lang w:val="es-MX" w:eastAsia="es-CO"/>
        </w:rPr>
        <w:t xml:space="preserve">tipología. </w:t>
      </w:r>
    </w:p>
    <w:p w14:paraId="72E224A7" w14:textId="6E044B28" w:rsidR="007B6D52" w:rsidRPr="00C15525" w:rsidRDefault="007B6D52" w:rsidP="007B6D52">
      <w:pPr>
        <w:spacing w:before="120" w:after="0" w:line="276" w:lineRule="auto"/>
        <w:ind w:firstLine="708"/>
        <w:jc w:val="both"/>
        <w:rPr>
          <w:rFonts w:ascii="Verdana" w:eastAsia="Times New Roman" w:hAnsi="Verdana" w:cs="Arial"/>
          <w:lang w:eastAsia="es-CO"/>
        </w:rPr>
      </w:pPr>
      <w:r w:rsidRPr="00C15525">
        <w:rPr>
          <w:rFonts w:ascii="Verdana" w:eastAsia="Times New Roman" w:hAnsi="Verdana" w:cs="Arial"/>
          <w:lang w:val="es-MX" w:eastAsia="es-CO"/>
        </w:rPr>
        <w:t>Respecto del alcance de esta prohibición la Circular Externa No. 006 de 2025 expedida por la A</w:t>
      </w:r>
      <w:r w:rsidR="00191CE0">
        <w:rPr>
          <w:rFonts w:ascii="Verdana" w:eastAsia="Times New Roman" w:hAnsi="Verdana" w:cs="Arial"/>
          <w:lang w:val="es-MX" w:eastAsia="es-CO"/>
        </w:rPr>
        <w:t xml:space="preserve">gencia </w:t>
      </w:r>
      <w:r w:rsidRPr="00C15525">
        <w:rPr>
          <w:rFonts w:ascii="Verdana" w:eastAsia="Times New Roman" w:hAnsi="Verdana" w:cs="Arial"/>
          <w:lang w:val="es-MX" w:eastAsia="es-CO"/>
        </w:rPr>
        <w:t>N</w:t>
      </w:r>
      <w:r w:rsidR="00191CE0">
        <w:rPr>
          <w:rFonts w:ascii="Verdana" w:eastAsia="Times New Roman" w:hAnsi="Verdana" w:cs="Arial"/>
          <w:lang w:val="es-MX" w:eastAsia="es-CO"/>
        </w:rPr>
        <w:t xml:space="preserve">acional de </w:t>
      </w:r>
      <w:r w:rsidRPr="00C15525">
        <w:rPr>
          <w:rFonts w:ascii="Verdana" w:eastAsia="Times New Roman" w:hAnsi="Verdana" w:cs="Arial"/>
          <w:lang w:val="es-MX" w:eastAsia="es-CO"/>
        </w:rPr>
        <w:t>C</w:t>
      </w:r>
      <w:r w:rsidR="00191CE0">
        <w:rPr>
          <w:rFonts w:ascii="Verdana" w:eastAsia="Times New Roman" w:hAnsi="Verdana" w:cs="Arial"/>
          <w:lang w:val="es-MX" w:eastAsia="es-CO"/>
        </w:rPr>
        <w:t xml:space="preserve">ontratación Pública </w:t>
      </w:r>
      <w:r w:rsidR="009051DA">
        <w:rPr>
          <w:rFonts w:ascii="Verdana" w:eastAsia="Times New Roman" w:hAnsi="Verdana" w:cs="Arial"/>
          <w:lang w:val="es-MX" w:eastAsia="es-CO"/>
        </w:rPr>
        <w:t xml:space="preserve">– </w:t>
      </w:r>
      <w:r w:rsidRPr="00C15525">
        <w:rPr>
          <w:rFonts w:ascii="Verdana" w:eastAsia="Times New Roman" w:hAnsi="Verdana" w:cs="Arial"/>
          <w:lang w:val="es-MX" w:eastAsia="es-CO"/>
        </w:rPr>
        <w:t>C</w:t>
      </w:r>
      <w:r w:rsidR="009051DA">
        <w:rPr>
          <w:rFonts w:ascii="Verdana" w:eastAsia="Times New Roman" w:hAnsi="Verdana" w:cs="Arial"/>
          <w:lang w:val="es-MX" w:eastAsia="es-CO"/>
        </w:rPr>
        <w:t xml:space="preserve">olombia </w:t>
      </w:r>
      <w:r w:rsidRPr="00C15525">
        <w:rPr>
          <w:rFonts w:ascii="Verdana" w:eastAsia="Times New Roman" w:hAnsi="Verdana" w:cs="Arial"/>
          <w:lang w:val="es-MX" w:eastAsia="es-CO"/>
        </w:rPr>
        <w:t>C</w:t>
      </w:r>
      <w:r w:rsidR="009051DA">
        <w:rPr>
          <w:rFonts w:ascii="Verdana" w:eastAsia="Times New Roman" w:hAnsi="Verdana" w:cs="Arial"/>
          <w:lang w:val="es-MX" w:eastAsia="es-CO"/>
        </w:rPr>
        <w:t xml:space="preserve">ompra </w:t>
      </w:r>
      <w:r w:rsidRPr="00C15525">
        <w:rPr>
          <w:rFonts w:ascii="Verdana" w:eastAsia="Times New Roman" w:hAnsi="Verdana" w:cs="Arial"/>
          <w:lang w:val="es-MX" w:eastAsia="es-CO"/>
        </w:rPr>
        <w:t>E</w:t>
      </w:r>
      <w:r w:rsidR="009051DA">
        <w:rPr>
          <w:rFonts w:ascii="Verdana" w:eastAsia="Times New Roman" w:hAnsi="Verdana" w:cs="Arial"/>
          <w:lang w:val="es-MX" w:eastAsia="es-CO"/>
        </w:rPr>
        <w:t>ficiente</w:t>
      </w:r>
      <w:r w:rsidRPr="00C15525">
        <w:rPr>
          <w:rFonts w:ascii="Verdana" w:eastAsia="Times New Roman" w:hAnsi="Verdana" w:cs="Arial"/>
          <w:lang w:val="es-MX" w:eastAsia="es-CO"/>
        </w:rPr>
        <w:t xml:space="preserve">, en los literales </w:t>
      </w:r>
      <w:proofErr w:type="spellStart"/>
      <w:r w:rsidRPr="00C15525">
        <w:rPr>
          <w:rFonts w:ascii="Verdana" w:eastAsia="Times New Roman" w:hAnsi="Verdana" w:cs="Arial"/>
          <w:lang w:val="es-MX" w:eastAsia="es-CO"/>
        </w:rPr>
        <w:t>ii</w:t>
      </w:r>
      <w:proofErr w:type="spellEnd"/>
      <w:r w:rsidRPr="00C15525">
        <w:rPr>
          <w:rFonts w:ascii="Verdana" w:eastAsia="Times New Roman" w:hAnsi="Verdana" w:cs="Arial"/>
          <w:lang w:val="es-MX" w:eastAsia="es-CO"/>
        </w:rPr>
        <w:t xml:space="preserve">) y </w:t>
      </w:r>
      <w:proofErr w:type="spellStart"/>
      <w:r w:rsidRPr="00C15525">
        <w:rPr>
          <w:rFonts w:ascii="Verdana" w:eastAsia="Times New Roman" w:hAnsi="Verdana" w:cs="Arial"/>
          <w:lang w:val="es-MX" w:eastAsia="es-CO"/>
        </w:rPr>
        <w:t>iv</w:t>
      </w:r>
      <w:proofErr w:type="spellEnd"/>
      <w:r w:rsidRPr="00C15525">
        <w:rPr>
          <w:rFonts w:ascii="Verdana" w:eastAsia="Times New Roman" w:hAnsi="Verdana" w:cs="Arial"/>
          <w:lang w:val="es-MX" w:eastAsia="es-CO"/>
        </w:rPr>
        <w:t>) del numeral 2</w:t>
      </w:r>
      <w:r w:rsidRPr="00C15525">
        <w:rPr>
          <w:rFonts w:ascii="Verdana" w:eastAsia="Times New Roman" w:hAnsi="Verdana" w:cs="Arial"/>
          <w:lang w:eastAsia="es-CO"/>
        </w:rPr>
        <w:t>,</w:t>
      </w:r>
      <w:r w:rsidRPr="00C15525">
        <w:rPr>
          <w:rFonts w:ascii="Verdana" w:eastAsia="Times New Roman" w:hAnsi="Verdana" w:cs="Arial"/>
          <w:lang w:val="es-MX" w:eastAsia="es-CO"/>
        </w:rPr>
        <w:t xml:space="preserve"> indica que el </w:t>
      </w:r>
      <w:r w:rsidRPr="00C15525">
        <w:rPr>
          <w:rFonts w:ascii="Verdana" w:eastAsia="Times New Roman" w:hAnsi="Verdana" w:cs="Arial"/>
          <w:lang w:eastAsia="es-CO"/>
        </w:rPr>
        <w:t xml:space="preserve">parágrafo del artículo 38 de la Ley 996 de 2005 cobija expresamente a los </w:t>
      </w:r>
      <w:r w:rsidRPr="00C15525">
        <w:rPr>
          <w:rFonts w:ascii="Verdana" w:eastAsia="Times New Roman" w:hAnsi="Verdana" w:cs="Arial"/>
          <w:i/>
          <w:iCs/>
          <w:lang w:eastAsia="es-CO"/>
        </w:rPr>
        <w:t>convenios interadministrativos</w:t>
      </w:r>
      <w:r w:rsidRPr="00C15525">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C15525">
        <w:rPr>
          <w:rFonts w:ascii="Verdana" w:eastAsia="Times New Roman" w:hAnsi="Verdana" w:cs="Arial"/>
          <w:i/>
          <w:iCs/>
          <w:lang w:eastAsia="es-CO"/>
        </w:rPr>
        <w:t>“aunque se configure alguno de los supuestos de excepción que señaló el inciso final del artículo 33</w:t>
      </w:r>
      <w:r w:rsidRPr="00C15525">
        <w:rPr>
          <w:rFonts w:ascii="Verdana" w:eastAsia="Times New Roman" w:hAnsi="Verdana" w:cs="Arial"/>
          <w:lang w:eastAsia="es-CO"/>
        </w:rPr>
        <w:t xml:space="preserve">”. </w:t>
      </w:r>
    </w:p>
    <w:p w14:paraId="68A50CEE" w14:textId="77777777" w:rsidR="007B6D52" w:rsidRPr="00C15525" w:rsidRDefault="007B6D52" w:rsidP="007B6D52">
      <w:pPr>
        <w:spacing w:before="120" w:after="0" w:line="276" w:lineRule="auto"/>
        <w:ind w:firstLine="708"/>
        <w:jc w:val="both"/>
        <w:rPr>
          <w:rFonts w:ascii="Verdana" w:eastAsia="Times New Roman" w:hAnsi="Verdana" w:cs="Arial"/>
          <w:lang w:eastAsia="es-CO"/>
        </w:rPr>
      </w:pPr>
      <w:r w:rsidRPr="00C15525">
        <w:rPr>
          <w:rFonts w:ascii="Verdana" w:eastAsia="Times New Roman" w:hAnsi="Verdana" w:cs="Arial"/>
          <w:lang w:eastAsia="es-CO"/>
        </w:rPr>
        <w:t xml:space="preserve">De esta manera, conforme a lo dispuesto en la Circular referida, si se suscriben </w:t>
      </w:r>
      <w:r w:rsidRPr="00C15525">
        <w:rPr>
          <w:rFonts w:ascii="Verdana" w:eastAsia="Times New Roman" w:hAnsi="Verdana" w:cs="Arial"/>
          <w:i/>
          <w:iCs/>
          <w:lang w:eastAsia="es-CO"/>
        </w:rPr>
        <w:t>convenios interadministrativos para la ejecución de recursos públicos</w:t>
      </w:r>
      <w:r w:rsidRPr="00C15525">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C15525">
        <w:rPr>
          <w:rFonts w:ascii="Verdana" w:eastAsia="Times New Roman" w:hAnsi="Verdana" w:cs="Arial"/>
          <w:i/>
          <w:iCs/>
          <w:lang w:eastAsia="es-CO"/>
        </w:rPr>
        <w:t>ibidem</w:t>
      </w:r>
      <w:r w:rsidRPr="00C15525">
        <w:rPr>
          <w:rFonts w:ascii="Verdana" w:eastAsia="Times New Roman" w:hAnsi="Verdana" w:cs="Arial"/>
          <w:lang w:eastAsia="es-CO"/>
        </w:rPr>
        <w:t>, independientemente de que se configure alguno de los supuestos de excepción que señaló el inciso final del artículo 33, es decir, que se trate de:</w:t>
      </w:r>
      <w:r w:rsidRPr="00C15525">
        <w:rPr>
          <w:rFonts w:ascii="Verdana" w:hAnsi="Verdana" w:cs="Arial"/>
          <w:bCs/>
          <w:lang w:val="es-MX" w:eastAsia="x-none"/>
        </w:rPr>
        <w:t xml:space="preserve"> i) la defensa y seguridad del Estado; ii) los contratos de crédito público; iii) los requeridos para cubrir las emergencias educativas, sanitarias y desastres; </w:t>
      </w:r>
      <w:proofErr w:type="spellStart"/>
      <w:r w:rsidRPr="00C15525">
        <w:rPr>
          <w:rFonts w:ascii="Verdana" w:hAnsi="Verdana" w:cs="Arial"/>
          <w:bCs/>
          <w:lang w:val="es-MX" w:eastAsia="x-none"/>
        </w:rPr>
        <w:t>iv</w:t>
      </w:r>
      <w:proofErr w:type="spellEnd"/>
      <w:r w:rsidRPr="00C15525">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15525">
        <w:rPr>
          <w:rFonts w:ascii="Verdana" w:hAnsi="Verdana" w:cs="Arial"/>
          <w:bCs/>
          <w:lang w:val="es-MX" w:eastAsia="es-CO"/>
        </w:rPr>
        <w:t xml:space="preserve"> </w:t>
      </w:r>
      <w:r w:rsidRPr="00C15525">
        <w:rPr>
          <w:rFonts w:ascii="Verdana" w:eastAsia="Times New Roman" w:hAnsi="Verdana" w:cs="Arial"/>
          <w:lang w:eastAsia="es-CO"/>
        </w:rPr>
        <w:t xml:space="preserve">  </w:t>
      </w:r>
    </w:p>
    <w:p w14:paraId="1EEE06D1" w14:textId="2EB63FF9" w:rsidR="007B6D52" w:rsidRPr="00C15525" w:rsidRDefault="007B6D52" w:rsidP="007B6D52">
      <w:pPr>
        <w:spacing w:before="120" w:after="0" w:line="276" w:lineRule="auto"/>
        <w:ind w:firstLine="708"/>
        <w:jc w:val="both"/>
        <w:rPr>
          <w:rFonts w:ascii="Verdana" w:eastAsia="Times New Roman" w:hAnsi="Verdana" w:cs="Arial"/>
          <w:lang w:eastAsia="es-CO"/>
        </w:rPr>
      </w:pPr>
      <w:r w:rsidRPr="00C15525">
        <w:rPr>
          <w:rFonts w:ascii="Verdana" w:eastAsia="Times New Roman" w:hAnsi="Verdana" w:cs="Arial"/>
          <w:lang w:eastAsia="es-CO"/>
        </w:rPr>
        <w:t xml:space="preserve">En este punto, teniendo en cuenta lo señalado en el contenido de su petición, vale la pena destacar </w:t>
      </w:r>
      <w:r w:rsidR="009051DA" w:rsidRPr="00C15525">
        <w:rPr>
          <w:rFonts w:ascii="Verdana" w:eastAsia="Times New Roman" w:hAnsi="Verdana" w:cs="Arial"/>
          <w:lang w:eastAsia="es-CO"/>
        </w:rPr>
        <w:t>que,</w:t>
      </w:r>
      <w:r w:rsidRPr="00C15525">
        <w:rPr>
          <w:rFonts w:ascii="Verdana" w:eastAsia="Times New Roman" w:hAnsi="Verdana" w:cs="Arial"/>
          <w:lang w:eastAsia="es-CO"/>
        </w:rPr>
        <w:t xml:space="preserve"> </w:t>
      </w:r>
      <w:r w:rsidRPr="00C15525">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C15525">
        <w:rPr>
          <w:rFonts w:ascii="Verdana" w:hAnsi="Verdana" w:cs="Arial"/>
        </w:rPr>
        <w:t xml:space="preserve">numeral 16.2 de la Circular Externa Única de 2022 expedida por la Agencia Nacional de Contratación Pública – Colombia </w:t>
      </w:r>
      <w:r w:rsidRPr="00C15525">
        <w:rPr>
          <w:rFonts w:ascii="Verdana" w:hAnsi="Verdana" w:cs="Arial"/>
        </w:rPr>
        <w:lastRenderedPageBreak/>
        <w:t>Compra Eficiente, concretamente, respecto de los siguientes apartes normativos</w:t>
      </w:r>
      <w:r w:rsidRPr="00C15525">
        <w:rPr>
          <w:rFonts w:ascii="Verdana" w:hAnsi="Verdana" w:cs="Arial"/>
          <w:vertAlign w:val="superscript"/>
        </w:rPr>
        <w:footnoteReference w:id="28"/>
      </w:r>
      <w:r w:rsidRPr="00C15525">
        <w:rPr>
          <w:rFonts w:ascii="Verdana" w:hAnsi="Verdana" w:cs="Arial"/>
        </w:rPr>
        <w:t xml:space="preserve">: </w:t>
      </w:r>
    </w:p>
    <w:p w14:paraId="2C88392C" w14:textId="77777777" w:rsidR="007B6D52" w:rsidRPr="00C15525" w:rsidRDefault="007B6D52" w:rsidP="007B6D52">
      <w:pPr>
        <w:spacing w:after="0" w:line="276" w:lineRule="auto"/>
        <w:ind w:firstLine="709"/>
        <w:jc w:val="both"/>
        <w:rPr>
          <w:rFonts w:ascii="Verdana" w:hAnsi="Verdana" w:cs="Arial"/>
        </w:rPr>
      </w:pPr>
    </w:p>
    <w:p w14:paraId="01061E23" w14:textId="77777777" w:rsidR="007B6D52" w:rsidRDefault="007B6D52" w:rsidP="009051DA">
      <w:pPr>
        <w:spacing w:after="0" w:line="240" w:lineRule="auto"/>
        <w:ind w:left="709" w:right="709"/>
        <w:jc w:val="both"/>
        <w:rPr>
          <w:rFonts w:ascii="Verdana" w:hAnsi="Verdana" w:cs="Arial"/>
          <w:sz w:val="20"/>
          <w:szCs w:val="20"/>
        </w:rPr>
      </w:pPr>
      <w:r w:rsidRPr="00C15525">
        <w:rPr>
          <w:rFonts w:ascii="Verdana" w:hAnsi="Verdana" w:cs="Arial"/>
          <w:sz w:val="20"/>
          <w:szCs w:val="20"/>
          <w:lang w:val="es-MX"/>
        </w:rPr>
        <w:t>“i)</w:t>
      </w:r>
      <w:r w:rsidRPr="00C15525">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7561092E" w14:textId="77777777" w:rsidR="009051DA" w:rsidRPr="00C15525" w:rsidRDefault="009051DA" w:rsidP="008363F8">
      <w:pPr>
        <w:spacing w:after="0" w:line="240" w:lineRule="auto"/>
        <w:ind w:left="709" w:right="709"/>
        <w:jc w:val="both"/>
        <w:rPr>
          <w:rFonts w:ascii="Verdana" w:hAnsi="Verdana" w:cs="Arial"/>
          <w:sz w:val="20"/>
          <w:szCs w:val="20"/>
        </w:rPr>
      </w:pPr>
    </w:p>
    <w:p w14:paraId="62BECD53" w14:textId="77777777" w:rsidR="007B6D52" w:rsidRPr="00C15525" w:rsidRDefault="007B6D52" w:rsidP="009051DA">
      <w:pPr>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4CD7D43A" w14:textId="77777777" w:rsidR="007B6D52" w:rsidRPr="00C15525" w:rsidRDefault="007B6D52" w:rsidP="007B6D52">
      <w:pPr>
        <w:spacing w:after="0" w:line="276" w:lineRule="auto"/>
        <w:ind w:left="709" w:right="709"/>
        <w:jc w:val="both"/>
        <w:rPr>
          <w:rFonts w:ascii="Verdana" w:hAnsi="Verdana" w:cs="Arial"/>
        </w:rPr>
      </w:pPr>
    </w:p>
    <w:p w14:paraId="543FCA83" w14:textId="77777777" w:rsidR="009051DA" w:rsidRDefault="007B6D52" w:rsidP="007B6D52">
      <w:pPr>
        <w:spacing w:after="120" w:line="276" w:lineRule="auto"/>
        <w:ind w:firstLine="709"/>
        <w:jc w:val="both"/>
        <w:rPr>
          <w:rFonts w:ascii="Verdana" w:hAnsi="Verdana"/>
          <w:sz w:val="24"/>
          <w:szCs w:val="24"/>
          <w:lang w:eastAsia="es-CO"/>
        </w:rPr>
      </w:pPr>
      <w:r w:rsidRPr="00C15525">
        <w:rPr>
          <w:rFonts w:ascii="Verdana" w:eastAsia="Arial" w:hAnsi="Verdana" w:cs="Arial"/>
          <w:lang w:val="es-MX" w:eastAsia="es-ES" w:bidi="es-ES"/>
        </w:rPr>
        <w:t xml:space="preserve">De conformidad con los argumentos de dicha providencia, se parte de la distinción entre los conceptos </w:t>
      </w:r>
      <w:r w:rsidRPr="00C15525">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C15525">
        <w:rPr>
          <w:rFonts w:ascii="Verdana" w:hAnsi="Verdana"/>
          <w:sz w:val="24"/>
          <w:szCs w:val="24"/>
          <w:lang w:eastAsia="es-CO"/>
        </w:rPr>
        <w:t xml:space="preserve"> </w:t>
      </w:r>
    </w:p>
    <w:p w14:paraId="0EF589AB" w14:textId="2C8A648A" w:rsidR="007B6D52" w:rsidRPr="00C15525" w:rsidRDefault="007B6D52" w:rsidP="007B6D52">
      <w:pPr>
        <w:spacing w:after="120" w:line="276" w:lineRule="auto"/>
        <w:ind w:firstLine="709"/>
        <w:jc w:val="both"/>
        <w:rPr>
          <w:rFonts w:ascii="Verdana" w:eastAsia="Arial" w:hAnsi="Verdana" w:cs="Arial"/>
          <w:i/>
          <w:iCs/>
          <w:lang w:eastAsia="es-ES" w:bidi="es-ES"/>
        </w:rPr>
      </w:pPr>
      <w:r w:rsidRPr="00C15525">
        <w:rPr>
          <w:rFonts w:ascii="Verdana" w:eastAsia="Arial" w:hAnsi="Verdana" w:cs="Arial"/>
          <w:lang w:eastAsia="es-ES" w:bidi="es-ES"/>
        </w:rPr>
        <w:t xml:space="preserve">En este sentido, en relación con el parágrafo del artículo 38 de la Ley 996 de 2005 concluyó que </w:t>
      </w:r>
      <w:r w:rsidRPr="00C15525">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15525">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C15525">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sidRPr="00C15525">
        <w:rPr>
          <w:rFonts w:ascii="Verdana" w:eastAsia="Arial" w:hAnsi="Verdana" w:cs="Arial"/>
          <w:lang w:eastAsia="es-ES" w:bidi="es-ES"/>
        </w:rPr>
        <w:t>”</w:t>
      </w:r>
      <w:r w:rsidRPr="00C15525">
        <w:rPr>
          <w:rFonts w:ascii="Verdana" w:eastAsia="Arial" w:hAnsi="Verdana" w:cs="Arial"/>
          <w:i/>
          <w:iCs/>
          <w:lang w:eastAsia="es-ES" w:bidi="es-ES"/>
        </w:rPr>
        <w:t xml:space="preserve">. </w:t>
      </w:r>
    </w:p>
    <w:p w14:paraId="7CAF1B5E" w14:textId="77777777" w:rsidR="007B6D52" w:rsidRPr="00C15525" w:rsidRDefault="007B6D52" w:rsidP="007B6D52">
      <w:pPr>
        <w:spacing w:after="120" w:line="276" w:lineRule="auto"/>
        <w:ind w:firstLine="709"/>
        <w:jc w:val="both"/>
        <w:rPr>
          <w:rFonts w:ascii="Verdana" w:eastAsia="Arial" w:hAnsi="Verdana" w:cs="Arial"/>
          <w:lang w:eastAsia="es-ES" w:bidi="es-ES"/>
        </w:rPr>
      </w:pPr>
      <w:r w:rsidRPr="00C15525">
        <w:rPr>
          <w:rFonts w:ascii="Verdana" w:eastAsia="Arial" w:hAnsi="Verdana" w:cs="Arial"/>
          <w:lang w:eastAsia="es-ES" w:bidi="es-ES"/>
        </w:rPr>
        <w:lastRenderedPageBreak/>
        <w:t>De igual manera, mediante auto del 6 de noviembre de 2025, el Consejo de Estado, Subsección A de la Sección Tercera, decretó</w:t>
      </w:r>
      <w:r w:rsidRPr="00C15525">
        <w:rPr>
          <w:rFonts w:ascii="Verdana" w:eastAsia="Arial" w:hAnsi="Verdana" w:cs="Arial"/>
          <w:b/>
          <w:bCs/>
          <w:lang w:eastAsia="es-ES" w:bidi="es-ES"/>
        </w:rPr>
        <w:t xml:space="preserve"> </w:t>
      </w:r>
      <w:r w:rsidRPr="00C15525">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C15525">
        <w:rPr>
          <w:rFonts w:ascii="Verdana" w:eastAsia="Arial" w:hAnsi="Verdana" w:cs="Arial"/>
          <w:vertAlign w:val="superscript"/>
          <w:lang w:eastAsia="es-ES" w:bidi="es-ES"/>
        </w:rPr>
        <w:footnoteReference w:id="29"/>
      </w:r>
      <w:r w:rsidRPr="00C15525">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64B9D278" w14:textId="77777777" w:rsidR="007B6D52" w:rsidRPr="00C15525" w:rsidRDefault="007B6D52" w:rsidP="007B6D52">
      <w:pPr>
        <w:spacing w:after="120" w:line="276" w:lineRule="auto"/>
        <w:ind w:firstLine="709"/>
        <w:jc w:val="both"/>
        <w:rPr>
          <w:rFonts w:ascii="Verdana" w:eastAsia="Times New Roman" w:hAnsi="Verdana" w:cs="Times New Roman"/>
          <w:lang w:eastAsia="es-ES"/>
        </w:rPr>
      </w:pPr>
      <w:r w:rsidRPr="00C15525">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C15525">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47CC2008" w14:textId="64B12AD0" w:rsidR="007B6D52" w:rsidRPr="00C15525" w:rsidRDefault="007B6D52" w:rsidP="007B6D52">
      <w:pPr>
        <w:spacing w:after="120" w:line="276" w:lineRule="auto"/>
        <w:ind w:firstLine="709"/>
        <w:jc w:val="both"/>
        <w:rPr>
          <w:rFonts w:ascii="Verdana" w:eastAsia="Times New Roman" w:hAnsi="Verdana" w:cs="Times New Roman"/>
          <w:lang w:eastAsia="es-ES"/>
        </w:rPr>
      </w:pPr>
      <w:r w:rsidRPr="00C15525">
        <w:rPr>
          <w:rFonts w:ascii="Verdana" w:eastAsia="Times New Roman" w:hAnsi="Verdana" w:cs="Times New Roman"/>
          <w:lang w:eastAsia="es-ES"/>
        </w:rPr>
        <w:t>La anterior decisión se adoptó al considerar que</w:t>
      </w:r>
      <w:r w:rsidR="009051DA">
        <w:rPr>
          <w:rFonts w:ascii="Verdana" w:eastAsia="Times New Roman" w:hAnsi="Verdana" w:cs="Times New Roman"/>
          <w:lang w:eastAsia="es-ES"/>
        </w:rPr>
        <w:t>,</w:t>
      </w:r>
      <w:r w:rsidRPr="00C15525">
        <w:rPr>
          <w:rFonts w:ascii="Verdana" w:eastAsia="Times New Roman" w:hAnsi="Verdana" w:cs="Times New Roman"/>
          <w:lang w:eastAsia="es-ES"/>
        </w:rPr>
        <w:t xml:space="preserve"> la Agencia excedió su competencia material al incluir contratos en una restricción que la Ley de Garantías Electorales solo previó para convenios, cuando no es posible aplicar por analogía o extensión una norma que establece prohibiciones</w:t>
      </w:r>
      <w:r w:rsidRPr="00C15525">
        <w:rPr>
          <w:rFonts w:ascii="Verdana" w:eastAsia="Times New Roman" w:hAnsi="Verdana" w:cs="Times New Roman"/>
          <w:vertAlign w:val="superscript"/>
          <w:lang w:eastAsia="es-ES"/>
        </w:rPr>
        <w:footnoteReference w:id="30"/>
      </w:r>
      <w:r w:rsidRPr="00C15525">
        <w:rPr>
          <w:rFonts w:ascii="Verdana" w:eastAsia="Times New Roman" w:hAnsi="Verdana" w:cs="Times New Roman"/>
          <w:lang w:eastAsia="es-ES"/>
        </w:rPr>
        <w:t xml:space="preserve">. Sobre el </w:t>
      </w:r>
      <w:r w:rsidRPr="00C15525">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7CF5B5F5" w14:textId="77777777" w:rsidR="007B6D52" w:rsidRPr="00C15525" w:rsidRDefault="007B6D52" w:rsidP="007B6D52">
      <w:pPr>
        <w:spacing w:after="120" w:line="276" w:lineRule="auto"/>
        <w:ind w:firstLine="709"/>
        <w:jc w:val="both"/>
        <w:rPr>
          <w:rFonts w:ascii="Verdana" w:eastAsia="Times New Roman" w:hAnsi="Verdana" w:cs="Arial"/>
          <w:lang w:eastAsia="es-CO"/>
        </w:rPr>
      </w:pPr>
      <w:r w:rsidRPr="00C15525">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r w:rsidRPr="00C15525">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C15525">
        <w:rPr>
          <w:rFonts w:ascii="Verdana" w:eastAsia="Times New Roman" w:hAnsi="Verdana" w:cs="Arial"/>
          <w:i/>
          <w:iCs/>
          <w:lang w:eastAsia="es-CO"/>
        </w:rPr>
        <w:t>contratos interadministrativos</w:t>
      </w:r>
      <w:r w:rsidRPr="00C15525">
        <w:rPr>
          <w:rFonts w:ascii="Verdana" w:eastAsia="Times New Roman" w:hAnsi="Verdana" w:cs="Arial"/>
          <w:lang w:eastAsia="es-CO"/>
        </w:rPr>
        <w:t>, esta prohibición solo aplicaría a los convenios interadministrativos que impliquen la ejecución de recursos públicos</w:t>
      </w:r>
      <w:r w:rsidRPr="00C15525">
        <w:rPr>
          <w:rFonts w:ascii="Verdana" w:eastAsia="Times New Roman" w:hAnsi="Verdana" w:cs="Arial"/>
          <w:vertAlign w:val="superscript"/>
          <w:lang w:eastAsia="es-CO"/>
        </w:rPr>
        <w:footnoteReference w:id="31"/>
      </w:r>
      <w:r w:rsidRPr="00C15525">
        <w:rPr>
          <w:rFonts w:ascii="Verdana" w:eastAsia="Times New Roman" w:hAnsi="Verdana" w:cs="Arial"/>
          <w:lang w:eastAsia="es-CO"/>
        </w:rPr>
        <w:t>.</w:t>
      </w:r>
    </w:p>
    <w:p w14:paraId="79527D26" w14:textId="77777777" w:rsidR="007B6D52" w:rsidRPr="00C15525" w:rsidRDefault="007B6D52" w:rsidP="008363F8">
      <w:pPr>
        <w:spacing w:after="0" w:line="276" w:lineRule="auto"/>
        <w:ind w:firstLine="709"/>
        <w:jc w:val="both"/>
        <w:rPr>
          <w:rFonts w:ascii="Verdana" w:eastAsia="Times New Roman" w:hAnsi="Verdana" w:cs="Arial"/>
          <w:lang w:eastAsia="es-CO" w:bidi="es-ES"/>
        </w:rPr>
      </w:pPr>
      <w:r w:rsidRPr="00C15525">
        <w:rPr>
          <w:rFonts w:ascii="Verdana" w:eastAsia="Times New Roman" w:hAnsi="Verdana" w:cs="Arial"/>
          <w:lang w:eastAsia="es-CO" w:bidi="es-ES"/>
        </w:rPr>
        <w:t xml:space="preserve">En todo caso,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w:t>
      </w:r>
      <w:r w:rsidRPr="00C15525">
        <w:rPr>
          <w:rFonts w:ascii="Verdana" w:eastAsia="Times New Roman" w:hAnsi="Verdana" w:cs="Arial"/>
          <w:lang w:eastAsia="es-CO" w:bidi="es-ES"/>
        </w:rPr>
        <w:lastRenderedPageBreak/>
        <w:t>derecho que tienen los ciudadanos al acceso y oportuna administración de justicia</w:t>
      </w:r>
      <w:r w:rsidRPr="00C15525">
        <w:rPr>
          <w:rFonts w:ascii="Verdana" w:eastAsia="Times New Roman" w:hAnsi="Verdana" w:cs="Arial"/>
          <w:vertAlign w:val="superscript"/>
          <w:lang w:eastAsia="es-CO" w:bidi="es-ES"/>
        </w:rPr>
        <w:footnoteReference w:id="32"/>
      </w:r>
      <w:r w:rsidRPr="00C15525">
        <w:rPr>
          <w:rFonts w:ascii="Verdana" w:eastAsia="Times New Roman" w:hAnsi="Verdana" w:cs="Arial"/>
          <w:lang w:eastAsia="es-CO" w:bidi="es-ES"/>
        </w:rPr>
        <w:t>.</w:t>
      </w:r>
    </w:p>
    <w:p w14:paraId="5CA2B3CC" w14:textId="6C981276" w:rsidR="003C2317" w:rsidRDefault="003C2317" w:rsidP="009051DA">
      <w:pPr>
        <w:spacing w:after="0" w:line="276" w:lineRule="auto"/>
        <w:jc w:val="both"/>
        <w:rPr>
          <w:rFonts w:ascii="Verdana" w:eastAsia="Times New Roman" w:hAnsi="Verdana" w:cs="Arial"/>
          <w:bCs/>
          <w:lang w:eastAsia="x-none"/>
        </w:rPr>
      </w:pPr>
    </w:p>
    <w:p w14:paraId="66F1B8D5" w14:textId="1A177334" w:rsidR="000A1034" w:rsidRDefault="009051DA" w:rsidP="008363F8">
      <w:pPr>
        <w:spacing w:after="120" w:line="276" w:lineRule="auto"/>
        <w:jc w:val="both"/>
        <w:rPr>
          <w:rFonts w:ascii="Verdana" w:eastAsia="Times New Roman" w:hAnsi="Verdana" w:cs="Arial"/>
          <w:bCs/>
          <w:lang w:val="es-MX" w:eastAsia="x-none"/>
        </w:rPr>
      </w:pPr>
      <w:r>
        <w:rPr>
          <w:rFonts w:ascii="Verdana" w:eastAsia="Times New Roman" w:hAnsi="Verdana" w:cs="Arial"/>
          <w:bCs/>
          <w:lang w:eastAsia="x-none"/>
        </w:rPr>
        <w:t xml:space="preserve">v) </w:t>
      </w:r>
      <w:r w:rsidR="00CD2598">
        <w:rPr>
          <w:rFonts w:ascii="Verdana" w:eastAsia="Times New Roman" w:hAnsi="Verdana" w:cs="Arial"/>
          <w:bCs/>
          <w:lang w:val="es-MX" w:eastAsia="x-none"/>
        </w:rPr>
        <w:t xml:space="preserve">Una vez analizadas las restricciones aplicables en materia de contratación estatal en materia de </w:t>
      </w:r>
      <w:r w:rsidR="00A076E3">
        <w:rPr>
          <w:rFonts w:ascii="Verdana" w:eastAsia="Times New Roman" w:hAnsi="Verdana" w:cs="Arial"/>
          <w:bCs/>
          <w:lang w:val="es-MX" w:eastAsia="x-none"/>
        </w:rPr>
        <w:t>contratación pública, es menester analizar el contrato de comodato al cual se refiere en su consulta.</w:t>
      </w:r>
      <w:r w:rsidR="00CD2598">
        <w:rPr>
          <w:rFonts w:ascii="Verdana" w:eastAsia="Times New Roman" w:hAnsi="Verdana" w:cs="Arial"/>
          <w:bCs/>
          <w:lang w:val="es-MX" w:eastAsia="x-none"/>
        </w:rPr>
        <w:t xml:space="preserve"> </w:t>
      </w:r>
      <w:r w:rsidR="00A076E3">
        <w:rPr>
          <w:rFonts w:ascii="Verdana" w:eastAsia="Times New Roman" w:hAnsi="Verdana" w:cs="Arial"/>
          <w:bCs/>
          <w:lang w:val="es-MX" w:eastAsia="x-none"/>
        </w:rPr>
        <w:t>E</w:t>
      </w:r>
      <w:r w:rsidR="001730F7">
        <w:rPr>
          <w:rFonts w:ascii="Verdana" w:eastAsia="Times New Roman" w:hAnsi="Verdana" w:cs="Arial"/>
          <w:bCs/>
          <w:lang w:val="es-MX" w:eastAsia="x-none"/>
        </w:rPr>
        <w:t xml:space="preserve">l artículo 32 de la Ley 80 de 1993, define de manera enunciativa que son contratos estatales los contratos de obra, </w:t>
      </w:r>
      <w:r w:rsidR="00BE5C0F">
        <w:rPr>
          <w:rFonts w:ascii="Verdana" w:eastAsia="Times New Roman" w:hAnsi="Verdana" w:cs="Arial"/>
          <w:bCs/>
          <w:lang w:val="es-MX" w:eastAsia="x-none"/>
        </w:rPr>
        <w:t>consultoría, prestación de servicios, concesión</w:t>
      </w:r>
      <w:r w:rsidR="007A7F35">
        <w:rPr>
          <w:rFonts w:ascii="Verdana" w:eastAsia="Times New Roman" w:hAnsi="Verdana" w:cs="Arial"/>
          <w:bCs/>
          <w:lang w:val="es-MX" w:eastAsia="x-none"/>
        </w:rPr>
        <w:t xml:space="preserve">, encargos fiduciarios y fiducia pública. </w:t>
      </w:r>
      <w:r w:rsidR="00B8170B">
        <w:rPr>
          <w:rFonts w:ascii="Verdana" w:eastAsia="Times New Roman" w:hAnsi="Verdana" w:cs="Arial"/>
          <w:bCs/>
          <w:lang w:val="es-MX" w:eastAsia="x-none"/>
        </w:rPr>
        <w:t xml:space="preserve">Sin embargo, al tratarse de un listado enunciativo, la Ley 80 de 1993 se integra con las tipologías contractuales previstas en el derecho privado. Por ello, el inciso </w:t>
      </w:r>
      <w:r w:rsidR="00066C0C">
        <w:rPr>
          <w:rFonts w:ascii="Verdana" w:eastAsia="Times New Roman" w:hAnsi="Verdana" w:cs="Arial"/>
          <w:bCs/>
          <w:lang w:val="es-MX" w:eastAsia="x-none"/>
        </w:rPr>
        <w:t>primero del artículo 13 Ibidem, señala que “[l]os contratos se regirán por las disposiciones comerciales y civiles pertinentes, salvo en las materias particularmente reguladas en esta Ley</w:t>
      </w:r>
      <w:r w:rsidR="00191F4A">
        <w:rPr>
          <w:rFonts w:ascii="Verdana" w:eastAsia="Times New Roman" w:hAnsi="Verdana" w:cs="Arial"/>
          <w:bCs/>
          <w:lang w:val="es-MX" w:eastAsia="x-none"/>
        </w:rPr>
        <w:t xml:space="preserve">”. </w:t>
      </w:r>
    </w:p>
    <w:p w14:paraId="2B821040" w14:textId="28CD2AD6" w:rsidR="00191F4A" w:rsidRDefault="00191F4A" w:rsidP="000A1034">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De acuerdo con lo señalado en el Estatuto General de Contratación de la Administración Pública</w:t>
      </w:r>
      <w:r w:rsidR="002A16A9">
        <w:rPr>
          <w:rFonts w:ascii="Verdana" w:eastAsia="Times New Roman" w:hAnsi="Verdana" w:cs="Arial"/>
          <w:bCs/>
          <w:lang w:val="es-MX" w:eastAsia="x-none"/>
        </w:rPr>
        <w:t xml:space="preserve"> – Ley 80 de 1993, Ley 1150 de 2011, Decreto 1082 de 2015-, son contratos estatales “todos los actos jurídicos generadores de obligaciones </w:t>
      </w:r>
      <w:r w:rsidR="00F90D90">
        <w:rPr>
          <w:rFonts w:ascii="Verdana" w:eastAsia="Times New Roman" w:hAnsi="Verdana" w:cs="Arial"/>
          <w:bCs/>
          <w:lang w:val="es-MX" w:eastAsia="x-none"/>
        </w:rPr>
        <w:t xml:space="preserve">que celebren </w:t>
      </w:r>
      <w:r w:rsidR="00AA3764">
        <w:rPr>
          <w:rFonts w:ascii="Verdana" w:eastAsia="Times New Roman" w:hAnsi="Verdana" w:cs="Arial"/>
          <w:bCs/>
          <w:lang w:val="es-MX" w:eastAsia="x-none"/>
        </w:rPr>
        <w:t>las entidades</w:t>
      </w:r>
      <w:r w:rsidR="00F90D90">
        <w:rPr>
          <w:rFonts w:ascii="Verdana" w:eastAsia="Times New Roman" w:hAnsi="Verdana" w:cs="Arial"/>
          <w:bCs/>
          <w:lang w:val="es-MX" w:eastAsia="x-none"/>
        </w:rPr>
        <w:t xml:space="preserve"> a que se refiere el presente estatuto</w:t>
      </w:r>
      <w:r w:rsidR="00AF04D2">
        <w:rPr>
          <w:rFonts w:ascii="Verdana" w:eastAsia="Times New Roman" w:hAnsi="Verdana" w:cs="Arial"/>
          <w:bCs/>
          <w:lang w:val="es-MX" w:eastAsia="x-none"/>
        </w:rPr>
        <w:t>, previstos en el derecho privado o en disposiciones especiales, o derivados del ejercicio de la autonomía de la voluntad</w:t>
      </w:r>
      <w:r w:rsidR="00B43131">
        <w:rPr>
          <w:rFonts w:ascii="Verdana" w:eastAsia="Times New Roman" w:hAnsi="Verdana" w:cs="Arial"/>
          <w:bCs/>
          <w:lang w:val="es-MX" w:eastAsia="x-none"/>
        </w:rPr>
        <w:t>” – Artículo 32 de la Ley 80 de 1993 -. Asimismo</w:t>
      </w:r>
      <w:r w:rsidR="00103BED">
        <w:rPr>
          <w:rFonts w:ascii="Verdana" w:eastAsia="Times New Roman" w:hAnsi="Verdana" w:cs="Arial"/>
          <w:bCs/>
          <w:lang w:val="es-MX" w:eastAsia="x-none"/>
        </w:rPr>
        <w:t>, dispone que “[l]as estipulaciones de los contratos serán las que de acuerdo con las normas civiles, comerciales y las previstas en esta ley</w:t>
      </w:r>
      <w:r w:rsidR="00AA3764">
        <w:rPr>
          <w:rFonts w:ascii="Verdana" w:eastAsia="Times New Roman" w:hAnsi="Verdana" w:cs="Arial"/>
          <w:bCs/>
          <w:lang w:val="es-MX" w:eastAsia="x-none"/>
        </w:rPr>
        <w:t>, correspondan a su esencia y naturaleza”</w:t>
      </w:r>
      <w:r w:rsidR="00880ED4">
        <w:rPr>
          <w:rFonts w:ascii="Verdana" w:eastAsia="Times New Roman" w:hAnsi="Verdana" w:cs="Arial"/>
          <w:bCs/>
          <w:lang w:val="es-MX" w:eastAsia="x-none"/>
        </w:rPr>
        <w:t xml:space="preserve"> –</w:t>
      </w:r>
      <w:r w:rsidR="00AA3764">
        <w:rPr>
          <w:rFonts w:ascii="Verdana" w:eastAsia="Times New Roman" w:hAnsi="Verdana" w:cs="Arial"/>
          <w:bCs/>
          <w:lang w:val="es-MX" w:eastAsia="x-none"/>
        </w:rPr>
        <w:t>Artículo 40 de la Ley 80 de 1993-.</w:t>
      </w:r>
    </w:p>
    <w:p w14:paraId="68564241" w14:textId="5DDFC6FE" w:rsidR="00AA3764" w:rsidRDefault="00AA3764" w:rsidP="000A1034">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En ese sentido, se tiene que, el </w:t>
      </w:r>
      <w:r w:rsidRPr="008363F8">
        <w:rPr>
          <w:rFonts w:ascii="Verdana" w:eastAsia="Times New Roman" w:hAnsi="Verdana" w:cs="Arial"/>
          <w:i/>
          <w:lang w:val="es-MX" w:eastAsia="x-none"/>
        </w:rPr>
        <w:t>comodato</w:t>
      </w:r>
      <w:r>
        <w:rPr>
          <w:rFonts w:ascii="Verdana" w:eastAsia="Times New Roman" w:hAnsi="Verdana" w:cs="Arial"/>
          <w:bCs/>
          <w:lang w:val="es-MX" w:eastAsia="x-none"/>
        </w:rPr>
        <w:t xml:space="preserve"> se encuentra previsto en el Título XXIX del Código Civil, en cuyo artículo</w:t>
      </w:r>
      <w:r w:rsidR="00153CD2">
        <w:rPr>
          <w:rFonts w:ascii="Verdana" w:eastAsia="Times New Roman" w:hAnsi="Verdana" w:cs="Arial"/>
          <w:bCs/>
          <w:lang w:val="es-MX" w:eastAsia="x-none"/>
        </w:rPr>
        <w:t xml:space="preserve"> 2</w:t>
      </w:r>
      <w:r w:rsidR="00994B3B">
        <w:rPr>
          <w:rFonts w:ascii="Verdana" w:eastAsia="Times New Roman" w:hAnsi="Verdana" w:cs="Arial"/>
          <w:bCs/>
          <w:lang w:val="es-MX" w:eastAsia="x-none"/>
        </w:rPr>
        <w:t xml:space="preserve">200 lo define como aquel en el “[…] una de las partes entrega a la otra </w:t>
      </w:r>
      <w:r w:rsidR="00E81D52">
        <w:rPr>
          <w:rFonts w:ascii="Verdana" w:eastAsia="Times New Roman" w:hAnsi="Verdana" w:cs="Arial"/>
          <w:bCs/>
          <w:lang w:val="es-MX" w:eastAsia="x-none"/>
        </w:rPr>
        <w:t>gratuitamente</w:t>
      </w:r>
      <w:r w:rsidR="00994B3B">
        <w:rPr>
          <w:rFonts w:ascii="Verdana" w:eastAsia="Times New Roman" w:hAnsi="Verdana" w:cs="Arial"/>
          <w:bCs/>
          <w:lang w:val="es-MX" w:eastAsia="x-none"/>
        </w:rPr>
        <w:t xml:space="preserve"> </w:t>
      </w:r>
      <w:r w:rsidR="00E81D52">
        <w:rPr>
          <w:rFonts w:ascii="Verdana" w:eastAsia="Times New Roman" w:hAnsi="Verdana" w:cs="Arial"/>
          <w:bCs/>
          <w:lang w:val="es-MX" w:eastAsia="x-none"/>
        </w:rPr>
        <w:t xml:space="preserve">una especie </w:t>
      </w:r>
      <w:r w:rsidR="00624880">
        <w:rPr>
          <w:rFonts w:ascii="Verdana" w:eastAsia="Times New Roman" w:hAnsi="Verdana" w:cs="Arial"/>
          <w:bCs/>
          <w:lang w:val="es-MX" w:eastAsia="x-none"/>
        </w:rPr>
        <w:t xml:space="preserve">mueble o raíz, para que haga uso de ella y con cargo de restituir la misma especie </w:t>
      </w:r>
      <w:r w:rsidR="009B38C2">
        <w:rPr>
          <w:rFonts w:ascii="Verdana" w:eastAsia="Times New Roman" w:hAnsi="Verdana" w:cs="Arial"/>
          <w:bCs/>
          <w:lang w:val="es-MX" w:eastAsia="x-none"/>
        </w:rPr>
        <w:t>después</w:t>
      </w:r>
      <w:r w:rsidR="00624880">
        <w:rPr>
          <w:rFonts w:ascii="Verdana" w:eastAsia="Times New Roman" w:hAnsi="Verdana" w:cs="Arial"/>
          <w:bCs/>
          <w:lang w:val="es-MX" w:eastAsia="x-none"/>
        </w:rPr>
        <w:t xml:space="preserve"> de terminar el uso”. En virtud de esta definición, se desprende su </w:t>
      </w:r>
      <w:r w:rsidR="009B38C2">
        <w:rPr>
          <w:rFonts w:ascii="Verdana" w:eastAsia="Times New Roman" w:hAnsi="Verdana" w:cs="Arial"/>
          <w:bCs/>
          <w:lang w:val="es-MX" w:eastAsia="x-none"/>
        </w:rPr>
        <w:t>carácter de contrato nominado, principal, real, unilateral y gratuito</w:t>
      </w:r>
      <w:r w:rsidR="004C602E">
        <w:rPr>
          <w:rStyle w:val="Refdenotaalpie"/>
          <w:rFonts w:ascii="Verdana" w:eastAsia="Times New Roman" w:hAnsi="Verdana" w:cs="Arial"/>
          <w:bCs/>
          <w:lang w:val="es-MX" w:eastAsia="x-none"/>
        </w:rPr>
        <w:footnoteReference w:id="33"/>
      </w:r>
      <w:r w:rsidR="00317C08">
        <w:rPr>
          <w:rFonts w:ascii="Verdana" w:eastAsia="Times New Roman" w:hAnsi="Verdana" w:cs="Arial"/>
          <w:bCs/>
          <w:lang w:val="es-MX" w:eastAsia="x-none"/>
        </w:rPr>
        <w:t xml:space="preserve">. También se le ha </w:t>
      </w:r>
      <w:r w:rsidR="00317C08">
        <w:rPr>
          <w:rFonts w:ascii="Verdana" w:eastAsia="Times New Roman" w:hAnsi="Verdana" w:cs="Arial"/>
          <w:bCs/>
          <w:lang w:val="es-MX" w:eastAsia="x-none"/>
        </w:rPr>
        <w:lastRenderedPageBreak/>
        <w:t xml:space="preserve">denominado a este negocio jurídica como prestamos de uso, aunque con características propias y completamente diferente al préstamo de consumo. </w:t>
      </w:r>
    </w:p>
    <w:p w14:paraId="32F8367F" w14:textId="5C7919AE" w:rsidR="00317C08" w:rsidRDefault="00317C08" w:rsidP="000A1034">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De igual </w:t>
      </w:r>
      <w:r w:rsidR="00C94CC4">
        <w:rPr>
          <w:rFonts w:ascii="Verdana" w:eastAsia="Times New Roman" w:hAnsi="Verdana" w:cs="Arial"/>
          <w:bCs/>
          <w:lang w:val="es-MX" w:eastAsia="x-none"/>
        </w:rPr>
        <w:t>forma, el artículo 2201 del Código Civil</w:t>
      </w:r>
      <w:r w:rsidR="001D3E81">
        <w:rPr>
          <w:rFonts w:ascii="Verdana" w:eastAsia="Times New Roman" w:hAnsi="Verdana" w:cs="Arial"/>
          <w:bCs/>
          <w:lang w:val="es-MX" w:eastAsia="x-none"/>
        </w:rPr>
        <w:t xml:space="preserve"> regula lo relacionado con los derechos del comodante. Al respecto, establece que el comodato no transfiere el dominio de la cosa dada en comodato y, por ello, “El comodante conserva sobre la cosa prestada </w:t>
      </w:r>
      <w:r w:rsidR="00930AD5">
        <w:rPr>
          <w:rFonts w:ascii="Verdana" w:eastAsia="Times New Roman" w:hAnsi="Verdana" w:cs="Arial"/>
          <w:bCs/>
          <w:lang w:val="es-MX" w:eastAsia="x-none"/>
        </w:rPr>
        <w:t>todos los derechos</w:t>
      </w:r>
      <w:r w:rsidR="001D3E81">
        <w:rPr>
          <w:rFonts w:ascii="Verdana" w:eastAsia="Times New Roman" w:hAnsi="Verdana" w:cs="Arial"/>
          <w:bCs/>
          <w:lang w:val="es-MX" w:eastAsia="x-none"/>
        </w:rPr>
        <w:t xml:space="preserve"> que antes </w:t>
      </w:r>
      <w:r w:rsidR="00243CC6">
        <w:rPr>
          <w:rFonts w:ascii="Verdana" w:eastAsia="Times New Roman" w:hAnsi="Verdana" w:cs="Arial"/>
          <w:bCs/>
          <w:lang w:val="es-MX" w:eastAsia="x-none"/>
        </w:rPr>
        <w:t>tenía</w:t>
      </w:r>
      <w:r w:rsidR="001D3E81">
        <w:rPr>
          <w:rFonts w:ascii="Verdana" w:eastAsia="Times New Roman" w:hAnsi="Verdana" w:cs="Arial"/>
          <w:bCs/>
          <w:lang w:val="es-MX" w:eastAsia="x-none"/>
        </w:rPr>
        <w:t>”, pero</w:t>
      </w:r>
      <w:r w:rsidR="00243CC6">
        <w:rPr>
          <w:rFonts w:ascii="Verdana" w:eastAsia="Times New Roman" w:hAnsi="Verdana" w:cs="Arial"/>
          <w:bCs/>
          <w:lang w:val="es-MX" w:eastAsia="x-none"/>
        </w:rPr>
        <w:t xml:space="preserve"> no su ejercicio, en cuanto fuere compatible </w:t>
      </w:r>
      <w:r w:rsidR="00250F74">
        <w:rPr>
          <w:rFonts w:ascii="Verdana" w:eastAsia="Times New Roman" w:hAnsi="Verdana" w:cs="Arial"/>
          <w:bCs/>
          <w:lang w:val="es-MX" w:eastAsia="x-none"/>
        </w:rPr>
        <w:t xml:space="preserve">con el uso </w:t>
      </w:r>
      <w:r w:rsidR="00930AD5">
        <w:rPr>
          <w:rFonts w:ascii="Verdana" w:eastAsia="Times New Roman" w:hAnsi="Verdana" w:cs="Arial"/>
          <w:bCs/>
          <w:lang w:val="es-MX" w:eastAsia="x-none"/>
        </w:rPr>
        <w:t>concedido al comodatario”. Por lo tanto, el comodatario es un mero tenedor de la cosa y, en los</w:t>
      </w:r>
      <w:r w:rsidR="003C3334">
        <w:rPr>
          <w:rFonts w:ascii="Verdana" w:eastAsia="Times New Roman" w:hAnsi="Verdana" w:cs="Arial"/>
          <w:bCs/>
          <w:lang w:val="es-MX" w:eastAsia="x-none"/>
        </w:rPr>
        <w:t xml:space="preserve"> términos del artículo 2205 ibidem, esta obligado a la restitución del bien entregado en comodato al vencimiento del plazo o cuando se ha cumplido el servicio para el cual ha sido prestada</w:t>
      </w:r>
      <w:r w:rsidR="003C3334">
        <w:rPr>
          <w:rStyle w:val="Refdenotaalpie"/>
          <w:rFonts w:ascii="Verdana" w:eastAsia="Times New Roman" w:hAnsi="Verdana" w:cs="Arial"/>
          <w:bCs/>
          <w:lang w:val="es-MX" w:eastAsia="x-none"/>
        </w:rPr>
        <w:footnoteReference w:id="34"/>
      </w:r>
      <w:r w:rsidR="003C3334">
        <w:rPr>
          <w:rFonts w:ascii="Verdana" w:eastAsia="Times New Roman" w:hAnsi="Verdana" w:cs="Arial"/>
          <w:bCs/>
          <w:lang w:val="es-MX" w:eastAsia="x-none"/>
        </w:rPr>
        <w:t>.</w:t>
      </w:r>
    </w:p>
    <w:p w14:paraId="08DA89A8" w14:textId="1B27C04E" w:rsidR="00A96EA1" w:rsidRDefault="00303E1A" w:rsidP="008363F8">
      <w:pPr>
        <w:spacing w:after="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Conforme al artículo 2202 del Código Civil, el comodatario tendrá la obligación de emplear la cosa para el uso convenido, o a falta de acuerdo</w:t>
      </w:r>
      <w:r w:rsidR="00F52B40">
        <w:rPr>
          <w:rFonts w:ascii="Verdana" w:eastAsia="Times New Roman" w:hAnsi="Verdana" w:cs="Arial"/>
          <w:bCs/>
          <w:lang w:val="es-MX" w:eastAsia="x-none"/>
        </w:rPr>
        <w:t>, está obligado a usar la cosa bajo el uso ordinario</w:t>
      </w:r>
      <w:r w:rsidR="00F52B40">
        <w:rPr>
          <w:rStyle w:val="Refdenotaalpie"/>
          <w:rFonts w:ascii="Verdana" w:eastAsia="Times New Roman" w:hAnsi="Verdana" w:cs="Arial"/>
          <w:bCs/>
          <w:lang w:val="es-MX" w:eastAsia="x-none"/>
        </w:rPr>
        <w:footnoteReference w:id="35"/>
      </w:r>
      <w:r w:rsidR="00A654EF">
        <w:rPr>
          <w:rFonts w:ascii="Verdana" w:eastAsia="Times New Roman" w:hAnsi="Verdana" w:cs="Arial"/>
          <w:bCs/>
          <w:lang w:val="es-MX" w:eastAsia="x-none"/>
        </w:rPr>
        <w:t>. De incumplir obligación, el comodante podrá exigir la reparación</w:t>
      </w:r>
      <w:r w:rsidR="00A96EA1">
        <w:rPr>
          <w:rFonts w:ascii="Verdana" w:eastAsia="Times New Roman" w:hAnsi="Verdana" w:cs="Arial"/>
          <w:bCs/>
          <w:lang w:val="es-MX" w:eastAsia="x-none"/>
        </w:rPr>
        <w:t xml:space="preserve"> de perjuicios y la restitución inmediata de la cosa. A propósito de las características del contrato de comodato, la Sala de Consulta y Servicio Civil del Consejo de Estado explica que: </w:t>
      </w:r>
    </w:p>
    <w:p w14:paraId="7EE8DAA0" w14:textId="77777777" w:rsidR="00A96EA1" w:rsidRDefault="00A96EA1" w:rsidP="008363F8">
      <w:pPr>
        <w:spacing w:after="0" w:line="276" w:lineRule="auto"/>
        <w:ind w:firstLine="709"/>
        <w:jc w:val="both"/>
        <w:rPr>
          <w:rFonts w:ascii="Verdana" w:eastAsia="Times New Roman" w:hAnsi="Verdana" w:cs="Arial"/>
          <w:bCs/>
          <w:lang w:val="es-MX" w:eastAsia="x-none"/>
        </w:rPr>
      </w:pPr>
    </w:p>
    <w:p w14:paraId="3D4FBCA5" w14:textId="77777777" w:rsidR="00AB6E1C" w:rsidRPr="008363F8" w:rsidRDefault="00AB6E1C" w:rsidP="008363F8">
      <w:pPr>
        <w:spacing w:after="0" w:line="240" w:lineRule="auto"/>
        <w:ind w:left="709" w:right="709"/>
        <w:jc w:val="both"/>
        <w:rPr>
          <w:rFonts w:ascii="Verdana" w:hAnsi="Verdana" w:cs="Arial"/>
          <w:color w:val="000000" w:themeColor="text1"/>
          <w:sz w:val="20"/>
          <w:szCs w:val="20"/>
        </w:rPr>
      </w:pPr>
      <w:r w:rsidRPr="008363F8">
        <w:rPr>
          <w:rFonts w:ascii="Verdana" w:hAnsi="Verdana" w:cs="Arial"/>
          <w:color w:val="000000" w:themeColor="text1"/>
          <w:sz w:val="20"/>
          <w:szCs w:val="20"/>
        </w:rPr>
        <w:t xml:space="preserve">“Cabe señalar que el contrato de comodato, hoy por hoy, es más común en el derecho contractual administrativo que en el derecho privado; es una figura que ha permitido a las diferentes entidades estatales generar ahorro en componentes de gastos, tales como arrendamiento de sedes, costos de administración, mantenimiento y conservación de los bienes públicos; lo que evidencia algunas de las bondades de esta figura independientemente de las políticas que se dicten en materia de administración de los bienes públicos y de las posibilidades económicas que el Estado tiene para su manejo directo. </w:t>
      </w:r>
    </w:p>
    <w:p w14:paraId="3704D777" w14:textId="77777777" w:rsidR="00AB6E1C" w:rsidRPr="008363F8" w:rsidRDefault="00AB6E1C" w:rsidP="008363F8">
      <w:pPr>
        <w:spacing w:after="0" w:line="240" w:lineRule="auto"/>
        <w:ind w:left="709" w:right="709"/>
        <w:jc w:val="both"/>
        <w:rPr>
          <w:rFonts w:ascii="Verdana" w:hAnsi="Verdana" w:cs="Arial"/>
          <w:color w:val="000000" w:themeColor="text1"/>
          <w:sz w:val="20"/>
          <w:szCs w:val="20"/>
        </w:rPr>
      </w:pPr>
      <w:r w:rsidRPr="008363F8">
        <w:rPr>
          <w:rFonts w:ascii="Verdana" w:hAnsi="Verdana" w:cs="Arial"/>
          <w:color w:val="000000" w:themeColor="text1"/>
          <w:sz w:val="20"/>
          <w:szCs w:val="20"/>
        </w:rPr>
        <w:lastRenderedPageBreak/>
        <w:t xml:space="preserve">[…] </w:t>
      </w:r>
    </w:p>
    <w:p w14:paraId="4FCABBAF" w14:textId="77777777" w:rsidR="00AB6E1C" w:rsidRPr="008363F8" w:rsidRDefault="00AB6E1C" w:rsidP="008363F8">
      <w:pPr>
        <w:spacing w:after="0" w:line="240" w:lineRule="auto"/>
        <w:ind w:left="709" w:right="709"/>
        <w:jc w:val="both"/>
        <w:rPr>
          <w:rFonts w:ascii="Verdana" w:hAnsi="Verdana" w:cs="Arial"/>
          <w:color w:val="000000" w:themeColor="text1"/>
          <w:sz w:val="20"/>
          <w:szCs w:val="20"/>
        </w:rPr>
      </w:pPr>
    </w:p>
    <w:p w14:paraId="2F8EFF0B" w14:textId="77777777" w:rsidR="00AB6E1C" w:rsidRPr="008363F8" w:rsidRDefault="00AB6E1C" w:rsidP="008363F8">
      <w:pPr>
        <w:spacing w:after="0" w:line="240" w:lineRule="auto"/>
        <w:ind w:left="709" w:right="709"/>
        <w:jc w:val="both"/>
        <w:rPr>
          <w:rFonts w:ascii="Verdana" w:hAnsi="Verdana" w:cs="Arial"/>
          <w:color w:val="000000" w:themeColor="text1"/>
          <w:sz w:val="20"/>
          <w:szCs w:val="20"/>
        </w:rPr>
      </w:pPr>
      <w:r w:rsidRPr="008363F8">
        <w:rPr>
          <w:rFonts w:ascii="Verdana" w:hAnsi="Verdana" w:cs="Arial"/>
          <w:color w:val="000000" w:themeColor="text1"/>
          <w:sz w:val="20"/>
          <w:szCs w:val="20"/>
        </w:rPr>
        <w:t>La Sala retoma algunos aspectos analizados en consultas anteriores sobre las características del contrato en comento y precisa lo siguiente con el fin de comprender el alcance de esta figura:</w:t>
      </w:r>
    </w:p>
    <w:p w14:paraId="1BDB1400" w14:textId="77777777" w:rsidR="00AB6E1C" w:rsidRPr="008363F8" w:rsidRDefault="00AB6E1C" w:rsidP="008363F8">
      <w:pPr>
        <w:spacing w:after="0" w:line="240" w:lineRule="auto"/>
        <w:ind w:left="709" w:right="709"/>
        <w:jc w:val="both"/>
        <w:rPr>
          <w:rFonts w:ascii="Verdana" w:eastAsia="Calibri" w:hAnsi="Verdana" w:cs="Arial"/>
          <w:color w:val="000000" w:themeColor="text1"/>
          <w:sz w:val="20"/>
          <w:szCs w:val="20"/>
        </w:rPr>
      </w:pPr>
    </w:p>
    <w:p w14:paraId="3E9B1705" w14:textId="77777777" w:rsidR="00AB6E1C" w:rsidRPr="008363F8" w:rsidRDefault="00AB6E1C" w:rsidP="008363F8">
      <w:pPr>
        <w:tabs>
          <w:tab w:val="num" w:pos="1068"/>
        </w:tabs>
        <w:spacing w:after="0" w:line="240" w:lineRule="auto"/>
        <w:ind w:left="709" w:right="709"/>
        <w:jc w:val="both"/>
        <w:rPr>
          <w:rFonts w:ascii="Verdana" w:eastAsia="Calibri" w:hAnsi="Verdana" w:cs="Arial"/>
          <w:color w:val="000000" w:themeColor="text1"/>
          <w:sz w:val="20"/>
          <w:szCs w:val="20"/>
        </w:rPr>
      </w:pPr>
      <w:r w:rsidRPr="008363F8">
        <w:rPr>
          <w:rFonts w:ascii="Verdana" w:eastAsia="Calibri" w:hAnsi="Verdana" w:cs="Arial"/>
          <w:color w:val="000000" w:themeColor="text1"/>
          <w:sz w:val="20"/>
          <w:szCs w:val="20"/>
        </w:rPr>
        <w:t>El comodato se clasifica dentro de los denominados contratos traslaticios del uso y disfrute de un bien.</w:t>
      </w:r>
    </w:p>
    <w:p w14:paraId="5ECEFE8B" w14:textId="77777777" w:rsidR="00AB6E1C" w:rsidRPr="008363F8" w:rsidRDefault="00AB6E1C" w:rsidP="008363F8">
      <w:pPr>
        <w:tabs>
          <w:tab w:val="num" w:pos="1068"/>
        </w:tabs>
        <w:spacing w:after="0" w:line="240" w:lineRule="auto"/>
        <w:ind w:left="709" w:right="709"/>
        <w:jc w:val="both"/>
        <w:rPr>
          <w:rFonts w:ascii="Verdana" w:eastAsia="Calibri" w:hAnsi="Verdana" w:cs="Arial"/>
          <w:color w:val="000000" w:themeColor="text1"/>
          <w:sz w:val="20"/>
          <w:szCs w:val="20"/>
        </w:rPr>
      </w:pPr>
    </w:p>
    <w:p w14:paraId="26CB76E3" w14:textId="7C7517C4" w:rsidR="00A96EA1" w:rsidRPr="008363F8" w:rsidRDefault="00AB6E1C" w:rsidP="00AB6E1C">
      <w:pPr>
        <w:spacing w:after="0" w:line="240" w:lineRule="auto"/>
        <w:ind w:left="709" w:right="709"/>
        <w:jc w:val="both"/>
        <w:rPr>
          <w:rFonts w:ascii="Verdana" w:eastAsia="Times New Roman" w:hAnsi="Verdana" w:cs="Arial"/>
          <w:sz w:val="20"/>
          <w:szCs w:val="20"/>
          <w:lang w:val="es-MX" w:eastAsia="x-none"/>
        </w:rPr>
      </w:pPr>
      <w:r w:rsidRPr="008363F8">
        <w:rPr>
          <w:rFonts w:ascii="Verdana" w:eastAsia="Calibri" w:hAnsi="Verdana" w:cs="Arial"/>
          <w:color w:val="000000" w:themeColor="text1"/>
          <w:sz w:val="20"/>
          <w:szCs w:val="20"/>
        </w:rPr>
        <w:t>De conformidad con lo previsto en el artículo 32 de la ley 80 de 1993, las entidades estatales están facultadas para celebrar este tipo de contrato regulado por el derecho privado, observando los límites señalados en normas especiales sobre la materia, en cuanto al tiempo máximo de duración y la destinación o uso que debe darse al bien”</w:t>
      </w:r>
      <w:r w:rsidRPr="008363F8">
        <w:rPr>
          <w:rStyle w:val="Refdenotaalpie"/>
          <w:rFonts w:ascii="Verdana" w:eastAsia="Calibri" w:hAnsi="Verdana" w:cs="Arial"/>
          <w:color w:val="000000" w:themeColor="text1"/>
          <w:sz w:val="20"/>
          <w:szCs w:val="20"/>
        </w:rPr>
        <w:footnoteReference w:id="36"/>
      </w:r>
    </w:p>
    <w:p w14:paraId="5924225A" w14:textId="77777777" w:rsidR="00AA3764" w:rsidRPr="001730F7" w:rsidRDefault="00AA3764" w:rsidP="008363F8">
      <w:pPr>
        <w:spacing w:after="0" w:line="276" w:lineRule="auto"/>
        <w:ind w:firstLine="709"/>
        <w:jc w:val="both"/>
        <w:rPr>
          <w:rFonts w:ascii="Verdana" w:eastAsia="Times New Roman" w:hAnsi="Verdana" w:cs="Arial"/>
          <w:bCs/>
          <w:lang w:eastAsia="x-none"/>
        </w:rPr>
      </w:pPr>
    </w:p>
    <w:p w14:paraId="349B91B6" w14:textId="77777777" w:rsidR="00E90149" w:rsidRPr="008363F8" w:rsidRDefault="001B7BE6" w:rsidP="008363F8">
      <w:pPr>
        <w:widowControl w:val="0"/>
        <w:spacing w:after="120" w:line="276" w:lineRule="auto"/>
        <w:ind w:firstLine="708"/>
        <w:jc w:val="both"/>
        <w:rPr>
          <w:rFonts w:ascii="Verdana" w:eastAsia="Calibri" w:hAnsi="Verdana" w:cs="Arial"/>
          <w:color w:val="1A1A1A" w:themeColor="background1" w:themeShade="1A"/>
          <w:lang w:val="es-ES_tradnl" w:eastAsia="es-CO"/>
        </w:rPr>
      </w:pPr>
      <w:r w:rsidRPr="00E90149">
        <w:rPr>
          <w:rFonts w:ascii="Verdana" w:eastAsia="Times New Roman" w:hAnsi="Verdana" w:cs="Arial"/>
          <w:bCs/>
          <w:lang w:val="es-MX" w:eastAsia="x-none"/>
        </w:rPr>
        <w:t xml:space="preserve">Así las cosas, el </w:t>
      </w:r>
      <w:r w:rsidR="00E90149" w:rsidRPr="008363F8">
        <w:rPr>
          <w:rFonts w:ascii="Verdana" w:eastAsia="Arial" w:hAnsi="Verdana" w:cs="Arial"/>
          <w:color w:val="1A1A1A" w:themeColor="background1" w:themeShade="1A"/>
          <w:lang w:val="es-ES_tradnl"/>
        </w:rPr>
        <w:t>contrato de comodato es un acuerdo de voluntades en virtud del cual una parte pone a disposición gratuitamente a otra un bien mueble o raíz para que lo use</w:t>
      </w:r>
      <w:r w:rsidR="00E90149" w:rsidRPr="008363F8">
        <w:rPr>
          <w:rStyle w:val="Refdenotaalpie"/>
          <w:rFonts w:ascii="Verdana" w:eastAsia="Arial" w:hAnsi="Verdana"/>
        </w:rPr>
        <w:footnoteReference w:id="37"/>
      </w:r>
      <w:r w:rsidR="00E90149" w:rsidRPr="008363F8">
        <w:rPr>
          <w:rFonts w:ascii="Verdana" w:eastAsia="Arial" w:hAnsi="Verdana" w:cs="Arial"/>
          <w:color w:val="1A1A1A" w:themeColor="background1" w:themeShade="1A"/>
          <w:lang w:val="es-ES_tradnl"/>
        </w:rPr>
        <w:t>. La celebración de este contrato implica que el negocio jurídico esté dirigido a hacer la entrega de un bien, sin que por esta se obtenga una contraprestación. Por tanto, el contrato es, por naturaleza, gratuito, porque el uso y el goce se entrega al comodatario, es decir, a la persona que disfruta del bien, sin que esta se obligue a pagar por ello. En consecuencia, si se trata de un bien que produce frutos naturales o civiles, es el comodatario quien recibirá dichos frutos</w:t>
      </w:r>
      <w:r w:rsidR="00E90149" w:rsidRPr="008363F8">
        <w:rPr>
          <w:rStyle w:val="Refdenotaalpie"/>
          <w:rFonts w:ascii="Verdana" w:eastAsia="Arial" w:hAnsi="Verdana"/>
        </w:rPr>
        <w:footnoteReference w:id="38"/>
      </w:r>
      <w:r w:rsidR="00E90149" w:rsidRPr="008363F8">
        <w:rPr>
          <w:rFonts w:ascii="Verdana" w:eastAsia="Arial" w:hAnsi="Verdana" w:cs="Arial"/>
          <w:color w:val="1A1A1A" w:themeColor="background1" w:themeShade="1A"/>
          <w:lang w:val="es-ES_tradnl"/>
        </w:rPr>
        <w:t>.</w:t>
      </w:r>
    </w:p>
    <w:p w14:paraId="53DAEB33" w14:textId="77777777" w:rsidR="005E4FE2" w:rsidRDefault="005E4FE2" w:rsidP="005E4FE2">
      <w:pPr>
        <w:spacing w:after="0" w:line="276" w:lineRule="auto"/>
        <w:ind w:firstLine="709"/>
        <w:jc w:val="both"/>
        <w:rPr>
          <w:rFonts w:ascii="Verdana" w:eastAsia="Calibri" w:hAnsi="Verdana" w:cs="Arial"/>
          <w:bCs/>
          <w:color w:val="000000" w:themeColor="text1"/>
        </w:rPr>
      </w:pPr>
      <w:r w:rsidRPr="00222802">
        <w:rPr>
          <w:rFonts w:ascii="Verdana" w:eastAsia="Calibri" w:hAnsi="Verdana" w:cs="Arial"/>
          <w:bCs/>
          <w:color w:val="000000" w:themeColor="text1"/>
        </w:rPr>
        <w:t xml:space="preserve">A propósito de las características del contrato de comodato, la Sala de Consulta y Servicio Civil del Consejo de Estado </w:t>
      </w:r>
      <w:r>
        <w:rPr>
          <w:rFonts w:ascii="Verdana" w:eastAsia="Calibri" w:hAnsi="Verdana" w:cs="Arial"/>
          <w:bCs/>
          <w:color w:val="000000" w:themeColor="text1"/>
        </w:rPr>
        <w:t>explica que</w:t>
      </w:r>
      <w:r w:rsidRPr="00222802">
        <w:rPr>
          <w:rFonts w:ascii="Verdana" w:eastAsia="Calibri" w:hAnsi="Verdana" w:cs="Arial"/>
          <w:bCs/>
          <w:color w:val="000000" w:themeColor="text1"/>
        </w:rPr>
        <w:t xml:space="preserve">: </w:t>
      </w:r>
    </w:p>
    <w:p w14:paraId="107DDA26" w14:textId="77777777" w:rsidR="005E4FE2" w:rsidRPr="00222802" w:rsidRDefault="005E4FE2" w:rsidP="005E4FE2">
      <w:pPr>
        <w:spacing w:after="0" w:line="276" w:lineRule="auto"/>
        <w:ind w:firstLine="709"/>
        <w:jc w:val="both"/>
        <w:rPr>
          <w:rFonts w:ascii="Verdana" w:eastAsia="Calibri" w:hAnsi="Verdana" w:cs="Arial"/>
          <w:bCs/>
          <w:color w:val="000000" w:themeColor="text1"/>
        </w:rPr>
      </w:pPr>
    </w:p>
    <w:p w14:paraId="47269662" w14:textId="77777777" w:rsidR="005E4FE2" w:rsidRPr="002964EC" w:rsidRDefault="005E4FE2" w:rsidP="005E4FE2">
      <w:pPr>
        <w:spacing w:after="0" w:line="240" w:lineRule="auto"/>
        <w:ind w:left="709" w:right="709"/>
        <w:contextualSpacing/>
        <w:jc w:val="both"/>
        <w:rPr>
          <w:rFonts w:ascii="Verdana" w:hAnsi="Verdana" w:cs="Arial"/>
          <w:color w:val="000000" w:themeColor="text1"/>
          <w:sz w:val="20"/>
          <w:szCs w:val="20"/>
        </w:rPr>
      </w:pPr>
      <w:r w:rsidRPr="002964EC">
        <w:rPr>
          <w:rFonts w:ascii="Verdana" w:hAnsi="Verdana" w:cs="Arial"/>
          <w:color w:val="000000" w:themeColor="text1"/>
          <w:sz w:val="20"/>
          <w:szCs w:val="20"/>
        </w:rPr>
        <w:t xml:space="preserve">“Cabe señalar que el contrato de comodato, hoy por hoy, es más común en el derecho contractual administrativo que en el derecho privado; es una figura que ha permitido a las diferentes entidades estatales generar ahorro en componentes de gastos, tales como arrendamiento de sedes, costos de administración, mantenimiento y conservación de los bienes públicos; lo que evidencia algunas de las bondades de esta figura </w:t>
      </w:r>
      <w:r w:rsidRPr="002964EC">
        <w:rPr>
          <w:rFonts w:ascii="Verdana" w:hAnsi="Verdana" w:cs="Arial"/>
          <w:color w:val="000000" w:themeColor="text1"/>
          <w:sz w:val="20"/>
          <w:szCs w:val="20"/>
        </w:rPr>
        <w:lastRenderedPageBreak/>
        <w:t xml:space="preserve">independientemente de las políticas que se dicten en materia de administración de los bienes públicos y de las posibilidades económicas que el Estado tiene para su manejo directo. </w:t>
      </w:r>
    </w:p>
    <w:p w14:paraId="2E63F862" w14:textId="77777777" w:rsidR="005E4FE2" w:rsidRPr="002964EC" w:rsidRDefault="005E4FE2" w:rsidP="005E4FE2">
      <w:pPr>
        <w:spacing w:after="0" w:line="240" w:lineRule="auto"/>
        <w:ind w:left="709" w:right="709"/>
        <w:contextualSpacing/>
        <w:jc w:val="both"/>
        <w:rPr>
          <w:rFonts w:ascii="Verdana" w:hAnsi="Verdana" w:cs="Arial"/>
          <w:color w:val="000000" w:themeColor="text1"/>
          <w:sz w:val="20"/>
          <w:szCs w:val="20"/>
        </w:rPr>
      </w:pPr>
      <w:r w:rsidRPr="002964EC">
        <w:rPr>
          <w:rFonts w:ascii="Verdana" w:hAnsi="Verdana" w:cs="Arial"/>
          <w:color w:val="000000" w:themeColor="text1"/>
          <w:sz w:val="20"/>
          <w:szCs w:val="20"/>
        </w:rPr>
        <w:t xml:space="preserve">[…] </w:t>
      </w:r>
    </w:p>
    <w:p w14:paraId="4C3C85B7" w14:textId="77777777" w:rsidR="005E4FE2" w:rsidRPr="002964EC" w:rsidRDefault="005E4FE2" w:rsidP="005E4FE2">
      <w:pPr>
        <w:spacing w:after="0" w:line="240" w:lineRule="auto"/>
        <w:ind w:left="709" w:right="709"/>
        <w:contextualSpacing/>
        <w:jc w:val="both"/>
        <w:rPr>
          <w:rFonts w:ascii="Verdana" w:hAnsi="Verdana" w:cs="Arial"/>
          <w:color w:val="000000" w:themeColor="text1"/>
          <w:sz w:val="20"/>
          <w:szCs w:val="20"/>
        </w:rPr>
      </w:pPr>
    </w:p>
    <w:p w14:paraId="48E2AD93" w14:textId="77777777" w:rsidR="005E4FE2" w:rsidRPr="002964EC" w:rsidRDefault="005E4FE2" w:rsidP="005E4FE2">
      <w:pPr>
        <w:spacing w:after="0" w:line="240" w:lineRule="auto"/>
        <w:ind w:left="709" w:right="709"/>
        <w:contextualSpacing/>
        <w:jc w:val="both"/>
        <w:rPr>
          <w:rFonts w:ascii="Verdana" w:hAnsi="Verdana" w:cs="Arial"/>
          <w:color w:val="000000" w:themeColor="text1"/>
          <w:sz w:val="20"/>
          <w:szCs w:val="20"/>
        </w:rPr>
      </w:pPr>
      <w:r w:rsidRPr="002964EC">
        <w:rPr>
          <w:rFonts w:ascii="Verdana" w:hAnsi="Verdana" w:cs="Arial"/>
          <w:color w:val="000000" w:themeColor="text1"/>
          <w:sz w:val="20"/>
          <w:szCs w:val="20"/>
        </w:rPr>
        <w:t>La Sala retoma algunos aspectos analizados en consultas anteriores sobre las características del contrato en comento y precisa lo siguiente con el fin de comprender el alcance de esta figura:</w:t>
      </w:r>
    </w:p>
    <w:p w14:paraId="3B29B00D" w14:textId="77777777" w:rsidR="005E4FE2" w:rsidRPr="002964EC" w:rsidRDefault="005E4FE2" w:rsidP="005E4FE2">
      <w:pPr>
        <w:spacing w:after="0" w:line="240" w:lineRule="auto"/>
        <w:ind w:left="709" w:right="709"/>
        <w:contextualSpacing/>
        <w:jc w:val="both"/>
        <w:rPr>
          <w:rFonts w:ascii="Verdana" w:eastAsia="Calibri" w:hAnsi="Verdana" w:cs="Arial"/>
          <w:color w:val="000000" w:themeColor="text1"/>
          <w:sz w:val="20"/>
          <w:szCs w:val="20"/>
        </w:rPr>
      </w:pPr>
    </w:p>
    <w:p w14:paraId="4953BFC9" w14:textId="77777777" w:rsidR="005E4FE2" w:rsidRPr="002964EC" w:rsidRDefault="005E4FE2" w:rsidP="005E4FE2">
      <w:pPr>
        <w:numPr>
          <w:ilvl w:val="0"/>
          <w:numId w:val="18"/>
        </w:numPr>
        <w:tabs>
          <w:tab w:val="clear" w:pos="720"/>
          <w:tab w:val="num" w:pos="1068"/>
        </w:tabs>
        <w:spacing w:after="0" w:line="240" w:lineRule="auto"/>
        <w:ind w:left="1066" w:right="709" w:hanging="357"/>
        <w:contextualSpacing/>
        <w:jc w:val="both"/>
        <w:rPr>
          <w:rFonts w:ascii="Verdana" w:eastAsia="Calibri" w:hAnsi="Verdana" w:cs="Arial"/>
          <w:color w:val="000000" w:themeColor="text1"/>
          <w:sz w:val="20"/>
          <w:szCs w:val="20"/>
        </w:rPr>
      </w:pPr>
      <w:r w:rsidRPr="002964EC">
        <w:rPr>
          <w:rFonts w:ascii="Verdana" w:eastAsia="Calibri" w:hAnsi="Verdana" w:cs="Arial"/>
          <w:color w:val="000000" w:themeColor="text1"/>
          <w:sz w:val="20"/>
          <w:szCs w:val="20"/>
        </w:rPr>
        <w:t>El comodato se clasifica dentro de los denominados contratos traslaticios del uso y disfrute de un bien.</w:t>
      </w:r>
    </w:p>
    <w:p w14:paraId="2CF14C6D" w14:textId="77777777" w:rsidR="005E4FE2" w:rsidRPr="002964EC" w:rsidRDefault="005E4FE2" w:rsidP="005E4FE2">
      <w:pPr>
        <w:tabs>
          <w:tab w:val="num" w:pos="1068"/>
        </w:tabs>
        <w:spacing w:after="0" w:line="240" w:lineRule="auto"/>
        <w:ind w:left="1066" w:right="709"/>
        <w:contextualSpacing/>
        <w:jc w:val="both"/>
        <w:rPr>
          <w:rFonts w:ascii="Verdana" w:eastAsia="Calibri" w:hAnsi="Verdana" w:cs="Arial"/>
          <w:color w:val="000000" w:themeColor="text1"/>
          <w:sz w:val="20"/>
          <w:szCs w:val="20"/>
        </w:rPr>
      </w:pPr>
    </w:p>
    <w:p w14:paraId="400DB33C" w14:textId="77777777" w:rsidR="005E4FE2" w:rsidRPr="002964EC" w:rsidRDefault="005E4FE2" w:rsidP="005E4FE2">
      <w:pPr>
        <w:numPr>
          <w:ilvl w:val="0"/>
          <w:numId w:val="18"/>
        </w:numPr>
        <w:spacing w:after="0" w:line="240" w:lineRule="auto"/>
        <w:ind w:left="1069" w:right="709"/>
        <w:contextualSpacing/>
        <w:jc w:val="both"/>
        <w:rPr>
          <w:rFonts w:ascii="Verdana" w:eastAsia="Calibri" w:hAnsi="Verdana" w:cs="Arial"/>
          <w:color w:val="000000" w:themeColor="text1"/>
          <w:sz w:val="20"/>
          <w:szCs w:val="20"/>
        </w:rPr>
      </w:pPr>
      <w:r w:rsidRPr="002964EC">
        <w:rPr>
          <w:rFonts w:ascii="Verdana" w:eastAsia="Calibri" w:hAnsi="Verdana" w:cs="Arial"/>
          <w:color w:val="000000" w:themeColor="text1"/>
          <w:sz w:val="20"/>
          <w:szCs w:val="20"/>
        </w:rPr>
        <w:t>De conformidad con lo previsto en el artículo 32 de la ley 80 de 1993, las entidades estatales están facultadas para celebrar este tipo de contrato regulado por el derecho privado, observando los límites señalados en normas especiales sobre la materia, en cuanto al tiempo máximo de duración y la destinación o uso que debe darse al bien”</w:t>
      </w:r>
      <w:r w:rsidRPr="002964EC">
        <w:rPr>
          <w:rStyle w:val="Refdenotaalpie"/>
          <w:rFonts w:ascii="Verdana" w:eastAsia="Calibri" w:hAnsi="Verdana" w:cs="Arial"/>
          <w:color w:val="000000" w:themeColor="text1"/>
          <w:sz w:val="20"/>
          <w:szCs w:val="20"/>
        </w:rPr>
        <w:footnoteReference w:id="39"/>
      </w:r>
      <w:r w:rsidRPr="002964EC">
        <w:rPr>
          <w:rFonts w:ascii="Verdana" w:eastAsia="Calibri" w:hAnsi="Verdana" w:cs="Arial"/>
          <w:color w:val="000000" w:themeColor="text1"/>
          <w:sz w:val="20"/>
          <w:szCs w:val="20"/>
        </w:rPr>
        <w:t>.</w:t>
      </w:r>
    </w:p>
    <w:p w14:paraId="68A1E321" w14:textId="77777777" w:rsidR="005E4FE2" w:rsidRPr="00222802" w:rsidRDefault="005E4FE2" w:rsidP="005E4FE2">
      <w:pPr>
        <w:spacing w:after="0" w:line="276" w:lineRule="auto"/>
        <w:ind w:firstLine="708"/>
        <w:jc w:val="both"/>
        <w:rPr>
          <w:rFonts w:ascii="Verdana" w:eastAsia="Calibri" w:hAnsi="Verdana" w:cs="Arial"/>
          <w:bCs/>
          <w:color w:val="000000" w:themeColor="text1"/>
        </w:rPr>
      </w:pPr>
    </w:p>
    <w:p w14:paraId="25935D21" w14:textId="77777777" w:rsidR="005E4FE2" w:rsidRDefault="005E4FE2" w:rsidP="005E4FE2">
      <w:pPr>
        <w:spacing w:after="120" w:line="276" w:lineRule="auto"/>
        <w:ind w:firstLine="709"/>
        <w:jc w:val="both"/>
        <w:rPr>
          <w:rFonts w:ascii="Verdana" w:eastAsia="Calibri" w:hAnsi="Verdana" w:cs="Arial"/>
          <w:bCs/>
          <w:color w:val="000000" w:themeColor="text1"/>
        </w:rPr>
      </w:pPr>
      <w:r w:rsidRPr="00222802">
        <w:rPr>
          <w:rFonts w:ascii="Verdana" w:eastAsia="Calibri" w:hAnsi="Verdana" w:cs="Arial"/>
          <w:bCs/>
          <w:color w:val="000000" w:themeColor="text1"/>
        </w:rPr>
        <w:t xml:space="preserve">Si bien el artículo 1452 del Código Civil dispone que no existe donación en el comodato, implica un auxilio en favor de terceros. Para estos efectos, la jurisprudencia considera que el contrato </w:t>
      </w:r>
      <w:r>
        <w:rPr>
          <w:rFonts w:ascii="Verdana" w:eastAsia="Calibri" w:hAnsi="Verdana" w:cs="Arial"/>
          <w:bCs/>
          <w:color w:val="000000" w:themeColor="text1"/>
        </w:rPr>
        <w:t>“</w:t>
      </w:r>
      <w:r w:rsidRPr="001E075A">
        <w:rPr>
          <w:rFonts w:ascii="Verdana" w:eastAsia="Calibri" w:hAnsi="Verdana" w:cs="Arial"/>
          <w:bCs/>
          <w:iCs/>
          <w:color w:val="000000" w:themeColor="text1"/>
        </w:rPr>
        <w:t xml:space="preserve">Es tal vez una de las más elementales pero contundentes muestras de solidaridad, ayuda y auxilio, como que se trata de un acto de cortesía, benevolencia, beneficencia o complacencia que no tiene el lucro como inspiración esencial y que facilita al comodatario la satisfacción de sus necesidades […] No en vano, comodato viene del latín </w:t>
      </w:r>
      <w:proofErr w:type="spellStart"/>
      <w:r w:rsidRPr="001E075A">
        <w:rPr>
          <w:rFonts w:ascii="Verdana" w:eastAsia="Calibri" w:hAnsi="Verdana" w:cs="Arial"/>
          <w:bCs/>
          <w:i/>
          <w:color w:val="000000" w:themeColor="text1"/>
        </w:rPr>
        <w:t>commodatum</w:t>
      </w:r>
      <w:proofErr w:type="spellEnd"/>
      <w:r w:rsidRPr="001E075A">
        <w:rPr>
          <w:rFonts w:ascii="Verdana" w:eastAsia="Calibri" w:hAnsi="Verdana" w:cs="Arial"/>
          <w:bCs/>
          <w:iCs/>
          <w:color w:val="000000" w:themeColor="text1"/>
        </w:rPr>
        <w:t xml:space="preserve">, expresión que conjuga los términos </w:t>
      </w:r>
      <w:proofErr w:type="spellStart"/>
      <w:r w:rsidRPr="001E075A">
        <w:rPr>
          <w:rFonts w:ascii="Verdana" w:eastAsia="Calibri" w:hAnsi="Verdana" w:cs="Arial"/>
          <w:bCs/>
          <w:i/>
          <w:color w:val="000000" w:themeColor="text1"/>
        </w:rPr>
        <w:t>commodum</w:t>
      </w:r>
      <w:proofErr w:type="spellEnd"/>
      <w:r w:rsidRPr="001E075A">
        <w:rPr>
          <w:rFonts w:ascii="Verdana" w:eastAsia="Calibri" w:hAnsi="Verdana" w:cs="Arial"/>
          <w:bCs/>
          <w:iCs/>
          <w:color w:val="000000" w:themeColor="text1"/>
        </w:rPr>
        <w:t xml:space="preserve"> -utilidad, provecho- y </w:t>
      </w:r>
      <w:r w:rsidRPr="001E075A">
        <w:rPr>
          <w:rFonts w:ascii="Verdana" w:eastAsia="Calibri" w:hAnsi="Verdana" w:cs="Arial"/>
          <w:bCs/>
          <w:i/>
          <w:color w:val="000000" w:themeColor="text1"/>
        </w:rPr>
        <w:t>datum</w:t>
      </w:r>
      <w:r w:rsidRPr="001E075A">
        <w:rPr>
          <w:rFonts w:ascii="Verdana" w:eastAsia="Calibri" w:hAnsi="Verdana" w:cs="Arial"/>
          <w:bCs/>
          <w:iCs/>
          <w:color w:val="000000" w:themeColor="text1"/>
        </w:rPr>
        <w:t xml:space="preserve"> -dar-, es decir, entregar para utilidad de otro (</w:t>
      </w:r>
      <w:proofErr w:type="spellStart"/>
      <w:r w:rsidRPr="001E075A">
        <w:rPr>
          <w:rFonts w:ascii="Verdana" w:eastAsia="Calibri" w:hAnsi="Verdana" w:cs="Arial"/>
          <w:bCs/>
          <w:i/>
          <w:color w:val="000000" w:themeColor="text1"/>
        </w:rPr>
        <w:t>utendum</w:t>
      </w:r>
      <w:proofErr w:type="spellEnd"/>
      <w:r w:rsidRPr="001E075A">
        <w:rPr>
          <w:rFonts w:ascii="Verdana" w:eastAsia="Calibri" w:hAnsi="Verdana" w:cs="Arial"/>
          <w:bCs/>
          <w:i/>
          <w:color w:val="000000" w:themeColor="text1"/>
        </w:rPr>
        <w:t xml:space="preserve"> </w:t>
      </w:r>
      <w:proofErr w:type="spellStart"/>
      <w:r w:rsidRPr="001E075A">
        <w:rPr>
          <w:rFonts w:ascii="Verdana" w:eastAsia="Calibri" w:hAnsi="Verdana" w:cs="Arial"/>
          <w:bCs/>
          <w:i/>
          <w:color w:val="000000" w:themeColor="text1"/>
        </w:rPr>
        <w:t>dare</w:t>
      </w:r>
      <w:proofErr w:type="spellEnd"/>
      <w:r w:rsidRPr="001E075A">
        <w:rPr>
          <w:rFonts w:ascii="Verdana" w:eastAsia="Calibri" w:hAnsi="Verdana" w:cs="Arial"/>
          <w:bCs/>
          <w:iCs/>
          <w:color w:val="000000" w:themeColor="text1"/>
        </w:rPr>
        <w:t>)</w:t>
      </w:r>
      <w:r>
        <w:rPr>
          <w:rFonts w:ascii="Verdana" w:eastAsia="Calibri" w:hAnsi="Verdana" w:cs="Arial"/>
          <w:bCs/>
          <w:color w:val="000000" w:themeColor="text1"/>
        </w:rPr>
        <w:t>”</w:t>
      </w:r>
      <w:r w:rsidRPr="00222802">
        <w:rPr>
          <w:rFonts w:ascii="Verdana" w:eastAsia="Calibri" w:hAnsi="Verdana"/>
          <w:vertAlign w:val="superscript"/>
        </w:rPr>
        <w:footnoteReference w:id="40"/>
      </w:r>
      <w:r w:rsidRPr="00222802">
        <w:rPr>
          <w:rFonts w:ascii="Verdana" w:eastAsia="Calibri" w:hAnsi="Verdana" w:cs="Arial"/>
          <w:bCs/>
          <w:color w:val="000000" w:themeColor="text1"/>
        </w:rPr>
        <w:t xml:space="preserve">. </w:t>
      </w:r>
    </w:p>
    <w:p w14:paraId="50E24425" w14:textId="65A428DE" w:rsidR="000A1034" w:rsidRDefault="00D2114D" w:rsidP="000A1034">
      <w:pPr>
        <w:spacing w:after="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Ahora bien, resulta </w:t>
      </w:r>
      <w:r w:rsidR="009C2DF6">
        <w:rPr>
          <w:rFonts w:ascii="Verdana" w:eastAsia="Times New Roman" w:hAnsi="Verdana" w:cs="Arial"/>
          <w:bCs/>
          <w:lang w:val="es-MX" w:eastAsia="x-none"/>
        </w:rPr>
        <w:t xml:space="preserve">importante resaltar que esta tipología contractual es restrictiva en la contratación pública, cuando se pretende celebrar con particulares, </w:t>
      </w:r>
      <w:r w:rsidR="00953B0A">
        <w:rPr>
          <w:rFonts w:ascii="Verdana" w:eastAsia="Times New Roman" w:hAnsi="Verdana" w:cs="Arial"/>
          <w:bCs/>
          <w:lang w:val="es-MX" w:eastAsia="x-none"/>
        </w:rPr>
        <w:t>máxime</w:t>
      </w:r>
      <w:r w:rsidR="009C2DF6">
        <w:rPr>
          <w:rFonts w:ascii="Verdana" w:eastAsia="Times New Roman" w:hAnsi="Verdana" w:cs="Arial"/>
          <w:bCs/>
          <w:lang w:val="es-MX" w:eastAsia="x-none"/>
        </w:rPr>
        <w:t xml:space="preserve"> cuando el </w:t>
      </w:r>
      <w:r w:rsidR="00EC28D7">
        <w:rPr>
          <w:rFonts w:ascii="Verdana" w:eastAsia="Times New Roman" w:hAnsi="Verdana" w:cs="Arial"/>
          <w:bCs/>
          <w:lang w:val="es-MX" w:eastAsia="x-none"/>
        </w:rPr>
        <w:t>ordenamiento solo permite donaciones y auxilios a favor de Entidades Estatales. Al respecto</w:t>
      </w:r>
      <w:r w:rsidR="00AF49BB">
        <w:rPr>
          <w:rFonts w:ascii="Verdana" w:eastAsia="Times New Roman" w:hAnsi="Verdana" w:cs="Arial"/>
          <w:bCs/>
          <w:lang w:val="es-MX" w:eastAsia="x-none"/>
        </w:rPr>
        <w:t>, es importante destacar que el artículo 38 de la L</w:t>
      </w:r>
      <w:r w:rsidR="00252B1C">
        <w:rPr>
          <w:rFonts w:ascii="Verdana" w:eastAsia="Times New Roman" w:hAnsi="Verdana" w:cs="Arial"/>
          <w:bCs/>
          <w:lang w:val="es-MX" w:eastAsia="x-none"/>
        </w:rPr>
        <w:t xml:space="preserve">ey </w:t>
      </w:r>
      <w:r w:rsidR="008A7AB0">
        <w:rPr>
          <w:rFonts w:ascii="Verdana" w:eastAsia="Times New Roman" w:hAnsi="Verdana" w:cs="Arial"/>
          <w:bCs/>
          <w:lang w:val="es-MX" w:eastAsia="x-none"/>
        </w:rPr>
        <w:t>9 de 1989</w:t>
      </w:r>
      <w:r w:rsidR="006A30AE">
        <w:rPr>
          <w:rFonts w:ascii="Verdana" w:eastAsia="Times New Roman" w:hAnsi="Verdana" w:cs="Arial"/>
          <w:bCs/>
          <w:lang w:val="es-MX" w:eastAsia="x-none"/>
        </w:rPr>
        <w:t xml:space="preserve"> prescribe que: </w:t>
      </w:r>
    </w:p>
    <w:p w14:paraId="3ACF4046" w14:textId="77777777" w:rsidR="006A30AE" w:rsidRDefault="006A30AE" w:rsidP="000A1034">
      <w:pPr>
        <w:spacing w:after="0" w:line="276" w:lineRule="auto"/>
        <w:ind w:firstLine="709"/>
        <w:jc w:val="both"/>
        <w:rPr>
          <w:rFonts w:ascii="Verdana" w:eastAsia="Times New Roman" w:hAnsi="Verdana" w:cs="Arial"/>
          <w:bCs/>
          <w:lang w:val="es-MX" w:eastAsia="x-none"/>
        </w:rPr>
      </w:pPr>
    </w:p>
    <w:p w14:paraId="34E90D2B" w14:textId="77777777" w:rsidR="00306D87" w:rsidRPr="008363F8" w:rsidRDefault="00306D87" w:rsidP="00306D87">
      <w:pPr>
        <w:spacing w:after="0" w:line="240" w:lineRule="auto"/>
        <w:ind w:left="709" w:right="709"/>
        <w:contextualSpacing/>
        <w:jc w:val="both"/>
        <w:rPr>
          <w:rFonts w:ascii="Verdana" w:eastAsia="Aptos" w:hAnsi="Verdana" w:cs="Arial"/>
          <w:color w:val="000000"/>
          <w:sz w:val="20"/>
          <w:szCs w:val="20"/>
          <w:lang w:val="es-ES_tradnl"/>
        </w:rPr>
      </w:pPr>
      <w:r w:rsidRPr="008363F8">
        <w:rPr>
          <w:rFonts w:ascii="Verdana" w:eastAsia="Aptos" w:hAnsi="Verdana" w:cs="Arial"/>
          <w:color w:val="000000"/>
          <w:sz w:val="20"/>
          <w:szCs w:val="20"/>
          <w:lang w:val="es-ES_tradnl"/>
        </w:rPr>
        <w:t xml:space="preserve">“Las entidades públicas no podrán dar en comodato sus inmuebles sino únicamente a otras entidades públicas, sindicatos, cooperativas, asociaciones y fundaciones que no repartan utilidades entre sus asociados </w:t>
      </w:r>
      <w:r w:rsidRPr="008363F8">
        <w:rPr>
          <w:rFonts w:ascii="Verdana" w:eastAsia="Aptos" w:hAnsi="Verdana" w:cs="Arial"/>
          <w:color w:val="000000"/>
          <w:sz w:val="20"/>
          <w:szCs w:val="20"/>
          <w:lang w:val="es-ES_tradnl"/>
        </w:rPr>
        <w:lastRenderedPageBreak/>
        <w:t>o fundadores ni adjudiquen sus activos en el momento de su liquidación a los mismos, juntas de acción comunal, fondos de empleados y las demás que puedan asimilarse a las anteriores, y por un término máximo de cinco (5) años, renovables.</w:t>
      </w:r>
    </w:p>
    <w:p w14:paraId="6BAAEF7A" w14:textId="77777777" w:rsidR="00306D87" w:rsidRPr="008363F8" w:rsidRDefault="00306D87" w:rsidP="00306D87">
      <w:pPr>
        <w:spacing w:after="0" w:line="240" w:lineRule="auto"/>
        <w:ind w:left="709" w:right="709"/>
        <w:contextualSpacing/>
        <w:jc w:val="both"/>
        <w:rPr>
          <w:rFonts w:ascii="Verdana" w:eastAsia="Aptos" w:hAnsi="Verdana" w:cs="Arial"/>
          <w:color w:val="000000"/>
          <w:sz w:val="20"/>
          <w:szCs w:val="20"/>
          <w:lang w:val="es-ES_tradnl"/>
        </w:rPr>
      </w:pPr>
    </w:p>
    <w:p w14:paraId="17B218C1" w14:textId="77777777" w:rsidR="00306D87" w:rsidRPr="008363F8" w:rsidRDefault="00306D87" w:rsidP="00306D87">
      <w:pPr>
        <w:spacing w:after="0" w:line="240" w:lineRule="auto"/>
        <w:ind w:left="709" w:right="709"/>
        <w:contextualSpacing/>
        <w:jc w:val="both"/>
        <w:rPr>
          <w:rFonts w:ascii="Verdana" w:eastAsia="Aptos" w:hAnsi="Verdana" w:cs="Arial"/>
          <w:color w:val="000000"/>
          <w:sz w:val="20"/>
          <w:szCs w:val="20"/>
          <w:lang w:val="es-ES_tradnl"/>
        </w:rPr>
      </w:pPr>
      <w:r w:rsidRPr="008363F8">
        <w:rPr>
          <w:rFonts w:ascii="Verdana" w:eastAsia="Aptos" w:hAnsi="Verdana" w:cs="Arial"/>
          <w:color w:val="000000"/>
          <w:sz w:val="20"/>
          <w:szCs w:val="20"/>
          <w:lang w:val="es-ES_tradnl"/>
        </w:rPr>
        <w:t>Los contratos de comodato existentes, y que hayan sido celebrados por las entidades públicas con personas distintas de las señaladas en el inciso anterior, serán renegociados por las primeras para limitar su término a tres (3) años renovables, contados a partir de la promulgación de la presente Ley”.</w:t>
      </w:r>
    </w:p>
    <w:p w14:paraId="52A9F18E" w14:textId="77777777" w:rsidR="0006183F" w:rsidRPr="00306D87" w:rsidRDefault="0006183F" w:rsidP="008363F8">
      <w:pPr>
        <w:spacing w:after="0" w:line="276" w:lineRule="auto"/>
        <w:ind w:right="709"/>
        <w:contextualSpacing/>
        <w:jc w:val="both"/>
        <w:rPr>
          <w:rFonts w:ascii="Verdana" w:eastAsia="Aptos" w:hAnsi="Verdana" w:cs="Arial"/>
          <w:color w:val="000000"/>
          <w:sz w:val="21"/>
          <w:szCs w:val="21"/>
          <w:lang w:val="es-ES_tradnl"/>
        </w:rPr>
      </w:pPr>
    </w:p>
    <w:p w14:paraId="7FA11B20" w14:textId="71230098" w:rsidR="002B0EF3" w:rsidRDefault="0006183F" w:rsidP="008363F8">
      <w:pPr>
        <w:spacing w:after="120" w:line="276" w:lineRule="auto"/>
        <w:ind w:firstLine="709"/>
        <w:jc w:val="both"/>
        <w:rPr>
          <w:rFonts w:ascii="Verdana" w:eastAsia="Aptos" w:hAnsi="Verdana" w:cs="Arial"/>
          <w:color w:val="000000"/>
          <w:lang w:val="es-ES"/>
        </w:rPr>
      </w:pPr>
      <w:r w:rsidRPr="239049CC">
        <w:rPr>
          <w:rFonts w:ascii="Verdana" w:eastAsia="Aptos" w:hAnsi="Verdana" w:cs="Arial"/>
          <w:color w:val="000000" w:themeColor="text1"/>
          <w:lang w:val="es-ES"/>
        </w:rPr>
        <w:t>Dicha</w:t>
      </w:r>
      <w:r w:rsidR="00C53CD4" w:rsidRPr="239049CC">
        <w:rPr>
          <w:rFonts w:ascii="Verdana" w:eastAsia="Aptos" w:hAnsi="Verdana" w:cs="Arial"/>
          <w:color w:val="000000" w:themeColor="text1"/>
          <w:lang w:val="es-ES"/>
        </w:rPr>
        <w:t xml:space="preserve"> disposición es </w:t>
      </w:r>
      <w:r w:rsidR="00E7541A">
        <w:rPr>
          <w:rFonts w:ascii="Verdana" w:eastAsia="Aptos" w:hAnsi="Verdana" w:cs="Arial"/>
          <w:color w:val="000000" w:themeColor="text1"/>
          <w:lang w:val="es-ES"/>
        </w:rPr>
        <w:t>congruente</w:t>
      </w:r>
      <w:r w:rsidR="00E7541A" w:rsidRPr="239049CC">
        <w:rPr>
          <w:rFonts w:ascii="Verdana" w:eastAsia="Aptos" w:hAnsi="Verdana" w:cs="Arial"/>
          <w:color w:val="000000" w:themeColor="text1"/>
          <w:lang w:val="es-ES"/>
        </w:rPr>
        <w:t xml:space="preserve"> </w:t>
      </w:r>
      <w:r w:rsidR="00C53CD4" w:rsidRPr="239049CC">
        <w:rPr>
          <w:rFonts w:ascii="Verdana" w:eastAsia="Aptos" w:hAnsi="Verdana" w:cs="Arial"/>
          <w:color w:val="000000" w:themeColor="text1"/>
          <w:lang w:val="es-ES"/>
        </w:rPr>
        <w:t xml:space="preserve">con el artículo 355 de la Constitución Política de 1991, el cual dispone que “[n]inguna de las ramas u órganos del poder público podrá </w:t>
      </w:r>
      <w:r w:rsidR="00D1467B" w:rsidRPr="239049CC">
        <w:rPr>
          <w:rFonts w:ascii="Verdana" w:eastAsia="Aptos" w:hAnsi="Verdana" w:cs="Arial"/>
          <w:color w:val="000000" w:themeColor="text1"/>
          <w:lang w:val="es-ES"/>
        </w:rPr>
        <w:t xml:space="preserve">decretar auxilios o donaciones en favor de personas naturales </w:t>
      </w:r>
      <w:r w:rsidR="000640C8" w:rsidRPr="239049CC">
        <w:rPr>
          <w:rFonts w:ascii="Verdana" w:eastAsia="Aptos" w:hAnsi="Verdana" w:cs="Arial"/>
          <w:color w:val="000000" w:themeColor="text1"/>
          <w:lang w:val="es-ES"/>
        </w:rPr>
        <w:t>o jurídicas de derecho privado</w:t>
      </w:r>
      <w:r w:rsidR="002B0EF3" w:rsidRPr="239049CC">
        <w:rPr>
          <w:rFonts w:ascii="Verdana" w:eastAsia="Aptos" w:hAnsi="Verdana" w:cs="Arial"/>
          <w:color w:val="000000" w:themeColor="text1"/>
          <w:lang w:val="es-ES"/>
        </w:rPr>
        <w:t xml:space="preserve">”. No obstante, el inciso segundo también señala lo siguiente: </w:t>
      </w:r>
      <w:r w:rsidR="00150D38" w:rsidRPr="239049CC">
        <w:rPr>
          <w:rFonts w:ascii="Verdana" w:eastAsia="Aptos" w:hAnsi="Verdana" w:cs="Arial"/>
          <w:color w:val="000000" w:themeColor="text1"/>
          <w:lang w:val="es-ES"/>
        </w:rPr>
        <w:t xml:space="preserve">“El Gobierno, en los niveles nacional, departamental, distrital y municipal </w:t>
      </w:r>
      <w:r w:rsidR="000B41AC" w:rsidRPr="239049CC">
        <w:rPr>
          <w:rFonts w:ascii="Verdana" w:eastAsia="Aptos" w:hAnsi="Verdana" w:cs="Arial"/>
          <w:color w:val="000000" w:themeColor="text1"/>
          <w:lang w:val="es-ES"/>
        </w:rPr>
        <w:t>podrá, co</w:t>
      </w:r>
      <w:r w:rsidR="00397CAA" w:rsidRPr="239049CC">
        <w:rPr>
          <w:rFonts w:ascii="Verdana" w:eastAsia="Aptos" w:hAnsi="Verdana" w:cs="Arial"/>
          <w:color w:val="000000" w:themeColor="text1"/>
          <w:lang w:val="es-ES"/>
        </w:rPr>
        <w:t>n</w:t>
      </w:r>
      <w:r w:rsidR="000B41AC" w:rsidRPr="239049CC">
        <w:rPr>
          <w:rFonts w:ascii="Verdana" w:eastAsia="Aptos" w:hAnsi="Verdana" w:cs="Arial"/>
          <w:color w:val="000000" w:themeColor="text1"/>
          <w:lang w:val="es-ES"/>
        </w:rPr>
        <w:t xml:space="preserve"> recursos </w:t>
      </w:r>
      <w:r w:rsidR="00397CAA" w:rsidRPr="239049CC">
        <w:rPr>
          <w:rFonts w:ascii="Verdana" w:eastAsia="Aptos" w:hAnsi="Verdana" w:cs="Arial"/>
          <w:color w:val="000000" w:themeColor="text1"/>
          <w:lang w:val="es-ES"/>
        </w:rPr>
        <w:t xml:space="preserve">de los respectivos presupuestos, </w:t>
      </w:r>
      <w:r w:rsidR="00247F70" w:rsidRPr="239049CC">
        <w:rPr>
          <w:rFonts w:ascii="Verdana" w:eastAsia="Aptos" w:hAnsi="Verdana" w:cs="Arial"/>
          <w:color w:val="000000" w:themeColor="text1"/>
          <w:lang w:val="es-ES"/>
        </w:rPr>
        <w:t>celebrará</w:t>
      </w:r>
      <w:r w:rsidR="00397CAA" w:rsidRPr="239049CC">
        <w:rPr>
          <w:rFonts w:ascii="Verdana" w:eastAsia="Aptos" w:hAnsi="Verdana" w:cs="Arial"/>
          <w:color w:val="000000" w:themeColor="text1"/>
          <w:lang w:val="es-ES"/>
        </w:rPr>
        <w:t xml:space="preserve"> contratos con entidades privadas sin </w:t>
      </w:r>
      <w:r w:rsidR="00247F70" w:rsidRPr="239049CC">
        <w:rPr>
          <w:rFonts w:ascii="Verdana" w:eastAsia="Aptos" w:hAnsi="Verdana" w:cs="Arial"/>
          <w:color w:val="000000" w:themeColor="text1"/>
          <w:lang w:val="es-ES"/>
        </w:rPr>
        <w:t>ánimo</w:t>
      </w:r>
      <w:r w:rsidR="00397CAA" w:rsidRPr="239049CC">
        <w:rPr>
          <w:rFonts w:ascii="Verdana" w:eastAsia="Aptos" w:hAnsi="Verdana" w:cs="Arial"/>
          <w:color w:val="000000" w:themeColor="text1"/>
          <w:lang w:val="es-ES"/>
        </w:rPr>
        <w:t xml:space="preserve"> de lucro</w:t>
      </w:r>
      <w:r w:rsidR="00E0384C" w:rsidRPr="239049CC">
        <w:rPr>
          <w:rFonts w:ascii="Verdana" w:eastAsia="Aptos" w:hAnsi="Verdana" w:cs="Arial"/>
          <w:color w:val="000000" w:themeColor="text1"/>
          <w:lang w:val="es-ES"/>
        </w:rPr>
        <w:t xml:space="preserve"> y de reconocida idoneidad con el fin de impulsar programas y actividades de interés público acordes con el Plan Nacional</w:t>
      </w:r>
      <w:r w:rsidR="006F673D" w:rsidRPr="239049CC">
        <w:rPr>
          <w:rFonts w:ascii="Verdana" w:eastAsia="Aptos" w:hAnsi="Verdana" w:cs="Arial"/>
          <w:color w:val="000000" w:themeColor="text1"/>
          <w:lang w:val="es-ES"/>
        </w:rPr>
        <w:t xml:space="preserve"> y con los planes seccionales de Desarrollo […]”. </w:t>
      </w:r>
    </w:p>
    <w:p w14:paraId="20395594" w14:textId="051231FB" w:rsidR="009D1005" w:rsidRDefault="009D1005" w:rsidP="008363F8">
      <w:pPr>
        <w:spacing w:after="120" w:line="276" w:lineRule="auto"/>
        <w:ind w:firstLine="709"/>
        <w:jc w:val="both"/>
        <w:rPr>
          <w:rFonts w:ascii="Verdana" w:eastAsia="Aptos" w:hAnsi="Verdana" w:cs="Arial"/>
          <w:shd w:val="clear" w:color="auto" w:fill="FFFFFF"/>
        </w:rPr>
      </w:pPr>
      <w:r w:rsidRPr="00C434D7">
        <w:rPr>
          <w:rFonts w:ascii="Verdana" w:eastAsia="Aptos" w:hAnsi="Verdana" w:cs="Arial"/>
          <w:shd w:val="clear" w:color="auto" w:fill="FFFFFF"/>
        </w:rPr>
        <w:t xml:space="preserve">Mediante Concepto 415140000909 de 2015, </w:t>
      </w:r>
      <w:r w:rsidR="00426A93" w:rsidRPr="00222802">
        <w:rPr>
          <w:rFonts w:ascii="Verdana" w:eastAsia="Calibri" w:hAnsi="Verdana" w:cs="Arial"/>
          <w:bCs/>
          <w:color w:val="000000" w:themeColor="text1"/>
        </w:rPr>
        <w:t xml:space="preserve">la </w:t>
      </w:r>
      <w:r w:rsidR="00426A93" w:rsidRPr="002964EC">
        <w:rPr>
          <w:rFonts w:ascii="Verdana" w:eastAsia="Calibri" w:hAnsi="Verdana" w:cs="Arial"/>
          <w:bCs/>
          <w:color w:val="000000" w:themeColor="text1"/>
        </w:rPr>
        <w:t>Agencia Nacional de Contratación Pública - Colombia Compra Eficiente</w:t>
      </w:r>
      <w:r w:rsidR="00426A93" w:rsidRPr="00937B31" w:rsidDel="00937B31">
        <w:rPr>
          <w:rFonts w:ascii="Verdana" w:eastAsia="Calibri" w:hAnsi="Verdana" w:cs="Arial"/>
          <w:bCs/>
          <w:color w:val="000000" w:themeColor="text1"/>
        </w:rPr>
        <w:t xml:space="preserve"> </w:t>
      </w:r>
      <w:r w:rsidRPr="00C434D7">
        <w:rPr>
          <w:rFonts w:ascii="Verdana" w:eastAsia="Aptos" w:hAnsi="Verdana" w:cs="Arial"/>
          <w:shd w:val="clear" w:color="auto" w:fill="FFFFFF"/>
        </w:rPr>
        <w:t xml:space="preserve">explicó que el artículo 38 de la Ley 9 de 1989 contiene una restricción al texto constitucional del artículo 355, toda vez que tratándose de bienes inmuebles establece dos (2) condiciones a las que están sujetas las </w:t>
      </w:r>
      <w:r w:rsidR="00C950B9">
        <w:rPr>
          <w:rFonts w:ascii="Verdana" w:eastAsia="Aptos" w:hAnsi="Verdana" w:cs="Arial"/>
          <w:shd w:val="clear" w:color="auto" w:fill="FFFFFF"/>
        </w:rPr>
        <w:t>e</w:t>
      </w:r>
      <w:r w:rsidR="00C950B9" w:rsidRPr="00C434D7">
        <w:rPr>
          <w:rFonts w:ascii="Verdana" w:eastAsia="Aptos" w:hAnsi="Verdana" w:cs="Arial"/>
          <w:shd w:val="clear" w:color="auto" w:fill="FFFFFF"/>
        </w:rPr>
        <w:t xml:space="preserve">ntidades </w:t>
      </w:r>
      <w:r w:rsidR="00C950B9">
        <w:rPr>
          <w:rFonts w:ascii="Verdana" w:eastAsia="Aptos" w:hAnsi="Verdana" w:cs="Arial"/>
          <w:shd w:val="clear" w:color="auto" w:fill="FFFFFF"/>
        </w:rPr>
        <w:t>e</w:t>
      </w:r>
      <w:r w:rsidR="00C950B9" w:rsidRPr="00C434D7">
        <w:rPr>
          <w:rFonts w:ascii="Verdana" w:eastAsia="Aptos" w:hAnsi="Verdana" w:cs="Arial"/>
          <w:shd w:val="clear" w:color="auto" w:fill="FFFFFF"/>
        </w:rPr>
        <w:t xml:space="preserve">statales </w:t>
      </w:r>
      <w:r w:rsidRPr="00C434D7">
        <w:rPr>
          <w:rFonts w:ascii="Verdana" w:eastAsia="Aptos" w:hAnsi="Verdana" w:cs="Arial"/>
          <w:shd w:val="clear" w:color="auto" w:fill="FFFFFF"/>
        </w:rPr>
        <w:t>para celebrar el contrato de comodato: i) el tiempo de duración del contrato y ii) las personas con las cuales puede celebrarlo. Con fundamento en la misma norma, precisó que esta no establece restricción frente al contrato de comodato de bienes muebles, por tanto, las entidades estatales podrían celebrar contratos de comodato entre sí, de acuerdo con las reglas del Código Civil dispuestas entre los artículos 2200 al 2220.</w:t>
      </w:r>
    </w:p>
    <w:p w14:paraId="75DB298C" w14:textId="78D6F8E0" w:rsidR="009D1005" w:rsidRDefault="00123E75" w:rsidP="008363F8">
      <w:pPr>
        <w:spacing w:after="120" w:line="276" w:lineRule="auto"/>
        <w:ind w:firstLine="709"/>
        <w:jc w:val="both"/>
        <w:rPr>
          <w:rFonts w:ascii="Verdana" w:eastAsia="Aptos" w:hAnsi="Verdana" w:cs="Arial"/>
          <w:shd w:val="clear" w:color="auto" w:fill="FFFFFF"/>
        </w:rPr>
      </w:pPr>
      <w:r>
        <w:rPr>
          <w:rFonts w:ascii="Verdana" w:eastAsia="Aptos" w:hAnsi="Verdana" w:cs="Arial"/>
          <w:shd w:val="clear" w:color="auto" w:fill="FFFFFF"/>
        </w:rPr>
        <w:t xml:space="preserve">El supuesto antes descrito hace referencia al caso cuando la entidad estatal tiene la condición de comodante. Es decir, cuando la entidad tiene el dominio de la cosa y la entrega a otra persona – que deben ser a </w:t>
      </w:r>
      <w:r w:rsidR="00CD6F6C">
        <w:rPr>
          <w:rFonts w:ascii="Verdana" w:eastAsia="Aptos" w:hAnsi="Verdana" w:cs="Arial"/>
          <w:shd w:val="clear" w:color="auto" w:fill="FFFFFF"/>
        </w:rPr>
        <w:t>otras entidades</w:t>
      </w:r>
      <w:r>
        <w:rPr>
          <w:rFonts w:ascii="Verdana" w:eastAsia="Aptos" w:hAnsi="Verdana" w:cs="Arial"/>
          <w:shd w:val="clear" w:color="auto" w:fill="FFFFFF"/>
        </w:rPr>
        <w:t xml:space="preserve"> </w:t>
      </w:r>
      <w:r w:rsidR="00B31F91">
        <w:rPr>
          <w:rFonts w:ascii="Verdana" w:eastAsia="Aptos" w:hAnsi="Verdana" w:cs="Arial"/>
          <w:shd w:val="clear" w:color="auto" w:fill="FFFFFF"/>
        </w:rPr>
        <w:t>públicas</w:t>
      </w:r>
      <w:r w:rsidR="00A76F6E">
        <w:rPr>
          <w:rFonts w:ascii="Verdana" w:eastAsia="Aptos" w:hAnsi="Verdana" w:cs="Arial"/>
          <w:shd w:val="clear" w:color="auto" w:fill="FFFFFF"/>
        </w:rPr>
        <w:t xml:space="preserve">, sindicatos, cooperativas, asociaciones y fundaciones que no repartan utilidades </w:t>
      </w:r>
      <w:r w:rsidR="00A96B5A">
        <w:rPr>
          <w:rFonts w:ascii="Verdana" w:eastAsia="Aptos" w:hAnsi="Verdana" w:cs="Arial"/>
          <w:shd w:val="clear" w:color="auto" w:fill="FFFFFF"/>
        </w:rPr>
        <w:t xml:space="preserve">entre </w:t>
      </w:r>
      <w:r w:rsidR="00BE0682">
        <w:rPr>
          <w:rFonts w:ascii="Verdana" w:eastAsia="Aptos" w:hAnsi="Verdana" w:cs="Arial"/>
          <w:shd w:val="clear" w:color="auto" w:fill="FFFFFF"/>
        </w:rPr>
        <w:t xml:space="preserve">sus asociados </w:t>
      </w:r>
      <w:r w:rsidR="00E95DAF">
        <w:rPr>
          <w:rFonts w:ascii="Verdana" w:eastAsia="Aptos" w:hAnsi="Verdana" w:cs="Arial"/>
          <w:shd w:val="clear" w:color="auto" w:fill="FFFFFF"/>
        </w:rPr>
        <w:t>o fundadores se adjudiquen</w:t>
      </w:r>
      <w:r w:rsidR="00823C09">
        <w:rPr>
          <w:rFonts w:ascii="Verdana" w:eastAsia="Aptos" w:hAnsi="Verdana" w:cs="Arial"/>
          <w:shd w:val="clear" w:color="auto" w:fill="FFFFFF"/>
        </w:rPr>
        <w:t xml:space="preserve"> sus activos en el momento de su liquidación a los mismos, juntas de acción comunal, fondo de </w:t>
      </w:r>
      <w:r w:rsidR="00823C09">
        <w:rPr>
          <w:rFonts w:ascii="Verdana" w:eastAsia="Aptos" w:hAnsi="Verdana" w:cs="Arial"/>
          <w:shd w:val="clear" w:color="auto" w:fill="FFFFFF"/>
        </w:rPr>
        <w:lastRenderedPageBreak/>
        <w:t>empleados</w:t>
      </w:r>
      <w:r w:rsidR="00BF6EB2">
        <w:rPr>
          <w:rFonts w:ascii="Verdana" w:eastAsia="Aptos" w:hAnsi="Verdana" w:cs="Arial"/>
          <w:shd w:val="clear" w:color="auto" w:fill="FFFFFF"/>
        </w:rPr>
        <w:t xml:space="preserve">, conforme lo expuesto anteriormente – para que esta haga uso de ella. </w:t>
      </w:r>
    </w:p>
    <w:p w14:paraId="718ED603" w14:textId="321BDDB6" w:rsidR="007A562E" w:rsidRDefault="00BF6EB2" w:rsidP="00426A93">
      <w:pPr>
        <w:spacing w:after="120" w:line="276" w:lineRule="auto"/>
        <w:ind w:firstLine="709"/>
        <w:jc w:val="both"/>
        <w:rPr>
          <w:rFonts w:ascii="Verdana" w:eastAsia="Aptos" w:hAnsi="Verdana" w:cs="Arial"/>
          <w:shd w:val="clear" w:color="auto" w:fill="FFFFFF"/>
        </w:rPr>
      </w:pPr>
      <w:r>
        <w:rPr>
          <w:rFonts w:ascii="Verdana" w:eastAsia="Aptos" w:hAnsi="Verdana" w:cs="Arial"/>
          <w:shd w:val="clear" w:color="auto" w:fill="FFFFFF"/>
        </w:rPr>
        <w:t xml:space="preserve">Sin embargo, la prohibición transcrita en los párrafos anteriores no aplicaría para el supuesto de hecho en el cual la </w:t>
      </w:r>
      <w:r w:rsidR="00426A93">
        <w:rPr>
          <w:rFonts w:ascii="Verdana" w:eastAsia="Aptos" w:hAnsi="Verdana" w:cs="Arial"/>
          <w:shd w:val="clear" w:color="auto" w:fill="FFFFFF"/>
        </w:rPr>
        <w:t xml:space="preserve">entidad estatal </w:t>
      </w:r>
      <w:r>
        <w:rPr>
          <w:rFonts w:ascii="Verdana" w:eastAsia="Aptos" w:hAnsi="Verdana" w:cs="Arial"/>
          <w:shd w:val="clear" w:color="auto" w:fill="FFFFFF"/>
        </w:rPr>
        <w:t xml:space="preserve">tenga la condición </w:t>
      </w:r>
      <w:r w:rsidR="00B71DC3">
        <w:rPr>
          <w:rFonts w:ascii="Verdana" w:eastAsia="Aptos" w:hAnsi="Verdana" w:cs="Arial"/>
          <w:shd w:val="clear" w:color="auto" w:fill="FFFFFF"/>
        </w:rPr>
        <w:t xml:space="preserve">de comodataria, pues en este caso la entidad no entregaría </w:t>
      </w:r>
      <w:r w:rsidR="00003C0E">
        <w:rPr>
          <w:rFonts w:ascii="Verdana" w:eastAsia="Aptos" w:hAnsi="Verdana" w:cs="Arial"/>
          <w:shd w:val="clear" w:color="auto" w:fill="FFFFFF"/>
        </w:rPr>
        <w:t xml:space="preserve">un bien </w:t>
      </w:r>
      <w:r w:rsidR="00CD6F6C">
        <w:rPr>
          <w:rFonts w:ascii="Verdana" w:eastAsia="Aptos" w:hAnsi="Verdana" w:cs="Arial"/>
          <w:shd w:val="clear" w:color="auto" w:fill="FFFFFF"/>
        </w:rPr>
        <w:t xml:space="preserve">a otra persona, sino que por lo contrario a la </w:t>
      </w:r>
      <w:r w:rsidR="00C950B9">
        <w:rPr>
          <w:rFonts w:ascii="Verdana" w:eastAsia="Aptos" w:hAnsi="Verdana" w:cs="Arial"/>
          <w:shd w:val="clear" w:color="auto" w:fill="FFFFFF"/>
        </w:rPr>
        <w:t>entidad estatal</w:t>
      </w:r>
      <w:r w:rsidR="00CD6F6C">
        <w:rPr>
          <w:rFonts w:ascii="Verdana" w:eastAsia="Aptos" w:hAnsi="Verdana" w:cs="Arial"/>
          <w:shd w:val="clear" w:color="auto" w:fill="FFFFFF"/>
        </w:rPr>
        <w:t xml:space="preserve"> le entregarían el bien para su uso</w:t>
      </w:r>
      <w:r w:rsidR="00995EE0">
        <w:rPr>
          <w:rFonts w:ascii="Verdana" w:eastAsia="Aptos" w:hAnsi="Verdana" w:cs="Arial"/>
          <w:shd w:val="clear" w:color="auto" w:fill="FFFFFF"/>
        </w:rPr>
        <w:t>. Esta postura se basa en dos (2) argumentos: i) de acuerdo con el artículo 32 d la Ley 80 de 1993, las entidades públicas en ejercicio de la autonomía</w:t>
      </w:r>
      <w:r w:rsidR="005E0145">
        <w:rPr>
          <w:rFonts w:ascii="Verdana" w:eastAsia="Aptos" w:hAnsi="Verdana" w:cs="Arial"/>
          <w:shd w:val="clear" w:color="auto" w:fill="FFFFFF"/>
        </w:rPr>
        <w:t xml:space="preserve"> de la voluntad pueden celebrar contratos con particulares para satisfacer sus necesarias que estén asociadas con el logro del interés </w:t>
      </w:r>
      <w:r w:rsidR="00EA5C2F">
        <w:rPr>
          <w:rFonts w:ascii="Verdana" w:eastAsia="Aptos" w:hAnsi="Verdana" w:cs="Arial"/>
          <w:shd w:val="clear" w:color="auto" w:fill="FFFFFF"/>
        </w:rPr>
        <w:t>público</w:t>
      </w:r>
      <w:r w:rsidR="00C73F0E">
        <w:rPr>
          <w:rFonts w:ascii="Verdana" w:eastAsia="Aptos" w:hAnsi="Verdana" w:cs="Arial"/>
          <w:shd w:val="clear" w:color="auto" w:fill="FFFFFF"/>
        </w:rPr>
        <w:t>, siempre que no estén prohibidas</w:t>
      </w:r>
      <w:r w:rsidR="004E08B8">
        <w:rPr>
          <w:rFonts w:ascii="Verdana" w:eastAsia="Aptos" w:hAnsi="Verdana" w:cs="Arial"/>
          <w:shd w:val="clear" w:color="auto" w:fill="FFFFFF"/>
        </w:rPr>
        <w:t xml:space="preserve"> por la </w:t>
      </w:r>
      <w:r w:rsidR="008A5252">
        <w:rPr>
          <w:rFonts w:ascii="Verdana" w:eastAsia="Aptos" w:hAnsi="Verdana" w:cs="Arial"/>
          <w:shd w:val="clear" w:color="auto" w:fill="FFFFFF"/>
        </w:rPr>
        <w:t>Constitución</w:t>
      </w:r>
      <w:r w:rsidR="004E08B8">
        <w:rPr>
          <w:rFonts w:ascii="Verdana" w:eastAsia="Aptos" w:hAnsi="Verdana" w:cs="Arial"/>
          <w:shd w:val="clear" w:color="auto" w:fill="FFFFFF"/>
        </w:rPr>
        <w:t xml:space="preserve"> y la Ley; ii) en el supuesto que la entidad</w:t>
      </w:r>
      <w:r w:rsidR="001F0896">
        <w:rPr>
          <w:rFonts w:ascii="Verdana" w:eastAsia="Aptos" w:hAnsi="Verdana" w:cs="Arial"/>
          <w:shd w:val="clear" w:color="auto" w:fill="FFFFFF"/>
        </w:rPr>
        <w:t xml:space="preserve"> estatal actúe como comodatario no est</w:t>
      </w:r>
      <w:r w:rsidR="007430A9">
        <w:rPr>
          <w:rFonts w:ascii="Verdana" w:eastAsia="Aptos" w:hAnsi="Verdana" w:cs="Arial"/>
          <w:shd w:val="clear" w:color="auto" w:fill="FFFFFF"/>
        </w:rPr>
        <w:t xml:space="preserve">á </w:t>
      </w:r>
      <w:r w:rsidR="00ED7B61">
        <w:rPr>
          <w:rFonts w:ascii="Verdana" w:eastAsia="Aptos" w:hAnsi="Verdana" w:cs="Arial"/>
          <w:shd w:val="clear" w:color="auto" w:fill="FFFFFF"/>
        </w:rPr>
        <w:t xml:space="preserve">entregando sus bienes en favor de un particular, por el contrario estaría recibiendo un bien para que haga uso del mismo, y con cargo de restituir la misma especie después de terminar el uso. </w:t>
      </w:r>
    </w:p>
    <w:p w14:paraId="3063594F" w14:textId="36367415" w:rsidR="005440D7" w:rsidRPr="008363F8" w:rsidRDefault="005440D7" w:rsidP="005440D7">
      <w:pPr>
        <w:spacing w:before="120" w:line="276" w:lineRule="auto"/>
        <w:ind w:firstLine="709"/>
        <w:jc w:val="both"/>
        <w:rPr>
          <w:rFonts w:ascii="Verdana" w:hAnsi="Verdana" w:cs="Arial"/>
          <w:color w:val="1A1A1A" w:themeColor="background1" w:themeShade="1A"/>
          <w:shd w:val="clear" w:color="auto" w:fill="FFFFFF"/>
          <w:lang w:val="es-ES_tradnl"/>
        </w:rPr>
      </w:pPr>
      <w:r w:rsidRPr="008363F8">
        <w:rPr>
          <w:rFonts w:ascii="Verdana" w:eastAsia="Calibri" w:hAnsi="Verdana" w:cs="Arial"/>
          <w:color w:val="1A1A1A" w:themeColor="background1" w:themeShade="1A"/>
          <w:lang w:val="es-ES_tradnl" w:eastAsia="es-CO"/>
        </w:rPr>
        <w:t>Ahora bien, como se indicó en el concepto C- 014 de 2020,</w:t>
      </w:r>
      <w:r w:rsidRPr="008363F8">
        <w:rPr>
          <w:rFonts w:ascii="Verdana" w:eastAsia="Calibri" w:hAnsi="Verdana" w:cs="Arial"/>
          <w:b/>
          <w:color w:val="1A1A1A" w:themeColor="background1" w:themeShade="1A"/>
          <w:lang w:val="es-ES_tradnl"/>
        </w:rPr>
        <w:t xml:space="preserve"> </w:t>
      </w:r>
      <w:r w:rsidRPr="008363F8">
        <w:rPr>
          <w:rFonts w:ascii="Verdana" w:eastAsia="Calibri" w:hAnsi="Verdana" w:cs="Arial"/>
          <w:color w:val="1A1A1A" w:themeColor="background1" w:themeShade="1A"/>
          <w:lang w:val="es-ES_tradnl" w:eastAsia="es-CO"/>
        </w:rPr>
        <w:t>de la Agencia Nacional de Contratación Pública – Colombia Compra Eficiente, “el contrato de comodato es una de las tantas prestaciones que hace parte de la colaboración conjunta entre las entidades públicas y las ESAL para el cumplimiento de objetivos de interés general previstos en los planes de desarrollo o para el cumplimiento de las funciones de las entidades públicas</w:t>
      </w:r>
      <w:r w:rsidRPr="008363F8">
        <w:rPr>
          <w:rFonts w:ascii="Verdana" w:hAnsi="Verdana" w:cs="Arial"/>
          <w:iCs/>
          <w:color w:val="1A1A1A" w:themeColor="background1" w:themeShade="1A"/>
          <w:shd w:val="clear" w:color="auto" w:fill="FFFFFF"/>
          <w:lang w:val="es-ES_tradnl"/>
        </w:rPr>
        <w:t>”</w:t>
      </w:r>
      <w:r w:rsidRPr="008363F8">
        <w:rPr>
          <w:rFonts w:ascii="Verdana" w:eastAsia="Calibri" w:hAnsi="Verdana" w:cs="Arial"/>
          <w:color w:val="1A1A1A" w:themeColor="background1" w:themeShade="1A"/>
          <w:lang w:val="es-ES_tradnl" w:eastAsia="es-CO"/>
        </w:rPr>
        <w:t xml:space="preserve"> y en tal sentido, el comodato –sea de bienes inmuebles o muebles– está incorporado en los artículos 2 y 5 del Decreto 092 de 2017, de tal suerte que, por regla general </w:t>
      </w:r>
      <w:r w:rsidRPr="008363F8">
        <w:rPr>
          <w:rFonts w:ascii="Verdana" w:hAnsi="Verdana" w:cs="Arial"/>
          <w:color w:val="1A1A1A" w:themeColor="background1" w:themeShade="1A"/>
          <w:shd w:val="clear" w:color="auto" w:fill="FFFFFF"/>
          <w:lang w:val="es-ES_tradnl"/>
        </w:rPr>
        <w:t xml:space="preserve">requiere que se adelante un proceso competitivo, salvo las excepciones previstas en dicho Decreto. </w:t>
      </w:r>
    </w:p>
    <w:p w14:paraId="6AC94305" w14:textId="48980F75" w:rsidR="006013C6" w:rsidRDefault="000E2E4E" w:rsidP="0063394D">
      <w:pPr>
        <w:spacing w:after="120" w:line="276" w:lineRule="auto"/>
        <w:ind w:firstLine="709"/>
        <w:jc w:val="both"/>
        <w:rPr>
          <w:rFonts w:ascii="Verdana" w:eastAsia="Aptos" w:hAnsi="Verdana" w:cs="Arial"/>
          <w:shd w:val="clear" w:color="auto" w:fill="FFFFFF"/>
        </w:rPr>
      </w:pPr>
      <w:r>
        <w:rPr>
          <w:rFonts w:ascii="Verdana" w:eastAsia="Aptos" w:hAnsi="Verdana" w:cs="Arial"/>
          <w:shd w:val="clear" w:color="auto" w:fill="FFFFFF"/>
        </w:rPr>
        <w:t xml:space="preserve">En ese contexto, i) las entidades públicas no podrán dar en comodato sus inmuebles sino únicamente a otras entidades </w:t>
      </w:r>
      <w:r w:rsidR="00416B5E">
        <w:rPr>
          <w:rFonts w:ascii="Verdana" w:eastAsia="Aptos" w:hAnsi="Verdana" w:cs="Arial"/>
          <w:shd w:val="clear" w:color="auto" w:fill="FFFFFF"/>
        </w:rPr>
        <w:t>públicas</w:t>
      </w:r>
      <w:r w:rsidR="00B55A07">
        <w:rPr>
          <w:rFonts w:ascii="Verdana" w:eastAsia="Aptos" w:hAnsi="Verdana" w:cs="Arial"/>
          <w:shd w:val="clear" w:color="auto" w:fill="FFFFFF"/>
        </w:rPr>
        <w:t xml:space="preserve">, </w:t>
      </w:r>
      <w:r w:rsidR="00416B5E">
        <w:rPr>
          <w:rFonts w:ascii="Verdana" w:eastAsia="Aptos" w:hAnsi="Verdana" w:cs="Arial"/>
          <w:shd w:val="clear" w:color="auto" w:fill="FFFFFF"/>
        </w:rPr>
        <w:t xml:space="preserve">sindicatos, cooperativas, asociaciones y fundaciones que no repartan utilidades </w:t>
      </w:r>
      <w:r w:rsidR="004005B2">
        <w:rPr>
          <w:rFonts w:ascii="Verdana" w:eastAsia="Aptos" w:hAnsi="Verdana" w:cs="Arial"/>
          <w:shd w:val="clear" w:color="auto" w:fill="FFFFFF"/>
        </w:rPr>
        <w:t xml:space="preserve">sus asociados </w:t>
      </w:r>
      <w:r w:rsidR="001D037C">
        <w:rPr>
          <w:rFonts w:ascii="Verdana" w:eastAsia="Aptos" w:hAnsi="Verdana" w:cs="Arial"/>
          <w:shd w:val="clear" w:color="auto" w:fill="FFFFFF"/>
        </w:rPr>
        <w:t>o fundadores</w:t>
      </w:r>
      <w:r w:rsidR="003B7BB8">
        <w:rPr>
          <w:rFonts w:ascii="Verdana" w:eastAsia="Aptos" w:hAnsi="Verdana" w:cs="Arial"/>
          <w:shd w:val="clear" w:color="auto" w:fill="FFFFFF"/>
        </w:rPr>
        <w:t xml:space="preserve"> ni adjudiquen sus activos en el momento de su liquidación a los mismos, juntas de acción comunal, fondos de empleados </w:t>
      </w:r>
      <w:r w:rsidR="00D02FA5" w:rsidRPr="008031E8">
        <w:rPr>
          <w:rFonts w:ascii="Verdana" w:eastAsia="Aptos" w:hAnsi="Verdana" w:cs="Arial"/>
          <w:shd w:val="clear" w:color="auto" w:fill="FFFFFF"/>
        </w:rPr>
        <w:t xml:space="preserve">y las demás que puedan asimilarse a las anteriores, por un término máximo de cinco (5) años, renovables, de acuerdo con el artículo 38 de la Ley 9 de 1989; ii) las entidades estatales pueden celebrar contratos de comodato de bienes muebles entre sí, de acuerdo con las reglas del Código Civil; iii) en virtud del artículo 355 de la Constitución Política, las entidades estatales pueden entregar en comodato sus </w:t>
      </w:r>
      <w:r w:rsidR="00D02FA5" w:rsidRPr="008031E8">
        <w:rPr>
          <w:rFonts w:ascii="Verdana" w:eastAsia="Aptos" w:hAnsi="Verdana" w:cs="Arial"/>
          <w:shd w:val="clear" w:color="auto" w:fill="FFFFFF"/>
        </w:rPr>
        <w:lastRenderedPageBreak/>
        <w:t xml:space="preserve">bienes muebles a entidades privadas sin ánimo de lucro, y el tiempo de duración del contrato estará sujeto en todo caso a la actividad misional de la respectiva entidad estatal de acuerdo con lo previsto en el artículo 96 de la Ley 489 de 1998 y; </w:t>
      </w:r>
      <w:proofErr w:type="spellStart"/>
      <w:r w:rsidR="00D02FA5" w:rsidRPr="008031E8">
        <w:rPr>
          <w:rFonts w:ascii="Verdana" w:eastAsia="Aptos" w:hAnsi="Verdana" w:cs="Arial"/>
          <w:shd w:val="clear" w:color="auto" w:fill="FFFFFF"/>
        </w:rPr>
        <w:t>iv</w:t>
      </w:r>
      <w:proofErr w:type="spellEnd"/>
      <w:r w:rsidR="00D02FA5" w:rsidRPr="008031E8">
        <w:rPr>
          <w:rFonts w:ascii="Verdana" w:eastAsia="Aptos" w:hAnsi="Verdana" w:cs="Arial"/>
          <w:shd w:val="clear" w:color="auto" w:fill="FFFFFF"/>
        </w:rPr>
        <w:t>) las entidades estatales pueden celebrar contratos de comodato con privados, actuando en calidad de comodatarias, caso en el cual no tienen restricción normativa para celebrar este tipo de contratos, con fundamento en la autonomía de la voluntad que establece el artículo 32 de la Ley 80 de 1993, sin perjuicio del cumplimiento de los principios constitucionales aplicables a la función administrativa y los de la contratación estatal. En estos eventos, sin perjuicio de las reglas especiales previstas en el E</w:t>
      </w:r>
      <w:r w:rsidR="00823BA8">
        <w:rPr>
          <w:rFonts w:ascii="Verdana" w:eastAsia="Aptos" w:hAnsi="Verdana" w:cs="Arial"/>
          <w:shd w:val="clear" w:color="auto" w:fill="FFFFFF"/>
        </w:rPr>
        <w:t xml:space="preserve">statuto </w:t>
      </w:r>
      <w:r w:rsidR="00D02FA5" w:rsidRPr="008031E8">
        <w:rPr>
          <w:rFonts w:ascii="Verdana" w:eastAsia="Aptos" w:hAnsi="Verdana" w:cs="Arial"/>
          <w:shd w:val="clear" w:color="auto" w:fill="FFFFFF"/>
        </w:rPr>
        <w:t>G</w:t>
      </w:r>
      <w:r w:rsidR="00823BA8">
        <w:rPr>
          <w:rFonts w:ascii="Verdana" w:eastAsia="Aptos" w:hAnsi="Verdana" w:cs="Arial"/>
          <w:shd w:val="clear" w:color="auto" w:fill="FFFFFF"/>
        </w:rPr>
        <w:t xml:space="preserve">eneral de </w:t>
      </w:r>
      <w:r w:rsidR="00D02FA5" w:rsidRPr="008031E8">
        <w:rPr>
          <w:rFonts w:ascii="Verdana" w:eastAsia="Aptos" w:hAnsi="Verdana" w:cs="Arial"/>
          <w:shd w:val="clear" w:color="auto" w:fill="FFFFFF"/>
        </w:rPr>
        <w:t>C</w:t>
      </w:r>
      <w:r w:rsidR="00823BA8">
        <w:rPr>
          <w:rFonts w:ascii="Verdana" w:eastAsia="Aptos" w:hAnsi="Verdana" w:cs="Arial"/>
          <w:shd w:val="clear" w:color="auto" w:fill="FFFFFF"/>
        </w:rPr>
        <w:t xml:space="preserve">ontratación de la </w:t>
      </w:r>
      <w:r w:rsidR="00D02FA5" w:rsidRPr="008031E8">
        <w:rPr>
          <w:rFonts w:ascii="Verdana" w:eastAsia="Aptos" w:hAnsi="Verdana" w:cs="Arial"/>
          <w:shd w:val="clear" w:color="auto" w:fill="FFFFFF"/>
        </w:rPr>
        <w:t>A</w:t>
      </w:r>
      <w:r w:rsidR="00823BA8">
        <w:rPr>
          <w:rFonts w:ascii="Verdana" w:eastAsia="Aptos" w:hAnsi="Verdana" w:cs="Arial"/>
          <w:shd w:val="clear" w:color="auto" w:fill="FFFFFF"/>
        </w:rPr>
        <w:t xml:space="preserve">dministración </w:t>
      </w:r>
      <w:r w:rsidR="00D02FA5" w:rsidRPr="008031E8">
        <w:rPr>
          <w:rFonts w:ascii="Verdana" w:eastAsia="Aptos" w:hAnsi="Verdana" w:cs="Arial"/>
          <w:shd w:val="clear" w:color="auto" w:fill="FFFFFF"/>
        </w:rPr>
        <w:t>P</w:t>
      </w:r>
      <w:r w:rsidR="00823BA8">
        <w:rPr>
          <w:rFonts w:ascii="Verdana" w:eastAsia="Aptos" w:hAnsi="Verdana" w:cs="Arial"/>
          <w:shd w:val="clear" w:color="auto" w:fill="FFFFFF"/>
        </w:rPr>
        <w:t>ública</w:t>
      </w:r>
      <w:r w:rsidR="00D02FA5" w:rsidRPr="008031E8">
        <w:rPr>
          <w:rFonts w:ascii="Verdana" w:eastAsia="Aptos" w:hAnsi="Verdana" w:cs="Arial"/>
          <w:shd w:val="clear" w:color="auto" w:fill="FFFFFF"/>
        </w:rPr>
        <w:t>, el tipo contractual se rige por los artículos 2200 al 2220, dada la remisión expresa del artículo 13 de la Ley 80 de 1993 en cuanto al régimen aplicable a los contratos estatales.</w:t>
      </w:r>
    </w:p>
    <w:p w14:paraId="4DECE7E5" w14:textId="4A4275B6" w:rsidR="0063394D" w:rsidRPr="008363F8" w:rsidRDefault="0063394D" w:rsidP="008363F8">
      <w:pPr>
        <w:spacing w:before="120" w:after="0" w:line="276" w:lineRule="auto"/>
        <w:ind w:firstLine="709"/>
        <w:jc w:val="both"/>
        <w:rPr>
          <w:rFonts w:ascii="Verdana" w:eastAsia="Arial" w:hAnsi="Verdana" w:cs="Arial"/>
          <w:color w:val="1A1A1A" w:themeColor="background1" w:themeShade="1A"/>
          <w:lang w:val="es-ES_tradnl"/>
        </w:rPr>
      </w:pPr>
      <w:r w:rsidRPr="008363F8">
        <w:rPr>
          <w:rFonts w:ascii="Verdana" w:eastAsia="Arial" w:hAnsi="Verdana" w:cs="Arial"/>
          <w:color w:val="1A1A1A" w:themeColor="background1" w:themeShade="1A"/>
          <w:lang w:val="es-ES_tradnl"/>
        </w:rPr>
        <w:t>A partir de las consideraciones anteriores</w:t>
      </w:r>
      <w:r w:rsidRPr="008363F8">
        <w:rPr>
          <w:rFonts w:ascii="Verdana" w:hAnsi="Verdana" w:cs="Arial"/>
          <w:color w:val="1A1A1A" w:themeColor="background1" w:themeShade="1A"/>
          <w:shd w:val="clear" w:color="auto" w:fill="FFFFFF"/>
          <w:lang w:val="es-ES_tradnl"/>
        </w:rPr>
        <w:t xml:space="preserve">, se concluye que en la actualidad se encuentran vigentes los artículos 33 y 38 de la Ley 996 de 2005, que consagran, respectivamente, prohibiciones para contratar directamente y para celebrar contratos interadministrativos, salvo excepciones. En tal medida, en principio está prohibida </w:t>
      </w:r>
      <w:r w:rsidRPr="008363F8">
        <w:rPr>
          <w:rFonts w:ascii="Verdana" w:hAnsi="Verdana" w:cs="Arial"/>
          <w:i/>
          <w:iCs/>
          <w:color w:val="1A1A1A" w:themeColor="background1" w:themeShade="1A"/>
          <w:shd w:val="clear" w:color="auto" w:fill="FFFFFF"/>
          <w:lang w:val="es-ES_tradnl"/>
        </w:rPr>
        <w:t>la contratación directa</w:t>
      </w:r>
      <w:r w:rsidR="00067E72">
        <w:rPr>
          <w:rFonts w:ascii="Verdana" w:hAnsi="Verdana" w:cs="Arial"/>
          <w:i/>
          <w:iCs/>
          <w:color w:val="1A1A1A" w:themeColor="background1" w:themeShade="1A"/>
          <w:shd w:val="clear" w:color="auto" w:fill="FFFFFF"/>
          <w:lang w:val="es-ES_tradnl"/>
        </w:rPr>
        <w:t xml:space="preserve"> de los contratos de comodato</w:t>
      </w:r>
      <w:r w:rsidRPr="008363F8">
        <w:rPr>
          <w:rFonts w:ascii="Verdana" w:hAnsi="Verdana" w:cs="Arial"/>
          <w:color w:val="1A1A1A" w:themeColor="background1" w:themeShade="1A"/>
          <w:shd w:val="clear" w:color="auto" w:fill="FFFFFF"/>
          <w:lang w:val="es-ES_tradnl"/>
        </w:rPr>
        <w:t xml:space="preserve">, salvo que se presenten los requisitos para celebrar, </w:t>
      </w:r>
      <w:r w:rsidRPr="008363F8">
        <w:rPr>
          <w:rFonts w:ascii="Verdana" w:hAnsi="Verdana" w:cs="Arial"/>
          <w:i/>
          <w:iCs/>
          <w:color w:val="1A1A1A" w:themeColor="background1" w:themeShade="1A"/>
          <w:shd w:val="clear" w:color="auto" w:fill="FFFFFF"/>
          <w:lang w:val="es-ES_tradnl"/>
        </w:rPr>
        <w:t>de manera competitiva</w:t>
      </w:r>
      <w:r w:rsidRPr="008363F8">
        <w:rPr>
          <w:rFonts w:ascii="Verdana" w:hAnsi="Verdana" w:cs="Arial"/>
          <w:color w:val="1A1A1A" w:themeColor="background1" w:themeShade="1A"/>
          <w:shd w:val="clear" w:color="auto" w:fill="FFFFFF"/>
          <w:lang w:val="es-ES_tradnl"/>
        </w:rPr>
        <w:t xml:space="preserve">, los convenios de interés público o de asociación regulados en el Decreto 092 de 2017 o que se configure alguna de las excepciones previstas en el artículo 33 de la Ley 996 de 2005. </w:t>
      </w:r>
    </w:p>
    <w:p w14:paraId="2E50FFD8" w14:textId="77777777" w:rsidR="00426A93" w:rsidRDefault="00426A93" w:rsidP="006013C6">
      <w:pPr>
        <w:spacing w:after="120" w:line="276" w:lineRule="auto"/>
        <w:ind w:firstLine="709"/>
        <w:contextualSpacing/>
        <w:jc w:val="both"/>
        <w:rPr>
          <w:rFonts w:ascii="Verdana" w:eastAsia="Aptos" w:hAnsi="Verdana" w:cs="Arial"/>
          <w:shd w:val="clear" w:color="auto" w:fill="FFFFFF"/>
        </w:rPr>
      </w:pPr>
    </w:p>
    <w:p w14:paraId="5E064E55" w14:textId="6B696DE6" w:rsidR="005F3894" w:rsidRDefault="001B66FD" w:rsidP="008363F8">
      <w:pPr>
        <w:spacing w:after="120" w:line="276" w:lineRule="auto"/>
        <w:jc w:val="both"/>
        <w:rPr>
          <w:rFonts w:ascii="Verdana" w:eastAsia="Verdana" w:hAnsi="Verdana" w:cs="Verdana"/>
        </w:rPr>
      </w:pPr>
      <w:r>
        <w:rPr>
          <w:rFonts w:ascii="Verdana" w:eastAsia="Calibri" w:hAnsi="Verdana" w:cs="Arial"/>
        </w:rPr>
        <w:t xml:space="preserve">vi) </w:t>
      </w:r>
      <w:r w:rsidR="006013C6" w:rsidRPr="00440A2A">
        <w:rPr>
          <w:rFonts w:ascii="Verdana" w:eastAsia="Calibri" w:hAnsi="Verdana" w:cs="Arial"/>
        </w:rPr>
        <w:t>Finalmente</w:t>
      </w:r>
      <w:r w:rsidR="006013C6" w:rsidRPr="00B52642">
        <w:rPr>
          <w:rFonts w:ascii="Verdana" w:eastAsia="Aptos" w:hAnsi="Verdana" w:cs="Arial"/>
          <w:shd w:val="clear" w:color="auto" w:fill="FFFFFF"/>
        </w:rPr>
        <w:t xml:space="preserve"> debe </w:t>
      </w:r>
      <w:r w:rsidR="006013C6" w:rsidRPr="00811EBF">
        <w:rPr>
          <w:rFonts w:ascii="Verdana" w:eastAsia="Aptos" w:hAnsi="Verdana" w:cs="Arial"/>
          <w:shd w:val="clear" w:color="auto" w:fill="FFFFFF"/>
        </w:rPr>
        <w:t>advertirse</w:t>
      </w:r>
      <w:r w:rsidR="006013C6">
        <w:rPr>
          <w:rFonts w:ascii="Verdana" w:eastAsia="Aptos" w:hAnsi="Verdana" w:cs="Arial"/>
          <w:shd w:val="clear" w:color="auto" w:fill="FFFFFF"/>
        </w:rPr>
        <w:t>,</w:t>
      </w:r>
      <w:r w:rsidR="006013C6" w:rsidRPr="00811EBF">
        <w:rPr>
          <w:rFonts w:ascii="Verdana" w:eastAsia="Aptos" w:hAnsi="Verdana" w:cs="Arial"/>
          <w:shd w:val="clear" w:color="auto" w:fill="FFFFFF"/>
        </w:rPr>
        <w:t xml:space="preserve"> que el análisis requerido para resolver problemas específicos en torno a la celebración de contratos de comodato debe ser realizado por quienes tengan interés en ello. </w:t>
      </w:r>
      <w:r w:rsidR="006013C6" w:rsidRPr="4BCE5B13">
        <w:rPr>
          <w:rFonts w:ascii="Verdana" w:eastAsia="Verdana" w:hAnsi="Verdana" w:cs="Verdana"/>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p w14:paraId="45892361" w14:textId="2BEC425C" w:rsidR="005F3894" w:rsidRDefault="005F3894" w:rsidP="007A0FE8">
      <w:pPr>
        <w:spacing w:after="120" w:line="276" w:lineRule="auto"/>
        <w:ind w:firstLine="709"/>
        <w:contextualSpacing/>
        <w:jc w:val="both"/>
        <w:rPr>
          <w:rFonts w:ascii="Verdana" w:eastAsia="Aptos" w:hAnsi="Verdana" w:cs="Arial"/>
          <w:shd w:val="clear" w:color="auto" w:fill="FFFFFF"/>
        </w:rPr>
      </w:pPr>
      <w:r>
        <w:rPr>
          <w:rFonts w:ascii="Verdana" w:eastAsia="Aptos" w:hAnsi="Verdana" w:cs="Arial"/>
          <w:shd w:val="clear" w:color="auto" w:fill="FFFFFF"/>
        </w:rPr>
        <w:t xml:space="preserve">Dentro de </w:t>
      </w:r>
      <w:r w:rsidRPr="00893B8D">
        <w:rPr>
          <w:rFonts w:ascii="Verdana" w:eastAsia="Aptos" w:hAnsi="Verdana" w:cs="Arial"/>
          <w:shd w:val="clear" w:color="auto" w:fill="FFFFFF"/>
        </w:rPr>
        <w:t xml:space="preserve">este marco, la entidad contratante definirá en cada caso concreto lo relacionado con el tema objeto de consulta. Al tratarse de un análisis que debe realizarse en el procedimiento contractual específico, esta Agencia no puede definir un criterio universal y absoluto por vía consultiva, sino que brinda elementos de carácter general para que los partícipes del sistema de compras y </w:t>
      </w:r>
      <w:r w:rsidRPr="00893B8D">
        <w:rPr>
          <w:rFonts w:ascii="Verdana" w:eastAsia="Aptos" w:hAnsi="Verdana" w:cs="Arial"/>
          <w:shd w:val="clear" w:color="auto" w:fill="FFFFFF"/>
        </w:rPr>
        <w:lastRenderedPageBreak/>
        <w:t xml:space="preserve">contratación pública adopten la decisión que corresponda, lo cual es acorde con el principio de juridicidad. Así, cada entidad definirá la forma de adelantar su gestión contractual, sin que sea atribución de </w:t>
      </w:r>
      <w:r>
        <w:rPr>
          <w:rFonts w:ascii="Verdana" w:eastAsia="Aptos" w:hAnsi="Verdana" w:cs="Arial"/>
          <w:shd w:val="clear" w:color="auto" w:fill="FFFFFF"/>
        </w:rPr>
        <w:t xml:space="preserve">la Agencia Nacional de Contratación Pública - </w:t>
      </w:r>
      <w:r w:rsidRPr="00893B8D">
        <w:rPr>
          <w:rFonts w:ascii="Verdana" w:eastAsia="Aptos" w:hAnsi="Verdana" w:cs="Arial"/>
          <w:shd w:val="clear" w:color="auto" w:fill="FFFFFF"/>
        </w:rPr>
        <w:t>Colombia Compra Eficiente validar sus actuaciones.</w:t>
      </w:r>
    </w:p>
    <w:p w14:paraId="11F0B536" w14:textId="77777777" w:rsidR="000F00B9" w:rsidRDefault="000F00B9" w:rsidP="008363F8">
      <w:pPr>
        <w:spacing w:after="0" w:line="276" w:lineRule="auto"/>
        <w:jc w:val="both"/>
        <w:rPr>
          <w:rFonts w:ascii="Verdana" w:eastAsia="Aptos" w:hAnsi="Verdana" w:cs="Arial"/>
          <w:shd w:val="clear" w:color="auto" w:fill="FFFFFF"/>
        </w:rPr>
      </w:pPr>
    </w:p>
    <w:p w14:paraId="156BB12A" w14:textId="412A61A4" w:rsidR="007A0FE8" w:rsidRPr="000F00B9" w:rsidRDefault="007A0FE8" w:rsidP="008363F8">
      <w:pPr>
        <w:spacing w:after="0" w:line="276" w:lineRule="auto"/>
        <w:jc w:val="both"/>
        <w:rPr>
          <w:rFonts w:ascii="Verdana" w:eastAsia="Aptos" w:hAnsi="Verdana" w:cs="Arial"/>
          <w:b/>
          <w:bCs/>
          <w:shd w:val="clear" w:color="auto" w:fill="FFFFFF"/>
        </w:rPr>
      </w:pPr>
      <w:r w:rsidRPr="000F00B9">
        <w:rPr>
          <w:rFonts w:ascii="Verdana" w:eastAsia="Aptos" w:hAnsi="Verdana" w:cs="Arial"/>
          <w:b/>
          <w:bCs/>
          <w:shd w:val="clear" w:color="auto" w:fill="FFFFFF"/>
        </w:rPr>
        <w:t xml:space="preserve">4. Referencias normativas, </w:t>
      </w:r>
      <w:r w:rsidR="00724BE2" w:rsidRPr="000F00B9">
        <w:rPr>
          <w:rFonts w:ascii="Verdana" w:eastAsia="Aptos" w:hAnsi="Verdana" w:cs="Arial"/>
          <w:b/>
          <w:bCs/>
          <w:shd w:val="clear" w:color="auto" w:fill="FFFFFF"/>
        </w:rPr>
        <w:t xml:space="preserve">jurisprudenciales y otras fuentes: </w:t>
      </w:r>
    </w:p>
    <w:p w14:paraId="68A40DD3" w14:textId="77777777" w:rsidR="00557F5B" w:rsidRPr="00C25CDD" w:rsidRDefault="00557F5B" w:rsidP="008363F8">
      <w:pPr>
        <w:spacing w:after="0" w:line="276" w:lineRule="auto"/>
        <w:ind w:firstLine="709"/>
        <w:jc w:val="both"/>
        <w:rPr>
          <w:rFonts w:ascii="Verdana" w:eastAsia="Aptos" w:hAnsi="Verdana" w:cs="Arial"/>
          <w:shd w:val="clear" w:color="auto" w:fill="FFFFFF"/>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AA584B" w14:paraId="591B77B0" w14:textId="77777777" w:rsidTr="007A415A">
        <w:trPr>
          <w:trHeight w:val="870"/>
        </w:trPr>
        <w:tc>
          <w:tcPr>
            <w:tcW w:w="8647" w:type="dxa"/>
            <w:tcBorders>
              <w:top w:val="dotted" w:sz="4" w:space="0" w:color="auto"/>
              <w:left w:val="dotted" w:sz="4" w:space="0" w:color="auto"/>
              <w:bottom w:val="dotted" w:sz="4" w:space="0" w:color="auto"/>
              <w:right w:val="dotted" w:sz="4" w:space="0" w:color="auto"/>
            </w:tcBorders>
            <w:hideMark/>
          </w:tcPr>
          <w:p w14:paraId="4B7BB846" w14:textId="77777777" w:rsidR="00AA584B" w:rsidRDefault="00AA584B" w:rsidP="00AC05C8">
            <w:pPr>
              <w:pStyle w:val="Prrafodelista"/>
              <w:widowControl w:val="0"/>
              <w:numPr>
                <w:ilvl w:val="0"/>
                <w:numId w:val="19"/>
              </w:numPr>
              <w:autoSpaceDE w:val="0"/>
              <w:autoSpaceDN w:val="0"/>
              <w:spacing w:after="120" w:line="276" w:lineRule="auto"/>
              <w:contextualSpacing w:val="0"/>
              <w:jc w:val="both"/>
              <w:rPr>
                <w:rFonts w:ascii="Verdana" w:hAnsi="Verdana" w:cs="Arial"/>
              </w:rPr>
            </w:pPr>
            <w:r>
              <w:rPr>
                <w:rFonts w:ascii="Verdana" w:hAnsi="Verdana" w:cs="Arial"/>
              </w:rPr>
              <w:t>Constitución Política de 1991, artículos 313 y 355.</w:t>
            </w:r>
          </w:p>
          <w:p w14:paraId="64593603" w14:textId="77777777" w:rsidR="00AA584B" w:rsidRDefault="00AA584B" w:rsidP="00AC05C8">
            <w:pPr>
              <w:pStyle w:val="Prrafodelista"/>
              <w:widowControl w:val="0"/>
              <w:numPr>
                <w:ilvl w:val="0"/>
                <w:numId w:val="19"/>
              </w:numPr>
              <w:autoSpaceDE w:val="0"/>
              <w:autoSpaceDN w:val="0"/>
              <w:spacing w:after="120" w:line="276" w:lineRule="auto"/>
              <w:contextualSpacing w:val="0"/>
              <w:jc w:val="both"/>
              <w:rPr>
                <w:rFonts w:ascii="Verdana" w:hAnsi="Verdana" w:cs="Arial"/>
              </w:rPr>
            </w:pPr>
            <w:r>
              <w:rPr>
                <w:rFonts w:ascii="Verdana" w:hAnsi="Verdana" w:cs="Arial"/>
              </w:rPr>
              <w:t xml:space="preserve">Código Civil, artículos </w:t>
            </w:r>
            <w:r w:rsidRPr="00222802">
              <w:rPr>
                <w:rFonts w:ascii="Verdana" w:eastAsia="Calibri" w:hAnsi="Verdana" w:cs="Arial"/>
                <w:bCs/>
                <w:color w:val="000000" w:themeColor="text1"/>
              </w:rPr>
              <w:t>2200 al 2220</w:t>
            </w:r>
            <w:r>
              <w:rPr>
                <w:rFonts w:ascii="Verdana" w:hAnsi="Verdana" w:cs="Arial"/>
              </w:rPr>
              <w:t>.</w:t>
            </w:r>
          </w:p>
          <w:p w14:paraId="59FCD535" w14:textId="77777777" w:rsidR="00AA584B" w:rsidRDefault="00AA584B" w:rsidP="00AC05C8">
            <w:pPr>
              <w:pStyle w:val="Prrafodelista"/>
              <w:widowControl w:val="0"/>
              <w:numPr>
                <w:ilvl w:val="0"/>
                <w:numId w:val="19"/>
              </w:numPr>
              <w:autoSpaceDE w:val="0"/>
              <w:autoSpaceDN w:val="0"/>
              <w:spacing w:after="120" w:line="276" w:lineRule="auto"/>
              <w:contextualSpacing w:val="0"/>
              <w:jc w:val="both"/>
              <w:rPr>
                <w:rFonts w:ascii="Verdana" w:hAnsi="Verdana" w:cs="Arial"/>
              </w:rPr>
            </w:pPr>
            <w:r>
              <w:rPr>
                <w:rFonts w:ascii="Verdana" w:hAnsi="Verdana" w:cs="Arial"/>
              </w:rPr>
              <w:t>Ley 9 de 1989, artículo 38.</w:t>
            </w:r>
          </w:p>
          <w:p w14:paraId="538C4232" w14:textId="77777777" w:rsidR="00AA584B" w:rsidRDefault="00AA584B" w:rsidP="00AC05C8">
            <w:pPr>
              <w:pStyle w:val="Prrafodelista"/>
              <w:widowControl w:val="0"/>
              <w:numPr>
                <w:ilvl w:val="0"/>
                <w:numId w:val="19"/>
              </w:numPr>
              <w:autoSpaceDE w:val="0"/>
              <w:autoSpaceDN w:val="0"/>
              <w:spacing w:after="120" w:line="276" w:lineRule="auto"/>
              <w:contextualSpacing w:val="0"/>
              <w:jc w:val="both"/>
              <w:rPr>
                <w:rFonts w:ascii="Verdana" w:hAnsi="Verdana" w:cs="Arial"/>
              </w:rPr>
            </w:pPr>
            <w:r>
              <w:rPr>
                <w:rFonts w:ascii="Verdana" w:hAnsi="Verdana" w:cs="Arial"/>
              </w:rPr>
              <w:t>Ley 80 de 1993, artículos 13, 32 y 40.</w:t>
            </w:r>
          </w:p>
          <w:p w14:paraId="46D4603D" w14:textId="77777777" w:rsidR="00AA584B" w:rsidRPr="00BD0B8C" w:rsidRDefault="00AA584B" w:rsidP="00AC05C8">
            <w:pPr>
              <w:pStyle w:val="Prrafodelista"/>
              <w:widowControl w:val="0"/>
              <w:numPr>
                <w:ilvl w:val="0"/>
                <w:numId w:val="19"/>
              </w:numPr>
              <w:autoSpaceDE w:val="0"/>
              <w:autoSpaceDN w:val="0"/>
              <w:spacing w:after="120" w:line="276" w:lineRule="auto"/>
              <w:contextualSpacing w:val="0"/>
              <w:jc w:val="both"/>
              <w:rPr>
                <w:rFonts w:ascii="Verdana" w:hAnsi="Verdana" w:cs="Arial"/>
              </w:rPr>
            </w:pPr>
            <w:r>
              <w:rPr>
                <w:rFonts w:ascii="Verdana" w:hAnsi="Verdana" w:cs="Arial"/>
              </w:rPr>
              <w:t>Ley 136 de 1994, artículo 32.</w:t>
            </w:r>
          </w:p>
          <w:p w14:paraId="5C7CE976" w14:textId="77777777" w:rsidR="00AA584B" w:rsidRDefault="00AA584B" w:rsidP="00AC05C8">
            <w:pPr>
              <w:pStyle w:val="Prrafodelista"/>
              <w:widowControl w:val="0"/>
              <w:numPr>
                <w:ilvl w:val="0"/>
                <w:numId w:val="19"/>
              </w:numPr>
              <w:autoSpaceDE w:val="0"/>
              <w:autoSpaceDN w:val="0"/>
              <w:spacing w:after="120" w:line="276" w:lineRule="auto"/>
              <w:contextualSpacing w:val="0"/>
              <w:jc w:val="both"/>
              <w:rPr>
                <w:rFonts w:ascii="Verdana" w:hAnsi="Verdana" w:cs="Arial"/>
              </w:rPr>
            </w:pPr>
            <w:r>
              <w:rPr>
                <w:rFonts w:ascii="Verdana" w:hAnsi="Verdana" w:cs="Arial"/>
              </w:rPr>
              <w:t xml:space="preserve">Ley 489 de 1998, artículo 96. </w:t>
            </w:r>
          </w:p>
          <w:p w14:paraId="63D7F344" w14:textId="77777777" w:rsidR="00AC05C8" w:rsidRPr="00C15525" w:rsidRDefault="00AC05C8" w:rsidP="00AC05C8">
            <w:pPr>
              <w:widowControl w:val="0"/>
              <w:numPr>
                <w:ilvl w:val="0"/>
                <w:numId w:val="19"/>
              </w:numPr>
              <w:autoSpaceDE w:val="0"/>
              <w:autoSpaceDN w:val="0"/>
              <w:spacing w:after="120" w:line="276" w:lineRule="auto"/>
              <w:contextualSpacing/>
              <w:jc w:val="both"/>
              <w:rPr>
                <w:rFonts w:ascii="Verdana" w:hAnsi="Verdana" w:cs="Arial"/>
                <w:lang w:val="es-ES"/>
              </w:rPr>
            </w:pPr>
            <w:r w:rsidRPr="00C15525">
              <w:rPr>
                <w:rFonts w:ascii="Verdana" w:hAnsi="Verdana" w:cs="Arial"/>
                <w:lang w:val="es-ES"/>
              </w:rPr>
              <w:t>Ley 996 de 2005, artículos 33 y 38.</w:t>
            </w:r>
          </w:p>
          <w:p w14:paraId="66B4FC70" w14:textId="77777777" w:rsidR="00AA584B" w:rsidRDefault="00AA584B" w:rsidP="00AC05C8">
            <w:pPr>
              <w:pStyle w:val="Prrafodelista"/>
              <w:widowControl w:val="0"/>
              <w:numPr>
                <w:ilvl w:val="0"/>
                <w:numId w:val="19"/>
              </w:numPr>
              <w:autoSpaceDE w:val="0"/>
              <w:autoSpaceDN w:val="0"/>
              <w:spacing w:after="120" w:line="276" w:lineRule="auto"/>
              <w:contextualSpacing w:val="0"/>
              <w:jc w:val="both"/>
              <w:rPr>
                <w:rFonts w:ascii="Verdana" w:hAnsi="Verdana" w:cs="Arial"/>
              </w:rPr>
            </w:pPr>
            <w:r>
              <w:rPr>
                <w:rFonts w:ascii="Verdana" w:hAnsi="Verdana" w:cs="Arial"/>
              </w:rPr>
              <w:t>Decreto 1333 de 1986, artículo 167.</w:t>
            </w:r>
          </w:p>
          <w:p w14:paraId="3F1543E3" w14:textId="77777777" w:rsidR="00AA584B" w:rsidRPr="007524C4" w:rsidRDefault="00AA584B" w:rsidP="00AC05C8">
            <w:pPr>
              <w:numPr>
                <w:ilvl w:val="0"/>
                <w:numId w:val="19"/>
              </w:numPr>
              <w:spacing w:line="276" w:lineRule="auto"/>
              <w:contextualSpacing/>
              <w:jc w:val="both"/>
              <w:rPr>
                <w:rFonts w:ascii="Verdana" w:hAnsi="Verdana"/>
                <w:lang w:val="es-MX" w:bidi="es-ES"/>
              </w:rPr>
            </w:pPr>
            <w:r w:rsidRPr="007524C4">
              <w:rPr>
                <w:rFonts w:ascii="Verdana" w:hAnsi="Verdana"/>
                <w:lang w:val="es-MX"/>
              </w:rPr>
              <w:t>Corte Constitucional. Sentencia C-738 del 11 de julio de 2001. Magistrado Ponente: Eduardo Montealegre Lynett.</w:t>
            </w:r>
          </w:p>
          <w:p w14:paraId="2DDA2426" w14:textId="77777777" w:rsidR="00AA584B" w:rsidRPr="007524C4" w:rsidRDefault="00AA584B" w:rsidP="00AC05C8">
            <w:pPr>
              <w:numPr>
                <w:ilvl w:val="0"/>
                <w:numId w:val="19"/>
              </w:numPr>
              <w:spacing w:line="276" w:lineRule="auto"/>
              <w:contextualSpacing/>
              <w:jc w:val="both"/>
              <w:rPr>
                <w:rFonts w:ascii="Verdana" w:hAnsi="Verdana"/>
                <w:lang w:val="es-MX" w:bidi="es-ES"/>
              </w:rPr>
            </w:pPr>
            <w:r w:rsidRPr="007524C4">
              <w:rPr>
                <w:rFonts w:ascii="Verdana" w:hAnsi="Verdana"/>
                <w:lang w:val="es-MX"/>
              </w:rPr>
              <w:t xml:space="preserve">Consejo de Estado. Sala de Consulta y del Servicio Civil. Concepto 1889 del 5 de junio de 2008. Consejero Ponente: William Zambrano Cetina. </w:t>
            </w:r>
          </w:p>
          <w:p w14:paraId="24A980A0" w14:textId="77777777" w:rsidR="00AA584B" w:rsidRPr="007524C4" w:rsidRDefault="00AA584B" w:rsidP="00AC05C8">
            <w:pPr>
              <w:numPr>
                <w:ilvl w:val="0"/>
                <w:numId w:val="19"/>
              </w:numPr>
              <w:spacing w:line="276" w:lineRule="auto"/>
              <w:contextualSpacing/>
              <w:jc w:val="both"/>
              <w:rPr>
                <w:rFonts w:ascii="Verdana" w:hAnsi="Verdana"/>
                <w:lang w:val="es-MX" w:bidi="es-ES"/>
              </w:rPr>
            </w:pPr>
            <w:r w:rsidRPr="007524C4">
              <w:rPr>
                <w:rFonts w:ascii="Verdana" w:hAnsi="Verdana"/>
                <w:lang w:val="es-MX"/>
              </w:rPr>
              <w:t>Consejo de Estado. Sala de Consulta y del Servicio Civil. C</w:t>
            </w:r>
            <w:r w:rsidRPr="007524C4">
              <w:rPr>
                <w:rFonts w:ascii="Verdana" w:hAnsi="Verdana" w:cs="Arial"/>
                <w:lang w:val="es-MX"/>
              </w:rPr>
              <w:t xml:space="preserve">oncepto del 9 de octubre de 2014. </w:t>
            </w:r>
          </w:p>
          <w:p w14:paraId="15B84428" w14:textId="77777777" w:rsidR="00AA584B" w:rsidRPr="006A640E" w:rsidRDefault="00AA584B" w:rsidP="007A415A">
            <w:pPr>
              <w:widowControl w:val="0"/>
              <w:autoSpaceDE w:val="0"/>
              <w:autoSpaceDN w:val="0"/>
              <w:spacing w:line="276" w:lineRule="auto"/>
              <w:ind w:left="360"/>
              <w:jc w:val="both"/>
              <w:rPr>
                <w:rFonts w:ascii="Verdana" w:eastAsia="Arial MT" w:hAnsi="Verdana" w:cs="Arial"/>
                <w:lang w:val="es-ES" w:eastAsia="es-ES" w:bidi="es-ES"/>
              </w:rPr>
            </w:pPr>
            <w:r w:rsidRPr="007524C4">
              <w:rPr>
                <w:rFonts w:ascii="Verdana" w:hAnsi="Verdana"/>
              </w:rPr>
              <w:t xml:space="preserve">Consejo de Estado. Sala de lo Contencioso Administrativo. Sección Primera. Radicación número: 50001-23-31-000-2010-00548-01. 19 de septiembre de 2019. Consejera Ponente: Nubia </w:t>
            </w:r>
            <w:proofErr w:type="spellStart"/>
            <w:r w:rsidRPr="007524C4">
              <w:rPr>
                <w:rFonts w:ascii="Verdana" w:hAnsi="Verdana"/>
              </w:rPr>
              <w:t>Margoth</w:t>
            </w:r>
            <w:proofErr w:type="spellEnd"/>
            <w:r w:rsidRPr="007524C4">
              <w:rPr>
                <w:rFonts w:ascii="Verdana" w:hAnsi="Verdana"/>
              </w:rPr>
              <w:t xml:space="preserve"> Peña Garzón.</w:t>
            </w:r>
          </w:p>
        </w:tc>
      </w:tr>
    </w:tbl>
    <w:p w14:paraId="2814FA89" w14:textId="77777777" w:rsidR="003E18F1" w:rsidRDefault="003E18F1" w:rsidP="00C25CDD">
      <w:pPr>
        <w:spacing w:after="0" w:line="276" w:lineRule="auto"/>
        <w:jc w:val="both"/>
        <w:rPr>
          <w:rFonts w:ascii="Verdana" w:eastAsia="Aptos" w:hAnsi="Verdana" w:cs="Arial"/>
          <w:b/>
          <w:bCs/>
          <w:shd w:val="clear" w:color="auto" w:fill="FFFFFF"/>
        </w:rPr>
      </w:pPr>
    </w:p>
    <w:p w14:paraId="02E2D9D0" w14:textId="77777777" w:rsidR="003E18F1" w:rsidRDefault="003E18F1" w:rsidP="00C25CDD">
      <w:pPr>
        <w:spacing w:after="0" w:line="276" w:lineRule="auto"/>
        <w:jc w:val="both"/>
        <w:rPr>
          <w:rFonts w:ascii="Verdana" w:eastAsia="Aptos" w:hAnsi="Verdana" w:cs="Arial"/>
          <w:b/>
          <w:bCs/>
          <w:shd w:val="clear" w:color="auto" w:fill="FFFFFF"/>
        </w:rPr>
      </w:pPr>
    </w:p>
    <w:p w14:paraId="4DF05F2D" w14:textId="1C1F96A4" w:rsidR="005F3894" w:rsidRPr="00FA29D6" w:rsidRDefault="005D6D53" w:rsidP="008363F8">
      <w:pPr>
        <w:spacing w:after="0" w:line="276" w:lineRule="auto"/>
        <w:jc w:val="both"/>
        <w:rPr>
          <w:rFonts w:ascii="Verdana" w:eastAsia="Aptos" w:hAnsi="Verdana" w:cs="Arial"/>
          <w:b/>
          <w:bCs/>
          <w:shd w:val="clear" w:color="auto" w:fill="FFFFFF"/>
        </w:rPr>
      </w:pPr>
      <w:r w:rsidRPr="00FA29D6">
        <w:rPr>
          <w:rFonts w:ascii="Verdana" w:eastAsia="Aptos" w:hAnsi="Verdana" w:cs="Arial"/>
          <w:b/>
          <w:bCs/>
          <w:shd w:val="clear" w:color="auto" w:fill="FFFFFF"/>
        </w:rPr>
        <w:t xml:space="preserve">5. Doctrina de la Agencia Nacional de Contratación Pública: </w:t>
      </w:r>
    </w:p>
    <w:p w14:paraId="67498B26" w14:textId="77777777" w:rsidR="005D6D53" w:rsidRDefault="005D6D53" w:rsidP="008363F8">
      <w:pPr>
        <w:spacing w:after="0" w:line="276" w:lineRule="auto"/>
        <w:ind w:firstLine="709"/>
        <w:jc w:val="both"/>
        <w:rPr>
          <w:rFonts w:ascii="Verdana" w:eastAsia="Aptos" w:hAnsi="Verdana" w:cs="Arial"/>
          <w:shd w:val="clear" w:color="auto" w:fill="FFFFFF"/>
        </w:rPr>
      </w:pPr>
    </w:p>
    <w:p w14:paraId="5029FE39" w14:textId="77777777" w:rsidR="007723EF" w:rsidRDefault="00FA29D6" w:rsidP="007723EF">
      <w:pPr>
        <w:widowControl w:val="0"/>
        <w:autoSpaceDE w:val="0"/>
        <w:autoSpaceDN w:val="0"/>
        <w:spacing w:after="0" w:line="276" w:lineRule="auto"/>
        <w:jc w:val="both"/>
        <w:rPr>
          <w:rFonts w:ascii="Verdana" w:eastAsia="Aptos" w:hAnsi="Verdana" w:cs="Arial"/>
          <w:shd w:val="clear" w:color="auto" w:fill="FFFFFF"/>
          <w:lang w:val="es-ES"/>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w:t>
      </w:r>
      <w:r w:rsidRPr="00177E85">
        <w:rPr>
          <w:rFonts w:ascii="Verdana" w:hAnsi="Verdana" w:cs="Arial"/>
          <w:shd w:val="clear" w:color="auto" w:fill="FFFFFF"/>
        </w:rPr>
        <w:lastRenderedPageBreak/>
        <w:t xml:space="preserve">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 xml:space="preserve">C-1343 del 20 de octubre de 2025, C-1350 del 1˚ de octubre de 2025, C-1512 del 27 de octubre de 2025, C-1488 del 30 de octubre de 2025, C-1596 del 6 de noviembre de 2025, </w:t>
      </w:r>
      <w:r w:rsidRPr="00177E85">
        <w:rPr>
          <w:rFonts w:ascii="Verdana" w:hAnsi="Verdana" w:cs="Arial"/>
          <w:shd w:val="clear" w:color="auto" w:fill="FFFFFF"/>
        </w:rPr>
        <w:t>entre otros</w:t>
      </w:r>
      <w:r>
        <w:rPr>
          <w:rFonts w:ascii="Verdana" w:hAnsi="Verdana"/>
        </w:rPr>
        <w:t xml:space="preserve">. Asimismo, </w:t>
      </w:r>
      <w:r w:rsidRPr="0094222D">
        <w:rPr>
          <w:rStyle w:val="normaltextrun"/>
          <w:rFonts w:ascii="Verdana" w:hAnsi="Verdana" w:cs="Arial"/>
          <w:shd w:val="clear" w:color="auto" w:fill="FFFFFF"/>
          <w:lang w:val="es-ES_tradnl"/>
        </w:rPr>
        <w:t xml:space="preserve">se ha pronunciado sobre </w:t>
      </w:r>
      <w:r w:rsidR="007723EF">
        <w:rPr>
          <w:rFonts w:ascii="Verdana" w:hAnsi="Verdana" w:cs="Arial"/>
          <w:shd w:val="clear" w:color="auto" w:fill="FFFFFF"/>
        </w:rPr>
        <w:t>el contrato de comodato</w:t>
      </w:r>
      <w:r w:rsidR="007723EF" w:rsidRPr="00B52642">
        <w:rPr>
          <w:rFonts w:ascii="Verdana" w:eastAsia="Aptos" w:hAnsi="Verdana" w:cs="Arial"/>
          <w:shd w:val="clear" w:color="auto" w:fill="FFFFFF"/>
          <w:lang w:val="es-ES"/>
        </w:rPr>
        <w:t xml:space="preserve">, esta Subdirección se ha referido en los Conceptos </w:t>
      </w:r>
      <w:r w:rsidR="007723EF" w:rsidRPr="002832E5">
        <w:rPr>
          <w:rFonts w:ascii="Verdana" w:eastAsia="Calibri" w:hAnsi="Verdana" w:cs="Arial"/>
          <w:lang w:val="es-ES_tradnl" w:eastAsia="es-MX"/>
        </w:rPr>
        <w:t>415140000909 de 2015, C-014 del 24 de marzo de 2020, C-012 del 18 de febrero de 2022, C-799 del 12 de diciembre de 2022, C-161 del 6 de junio de 2023</w:t>
      </w:r>
      <w:r w:rsidR="007723EF">
        <w:rPr>
          <w:rFonts w:ascii="Verdana" w:eastAsia="Calibri" w:hAnsi="Verdana" w:cs="Arial"/>
          <w:lang w:val="es-ES_tradnl" w:eastAsia="es-MX"/>
        </w:rPr>
        <w:t xml:space="preserve">, </w:t>
      </w:r>
      <w:r w:rsidR="007723EF" w:rsidRPr="002832E5">
        <w:rPr>
          <w:rFonts w:ascii="Verdana" w:eastAsia="Calibri" w:hAnsi="Verdana" w:cs="Arial"/>
          <w:lang w:val="es-ES_tradnl" w:eastAsia="es-MX"/>
        </w:rPr>
        <w:t>C-270 del 12 de julio de 2023</w:t>
      </w:r>
      <w:r w:rsidR="007723EF">
        <w:rPr>
          <w:rFonts w:ascii="Verdana" w:eastAsia="Calibri" w:hAnsi="Verdana" w:cs="Arial"/>
          <w:lang w:val="es-ES_tradnl" w:eastAsia="es-MX"/>
        </w:rPr>
        <w:t>, C-685 del 14 de noviembre de 2024</w:t>
      </w:r>
      <w:r w:rsidR="007723EF" w:rsidRPr="00B52642">
        <w:rPr>
          <w:rFonts w:ascii="Verdana" w:eastAsia="Aptos" w:hAnsi="Verdana" w:cs="Arial"/>
          <w:shd w:val="clear" w:color="auto" w:fill="FFFFFF"/>
          <w:lang w:val="es-ES"/>
        </w:rPr>
        <w:t xml:space="preserve">, entre otros.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007723EF" w:rsidRPr="00B52642">
          <w:rPr>
            <w:rFonts w:ascii="Verdana" w:eastAsia="Aptos" w:hAnsi="Verdana" w:cs="Arial"/>
            <w:color w:val="467886"/>
            <w:u w:val="single"/>
            <w:shd w:val="clear" w:color="auto" w:fill="FFFFFF"/>
            <w:lang w:val="es-ES"/>
          </w:rPr>
          <w:t>https://relatoria.colombiacompra.gov.co/</w:t>
        </w:r>
      </w:hyperlink>
      <w:r w:rsidR="007723EF" w:rsidRPr="00B52642">
        <w:rPr>
          <w:rFonts w:ascii="Verdana" w:eastAsia="Aptos" w:hAnsi="Verdana" w:cs="Arial"/>
          <w:shd w:val="clear" w:color="auto" w:fill="FFFFFF"/>
          <w:lang w:val="es-ES"/>
        </w:rPr>
        <w:t xml:space="preserve">. </w:t>
      </w:r>
    </w:p>
    <w:p w14:paraId="49763345" w14:textId="77777777" w:rsidR="000E1414" w:rsidRDefault="000E1414" w:rsidP="007723EF">
      <w:pPr>
        <w:widowControl w:val="0"/>
        <w:autoSpaceDE w:val="0"/>
        <w:autoSpaceDN w:val="0"/>
        <w:spacing w:after="0" w:line="276" w:lineRule="auto"/>
        <w:jc w:val="both"/>
        <w:rPr>
          <w:rFonts w:ascii="Verdana" w:eastAsia="Aptos" w:hAnsi="Verdana" w:cs="Arial"/>
          <w:shd w:val="clear" w:color="auto" w:fill="FFFFFF"/>
          <w:lang w:val="es-ES"/>
        </w:rPr>
      </w:pPr>
    </w:p>
    <w:p w14:paraId="2935D4D3" w14:textId="77777777" w:rsidR="000E1414" w:rsidRPr="009A385A" w:rsidRDefault="000E1414" w:rsidP="008363F8">
      <w:pPr>
        <w:spacing w:after="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11326B69" w14:textId="77777777" w:rsidR="000E1414" w:rsidRDefault="000E1414" w:rsidP="00C25CDD">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lastRenderedPageBreak/>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3B584976" w14:textId="77777777" w:rsidR="00C25CDD" w:rsidRPr="00C25CDD" w:rsidRDefault="00C25CDD" w:rsidP="008363F8">
      <w:pPr>
        <w:spacing w:after="0" w:line="276" w:lineRule="auto"/>
        <w:jc w:val="both"/>
        <w:rPr>
          <w:rFonts w:ascii="Verdana" w:hAnsi="Verdana"/>
        </w:rPr>
      </w:pPr>
    </w:p>
    <w:p w14:paraId="0A521BB6" w14:textId="77777777" w:rsidR="00605E0D" w:rsidRDefault="000E1414" w:rsidP="008363F8">
      <w:pPr>
        <w:spacing w:after="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8DDD5DE" w14:textId="7685E93F" w:rsidR="008E5A05" w:rsidRPr="00605E0D" w:rsidRDefault="008E5A05" w:rsidP="008363F8">
      <w:pPr>
        <w:spacing w:after="0" w:line="276" w:lineRule="auto"/>
        <w:jc w:val="both"/>
        <w:rPr>
          <w:rFonts w:ascii="Verdana" w:hAnsi="Verdana"/>
        </w:rPr>
      </w:pPr>
      <w:r w:rsidRPr="00284526">
        <w:rPr>
          <w:rFonts w:ascii="Verdana" w:hAnsi="Verdana" w:cs="Arial"/>
          <w:shd w:val="clear" w:color="auto" w:fill="FFFFFF"/>
        </w:rPr>
        <w:t xml:space="preserve">Por último, lo invitamos a seguirnos en las redes sociales en las cuales se difunde información institucional: </w:t>
      </w:r>
    </w:p>
    <w:p w14:paraId="516289E7" w14:textId="77777777" w:rsidR="008E5A05" w:rsidRPr="00284526" w:rsidRDefault="008E5A05" w:rsidP="008363F8">
      <w:pPr>
        <w:spacing w:after="0" w:line="276" w:lineRule="auto"/>
        <w:jc w:val="both"/>
        <w:rPr>
          <w:rFonts w:ascii="Verdana" w:hAnsi="Verdana" w:cs="Arial"/>
          <w:shd w:val="clear" w:color="auto" w:fill="FFFFFF"/>
        </w:rPr>
      </w:pPr>
    </w:p>
    <w:p w14:paraId="4C513E1B" w14:textId="77777777" w:rsidR="008E5A05" w:rsidRPr="00284526" w:rsidRDefault="008E5A05" w:rsidP="008363F8">
      <w:pPr>
        <w:spacing w:after="0" w:line="276" w:lineRule="auto"/>
        <w:jc w:val="both"/>
        <w:rPr>
          <w:rFonts w:ascii="Verdana" w:hAnsi="Verdana" w:cs="Arial"/>
          <w:shd w:val="clear" w:color="auto" w:fill="FFFFFF"/>
        </w:rPr>
      </w:pPr>
      <w:r w:rsidRPr="00284526">
        <w:rPr>
          <w:rFonts w:ascii="Verdana" w:hAnsi="Verdana" w:cs="Arial"/>
          <w:shd w:val="clear" w:color="auto" w:fill="FFFFFF"/>
        </w:rPr>
        <w:t xml:space="preserve">Twitter: </w:t>
      </w:r>
      <w:r w:rsidRPr="00284526">
        <w:rPr>
          <w:rStyle w:val="Hipervnculo"/>
          <w:rFonts w:ascii="Verdana" w:hAnsi="Verdana"/>
          <w:lang w:val="es-ES"/>
        </w:rPr>
        <w:t xml:space="preserve">@colombiacompra </w:t>
      </w:r>
    </w:p>
    <w:p w14:paraId="63C86DD2" w14:textId="77777777" w:rsidR="008E5A05" w:rsidRPr="00284526" w:rsidRDefault="008E5A05" w:rsidP="008363F8">
      <w:pPr>
        <w:spacing w:after="0" w:line="276" w:lineRule="auto"/>
        <w:jc w:val="both"/>
        <w:rPr>
          <w:rFonts w:ascii="Verdana" w:hAnsi="Verdana" w:cs="Arial"/>
          <w:shd w:val="clear" w:color="auto" w:fill="FFFFFF"/>
        </w:rPr>
      </w:pPr>
      <w:r w:rsidRPr="00284526">
        <w:rPr>
          <w:rFonts w:ascii="Verdana" w:hAnsi="Verdana" w:cs="Arial"/>
          <w:shd w:val="clear" w:color="auto" w:fill="FFFFFF"/>
        </w:rPr>
        <w:t>Facebook:</w:t>
      </w:r>
      <w:r w:rsidRPr="00284526">
        <w:rPr>
          <w:rStyle w:val="Hipervnculo"/>
          <w:rFonts w:ascii="Verdana" w:hAnsi="Verdana"/>
          <w:color w:val="auto"/>
          <w:lang w:val="es-ES"/>
        </w:rPr>
        <w:t xml:space="preserve"> </w:t>
      </w:r>
      <w:proofErr w:type="spellStart"/>
      <w:r w:rsidRPr="00284526">
        <w:rPr>
          <w:rStyle w:val="Hipervnculo"/>
          <w:rFonts w:ascii="Verdana" w:hAnsi="Verdana"/>
          <w:lang w:val="es-ES"/>
        </w:rPr>
        <w:t>ColombiaCompraEficiente</w:t>
      </w:r>
      <w:proofErr w:type="spellEnd"/>
    </w:p>
    <w:p w14:paraId="1B29ED3B" w14:textId="77777777" w:rsidR="008E5A05" w:rsidRPr="00284526" w:rsidRDefault="008E5A05" w:rsidP="008363F8">
      <w:pPr>
        <w:spacing w:after="0" w:line="276" w:lineRule="auto"/>
        <w:jc w:val="both"/>
        <w:rPr>
          <w:rFonts w:ascii="Verdana" w:hAnsi="Verdana" w:cs="Arial"/>
          <w:color w:val="0000FF"/>
          <w:shd w:val="clear" w:color="auto" w:fill="FFFFFF"/>
        </w:rPr>
      </w:pPr>
      <w:r w:rsidRPr="00284526">
        <w:rPr>
          <w:rFonts w:ascii="Verdana" w:hAnsi="Verdana" w:cs="Arial"/>
          <w:shd w:val="clear" w:color="auto" w:fill="FFFFFF"/>
        </w:rPr>
        <w:t xml:space="preserve">LinkedIn: </w:t>
      </w:r>
      <w:r w:rsidRPr="00284526">
        <w:rPr>
          <w:rStyle w:val="Hipervnculo"/>
          <w:rFonts w:ascii="Verdana" w:hAnsi="Verdana"/>
          <w:lang w:val="es-ES"/>
        </w:rPr>
        <w:t>Agencia Nacional de Contratación Pública - Colombia Compra Eficiente</w:t>
      </w:r>
      <w:r w:rsidRPr="00284526">
        <w:rPr>
          <w:rFonts w:ascii="Verdana" w:hAnsi="Verdana" w:cs="Arial"/>
          <w:color w:val="0000FF"/>
          <w:shd w:val="clear" w:color="auto" w:fill="FFFFFF"/>
        </w:rPr>
        <w:t xml:space="preserve"> </w:t>
      </w:r>
    </w:p>
    <w:p w14:paraId="327E9F0A" w14:textId="77777777" w:rsidR="008E5A05" w:rsidRPr="00284526" w:rsidRDefault="008E5A05" w:rsidP="008363F8">
      <w:pPr>
        <w:spacing w:after="0" w:line="276" w:lineRule="auto"/>
        <w:jc w:val="both"/>
        <w:rPr>
          <w:rFonts w:ascii="Verdana" w:hAnsi="Verdana" w:cs="Arial"/>
          <w:shd w:val="clear" w:color="auto" w:fill="FFFFFF"/>
        </w:rPr>
      </w:pPr>
      <w:r w:rsidRPr="00284526">
        <w:rPr>
          <w:rFonts w:ascii="Verdana" w:hAnsi="Verdana" w:cs="Arial"/>
          <w:shd w:val="clear" w:color="auto" w:fill="FFFFFF"/>
        </w:rPr>
        <w:t xml:space="preserve">Instagram: </w:t>
      </w:r>
      <w:r w:rsidRPr="00284526">
        <w:rPr>
          <w:rStyle w:val="Hipervnculo"/>
          <w:rFonts w:ascii="Verdana" w:hAnsi="Verdana"/>
          <w:lang w:val="es-ES"/>
        </w:rPr>
        <w:t>@colombiacompraeficiente_cce</w:t>
      </w:r>
    </w:p>
    <w:p w14:paraId="3EA81BB9" w14:textId="77777777" w:rsidR="008E5A05" w:rsidRPr="00284526" w:rsidRDefault="008E5A05" w:rsidP="008E5A05">
      <w:pPr>
        <w:widowControl w:val="0"/>
        <w:autoSpaceDE w:val="0"/>
        <w:autoSpaceDN w:val="0"/>
        <w:spacing w:after="0" w:line="276" w:lineRule="auto"/>
        <w:jc w:val="both"/>
        <w:rPr>
          <w:rFonts w:ascii="Verdana" w:hAnsi="Verdana" w:cs="Arial"/>
          <w:lang w:val="es-ES"/>
        </w:rPr>
      </w:pPr>
    </w:p>
    <w:p w14:paraId="523C60EC" w14:textId="77777777" w:rsidR="008E5A05" w:rsidRPr="00284526" w:rsidRDefault="008E5A05" w:rsidP="008E5A05">
      <w:pPr>
        <w:widowControl w:val="0"/>
        <w:autoSpaceDE w:val="0"/>
        <w:autoSpaceDN w:val="0"/>
        <w:spacing w:after="0" w:line="276" w:lineRule="auto"/>
        <w:jc w:val="both"/>
        <w:rPr>
          <w:rFonts w:ascii="Verdana" w:hAnsi="Verdana" w:cs="Arial"/>
          <w:lang w:val="es-ES"/>
        </w:rPr>
      </w:pPr>
      <w:r w:rsidRPr="0028452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15F19F8" w14:textId="77777777" w:rsidR="008E5A05" w:rsidRPr="00116940" w:rsidRDefault="008E5A05" w:rsidP="008363F8">
      <w:pPr>
        <w:spacing w:after="0" w:line="276" w:lineRule="auto"/>
        <w:jc w:val="both"/>
        <w:rPr>
          <w:rFonts w:ascii="Verdana" w:eastAsia="Verdana" w:hAnsi="Verdana" w:cs="Verdana"/>
        </w:rPr>
      </w:pPr>
    </w:p>
    <w:p w14:paraId="68742FEF" w14:textId="43E713F0" w:rsidR="008E5A05" w:rsidRPr="00116940" w:rsidRDefault="008E5A05" w:rsidP="008363F8">
      <w:pPr>
        <w:spacing w:after="0" w:line="276" w:lineRule="auto"/>
        <w:rPr>
          <w:rFonts w:ascii="Verdana" w:eastAsia="Verdana" w:hAnsi="Verdana" w:cs="Verdana"/>
        </w:rPr>
      </w:pPr>
      <w:r w:rsidRPr="30821638">
        <w:rPr>
          <w:rFonts w:ascii="Verdana" w:eastAsia="Verdana" w:hAnsi="Verdana" w:cs="Verdana"/>
        </w:rPr>
        <w:lastRenderedPageBreak/>
        <w:t>Evalúa el servicio que ofrece la Agencia por el canal de atención de PQRSD en el siguiente enlace</w:t>
      </w:r>
      <w:r w:rsidRPr="00C25CDD">
        <w:rPr>
          <w:rFonts w:ascii="Verdana" w:eastAsia="Verdana" w:hAnsi="Verdana" w:cs="Verdana"/>
        </w:rPr>
        <w:t>:</w:t>
      </w:r>
      <w:r w:rsidR="00C25CDD">
        <w:rPr>
          <w:rFonts w:ascii="Verdana" w:eastAsia="Verdana" w:hAnsi="Verdana" w:cs="Verdana"/>
        </w:rPr>
        <w:t xml:space="preserve"> </w:t>
      </w:r>
      <w:hyperlink r:id="rId17" w:history="1">
        <w:r w:rsidR="00C25CDD" w:rsidRPr="00C25CDD">
          <w:rPr>
            <w:rStyle w:val="Hipervnculo"/>
            <w:rFonts w:ascii="Verdana" w:eastAsia="Verdana" w:hAnsi="Verdana" w:cs="Verdana"/>
          </w:rPr>
          <w:t>https://forms.office.com/r/pPHyWVs2SZ</w:t>
        </w:r>
      </w:hyperlink>
      <w:r w:rsidRPr="30821638">
        <w:rPr>
          <w:rFonts w:ascii="Verdana" w:eastAsia="Verdana" w:hAnsi="Verdana" w:cs="Verdana"/>
        </w:rPr>
        <w:t xml:space="preserve"> .¡Ayúdanos a mejorar porque el compromiso es de todos!</w:t>
      </w:r>
    </w:p>
    <w:p w14:paraId="4C5FD2F1" w14:textId="77777777" w:rsidR="008E5A05" w:rsidRPr="00116940" w:rsidRDefault="008E5A05" w:rsidP="008363F8">
      <w:pPr>
        <w:spacing w:after="0" w:line="276" w:lineRule="auto"/>
        <w:rPr>
          <w:rFonts w:ascii="Verdana" w:eastAsia="Verdana" w:hAnsi="Verdana" w:cs="Verdana"/>
        </w:rPr>
      </w:pPr>
    </w:p>
    <w:p w14:paraId="385938E6" w14:textId="3D6352F1" w:rsidR="00AD0E88" w:rsidRDefault="00AD0E88" w:rsidP="008363F8">
      <w:pPr>
        <w:spacing w:after="0" w:line="276" w:lineRule="auto"/>
        <w:jc w:val="both"/>
        <w:rPr>
          <w:rFonts w:ascii="Verdana" w:eastAsia="Verdana" w:hAnsi="Verdana" w:cs="Verdana"/>
          <w:lang w:val="es-MX"/>
        </w:rPr>
      </w:pPr>
      <w:r w:rsidRPr="30821638">
        <w:rPr>
          <w:rFonts w:ascii="Verdana" w:eastAsia="Verdana" w:hAnsi="Verdana" w:cs="Verdana"/>
          <w:lang w:val="es-MX"/>
        </w:rPr>
        <w:t>Cordialmente,</w:t>
      </w:r>
      <w:r>
        <w:rPr>
          <w:rFonts w:ascii="Verdana" w:eastAsia="Verdana" w:hAnsi="Verdana" w:cs="Verdana"/>
          <w:lang w:val="es-MX"/>
        </w:rPr>
        <w:t xml:space="preserve"> </w:t>
      </w:r>
    </w:p>
    <w:p w14:paraId="51E89324" w14:textId="445E0FDF" w:rsidR="00AD0E88" w:rsidRDefault="00B34A8D" w:rsidP="00AD0E88">
      <w:pPr>
        <w:spacing w:after="0" w:line="240" w:lineRule="auto"/>
        <w:jc w:val="both"/>
        <w:rPr>
          <w:rFonts w:ascii="Verdana" w:eastAsia="Verdana" w:hAnsi="Verdana" w:cs="Verdana"/>
          <w:lang w:val="es-MX"/>
        </w:rPr>
      </w:pPr>
      <w:r w:rsidRPr="00580D84">
        <w:rPr>
          <w:rFonts w:ascii="Verdana" w:eastAsia="Verdana" w:hAnsi="Verdana" w:cs="Verdana"/>
          <w:b/>
          <w:bCs/>
          <w:noProof/>
          <w:lang w:val="es-MX"/>
        </w:rPr>
        <w:drawing>
          <wp:anchor distT="0" distB="0" distL="114300" distR="114300" simplePos="0" relativeHeight="251661312" behindDoc="1" locked="0" layoutInCell="1" allowOverlap="1" wp14:anchorId="6E3EA458" wp14:editId="6D1875A9">
            <wp:simplePos x="0" y="0"/>
            <wp:positionH relativeFrom="column">
              <wp:posOffset>1200385</wp:posOffset>
            </wp:positionH>
            <wp:positionV relativeFrom="paragraph">
              <wp:posOffset>19685</wp:posOffset>
            </wp:positionV>
            <wp:extent cx="3011805" cy="957580"/>
            <wp:effectExtent l="0" t="0" r="0" b="0"/>
            <wp:wrapTight wrapText="bothSides">
              <wp:wrapPolygon edited="0">
                <wp:start x="0" y="0"/>
                <wp:lineTo x="0" y="21056"/>
                <wp:lineTo x="21450" y="21056"/>
                <wp:lineTo x="21450" y="0"/>
                <wp:lineTo x="0" y="0"/>
              </wp:wrapPolygon>
            </wp:wrapTight>
            <wp:docPr id="114318678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186787" name="Imagen 1" descr="Texto&#10;&#10;El contenido generado por IA puede ser incorrecto."/>
                    <pic:cNvPicPr/>
                  </pic:nvPicPr>
                  <pic:blipFill>
                    <a:blip r:embed="rId18">
                      <a:extLst>
                        <a:ext uri="{28A0092B-C50C-407E-A947-70E740481C1C}">
                          <a14:useLocalDpi xmlns:a14="http://schemas.microsoft.com/office/drawing/2010/main" val="0"/>
                        </a:ext>
                      </a:extLst>
                    </a:blip>
                    <a:stretch>
                      <a:fillRect/>
                    </a:stretch>
                  </pic:blipFill>
                  <pic:spPr>
                    <a:xfrm>
                      <a:off x="0" y="0"/>
                      <a:ext cx="3011805" cy="957580"/>
                    </a:xfrm>
                    <a:prstGeom prst="rect">
                      <a:avLst/>
                    </a:prstGeom>
                  </pic:spPr>
                </pic:pic>
              </a:graphicData>
            </a:graphic>
            <wp14:sizeRelV relativeFrom="margin">
              <wp14:pctHeight>0</wp14:pctHeight>
            </wp14:sizeRelV>
          </wp:anchor>
        </w:drawing>
      </w:r>
    </w:p>
    <w:p w14:paraId="590DB629" w14:textId="0343353D" w:rsidR="00516CF7" w:rsidRDefault="00516CF7" w:rsidP="00FA29D6">
      <w:pPr>
        <w:spacing w:after="120" w:line="276" w:lineRule="auto"/>
        <w:contextualSpacing/>
        <w:jc w:val="both"/>
        <w:rPr>
          <w:rFonts w:ascii="Verdana" w:eastAsia="Aptos" w:hAnsi="Verdana" w:cs="Arial"/>
          <w:shd w:val="clear" w:color="auto" w:fill="FFFFFF"/>
          <w:lang w:val="es-ES"/>
        </w:rPr>
      </w:pPr>
    </w:p>
    <w:p w14:paraId="7A082616" w14:textId="77777777" w:rsidR="00666422" w:rsidRDefault="00666422" w:rsidP="00FA29D6">
      <w:pPr>
        <w:spacing w:after="120" w:line="276" w:lineRule="auto"/>
        <w:contextualSpacing/>
        <w:jc w:val="both"/>
        <w:rPr>
          <w:rFonts w:ascii="Verdana" w:eastAsia="Aptos" w:hAnsi="Verdana" w:cs="Arial"/>
          <w:shd w:val="clear" w:color="auto" w:fill="FFFFFF"/>
          <w:lang w:val="es-ES"/>
        </w:rPr>
      </w:pPr>
    </w:p>
    <w:p w14:paraId="65B35AB0" w14:textId="77777777" w:rsidR="00666422" w:rsidRDefault="00666422" w:rsidP="00FA29D6">
      <w:pPr>
        <w:spacing w:after="120" w:line="276" w:lineRule="auto"/>
        <w:contextualSpacing/>
        <w:jc w:val="both"/>
        <w:rPr>
          <w:rFonts w:ascii="Verdana" w:eastAsia="Aptos" w:hAnsi="Verdana" w:cs="Arial"/>
          <w:shd w:val="clear" w:color="auto" w:fill="FFFFFF"/>
          <w:lang w:val="es-ES"/>
        </w:rPr>
      </w:pPr>
    </w:p>
    <w:p w14:paraId="395F86B3" w14:textId="77777777" w:rsidR="00666422" w:rsidRDefault="00666422" w:rsidP="00FA29D6">
      <w:pPr>
        <w:spacing w:after="120" w:line="276" w:lineRule="auto"/>
        <w:contextualSpacing/>
        <w:jc w:val="both"/>
        <w:rPr>
          <w:rFonts w:ascii="Verdana" w:eastAsia="Aptos" w:hAnsi="Verdana" w:cs="Arial"/>
          <w:shd w:val="clear" w:color="auto" w:fill="FFFFFF"/>
          <w:lang w:val="es-ES"/>
        </w:rPr>
      </w:pPr>
    </w:p>
    <w:p w14:paraId="67A64CF9" w14:textId="77777777" w:rsidR="00666422" w:rsidRDefault="00666422" w:rsidP="00FA29D6">
      <w:pPr>
        <w:spacing w:after="120" w:line="276" w:lineRule="auto"/>
        <w:contextualSpacing/>
        <w:jc w:val="both"/>
        <w:rPr>
          <w:rFonts w:ascii="Verdana" w:eastAsia="Aptos" w:hAnsi="Verdana" w:cs="Arial"/>
          <w:shd w:val="clear" w:color="auto" w:fill="FFFFFF"/>
          <w:lang w:val="es-ES"/>
        </w:rPr>
      </w:pPr>
    </w:p>
    <w:tbl>
      <w:tblPr>
        <w:tblStyle w:val="Tablaconcuadrcula"/>
        <w:tblW w:w="63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36"/>
      </w:tblGrid>
      <w:tr w:rsidR="00146FFF" w:rsidRPr="004C0111" w14:paraId="51038D8F" w14:textId="77777777" w:rsidTr="002B3246">
        <w:trPr>
          <w:trHeight w:val="622"/>
        </w:trPr>
        <w:tc>
          <w:tcPr>
            <w:tcW w:w="893" w:type="dxa"/>
            <w:vAlign w:val="center"/>
            <w:hideMark/>
          </w:tcPr>
          <w:p w14:paraId="47246B32" w14:textId="77777777" w:rsidR="00146FFF" w:rsidRPr="004C0111" w:rsidRDefault="00146FFF" w:rsidP="002B3246">
            <w:pPr>
              <w:rPr>
                <w:rFonts w:ascii="Verdana" w:eastAsia="Calibri" w:hAnsi="Verdana" w:cs="Arial"/>
                <w:sz w:val="16"/>
                <w:szCs w:val="16"/>
                <w:lang w:val="es-ES_tradnl"/>
              </w:rPr>
            </w:pPr>
            <w:r w:rsidRPr="004C0111">
              <w:rPr>
                <w:rFonts w:ascii="Verdana" w:eastAsia="Calibri" w:hAnsi="Verdana" w:cs="Arial"/>
                <w:sz w:val="16"/>
                <w:szCs w:val="16"/>
                <w:lang w:val="es-ES_tradnl"/>
              </w:rPr>
              <w:t>Elaboró:</w:t>
            </w:r>
          </w:p>
        </w:tc>
        <w:tc>
          <w:tcPr>
            <w:tcW w:w="5436" w:type="dxa"/>
            <w:tcBorders>
              <w:top w:val="nil"/>
              <w:left w:val="nil"/>
              <w:bottom w:val="dotted" w:sz="4" w:space="0" w:color="7F7F7F" w:themeColor="text1" w:themeTint="80"/>
              <w:right w:val="nil"/>
            </w:tcBorders>
            <w:vAlign w:val="center"/>
            <w:hideMark/>
          </w:tcPr>
          <w:tbl>
            <w:tblPr>
              <w:tblW w:w="509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91"/>
            </w:tblGrid>
            <w:tr w:rsidR="00146FFF" w:rsidRPr="004C0111" w14:paraId="10BAE95A" w14:textId="77777777" w:rsidTr="002B3246">
              <w:trPr>
                <w:trHeight w:val="45"/>
              </w:trPr>
              <w:tc>
                <w:tcPr>
                  <w:tcW w:w="5091" w:type="dxa"/>
                  <w:tcBorders>
                    <w:top w:val="dotted" w:sz="6" w:space="0" w:color="7F7F7F" w:themeColor="text1" w:themeTint="80"/>
                    <w:left w:val="nil"/>
                    <w:bottom w:val="dotted" w:sz="6" w:space="0" w:color="7F7F7F" w:themeColor="text1" w:themeTint="80"/>
                    <w:right w:val="nil"/>
                  </w:tcBorders>
                  <w:vAlign w:val="center"/>
                  <w:hideMark/>
                </w:tcPr>
                <w:p w14:paraId="5B313CB2" w14:textId="77777777" w:rsidR="00146FFF" w:rsidRPr="004C0111" w:rsidRDefault="00146FFF" w:rsidP="002B3246">
                  <w:pPr>
                    <w:spacing w:after="0" w:line="240" w:lineRule="auto"/>
                    <w:rPr>
                      <w:rFonts w:ascii="Verdana" w:eastAsia="Times New Roman" w:hAnsi="Verdana" w:cs="Arial"/>
                      <w:sz w:val="16"/>
                      <w:szCs w:val="16"/>
                      <w:lang w:val="es-ES" w:eastAsia="es-ES"/>
                    </w:rPr>
                  </w:pPr>
                  <w:r w:rsidRPr="731A4B47">
                    <w:rPr>
                      <w:rFonts w:ascii="Verdana" w:eastAsia="Times New Roman" w:hAnsi="Verdana" w:cs="Arial"/>
                      <w:sz w:val="16"/>
                      <w:szCs w:val="16"/>
                      <w:lang w:val="es-ES" w:eastAsia="es-ES"/>
                    </w:rPr>
                    <w:t>Kelmis Yirama Brugés Alvarado</w:t>
                  </w:r>
                </w:p>
                <w:p w14:paraId="0AF26936" w14:textId="77777777" w:rsidR="00146FFF" w:rsidRPr="004C0111" w:rsidRDefault="00146FFF" w:rsidP="002B3246">
                  <w:pPr>
                    <w:spacing w:after="0" w:line="240" w:lineRule="auto"/>
                    <w:rPr>
                      <w:rFonts w:ascii="Verdana" w:eastAsia="Times New Roman" w:hAnsi="Verdana" w:cs="Arial"/>
                      <w:sz w:val="16"/>
                      <w:szCs w:val="16"/>
                      <w:lang w:val="es-MX" w:eastAsia="es-CO"/>
                    </w:rPr>
                  </w:pPr>
                  <w:r w:rsidRPr="004C0111">
                    <w:rPr>
                      <w:rFonts w:ascii="Verdana" w:eastAsia="Times New Roman" w:hAnsi="Verdana" w:cs="Arial"/>
                      <w:sz w:val="16"/>
                      <w:szCs w:val="16"/>
                      <w:lang w:eastAsia="es-ES"/>
                    </w:rPr>
                    <w:t>Analista T2-</w:t>
                  </w:r>
                  <w:r>
                    <w:rPr>
                      <w:rFonts w:ascii="Verdana" w:eastAsia="Times New Roman" w:hAnsi="Verdana" w:cs="Arial"/>
                      <w:sz w:val="16"/>
                      <w:szCs w:val="16"/>
                      <w:lang w:eastAsia="es-ES"/>
                    </w:rPr>
                    <w:t>04</w:t>
                  </w:r>
                  <w:r w:rsidRPr="004C0111">
                    <w:rPr>
                      <w:rFonts w:ascii="Verdana" w:eastAsia="Times New Roman" w:hAnsi="Verdana" w:cs="Arial"/>
                      <w:sz w:val="16"/>
                      <w:szCs w:val="16"/>
                      <w:lang w:eastAsia="es-ES"/>
                    </w:rPr>
                    <w:t xml:space="preserve"> de la Subdirección de Gestión Contractual</w:t>
                  </w:r>
                </w:p>
              </w:tc>
            </w:tr>
          </w:tbl>
          <w:p w14:paraId="6D96E607" w14:textId="77777777" w:rsidR="00146FFF" w:rsidRPr="004C0111" w:rsidRDefault="00146FFF" w:rsidP="002B3246">
            <w:pPr>
              <w:rPr>
                <w:rFonts w:ascii="Verdana" w:eastAsia="Calibri" w:hAnsi="Verdana" w:cs="Arial"/>
                <w:sz w:val="16"/>
                <w:szCs w:val="16"/>
                <w:lang w:val="es-MX"/>
              </w:rPr>
            </w:pPr>
          </w:p>
        </w:tc>
      </w:tr>
      <w:tr w:rsidR="00146FFF" w:rsidRPr="004C0111" w14:paraId="4BA0BCF7" w14:textId="77777777" w:rsidTr="002B3246">
        <w:trPr>
          <w:trHeight w:val="330"/>
        </w:trPr>
        <w:tc>
          <w:tcPr>
            <w:tcW w:w="893" w:type="dxa"/>
            <w:vAlign w:val="center"/>
            <w:hideMark/>
          </w:tcPr>
          <w:p w14:paraId="105A79E6" w14:textId="77777777" w:rsidR="00146FFF" w:rsidRPr="004C0111" w:rsidRDefault="00146FFF" w:rsidP="002B3246">
            <w:pPr>
              <w:rPr>
                <w:rFonts w:ascii="Verdana" w:eastAsia="Calibri" w:hAnsi="Verdana" w:cs="Arial"/>
                <w:sz w:val="16"/>
                <w:szCs w:val="16"/>
                <w:lang w:val="es-ES_tradnl"/>
              </w:rPr>
            </w:pPr>
            <w:r w:rsidRPr="004C0111">
              <w:rPr>
                <w:rFonts w:ascii="Verdana" w:eastAsia="Calibri" w:hAnsi="Verdana" w:cs="Arial"/>
                <w:sz w:val="16"/>
                <w:szCs w:val="16"/>
                <w:lang w:val="es-ES_tradnl"/>
              </w:rPr>
              <w:t>Revisó:</w:t>
            </w:r>
          </w:p>
        </w:tc>
        <w:tc>
          <w:tcPr>
            <w:tcW w:w="5436" w:type="dxa"/>
            <w:tcBorders>
              <w:top w:val="dotted" w:sz="4" w:space="0" w:color="7F7F7F" w:themeColor="text1" w:themeTint="80"/>
              <w:left w:val="nil"/>
              <w:bottom w:val="dotted" w:sz="4" w:space="0" w:color="7F7F7F" w:themeColor="text1" w:themeTint="80"/>
              <w:right w:val="nil"/>
            </w:tcBorders>
            <w:vAlign w:val="center"/>
            <w:hideMark/>
          </w:tcPr>
          <w:p w14:paraId="7A0322F3" w14:textId="77777777" w:rsidR="00146FFF" w:rsidRPr="004C0111" w:rsidRDefault="00146FFF" w:rsidP="002B3246">
            <w:pPr>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Diana Lucía Saavedra</w:t>
            </w:r>
          </w:p>
          <w:p w14:paraId="6560BF88" w14:textId="77777777" w:rsidR="00146FFF" w:rsidRPr="004C0111" w:rsidRDefault="00146FFF" w:rsidP="002B3246">
            <w:pPr>
              <w:textAlignment w:val="baseline"/>
              <w:rPr>
                <w:rFonts w:ascii="Verdana" w:eastAsia="Times New Roman" w:hAnsi="Verdana" w:cs="Arial"/>
                <w:sz w:val="16"/>
                <w:szCs w:val="16"/>
                <w:lang w:val="es-MX" w:eastAsia="es-CO"/>
              </w:rPr>
            </w:pPr>
            <w:r>
              <w:rPr>
                <w:rFonts w:ascii="Verdana" w:eastAsia="Times New Roman" w:hAnsi="Verdana" w:cs="Arial"/>
                <w:sz w:val="16"/>
                <w:szCs w:val="16"/>
                <w:lang w:eastAsia="es-CO"/>
              </w:rPr>
              <w:t xml:space="preserve">Contratista </w:t>
            </w:r>
            <w:r w:rsidRPr="004C0111">
              <w:rPr>
                <w:rFonts w:ascii="Verdana" w:eastAsia="Times New Roman" w:hAnsi="Verdana" w:cs="Arial"/>
                <w:sz w:val="16"/>
                <w:szCs w:val="16"/>
                <w:lang w:eastAsia="es-CO"/>
              </w:rPr>
              <w:t>de la Subdirección de Gestión Contractual</w:t>
            </w:r>
          </w:p>
        </w:tc>
      </w:tr>
      <w:tr w:rsidR="00146FFF" w:rsidRPr="004C0111" w14:paraId="6B1CA64A" w14:textId="77777777" w:rsidTr="002B3246">
        <w:trPr>
          <w:trHeight w:val="77"/>
        </w:trPr>
        <w:tc>
          <w:tcPr>
            <w:tcW w:w="893" w:type="dxa"/>
            <w:vAlign w:val="center"/>
          </w:tcPr>
          <w:p w14:paraId="707E3388" w14:textId="77777777" w:rsidR="00146FFF" w:rsidRPr="004C0111" w:rsidRDefault="00146FFF" w:rsidP="002B3246">
            <w:pPr>
              <w:rPr>
                <w:rFonts w:ascii="Verdana" w:eastAsia="Calibri" w:hAnsi="Verdana" w:cs="Arial"/>
                <w:sz w:val="16"/>
                <w:szCs w:val="16"/>
                <w:lang w:val="es-ES_tradnl"/>
              </w:rPr>
            </w:pPr>
            <w:r w:rsidRPr="004C0111">
              <w:rPr>
                <w:rFonts w:ascii="Verdana" w:eastAsia="Calibri" w:hAnsi="Verdana" w:cs="Arial"/>
                <w:sz w:val="16"/>
                <w:szCs w:val="16"/>
                <w:lang w:val="es-ES_tradnl"/>
              </w:rPr>
              <w:t>Aprobó:</w:t>
            </w:r>
          </w:p>
        </w:tc>
        <w:tc>
          <w:tcPr>
            <w:tcW w:w="5436" w:type="dxa"/>
            <w:tcBorders>
              <w:top w:val="dotted" w:sz="4" w:space="0" w:color="7F7F7F" w:themeColor="text1" w:themeTint="80"/>
              <w:left w:val="nil"/>
              <w:bottom w:val="dotted" w:sz="4" w:space="0" w:color="7F7F7F" w:themeColor="text1" w:themeTint="80"/>
              <w:right w:val="nil"/>
            </w:tcBorders>
            <w:vAlign w:val="center"/>
          </w:tcPr>
          <w:p w14:paraId="348BE683" w14:textId="77777777" w:rsidR="00146FFF" w:rsidRPr="002F2853" w:rsidRDefault="00146FFF" w:rsidP="002B3246">
            <w:pPr>
              <w:rPr>
                <w:rFonts w:ascii="Verdana" w:eastAsia="Times New Roman" w:hAnsi="Verdana" w:cs="Arial"/>
                <w:sz w:val="16"/>
                <w:szCs w:val="16"/>
                <w:lang w:eastAsia="es-ES"/>
              </w:rPr>
            </w:pPr>
            <w:r w:rsidRPr="002F2853">
              <w:rPr>
                <w:rFonts w:ascii="Verdana" w:eastAsia="Times New Roman" w:hAnsi="Verdana" w:cs="Arial"/>
                <w:sz w:val="16"/>
                <w:szCs w:val="16"/>
                <w:lang w:eastAsia="es-ES"/>
              </w:rPr>
              <w:t>Carolina Quintero Gacharná</w:t>
            </w:r>
          </w:p>
          <w:p w14:paraId="7616FE09" w14:textId="77777777" w:rsidR="00146FFF" w:rsidRPr="004C0111" w:rsidRDefault="00146FFF" w:rsidP="002B3246">
            <w:pPr>
              <w:rPr>
                <w:rFonts w:ascii="Verdana" w:eastAsia="Calibri" w:hAnsi="Verdana" w:cs="Arial"/>
                <w:sz w:val="16"/>
                <w:szCs w:val="16"/>
                <w:lang w:val="es-ES_tradnl"/>
              </w:rPr>
            </w:pPr>
            <w:r w:rsidRPr="002F2853">
              <w:rPr>
                <w:rFonts w:ascii="Verdana" w:eastAsia="Times New Roman" w:hAnsi="Verdana" w:cs="Arial"/>
                <w:sz w:val="16"/>
                <w:szCs w:val="16"/>
                <w:lang w:eastAsia="es-ES"/>
              </w:rPr>
              <w:t>Subdirectora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00076EF0"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EA91F9" w14:textId="77777777" w:rsidR="00204036" w:rsidRDefault="00204036" w:rsidP="004A1847">
      <w:pPr>
        <w:spacing w:after="0" w:line="240" w:lineRule="auto"/>
      </w:pPr>
      <w:r>
        <w:separator/>
      </w:r>
    </w:p>
  </w:endnote>
  <w:endnote w:type="continuationSeparator" w:id="0">
    <w:p w14:paraId="6A4241BD" w14:textId="77777777" w:rsidR="00204036" w:rsidRDefault="0020403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65E9D3" w14:textId="77777777" w:rsidR="00204036" w:rsidRDefault="00204036" w:rsidP="004A1847">
      <w:pPr>
        <w:spacing w:after="0" w:line="240" w:lineRule="auto"/>
      </w:pPr>
      <w:r>
        <w:separator/>
      </w:r>
    </w:p>
  </w:footnote>
  <w:footnote w:type="continuationSeparator" w:id="0">
    <w:p w14:paraId="73209376" w14:textId="77777777" w:rsidR="00204036" w:rsidRDefault="00204036" w:rsidP="004A1847">
      <w:pPr>
        <w:spacing w:after="0" w:line="240" w:lineRule="auto"/>
      </w:pPr>
      <w:r>
        <w:continuationSeparator/>
      </w:r>
    </w:p>
  </w:footnote>
  <w:footnote w:id="1">
    <w:p w14:paraId="3296C1C6" w14:textId="77777777" w:rsidR="00880CAB" w:rsidRPr="00FF007A" w:rsidRDefault="00880CAB" w:rsidP="00880CAB">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C94387B" w14:textId="0F2EDE1B" w:rsidR="00880CAB" w:rsidRPr="00FF007A" w:rsidRDefault="00880CAB" w:rsidP="00880CAB">
      <w:pPr>
        <w:pStyle w:val="Textonotapie"/>
        <w:ind w:firstLine="709"/>
        <w:contextualSpacing/>
        <w:jc w:val="both"/>
        <w:rPr>
          <w:rFonts w:ascii="Verdana" w:hAnsi="Verdana" w:cs="Arial"/>
          <w:sz w:val="16"/>
          <w:szCs w:val="16"/>
          <w:lang w:val="es-CO"/>
        </w:rPr>
      </w:pPr>
      <w:r w:rsidRPr="00FF007A">
        <w:rPr>
          <w:rFonts w:ascii="Verdana" w:hAnsi="Verdana" w:cs="Arial"/>
          <w:sz w:val="16"/>
          <w:szCs w:val="16"/>
          <w:lang w:val="es-CO"/>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6FEBC617" w14:textId="6AD4EED2" w:rsidR="00880CAB" w:rsidRPr="00FF007A" w:rsidRDefault="00880CAB" w:rsidP="00880CAB">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Gaceta del Congreso de la República No. 71 del 2005.</w:t>
      </w:r>
    </w:p>
  </w:footnote>
  <w:footnote w:id="3">
    <w:p w14:paraId="431B57DE" w14:textId="77777777" w:rsidR="00880CAB" w:rsidRPr="00FF007A" w:rsidRDefault="00880CAB" w:rsidP="00880CAB">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Corte Constitucional</w:t>
      </w:r>
      <w:r>
        <w:rPr>
          <w:rFonts w:ascii="Verdana" w:hAnsi="Verdana" w:cs="Arial"/>
          <w:sz w:val="16"/>
          <w:szCs w:val="16"/>
          <w:lang w:val="es-CO"/>
        </w:rPr>
        <w:t>.</w:t>
      </w:r>
      <w:r w:rsidRPr="00FF007A">
        <w:rPr>
          <w:rFonts w:ascii="Verdana" w:hAnsi="Verdana" w:cs="Arial"/>
          <w:sz w:val="16"/>
          <w:szCs w:val="16"/>
          <w:lang w:val="es-CO"/>
        </w:rPr>
        <w:t xml:space="preserve"> Sentencia C- 1153 de 2005</w:t>
      </w:r>
      <w:r>
        <w:rPr>
          <w:rFonts w:ascii="Verdana" w:hAnsi="Verdana" w:cs="Arial"/>
          <w:sz w:val="16"/>
          <w:szCs w:val="16"/>
          <w:lang w:val="es-CO"/>
        </w:rPr>
        <w:t>.</w:t>
      </w:r>
      <w:r w:rsidRPr="00FF007A">
        <w:rPr>
          <w:rFonts w:ascii="Verdana" w:hAnsi="Verdana" w:cs="Arial"/>
          <w:sz w:val="16"/>
          <w:szCs w:val="16"/>
          <w:lang w:val="es-CO"/>
        </w:rPr>
        <w:t xml:space="preserve"> M.P</w:t>
      </w:r>
      <w:r>
        <w:rPr>
          <w:rFonts w:ascii="Verdana" w:hAnsi="Verdana" w:cs="Arial"/>
          <w:sz w:val="16"/>
          <w:szCs w:val="16"/>
          <w:lang w:val="es-CO"/>
        </w:rPr>
        <w:t>:</w:t>
      </w:r>
      <w:r w:rsidRPr="00FF007A">
        <w:rPr>
          <w:rFonts w:ascii="Verdana" w:hAnsi="Verdana" w:cs="Arial"/>
          <w:sz w:val="16"/>
          <w:szCs w:val="16"/>
          <w:lang w:val="es-CO"/>
        </w:rPr>
        <w:t xml:space="preserve"> Marco Gerardo Monroy Cabra.</w:t>
      </w:r>
    </w:p>
  </w:footnote>
  <w:footnote w:id="4">
    <w:p w14:paraId="1A68D4B5" w14:textId="4794F7E1" w:rsidR="00880CAB" w:rsidRPr="00FF007A" w:rsidRDefault="00880CAB" w:rsidP="00880CAB">
      <w:pPr>
        <w:pStyle w:val="Textonotapie"/>
        <w:ind w:firstLine="709"/>
        <w:contextualSpacing/>
        <w:jc w:val="both"/>
        <w:rPr>
          <w:rFonts w:ascii="Verdana" w:hAnsi="Verdana" w:cs="Arial"/>
          <w:sz w:val="16"/>
          <w:szCs w:val="16"/>
          <w:lang w:val="es-CO"/>
        </w:rPr>
      </w:pPr>
      <w:r w:rsidRPr="00F3158D">
        <w:rPr>
          <w:rStyle w:val="Refdenotaalpie"/>
          <w:rFonts w:ascii="Verdana" w:hAnsi="Verdana" w:cs="Arial"/>
          <w:sz w:val="16"/>
          <w:szCs w:val="16"/>
          <w:lang w:val="es-CO"/>
        </w:rPr>
        <w:footnoteRef/>
      </w:r>
      <w:r w:rsidRPr="00F3158D">
        <w:rPr>
          <w:rFonts w:ascii="Verdana" w:hAnsi="Verdana" w:cs="Arial"/>
          <w:sz w:val="16"/>
          <w:szCs w:val="16"/>
          <w:lang w:val="es-CO"/>
        </w:rPr>
        <w:t xml:space="preserve"> Corte Constitucional. Sentencias: C-233 de 4 de abril de 2002, M.P: Álvaro Tafur Galvis. C-551 de 9 de julio de 2003. M.P: Eduardo Montealegre Lynett. C-652 de 5 de agosto de 2003. M.</w:t>
      </w:r>
      <w:r>
        <w:rPr>
          <w:rFonts w:ascii="Verdana" w:hAnsi="Verdana" w:cs="Arial"/>
          <w:sz w:val="16"/>
          <w:szCs w:val="16"/>
          <w:lang w:val="es-CO"/>
        </w:rPr>
        <w:t>P:</w:t>
      </w:r>
      <w:r w:rsidRPr="00F3158D">
        <w:rPr>
          <w:rFonts w:ascii="Verdana" w:hAnsi="Verdana" w:cs="Arial"/>
          <w:sz w:val="16"/>
          <w:szCs w:val="16"/>
          <w:lang w:val="es-CO"/>
        </w:rPr>
        <w:t xml:space="preserve"> Jaime Córdoba Triviño. Sentencia C-353 de 20 de mayo de 2009. M.P: Jorge Iván Palacio Palacio. C-541 de 30 de junio de 2010, M.P: Gabriel Eduardo Mendoza Martelo.</w:t>
      </w:r>
    </w:p>
  </w:footnote>
  <w:footnote w:id="5">
    <w:p w14:paraId="315265D8" w14:textId="483C506E" w:rsidR="00880CAB" w:rsidRPr="00FF007A" w:rsidRDefault="00880CAB" w:rsidP="00880CAB">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Consejo de Estado</w:t>
      </w:r>
      <w:r>
        <w:rPr>
          <w:rFonts w:ascii="Verdana" w:hAnsi="Verdana" w:cs="Arial"/>
          <w:sz w:val="16"/>
          <w:szCs w:val="16"/>
          <w:lang w:val="es-CO"/>
        </w:rPr>
        <w:t>.</w:t>
      </w:r>
      <w:r w:rsidRPr="00FF007A">
        <w:rPr>
          <w:rFonts w:ascii="Verdana" w:hAnsi="Verdana" w:cs="Arial"/>
          <w:sz w:val="16"/>
          <w:szCs w:val="16"/>
          <w:lang w:val="es-CO"/>
        </w:rPr>
        <w:t xml:space="preserve"> Sala de lo Contencioso Administrativo</w:t>
      </w:r>
      <w:r>
        <w:rPr>
          <w:rFonts w:ascii="Verdana" w:hAnsi="Verdana" w:cs="Arial"/>
          <w:sz w:val="16"/>
          <w:szCs w:val="16"/>
          <w:lang w:val="es-CO"/>
        </w:rPr>
        <w:t>.</w:t>
      </w:r>
      <w:r w:rsidRPr="00FF007A">
        <w:rPr>
          <w:rFonts w:ascii="Verdana" w:hAnsi="Verdana" w:cs="Arial"/>
          <w:sz w:val="16"/>
          <w:szCs w:val="16"/>
          <w:lang w:val="es-CO"/>
        </w:rPr>
        <w:t xml:space="preserve"> Sección Primera. Sentencia de 3 de marzo de 2005, </w:t>
      </w:r>
      <w:r w:rsidRPr="005F28C0">
        <w:rPr>
          <w:rFonts w:ascii="Verdana" w:hAnsi="Verdana" w:cs="Arial"/>
          <w:sz w:val="16"/>
          <w:szCs w:val="16"/>
          <w:lang w:val="es-CO"/>
        </w:rPr>
        <w:t>Radicado: 25001-23-15-000-2004-00823-01 (PI). C.P: Camilo Arciniegas Andrade</w:t>
      </w:r>
      <w:r w:rsidRPr="00FF007A">
        <w:rPr>
          <w:rFonts w:ascii="Verdana" w:hAnsi="Verdana" w:cs="Arial"/>
          <w:sz w:val="16"/>
          <w:szCs w:val="16"/>
          <w:lang w:val="es-CO"/>
        </w:rPr>
        <w:t>.</w:t>
      </w:r>
    </w:p>
  </w:footnote>
  <w:footnote w:id="6">
    <w:p w14:paraId="4119E39D" w14:textId="77777777" w:rsidR="00880CAB" w:rsidRPr="00FF007A" w:rsidRDefault="00880CAB" w:rsidP="00880CAB">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Consejo de Estado, Sala de Consulta y Servicio Civil de fecha 24 de julio de 2013</w:t>
      </w:r>
      <w:r>
        <w:rPr>
          <w:rFonts w:ascii="Verdana" w:hAnsi="Verdana" w:cs="Arial"/>
          <w:sz w:val="16"/>
          <w:szCs w:val="16"/>
          <w:lang w:val="es-CO"/>
        </w:rPr>
        <w:t xml:space="preserve">. Radicado: </w:t>
      </w:r>
      <w:r w:rsidRPr="005F28C0">
        <w:rPr>
          <w:rFonts w:ascii="Verdana" w:hAnsi="Verdana" w:cs="Arial"/>
          <w:sz w:val="16"/>
          <w:szCs w:val="16"/>
          <w:lang w:val="es-CO"/>
        </w:rPr>
        <w:t xml:space="preserve">Radicado: 11001-03-06-000-2013-00407-00 </w:t>
      </w:r>
      <w:r>
        <w:rPr>
          <w:rFonts w:ascii="Verdana" w:hAnsi="Verdana" w:cs="Arial"/>
          <w:sz w:val="16"/>
          <w:szCs w:val="16"/>
          <w:lang w:val="es-CO"/>
        </w:rPr>
        <w:t>(2166).</w:t>
      </w:r>
      <w:r w:rsidRPr="00FF007A">
        <w:rPr>
          <w:rFonts w:ascii="Verdana" w:hAnsi="Verdana" w:cs="Arial"/>
          <w:sz w:val="16"/>
          <w:szCs w:val="16"/>
          <w:lang w:val="es-CO"/>
        </w:rPr>
        <w:t xml:space="preserve"> C.P</w:t>
      </w:r>
      <w:r>
        <w:rPr>
          <w:rFonts w:ascii="Verdana" w:hAnsi="Verdana" w:cs="Arial"/>
          <w:sz w:val="16"/>
          <w:szCs w:val="16"/>
          <w:lang w:val="es-CO"/>
        </w:rPr>
        <w:t>:</w:t>
      </w:r>
      <w:r w:rsidRPr="00FF007A">
        <w:rPr>
          <w:rFonts w:ascii="Verdana" w:hAnsi="Verdana" w:cs="Arial"/>
          <w:sz w:val="16"/>
          <w:szCs w:val="16"/>
          <w:lang w:val="es-CO"/>
        </w:rPr>
        <w:t xml:space="preserve"> Álvaro Namén Vargas.  </w:t>
      </w:r>
    </w:p>
  </w:footnote>
  <w:footnote w:id="7">
    <w:p w14:paraId="193DD734" w14:textId="77777777" w:rsidR="00880CAB" w:rsidRPr="00FF007A" w:rsidRDefault="00880CAB" w:rsidP="00880CAB">
      <w:pPr>
        <w:spacing w:after="0" w:line="240" w:lineRule="auto"/>
        <w:ind w:firstLine="709"/>
        <w:contextualSpacing/>
        <w:jc w:val="both"/>
        <w:rPr>
          <w:rFonts w:ascii="Verdana" w:eastAsia="Times New Roman" w:hAnsi="Verdana" w:cs="Arial"/>
          <w:sz w:val="16"/>
          <w:szCs w:val="16"/>
        </w:rPr>
      </w:pPr>
      <w:r w:rsidRPr="00FF007A">
        <w:rPr>
          <w:rStyle w:val="Refdenotaalpie"/>
          <w:rFonts w:ascii="Verdana" w:hAnsi="Verdana" w:cs="Arial"/>
          <w:sz w:val="16"/>
          <w:szCs w:val="16"/>
        </w:rPr>
        <w:footnoteRef/>
      </w:r>
      <w:r w:rsidRPr="00FF007A">
        <w:rPr>
          <w:rFonts w:ascii="Verdana" w:hAnsi="Verdana" w:cs="Arial"/>
          <w:sz w:val="16"/>
          <w:szCs w:val="16"/>
        </w:rPr>
        <w:t xml:space="preserve"> </w:t>
      </w:r>
      <w:r w:rsidRPr="00FF007A">
        <w:rPr>
          <w:rFonts w:ascii="Verdana" w:eastAsia="Calibri" w:hAnsi="Verdana" w:cs="Arial"/>
          <w:color w:val="000000"/>
          <w:sz w:val="16"/>
          <w:szCs w:val="16"/>
        </w:rPr>
        <w:t>“</w:t>
      </w:r>
      <w:r w:rsidRPr="00FF007A">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5F69B2BB" w14:textId="32DE0382" w:rsidR="00880CAB" w:rsidRPr="00FF007A" w:rsidRDefault="00880CAB" w:rsidP="00880CAB">
      <w:pPr>
        <w:spacing w:after="0" w:line="240" w:lineRule="auto"/>
        <w:ind w:firstLine="709"/>
        <w:contextualSpacing/>
        <w:jc w:val="both"/>
        <w:rPr>
          <w:rFonts w:ascii="Verdana" w:eastAsia="Times New Roman" w:hAnsi="Verdana" w:cs="Arial"/>
          <w:sz w:val="16"/>
          <w:szCs w:val="16"/>
        </w:rPr>
      </w:pPr>
      <w:r w:rsidRPr="00FF007A">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F007A">
        <w:rPr>
          <w:rFonts w:ascii="Verdana" w:eastAsia="Calibri" w:hAnsi="Verdana" w:cs="Arial"/>
          <w:color w:val="000000"/>
          <w:sz w:val="16"/>
          <w:szCs w:val="16"/>
        </w:rPr>
        <w:t>”</w:t>
      </w:r>
      <w:r w:rsidRPr="00FF007A">
        <w:rPr>
          <w:rFonts w:ascii="Verdana" w:eastAsia="Times New Roman" w:hAnsi="Verdana" w:cs="Arial"/>
          <w:sz w:val="16"/>
          <w:szCs w:val="16"/>
        </w:rPr>
        <w:t>.</w:t>
      </w:r>
    </w:p>
  </w:footnote>
  <w:footnote w:id="8">
    <w:p w14:paraId="74FAA126" w14:textId="77777777" w:rsidR="00880CAB" w:rsidRPr="00FF007A" w:rsidRDefault="00880CAB" w:rsidP="00880CAB">
      <w:pPr>
        <w:pStyle w:val="NormalWeb"/>
        <w:spacing w:before="0" w:beforeAutospacing="0" w:after="0" w:afterAutospacing="0"/>
        <w:ind w:firstLine="709"/>
        <w:contextualSpacing/>
        <w:jc w:val="both"/>
        <w:rPr>
          <w:rFonts w:ascii="Verdana" w:hAnsi="Verdana" w:cs="Arial"/>
          <w:sz w:val="16"/>
          <w:szCs w:val="16"/>
        </w:rPr>
      </w:pPr>
      <w:r w:rsidRPr="00FF007A">
        <w:rPr>
          <w:rStyle w:val="Refdenotaalpie"/>
          <w:rFonts w:ascii="Verdana" w:hAnsi="Verdana" w:cs="Arial"/>
          <w:sz w:val="16"/>
          <w:szCs w:val="16"/>
        </w:rPr>
        <w:footnoteRef/>
      </w:r>
      <w:r w:rsidRPr="00FF007A">
        <w:rPr>
          <w:rFonts w:ascii="Verdana" w:hAnsi="Verdana" w:cs="Arial"/>
          <w:sz w:val="16"/>
          <w:szCs w:val="16"/>
        </w:rPr>
        <w:t xml:space="preserve"> </w:t>
      </w:r>
      <w:r w:rsidRPr="00FF007A">
        <w:rPr>
          <w:rFonts w:ascii="Verdana" w:eastAsia="Calibri" w:hAnsi="Verdana" w:cs="Arial"/>
          <w:color w:val="000000"/>
          <w:sz w:val="16"/>
          <w:szCs w:val="16"/>
        </w:rPr>
        <w:t>“</w:t>
      </w:r>
      <w:r w:rsidRPr="00FF007A">
        <w:rPr>
          <w:rFonts w:ascii="Verdana" w:hAnsi="Verdana" w:cs="Arial"/>
          <w:sz w:val="16"/>
          <w:szCs w:val="16"/>
        </w:rPr>
        <w:t>Artículo 38. Prohibiciones para los servidores públicos. A los empleados del Estado les está prohibido: […]</w:t>
      </w:r>
    </w:p>
    <w:p w14:paraId="4E051A40" w14:textId="77777777" w:rsidR="00880CAB" w:rsidRPr="00FF007A" w:rsidRDefault="00880CAB" w:rsidP="00880CAB">
      <w:pPr>
        <w:pStyle w:val="NormalWeb"/>
        <w:spacing w:before="0" w:beforeAutospacing="0" w:after="0" w:afterAutospacing="0"/>
        <w:ind w:firstLine="709"/>
        <w:contextualSpacing/>
        <w:jc w:val="both"/>
        <w:rPr>
          <w:rFonts w:ascii="Verdana" w:hAnsi="Verdana" w:cs="Arial"/>
          <w:sz w:val="16"/>
          <w:szCs w:val="16"/>
        </w:rPr>
      </w:pPr>
      <w:r w:rsidRPr="00FF007A">
        <w:rPr>
          <w:rStyle w:val="baj"/>
          <w:rFonts w:ascii="Verdana" w:hAnsi="Verdana" w:cs="Arial"/>
          <w:sz w:val="16"/>
          <w:szCs w:val="16"/>
        </w:rPr>
        <w:t>Parágrafo.</w:t>
      </w:r>
      <w:r w:rsidRPr="00FF007A">
        <w:rPr>
          <w:rFonts w:ascii="Verdana" w:hAnsi="Verdana" w:cs="Arial"/>
          <w:sz w:val="16"/>
          <w:szCs w:val="16"/>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F007A">
        <w:rPr>
          <w:rFonts w:ascii="Verdana" w:eastAsia="Calibri" w:hAnsi="Verdana" w:cs="Arial"/>
          <w:color w:val="000000"/>
          <w:sz w:val="16"/>
          <w:szCs w:val="16"/>
        </w:rPr>
        <w:t>”</w:t>
      </w:r>
      <w:r w:rsidRPr="00FF007A">
        <w:rPr>
          <w:rFonts w:ascii="Verdana" w:hAnsi="Verdana" w:cs="Arial"/>
          <w:sz w:val="16"/>
          <w:szCs w:val="16"/>
        </w:rPr>
        <w:t>.</w:t>
      </w:r>
    </w:p>
  </w:footnote>
  <w:footnote w:id="9">
    <w:p w14:paraId="152709DC" w14:textId="77777777" w:rsidR="001907CC" w:rsidRPr="000C46E7" w:rsidRDefault="001907CC" w:rsidP="008363F8">
      <w:pPr>
        <w:spacing w:after="0" w:line="240" w:lineRule="auto"/>
        <w:ind w:left="100" w:right="244" w:firstLine="608"/>
        <w:contextualSpacing/>
        <w:jc w:val="both"/>
        <w:rPr>
          <w:rFonts w:ascii="Verdana" w:hAnsi="Verdana" w:cs="Arial"/>
          <w:sz w:val="16"/>
          <w:szCs w:val="16"/>
          <w:lang w:val="es-ES"/>
        </w:rPr>
      </w:pPr>
      <w:r w:rsidRPr="000C46E7">
        <w:rPr>
          <w:rStyle w:val="Refdenotaalpie"/>
          <w:rFonts w:ascii="Verdana" w:hAnsi="Verdana" w:cs="Arial"/>
          <w:sz w:val="16"/>
          <w:szCs w:val="16"/>
        </w:rPr>
        <w:footnoteRef/>
      </w:r>
      <w:r w:rsidRPr="000C46E7">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3F9154B0" w14:textId="77777777" w:rsidR="00AA00F4" w:rsidRPr="004B35AC" w:rsidRDefault="00AA00F4" w:rsidP="008363F8">
      <w:pPr>
        <w:pStyle w:val="Textonotapie"/>
        <w:ind w:firstLine="708"/>
        <w:contextualSpacing/>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Colombia Compra Eficiente. Circular Externa Única. Numeral 16.5. </w:t>
      </w:r>
    </w:p>
  </w:footnote>
  <w:footnote w:id="11">
    <w:p w14:paraId="2B164BEF" w14:textId="77777777" w:rsidR="00AA00F4" w:rsidRPr="004B35AC" w:rsidRDefault="00AA00F4" w:rsidP="008363F8">
      <w:pPr>
        <w:pStyle w:val="Textonotapie"/>
        <w:ind w:right="51" w:firstLine="709"/>
        <w:contextualSpacing/>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[25] </w:t>
      </w:r>
      <w:r w:rsidRPr="004B35AC">
        <w:rPr>
          <w:rFonts w:ascii="Verdana" w:hAnsi="Verdana" w:cs="Arial"/>
          <w:sz w:val="16"/>
          <w:szCs w:val="16"/>
        </w:rPr>
        <w:t>Cfr. Consejo de Estado. Sección Tercera. Sentencia de 3 de diciembre de 2007. Radicados: 24.715, 25.206, 25.409, 24.524, 27.834, 25.410, 26.105, 28.244, 31.447 -acumulados-“.</w:t>
      </w:r>
    </w:p>
  </w:footnote>
  <w:footnote w:id="12">
    <w:p w14:paraId="116BC840" w14:textId="77777777" w:rsidR="00AA00F4" w:rsidRPr="004B35AC" w:rsidRDefault="00AA00F4" w:rsidP="008363F8">
      <w:pPr>
        <w:pStyle w:val="Textonotapie"/>
        <w:ind w:right="51" w:firstLine="709"/>
        <w:contextualSpacing/>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[26] </w:t>
      </w:r>
      <w:r w:rsidRPr="004B35AC">
        <w:rPr>
          <w:rFonts w:ascii="Verdana" w:hAnsi="Verdana" w:cs="Arial"/>
          <w:sz w:val="16"/>
          <w:szCs w:val="16"/>
        </w:rPr>
        <w:t>Al respecto ver el concepto 1712 de 2 de febrero de 2006. Consejo de Estado Sala de Consulta y Servicio Civil”.</w:t>
      </w:r>
    </w:p>
  </w:footnote>
  <w:footnote w:id="13">
    <w:p w14:paraId="6EEDEA1B" w14:textId="77777777" w:rsidR="00AA00F4" w:rsidRPr="004B35AC" w:rsidRDefault="00AA00F4" w:rsidP="008363F8">
      <w:pPr>
        <w:pStyle w:val="Textonotapie"/>
        <w:ind w:firstLine="709"/>
        <w:contextualSpacing/>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4">
    <w:p w14:paraId="383B0A1E" w14:textId="77777777" w:rsidR="00AA00F4" w:rsidRPr="004B35AC" w:rsidRDefault="00AA00F4" w:rsidP="008363F8">
      <w:pPr>
        <w:pStyle w:val="Textonotapie"/>
        <w:ind w:firstLine="709"/>
        <w:contextualSpacing/>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Artículo 2. </w:t>
      </w:r>
    </w:p>
  </w:footnote>
  <w:footnote w:id="15">
    <w:p w14:paraId="4BFFE190" w14:textId="77777777" w:rsidR="00AA00F4" w:rsidRPr="004B35AC" w:rsidRDefault="00AA00F4" w:rsidP="008363F8">
      <w:pPr>
        <w:pStyle w:val="Textonotapie"/>
        <w:ind w:firstLine="709"/>
        <w:contextualSpacing/>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i/>
          <w:sz w:val="16"/>
          <w:szCs w:val="16"/>
          <w:lang w:val="es-ES"/>
        </w:rPr>
        <w:t>Ídem</w:t>
      </w:r>
      <w:r w:rsidRPr="004B35AC">
        <w:rPr>
          <w:rFonts w:ascii="Verdana" w:hAnsi="Verdana" w:cs="Arial"/>
          <w:sz w:val="16"/>
          <w:szCs w:val="16"/>
          <w:lang w:val="es-ES"/>
        </w:rPr>
        <w:t>.</w:t>
      </w:r>
    </w:p>
  </w:footnote>
  <w:footnote w:id="16">
    <w:p w14:paraId="327D21C9" w14:textId="77777777" w:rsidR="00AA00F4" w:rsidRPr="004B35AC" w:rsidRDefault="00AA00F4" w:rsidP="008363F8">
      <w:pPr>
        <w:pStyle w:val="Textonotapie"/>
        <w:ind w:firstLine="709"/>
        <w:contextualSpacing/>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Style w:val="Refdenotaalpie"/>
          <w:rFonts w:ascii="Verdana" w:hAnsi="Verdana" w:cs="Arial"/>
          <w:sz w:val="16"/>
          <w:szCs w:val="16"/>
        </w:rPr>
        <w:t xml:space="preserve"> </w:t>
      </w:r>
      <w:r w:rsidRPr="004B35AC">
        <w:rPr>
          <w:rFonts w:ascii="Verdana" w:hAnsi="Verdana" w:cs="Arial"/>
          <w:sz w:val="16"/>
          <w:szCs w:val="16"/>
          <w:lang w:val="es-ES"/>
        </w:rPr>
        <w:t xml:space="preserve">“[…] A este respecto, cabe recordar que el artículo 860 del Código de Comercio regula la licitación en el derecho privado”. </w:t>
      </w:r>
    </w:p>
  </w:footnote>
  <w:footnote w:id="17">
    <w:p w14:paraId="0585F902" w14:textId="77777777" w:rsidR="00AA00F4" w:rsidRPr="004B35AC" w:rsidRDefault="00AA00F4" w:rsidP="008363F8">
      <w:pPr>
        <w:shd w:val="clear" w:color="auto" w:fill="FFFFFF"/>
        <w:spacing w:after="0" w:line="240" w:lineRule="auto"/>
        <w:ind w:firstLine="709"/>
        <w:contextualSpacing/>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Style w:val="Refdenotaalpie"/>
          <w:rFonts w:ascii="Verdana" w:hAnsi="Verdana" w:cs="Arial"/>
          <w:sz w:val="16"/>
          <w:szCs w:val="16"/>
        </w:rPr>
        <w:t xml:space="preserve"> </w:t>
      </w:r>
      <w:r w:rsidRPr="004B35AC">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18">
    <w:p w14:paraId="7FAE8529" w14:textId="77777777" w:rsidR="00AA00F4" w:rsidRPr="004B35AC" w:rsidRDefault="00AA00F4" w:rsidP="008363F8">
      <w:pPr>
        <w:pStyle w:val="Textonotapie"/>
        <w:ind w:firstLine="709"/>
        <w:contextualSpacing/>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08 de mayo de 2018. Exp. 2.382. C.P. Álvaro Namén Vargas.</w:t>
      </w:r>
    </w:p>
  </w:footnote>
  <w:footnote w:id="19">
    <w:p w14:paraId="18B8117E" w14:textId="77777777" w:rsidR="00AA00F4" w:rsidRPr="004B35AC" w:rsidRDefault="00AA00F4" w:rsidP="008363F8">
      <w:pPr>
        <w:pStyle w:val="Textonotapie"/>
        <w:ind w:firstLine="709"/>
        <w:contextualSpacing/>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0">
    <w:p w14:paraId="6883C0AC" w14:textId="77777777" w:rsidR="00AA00F4" w:rsidRPr="004B35AC" w:rsidRDefault="00AA00F4" w:rsidP="008363F8">
      <w:pPr>
        <w:spacing w:after="0" w:line="240" w:lineRule="auto"/>
        <w:ind w:firstLine="709"/>
        <w:contextualSpacing/>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1">
    <w:p w14:paraId="135D1217" w14:textId="77777777" w:rsidR="000A1034" w:rsidRPr="004B35AC" w:rsidRDefault="000A1034" w:rsidP="008363F8">
      <w:pPr>
        <w:pStyle w:val="Textonotapie"/>
        <w:ind w:right="51" w:firstLine="709"/>
        <w:contextualSpacing/>
        <w:jc w:val="both"/>
        <w:rPr>
          <w:rFonts w:ascii="Verdana" w:eastAsia="Times New Roman" w:hAnsi="Verdana" w:cs="Arial"/>
          <w:bCs/>
          <w:sz w:val="16"/>
          <w:szCs w:val="16"/>
          <w:lang w:eastAsia="x-none"/>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 6 de abril de 2006. Radicación Número: 11001-03-06-000-2006-00038-00 (1738). C.P. Enrique José Arboleda Perdomo:</w:t>
      </w:r>
      <w:r w:rsidRPr="004B35AC">
        <w:rPr>
          <w:rFonts w:ascii="Verdana" w:eastAsia="Times New Roman" w:hAnsi="Verdana" w:cs="Arial"/>
          <w:bCs/>
          <w:sz w:val="16"/>
          <w:szCs w:val="16"/>
          <w:lang w:eastAsia="x-none"/>
        </w:rPr>
        <w:t xml:space="preserve"> “</w:t>
      </w:r>
      <w:r w:rsidRPr="004B35AC">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B35AC">
        <w:rPr>
          <w:rFonts w:ascii="Verdana" w:eastAsia="Times New Roman" w:hAnsi="Verdana" w:cs="Arial"/>
          <w:bCs/>
          <w:sz w:val="16"/>
          <w:szCs w:val="16"/>
          <w:lang w:eastAsia="x-none"/>
        </w:rPr>
        <w:t>”.</w:t>
      </w:r>
    </w:p>
  </w:footnote>
  <w:footnote w:id="22">
    <w:p w14:paraId="748BBD3E" w14:textId="77777777" w:rsidR="000A1034" w:rsidRPr="004B35AC" w:rsidRDefault="000A1034" w:rsidP="008363F8">
      <w:pPr>
        <w:spacing w:after="0" w:line="240" w:lineRule="auto"/>
        <w:ind w:firstLine="708"/>
        <w:contextualSpacing/>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23">
    <w:p w14:paraId="2FE7D8E7" w14:textId="77777777" w:rsidR="000A1034" w:rsidRPr="004B35AC" w:rsidRDefault="000A1034" w:rsidP="008363F8">
      <w:pPr>
        <w:pStyle w:val="Textonotapie"/>
        <w:ind w:right="51" w:firstLine="709"/>
        <w:contextualSpacing/>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ídem.</w:t>
      </w:r>
    </w:p>
  </w:footnote>
  <w:footnote w:id="24">
    <w:p w14:paraId="21093C38" w14:textId="77777777" w:rsidR="007B6D52" w:rsidRPr="000C46E7" w:rsidRDefault="007B6D52" w:rsidP="008363F8">
      <w:pPr>
        <w:pStyle w:val="Textonotapie"/>
        <w:ind w:firstLine="709"/>
        <w:contextualSpacing/>
        <w:jc w:val="both"/>
        <w:rPr>
          <w:rFonts w:ascii="Verdana" w:hAnsi="Verdana" w:cs="Arial"/>
          <w:sz w:val="16"/>
          <w:szCs w:val="16"/>
        </w:rPr>
      </w:pPr>
      <w:r w:rsidRPr="000C46E7">
        <w:rPr>
          <w:rStyle w:val="Refdenotaalpie"/>
          <w:rFonts w:ascii="Verdana" w:hAnsi="Verdana"/>
          <w:sz w:val="16"/>
          <w:szCs w:val="16"/>
        </w:rPr>
        <w:footnoteRef/>
      </w:r>
      <w:r w:rsidRPr="000C46E7">
        <w:rPr>
          <w:rFonts w:ascii="Verdana" w:hAnsi="Verdana"/>
          <w:sz w:val="16"/>
          <w:szCs w:val="16"/>
        </w:rPr>
        <w:t xml:space="preserve"> </w:t>
      </w:r>
      <w:r w:rsidRPr="000C46E7">
        <w:rPr>
          <w:rFonts w:ascii="Verdana" w:hAnsi="Verdana" w:cs="Arial"/>
          <w:sz w:val="16"/>
          <w:szCs w:val="16"/>
        </w:rPr>
        <w:t>Consejo de Estado -Sección Tercera-. Sentencia del 21 de febrero de 2025. Radicación Número: 68.280. CP: José Roberto Sáchica Méndez.</w:t>
      </w:r>
    </w:p>
  </w:footnote>
  <w:footnote w:id="25">
    <w:p w14:paraId="7A57F3DA" w14:textId="77777777" w:rsidR="007B6D52" w:rsidRPr="000C46E7" w:rsidRDefault="007B6D52" w:rsidP="008363F8">
      <w:pPr>
        <w:pStyle w:val="Textonotapie"/>
        <w:ind w:firstLine="709"/>
        <w:contextualSpacing/>
        <w:jc w:val="both"/>
        <w:rPr>
          <w:rFonts w:ascii="Verdana" w:hAnsi="Verdana" w:cs="Arial"/>
          <w:sz w:val="16"/>
          <w:szCs w:val="16"/>
        </w:rPr>
      </w:pPr>
      <w:r w:rsidRPr="000C46E7">
        <w:rPr>
          <w:rFonts w:ascii="Verdana" w:hAnsi="Verdana"/>
          <w:sz w:val="16"/>
          <w:szCs w:val="16"/>
          <w:vertAlign w:val="superscript"/>
        </w:rPr>
        <w:footnoteRef/>
      </w:r>
      <w:r w:rsidRPr="000C46E7">
        <w:rPr>
          <w:rFonts w:ascii="Verdana" w:hAnsi="Verdana"/>
          <w:sz w:val="16"/>
          <w:szCs w:val="16"/>
          <w:vertAlign w:val="superscript"/>
        </w:rPr>
        <w:t xml:space="preserve"> </w:t>
      </w:r>
      <w:r w:rsidRPr="000C46E7">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6">
    <w:p w14:paraId="1B32E54A" w14:textId="77777777" w:rsidR="007B6D52" w:rsidRPr="000C46E7" w:rsidRDefault="007B6D52" w:rsidP="008363F8">
      <w:pPr>
        <w:pStyle w:val="Textonotapie"/>
        <w:ind w:firstLine="709"/>
        <w:contextualSpacing/>
        <w:jc w:val="both"/>
        <w:rPr>
          <w:rFonts w:ascii="Verdana" w:hAnsi="Verdana" w:cs="Arial"/>
          <w:sz w:val="16"/>
          <w:szCs w:val="16"/>
        </w:rPr>
      </w:pPr>
      <w:r w:rsidRPr="000C46E7">
        <w:rPr>
          <w:rFonts w:ascii="Verdana" w:hAnsi="Verdana"/>
          <w:sz w:val="16"/>
          <w:szCs w:val="16"/>
          <w:vertAlign w:val="superscript"/>
        </w:rPr>
        <w:footnoteRef/>
      </w:r>
      <w:r w:rsidRPr="000C46E7">
        <w:rPr>
          <w:rFonts w:ascii="Verdana" w:hAnsi="Verdana" w:cs="Arial"/>
          <w:sz w:val="16"/>
          <w:szCs w:val="16"/>
          <w:vertAlign w:val="superscript"/>
        </w:rPr>
        <w:t xml:space="preserve"> </w:t>
      </w:r>
      <w:r w:rsidRPr="000C46E7">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0A92FB5D" w14:textId="77777777" w:rsidR="007B6D52" w:rsidRPr="000C46E7" w:rsidRDefault="007B6D52" w:rsidP="008363F8">
      <w:pPr>
        <w:pStyle w:val="Textonotapie"/>
        <w:ind w:firstLine="709"/>
        <w:contextualSpacing/>
        <w:jc w:val="both"/>
        <w:rPr>
          <w:rFonts w:ascii="Verdana" w:hAnsi="Verdana" w:cs="Arial"/>
          <w:sz w:val="16"/>
          <w:szCs w:val="16"/>
        </w:rPr>
      </w:pPr>
      <w:r w:rsidRPr="000C46E7">
        <w:rPr>
          <w:rFonts w:ascii="Verdana" w:hAnsi="Verdana" w:cs="Arial"/>
          <w:sz w:val="16"/>
          <w:szCs w:val="16"/>
        </w:rPr>
        <w:t>[…]”.</w:t>
      </w:r>
    </w:p>
  </w:footnote>
  <w:footnote w:id="27">
    <w:p w14:paraId="43C1CA18" w14:textId="77777777" w:rsidR="007B6D52" w:rsidRPr="000C46E7" w:rsidRDefault="007B6D52" w:rsidP="008363F8">
      <w:pPr>
        <w:pStyle w:val="Textonotapie"/>
        <w:ind w:firstLine="709"/>
        <w:contextualSpacing/>
        <w:jc w:val="both"/>
        <w:rPr>
          <w:rFonts w:ascii="Verdana" w:hAnsi="Verdana" w:cs="Arial"/>
          <w:sz w:val="16"/>
          <w:szCs w:val="16"/>
        </w:rPr>
      </w:pPr>
      <w:r w:rsidRPr="000C46E7">
        <w:rPr>
          <w:rFonts w:ascii="Verdana" w:hAnsi="Verdana"/>
          <w:sz w:val="16"/>
          <w:szCs w:val="16"/>
          <w:vertAlign w:val="superscript"/>
        </w:rPr>
        <w:footnoteRef/>
      </w:r>
      <w:r w:rsidRPr="000C46E7">
        <w:rPr>
          <w:rFonts w:ascii="Verdana" w:hAnsi="Verdana" w:cs="Arial"/>
          <w:sz w:val="16"/>
          <w:szCs w:val="16"/>
          <w:vertAlign w:val="superscript"/>
        </w:rPr>
        <w:t xml:space="preserve"> </w:t>
      </w:r>
      <w:r w:rsidRPr="000C46E7">
        <w:rPr>
          <w:rFonts w:ascii="Verdana" w:hAnsi="Verdana" w:cs="Arial"/>
          <w:sz w:val="16"/>
          <w:szCs w:val="16"/>
        </w:rPr>
        <w:t>Código Civil: “Artículo 27. Cuando el sentido de la ley sea claro, no se desatenderá su tenor a pretexto de consultar su espíritu”.</w:t>
      </w:r>
    </w:p>
  </w:footnote>
  <w:footnote w:id="28">
    <w:p w14:paraId="7C72D41B" w14:textId="77777777" w:rsidR="007B6D52" w:rsidRPr="000C46E7" w:rsidRDefault="007B6D52" w:rsidP="008363F8">
      <w:pPr>
        <w:pStyle w:val="Textonotapie"/>
        <w:ind w:firstLine="709"/>
        <w:contextualSpacing/>
        <w:jc w:val="both"/>
        <w:rPr>
          <w:rFonts w:ascii="Verdana" w:hAnsi="Verdana"/>
          <w:sz w:val="16"/>
          <w:szCs w:val="16"/>
          <w:lang w:val="es-CO"/>
        </w:rPr>
      </w:pPr>
      <w:r w:rsidRPr="000C46E7">
        <w:rPr>
          <w:rStyle w:val="Refdenotaalpie"/>
          <w:rFonts w:ascii="Verdana" w:hAnsi="Verdana"/>
          <w:sz w:val="16"/>
          <w:szCs w:val="16"/>
        </w:rPr>
        <w:footnoteRef/>
      </w:r>
      <w:r w:rsidRPr="000C46E7">
        <w:rPr>
          <w:rFonts w:ascii="Verdana" w:hAnsi="Verdana"/>
          <w:sz w:val="16"/>
          <w:szCs w:val="16"/>
          <w:lang w:val="es-CO"/>
        </w:rPr>
        <w:t xml:space="preserve"> Consejo de Estado, Sección Tercera. Auto del 4 de octubre de 2024. Exp. 70.313. C.P: Fredy Ibarra Martínez.</w:t>
      </w:r>
    </w:p>
  </w:footnote>
  <w:footnote w:id="29">
    <w:p w14:paraId="5C400465" w14:textId="77777777" w:rsidR="007B6D52" w:rsidRPr="000C46E7" w:rsidRDefault="007B6D52" w:rsidP="008363F8">
      <w:pPr>
        <w:pStyle w:val="Textonotapie"/>
        <w:ind w:firstLine="709"/>
        <w:contextualSpacing/>
        <w:jc w:val="both"/>
        <w:rPr>
          <w:rFonts w:ascii="Verdana" w:hAnsi="Verdana"/>
          <w:sz w:val="16"/>
          <w:szCs w:val="16"/>
          <w:lang w:val="es-CO"/>
        </w:rPr>
      </w:pPr>
      <w:r w:rsidRPr="000C46E7">
        <w:rPr>
          <w:rStyle w:val="Refdenotaalpie"/>
          <w:rFonts w:ascii="Verdana" w:hAnsi="Verdana"/>
          <w:sz w:val="16"/>
          <w:szCs w:val="16"/>
        </w:rPr>
        <w:footnoteRef/>
      </w:r>
      <w:r w:rsidRPr="000C46E7">
        <w:rPr>
          <w:rFonts w:ascii="Verdana" w:hAnsi="Verdana"/>
          <w:sz w:val="16"/>
          <w:szCs w:val="16"/>
        </w:rPr>
        <w:t xml:space="preserve"> La parte resolutiva del auto dispone lo siguiente; “</w:t>
      </w:r>
      <w:r w:rsidRPr="000C46E7">
        <w:rPr>
          <w:rFonts w:ascii="Verdana" w:hAnsi="Verdana"/>
          <w:b/>
          <w:sz w:val="16"/>
          <w:szCs w:val="16"/>
          <w:lang w:val="es-CO"/>
        </w:rPr>
        <w:t xml:space="preserve">PRIMERO: DECRETAR </w:t>
      </w:r>
      <w:r w:rsidRPr="000C46E7">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0C46E7">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0C46E7">
        <w:rPr>
          <w:rFonts w:ascii="Verdana" w:hAnsi="Verdana"/>
          <w:sz w:val="16"/>
          <w:szCs w:val="16"/>
          <w:lang w:val="es-CO"/>
        </w:rPr>
        <w:t xml:space="preserve">, por las razones expuestas en precedencia. </w:t>
      </w:r>
    </w:p>
    <w:p w14:paraId="1EF588CF" w14:textId="77777777" w:rsidR="007B6D52" w:rsidRPr="000C46E7" w:rsidRDefault="007B6D52" w:rsidP="008363F8">
      <w:pPr>
        <w:pStyle w:val="Textonotapie"/>
        <w:ind w:firstLine="709"/>
        <w:contextualSpacing/>
        <w:jc w:val="both"/>
        <w:rPr>
          <w:rFonts w:ascii="Verdana" w:hAnsi="Verdana"/>
          <w:sz w:val="16"/>
          <w:szCs w:val="16"/>
          <w:lang w:val="es-CO"/>
        </w:rPr>
      </w:pPr>
      <w:r w:rsidRPr="000C46E7">
        <w:rPr>
          <w:rFonts w:ascii="Verdana" w:hAnsi="Verdana"/>
          <w:b/>
          <w:sz w:val="16"/>
          <w:szCs w:val="16"/>
          <w:lang w:val="es-CO"/>
        </w:rPr>
        <w:t xml:space="preserve">SEGUNDO: DECRETAR </w:t>
      </w:r>
      <w:r w:rsidRPr="000C46E7">
        <w:rPr>
          <w:rFonts w:ascii="Verdana" w:hAnsi="Verdana"/>
          <w:sz w:val="16"/>
          <w:szCs w:val="16"/>
          <w:lang w:val="es-CO"/>
        </w:rPr>
        <w:t>la suspensión provisional de la expresión “</w:t>
      </w:r>
      <w:r w:rsidRPr="000C46E7">
        <w:rPr>
          <w:rFonts w:ascii="Verdana" w:hAnsi="Verdana"/>
          <w:i/>
          <w:sz w:val="16"/>
          <w:szCs w:val="16"/>
          <w:lang w:val="es-CO"/>
        </w:rPr>
        <w:t>contratos</w:t>
      </w:r>
      <w:r w:rsidRPr="000C46E7">
        <w:rPr>
          <w:rFonts w:ascii="Verdana" w:hAnsi="Verdana"/>
          <w:sz w:val="16"/>
          <w:szCs w:val="16"/>
          <w:lang w:val="es-CO"/>
        </w:rPr>
        <w:t xml:space="preserve">” y del párrafo </w:t>
      </w:r>
      <w:r w:rsidRPr="000C46E7">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0C46E7">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30">
    <w:p w14:paraId="4C8E392D" w14:textId="77777777" w:rsidR="007B6D52" w:rsidRPr="000C46E7" w:rsidRDefault="007B6D52" w:rsidP="008363F8">
      <w:pPr>
        <w:spacing w:after="0" w:line="240" w:lineRule="auto"/>
        <w:ind w:firstLine="709"/>
        <w:contextualSpacing/>
        <w:jc w:val="both"/>
        <w:rPr>
          <w:rFonts w:ascii="Verdana" w:eastAsia="Times New Roman" w:hAnsi="Verdana" w:cs="Times New Roman"/>
          <w:sz w:val="16"/>
          <w:szCs w:val="16"/>
          <w:lang w:eastAsia="es-ES"/>
        </w:rPr>
      </w:pPr>
      <w:r w:rsidRPr="000C46E7">
        <w:rPr>
          <w:rStyle w:val="Refdenotaalpie"/>
          <w:rFonts w:ascii="Verdana" w:hAnsi="Verdana"/>
          <w:sz w:val="16"/>
          <w:szCs w:val="16"/>
        </w:rPr>
        <w:footnoteRef/>
      </w:r>
      <w:r w:rsidRPr="000C46E7">
        <w:rPr>
          <w:rFonts w:ascii="Verdana" w:hAnsi="Verdana"/>
          <w:sz w:val="16"/>
          <w:szCs w:val="16"/>
        </w:rPr>
        <w:t xml:space="preserve"> </w:t>
      </w:r>
      <w:r w:rsidRPr="000C46E7">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0C46E7">
        <w:rPr>
          <w:rFonts w:ascii="Verdana" w:hAnsi="Verdana"/>
          <w:sz w:val="16"/>
          <w:szCs w:val="16"/>
        </w:rPr>
        <w:t xml:space="preserve">La parte de la providencia señala: </w:t>
      </w:r>
      <w:r w:rsidRPr="000C46E7">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31">
    <w:p w14:paraId="0734543C" w14:textId="77777777" w:rsidR="007B6D52" w:rsidRPr="000C46E7" w:rsidRDefault="007B6D52" w:rsidP="008363F8">
      <w:pPr>
        <w:pStyle w:val="Textonotapie"/>
        <w:ind w:firstLine="709"/>
        <w:contextualSpacing/>
        <w:jc w:val="both"/>
        <w:rPr>
          <w:rFonts w:ascii="Verdana" w:hAnsi="Verdana"/>
          <w:sz w:val="16"/>
          <w:szCs w:val="16"/>
          <w:lang w:val="es-CO"/>
        </w:rPr>
      </w:pPr>
      <w:r w:rsidRPr="000C46E7">
        <w:rPr>
          <w:rStyle w:val="Refdenotaalpie"/>
          <w:rFonts w:ascii="Verdana" w:hAnsi="Verdana"/>
          <w:sz w:val="16"/>
          <w:szCs w:val="16"/>
        </w:rPr>
        <w:footnoteRef/>
      </w:r>
      <w:r w:rsidRPr="000C46E7">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32">
    <w:p w14:paraId="7D902FF3" w14:textId="77777777" w:rsidR="007B6D52" w:rsidRPr="000C46E7" w:rsidRDefault="007B6D52" w:rsidP="008363F8">
      <w:pPr>
        <w:pStyle w:val="Textonotapie"/>
        <w:ind w:firstLine="709"/>
        <w:contextualSpacing/>
        <w:jc w:val="both"/>
        <w:rPr>
          <w:rFonts w:ascii="Verdana" w:hAnsi="Verdana" w:cs="Arial"/>
          <w:sz w:val="16"/>
          <w:szCs w:val="16"/>
        </w:rPr>
      </w:pPr>
      <w:r w:rsidRPr="000C46E7">
        <w:rPr>
          <w:rStyle w:val="Refdenotaalpie"/>
          <w:rFonts w:ascii="Verdana" w:hAnsi="Verdana" w:cs="Arial"/>
          <w:sz w:val="16"/>
          <w:szCs w:val="16"/>
        </w:rPr>
        <w:footnoteRef/>
      </w:r>
      <w:r w:rsidRPr="000C46E7">
        <w:rPr>
          <w:rFonts w:ascii="Verdana" w:hAnsi="Verdana" w:cs="Arial"/>
          <w:sz w:val="16"/>
          <w:szCs w:val="16"/>
        </w:rPr>
        <w:t xml:space="preserve"> Consejo de Estado. Sala de Consulta y Servicio Civil. Concepto del 15 de noviembre de 2007. Expediente número 1863. Consejero Ponente: Luis Fernando Álvarez Jaramillo.</w:t>
      </w:r>
    </w:p>
  </w:footnote>
  <w:footnote w:id="33">
    <w:p w14:paraId="5168AE13" w14:textId="0C14FC89" w:rsidR="004C602E" w:rsidRPr="00317C08" w:rsidRDefault="004C602E" w:rsidP="008363F8">
      <w:pPr>
        <w:pStyle w:val="Textonotapie"/>
        <w:ind w:firstLine="708"/>
        <w:contextualSpacing/>
        <w:jc w:val="both"/>
        <w:rPr>
          <w:rFonts w:ascii="Verdana" w:hAnsi="Verdana"/>
          <w:sz w:val="16"/>
          <w:szCs w:val="16"/>
          <w:lang w:val="es-CO"/>
        </w:rPr>
      </w:pPr>
      <w:r w:rsidRPr="00317C08">
        <w:rPr>
          <w:rStyle w:val="Refdenotaalpie"/>
          <w:rFonts w:ascii="Verdana" w:hAnsi="Verdana"/>
          <w:sz w:val="16"/>
          <w:szCs w:val="16"/>
        </w:rPr>
        <w:footnoteRef/>
      </w:r>
      <w:r w:rsidRPr="00317C08">
        <w:rPr>
          <w:rFonts w:ascii="Verdana" w:hAnsi="Verdana"/>
          <w:sz w:val="16"/>
          <w:szCs w:val="16"/>
        </w:rPr>
        <w:t xml:space="preserve"> </w:t>
      </w:r>
      <w:r w:rsidR="00317C08" w:rsidRPr="00317C08">
        <w:rPr>
          <w:rFonts w:ascii="Verdana" w:hAnsi="Verdana" w:cs="Arial"/>
          <w:sz w:val="16"/>
          <w:szCs w:val="16"/>
        </w:rPr>
        <w:t>Al respecto, la jurisprudencia explica que “Entre las características esenciales (art. 1501 C.C.) que […] delimitan la institución, y la identifican como una relación jurídica de tenencia, se hallan las de corresponder a un negocio real, porque no se perfecciona sino por virtud de la entrega (no tanto la tradición, en sentido técnico)  de la cosa sobre la cual versa (arts. 1500 y 2200 C.C), carácter que se explica por cuanto la obligación fundamental, consiste en la restitución de la cosa por parte del comodatario al comodante; es, asimismo, una convención sustancialmente gratuita o de beneficencia</w:t>
      </w:r>
      <w:r w:rsidR="00317C08" w:rsidRPr="00317C08">
        <w:rPr>
          <w:rFonts w:ascii="Verdana" w:hAnsi="Verdana" w:cs="Arial"/>
          <w:sz w:val="16"/>
          <w:szCs w:val="16"/>
          <w:lang w:val="es-ES"/>
        </w:rPr>
        <w:t xml:space="preserve"> </w:t>
      </w:r>
      <w:r w:rsidR="00317C08" w:rsidRPr="00317C08">
        <w:rPr>
          <w:rFonts w:ascii="Verdana" w:hAnsi="Verdana" w:cs="Arial"/>
          <w:sz w:val="16"/>
          <w:szCs w:val="16"/>
        </w:rPr>
        <w:t>(arts. 1497 y 2200 C.C.), cuyo objeto es la utilidad de una de las partes, el prestatario o comodatario; se trata de un acto jurídico de naturaleza unilateral, en principio, porque sólo genera una obligación que grava a uno de los contratantes, esto es, la obligación de restituir la cosa, radicada en cabeza del comodatario; es un contrato principal, en la medida que ‘no requiere de algún otro para nacer a la vida jurídica’ ; y, finalmente, es convenio nominado y típico, pues tiene enunciación y regulación legal” (CORTE SUPREMA DE JUSTICIA. Sala de Casación Civil. Sentencia del 23 de mayo de 2018. Exp. 76001310301220080040401. M.P. Luis Armando Tolosa Villabona).</w:t>
      </w:r>
    </w:p>
  </w:footnote>
  <w:footnote w:id="34">
    <w:p w14:paraId="75B3CC53" w14:textId="7A4C2338" w:rsidR="00303E1A" w:rsidRPr="00303E1A" w:rsidRDefault="003C3334" w:rsidP="00303E1A">
      <w:pPr>
        <w:pStyle w:val="Textonotapie"/>
        <w:ind w:firstLine="708"/>
        <w:contextualSpacing/>
        <w:jc w:val="both"/>
        <w:rPr>
          <w:rFonts w:ascii="Verdana" w:hAnsi="Verdana" w:cs="Arial"/>
          <w:sz w:val="16"/>
          <w:szCs w:val="16"/>
          <w:lang w:val="es-CO"/>
        </w:rPr>
      </w:pPr>
      <w:r w:rsidRPr="00303E1A">
        <w:rPr>
          <w:rStyle w:val="Refdenotaalpie"/>
          <w:rFonts w:ascii="Verdana" w:hAnsi="Verdana"/>
          <w:sz w:val="16"/>
          <w:szCs w:val="16"/>
        </w:rPr>
        <w:footnoteRef/>
      </w:r>
      <w:r w:rsidRPr="00303E1A">
        <w:rPr>
          <w:rFonts w:ascii="Verdana" w:hAnsi="Verdana"/>
          <w:sz w:val="16"/>
          <w:szCs w:val="16"/>
        </w:rPr>
        <w:t xml:space="preserve"> </w:t>
      </w:r>
      <w:bookmarkStart w:id="1" w:name="2205"/>
      <w:r w:rsidR="00303E1A" w:rsidRPr="00303E1A">
        <w:rPr>
          <w:rFonts w:ascii="Verdana" w:hAnsi="Verdana" w:cs="Arial"/>
          <w:sz w:val="16"/>
          <w:szCs w:val="16"/>
        </w:rPr>
        <w:t>“</w:t>
      </w:r>
      <w:r w:rsidR="00303E1A" w:rsidRPr="00303E1A">
        <w:rPr>
          <w:rFonts w:ascii="Verdana" w:hAnsi="Verdana" w:cs="Arial"/>
          <w:sz w:val="16"/>
          <w:szCs w:val="16"/>
          <w:lang w:val="es-CO"/>
        </w:rPr>
        <w:t>ARTÍCULO 2205. &lt;TERMINO PARA LA RESTITUCION DE LA COSA PRESTADA&gt;.</w:t>
      </w:r>
      <w:bookmarkEnd w:id="1"/>
      <w:r w:rsidR="00303E1A" w:rsidRPr="00303E1A">
        <w:rPr>
          <w:rFonts w:ascii="Verdana" w:hAnsi="Verdana" w:cs="Arial"/>
          <w:sz w:val="16"/>
          <w:szCs w:val="16"/>
          <w:lang w:val="es-CO"/>
        </w:rPr>
        <w:t> El comodatario es obligado a restituir la cosa prestada en el tiempo convenido, o a falta de convención, después del uso para qué ha sido prestada.</w:t>
      </w:r>
    </w:p>
    <w:p w14:paraId="0DB289F6" w14:textId="77777777" w:rsidR="00303E1A" w:rsidRPr="00303E1A" w:rsidRDefault="00303E1A" w:rsidP="00303E1A">
      <w:pPr>
        <w:pStyle w:val="Textonotapie"/>
        <w:contextualSpacing/>
        <w:jc w:val="both"/>
        <w:rPr>
          <w:rFonts w:ascii="Verdana" w:hAnsi="Verdana" w:cs="Arial"/>
          <w:sz w:val="16"/>
          <w:szCs w:val="16"/>
          <w:lang w:val="es-CO"/>
        </w:rPr>
      </w:pPr>
      <w:r w:rsidRPr="00303E1A">
        <w:rPr>
          <w:rFonts w:ascii="Verdana" w:hAnsi="Verdana" w:cs="Arial"/>
          <w:sz w:val="16"/>
          <w:szCs w:val="16"/>
          <w:lang w:val="es-CO"/>
        </w:rPr>
        <w:t>Pero podrá exigirse la restitución aún antes del tiempo estipulado en tres casos:</w:t>
      </w:r>
    </w:p>
    <w:p w14:paraId="156354F2" w14:textId="77777777" w:rsidR="00303E1A" w:rsidRPr="00303E1A" w:rsidRDefault="00303E1A" w:rsidP="00303E1A">
      <w:pPr>
        <w:pStyle w:val="Textonotapie"/>
        <w:ind w:firstLine="708"/>
        <w:contextualSpacing/>
        <w:jc w:val="both"/>
        <w:rPr>
          <w:rFonts w:ascii="Verdana" w:hAnsi="Verdana" w:cs="Arial"/>
          <w:sz w:val="16"/>
          <w:szCs w:val="16"/>
          <w:lang w:val="es-CO"/>
        </w:rPr>
      </w:pPr>
      <w:r w:rsidRPr="00303E1A">
        <w:rPr>
          <w:rFonts w:ascii="Verdana" w:hAnsi="Verdana" w:cs="Arial"/>
          <w:sz w:val="16"/>
          <w:szCs w:val="16"/>
          <w:lang w:val="es-CO"/>
        </w:rPr>
        <w:t>1. Si muere el comodatario, a menos que la cosa haya sido prestada para un servicio particular que no pueda diferirse o suspenderse.</w:t>
      </w:r>
    </w:p>
    <w:p w14:paraId="1EBE92B2" w14:textId="77777777" w:rsidR="00303E1A" w:rsidRPr="00303E1A" w:rsidRDefault="00303E1A" w:rsidP="00303E1A">
      <w:pPr>
        <w:pStyle w:val="Textonotapie"/>
        <w:ind w:firstLine="708"/>
        <w:contextualSpacing/>
        <w:jc w:val="both"/>
        <w:rPr>
          <w:rFonts w:ascii="Verdana" w:hAnsi="Verdana" w:cs="Arial"/>
          <w:sz w:val="16"/>
          <w:szCs w:val="16"/>
          <w:lang w:val="es-CO"/>
        </w:rPr>
      </w:pPr>
      <w:r w:rsidRPr="00303E1A">
        <w:rPr>
          <w:rFonts w:ascii="Verdana" w:hAnsi="Verdana" w:cs="Arial"/>
          <w:sz w:val="16"/>
          <w:szCs w:val="16"/>
          <w:lang w:val="es-CO"/>
        </w:rPr>
        <w:t>2. Si sobreviene al comodante una necesidad imprevista y urgente de la cosa.</w:t>
      </w:r>
    </w:p>
    <w:p w14:paraId="5EC50935" w14:textId="5FA459DD" w:rsidR="003C3334" w:rsidRPr="00303E1A" w:rsidRDefault="00303E1A" w:rsidP="008363F8">
      <w:pPr>
        <w:pStyle w:val="Textonotapie"/>
        <w:ind w:firstLine="708"/>
        <w:contextualSpacing/>
        <w:jc w:val="both"/>
        <w:rPr>
          <w:rFonts w:ascii="Verdana" w:hAnsi="Verdana"/>
          <w:sz w:val="16"/>
          <w:szCs w:val="16"/>
          <w:lang w:val="es-CO"/>
        </w:rPr>
      </w:pPr>
      <w:r w:rsidRPr="00303E1A">
        <w:rPr>
          <w:rFonts w:ascii="Verdana" w:hAnsi="Verdana" w:cs="Arial"/>
          <w:sz w:val="16"/>
          <w:szCs w:val="16"/>
          <w:lang w:val="es-CO"/>
        </w:rPr>
        <w:t>3. Si ha terminado o no tiene lugar el servicio para el cual se ha prestado la cosa</w:t>
      </w:r>
      <w:r w:rsidRPr="00303E1A">
        <w:rPr>
          <w:rFonts w:ascii="Verdana" w:hAnsi="Verdana" w:cs="Arial"/>
          <w:sz w:val="16"/>
          <w:szCs w:val="16"/>
        </w:rPr>
        <w:t>”.</w:t>
      </w:r>
    </w:p>
  </w:footnote>
  <w:footnote w:id="35">
    <w:p w14:paraId="4B34EB37" w14:textId="77777777" w:rsidR="00A654EF" w:rsidRPr="00A654EF" w:rsidRDefault="00F52B40" w:rsidP="00A654EF">
      <w:pPr>
        <w:pStyle w:val="Textonotapie"/>
        <w:ind w:firstLine="708"/>
        <w:contextualSpacing/>
        <w:jc w:val="both"/>
        <w:rPr>
          <w:rFonts w:ascii="Verdana" w:hAnsi="Verdana" w:cs="Arial"/>
          <w:sz w:val="16"/>
          <w:szCs w:val="16"/>
          <w:lang w:val="es-CO"/>
        </w:rPr>
      </w:pPr>
      <w:r w:rsidRPr="00A654EF">
        <w:rPr>
          <w:rStyle w:val="Refdenotaalpie"/>
          <w:rFonts w:ascii="Verdana" w:hAnsi="Verdana"/>
          <w:sz w:val="16"/>
          <w:szCs w:val="16"/>
        </w:rPr>
        <w:footnoteRef/>
      </w:r>
      <w:r w:rsidRPr="00A654EF">
        <w:rPr>
          <w:rFonts w:ascii="Verdana" w:hAnsi="Verdana"/>
          <w:sz w:val="16"/>
          <w:szCs w:val="16"/>
        </w:rPr>
        <w:t xml:space="preserve"> </w:t>
      </w:r>
      <w:bookmarkStart w:id="2" w:name="2202"/>
      <w:r w:rsidR="00A654EF" w:rsidRPr="00A654EF">
        <w:rPr>
          <w:rFonts w:ascii="Verdana" w:hAnsi="Verdana" w:cs="Arial"/>
          <w:sz w:val="16"/>
          <w:szCs w:val="16"/>
        </w:rPr>
        <w:t>“</w:t>
      </w:r>
      <w:r w:rsidR="00A654EF" w:rsidRPr="00A654EF">
        <w:rPr>
          <w:rFonts w:ascii="Verdana" w:hAnsi="Verdana" w:cs="Arial"/>
          <w:sz w:val="16"/>
          <w:szCs w:val="16"/>
          <w:lang w:val="es-CO"/>
        </w:rPr>
        <w:t>ARTÍCULO 2202. &lt;LIMITACIONES DEL COMODATARIO&gt;.</w:t>
      </w:r>
      <w:bookmarkEnd w:id="2"/>
      <w:r w:rsidR="00A654EF" w:rsidRPr="00A654EF">
        <w:rPr>
          <w:rFonts w:ascii="Verdana" w:hAnsi="Verdana" w:cs="Arial"/>
          <w:sz w:val="16"/>
          <w:szCs w:val="16"/>
          <w:lang w:val="es-CO"/>
        </w:rPr>
        <w:t> El comodatario no puede emplear la cosa sino en el uso convenido, o falta de convención en el uso ordinario de las de su clase.</w:t>
      </w:r>
    </w:p>
    <w:p w14:paraId="791F8478" w14:textId="4BE44D8B" w:rsidR="00F52B40" w:rsidRPr="00A654EF" w:rsidRDefault="00A654EF" w:rsidP="008363F8">
      <w:pPr>
        <w:pStyle w:val="Textonotapie"/>
        <w:ind w:firstLine="708"/>
        <w:contextualSpacing/>
        <w:jc w:val="both"/>
        <w:rPr>
          <w:rFonts w:ascii="Verdana" w:hAnsi="Verdana"/>
          <w:sz w:val="16"/>
          <w:szCs w:val="16"/>
          <w:lang w:val="es-CO"/>
        </w:rPr>
      </w:pPr>
      <w:r w:rsidRPr="00A654EF">
        <w:rPr>
          <w:rFonts w:ascii="Verdana" w:hAnsi="Verdana" w:cs="Arial"/>
          <w:sz w:val="16"/>
          <w:szCs w:val="16"/>
          <w:lang w:val="es-CO"/>
        </w:rPr>
        <w:t>En el caso de contravención podrá el comodante exigir la reparación de todo perjuicio, y la restitución inmediata, aún cuando para la restitución se haya estipulado plazo</w:t>
      </w:r>
      <w:r w:rsidRPr="00A654EF">
        <w:rPr>
          <w:rFonts w:ascii="Verdana" w:hAnsi="Verdana" w:cs="Arial"/>
          <w:sz w:val="16"/>
          <w:szCs w:val="16"/>
        </w:rPr>
        <w:t>”.</w:t>
      </w:r>
    </w:p>
  </w:footnote>
  <w:footnote w:id="36">
    <w:p w14:paraId="331DA294" w14:textId="357AD500" w:rsidR="00AB6E1C" w:rsidRPr="00650ED7" w:rsidRDefault="00AB6E1C" w:rsidP="008363F8">
      <w:pPr>
        <w:pStyle w:val="Textonotapie"/>
        <w:ind w:firstLine="708"/>
        <w:contextualSpacing/>
        <w:jc w:val="both"/>
        <w:rPr>
          <w:rFonts w:ascii="Verdana" w:hAnsi="Verdana"/>
          <w:sz w:val="16"/>
          <w:szCs w:val="16"/>
        </w:rPr>
      </w:pPr>
      <w:r w:rsidRPr="00650ED7">
        <w:rPr>
          <w:rStyle w:val="Refdenotaalpie"/>
          <w:rFonts w:ascii="Verdana" w:hAnsi="Verdana"/>
          <w:sz w:val="16"/>
          <w:szCs w:val="16"/>
        </w:rPr>
        <w:footnoteRef/>
      </w:r>
      <w:r w:rsidRPr="00650ED7">
        <w:rPr>
          <w:rFonts w:ascii="Verdana" w:hAnsi="Verdana"/>
          <w:sz w:val="16"/>
          <w:szCs w:val="16"/>
        </w:rPr>
        <w:t xml:space="preserve"> </w:t>
      </w:r>
      <w:r w:rsidR="00650ED7" w:rsidRPr="00650ED7">
        <w:rPr>
          <w:rFonts w:ascii="Verdana" w:hAnsi="Verdana" w:cs="Arial"/>
          <w:sz w:val="16"/>
          <w:szCs w:val="16"/>
        </w:rPr>
        <w:t>CONSEJO DE ESTADO. Sala de Consulta y Servicio Civil. Concepto del 24 de julio de 2003. Radicación 1.510. C.P. Susana Montes de Echeverri. En torno a este tema, se han desarrollado los siguientes pronunciamientos: Conceptos Nos. 726/95; 994/97; 1017/97;1077/98; 1129/98.</w:t>
      </w:r>
    </w:p>
  </w:footnote>
  <w:footnote w:id="37">
    <w:p w14:paraId="42F2B74C" w14:textId="77777777" w:rsidR="00E90149" w:rsidRPr="008363F8" w:rsidRDefault="00E90149" w:rsidP="008363F8">
      <w:pPr>
        <w:pBdr>
          <w:top w:val="nil"/>
          <w:left w:val="nil"/>
          <w:bottom w:val="nil"/>
          <w:right w:val="nil"/>
          <w:between w:val="nil"/>
        </w:pBdr>
        <w:spacing w:after="0" w:line="240" w:lineRule="auto"/>
        <w:ind w:firstLine="709"/>
        <w:contextualSpacing/>
        <w:jc w:val="both"/>
        <w:rPr>
          <w:rFonts w:ascii="Verdana" w:eastAsia="Cambria" w:hAnsi="Verdana" w:cs="Arial"/>
          <w:color w:val="000000" w:themeColor="text1"/>
          <w:sz w:val="16"/>
          <w:szCs w:val="16"/>
        </w:rPr>
      </w:pPr>
      <w:r w:rsidRPr="008363F8">
        <w:rPr>
          <w:rStyle w:val="Refdenotaalpie"/>
          <w:rFonts w:ascii="Verdana" w:hAnsi="Verdana"/>
          <w:color w:val="000000" w:themeColor="text1"/>
          <w:sz w:val="16"/>
          <w:szCs w:val="16"/>
        </w:rPr>
        <w:footnoteRef/>
      </w:r>
      <w:r w:rsidRPr="008363F8">
        <w:rPr>
          <w:rFonts w:ascii="Verdana" w:eastAsia="Cambria" w:hAnsi="Verdana" w:cs="Arial"/>
          <w:color w:val="000000" w:themeColor="text1"/>
          <w:sz w:val="16"/>
          <w:szCs w:val="16"/>
        </w:rPr>
        <w:t xml:space="preserve"> Código Civil: </w:t>
      </w:r>
      <w:r w:rsidRPr="008363F8">
        <w:rPr>
          <w:rFonts w:ascii="Verdana" w:eastAsia="Arial" w:hAnsi="Verdana" w:cs="Arial"/>
          <w:color w:val="000000" w:themeColor="text1"/>
          <w:sz w:val="16"/>
          <w:szCs w:val="16"/>
        </w:rPr>
        <w:t>«</w:t>
      </w:r>
      <w:r w:rsidRPr="008363F8">
        <w:rPr>
          <w:rFonts w:ascii="Verdana" w:eastAsia="Cambria" w:hAnsi="Verdana" w:cs="Arial"/>
          <w:color w:val="000000" w:themeColor="text1"/>
          <w:sz w:val="16"/>
          <w:szCs w:val="16"/>
        </w:rPr>
        <w:t>Articulo 2200. Definición y perfeccionamiento del comodato o préstamo de uso. El comodato o préstamo de uso es un contrato en que la una de las partes entrega a la otra gratuitamente una especie mueble o raíz, para que haga uso de ella, y con cargo de restituir la misma especie después de terminar el uso.</w:t>
      </w:r>
    </w:p>
    <w:p w14:paraId="59478730" w14:textId="247BF521" w:rsidR="00E90149" w:rsidRPr="008363F8" w:rsidRDefault="00E90149" w:rsidP="008363F8">
      <w:pPr>
        <w:spacing w:after="0" w:line="240" w:lineRule="auto"/>
        <w:ind w:firstLine="709"/>
        <w:contextualSpacing/>
        <w:jc w:val="both"/>
        <w:rPr>
          <w:rFonts w:ascii="Verdana" w:hAnsi="Verdana" w:cs="Arial"/>
          <w:color w:val="000000" w:themeColor="text1"/>
          <w:sz w:val="16"/>
          <w:szCs w:val="16"/>
        </w:rPr>
      </w:pPr>
      <w:r w:rsidRPr="008363F8">
        <w:rPr>
          <w:rFonts w:ascii="Verdana" w:hAnsi="Verdana" w:cs="Arial"/>
          <w:color w:val="000000" w:themeColor="text1"/>
          <w:sz w:val="16"/>
          <w:szCs w:val="16"/>
        </w:rPr>
        <w:t>Este contrato no se perfecciona sino por la tradición de la cosa</w:t>
      </w:r>
      <w:r w:rsidRPr="008363F8">
        <w:rPr>
          <w:rFonts w:ascii="Verdana" w:eastAsia="Arial" w:hAnsi="Verdana" w:cs="Arial"/>
          <w:color w:val="000000" w:themeColor="text1"/>
          <w:sz w:val="16"/>
          <w:szCs w:val="16"/>
        </w:rPr>
        <w:t>»</w:t>
      </w:r>
      <w:r w:rsidRPr="008363F8">
        <w:rPr>
          <w:rFonts w:ascii="Verdana" w:hAnsi="Verdana" w:cs="Arial"/>
          <w:color w:val="000000" w:themeColor="text1"/>
          <w:sz w:val="16"/>
          <w:szCs w:val="16"/>
        </w:rPr>
        <w:t>.</w:t>
      </w:r>
    </w:p>
  </w:footnote>
  <w:footnote w:id="38">
    <w:p w14:paraId="0AFAFD4C" w14:textId="54DF30E7" w:rsidR="00E90149" w:rsidRPr="008363F8" w:rsidRDefault="00E90149" w:rsidP="008363F8">
      <w:pPr>
        <w:spacing w:after="0" w:line="240" w:lineRule="auto"/>
        <w:ind w:firstLine="709"/>
        <w:contextualSpacing/>
        <w:jc w:val="both"/>
        <w:rPr>
          <w:rFonts w:ascii="Verdana" w:hAnsi="Verdana" w:cs="Arial"/>
          <w:color w:val="000000" w:themeColor="text1"/>
          <w:sz w:val="16"/>
          <w:szCs w:val="16"/>
        </w:rPr>
      </w:pPr>
      <w:r w:rsidRPr="008363F8">
        <w:rPr>
          <w:rStyle w:val="Refdenotaalpie"/>
          <w:rFonts w:ascii="Verdana" w:hAnsi="Verdana"/>
          <w:color w:val="000000" w:themeColor="text1"/>
          <w:sz w:val="16"/>
          <w:szCs w:val="16"/>
        </w:rPr>
        <w:footnoteRef/>
      </w:r>
      <w:r w:rsidRPr="008363F8">
        <w:rPr>
          <w:rFonts w:ascii="Verdana" w:hAnsi="Verdana" w:cs="Arial"/>
          <w:color w:val="000000" w:themeColor="text1"/>
          <w:sz w:val="16"/>
          <w:szCs w:val="16"/>
        </w:rPr>
        <w:t xml:space="preserve"> Consejo de Estado. Sección Tercera. Subsección A. </w:t>
      </w:r>
      <w:r w:rsidRPr="008363F8">
        <w:rPr>
          <w:rFonts w:ascii="Verdana" w:eastAsia="Arial" w:hAnsi="Verdana" w:cs="Arial"/>
          <w:color w:val="000000" w:themeColor="text1"/>
          <w:sz w:val="16"/>
          <w:szCs w:val="16"/>
        </w:rPr>
        <w:t xml:space="preserve">Sentencia del </w:t>
      </w:r>
      <w:r w:rsidRPr="008363F8">
        <w:rPr>
          <w:rFonts w:ascii="Verdana" w:hAnsi="Verdana" w:cs="Arial"/>
          <w:color w:val="000000" w:themeColor="text1"/>
          <w:sz w:val="16"/>
          <w:szCs w:val="16"/>
        </w:rPr>
        <w:t>9 de abril de 2014. Radicación 85001- 23-31-000-2000-00178-01(23.040).</w:t>
      </w:r>
      <w:r w:rsidRPr="008363F8">
        <w:rPr>
          <w:rFonts w:ascii="Verdana" w:eastAsia="Arial" w:hAnsi="Verdana" w:cs="Arial"/>
          <w:color w:val="000000" w:themeColor="text1"/>
          <w:sz w:val="16"/>
          <w:szCs w:val="16"/>
        </w:rPr>
        <w:t xml:space="preserve"> C.P. Carlos Alberto Zambrano Barrera.</w:t>
      </w:r>
    </w:p>
  </w:footnote>
  <w:footnote w:id="39">
    <w:p w14:paraId="2168834C" w14:textId="77777777" w:rsidR="005E4FE2" w:rsidRPr="008363F8" w:rsidRDefault="005E4FE2" w:rsidP="008363F8">
      <w:pPr>
        <w:pStyle w:val="Textonotapie"/>
        <w:ind w:firstLine="709"/>
        <w:contextualSpacing/>
        <w:jc w:val="both"/>
        <w:rPr>
          <w:rFonts w:ascii="Verdana" w:hAnsi="Verdana" w:cs="Arial"/>
          <w:sz w:val="16"/>
          <w:szCs w:val="16"/>
        </w:rPr>
      </w:pPr>
      <w:r w:rsidRPr="008363F8">
        <w:rPr>
          <w:rStyle w:val="Refdenotaalpie"/>
          <w:rFonts w:ascii="Verdana" w:hAnsi="Verdana" w:cs="Arial"/>
          <w:sz w:val="16"/>
          <w:szCs w:val="16"/>
        </w:rPr>
        <w:footnoteRef/>
      </w:r>
      <w:r w:rsidRPr="008363F8">
        <w:rPr>
          <w:rFonts w:ascii="Verdana" w:hAnsi="Verdana" w:cs="Arial"/>
          <w:sz w:val="16"/>
          <w:szCs w:val="16"/>
        </w:rPr>
        <w:t xml:space="preserve"> CONSEJO DE ESTADO. Sala de Consulta y Servicio Civil. Concepto del 24 de julio de 2003. Radicación 1.510. C.P. Susana Montes de Echeverri. En torno a este tema, se han desarrollado los siguientes pronunciamientos: Conceptos Nos. 726/95; 994/97; 1017/97;1077/98; 1129/98.</w:t>
      </w:r>
    </w:p>
  </w:footnote>
  <w:footnote w:id="40">
    <w:p w14:paraId="4181B8F3" w14:textId="77777777" w:rsidR="005E4FE2" w:rsidRPr="008363F8" w:rsidRDefault="005E4FE2" w:rsidP="008363F8">
      <w:pPr>
        <w:pStyle w:val="Textonotapie"/>
        <w:ind w:firstLine="709"/>
        <w:contextualSpacing/>
        <w:jc w:val="both"/>
        <w:rPr>
          <w:rFonts w:ascii="Verdana" w:hAnsi="Verdana" w:cs="Arial"/>
          <w:sz w:val="16"/>
          <w:szCs w:val="16"/>
          <w:lang w:val="es-ES"/>
        </w:rPr>
      </w:pPr>
      <w:r w:rsidRPr="008363F8">
        <w:rPr>
          <w:rStyle w:val="Refdenotaalpie"/>
          <w:rFonts w:ascii="Verdana" w:hAnsi="Verdana" w:cs="Arial"/>
          <w:sz w:val="16"/>
          <w:szCs w:val="16"/>
        </w:rPr>
        <w:footnoteRef/>
      </w:r>
      <w:r w:rsidRPr="008363F8">
        <w:rPr>
          <w:rFonts w:ascii="Verdana" w:hAnsi="Verdana" w:cs="Arial"/>
          <w:sz w:val="16"/>
          <w:szCs w:val="16"/>
        </w:rPr>
        <w:t xml:space="preserve"> CORTE SUPREMA DE JUSTICIA. Sala de Casación Civil. Sentencia del 4 de agosto de 2008. Exp. 68001310300920000071001. M.P. Edgardo Villamil Portilla.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0"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1"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D2909C8"/>
    <w:multiLevelType w:val="hybridMultilevel"/>
    <w:tmpl w:val="FFFFFFFF"/>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88E5AE1"/>
    <w:multiLevelType w:val="hybridMultilevel"/>
    <w:tmpl w:val="98EAC2BA"/>
    <w:lvl w:ilvl="0" w:tplc="FFFFFFFF">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4856BAC"/>
    <w:multiLevelType w:val="hybridMultilevel"/>
    <w:tmpl w:val="FE269584"/>
    <w:lvl w:ilvl="0" w:tplc="A4C23EA4">
      <w:start w:val="1"/>
      <w:numFmt w:val="bullet"/>
      <w:lvlText w:val="-"/>
      <w:lvlJc w:val="left"/>
      <w:pPr>
        <w:tabs>
          <w:tab w:val="num" w:pos="720"/>
        </w:tabs>
        <w:ind w:left="720" w:hanging="360"/>
      </w:pPr>
      <w:rPr>
        <w:rFonts w:ascii="Times New Roman" w:eastAsia="Times New Roman" w:hAnsi="Times New Roman" w:cs="Times New Roman" w:hint="default"/>
      </w:rPr>
    </w:lvl>
    <w:lvl w:ilvl="1" w:tplc="240A000F">
      <w:start w:val="1"/>
      <w:numFmt w:val="decimal"/>
      <w:lvlText w:val="%2."/>
      <w:lvlJc w:val="left"/>
      <w:pPr>
        <w:tabs>
          <w:tab w:val="num" w:pos="1440"/>
        </w:tabs>
        <w:ind w:left="1440" w:hanging="360"/>
      </w:p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1"/>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6"/>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0"/>
  </w:num>
  <w:num w:numId="13" w16cid:durableId="1512908409">
    <w:abstractNumId w:val="4"/>
  </w:num>
  <w:num w:numId="14" w16cid:durableId="895897244">
    <w:abstractNumId w:val="17"/>
  </w:num>
  <w:num w:numId="15" w16cid:durableId="390349800">
    <w:abstractNumId w:val="13"/>
  </w:num>
  <w:num w:numId="16" w16cid:durableId="1266187003">
    <w:abstractNumId w:val="10"/>
  </w:num>
  <w:num w:numId="17" w16cid:durableId="1968314411">
    <w:abstractNumId w:val="2"/>
  </w:num>
  <w:num w:numId="18" w16cid:durableId="2079548773">
    <w:abstractNumId w:val="12"/>
  </w:num>
  <w:num w:numId="19" w16cid:durableId="1835561001">
    <w:abstractNumId w:val="3"/>
  </w:num>
  <w:num w:numId="20" w16cid:durableId="20647864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C0E"/>
    <w:rsid w:val="0000755E"/>
    <w:rsid w:val="000136EE"/>
    <w:rsid w:val="000147F9"/>
    <w:rsid w:val="00014E94"/>
    <w:rsid w:val="00016F78"/>
    <w:rsid w:val="00046945"/>
    <w:rsid w:val="000502BB"/>
    <w:rsid w:val="00051F86"/>
    <w:rsid w:val="0006183F"/>
    <w:rsid w:val="00061B2A"/>
    <w:rsid w:val="000640C8"/>
    <w:rsid w:val="00066C0C"/>
    <w:rsid w:val="00067E72"/>
    <w:rsid w:val="0007672B"/>
    <w:rsid w:val="00082362"/>
    <w:rsid w:val="000865BD"/>
    <w:rsid w:val="000927B8"/>
    <w:rsid w:val="000977D8"/>
    <w:rsid w:val="00097BDD"/>
    <w:rsid w:val="000A1034"/>
    <w:rsid w:val="000A2BF8"/>
    <w:rsid w:val="000A2E5B"/>
    <w:rsid w:val="000A683E"/>
    <w:rsid w:val="000B19B9"/>
    <w:rsid w:val="000B41AC"/>
    <w:rsid w:val="000C028D"/>
    <w:rsid w:val="000C1AD8"/>
    <w:rsid w:val="000C26E7"/>
    <w:rsid w:val="000C46E7"/>
    <w:rsid w:val="000D0334"/>
    <w:rsid w:val="000D5DA7"/>
    <w:rsid w:val="000E1414"/>
    <w:rsid w:val="000E2E4E"/>
    <w:rsid w:val="000E78BE"/>
    <w:rsid w:val="000F00B9"/>
    <w:rsid w:val="000F3401"/>
    <w:rsid w:val="000F6486"/>
    <w:rsid w:val="00103BED"/>
    <w:rsid w:val="00116940"/>
    <w:rsid w:val="00122A94"/>
    <w:rsid w:val="00123E75"/>
    <w:rsid w:val="00125105"/>
    <w:rsid w:val="00127233"/>
    <w:rsid w:val="00135AC0"/>
    <w:rsid w:val="00146C30"/>
    <w:rsid w:val="00146FFF"/>
    <w:rsid w:val="00150D38"/>
    <w:rsid w:val="00153CD2"/>
    <w:rsid w:val="0015699B"/>
    <w:rsid w:val="001730F7"/>
    <w:rsid w:val="001907CC"/>
    <w:rsid w:val="00191CE0"/>
    <w:rsid w:val="00191F4A"/>
    <w:rsid w:val="0019380B"/>
    <w:rsid w:val="001A33BF"/>
    <w:rsid w:val="001B62DD"/>
    <w:rsid w:val="001B66FD"/>
    <w:rsid w:val="001B7BE6"/>
    <w:rsid w:val="001C1052"/>
    <w:rsid w:val="001D037C"/>
    <w:rsid w:val="001D3AC9"/>
    <w:rsid w:val="001D3E81"/>
    <w:rsid w:val="001D6BE5"/>
    <w:rsid w:val="001D6F5D"/>
    <w:rsid w:val="001E4177"/>
    <w:rsid w:val="001F0896"/>
    <w:rsid w:val="001F0B24"/>
    <w:rsid w:val="001F7DC6"/>
    <w:rsid w:val="00202530"/>
    <w:rsid w:val="00204036"/>
    <w:rsid w:val="00215DF6"/>
    <w:rsid w:val="00220ED9"/>
    <w:rsid w:val="0022400B"/>
    <w:rsid w:val="00231677"/>
    <w:rsid w:val="00236A98"/>
    <w:rsid w:val="002421BB"/>
    <w:rsid w:val="00243CC6"/>
    <w:rsid w:val="00247F70"/>
    <w:rsid w:val="00250F74"/>
    <w:rsid w:val="00252B1C"/>
    <w:rsid w:val="0025796E"/>
    <w:rsid w:val="002707A2"/>
    <w:rsid w:val="002810E0"/>
    <w:rsid w:val="00292217"/>
    <w:rsid w:val="002951A0"/>
    <w:rsid w:val="002962BC"/>
    <w:rsid w:val="002A093D"/>
    <w:rsid w:val="002A0DD0"/>
    <w:rsid w:val="002A16A9"/>
    <w:rsid w:val="002A49AC"/>
    <w:rsid w:val="002A4A22"/>
    <w:rsid w:val="002A64FD"/>
    <w:rsid w:val="002B0EF3"/>
    <w:rsid w:val="002C7A84"/>
    <w:rsid w:val="002E2234"/>
    <w:rsid w:val="002E2BF8"/>
    <w:rsid w:val="002E4FD9"/>
    <w:rsid w:val="002F3ABB"/>
    <w:rsid w:val="002F76D7"/>
    <w:rsid w:val="00303E1A"/>
    <w:rsid w:val="00303E81"/>
    <w:rsid w:val="0030657A"/>
    <w:rsid w:val="00306D87"/>
    <w:rsid w:val="00317C08"/>
    <w:rsid w:val="00322A85"/>
    <w:rsid w:val="00324168"/>
    <w:rsid w:val="00325E04"/>
    <w:rsid w:val="00330834"/>
    <w:rsid w:val="00332F0A"/>
    <w:rsid w:val="003448F4"/>
    <w:rsid w:val="003455C7"/>
    <w:rsid w:val="00363BA3"/>
    <w:rsid w:val="00366FD1"/>
    <w:rsid w:val="003737B2"/>
    <w:rsid w:val="00374F5E"/>
    <w:rsid w:val="00377E3E"/>
    <w:rsid w:val="00387AC1"/>
    <w:rsid w:val="00395AE3"/>
    <w:rsid w:val="00397CAA"/>
    <w:rsid w:val="003A6A80"/>
    <w:rsid w:val="003A779E"/>
    <w:rsid w:val="003A796F"/>
    <w:rsid w:val="003B0C98"/>
    <w:rsid w:val="003B333A"/>
    <w:rsid w:val="003B45AB"/>
    <w:rsid w:val="003B7BB8"/>
    <w:rsid w:val="003C2317"/>
    <w:rsid w:val="003C3334"/>
    <w:rsid w:val="003D0F4D"/>
    <w:rsid w:val="003D5B0D"/>
    <w:rsid w:val="003E0499"/>
    <w:rsid w:val="003E18F1"/>
    <w:rsid w:val="003E4F80"/>
    <w:rsid w:val="003E6439"/>
    <w:rsid w:val="003F026B"/>
    <w:rsid w:val="003F3941"/>
    <w:rsid w:val="003F7C8F"/>
    <w:rsid w:val="004005B2"/>
    <w:rsid w:val="0040534B"/>
    <w:rsid w:val="00406575"/>
    <w:rsid w:val="00414C74"/>
    <w:rsid w:val="00415513"/>
    <w:rsid w:val="00416B5E"/>
    <w:rsid w:val="00421DD2"/>
    <w:rsid w:val="00426A93"/>
    <w:rsid w:val="0042722E"/>
    <w:rsid w:val="00432CA6"/>
    <w:rsid w:val="00434F6E"/>
    <w:rsid w:val="00440D73"/>
    <w:rsid w:val="0044528D"/>
    <w:rsid w:val="00451B6F"/>
    <w:rsid w:val="00466E39"/>
    <w:rsid w:val="00470915"/>
    <w:rsid w:val="004864B0"/>
    <w:rsid w:val="004971B9"/>
    <w:rsid w:val="004979E3"/>
    <w:rsid w:val="004A1847"/>
    <w:rsid w:val="004A305D"/>
    <w:rsid w:val="004C4CB9"/>
    <w:rsid w:val="004C602E"/>
    <w:rsid w:val="004C77E0"/>
    <w:rsid w:val="004D5902"/>
    <w:rsid w:val="004E08B8"/>
    <w:rsid w:val="004E6C47"/>
    <w:rsid w:val="004F21C4"/>
    <w:rsid w:val="004F685F"/>
    <w:rsid w:val="00502011"/>
    <w:rsid w:val="00512128"/>
    <w:rsid w:val="00516CF7"/>
    <w:rsid w:val="00530A41"/>
    <w:rsid w:val="005440D7"/>
    <w:rsid w:val="00550E96"/>
    <w:rsid w:val="005566E8"/>
    <w:rsid w:val="00557F5B"/>
    <w:rsid w:val="00564BC2"/>
    <w:rsid w:val="00574867"/>
    <w:rsid w:val="00575E94"/>
    <w:rsid w:val="00591460"/>
    <w:rsid w:val="00593915"/>
    <w:rsid w:val="005A65E0"/>
    <w:rsid w:val="005C0290"/>
    <w:rsid w:val="005C3554"/>
    <w:rsid w:val="005C3777"/>
    <w:rsid w:val="005C3CDD"/>
    <w:rsid w:val="005C5CDC"/>
    <w:rsid w:val="005D476C"/>
    <w:rsid w:val="005D5880"/>
    <w:rsid w:val="005D6D53"/>
    <w:rsid w:val="005E0145"/>
    <w:rsid w:val="005E39C9"/>
    <w:rsid w:val="005E4FE2"/>
    <w:rsid w:val="005F114D"/>
    <w:rsid w:val="005F3894"/>
    <w:rsid w:val="005F663B"/>
    <w:rsid w:val="006013C6"/>
    <w:rsid w:val="00605033"/>
    <w:rsid w:val="00605E0D"/>
    <w:rsid w:val="00610AA3"/>
    <w:rsid w:val="00612513"/>
    <w:rsid w:val="006159FF"/>
    <w:rsid w:val="0062004C"/>
    <w:rsid w:val="006200BF"/>
    <w:rsid w:val="006219F8"/>
    <w:rsid w:val="0062482C"/>
    <w:rsid w:val="00624880"/>
    <w:rsid w:val="0062667E"/>
    <w:rsid w:val="006302F7"/>
    <w:rsid w:val="0063394D"/>
    <w:rsid w:val="00635B46"/>
    <w:rsid w:val="00637A8F"/>
    <w:rsid w:val="00644009"/>
    <w:rsid w:val="00646B9F"/>
    <w:rsid w:val="006472E7"/>
    <w:rsid w:val="00650ED7"/>
    <w:rsid w:val="00653AD3"/>
    <w:rsid w:val="00663463"/>
    <w:rsid w:val="00665D70"/>
    <w:rsid w:val="00666422"/>
    <w:rsid w:val="00677349"/>
    <w:rsid w:val="006900D9"/>
    <w:rsid w:val="006968E6"/>
    <w:rsid w:val="006A1E53"/>
    <w:rsid w:val="006A25F4"/>
    <w:rsid w:val="006A2F49"/>
    <w:rsid w:val="006A30AE"/>
    <w:rsid w:val="006D2659"/>
    <w:rsid w:val="006F673D"/>
    <w:rsid w:val="00706C16"/>
    <w:rsid w:val="007119A0"/>
    <w:rsid w:val="007148B7"/>
    <w:rsid w:val="00716BA5"/>
    <w:rsid w:val="00724BE2"/>
    <w:rsid w:val="007340C3"/>
    <w:rsid w:val="007430A9"/>
    <w:rsid w:val="0075235A"/>
    <w:rsid w:val="00756841"/>
    <w:rsid w:val="007649AB"/>
    <w:rsid w:val="00771D0C"/>
    <w:rsid w:val="007723EF"/>
    <w:rsid w:val="0078132A"/>
    <w:rsid w:val="007833AC"/>
    <w:rsid w:val="00785C92"/>
    <w:rsid w:val="00792939"/>
    <w:rsid w:val="007A0FE8"/>
    <w:rsid w:val="007A562E"/>
    <w:rsid w:val="007A623C"/>
    <w:rsid w:val="007A7F35"/>
    <w:rsid w:val="007B19C1"/>
    <w:rsid w:val="007B268C"/>
    <w:rsid w:val="007B6C6A"/>
    <w:rsid w:val="007B6D52"/>
    <w:rsid w:val="007B7171"/>
    <w:rsid w:val="007C0C0F"/>
    <w:rsid w:val="007C129F"/>
    <w:rsid w:val="007C3DC2"/>
    <w:rsid w:val="007C7219"/>
    <w:rsid w:val="007E3832"/>
    <w:rsid w:val="007E5497"/>
    <w:rsid w:val="007E7B12"/>
    <w:rsid w:val="00806F5F"/>
    <w:rsid w:val="00810ADD"/>
    <w:rsid w:val="00816800"/>
    <w:rsid w:val="00817F87"/>
    <w:rsid w:val="00820278"/>
    <w:rsid w:val="0082074D"/>
    <w:rsid w:val="00823BA8"/>
    <w:rsid w:val="00823C09"/>
    <w:rsid w:val="008258C9"/>
    <w:rsid w:val="008346A1"/>
    <w:rsid w:val="008363F8"/>
    <w:rsid w:val="00844AE9"/>
    <w:rsid w:val="00867775"/>
    <w:rsid w:val="00867F95"/>
    <w:rsid w:val="00880CAB"/>
    <w:rsid w:val="00880ED4"/>
    <w:rsid w:val="0088315A"/>
    <w:rsid w:val="008843B6"/>
    <w:rsid w:val="00887931"/>
    <w:rsid w:val="00891928"/>
    <w:rsid w:val="00896090"/>
    <w:rsid w:val="008A2B9E"/>
    <w:rsid w:val="008A446D"/>
    <w:rsid w:val="008A5252"/>
    <w:rsid w:val="008A7AB0"/>
    <w:rsid w:val="008B25F1"/>
    <w:rsid w:val="008B2DB1"/>
    <w:rsid w:val="008D180B"/>
    <w:rsid w:val="008E581B"/>
    <w:rsid w:val="008E5A05"/>
    <w:rsid w:val="008F0EA7"/>
    <w:rsid w:val="008F1C2B"/>
    <w:rsid w:val="009051DA"/>
    <w:rsid w:val="00921478"/>
    <w:rsid w:val="00921F78"/>
    <w:rsid w:val="00923EEF"/>
    <w:rsid w:val="00930AD5"/>
    <w:rsid w:val="00931F9F"/>
    <w:rsid w:val="00935DEB"/>
    <w:rsid w:val="00937718"/>
    <w:rsid w:val="009419F9"/>
    <w:rsid w:val="00953B0A"/>
    <w:rsid w:val="009540D8"/>
    <w:rsid w:val="00954CA6"/>
    <w:rsid w:val="009562A1"/>
    <w:rsid w:val="0095685E"/>
    <w:rsid w:val="00961B09"/>
    <w:rsid w:val="00965334"/>
    <w:rsid w:val="0097093E"/>
    <w:rsid w:val="0098219E"/>
    <w:rsid w:val="00986A04"/>
    <w:rsid w:val="0099425F"/>
    <w:rsid w:val="00994B3B"/>
    <w:rsid w:val="00995EE0"/>
    <w:rsid w:val="009A0DFA"/>
    <w:rsid w:val="009A1C6F"/>
    <w:rsid w:val="009B2D26"/>
    <w:rsid w:val="009B38C2"/>
    <w:rsid w:val="009C273A"/>
    <w:rsid w:val="009C2DF6"/>
    <w:rsid w:val="009C71FA"/>
    <w:rsid w:val="009C72E7"/>
    <w:rsid w:val="009C7F7E"/>
    <w:rsid w:val="009D00E1"/>
    <w:rsid w:val="009D1005"/>
    <w:rsid w:val="009D1CE6"/>
    <w:rsid w:val="009D3058"/>
    <w:rsid w:val="009F02B5"/>
    <w:rsid w:val="009F3A13"/>
    <w:rsid w:val="009F46CC"/>
    <w:rsid w:val="00A02CB3"/>
    <w:rsid w:val="00A05189"/>
    <w:rsid w:val="00A076E3"/>
    <w:rsid w:val="00A122D3"/>
    <w:rsid w:val="00A14468"/>
    <w:rsid w:val="00A17F13"/>
    <w:rsid w:val="00A20739"/>
    <w:rsid w:val="00A23AF9"/>
    <w:rsid w:val="00A26226"/>
    <w:rsid w:val="00A33C78"/>
    <w:rsid w:val="00A54A7B"/>
    <w:rsid w:val="00A62096"/>
    <w:rsid w:val="00A654EF"/>
    <w:rsid w:val="00A673D3"/>
    <w:rsid w:val="00A76F6E"/>
    <w:rsid w:val="00A77D59"/>
    <w:rsid w:val="00A927A8"/>
    <w:rsid w:val="00A95E88"/>
    <w:rsid w:val="00A96B5A"/>
    <w:rsid w:val="00A96EA1"/>
    <w:rsid w:val="00AA00F4"/>
    <w:rsid w:val="00AA3764"/>
    <w:rsid w:val="00AA584B"/>
    <w:rsid w:val="00AB0ADB"/>
    <w:rsid w:val="00AB6915"/>
    <w:rsid w:val="00AB6E1C"/>
    <w:rsid w:val="00AC05C8"/>
    <w:rsid w:val="00AC4C8F"/>
    <w:rsid w:val="00AC7E5F"/>
    <w:rsid w:val="00AD0E88"/>
    <w:rsid w:val="00AD2E51"/>
    <w:rsid w:val="00AE5A33"/>
    <w:rsid w:val="00AF04D2"/>
    <w:rsid w:val="00AF46B4"/>
    <w:rsid w:val="00AF49BB"/>
    <w:rsid w:val="00AF515F"/>
    <w:rsid w:val="00AF6472"/>
    <w:rsid w:val="00B004D2"/>
    <w:rsid w:val="00B00C0E"/>
    <w:rsid w:val="00B01B1A"/>
    <w:rsid w:val="00B0381D"/>
    <w:rsid w:val="00B05806"/>
    <w:rsid w:val="00B255E2"/>
    <w:rsid w:val="00B31041"/>
    <w:rsid w:val="00B31F91"/>
    <w:rsid w:val="00B34A8D"/>
    <w:rsid w:val="00B36575"/>
    <w:rsid w:val="00B43131"/>
    <w:rsid w:val="00B44A47"/>
    <w:rsid w:val="00B55A07"/>
    <w:rsid w:val="00B71DC3"/>
    <w:rsid w:val="00B72CD3"/>
    <w:rsid w:val="00B72E21"/>
    <w:rsid w:val="00B72FFF"/>
    <w:rsid w:val="00B8170B"/>
    <w:rsid w:val="00BA2D10"/>
    <w:rsid w:val="00BC293A"/>
    <w:rsid w:val="00BC3889"/>
    <w:rsid w:val="00BC3D36"/>
    <w:rsid w:val="00BD0031"/>
    <w:rsid w:val="00BD54A6"/>
    <w:rsid w:val="00BD7F72"/>
    <w:rsid w:val="00BE0682"/>
    <w:rsid w:val="00BE5C0F"/>
    <w:rsid w:val="00BF1CB3"/>
    <w:rsid w:val="00BF6EB2"/>
    <w:rsid w:val="00BF7425"/>
    <w:rsid w:val="00C04FB3"/>
    <w:rsid w:val="00C11D8B"/>
    <w:rsid w:val="00C15139"/>
    <w:rsid w:val="00C1719E"/>
    <w:rsid w:val="00C21C0C"/>
    <w:rsid w:val="00C25BF6"/>
    <w:rsid w:val="00C25CDD"/>
    <w:rsid w:val="00C310CB"/>
    <w:rsid w:val="00C330EB"/>
    <w:rsid w:val="00C335D8"/>
    <w:rsid w:val="00C37856"/>
    <w:rsid w:val="00C44E30"/>
    <w:rsid w:val="00C50D69"/>
    <w:rsid w:val="00C53111"/>
    <w:rsid w:val="00C5365C"/>
    <w:rsid w:val="00C53CD4"/>
    <w:rsid w:val="00C739C1"/>
    <w:rsid w:val="00C73F0E"/>
    <w:rsid w:val="00C754BE"/>
    <w:rsid w:val="00C76B1C"/>
    <w:rsid w:val="00C8625E"/>
    <w:rsid w:val="00C87C2F"/>
    <w:rsid w:val="00C916C1"/>
    <w:rsid w:val="00C925AC"/>
    <w:rsid w:val="00C94CC4"/>
    <w:rsid w:val="00C95013"/>
    <w:rsid w:val="00C950B9"/>
    <w:rsid w:val="00CB6357"/>
    <w:rsid w:val="00CC1B26"/>
    <w:rsid w:val="00CD170F"/>
    <w:rsid w:val="00CD2598"/>
    <w:rsid w:val="00CD6F6C"/>
    <w:rsid w:val="00D00E9A"/>
    <w:rsid w:val="00D02FA5"/>
    <w:rsid w:val="00D1467B"/>
    <w:rsid w:val="00D169F5"/>
    <w:rsid w:val="00D20707"/>
    <w:rsid w:val="00D2114D"/>
    <w:rsid w:val="00D361FD"/>
    <w:rsid w:val="00D419DE"/>
    <w:rsid w:val="00D423A2"/>
    <w:rsid w:val="00D44E26"/>
    <w:rsid w:val="00D520D8"/>
    <w:rsid w:val="00D62FA5"/>
    <w:rsid w:val="00D63AC2"/>
    <w:rsid w:val="00D7383B"/>
    <w:rsid w:val="00D73AAD"/>
    <w:rsid w:val="00D74F4F"/>
    <w:rsid w:val="00D7788A"/>
    <w:rsid w:val="00D830F8"/>
    <w:rsid w:val="00D8654E"/>
    <w:rsid w:val="00D94DD1"/>
    <w:rsid w:val="00DA231B"/>
    <w:rsid w:val="00DB03BC"/>
    <w:rsid w:val="00DC39FC"/>
    <w:rsid w:val="00DD5FF5"/>
    <w:rsid w:val="00DD69C7"/>
    <w:rsid w:val="00DF37A9"/>
    <w:rsid w:val="00DF5254"/>
    <w:rsid w:val="00E0074E"/>
    <w:rsid w:val="00E02524"/>
    <w:rsid w:val="00E0384C"/>
    <w:rsid w:val="00E039EF"/>
    <w:rsid w:val="00E10205"/>
    <w:rsid w:val="00E16408"/>
    <w:rsid w:val="00E20894"/>
    <w:rsid w:val="00E245AB"/>
    <w:rsid w:val="00E2764C"/>
    <w:rsid w:val="00E27F2E"/>
    <w:rsid w:val="00E355C6"/>
    <w:rsid w:val="00E50AFE"/>
    <w:rsid w:val="00E520A2"/>
    <w:rsid w:val="00E558DE"/>
    <w:rsid w:val="00E64984"/>
    <w:rsid w:val="00E7541A"/>
    <w:rsid w:val="00E75C92"/>
    <w:rsid w:val="00E771DC"/>
    <w:rsid w:val="00E81D52"/>
    <w:rsid w:val="00E8772A"/>
    <w:rsid w:val="00E90149"/>
    <w:rsid w:val="00E9059D"/>
    <w:rsid w:val="00E90F6B"/>
    <w:rsid w:val="00E91EB5"/>
    <w:rsid w:val="00E92C27"/>
    <w:rsid w:val="00E95DAF"/>
    <w:rsid w:val="00EA0E3D"/>
    <w:rsid w:val="00EA5C2F"/>
    <w:rsid w:val="00EB4BFB"/>
    <w:rsid w:val="00EC0A59"/>
    <w:rsid w:val="00EC28D7"/>
    <w:rsid w:val="00EC38A7"/>
    <w:rsid w:val="00ED0DA7"/>
    <w:rsid w:val="00ED2680"/>
    <w:rsid w:val="00ED76E9"/>
    <w:rsid w:val="00ED7B61"/>
    <w:rsid w:val="00EE0D2F"/>
    <w:rsid w:val="00EE1AA8"/>
    <w:rsid w:val="00EE4898"/>
    <w:rsid w:val="00EF1EA4"/>
    <w:rsid w:val="00EF479D"/>
    <w:rsid w:val="00F04CD0"/>
    <w:rsid w:val="00F06FAE"/>
    <w:rsid w:val="00F11D9D"/>
    <w:rsid w:val="00F23FEA"/>
    <w:rsid w:val="00F27E20"/>
    <w:rsid w:val="00F31EDC"/>
    <w:rsid w:val="00F462B3"/>
    <w:rsid w:val="00F52B40"/>
    <w:rsid w:val="00F560AF"/>
    <w:rsid w:val="00F5664F"/>
    <w:rsid w:val="00F56E73"/>
    <w:rsid w:val="00F666C4"/>
    <w:rsid w:val="00F76AFC"/>
    <w:rsid w:val="00F8096B"/>
    <w:rsid w:val="00F9052B"/>
    <w:rsid w:val="00F90D90"/>
    <w:rsid w:val="00F96CF2"/>
    <w:rsid w:val="00FA29D6"/>
    <w:rsid w:val="00FA47C0"/>
    <w:rsid w:val="00FB1C5E"/>
    <w:rsid w:val="00FB5DD1"/>
    <w:rsid w:val="00FC2B5D"/>
    <w:rsid w:val="00FD128B"/>
    <w:rsid w:val="00FE6DD9"/>
    <w:rsid w:val="00FE765D"/>
    <w:rsid w:val="00FF1449"/>
    <w:rsid w:val="00FF3C66"/>
    <w:rsid w:val="00FF7963"/>
    <w:rsid w:val="071B8F93"/>
    <w:rsid w:val="07C73DD1"/>
    <w:rsid w:val="09908A09"/>
    <w:rsid w:val="0EFE6349"/>
    <w:rsid w:val="0FF4CCA8"/>
    <w:rsid w:val="13CFC91B"/>
    <w:rsid w:val="19A2EC2C"/>
    <w:rsid w:val="21779BE6"/>
    <w:rsid w:val="239049CC"/>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89F8659E-1CA0-462B-AE9C-0B3F8A675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4A7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80CAB"/>
    <w:pPr>
      <w:spacing w:line="240" w:lineRule="exact"/>
    </w:pPr>
    <w:rPr>
      <w:vertAlign w:val="superscript"/>
    </w:rPr>
  </w:style>
  <w:style w:type="character" w:customStyle="1" w:styleId="NormalWebCar">
    <w:name w:val="Normal (Web) Car"/>
    <w:link w:val="NormalWeb"/>
    <w:uiPriority w:val="99"/>
    <w:locked/>
    <w:rsid w:val="00880CAB"/>
    <w:rPr>
      <w:rFonts w:ascii="Times New Roman" w:eastAsia="Times New Roman" w:hAnsi="Times New Roman" w:cs="Times New Roman"/>
      <w:sz w:val="24"/>
      <w:szCs w:val="24"/>
      <w:lang w:eastAsia="es-CO"/>
    </w:rPr>
  </w:style>
  <w:style w:type="character" w:customStyle="1" w:styleId="baj">
    <w:name w:val="b_aj"/>
    <w:basedOn w:val="Fuentedeprrafopredeter"/>
    <w:rsid w:val="00880CAB"/>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D8654E"/>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davidfernandopantojahidalgo@gmail.com"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9E786DF3-CC6E-4A64-A25E-A7C93D4B2234}">
  <ds:schemaRefs>
    <ds:schemaRef ds:uri="http://schemas.openxmlformats.org/officeDocument/2006/bibliography"/>
  </ds:schemaRefs>
</ds:datastoreItem>
</file>

<file path=customXml/itemProps3.xml><?xml version="1.0" encoding="utf-8"?>
<ds:datastoreItem xmlns:ds="http://schemas.openxmlformats.org/officeDocument/2006/customXml" ds:itemID="{4AB0085B-1D22-491A-8AF0-AEE5660BC3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34</Pages>
  <Words>10956</Words>
  <Characters>60260</Characters>
  <Application>Microsoft Office Word</Application>
  <DocSecurity>0</DocSecurity>
  <Lines>502</Lines>
  <Paragraphs>142</Paragraphs>
  <ScaleCrop>false</ScaleCrop>
  <Company/>
  <LinksUpToDate>false</LinksUpToDate>
  <CharactersWithSpaces>71074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3</cp:revision>
  <cp:lastPrinted>2023-01-10T18:18:00Z</cp:lastPrinted>
  <dcterms:created xsi:type="dcterms:W3CDTF">2026-03-16T16:02:00Z</dcterms:created>
  <dcterms:modified xsi:type="dcterms:W3CDTF">2026-03-16T17:25:00Z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