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4020E" w14:textId="77777777" w:rsidR="006B6987" w:rsidRPr="006B6987" w:rsidRDefault="006B6987" w:rsidP="00524934">
      <w:pPr>
        <w:spacing w:after="0" w:line="240" w:lineRule="auto"/>
        <w:rPr>
          <w:rFonts w:ascii="Verdana" w:hAnsi="Verdana" w:cs="Arial"/>
          <w:b/>
          <w:bCs/>
          <w:lang w:val="es-MX" w:eastAsia="es-ES"/>
        </w:rPr>
      </w:pPr>
      <w:bookmarkStart w:id="0" w:name="_Hlk143780582"/>
      <w:r w:rsidRPr="006B6987">
        <w:rPr>
          <w:rFonts w:ascii="Verdana" w:hAnsi="Verdana" w:cs="Arial"/>
          <w:b/>
          <w:bCs/>
          <w:lang w:val="es-MX" w:eastAsia="es-ES"/>
        </w:rPr>
        <w:t xml:space="preserve">SELECCIÓN OBJETIVA – Ofrecimiento más favorable </w:t>
      </w:r>
    </w:p>
    <w:p w14:paraId="05422A54" w14:textId="03BFFC55" w:rsidR="006B6987" w:rsidRDefault="006B6987" w:rsidP="00524934">
      <w:pPr>
        <w:spacing w:after="0" w:line="240" w:lineRule="auto"/>
        <w:rPr>
          <w:rFonts w:ascii="Verdana" w:hAnsi="Verdana" w:cs="Arial"/>
          <w:bCs/>
          <w:lang w:val="es-MX" w:eastAsia="es-ES"/>
        </w:rPr>
      </w:pPr>
    </w:p>
    <w:p w14:paraId="43F005F4" w14:textId="77777777" w:rsidR="006B6987" w:rsidRDefault="006B6987" w:rsidP="00524934">
      <w:pPr>
        <w:spacing w:after="0" w:line="240" w:lineRule="auto"/>
        <w:jc w:val="both"/>
        <w:rPr>
          <w:rFonts w:ascii="Verdana" w:hAnsi="Verdana" w:cs="Arial"/>
          <w:bCs/>
          <w:sz w:val="20"/>
          <w:lang w:eastAsia="es-ES"/>
        </w:rPr>
      </w:pPr>
      <w:r w:rsidRPr="006B6987">
        <w:rPr>
          <w:rFonts w:ascii="Verdana" w:hAnsi="Verdana" w:cs="Arial"/>
          <w:bCs/>
          <w:sz w:val="20"/>
          <w:lang w:eastAsia="es-ES"/>
        </w:rPr>
        <w:t xml:space="preserve">De acuerdo con el artículo 5 de la Ley 1150 de 2007, conforme con lo expresado en el Concepto C-166 del 23 de abril de 2021,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328E360C" w14:textId="77777777" w:rsidR="00DA712C" w:rsidRDefault="00DA712C" w:rsidP="00524934">
      <w:pPr>
        <w:spacing w:after="0" w:line="240" w:lineRule="auto"/>
        <w:jc w:val="both"/>
        <w:rPr>
          <w:rFonts w:ascii="Verdana" w:hAnsi="Verdana" w:cs="Arial"/>
          <w:bCs/>
          <w:sz w:val="20"/>
          <w:lang w:eastAsia="es-ES"/>
        </w:rPr>
      </w:pPr>
    </w:p>
    <w:p w14:paraId="13918139" w14:textId="50171F61" w:rsidR="00DA712C" w:rsidRDefault="00DA712C" w:rsidP="00524934">
      <w:pPr>
        <w:spacing w:after="0" w:line="240" w:lineRule="auto"/>
        <w:jc w:val="both"/>
        <w:rPr>
          <w:rFonts w:ascii="Verdana" w:hAnsi="Verdana" w:cs="Arial"/>
          <w:b/>
          <w:lang w:val="es-MX" w:eastAsia="es-ES"/>
        </w:rPr>
      </w:pPr>
      <w:r w:rsidRPr="00DA712C">
        <w:rPr>
          <w:rFonts w:ascii="Verdana" w:hAnsi="Verdana" w:cs="Arial"/>
          <w:b/>
          <w:lang w:val="es-MX" w:eastAsia="es-ES"/>
        </w:rPr>
        <w:t>EXPERIENCIA – Requisito habilitantes y ponderable – Consultoría</w:t>
      </w:r>
    </w:p>
    <w:p w14:paraId="1982C1A8" w14:textId="77777777" w:rsidR="00DA712C" w:rsidRPr="00DA712C" w:rsidRDefault="00DA712C" w:rsidP="00DA712C">
      <w:pPr>
        <w:spacing w:after="0" w:line="240" w:lineRule="auto"/>
        <w:jc w:val="both"/>
        <w:rPr>
          <w:rFonts w:ascii="Verdana" w:hAnsi="Verdana" w:cs="Arial"/>
          <w:bCs/>
          <w:sz w:val="20"/>
          <w:lang w:eastAsia="es-ES"/>
        </w:rPr>
      </w:pPr>
    </w:p>
    <w:p w14:paraId="25240E97" w14:textId="3E938685" w:rsidR="00DA712C" w:rsidRPr="00DA712C" w:rsidRDefault="00DA712C" w:rsidP="00DA712C">
      <w:pPr>
        <w:spacing w:after="0" w:line="240" w:lineRule="auto"/>
        <w:jc w:val="both"/>
        <w:rPr>
          <w:rFonts w:ascii="Verdana" w:hAnsi="Verdana" w:cs="Arial"/>
          <w:bCs/>
          <w:sz w:val="20"/>
          <w:lang w:eastAsia="es-ES"/>
        </w:rPr>
      </w:pPr>
      <w:r w:rsidRPr="00DA712C">
        <w:rPr>
          <w:rFonts w:ascii="Verdana" w:hAnsi="Verdana" w:cs="Arial"/>
          <w:bCs/>
          <w:sz w:val="20"/>
          <w:lang w:eastAsia="es-ES"/>
        </w:rPr>
        <w:t xml:space="preserve">De conformidad con el numeral 1 del artículo 5 de la Ley 1150 de 2007 la experiencia es objeto de verificación de cumplimiento como requisito habilitante para la participación en el proceso de selección y no otorgará puntaje, con excepción de lo previsto en el numeral 4 ibidem. Según este numeral se podrán utilizar criterios de experiencia específica del oferente y del equipo de trabajo en el campo correspondiente para la selección de consultores. </w:t>
      </w:r>
    </w:p>
    <w:p w14:paraId="1D1F497E" w14:textId="1BE8892F" w:rsidR="00DA712C" w:rsidRPr="00DA712C" w:rsidRDefault="00DA712C" w:rsidP="00DA712C">
      <w:pPr>
        <w:tabs>
          <w:tab w:val="left" w:pos="0"/>
        </w:tabs>
        <w:spacing w:after="0" w:line="240" w:lineRule="auto"/>
        <w:ind w:right="709"/>
        <w:jc w:val="both"/>
        <w:rPr>
          <w:rFonts w:ascii="Verdana" w:hAnsi="Verdana" w:cs="Arial"/>
          <w:bCs/>
          <w:sz w:val="20"/>
          <w:lang w:eastAsia="es-ES"/>
        </w:rPr>
      </w:pPr>
      <w:r w:rsidRPr="00DA712C">
        <w:rPr>
          <w:rFonts w:ascii="Verdana" w:hAnsi="Verdana" w:cs="Arial"/>
          <w:bCs/>
          <w:sz w:val="20"/>
          <w:lang w:eastAsia="es-ES"/>
        </w:rPr>
        <w:t>[…]</w:t>
      </w:r>
    </w:p>
    <w:p w14:paraId="54532364" w14:textId="77777777" w:rsidR="00DA712C" w:rsidRPr="00DA712C" w:rsidRDefault="00DA712C" w:rsidP="00DA712C">
      <w:pPr>
        <w:tabs>
          <w:tab w:val="left" w:pos="0"/>
        </w:tabs>
        <w:spacing w:after="0" w:line="240" w:lineRule="auto"/>
        <w:ind w:left="709" w:right="709"/>
        <w:jc w:val="both"/>
        <w:rPr>
          <w:rFonts w:ascii="Verdana" w:hAnsi="Verdana" w:cs="Arial"/>
          <w:bCs/>
          <w:sz w:val="20"/>
          <w:lang w:eastAsia="es-ES"/>
        </w:rPr>
      </w:pPr>
    </w:p>
    <w:p w14:paraId="14818B26" w14:textId="77777777" w:rsidR="00DA712C" w:rsidRDefault="00DA712C" w:rsidP="00DA712C">
      <w:pPr>
        <w:spacing w:after="0" w:line="240" w:lineRule="auto"/>
        <w:jc w:val="both"/>
        <w:rPr>
          <w:rFonts w:ascii="Verdana" w:hAnsi="Verdana" w:cs="Arial"/>
          <w:bCs/>
          <w:sz w:val="20"/>
          <w:lang w:eastAsia="es-ES"/>
        </w:rPr>
      </w:pPr>
      <w:r w:rsidRPr="00DA712C">
        <w:rPr>
          <w:rFonts w:ascii="Verdana" w:hAnsi="Verdana" w:cs="Arial"/>
          <w:bCs/>
          <w:sz w:val="20"/>
          <w:lang w:eastAsia="es-ES"/>
        </w:rPr>
        <w:t>Cabe anotar que el numeral 2 del artículo 32 de la Ley 80 de 1993 define a los contratos de consultoría como aquellos que suscriben las entidades estatales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w:t>
      </w:r>
    </w:p>
    <w:p w14:paraId="547A3F76" w14:textId="77777777" w:rsidR="00DA712C" w:rsidRPr="00DA712C" w:rsidRDefault="00DA712C" w:rsidP="00DA712C">
      <w:pPr>
        <w:spacing w:after="0" w:line="240" w:lineRule="auto"/>
        <w:jc w:val="both"/>
        <w:rPr>
          <w:rFonts w:ascii="Verdana" w:hAnsi="Verdana" w:cs="Arial"/>
          <w:bCs/>
          <w:sz w:val="20"/>
          <w:lang w:eastAsia="es-ES"/>
        </w:rPr>
      </w:pPr>
    </w:p>
    <w:p w14:paraId="48C3DFC9" w14:textId="77777777" w:rsidR="00DA712C" w:rsidRPr="00DA712C" w:rsidRDefault="00DA712C" w:rsidP="00DA712C">
      <w:pPr>
        <w:spacing w:after="0" w:line="240" w:lineRule="auto"/>
        <w:jc w:val="both"/>
        <w:rPr>
          <w:rFonts w:ascii="Verdana" w:hAnsi="Verdana" w:cs="Arial"/>
          <w:bCs/>
          <w:sz w:val="20"/>
          <w:lang w:eastAsia="es-ES"/>
        </w:rPr>
      </w:pPr>
      <w:r w:rsidRPr="00DA712C">
        <w:rPr>
          <w:rFonts w:ascii="Verdana" w:hAnsi="Verdana" w:cs="Arial"/>
          <w:bCs/>
          <w:sz w:val="20"/>
          <w:lang w:eastAsia="es-ES"/>
        </w:rPr>
        <w:t>En concordancia con lo anterior, el artículo 2.2.1.2.1.3.2. del Decreto 1082 de 2015, modificado por el Decreto 399 de 2021, establece que el procedimiento para la escogencia de consultores es el concurso de méritos, y determina la experiencia como un factor que otorga puntaje. Así lo dispone el numeral 1.1 de dicha norma que dispone: “La Entidad Estatal en los pliegos de condiciones debe indicar la forma como calificará, entre otros, los siguientes criterios: a) la experiencia del interesado y del equipo de trabajo y b) la formación académica del equipo de trabajo” [Énfasis por fuera del texto], excluyendo el precio como factor de escogencia.</w:t>
      </w:r>
    </w:p>
    <w:p w14:paraId="773FF250" w14:textId="252491E7" w:rsidR="006B6987" w:rsidRPr="006B6987" w:rsidRDefault="006B6987" w:rsidP="00524934">
      <w:pPr>
        <w:spacing w:after="0" w:line="240" w:lineRule="auto"/>
        <w:rPr>
          <w:rFonts w:ascii="Verdana" w:hAnsi="Verdana" w:cs="Arial"/>
          <w:bCs/>
          <w:lang w:eastAsia="es-ES"/>
        </w:rPr>
      </w:pPr>
    </w:p>
    <w:p w14:paraId="72075D74" w14:textId="77777777" w:rsidR="006B6987" w:rsidRPr="006B6987" w:rsidRDefault="006B6987" w:rsidP="00524934">
      <w:pPr>
        <w:spacing w:after="0" w:line="240" w:lineRule="auto"/>
        <w:jc w:val="both"/>
        <w:rPr>
          <w:rFonts w:ascii="Verdana" w:hAnsi="Verdana" w:cs="Arial"/>
          <w:b/>
          <w:bCs/>
          <w:lang w:val="es-MX" w:eastAsia="es-ES"/>
        </w:rPr>
      </w:pPr>
      <w:r w:rsidRPr="006B6987">
        <w:rPr>
          <w:rFonts w:ascii="Verdana" w:hAnsi="Verdana" w:cs="Arial"/>
          <w:b/>
          <w:bCs/>
          <w:lang w:val="es-MX" w:eastAsia="es-ES"/>
        </w:rPr>
        <w:t xml:space="preserve">FACTORES DE CALIDAD – Decreto 142 de 2023 – Decreto 1082 de 2015 – Artículo 2.2.1.1.2.2.2 </w:t>
      </w:r>
    </w:p>
    <w:p w14:paraId="39370D9E" w14:textId="7EA1BA95" w:rsidR="006B6987" w:rsidRPr="006B6987" w:rsidRDefault="006B6987" w:rsidP="00524934">
      <w:pPr>
        <w:spacing w:after="0" w:line="240" w:lineRule="auto"/>
        <w:jc w:val="both"/>
        <w:rPr>
          <w:rFonts w:ascii="Verdana" w:hAnsi="Verdana" w:cs="Arial"/>
          <w:bCs/>
          <w:sz w:val="20"/>
          <w:lang w:val="es-MX" w:eastAsia="es-ES"/>
        </w:rPr>
      </w:pPr>
    </w:p>
    <w:p w14:paraId="65EBAA5D" w14:textId="269E510E" w:rsidR="00DA712C" w:rsidRPr="00DA712C" w:rsidRDefault="00DA712C" w:rsidP="00DA712C">
      <w:pPr>
        <w:spacing w:after="0" w:line="240" w:lineRule="auto"/>
        <w:jc w:val="both"/>
        <w:rPr>
          <w:rFonts w:ascii="Verdana" w:hAnsi="Verdana" w:cs="Arial"/>
          <w:bCs/>
          <w:sz w:val="20"/>
          <w:lang w:eastAsia="es-ES"/>
        </w:rPr>
      </w:pPr>
      <w:r>
        <w:rPr>
          <w:rFonts w:ascii="Verdana" w:hAnsi="Verdana" w:cs="Arial"/>
          <w:bCs/>
          <w:sz w:val="20"/>
          <w:lang w:eastAsia="es-ES"/>
        </w:rPr>
        <w:t>E</w:t>
      </w:r>
      <w:r w:rsidRPr="00DA712C">
        <w:rPr>
          <w:rFonts w:ascii="Verdana" w:hAnsi="Verdana" w:cs="Arial"/>
          <w:bCs/>
          <w:sz w:val="20"/>
          <w:lang w:eastAsia="es-ES"/>
        </w:rPr>
        <w:t xml:space="preserve">l artículo 2.2.1.1.2.2.2 del Decreto 1082 de 2015, modificado por el Decreto 142 de 2023, señala que en la licitación pública y la selección abreviada de menor cuantía, la entidad debe determinar la oferta más favorable teniendo en cuenta: (a) la ponderación de los elementos de calidad y precio soportados en puntajes o fórmulas; o (b) la ponderación de los elementos de calidad y precio que representen la mejor relación de costo-beneficio. Este artículo desarrolla los mecanismos de ponderación previstos en los literales a) y b) del artículo 5.2 de la Ley 1150 de 2007, disponiendo unas pautas para </w:t>
      </w:r>
      <w:r w:rsidRPr="00DA712C">
        <w:rPr>
          <w:rFonts w:ascii="Verdana" w:hAnsi="Verdana" w:cs="Arial"/>
          <w:bCs/>
          <w:sz w:val="20"/>
          <w:lang w:eastAsia="es-ES"/>
        </w:rPr>
        <w:lastRenderedPageBreak/>
        <w:t xml:space="preserve">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DA712C">
        <w:rPr>
          <w:rFonts w:ascii="Verdana" w:hAnsi="Verdana" w:cs="Arial"/>
          <w:bCs/>
          <w:sz w:val="20"/>
          <w:lang w:eastAsia="es-ES"/>
        </w:rPr>
        <w:t>ii</w:t>
      </w:r>
      <w:proofErr w:type="spellEnd"/>
      <w:r w:rsidRPr="00DA712C">
        <w:rPr>
          <w:rFonts w:ascii="Verdana" w:hAnsi="Verdana" w:cs="Arial"/>
          <w:bCs/>
          <w:sz w:val="20"/>
          <w:lang w:eastAsia="es-ES"/>
        </w:rPr>
        <w:t xml:space="preserve">) las condiciones técnicas adicionales que representan ventajas de calidad o de funcionamiento; </w:t>
      </w:r>
      <w:proofErr w:type="spellStart"/>
      <w:r w:rsidRPr="00DA712C">
        <w:rPr>
          <w:rFonts w:ascii="Verdana" w:hAnsi="Verdana" w:cs="Arial"/>
          <w:bCs/>
          <w:sz w:val="20"/>
          <w:lang w:eastAsia="es-ES"/>
        </w:rPr>
        <w:t>iii</w:t>
      </w:r>
      <w:proofErr w:type="spellEnd"/>
      <w:r w:rsidRPr="00DA712C">
        <w:rPr>
          <w:rFonts w:ascii="Verdana" w:hAnsi="Verdana" w:cs="Arial"/>
          <w:bCs/>
          <w:sz w:val="20"/>
          <w:lang w:eastAsia="es-ES"/>
        </w:rPr>
        <w:t xml:space="preserve">) las condiciones económicas adicionales que representen ventajas en términos de economía, eficiencia y eficacia; y </w:t>
      </w:r>
      <w:proofErr w:type="spellStart"/>
      <w:r w:rsidRPr="00DA712C">
        <w:rPr>
          <w:rFonts w:ascii="Verdana" w:hAnsi="Verdana" w:cs="Arial"/>
          <w:bCs/>
          <w:sz w:val="20"/>
          <w:lang w:eastAsia="es-ES"/>
        </w:rPr>
        <w:t>iv</w:t>
      </w:r>
      <w:proofErr w:type="spellEnd"/>
      <w:r w:rsidRPr="00DA712C">
        <w:rPr>
          <w:rFonts w:ascii="Verdana" w:hAnsi="Verdana" w:cs="Arial"/>
          <w:bCs/>
          <w:sz w:val="20"/>
          <w:lang w:eastAsia="es-ES"/>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14:paraId="21362C22" w14:textId="77777777" w:rsidR="00E6106C" w:rsidRPr="00DA712C" w:rsidRDefault="00E6106C" w:rsidP="00DA712C">
      <w:pPr>
        <w:spacing w:after="0" w:line="240" w:lineRule="auto"/>
        <w:jc w:val="both"/>
        <w:rPr>
          <w:rFonts w:ascii="Verdana" w:hAnsi="Verdana" w:cs="Arial"/>
          <w:bCs/>
          <w:sz w:val="20"/>
          <w:lang w:eastAsia="es-ES"/>
        </w:rPr>
      </w:pPr>
    </w:p>
    <w:p w14:paraId="50D2ED29" w14:textId="77777777" w:rsidR="001B1304" w:rsidRDefault="001B1304" w:rsidP="004F60D2">
      <w:pPr>
        <w:spacing w:after="0"/>
        <w:rPr>
          <w:rFonts w:ascii="Verdana" w:hAnsi="Verdana" w:cs="Arial"/>
          <w:bCs/>
          <w:lang w:val="es-MX" w:eastAsia="es-ES"/>
        </w:rPr>
      </w:pPr>
    </w:p>
    <w:p w14:paraId="456C4C8E" w14:textId="77777777" w:rsidR="001B1304" w:rsidRDefault="001B1304" w:rsidP="004F60D2">
      <w:pPr>
        <w:spacing w:after="0"/>
        <w:rPr>
          <w:rFonts w:ascii="Verdana" w:hAnsi="Verdana" w:cs="Arial"/>
          <w:bCs/>
          <w:lang w:val="es-MX" w:eastAsia="es-ES"/>
        </w:rPr>
      </w:pPr>
    </w:p>
    <w:p w14:paraId="008D014D" w14:textId="77777777" w:rsidR="0085318F" w:rsidRDefault="0085318F" w:rsidP="004F60D2">
      <w:pPr>
        <w:spacing w:after="0"/>
        <w:rPr>
          <w:rFonts w:ascii="Verdana" w:hAnsi="Verdana" w:cs="Arial"/>
          <w:bCs/>
          <w:lang w:val="es-MX" w:eastAsia="es-ES"/>
        </w:rPr>
      </w:pPr>
    </w:p>
    <w:p w14:paraId="559D863B" w14:textId="77777777" w:rsidR="0085318F" w:rsidRDefault="0085318F" w:rsidP="004F60D2">
      <w:pPr>
        <w:spacing w:after="0"/>
        <w:rPr>
          <w:rFonts w:ascii="Verdana" w:hAnsi="Verdana" w:cs="Arial"/>
          <w:bCs/>
          <w:lang w:val="es-MX" w:eastAsia="es-ES"/>
        </w:rPr>
      </w:pPr>
    </w:p>
    <w:p w14:paraId="2FAFA5BD" w14:textId="77777777" w:rsidR="001B1304" w:rsidRDefault="001B1304" w:rsidP="004F60D2">
      <w:pPr>
        <w:spacing w:after="0"/>
        <w:rPr>
          <w:rFonts w:ascii="Verdana" w:hAnsi="Verdana" w:cs="Arial"/>
          <w:bCs/>
          <w:lang w:val="es-MX" w:eastAsia="es-ES"/>
        </w:rPr>
      </w:pPr>
    </w:p>
    <w:p w14:paraId="4D4E1512" w14:textId="77777777" w:rsidR="001B1304" w:rsidRDefault="001B1304" w:rsidP="004F60D2">
      <w:pPr>
        <w:spacing w:after="0"/>
        <w:rPr>
          <w:rFonts w:ascii="Verdana" w:hAnsi="Verdana" w:cs="Arial"/>
          <w:bCs/>
          <w:lang w:val="es-MX" w:eastAsia="es-ES"/>
        </w:rPr>
      </w:pPr>
    </w:p>
    <w:p w14:paraId="63BBC635" w14:textId="77777777" w:rsidR="00DA712C" w:rsidRDefault="00DA712C" w:rsidP="004F60D2">
      <w:pPr>
        <w:spacing w:after="0"/>
        <w:rPr>
          <w:rFonts w:ascii="Verdana" w:hAnsi="Verdana" w:cs="Arial"/>
          <w:bCs/>
          <w:lang w:val="es-MX" w:eastAsia="es-ES"/>
        </w:rPr>
      </w:pPr>
    </w:p>
    <w:p w14:paraId="340E805A" w14:textId="77777777" w:rsidR="00DA712C" w:rsidRDefault="00DA712C" w:rsidP="004F60D2">
      <w:pPr>
        <w:spacing w:after="0"/>
        <w:rPr>
          <w:rFonts w:ascii="Verdana" w:hAnsi="Verdana" w:cs="Arial"/>
          <w:bCs/>
          <w:lang w:val="es-MX" w:eastAsia="es-ES"/>
        </w:rPr>
      </w:pPr>
    </w:p>
    <w:p w14:paraId="7189C9BB" w14:textId="77777777" w:rsidR="00DA712C" w:rsidRDefault="00DA712C" w:rsidP="004F60D2">
      <w:pPr>
        <w:spacing w:after="0"/>
        <w:rPr>
          <w:rFonts w:ascii="Verdana" w:hAnsi="Verdana" w:cs="Arial"/>
          <w:bCs/>
          <w:lang w:val="es-MX" w:eastAsia="es-ES"/>
        </w:rPr>
      </w:pPr>
    </w:p>
    <w:p w14:paraId="6326A9D8" w14:textId="77777777" w:rsidR="00DA712C" w:rsidRDefault="00DA712C" w:rsidP="004F60D2">
      <w:pPr>
        <w:spacing w:after="0"/>
        <w:rPr>
          <w:rFonts w:ascii="Verdana" w:hAnsi="Verdana" w:cs="Arial"/>
          <w:bCs/>
          <w:lang w:val="es-MX" w:eastAsia="es-ES"/>
        </w:rPr>
      </w:pPr>
    </w:p>
    <w:p w14:paraId="2C714BD0" w14:textId="77777777" w:rsidR="00DA712C" w:rsidRDefault="00DA712C" w:rsidP="004F60D2">
      <w:pPr>
        <w:spacing w:after="0"/>
        <w:rPr>
          <w:rFonts w:ascii="Verdana" w:hAnsi="Verdana" w:cs="Arial"/>
          <w:bCs/>
          <w:lang w:val="es-MX" w:eastAsia="es-ES"/>
        </w:rPr>
      </w:pPr>
    </w:p>
    <w:p w14:paraId="7D8A7EDC" w14:textId="77777777" w:rsidR="00DA712C" w:rsidRDefault="00DA712C" w:rsidP="004F60D2">
      <w:pPr>
        <w:spacing w:after="0"/>
        <w:rPr>
          <w:rFonts w:ascii="Verdana" w:hAnsi="Verdana" w:cs="Arial"/>
          <w:bCs/>
          <w:lang w:val="es-MX" w:eastAsia="es-ES"/>
        </w:rPr>
      </w:pPr>
    </w:p>
    <w:p w14:paraId="1E88D845" w14:textId="77777777" w:rsidR="00DA712C" w:rsidRDefault="00DA712C" w:rsidP="004F60D2">
      <w:pPr>
        <w:spacing w:after="0"/>
        <w:rPr>
          <w:rFonts w:ascii="Verdana" w:hAnsi="Verdana" w:cs="Arial"/>
          <w:bCs/>
          <w:lang w:val="es-MX" w:eastAsia="es-ES"/>
        </w:rPr>
      </w:pPr>
    </w:p>
    <w:p w14:paraId="0A9D555D" w14:textId="77777777" w:rsidR="00DA712C" w:rsidRDefault="00DA712C" w:rsidP="004F60D2">
      <w:pPr>
        <w:spacing w:after="0"/>
        <w:rPr>
          <w:rFonts w:ascii="Verdana" w:hAnsi="Verdana" w:cs="Arial"/>
          <w:bCs/>
          <w:lang w:val="es-MX" w:eastAsia="es-ES"/>
        </w:rPr>
      </w:pPr>
    </w:p>
    <w:p w14:paraId="52BA2A6C" w14:textId="77777777" w:rsidR="00DA712C" w:rsidRDefault="00DA712C" w:rsidP="004F60D2">
      <w:pPr>
        <w:spacing w:after="0"/>
        <w:rPr>
          <w:rFonts w:ascii="Verdana" w:hAnsi="Verdana" w:cs="Arial"/>
          <w:bCs/>
          <w:lang w:val="es-MX" w:eastAsia="es-ES"/>
        </w:rPr>
      </w:pPr>
    </w:p>
    <w:p w14:paraId="02A580F8" w14:textId="77777777" w:rsidR="00DA712C" w:rsidRDefault="00DA712C" w:rsidP="004F60D2">
      <w:pPr>
        <w:spacing w:after="0"/>
        <w:rPr>
          <w:rFonts w:ascii="Verdana" w:hAnsi="Verdana" w:cs="Arial"/>
          <w:bCs/>
          <w:lang w:val="es-MX" w:eastAsia="es-ES"/>
        </w:rPr>
      </w:pPr>
    </w:p>
    <w:p w14:paraId="27FAEAA5" w14:textId="77777777" w:rsidR="00DA712C" w:rsidRDefault="00DA712C" w:rsidP="004F60D2">
      <w:pPr>
        <w:spacing w:after="0"/>
        <w:rPr>
          <w:rFonts w:ascii="Verdana" w:hAnsi="Verdana" w:cs="Arial"/>
          <w:bCs/>
          <w:lang w:val="es-MX" w:eastAsia="es-ES"/>
        </w:rPr>
      </w:pPr>
    </w:p>
    <w:p w14:paraId="40FFF284" w14:textId="77777777" w:rsidR="00DA712C" w:rsidRDefault="00DA712C" w:rsidP="004F60D2">
      <w:pPr>
        <w:spacing w:after="0"/>
        <w:rPr>
          <w:rFonts w:ascii="Verdana" w:hAnsi="Verdana" w:cs="Arial"/>
          <w:bCs/>
          <w:lang w:val="es-MX" w:eastAsia="es-ES"/>
        </w:rPr>
      </w:pPr>
    </w:p>
    <w:p w14:paraId="7A66AFAB" w14:textId="77777777" w:rsidR="00C644DD" w:rsidRDefault="00C644DD" w:rsidP="004F60D2">
      <w:pPr>
        <w:spacing w:after="0"/>
        <w:rPr>
          <w:rFonts w:ascii="Verdana" w:hAnsi="Verdana" w:cs="Arial"/>
          <w:bCs/>
          <w:lang w:val="es-MX" w:eastAsia="es-ES"/>
        </w:rPr>
      </w:pPr>
    </w:p>
    <w:p w14:paraId="3065D572" w14:textId="77777777" w:rsidR="00C644DD" w:rsidRDefault="00C644DD" w:rsidP="004F60D2">
      <w:pPr>
        <w:spacing w:after="0"/>
        <w:rPr>
          <w:rFonts w:ascii="Verdana" w:hAnsi="Verdana" w:cs="Arial"/>
          <w:bCs/>
          <w:lang w:val="es-MX" w:eastAsia="es-ES"/>
        </w:rPr>
      </w:pPr>
    </w:p>
    <w:p w14:paraId="006636A0" w14:textId="77777777" w:rsidR="00C644DD" w:rsidRDefault="00C644DD" w:rsidP="004F60D2">
      <w:pPr>
        <w:spacing w:after="0"/>
        <w:rPr>
          <w:rFonts w:ascii="Verdana" w:hAnsi="Verdana" w:cs="Arial"/>
          <w:bCs/>
          <w:lang w:val="es-MX" w:eastAsia="es-ES"/>
        </w:rPr>
      </w:pPr>
    </w:p>
    <w:p w14:paraId="780F9274" w14:textId="77777777" w:rsidR="00C644DD" w:rsidRDefault="00C644DD" w:rsidP="004F60D2">
      <w:pPr>
        <w:spacing w:after="0"/>
        <w:rPr>
          <w:rFonts w:ascii="Verdana" w:hAnsi="Verdana" w:cs="Arial"/>
          <w:bCs/>
          <w:lang w:val="es-MX" w:eastAsia="es-ES"/>
        </w:rPr>
      </w:pPr>
    </w:p>
    <w:p w14:paraId="27E44707" w14:textId="77777777" w:rsidR="00C644DD" w:rsidRDefault="00C644DD" w:rsidP="004F60D2">
      <w:pPr>
        <w:spacing w:after="0"/>
        <w:rPr>
          <w:rFonts w:ascii="Verdana" w:hAnsi="Verdana" w:cs="Arial"/>
          <w:bCs/>
          <w:lang w:val="es-MX" w:eastAsia="es-ES"/>
        </w:rPr>
      </w:pPr>
    </w:p>
    <w:p w14:paraId="5265F49C" w14:textId="77777777" w:rsidR="00C644DD" w:rsidRDefault="00C644DD" w:rsidP="004F60D2">
      <w:pPr>
        <w:spacing w:after="0"/>
        <w:rPr>
          <w:rFonts w:ascii="Verdana" w:hAnsi="Verdana" w:cs="Arial"/>
          <w:bCs/>
          <w:lang w:val="es-MX" w:eastAsia="es-ES"/>
        </w:rPr>
      </w:pPr>
    </w:p>
    <w:p w14:paraId="722C8A0E" w14:textId="77777777" w:rsidR="00DA712C" w:rsidRDefault="00DA712C" w:rsidP="004F60D2">
      <w:pPr>
        <w:spacing w:after="0"/>
        <w:rPr>
          <w:rFonts w:ascii="Verdana" w:hAnsi="Verdana" w:cs="Arial"/>
          <w:bCs/>
          <w:lang w:val="es-MX" w:eastAsia="es-ES"/>
        </w:rPr>
      </w:pPr>
    </w:p>
    <w:p w14:paraId="2ACB1021" w14:textId="77777777" w:rsidR="00DA712C" w:rsidRDefault="00DA712C" w:rsidP="004F60D2">
      <w:pPr>
        <w:spacing w:after="0"/>
        <w:rPr>
          <w:rFonts w:ascii="Verdana" w:hAnsi="Verdana" w:cs="Arial"/>
          <w:bCs/>
          <w:lang w:val="es-MX" w:eastAsia="es-ES"/>
        </w:rPr>
      </w:pPr>
    </w:p>
    <w:p w14:paraId="08ABC9B3" w14:textId="77777777" w:rsidR="00DA712C" w:rsidRDefault="00DA712C" w:rsidP="004F60D2">
      <w:pPr>
        <w:spacing w:after="0"/>
        <w:rPr>
          <w:rFonts w:ascii="Verdana" w:hAnsi="Verdana" w:cs="Arial"/>
          <w:bCs/>
          <w:lang w:val="es-MX" w:eastAsia="es-ES"/>
        </w:rPr>
      </w:pPr>
    </w:p>
    <w:p w14:paraId="717A3074" w14:textId="77777777" w:rsidR="00DA712C" w:rsidRDefault="00DA712C" w:rsidP="004F60D2">
      <w:pPr>
        <w:spacing w:after="0"/>
        <w:rPr>
          <w:rFonts w:ascii="Verdana" w:hAnsi="Verdana" w:cs="Arial"/>
          <w:bCs/>
          <w:lang w:val="es-MX" w:eastAsia="es-ES"/>
        </w:rPr>
      </w:pPr>
    </w:p>
    <w:p w14:paraId="409B07E9" w14:textId="77777777" w:rsidR="001B1304" w:rsidRDefault="001B1304" w:rsidP="004F60D2">
      <w:pPr>
        <w:spacing w:after="0"/>
        <w:rPr>
          <w:rFonts w:ascii="Verdana" w:hAnsi="Verdana" w:cs="Arial"/>
          <w:bCs/>
          <w:lang w:val="es-MX" w:eastAsia="es-ES"/>
        </w:rPr>
      </w:pPr>
    </w:p>
    <w:p w14:paraId="78B48261" w14:textId="77777777" w:rsidR="001B1304" w:rsidRDefault="001B1304" w:rsidP="004F60D2">
      <w:pPr>
        <w:spacing w:after="0"/>
        <w:rPr>
          <w:rFonts w:ascii="Verdana" w:hAnsi="Verdana" w:cs="Arial"/>
          <w:bCs/>
          <w:lang w:val="es-MX" w:eastAsia="es-ES"/>
        </w:rPr>
      </w:pPr>
    </w:p>
    <w:p w14:paraId="4274005D" w14:textId="4ED56628" w:rsidR="0017150E" w:rsidRDefault="0017150E" w:rsidP="0017150E">
      <w:pPr>
        <w:spacing w:after="0"/>
        <w:rPr>
          <w:rFonts w:ascii="Verdana" w:hAnsi="Verdana"/>
        </w:rPr>
      </w:pPr>
      <w:r>
        <w:rPr>
          <w:rFonts w:ascii="Verdana" w:hAnsi="Verdana"/>
        </w:rPr>
        <w:lastRenderedPageBreak/>
        <w:t>Bogotá D.C.,</w:t>
      </w:r>
      <w:r w:rsidRPr="0044528D">
        <w:rPr>
          <w:rFonts w:ascii="Verdana" w:hAnsi="Verdana"/>
        </w:rPr>
        <w:tab/>
      </w:r>
      <w:r>
        <w:rPr>
          <w:rFonts w:ascii="Verdana" w:hAnsi="Verdana"/>
        </w:rPr>
        <w:t xml:space="preserve"> </w:t>
      </w:r>
      <w:r w:rsidR="00097EFE">
        <w:rPr>
          <w:rFonts w:ascii="Verdana" w:eastAsia="Geomanist Light" w:hAnsi="Verdana" w:cs="Arial"/>
          <w:color w:val="201F1E"/>
          <w:lang w:val="es-MX"/>
        </w:rPr>
        <w:t>10 de marzo de 2026</w:t>
      </w:r>
    </w:p>
    <w:p w14:paraId="773ECA38" w14:textId="77777777" w:rsidR="0017150E" w:rsidRPr="0044528D" w:rsidRDefault="0017150E" w:rsidP="0017150E">
      <w:pPr>
        <w:spacing w:after="0"/>
        <w:rPr>
          <w:rFonts w:ascii="Verdana" w:hAnsi="Verdana"/>
        </w:rPr>
      </w:pPr>
    </w:p>
    <w:p w14:paraId="3EE0CFC3" w14:textId="5C3FA56D" w:rsidR="0017150E" w:rsidRDefault="00097EFE" w:rsidP="00097EFE">
      <w:pPr>
        <w:spacing w:after="0"/>
        <w:jc w:val="right"/>
        <w:rPr>
          <w:rStyle w:val="Hipervnculo"/>
          <w:rFonts w:ascii="Verdana" w:hAnsi="Verdana"/>
        </w:rPr>
      </w:pPr>
      <w:r w:rsidRPr="00097EFE">
        <w:rPr>
          <w:rStyle w:val="Hipervnculo"/>
          <w:rFonts w:ascii="Verdana" w:hAnsi="Verdana"/>
          <w:noProof/>
        </w:rPr>
        <w:drawing>
          <wp:anchor distT="0" distB="0" distL="114300" distR="114300" simplePos="0" relativeHeight="251658240" behindDoc="0" locked="0" layoutInCell="1" allowOverlap="1" wp14:anchorId="3A377DF0" wp14:editId="0F15A8C3">
            <wp:simplePos x="0" y="0"/>
            <wp:positionH relativeFrom="column">
              <wp:posOffset>2714625</wp:posOffset>
            </wp:positionH>
            <wp:positionV relativeFrom="paragraph">
              <wp:posOffset>-2540</wp:posOffset>
            </wp:positionV>
            <wp:extent cx="2887980" cy="1051560"/>
            <wp:effectExtent l="0" t="0" r="7620" b="0"/>
            <wp:wrapSquare wrapText="bothSides"/>
            <wp:docPr id="9162973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87980" cy="1051560"/>
                    </a:xfrm>
                    <a:prstGeom prst="rect">
                      <a:avLst/>
                    </a:prstGeom>
                    <a:noFill/>
                    <a:ln>
                      <a:noFill/>
                    </a:ln>
                  </pic:spPr>
                </pic:pic>
              </a:graphicData>
            </a:graphic>
          </wp:anchor>
        </w:drawing>
      </w:r>
    </w:p>
    <w:p w14:paraId="518F4AC6" w14:textId="77777777" w:rsidR="0017150E" w:rsidRPr="00185EE9" w:rsidRDefault="0017150E" w:rsidP="0017150E">
      <w:pPr>
        <w:spacing w:after="0" w:line="240" w:lineRule="auto"/>
        <w:rPr>
          <w:rFonts w:ascii="Verdana" w:eastAsia="Calibri" w:hAnsi="Verdana" w:cs="Times New Roman"/>
          <w:lang w:val="es-MX"/>
        </w:rPr>
      </w:pPr>
      <w:r w:rsidRPr="00185EE9">
        <w:rPr>
          <w:rFonts w:ascii="Verdana" w:eastAsia="Calibri" w:hAnsi="Verdana" w:cs="Times New Roman"/>
          <w:lang w:val="es-MX"/>
        </w:rPr>
        <w:t>Señor</w:t>
      </w:r>
    </w:p>
    <w:p w14:paraId="01346D18" w14:textId="77777777" w:rsidR="0017150E" w:rsidRPr="00185EE9" w:rsidRDefault="0017150E" w:rsidP="0017150E">
      <w:pPr>
        <w:spacing w:after="0" w:line="240" w:lineRule="auto"/>
        <w:rPr>
          <w:rFonts w:ascii="Verdana" w:eastAsia="Calibri" w:hAnsi="Verdana" w:cs="Times New Roman"/>
          <w:b/>
        </w:rPr>
      </w:pPr>
      <w:r w:rsidRPr="004B71F3">
        <w:rPr>
          <w:rFonts w:ascii="Verdana" w:eastAsia="Calibri" w:hAnsi="Verdana" w:cs="Times New Roman"/>
          <w:b/>
        </w:rPr>
        <w:t>Henry Leonardo Quiroga Avila</w:t>
      </w:r>
      <w:r>
        <w:rPr>
          <w:rFonts w:ascii="Verdana" w:eastAsia="Calibri" w:hAnsi="Verdana" w:cs="Times New Roman"/>
          <w:b/>
        </w:rPr>
        <w:t xml:space="preserve"> </w:t>
      </w:r>
    </w:p>
    <w:p w14:paraId="5349D90E" w14:textId="77777777" w:rsidR="0017150E" w:rsidRPr="001C7BD3" w:rsidRDefault="0017150E" w:rsidP="0017150E">
      <w:pPr>
        <w:spacing w:after="0" w:line="240" w:lineRule="auto"/>
        <w:rPr>
          <w:rFonts w:ascii="Verdana" w:eastAsia="Calibri" w:hAnsi="Verdana" w:cs="Times New Roman"/>
        </w:rPr>
      </w:pPr>
      <w:hyperlink r:id="rId12" w:history="1">
        <w:r w:rsidRPr="00E545A7">
          <w:rPr>
            <w:rStyle w:val="Hipervnculo"/>
            <w:rFonts w:ascii="Verdana" w:eastAsia="Calibri" w:hAnsi="Verdana" w:cs="Times New Roman"/>
          </w:rPr>
          <w:t>abogadohenryquiroga18@gmail.com</w:t>
        </w:r>
      </w:hyperlink>
      <w:r>
        <w:rPr>
          <w:rFonts w:ascii="Verdana" w:eastAsia="Calibri" w:hAnsi="Verdana" w:cs="Times New Roman"/>
        </w:rPr>
        <w:t xml:space="preserve"> </w:t>
      </w:r>
    </w:p>
    <w:p w14:paraId="5318D5C9" w14:textId="77777777" w:rsidR="0017150E" w:rsidRDefault="0017150E" w:rsidP="0017150E">
      <w:pPr>
        <w:spacing w:after="0" w:line="240" w:lineRule="auto"/>
        <w:rPr>
          <w:rFonts w:ascii="Verdana" w:eastAsia="Calibri" w:hAnsi="Verdana" w:cs="Times New Roman"/>
        </w:rPr>
      </w:pPr>
      <w:r>
        <w:rPr>
          <w:rFonts w:ascii="Verdana" w:eastAsia="Calibri" w:hAnsi="Verdana" w:cs="Times New Roman"/>
        </w:rPr>
        <w:t>Bogotá D.C.</w:t>
      </w:r>
    </w:p>
    <w:p w14:paraId="7ACE744E" w14:textId="77777777" w:rsidR="0017150E" w:rsidRDefault="0017150E" w:rsidP="0017150E">
      <w:pPr>
        <w:spacing w:after="0" w:line="256" w:lineRule="auto"/>
        <w:rPr>
          <w:rFonts w:ascii="Verdana" w:eastAsia="Calibri" w:hAnsi="Verdana" w:cs="Times New Roman"/>
        </w:rPr>
      </w:pPr>
    </w:p>
    <w:p w14:paraId="5D50D0F1" w14:textId="77777777" w:rsidR="0017150E" w:rsidRPr="00185EE9" w:rsidRDefault="0017150E" w:rsidP="0017150E">
      <w:pPr>
        <w:spacing w:after="0" w:line="256" w:lineRule="auto"/>
        <w:rPr>
          <w:rFonts w:ascii="Verdana" w:eastAsia="Calibri" w:hAnsi="Verdana" w:cs="Times New Roman"/>
        </w:rPr>
      </w:pPr>
    </w:p>
    <w:p w14:paraId="006C8A17" w14:textId="77777777" w:rsidR="0017150E" w:rsidRPr="00185EE9" w:rsidRDefault="0017150E" w:rsidP="0017150E">
      <w:pPr>
        <w:spacing w:after="0" w:line="256" w:lineRule="auto"/>
        <w:rPr>
          <w:rFonts w:ascii="Verdana" w:eastAsia="Calibri" w:hAnsi="Verdana" w:cs="Times New Roman"/>
          <w:b/>
          <w:bCs/>
          <w:lang w:val="es-ES"/>
        </w:rPr>
      </w:pPr>
      <w:r w:rsidRPr="00185EE9">
        <w:rPr>
          <w:rFonts w:ascii="Verdana" w:eastAsia="Calibri" w:hAnsi="Verdana" w:cs="Times New Roman"/>
          <w:b/>
          <w:bCs/>
          <w:lang w:val="es-ES"/>
        </w:rPr>
        <w:t xml:space="preserve">                                    </w:t>
      </w:r>
      <w:r w:rsidRPr="00F611E3">
        <w:rPr>
          <w:rFonts w:ascii="Verdana" w:eastAsia="Calibri" w:hAnsi="Verdana" w:cs="Times New Roman"/>
          <w:b/>
          <w:bCs/>
          <w:lang w:val="es-ES"/>
        </w:rPr>
        <w:t>Concepto C–</w:t>
      </w:r>
      <w:r>
        <w:rPr>
          <w:rFonts w:ascii="Verdana" w:eastAsia="Calibri" w:hAnsi="Verdana" w:cs="Times New Roman"/>
          <w:b/>
          <w:bCs/>
          <w:lang w:val="es-ES"/>
        </w:rPr>
        <w:t>261</w:t>
      </w:r>
      <w:r w:rsidRPr="00F611E3">
        <w:rPr>
          <w:rFonts w:ascii="Verdana" w:eastAsia="Calibri" w:hAnsi="Verdana" w:cs="Times New Roman"/>
          <w:b/>
          <w:bCs/>
          <w:lang w:val="es-ES"/>
        </w:rPr>
        <w:t xml:space="preserve"> de 202</w:t>
      </w:r>
      <w:r>
        <w:rPr>
          <w:rFonts w:ascii="Verdana" w:eastAsia="Calibri" w:hAnsi="Verdana" w:cs="Times New Roman"/>
          <w:b/>
          <w:bCs/>
          <w:lang w:val="es-ES"/>
        </w:rPr>
        <w:t>6</w:t>
      </w:r>
    </w:p>
    <w:p w14:paraId="5EFA5458" w14:textId="77777777" w:rsidR="0017150E" w:rsidRPr="00185EE9" w:rsidRDefault="0017150E" w:rsidP="0017150E">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17150E" w:rsidRPr="00185EE9" w14:paraId="32E87599" w14:textId="77777777" w:rsidTr="009972BF">
        <w:trPr>
          <w:trHeight w:val="884"/>
        </w:trPr>
        <w:tc>
          <w:tcPr>
            <w:tcW w:w="2685" w:type="dxa"/>
            <w:hideMark/>
          </w:tcPr>
          <w:p w14:paraId="44829274" w14:textId="77777777" w:rsidR="0017150E" w:rsidRPr="00185EE9" w:rsidRDefault="0017150E" w:rsidP="009972BF">
            <w:pPr>
              <w:spacing w:line="256" w:lineRule="auto"/>
              <w:rPr>
                <w:rFonts w:ascii="Verdana" w:hAnsi="Verdana"/>
                <w:b/>
                <w:bCs/>
                <w:lang w:val="es-ES_tradnl"/>
              </w:rPr>
            </w:pPr>
            <w:r w:rsidRPr="00185EE9">
              <w:rPr>
                <w:rFonts w:ascii="Verdana" w:hAnsi="Verdana"/>
                <w:b/>
                <w:bCs/>
                <w:lang w:val="es-ES_tradnl"/>
              </w:rPr>
              <w:t xml:space="preserve">Temas:                   </w:t>
            </w:r>
          </w:p>
        </w:tc>
        <w:tc>
          <w:tcPr>
            <w:tcW w:w="6241" w:type="dxa"/>
            <w:hideMark/>
          </w:tcPr>
          <w:p w14:paraId="60395351" w14:textId="77777777" w:rsidR="0017150E" w:rsidRPr="00081978" w:rsidRDefault="0017150E" w:rsidP="009972BF">
            <w:pPr>
              <w:spacing w:line="276" w:lineRule="auto"/>
              <w:jc w:val="both"/>
              <w:rPr>
                <w:rFonts w:ascii="Verdana" w:hAnsi="Verdana" w:cs="Arial"/>
                <w:bCs/>
                <w:lang w:val="es-MX" w:eastAsia="es-ES"/>
              </w:rPr>
            </w:pPr>
            <w:r w:rsidRPr="00081978">
              <w:rPr>
                <w:rFonts w:ascii="Verdana" w:hAnsi="Verdana" w:cs="Arial"/>
                <w:bCs/>
                <w:lang w:val="es-MX" w:eastAsia="es-ES"/>
              </w:rPr>
              <w:t>SELECCIÓN OBJETIVA –</w:t>
            </w:r>
            <w:r>
              <w:rPr>
                <w:rFonts w:ascii="Verdana" w:hAnsi="Verdana" w:cs="Arial"/>
                <w:bCs/>
                <w:lang w:val="es-MX" w:eastAsia="es-ES"/>
              </w:rPr>
              <w:t xml:space="preserve"> </w:t>
            </w:r>
            <w:r w:rsidRPr="00F91C07">
              <w:rPr>
                <w:rFonts w:ascii="Verdana" w:hAnsi="Verdana" w:cs="Arial"/>
                <w:bCs/>
                <w:lang w:val="es-MX" w:eastAsia="es-ES"/>
              </w:rPr>
              <w:t xml:space="preserve">Ofrecimiento más favorable </w:t>
            </w:r>
            <w:r w:rsidRPr="00081978">
              <w:rPr>
                <w:rFonts w:ascii="Verdana" w:hAnsi="Verdana" w:cs="Arial"/>
                <w:bCs/>
                <w:lang w:val="es-MX" w:eastAsia="es-ES"/>
              </w:rPr>
              <w:t xml:space="preserve">/ </w:t>
            </w:r>
            <w:r>
              <w:rPr>
                <w:rFonts w:ascii="Verdana" w:hAnsi="Verdana" w:cs="Arial"/>
                <w:bCs/>
                <w:lang w:val="es-MX" w:eastAsia="es-ES"/>
              </w:rPr>
              <w:t xml:space="preserve">EXPERIENCIA </w:t>
            </w:r>
            <w:r w:rsidRPr="00081978">
              <w:rPr>
                <w:rFonts w:ascii="Verdana" w:hAnsi="Verdana" w:cs="Arial"/>
                <w:bCs/>
                <w:lang w:val="es-MX" w:eastAsia="es-ES"/>
              </w:rPr>
              <w:t>–</w:t>
            </w:r>
            <w:r>
              <w:rPr>
                <w:rFonts w:ascii="Verdana" w:hAnsi="Verdana" w:cs="Arial"/>
                <w:bCs/>
                <w:lang w:val="es-MX" w:eastAsia="es-ES"/>
              </w:rPr>
              <w:t xml:space="preserve"> Requisito habilitantes y ponderable </w:t>
            </w:r>
            <w:r w:rsidRPr="00081978">
              <w:rPr>
                <w:rFonts w:ascii="Verdana" w:hAnsi="Verdana" w:cs="Arial"/>
                <w:bCs/>
                <w:lang w:val="es-MX" w:eastAsia="es-ES"/>
              </w:rPr>
              <w:t>–</w:t>
            </w:r>
            <w:r>
              <w:rPr>
                <w:rFonts w:ascii="Verdana" w:hAnsi="Verdana" w:cs="Arial"/>
                <w:bCs/>
                <w:lang w:val="es-MX" w:eastAsia="es-ES"/>
              </w:rPr>
              <w:t xml:space="preserve"> Consultoría / </w:t>
            </w:r>
            <w:r w:rsidRPr="00081978">
              <w:rPr>
                <w:rFonts w:ascii="Verdana" w:hAnsi="Verdana" w:cs="Arial"/>
                <w:bCs/>
                <w:lang w:val="es-MX" w:eastAsia="es-ES"/>
              </w:rPr>
              <w:t xml:space="preserve">FACTORES DE CALIDAD – Decreto 142 de 2023 – Decreto 1082 de 2015 – Artículo 2.2.1.1.2.2.2 </w:t>
            </w:r>
          </w:p>
          <w:p w14:paraId="123E28D7" w14:textId="77777777" w:rsidR="0017150E" w:rsidRPr="00A027B7" w:rsidRDefault="0017150E" w:rsidP="009972BF">
            <w:pPr>
              <w:spacing w:line="276" w:lineRule="auto"/>
              <w:jc w:val="both"/>
              <w:rPr>
                <w:rFonts w:ascii="Verdana" w:hAnsi="Verdana" w:cs="Arial"/>
                <w:bCs/>
                <w:lang w:val="es-ES" w:eastAsia="es-ES"/>
              </w:rPr>
            </w:pPr>
          </w:p>
        </w:tc>
        <w:tc>
          <w:tcPr>
            <w:tcW w:w="6237" w:type="dxa"/>
          </w:tcPr>
          <w:p w14:paraId="75B16E7C" w14:textId="77777777" w:rsidR="0017150E" w:rsidRPr="003778AA" w:rsidRDefault="0017150E" w:rsidP="009972BF">
            <w:pPr>
              <w:spacing w:line="256" w:lineRule="auto"/>
              <w:rPr>
                <w:rFonts w:ascii="Verdana" w:hAnsi="Verdana"/>
                <w:lang w:val="es-ES"/>
              </w:rPr>
            </w:pPr>
          </w:p>
        </w:tc>
      </w:tr>
      <w:tr w:rsidR="0017150E" w:rsidRPr="00185EE9" w14:paraId="6373A356" w14:textId="77777777" w:rsidTr="009972BF">
        <w:tc>
          <w:tcPr>
            <w:tcW w:w="2685" w:type="dxa"/>
          </w:tcPr>
          <w:p w14:paraId="1AF42D73" w14:textId="77777777" w:rsidR="0017150E" w:rsidRPr="00185EE9" w:rsidRDefault="0017150E" w:rsidP="009972BF">
            <w:pPr>
              <w:spacing w:line="256" w:lineRule="auto"/>
              <w:rPr>
                <w:rFonts w:ascii="Verdana" w:hAnsi="Verdana"/>
                <w:lang w:val="es-ES_tradnl"/>
              </w:rPr>
            </w:pPr>
          </w:p>
          <w:p w14:paraId="24805777" w14:textId="77777777" w:rsidR="0017150E" w:rsidRPr="00185EE9" w:rsidRDefault="0017150E" w:rsidP="009972BF">
            <w:pPr>
              <w:spacing w:line="256" w:lineRule="auto"/>
              <w:rPr>
                <w:rFonts w:ascii="Verdana" w:hAnsi="Verdana"/>
                <w:b/>
                <w:bCs/>
                <w:lang w:val="es-ES_tradnl"/>
              </w:rPr>
            </w:pPr>
            <w:r w:rsidRPr="00185EE9">
              <w:rPr>
                <w:rFonts w:ascii="Verdana" w:hAnsi="Verdana"/>
                <w:b/>
                <w:bCs/>
                <w:lang w:val="es-ES_tradnl"/>
              </w:rPr>
              <w:t xml:space="preserve">Radicación:               </w:t>
            </w:r>
          </w:p>
        </w:tc>
        <w:tc>
          <w:tcPr>
            <w:tcW w:w="6241" w:type="dxa"/>
          </w:tcPr>
          <w:p w14:paraId="6AA83D08" w14:textId="77777777" w:rsidR="0017150E" w:rsidRPr="00185EE9" w:rsidRDefault="0017150E" w:rsidP="009972BF">
            <w:pPr>
              <w:spacing w:line="257" w:lineRule="auto"/>
              <w:rPr>
                <w:rFonts w:ascii="Verdana" w:hAnsi="Verdana"/>
                <w:lang w:val="es-ES_tradnl"/>
              </w:rPr>
            </w:pPr>
          </w:p>
          <w:p w14:paraId="533A3CB6" w14:textId="77777777" w:rsidR="0017150E" w:rsidRPr="00FD2E94" w:rsidRDefault="0017150E" w:rsidP="009972BF">
            <w:pPr>
              <w:spacing w:line="257" w:lineRule="auto"/>
              <w:jc w:val="both"/>
              <w:rPr>
                <w:rFonts w:ascii="Verdana" w:hAnsi="Verdana"/>
                <w:highlight w:val="yellow"/>
                <w:lang w:val="es-ES_tradnl"/>
              </w:rPr>
            </w:pPr>
            <w:r w:rsidRPr="00185EE9">
              <w:rPr>
                <w:rFonts w:ascii="Verdana" w:hAnsi="Verdana"/>
                <w:lang w:val="es-ES_tradnl"/>
              </w:rPr>
              <w:t>Respuesta a consulta con radicado</w:t>
            </w:r>
            <w:r>
              <w:rPr>
                <w:rFonts w:ascii="Verdana" w:hAnsi="Verdana"/>
                <w:lang w:val="es-ES_tradnl"/>
              </w:rPr>
              <w:t>s</w:t>
            </w:r>
            <w:r w:rsidRPr="00185EE9">
              <w:rPr>
                <w:rFonts w:ascii="Verdana" w:hAnsi="Verdana"/>
                <w:lang w:val="es-ES_tradnl"/>
              </w:rPr>
              <w:t xml:space="preserve"> No</w:t>
            </w:r>
            <w:r>
              <w:rPr>
                <w:rFonts w:ascii="Verdana" w:hAnsi="Verdana"/>
                <w:lang w:val="es-ES_tradnl"/>
              </w:rPr>
              <w:t>s</w:t>
            </w:r>
            <w:r w:rsidRPr="00185EE9">
              <w:rPr>
                <w:rFonts w:ascii="Verdana" w:hAnsi="Verdana"/>
                <w:lang w:val="es-ES_tradnl"/>
              </w:rPr>
              <w:t xml:space="preserve">. </w:t>
            </w:r>
            <w:r w:rsidRPr="004B71F3">
              <w:rPr>
                <w:rFonts w:ascii="Verdana" w:hAnsi="Verdana"/>
              </w:rPr>
              <w:t>1_2026_02_19_002276</w:t>
            </w:r>
            <w:r>
              <w:rPr>
                <w:rFonts w:ascii="Verdana" w:hAnsi="Verdana"/>
              </w:rPr>
              <w:t xml:space="preserve"> y </w:t>
            </w:r>
            <w:r w:rsidRPr="008F7F52">
              <w:rPr>
                <w:rFonts w:ascii="Verdana" w:hAnsi="Verdana"/>
              </w:rPr>
              <w:t>1_2026_02_19_002282</w:t>
            </w:r>
          </w:p>
          <w:p w14:paraId="7C380607" w14:textId="77777777" w:rsidR="0017150E" w:rsidRPr="00185EE9" w:rsidRDefault="0017150E" w:rsidP="009972BF">
            <w:pPr>
              <w:spacing w:line="257" w:lineRule="auto"/>
              <w:jc w:val="both"/>
              <w:rPr>
                <w:rFonts w:ascii="Verdana" w:hAnsi="Verdana"/>
              </w:rPr>
            </w:pPr>
          </w:p>
        </w:tc>
        <w:tc>
          <w:tcPr>
            <w:tcW w:w="6237" w:type="dxa"/>
          </w:tcPr>
          <w:p w14:paraId="0C4C3AAD" w14:textId="77777777" w:rsidR="0017150E" w:rsidRPr="00185EE9" w:rsidRDefault="0017150E" w:rsidP="009972BF">
            <w:pPr>
              <w:spacing w:line="256" w:lineRule="auto"/>
              <w:rPr>
                <w:rFonts w:ascii="Verdana" w:hAnsi="Verdana"/>
                <w:lang w:val="es-ES_tradnl"/>
              </w:rPr>
            </w:pPr>
          </w:p>
        </w:tc>
      </w:tr>
    </w:tbl>
    <w:p w14:paraId="664E05B0" w14:textId="77777777" w:rsidR="0017150E" w:rsidRPr="00185EE9" w:rsidRDefault="0017150E" w:rsidP="0017150E">
      <w:pPr>
        <w:spacing w:after="0" w:line="256" w:lineRule="auto"/>
        <w:rPr>
          <w:rFonts w:ascii="Verdana" w:eastAsia="Calibri" w:hAnsi="Verdana" w:cs="Times New Roman"/>
          <w:lang w:val="es-ES_tradnl"/>
        </w:rPr>
      </w:pPr>
    </w:p>
    <w:p w14:paraId="5A3D1CE8" w14:textId="77777777" w:rsidR="0017150E" w:rsidRPr="00185EE9" w:rsidRDefault="0017150E" w:rsidP="0017150E">
      <w:pPr>
        <w:spacing w:after="0" w:line="256" w:lineRule="auto"/>
        <w:rPr>
          <w:rFonts w:ascii="Verdana" w:eastAsia="Calibri" w:hAnsi="Verdana" w:cs="Times New Roman"/>
          <w:lang w:val="es-ES"/>
        </w:rPr>
      </w:pPr>
      <w:r>
        <w:rPr>
          <w:rFonts w:ascii="Verdana" w:eastAsia="Calibri" w:hAnsi="Verdana" w:cs="Times New Roman"/>
          <w:lang w:val="es-ES"/>
        </w:rPr>
        <w:t xml:space="preserve">Estimado Señor </w:t>
      </w:r>
      <w:r w:rsidRPr="00384440">
        <w:rPr>
          <w:rFonts w:ascii="Verdana" w:eastAsia="Calibri" w:hAnsi="Verdana" w:cs="Times New Roman"/>
          <w:bCs/>
        </w:rPr>
        <w:t>Quiroga</w:t>
      </w:r>
      <w:r w:rsidRPr="00384440">
        <w:rPr>
          <w:rFonts w:ascii="Verdana" w:eastAsia="Calibri" w:hAnsi="Verdana" w:cs="Times New Roman"/>
          <w:bCs/>
          <w:lang w:val="es-ES"/>
        </w:rPr>
        <w:t>:</w:t>
      </w:r>
      <w:r w:rsidRPr="00185EE9">
        <w:rPr>
          <w:rFonts w:ascii="Verdana" w:eastAsia="Calibri" w:hAnsi="Verdana" w:cs="Times New Roman"/>
          <w:lang w:val="es-ES"/>
        </w:rPr>
        <w:t xml:space="preserve"> </w:t>
      </w:r>
    </w:p>
    <w:p w14:paraId="758AE6AA" w14:textId="77777777" w:rsidR="0017150E" w:rsidRPr="00185EE9" w:rsidRDefault="0017150E" w:rsidP="0017150E">
      <w:pPr>
        <w:spacing w:after="0" w:line="256" w:lineRule="auto"/>
        <w:rPr>
          <w:rFonts w:ascii="Verdana" w:eastAsia="Calibri" w:hAnsi="Verdana" w:cs="Times New Roman"/>
          <w:lang w:val="es-ES"/>
        </w:rPr>
      </w:pPr>
    </w:p>
    <w:p w14:paraId="6CC007A8" w14:textId="77777777" w:rsidR="0017150E" w:rsidRPr="00185EE9" w:rsidRDefault="0017150E" w:rsidP="0017150E">
      <w:pPr>
        <w:spacing w:after="0" w:line="276" w:lineRule="auto"/>
        <w:jc w:val="both"/>
        <w:rPr>
          <w:rFonts w:ascii="Verdana" w:eastAsia="Calibri" w:hAnsi="Verdana" w:cs="Times New Roman"/>
          <w:lang w:val="es-ES"/>
        </w:rPr>
      </w:pPr>
      <w:r w:rsidRPr="00185EE9">
        <w:rPr>
          <w:rFonts w:ascii="Verdana" w:eastAsia="Calibri" w:hAnsi="Verdana" w:cs="Times New Roman"/>
          <w:lang w:val="es-ES"/>
        </w:rPr>
        <w:t xml:space="preserve">En ejercicio de la competencia otorgada por los artículos 3, numeral 5º, y 11, numeral 8º, del Decreto Ley 4170 de 2011, </w:t>
      </w:r>
      <w:r w:rsidRPr="008F0726">
        <w:rPr>
          <w:rFonts w:ascii="Verdana" w:hAnsi="Verdana" w:cs="Arial"/>
          <w:color w:val="000000" w:themeColor="text1"/>
        </w:rPr>
        <w:t>así como lo establecido</w:t>
      </w:r>
      <w:r w:rsidRPr="008F0726">
        <w:rPr>
          <w:rFonts w:ascii="Verdana" w:hAnsi="Verdana" w:cs="Arial"/>
        </w:rPr>
        <w:t xml:space="preserve"> por la </w:t>
      </w:r>
      <w:r w:rsidRPr="008F0726">
        <w:rPr>
          <w:rFonts w:ascii="Verdana" w:eastAsia="Calibri" w:hAnsi="Verdana" w:cs="Times New Roman"/>
          <w:bCs/>
        </w:rPr>
        <w:t xml:space="preserve">Resolución 469 de 2025 </w:t>
      </w:r>
      <w:r w:rsidRPr="008F0726">
        <w:rPr>
          <w:rFonts w:ascii="Verdana" w:hAnsi="Verdana" w:cs="Arial"/>
          <w:color w:val="000000" w:themeColor="text1"/>
        </w:rPr>
        <w:t>expedida por esta Entidad</w:t>
      </w:r>
      <w:r>
        <w:rPr>
          <w:rFonts w:ascii="Verdana" w:eastAsia="Calibri" w:hAnsi="Verdana" w:cs="Times New Roman"/>
          <w:lang w:val="es-ES"/>
        </w:rPr>
        <w:t xml:space="preserve">, </w:t>
      </w:r>
      <w:r w:rsidRPr="00185EE9">
        <w:rPr>
          <w:rFonts w:ascii="Verdana" w:eastAsia="Calibri" w:hAnsi="Verdana" w:cs="Times New Roman"/>
          <w:lang w:val="es-ES"/>
        </w:rPr>
        <w:t>la Agencia Nacional de Contratación Pública – Colombia Compra Eficiente– respo</w:t>
      </w:r>
      <w:r>
        <w:rPr>
          <w:rFonts w:ascii="Verdana" w:eastAsia="Calibri" w:hAnsi="Verdana" w:cs="Times New Roman"/>
          <w:lang w:val="es-ES"/>
        </w:rPr>
        <w:t>nde sus solicitudes de consulta presentadas el 19 de febrero de 2026</w:t>
      </w:r>
      <w:r w:rsidRPr="00185EE9">
        <w:rPr>
          <w:rFonts w:ascii="Verdana" w:eastAsia="Calibri" w:hAnsi="Verdana" w:cs="Times New Roman"/>
          <w:lang w:val="es-ES"/>
        </w:rPr>
        <w:t>, en</w:t>
      </w:r>
      <w:r>
        <w:rPr>
          <w:rFonts w:ascii="Verdana" w:eastAsia="Calibri" w:hAnsi="Verdana" w:cs="Times New Roman"/>
          <w:lang w:val="es-ES"/>
        </w:rPr>
        <w:t xml:space="preserve"> la cual manifiesta lo siguiente</w:t>
      </w:r>
      <w:r w:rsidRPr="00185EE9">
        <w:rPr>
          <w:rFonts w:ascii="Verdana" w:eastAsia="Calibri" w:hAnsi="Verdana" w:cs="Times New Roman"/>
          <w:lang w:val="es-ES"/>
        </w:rPr>
        <w:t>:</w:t>
      </w:r>
    </w:p>
    <w:p w14:paraId="1DF2BAA2" w14:textId="77777777" w:rsidR="0017150E" w:rsidRPr="0097354A" w:rsidRDefault="0017150E" w:rsidP="0017150E">
      <w:pPr>
        <w:spacing w:after="0" w:line="240" w:lineRule="auto"/>
        <w:jc w:val="both"/>
        <w:rPr>
          <w:rFonts w:ascii="Verdana" w:eastAsia="Calibri" w:hAnsi="Verdana" w:cs="Times New Roman"/>
          <w:i/>
          <w:lang w:val="es-ES"/>
        </w:rPr>
      </w:pPr>
    </w:p>
    <w:p w14:paraId="03EEA369" w14:textId="77777777" w:rsidR="0017150E" w:rsidRDefault="0017150E" w:rsidP="0017150E">
      <w:pPr>
        <w:spacing w:after="0" w:line="240" w:lineRule="auto"/>
        <w:ind w:left="709" w:right="709"/>
        <w:jc w:val="both"/>
        <w:rPr>
          <w:rFonts w:ascii="Verdana" w:eastAsia="Calibri" w:hAnsi="Verdana" w:cs="Times New Roman"/>
          <w:iCs/>
          <w:sz w:val="20"/>
          <w:szCs w:val="20"/>
          <w:lang w:val="es-ES"/>
        </w:rPr>
      </w:pPr>
      <w:r w:rsidRPr="00C359CF">
        <w:rPr>
          <w:rFonts w:ascii="Verdana" w:eastAsia="Calibri" w:hAnsi="Verdana" w:cs="Times New Roman"/>
          <w:iCs/>
          <w:sz w:val="20"/>
          <w:szCs w:val="20"/>
          <w:lang w:val="es-ES"/>
        </w:rPr>
        <w:t>“¿Es posible en la modalidad de selección por Licitación Pública otorgar</w:t>
      </w:r>
      <w:r>
        <w:rPr>
          <w:rFonts w:ascii="Verdana" w:eastAsia="Calibri" w:hAnsi="Verdana" w:cs="Times New Roman"/>
          <w:iCs/>
          <w:sz w:val="20"/>
          <w:szCs w:val="20"/>
          <w:lang w:val="es-ES"/>
        </w:rPr>
        <w:t xml:space="preserve"> </w:t>
      </w:r>
      <w:r w:rsidRPr="00C359CF">
        <w:rPr>
          <w:rFonts w:ascii="Verdana" w:eastAsia="Calibri" w:hAnsi="Verdana" w:cs="Times New Roman"/>
          <w:iCs/>
          <w:sz w:val="20"/>
          <w:szCs w:val="20"/>
          <w:lang w:val="es-ES"/>
        </w:rPr>
        <w:t>puntaje a la experiencia y formación académica del personal o equipo de</w:t>
      </w:r>
      <w:r>
        <w:rPr>
          <w:rFonts w:ascii="Verdana" w:eastAsia="Calibri" w:hAnsi="Verdana" w:cs="Times New Roman"/>
          <w:iCs/>
          <w:sz w:val="20"/>
          <w:szCs w:val="20"/>
          <w:lang w:val="es-ES"/>
        </w:rPr>
        <w:t xml:space="preserve"> </w:t>
      </w:r>
      <w:r w:rsidRPr="00C359CF">
        <w:rPr>
          <w:rFonts w:ascii="Verdana" w:eastAsia="Calibri" w:hAnsi="Verdana" w:cs="Times New Roman"/>
          <w:iCs/>
          <w:sz w:val="20"/>
          <w:szCs w:val="20"/>
          <w:lang w:val="es-ES"/>
        </w:rPr>
        <w:t>trabajo de un proponente?</w:t>
      </w:r>
    </w:p>
    <w:p w14:paraId="74FF9C5A" w14:textId="77777777" w:rsidR="0017150E" w:rsidRPr="00C359CF" w:rsidRDefault="0017150E" w:rsidP="0017150E">
      <w:pPr>
        <w:spacing w:after="0" w:line="240" w:lineRule="auto"/>
        <w:ind w:left="709" w:right="709"/>
        <w:jc w:val="both"/>
        <w:rPr>
          <w:rFonts w:ascii="Verdana" w:eastAsia="Calibri" w:hAnsi="Verdana" w:cs="Times New Roman"/>
          <w:iCs/>
          <w:sz w:val="20"/>
          <w:szCs w:val="20"/>
          <w:lang w:val="es-ES"/>
        </w:rPr>
      </w:pPr>
    </w:p>
    <w:p w14:paraId="0D1E2528" w14:textId="77777777" w:rsidR="0017150E" w:rsidRDefault="0017150E" w:rsidP="0017150E">
      <w:pPr>
        <w:spacing w:after="0" w:line="240" w:lineRule="auto"/>
        <w:ind w:left="709" w:right="709"/>
        <w:jc w:val="both"/>
        <w:rPr>
          <w:rFonts w:ascii="Verdana" w:eastAsia="Calibri" w:hAnsi="Verdana" w:cs="Times New Roman"/>
          <w:iCs/>
          <w:sz w:val="20"/>
          <w:szCs w:val="20"/>
          <w:lang w:val="es-ES"/>
        </w:rPr>
      </w:pPr>
      <w:r w:rsidRPr="00C359CF">
        <w:rPr>
          <w:rFonts w:ascii="Verdana" w:eastAsia="Calibri" w:hAnsi="Verdana" w:cs="Times New Roman"/>
          <w:iCs/>
          <w:sz w:val="20"/>
          <w:szCs w:val="20"/>
          <w:lang w:val="es-ES"/>
        </w:rPr>
        <w:t>¿En caso de ser negativa la anterior pregunta, que norma de manera</w:t>
      </w:r>
      <w:r>
        <w:rPr>
          <w:rFonts w:ascii="Verdana" w:eastAsia="Calibri" w:hAnsi="Verdana" w:cs="Times New Roman"/>
          <w:iCs/>
          <w:sz w:val="20"/>
          <w:szCs w:val="20"/>
          <w:lang w:val="es-ES"/>
        </w:rPr>
        <w:t xml:space="preserve"> </w:t>
      </w:r>
      <w:r w:rsidRPr="00C359CF">
        <w:rPr>
          <w:rFonts w:ascii="Verdana" w:eastAsia="Calibri" w:hAnsi="Verdana" w:cs="Times New Roman"/>
          <w:iCs/>
          <w:sz w:val="20"/>
          <w:szCs w:val="20"/>
          <w:lang w:val="es-ES"/>
        </w:rPr>
        <w:t>taxativa prohíbe puntuar la experiencia y la formación académica del</w:t>
      </w:r>
      <w:r>
        <w:rPr>
          <w:rFonts w:ascii="Verdana" w:eastAsia="Calibri" w:hAnsi="Verdana" w:cs="Times New Roman"/>
          <w:iCs/>
          <w:sz w:val="20"/>
          <w:szCs w:val="20"/>
          <w:lang w:val="es-ES"/>
        </w:rPr>
        <w:t xml:space="preserve"> </w:t>
      </w:r>
      <w:r w:rsidRPr="00C359CF">
        <w:rPr>
          <w:rFonts w:ascii="Verdana" w:eastAsia="Calibri" w:hAnsi="Verdana" w:cs="Times New Roman"/>
          <w:iCs/>
          <w:sz w:val="20"/>
          <w:szCs w:val="20"/>
          <w:lang w:val="es-ES"/>
        </w:rPr>
        <w:t>equipo de trabajo en la modalidad de selección por la licitación pública?</w:t>
      </w:r>
    </w:p>
    <w:p w14:paraId="588417C4" w14:textId="77777777" w:rsidR="0017150E" w:rsidRDefault="0017150E" w:rsidP="0017150E">
      <w:pPr>
        <w:spacing w:after="0" w:line="240" w:lineRule="auto"/>
        <w:ind w:left="709" w:right="709"/>
        <w:jc w:val="both"/>
        <w:rPr>
          <w:rFonts w:ascii="Verdana" w:eastAsia="Calibri" w:hAnsi="Verdana" w:cs="Times New Roman"/>
          <w:iCs/>
          <w:sz w:val="20"/>
          <w:szCs w:val="20"/>
        </w:rPr>
      </w:pPr>
    </w:p>
    <w:p w14:paraId="5E90A8CC" w14:textId="77777777" w:rsidR="0017150E" w:rsidRPr="00C359CF" w:rsidRDefault="0017150E" w:rsidP="0017150E">
      <w:pPr>
        <w:spacing w:after="0" w:line="240" w:lineRule="auto"/>
        <w:ind w:left="709" w:right="709"/>
        <w:jc w:val="both"/>
        <w:rPr>
          <w:rFonts w:ascii="Verdana" w:eastAsia="Calibri" w:hAnsi="Verdana" w:cs="Times New Roman"/>
          <w:iCs/>
          <w:sz w:val="20"/>
          <w:szCs w:val="20"/>
          <w:lang w:val="es-ES"/>
        </w:rPr>
      </w:pPr>
      <w:r w:rsidRPr="00872DEA">
        <w:rPr>
          <w:rFonts w:ascii="Verdana" w:eastAsia="Calibri" w:hAnsi="Verdana" w:cs="Times New Roman"/>
          <w:iCs/>
          <w:sz w:val="20"/>
          <w:szCs w:val="20"/>
        </w:rPr>
        <w:t>Teniendo en cuenta que la Ley 1150 de 2007 en su artículo 5 numeral 1, existe una prohibición para ponderar u otorgar puntaje a la experiencia específicamente de los PROPONENTES, ¿es posible considerar que la restricción de otorgar puntaje a la experiencia se extienda a la del equipo de trabajo del proponente y las razones jurídicas del por qué aplicaría la restricción? atendiendo que el legislador no estableció tal prohibición. ¿Se puede considerar que el proponente y el equipo de trabajo es lo mismo?</w:t>
      </w:r>
      <w:r w:rsidRPr="00C359CF">
        <w:rPr>
          <w:rFonts w:ascii="Verdana" w:eastAsia="Calibri" w:hAnsi="Verdana" w:cs="Times New Roman"/>
          <w:iCs/>
          <w:sz w:val="20"/>
          <w:szCs w:val="20"/>
          <w:lang w:val="es-ES"/>
        </w:rPr>
        <w:t xml:space="preserve">” </w:t>
      </w:r>
    </w:p>
    <w:p w14:paraId="6EA877D8" w14:textId="77777777" w:rsidR="0017150E" w:rsidRPr="00185EE9" w:rsidRDefault="0017150E" w:rsidP="0017150E">
      <w:pPr>
        <w:spacing w:after="0" w:line="256" w:lineRule="auto"/>
        <w:jc w:val="both"/>
        <w:rPr>
          <w:rFonts w:ascii="Verdana" w:eastAsia="Calibri" w:hAnsi="Verdana" w:cs="Times New Roman"/>
          <w:lang w:val="es-ES"/>
        </w:rPr>
      </w:pPr>
    </w:p>
    <w:p w14:paraId="500A7C39" w14:textId="77777777" w:rsidR="0017150E" w:rsidRPr="00A94D14" w:rsidRDefault="0017150E" w:rsidP="0017150E">
      <w:pPr>
        <w:spacing w:after="120" w:line="276" w:lineRule="auto"/>
        <w:ind w:firstLine="709"/>
        <w:jc w:val="both"/>
        <w:rPr>
          <w:rFonts w:ascii="Verdana" w:eastAsia="Calibri" w:hAnsi="Verdana" w:cs="Times New Roman"/>
          <w:lang w:val="es-ES"/>
        </w:rPr>
      </w:pPr>
      <w:r w:rsidRPr="00A94D14">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D4C8022" w14:textId="77777777" w:rsidR="0017150E" w:rsidRPr="00A32373" w:rsidRDefault="0017150E" w:rsidP="0017150E">
      <w:pPr>
        <w:spacing w:after="0" w:line="276" w:lineRule="auto"/>
        <w:ind w:firstLine="708"/>
        <w:jc w:val="both"/>
        <w:rPr>
          <w:rFonts w:ascii="Verdana" w:eastAsia="Calibri" w:hAnsi="Verdana" w:cs="Times New Roman"/>
          <w:lang w:val="es-ES"/>
        </w:rPr>
      </w:pPr>
      <w:r w:rsidRPr="00A32373">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3ADC61A2" w14:textId="77777777" w:rsidR="0017150E" w:rsidRPr="00A32373" w:rsidRDefault="0017150E" w:rsidP="0017150E">
      <w:pPr>
        <w:spacing w:after="0" w:line="256" w:lineRule="auto"/>
        <w:rPr>
          <w:rFonts w:ascii="Verdana" w:eastAsia="Calibri" w:hAnsi="Verdana" w:cs="Times New Roman"/>
          <w:lang w:val="es-ES"/>
        </w:rPr>
      </w:pPr>
    </w:p>
    <w:p w14:paraId="339A500E" w14:textId="77777777" w:rsidR="0017150E" w:rsidRPr="00A32373" w:rsidRDefault="0017150E" w:rsidP="0017150E">
      <w:pPr>
        <w:pStyle w:val="Prrafodelista"/>
        <w:numPr>
          <w:ilvl w:val="0"/>
          <w:numId w:val="19"/>
        </w:numPr>
        <w:spacing w:after="0" w:line="256" w:lineRule="auto"/>
        <w:rPr>
          <w:rFonts w:ascii="Verdana" w:eastAsia="Calibri" w:hAnsi="Verdana" w:cs="Times New Roman"/>
          <w:b/>
          <w:bCs/>
        </w:rPr>
      </w:pPr>
      <w:r w:rsidRPr="00A32373">
        <w:rPr>
          <w:rFonts w:ascii="Verdana" w:eastAsia="Calibri" w:hAnsi="Verdana" w:cs="Times New Roman"/>
          <w:b/>
          <w:bCs/>
        </w:rPr>
        <w:t>Problema planteado:</w:t>
      </w:r>
    </w:p>
    <w:p w14:paraId="41FDF883" w14:textId="77777777" w:rsidR="0017150E" w:rsidRPr="00A32373" w:rsidRDefault="0017150E" w:rsidP="0017150E">
      <w:pPr>
        <w:spacing w:after="0" w:line="256" w:lineRule="auto"/>
        <w:rPr>
          <w:rFonts w:ascii="Verdana" w:eastAsia="Calibri" w:hAnsi="Verdana" w:cs="Times New Roman"/>
        </w:rPr>
      </w:pPr>
    </w:p>
    <w:p w14:paraId="473381BF" w14:textId="77777777" w:rsidR="0017150E" w:rsidRPr="00D12F63" w:rsidRDefault="0017150E" w:rsidP="0017150E">
      <w:pPr>
        <w:spacing w:after="0" w:line="276" w:lineRule="auto"/>
        <w:jc w:val="both"/>
        <w:rPr>
          <w:rFonts w:ascii="Verdana" w:eastAsia="Calibri" w:hAnsi="Verdana" w:cs="Times New Roman"/>
          <w:lang w:val="es-ES"/>
        </w:rPr>
      </w:pPr>
      <w:r w:rsidRPr="00A32373">
        <w:rPr>
          <w:rFonts w:ascii="Verdana" w:eastAsia="Calibri" w:hAnsi="Verdana" w:cs="Times New Roman"/>
        </w:rPr>
        <w:t>De acuerdo con el contenido de su solicitud, esta Agencia procede a resolver</w:t>
      </w:r>
      <w:r>
        <w:rPr>
          <w:rFonts w:ascii="Verdana" w:eastAsia="Calibri" w:hAnsi="Verdana" w:cs="Times New Roman"/>
        </w:rPr>
        <w:t xml:space="preserve"> sus inquietudes en el siguiente problema jurídico:</w:t>
      </w:r>
      <w:r>
        <w:rPr>
          <w:rFonts w:ascii="Verdana" w:eastAsia="Calibri" w:hAnsi="Verdana" w:cs="Times New Roman"/>
          <w:i/>
          <w:lang w:val="es-ES"/>
        </w:rPr>
        <w:t xml:space="preserve"> </w:t>
      </w:r>
      <w:r w:rsidRPr="0023665D">
        <w:rPr>
          <w:rFonts w:ascii="Verdana" w:eastAsia="Calibri" w:hAnsi="Verdana" w:cs="Times New Roman"/>
          <w:lang w:val="es-ES"/>
        </w:rPr>
        <w:t>¿</w:t>
      </w:r>
      <w:r>
        <w:rPr>
          <w:rFonts w:ascii="Verdana" w:eastAsia="Century Gothic" w:hAnsi="Verdana" w:cs="Century Gothic"/>
        </w:rPr>
        <w:t xml:space="preserve">Es posible otorgar puntaje a la experiencia adicional a la mínima requerida </w:t>
      </w:r>
      <w:r>
        <w:rPr>
          <w:rFonts w:ascii="Verdana" w:eastAsia="Calibri" w:hAnsi="Verdana" w:cs="Times New Roman"/>
          <w:lang w:val="es-ES"/>
        </w:rPr>
        <w:t>en la modalidad de contratación de licitación pública</w:t>
      </w:r>
      <w:r w:rsidRPr="0023665D">
        <w:rPr>
          <w:rFonts w:ascii="Verdana" w:eastAsia="Calibri" w:hAnsi="Verdana" w:cs="Times New Roman"/>
          <w:lang w:val="es-ES"/>
        </w:rPr>
        <w:t>?</w:t>
      </w:r>
    </w:p>
    <w:p w14:paraId="1E055328" w14:textId="77777777" w:rsidR="0017150E" w:rsidRPr="00A32373" w:rsidRDefault="0017150E" w:rsidP="0017150E">
      <w:pPr>
        <w:spacing w:after="0" w:line="256" w:lineRule="auto"/>
        <w:rPr>
          <w:rFonts w:ascii="Verdana" w:eastAsia="Calibri" w:hAnsi="Verdana" w:cs="Times New Roman"/>
        </w:rPr>
      </w:pPr>
    </w:p>
    <w:p w14:paraId="4D53E60B" w14:textId="77777777" w:rsidR="0017150E" w:rsidRPr="00A32373" w:rsidRDefault="0017150E" w:rsidP="0017150E">
      <w:pPr>
        <w:pStyle w:val="Prrafodelista"/>
        <w:numPr>
          <w:ilvl w:val="0"/>
          <w:numId w:val="19"/>
        </w:numPr>
        <w:spacing w:after="0" w:line="256" w:lineRule="auto"/>
        <w:rPr>
          <w:rFonts w:ascii="Verdana" w:eastAsia="Calibri" w:hAnsi="Verdana" w:cs="Times New Roman"/>
          <w:b/>
          <w:bCs/>
        </w:rPr>
      </w:pPr>
      <w:r w:rsidRPr="00A32373">
        <w:rPr>
          <w:rFonts w:ascii="Verdana" w:eastAsia="Calibri" w:hAnsi="Verdana" w:cs="Times New Roman"/>
          <w:b/>
          <w:bCs/>
        </w:rPr>
        <w:t>Respuesta:</w:t>
      </w:r>
    </w:p>
    <w:p w14:paraId="26AD1CE6" w14:textId="77777777" w:rsidR="0017150E" w:rsidRDefault="0017150E" w:rsidP="0017150E">
      <w:pPr>
        <w:spacing w:after="0" w:line="25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17150E" w:rsidRPr="009B3595" w14:paraId="171AB1BA" w14:textId="77777777" w:rsidTr="009972BF">
        <w:trPr>
          <w:trHeight w:val="207"/>
          <w:jc w:val="center"/>
        </w:trPr>
        <w:tc>
          <w:tcPr>
            <w:tcW w:w="8784" w:type="dxa"/>
          </w:tcPr>
          <w:p w14:paraId="5A3A626B" w14:textId="77777777" w:rsidR="0017150E" w:rsidRDefault="0017150E" w:rsidP="009972BF">
            <w:pPr>
              <w:spacing w:after="120" w:line="276" w:lineRule="auto"/>
              <w:jc w:val="both"/>
              <w:rPr>
                <w:rFonts w:ascii="Verdana" w:eastAsia="Calibri" w:hAnsi="Verdana" w:cs="Arial"/>
              </w:rPr>
            </w:pPr>
            <w:r>
              <w:rPr>
                <w:rFonts w:ascii="Verdana" w:eastAsia="Arial" w:hAnsi="Verdana" w:cs="Arial"/>
                <w:color w:val="000000" w:themeColor="text1"/>
              </w:rPr>
              <w:t xml:space="preserve">De conformidad con el numeral 1 del artículo 5 de la Ley 1150 de 2007 </w:t>
            </w:r>
            <w:r w:rsidRPr="005E7FB7">
              <w:rPr>
                <w:rFonts w:ascii="Verdana" w:eastAsia="Arial" w:hAnsi="Verdana" w:cs="Arial"/>
                <w:color w:val="000000" w:themeColor="text1"/>
              </w:rPr>
              <w:t>la</w:t>
            </w:r>
            <w:r>
              <w:rPr>
                <w:rFonts w:ascii="Verdana" w:eastAsia="Arial" w:hAnsi="Verdana" w:cs="Arial"/>
                <w:color w:val="000000" w:themeColor="text1"/>
              </w:rPr>
              <w:t xml:space="preserve"> </w:t>
            </w:r>
            <w:r w:rsidRPr="005E7FB7">
              <w:rPr>
                <w:rFonts w:ascii="Verdana" w:eastAsia="Arial" w:hAnsi="Verdana" w:cs="Arial"/>
                <w:color w:val="000000" w:themeColor="text1"/>
              </w:rPr>
              <w:t>experienci</w:t>
            </w:r>
            <w:r>
              <w:rPr>
                <w:rFonts w:ascii="Verdana" w:eastAsia="Arial" w:hAnsi="Verdana" w:cs="Arial"/>
                <w:color w:val="000000" w:themeColor="text1"/>
              </w:rPr>
              <w:t xml:space="preserve">a es </w:t>
            </w:r>
            <w:r w:rsidRPr="005E7FB7">
              <w:rPr>
                <w:rFonts w:ascii="Verdana" w:eastAsia="Arial" w:hAnsi="Verdana" w:cs="Arial"/>
                <w:color w:val="000000" w:themeColor="text1"/>
              </w:rPr>
              <w:t>objeto de verificación de cumplimiento como requisito habilitante para la participación en el proceso de selección y no otorgará puntaje, con excepción de lo previsto en el numeral 4</w:t>
            </w:r>
            <w:r>
              <w:rPr>
                <w:rFonts w:ascii="Verdana" w:eastAsia="Arial" w:hAnsi="Verdana" w:cs="Arial"/>
                <w:color w:val="000000" w:themeColor="text1"/>
              </w:rPr>
              <w:t xml:space="preserve"> </w:t>
            </w:r>
            <w:r w:rsidRPr="008F34D4">
              <w:rPr>
                <w:rFonts w:ascii="Verdana" w:eastAsia="Arial" w:hAnsi="Verdana" w:cs="Arial"/>
                <w:i/>
                <w:iCs/>
                <w:color w:val="000000" w:themeColor="text1"/>
              </w:rPr>
              <w:t>ibidem</w:t>
            </w:r>
            <w:r>
              <w:rPr>
                <w:rFonts w:ascii="Verdana" w:eastAsia="Arial" w:hAnsi="Verdana" w:cs="Arial"/>
                <w:color w:val="000000" w:themeColor="text1"/>
              </w:rPr>
              <w:t xml:space="preserve">. </w:t>
            </w:r>
            <w:r>
              <w:rPr>
                <w:rFonts w:ascii="Verdana" w:eastAsia="Calibri" w:hAnsi="Verdana" w:cs="Arial"/>
              </w:rPr>
              <w:t xml:space="preserve">Según este numeral </w:t>
            </w:r>
            <w:r w:rsidRPr="00341B96">
              <w:rPr>
                <w:rFonts w:ascii="Verdana" w:eastAsia="Calibri" w:hAnsi="Verdana" w:cs="Arial"/>
              </w:rPr>
              <w:t>se podrán utilizar criterios de experiencia específica del oferente y del equipo de trabajo en el campo correspondiente para la selección de consultores</w:t>
            </w:r>
            <w:r>
              <w:rPr>
                <w:rFonts w:ascii="Verdana" w:eastAsia="Calibri" w:hAnsi="Verdana" w:cs="Arial"/>
              </w:rPr>
              <w:t xml:space="preserve">. </w:t>
            </w:r>
          </w:p>
          <w:p w14:paraId="0CDE8BED" w14:textId="77777777" w:rsidR="0017150E" w:rsidRPr="00242AB2" w:rsidRDefault="0017150E" w:rsidP="009972BF">
            <w:pPr>
              <w:spacing w:after="120" w:line="276" w:lineRule="auto"/>
              <w:ind w:firstLine="709"/>
              <w:jc w:val="both"/>
              <w:rPr>
                <w:rFonts w:ascii="Verdana" w:eastAsia="Arial" w:hAnsi="Verdana" w:cs="Arial"/>
                <w:color w:val="000000"/>
              </w:rPr>
            </w:pPr>
            <w:r>
              <w:rPr>
                <w:rFonts w:ascii="Verdana" w:eastAsia="Calibri" w:hAnsi="Verdana" w:cs="Arial"/>
              </w:rPr>
              <w:lastRenderedPageBreak/>
              <w:t xml:space="preserve">Al respecto, es pertinente destacar que esta fue la intención </w:t>
            </w:r>
            <w:r w:rsidRPr="00711FA2">
              <w:rPr>
                <w:rFonts w:ascii="Verdana" w:eastAsia="Calibri" w:hAnsi="Verdana" w:cs="Arial"/>
              </w:rPr>
              <w:t xml:space="preserve">del proyecto de ley que se convirtió en la </w:t>
            </w:r>
            <w:r>
              <w:rPr>
                <w:rFonts w:ascii="Verdana" w:eastAsia="Calibri" w:hAnsi="Verdana" w:cs="Arial"/>
              </w:rPr>
              <w:t>L</w:t>
            </w:r>
            <w:r w:rsidRPr="00711FA2">
              <w:rPr>
                <w:rFonts w:ascii="Verdana" w:eastAsia="Calibri" w:hAnsi="Verdana" w:cs="Arial"/>
              </w:rPr>
              <w:t xml:space="preserve">ey 1150 de 2007, </w:t>
            </w:r>
            <w:r>
              <w:rPr>
                <w:rFonts w:ascii="Verdana" w:eastAsia="Calibri" w:hAnsi="Verdana" w:cs="Arial"/>
              </w:rPr>
              <w:t xml:space="preserve">que </w:t>
            </w:r>
            <w:r w:rsidRPr="00711FA2">
              <w:rPr>
                <w:rFonts w:ascii="Verdana" w:eastAsia="Calibri" w:hAnsi="Verdana" w:cs="Arial"/>
              </w:rPr>
              <w:t>de acuerdo con la</w:t>
            </w:r>
            <w:r>
              <w:rPr>
                <w:rFonts w:ascii="Verdana" w:eastAsia="Calibri" w:hAnsi="Verdana" w:cs="Arial"/>
              </w:rPr>
              <w:t xml:space="preserve"> </w:t>
            </w:r>
            <w:r w:rsidRPr="00711FA2">
              <w:rPr>
                <w:rFonts w:ascii="Verdana" w:eastAsia="Calibri" w:hAnsi="Verdana" w:cs="Arial"/>
              </w:rPr>
              <w:t>exposición de motivos</w:t>
            </w:r>
            <w:r>
              <w:rPr>
                <w:rFonts w:ascii="Verdana" w:eastAsia="Calibri" w:hAnsi="Verdana" w:cs="Arial"/>
              </w:rPr>
              <w:t xml:space="preserve"> indicó que</w:t>
            </w:r>
            <w:r w:rsidRPr="00242AB2">
              <w:rPr>
                <w:rFonts w:ascii="Verdana" w:eastAsia="Calibri" w:hAnsi="Verdana" w:cs="Arial"/>
                <w:i/>
              </w:rPr>
              <w:t>:</w:t>
            </w:r>
            <w:r>
              <w:rPr>
                <w:rFonts w:ascii="Verdana" w:eastAsia="Calibri" w:hAnsi="Verdana" w:cs="Arial"/>
                <w:i/>
                <w:iCs/>
              </w:rPr>
              <w:t xml:space="preserve"> </w:t>
            </w:r>
            <w:r w:rsidRPr="00242AB2">
              <w:rPr>
                <w:rFonts w:ascii="Verdana" w:eastAsia="Arial" w:hAnsi="Verdana" w:cs="Arial"/>
                <w:i/>
                <w:color w:val="000000"/>
              </w:rPr>
              <w:t xml:space="preserve">“Las condiciones del oferente referidas a su capacidad y financiera, así como a su experiencia, no podrán ser utilizadas para darle un mayor puntaje. Serán simplemente factores habilitadores para la participación en un determinado proceso de selección, con lo cual se limitará la posibilidad de diseñar procesos “a la medida” de proponentes determinados. </w:t>
            </w:r>
            <w:r w:rsidRPr="00242AB2">
              <w:rPr>
                <w:rFonts w:ascii="Verdana" w:eastAsia="Arial" w:hAnsi="Verdana" w:cs="Arial"/>
                <w:b/>
                <w:i/>
                <w:color w:val="000000"/>
              </w:rPr>
              <w:t>La única excepción a este criterio está constituida por la selección de consultores, en la que se reconoce la posibilidad de valorar la formación y experiencia del proponente, en razón al alto contenido intelectual que requiere el desarrollo de tales contratos.</w:t>
            </w:r>
            <w:r w:rsidRPr="00242AB2">
              <w:rPr>
                <w:rFonts w:ascii="Verdana" w:eastAsia="Arial" w:hAnsi="Verdana" w:cs="Arial"/>
                <w:i/>
                <w:color w:val="000000"/>
              </w:rPr>
              <w:t>”</w:t>
            </w:r>
            <w:r>
              <w:rPr>
                <w:rFonts w:ascii="Verdana" w:hAnsi="Verdana" w:cs="Arial"/>
              </w:rPr>
              <w:t xml:space="preserve"> [Énfasis por fuera del texto]</w:t>
            </w:r>
            <w:r w:rsidRPr="00242AB2">
              <w:rPr>
                <w:rFonts w:ascii="Verdana" w:eastAsia="Arial" w:hAnsi="Verdana" w:cs="Arial"/>
                <w:color w:val="000000"/>
              </w:rPr>
              <w:t>.</w:t>
            </w:r>
          </w:p>
          <w:p w14:paraId="50AAA989" w14:textId="77777777" w:rsidR="0017150E" w:rsidRDefault="0017150E" w:rsidP="009972BF">
            <w:pPr>
              <w:spacing w:after="120" w:line="276" w:lineRule="auto"/>
              <w:ind w:firstLine="709"/>
              <w:jc w:val="both"/>
              <w:rPr>
                <w:rFonts w:ascii="Verdana" w:hAnsi="Verdana" w:cs="Arial"/>
              </w:rPr>
            </w:pPr>
            <w:r>
              <w:rPr>
                <w:rFonts w:ascii="Verdana" w:hAnsi="Verdana" w:cs="Arial"/>
                <w:lang w:val="es-ES_tradnl"/>
              </w:rPr>
              <w:t xml:space="preserve">En concordancia con lo anterior, </w:t>
            </w:r>
            <w:r>
              <w:rPr>
                <w:rFonts w:ascii="Verdana" w:hAnsi="Verdana" w:cs="Arial"/>
              </w:rPr>
              <w:t xml:space="preserve">el artículo 2.2.1.2.1.3.2. del Decreto 1082 de 2015, modificado por el Decreto 399 de 2021, establece que </w:t>
            </w:r>
            <w:r>
              <w:rPr>
                <w:rFonts w:ascii="Verdana" w:hAnsi="Verdana" w:cs="Arial"/>
                <w:lang w:val="es-ES_tradnl"/>
              </w:rPr>
              <w:t>e</w:t>
            </w:r>
            <w:r>
              <w:rPr>
                <w:rFonts w:ascii="Verdana" w:hAnsi="Verdana" w:cs="Arial"/>
              </w:rPr>
              <w:t xml:space="preserve">l procedimiento para la escogencia de consultores es el concurso de méritos, y determina la experiencia como un factor que otorga puntaje. Así lo dispone el numeral 1.1 de dicha norma que dispone: “La Entidad Estatal en los pliegos de condiciones debe indicar la forma como calificará, entre otros, los siguientes criterios: </w:t>
            </w:r>
            <w:r>
              <w:rPr>
                <w:rFonts w:ascii="Verdana" w:hAnsi="Verdana" w:cs="Arial"/>
                <w:i/>
                <w:iCs/>
              </w:rPr>
              <w:t xml:space="preserve">a) la experiencia del interesado y del equipo de trabajo </w:t>
            </w:r>
            <w:r>
              <w:rPr>
                <w:rFonts w:ascii="Verdana" w:hAnsi="Verdana" w:cs="Arial"/>
              </w:rPr>
              <w:t>y b) la formación académica del equipo de trabajo</w:t>
            </w:r>
            <w:r>
              <w:rPr>
                <w:rFonts w:ascii="Verdana" w:hAnsi="Verdana" w:cs="Arial"/>
                <w:i/>
                <w:iCs/>
              </w:rPr>
              <w:t xml:space="preserve">” </w:t>
            </w:r>
            <w:r>
              <w:rPr>
                <w:rFonts w:ascii="Verdana" w:hAnsi="Verdana" w:cs="Arial"/>
              </w:rPr>
              <w:t>[Énfasis por fuera del texto],</w:t>
            </w:r>
            <w:r>
              <w:rPr>
                <w:rFonts w:ascii="Verdana" w:hAnsi="Verdana" w:cs="Arial"/>
                <w:i/>
                <w:iCs/>
              </w:rPr>
              <w:t xml:space="preserve"> </w:t>
            </w:r>
            <w:r>
              <w:rPr>
                <w:rFonts w:ascii="Verdana" w:hAnsi="Verdana" w:cs="Arial"/>
              </w:rPr>
              <w:t>excluyendo el precio como factor de escogencia.</w:t>
            </w:r>
          </w:p>
          <w:p w14:paraId="3E36CD94" w14:textId="77777777" w:rsidR="0017150E" w:rsidRDefault="0017150E" w:rsidP="009972BF">
            <w:pPr>
              <w:spacing w:after="120" w:line="276" w:lineRule="auto"/>
              <w:ind w:firstLine="709"/>
              <w:jc w:val="both"/>
              <w:rPr>
                <w:rFonts w:ascii="Verdana" w:hAnsi="Verdana" w:cs="Arial"/>
              </w:rPr>
            </w:pPr>
            <w:r>
              <w:rPr>
                <w:rFonts w:ascii="Verdana" w:hAnsi="Verdana" w:cs="Arial"/>
              </w:rPr>
              <w:t xml:space="preserve">Conforme con lo expuesto,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 </w:t>
            </w:r>
          </w:p>
          <w:p w14:paraId="57797451" w14:textId="77777777" w:rsidR="0017150E" w:rsidRDefault="0017150E" w:rsidP="009972BF">
            <w:pPr>
              <w:spacing w:after="120" w:line="276" w:lineRule="auto"/>
              <w:ind w:firstLine="709"/>
              <w:jc w:val="both"/>
              <w:rPr>
                <w:rFonts w:ascii="Verdana" w:eastAsia="Arial" w:hAnsi="Verdana" w:cs="Arial"/>
                <w:color w:val="000000"/>
              </w:rPr>
            </w:pPr>
            <w:r>
              <w:rPr>
                <w:rFonts w:ascii="Verdana" w:hAnsi="Verdana" w:cs="Arial"/>
              </w:rPr>
              <w:t>Por su parte, el</w:t>
            </w:r>
            <w:r w:rsidRPr="00654462">
              <w:rPr>
                <w:rFonts w:ascii="Verdana" w:eastAsia="Arial" w:hAnsi="Verdana" w:cs="Arial"/>
                <w:color w:val="000000"/>
              </w:rPr>
              <w:t xml:space="preserve"> artículo 2.2.1.1.2.2.2 del Decreto 1082 de 2015, modificado por el Decreto 142 de 2023</w:t>
            </w:r>
            <w:r>
              <w:rPr>
                <w:rFonts w:ascii="Verdana" w:eastAsia="Arial" w:hAnsi="Verdana" w:cs="Arial"/>
                <w:color w:val="000000"/>
              </w:rPr>
              <w:t>, señala que en la licitación pública y la selección abreviada de menor cuantía,</w:t>
            </w:r>
            <w:r w:rsidRPr="00654462">
              <w:rPr>
                <w:rFonts w:ascii="Verdana" w:eastAsia="Arial" w:hAnsi="Verdana" w:cs="Arial"/>
                <w:color w:val="000000"/>
              </w:rPr>
              <w:t xml:space="preserve"> </w:t>
            </w:r>
            <w:r>
              <w:rPr>
                <w:rFonts w:ascii="Verdana" w:eastAsia="Arial" w:hAnsi="Verdana" w:cs="Arial"/>
                <w:color w:val="000000"/>
              </w:rPr>
              <w:t xml:space="preserve">la entidad debe determinar la oferta más favorable teniendo en cuenta: </w:t>
            </w:r>
            <w:r w:rsidRPr="006B449A">
              <w:rPr>
                <w:rFonts w:ascii="Verdana" w:eastAsia="Arial" w:hAnsi="Verdana" w:cs="Arial"/>
                <w:color w:val="000000"/>
              </w:rPr>
              <w:t>(a) la ponderación de los elementos de calidad y precio soportados en puntajes o fórmulas; o (b) la ponderación de los elementos de calidad y precio que representen la mejor relación de costo-beneficio</w:t>
            </w:r>
            <w:r>
              <w:rPr>
                <w:rFonts w:ascii="Verdana" w:eastAsia="Arial" w:hAnsi="Verdana" w:cs="Arial"/>
                <w:color w:val="000000"/>
              </w:rPr>
              <w:t xml:space="preserve">. </w:t>
            </w:r>
            <w:r w:rsidRPr="00654462">
              <w:rPr>
                <w:rFonts w:ascii="Verdana" w:eastAsia="Arial" w:hAnsi="Verdana" w:cs="Arial"/>
                <w:color w:val="000000"/>
              </w:rPr>
              <w:t xml:space="preserve">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w:t>
            </w:r>
            <w:r w:rsidRPr="00654462">
              <w:rPr>
                <w:rFonts w:ascii="Verdana" w:eastAsia="Arial" w:hAnsi="Verdana" w:cs="Arial"/>
                <w:color w:val="000000"/>
              </w:rPr>
              <w:lastRenderedPageBreak/>
              <w:t xml:space="preserve">oferta más favorable en estos casos debe determinarse ponderando en las ofertas: i) las condiciones técnicas y económicas mínimas; </w:t>
            </w:r>
            <w:proofErr w:type="spellStart"/>
            <w:r w:rsidRPr="00654462">
              <w:rPr>
                <w:rFonts w:ascii="Verdana" w:eastAsia="Arial" w:hAnsi="Verdana" w:cs="Arial"/>
                <w:color w:val="000000"/>
              </w:rPr>
              <w:t>ii</w:t>
            </w:r>
            <w:proofErr w:type="spellEnd"/>
            <w:r w:rsidRPr="00654462">
              <w:rPr>
                <w:rFonts w:ascii="Verdana" w:eastAsia="Arial" w:hAnsi="Verdana" w:cs="Arial"/>
                <w:color w:val="000000"/>
              </w:rPr>
              <w:t xml:space="preserve">) las condiciones técnicas adicionales que representan ventajas de calidad o de funcionamiento; </w:t>
            </w:r>
            <w:proofErr w:type="spellStart"/>
            <w:r w:rsidRPr="00654462">
              <w:rPr>
                <w:rFonts w:ascii="Verdana" w:eastAsia="Arial" w:hAnsi="Verdana" w:cs="Arial"/>
                <w:color w:val="000000"/>
              </w:rPr>
              <w:t>iii</w:t>
            </w:r>
            <w:proofErr w:type="spellEnd"/>
            <w:r w:rsidRPr="00654462">
              <w:rPr>
                <w:rFonts w:ascii="Verdana" w:eastAsia="Arial" w:hAnsi="Verdana" w:cs="Arial"/>
                <w:color w:val="000000"/>
              </w:rPr>
              <w:t xml:space="preserve">) las condiciones económicas adicionales que representen ventajas en términos de economía, eficiencia y eficacia; y </w:t>
            </w:r>
            <w:proofErr w:type="spellStart"/>
            <w:r w:rsidRPr="00654462">
              <w:rPr>
                <w:rFonts w:ascii="Verdana" w:eastAsia="Arial" w:hAnsi="Verdana" w:cs="Arial"/>
                <w:color w:val="000000"/>
              </w:rPr>
              <w:t>iv</w:t>
            </w:r>
            <w:proofErr w:type="spellEnd"/>
            <w:r w:rsidRPr="00654462">
              <w:rPr>
                <w:rFonts w:ascii="Verdana" w:eastAsia="Arial" w:hAnsi="Verdana" w:cs="Arial"/>
                <w:color w:val="000000"/>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14:paraId="69702130" w14:textId="77777777" w:rsidR="0017150E" w:rsidRPr="009B22B0" w:rsidRDefault="0017150E" w:rsidP="009972BF">
            <w:pPr>
              <w:spacing w:after="120" w:line="276" w:lineRule="auto"/>
              <w:ind w:firstLine="709"/>
              <w:jc w:val="both"/>
              <w:rPr>
                <w:rFonts w:ascii="Verdana" w:eastAsia="Arial" w:hAnsi="Verdana" w:cs="Arial"/>
                <w:color w:val="000000"/>
                <w:lang w:val="es-ES_tradnl"/>
              </w:rPr>
            </w:pPr>
            <w:r>
              <w:rPr>
                <w:rFonts w:ascii="Verdana" w:eastAsia="Arial" w:hAnsi="Verdana" w:cs="Arial"/>
                <w:color w:val="000000"/>
              </w:rPr>
              <w:t xml:space="preserve">Según se evidencia, a diferencia de lo señalado </w:t>
            </w:r>
            <w:r w:rsidRPr="00341B96">
              <w:rPr>
                <w:rFonts w:ascii="Verdana" w:eastAsia="Calibri" w:hAnsi="Verdana" w:cs="Arial"/>
              </w:rPr>
              <w:t>para la selección de consultores</w:t>
            </w:r>
            <w:r>
              <w:rPr>
                <w:rFonts w:ascii="Verdana" w:eastAsia="Calibri" w:hAnsi="Verdana" w:cs="Arial"/>
              </w:rPr>
              <w:t xml:space="preserve">, para la licitación pública la norma no establece como requisito de ponderación o puntaje la experiencia </w:t>
            </w:r>
            <w:r>
              <w:rPr>
                <w:rFonts w:ascii="Verdana" w:hAnsi="Verdana" w:cs="Arial"/>
              </w:rPr>
              <w:t xml:space="preserve">del interesado y su equipo de trabajo, sino factores de calidad y precio. Estos </w:t>
            </w:r>
            <w:r>
              <w:rPr>
                <w:rFonts w:ascii="Verdana" w:eastAsia="Arial" w:hAnsi="Verdana" w:cs="Arial"/>
                <w:color w:val="000000"/>
              </w:rPr>
              <w:t xml:space="preserve">aspectos técnicos adicionales deben establecer </w:t>
            </w:r>
            <w:r w:rsidRPr="004B1E87">
              <w:rPr>
                <w:rFonts w:ascii="Verdana" w:eastAsia="Arial" w:hAnsi="Verdana" w:cs="Arial"/>
                <w:color w:val="000000"/>
              </w:rPr>
              <w:t>ventajas en la calida</w:t>
            </w:r>
            <w:r>
              <w:rPr>
                <w:rFonts w:ascii="Verdana" w:eastAsia="Arial" w:hAnsi="Verdana" w:cs="Arial"/>
                <w:color w:val="000000"/>
              </w:rPr>
              <w:t xml:space="preserve">d o funcionamiento de la </w:t>
            </w:r>
            <w:r w:rsidRPr="000F22C0">
              <w:rPr>
                <w:rFonts w:ascii="Verdana" w:eastAsia="Arial" w:hAnsi="Verdana" w:cs="Arial"/>
                <w:i/>
                <w:iCs/>
                <w:color w:val="000000"/>
              </w:rPr>
              <w:t>oferta</w:t>
            </w:r>
            <w:r>
              <w:rPr>
                <w:rFonts w:ascii="Verdana" w:eastAsia="Arial" w:hAnsi="Verdana" w:cs="Arial"/>
                <w:color w:val="000000"/>
              </w:rPr>
              <w:t xml:space="preserve">, como ocurre con </w:t>
            </w:r>
            <w:r w:rsidRPr="008B52C6">
              <w:rPr>
                <w:rFonts w:ascii="Verdana" w:eastAsia="Arial" w:hAnsi="Verdana" w:cs="Arial"/>
                <w:color w:val="000000"/>
              </w:rPr>
              <w:t>la calidad de los materiales que se empleará</w:t>
            </w:r>
            <w:r>
              <w:rPr>
                <w:rFonts w:ascii="Verdana" w:eastAsia="Arial" w:hAnsi="Verdana" w:cs="Arial"/>
                <w:color w:val="000000"/>
              </w:rPr>
              <w:t>n en la construcción de la obra,</w:t>
            </w:r>
            <w:r w:rsidRPr="008B52C6">
              <w:rPr>
                <w:rFonts w:ascii="Verdana" w:eastAsia="Arial" w:hAnsi="Verdana" w:cs="Arial"/>
                <w:color w:val="000000"/>
              </w:rPr>
              <w:t xml:space="preserve"> los procedimientos constructivos </w:t>
            </w:r>
            <w:r>
              <w:rPr>
                <w:rFonts w:ascii="Verdana" w:eastAsia="Arial" w:hAnsi="Verdana" w:cs="Arial"/>
                <w:color w:val="000000"/>
              </w:rPr>
              <w:t>aplicables,</w:t>
            </w:r>
            <w:r w:rsidRPr="008B52C6">
              <w:rPr>
                <w:rFonts w:ascii="Verdana" w:eastAsia="Arial" w:hAnsi="Verdana" w:cs="Arial"/>
                <w:color w:val="000000"/>
              </w:rPr>
              <w:t xml:space="preserve"> las características estéticas o funcionales</w:t>
            </w:r>
            <w:r>
              <w:rPr>
                <w:rFonts w:ascii="Verdana" w:eastAsia="Arial" w:hAnsi="Verdana" w:cs="Arial"/>
                <w:color w:val="000000"/>
              </w:rPr>
              <w:t xml:space="preserve">, cuadrilla adicional, implementación del programa de gerencia de proyectos, la adopción del plan de calidad, etc. En cuanto a los aspectos económicos puede asignar </w:t>
            </w:r>
            <w:r w:rsidRPr="004B1E87">
              <w:rPr>
                <w:rFonts w:ascii="Verdana" w:eastAsia="Arial" w:hAnsi="Verdana" w:cs="Arial"/>
                <w:color w:val="000000"/>
              </w:rPr>
              <w:t>ventajas</w:t>
            </w:r>
            <w:r>
              <w:rPr>
                <w:rFonts w:ascii="Verdana" w:eastAsia="Arial" w:hAnsi="Verdana" w:cs="Arial"/>
                <w:color w:val="000000"/>
              </w:rPr>
              <w:t xml:space="preserve"> adicionales</w:t>
            </w:r>
            <w:r w:rsidRPr="004B1E87">
              <w:rPr>
                <w:rFonts w:ascii="Verdana" w:eastAsia="Arial" w:hAnsi="Verdana" w:cs="Arial"/>
                <w:color w:val="000000"/>
              </w:rPr>
              <w:t xml:space="preserve"> en términos de eficiencia o eficacia</w:t>
            </w:r>
            <w:r>
              <w:rPr>
                <w:rFonts w:ascii="Verdana" w:eastAsia="Arial" w:hAnsi="Verdana" w:cs="Arial"/>
                <w:color w:val="000000"/>
              </w:rPr>
              <w:t xml:space="preserve">. De esta forma, en estos procesos los factores técnicos deben relacionarse </w:t>
            </w:r>
            <w:r w:rsidRPr="0047463D">
              <w:rPr>
                <w:rFonts w:ascii="Verdana" w:eastAsia="Arial" w:hAnsi="Verdana" w:cs="Arial"/>
                <w:color w:val="000000"/>
                <w:lang w:val="es-ES_tradnl"/>
              </w:rPr>
              <w:t>con las características del objeto a contratar</w:t>
            </w:r>
            <w:r>
              <w:rPr>
                <w:rFonts w:ascii="Verdana" w:eastAsia="Arial" w:hAnsi="Verdana" w:cs="Arial"/>
                <w:color w:val="000000"/>
                <w:lang w:val="es-ES_tradnl"/>
              </w:rPr>
              <w:t xml:space="preserve"> y la oferta</w:t>
            </w:r>
            <w:r w:rsidRPr="0047463D">
              <w:rPr>
                <w:rFonts w:ascii="Verdana" w:eastAsia="Arial" w:hAnsi="Verdana" w:cs="Arial"/>
                <w:color w:val="000000"/>
                <w:lang w:val="es-ES_tradnl"/>
              </w:rPr>
              <w:t xml:space="preserve"> </w:t>
            </w:r>
            <w:r>
              <w:rPr>
                <w:rFonts w:ascii="Verdana" w:eastAsia="Arial" w:hAnsi="Verdana" w:cs="Arial"/>
                <w:color w:val="000000"/>
                <w:lang w:val="es-ES_tradnl"/>
              </w:rPr>
              <w:t xml:space="preserve">y no con aspectos propios de la condición del proponente, que por demás, son evaluados como requisitos habilitantes. </w:t>
            </w:r>
          </w:p>
          <w:p w14:paraId="0DB61F82" w14:textId="77777777" w:rsidR="0017150E" w:rsidRDefault="0017150E" w:rsidP="009972BF">
            <w:pPr>
              <w:spacing w:after="120" w:line="276" w:lineRule="auto"/>
              <w:ind w:firstLine="709"/>
              <w:jc w:val="both"/>
              <w:rPr>
                <w:rFonts w:ascii="Verdana" w:hAnsi="Verdana" w:cs="Arial"/>
              </w:rPr>
            </w:pPr>
            <w:r>
              <w:rPr>
                <w:rFonts w:ascii="Verdana" w:hAnsi="Verdana" w:cs="Arial"/>
              </w:rPr>
              <w:t xml:space="preserve">Dicho esto, se concluye que de acuerdo con el marco legal vigente, </w:t>
            </w:r>
            <w:r w:rsidRPr="000F3ED6">
              <w:rPr>
                <w:rFonts w:ascii="Verdana" w:hAnsi="Verdana" w:cs="Arial"/>
              </w:rPr>
              <w:t xml:space="preserve">en las demás modalidades de contratación </w:t>
            </w:r>
            <w:r>
              <w:rPr>
                <w:rFonts w:ascii="Verdana" w:hAnsi="Verdana" w:cs="Arial"/>
              </w:rPr>
              <w:t xml:space="preserve">distintas al concurso de méritos para la escogencia de consultores, </w:t>
            </w:r>
            <w:r w:rsidRPr="000F3ED6">
              <w:rPr>
                <w:rFonts w:ascii="Verdana" w:hAnsi="Verdana" w:cs="Arial"/>
              </w:rPr>
              <w:t>la experiencia</w:t>
            </w:r>
            <w:r>
              <w:rPr>
                <w:rFonts w:ascii="Verdana" w:hAnsi="Verdana" w:cs="Arial"/>
              </w:rPr>
              <w:t xml:space="preserve"> del proponente o del equipo de trabajo</w:t>
            </w:r>
            <w:r w:rsidRPr="000F3ED6">
              <w:rPr>
                <w:rFonts w:ascii="Verdana" w:hAnsi="Verdana" w:cs="Arial"/>
              </w:rPr>
              <w:t xml:space="preserve"> no es un factor ponderable. </w:t>
            </w:r>
            <w:r w:rsidRPr="006910AD">
              <w:rPr>
                <w:rFonts w:ascii="Verdana" w:hAnsi="Verdana" w:cs="Arial"/>
              </w:rPr>
              <w:t>Esta interpretación se deriva</w:t>
            </w:r>
            <w:r>
              <w:rPr>
                <w:rFonts w:ascii="Verdana" w:hAnsi="Verdana" w:cs="Arial"/>
              </w:rPr>
              <w:t xml:space="preserve"> </w:t>
            </w:r>
            <w:r w:rsidRPr="006910AD">
              <w:rPr>
                <w:rFonts w:ascii="Verdana" w:hAnsi="Verdana" w:cs="Arial"/>
              </w:rPr>
              <w:t xml:space="preserve">de lo dispuesto en el artículo 5 de la Ley 1150 de 2007, el cual establece de manera expresa que la experiencia corresponde a un requisito habilitante y, en consecuencia, no otorgará puntaje dentro de los procesos de selección. </w:t>
            </w:r>
            <w:r>
              <w:rPr>
                <w:rFonts w:ascii="Verdana" w:hAnsi="Verdana" w:cs="Arial"/>
              </w:rPr>
              <w:t>Además, e</w:t>
            </w:r>
            <w:r w:rsidRPr="006910AD">
              <w:rPr>
                <w:rFonts w:ascii="Verdana" w:hAnsi="Verdana" w:cs="Arial"/>
              </w:rPr>
              <w:t>sta previsión normativa responde</w:t>
            </w:r>
            <w:r>
              <w:rPr>
                <w:rFonts w:ascii="Verdana" w:hAnsi="Verdana" w:cs="Arial"/>
              </w:rPr>
              <w:t xml:space="preserve"> a la intención del </w:t>
            </w:r>
            <w:r w:rsidRPr="006910AD">
              <w:rPr>
                <w:rFonts w:ascii="Verdana" w:hAnsi="Verdana" w:cs="Arial"/>
              </w:rPr>
              <w:t xml:space="preserve">legislador </w:t>
            </w:r>
            <w:r>
              <w:rPr>
                <w:rFonts w:ascii="Verdana" w:hAnsi="Verdana" w:cs="Arial"/>
              </w:rPr>
              <w:t xml:space="preserve">de establecer </w:t>
            </w:r>
            <w:r w:rsidRPr="006910AD">
              <w:rPr>
                <w:rFonts w:ascii="Verdana" w:hAnsi="Verdana" w:cs="Arial"/>
              </w:rPr>
              <w:t xml:space="preserve">una excepción expresa a esta regla únicamente para el caso del concurso de méritos, en la cual la experiencia sí puede ser objeto de </w:t>
            </w:r>
            <w:r>
              <w:rPr>
                <w:rFonts w:ascii="Verdana" w:hAnsi="Verdana" w:cs="Arial"/>
              </w:rPr>
              <w:t>calificación</w:t>
            </w:r>
            <w:r w:rsidRPr="006910AD">
              <w:rPr>
                <w:rFonts w:ascii="Verdana" w:hAnsi="Verdana" w:cs="Arial"/>
              </w:rPr>
              <w:t xml:space="preserve">. </w:t>
            </w:r>
            <w:r>
              <w:rPr>
                <w:rFonts w:ascii="Verdana" w:hAnsi="Verdana" w:cs="Arial"/>
              </w:rPr>
              <w:t>En tal sentido, por f</w:t>
            </w:r>
            <w:r w:rsidRPr="006910AD">
              <w:rPr>
                <w:rFonts w:ascii="Verdana" w:hAnsi="Verdana" w:cs="Arial"/>
              </w:rPr>
              <w:t xml:space="preserve">uera de este supuesto la experiencia no puede </w:t>
            </w:r>
            <w:r w:rsidRPr="006910AD">
              <w:rPr>
                <w:rFonts w:ascii="Verdana" w:hAnsi="Verdana" w:cs="Arial"/>
              </w:rPr>
              <w:lastRenderedPageBreak/>
              <w:t>emplearse como criterio de asignación de puntaje, pues su función dentro del proceso de contratación estatal se limita a verificar la idoneidad y aptitud del proponente para ejecutar el objeto contractual.</w:t>
            </w:r>
          </w:p>
          <w:p w14:paraId="1EE37560" w14:textId="77777777" w:rsidR="0017150E" w:rsidRPr="005F236E" w:rsidRDefault="0017150E" w:rsidP="009972BF">
            <w:pPr>
              <w:spacing w:after="120" w:line="276" w:lineRule="auto"/>
              <w:ind w:firstLine="709"/>
              <w:jc w:val="both"/>
              <w:rPr>
                <w:rFonts w:ascii="Verdana" w:hAnsi="Verdana" w:cs="Arial"/>
              </w:rPr>
            </w:pPr>
            <w:r>
              <w:rPr>
                <w:rFonts w:ascii="Verdana" w:hAnsi="Verdana" w:cs="Arial"/>
              </w:rPr>
              <w:t>Así las cosas</w:t>
            </w:r>
            <w:r w:rsidRPr="000F3ED6">
              <w:rPr>
                <w:rFonts w:ascii="Verdana" w:hAnsi="Verdana" w:cs="Arial"/>
              </w:rPr>
              <w:t xml:space="preserve">, </w:t>
            </w:r>
            <w:r>
              <w:rPr>
                <w:rFonts w:ascii="Verdana" w:hAnsi="Verdana" w:cs="Arial"/>
              </w:rPr>
              <w:t xml:space="preserve">para todas las demás modalidades de contratación distinta del concurso de méritos, </w:t>
            </w:r>
            <w:r w:rsidRPr="000F3ED6">
              <w:rPr>
                <w:rFonts w:ascii="Verdana" w:hAnsi="Verdana" w:cs="Arial"/>
              </w:rPr>
              <w:t>los contratos aportados por el proponente</w:t>
            </w:r>
            <w:r>
              <w:rPr>
                <w:rFonts w:ascii="Verdana" w:hAnsi="Verdana" w:cs="Arial"/>
              </w:rPr>
              <w:t xml:space="preserve"> </w:t>
            </w:r>
            <w:r w:rsidRPr="000F3ED6">
              <w:rPr>
                <w:rFonts w:ascii="Verdana" w:hAnsi="Verdana" w:cs="Arial"/>
              </w:rPr>
              <w:t xml:space="preserve">deben ser evaluados como experiencia en cuanto a los requisitos habilitantes que miden la aptitud del proponente. En ese orden de ideas, el factor de calidad </w:t>
            </w:r>
            <w:r>
              <w:rPr>
                <w:rFonts w:ascii="Verdana" w:hAnsi="Verdana" w:cs="Arial"/>
              </w:rPr>
              <w:t xml:space="preserve">en los procesos de licitación pública </w:t>
            </w:r>
            <w:r w:rsidRPr="000F3ED6">
              <w:rPr>
                <w:rFonts w:ascii="Verdana" w:hAnsi="Verdana" w:cs="Arial"/>
              </w:rPr>
              <w:t>debe calificarse a través de otros factores de conformidad con el numeral 2 del artículo 5 de la Ley 1150 de 2007, de naturaleza técnica o económica, asociados a la calidad del bien o servicio</w:t>
            </w:r>
            <w:r>
              <w:rPr>
                <w:rFonts w:ascii="Verdana" w:hAnsi="Verdana" w:cs="Arial"/>
              </w:rPr>
              <w:t xml:space="preserve">. </w:t>
            </w:r>
            <w:r>
              <w:rPr>
                <w:rFonts w:ascii="Verdana" w:eastAsia="Calibri" w:hAnsi="Verdana" w:cs="Arial"/>
              </w:rPr>
              <w:t xml:space="preserve">  </w:t>
            </w:r>
          </w:p>
        </w:tc>
      </w:tr>
    </w:tbl>
    <w:p w14:paraId="7620FBD7" w14:textId="77777777" w:rsidR="0017150E" w:rsidRPr="00185EE9" w:rsidRDefault="0017150E" w:rsidP="0017150E">
      <w:pPr>
        <w:tabs>
          <w:tab w:val="left" w:pos="567"/>
        </w:tabs>
        <w:spacing w:after="120" w:line="276" w:lineRule="auto"/>
        <w:jc w:val="both"/>
        <w:rPr>
          <w:rFonts w:ascii="Verdana" w:eastAsia="Calibri" w:hAnsi="Verdana" w:cs="Arial"/>
          <w:bCs/>
          <w:color w:val="000000" w:themeColor="text1"/>
        </w:rPr>
      </w:pPr>
    </w:p>
    <w:p w14:paraId="6A6A6E0D" w14:textId="77777777" w:rsidR="0017150E" w:rsidRPr="00185EE9" w:rsidRDefault="0017150E" w:rsidP="0017150E">
      <w:pPr>
        <w:numPr>
          <w:ilvl w:val="0"/>
          <w:numId w:val="19"/>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Razones de la respuesta:</w:t>
      </w:r>
    </w:p>
    <w:p w14:paraId="100CC7CF" w14:textId="77777777" w:rsidR="0017150E" w:rsidRPr="00185EE9" w:rsidRDefault="0017150E" w:rsidP="0017150E">
      <w:pPr>
        <w:spacing w:after="0" w:line="256" w:lineRule="auto"/>
        <w:rPr>
          <w:rFonts w:ascii="Verdana" w:eastAsia="Calibri" w:hAnsi="Verdana" w:cs="Times New Roman"/>
          <w:b/>
          <w:bCs/>
          <w:lang w:val="es-ES"/>
        </w:rPr>
      </w:pPr>
    </w:p>
    <w:p w14:paraId="555A16EE" w14:textId="77777777" w:rsidR="0017150E" w:rsidRDefault="0017150E" w:rsidP="0017150E">
      <w:pPr>
        <w:spacing w:after="0" w:line="276" w:lineRule="auto"/>
        <w:jc w:val="both"/>
        <w:rPr>
          <w:rFonts w:ascii="Verdana" w:eastAsia="Calibri" w:hAnsi="Verdana" w:cs="Arial"/>
          <w:lang w:val="es-ES"/>
        </w:rPr>
      </w:pPr>
      <w:r w:rsidRPr="00185EE9">
        <w:rPr>
          <w:rFonts w:ascii="Verdana" w:eastAsia="Calibri" w:hAnsi="Verdana" w:cs="Arial"/>
          <w:lang w:val="es-ES"/>
        </w:rPr>
        <w:t xml:space="preserve">Lo anterior se sustenta en </w:t>
      </w:r>
      <w:r>
        <w:rPr>
          <w:rFonts w:ascii="Verdana" w:eastAsia="Calibri" w:hAnsi="Verdana" w:cs="Arial"/>
          <w:lang w:val="es-ES"/>
        </w:rPr>
        <w:t>las siguientes consideraciones:</w:t>
      </w:r>
    </w:p>
    <w:p w14:paraId="7C2E9448" w14:textId="77777777" w:rsidR="0017150E" w:rsidRPr="00654462" w:rsidRDefault="0017150E" w:rsidP="0017150E">
      <w:pPr>
        <w:spacing w:after="0" w:line="276" w:lineRule="auto"/>
        <w:jc w:val="both"/>
        <w:rPr>
          <w:rFonts w:ascii="Verdana" w:eastAsia="Calibri" w:hAnsi="Verdana" w:cs="Arial"/>
          <w:lang w:val="es-ES"/>
        </w:rPr>
      </w:pPr>
    </w:p>
    <w:p w14:paraId="21FB769C" w14:textId="77777777" w:rsidR="0017150E" w:rsidRPr="00654462" w:rsidRDefault="0017150E" w:rsidP="0017150E">
      <w:pPr>
        <w:spacing w:after="0" w:line="276" w:lineRule="auto"/>
        <w:jc w:val="both"/>
        <w:rPr>
          <w:rFonts w:ascii="Verdana" w:eastAsia="Arial" w:hAnsi="Verdana" w:cs="Arial"/>
          <w:color w:val="000000"/>
        </w:rPr>
      </w:pPr>
      <w:r w:rsidRPr="00654462">
        <w:rPr>
          <w:rFonts w:ascii="Verdana" w:eastAsia="Arial" w:hAnsi="Verdana" w:cs="Arial"/>
          <w:color w:val="000000"/>
        </w:rPr>
        <w:t xml:space="preserve">Uno de los principios transversales de los procedimientos de selección es el de </w:t>
      </w:r>
      <w:r w:rsidRPr="00654462">
        <w:rPr>
          <w:rFonts w:ascii="Verdana" w:eastAsia="Arial" w:hAnsi="Verdana" w:cs="Arial"/>
          <w:i/>
          <w:color w:val="000000"/>
        </w:rPr>
        <w:t>selección objetiva</w:t>
      </w:r>
      <w:r w:rsidRPr="00654462">
        <w:rPr>
          <w:rFonts w:ascii="Verdana" w:eastAsia="Arial" w:hAnsi="Verdana" w:cs="Arial"/>
          <w:color w:val="000000"/>
        </w:rPr>
        <w:t>. Se trata del postulado que exige que la escogencia de la oferta ganadora deba fundamentarse en factores objetivos, de carácter técnico, jurídico y financiero, y no en criterios subjetivos, como el afecto, la amistad, el ánimo de</w:t>
      </w:r>
      <w:r>
        <w:rPr>
          <w:rFonts w:ascii="Verdana" w:eastAsia="Arial" w:hAnsi="Verdana" w:cs="Arial"/>
          <w:color w:val="000000"/>
        </w:rPr>
        <w:t xml:space="preserve"> ayuda, el interés personal, entre otros</w:t>
      </w:r>
      <w:r w:rsidRPr="00654462">
        <w:rPr>
          <w:rFonts w:ascii="Verdana" w:eastAsia="Arial" w:hAnsi="Verdana" w:cs="Arial"/>
          <w:color w:val="000000"/>
        </w:rPr>
        <w:t>. Si bien dentro de la historia de la contratación pública en Colombia se vislumbran antecedentes normativos que consagraban dicho principio</w:t>
      </w:r>
      <w:r w:rsidRPr="00654462">
        <w:rPr>
          <w:rFonts w:ascii="Verdana" w:eastAsia="Arial" w:hAnsi="Verdana" w:cs="Arial"/>
          <w:color w:val="000000"/>
          <w:vertAlign w:val="superscript"/>
        </w:rPr>
        <w:footnoteReference w:id="2"/>
      </w:r>
      <w:r w:rsidRPr="00654462">
        <w:rPr>
          <w:rFonts w:ascii="Verdana" w:eastAsia="Arial" w:hAnsi="Verdana" w:cs="Arial"/>
          <w:color w:val="000000"/>
        </w:rPr>
        <w:t xml:space="preserve">, en la actualidad la disposición legal que lo prevé de manera más clara y contundente es el artículo 5 de la Ley 1150 de 2007, </w:t>
      </w:r>
      <w:r w:rsidRPr="00654462">
        <w:rPr>
          <w:rFonts w:ascii="Verdana" w:eastAsia="Arial" w:hAnsi="Verdana" w:cs="Arial"/>
          <w:color w:val="000000"/>
        </w:rPr>
        <w:lastRenderedPageBreak/>
        <w:t xml:space="preserve">modificado por el artículo 88 de la Ley 1474 de 2011 y por el artículo 5 de la Ley 1882 de 2018. Esta norma prescribe lo siguiente: </w:t>
      </w:r>
    </w:p>
    <w:p w14:paraId="4701FA3D" w14:textId="77777777" w:rsidR="0017150E" w:rsidRPr="00654462" w:rsidRDefault="0017150E" w:rsidP="0017150E">
      <w:pPr>
        <w:spacing w:after="0" w:line="276" w:lineRule="auto"/>
        <w:jc w:val="both"/>
        <w:rPr>
          <w:rFonts w:ascii="Verdana" w:eastAsia="Arial" w:hAnsi="Verdana" w:cs="Arial"/>
          <w:color w:val="000000"/>
        </w:rPr>
      </w:pPr>
    </w:p>
    <w:p w14:paraId="31E9DF83" w14:textId="77777777" w:rsidR="0017150E" w:rsidRPr="00D12F63" w:rsidRDefault="0017150E" w:rsidP="0017150E">
      <w:pPr>
        <w:spacing w:after="0" w:line="240" w:lineRule="auto"/>
        <w:ind w:left="709" w:right="709"/>
        <w:jc w:val="both"/>
        <w:rPr>
          <w:rFonts w:ascii="Verdana" w:eastAsia="Arial" w:hAnsi="Verdana" w:cs="Arial"/>
          <w:color w:val="000000" w:themeColor="text1"/>
          <w:sz w:val="20"/>
          <w:szCs w:val="20"/>
        </w:rPr>
      </w:pPr>
      <w:r w:rsidRPr="00D12F63">
        <w:rPr>
          <w:rFonts w:ascii="Verdana" w:eastAsia="Arial" w:hAnsi="Verdana" w:cs="Arial"/>
          <w:color w:val="000000" w:themeColor="text1"/>
          <w:sz w:val="20"/>
          <w:szCs w:val="20"/>
        </w:rPr>
        <w:t xml:space="preserve">“ARTÍCULO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D12F63">
        <w:rPr>
          <w:rFonts w:ascii="Verdana" w:eastAsia="Arial" w:hAnsi="Verdana" w:cs="Arial"/>
          <w:color w:val="000000" w:themeColor="text1"/>
          <w:sz w:val="20"/>
          <w:szCs w:val="20"/>
        </w:rPr>
        <w:t>equivalentes,</w:t>
      </w:r>
      <w:proofErr w:type="gramEnd"/>
      <w:r w:rsidRPr="00D12F63">
        <w:rPr>
          <w:rFonts w:ascii="Verdana" w:eastAsia="Arial" w:hAnsi="Verdana" w:cs="Arial"/>
          <w:color w:val="000000" w:themeColor="text1"/>
          <w:sz w:val="20"/>
          <w:szCs w:val="20"/>
        </w:rPr>
        <w:t xml:space="preserve"> tendrán en cuenta los siguientes criterios:</w:t>
      </w:r>
    </w:p>
    <w:p w14:paraId="743066E6"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p>
    <w:p w14:paraId="7FE87C3D"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14F32593"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p>
    <w:p w14:paraId="4EF54427"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32447E82"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p>
    <w:p w14:paraId="08B6221D"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En los procesos de selección en los que se tenga en cuenta los factores técnicos y económicos, la oferta más ventajosa será la que resulte de aplicar alguna de las siguientes alternativas:</w:t>
      </w:r>
    </w:p>
    <w:p w14:paraId="4E4760B1"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p>
    <w:p w14:paraId="23553BF2"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a) La ponderación de los elementos de calidad y precio soportados en puntajes o fórmulas señaladas en el pliego de condiciones; o</w:t>
      </w:r>
    </w:p>
    <w:p w14:paraId="17E97DFF"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b) La ponderación de los elementos de calidad y precio que representen la mejor relación de costo-beneficio para la entidad.</w:t>
      </w:r>
    </w:p>
    <w:p w14:paraId="73935342"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p>
    <w:p w14:paraId="75EE10F2"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 xml:space="preserve">3. Sin perjuicio de lo previsto en el numeral 1 del presente artículo, en los pliegos de condiciones para las contrataciones cuyo objeto sea la adquisición o suministro de bienes y servicios de características técnicas </w:t>
      </w:r>
      <w:r w:rsidRPr="00D12F63">
        <w:rPr>
          <w:rFonts w:ascii="Verdana" w:eastAsia="Arial" w:hAnsi="Verdana" w:cs="Arial"/>
          <w:color w:val="000000"/>
          <w:sz w:val="20"/>
          <w:szCs w:val="20"/>
        </w:rPr>
        <w:lastRenderedPageBreak/>
        <w:t>uniformes y común utilización, las entidades estatales incluirán como único factor de evaluación el menor precio ofrecido.</w:t>
      </w:r>
    </w:p>
    <w:p w14:paraId="490D0B6D"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p>
    <w:p w14:paraId="147C23A6"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797062FB" w14:textId="77777777" w:rsidR="0017150E" w:rsidRDefault="0017150E" w:rsidP="0017150E">
      <w:pPr>
        <w:spacing w:after="0" w:line="240" w:lineRule="auto"/>
        <w:ind w:left="709" w:right="709"/>
        <w:jc w:val="both"/>
        <w:rPr>
          <w:rFonts w:ascii="Verdana" w:eastAsia="Arial" w:hAnsi="Verdana" w:cs="Arial"/>
          <w:color w:val="000000"/>
          <w:sz w:val="20"/>
          <w:szCs w:val="20"/>
        </w:rPr>
      </w:pPr>
    </w:p>
    <w:p w14:paraId="6792228E"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r w:rsidRPr="00D12F63">
        <w:rPr>
          <w:rFonts w:ascii="Verdana" w:eastAsia="Arial" w:hAnsi="Verdana" w:cs="Arial"/>
          <w:color w:val="000000"/>
          <w:sz w:val="20"/>
          <w:szCs w:val="20"/>
        </w:rPr>
        <w:t>En ningún caso se podrá incluir el precio, como factor de escogencia para la selección de consultores.</w:t>
      </w:r>
    </w:p>
    <w:p w14:paraId="6C4486A9" w14:textId="77777777" w:rsidR="0017150E" w:rsidRDefault="0017150E" w:rsidP="0017150E">
      <w:pPr>
        <w:spacing w:after="0" w:line="240" w:lineRule="auto"/>
        <w:ind w:left="709" w:right="709"/>
        <w:jc w:val="both"/>
        <w:rPr>
          <w:rFonts w:ascii="Verdana" w:hAnsi="Verdana" w:cs="Arial"/>
          <w:bCs/>
          <w:i/>
          <w:sz w:val="20"/>
          <w:lang w:eastAsia="es-ES"/>
        </w:rPr>
      </w:pPr>
    </w:p>
    <w:p w14:paraId="1BEF02E0" w14:textId="77777777" w:rsidR="0017150E" w:rsidRPr="00D12F63" w:rsidRDefault="0017150E" w:rsidP="0017150E">
      <w:pPr>
        <w:spacing w:after="0" w:line="240" w:lineRule="auto"/>
        <w:ind w:left="709" w:right="709"/>
        <w:jc w:val="both"/>
        <w:rPr>
          <w:rFonts w:ascii="Verdana" w:eastAsia="Arial" w:hAnsi="Verdana" w:cs="Arial"/>
          <w:color w:val="000000"/>
          <w:sz w:val="20"/>
          <w:szCs w:val="20"/>
        </w:rPr>
      </w:pPr>
      <w:r w:rsidRPr="00524934">
        <w:rPr>
          <w:rFonts w:ascii="Verdana" w:hAnsi="Verdana" w:cs="Arial"/>
          <w:bCs/>
          <w:i/>
          <w:sz w:val="20"/>
          <w:lang w:eastAsia="es-ES"/>
        </w:rPr>
        <w:t>[…]</w:t>
      </w:r>
      <w:r>
        <w:rPr>
          <w:rFonts w:ascii="Verdana" w:hAnsi="Verdana" w:cs="Arial"/>
          <w:bCs/>
          <w:i/>
          <w:sz w:val="20"/>
          <w:lang w:eastAsia="es-ES"/>
        </w:rPr>
        <w:t xml:space="preserve">” </w:t>
      </w:r>
    </w:p>
    <w:p w14:paraId="3B4DFA0E" w14:textId="77777777" w:rsidR="0017150E" w:rsidRPr="00654462" w:rsidRDefault="0017150E" w:rsidP="0017150E">
      <w:pPr>
        <w:spacing w:after="0" w:line="276" w:lineRule="auto"/>
        <w:jc w:val="both"/>
        <w:rPr>
          <w:rFonts w:ascii="Verdana" w:eastAsia="Arial" w:hAnsi="Verdana" w:cs="Arial"/>
          <w:color w:val="000000"/>
        </w:rPr>
      </w:pPr>
    </w:p>
    <w:p w14:paraId="397ECB25" w14:textId="77777777" w:rsidR="0017150E" w:rsidRPr="00654462" w:rsidRDefault="0017150E" w:rsidP="0017150E">
      <w:pPr>
        <w:tabs>
          <w:tab w:val="left" w:pos="0"/>
        </w:tabs>
        <w:spacing w:after="120" w:line="276" w:lineRule="auto"/>
        <w:jc w:val="both"/>
        <w:rPr>
          <w:rFonts w:ascii="Verdana" w:eastAsia="Arial" w:hAnsi="Verdana" w:cs="Arial"/>
          <w:color w:val="000000"/>
        </w:rPr>
      </w:pPr>
      <w:r w:rsidRPr="00654462">
        <w:rPr>
          <w:rFonts w:ascii="Verdana" w:eastAsia="Arial" w:hAnsi="Verdana" w:cs="Arial"/>
          <w:color w:val="000000"/>
        </w:rPr>
        <w:tab/>
        <w:t xml:space="preserve">De acuerdo con el artículo 5 de la Ley 1150 de 2007, conforme con lo expresado en el Concepto C-166 del 23 de abril de 2021,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50441F09" w14:textId="77777777" w:rsidR="0017150E" w:rsidRPr="00654462" w:rsidRDefault="0017150E" w:rsidP="0017150E">
      <w:pPr>
        <w:tabs>
          <w:tab w:val="left" w:pos="0"/>
        </w:tabs>
        <w:spacing w:after="120" w:line="276" w:lineRule="auto"/>
        <w:jc w:val="both"/>
        <w:rPr>
          <w:rFonts w:ascii="Verdana" w:eastAsia="Arial" w:hAnsi="Verdana" w:cs="Arial"/>
          <w:color w:val="000000"/>
        </w:rPr>
      </w:pPr>
      <w:bookmarkStart w:id="1" w:name="_1fob9te" w:colFirst="0" w:colLast="0"/>
      <w:bookmarkEnd w:id="1"/>
      <w:r w:rsidRPr="00654462">
        <w:rPr>
          <w:rFonts w:ascii="Verdana" w:eastAsia="Arial" w:hAnsi="Verdana" w:cs="Arial"/>
          <w:color w:val="000000"/>
        </w:rPr>
        <w:tab/>
        <w:t>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654462">
        <w:rPr>
          <w:rFonts w:ascii="Verdana" w:eastAsia="Arial" w:hAnsi="Verdana" w:cs="Arial"/>
          <w:color w:val="000000"/>
          <w:vertAlign w:val="superscript"/>
        </w:rPr>
        <w:footnoteReference w:id="3"/>
      </w:r>
      <w:r w:rsidRPr="00654462">
        <w:rPr>
          <w:rFonts w:ascii="Verdana" w:eastAsia="Arial" w:hAnsi="Verdana" w:cs="Arial"/>
          <w:color w:val="000000"/>
        </w:rPr>
        <w:t xml:space="preserve">. Los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requisitos </w:t>
      </w:r>
      <w:r w:rsidRPr="00654462">
        <w:rPr>
          <w:rFonts w:ascii="Verdana" w:eastAsia="Arial" w:hAnsi="Verdana" w:cs="Arial"/>
          <w:i/>
          <w:color w:val="000000"/>
        </w:rPr>
        <w:t xml:space="preserve">habilitantes </w:t>
      </w:r>
      <w:r w:rsidRPr="00654462">
        <w:rPr>
          <w:rFonts w:ascii="Verdana" w:eastAsia="Arial" w:hAnsi="Verdana" w:cs="Arial"/>
          <w:color w:val="000000"/>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p>
    <w:p w14:paraId="606778E1" w14:textId="77777777" w:rsidR="0017150E" w:rsidRPr="00654462" w:rsidRDefault="0017150E" w:rsidP="0017150E">
      <w:pPr>
        <w:tabs>
          <w:tab w:val="left" w:pos="0"/>
        </w:tabs>
        <w:spacing w:after="120" w:line="276" w:lineRule="auto"/>
        <w:jc w:val="both"/>
        <w:rPr>
          <w:rFonts w:ascii="Verdana" w:eastAsia="Arial" w:hAnsi="Verdana" w:cs="Arial"/>
          <w:color w:val="000000"/>
        </w:rPr>
      </w:pPr>
      <w:r w:rsidRPr="00654462">
        <w:rPr>
          <w:rFonts w:ascii="Verdana" w:eastAsia="Arial" w:hAnsi="Verdana" w:cs="Arial"/>
          <w:color w:val="000000"/>
        </w:rPr>
        <w:lastRenderedPageBreak/>
        <w:tab/>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El numeral 2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2 se divide en dos literales, cada uno de los cuales </w:t>
      </w:r>
      <w:r>
        <w:rPr>
          <w:rFonts w:ascii="Verdana" w:eastAsia="Arial" w:hAnsi="Verdana" w:cs="Arial"/>
          <w:color w:val="000000"/>
        </w:rPr>
        <w:t xml:space="preserve">se refiere </w:t>
      </w:r>
      <w:r w:rsidRPr="00654462">
        <w:rPr>
          <w:rFonts w:ascii="Verdana" w:eastAsia="Arial" w:hAnsi="Verdana" w:cs="Arial"/>
          <w:color w:val="000000"/>
        </w:rPr>
        <w:t xml:space="preserve">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 – beneficio para la entidad. </w:t>
      </w:r>
    </w:p>
    <w:p w14:paraId="7C953D0E" w14:textId="77777777" w:rsidR="0017150E" w:rsidRPr="00654462" w:rsidRDefault="0017150E" w:rsidP="0017150E">
      <w:pPr>
        <w:tabs>
          <w:tab w:val="left" w:pos="0"/>
        </w:tabs>
        <w:spacing w:after="120" w:line="276" w:lineRule="auto"/>
        <w:jc w:val="both"/>
        <w:rPr>
          <w:rFonts w:ascii="Verdana" w:eastAsia="Arial" w:hAnsi="Verdana" w:cs="Arial"/>
          <w:color w:val="000000"/>
        </w:rPr>
      </w:pPr>
      <w:r w:rsidRPr="00654462">
        <w:rPr>
          <w:rFonts w:ascii="Verdana" w:eastAsia="Arial" w:hAnsi="Verdana" w:cs="Arial"/>
          <w:color w:val="000000"/>
        </w:rPr>
        <w:tab/>
        <w:t>Por su parte, el numeral 3 establece que en los procesos de selección de bienes y servicios de características técnicas uniformes y de común utilización el único factor de evaluación consiste en el menor precio. Por último, el numeral 4, referente a procedimientos para selección de consultores, señala que debe hacerse uso de factores de calificación, para valorar los aspectos técnicos de la oferta, permitiendo que entre ellos se pondere la experiencia.</w:t>
      </w:r>
    </w:p>
    <w:p w14:paraId="045442D1" w14:textId="77777777" w:rsidR="0017150E" w:rsidRPr="00654462" w:rsidRDefault="0017150E" w:rsidP="0017150E">
      <w:pPr>
        <w:tabs>
          <w:tab w:val="left" w:pos="0"/>
        </w:tabs>
        <w:spacing w:after="0" w:line="276" w:lineRule="auto"/>
        <w:jc w:val="both"/>
        <w:rPr>
          <w:rFonts w:ascii="Verdana" w:eastAsia="Arial" w:hAnsi="Verdana" w:cs="Arial"/>
          <w:color w:val="000000"/>
        </w:rPr>
      </w:pPr>
      <w:r w:rsidRPr="00654462">
        <w:rPr>
          <w:rFonts w:ascii="Verdana" w:eastAsia="Arial" w:hAnsi="Verdana" w:cs="Arial"/>
          <w:color w:val="000000"/>
        </w:rPr>
        <w:tab/>
        <w:t xml:space="preserve">Conforme a lo anterior, el artículo 5 de la Ley 1150 de 2007, alude a diferentes conceptos como factores de escogencia, de calificación, técnicos y económicos de escogencia, de evaluación y calificación. Además, el artículo alude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 </w:t>
      </w:r>
      <w:r w:rsidRPr="00654462">
        <w:rPr>
          <w:rFonts w:ascii="Verdana" w:eastAsia="Arial" w:hAnsi="Verdana" w:cs="Arial"/>
          <w:color w:val="000000"/>
          <w:vertAlign w:val="superscript"/>
        </w:rPr>
        <w:footnoteReference w:id="4"/>
      </w:r>
      <w:r w:rsidRPr="00654462">
        <w:rPr>
          <w:rFonts w:ascii="Verdana" w:eastAsia="Arial" w:hAnsi="Verdana" w:cs="Arial"/>
          <w:color w:val="000000"/>
        </w:rPr>
        <w:t xml:space="preserve">. Todas estas categorías designan los “[…] factores a los cuales cabe otorgarles puntajes o que pueden ser ponderados, precisamente, pues estos son los factores que en últimas permiten una comparación de ofertas y una diferenciación entre ellas” </w:t>
      </w:r>
      <w:r w:rsidRPr="00654462">
        <w:rPr>
          <w:rFonts w:ascii="Verdana" w:eastAsia="Arial" w:hAnsi="Verdana" w:cs="Arial"/>
          <w:color w:val="000000"/>
          <w:vertAlign w:val="superscript"/>
        </w:rPr>
        <w:footnoteReference w:id="5"/>
      </w:r>
      <w:r w:rsidRPr="00654462">
        <w:rPr>
          <w:rFonts w:ascii="Verdana" w:eastAsia="Arial" w:hAnsi="Verdana" w:cs="Arial"/>
          <w:color w:val="000000"/>
        </w:rPr>
        <w:t>. Conforme a esto, la doctrina explica que:</w:t>
      </w:r>
    </w:p>
    <w:p w14:paraId="2F9401CD" w14:textId="77777777" w:rsidR="0017150E" w:rsidRPr="00654462" w:rsidRDefault="0017150E" w:rsidP="0017150E">
      <w:pPr>
        <w:tabs>
          <w:tab w:val="left" w:pos="0"/>
        </w:tabs>
        <w:spacing w:after="0" w:line="276" w:lineRule="auto"/>
        <w:ind w:left="709" w:right="709"/>
        <w:jc w:val="both"/>
        <w:rPr>
          <w:rFonts w:ascii="Verdana" w:eastAsia="Arial" w:hAnsi="Verdana" w:cs="Arial"/>
          <w:color w:val="000000"/>
          <w:sz w:val="21"/>
          <w:szCs w:val="21"/>
        </w:rPr>
      </w:pPr>
    </w:p>
    <w:p w14:paraId="5C15DFF3" w14:textId="77777777" w:rsidR="0017150E" w:rsidRPr="000955ED" w:rsidRDefault="0017150E" w:rsidP="0017150E">
      <w:pPr>
        <w:spacing w:after="120" w:line="240" w:lineRule="auto"/>
        <w:ind w:left="709" w:right="709"/>
        <w:jc w:val="both"/>
        <w:rPr>
          <w:rFonts w:ascii="Verdana" w:eastAsia="Arial" w:hAnsi="Verdana" w:cs="Arial"/>
          <w:color w:val="000000"/>
          <w:sz w:val="20"/>
          <w:szCs w:val="20"/>
        </w:rPr>
      </w:pPr>
      <w:r w:rsidRPr="000955ED">
        <w:rPr>
          <w:rFonts w:ascii="Verdana" w:eastAsia="Arial" w:hAnsi="Verdana" w:cs="Arial"/>
          <w:color w:val="000000" w:themeColor="text1"/>
          <w:sz w:val="20"/>
          <w:szCs w:val="20"/>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4E3D5C3F" w14:textId="77777777" w:rsidR="0017150E" w:rsidRPr="000955ED" w:rsidRDefault="0017150E" w:rsidP="0017150E">
      <w:pPr>
        <w:tabs>
          <w:tab w:val="left" w:pos="0"/>
        </w:tabs>
        <w:spacing w:after="0" w:line="240" w:lineRule="auto"/>
        <w:ind w:left="709" w:right="709"/>
        <w:jc w:val="both"/>
        <w:rPr>
          <w:rFonts w:ascii="Verdana" w:eastAsia="Arial" w:hAnsi="Verdana" w:cs="Arial"/>
          <w:color w:val="000000"/>
          <w:sz w:val="20"/>
          <w:szCs w:val="20"/>
        </w:rPr>
      </w:pPr>
      <w:r w:rsidRPr="000955ED">
        <w:rPr>
          <w:rFonts w:ascii="Verdana" w:eastAsia="Arial" w:hAnsi="Verdana" w:cs="Arial"/>
          <w:color w:val="000000"/>
          <w:sz w:val="20"/>
          <w:szCs w:val="20"/>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2308B71A" w14:textId="77777777" w:rsidR="0017150E" w:rsidRPr="000955ED" w:rsidRDefault="0017150E" w:rsidP="0017150E">
      <w:pPr>
        <w:tabs>
          <w:tab w:val="left" w:pos="0"/>
        </w:tabs>
        <w:spacing w:after="120" w:line="240" w:lineRule="auto"/>
        <w:ind w:left="709" w:right="709"/>
        <w:jc w:val="both"/>
        <w:rPr>
          <w:rFonts w:ascii="Verdana" w:eastAsia="Arial" w:hAnsi="Verdana" w:cs="Arial"/>
          <w:color w:val="000000"/>
          <w:sz w:val="20"/>
          <w:szCs w:val="20"/>
        </w:rPr>
      </w:pPr>
      <w:r w:rsidRPr="000955ED">
        <w:rPr>
          <w:rFonts w:ascii="Verdana" w:eastAsia="Arial" w:hAnsi="Verdana" w:cs="Arial"/>
          <w:color w:val="000000"/>
          <w:sz w:val="20"/>
          <w:szCs w:val="20"/>
        </w:rPr>
        <w:t>[…]</w:t>
      </w:r>
    </w:p>
    <w:p w14:paraId="20652E99" w14:textId="77777777" w:rsidR="0017150E" w:rsidRPr="00654462" w:rsidRDefault="0017150E" w:rsidP="0017150E">
      <w:pPr>
        <w:spacing w:after="0" w:line="240" w:lineRule="auto"/>
        <w:ind w:left="709" w:right="709"/>
        <w:jc w:val="both"/>
        <w:rPr>
          <w:rFonts w:ascii="Verdana" w:eastAsia="Arial" w:hAnsi="Verdana" w:cs="Arial"/>
          <w:color w:val="000000"/>
          <w:sz w:val="21"/>
          <w:szCs w:val="21"/>
        </w:rPr>
      </w:pPr>
      <w:r w:rsidRPr="000955ED">
        <w:rPr>
          <w:rFonts w:ascii="Verdana" w:eastAsia="Arial" w:hAnsi="Verdana" w:cs="Arial"/>
          <w:color w:val="000000"/>
          <w:sz w:val="20"/>
          <w:szCs w:val="20"/>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654462">
        <w:rPr>
          <w:rFonts w:ascii="Verdana" w:eastAsia="Arial" w:hAnsi="Verdana" w:cs="Arial"/>
          <w:color w:val="000000"/>
          <w:sz w:val="21"/>
          <w:szCs w:val="21"/>
          <w:vertAlign w:val="superscript"/>
        </w:rPr>
        <w:footnoteReference w:id="6"/>
      </w:r>
      <w:r w:rsidRPr="00654462">
        <w:rPr>
          <w:rFonts w:ascii="Verdana" w:eastAsia="Arial" w:hAnsi="Verdana" w:cs="Arial"/>
          <w:color w:val="000000"/>
          <w:sz w:val="21"/>
          <w:szCs w:val="21"/>
        </w:rPr>
        <w:t>.</w:t>
      </w:r>
    </w:p>
    <w:p w14:paraId="64B9685D" w14:textId="77777777" w:rsidR="0017150E" w:rsidRPr="00654462" w:rsidRDefault="0017150E" w:rsidP="0017150E">
      <w:pPr>
        <w:tabs>
          <w:tab w:val="left" w:pos="0"/>
        </w:tabs>
        <w:spacing w:after="0" w:line="276" w:lineRule="auto"/>
        <w:ind w:left="709" w:right="709"/>
        <w:jc w:val="both"/>
        <w:rPr>
          <w:rFonts w:ascii="Verdana" w:eastAsia="Arial" w:hAnsi="Verdana" w:cs="Arial"/>
          <w:color w:val="000000"/>
          <w:sz w:val="21"/>
          <w:szCs w:val="21"/>
        </w:rPr>
      </w:pPr>
    </w:p>
    <w:p w14:paraId="37E5AE3F" w14:textId="77777777" w:rsidR="0017150E" w:rsidRPr="00654462" w:rsidRDefault="0017150E" w:rsidP="0017150E">
      <w:pPr>
        <w:tabs>
          <w:tab w:val="left" w:pos="0"/>
        </w:tabs>
        <w:spacing w:after="120" w:line="276" w:lineRule="auto"/>
        <w:jc w:val="both"/>
        <w:rPr>
          <w:rFonts w:ascii="Verdana" w:eastAsia="Arial" w:hAnsi="Verdana" w:cs="Arial"/>
          <w:color w:val="000000"/>
        </w:rPr>
      </w:pPr>
      <w:r w:rsidRPr="00654462">
        <w:rPr>
          <w:rFonts w:ascii="Verdana" w:eastAsia="Arial" w:hAnsi="Verdana" w:cs="Arial"/>
          <w:color w:val="000000"/>
        </w:rPr>
        <w:tab/>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015A8766" w14:textId="77777777" w:rsidR="0017150E" w:rsidRPr="00654462" w:rsidRDefault="0017150E" w:rsidP="0017150E">
      <w:pPr>
        <w:tabs>
          <w:tab w:val="left" w:pos="0"/>
        </w:tabs>
        <w:spacing w:after="120" w:line="276" w:lineRule="auto"/>
        <w:jc w:val="both"/>
        <w:rPr>
          <w:rFonts w:ascii="Verdana" w:eastAsia="Arial" w:hAnsi="Verdana" w:cs="Arial"/>
          <w:color w:val="000000"/>
        </w:rPr>
      </w:pPr>
      <w:r w:rsidRPr="00654462">
        <w:rPr>
          <w:rFonts w:ascii="Verdana" w:eastAsia="Arial" w:hAnsi="Verdana" w:cs="Arial"/>
          <w:color w:val="000000"/>
        </w:rPr>
        <w:tab/>
        <w:t xml:space="preserve">En ese sentido, la asignación de puntaje es un mecanismo mediante el cual las entidades ponderan los factores de calificación </w:t>
      </w:r>
      <w:r w:rsidRPr="00654462">
        <w:rPr>
          <w:rFonts w:ascii="Arial" w:eastAsia="Tahoma" w:hAnsi="Arial" w:cs="Arial"/>
          <w:color w:val="000000"/>
        </w:rPr>
        <w:t>ꟷ</w:t>
      </w:r>
      <w:r w:rsidRPr="00654462">
        <w:rPr>
          <w:rFonts w:ascii="Verdana" w:eastAsia="Arial" w:hAnsi="Verdana" w:cs="Arial"/>
          <w:i/>
          <w:color w:val="000000"/>
        </w:rPr>
        <w:t>v.g.</w:t>
      </w:r>
      <w:r w:rsidRPr="00654462">
        <w:rPr>
          <w:rFonts w:ascii="Verdana" w:eastAsia="Arial" w:hAnsi="Verdana" w:cs="Arial"/>
          <w:color w:val="000000"/>
        </w:rPr>
        <w:t xml:space="preserve"> técnicos y </w:t>
      </w:r>
      <w:r w:rsidRPr="00654462">
        <w:rPr>
          <w:rFonts w:ascii="Verdana" w:eastAsia="Arial" w:hAnsi="Verdana" w:cs="Arial"/>
          <w:color w:val="000000"/>
        </w:rPr>
        <w:lastRenderedPageBreak/>
        <w:t>económicos, de calidad y precio, etc.</w:t>
      </w:r>
      <w:r w:rsidRPr="00654462">
        <w:rPr>
          <w:rFonts w:ascii="Arial" w:eastAsia="Tahoma" w:hAnsi="Arial" w:cs="Arial"/>
          <w:color w:val="000000"/>
        </w:rPr>
        <w:t>ꟷ</w:t>
      </w:r>
      <w:r w:rsidRPr="00654462">
        <w:rPr>
          <w:rFonts w:ascii="Verdana" w:eastAsia="Arial" w:hAnsi="Verdana" w:cs="Arial"/>
          <w:color w:val="000000"/>
        </w:rPr>
        <w:t xml:space="preserve"> en un determinado proceso de selección, como se desprende del literal a) del numeral 2 del artículo 5 de la Ley 1150 de 2007, en el que expresamente se alude al puntaje. Sin embargo, no es este el único mecanismo de ponderación que tienen a su alcance las entidades estatales para determinar el ofrecimiento más favorable, pues el propio literal b) del artículo 5.2 posibilita que el ofrecimiento más favorable se determine con un análisis de la relación costo-beneficio, evento en el no habría necesidad de acudir obligatoriamente a sistemas de asignación de puntaje. A estos se suman, los procesos de selección de bienes y servicios de características técnicas uniformes y de común utilización, así como los de mínima cuantía, en los que –según los artículos 5.3 y 2.5 de la Ley 1150 de 2007– el único factor de selección es el menor precio ofertado, por lo que no hay lugar a ponderación mediante puntajes o relaciones costo beneficio.</w:t>
      </w:r>
    </w:p>
    <w:p w14:paraId="090905BC" w14:textId="77777777" w:rsidR="0017150E" w:rsidRDefault="0017150E" w:rsidP="0017150E">
      <w:pPr>
        <w:spacing w:after="120" w:line="276" w:lineRule="auto"/>
        <w:ind w:firstLine="709"/>
        <w:jc w:val="both"/>
        <w:rPr>
          <w:rFonts w:ascii="Verdana" w:eastAsia="Arial" w:hAnsi="Verdana" w:cs="Arial"/>
          <w:color w:val="000000" w:themeColor="text1"/>
        </w:rPr>
      </w:pPr>
      <w:r w:rsidRPr="00654462">
        <w:rPr>
          <w:rFonts w:ascii="Verdana" w:eastAsia="Arial" w:hAnsi="Verdana" w:cs="Arial"/>
          <w:color w:val="000000" w:themeColor="text1"/>
        </w:rPr>
        <w:t>Conforme a lo anterior,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entendido que son estos últimos los que determinan la oferta más favorable para la entidad y la que en consecuencia debe elegirse.</w:t>
      </w:r>
    </w:p>
    <w:p w14:paraId="3A2DC12F" w14:textId="77777777" w:rsidR="0017150E" w:rsidRDefault="0017150E" w:rsidP="0017150E">
      <w:pPr>
        <w:spacing w:after="120" w:line="276" w:lineRule="auto"/>
        <w:ind w:firstLine="709"/>
        <w:jc w:val="both"/>
        <w:rPr>
          <w:rFonts w:ascii="Verdana" w:eastAsia="Calibri" w:hAnsi="Verdana" w:cs="Arial"/>
        </w:rPr>
      </w:pPr>
      <w:r w:rsidRPr="00341B96">
        <w:rPr>
          <w:rFonts w:ascii="Verdana" w:eastAsia="Arial" w:hAnsi="Verdana" w:cs="Arial"/>
          <w:color w:val="000000" w:themeColor="text1"/>
        </w:rPr>
        <w:t xml:space="preserve">Bajo este contexto, en atención a la consulta planteada, se precisa </w:t>
      </w:r>
      <w:r>
        <w:rPr>
          <w:rFonts w:ascii="Verdana" w:eastAsia="Arial" w:hAnsi="Verdana" w:cs="Arial"/>
          <w:color w:val="000000" w:themeColor="text1"/>
        </w:rPr>
        <w:t xml:space="preserve">que de conformidad con el numeral 1 del artículo 5 de la Ley 1150 de 2007 </w:t>
      </w:r>
      <w:r w:rsidRPr="005E7FB7">
        <w:rPr>
          <w:rFonts w:ascii="Verdana" w:eastAsia="Arial" w:hAnsi="Verdana" w:cs="Arial"/>
          <w:color w:val="000000" w:themeColor="text1"/>
        </w:rPr>
        <w:t>la</w:t>
      </w:r>
      <w:r>
        <w:rPr>
          <w:rFonts w:ascii="Verdana" w:eastAsia="Arial" w:hAnsi="Verdana" w:cs="Arial"/>
          <w:color w:val="000000" w:themeColor="text1"/>
        </w:rPr>
        <w:t xml:space="preserve"> </w:t>
      </w:r>
      <w:r w:rsidRPr="005E7FB7">
        <w:rPr>
          <w:rFonts w:ascii="Verdana" w:eastAsia="Arial" w:hAnsi="Verdana" w:cs="Arial"/>
          <w:color w:val="000000" w:themeColor="text1"/>
        </w:rPr>
        <w:t>experienci</w:t>
      </w:r>
      <w:r>
        <w:rPr>
          <w:rFonts w:ascii="Verdana" w:eastAsia="Arial" w:hAnsi="Verdana" w:cs="Arial"/>
          <w:color w:val="000000" w:themeColor="text1"/>
        </w:rPr>
        <w:t xml:space="preserve">a es </w:t>
      </w:r>
      <w:r w:rsidRPr="005E7FB7">
        <w:rPr>
          <w:rFonts w:ascii="Verdana" w:eastAsia="Arial" w:hAnsi="Verdana" w:cs="Arial"/>
          <w:color w:val="000000" w:themeColor="text1"/>
        </w:rPr>
        <w:t>objeto de verificación de cumplimiento como requisito habilitante para la participación en el proceso de selección y no otorgará puntaje, con excepción de lo previsto en el numeral 4</w:t>
      </w:r>
      <w:r>
        <w:rPr>
          <w:rFonts w:ascii="Verdana" w:eastAsia="Arial" w:hAnsi="Verdana" w:cs="Arial"/>
          <w:color w:val="000000" w:themeColor="text1"/>
        </w:rPr>
        <w:t xml:space="preserve"> </w:t>
      </w:r>
      <w:r w:rsidRPr="008F34D4">
        <w:rPr>
          <w:rFonts w:ascii="Verdana" w:eastAsia="Arial" w:hAnsi="Verdana" w:cs="Arial"/>
          <w:i/>
          <w:iCs/>
          <w:color w:val="000000" w:themeColor="text1"/>
        </w:rPr>
        <w:t>ibidem</w:t>
      </w:r>
      <w:r>
        <w:rPr>
          <w:rFonts w:ascii="Verdana" w:eastAsia="Arial" w:hAnsi="Verdana" w:cs="Arial"/>
          <w:color w:val="000000" w:themeColor="text1"/>
        </w:rPr>
        <w:t xml:space="preserve">. </w:t>
      </w:r>
      <w:r>
        <w:rPr>
          <w:rFonts w:ascii="Verdana" w:eastAsia="Calibri" w:hAnsi="Verdana" w:cs="Arial"/>
        </w:rPr>
        <w:t xml:space="preserve">Según este numeral </w:t>
      </w:r>
      <w:r w:rsidRPr="00341B96">
        <w:rPr>
          <w:rFonts w:ascii="Verdana" w:eastAsia="Calibri" w:hAnsi="Verdana" w:cs="Arial"/>
        </w:rPr>
        <w:t xml:space="preserve">se podrán utilizar criterios de experiencia específica del oferente y del equipo de trabajo en el campo correspondiente para la selección de consultores. </w:t>
      </w:r>
    </w:p>
    <w:p w14:paraId="0858FCC9" w14:textId="77777777" w:rsidR="0017150E" w:rsidRDefault="0017150E" w:rsidP="0017150E">
      <w:pPr>
        <w:spacing w:after="120" w:line="276" w:lineRule="auto"/>
        <w:ind w:firstLine="709"/>
        <w:jc w:val="both"/>
        <w:rPr>
          <w:rFonts w:ascii="Verdana" w:eastAsia="Calibri" w:hAnsi="Verdana" w:cs="Arial"/>
        </w:rPr>
      </w:pPr>
      <w:r>
        <w:rPr>
          <w:rFonts w:ascii="Verdana" w:eastAsia="Calibri" w:hAnsi="Verdana" w:cs="Arial"/>
        </w:rPr>
        <w:t xml:space="preserve">Al respecto, es pertinente destacar que esta fue la intención </w:t>
      </w:r>
      <w:r w:rsidRPr="00711FA2">
        <w:rPr>
          <w:rFonts w:ascii="Verdana" w:eastAsia="Calibri" w:hAnsi="Verdana" w:cs="Arial"/>
        </w:rPr>
        <w:t xml:space="preserve">del proyecto de ley que se convirtió en la </w:t>
      </w:r>
      <w:r>
        <w:rPr>
          <w:rFonts w:ascii="Verdana" w:eastAsia="Calibri" w:hAnsi="Verdana" w:cs="Arial"/>
        </w:rPr>
        <w:t>L</w:t>
      </w:r>
      <w:r w:rsidRPr="00711FA2">
        <w:rPr>
          <w:rFonts w:ascii="Verdana" w:eastAsia="Calibri" w:hAnsi="Verdana" w:cs="Arial"/>
        </w:rPr>
        <w:t xml:space="preserve">ey 1150 de 2007, </w:t>
      </w:r>
      <w:r>
        <w:rPr>
          <w:rFonts w:ascii="Verdana" w:eastAsia="Calibri" w:hAnsi="Verdana" w:cs="Arial"/>
        </w:rPr>
        <w:t xml:space="preserve">que </w:t>
      </w:r>
      <w:r w:rsidRPr="00711FA2">
        <w:rPr>
          <w:rFonts w:ascii="Verdana" w:eastAsia="Calibri" w:hAnsi="Verdana" w:cs="Arial"/>
        </w:rPr>
        <w:t>de acuerdo con la</w:t>
      </w:r>
      <w:r>
        <w:rPr>
          <w:rFonts w:ascii="Verdana" w:eastAsia="Calibri" w:hAnsi="Verdana" w:cs="Arial"/>
        </w:rPr>
        <w:t xml:space="preserve"> </w:t>
      </w:r>
      <w:r w:rsidRPr="00711FA2">
        <w:rPr>
          <w:rFonts w:ascii="Verdana" w:eastAsia="Calibri" w:hAnsi="Verdana" w:cs="Arial"/>
        </w:rPr>
        <w:t>exposición de motivos</w:t>
      </w:r>
      <w:r>
        <w:rPr>
          <w:rFonts w:ascii="Verdana" w:eastAsia="Calibri" w:hAnsi="Verdana" w:cs="Arial"/>
        </w:rPr>
        <w:t xml:space="preserve"> indicó que:</w:t>
      </w:r>
    </w:p>
    <w:p w14:paraId="58E65893" w14:textId="77777777" w:rsidR="0017150E" w:rsidRDefault="0017150E" w:rsidP="0017150E">
      <w:pPr>
        <w:spacing w:after="0" w:line="240" w:lineRule="auto"/>
        <w:ind w:firstLine="709"/>
        <w:jc w:val="both"/>
        <w:rPr>
          <w:rFonts w:ascii="Verdana" w:eastAsia="Calibri" w:hAnsi="Verdana" w:cs="Arial"/>
        </w:rPr>
      </w:pPr>
    </w:p>
    <w:p w14:paraId="17E0EA07" w14:textId="77777777" w:rsidR="0017150E" w:rsidRDefault="0017150E" w:rsidP="0017150E">
      <w:pPr>
        <w:tabs>
          <w:tab w:val="left" w:pos="0"/>
        </w:tabs>
        <w:spacing w:after="120" w:line="240" w:lineRule="auto"/>
        <w:ind w:left="709" w:right="709"/>
        <w:jc w:val="both"/>
        <w:rPr>
          <w:rFonts w:ascii="Verdana" w:eastAsia="Arial" w:hAnsi="Verdana" w:cs="Arial"/>
          <w:color w:val="000000"/>
          <w:sz w:val="20"/>
          <w:szCs w:val="20"/>
        </w:rPr>
      </w:pPr>
      <w:r>
        <w:rPr>
          <w:rFonts w:ascii="Verdana" w:eastAsia="Arial" w:hAnsi="Verdana" w:cs="Arial"/>
          <w:color w:val="000000"/>
          <w:sz w:val="20"/>
          <w:szCs w:val="20"/>
        </w:rPr>
        <w:lastRenderedPageBreak/>
        <w:t>“</w:t>
      </w:r>
      <w:r w:rsidRPr="00FF1693">
        <w:rPr>
          <w:rFonts w:ascii="Verdana" w:eastAsia="Arial" w:hAnsi="Verdana" w:cs="Arial"/>
          <w:color w:val="000000"/>
          <w:sz w:val="20"/>
          <w:szCs w:val="20"/>
        </w:rPr>
        <w:t xml:space="preserve">Las condiciones del oferente referidas a su capacidad </w:t>
      </w:r>
      <w:r w:rsidRPr="0036557C">
        <w:rPr>
          <w:rFonts w:ascii="Verdana" w:eastAsia="Arial" w:hAnsi="Verdana" w:cs="Arial"/>
          <w:color w:val="000000"/>
          <w:sz w:val="20"/>
          <w:szCs w:val="20"/>
        </w:rPr>
        <w:t>y financiera, así como a su experiencia, no podrán ser utilizadas para darle</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un mayor puntaje. Serán simplemente factores habilitadores para la</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participación en un determinado proceso de selección, con lo cual se</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limitará la posibilidad de diseñar procesos “a la medida” de proponentes</w:t>
      </w:r>
      <w:r w:rsidRPr="00FF1693">
        <w:rPr>
          <w:rFonts w:ascii="Verdana" w:eastAsia="Arial" w:hAnsi="Verdana" w:cs="Arial"/>
          <w:color w:val="000000"/>
          <w:sz w:val="20"/>
          <w:szCs w:val="20"/>
        </w:rPr>
        <w:t xml:space="preserve"> </w:t>
      </w:r>
      <w:r w:rsidRPr="0036557C">
        <w:rPr>
          <w:rFonts w:ascii="Verdana" w:eastAsia="Arial" w:hAnsi="Verdana" w:cs="Arial"/>
          <w:color w:val="000000"/>
          <w:sz w:val="20"/>
          <w:szCs w:val="20"/>
        </w:rPr>
        <w:t xml:space="preserve">determinados. </w:t>
      </w:r>
      <w:r w:rsidRPr="006A3B9A">
        <w:rPr>
          <w:rFonts w:ascii="Verdana" w:eastAsia="Arial" w:hAnsi="Verdana" w:cs="Arial"/>
          <w:b/>
          <w:bCs/>
          <w:i/>
          <w:iCs/>
          <w:color w:val="000000"/>
          <w:sz w:val="20"/>
          <w:szCs w:val="20"/>
        </w:rPr>
        <w:t>La única excepción a este criterio está constituida por la selección de consultores, en la que se reconoce la posibilidad de valorar la formación y experiencia del proponente, en razón al alto contenido intelectual que requiere el desarrollo de tales contratos</w:t>
      </w:r>
      <w:r>
        <w:rPr>
          <w:rFonts w:ascii="Verdana" w:eastAsia="Arial" w:hAnsi="Verdana" w:cs="Arial"/>
          <w:i/>
          <w:iCs/>
          <w:color w:val="000000"/>
          <w:sz w:val="20"/>
          <w:szCs w:val="20"/>
        </w:rPr>
        <w:t>”</w:t>
      </w:r>
      <w:r>
        <w:rPr>
          <w:rStyle w:val="Refdenotaalpie"/>
          <w:rFonts w:ascii="Verdana" w:eastAsia="Arial" w:hAnsi="Verdana" w:cs="Arial"/>
          <w:color w:val="000000"/>
          <w:sz w:val="20"/>
          <w:szCs w:val="20"/>
        </w:rPr>
        <w:footnoteReference w:id="7"/>
      </w:r>
      <w:r w:rsidRPr="00FF1693">
        <w:rPr>
          <w:rFonts w:ascii="Verdana" w:eastAsia="Arial" w:hAnsi="Verdana" w:cs="Arial"/>
          <w:color w:val="000000"/>
          <w:sz w:val="20"/>
          <w:szCs w:val="20"/>
        </w:rPr>
        <w:t>.</w:t>
      </w:r>
      <w:r w:rsidRPr="006A3B9A">
        <w:rPr>
          <w:rFonts w:ascii="Verdana" w:hAnsi="Verdana" w:cs="Arial"/>
        </w:rPr>
        <w:t xml:space="preserve"> </w:t>
      </w:r>
      <w:r w:rsidRPr="006A3B9A">
        <w:rPr>
          <w:rFonts w:ascii="Verdana" w:hAnsi="Verdana" w:cs="Arial"/>
          <w:sz w:val="20"/>
          <w:szCs w:val="20"/>
        </w:rPr>
        <w:t>[Énfasis por fuera del texto].</w:t>
      </w:r>
    </w:p>
    <w:p w14:paraId="2A7ED43A" w14:textId="77777777" w:rsidR="0017150E" w:rsidRPr="00FF1693" w:rsidRDefault="0017150E" w:rsidP="0017150E">
      <w:pPr>
        <w:tabs>
          <w:tab w:val="left" w:pos="0"/>
        </w:tabs>
        <w:spacing w:after="0" w:line="240" w:lineRule="auto"/>
        <w:ind w:left="709" w:right="709"/>
        <w:jc w:val="both"/>
        <w:rPr>
          <w:rFonts w:ascii="Verdana" w:eastAsia="Arial" w:hAnsi="Verdana" w:cs="Arial"/>
          <w:color w:val="000000"/>
          <w:sz w:val="20"/>
          <w:szCs w:val="20"/>
        </w:rPr>
      </w:pPr>
    </w:p>
    <w:p w14:paraId="5EA08C0F" w14:textId="77777777" w:rsidR="0017150E" w:rsidRDefault="0017150E" w:rsidP="0017150E">
      <w:pPr>
        <w:spacing w:after="120" w:line="276" w:lineRule="auto"/>
        <w:ind w:firstLine="709"/>
        <w:jc w:val="both"/>
        <w:rPr>
          <w:rFonts w:ascii="Verdana" w:eastAsia="Calibri" w:hAnsi="Verdana" w:cs="Arial"/>
          <w:bCs/>
          <w:lang w:val="es-ES_tradnl"/>
        </w:rPr>
      </w:pPr>
      <w:r>
        <w:rPr>
          <w:rFonts w:ascii="Verdana" w:eastAsia="Calibri" w:hAnsi="Verdana" w:cs="Arial"/>
          <w:bCs/>
          <w:lang w:val="es-ES_tradnl"/>
        </w:rPr>
        <w:t xml:space="preserve">Cabe anotar que </w:t>
      </w:r>
      <w:r>
        <w:rPr>
          <w:rFonts w:ascii="Verdana" w:eastAsia="Calibri" w:hAnsi="Verdana" w:cs="Arial"/>
          <w:lang w:val="es-ES"/>
        </w:rPr>
        <w:t xml:space="preserve">el numeral 2 del artículo 32 de la Ley 80 de 1993 define a los contratos de consultoría como </w:t>
      </w:r>
      <w:r>
        <w:rPr>
          <w:rFonts w:ascii="Verdana" w:eastAsia="Calibri" w:hAnsi="Verdana" w:cs="Arial"/>
          <w:bCs/>
          <w:lang w:val="es-ES_tradnl"/>
        </w:rPr>
        <w:t>aquellos que suscriben las entidades estatales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w:t>
      </w:r>
    </w:p>
    <w:p w14:paraId="502A173B" w14:textId="77777777" w:rsidR="0017150E" w:rsidRDefault="0017150E" w:rsidP="0017150E">
      <w:pPr>
        <w:spacing w:after="120" w:line="276" w:lineRule="auto"/>
        <w:ind w:firstLine="709"/>
        <w:jc w:val="both"/>
        <w:rPr>
          <w:rFonts w:ascii="Verdana" w:hAnsi="Verdana" w:cs="Arial"/>
        </w:rPr>
      </w:pPr>
      <w:r>
        <w:rPr>
          <w:rFonts w:ascii="Verdana" w:hAnsi="Verdana" w:cs="Arial"/>
          <w:lang w:val="es-ES_tradnl"/>
        </w:rPr>
        <w:t xml:space="preserve">En concordancia con lo anterior, </w:t>
      </w:r>
      <w:r>
        <w:rPr>
          <w:rFonts w:ascii="Verdana" w:hAnsi="Verdana" w:cs="Arial"/>
        </w:rPr>
        <w:t xml:space="preserve">el artículo 2.2.1.2.1.3.2. del Decreto 1082 de 2015, modificado por el Decreto 399 de 2021, establece que </w:t>
      </w:r>
      <w:r>
        <w:rPr>
          <w:rFonts w:ascii="Verdana" w:hAnsi="Verdana" w:cs="Arial"/>
          <w:lang w:val="es-ES_tradnl"/>
        </w:rPr>
        <w:t>e</w:t>
      </w:r>
      <w:r>
        <w:rPr>
          <w:rFonts w:ascii="Verdana" w:hAnsi="Verdana" w:cs="Arial"/>
        </w:rPr>
        <w:t xml:space="preserve">l procedimiento para la escogencia de consultores es el concurso de méritos, y determina la experiencia como un factor que otorga puntaje. Así lo dispone el numeral 1.1 de dicha norma que dispone: “La Entidad Estatal en los pliegos de condiciones debe indicar la forma como calificará, entre otros, los siguientes criterios: </w:t>
      </w:r>
      <w:r>
        <w:rPr>
          <w:rFonts w:ascii="Verdana" w:hAnsi="Verdana" w:cs="Arial"/>
          <w:i/>
          <w:iCs/>
        </w:rPr>
        <w:t xml:space="preserve">a) la experiencia del interesado y del equipo de trabajo </w:t>
      </w:r>
      <w:r>
        <w:rPr>
          <w:rFonts w:ascii="Verdana" w:hAnsi="Verdana" w:cs="Arial"/>
        </w:rPr>
        <w:t>y b) la formación académica del equipo de trabajo</w:t>
      </w:r>
      <w:r>
        <w:rPr>
          <w:rFonts w:ascii="Verdana" w:hAnsi="Verdana" w:cs="Arial"/>
          <w:i/>
          <w:iCs/>
        </w:rPr>
        <w:t xml:space="preserve">” </w:t>
      </w:r>
      <w:r>
        <w:rPr>
          <w:rFonts w:ascii="Verdana" w:hAnsi="Verdana" w:cs="Arial"/>
        </w:rPr>
        <w:t>[Énfasis por fuera del texto],</w:t>
      </w:r>
      <w:r>
        <w:rPr>
          <w:rFonts w:ascii="Verdana" w:hAnsi="Verdana" w:cs="Arial"/>
          <w:i/>
          <w:iCs/>
        </w:rPr>
        <w:t xml:space="preserve"> </w:t>
      </w:r>
      <w:r>
        <w:rPr>
          <w:rFonts w:ascii="Verdana" w:hAnsi="Verdana" w:cs="Arial"/>
        </w:rPr>
        <w:t>excluyendo el precio como factor de escogencia.</w:t>
      </w:r>
    </w:p>
    <w:p w14:paraId="79CA0EF8" w14:textId="77777777" w:rsidR="0017150E" w:rsidRDefault="0017150E" w:rsidP="0017150E">
      <w:pPr>
        <w:spacing w:after="120" w:line="276" w:lineRule="auto"/>
        <w:ind w:firstLine="709"/>
        <w:jc w:val="both"/>
        <w:rPr>
          <w:rFonts w:ascii="Verdana" w:hAnsi="Verdana" w:cs="Arial"/>
        </w:rPr>
      </w:pPr>
      <w:r>
        <w:rPr>
          <w:rFonts w:ascii="Verdana" w:hAnsi="Verdana" w:cs="Arial"/>
        </w:rPr>
        <w:t xml:space="preserve">Conforme a esto,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 </w:t>
      </w:r>
    </w:p>
    <w:p w14:paraId="57AD2672" w14:textId="77777777" w:rsidR="0017150E" w:rsidRDefault="0017150E" w:rsidP="0017150E">
      <w:pPr>
        <w:spacing w:after="120" w:line="276" w:lineRule="auto"/>
        <w:ind w:firstLine="709"/>
        <w:jc w:val="both"/>
        <w:rPr>
          <w:rFonts w:ascii="Verdana" w:eastAsia="Arial" w:hAnsi="Verdana" w:cs="Arial"/>
          <w:color w:val="000000" w:themeColor="text1"/>
        </w:rPr>
      </w:pPr>
      <w:r>
        <w:rPr>
          <w:rFonts w:ascii="Verdana" w:eastAsia="Arial" w:hAnsi="Verdana" w:cstheme="majorHAnsi"/>
        </w:rPr>
        <w:t xml:space="preserve">Sobre el concepto de experiencia, esta Agencia ha sostenido que aquella “[...] debe ser entendida como el conocimiento adquirido por una persona </w:t>
      </w:r>
      <w:r>
        <w:rPr>
          <w:rFonts w:ascii="Verdana" w:eastAsia="Arial" w:hAnsi="Verdana" w:cstheme="majorHAnsi"/>
        </w:rPr>
        <w:lastRenderedPageBreak/>
        <w:t xml:space="preserve">natural o jurídica, derivado de su participación previa en actividades iguales o similares a las previstas en el objeto del contrato, desarrolladas con contratantes </w:t>
      </w:r>
      <w:r w:rsidRPr="00443503">
        <w:rPr>
          <w:rFonts w:ascii="Verdana" w:eastAsia="Arial" w:hAnsi="Verdana" w:cstheme="majorHAnsi"/>
          <w:i/>
          <w:iCs/>
        </w:rPr>
        <w:t>públicos</w:t>
      </w:r>
      <w:r>
        <w:rPr>
          <w:rFonts w:ascii="Verdana" w:eastAsia="Arial" w:hAnsi="Verdana" w:cstheme="majorHAnsi"/>
        </w:rPr>
        <w:t>, privados, nacionales o extranjeros</w:t>
      </w:r>
      <w:r>
        <w:rPr>
          <w:rStyle w:val="Refdenotaalpie"/>
          <w:rFonts w:ascii="Verdana" w:eastAsia="Arial" w:hAnsi="Verdana" w:cstheme="majorHAnsi"/>
        </w:rPr>
        <w:footnoteReference w:id="8"/>
      </w:r>
      <w:r>
        <w:rPr>
          <w:rFonts w:ascii="Verdana" w:eastAsia="Arial" w:hAnsi="Verdana" w:cstheme="majorHAnsi"/>
        </w:rPr>
        <w:t xml:space="preserve">”. </w:t>
      </w:r>
      <w:r w:rsidRPr="003905A7">
        <w:rPr>
          <w:rFonts w:ascii="Verdana" w:eastAsia="Arial" w:hAnsi="Verdana" w:cstheme="majorHAnsi"/>
        </w:rPr>
        <w:t xml:space="preserve">En este sentido, y conforme lo dispone el parágrafo 5 del artículo 5 de la Ley 1150 de 2007, </w:t>
      </w:r>
      <w:r w:rsidRPr="003905A7">
        <w:rPr>
          <w:rFonts w:ascii="Verdana" w:eastAsia="Arial" w:hAnsi="Verdana" w:cs="Arial"/>
          <w:color w:val="000000" w:themeColor="text1"/>
        </w:rPr>
        <w:t xml:space="preserve">en los procesos de contratación las entidades estatales </w:t>
      </w:r>
      <w:r w:rsidRPr="000162CF">
        <w:rPr>
          <w:rFonts w:ascii="Verdana" w:eastAsia="Arial" w:hAnsi="Verdana" w:cs="Arial"/>
          <w:color w:val="000000" w:themeColor="text1"/>
        </w:rPr>
        <w:t>deberán</w:t>
      </w:r>
      <w:r w:rsidRPr="003905A7">
        <w:rPr>
          <w:rFonts w:ascii="Verdana" w:eastAsia="Arial" w:hAnsi="Verdana" w:cs="Arial"/>
          <w:color w:val="000000" w:themeColor="text1"/>
        </w:rPr>
        <w:t xml:space="preserve"> aceptar la experiencia adquirida por los proponentes a través de la ejecución de contratos con particulares</w:t>
      </w:r>
      <w:r>
        <w:rPr>
          <w:rFonts w:ascii="Verdana" w:eastAsia="Arial" w:hAnsi="Verdana" w:cs="Arial"/>
          <w:color w:val="000000" w:themeColor="text1"/>
        </w:rPr>
        <w:t xml:space="preserve">, por lo que una condición en otro sentido supone una vulneración de lo dispuesto en la norma señalada. </w:t>
      </w:r>
    </w:p>
    <w:p w14:paraId="28A8C20D" w14:textId="77777777" w:rsidR="0017150E" w:rsidRDefault="0017150E" w:rsidP="0017150E">
      <w:pPr>
        <w:spacing w:after="120" w:line="276" w:lineRule="auto"/>
        <w:ind w:firstLine="709"/>
        <w:jc w:val="both"/>
        <w:rPr>
          <w:rFonts w:ascii="Verdana" w:eastAsia="Arial" w:hAnsi="Verdana" w:cs="Arial"/>
          <w:color w:val="000000"/>
        </w:rPr>
      </w:pPr>
      <w:r>
        <w:rPr>
          <w:rFonts w:ascii="Verdana" w:hAnsi="Verdana" w:cs="Arial"/>
        </w:rPr>
        <w:t>Por otro lado, el</w:t>
      </w:r>
      <w:r w:rsidRPr="00654462">
        <w:rPr>
          <w:rFonts w:ascii="Verdana" w:eastAsia="Arial" w:hAnsi="Verdana" w:cs="Arial"/>
          <w:color w:val="000000"/>
        </w:rPr>
        <w:t xml:space="preserve"> artículo 2.2.1.1.2.2.2 del Decreto 1082 de 2015, modificado por el Decreto 142 de 2023</w:t>
      </w:r>
      <w:r>
        <w:rPr>
          <w:rFonts w:ascii="Verdana" w:eastAsia="Arial" w:hAnsi="Verdana" w:cs="Arial"/>
          <w:color w:val="000000"/>
        </w:rPr>
        <w:t>, señala que en la licitación pública y la selección abreviada de menor cuantía,</w:t>
      </w:r>
      <w:r w:rsidRPr="00654462">
        <w:rPr>
          <w:rFonts w:ascii="Verdana" w:eastAsia="Arial" w:hAnsi="Verdana" w:cs="Arial"/>
          <w:color w:val="000000"/>
        </w:rPr>
        <w:t xml:space="preserve"> </w:t>
      </w:r>
      <w:r>
        <w:rPr>
          <w:rFonts w:ascii="Verdana" w:eastAsia="Arial" w:hAnsi="Verdana" w:cs="Arial"/>
          <w:color w:val="000000"/>
        </w:rPr>
        <w:t xml:space="preserve">la entidad debe determinar la oferta más favorable teniendo en cuenta: </w:t>
      </w:r>
      <w:r w:rsidRPr="006B449A">
        <w:rPr>
          <w:rFonts w:ascii="Verdana" w:eastAsia="Arial" w:hAnsi="Verdana" w:cs="Arial"/>
          <w:color w:val="000000"/>
        </w:rPr>
        <w:t>(a) la ponderación de los elementos de calidad y precio soportados en puntajes o fórmulas; o (b) la ponderación de los elementos de calidad y precio que representen la mejor relación de costo-beneficio</w:t>
      </w:r>
      <w:r>
        <w:rPr>
          <w:rFonts w:ascii="Verdana" w:eastAsia="Arial" w:hAnsi="Verdana" w:cs="Arial"/>
          <w:color w:val="000000"/>
        </w:rPr>
        <w:t xml:space="preserve">. </w:t>
      </w:r>
      <w:r w:rsidRPr="00654462">
        <w:rPr>
          <w:rFonts w:ascii="Verdana" w:eastAsia="Arial" w:hAnsi="Verdana" w:cs="Arial"/>
          <w:color w:val="000000"/>
        </w:rPr>
        <w:t xml:space="preserve">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654462">
        <w:rPr>
          <w:rFonts w:ascii="Verdana" w:eastAsia="Arial" w:hAnsi="Verdana" w:cs="Arial"/>
          <w:color w:val="000000"/>
        </w:rPr>
        <w:t>ii</w:t>
      </w:r>
      <w:proofErr w:type="spellEnd"/>
      <w:r w:rsidRPr="00654462">
        <w:rPr>
          <w:rFonts w:ascii="Verdana" w:eastAsia="Arial" w:hAnsi="Verdana" w:cs="Arial"/>
          <w:color w:val="000000"/>
        </w:rPr>
        <w:t xml:space="preserve">) las condiciones técnicas adicionales que representan ventajas de calidad o de funcionamiento; </w:t>
      </w:r>
      <w:proofErr w:type="spellStart"/>
      <w:r w:rsidRPr="00654462">
        <w:rPr>
          <w:rFonts w:ascii="Verdana" w:eastAsia="Arial" w:hAnsi="Verdana" w:cs="Arial"/>
          <w:color w:val="000000"/>
        </w:rPr>
        <w:t>iii</w:t>
      </w:r>
      <w:proofErr w:type="spellEnd"/>
      <w:r w:rsidRPr="00654462">
        <w:rPr>
          <w:rFonts w:ascii="Verdana" w:eastAsia="Arial" w:hAnsi="Verdana" w:cs="Arial"/>
          <w:color w:val="000000"/>
        </w:rPr>
        <w:t xml:space="preserve">) las condiciones económicas adicionales que representen ventajas en términos de economía, eficiencia y eficacia; y </w:t>
      </w:r>
      <w:proofErr w:type="spellStart"/>
      <w:r w:rsidRPr="00654462">
        <w:rPr>
          <w:rFonts w:ascii="Verdana" w:eastAsia="Arial" w:hAnsi="Verdana" w:cs="Arial"/>
          <w:color w:val="000000"/>
        </w:rPr>
        <w:t>iv</w:t>
      </w:r>
      <w:proofErr w:type="spellEnd"/>
      <w:r w:rsidRPr="00654462">
        <w:rPr>
          <w:rFonts w:ascii="Verdana" w:eastAsia="Arial" w:hAnsi="Verdana" w:cs="Arial"/>
          <w:color w:val="000000"/>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r w:rsidRPr="00654462">
        <w:rPr>
          <w:rFonts w:ascii="Verdana" w:eastAsia="Arial" w:hAnsi="Verdana" w:cs="Arial"/>
          <w:color w:val="000000"/>
          <w:vertAlign w:val="superscript"/>
        </w:rPr>
        <w:footnoteReference w:id="9"/>
      </w:r>
      <w:r>
        <w:rPr>
          <w:rFonts w:ascii="Verdana" w:eastAsia="Arial" w:hAnsi="Verdana" w:cs="Arial"/>
          <w:color w:val="000000"/>
        </w:rPr>
        <w:t>”</w:t>
      </w:r>
      <w:r w:rsidRPr="00654462">
        <w:rPr>
          <w:rFonts w:ascii="Verdana" w:eastAsia="Arial" w:hAnsi="Verdana" w:cs="Arial"/>
          <w:color w:val="000000"/>
        </w:rPr>
        <w:t>.</w:t>
      </w:r>
    </w:p>
    <w:p w14:paraId="6D293001" w14:textId="77777777" w:rsidR="0017150E" w:rsidRPr="006F0741" w:rsidRDefault="0017150E" w:rsidP="0017150E">
      <w:pPr>
        <w:spacing w:after="120" w:line="276" w:lineRule="auto"/>
        <w:ind w:firstLine="709"/>
        <w:jc w:val="both"/>
        <w:rPr>
          <w:rFonts w:ascii="Verdana" w:eastAsia="Arial" w:hAnsi="Verdana" w:cs="Arial"/>
          <w:color w:val="000000"/>
        </w:rPr>
      </w:pPr>
      <w:r>
        <w:rPr>
          <w:rFonts w:ascii="Verdana" w:eastAsia="Arial" w:hAnsi="Verdana" w:cs="Arial"/>
          <w:color w:val="000000"/>
        </w:rPr>
        <w:lastRenderedPageBreak/>
        <w:t xml:space="preserve">Según se evidencia, a diferencia de lo señalado </w:t>
      </w:r>
      <w:r w:rsidRPr="00341B96">
        <w:rPr>
          <w:rFonts w:ascii="Verdana" w:eastAsia="Calibri" w:hAnsi="Verdana" w:cs="Arial"/>
        </w:rPr>
        <w:t>para la selección de consultores</w:t>
      </w:r>
      <w:r>
        <w:rPr>
          <w:rFonts w:ascii="Verdana" w:eastAsia="Calibri" w:hAnsi="Verdana" w:cs="Arial"/>
        </w:rPr>
        <w:t xml:space="preserve">, para la licitación pública la norma no establece como requisito de ponderación o puntaje la experiencia </w:t>
      </w:r>
      <w:r>
        <w:rPr>
          <w:rFonts w:ascii="Verdana" w:hAnsi="Verdana" w:cs="Arial"/>
        </w:rPr>
        <w:t xml:space="preserve">del interesado y su equipo de trabajo, sino factores de calidad y precio. Estos </w:t>
      </w:r>
      <w:r>
        <w:rPr>
          <w:rFonts w:ascii="Verdana" w:eastAsia="Arial" w:hAnsi="Verdana" w:cs="Arial"/>
          <w:color w:val="000000"/>
        </w:rPr>
        <w:t xml:space="preserve">aspectos técnicos adicionales deben establecer </w:t>
      </w:r>
      <w:r w:rsidRPr="004B1E87">
        <w:rPr>
          <w:rFonts w:ascii="Verdana" w:eastAsia="Arial" w:hAnsi="Verdana" w:cs="Arial"/>
          <w:color w:val="000000"/>
        </w:rPr>
        <w:t>ventajas en la calida</w:t>
      </w:r>
      <w:r>
        <w:rPr>
          <w:rFonts w:ascii="Verdana" w:eastAsia="Arial" w:hAnsi="Verdana" w:cs="Arial"/>
          <w:color w:val="000000"/>
        </w:rPr>
        <w:t xml:space="preserve">d o funcionamiento de la </w:t>
      </w:r>
      <w:r w:rsidRPr="000F22C0">
        <w:rPr>
          <w:rFonts w:ascii="Verdana" w:eastAsia="Arial" w:hAnsi="Verdana" w:cs="Arial"/>
          <w:i/>
          <w:iCs/>
          <w:color w:val="000000"/>
        </w:rPr>
        <w:t>oferta</w:t>
      </w:r>
      <w:r>
        <w:rPr>
          <w:rFonts w:ascii="Verdana" w:eastAsia="Arial" w:hAnsi="Verdana" w:cs="Arial"/>
          <w:color w:val="000000"/>
        </w:rPr>
        <w:t xml:space="preserve">, como ocurre con </w:t>
      </w:r>
      <w:r w:rsidRPr="008B52C6">
        <w:rPr>
          <w:rFonts w:ascii="Verdana" w:eastAsia="Arial" w:hAnsi="Verdana" w:cs="Arial"/>
          <w:color w:val="000000"/>
        </w:rPr>
        <w:t>la calidad de los materiales que se empleará</w:t>
      </w:r>
      <w:r>
        <w:rPr>
          <w:rFonts w:ascii="Verdana" w:eastAsia="Arial" w:hAnsi="Verdana" w:cs="Arial"/>
          <w:color w:val="000000"/>
        </w:rPr>
        <w:t>n en la construcción de la obra,</w:t>
      </w:r>
      <w:r w:rsidRPr="008B52C6">
        <w:rPr>
          <w:rFonts w:ascii="Verdana" w:eastAsia="Arial" w:hAnsi="Verdana" w:cs="Arial"/>
          <w:color w:val="000000"/>
        </w:rPr>
        <w:t xml:space="preserve"> los procedimientos constructivos </w:t>
      </w:r>
      <w:r>
        <w:rPr>
          <w:rFonts w:ascii="Verdana" w:eastAsia="Arial" w:hAnsi="Verdana" w:cs="Arial"/>
          <w:color w:val="000000"/>
        </w:rPr>
        <w:t>aplicables,</w:t>
      </w:r>
      <w:r w:rsidRPr="008B52C6">
        <w:rPr>
          <w:rFonts w:ascii="Verdana" w:eastAsia="Arial" w:hAnsi="Verdana" w:cs="Arial"/>
          <w:color w:val="000000"/>
        </w:rPr>
        <w:t xml:space="preserve"> las características estéticas o funcionales</w:t>
      </w:r>
      <w:r>
        <w:rPr>
          <w:rFonts w:ascii="Verdana" w:eastAsia="Arial" w:hAnsi="Verdana" w:cs="Arial"/>
          <w:color w:val="000000"/>
        </w:rPr>
        <w:t xml:space="preserve">, cuadrilla adicional, implementación del programa de gerencia de proyectos, la adopción del plan de calidad, etc. En cuanto a los aspectos económicos puede asignar </w:t>
      </w:r>
      <w:r w:rsidRPr="004B1E87">
        <w:rPr>
          <w:rFonts w:ascii="Verdana" w:eastAsia="Arial" w:hAnsi="Verdana" w:cs="Arial"/>
          <w:color w:val="000000"/>
        </w:rPr>
        <w:t>ventajas</w:t>
      </w:r>
      <w:r>
        <w:rPr>
          <w:rFonts w:ascii="Verdana" w:eastAsia="Arial" w:hAnsi="Verdana" w:cs="Arial"/>
          <w:color w:val="000000"/>
        </w:rPr>
        <w:t xml:space="preserve"> adicionales</w:t>
      </w:r>
      <w:r w:rsidRPr="004B1E87">
        <w:rPr>
          <w:rFonts w:ascii="Verdana" w:eastAsia="Arial" w:hAnsi="Verdana" w:cs="Arial"/>
          <w:color w:val="000000"/>
        </w:rPr>
        <w:t xml:space="preserve"> en términos de eficiencia o eficacia</w:t>
      </w:r>
      <w:r>
        <w:rPr>
          <w:rFonts w:ascii="Verdana" w:eastAsia="Arial" w:hAnsi="Verdana" w:cs="Arial"/>
          <w:color w:val="000000"/>
        </w:rPr>
        <w:t xml:space="preserve">. De esta forma, en estos procesos los factores técnicos deben relacionarse </w:t>
      </w:r>
      <w:r w:rsidRPr="0047463D">
        <w:rPr>
          <w:rFonts w:ascii="Verdana" w:eastAsia="Arial" w:hAnsi="Verdana" w:cs="Arial"/>
          <w:color w:val="000000"/>
          <w:lang w:val="es-ES_tradnl"/>
        </w:rPr>
        <w:t>con las características del objeto a contratar</w:t>
      </w:r>
      <w:r>
        <w:rPr>
          <w:rFonts w:ascii="Verdana" w:eastAsia="Arial" w:hAnsi="Verdana" w:cs="Arial"/>
          <w:color w:val="000000"/>
          <w:lang w:val="es-ES_tradnl"/>
        </w:rPr>
        <w:t xml:space="preserve"> y la oferta</w:t>
      </w:r>
      <w:r w:rsidRPr="0047463D">
        <w:rPr>
          <w:rFonts w:ascii="Verdana" w:eastAsia="Arial" w:hAnsi="Verdana" w:cs="Arial"/>
          <w:color w:val="000000"/>
          <w:lang w:val="es-ES_tradnl"/>
        </w:rPr>
        <w:t xml:space="preserve"> </w:t>
      </w:r>
      <w:r>
        <w:rPr>
          <w:rFonts w:ascii="Verdana" w:eastAsia="Arial" w:hAnsi="Verdana" w:cs="Arial"/>
          <w:color w:val="000000"/>
          <w:lang w:val="es-ES_tradnl"/>
        </w:rPr>
        <w:t xml:space="preserve">y no con aspectos propios de la condición del proponente, que por demás, son evaluados como requisitos habilitantes. </w:t>
      </w:r>
    </w:p>
    <w:p w14:paraId="60239AE9" w14:textId="77777777" w:rsidR="0017150E" w:rsidRDefault="0017150E" w:rsidP="0017150E">
      <w:pPr>
        <w:spacing w:after="120" w:line="276" w:lineRule="auto"/>
        <w:ind w:firstLine="709"/>
        <w:jc w:val="both"/>
        <w:rPr>
          <w:rFonts w:ascii="Verdana" w:hAnsi="Verdana" w:cs="Arial"/>
        </w:rPr>
      </w:pPr>
      <w:r>
        <w:rPr>
          <w:rFonts w:ascii="Verdana" w:hAnsi="Verdana" w:cs="Arial"/>
        </w:rPr>
        <w:t xml:space="preserve">Dicho esto, se concluye que de acuerdo con el marco legal vigente, </w:t>
      </w:r>
      <w:r w:rsidRPr="000F3ED6">
        <w:rPr>
          <w:rFonts w:ascii="Verdana" w:hAnsi="Verdana" w:cs="Arial"/>
        </w:rPr>
        <w:t xml:space="preserve">en las demás modalidades de contratación </w:t>
      </w:r>
      <w:r>
        <w:rPr>
          <w:rFonts w:ascii="Verdana" w:hAnsi="Verdana" w:cs="Arial"/>
        </w:rPr>
        <w:t xml:space="preserve">distintas al concurso de méritos para la escogencia de consultores, </w:t>
      </w:r>
      <w:r w:rsidRPr="000F3ED6">
        <w:rPr>
          <w:rFonts w:ascii="Verdana" w:hAnsi="Verdana" w:cs="Arial"/>
        </w:rPr>
        <w:t xml:space="preserve">la experiencia no es un factor ponderable. </w:t>
      </w:r>
      <w:r w:rsidRPr="006910AD">
        <w:rPr>
          <w:rFonts w:ascii="Verdana" w:hAnsi="Verdana" w:cs="Arial"/>
        </w:rPr>
        <w:t>Esta interpretación se deriva</w:t>
      </w:r>
      <w:r>
        <w:rPr>
          <w:rFonts w:ascii="Verdana" w:hAnsi="Verdana" w:cs="Arial"/>
        </w:rPr>
        <w:t xml:space="preserve"> </w:t>
      </w:r>
      <w:r w:rsidRPr="006910AD">
        <w:rPr>
          <w:rFonts w:ascii="Verdana" w:hAnsi="Verdana" w:cs="Arial"/>
        </w:rPr>
        <w:t xml:space="preserve">de lo dispuesto en el artículo 5 de la Ley 1150 de 2007, </w:t>
      </w:r>
      <w:r w:rsidRPr="006910AD">
        <w:rPr>
          <w:rFonts w:ascii="Verdana" w:hAnsi="Verdana" w:cs="Arial"/>
        </w:rPr>
        <w:lastRenderedPageBreak/>
        <w:t xml:space="preserve">el cual establece de manera expresa que la experiencia corresponde a un requisito habilitante y, en consecuencia, no otorgará puntaje dentro de los procesos de selección. </w:t>
      </w:r>
      <w:r>
        <w:rPr>
          <w:rFonts w:ascii="Verdana" w:hAnsi="Verdana" w:cs="Arial"/>
        </w:rPr>
        <w:t>Además, e</w:t>
      </w:r>
      <w:r w:rsidRPr="006910AD">
        <w:rPr>
          <w:rFonts w:ascii="Verdana" w:hAnsi="Verdana" w:cs="Arial"/>
        </w:rPr>
        <w:t>sta previsión normativa responde</w:t>
      </w:r>
      <w:r>
        <w:rPr>
          <w:rFonts w:ascii="Verdana" w:hAnsi="Verdana" w:cs="Arial"/>
        </w:rPr>
        <w:t xml:space="preserve"> a la intención del </w:t>
      </w:r>
      <w:r w:rsidRPr="006910AD">
        <w:rPr>
          <w:rFonts w:ascii="Verdana" w:hAnsi="Verdana" w:cs="Arial"/>
        </w:rPr>
        <w:t xml:space="preserve">legislador </w:t>
      </w:r>
      <w:r>
        <w:rPr>
          <w:rFonts w:ascii="Verdana" w:hAnsi="Verdana" w:cs="Arial"/>
        </w:rPr>
        <w:t xml:space="preserve">de establecer </w:t>
      </w:r>
      <w:r w:rsidRPr="006910AD">
        <w:rPr>
          <w:rFonts w:ascii="Verdana" w:hAnsi="Verdana" w:cs="Arial"/>
        </w:rPr>
        <w:t xml:space="preserve">una excepción expresa a esta regla únicamente para el caso del concurso de méritos, en la cual la experiencia sí puede ser objeto de </w:t>
      </w:r>
      <w:r>
        <w:rPr>
          <w:rFonts w:ascii="Verdana" w:hAnsi="Verdana" w:cs="Arial"/>
        </w:rPr>
        <w:t>calificación</w:t>
      </w:r>
      <w:r w:rsidRPr="006910AD">
        <w:rPr>
          <w:rFonts w:ascii="Verdana" w:hAnsi="Verdana" w:cs="Arial"/>
        </w:rPr>
        <w:t xml:space="preserve">. </w:t>
      </w:r>
      <w:r>
        <w:rPr>
          <w:rFonts w:ascii="Verdana" w:hAnsi="Verdana" w:cs="Arial"/>
        </w:rPr>
        <w:t>En tal sentido, por f</w:t>
      </w:r>
      <w:r w:rsidRPr="006910AD">
        <w:rPr>
          <w:rFonts w:ascii="Verdana" w:hAnsi="Verdana" w:cs="Arial"/>
        </w:rPr>
        <w:t>uera de este supuesto la experiencia no puede emplearse como criterio de asignación de puntaje, pues su función dentro del proceso de contratación estatal se limita a verificar la idoneidad y aptitud del proponente para ejecutar el objeto contractual.</w:t>
      </w:r>
    </w:p>
    <w:p w14:paraId="50FAC2EC" w14:textId="77777777" w:rsidR="0017150E" w:rsidRDefault="0017150E" w:rsidP="0017150E">
      <w:pPr>
        <w:spacing w:after="120" w:line="276" w:lineRule="auto"/>
        <w:ind w:firstLine="709"/>
        <w:jc w:val="both"/>
        <w:rPr>
          <w:rFonts w:ascii="Verdana" w:hAnsi="Verdana" w:cs="Arial"/>
        </w:rPr>
      </w:pPr>
      <w:r>
        <w:rPr>
          <w:rFonts w:ascii="Verdana" w:hAnsi="Verdana" w:cs="Arial"/>
        </w:rPr>
        <w:t>Así las cosas</w:t>
      </w:r>
      <w:r w:rsidRPr="000F3ED6">
        <w:rPr>
          <w:rFonts w:ascii="Verdana" w:hAnsi="Verdana" w:cs="Arial"/>
        </w:rPr>
        <w:t xml:space="preserve">, </w:t>
      </w:r>
      <w:r>
        <w:rPr>
          <w:rFonts w:ascii="Verdana" w:hAnsi="Verdana" w:cs="Arial"/>
        </w:rPr>
        <w:t xml:space="preserve">para todas las demás modalidades de contratación distinta del concurso de méritos, </w:t>
      </w:r>
      <w:r w:rsidRPr="000F3ED6">
        <w:rPr>
          <w:rFonts w:ascii="Verdana" w:hAnsi="Verdana" w:cs="Arial"/>
        </w:rPr>
        <w:t>los contratos aportados por el proponente</w:t>
      </w:r>
      <w:r>
        <w:rPr>
          <w:rFonts w:ascii="Verdana" w:hAnsi="Verdana" w:cs="Arial"/>
        </w:rPr>
        <w:t xml:space="preserve"> </w:t>
      </w:r>
      <w:r w:rsidRPr="000F3ED6">
        <w:rPr>
          <w:rFonts w:ascii="Verdana" w:hAnsi="Verdana" w:cs="Arial"/>
        </w:rPr>
        <w:t xml:space="preserve">deben ser evaluados como experiencia en cuanto a los requisitos habilitantes que miden la aptitud del proponente. En ese orden de ideas, el factor de calidad </w:t>
      </w:r>
      <w:r>
        <w:rPr>
          <w:rFonts w:ascii="Verdana" w:hAnsi="Verdana" w:cs="Arial"/>
        </w:rPr>
        <w:t xml:space="preserve">en los procesos de licitación pública </w:t>
      </w:r>
      <w:r w:rsidRPr="000F3ED6">
        <w:rPr>
          <w:rFonts w:ascii="Verdana" w:hAnsi="Verdana" w:cs="Arial"/>
        </w:rPr>
        <w:t>debe calificarse a través de otros factores de conformidad con el numeral 2 del artículo 5 de la Ley 1150 de 2007, de naturaleza técnica o económica, asociados a la calidad del bien o servicio</w:t>
      </w:r>
      <w:r>
        <w:rPr>
          <w:rFonts w:ascii="Verdana" w:hAnsi="Verdana" w:cs="Arial"/>
        </w:rPr>
        <w:t xml:space="preserve">. </w:t>
      </w:r>
      <w:r>
        <w:rPr>
          <w:rFonts w:ascii="Verdana" w:eastAsia="Calibri" w:hAnsi="Verdana" w:cs="Arial"/>
        </w:rPr>
        <w:t xml:space="preserve">  </w:t>
      </w:r>
    </w:p>
    <w:p w14:paraId="3F14AF40" w14:textId="77777777" w:rsidR="0017150E" w:rsidRPr="00C55BDE" w:rsidRDefault="0017150E" w:rsidP="0017150E">
      <w:pPr>
        <w:spacing w:after="120" w:line="276" w:lineRule="auto"/>
        <w:ind w:firstLine="708"/>
        <w:jc w:val="both"/>
        <w:rPr>
          <w:rFonts w:ascii="Verdana" w:eastAsia="Times New Roman" w:hAnsi="Verdana" w:cs="Arial"/>
          <w:lang w:eastAsia="es-CO"/>
        </w:rPr>
      </w:pPr>
      <w:r w:rsidRPr="00C55BDE">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7940A16" w14:textId="77777777" w:rsidR="0017150E" w:rsidRPr="00C55BDE" w:rsidRDefault="0017150E" w:rsidP="0017150E">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553ADAF" w14:textId="77777777" w:rsidR="0017150E" w:rsidRPr="00CC5578" w:rsidRDefault="0017150E" w:rsidP="0017150E">
      <w:pPr>
        <w:spacing w:after="120" w:line="276" w:lineRule="auto"/>
        <w:jc w:val="both"/>
        <w:rPr>
          <w:rFonts w:ascii="Verdana" w:eastAsia="Calibri" w:hAnsi="Verdana" w:cs="Arial"/>
          <w:bCs/>
          <w:lang w:val="es-MX"/>
        </w:rPr>
      </w:pPr>
    </w:p>
    <w:p w14:paraId="163AD530" w14:textId="77777777" w:rsidR="0017150E" w:rsidRPr="002B5C7D" w:rsidRDefault="0017150E" w:rsidP="0017150E">
      <w:pPr>
        <w:numPr>
          <w:ilvl w:val="0"/>
          <w:numId w:val="19"/>
        </w:numPr>
        <w:spacing w:after="0" w:line="256" w:lineRule="auto"/>
        <w:rPr>
          <w:rFonts w:ascii="Verdana" w:eastAsia="Calibri" w:hAnsi="Verdana" w:cs="Times New Roman"/>
          <w:b/>
          <w:bCs/>
          <w:lang w:val="es-ES"/>
        </w:rPr>
      </w:pPr>
      <w:r w:rsidRPr="002B5C7D">
        <w:rPr>
          <w:rFonts w:ascii="Verdana" w:eastAsia="Calibri" w:hAnsi="Verdana" w:cs="Times New Roman"/>
          <w:b/>
          <w:bCs/>
          <w:lang w:val="es-ES"/>
        </w:rPr>
        <w:t>Referencias normativas, jurisprudenciales y otras fuentes:</w:t>
      </w:r>
    </w:p>
    <w:p w14:paraId="6A115845" w14:textId="77777777" w:rsidR="0017150E" w:rsidRDefault="0017150E" w:rsidP="0017150E">
      <w:pPr>
        <w:spacing w:after="0" w:line="240" w:lineRule="auto"/>
        <w:rPr>
          <w:rFonts w:ascii="Verdana" w:eastAsia="Calibri" w:hAnsi="Verdana" w:cs="Times New Roman"/>
          <w:bCs/>
          <w:lang w:val="es-ES_tradn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7150E" w:rsidRPr="001205D1" w14:paraId="779B8EB6" w14:textId="77777777" w:rsidTr="009972BF">
        <w:trPr>
          <w:trHeight w:val="870"/>
          <w:jc w:val="center"/>
        </w:trPr>
        <w:tc>
          <w:tcPr>
            <w:tcW w:w="8647" w:type="dxa"/>
          </w:tcPr>
          <w:p w14:paraId="367433FF" w14:textId="77777777" w:rsidR="0017150E" w:rsidRDefault="0017150E" w:rsidP="0017150E">
            <w:pPr>
              <w:widowControl w:val="0"/>
              <w:numPr>
                <w:ilvl w:val="0"/>
                <w:numId w:val="20"/>
              </w:numPr>
              <w:autoSpaceDE w:val="0"/>
              <w:autoSpaceDN w:val="0"/>
              <w:spacing w:before="120" w:after="120" w:line="276" w:lineRule="auto"/>
              <w:ind w:left="714" w:hanging="357"/>
              <w:jc w:val="both"/>
              <w:rPr>
                <w:rFonts w:ascii="Verdana" w:hAnsi="Verdana" w:cs="Arial"/>
              </w:rPr>
            </w:pPr>
            <w:r w:rsidRPr="002E2C7E">
              <w:rPr>
                <w:rFonts w:ascii="Verdana" w:hAnsi="Verdana" w:cs="Arial"/>
              </w:rPr>
              <w:t xml:space="preserve">Ley 1150 de 2007, artículo 5. </w:t>
            </w:r>
          </w:p>
          <w:p w14:paraId="22FB8AD1" w14:textId="77777777" w:rsidR="0017150E" w:rsidRDefault="0017150E" w:rsidP="0017150E">
            <w:pPr>
              <w:widowControl w:val="0"/>
              <w:numPr>
                <w:ilvl w:val="0"/>
                <w:numId w:val="20"/>
              </w:numPr>
              <w:autoSpaceDE w:val="0"/>
              <w:autoSpaceDN w:val="0"/>
              <w:spacing w:before="120" w:after="120" w:line="276" w:lineRule="auto"/>
              <w:ind w:left="714" w:hanging="357"/>
              <w:jc w:val="both"/>
              <w:rPr>
                <w:rFonts w:ascii="Verdana" w:hAnsi="Verdana" w:cs="Arial"/>
              </w:rPr>
            </w:pPr>
            <w:r>
              <w:rPr>
                <w:rFonts w:ascii="Verdana" w:hAnsi="Verdana" w:cs="Arial"/>
              </w:rPr>
              <w:t xml:space="preserve">Decreto Ley 019 de 2012, artículo 5. </w:t>
            </w:r>
          </w:p>
          <w:p w14:paraId="27092ADA" w14:textId="3EDE5517" w:rsidR="0017150E" w:rsidRPr="002E2C7E" w:rsidRDefault="0017150E" w:rsidP="0017150E">
            <w:pPr>
              <w:widowControl w:val="0"/>
              <w:numPr>
                <w:ilvl w:val="0"/>
                <w:numId w:val="20"/>
              </w:numPr>
              <w:autoSpaceDE w:val="0"/>
              <w:autoSpaceDN w:val="0"/>
              <w:spacing w:before="120" w:after="120" w:line="276" w:lineRule="auto"/>
              <w:ind w:left="714" w:hanging="357"/>
              <w:jc w:val="both"/>
              <w:rPr>
                <w:rFonts w:ascii="Verdana" w:hAnsi="Verdana" w:cs="Arial"/>
              </w:rPr>
            </w:pPr>
            <w:r w:rsidRPr="002E2C7E">
              <w:rPr>
                <w:rFonts w:ascii="Verdana" w:hAnsi="Verdana" w:cs="Arial"/>
              </w:rPr>
              <w:t xml:space="preserve">Decreto 1082 de 2015, artículos 2.2.1.1.2.2.2. </w:t>
            </w:r>
          </w:p>
          <w:p w14:paraId="25BDA625" w14:textId="77777777" w:rsidR="0017150E" w:rsidRPr="00EC6DC4" w:rsidRDefault="0017150E" w:rsidP="0017150E">
            <w:pPr>
              <w:widowControl w:val="0"/>
              <w:numPr>
                <w:ilvl w:val="0"/>
                <w:numId w:val="20"/>
              </w:numPr>
              <w:autoSpaceDE w:val="0"/>
              <w:autoSpaceDN w:val="0"/>
              <w:spacing w:before="120" w:after="120" w:line="276" w:lineRule="auto"/>
              <w:ind w:left="714" w:hanging="357"/>
              <w:jc w:val="both"/>
              <w:rPr>
                <w:rFonts w:ascii="Verdana" w:hAnsi="Verdana" w:cs="Arial"/>
                <w:lang w:val="es-ES"/>
              </w:rPr>
            </w:pPr>
            <w:r w:rsidRPr="008546E6">
              <w:rPr>
                <w:rFonts w:ascii="Verdana" w:hAnsi="Verdana"/>
                <w:lang w:val="es-ES_tradnl"/>
              </w:rPr>
              <w:t xml:space="preserve">Manual para determinar y verificar los requisitos habilitantes en los Procesos de Contratación. Disponible en: </w:t>
            </w:r>
            <w:hyperlink r:id="rId13" w:history="1">
              <w:r w:rsidRPr="008546E6">
                <w:rPr>
                  <w:rStyle w:val="Hipervnculo"/>
                  <w:rFonts w:ascii="Verdana" w:hAnsi="Verdana"/>
                  <w:lang w:val="es-ES_tradnl"/>
                </w:rPr>
                <w:t>https://www.colombiacompra.gov.co/wp-content/uploads/2024/08/cce-eicp-ma-04._manual_requisitos_habilitantes_v3_29-09-2023.pdf</w:t>
              </w:r>
            </w:hyperlink>
          </w:p>
        </w:tc>
      </w:tr>
    </w:tbl>
    <w:p w14:paraId="25BEE1F1" w14:textId="77777777" w:rsidR="0017150E" w:rsidRPr="00CE3B27" w:rsidRDefault="0017150E" w:rsidP="0017150E">
      <w:pPr>
        <w:spacing w:line="276" w:lineRule="auto"/>
        <w:ind w:right="709"/>
        <w:contextualSpacing/>
        <w:jc w:val="both"/>
        <w:rPr>
          <w:rFonts w:ascii="Verdana" w:hAnsi="Verdana" w:cs="Arial"/>
          <w:color w:val="000000" w:themeColor="text1"/>
        </w:rPr>
      </w:pPr>
    </w:p>
    <w:p w14:paraId="26EE9DEA" w14:textId="77777777" w:rsidR="0017150E" w:rsidRPr="002B5C7D" w:rsidRDefault="0017150E" w:rsidP="0017150E">
      <w:pPr>
        <w:numPr>
          <w:ilvl w:val="0"/>
          <w:numId w:val="19"/>
        </w:numPr>
        <w:spacing w:after="0" w:line="256" w:lineRule="auto"/>
        <w:rPr>
          <w:rFonts w:ascii="Verdana" w:eastAsia="Calibri" w:hAnsi="Verdana" w:cs="Times New Roman"/>
          <w:b/>
          <w:bCs/>
          <w:lang w:val="es-ES"/>
        </w:rPr>
      </w:pPr>
      <w:r w:rsidRPr="002B5C7D">
        <w:rPr>
          <w:rFonts w:ascii="Verdana" w:eastAsia="Calibri" w:hAnsi="Verdana" w:cs="Times New Roman"/>
          <w:b/>
          <w:bCs/>
          <w:lang w:val="es-ES"/>
        </w:rPr>
        <w:t>Doctrina de la Agencia Nacional de Contratación Pública:</w:t>
      </w:r>
    </w:p>
    <w:p w14:paraId="2B2CD8CD" w14:textId="77777777" w:rsidR="0017150E" w:rsidRPr="002B5C7D" w:rsidRDefault="0017150E" w:rsidP="0017150E">
      <w:pPr>
        <w:spacing w:after="0" w:line="256" w:lineRule="auto"/>
        <w:rPr>
          <w:rFonts w:ascii="Verdana" w:eastAsia="Calibri" w:hAnsi="Verdana" w:cs="Times New Roman"/>
          <w:lang w:val="es-ES"/>
        </w:rPr>
      </w:pPr>
    </w:p>
    <w:p w14:paraId="7285EC30" w14:textId="77777777" w:rsidR="0017150E" w:rsidRPr="009726F0" w:rsidRDefault="0017150E" w:rsidP="0017150E">
      <w:pPr>
        <w:widowControl w:val="0"/>
        <w:autoSpaceDE w:val="0"/>
        <w:autoSpaceDN w:val="0"/>
        <w:spacing w:after="0" w:line="276" w:lineRule="auto"/>
        <w:jc w:val="both"/>
        <w:rPr>
          <w:rFonts w:ascii="Verdana" w:hAnsi="Verdana" w:cs="Arial"/>
          <w:bCs/>
          <w:shd w:val="clear" w:color="auto" w:fill="FFFFFF"/>
        </w:rPr>
      </w:pPr>
      <w:r w:rsidRPr="00185EE9">
        <w:rPr>
          <w:rStyle w:val="normaltextrun"/>
          <w:rFonts w:ascii="Verdana" w:hAnsi="Verdana" w:cs="Arial"/>
          <w:shd w:val="clear" w:color="auto" w:fill="FFFFFF"/>
          <w:lang w:val="es-ES"/>
        </w:rPr>
        <w:t xml:space="preserve">Esta Subdirección se ha pronunciado sobre </w:t>
      </w:r>
      <w:r>
        <w:rPr>
          <w:rStyle w:val="normaltextrun"/>
          <w:rFonts w:ascii="Verdana" w:hAnsi="Verdana" w:cs="Arial"/>
          <w:shd w:val="clear" w:color="auto" w:fill="FFFFFF"/>
          <w:lang w:val="es-ES"/>
        </w:rPr>
        <w:t xml:space="preserve">el principio de Selección Objetiva </w:t>
      </w:r>
      <w:r>
        <w:rPr>
          <w:rFonts w:ascii="Verdana" w:eastAsia="Calibri" w:hAnsi="Verdana" w:cs="Arial"/>
          <w:color w:val="000000"/>
        </w:rPr>
        <w:t>en</w:t>
      </w:r>
      <w:r w:rsidRPr="00954359">
        <w:rPr>
          <w:rFonts w:ascii="Verdana" w:eastAsia="Calibri" w:hAnsi="Verdana" w:cs="Arial"/>
          <w:color w:val="000000"/>
        </w:rPr>
        <w:t xml:space="preserve"> los conceptos</w:t>
      </w:r>
      <w:r>
        <w:rPr>
          <w:rFonts w:ascii="Verdana" w:eastAsia="Calibri" w:hAnsi="Verdana" w:cs="Arial"/>
          <w:color w:val="000000"/>
        </w:rPr>
        <w:t xml:space="preserve"> </w:t>
      </w:r>
      <w:r w:rsidRPr="00954359">
        <w:rPr>
          <w:rFonts w:ascii="Verdana" w:eastAsia="Calibri" w:hAnsi="Verdana" w:cs="Arial"/>
          <w:color w:val="000000"/>
        </w:rPr>
        <w:t>C-218 del 2 de abril</w:t>
      </w:r>
      <w:r w:rsidRPr="00954359">
        <w:rPr>
          <w:rFonts w:ascii="Verdana" w:eastAsia="Arial" w:hAnsi="Verdana" w:cs="Arial"/>
          <w:bCs/>
          <w:lang w:val="es-ES_tradnl" w:eastAsia="es-ES_tradnl"/>
        </w:rPr>
        <w:t xml:space="preserve"> de 2020,</w:t>
      </w:r>
      <w:r>
        <w:rPr>
          <w:rFonts w:ascii="Verdana" w:eastAsia="Arial" w:hAnsi="Verdana" w:cs="Arial"/>
          <w:bCs/>
          <w:lang w:val="es-ES_tradnl" w:eastAsia="es-ES_tradnl"/>
        </w:rPr>
        <w:t xml:space="preserve"> </w:t>
      </w:r>
      <w:r w:rsidRPr="00954359">
        <w:rPr>
          <w:rFonts w:ascii="Verdana" w:eastAsia="Arial" w:hAnsi="Verdana" w:cs="Arial"/>
          <w:bCs/>
          <w:lang w:val="es-ES_tradnl" w:eastAsia="es-ES_tradnl"/>
        </w:rPr>
        <w:t>C-083 del 18 de marzo de 2021, C-691 del 28 de diciembre de 202</w:t>
      </w:r>
      <w:r>
        <w:rPr>
          <w:rFonts w:ascii="Verdana" w:eastAsia="Arial" w:hAnsi="Verdana" w:cs="Arial"/>
          <w:bCs/>
          <w:lang w:val="es-ES_tradnl" w:eastAsia="es-ES_tradnl"/>
        </w:rPr>
        <w:t>1, C-431 del 7 de julio de 2022, C-457 del 24 de septiembre de 2024, C-597 del 8 de noviembre de 2024, C-625 del 29 de noviembre de 2024, C-232 del 1 de abril de 2025, C-442 del 21 de mayo de 2025, C-722 del 7 de julio de 2025, C-135 del 19 de febrero de 2026, entre otros.</w:t>
      </w:r>
      <w:r>
        <w:rPr>
          <w:rFonts w:ascii="Verdana" w:hAnsi="Verdana" w:cs="Arial"/>
          <w:bCs/>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6C2E4BA" w14:textId="77777777" w:rsidR="0017150E" w:rsidRPr="00185EE9" w:rsidRDefault="0017150E" w:rsidP="0017150E">
      <w:pPr>
        <w:spacing w:after="0" w:line="256" w:lineRule="auto"/>
        <w:jc w:val="both"/>
        <w:rPr>
          <w:rFonts w:ascii="Verdana" w:eastAsia="Calibri" w:hAnsi="Verdana" w:cs="Times New Roman"/>
        </w:rPr>
      </w:pPr>
      <w:hyperlink r:id="rId14" w:history="1">
        <w:r w:rsidRPr="00185EE9">
          <w:rPr>
            <w:rFonts w:ascii="Verdana" w:eastAsia="Calibri" w:hAnsi="Verdana" w:cs="Times New Roman"/>
            <w:color w:val="0000FF"/>
            <w:u w:val="single"/>
            <w:lang w:val="es-ES"/>
          </w:rPr>
          <w:t>https://relatoria.colombiacompra.gov.co/busqueda/conceptos</w:t>
        </w:r>
      </w:hyperlink>
      <w:r w:rsidRPr="00185EE9">
        <w:rPr>
          <w:rFonts w:ascii="Verdana" w:eastAsia="Calibri" w:hAnsi="Verdana" w:cs="Times New Roman"/>
        </w:rPr>
        <w:t xml:space="preserve">. </w:t>
      </w:r>
    </w:p>
    <w:p w14:paraId="4DCD6DA4" w14:textId="77777777" w:rsidR="0017150E" w:rsidRDefault="0017150E" w:rsidP="0017150E">
      <w:pPr>
        <w:spacing w:after="0"/>
        <w:jc w:val="both"/>
        <w:rPr>
          <w:rFonts w:ascii="Verdana" w:hAnsi="Verdana"/>
        </w:rPr>
      </w:pPr>
    </w:p>
    <w:p w14:paraId="5CF3FDA6" w14:textId="77777777" w:rsidR="0017150E" w:rsidRPr="0044528D" w:rsidRDefault="0017150E" w:rsidP="0017150E">
      <w:pPr>
        <w:spacing w:after="0"/>
        <w:jc w:val="both"/>
        <w:rPr>
          <w:rFonts w:ascii="Verdana" w:hAnsi="Verdana"/>
        </w:rPr>
      </w:pPr>
      <w:r w:rsidRPr="0044528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756B7AD" w14:textId="77777777" w:rsidR="0017150E" w:rsidRPr="0044528D" w:rsidRDefault="0017150E" w:rsidP="0017150E">
      <w:pPr>
        <w:spacing w:after="0" w:line="240" w:lineRule="auto"/>
        <w:jc w:val="both"/>
        <w:rPr>
          <w:rFonts w:ascii="Verdana" w:hAnsi="Verdana"/>
        </w:rPr>
      </w:pPr>
    </w:p>
    <w:p w14:paraId="74D130AD" w14:textId="77777777" w:rsidR="0017150E" w:rsidRPr="0044528D" w:rsidRDefault="0017150E" w:rsidP="0017150E">
      <w:pPr>
        <w:pStyle w:val="Prrafodelista"/>
        <w:numPr>
          <w:ilvl w:val="0"/>
          <w:numId w:val="15"/>
        </w:numPr>
        <w:spacing w:after="0" w:line="240" w:lineRule="auto"/>
        <w:jc w:val="both"/>
        <w:rPr>
          <w:rFonts w:ascii="Verdana" w:hAnsi="Verdana"/>
        </w:rPr>
      </w:pPr>
      <w:r w:rsidRPr="0044528D">
        <w:rPr>
          <w:rFonts w:ascii="Verdana" w:hAnsi="Verdana"/>
        </w:rPr>
        <w:t>Línea nacional gratuita o servicio a la ciudadanía: 01800 0520808</w:t>
      </w:r>
    </w:p>
    <w:p w14:paraId="18454BF8" w14:textId="77777777" w:rsidR="0017150E" w:rsidRPr="0044528D" w:rsidRDefault="0017150E" w:rsidP="0017150E">
      <w:pPr>
        <w:pStyle w:val="Prrafodelista"/>
        <w:numPr>
          <w:ilvl w:val="0"/>
          <w:numId w:val="15"/>
        </w:numPr>
        <w:spacing w:after="0" w:line="240" w:lineRule="auto"/>
        <w:jc w:val="both"/>
        <w:rPr>
          <w:rFonts w:ascii="Verdana" w:hAnsi="Verdana"/>
        </w:rPr>
      </w:pPr>
      <w:r w:rsidRPr="0044528D">
        <w:rPr>
          <w:rFonts w:ascii="Verdana" w:hAnsi="Verdana"/>
        </w:rPr>
        <w:t>Línea en Bogotá (Mesa de servicio): +57 601 7456788</w:t>
      </w:r>
    </w:p>
    <w:p w14:paraId="35802AF5" w14:textId="77777777" w:rsidR="0017150E" w:rsidRPr="0044528D" w:rsidRDefault="0017150E" w:rsidP="0017150E">
      <w:pPr>
        <w:pStyle w:val="Prrafodelista"/>
        <w:numPr>
          <w:ilvl w:val="0"/>
          <w:numId w:val="15"/>
        </w:numPr>
        <w:spacing w:after="0" w:line="240" w:lineRule="auto"/>
        <w:jc w:val="both"/>
        <w:rPr>
          <w:rFonts w:ascii="Verdana" w:hAnsi="Verdana"/>
        </w:rPr>
      </w:pPr>
      <w:r w:rsidRPr="0044528D">
        <w:rPr>
          <w:rFonts w:ascii="Verdana" w:hAnsi="Verdana"/>
        </w:rPr>
        <w:t>Línea de servicio y atención al ciudadano: +57 601 7956600</w:t>
      </w:r>
    </w:p>
    <w:p w14:paraId="10FCC5E2" w14:textId="77777777" w:rsidR="0017150E" w:rsidRPr="0044528D" w:rsidRDefault="0017150E" w:rsidP="0017150E">
      <w:pPr>
        <w:pStyle w:val="Prrafodelista"/>
        <w:numPr>
          <w:ilvl w:val="0"/>
          <w:numId w:val="15"/>
        </w:numPr>
        <w:spacing w:after="0" w:line="240" w:lineRule="auto"/>
        <w:jc w:val="both"/>
        <w:rPr>
          <w:rFonts w:ascii="Verdana" w:hAnsi="Verdana"/>
        </w:rPr>
      </w:pPr>
      <w:r w:rsidRPr="0044528D">
        <w:rPr>
          <w:rFonts w:ascii="Verdana" w:hAnsi="Verdana"/>
        </w:rPr>
        <w:t xml:space="preserve">Página web: </w:t>
      </w:r>
      <w:hyperlink r:id="rId15" w:history="1">
        <w:r w:rsidRPr="0044528D">
          <w:rPr>
            <w:rStyle w:val="Hipervnculo"/>
            <w:rFonts w:ascii="Verdana" w:hAnsi="Verdana"/>
          </w:rPr>
          <w:t>www.colombiacompra.gov.co</w:t>
        </w:r>
      </w:hyperlink>
    </w:p>
    <w:p w14:paraId="4C403083" w14:textId="77777777" w:rsidR="0017150E" w:rsidRPr="0044528D" w:rsidRDefault="0017150E" w:rsidP="0017150E">
      <w:pPr>
        <w:pStyle w:val="Prrafodelista"/>
        <w:spacing w:after="0" w:line="240" w:lineRule="auto"/>
        <w:ind w:left="785"/>
        <w:jc w:val="both"/>
        <w:rPr>
          <w:rFonts w:ascii="Verdana" w:hAnsi="Verdana"/>
        </w:rPr>
      </w:pPr>
    </w:p>
    <w:p w14:paraId="55920162" w14:textId="77777777" w:rsidR="0017150E" w:rsidRPr="0044528D" w:rsidRDefault="0017150E" w:rsidP="0017150E">
      <w:pPr>
        <w:spacing w:after="0" w:line="240" w:lineRule="auto"/>
        <w:jc w:val="both"/>
        <w:rPr>
          <w:rFonts w:ascii="Verdana" w:hAnsi="Verdana"/>
        </w:rPr>
      </w:pPr>
      <w:r w:rsidRPr="0044528D">
        <w:rPr>
          <w:rFonts w:ascii="Verdana" w:hAnsi="Verdana"/>
        </w:rPr>
        <w:t xml:space="preserve">Por último, lo invitamos a seguirnos en las redes sociales en las cuales se difunde información institucional: </w:t>
      </w:r>
    </w:p>
    <w:p w14:paraId="5D4BE6BD" w14:textId="77777777" w:rsidR="0017150E" w:rsidRPr="0044528D" w:rsidRDefault="0017150E" w:rsidP="0017150E">
      <w:pPr>
        <w:spacing w:after="0" w:line="240" w:lineRule="auto"/>
        <w:jc w:val="both"/>
        <w:rPr>
          <w:rFonts w:ascii="Verdana" w:hAnsi="Verdana"/>
        </w:rPr>
      </w:pPr>
    </w:p>
    <w:p w14:paraId="43DFCE35" w14:textId="77777777" w:rsidR="0017150E" w:rsidRPr="0044528D" w:rsidRDefault="0017150E" w:rsidP="0017150E">
      <w:pPr>
        <w:spacing w:after="0" w:line="240" w:lineRule="auto"/>
        <w:jc w:val="both"/>
        <w:rPr>
          <w:rFonts w:ascii="Verdana" w:hAnsi="Verdana"/>
        </w:rPr>
      </w:pPr>
      <w:r w:rsidRPr="0044528D">
        <w:rPr>
          <w:rFonts w:ascii="Verdana" w:hAnsi="Verdana"/>
        </w:rPr>
        <w:t xml:space="preserve">Twitter: </w:t>
      </w:r>
      <w:r w:rsidRPr="0044528D">
        <w:rPr>
          <w:rStyle w:val="Hipervnculo"/>
          <w:rFonts w:ascii="Verdana" w:hAnsi="Verdana"/>
        </w:rPr>
        <w:t>@colombiacompra</w:t>
      </w:r>
      <w:r w:rsidRPr="0044528D">
        <w:rPr>
          <w:rFonts w:ascii="Verdana" w:hAnsi="Verdana"/>
        </w:rPr>
        <w:t xml:space="preserve"> </w:t>
      </w:r>
    </w:p>
    <w:p w14:paraId="7BF69028" w14:textId="77777777" w:rsidR="0017150E" w:rsidRPr="0044528D" w:rsidRDefault="0017150E" w:rsidP="0017150E">
      <w:pPr>
        <w:spacing w:after="0" w:line="240" w:lineRule="auto"/>
        <w:jc w:val="both"/>
        <w:rPr>
          <w:rFonts w:ascii="Verdana" w:hAnsi="Verdana"/>
        </w:rPr>
      </w:pPr>
      <w:r w:rsidRPr="0044528D">
        <w:rPr>
          <w:rFonts w:ascii="Verdana" w:hAnsi="Verdana"/>
        </w:rPr>
        <w:t xml:space="preserve">Facebook: </w:t>
      </w:r>
      <w:proofErr w:type="spellStart"/>
      <w:r w:rsidRPr="0044528D">
        <w:rPr>
          <w:rStyle w:val="Hipervnculo"/>
          <w:rFonts w:ascii="Verdana" w:hAnsi="Verdana"/>
        </w:rPr>
        <w:t>ColombiaCompraEficiente</w:t>
      </w:r>
      <w:proofErr w:type="spellEnd"/>
    </w:p>
    <w:p w14:paraId="3D05449E" w14:textId="77777777" w:rsidR="0017150E" w:rsidRPr="0044528D" w:rsidRDefault="0017150E" w:rsidP="0017150E">
      <w:pPr>
        <w:spacing w:after="0" w:line="240" w:lineRule="auto"/>
        <w:jc w:val="both"/>
        <w:rPr>
          <w:rFonts w:ascii="Verdana" w:hAnsi="Verdana"/>
        </w:rPr>
      </w:pPr>
      <w:r w:rsidRPr="0044528D">
        <w:rPr>
          <w:rFonts w:ascii="Verdana" w:hAnsi="Verdana"/>
        </w:rPr>
        <w:t xml:space="preserve">LinkedIn: </w:t>
      </w:r>
      <w:r w:rsidRPr="0044528D">
        <w:rPr>
          <w:rStyle w:val="Hipervnculo"/>
          <w:rFonts w:ascii="Verdana" w:hAnsi="Verdana"/>
        </w:rPr>
        <w:t>Agencia Nacional de Contratación Pública - Colombia Compra Eficiente</w:t>
      </w:r>
      <w:r w:rsidRPr="0044528D">
        <w:rPr>
          <w:rFonts w:ascii="Verdana" w:hAnsi="Verdana"/>
        </w:rPr>
        <w:t xml:space="preserve"> Instagram: </w:t>
      </w:r>
      <w:r w:rsidRPr="0044528D">
        <w:rPr>
          <w:rStyle w:val="Hipervnculo"/>
          <w:rFonts w:ascii="Verdana" w:hAnsi="Verdana"/>
        </w:rPr>
        <w:t>@colombiacompraeficiente_cce</w:t>
      </w:r>
    </w:p>
    <w:p w14:paraId="0E26456E" w14:textId="77777777" w:rsidR="0017150E" w:rsidRDefault="0017150E" w:rsidP="0017150E">
      <w:pPr>
        <w:spacing w:after="0" w:line="240" w:lineRule="auto"/>
        <w:jc w:val="both"/>
        <w:rPr>
          <w:rFonts w:ascii="Verdana" w:hAnsi="Verdana"/>
        </w:rPr>
      </w:pPr>
    </w:p>
    <w:p w14:paraId="6D42533E" w14:textId="77777777" w:rsidR="0017150E" w:rsidRPr="00A12CB6" w:rsidRDefault="0017150E" w:rsidP="0017150E">
      <w:pPr>
        <w:spacing w:after="0" w:line="256" w:lineRule="auto"/>
        <w:jc w:val="both"/>
        <w:rPr>
          <w:rFonts w:ascii="Verdana" w:eastAsia="Calibri" w:hAnsi="Verdana" w:cs="Times New Roman"/>
          <w:bCs/>
          <w:lang w:val="es-ES_tradnl"/>
        </w:rPr>
      </w:pPr>
      <w:r w:rsidRPr="00A12CB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48059E7" w14:textId="77777777" w:rsidR="0017150E" w:rsidRPr="001358C0" w:rsidRDefault="0017150E" w:rsidP="0017150E">
      <w:pPr>
        <w:spacing w:after="0" w:line="240" w:lineRule="auto"/>
        <w:jc w:val="both"/>
        <w:rPr>
          <w:rFonts w:ascii="Verdana" w:hAnsi="Verdana"/>
          <w:lang w:val="es-ES_tradnl"/>
        </w:rPr>
      </w:pPr>
    </w:p>
    <w:p w14:paraId="6B05A771" w14:textId="77777777" w:rsidR="0017150E" w:rsidRDefault="0017150E" w:rsidP="0017150E">
      <w:pPr>
        <w:spacing w:after="0" w:line="240" w:lineRule="auto"/>
        <w:jc w:val="both"/>
        <w:rPr>
          <w:rFonts w:ascii="Verdana" w:hAnsi="Verdana"/>
          <w:lang w:val="es-MX"/>
        </w:rPr>
      </w:pPr>
      <w:r w:rsidRPr="0044528D">
        <w:rPr>
          <w:rFonts w:ascii="Verdana" w:hAnsi="Verdana"/>
          <w:lang w:val="es-MX"/>
        </w:rPr>
        <w:t>Cordialmente,</w:t>
      </w:r>
    </w:p>
    <w:p w14:paraId="52F5808D" w14:textId="3C372FE6" w:rsidR="0017150E" w:rsidRDefault="00AE0534" w:rsidP="00AE0534">
      <w:pPr>
        <w:spacing w:after="0" w:line="240" w:lineRule="auto"/>
        <w:jc w:val="center"/>
        <w:rPr>
          <w:rFonts w:ascii="Verdana" w:eastAsia="Times New Roman" w:hAnsi="Verdana" w:cs="Arial"/>
          <w:noProof/>
          <w:sz w:val="24"/>
          <w:szCs w:val="24"/>
          <w:lang w:val="en-US"/>
        </w:rPr>
      </w:pPr>
      <w:r w:rsidRPr="00F21F0B">
        <w:rPr>
          <w:rFonts w:ascii="Century Gothic" w:hAnsi="Century Gothic"/>
          <w:noProof/>
        </w:rPr>
        <w:drawing>
          <wp:inline distT="0" distB="0" distL="0" distR="0" wp14:anchorId="2C355243" wp14:editId="14A1A7AA">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p w14:paraId="2F518DA5" w14:textId="4CF7E99A" w:rsidR="0017150E" w:rsidRPr="006545D5" w:rsidRDefault="0017150E" w:rsidP="0017150E">
      <w:pPr>
        <w:spacing w:line="276" w:lineRule="auto"/>
        <w:jc w:val="center"/>
        <w:rPr>
          <w:rFonts w:ascii="Verdana" w:hAnsi="Verdana" w:cs="Arial"/>
          <w:color w:val="000000" w:themeColor="text1"/>
          <w:lang w:val="es-ES" w:eastAsia="es-CO"/>
        </w:rPr>
      </w:pPr>
    </w:p>
    <w:tbl>
      <w:tblPr>
        <w:tblStyle w:val="Tablaconcuadrcula111"/>
        <w:tblW w:w="6521" w:type="dxa"/>
        <w:tblLook w:val="04A0" w:firstRow="1" w:lastRow="0" w:firstColumn="1" w:lastColumn="0" w:noHBand="0" w:noVBand="1"/>
      </w:tblPr>
      <w:tblGrid>
        <w:gridCol w:w="893"/>
        <w:gridCol w:w="5628"/>
      </w:tblGrid>
      <w:tr w:rsidR="0017150E" w:rsidRPr="006545D5" w14:paraId="602DDA45" w14:textId="77777777" w:rsidTr="009972BF">
        <w:trPr>
          <w:trHeight w:val="315"/>
        </w:trPr>
        <w:tc>
          <w:tcPr>
            <w:tcW w:w="893" w:type="dxa"/>
            <w:vAlign w:val="center"/>
            <w:hideMark/>
          </w:tcPr>
          <w:p w14:paraId="66B3C669" w14:textId="77777777" w:rsidR="0017150E" w:rsidRPr="006545D5" w:rsidRDefault="0017150E" w:rsidP="009972BF">
            <w:pPr>
              <w:spacing w:after="255" w:line="254" w:lineRule="auto"/>
              <w:contextualSpacing/>
              <w:rPr>
                <w:rFonts w:ascii="Verdana" w:eastAsia="Calibri" w:hAnsi="Verdana" w:cs="Arial"/>
                <w:sz w:val="16"/>
                <w:szCs w:val="16"/>
                <w:lang w:val="es-ES" w:eastAsia="es-ES"/>
              </w:rPr>
            </w:pPr>
            <w:r w:rsidRPr="006545D5">
              <w:rPr>
                <w:rFonts w:ascii="Verdana" w:eastAsia="Calibri"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9CF9153" w14:textId="77777777" w:rsidR="0017150E" w:rsidRPr="006545D5" w:rsidRDefault="0017150E" w:rsidP="009972BF">
            <w:pPr>
              <w:spacing w:after="255" w:line="254" w:lineRule="auto"/>
              <w:contextualSpacing/>
              <w:rPr>
                <w:rFonts w:ascii="Verdana" w:eastAsia="Calibri" w:hAnsi="Verdana" w:cs="Times New Roman"/>
                <w:sz w:val="16"/>
                <w:szCs w:val="16"/>
              </w:rPr>
            </w:pPr>
            <w:r w:rsidRPr="006545D5">
              <w:rPr>
                <w:rFonts w:ascii="Verdana" w:eastAsia="Calibri" w:hAnsi="Verdana" w:cs="Times New Roman"/>
                <w:sz w:val="16"/>
                <w:szCs w:val="16"/>
              </w:rPr>
              <w:t>Tatiana Baquero Iguarán</w:t>
            </w:r>
          </w:p>
          <w:p w14:paraId="4B06D533" w14:textId="77777777" w:rsidR="0017150E" w:rsidRPr="006545D5" w:rsidRDefault="0017150E" w:rsidP="009972BF">
            <w:pPr>
              <w:spacing w:after="255" w:line="254" w:lineRule="auto"/>
              <w:contextualSpacing/>
              <w:rPr>
                <w:rFonts w:ascii="Verdana" w:eastAsia="Arial" w:hAnsi="Verdana" w:cs="Arial"/>
                <w:sz w:val="16"/>
                <w:szCs w:val="16"/>
              </w:rPr>
            </w:pPr>
            <w:r w:rsidRPr="006545D5">
              <w:rPr>
                <w:rFonts w:ascii="Verdana" w:eastAsia="Calibri" w:hAnsi="Verdana" w:cs="Times New Roman"/>
                <w:sz w:val="16"/>
                <w:szCs w:val="16"/>
              </w:rPr>
              <w:t>Contratista de la Subdirección de Gestión Contractual</w:t>
            </w:r>
          </w:p>
        </w:tc>
      </w:tr>
      <w:tr w:rsidR="0017150E" w:rsidRPr="006545D5" w14:paraId="42AD4759" w14:textId="77777777" w:rsidTr="009972BF">
        <w:trPr>
          <w:trHeight w:val="330"/>
        </w:trPr>
        <w:tc>
          <w:tcPr>
            <w:tcW w:w="893" w:type="dxa"/>
            <w:vAlign w:val="center"/>
            <w:hideMark/>
          </w:tcPr>
          <w:p w14:paraId="5A1B739D" w14:textId="77777777" w:rsidR="0017150E" w:rsidRPr="006545D5" w:rsidRDefault="0017150E" w:rsidP="009972BF">
            <w:pPr>
              <w:spacing w:after="255" w:line="254" w:lineRule="auto"/>
              <w:contextualSpacing/>
              <w:rPr>
                <w:rFonts w:ascii="Verdana" w:eastAsia="Calibri" w:hAnsi="Verdana" w:cs="Arial"/>
                <w:sz w:val="16"/>
                <w:szCs w:val="16"/>
                <w:lang w:val="es-ES" w:eastAsia="es-ES"/>
              </w:rPr>
            </w:pPr>
            <w:r w:rsidRPr="006545D5">
              <w:rPr>
                <w:rFonts w:ascii="Verdana" w:eastAsia="Calibri"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A2F331C" w14:textId="77777777" w:rsidR="0017150E" w:rsidRPr="006545D5" w:rsidRDefault="0017150E" w:rsidP="009972BF">
            <w:pPr>
              <w:spacing w:before="100" w:beforeAutospacing="1" w:after="100" w:afterAutospacing="1" w:line="254" w:lineRule="auto"/>
              <w:contextualSpacing/>
              <w:textAlignment w:val="baseline"/>
              <w:rPr>
                <w:rFonts w:ascii="Verdana" w:eastAsia="Times New Roman" w:hAnsi="Verdana" w:cs="Arial"/>
                <w:sz w:val="16"/>
                <w:szCs w:val="16"/>
                <w:lang w:val="es-ES" w:eastAsia="es-ES_tradnl"/>
              </w:rPr>
            </w:pPr>
            <w:r w:rsidRPr="006545D5">
              <w:rPr>
                <w:rFonts w:ascii="Verdana" w:eastAsia="Times New Roman" w:hAnsi="Verdana" w:cs="Arial"/>
                <w:sz w:val="16"/>
                <w:szCs w:val="16"/>
                <w:lang w:val="es-ES" w:eastAsia="es-ES_tradnl"/>
              </w:rPr>
              <w:t>Alejandro Sarmiento Cantillo</w:t>
            </w:r>
          </w:p>
          <w:p w14:paraId="2FC8BAA6" w14:textId="77777777" w:rsidR="0017150E" w:rsidRPr="006545D5" w:rsidRDefault="0017150E" w:rsidP="009972BF">
            <w:pPr>
              <w:spacing w:after="255" w:line="254" w:lineRule="auto"/>
              <w:contextualSpacing/>
              <w:textAlignment w:val="baseline"/>
              <w:rPr>
                <w:rFonts w:ascii="Verdana" w:eastAsia="Times New Roman" w:hAnsi="Verdana" w:cs="Segoe UI"/>
                <w:sz w:val="16"/>
                <w:szCs w:val="16"/>
                <w:lang w:eastAsia="es-ES_tradnl"/>
              </w:rPr>
            </w:pPr>
            <w:r w:rsidRPr="006545D5">
              <w:rPr>
                <w:rFonts w:ascii="Verdana" w:eastAsia="Times New Roman" w:hAnsi="Verdana" w:cs="Arial"/>
                <w:sz w:val="16"/>
                <w:szCs w:val="16"/>
                <w:lang w:val="es-ES" w:eastAsia="es-ES_tradnl"/>
              </w:rPr>
              <w:t>Gestor T1 ‒ 15 de la Subdirección de Gestión Contractual</w:t>
            </w:r>
            <w:r w:rsidRPr="006545D5">
              <w:rPr>
                <w:rFonts w:ascii="Verdana" w:eastAsia="Times New Roman" w:hAnsi="Verdana" w:cs="Arial"/>
                <w:sz w:val="16"/>
                <w:szCs w:val="16"/>
                <w:lang w:eastAsia="es-ES_tradnl"/>
              </w:rPr>
              <w:t> </w:t>
            </w:r>
          </w:p>
        </w:tc>
      </w:tr>
      <w:tr w:rsidR="0017150E" w:rsidRPr="006545D5" w14:paraId="305C844A" w14:textId="77777777" w:rsidTr="009972BF">
        <w:trPr>
          <w:trHeight w:val="300"/>
        </w:trPr>
        <w:tc>
          <w:tcPr>
            <w:tcW w:w="893" w:type="dxa"/>
            <w:vAlign w:val="center"/>
            <w:hideMark/>
          </w:tcPr>
          <w:p w14:paraId="0C970165" w14:textId="77777777" w:rsidR="0017150E" w:rsidRPr="006545D5" w:rsidRDefault="0017150E" w:rsidP="009972BF">
            <w:pPr>
              <w:spacing w:after="255" w:line="254" w:lineRule="auto"/>
              <w:contextualSpacing/>
              <w:rPr>
                <w:rFonts w:ascii="Verdana" w:eastAsia="Calibri" w:hAnsi="Verdana" w:cs="Arial"/>
                <w:sz w:val="16"/>
                <w:szCs w:val="16"/>
                <w:lang w:val="es-ES" w:eastAsia="es-ES"/>
              </w:rPr>
            </w:pPr>
            <w:r w:rsidRPr="006545D5">
              <w:rPr>
                <w:rFonts w:ascii="Verdana" w:eastAsia="Calibri"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81D2DED" w14:textId="77777777" w:rsidR="0017150E" w:rsidRPr="006545D5" w:rsidRDefault="0017150E" w:rsidP="009972BF">
            <w:pPr>
              <w:spacing w:after="255" w:line="254" w:lineRule="auto"/>
              <w:contextualSpacing/>
              <w:rPr>
                <w:rFonts w:ascii="Verdana" w:eastAsia="Calibri" w:hAnsi="Verdana" w:cs="Arial"/>
                <w:sz w:val="16"/>
                <w:szCs w:val="16"/>
                <w:lang w:val="pt-BR" w:eastAsia="es-ES"/>
              </w:rPr>
            </w:pPr>
            <w:r w:rsidRPr="006545D5">
              <w:rPr>
                <w:rFonts w:ascii="Verdana" w:eastAsia="Calibri" w:hAnsi="Verdana" w:cs="Arial"/>
                <w:sz w:val="16"/>
                <w:szCs w:val="16"/>
                <w:lang w:val="pt-BR" w:eastAsia="es-ES"/>
              </w:rPr>
              <w:t xml:space="preserve">Carolina Quintero </w:t>
            </w:r>
            <w:proofErr w:type="spellStart"/>
            <w:r w:rsidRPr="006545D5">
              <w:rPr>
                <w:rFonts w:ascii="Verdana" w:eastAsia="Calibri" w:hAnsi="Verdana" w:cs="Arial"/>
                <w:sz w:val="16"/>
                <w:szCs w:val="16"/>
                <w:lang w:val="pt-BR" w:eastAsia="es-ES"/>
              </w:rPr>
              <w:t>Gacharná</w:t>
            </w:r>
            <w:proofErr w:type="spellEnd"/>
          </w:p>
          <w:p w14:paraId="32779359" w14:textId="77777777" w:rsidR="0017150E" w:rsidRPr="006545D5" w:rsidRDefault="0017150E" w:rsidP="009972BF">
            <w:pPr>
              <w:spacing w:after="255" w:line="254" w:lineRule="auto"/>
              <w:contextualSpacing/>
              <w:rPr>
                <w:rFonts w:ascii="Verdana" w:eastAsia="Calibri" w:hAnsi="Verdana" w:cs="Arial"/>
                <w:sz w:val="16"/>
                <w:szCs w:val="16"/>
                <w:lang w:val="pt-BR" w:eastAsia="es-ES"/>
              </w:rPr>
            </w:pPr>
            <w:r w:rsidRPr="006545D5">
              <w:rPr>
                <w:rFonts w:ascii="Verdana" w:eastAsia="Calibri" w:hAnsi="Verdana" w:cs="Arial"/>
                <w:sz w:val="16"/>
                <w:szCs w:val="16"/>
                <w:lang w:eastAsia="es-ES"/>
              </w:rPr>
              <w:t>Subdirectora</w:t>
            </w:r>
            <w:r w:rsidRPr="006545D5">
              <w:rPr>
                <w:rFonts w:ascii="Verdana" w:eastAsia="Calibri" w:hAnsi="Verdana" w:cs="Arial"/>
                <w:sz w:val="16"/>
                <w:szCs w:val="16"/>
                <w:lang w:val="pt-BR" w:eastAsia="es-ES"/>
              </w:rPr>
              <w:t xml:space="preserve"> de Gestión Contratual ANCP – CCE</w:t>
            </w:r>
          </w:p>
        </w:tc>
      </w:tr>
    </w:tbl>
    <w:p w14:paraId="684BE53F" w14:textId="77777777" w:rsidR="0017150E" w:rsidRPr="004F60D2" w:rsidRDefault="0017150E" w:rsidP="0017150E">
      <w:pPr>
        <w:rPr>
          <w:lang w:val="es-ES"/>
        </w:rPr>
      </w:pPr>
    </w:p>
    <w:p w14:paraId="42A67DF9" w14:textId="77777777" w:rsidR="0017150E" w:rsidRPr="00E02524" w:rsidRDefault="0017150E" w:rsidP="0017150E">
      <w:pPr>
        <w:spacing w:after="0" w:line="240" w:lineRule="auto"/>
        <w:jc w:val="both"/>
        <w:rPr>
          <w:rFonts w:ascii="Verdana" w:eastAsia="Verdana" w:hAnsi="Verdana" w:cs="Verdana"/>
          <w:b/>
          <w:bCs/>
          <w:lang w:val="es-MX"/>
        </w:rPr>
      </w:pPr>
    </w:p>
    <w:bookmarkEnd w:id="0"/>
    <w:p w14:paraId="291587B9" w14:textId="77777777" w:rsidR="001B1304" w:rsidRDefault="001B1304" w:rsidP="004F60D2">
      <w:pPr>
        <w:spacing w:after="0"/>
        <w:rPr>
          <w:rFonts w:ascii="Verdana" w:hAnsi="Verdana" w:cs="Arial"/>
          <w:bCs/>
          <w:lang w:val="es-MX" w:eastAsia="es-ES"/>
        </w:rPr>
      </w:pPr>
    </w:p>
    <w:sectPr w:rsidR="001B130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DDAFA" w14:textId="77777777" w:rsidR="000762C9" w:rsidRDefault="000762C9" w:rsidP="004A1847">
      <w:pPr>
        <w:spacing w:after="0" w:line="240" w:lineRule="auto"/>
      </w:pPr>
      <w:r>
        <w:separator/>
      </w:r>
    </w:p>
  </w:endnote>
  <w:endnote w:type="continuationSeparator" w:id="0">
    <w:p w14:paraId="570E76DC" w14:textId="77777777" w:rsidR="000762C9" w:rsidRDefault="000762C9" w:rsidP="004A1847">
      <w:pPr>
        <w:spacing w:after="0" w:line="240" w:lineRule="auto"/>
      </w:pPr>
      <w:r>
        <w:continuationSeparator/>
      </w:r>
    </w:p>
  </w:endnote>
  <w:endnote w:type="continuationNotice" w:id="1">
    <w:p w14:paraId="5DA8EB55" w14:textId="77777777" w:rsidR="000762C9" w:rsidRDefault="000762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265DB522"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24934" w:rsidRPr="00524934">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13EF7C" w14:textId="77777777" w:rsidR="000762C9" w:rsidRDefault="000762C9" w:rsidP="004A1847">
      <w:pPr>
        <w:spacing w:after="0" w:line="240" w:lineRule="auto"/>
      </w:pPr>
      <w:r>
        <w:separator/>
      </w:r>
    </w:p>
  </w:footnote>
  <w:footnote w:type="continuationSeparator" w:id="0">
    <w:p w14:paraId="51D844C9" w14:textId="77777777" w:rsidR="000762C9" w:rsidRDefault="000762C9" w:rsidP="004A1847">
      <w:pPr>
        <w:spacing w:after="0" w:line="240" w:lineRule="auto"/>
      </w:pPr>
      <w:r>
        <w:continuationSeparator/>
      </w:r>
    </w:p>
  </w:footnote>
  <w:footnote w:type="continuationNotice" w:id="1">
    <w:p w14:paraId="0472DBE6" w14:textId="77777777" w:rsidR="000762C9" w:rsidRDefault="000762C9">
      <w:pPr>
        <w:spacing w:after="0" w:line="240" w:lineRule="auto"/>
      </w:pPr>
    </w:p>
  </w:footnote>
  <w:footnote w:id="2">
    <w:p w14:paraId="5DEBAA92" w14:textId="77777777" w:rsidR="0017150E" w:rsidRPr="003F54E8" w:rsidRDefault="0017150E" w:rsidP="0017150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34FB869F" w14:textId="77777777" w:rsidR="0017150E" w:rsidRPr="003F54E8" w:rsidRDefault="0017150E" w:rsidP="0017150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30684499" w14:textId="77777777" w:rsidR="0017150E" w:rsidRPr="003F54E8" w:rsidRDefault="0017150E" w:rsidP="0017150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 xml:space="preserve">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w:t>
      </w:r>
      <w:proofErr w:type="gramStart"/>
      <w:r w:rsidRPr="003F54E8">
        <w:rPr>
          <w:rFonts w:ascii="Verdana" w:eastAsia="Arial" w:hAnsi="Verdana" w:cs="Arial"/>
          <w:color w:val="000000"/>
          <w:sz w:val="16"/>
          <w:szCs w:val="16"/>
        </w:rPr>
        <w:t>pliegos,</w:t>
      </w:r>
      <w:proofErr w:type="gramEnd"/>
      <w:r w:rsidRPr="003F54E8">
        <w:rPr>
          <w:rFonts w:ascii="Verdana" w:eastAsia="Arial" w:hAnsi="Verdana" w:cs="Arial"/>
          <w:color w:val="000000"/>
          <w:sz w:val="16"/>
          <w:szCs w:val="16"/>
        </w:rPr>
        <w:t xml:space="preserve"> no será objeto de evaluación</w:t>
      </w:r>
      <w:proofErr w:type="gramStart"/>
      <w:r w:rsidRPr="003F54E8">
        <w:rPr>
          <w:rFonts w:ascii="Verdana" w:eastAsia="Arial" w:hAnsi="Verdana" w:cs="Arial"/>
          <w:color w:val="000000"/>
          <w:sz w:val="16"/>
          <w:szCs w:val="16"/>
        </w:rPr>
        <w:t>” .</w:t>
      </w:r>
      <w:proofErr w:type="gramEnd"/>
    </w:p>
    <w:p w14:paraId="2B1C7C52" w14:textId="77777777" w:rsidR="0017150E" w:rsidRPr="003F54E8" w:rsidRDefault="0017150E" w:rsidP="0017150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7EDA2E5A" w14:textId="77777777" w:rsidR="0017150E" w:rsidRPr="003F54E8" w:rsidRDefault="0017150E" w:rsidP="0017150E">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3">
    <w:p w14:paraId="1331275D" w14:textId="77777777" w:rsidR="0017150E" w:rsidRPr="003F54E8" w:rsidRDefault="0017150E" w:rsidP="0017150E">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4">
    <w:p w14:paraId="5FBFC737" w14:textId="77777777" w:rsidR="0017150E" w:rsidRPr="003F54E8" w:rsidRDefault="0017150E" w:rsidP="0017150E">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p w14:paraId="5B4A7E2B" w14:textId="77777777" w:rsidR="0017150E" w:rsidRPr="003F54E8" w:rsidRDefault="0017150E" w:rsidP="0017150E">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p>
  </w:footnote>
  <w:footnote w:id="5">
    <w:p w14:paraId="53D714C2" w14:textId="77777777" w:rsidR="0017150E" w:rsidRPr="003F54E8" w:rsidRDefault="0017150E" w:rsidP="0017150E">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EXPÓSITO VELEZ, Juan Carlos. El deber de selección objetiva, en: Del contrato estatal a los sistemas de compras públicas, por COVILLA MARTINEZ Juan C. y LOZANO VILLEGAS Germán (Eds.). Universidad Externado de Colombia, Bogotá, 2019. p. 152. </w:t>
      </w:r>
    </w:p>
  </w:footnote>
  <w:footnote w:id="6">
    <w:p w14:paraId="7D4427D8" w14:textId="77777777" w:rsidR="0017150E" w:rsidRPr="003F54E8" w:rsidRDefault="0017150E" w:rsidP="0017150E">
      <w:pPr>
        <w:pBdr>
          <w:top w:val="nil"/>
          <w:left w:val="nil"/>
          <w:bottom w:val="nil"/>
          <w:right w:val="nil"/>
          <w:between w:val="nil"/>
        </w:pBdr>
        <w:spacing w:after="0" w:line="240" w:lineRule="auto"/>
        <w:ind w:firstLine="708"/>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i/>
          <w:color w:val="000000"/>
          <w:sz w:val="16"/>
          <w:szCs w:val="16"/>
        </w:rPr>
        <w:t xml:space="preserve"> </w:t>
      </w:r>
      <w:proofErr w:type="spellStart"/>
      <w:r w:rsidRPr="003F54E8">
        <w:rPr>
          <w:rFonts w:ascii="Verdana" w:eastAsia="Arial" w:hAnsi="Verdana" w:cs="Arial"/>
          <w:i/>
          <w:color w:val="000000"/>
          <w:sz w:val="16"/>
          <w:szCs w:val="16"/>
        </w:rPr>
        <w:t>Ibídem</w:t>
      </w:r>
      <w:proofErr w:type="spellEnd"/>
      <w:r w:rsidRPr="003F54E8">
        <w:rPr>
          <w:rFonts w:ascii="Verdana" w:eastAsia="Arial" w:hAnsi="Verdana" w:cs="Arial"/>
          <w:i/>
          <w:color w:val="000000"/>
          <w:sz w:val="16"/>
          <w:szCs w:val="16"/>
        </w:rPr>
        <w:t>.</w:t>
      </w:r>
    </w:p>
  </w:footnote>
  <w:footnote w:id="7">
    <w:p w14:paraId="3AB993B6" w14:textId="77777777" w:rsidR="0017150E" w:rsidRPr="006036A6" w:rsidRDefault="0017150E" w:rsidP="0017150E">
      <w:pPr>
        <w:pStyle w:val="Textonotapie"/>
        <w:ind w:firstLine="709"/>
        <w:rPr>
          <w:sz w:val="16"/>
          <w:szCs w:val="16"/>
          <w:lang w:val="es-CO"/>
        </w:rPr>
      </w:pPr>
      <w:r>
        <w:rPr>
          <w:rStyle w:val="Refdenotaalpie"/>
        </w:rPr>
        <w:footnoteRef/>
      </w:r>
      <w:r>
        <w:t xml:space="preserve"> </w:t>
      </w:r>
      <w:r w:rsidRPr="006036A6">
        <w:rPr>
          <w:rFonts w:ascii="Verdana" w:hAnsi="Verdana"/>
          <w:sz w:val="16"/>
          <w:szCs w:val="16"/>
        </w:rPr>
        <w:t>Gaceta del Congreso No. 458 del 1 de agosto de 2005. Página 10.</w:t>
      </w:r>
    </w:p>
  </w:footnote>
  <w:footnote w:id="8">
    <w:p w14:paraId="7C648BE6" w14:textId="77777777" w:rsidR="0017150E" w:rsidRPr="00C6640A" w:rsidRDefault="0017150E" w:rsidP="0017150E">
      <w:pPr>
        <w:pStyle w:val="Textonotapie"/>
        <w:ind w:firstLine="709"/>
        <w:jc w:val="both"/>
        <w:rPr>
          <w:lang w:val="es-CO"/>
        </w:rPr>
      </w:pPr>
      <w:r w:rsidRPr="006036A6">
        <w:rPr>
          <w:rStyle w:val="Refdenotaalpie"/>
          <w:sz w:val="16"/>
          <w:szCs w:val="16"/>
        </w:rPr>
        <w:footnoteRef/>
      </w:r>
      <w:r w:rsidRPr="006036A6">
        <w:rPr>
          <w:sz w:val="16"/>
          <w:szCs w:val="16"/>
        </w:rPr>
        <w:t xml:space="preserve"> </w:t>
      </w:r>
      <w:r w:rsidRPr="006036A6">
        <w:rPr>
          <w:rFonts w:ascii="Verdana" w:hAnsi="Verdana"/>
          <w:sz w:val="16"/>
          <w:szCs w:val="16"/>
          <w:lang w:val="es-ES_tradnl"/>
        </w:rPr>
        <w:t>Manual para determinar y verificar los requisitos habilitantes en los</w:t>
      </w:r>
      <w:r w:rsidRPr="00BC69E6">
        <w:rPr>
          <w:rFonts w:ascii="Verdana" w:hAnsi="Verdana"/>
          <w:sz w:val="16"/>
          <w:szCs w:val="16"/>
          <w:lang w:val="es-ES_tradnl"/>
        </w:rPr>
        <w:t xml:space="preserve"> Procesos de Contratación. Disponible en: </w:t>
      </w:r>
      <w:hyperlink r:id="rId1" w:history="1">
        <w:r w:rsidRPr="00BC69E6">
          <w:rPr>
            <w:rStyle w:val="Hipervnculo"/>
            <w:rFonts w:ascii="Verdana" w:hAnsi="Verdana"/>
            <w:sz w:val="16"/>
            <w:szCs w:val="16"/>
            <w:lang w:val="es-ES_tradnl"/>
          </w:rPr>
          <w:t>https://www.colombiacompra.gov.co/wp-content/uploads/2024/08/cce-eicp-ma-04._manual_requisitos_habilitantes_v3_29-09-2023.pdf</w:t>
        </w:r>
      </w:hyperlink>
    </w:p>
  </w:footnote>
  <w:footnote w:id="9">
    <w:p w14:paraId="3857EE24" w14:textId="77777777" w:rsidR="0017150E" w:rsidRPr="003F54E8" w:rsidRDefault="0017150E" w:rsidP="0017150E">
      <w:pPr>
        <w:spacing w:after="0" w:line="240" w:lineRule="auto"/>
        <w:ind w:firstLine="708"/>
        <w:jc w:val="both"/>
        <w:rPr>
          <w:rFonts w:ascii="Verdana" w:eastAsia="Arial" w:hAnsi="Verdana" w:cs="Arial"/>
          <w:sz w:val="16"/>
          <w:szCs w:val="16"/>
          <w:lang w:val="es-MX"/>
        </w:rPr>
      </w:pPr>
      <w:r w:rsidRPr="003F54E8">
        <w:rPr>
          <w:rFonts w:ascii="Verdana" w:hAnsi="Verdana" w:cs="Arial"/>
          <w:sz w:val="16"/>
          <w:szCs w:val="16"/>
          <w:vertAlign w:val="superscript"/>
        </w:rPr>
        <w:footnoteRef/>
      </w:r>
      <w:r w:rsidRPr="003F54E8">
        <w:rPr>
          <w:rFonts w:ascii="Verdana" w:eastAsia="Arial" w:hAnsi="Verdana" w:cs="Arial"/>
          <w:sz w:val="16"/>
          <w:szCs w:val="16"/>
        </w:rPr>
        <w:t xml:space="preserve"> Decreto 1082 de 2015 “Artículo 2.2.1.1.2.2.2. </w:t>
      </w:r>
      <w:bookmarkStart w:id="2" w:name="_Hlk127183858"/>
      <w:r w:rsidRPr="003F54E8">
        <w:rPr>
          <w:rFonts w:ascii="Verdana" w:eastAsia="Arial" w:hAnsi="Verdana" w:cs="Arial"/>
          <w:sz w:val="16"/>
          <w:szCs w:val="16"/>
        </w:rPr>
        <w:t>Modificado por el </w:t>
      </w:r>
      <w:bookmarkEnd w:id="2"/>
      <w:r w:rsidRPr="003F54E8">
        <w:rPr>
          <w:rFonts w:ascii="Verdana" w:eastAsia="Arial" w:hAnsi="Verdana" w:cs="Arial"/>
          <w:sz w:val="16"/>
          <w:szCs w:val="16"/>
        </w:rPr>
        <w:t>Decreto 142 de 2023, artículo 4º. Ofrecimiento más favorable.</w:t>
      </w:r>
      <w:r w:rsidRPr="003F54E8">
        <w:rPr>
          <w:rFonts w:ascii="Verdana" w:eastAsia="Arial" w:hAnsi="Verdana" w:cs="Arial"/>
          <w:b/>
          <w:bCs/>
          <w:sz w:val="16"/>
          <w:szCs w:val="16"/>
        </w:rPr>
        <w:t xml:space="preserve"> </w:t>
      </w:r>
      <w:r w:rsidRPr="003F54E8">
        <w:rPr>
          <w:rFonts w:ascii="Verdana" w:eastAsia="Arial" w:hAnsi="Verdana" w:cs="Arial"/>
          <w:sz w:val="16"/>
          <w:szCs w:val="16"/>
          <w:lang w:val="es-MX"/>
        </w:rPr>
        <w:t>La Entidad Estatal debe determinar la oferta más favorable teniendo en cuenta las normas aplicables a cada modalidad de selección del contratista.</w:t>
      </w:r>
    </w:p>
    <w:p w14:paraId="2057B106" w14:textId="77777777" w:rsidR="0017150E" w:rsidRPr="003F54E8" w:rsidRDefault="0017150E" w:rsidP="0017150E">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14:paraId="5F2EF3C4" w14:textId="77777777" w:rsidR="0017150E" w:rsidRPr="003F54E8" w:rsidRDefault="0017150E" w:rsidP="0017150E">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1. Las condiciones técnicas y económicas mínimas de la oferta.</w:t>
      </w:r>
    </w:p>
    <w:p w14:paraId="274A9613" w14:textId="77777777" w:rsidR="0017150E" w:rsidRPr="003F54E8" w:rsidRDefault="0017150E" w:rsidP="0017150E">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2. Las condiciones técnicas adicionales que representan ventajas de calidad o de funcionamiento, tales como el uso de tecnología o materiales que generen mayor eficiencia, rendimiento o duración del bien, obra o servicio.</w:t>
      </w:r>
    </w:p>
    <w:p w14:paraId="736C11A5" w14:textId="77777777" w:rsidR="0017150E" w:rsidRPr="003F54E8" w:rsidRDefault="0017150E" w:rsidP="0017150E">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w:t>
      </w:r>
    </w:p>
    <w:p w14:paraId="13EDD05E" w14:textId="77777777" w:rsidR="0017150E" w:rsidRPr="003F54E8" w:rsidRDefault="0017150E" w:rsidP="0017150E">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4. El valor en dinero que la Entidad Estatal asigna a cada ofrecimiento técnico o económico adicional, para permitir la ponderación de las ofertas presentadas.</w:t>
      </w:r>
    </w:p>
    <w:p w14:paraId="255F6F81" w14:textId="77777777" w:rsidR="0017150E" w:rsidRPr="003F54E8" w:rsidRDefault="0017150E" w:rsidP="0017150E">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p>
    <w:p w14:paraId="59457B08" w14:textId="77777777" w:rsidR="0017150E" w:rsidRPr="003F54E8" w:rsidRDefault="0017150E" w:rsidP="0017150E">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La Entidad Estatal debe adjudicar al oferente que presentó la oferta con la mejor relación costo-beneficio y suscribir el contrato por el precio total ofrecido.</w:t>
      </w:r>
    </w:p>
    <w:p w14:paraId="598DD392" w14:textId="77777777" w:rsidR="0017150E" w:rsidRPr="003F54E8" w:rsidRDefault="0017150E" w:rsidP="0017150E">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Para la adquisición de Bienes y Servicios de Características Técnicas No Uniformes a través de Acuerdos Marco de Precios e Instrumentos de Agregación de Demanda, el ofrecimiento más favorable parte de la definición que la Entidad Estatal que estructura el Instrumento de Agregación de Demanda o Acuerdo Marco de Precios hace en la Operación Principal de las condiciones técnicas y económicas mínimas del bien o servicio.</w:t>
      </w:r>
    </w:p>
    <w:p w14:paraId="30FA76EF" w14:textId="77777777" w:rsidR="0017150E" w:rsidRPr="003F54E8" w:rsidRDefault="0017150E" w:rsidP="0017150E">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Las Entidades Estatales que compren en la operación secundaria de un Acuerdo Marco de Precios o Instrumento de Agregación de Demanda, deben evaluar las cotizaciones de los proveedores bajo las condiciones que el instrumento fija para definir la oferta más favorable.</w:t>
      </w:r>
    </w:p>
    <w:p w14:paraId="13B18213" w14:textId="77777777" w:rsidR="0017150E" w:rsidRPr="003F54E8" w:rsidRDefault="0017150E" w:rsidP="0017150E">
      <w:pPr>
        <w:spacing w:after="0" w:line="240" w:lineRule="auto"/>
        <w:ind w:firstLine="708"/>
        <w:jc w:val="both"/>
        <w:rPr>
          <w:rFonts w:ascii="Verdana" w:eastAsia="Arial" w:hAnsi="Verdana" w:cs="Arial"/>
          <w:sz w:val="16"/>
          <w:szCs w:val="16"/>
        </w:rPr>
      </w:pPr>
      <w:r w:rsidRPr="003F54E8">
        <w:rPr>
          <w:rFonts w:ascii="Verdana" w:eastAsia="Arial" w:hAnsi="Verdana" w:cs="Arial"/>
          <w:sz w:val="16"/>
          <w:szCs w:val="16"/>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8F5DCA1F"/>
    <w:multiLevelType w:val="hybridMultilevel"/>
    <w:tmpl w:val="EA4963F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9BA34"/>
    <w:multiLevelType w:val="hybridMultilevel"/>
    <w:tmpl w:val="DB3A347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251F4A53"/>
    <w:multiLevelType w:val="hybridMultilevel"/>
    <w:tmpl w:val="C9F0B1E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489BC7"/>
    <w:multiLevelType w:val="hybridMultilevel"/>
    <w:tmpl w:val="6C64DB9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3BD23FB"/>
    <w:multiLevelType w:val="multilevel"/>
    <w:tmpl w:val="16E6B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42EA5AA3"/>
    <w:multiLevelType w:val="hybridMultilevel"/>
    <w:tmpl w:val="F1968C6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0" w15:restartNumberingAfterBreak="0">
    <w:nsid w:val="5543359C"/>
    <w:multiLevelType w:val="hybridMultilevel"/>
    <w:tmpl w:val="4CD80C0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2" w15:restartNumberingAfterBreak="0">
    <w:nsid w:val="5E9CC98B"/>
    <w:multiLevelType w:val="hybridMultilevel"/>
    <w:tmpl w:val="93ED4BC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EC30B0"/>
    <w:multiLevelType w:val="multilevel"/>
    <w:tmpl w:val="24DEA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71771BE"/>
    <w:multiLevelType w:val="multilevel"/>
    <w:tmpl w:val="C9F43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915242046">
    <w:abstractNumId w:val="13"/>
  </w:num>
  <w:num w:numId="2" w16cid:durableId="1324049583">
    <w:abstractNumId w:val="4"/>
  </w:num>
  <w:num w:numId="3" w16cid:durableId="1100176367">
    <w:abstractNumId w:val="10"/>
  </w:num>
  <w:num w:numId="4" w16cid:durableId="10276085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68770042">
    <w:abstractNumId w:val="4"/>
  </w:num>
  <w:num w:numId="6" w16cid:durableId="620572338">
    <w:abstractNumId w:val="26"/>
  </w:num>
  <w:num w:numId="7" w16cid:durableId="1928687881">
    <w:abstractNumId w:val="11"/>
  </w:num>
  <w:num w:numId="8" w16cid:durableId="2111580930">
    <w:abstractNumId w:val="25"/>
  </w:num>
  <w:num w:numId="9" w16cid:durableId="814420786">
    <w:abstractNumId w:val="15"/>
  </w:num>
  <w:num w:numId="10" w16cid:durableId="1160462471">
    <w:abstractNumId w:val="24"/>
  </w:num>
  <w:num w:numId="11" w16cid:durableId="1717729940">
    <w:abstractNumId w:val="16"/>
  </w:num>
  <w:num w:numId="12" w16cid:durableId="1189872339">
    <w:abstractNumId w:val="3"/>
  </w:num>
  <w:num w:numId="13" w16cid:durableId="408771984">
    <w:abstractNumId w:val="7"/>
  </w:num>
  <w:num w:numId="14" w16cid:durableId="1595044161">
    <w:abstractNumId w:val="27"/>
  </w:num>
  <w:num w:numId="15" w16cid:durableId="2079551214">
    <w:abstractNumId w:val="23"/>
  </w:num>
  <w:num w:numId="16" w16cid:durableId="436678355">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1870804">
    <w:abstractNumId w:val="5"/>
  </w:num>
  <w:num w:numId="18" w16cid:durableId="1813254490">
    <w:abstractNumId w:val="21"/>
  </w:num>
  <w:num w:numId="19" w16cid:durableId="1933589813">
    <w:abstractNumId w:val="9"/>
  </w:num>
  <w:num w:numId="20" w16cid:durableId="1902209460">
    <w:abstractNumId w:val="17"/>
  </w:num>
  <w:num w:numId="21" w16cid:durableId="320618084">
    <w:abstractNumId w:val="30"/>
  </w:num>
  <w:num w:numId="22" w16cid:durableId="543299053">
    <w:abstractNumId w:val="14"/>
  </w:num>
  <w:num w:numId="23" w16cid:durableId="278487986">
    <w:abstractNumId w:val="6"/>
  </w:num>
  <w:num w:numId="24" w16cid:durableId="1756708839">
    <w:abstractNumId w:val="28"/>
  </w:num>
  <w:num w:numId="25" w16cid:durableId="75245361">
    <w:abstractNumId w:val="18"/>
  </w:num>
  <w:num w:numId="26" w16cid:durableId="283314604">
    <w:abstractNumId w:val="19"/>
  </w:num>
  <w:num w:numId="27" w16cid:durableId="837691143">
    <w:abstractNumId w:val="8"/>
  </w:num>
  <w:num w:numId="28" w16cid:durableId="588467902">
    <w:abstractNumId w:val="1"/>
  </w:num>
  <w:num w:numId="29" w16cid:durableId="355622028">
    <w:abstractNumId w:val="0"/>
  </w:num>
  <w:num w:numId="30" w16cid:durableId="1384600643">
    <w:abstractNumId w:val="20"/>
  </w:num>
  <w:num w:numId="31" w16cid:durableId="1758164336">
    <w:abstractNumId w:val="22"/>
  </w:num>
  <w:num w:numId="32" w16cid:durableId="1664360007">
    <w:abstractNumId w:val="29"/>
  </w:num>
  <w:num w:numId="33" w16cid:durableId="66894970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1BA7"/>
    <w:rsid w:val="000039A2"/>
    <w:rsid w:val="00004BE9"/>
    <w:rsid w:val="000062F3"/>
    <w:rsid w:val="00006CD3"/>
    <w:rsid w:val="0000797D"/>
    <w:rsid w:val="0001094A"/>
    <w:rsid w:val="0001328B"/>
    <w:rsid w:val="000162CF"/>
    <w:rsid w:val="000224F2"/>
    <w:rsid w:val="00023C3E"/>
    <w:rsid w:val="00025209"/>
    <w:rsid w:val="0004434A"/>
    <w:rsid w:val="0005281E"/>
    <w:rsid w:val="00053149"/>
    <w:rsid w:val="0005682C"/>
    <w:rsid w:val="00056D71"/>
    <w:rsid w:val="00061B2A"/>
    <w:rsid w:val="00061B38"/>
    <w:rsid w:val="00062BAF"/>
    <w:rsid w:val="000630B9"/>
    <w:rsid w:val="000643B2"/>
    <w:rsid w:val="00064E96"/>
    <w:rsid w:val="0007022C"/>
    <w:rsid w:val="000707E6"/>
    <w:rsid w:val="000762C9"/>
    <w:rsid w:val="00077439"/>
    <w:rsid w:val="000774B8"/>
    <w:rsid w:val="00081978"/>
    <w:rsid w:val="00082362"/>
    <w:rsid w:val="0008328D"/>
    <w:rsid w:val="00083765"/>
    <w:rsid w:val="00086D72"/>
    <w:rsid w:val="0008766D"/>
    <w:rsid w:val="00091C84"/>
    <w:rsid w:val="00092FC8"/>
    <w:rsid w:val="0009313A"/>
    <w:rsid w:val="0009387A"/>
    <w:rsid w:val="0009387B"/>
    <w:rsid w:val="0009491E"/>
    <w:rsid w:val="000955ED"/>
    <w:rsid w:val="000963C6"/>
    <w:rsid w:val="00097EFE"/>
    <w:rsid w:val="000A31B9"/>
    <w:rsid w:val="000A3CA1"/>
    <w:rsid w:val="000A3D63"/>
    <w:rsid w:val="000A52A1"/>
    <w:rsid w:val="000A683A"/>
    <w:rsid w:val="000A683E"/>
    <w:rsid w:val="000B19B9"/>
    <w:rsid w:val="000B6DD8"/>
    <w:rsid w:val="000C46FD"/>
    <w:rsid w:val="000C5D7C"/>
    <w:rsid w:val="000C669A"/>
    <w:rsid w:val="000D0152"/>
    <w:rsid w:val="000D0334"/>
    <w:rsid w:val="000D07D8"/>
    <w:rsid w:val="000D1545"/>
    <w:rsid w:val="000D3B29"/>
    <w:rsid w:val="000E06F4"/>
    <w:rsid w:val="000E4CE4"/>
    <w:rsid w:val="000F22C0"/>
    <w:rsid w:val="000F3ED6"/>
    <w:rsid w:val="000F6486"/>
    <w:rsid w:val="000F6679"/>
    <w:rsid w:val="000F669F"/>
    <w:rsid w:val="001063B3"/>
    <w:rsid w:val="0011055F"/>
    <w:rsid w:val="001114A9"/>
    <w:rsid w:val="00111979"/>
    <w:rsid w:val="001120C2"/>
    <w:rsid w:val="00116537"/>
    <w:rsid w:val="001202C6"/>
    <w:rsid w:val="00120766"/>
    <w:rsid w:val="001240BD"/>
    <w:rsid w:val="00125105"/>
    <w:rsid w:val="00127233"/>
    <w:rsid w:val="00127480"/>
    <w:rsid w:val="00130161"/>
    <w:rsid w:val="00135463"/>
    <w:rsid w:val="001358C0"/>
    <w:rsid w:val="0013649F"/>
    <w:rsid w:val="0014167F"/>
    <w:rsid w:val="00143E81"/>
    <w:rsid w:val="00143FD9"/>
    <w:rsid w:val="00145047"/>
    <w:rsid w:val="00146AAC"/>
    <w:rsid w:val="00146C57"/>
    <w:rsid w:val="0016332F"/>
    <w:rsid w:val="0017150E"/>
    <w:rsid w:val="001717E9"/>
    <w:rsid w:val="00183253"/>
    <w:rsid w:val="00185EE9"/>
    <w:rsid w:val="00187F79"/>
    <w:rsid w:val="00197274"/>
    <w:rsid w:val="001A237A"/>
    <w:rsid w:val="001A26CF"/>
    <w:rsid w:val="001A2919"/>
    <w:rsid w:val="001B1304"/>
    <w:rsid w:val="001B40AA"/>
    <w:rsid w:val="001C222E"/>
    <w:rsid w:val="001C22F9"/>
    <w:rsid w:val="001C7BD3"/>
    <w:rsid w:val="001D1C29"/>
    <w:rsid w:val="001D35D3"/>
    <w:rsid w:val="001D619E"/>
    <w:rsid w:val="001E4177"/>
    <w:rsid w:val="001E7F07"/>
    <w:rsid w:val="001F4EFD"/>
    <w:rsid w:val="001F5E13"/>
    <w:rsid w:val="001F6D11"/>
    <w:rsid w:val="001F7DC6"/>
    <w:rsid w:val="00202886"/>
    <w:rsid w:val="002048C6"/>
    <w:rsid w:val="002050B4"/>
    <w:rsid w:val="00215CEF"/>
    <w:rsid w:val="00217A08"/>
    <w:rsid w:val="00220661"/>
    <w:rsid w:val="002208FF"/>
    <w:rsid w:val="00220B77"/>
    <w:rsid w:val="00224FB7"/>
    <w:rsid w:val="002322CC"/>
    <w:rsid w:val="002345EC"/>
    <w:rsid w:val="00237233"/>
    <w:rsid w:val="002421BB"/>
    <w:rsid w:val="0024468F"/>
    <w:rsid w:val="00245E40"/>
    <w:rsid w:val="00246A81"/>
    <w:rsid w:val="00251A5F"/>
    <w:rsid w:val="00253346"/>
    <w:rsid w:val="00253843"/>
    <w:rsid w:val="0025796E"/>
    <w:rsid w:val="002603E5"/>
    <w:rsid w:val="00261BD5"/>
    <w:rsid w:val="002638B2"/>
    <w:rsid w:val="002660F2"/>
    <w:rsid w:val="002664BB"/>
    <w:rsid w:val="002707A2"/>
    <w:rsid w:val="002835A6"/>
    <w:rsid w:val="002844ED"/>
    <w:rsid w:val="002860A9"/>
    <w:rsid w:val="002951A0"/>
    <w:rsid w:val="002962BC"/>
    <w:rsid w:val="002A093D"/>
    <w:rsid w:val="002A0DD0"/>
    <w:rsid w:val="002A49AC"/>
    <w:rsid w:val="002A64FD"/>
    <w:rsid w:val="002A6BBF"/>
    <w:rsid w:val="002B1E57"/>
    <w:rsid w:val="002C110E"/>
    <w:rsid w:val="002C2A72"/>
    <w:rsid w:val="002C379A"/>
    <w:rsid w:val="002C451E"/>
    <w:rsid w:val="002C765E"/>
    <w:rsid w:val="002C7A84"/>
    <w:rsid w:val="002D13A1"/>
    <w:rsid w:val="002D3F0D"/>
    <w:rsid w:val="002E1D98"/>
    <w:rsid w:val="002E2C3F"/>
    <w:rsid w:val="002E2C7E"/>
    <w:rsid w:val="002E4FD9"/>
    <w:rsid w:val="002E6F15"/>
    <w:rsid w:val="002F13FD"/>
    <w:rsid w:val="002F16C7"/>
    <w:rsid w:val="00302583"/>
    <w:rsid w:val="00303544"/>
    <w:rsid w:val="003039C1"/>
    <w:rsid w:val="00304A8C"/>
    <w:rsid w:val="00310DBE"/>
    <w:rsid w:val="0031430F"/>
    <w:rsid w:val="00320BBD"/>
    <w:rsid w:val="003228B9"/>
    <w:rsid w:val="00322A85"/>
    <w:rsid w:val="00322BD5"/>
    <w:rsid w:val="00324168"/>
    <w:rsid w:val="0032499F"/>
    <w:rsid w:val="0033032A"/>
    <w:rsid w:val="00334C6A"/>
    <w:rsid w:val="00336C05"/>
    <w:rsid w:val="00337496"/>
    <w:rsid w:val="00341B96"/>
    <w:rsid w:val="00342675"/>
    <w:rsid w:val="00343512"/>
    <w:rsid w:val="003448F4"/>
    <w:rsid w:val="00345330"/>
    <w:rsid w:val="00351D48"/>
    <w:rsid w:val="003528DF"/>
    <w:rsid w:val="00352C12"/>
    <w:rsid w:val="0035440D"/>
    <w:rsid w:val="00354BCA"/>
    <w:rsid w:val="003612F8"/>
    <w:rsid w:val="00363836"/>
    <w:rsid w:val="0036557C"/>
    <w:rsid w:val="0036594E"/>
    <w:rsid w:val="00365AA5"/>
    <w:rsid w:val="003665EE"/>
    <w:rsid w:val="003674FD"/>
    <w:rsid w:val="00367ED9"/>
    <w:rsid w:val="0037010E"/>
    <w:rsid w:val="0037221D"/>
    <w:rsid w:val="0037330E"/>
    <w:rsid w:val="003734F4"/>
    <w:rsid w:val="00374F5E"/>
    <w:rsid w:val="00377E3E"/>
    <w:rsid w:val="003810A2"/>
    <w:rsid w:val="003815E8"/>
    <w:rsid w:val="00384440"/>
    <w:rsid w:val="00386B0C"/>
    <w:rsid w:val="003905A7"/>
    <w:rsid w:val="003906C3"/>
    <w:rsid w:val="00392A49"/>
    <w:rsid w:val="003933F9"/>
    <w:rsid w:val="00395238"/>
    <w:rsid w:val="003A26D1"/>
    <w:rsid w:val="003A3B30"/>
    <w:rsid w:val="003A779E"/>
    <w:rsid w:val="003B005A"/>
    <w:rsid w:val="003C0E50"/>
    <w:rsid w:val="003C3FA5"/>
    <w:rsid w:val="003C41DB"/>
    <w:rsid w:val="003C7FD3"/>
    <w:rsid w:val="003D0F4D"/>
    <w:rsid w:val="003D26FB"/>
    <w:rsid w:val="003D2E82"/>
    <w:rsid w:val="003D5B0D"/>
    <w:rsid w:val="003D6525"/>
    <w:rsid w:val="003E0499"/>
    <w:rsid w:val="003E3D5C"/>
    <w:rsid w:val="003E40F2"/>
    <w:rsid w:val="003E4161"/>
    <w:rsid w:val="003E4496"/>
    <w:rsid w:val="003E6AC6"/>
    <w:rsid w:val="003F1D97"/>
    <w:rsid w:val="003F3941"/>
    <w:rsid w:val="003F5ED1"/>
    <w:rsid w:val="00400676"/>
    <w:rsid w:val="00406575"/>
    <w:rsid w:val="00410906"/>
    <w:rsid w:val="00413375"/>
    <w:rsid w:val="0041655A"/>
    <w:rsid w:val="0042722E"/>
    <w:rsid w:val="00427DA0"/>
    <w:rsid w:val="0043545E"/>
    <w:rsid w:val="00440391"/>
    <w:rsid w:val="00442C7F"/>
    <w:rsid w:val="00443503"/>
    <w:rsid w:val="0044528D"/>
    <w:rsid w:val="00445908"/>
    <w:rsid w:val="00450920"/>
    <w:rsid w:val="0045309C"/>
    <w:rsid w:val="00454D48"/>
    <w:rsid w:val="004554F9"/>
    <w:rsid w:val="00455C58"/>
    <w:rsid w:val="0046004D"/>
    <w:rsid w:val="004633DE"/>
    <w:rsid w:val="00465E71"/>
    <w:rsid w:val="004734BD"/>
    <w:rsid w:val="0047463D"/>
    <w:rsid w:val="00474CB2"/>
    <w:rsid w:val="0048232F"/>
    <w:rsid w:val="00482608"/>
    <w:rsid w:val="00483749"/>
    <w:rsid w:val="00484809"/>
    <w:rsid w:val="00496AA6"/>
    <w:rsid w:val="004971D4"/>
    <w:rsid w:val="004A0980"/>
    <w:rsid w:val="004A1847"/>
    <w:rsid w:val="004A2872"/>
    <w:rsid w:val="004A305D"/>
    <w:rsid w:val="004A3312"/>
    <w:rsid w:val="004A48F7"/>
    <w:rsid w:val="004B1E87"/>
    <w:rsid w:val="004B71F3"/>
    <w:rsid w:val="004B740F"/>
    <w:rsid w:val="004C1E88"/>
    <w:rsid w:val="004C4B37"/>
    <w:rsid w:val="004D026D"/>
    <w:rsid w:val="004D34C4"/>
    <w:rsid w:val="004D44B3"/>
    <w:rsid w:val="004D6052"/>
    <w:rsid w:val="004E221E"/>
    <w:rsid w:val="004E2892"/>
    <w:rsid w:val="004E4C0B"/>
    <w:rsid w:val="004E505B"/>
    <w:rsid w:val="004E7A22"/>
    <w:rsid w:val="004F21C4"/>
    <w:rsid w:val="004F2D5D"/>
    <w:rsid w:val="004F3012"/>
    <w:rsid w:val="004F48C5"/>
    <w:rsid w:val="004F5559"/>
    <w:rsid w:val="004F60D2"/>
    <w:rsid w:val="004F685F"/>
    <w:rsid w:val="004F7EC9"/>
    <w:rsid w:val="00501564"/>
    <w:rsid w:val="00502CAE"/>
    <w:rsid w:val="00502D95"/>
    <w:rsid w:val="005112BD"/>
    <w:rsid w:val="00514598"/>
    <w:rsid w:val="005163B5"/>
    <w:rsid w:val="00524934"/>
    <w:rsid w:val="0052543A"/>
    <w:rsid w:val="0052785C"/>
    <w:rsid w:val="0053104D"/>
    <w:rsid w:val="00535796"/>
    <w:rsid w:val="00540C2D"/>
    <w:rsid w:val="00551BD7"/>
    <w:rsid w:val="00552502"/>
    <w:rsid w:val="005566E8"/>
    <w:rsid w:val="00560CB5"/>
    <w:rsid w:val="00563CF3"/>
    <w:rsid w:val="00574122"/>
    <w:rsid w:val="00574867"/>
    <w:rsid w:val="00577D09"/>
    <w:rsid w:val="00581B69"/>
    <w:rsid w:val="00590CB2"/>
    <w:rsid w:val="00591460"/>
    <w:rsid w:val="00592628"/>
    <w:rsid w:val="005934AB"/>
    <w:rsid w:val="00597C75"/>
    <w:rsid w:val="005A0868"/>
    <w:rsid w:val="005A0CFB"/>
    <w:rsid w:val="005A282F"/>
    <w:rsid w:val="005A2AC9"/>
    <w:rsid w:val="005B0418"/>
    <w:rsid w:val="005B2CCE"/>
    <w:rsid w:val="005B58C1"/>
    <w:rsid w:val="005B6033"/>
    <w:rsid w:val="005C21F1"/>
    <w:rsid w:val="005C3777"/>
    <w:rsid w:val="005C5CDC"/>
    <w:rsid w:val="005D2B2B"/>
    <w:rsid w:val="005D476C"/>
    <w:rsid w:val="005D4ADB"/>
    <w:rsid w:val="005D5F91"/>
    <w:rsid w:val="005D7B25"/>
    <w:rsid w:val="005E0C91"/>
    <w:rsid w:val="005E7FB7"/>
    <w:rsid w:val="005F0A6A"/>
    <w:rsid w:val="005F0FC5"/>
    <w:rsid w:val="005F236E"/>
    <w:rsid w:val="005F4E34"/>
    <w:rsid w:val="005F7C43"/>
    <w:rsid w:val="00602300"/>
    <w:rsid w:val="006036A6"/>
    <w:rsid w:val="00605A00"/>
    <w:rsid w:val="00610812"/>
    <w:rsid w:val="00612CE7"/>
    <w:rsid w:val="006219F8"/>
    <w:rsid w:val="0062585C"/>
    <w:rsid w:val="0063165E"/>
    <w:rsid w:val="00631F45"/>
    <w:rsid w:val="00632119"/>
    <w:rsid w:val="00632C08"/>
    <w:rsid w:val="006423B6"/>
    <w:rsid w:val="00646F0E"/>
    <w:rsid w:val="00650FF7"/>
    <w:rsid w:val="00652217"/>
    <w:rsid w:val="00654462"/>
    <w:rsid w:val="006545D5"/>
    <w:rsid w:val="00663A91"/>
    <w:rsid w:val="00665D70"/>
    <w:rsid w:val="00667658"/>
    <w:rsid w:val="00671DAC"/>
    <w:rsid w:val="006747C7"/>
    <w:rsid w:val="00674D48"/>
    <w:rsid w:val="00676FE4"/>
    <w:rsid w:val="006773FC"/>
    <w:rsid w:val="006827AC"/>
    <w:rsid w:val="0068298F"/>
    <w:rsid w:val="00682D47"/>
    <w:rsid w:val="006859A3"/>
    <w:rsid w:val="006900D9"/>
    <w:rsid w:val="006910AD"/>
    <w:rsid w:val="00697744"/>
    <w:rsid w:val="006A0008"/>
    <w:rsid w:val="006A10DF"/>
    <w:rsid w:val="006A3147"/>
    <w:rsid w:val="006A3B9A"/>
    <w:rsid w:val="006A5798"/>
    <w:rsid w:val="006B449A"/>
    <w:rsid w:val="006B6987"/>
    <w:rsid w:val="006B6B1E"/>
    <w:rsid w:val="006B6CAE"/>
    <w:rsid w:val="006C0240"/>
    <w:rsid w:val="006C2F05"/>
    <w:rsid w:val="006C5595"/>
    <w:rsid w:val="006C64A3"/>
    <w:rsid w:val="006D12F8"/>
    <w:rsid w:val="006E0FB4"/>
    <w:rsid w:val="006F0741"/>
    <w:rsid w:val="006F2501"/>
    <w:rsid w:val="00704D9B"/>
    <w:rsid w:val="00705E5F"/>
    <w:rsid w:val="00706C16"/>
    <w:rsid w:val="00710FCF"/>
    <w:rsid w:val="00711C85"/>
    <w:rsid w:val="00711FA2"/>
    <w:rsid w:val="0071458F"/>
    <w:rsid w:val="00715D5A"/>
    <w:rsid w:val="00723A7F"/>
    <w:rsid w:val="00737C53"/>
    <w:rsid w:val="00737DFA"/>
    <w:rsid w:val="00751EA4"/>
    <w:rsid w:val="00756841"/>
    <w:rsid w:val="00762AA9"/>
    <w:rsid w:val="007649AB"/>
    <w:rsid w:val="00771D0C"/>
    <w:rsid w:val="00777E3D"/>
    <w:rsid w:val="007814FE"/>
    <w:rsid w:val="007833AC"/>
    <w:rsid w:val="00784D58"/>
    <w:rsid w:val="00786FBF"/>
    <w:rsid w:val="00790AB7"/>
    <w:rsid w:val="00791769"/>
    <w:rsid w:val="00796340"/>
    <w:rsid w:val="007A23EA"/>
    <w:rsid w:val="007A5189"/>
    <w:rsid w:val="007B0B5C"/>
    <w:rsid w:val="007B1611"/>
    <w:rsid w:val="007B268C"/>
    <w:rsid w:val="007B7171"/>
    <w:rsid w:val="007B7D02"/>
    <w:rsid w:val="007C0C0F"/>
    <w:rsid w:val="007C3DC2"/>
    <w:rsid w:val="007C6C1D"/>
    <w:rsid w:val="007C7775"/>
    <w:rsid w:val="007D0457"/>
    <w:rsid w:val="007D43C9"/>
    <w:rsid w:val="007D719F"/>
    <w:rsid w:val="007E0279"/>
    <w:rsid w:val="007E5497"/>
    <w:rsid w:val="007F28CA"/>
    <w:rsid w:val="007F52A4"/>
    <w:rsid w:val="007F60FB"/>
    <w:rsid w:val="007F7B94"/>
    <w:rsid w:val="00804400"/>
    <w:rsid w:val="00804981"/>
    <w:rsid w:val="0080589D"/>
    <w:rsid w:val="00806BA1"/>
    <w:rsid w:val="00806F5F"/>
    <w:rsid w:val="008134DD"/>
    <w:rsid w:val="008163D7"/>
    <w:rsid w:val="00820278"/>
    <w:rsid w:val="008265B5"/>
    <w:rsid w:val="008330F0"/>
    <w:rsid w:val="00834554"/>
    <w:rsid w:val="00834B31"/>
    <w:rsid w:val="00836323"/>
    <w:rsid w:val="00837BA0"/>
    <w:rsid w:val="00840ADC"/>
    <w:rsid w:val="00843BF7"/>
    <w:rsid w:val="008449B3"/>
    <w:rsid w:val="00846276"/>
    <w:rsid w:val="00850E23"/>
    <w:rsid w:val="00851137"/>
    <w:rsid w:val="0085318F"/>
    <w:rsid w:val="00853978"/>
    <w:rsid w:val="0085432F"/>
    <w:rsid w:val="008546E6"/>
    <w:rsid w:val="0085678D"/>
    <w:rsid w:val="00864209"/>
    <w:rsid w:val="0087325B"/>
    <w:rsid w:val="00880003"/>
    <w:rsid w:val="00881ABA"/>
    <w:rsid w:val="008843B6"/>
    <w:rsid w:val="008849FF"/>
    <w:rsid w:val="00886481"/>
    <w:rsid w:val="00886C89"/>
    <w:rsid w:val="00891928"/>
    <w:rsid w:val="00893D9C"/>
    <w:rsid w:val="00894B8B"/>
    <w:rsid w:val="008A00A4"/>
    <w:rsid w:val="008A1C75"/>
    <w:rsid w:val="008A43F5"/>
    <w:rsid w:val="008A446D"/>
    <w:rsid w:val="008A4801"/>
    <w:rsid w:val="008A7F08"/>
    <w:rsid w:val="008B2F0E"/>
    <w:rsid w:val="008B52C6"/>
    <w:rsid w:val="008B5A2E"/>
    <w:rsid w:val="008C6451"/>
    <w:rsid w:val="008D180B"/>
    <w:rsid w:val="008D298A"/>
    <w:rsid w:val="008D7227"/>
    <w:rsid w:val="008E1F92"/>
    <w:rsid w:val="008E6E1C"/>
    <w:rsid w:val="008E7333"/>
    <w:rsid w:val="008E7B09"/>
    <w:rsid w:val="008F0EA7"/>
    <w:rsid w:val="008F317F"/>
    <w:rsid w:val="008F34D4"/>
    <w:rsid w:val="008F3E13"/>
    <w:rsid w:val="008F4B9E"/>
    <w:rsid w:val="008F7BB9"/>
    <w:rsid w:val="00904692"/>
    <w:rsid w:val="00905E69"/>
    <w:rsid w:val="00910097"/>
    <w:rsid w:val="00911906"/>
    <w:rsid w:val="0091561E"/>
    <w:rsid w:val="00917880"/>
    <w:rsid w:val="00922512"/>
    <w:rsid w:val="009227B9"/>
    <w:rsid w:val="00923E2E"/>
    <w:rsid w:val="00923EEF"/>
    <w:rsid w:val="009264CE"/>
    <w:rsid w:val="00930FDE"/>
    <w:rsid w:val="00935FF4"/>
    <w:rsid w:val="009369E2"/>
    <w:rsid w:val="009411F5"/>
    <w:rsid w:val="009419F9"/>
    <w:rsid w:val="00953AA4"/>
    <w:rsid w:val="00955305"/>
    <w:rsid w:val="0095685E"/>
    <w:rsid w:val="009572D9"/>
    <w:rsid w:val="00961409"/>
    <w:rsid w:val="00961B09"/>
    <w:rsid w:val="00962300"/>
    <w:rsid w:val="00965334"/>
    <w:rsid w:val="0097093E"/>
    <w:rsid w:val="009726F0"/>
    <w:rsid w:val="00976025"/>
    <w:rsid w:val="009800BE"/>
    <w:rsid w:val="00982E41"/>
    <w:rsid w:val="00984649"/>
    <w:rsid w:val="009858BE"/>
    <w:rsid w:val="00995D3B"/>
    <w:rsid w:val="009A06CB"/>
    <w:rsid w:val="009A0DFA"/>
    <w:rsid w:val="009A3C2C"/>
    <w:rsid w:val="009A4A40"/>
    <w:rsid w:val="009B138C"/>
    <w:rsid w:val="009B22B0"/>
    <w:rsid w:val="009B2D26"/>
    <w:rsid w:val="009B780F"/>
    <w:rsid w:val="009C2AD6"/>
    <w:rsid w:val="009C2DD0"/>
    <w:rsid w:val="009C3AC7"/>
    <w:rsid w:val="009C71FA"/>
    <w:rsid w:val="009C72E7"/>
    <w:rsid w:val="009D0555"/>
    <w:rsid w:val="009D3058"/>
    <w:rsid w:val="009D30F4"/>
    <w:rsid w:val="009D3A11"/>
    <w:rsid w:val="009D44C4"/>
    <w:rsid w:val="009D67FD"/>
    <w:rsid w:val="009E1BFC"/>
    <w:rsid w:val="009E5A30"/>
    <w:rsid w:val="009E7458"/>
    <w:rsid w:val="009E7C05"/>
    <w:rsid w:val="009F02AD"/>
    <w:rsid w:val="009F3831"/>
    <w:rsid w:val="009F3832"/>
    <w:rsid w:val="009F3A13"/>
    <w:rsid w:val="009F49CA"/>
    <w:rsid w:val="009F4AB2"/>
    <w:rsid w:val="009F73F7"/>
    <w:rsid w:val="00A0157A"/>
    <w:rsid w:val="00A02465"/>
    <w:rsid w:val="00A027B7"/>
    <w:rsid w:val="00A0297D"/>
    <w:rsid w:val="00A03415"/>
    <w:rsid w:val="00A04A81"/>
    <w:rsid w:val="00A104A4"/>
    <w:rsid w:val="00A122D3"/>
    <w:rsid w:val="00A14D3D"/>
    <w:rsid w:val="00A17F13"/>
    <w:rsid w:val="00A20739"/>
    <w:rsid w:val="00A211D0"/>
    <w:rsid w:val="00A23361"/>
    <w:rsid w:val="00A24433"/>
    <w:rsid w:val="00A2443A"/>
    <w:rsid w:val="00A32373"/>
    <w:rsid w:val="00A332DD"/>
    <w:rsid w:val="00A339A9"/>
    <w:rsid w:val="00A33C78"/>
    <w:rsid w:val="00A34B38"/>
    <w:rsid w:val="00A34D87"/>
    <w:rsid w:val="00A35538"/>
    <w:rsid w:val="00A37BC4"/>
    <w:rsid w:val="00A43292"/>
    <w:rsid w:val="00A445C0"/>
    <w:rsid w:val="00A55700"/>
    <w:rsid w:val="00A56FCA"/>
    <w:rsid w:val="00A6004A"/>
    <w:rsid w:val="00A613C2"/>
    <w:rsid w:val="00A61857"/>
    <w:rsid w:val="00A71ACA"/>
    <w:rsid w:val="00A74DE6"/>
    <w:rsid w:val="00A8086A"/>
    <w:rsid w:val="00A80F32"/>
    <w:rsid w:val="00A831DD"/>
    <w:rsid w:val="00A84E03"/>
    <w:rsid w:val="00A869C9"/>
    <w:rsid w:val="00A870F1"/>
    <w:rsid w:val="00A87F7D"/>
    <w:rsid w:val="00A9244C"/>
    <w:rsid w:val="00A9248D"/>
    <w:rsid w:val="00A94273"/>
    <w:rsid w:val="00A94D14"/>
    <w:rsid w:val="00A961C8"/>
    <w:rsid w:val="00A97E71"/>
    <w:rsid w:val="00AA544D"/>
    <w:rsid w:val="00AB0ADB"/>
    <w:rsid w:val="00AB3FD1"/>
    <w:rsid w:val="00AB7096"/>
    <w:rsid w:val="00AC0EAB"/>
    <w:rsid w:val="00AC3DBB"/>
    <w:rsid w:val="00AC4701"/>
    <w:rsid w:val="00AC49A2"/>
    <w:rsid w:val="00AD17AB"/>
    <w:rsid w:val="00AD73E2"/>
    <w:rsid w:val="00AE0534"/>
    <w:rsid w:val="00AE2631"/>
    <w:rsid w:val="00AE3AC2"/>
    <w:rsid w:val="00AF1BEC"/>
    <w:rsid w:val="00AF1DFA"/>
    <w:rsid w:val="00AF342C"/>
    <w:rsid w:val="00B009B8"/>
    <w:rsid w:val="00B01B1A"/>
    <w:rsid w:val="00B07044"/>
    <w:rsid w:val="00B14CBA"/>
    <w:rsid w:val="00B14E03"/>
    <w:rsid w:val="00B17AE9"/>
    <w:rsid w:val="00B24620"/>
    <w:rsid w:val="00B26877"/>
    <w:rsid w:val="00B26B98"/>
    <w:rsid w:val="00B34C12"/>
    <w:rsid w:val="00B35ADC"/>
    <w:rsid w:val="00B37C24"/>
    <w:rsid w:val="00B40FBC"/>
    <w:rsid w:val="00B47FD7"/>
    <w:rsid w:val="00B51F75"/>
    <w:rsid w:val="00B53E27"/>
    <w:rsid w:val="00B55810"/>
    <w:rsid w:val="00B558AF"/>
    <w:rsid w:val="00B615BA"/>
    <w:rsid w:val="00B61690"/>
    <w:rsid w:val="00B62D8B"/>
    <w:rsid w:val="00B62F5A"/>
    <w:rsid w:val="00B634EE"/>
    <w:rsid w:val="00B66C79"/>
    <w:rsid w:val="00B72CD3"/>
    <w:rsid w:val="00B72FFF"/>
    <w:rsid w:val="00B76CEB"/>
    <w:rsid w:val="00B7739A"/>
    <w:rsid w:val="00B8257D"/>
    <w:rsid w:val="00B82B8B"/>
    <w:rsid w:val="00B85892"/>
    <w:rsid w:val="00B91186"/>
    <w:rsid w:val="00B93423"/>
    <w:rsid w:val="00B935C6"/>
    <w:rsid w:val="00B976CC"/>
    <w:rsid w:val="00BA0367"/>
    <w:rsid w:val="00BB42FC"/>
    <w:rsid w:val="00BC0036"/>
    <w:rsid w:val="00BC05A6"/>
    <w:rsid w:val="00BC1848"/>
    <w:rsid w:val="00BC2AD3"/>
    <w:rsid w:val="00BC3CEC"/>
    <w:rsid w:val="00BC3D36"/>
    <w:rsid w:val="00BC69E6"/>
    <w:rsid w:val="00BD787A"/>
    <w:rsid w:val="00BD7F72"/>
    <w:rsid w:val="00BE03BC"/>
    <w:rsid w:val="00BE0A18"/>
    <w:rsid w:val="00BE1DE1"/>
    <w:rsid w:val="00BF1201"/>
    <w:rsid w:val="00BF1D4A"/>
    <w:rsid w:val="00BF230F"/>
    <w:rsid w:val="00BF2EE7"/>
    <w:rsid w:val="00C002E3"/>
    <w:rsid w:val="00C012CC"/>
    <w:rsid w:val="00C02BEA"/>
    <w:rsid w:val="00C03B1D"/>
    <w:rsid w:val="00C04FB3"/>
    <w:rsid w:val="00C050E7"/>
    <w:rsid w:val="00C07299"/>
    <w:rsid w:val="00C12A35"/>
    <w:rsid w:val="00C159C1"/>
    <w:rsid w:val="00C16346"/>
    <w:rsid w:val="00C21B15"/>
    <w:rsid w:val="00C32523"/>
    <w:rsid w:val="00C330EB"/>
    <w:rsid w:val="00C34430"/>
    <w:rsid w:val="00C349A7"/>
    <w:rsid w:val="00C34D2C"/>
    <w:rsid w:val="00C359CF"/>
    <w:rsid w:val="00C371C9"/>
    <w:rsid w:val="00C40E9F"/>
    <w:rsid w:val="00C41481"/>
    <w:rsid w:val="00C42469"/>
    <w:rsid w:val="00C4268F"/>
    <w:rsid w:val="00C47A07"/>
    <w:rsid w:val="00C526CC"/>
    <w:rsid w:val="00C538F3"/>
    <w:rsid w:val="00C54082"/>
    <w:rsid w:val="00C54A64"/>
    <w:rsid w:val="00C57281"/>
    <w:rsid w:val="00C63928"/>
    <w:rsid w:val="00C644DD"/>
    <w:rsid w:val="00C65D65"/>
    <w:rsid w:val="00C6640A"/>
    <w:rsid w:val="00C67703"/>
    <w:rsid w:val="00C7173F"/>
    <w:rsid w:val="00C730B6"/>
    <w:rsid w:val="00C754BE"/>
    <w:rsid w:val="00C76466"/>
    <w:rsid w:val="00C76B1C"/>
    <w:rsid w:val="00C811F2"/>
    <w:rsid w:val="00C915DD"/>
    <w:rsid w:val="00C93D4D"/>
    <w:rsid w:val="00CA5EEF"/>
    <w:rsid w:val="00CA6109"/>
    <w:rsid w:val="00CA6A9D"/>
    <w:rsid w:val="00CA7F6B"/>
    <w:rsid w:val="00CB21ED"/>
    <w:rsid w:val="00CB6357"/>
    <w:rsid w:val="00CB6C9D"/>
    <w:rsid w:val="00CC0FA3"/>
    <w:rsid w:val="00CC1B26"/>
    <w:rsid w:val="00CC4164"/>
    <w:rsid w:val="00CC49F7"/>
    <w:rsid w:val="00CC54DB"/>
    <w:rsid w:val="00CC5578"/>
    <w:rsid w:val="00CD087D"/>
    <w:rsid w:val="00CD41CB"/>
    <w:rsid w:val="00CE3B27"/>
    <w:rsid w:val="00CE5414"/>
    <w:rsid w:val="00CE78AC"/>
    <w:rsid w:val="00CF0E60"/>
    <w:rsid w:val="00CF7826"/>
    <w:rsid w:val="00D0157A"/>
    <w:rsid w:val="00D036D8"/>
    <w:rsid w:val="00D038ED"/>
    <w:rsid w:val="00D06D26"/>
    <w:rsid w:val="00D10B75"/>
    <w:rsid w:val="00D12F63"/>
    <w:rsid w:val="00D13351"/>
    <w:rsid w:val="00D15E25"/>
    <w:rsid w:val="00D160C9"/>
    <w:rsid w:val="00D17953"/>
    <w:rsid w:val="00D20368"/>
    <w:rsid w:val="00D22361"/>
    <w:rsid w:val="00D22598"/>
    <w:rsid w:val="00D26924"/>
    <w:rsid w:val="00D27DCD"/>
    <w:rsid w:val="00D413F6"/>
    <w:rsid w:val="00D4231B"/>
    <w:rsid w:val="00D423A2"/>
    <w:rsid w:val="00D43C58"/>
    <w:rsid w:val="00D4506B"/>
    <w:rsid w:val="00D46480"/>
    <w:rsid w:val="00D46B88"/>
    <w:rsid w:val="00D520D8"/>
    <w:rsid w:val="00D52961"/>
    <w:rsid w:val="00D55048"/>
    <w:rsid w:val="00D57EB8"/>
    <w:rsid w:val="00D57FA4"/>
    <w:rsid w:val="00D623F8"/>
    <w:rsid w:val="00D62DE7"/>
    <w:rsid w:val="00D635DF"/>
    <w:rsid w:val="00D63AC2"/>
    <w:rsid w:val="00D64EC4"/>
    <w:rsid w:val="00D678F0"/>
    <w:rsid w:val="00D7383B"/>
    <w:rsid w:val="00D73AD4"/>
    <w:rsid w:val="00D7609E"/>
    <w:rsid w:val="00D76710"/>
    <w:rsid w:val="00D81A63"/>
    <w:rsid w:val="00D81D25"/>
    <w:rsid w:val="00D843B9"/>
    <w:rsid w:val="00D86177"/>
    <w:rsid w:val="00D94C40"/>
    <w:rsid w:val="00DA231B"/>
    <w:rsid w:val="00DA23A0"/>
    <w:rsid w:val="00DA712C"/>
    <w:rsid w:val="00DA7F66"/>
    <w:rsid w:val="00DB186F"/>
    <w:rsid w:val="00DB2374"/>
    <w:rsid w:val="00DC3260"/>
    <w:rsid w:val="00DC38D1"/>
    <w:rsid w:val="00DC39FC"/>
    <w:rsid w:val="00DC4385"/>
    <w:rsid w:val="00DC44C0"/>
    <w:rsid w:val="00DC484F"/>
    <w:rsid w:val="00DC4C27"/>
    <w:rsid w:val="00DC51BC"/>
    <w:rsid w:val="00DC793F"/>
    <w:rsid w:val="00DD2A6E"/>
    <w:rsid w:val="00DD5328"/>
    <w:rsid w:val="00DD5997"/>
    <w:rsid w:val="00DF5254"/>
    <w:rsid w:val="00E01948"/>
    <w:rsid w:val="00E03879"/>
    <w:rsid w:val="00E07B2B"/>
    <w:rsid w:val="00E10778"/>
    <w:rsid w:val="00E12426"/>
    <w:rsid w:val="00E16408"/>
    <w:rsid w:val="00E20894"/>
    <w:rsid w:val="00E241A8"/>
    <w:rsid w:val="00E245AB"/>
    <w:rsid w:val="00E26239"/>
    <w:rsid w:val="00E2764C"/>
    <w:rsid w:val="00E27F2E"/>
    <w:rsid w:val="00E3576F"/>
    <w:rsid w:val="00E35E27"/>
    <w:rsid w:val="00E3667A"/>
    <w:rsid w:val="00E413EA"/>
    <w:rsid w:val="00E47F28"/>
    <w:rsid w:val="00E50AFE"/>
    <w:rsid w:val="00E52E49"/>
    <w:rsid w:val="00E53971"/>
    <w:rsid w:val="00E54B5C"/>
    <w:rsid w:val="00E577AC"/>
    <w:rsid w:val="00E578B6"/>
    <w:rsid w:val="00E6106C"/>
    <w:rsid w:val="00E61547"/>
    <w:rsid w:val="00E61702"/>
    <w:rsid w:val="00E62DAE"/>
    <w:rsid w:val="00E719DF"/>
    <w:rsid w:val="00E75B66"/>
    <w:rsid w:val="00E75C92"/>
    <w:rsid w:val="00E761BC"/>
    <w:rsid w:val="00E76808"/>
    <w:rsid w:val="00E770CD"/>
    <w:rsid w:val="00E771DC"/>
    <w:rsid w:val="00E77478"/>
    <w:rsid w:val="00E77E1B"/>
    <w:rsid w:val="00E8013F"/>
    <w:rsid w:val="00E847D2"/>
    <w:rsid w:val="00E85AA7"/>
    <w:rsid w:val="00E85AA8"/>
    <w:rsid w:val="00E86760"/>
    <w:rsid w:val="00E870E5"/>
    <w:rsid w:val="00E8772A"/>
    <w:rsid w:val="00E87B45"/>
    <w:rsid w:val="00E90F6B"/>
    <w:rsid w:val="00E91079"/>
    <w:rsid w:val="00E92C27"/>
    <w:rsid w:val="00EA0E3D"/>
    <w:rsid w:val="00EA1CD8"/>
    <w:rsid w:val="00EA393B"/>
    <w:rsid w:val="00EA39A5"/>
    <w:rsid w:val="00EA3E87"/>
    <w:rsid w:val="00EA74F5"/>
    <w:rsid w:val="00EB2C4B"/>
    <w:rsid w:val="00EB77AC"/>
    <w:rsid w:val="00EB7E00"/>
    <w:rsid w:val="00EB7E09"/>
    <w:rsid w:val="00EC1A2C"/>
    <w:rsid w:val="00EC1FE1"/>
    <w:rsid w:val="00EC38A7"/>
    <w:rsid w:val="00EC6158"/>
    <w:rsid w:val="00EC6DC4"/>
    <w:rsid w:val="00ED042A"/>
    <w:rsid w:val="00ED0D4A"/>
    <w:rsid w:val="00ED1C7A"/>
    <w:rsid w:val="00EE13B9"/>
    <w:rsid w:val="00EE1AA8"/>
    <w:rsid w:val="00EE1ED1"/>
    <w:rsid w:val="00EE7F94"/>
    <w:rsid w:val="00EF26C3"/>
    <w:rsid w:val="00EF489F"/>
    <w:rsid w:val="00EF53E0"/>
    <w:rsid w:val="00F0564A"/>
    <w:rsid w:val="00F07821"/>
    <w:rsid w:val="00F10211"/>
    <w:rsid w:val="00F10558"/>
    <w:rsid w:val="00F11213"/>
    <w:rsid w:val="00F11BAA"/>
    <w:rsid w:val="00F13738"/>
    <w:rsid w:val="00F13DCF"/>
    <w:rsid w:val="00F15862"/>
    <w:rsid w:val="00F17D0C"/>
    <w:rsid w:val="00F238F2"/>
    <w:rsid w:val="00F25C35"/>
    <w:rsid w:val="00F260AA"/>
    <w:rsid w:val="00F279BC"/>
    <w:rsid w:val="00F27B26"/>
    <w:rsid w:val="00F31EDC"/>
    <w:rsid w:val="00F34D02"/>
    <w:rsid w:val="00F34E84"/>
    <w:rsid w:val="00F40BAD"/>
    <w:rsid w:val="00F462B3"/>
    <w:rsid w:val="00F5184B"/>
    <w:rsid w:val="00F55081"/>
    <w:rsid w:val="00F55168"/>
    <w:rsid w:val="00F56046"/>
    <w:rsid w:val="00F5664F"/>
    <w:rsid w:val="00F606C2"/>
    <w:rsid w:val="00F611E3"/>
    <w:rsid w:val="00F626C4"/>
    <w:rsid w:val="00F64D9E"/>
    <w:rsid w:val="00F64DF6"/>
    <w:rsid w:val="00F666C4"/>
    <w:rsid w:val="00F7684C"/>
    <w:rsid w:val="00F76AFC"/>
    <w:rsid w:val="00F80CBE"/>
    <w:rsid w:val="00F85198"/>
    <w:rsid w:val="00F864EE"/>
    <w:rsid w:val="00F91C07"/>
    <w:rsid w:val="00F939CB"/>
    <w:rsid w:val="00F9479C"/>
    <w:rsid w:val="00F965EE"/>
    <w:rsid w:val="00F9690D"/>
    <w:rsid w:val="00F97949"/>
    <w:rsid w:val="00FA1046"/>
    <w:rsid w:val="00FA1110"/>
    <w:rsid w:val="00FA358D"/>
    <w:rsid w:val="00FA47C0"/>
    <w:rsid w:val="00FA5D73"/>
    <w:rsid w:val="00FA7703"/>
    <w:rsid w:val="00FB06A9"/>
    <w:rsid w:val="00FB4425"/>
    <w:rsid w:val="00FB5615"/>
    <w:rsid w:val="00FB5DD1"/>
    <w:rsid w:val="00FB7F81"/>
    <w:rsid w:val="00FC07B5"/>
    <w:rsid w:val="00FC19CC"/>
    <w:rsid w:val="00FC2B5D"/>
    <w:rsid w:val="00FD00E9"/>
    <w:rsid w:val="00FD043B"/>
    <w:rsid w:val="00FD1F19"/>
    <w:rsid w:val="00FD2E94"/>
    <w:rsid w:val="00FD3DBC"/>
    <w:rsid w:val="00FD711B"/>
    <w:rsid w:val="00FE122A"/>
    <w:rsid w:val="00FE20E6"/>
    <w:rsid w:val="00FE5D1B"/>
    <w:rsid w:val="00FF0A89"/>
    <w:rsid w:val="00FF0C0E"/>
    <w:rsid w:val="00FF1187"/>
    <w:rsid w:val="00FF1449"/>
    <w:rsid w:val="00FF1693"/>
    <w:rsid w:val="00FF277D"/>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712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Fuerte">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table" w:customStyle="1" w:styleId="Tablaconcuadrcula2">
    <w:name w:val="Tabla con cuadrícula2"/>
    <w:basedOn w:val="Tablanormal"/>
    <w:next w:val="Tablaconcuadrcula"/>
    <w:uiPriority w:val="39"/>
    <w:qFormat/>
    <w:rsid w:val="003612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qFormat/>
    <w:rsid w:val="003612F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Fuentedeprrafopredeter"/>
    <w:uiPriority w:val="99"/>
    <w:semiHidden/>
    <w:unhideWhenUsed/>
    <w:rsid w:val="00496AA6"/>
    <w:rPr>
      <w:color w:val="605E5C"/>
      <w:shd w:val="clear" w:color="auto" w:fill="E1DFDD"/>
    </w:rPr>
  </w:style>
  <w:style w:type="character" w:styleId="Mencinsinresolver">
    <w:name w:val="Unresolved Mention"/>
    <w:basedOn w:val="Fuentedeprrafopredeter"/>
    <w:uiPriority w:val="99"/>
    <w:semiHidden/>
    <w:unhideWhenUsed/>
    <w:rsid w:val="003E3D5C"/>
    <w:rPr>
      <w:color w:val="605E5C"/>
      <w:shd w:val="clear" w:color="auto" w:fill="E1DFDD"/>
    </w:rPr>
  </w:style>
  <w:style w:type="table" w:customStyle="1" w:styleId="Tablaconcuadrcula111">
    <w:name w:val="Tabla con cuadrícula111"/>
    <w:basedOn w:val="Tablanormal"/>
    <w:next w:val="Tablaconcuadrcula"/>
    <w:uiPriority w:val="39"/>
    <w:qFormat/>
    <w:rsid w:val="006545D5"/>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556652">
      <w:bodyDiv w:val="1"/>
      <w:marLeft w:val="0"/>
      <w:marRight w:val="0"/>
      <w:marTop w:val="0"/>
      <w:marBottom w:val="0"/>
      <w:divBdr>
        <w:top w:val="none" w:sz="0" w:space="0" w:color="auto"/>
        <w:left w:val="none" w:sz="0" w:space="0" w:color="auto"/>
        <w:bottom w:val="none" w:sz="0" w:space="0" w:color="auto"/>
        <w:right w:val="none" w:sz="0" w:space="0" w:color="auto"/>
      </w:divBdr>
      <w:divsChild>
        <w:div w:id="1321419152">
          <w:marLeft w:val="0"/>
          <w:marRight w:val="0"/>
          <w:marTop w:val="0"/>
          <w:marBottom w:val="0"/>
          <w:divBdr>
            <w:top w:val="none" w:sz="0" w:space="0" w:color="auto"/>
            <w:left w:val="none" w:sz="0" w:space="0" w:color="auto"/>
            <w:bottom w:val="none" w:sz="0" w:space="0" w:color="auto"/>
            <w:right w:val="none" w:sz="0" w:space="0" w:color="auto"/>
          </w:divBdr>
          <w:divsChild>
            <w:div w:id="1858886965">
              <w:marLeft w:val="0"/>
              <w:marRight w:val="0"/>
              <w:marTop w:val="0"/>
              <w:marBottom w:val="0"/>
              <w:divBdr>
                <w:top w:val="none" w:sz="0" w:space="0" w:color="auto"/>
                <w:left w:val="none" w:sz="0" w:space="0" w:color="auto"/>
                <w:bottom w:val="none" w:sz="0" w:space="0" w:color="auto"/>
                <w:right w:val="none" w:sz="0" w:space="0" w:color="auto"/>
              </w:divBdr>
              <w:divsChild>
                <w:div w:id="107573922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9843075">
          <w:marLeft w:val="0"/>
          <w:marRight w:val="0"/>
          <w:marTop w:val="0"/>
          <w:marBottom w:val="0"/>
          <w:divBdr>
            <w:top w:val="none" w:sz="0" w:space="0" w:color="auto"/>
            <w:left w:val="none" w:sz="0" w:space="0" w:color="auto"/>
            <w:bottom w:val="none" w:sz="0" w:space="0" w:color="auto"/>
            <w:right w:val="none" w:sz="0" w:space="0" w:color="auto"/>
          </w:divBdr>
          <w:divsChild>
            <w:div w:id="1112676437">
              <w:marLeft w:val="0"/>
              <w:marRight w:val="0"/>
              <w:marTop w:val="0"/>
              <w:marBottom w:val="0"/>
              <w:divBdr>
                <w:top w:val="none" w:sz="0" w:space="0" w:color="auto"/>
                <w:left w:val="none" w:sz="0" w:space="0" w:color="auto"/>
                <w:bottom w:val="none" w:sz="0" w:space="0" w:color="auto"/>
                <w:right w:val="none" w:sz="0" w:space="0" w:color="auto"/>
              </w:divBdr>
              <w:divsChild>
                <w:div w:id="133904023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05693166">
          <w:marLeft w:val="0"/>
          <w:marRight w:val="0"/>
          <w:marTop w:val="0"/>
          <w:marBottom w:val="0"/>
          <w:divBdr>
            <w:top w:val="none" w:sz="0" w:space="0" w:color="auto"/>
            <w:left w:val="none" w:sz="0" w:space="0" w:color="auto"/>
            <w:bottom w:val="none" w:sz="0" w:space="0" w:color="auto"/>
            <w:right w:val="none" w:sz="0" w:space="0" w:color="auto"/>
          </w:divBdr>
          <w:divsChild>
            <w:div w:id="474566452">
              <w:marLeft w:val="0"/>
              <w:marRight w:val="0"/>
              <w:marTop w:val="0"/>
              <w:marBottom w:val="0"/>
              <w:divBdr>
                <w:top w:val="none" w:sz="0" w:space="0" w:color="auto"/>
                <w:left w:val="none" w:sz="0" w:space="0" w:color="auto"/>
                <w:bottom w:val="none" w:sz="0" w:space="0" w:color="auto"/>
                <w:right w:val="none" w:sz="0" w:space="0" w:color="auto"/>
              </w:divBdr>
              <w:divsChild>
                <w:div w:id="4217180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530533897">
          <w:marLeft w:val="0"/>
          <w:marRight w:val="0"/>
          <w:marTop w:val="0"/>
          <w:marBottom w:val="0"/>
          <w:divBdr>
            <w:top w:val="none" w:sz="0" w:space="0" w:color="auto"/>
            <w:left w:val="none" w:sz="0" w:space="0" w:color="auto"/>
            <w:bottom w:val="none" w:sz="0" w:space="0" w:color="auto"/>
            <w:right w:val="none" w:sz="0" w:space="0" w:color="auto"/>
          </w:divBdr>
          <w:divsChild>
            <w:div w:id="460920788">
              <w:marLeft w:val="0"/>
              <w:marRight w:val="0"/>
              <w:marTop w:val="0"/>
              <w:marBottom w:val="0"/>
              <w:divBdr>
                <w:top w:val="none" w:sz="0" w:space="0" w:color="auto"/>
                <w:left w:val="none" w:sz="0" w:space="0" w:color="auto"/>
                <w:bottom w:val="none" w:sz="0" w:space="0" w:color="auto"/>
                <w:right w:val="none" w:sz="0" w:space="0" w:color="auto"/>
              </w:divBdr>
              <w:divsChild>
                <w:div w:id="85076186">
                  <w:marLeft w:val="-420"/>
                  <w:marRight w:val="0"/>
                  <w:marTop w:val="0"/>
                  <w:marBottom w:val="0"/>
                  <w:divBdr>
                    <w:top w:val="none" w:sz="0" w:space="0" w:color="auto"/>
                    <w:left w:val="none" w:sz="0" w:space="0" w:color="auto"/>
                    <w:bottom w:val="none" w:sz="0" w:space="0" w:color="auto"/>
                    <w:right w:val="none" w:sz="0" w:space="0" w:color="auto"/>
                  </w:divBdr>
                  <w:divsChild>
                    <w:div w:id="74867382">
                      <w:marLeft w:val="0"/>
                      <w:marRight w:val="0"/>
                      <w:marTop w:val="0"/>
                      <w:marBottom w:val="0"/>
                      <w:divBdr>
                        <w:top w:val="none" w:sz="0" w:space="0" w:color="auto"/>
                        <w:left w:val="none" w:sz="0" w:space="0" w:color="auto"/>
                        <w:bottom w:val="none" w:sz="0" w:space="0" w:color="auto"/>
                        <w:right w:val="none" w:sz="0" w:space="0" w:color="auto"/>
                      </w:divBdr>
                      <w:divsChild>
                        <w:div w:id="787047848">
                          <w:marLeft w:val="0"/>
                          <w:marRight w:val="0"/>
                          <w:marTop w:val="0"/>
                          <w:marBottom w:val="0"/>
                          <w:divBdr>
                            <w:top w:val="none" w:sz="0" w:space="0" w:color="auto"/>
                            <w:left w:val="none" w:sz="0" w:space="0" w:color="auto"/>
                            <w:bottom w:val="none" w:sz="0" w:space="0" w:color="auto"/>
                            <w:right w:val="none" w:sz="0" w:space="0" w:color="auto"/>
                          </w:divBdr>
                          <w:divsChild>
                            <w:div w:id="269167448">
                              <w:marLeft w:val="0"/>
                              <w:marRight w:val="0"/>
                              <w:marTop w:val="0"/>
                              <w:marBottom w:val="0"/>
                              <w:divBdr>
                                <w:top w:val="none" w:sz="0" w:space="0" w:color="auto"/>
                                <w:left w:val="none" w:sz="0" w:space="0" w:color="auto"/>
                                <w:bottom w:val="none" w:sz="0" w:space="0" w:color="auto"/>
                                <w:right w:val="none" w:sz="0" w:space="0" w:color="auto"/>
                              </w:divBdr>
                            </w:div>
                            <w:div w:id="1659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575565">
                  <w:marLeft w:val="-420"/>
                  <w:marRight w:val="0"/>
                  <w:marTop w:val="0"/>
                  <w:marBottom w:val="0"/>
                  <w:divBdr>
                    <w:top w:val="none" w:sz="0" w:space="0" w:color="auto"/>
                    <w:left w:val="none" w:sz="0" w:space="0" w:color="auto"/>
                    <w:bottom w:val="none" w:sz="0" w:space="0" w:color="auto"/>
                    <w:right w:val="none" w:sz="0" w:space="0" w:color="auto"/>
                  </w:divBdr>
                  <w:divsChild>
                    <w:div w:id="1321931935">
                      <w:marLeft w:val="0"/>
                      <w:marRight w:val="0"/>
                      <w:marTop w:val="0"/>
                      <w:marBottom w:val="0"/>
                      <w:divBdr>
                        <w:top w:val="none" w:sz="0" w:space="0" w:color="auto"/>
                        <w:left w:val="none" w:sz="0" w:space="0" w:color="auto"/>
                        <w:bottom w:val="none" w:sz="0" w:space="0" w:color="auto"/>
                        <w:right w:val="none" w:sz="0" w:space="0" w:color="auto"/>
                      </w:divBdr>
                      <w:divsChild>
                        <w:div w:id="1153451185">
                          <w:marLeft w:val="0"/>
                          <w:marRight w:val="0"/>
                          <w:marTop w:val="0"/>
                          <w:marBottom w:val="0"/>
                          <w:divBdr>
                            <w:top w:val="none" w:sz="0" w:space="0" w:color="auto"/>
                            <w:left w:val="none" w:sz="0" w:space="0" w:color="auto"/>
                            <w:bottom w:val="none" w:sz="0" w:space="0" w:color="auto"/>
                            <w:right w:val="none" w:sz="0" w:space="0" w:color="auto"/>
                          </w:divBdr>
                          <w:divsChild>
                            <w:div w:id="1073356219">
                              <w:marLeft w:val="0"/>
                              <w:marRight w:val="0"/>
                              <w:marTop w:val="0"/>
                              <w:marBottom w:val="0"/>
                              <w:divBdr>
                                <w:top w:val="none" w:sz="0" w:space="0" w:color="auto"/>
                                <w:left w:val="none" w:sz="0" w:space="0" w:color="auto"/>
                                <w:bottom w:val="none" w:sz="0" w:space="0" w:color="auto"/>
                                <w:right w:val="none" w:sz="0" w:space="0" w:color="auto"/>
                              </w:divBdr>
                            </w:div>
                            <w:div w:id="35719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401279">
                  <w:marLeft w:val="-420"/>
                  <w:marRight w:val="0"/>
                  <w:marTop w:val="0"/>
                  <w:marBottom w:val="0"/>
                  <w:divBdr>
                    <w:top w:val="none" w:sz="0" w:space="0" w:color="auto"/>
                    <w:left w:val="none" w:sz="0" w:space="0" w:color="auto"/>
                    <w:bottom w:val="none" w:sz="0" w:space="0" w:color="auto"/>
                    <w:right w:val="none" w:sz="0" w:space="0" w:color="auto"/>
                  </w:divBdr>
                  <w:divsChild>
                    <w:div w:id="1202092988">
                      <w:marLeft w:val="0"/>
                      <w:marRight w:val="0"/>
                      <w:marTop w:val="0"/>
                      <w:marBottom w:val="0"/>
                      <w:divBdr>
                        <w:top w:val="none" w:sz="0" w:space="0" w:color="auto"/>
                        <w:left w:val="none" w:sz="0" w:space="0" w:color="auto"/>
                        <w:bottom w:val="none" w:sz="0" w:space="0" w:color="auto"/>
                        <w:right w:val="none" w:sz="0" w:space="0" w:color="auto"/>
                      </w:divBdr>
                      <w:divsChild>
                        <w:div w:id="299462439">
                          <w:marLeft w:val="0"/>
                          <w:marRight w:val="0"/>
                          <w:marTop w:val="0"/>
                          <w:marBottom w:val="0"/>
                          <w:divBdr>
                            <w:top w:val="none" w:sz="0" w:space="0" w:color="auto"/>
                            <w:left w:val="none" w:sz="0" w:space="0" w:color="auto"/>
                            <w:bottom w:val="none" w:sz="0" w:space="0" w:color="auto"/>
                            <w:right w:val="none" w:sz="0" w:space="0" w:color="auto"/>
                          </w:divBdr>
                          <w:divsChild>
                            <w:div w:id="1790853143">
                              <w:marLeft w:val="0"/>
                              <w:marRight w:val="0"/>
                              <w:marTop w:val="0"/>
                              <w:marBottom w:val="0"/>
                              <w:divBdr>
                                <w:top w:val="none" w:sz="0" w:space="0" w:color="auto"/>
                                <w:left w:val="none" w:sz="0" w:space="0" w:color="auto"/>
                                <w:bottom w:val="none" w:sz="0" w:space="0" w:color="auto"/>
                                <w:right w:val="none" w:sz="0" w:space="0" w:color="auto"/>
                              </w:divBdr>
                            </w:div>
                            <w:div w:id="142772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649035">
                  <w:marLeft w:val="-420"/>
                  <w:marRight w:val="0"/>
                  <w:marTop w:val="0"/>
                  <w:marBottom w:val="0"/>
                  <w:divBdr>
                    <w:top w:val="none" w:sz="0" w:space="0" w:color="auto"/>
                    <w:left w:val="none" w:sz="0" w:space="0" w:color="auto"/>
                    <w:bottom w:val="none" w:sz="0" w:space="0" w:color="auto"/>
                    <w:right w:val="none" w:sz="0" w:space="0" w:color="auto"/>
                  </w:divBdr>
                  <w:divsChild>
                    <w:div w:id="1868983239">
                      <w:marLeft w:val="0"/>
                      <w:marRight w:val="0"/>
                      <w:marTop w:val="0"/>
                      <w:marBottom w:val="0"/>
                      <w:divBdr>
                        <w:top w:val="none" w:sz="0" w:space="0" w:color="auto"/>
                        <w:left w:val="none" w:sz="0" w:space="0" w:color="auto"/>
                        <w:bottom w:val="none" w:sz="0" w:space="0" w:color="auto"/>
                        <w:right w:val="none" w:sz="0" w:space="0" w:color="auto"/>
                      </w:divBdr>
                      <w:divsChild>
                        <w:div w:id="900022072">
                          <w:marLeft w:val="0"/>
                          <w:marRight w:val="0"/>
                          <w:marTop w:val="0"/>
                          <w:marBottom w:val="0"/>
                          <w:divBdr>
                            <w:top w:val="none" w:sz="0" w:space="0" w:color="auto"/>
                            <w:left w:val="none" w:sz="0" w:space="0" w:color="auto"/>
                            <w:bottom w:val="none" w:sz="0" w:space="0" w:color="auto"/>
                            <w:right w:val="none" w:sz="0" w:space="0" w:color="auto"/>
                          </w:divBdr>
                          <w:divsChild>
                            <w:div w:id="119765887">
                              <w:marLeft w:val="0"/>
                              <w:marRight w:val="0"/>
                              <w:marTop w:val="0"/>
                              <w:marBottom w:val="0"/>
                              <w:divBdr>
                                <w:top w:val="none" w:sz="0" w:space="0" w:color="auto"/>
                                <w:left w:val="none" w:sz="0" w:space="0" w:color="auto"/>
                                <w:bottom w:val="none" w:sz="0" w:space="0" w:color="auto"/>
                                <w:right w:val="none" w:sz="0" w:space="0" w:color="auto"/>
                              </w:divBdr>
                            </w:div>
                            <w:div w:id="164635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01759">
                  <w:marLeft w:val="-420"/>
                  <w:marRight w:val="0"/>
                  <w:marTop w:val="0"/>
                  <w:marBottom w:val="0"/>
                  <w:divBdr>
                    <w:top w:val="none" w:sz="0" w:space="0" w:color="auto"/>
                    <w:left w:val="none" w:sz="0" w:space="0" w:color="auto"/>
                    <w:bottom w:val="none" w:sz="0" w:space="0" w:color="auto"/>
                    <w:right w:val="none" w:sz="0" w:space="0" w:color="auto"/>
                  </w:divBdr>
                  <w:divsChild>
                    <w:div w:id="147094427">
                      <w:marLeft w:val="0"/>
                      <w:marRight w:val="0"/>
                      <w:marTop w:val="0"/>
                      <w:marBottom w:val="0"/>
                      <w:divBdr>
                        <w:top w:val="none" w:sz="0" w:space="0" w:color="auto"/>
                        <w:left w:val="none" w:sz="0" w:space="0" w:color="auto"/>
                        <w:bottom w:val="none" w:sz="0" w:space="0" w:color="auto"/>
                        <w:right w:val="none" w:sz="0" w:space="0" w:color="auto"/>
                      </w:divBdr>
                      <w:divsChild>
                        <w:div w:id="2050495066">
                          <w:marLeft w:val="0"/>
                          <w:marRight w:val="0"/>
                          <w:marTop w:val="0"/>
                          <w:marBottom w:val="0"/>
                          <w:divBdr>
                            <w:top w:val="none" w:sz="0" w:space="0" w:color="auto"/>
                            <w:left w:val="none" w:sz="0" w:space="0" w:color="auto"/>
                            <w:bottom w:val="none" w:sz="0" w:space="0" w:color="auto"/>
                            <w:right w:val="none" w:sz="0" w:space="0" w:color="auto"/>
                          </w:divBdr>
                          <w:divsChild>
                            <w:div w:id="201673686">
                              <w:marLeft w:val="0"/>
                              <w:marRight w:val="0"/>
                              <w:marTop w:val="0"/>
                              <w:marBottom w:val="0"/>
                              <w:divBdr>
                                <w:top w:val="none" w:sz="0" w:space="0" w:color="auto"/>
                                <w:left w:val="none" w:sz="0" w:space="0" w:color="auto"/>
                                <w:bottom w:val="none" w:sz="0" w:space="0" w:color="auto"/>
                                <w:right w:val="none" w:sz="0" w:space="0" w:color="auto"/>
                              </w:divBdr>
                            </w:div>
                            <w:div w:id="1635864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242492">
                  <w:marLeft w:val="-420"/>
                  <w:marRight w:val="0"/>
                  <w:marTop w:val="0"/>
                  <w:marBottom w:val="0"/>
                  <w:divBdr>
                    <w:top w:val="none" w:sz="0" w:space="0" w:color="auto"/>
                    <w:left w:val="none" w:sz="0" w:space="0" w:color="auto"/>
                    <w:bottom w:val="none" w:sz="0" w:space="0" w:color="auto"/>
                    <w:right w:val="none" w:sz="0" w:space="0" w:color="auto"/>
                  </w:divBdr>
                  <w:divsChild>
                    <w:div w:id="794443889">
                      <w:marLeft w:val="0"/>
                      <w:marRight w:val="0"/>
                      <w:marTop w:val="0"/>
                      <w:marBottom w:val="0"/>
                      <w:divBdr>
                        <w:top w:val="none" w:sz="0" w:space="0" w:color="auto"/>
                        <w:left w:val="none" w:sz="0" w:space="0" w:color="auto"/>
                        <w:bottom w:val="none" w:sz="0" w:space="0" w:color="auto"/>
                        <w:right w:val="none" w:sz="0" w:space="0" w:color="auto"/>
                      </w:divBdr>
                      <w:divsChild>
                        <w:div w:id="434593226">
                          <w:marLeft w:val="0"/>
                          <w:marRight w:val="0"/>
                          <w:marTop w:val="0"/>
                          <w:marBottom w:val="0"/>
                          <w:divBdr>
                            <w:top w:val="none" w:sz="0" w:space="0" w:color="auto"/>
                            <w:left w:val="none" w:sz="0" w:space="0" w:color="auto"/>
                            <w:bottom w:val="none" w:sz="0" w:space="0" w:color="auto"/>
                            <w:right w:val="none" w:sz="0" w:space="0" w:color="auto"/>
                          </w:divBdr>
                          <w:divsChild>
                            <w:div w:id="419910499">
                              <w:marLeft w:val="0"/>
                              <w:marRight w:val="0"/>
                              <w:marTop w:val="0"/>
                              <w:marBottom w:val="0"/>
                              <w:divBdr>
                                <w:top w:val="none" w:sz="0" w:space="0" w:color="auto"/>
                                <w:left w:val="none" w:sz="0" w:space="0" w:color="auto"/>
                                <w:bottom w:val="none" w:sz="0" w:space="0" w:color="auto"/>
                                <w:right w:val="none" w:sz="0" w:space="0" w:color="auto"/>
                              </w:divBdr>
                            </w:div>
                            <w:div w:id="81345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6487059">
          <w:marLeft w:val="0"/>
          <w:marRight w:val="0"/>
          <w:marTop w:val="0"/>
          <w:marBottom w:val="0"/>
          <w:divBdr>
            <w:top w:val="none" w:sz="0" w:space="0" w:color="auto"/>
            <w:left w:val="none" w:sz="0" w:space="0" w:color="auto"/>
            <w:bottom w:val="none" w:sz="0" w:space="0" w:color="auto"/>
            <w:right w:val="none" w:sz="0" w:space="0" w:color="auto"/>
          </w:divBdr>
          <w:divsChild>
            <w:div w:id="119807459">
              <w:marLeft w:val="0"/>
              <w:marRight w:val="0"/>
              <w:marTop w:val="0"/>
              <w:marBottom w:val="0"/>
              <w:divBdr>
                <w:top w:val="none" w:sz="0" w:space="0" w:color="auto"/>
                <w:left w:val="none" w:sz="0" w:space="0" w:color="auto"/>
                <w:bottom w:val="none" w:sz="0" w:space="0" w:color="auto"/>
                <w:right w:val="none" w:sz="0" w:space="0" w:color="auto"/>
              </w:divBdr>
              <w:divsChild>
                <w:div w:id="160799853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973213923">
      <w:bodyDiv w:val="1"/>
      <w:marLeft w:val="0"/>
      <w:marRight w:val="0"/>
      <w:marTop w:val="0"/>
      <w:marBottom w:val="0"/>
      <w:divBdr>
        <w:top w:val="none" w:sz="0" w:space="0" w:color="auto"/>
        <w:left w:val="none" w:sz="0" w:space="0" w:color="auto"/>
        <w:bottom w:val="none" w:sz="0" w:space="0" w:color="auto"/>
        <w:right w:val="none" w:sz="0" w:space="0" w:color="auto"/>
      </w:divBdr>
      <w:divsChild>
        <w:div w:id="569387282">
          <w:marLeft w:val="0"/>
          <w:marRight w:val="0"/>
          <w:marTop w:val="0"/>
          <w:marBottom w:val="0"/>
          <w:divBdr>
            <w:top w:val="none" w:sz="0" w:space="0" w:color="auto"/>
            <w:left w:val="none" w:sz="0" w:space="0" w:color="auto"/>
            <w:bottom w:val="none" w:sz="0" w:space="0" w:color="auto"/>
            <w:right w:val="none" w:sz="0" w:space="0" w:color="auto"/>
          </w:divBdr>
          <w:divsChild>
            <w:div w:id="2911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04247525">
      <w:bodyDiv w:val="1"/>
      <w:marLeft w:val="0"/>
      <w:marRight w:val="0"/>
      <w:marTop w:val="0"/>
      <w:marBottom w:val="0"/>
      <w:divBdr>
        <w:top w:val="none" w:sz="0" w:space="0" w:color="auto"/>
        <w:left w:val="none" w:sz="0" w:space="0" w:color="auto"/>
        <w:bottom w:val="none" w:sz="0" w:space="0" w:color="auto"/>
        <w:right w:val="none" w:sz="0" w:space="0" w:color="auto"/>
      </w:divBdr>
      <w:divsChild>
        <w:div w:id="798498248">
          <w:marLeft w:val="0"/>
          <w:marRight w:val="0"/>
          <w:marTop w:val="0"/>
          <w:marBottom w:val="0"/>
          <w:divBdr>
            <w:top w:val="none" w:sz="0" w:space="0" w:color="auto"/>
            <w:left w:val="none" w:sz="0" w:space="0" w:color="auto"/>
            <w:bottom w:val="none" w:sz="0" w:space="0" w:color="auto"/>
            <w:right w:val="none" w:sz="0" w:space="0" w:color="auto"/>
          </w:divBdr>
          <w:divsChild>
            <w:div w:id="625507675">
              <w:marLeft w:val="0"/>
              <w:marRight w:val="0"/>
              <w:marTop w:val="0"/>
              <w:marBottom w:val="0"/>
              <w:divBdr>
                <w:top w:val="none" w:sz="0" w:space="0" w:color="auto"/>
                <w:left w:val="none" w:sz="0" w:space="0" w:color="auto"/>
                <w:bottom w:val="none" w:sz="0" w:space="0" w:color="auto"/>
                <w:right w:val="none" w:sz="0" w:space="0" w:color="auto"/>
              </w:divBdr>
            </w:div>
          </w:divsChild>
        </w:div>
        <w:div w:id="263005484">
          <w:marLeft w:val="0"/>
          <w:marRight w:val="0"/>
          <w:marTop w:val="0"/>
          <w:marBottom w:val="0"/>
          <w:divBdr>
            <w:top w:val="none" w:sz="0" w:space="0" w:color="auto"/>
            <w:left w:val="none" w:sz="0" w:space="0" w:color="auto"/>
            <w:bottom w:val="none" w:sz="0" w:space="0" w:color="auto"/>
            <w:right w:val="none" w:sz="0" w:space="0" w:color="auto"/>
          </w:divBdr>
          <w:divsChild>
            <w:div w:id="33383074">
              <w:marLeft w:val="0"/>
              <w:marRight w:val="0"/>
              <w:marTop w:val="0"/>
              <w:marBottom w:val="0"/>
              <w:divBdr>
                <w:top w:val="none" w:sz="0" w:space="0" w:color="auto"/>
                <w:left w:val="none" w:sz="0" w:space="0" w:color="auto"/>
                <w:bottom w:val="none" w:sz="0" w:space="0" w:color="auto"/>
                <w:right w:val="none" w:sz="0" w:space="0" w:color="auto"/>
              </w:divBdr>
            </w:div>
          </w:divsChild>
        </w:div>
        <w:div w:id="1752972562">
          <w:marLeft w:val="0"/>
          <w:marRight w:val="0"/>
          <w:marTop w:val="0"/>
          <w:marBottom w:val="0"/>
          <w:divBdr>
            <w:top w:val="none" w:sz="0" w:space="0" w:color="auto"/>
            <w:left w:val="none" w:sz="0" w:space="0" w:color="auto"/>
            <w:bottom w:val="none" w:sz="0" w:space="0" w:color="auto"/>
            <w:right w:val="none" w:sz="0" w:space="0" w:color="auto"/>
          </w:divBdr>
          <w:divsChild>
            <w:div w:id="403458026">
              <w:marLeft w:val="0"/>
              <w:marRight w:val="0"/>
              <w:marTop w:val="0"/>
              <w:marBottom w:val="0"/>
              <w:divBdr>
                <w:top w:val="none" w:sz="0" w:space="0" w:color="auto"/>
                <w:left w:val="none" w:sz="0" w:space="0" w:color="auto"/>
                <w:bottom w:val="none" w:sz="0" w:space="0" w:color="auto"/>
                <w:right w:val="none" w:sz="0" w:space="0" w:color="auto"/>
              </w:divBdr>
            </w:div>
          </w:divsChild>
        </w:div>
        <w:div w:id="379938772">
          <w:marLeft w:val="0"/>
          <w:marRight w:val="0"/>
          <w:marTop w:val="0"/>
          <w:marBottom w:val="0"/>
          <w:divBdr>
            <w:top w:val="none" w:sz="0" w:space="0" w:color="auto"/>
            <w:left w:val="none" w:sz="0" w:space="0" w:color="auto"/>
            <w:bottom w:val="none" w:sz="0" w:space="0" w:color="auto"/>
            <w:right w:val="none" w:sz="0" w:space="0" w:color="auto"/>
          </w:divBdr>
          <w:divsChild>
            <w:div w:id="179536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558662152">
      <w:bodyDiv w:val="1"/>
      <w:marLeft w:val="0"/>
      <w:marRight w:val="0"/>
      <w:marTop w:val="0"/>
      <w:marBottom w:val="0"/>
      <w:divBdr>
        <w:top w:val="none" w:sz="0" w:space="0" w:color="auto"/>
        <w:left w:val="none" w:sz="0" w:space="0" w:color="auto"/>
        <w:bottom w:val="none" w:sz="0" w:space="0" w:color="auto"/>
        <w:right w:val="none" w:sz="0" w:space="0" w:color="auto"/>
      </w:divBdr>
      <w:divsChild>
        <w:div w:id="1154028147">
          <w:marLeft w:val="0"/>
          <w:marRight w:val="0"/>
          <w:marTop w:val="0"/>
          <w:marBottom w:val="0"/>
          <w:divBdr>
            <w:top w:val="none" w:sz="0" w:space="0" w:color="auto"/>
            <w:left w:val="none" w:sz="0" w:space="0" w:color="auto"/>
            <w:bottom w:val="none" w:sz="0" w:space="0" w:color="auto"/>
            <w:right w:val="none" w:sz="0" w:space="0" w:color="auto"/>
          </w:divBdr>
          <w:divsChild>
            <w:div w:id="1382556312">
              <w:marLeft w:val="0"/>
              <w:marRight w:val="0"/>
              <w:marTop w:val="0"/>
              <w:marBottom w:val="0"/>
              <w:divBdr>
                <w:top w:val="none" w:sz="0" w:space="0" w:color="auto"/>
                <w:left w:val="none" w:sz="0" w:space="0" w:color="auto"/>
                <w:bottom w:val="none" w:sz="0" w:space="0" w:color="auto"/>
                <w:right w:val="none" w:sz="0" w:space="0" w:color="auto"/>
              </w:divBdr>
            </w:div>
          </w:divsChild>
        </w:div>
        <w:div w:id="14963590">
          <w:marLeft w:val="0"/>
          <w:marRight w:val="0"/>
          <w:marTop w:val="0"/>
          <w:marBottom w:val="0"/>
          <w:divBdr>
            <w:top w:val="none" w:sz="0" w:space="0" w:color="auto"/>
            <w:left w:val="none" w:sz="0" w:space="0" w:color="auto"/>
            <w:bottom w:val="none" w:sz="0" w:space="0" w:color="auto"/>
            <w:right w:val="none" w:sz="0" w:space="0" w:color="auto"/>
          </w:divBdr>
          <w:divsChild>
            <w:div w:id="1660697003">
              <w:marLeft w:val="0"/>
              <w:marRight w:val="0"/>
              <w:marTop w:val="0"/>
              <w:marBottom w:val="0"/>
              <w:divBdr>
                <w:top w:val="none" w:sz="0" w:space="0" w:color="auto"/>
                <w:left w:val="none" w:sz="0" w:space="0" w:color="auto"/>
                <w:bottom w:val="none" w:sz="0" w:space="0" w:color="auto"/>
                <w:right w:val="none" w:sz="0" w:space="0" w:color="auto"/>
              </w:divBdr>
            </w:div>
          </w:divsChild>
        </w:div>
        <w:div w:id="227765794">
          <w:marLeft w:val="0"/>
          <w:marRight w:val="0"/>
          <w:marTop w:val="0"/>
          <w:marBottom w:val="0"/>
          <w:divBdr>
            <w:top w:val="none" w:sz="0" w:space="0" w:color="auto"/>
            <w:left w:val="none" w:sz="0" w:space="0" w:color="auto"/>
            <w:bottom w:val="none" w:sz="0" w:space="0" w:color="auto"/>
            <w:right w:val="none" w:sz="0" w:space="0" w:color="auto"/>
          </w:divBdr>
          <w:divsChild>
            <w:div w:id="1447970551">
              <w:marLeft w:val="0"/>
              <w:marRight w:val="0"/>
              <w:marTop w:val="0"/>
              <w:marBottom w:val="0"/>
              <w:divBdr>
                <w:top w:val="none" w:sz="0" w:space="0" w:color="auto"/>
                <w:left w:val="none" w:sz="0" w:space="0" w:color="auto"/>
                <w:bottom w:val="none" w:sz="0" w:space="0" w:color="auto"/>
                <w:right w:val="none" w:sz="0" w:space="0" w:color="auto"/>
              </w:divBdr>
            </w:div>
          </w:divsChild>
        </w:div>
        <w:div w:id="1179153889">
          <w:marLeft w:val="0"/>
          <w:marRight w:val="0"/>
          <w:marTop w:val="0"/>
          <w:marBottom w:val="0"/>
          <w:divBdr>
            <w:top w:val="none" w:sz="0" w:space="0" w:color="auto"/>
            <w:left w:val="none" w:sz="0" w:space="0" w:color="auto"/>
            <w:bottom w:val="none" w:sz="0" w:space="0" w:color="auto"/>
            <w:right w:val="none" w:sz="0" w:space="0" w:color="auto"/>
          </w:divBdr>
          <w:divsChild>
            <w:div w:id="102945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922712180">
      <w:bodyDiv w:val="1"/>
      <w:marLeft w:val="0"/>
      <w:marRight w:val="0"/>
      <w:marTop w:val="0"/>
      <w:marBottom w:val="0"/>
      <w:divBdr>
        <w:top w:val="none" w:sz="0" w:space="0" w:color="auto"/>
        <w:left w:val="none" w:sz="0" w:space="0" w:color="auto"/>
        <w:bottom w:val="none" w:sz="0" w:space="0" w:color="auto"/>
        <w:right w:val="none" w:sz="0" w:space="0" w:color="auto"/>
      </w:divBdr>
      <w:divsChild>
        <w:div w:id="1520007011">
          <w:marLeft w:val="0"/>
          <w:marRight w:val="0"/>
          <w:marTop w:val="0"/>
          <w:marBottom w:val="0"/>
          <w:divBdr>
            <w:top w:val="none" w:sz="0" w:space="0" w:color="auto"/>
            <w:left w:val="none" w:sz="0" w:space="0" w:color="auto"/>
            <w:bottom w:val="none" w:sz="0" w:space="0" w:color="auto"/>
            <w:right w:val="none" w:sz="0" w:space="0" w:color="auto"/>
          </w:divBdr>
          <w:divsChild>
            <w:div w:id="429352846">
              <w:marLeft w:val="0"/>
              <w:marRight w:val="0"/>
              <w:marTop w:val="0"/>
              <w:marBottom w:val="0"/>
              <w:divBdr>
                <w:top w:val="none" w:sz="0" w:space="0" w:color="auto"/>
                <w:left w:val="none" w:sz="0" w:space="0" w:color="auto"/>
                <w:bottom w:val="none" w:sz="0" w:space="0" w:color="auto"/>
                <w:right w:val="none" w:sz="0" w:space="0" w:color="auto"/>
              </w:divBdr>
            </w:div>
          </w:divsChild>
        </w:div>
        <w:div w:id="718822323">
          <w:marLeft w:val="0"/>
          <w:marRight w:val="0"/>
          <w:marTop w:val="0"/>
          <w:marBottom w:val="0"/>
          <w:divBdr>
            <w:top w:val="none" w:sz="0" w:space="0" w:color="auto"/>
            <w:left w:val="none" w:sz="0" w:space="0" w:color="auto"/>
            <w:bottom w:val="none" w:sz="0" w:space="0" w:color="auto"/>
            <w:right w:val="none" w:sz="0" w:space="0" w:color="auto"/>
          </w:divBdr>
          <w:divsChild>
            <w:div w:id="755827950">
              <w:marLeft w:val="0"/>
              <w:marRight w:val="0"/>
              <w:marTop w:val="0"/>
              <w:marBottom w:val="0"/>
              <w:divBdr>
                <w:top w:val="none" w:sz="0" w:space="0" w:color="auto"/>
                <w:left w:val="none" w:sz="0" w:space="0" w:color="auto"/>
                <w:bottom w:val="none" w:sz="0" w:space="0" w:color="auto"/>
                <w:right w:val="none" w:sz="0" w:space="0" w:color="auto"/>
              </w:divBdr>
            </w:div>
          </w:divsChild>
        </w:div>
        <w:div w:id="406615399">
          <w:marLeft w:val="0"/>
          <w:marRight w:val="0"/>
          <w:marTop w:val="0"/>
          <w:marBottom w:val="0"/>
          <w:divBdr>
            <w:top w:val="none" w:sz="0" w:space="0" w:color="auto"/>
            <w:left w:val="none" w:sz="0" w:space="0" w:color="auto"/>
            <w:bottom w:val="none" w:sz="0" w:space="0" w:color="auto"/>
            <w:right w:val="none" w:sz="0" w:space="0" w:color="auto"/>
          </w:divBdr>
          <w:divsChild>
            <w:div w:id="49115181">
              <w:marLeft w:val="0"/>
              <w:marRight w:val="0"/>
              <w:marTop w:val="0"/>
              <w:marBottom w:val="0"/>
              <w:divBdr>
                <w:top w:val="none" w:sz="0" w:space="0" w:color="auto"/>
                <w:left w:val="none" w:sz="0" w:space="0" w:color="auto"/>
                <w:bottom w:val="none" w:sz="0" w:space="0" w:color="auto"/>
                <w:right w:val="none" w:sz="0" w:space="0" w:color="auto"/>
              </w:divBdr>
            </w:div>
          </w:divsChild>
        </w:div>
        <w:div w:id="927617329">
          <w:marLeft w:val="0"/>
          <w:marRight w:val="0"/>
          <w:marTop w:val="0"/>
          <w:marBottom w:val="0"/>
          <w:divBdr>
            <w:top w:val="none" w:sz="0" w:space="0" w:color="auto"/>
            <w:left w:val="none" w:sz="0" w:space="0" w:color="auto"/>
            <w:bottom w:val="none" w:sz="0" w:space="0" w:color="auto"/>
            <w:right w:val="none" w:sz="0" w:space="0" w:color="auto"/>
          </w:divBdr>
          <w:divsChild>
            <w:div w:id="25883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18481">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cce-eicp-ma-04._manual_requisitos_habilitantes_v3_29-09-2023.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bogadohenryquiroga18@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86541C01-D7FC-407F-A680-0A06EBB5FBDA}">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F89DF5AF-1933-4DEE-AE16-CF143DA4F4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18</Pages>
  <Words>6085</Words>
  <Characters>33472</Characters>
  <Application>Microsoft Office Word</Application>
  <DocSecurity>0</DocSecurity>
  <Lines>278</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2026-03-12T14:27:00Z</dcterms:created>
  <dcterms:modified xsi:type="dcterms:W3CDTF">2026-03-12T19:43:00Z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