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6D122" w14:textId="77777777" w:rsidR="00B22D70" w:rsidRPr="000E52E5" w:rsidRDefault="00B22D70" w:rsidP="00B22D70">
      <w:pPr>
        <w:pStyle w:val="Textoindependiente"/>
        <w:spacing w:after="0" w:line="240" w:lineRule="auto"/>
        <w:ind w:right="102"/>
        <w:jc w:val="both"/>
        <w:rPr>
          <w:rFonts w:ascii="Verdana" w:hAnsi="Verdana" w:cs="Arial"/>
          <w:b/>
          <w:color w:val="000000" w:themeColor="text1"/>
          <w:sz w:val="20"/>
          <w:szCs w:val="20"/>
          <w:lang w:val="es-ES_tradnl"/>
        </w:rPr>
      </w:pPr>
    </w:p>
    <w:p w14:paraId="55E1D287" w14:textId="77777777" w:rsidR="00B22D70" w:rsidRPr="00396DBB" w:rsidRDefault="00B22D70" w:rsidP="00B22D70">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SELECCIÓN ABREVIADA</w:t>
      </w:r>
      <w:r w:rsidRPr="00396DBB">
        <w:rPr>
          <w:rFonts w:ascii="Verdana" w:hAnsi="Verdana" w:cs="Arial"/>
          <w:b/>
          <w:color w:val="000000" w:themeColor="text1"/>
          <w:lang w:val="es-ES_tradnl"/>
        </w:rPr>
        <w:t xml:space="preserve"> – </w:t>
      </w:r>
      <w:r>
        <w:rPr>
          <w:rFonts w:ascii="Verdana" w:hAnsi="Verdana" w:cs="Arial"/>
          <w:b/>
          <w:color w:val="000000" w:themeColor="text1"/>
          <w:lang w:val="es-ES_tradnl"/>
        </w:rPr>
        <w:t>Marco normativo</w:t>
      </w:r>
      <w:r w:rsidRPr="00396DBB">
        <w:rPr>
          <w:rFonts w:ascii="Verdana" w:hAnsi="Verdana" w:cs="Arial"/>
          <w:b/>
          <w:color w:val="000000" w:themeColor="text1"/>
          <w:lang w:val="es-ES_tradnl"/>
        </w:rPr>
        <w:t xml:space="preserve"> </w:t>
      </w:r>
    </w:p>
    <w:p w14:paraId="53566254" w14:textId="77777777" w:rsidR="00B22D70" w:rsidRPr="00396DBB" w:rsidRDefault="00B22D70" w:rsidP="00B22D70">
      <w:pPr>
        <w:pStyle w:val="Textoindependiente"/>
        <w:spacing w:after="0" w:line="240" w:lineRule="auto"/>
        <w:ind w:right="102"/>
        <w:jc w:val="both"/>
        <w:rPr>
          <w:rFonts w:ascii="Verdana" w:hAnsi="Verdana" w:cs="Arial"/>
          <w:color w:val="000000" w:themeColor="text1"/>
          <w:sz w:val="20"/>
          <w:szCs w:val="20"/>
          <w:lang w:val="es-ES_tradnl"/>
        </w:rPr>
      </w:pPr>
    </w:p>
    <w:p w14:paraId="34070FD3" w14:textId="77777777" w:rsidR="00B22D70" w:rsidRDefault="00B22D70" w:rsidP="00B22D70">
      <w:pPr>
        <w:spacing w:after="0" w:line="240" w:lineRule="auto"/>
        <w:jc w:val="both"/>
        <w:rPr>
          <w:rFonts w:ascii="Verdana" w:eastAsia="Arial" w:hAnsi="Verdana" w:cs="Arial"/>
          <w:color w:val="000000" w:themeColor="text1"/>
          <w:sz w:val="20"/>
          <w:szCs w:val="20"/>
        </w:rPr>
      </w:pPr>
      <w:r w:rsidRPr="00C371AB">
        <w:rPr>
          <w:rFonts w:ascii="Verdana" w:eastAsia="Arial" w:hAnsi="Verdana" w:cs="Arial"/>
          <w:bCs/>
          <w:color w:val="000000" w:themeColor="text1"/>
          <w:sz w:val="20"/>
          <w:szCs w:val="20"/>
          <w:lang w:val="es-MX"/>
        </w:rPr>
        <w:t xml:space="preserve">Respecto a la selección abreviada, </w:t>
      </w:r>
      <w:r w:rsidRPr="00C371AB">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0DF6ED4B" w14:textId="77777777" w:rsidR="00B22D70" w:rsidRPr="00C371AB" w:rsidRDefault="00B22D70" w:rsidP="00B22D70">
      <w:pPr>
        <w:spacing w:after="0" w:line="240" w:lineRule="auto"/>
        <w:jc w:val="both"/>
        <w:rPr>
          <w:rFonts w:ascii="Verdana" w:eastAsia="Arial" w:hAnsi="Verdana" w:cs="Arial"/>
          <w:color w:val="000000" w:themeColor="text1"/>
          <w:sz w:val="20"/>
          <w:szCs w:val="20"/>
        </w:rPr>
      </w:pPr>
    </w:p>
    <w:p w14:paraId="54FA0F57" w14:textId="77777777" w:rsidR="00B22D70" w:rsidRDefault="00B22D70" w:rsidP="00B22D70">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r>
        <w:rPr>
          <w:rFonts w:ascii="Verdana" w:eastAsia="Arial" w:hAnsi="Verdana" w:cs="Arial"/>
          <w:color w:val="000000" w:themeColor="text1"/>
          <w:sz w:val="20"/>
          <w:szCs w:val="20"/>
        </w:rPr>
        <w:t>.</w:t>
      </w:r>
    </w:p>
    <w:p w14:paraId="182B662F" w14:textId="77777777" w:rsidR="00B22D70" w:rsidRDefault="00B22D70" w:rsidP="00B22D70">
      <w:pPr>
        <w:spacing w:after="0" w:line="240" w:lineRule="auto"/>
        <w:jc w:val="both"/>
        <w:rPr>
          <w:rFonts w:ascii="Verdana" w:eastAsia="Arial" w:hAnsi="Verdana" w:cs="Arial"/>
          <w:color w:val="000000" w:themeColor="text1"/>
          <w:sz w:val="20"/>
          <w:szCs w:val="20"/>
        </w:rPr>
      </w:pPr>
    </w:p>
    <w:p w14:paraId="53FBC9ED" w14:textId="77777777" w:rsidR="00B22D70" w:rsidRPr="00FB1576" w:rsidRDefault="00B22D70" w:rsidP="00B22D70">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7D7E736B" w14:textId="77777777" w:rsidR="00B22D70" w:rsidRPr="00396DBB" w:rsidRDefault="00B22D70" w:rsidP="00B22D70">
      <w:pPr>
        <w:spacing w:after="0" w:line="240" w:lineRule="auto"/>
        <w:jc w:val="both"/>
        <w:rPr>
          <w:rFonts w:ascii="Verdana" w:eastAsia="Calibri" w:hAnsi="Verdana" w:cs="Arial"/>
          <w:b/>
          <w:color w:val="000000" w:themeColor="text1"/>
          <w:lang w:val="es-ES_tradnl"/>
        </w:rPr>
      </w:pPr>
    </w:p>
    <w:p w14:paraId="771EC668" w14:textId="77777777" w:rsidR="00B22D70" w:rsidRPr="00396DBB" w:rsidRDefault="00B22D70" w:rsidP="00B22D70">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Definición </w:t>
      </w:r>
      <w:r w:rsidRPr="00396DBB">
        <w:rPr>
          <w:rFonts w:ascii="Verdana" w:eastAsia="Calibri" w:hAnsi="Verdana" w:cs="Arial"/>
          <w:b/>
          <w:color w:val="000000" w:themeColor="text1"/>
          <w:lang w:val="es-ES_tradnl"/>
        </w:rPr>
        <w:t xml:space="preserve"> </w:t>
      </w:r>
    </w:p>
    <w:p w14:paraId="72AE6B41" w14:textId="77777777" w:rsidR="00B22D70" w:rsidRPr="00396DBB" w:rsidRDefault="00B22D70" w:rsidP="00B22D70">
      <w:pPr>
        <w:spacing w:after="0" w:line="240" w:lineRule="auto"/>
        <w:jc w:val="both"/>
        <w:rPr>
          <w:rFonts w:ascii="Verdana" w:eastAsia="Calibri" w:hAnsi="Verdana" w:cs="Arial"/>
          <w:bCs/>
          <w:color w:val="000000" w:themeColor="text1"/>
          <w:sz w:val="20"/>
          <w:szCs w:val="20"/>
          <w:lang w:val="es-ES_tradnl"/>
        </w:rPr>
      </w:pPr>
    </w:p>
    <w:p w14:paraId="285596F9" w14:textId="77777777" w:rsidR="00B22D70" w:rsidRDefault="00B22D70" w:rsidP="00B22D70">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S</w:t>
      </w:r>
      <w:r w:rsidRPr="00C371AB">
        <w:rPr>
          <w:rFonts w:ascii="Verdana" w:hAnsi="Verdana" w:cs="Arial"/>
          <w:color w:val="000000" w:themeColor="text1"/>
          <w:sz w:val="20"/>
          <w:szCs w:val="20"/>
        </w:rPr>
        <w:t>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r w:rsidRPr="00782519">
        <w:rPr>
          <w:rFonts w:ascii="Verdana" w:hAnsi="Verdana" w:cs="Arial"/>
          <w:color w:val="000000" w:themeColor="text1"/>
          <w:sz w:val="20"/>
          <w:szCs w:val="20"/>
        </w:rPr>
        <w:t>.</w:t>
      </w:r>
    </w:p>
    <w:p w14:paraId="768D99C2" w14:textId="77777777" w:rsidR="00B22D70" w:rsidRPr="00396DBB" w:rsidRDefault="00B22D70" w:rsidP="00B22D70">
      <w:pPr>
        <w:spacing w:after="0" w:line="240" w:lineRule="auto"/>
        <w:jc w:val="both"/>
        <w:rPr>
          <w:rFonts w:ascii="Verdana" w:hAnsi="Verdana" w:cs="Arial"/>
          <w:color w:val="000000" w:themeColor="text1"/>
          <w:sz w:val="21"/>
          <w:szCs w:val="21"/>
          <w:lang w:val="es-ES_tradnl"/>
        </w:rPr>
      </w:pPr>
    </w:p>
    <w:p w14:paraId="3150965F" w14:textId="77777777" w:rsidR="00B22D70" w:rsidRPr="00396DBB" w:rsidRDefault="00B22D70" w:rsidP="00B22D70">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Características – Formas de adquisición </w:t>
      </w:r>
    </w:p>
    <w:p w14:paraId="7BA58DC1" w14:textId="77777777" w:rsidR="00B22D70" w:rsidRPr="00782519" w:rsidRDefault="00B22D70" w:rsidP="00B22D70">
      <w:pPr>
        <w:tabs>
          <w:tab w:val="left" w:pos="426"/>
        </w:tabs>
        <w:spacing w:after="0" w:line="240" w:lineRule="auto"/>
        <w:contextualSpacing/>
        <w:jc w:val="both"/>
        <w:rPr>
          <w:rFonts w:ascii="Verdana" w:eastAsia="Calibri" w:hAnsi="Verdana" w:cs="Arial"/>
          <w:b/>
          <w:bCs/>
          <w:sz w:val="20"/>
          <w:szCs w:val="20"/>
          <w:lang w:val="es-MX"/>
        </w:rPr>
      </w:pPr>
    </w:p>
    <w:p w14:paraId="193C1DC0" w14:textId="77777777" w:rsidR="00B22D70" w:rsidRDefault="00B22D70" w:rsidP="00B22D70">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 xml:space="preserve">Para identificar los bienes y servicios que corresponden a este tipo, se destacan dos (2) aspectos importantes: la común utilización y la homogeneidad. Para la doctrina, la </w:t>
      </w:r>
      <w:r w:rsidRPr="00C371AB">
        <w:rPr>
          <w:rFonts w:ascii="Verdana" w:eastAsia="Calibri" w:hAnsi="Verdana" w:cs="Arial"/>
          <w:i/>
          <w:iCs/>
          <w:noProof/>
          <w:sz w:val="20"/>
          <w:szCs w:val="20"/>
          <w:lang w:val="es-ES_tradnl"/>
        </w:rPr>
        <w:t>común utilización</w:t>
      </w:r>
      <w:r w:rsidRPr="00C371AB">
        <w:rPr>
          <w:rFonts w:ascii="Verdana" w:eastAsia="Calibri" w:hAnsi="Verdana" w:cs="Arial"/>
          <w:noProof/>
          <w:sz w:val="20"/>
          <w:szCs w:val="20"/>
          <w:lang w:val="es-ES_tradnl"/>
        </w:rPr>
        <w:t xml:space="preserve"> “[…] busca que los bienes o servicios que se compren en esta categoría </w:t>
      </w:r>
      <w:r w:rsidRPr="00C371AB">
        <w:rPr>
          <w:rFonts w:ascii="Verdana" w:eastAsia="Calibri" w:hAnsi="Verdana" w:cs="Arial"/>
          <w:noProof/>
          <w:sz w:val="20"/>
          <w:szCs w:val="20"/>
          <w:lang w:val="es-ES_tradnl"/>
        </w:rPr>
        <w:lastRenderedPageBreak/>
        <w:t xml:space="preserve">sean de los que se ofrecen en un mercado con un estándar para quienes los demandan, o lo que es igual, que la oferta de los mismos en el mercado ocurriese en condiciones equivalentes para todo interesado en adquirirlos”. Por su parte, la </w:t>
      </w:r>
      <w:r w:rsidRPr="00C371AB">
        <w:rPr>
          <w:rFonts w:ascii="Verdana" w:eastAsia="Calibri" w:hAnsi="Verdana" w:cs="Arial"/>
          <w:i/>
          <w:iCs/>
          <w:noProof/>
          <w:sz w:val="20"/>
          <w:szCs w:val="20"/>
          <w:lang w:val="es-ES_tradnl"/>
        </w:rPr>
        <w:t>homogeneidad</w:t>
      </w:r>
      <w:r w:rsidRPr="00C371AB">
        <w:rPr>
          <w:rFonts w:ascii="Verdana" w:eastAsia="Calibri" w:hAnsi="Verdana" w:cs="Arial"/>
          <w:noProof/>
          <w:sz w:val="20"/>
          <w:szCs w:val="20"/>
          <w:lang w:val="es-ES_tradnl"/>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324E1329" w14:textId="77777777" w:rsidR="00B22D70" w:rsidRPr="00C371AB" w:rsidRDefault="00B22D70" w:rsidP="00B22D70">
      <w:pPr>
        <w:tabs>
          <w:tab w:val="left" w:pos="426"/>
        </w:tabs>
        <w:spacing w:after="0" w:line="240" w:lineRule="auto"/>
        <w:contextualSpacing/>
        <w:jc w:val="both"/>
        <w:rPr>
          <w:rFonts w:ascii="Verdana" w:eastAsia="Calibri" w:hAnsi="Verdana" w:cs="Arial"/>
          <w:noProof/>
          <w:sz w:val="20"/>
          <w:szCs w:val="20"/>
          <w:lang w:val="es-ES_tradnl"/>
        </w:rPr>
      </w:pPr>
    </w:p>
    <w:p w14:paraId="7841DF83" w14:textId="77777777" w:rsidR="00B22D70" w:rsidRDefault="00B22D70" w:rsidP="00B22D70">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r w:rsidRPr="00782519">
        <w:rPr>
          <w:rFonts w:ascii="Verdana" w:eastAsia="Calibri" w:hAnsi="Verdana" w:cs="Arial"/>
          <w:noProof/>
          <w:sz w:val="20"/>
          <w:szCs w:val="20"/>
          <w:lang w:val="es-ES_tradnl"/>
        </w:rPr>
        <w:t xml:space="preserve">. </w:t>
      </w:r>
    </w:p>
    <w:p w14:paraId="122899B5" w14:textId="77777777" w:rsidR="00B22D70" w:rsidRPr="00013CD1" w:rsidRDefault="00B22D70" w:rsidP="00B22D70">
      <w:pPr>
        <w:spacing w:after="0" w:line="240" w:lineRule="auto"/>
        <w:jc w:val="both"/>
        <w:rPr>
          <w:rFonts w:ascii="Verdana" w:eastAsia="Calibri" w:hAnsi="Verdana" w:cs="Arial"/>
          <w:b/>
          <w:color w:val="000000"/>
          <w:lang w:val="es-ES_tradnl"/>
        </w:rPr>
      </w:pPr>
    </w:p>
    <w:p w14:paraId="3A9D64A2" w14:textId="77777777" w:rsidR="00B22D70" w:rsidRPr="00013CD1" w:rsidRDefault="00B22D70" w:rsidP="00B22D70">
      <w:pPr>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CONTRATACIÓN DIRECTA – Pluralidad de oferentes – Inexistencia – Dos eventos</w:t>
      </w:r>
    </w:p>
    <w:p w14:paraId="432A7750" w14:textId="77777777" w:rsidR="00B22D70" w:rsidRPr="00013CD1" w:rsidRDefault="00B22D70" w:rsidP="00B22D70">
      <w:pPr>
        <w:tabs>
          <w:tab w:val="left" w:pos="1816"/>
        </w:tabs>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 xml:space="preserve"> </w:t>
      </w:r>
      <w:r w:rsidRPr="00013CD1">
        <w:rPr>
          <w:rFonts w:ascii="Verdana" w:eastAsia="Calibri" w:hAnsi="Verdana" w:cs="Arial"/>
          <w:b/>
          <w:color w:val="000000"/>
          <w:lang w:val="es-ES_tradnl"/>
        </w:rPr>
        <w:tab/>
      </w:r>
      <w:r w:rsidRPr="00013CD1">
        <w:rPr>
          <w:rFonts w:ascii="Verdana" w:eastAsia="Calibri" w:hAnsi="Verdana" w:cs="Arial"/>
          <w:color w:val="000000"/>
          <w:sz w:val="20"/>
          <w:szCs w:val="20"/>
          <w:lang w:val="es-ES_tradnl"/>
        </w:rPr>
        <w:t xml:space="preserve"> </w:t>
      </w:r>
    </w:p>
    <w:p w14:paraId="4F301772"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ES_tradnl"/>
        </w:rPr>
      </w:pPr>
      <w:r w:rsidRPr="00013CD1">
        <w:rPr>
          <w:rFonts w:ascii="Verdana" w:eastAsia="Calibri" w:hAnsi="Verdana" w:cs="Arial"/>
          <w:color w:val="000000" w:themeColor="text1"/>
          <w:sz w:val="20"/>
          <w:szCs w:val="20"/>
          <w:lang w:val="es-ES_tradnl"/>
        </w:rPr>
        <w:t>En la actualidad, la disposición normativa vigente para interpretar el alcance de la causal de contratación directa establecida en el artículo 2, numeral 4, literal g), de la Ley 1150 de 2007, está compilada en el artículo 2.2.1.2.1.4.8 del Decreto 1082 de 2015, el cual dispone lo siguiente: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03005306"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ES_tradnl"/>
        </w:rPr>
      </w:pPr>
      <w:r w:rsidRPr="00013CD1">
        <w:rPr>
          <w:rFonts w:ascii="Verdana" w:eastAsia="Calibri" w:hAnsi="Verdana" w:cs="Arial"/>
          <w:color w:val="000000" w:themeColor="text1"/>
          <w:sz w:val="20"/>
          <w:szCs w:val="20"/>
          <w:lang w:val="es-ES_tradnl"/>
        </w:rPr>
        <w:t xml:space="preserve"> </w:t>
      </w:r>
    </w:p>
    <w:p w14:paraId="3E7DC228" w14:textId="77777777" w:rsidR="00B22D70" w:rsidRPr="00013CD1" w:rsidRDefault="00B22D70" w:rsidP="00B22D70">
      <w:pPr>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ÚNICO PROVEEDOR – Titular – Propiedad industrial – Derechos de autor</w:t>
      </w:r>
    </w:p>
    <w:p w14:paraId="798E3C1E" w14:textId="77777777" w:rsidR="00B22D70" w:rsidRPr="00013CD1" w:rsidRDefault="00B22D70" w:rsidP="00B22D70">
      <w:pPr>
        <w:tabs>
          <w:tab w:val="left" w:pos="1816"/>
        </w:tabs>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 xml:space="preserve"> </w:t>
      </w:r>
      <w:r w:rsidRPr="00013CD1">
        <w:rPr>
          <w:rFonts w:ascii="Verdana" w:eastAsia="Calibri" w:hAnsi="Verdana" w:cs="Arial"/>
          <w:b/>
          <w:color w:val="000000"/>
          <w:lang w:val="es-ES_tradnl"/>
        </w:rPr>
        <w:tab/>
      </w:r>
      <w:r w:rsidRPr="00013CD1">
        <w:rPr>
          <w:rFonts w:ascii="Verdana" w:eastAsia="Calibri" w:hAnsi="Verdana" w:cs="Arial"/>
          <w:color w:val="000000"/>
          <w:sz w:val="20"/>
          <w:szCs w:val="20"/>
          <w:lang w:val="es-ES_tradnl"/>
        </w:rPr>
        <w:t xml:space="preserve"> </w:t>
      </w:r>
    </w:p>
    <w:p w14:paraId="60A53598"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ES_tradnl"/>
        </w:rPr>
      </w:pPr>
      <w:r w:rsidRPr="00013CD1">
        <w:rPr>
          <w:rFonts w:ascii="Verdana" w:eastAsia="Calibri" w:hAnsi="Verdana" w:cs="Arial"/>
          <w:color w:val="000000" w:themeColor="text1"/>
          <w:sz w:val="20"/>
          <w:szCs w:val="20"/>
          <w:lang w:val="es-ES_tradnl"/>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w:t>
      </w:r>
    </w:p>
    <w:p w14:paraId="3D05FB3C"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ES_tradnl"/>
        </w:rPr>
      </w:pPr>
    </w:p>
    <w:p w14:paraId="2983FFAB" w14:textId="77777777" w:rsidR="00B22D70" w:rsidRPr="00013CD1" w:rsidRDefault="00B22D70" w:rsidP="00B22D70">
      <w:pPr>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ÚNICO PROVEEDOR – Proveedor exclusivo – Territorio nacional</w:t>
      </w:r>
    </w:p>
    <w:p w14:paraId="47F418EA" w14:textId="77777777" w:rsidR="00B22D70" w:rsidRPr="00013CD1" w:rsidRDefault="00B22D70" w:rsidP="00B22D70">
      <w:pPr>
        <w:tabs>
          <w:tab w:val="left" w:pos="1816"/>
        </w:tabs>
        <w:spacing w:after="0" w:line="240" w:lineRule="auto"/>
        <w:jc w:val="both"/>
        <w:rPr>
          <w:rFonts w:ascii="Verdana" w:eastAsia="Calibri" w:hAnsi="Verdana" w:cs="Arial"/>
          <w:b/>
          <w:color w:val="000000"/>
          <w:lang w:val="es-ES_tradnl"/>
        </w:rPr>
      </w:pPr>
      <w:r w:rsidRPr="00013CD1">
        <w:rPr>
          <w:rFonts w:ascii="Verdana" w:eastAsia="Calibri" w:hAnsi="Verdana" w:cs="Arial"/>
          <w:b/>
          <w:color w:val="000000"/>
          <w:lang w:val="es-ES_tradnl"/>
        </w:rPr>
        <w:t xml:space="preserve"> </w:t>
      </w:r>
      <w:r w:rsidRPr="00013CD1">
        <w:rPr>
          <w:rFonts w:ascii="Verdana" w:eastAsia="Calibri" w:hAnsi="Verdana" w:cs="Arial"/>
          <w:b/>
          <w:color w:val="000000"/>
          <w:lang w:val="es-ES_tradnl"/>
        </w:rPr>
        <w:tab/>
      </w:r>
      <w:r w:rsidRPr="00013CD1">
        <w:rPr>
          <w:rFonts w:ascii="Verdana" w:eastAsia="Calibri" w:hAnsi="Verdana" w:cs="Arial"/>
          <w:color w:val="000000"/>
          <w:sz w:val="20"/>
          <w:szCs w:val="20"/>
          <w:lang w:val="es-ES_tradnl"/>
        </w:rPr>
        <w:t xml:space="preserve"> </w:t>
      </w:r>
    </w:p>
    <w:p w14:paraId="7A6CA205"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ES_tradnl"/>
        </w:rPr>
      </w:pPr>
      <w:r w:rsidRPr="00013CD1">
        <w:rPr>
          <w:rFonts w:ascii="Verdana" w:eastAsia="Calibri" w:hAnsi="Verdana" w:cs="Arial"/>
          <w:color w:val="000000" w:themeColor="text1"/>
          <w:sz w:val="20"/>
          <w:szCs w:val="20"/>
          <w:lang w:val="es-ES_tradnl"/>
        </w:rPr>
        <w:t xml:space="preserve">[…] el artículo 2.2.1.2.1.4.8 del Decreto 1082 de 2015 dispone que tampoco existe pluralidad de oferentes cuando existe una sola persona que puede celebrar el contrato </w:t>
      </w:r>
      <w:r w:rsidRPr="00013CD1">
        <w:rPr>
          <w:rFonts w:ascii="Verdana" w:eastAsia="Calibri" w:hAnsi="Verdana" w:cs="Arial"/>
          <w:color w:val="000000" w:themeColor="text1"/>
          <w:sz w:val="20"/>
          <w:szCs w:val="20"/>
          <w:lang w:val="es-ES_tradnl"/>
        </w:rPr>
        <w:lastRenderedPageBreak/>
        <w:t>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p>
    <w:p w14:paraId="349091ED" w14:textId="77777777" w:rsidR="00B22D70" w:rsidRPr="00013CD1" w:rsidRDefault="00B22D70" w:rsidP="00B22D70">
      <w:pPr>
        <w:spacing w:after="0" w:line="240" w:lineRule="auto"/>
        <w:jc w:val="both"/>
        <w:rPr>
          <w:rFonts w:ascii="Verdana" w:eastAsia="Calibri" w:hAnsi="Verdana" w:cs="Arial"/>
          <w:b/>
          <w:lang w:val="es-ES_tradnl"/>
        </w:rPr>
      </w:pPr>
    </w:p>
    <w:p w14:paraId="293B1188" w14:textId="77777777" w:rsidR="00B22D70" w:rsidRPr="00013CD1" w:rsidRDefault="00B22D70" w:rsidP="00B22D70">
      <w:pPr>
        <w:spacing w:after="0" w:line="240" w:lineRule="auto"/>
        <w:jc w:val="both"/>
        <w:rPr>
          <w:rFonts w:ascii="Verdana" w:eastAsia="Calibri" w:hAnsi="Verdana" w:cs="Arial"/>
          <w:b/>
          <w:bCs/>
          <w:color w:val="000000" w:themeColor="text1"/>
          <w:lang w:val="es-MX"/>
        </w:rPr>
      </w:pPr>
      <w:r w:rsidRPr="00013CD1">
        <w:rPr>
          <w:rFonts w:ascii="Verdana" w:eastAsia="Calibri" w:hAnsi="Verdana" w:cs="Arial"/>
          <w:b/>
          <w:bCs/>
          <w:color w:val="000000" w:themeColor="text1"/>
          <w:lang w:val="es-MX"/>
        </w:rPr>
        <w:t>CONTRATACIÓN DIRECTA – Pluralidad de oferentes – Ausencia – Interpretación estricta</w:t>
      </w:r>
    </w:p>
    <w:p w14:paraId="5A1C5F7A" w14:textId="77777777" w:rsidR="00B22D70" w:rsidRPr="00013CD1" w:rsidRDefault="00B22D70" w:rsidP="00B22D70">
      <w:pPr>
        <w:spacing w:after="0" w:line="240" w:lineRule="auto"/>
        <w:jc w:val="both"/>
        <w:rPr>
          <w:rFonts w:ascii="Verdana" w:eastAsia="Calibri" w:hAnsi="Verdana" w:cs="Arial"/>
          <w:color w:val="000000" w:themeColor="text1"/>
          <w:sz w:val="20"/>
          <w:szCs w:val="20"/>
          <w:lang w:val="es-MX"/>
        </w:rPr>
      </w:pPr>
    </w:p>
    <w:p w14:paraId="0D87B9B1" w14:textId="77777777" w:rsidR="00B22D70" w:rsidRPr="00A169EA" w:rsidRDefault="00B22D70" w:rsidP="00B22D70">
      <w:pPr>
        <w:spacing w:after="0" w:line="240" w:lineRule="auto"/>
        <w:jc w:val="both"/>
        <w:rPr>
          <w:rFonts w:ascii="Century Gothic" w:eastAsia="Geomanist Light" w:hAnsi="Century Gothic" w:cs="Arial"/>
          <w:color w:val="000000" w:themeColor="text1"/>
          <w:lang w:val="es-MX"/>
        </w:rPr>
      </w:pPr>
      <w:r w:rsidRPr="00013CD1">
        <w:rPr>
          <w:rFonts w:ascii="Verdana" w:eastAsia="Calibri" w:hAnsi="Verdana" w:cs="Arial"/>
          <w:bCs/>
          <w:color w:val="000000" w:themeColor="text1"/>
          <w:sz w:val="20"/>
          <w:szCs w:val="20"/>
          <w:lang w:val="es-ES"/>
        </w:rPr>
        <w:t>Fuera de estas dos (2) situaciones, no es posible aplicar el artículo 2, numeral 4, literal g), de la Ley 1150 de 2007. Como se explicó en el acápite anterior,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de las normas</w:t>
      </w:r>
      <w:r w:rsidRPr="00013CD1">
        <w:rPr>
          <w:rFonts w:ascii="Verdana" w:eastAsia="Calibri" w:hAnsi="Verdana" w:cs="Arial"/>
          <w:bCs/>
          <w:color w:val="000000" w:themeColor="text1"/>
          <w:sz w:val="20"/>
          <w:szCs w:val="20"/>
          <w:lang w:val="es-MX"/>
        </w:rPr>
        <w:t>.</w:t>
      </w:r>
    </w:p>
    <w:p w14:paraId="2AEB8422" w14:textId="77777777" w:rsidR="00B22D70" w:rsidRPr="00782519" w:rsidRDefault="00B22D70" w:rsidP="00B22D70">
      <w:pPr>
        <w:tabs>
          <w:tab w:val="left" w:pos="426"/>
        </w:tabs>
        <w:spacing w:after="0" w:line="240" w:lineRule="auto"/>
        <w:contextualSpacing/>
        <w:jc w:val="both"/>
        <w:rPr>
          <w:rFonts w:ascii="Verdana" w:eastAsia="Calibri" w:hAnsi="Verdana" w:cs="Arial"/>
          <w:noProof/>
          <w:sz w:val="20"/>
          <w:szCs w:val="20"/>
          <w:lang w:val="es-ES_tradnl"/>
        </w:rPr>
      </w:pP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2838D51C" w14:textId="77777777" w:rsidR="00B22D70" w:rsidRPr="005145C2" w:rsidRDefault="00B22D70" w:rsidP="00B22D70">
      <w:pPr>
        <w:spacing w:after="0" w:line="240" w:lineRule="auto"/>
        <w:rPr>
          <w:rFonts w:ascii="Verdana" w:eastAsia="Geomanist Light" w:hAnsi="Verdana" w:cs="Arial"/>
          <w:color w:val="000000" w:themeColor="text1"/>
          <w:lang w:val="es-ES_tradnl"/>
        </w:rPr>
      </w:pPr>
    </w:p>
    <w:p w14:paraId="275454F6" w14:textId="77777777" w:rsidR="00B22D70" w:rsidRDefault="00B22D70" w:rsidP="00B22D70">
      <w:pPr>
        <w:spacing w:after="0" w:line="240" w:lineRule="auto"/>
        <w:rPr>
          <w:rFonts w:ascii="Verdana" w:eastAsia="Geomanist Light" w:hAnsi="Verdana" w:cs="Arial"/>
          <w:color w:val="000000" w:themeColor="text1"/>
          <w:lang w:val="es-MX"/>
        </w:rPr>
      </w:pPr>
    </w:p>
    <w:p w14:paraId="694C2746" w14:textId="77777777" w:rsidR="00B22D70" w:rsidRDefault="00B22D70" w:rsidP="00B22D70">
      <w:pPr>
        <w:spacing w:after="0" w:line="240" w:lineRule="auto"/>
        <w:rPr>
          <w:rFonts w:ascii="Verdana" w:eastAsia="Geomanist Light" w:hAnsi="Verdana" w:cs="Arial"/>
          <w:color w:val="000000" w:themeColor="text1"/>
          <w:lang w:val="es-MX"/>
        </w:rPr>
      </w:pPr>
    </w:p>
    <w:p w14:paraId="298B9454" w14:textId="77777777" w:rsidR="00B22D70" w:rsidRDefault="00B22D70" w:rsidP="00B22D70">
      <w:pPr>
        <w:spacing w:after="0" w:line="240" w:lineRule="auto"/>
        <w:rPr>
          <w:rFonts w:ascii="Verdana" w:eastAsia="Geomanist Light" w:hAnsi="Verdana" w:cs="Arial"/>
          <w:color w:val="000000" w:themeColor="text1"/>
          <w:lang w:val="es-MX"/>
        </w:rPr>
      </w:pPr>
    </w:p>
    <w:p w14:paraId="6AC62392" w14:textId="77777777" w:rsidR="00B22D70" w:rsidRDefault="00B22D70" w:rsidP="00B22D70">
      <w:pPr>
        <w:spacing w:after="0" w:line="240" w:lineRule="auto"/>
        <w:rPr>
          <w:rFonts w:ascii="Verdana" w:eastAsia="Geomanist Light" w:hAnsi="Verdana" w:cs="Arial"/>
          <w:color w:val="000000" w:themeColor="text1"/>
          <w:lang w:val="es-MX"/>
        </w:rPr>
      </w:pPr>
    </w:p>
    <w:p w14:paraId="4E4F75B3" w14:textId="77777777" w:rsidR="00B22D70" w:rsidRDefault="00B22D70" w:rsidP="00B22D70">
      <w:pPr>
        <w:spacing w:after="0" w:line="240" w:lineRule="auto"/>
        <w:rPr>
          <w:rFonts w:ascii="Verdana" w:eastAsia="Geomanist Light" w:hAnsi="Verdana" w:cs="Arial"/>
          <w:color w:val="000000" w:themeColor="text1"/>
          <w:lang w:val="es-MX"/>
        </w:rPr>
      </w:pPr>
    </w:p>
    <w:p w14:paraId="59632FD0" w14:textId="77777777" w:rsidR="00B22D70" w:rsidRDefault="00B22D70" w:rsidP="00B22D70">
      <w:pPr>
        <w:spacing w:after="0" w:line="240" w:lineRule="auto"/>
        <w:rPr>
          <w:rFonts w:ascii="Verdana" w:eastAsia="Geomanist Light" w:hAnsi="Verdana" w:cs="Arial"/>
          <w:color w:val="000000" w:themeColor="text1"/>
          <w:lang w:val="es-MX"/>
        </w:rPr>
      </w:pPr>
    </w:p>
    <w:p w14:paraId="4D2E2BF5" w14:textId="77777777" w:rsidR="00B22D70" w:rsidRDefault="00B22D70" w:rsidP="00B22D70">
      <w:pPr>
        <w:spacing w:after="0" w:line="240" w:lineRule="auto"/>
        <w:rPr>
          <w:rFonts w:ascii="Verdana" w:eastAsia="Geomanist Light" w:hAnsi="Verdana" w:cs="Arial"/>
          <w:color w:val="000000" w:themeColor="text1"/>
          <w:lang w:val="es-MX"/>
        </w:rPr>
      </w:pPr>
    </w:p>
    <w:p w14:paraId="7F593755" w14:textId="77777777" w:rsidR="00B22D70" w:rsidRDefault="00B22D70" w:rsidP="00B22D70">
      <w:pPr>
        <w:spacing w:after="0" w:line="240" w:lineRule="auto"/>
        <w:rPr>
          <w:rFonts w:ascii="Verdana" w:eastAsia="Geomanist Light" w:hAnsi="Verdana" w:cs="Arial"/>
          <w:color w:val="000000" w:themeColor="text1"/>
          <w:lang w:val="es-MX"/>
        </w:rPr>
      </w:pPr>
    </w:p>
    <w:p w14:paraId="1CACB636" w14:textId="77777777" w:rsidR="00B22D70" w:rsidRDefault="00B22D70" w:rsidP="00B22D70">
      <w:pPr>
        <w:spacing w:after="0" w:line="240" w:lineRule="auto"/>
        <w:rPr>
          <w:rFonts w:ascii="Verdana" w:eastAsia="Geomanist Light" w:hAnsi="Verdana" w:cs="Arial"/>
          <w:color w:val="000000" w:themeColor="text1"/>
          <w:lang w:val="es-MX"/>
        </w:rPr>
      </w:pPr>
    </w:p>
    <w:p w14:paraId="28D6F289" w14:textId="77777777" w:rsidR="00B22D70" w:rsidRDefault="00B22D70" w:rsidP="00B22D70">
      <w:pPr>
        <w:spacing w:after="0" w:line="240" w:lineRule="auto"/>
        <w:rPr>
          <w:rFonts w:ascii="Verdana" w:eastAsia="Geomanist Light" w:hAnsi="Verdana" w:cs="Arial"/>
          <w:color w:val="000000" w:themeColor="text1"/>
          <w:lang w:val="es-MX"/>
        </w:rPr>
      </w:pPr>
    </w:p>
    <w:p w14:paraId="59233F18" w14:textId="77777777" w:rsidR="00B22D70" w:rsidRDefault="00B22D70" w:rsidP="00B22D70">
      <w:pPr>
        <w:spacing w:after="0" w:line="240" w:lineRule="auto"/>
        <w:rPr>
          <w:rFonts w:ascii="Verdana" w:eastAsia="Geomanist Light" w:hAnsi="Verdana" w:cs="Arial"/>
          <w:color w:val="000000" w:themeColor="text1"/>
          <w:lang w:val="es-MX"/>
        </w:rPr>
      </w:pPr>
    </w:p>
    <w:p w14:paraId="383866F1" w14:textId="77777777" w:rsidR="00B22D70" w:rsidRDefault="00B22D70" w:rsidP="00B22D70">
      <w:pPr>
        <w:spacing w:after="0" w:line="240" w:lineRule="auto"/>
        <w:rPr>
          <w:rFonts w:ascii="Verdana" w:eastAsia="Geomanist Light" w:hAnsi="Verdana" w:cs="Arial"/>
          <w:color w:val="000000" w:themeColor="text1"/>
          <w:lang w:val="es-MX"/>
        </w:rPr>
      </w:pPr>
    </w:p>
    <w:p w14:paraId="66D2029E" w14:textId="77777777" w:rsidR="00B22D70" w:rsidRDefault="00B22D70" w:rsidP="00B22D70">
      <w:pPr>
        <w:spacing w:after="0" w:line="240" w:lineRule="auto"/>
        <w:rPr>
          <w:rFonts w:ascii="Verdana" w:eastAsia="Geomanist Light" w:hAnsi="Verdana" w:cs="Arial"/>
          <w:color w:val="000000" w:themeColor="text1"/>
          <w:lang w:val="es-MX"/>
        </w:rPr>
      </w:pPr>
    </w:p>
    <w:p w14:paraId="21BB43CA" w14:textId="77777777" w:rsidR="00B22D70" w:rsidRDefault="00B22D70" w:rsidP="00B22D70">
      <w:pPr>
        <w:spacing w:after="0" w:line="240" w:lineRule="auto"/>
        <w:rPr>
          <w:rFonts w:ascii="Verdana" w:eastAsia="Geomanist Light" w:hAnsi="Verdana" w:cs="Arial"/>
          <w:color w:val="000000" w:themeColor="text1"/>
          <w:lang w:val="es-MX"/>
        </w:rPr>
      </w:pPr>
    </w:p>
    <w:p w14:paraId="28244E70" w14:textId="77777777" w:rsidR="00B22D70" w:rsidRDefault="00B22D70" w:rsidP="00B22D70">
      <w:pPr>
        <w:spacing w:after="0" w:line="240" w:lineRule="auto"/>
        <w:rPr>
          <w:rFonts w:ascii="Verdana" w:eastAsia="Geomanist Light" w:hAnsi="Verdana" w:cs="Arial"/>
          <w:color w:val="000000" w:themeColor="text1"/>
          <w:lang w:val="es-MX"/>
        </w:rPr>
      </w:pPr>
    </w:p>
    <w:p w14:paraId="13E1DF0E" w14:textId="77777777" w:rsidR="00B22D70" w:rsidRDefault="00B22D70" w:rsidP="00B22D70">
      <w:pPr>
        <w:spacing w:after="0" w:line="240" w:lineRule="auto"/>
        <w:rPr>
          <w:rFonts w:ascii="Verdana" w:eastAsia="Geomanist Light" w:hAnsi="Verdana" w:cs="Arial"/>
          <w:color w:val="000000" w:themeColor="text1"/>
          <w:lang w:val="es-MX"/>
        </w:rPr>
      </w:pPr>
    </w:p>
    <w:p w14:paraId="5B36D0AF" w14:textId="77777777" w:rsidR="00B22D70" w:rsidRDefault="00B22D70" w:rsidP="00B22D70">
      <w:pPr>
        <w:spacing w:after="0" w:line="240" w:lineRule="auto"/>
        <w:rPr>
          <w:rFonts w:ascii="Verdana" w:eastAsia="Geomanist Light" w:hAnsi="Verdana" w:cs="Arial"/>
          <w:color w:val="000000" w:themeColor="text1"/>
          <w:lang w:val="es-MX"/>
        </w:rPr>
      </w:pPr>
    </w:p>
    <w:p w14:paraId="60F0B70B" w14:textId="77777777" w:rsidR="00B22D70" w:rsidRDefault="00B22D70" w:rsidP="00B22D70">
      <w:pPr>
        <w:spacing w:after="0" w:line="240" w:lineRule="auto"/>
        <w:rPr>
          <w:rFonts w:ascii="Verdana" w:eastAsia="Geomanist Light" w:hAnsi="Verdana" w:cs="Arial"/>
          <w:color w:val="000000" w:themeColor="text1"/>
          <w:lang w:val="es-MX"/>
        </w:rPr>
      </w:pPr>
    </w:p>
    <w:p w14:paraId="0DAB094D" w14:textId="77777777" w:rsidR="00B22D70" w:rsidRDefault="00B22D70" w:rsidP="00B22D70">
      <w:pPr>
        <w:spacing w:after="0" w:line="240" w:lineRule="auto"/>
        <w:rPr>
          <w:rFonts w:ascii="Verdana" w:eastAsia="Geomanist Light" w:hAnsi="Verdana" w:cs="Arial"/>
          <w:color w:val="000000" w:themeColor="text1"/>
          <w:lang w:val="es-MX"/>
        </w:rPr>
      </w:pPr>
    </w:p>
    <w:p w14:paraId="75907C74" w14:textId="77777777" w:rsidR="00B22D70" w:rsidRDefault="00B22D70" w:rsidP="00B22D70">
      <w:pPr>
        <w:spacing w:after="0" w:line="240" w:lineRule="auto"/>
        <w:rPr>
          <w:rFonts w:ascii="Verdana" w:eastAsia="Geomanist Light" w:hAnsi="Verdana" w:cs="Arial"/>
          <w:color w:val="000000" w:themeColor="text1"/>
          <w:lang w:val="es-MX"/>
        </w:rPr>
      </w:pPr>
    </w:p>
    <w:p w14:paraId="430351CC" w14:textId="77777777" w:rsidR="00B22D70" w:rsidRDefault="00B22D70" w:rsidP="00B22D70">
      <w:pPr>
        <w:spacing w:after="0" w:line="240" w:lineRule="auto"/>
        <w:rPr>
          <w:rFonts w:ascii="Verdana" w:eastAsia="Geomanist Light" w:hAnsi="Verdana" w:cs="Arial"/>
          <w:color w:val="000000" w:themeColor="text1"/>
          <w:lang w:val="es-MX"/>
        </w:rPr>
      </w:pPr>
    </w:p>
    <w:p w14:paraId="7165C8E9" w14:textId="77777777" w:rsidR="00B22D70" w:rsidRDefault="00B22D70" w:rsidP="00B22D70">
      <w:pPr>
        <w:spacing w:after="0" w:line="240" w:lineRule="auto"/>
        <w:rPr>
          <w:rFonts w:ascii="Verdana" w:eastAsia="Geomanist Light" w:hAnsi="Verdana" w:cs="Arial"/>
          <w:color w:val="000000" w:themeColor="text1"/>
          <w:lang w:val="es-MX"/>
        </w:rPr>
      </w:pPr>
    </w:p>
    <w:p w14:paraId="372FCA7A" w14:textId="77777777" w:rsidR="00B22D70" w:rsidRDefault="00B22D70" w:rsidP="00C9654B">
      <w:pPr>
        <w:spacing w:after="0" w:line="240" w:lineRule="auto"/>
        <w:rPr>
          <w:rFonts w:ascii="Verdana" w:eastAsia="Geomanist Light" w:hAnsi="Verdana" w:cs="Arial"/>
          <w:color w:val="000000" w:themeColor="text1"/>
          <w:lang w:val="es-MX"/>
        </w:rPr>
      </w:pPr>
    </w:p>
    <w:p w14:paraId="66C56E2F" w14:textId="77777777" w:rsidR="00B22D70" w:rsidRDefault="00B22D70" w:rsidP="00C9654B">
      <w:pPr>
        <w:spacing w:after="0" w:line="240" w:lineRule="auto"/>
        <w:rPr>
          <w:rFonts w:ascii="Verdana" w:eastAsia="Geomanist Light" w:hAnsi="Verdana" w:cs="Arial"/>
          <w:color w:val="000000" w:themeColor="text1"/>
          <w:lang w:val="es-MX"/>
        </w:rPr>
      </w:pPr>
    </w:p>
    <w:p w14:paraId="4B688EDC" w14:textId="77777777" w:rsidR="00B22D70" w:rsidRDefault="00B22D70" w:rsidP="00C9654B">
      <w:pPr>
        <w:spacing w:after="0" w:line="240" w:lineRule="auto"/>
        <w:rPr>
          <w:rFonts w:ascii="Verdana" w:eastAsia="Geomanist Light" w:hAnsi="Verdana" w:cs="Arial"/>
          <w:color w:val="000000" w:themeColor="text1"/>
          <w:lang w:val="es-MX"/>
        </w:rPr>
      </w:pPr>
    </w:p>
    <w:p w14:paraId="1ED10061" w14:textId="77777777" w:rsidR="00B22D70" w:rsidRDefault="00B22D70" w:rsidP="00C9654B">
      <w:pPr>
        <w:spacing w:after="0" w:line="240" w:lineRule="auto"/>
        <w:rPr>
          <w:rFonts w:ascii="Verdana" w:eastAsia="Geomanist Light" w:hAnsi="Verdana" w:cs="Arial"/>
          <w:color w:val="000000" w:themeColor="text1"/>
          <w:lang w:val="es-MX"/>
        </w:rPr>
      </w:pPr>
    </w:p>
    <w:p w14:paraId="27BA1196" w14:textId="053D6179" w:rsidR="00C9654B" w:rsidRPr="00593A5F" w:rsidRDefault="00C9654B" w:rsidP="00C9654B">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61DCB" w:rsidRPr="0075132B">
        <w:rPr>
          <w:rFonts w:ascii="Verdana" w:eastAsia="Geomanist Light" w:hAnsi="Verdana" w:cs="Arial"/>
          <w:color w:val="000000" w:themeColor="text1"/>
          <w:lang w:val="es-MX"/>
        </w:rPr>
        <w:t xml:space="preserve">04 de </w:t>
      </w:r>
      <w:r w:rsidR="00761DCB">
        <w:rPr>
          <w:rFonts w:ascii="Verdana" w:eastAsia="Geomanist Light" w:hAnsi="Verdana" w:cs="Arial"/>
          <w:color w:val="000000" w:themeColor="text1"/>
          <w:lang w:val="es-MX"/>
        </w:rPr>
        <w:t>Marzo</w:t>
      </w:r>
      <w:r w:rsidR="00761DCB" w:rsidRPr="0075132B">
        <w:rPr>
          <w:rFonts w:ascii="Verdana" w:eastAsia="Geomanist Light" w:hAnsi="Verdana" w:cs="Arial"/>
          <w:color w:val="000000" w:themeColor="text1"/>
          <w:lang w:val="es-MX"/>
        </w:rPr>
        <w:t xml:space="preserve"> de 2026</w:t>
      </w:r>
    </w:p>
    <w:p w14:paraId="284172CC" w14:textId="682D2D49" w:rsidR="00C9654B" w:rsidRDefault="0091286F" w:rsidP="00C9654B">
      <w:pPr>
        <w:spacing w:after="0" w:line="240" w:lineRule="auto"/>
        <w:jc w:val="both"/>
        <w:rPr>
          <w:rFonts w:ascii="Verdana" w:eastAsia="Calibri" w:hAnsi="Verdana" w:cs="Arial"/>
          <w:color w:val="000000"/>
          <w:lang w:val="es-ES"/>
        </w:rPr>
      </w:pPr>
      <w:r w:rsidRPr="002F42BA">
        <w:rPr>
          <w:rFonts w:ascii="Verdana" w:eastAsia="Calibri" w:hAnsi="Verdana" w:cs="Arial"/>
          <w:noProof/>
          <w:color w:val="000000"/>
          <w:lang w:val="es-ES"/>
        </w:rPr>
        <w:drawing>
          <wp:anchor distT="0" distB="0" distL="114300" distR="114300" simplePos="0" relativeHeight="251658240" behindDoc="0" locked="0" layoutInCell="1" allowOverlap="1" wp14:anchorId="294DF758" wp14:editId="5FC6A699">
            <wp:simplePos x="0" y="0"/>
            <wp:positionH relativeFrom="margin">
              <wp:align>right</wp:align>
            </wp:positionH>
            <wp:positionV relativeFrom="paragraph">
              <wp:posOffset>173355</wp:posOffset>
            </wp:positionV>
            <wp:extent cx="2599055" cy="897890"/>
            <wp:effectExtent l="0" t="0" r="0" b="0"/>
            <wp:wrapSquare wrapText="bothSides"/>
            <wp:docPr id="9795448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544899" name=""/>
                    <pic:cNvPicPr/>
                  </pic:nvPicPr>
                  <pic:blipFill>
                    <a:blip r:embed="rId10">
                      <a:extLst>
                        <a:ext uri="{28A0092B-C50C-407E-A947-70E740481C1C}">
                          <a14:useLocalDpi xmlns:a14="http://schemas.microsoft.com/office/drawing/2010/main" val="0"/>
                        </a:ext>
                      </a:extLst>
                    </a:blip>
                    <a:stretch>
                      <a:fillRect/>
                    </a:stretch>
                  </pic:blipFill>
                  <pic:spPr>
                    <a:xfrm>
                      <a:off x="0" y="0"/>
                      <a:ext cx="2599055" cy="897890"/>
                    </a:xfrm>
                    <a:prstGeom prst="rect">
                      <a:avLst/>
                    </a:prstGeom>
                  </pic:spPr>
                </pic:pic>
              </a:graphicData>
            </a:graphic>
            <wp14:sizeRelH relativeFrom="margin">
              <wp14:pctWidth>0</wp14:pctWidth>
            </wp14:sizeRelH>
            <wp14:sizeRelV relativeFrom="margin">
              <wp14:pctHeight>0</wp14:pctHeight>
            </wp14:sizeRelV>
          </wp:anchor>
        </w:drawing>
      </w:r>
    </w:p>
    <w:p w14:paraId="658C44EE" w14:textId="0783D91F" w:rsidR="002F42BA" w:rsidRDefault="002F42BA" w:rsidP="002F42BA">
      <w:pPr>
        <w:spacing w:after="0" w:line="240" w:lineRule="auto"/>
        <w:jc w:val="right"/>
        <w:rPr>
          <w:rFonts w:ascii="Verdana" w:eastAsia="Calibri" w:hAnsi="Verdana" w:cs="Arial"/>
          <w:color w:val="000000"/>
          <w:lang w:val="es-ES"/>
        </w:rPr>
      </w:pPr>
    </w:p>
    <w:p w14:paraId="71DDC4A3" w14:textId="77777777" w:rsidR="00C9654B" w:rsidRPr="00593A5F" w:rsidRDefault="00C9654B" w:rsidP="00C9654B">
      <w:pPr>
        <w:spacing w:after="0" w:line="240" w:lineRule="auto"/>
        <w:jc w:val="both"/>
        <w:rPr>
          <w:rFonts w:ascii="Verdana" w:eastAsia="Calibri" w:hAnsi="Verdana" w:cs="Arial"/>
          <w:color w:val="000000"/>
          <w:lang w:val="es-ES"/>
        </w:rPr>
      </w:pPr>
    </w:p>
    <w:p w14:paraId="63CD9AD2" w14:textId="77777777" w:rsidR="00C9654B" w:rsidRPr="00B96799" w:rsidRDefault="00C9654B" w:rsidP="00C9654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1B962FF" w14:textId="77777777" w:rsidR="00C9654B" w:rsidRPr="0085423D" w:rsidRDefault="00C9654B" w:rsidP="00C9654B">
      <w:pPr>
        <w:spacing w:after="0" w:line="240" w:lineRule="auto"/>
        <w:rPr>
          <w:rFonts w:ascii="Verdana" w:eastAsia="Calibri" w:hAnsi="Verdana" w:cs="Arial"/>
          <w:b/>
          <w:lang w:val="es-ES_tradnl" w:eastAsia="es-ES_tradnl"/>
        </w:rPr>
      </w:pPr>
      <w:r w:rsidRPr="00482880">
        <w:rPr>
          <w:rFonts w:ascii="Verdana" w:eastAsia="Calibri" w:hAnsi="Verdana" w:cs="Arial"/>
          <w:b/>
          <w:lang w:val="es-ES_tradnl" w:eastAsia="es-ES_tradnl"/>
        </w:rPr>
        <w:t>Jairo Alberto Cuevas Betancourt</w:t>
      </w:r>
      <w:r>
        <w:rPr>
          <w:rFonts w:ascii="Verdana" w:eastAsia="Calibri" w:hAnsi="Verdana" w:cs="Arial"/>
          <w:b/>
          <w:lang w:val="es-ES_tradnl" w:eastAsia="es-ES_tradnl"/>
        </w:rPr>
        <w:t xml:space="preserve"> </w:t>
      </w:r>
    </w:p>
    <w:p w14:paraId="2017C261" w14:textId="77777777" w:rsidR="00C9654B" w:rsidRPr="008746B6" w:rsidRDefault="00C9654B" w:rsidP="00C9654B">
      <w:pPr>
        <w:spacing w:after="0" w:line="240" w:lineRule="auto"/>
        <w:rPr>
          <w:rFonts w:ascii="Verdana" w:eastAsia="Calibri" w:hAnsi="Verdana" w:cs="Arial"/>
          <w:lang w:val="es-ES" w:eastAsia="es-ES"/>
        </w:rPr>
      </w:pPr>
      <w:hyperlink r:id="rId11" w:history="1">
        <w:r w:rsidRPr="005E66EB">
          <w:rPr>
            <w:rStyle w:val="Hipervnculo"/>
            <w:rFonts w:ascii="Verdana" w:hAnsi="Verdana"/>
          </w:rPr>
          <w:t>abg.jairocuevas10@outlook.com</w:t>
        </w:r>
      </w:hyperlink>
      <w:r>
        <w:rPr>
          <w:rFonts w:ascii="Verdana" w:hAnsi="Verdana"/>
        </w:rPr>
        <w:t xml:space="preserve"> </w:t>
      </w:r>
      <w:r w:rsidRPr="008746B6">
        <w:rPr>
          <w:rFonts w:ascii="Verdana" w:hAnsi="Verdana"/>
        </w:rPr>
        <w:t xml:space="preserve">        </w:t>
      </w:r>
      <w:r w:rsidRPr="008746B6">
        <w:rPr>
          <w:rFonts w:ascii="Verdana" w:eastAsia="Calibri" w:hAnsi="Verdana" w:cs="Arial"/>
          <w:lang w:val="es-ES" w:eastAsia="es-ES"/>
        </w:rPr>
        <w:t xml:space="preserve">    </w:t>
      </w:r>
    </w:p>
    <w:p w14:paraId="4A88D2BD" w14:textId="77777777" w:rsidR="00C9654B" w:rsidRDefault="00C9654B" w:rsidP="00C9654B">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7E096BC8" w14:textId="77777777" w:rsidR="00C9654B" w:rsidRPr="00593A5F" w:rsidRDefault="00C9654B" w:rsidP="00C9654B">
      <w:pPr>
        <w:spacing w:after="0" w:line="240" w:lineRule="auto"/>
        <w:rPr>
          <w:rFonts w:ascii="Verdana" w:eastAsia="Calibri" w:hAnsi="Verdana" w:cs="Arial"/>
          <w:b/>
          <w:bCs/>
          <w:color w:val="000000"/>
          <w:lang w:val="es-ES_tradnl" w:eastAsia="es-ES_tradnl"/>
        </w:rPr>
      </w:pPr>
    </w:p>
    <w:p w14:paraId="4A78D0AA" w14:textId="77777777" w:rsidR="00C9654B" w:rsidRPr="00593A5F" w:rsidRDefault="00C9654B" w:rsidP="00C9654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9654B" w:rsidRPr="00593A5F" w14:paraId="1F29A953" w14:textId="77777777" w:rsidTr="008F7C2F">
        <w:trPr>
          <w:trHeight w:val="884"/>
        </w:trPr>
        <w:tc>
          <w:tcPr>
            <w:tcW w:w="2689" w:type="dxa"/>
          </w:tcPr>
          <w:p w14:paraId="17E9F116" w14:textId="77777777" w:rsidR="00C9654B" w:rsidRPr="00C00976" w:rsidRDefault="00C9654B" w:rsidP="008F7C2F">
            <w:pPr>
              <w:jc w:val="both"/>
              <w:rPr>
                <w:rFonts w:ascii="Verdana" w:eastAsia="Calibri" w:hAnsi="Verdana" w:cs="Arial"/>
                <w:b/>
                <w:bCs/>
                <w:color w:val="7030A0"/>
                <w:lang w:val="es-ES_tradnl" w:eastAsia="es-ES_tradnl"/>
              </w:rPr>
            </w:pPr>
          </w:p>
        </w:tc>
        <w:tc>
          <w:tcPr>
            <w:tcW w:w="6100" w:type="dxa"/>
          </w:tcPr>
          <w:p w14:paraId="04D29EFB" w14:textId="77777777" w:rsidR="00C9654B" w:rsidRPr="00C00976" w:rsidRDefault="00C9654B" w:rsidP="008F7C2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265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C9654B" w:rsidRPr="00593A5F" w14:paraId="3FAAADFE" w14:textId="77777777" w:rsidTr="008F7C2F">
        <w:trPr>
          <w:trHeight w:val="884"/>
        </w:trPr>
        <w:tc>
          <w:tcPr>
            <w:tcW w:w="2689" w:type="dxa"/>
          </w:tcPr>
          <w:p w14:paraId="1C519A17" w14:textId="77777777" w:rsidR="00C9654B" w:rsidRPr="00593A5F" w:rsidRDefault="00C9654B" w:rsidP="008F7C2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1911C08" w14:textId="77777777" w:rsidR="00C9654B" w:rsidRPr="00A11406" w:rsidRDefault="00C9654B" w:rsidP="008F7C2F">
            <w:pPr>
              <w:spacing w:line="276" w:lineRule="auto"/>
              <w:jc w:val="both"/>
              <w:rPr>
                <w:rFonts w:ascii="Verdana" w:eastAsia="Calibri" w:hAnsi="Verdana" w:cs="Arial"/>
                <w:lang w:val="es-ES" w:eastAsia="es-ES"/>
              </w:rPr>
            </w:pPr>
            <w:r w:rsidRPr="00C371AB">
              <w:rPr>
                <w:rFonts w:ascii="Verdana" w:eastAsia="Calibri" w:hAnsi="Verdana" w:cs="Arial"/>
                <w:lang w:val="es-ES" w:eastAsia="es-ES"/>
              </w:rPr>
              <w:t>SELECCIÓN ABREVIADA – Marco normativo</w:t>
            </w:r>
            <w:r>
              <w:rPr>
                <w:rFonts w:ascii="Verdana" w:eastAsia="Calibri" w:hAnsi="Verdana" w:cs="Arial"/>
                <w:lang w:val="es-ES" w:eastAsia="es-ES"/>
              </w:rPr>
              <w:t xml:space="preserve"> / </w:t>
            </w:r>
            <w:r w:rsidRPr="00C371AB">
              <w:rPr>
                <w:rFonts w:ascii="Verdana" w:eastAsia="Calibri" w:hAnsi="Verdana" w:cs="Arial"/>
                <w:lang w:val="es-ES" w:eastAsia="es-ES"/>
              </w:rPr>
              <w:t>BIENES Y SERVICIOS DE CARACTERÍSTICAS TÉCNICAS UNIFORMES – Definición</w:t>
            </w:r>
            <w:r>
              <w:rPr>
                <w:rFonts w:ascii="Verdana" w:eastAsia="Calibri" w:hAnsi="Verdana" w:cs="Arial"/>
                <w:lang w:val="es-ES" w:eastAsia="es-ES"/>
              </w:rPr>
              <w:t xml:space="preserve"> / </w:t>
            </w:r>
            <w:r w:rsidRPr="00C371AB">
              <w:rPr>
                <w:rFonts w:ascii="Verdana" w:eastAsia="Calibri" w:hAnsi="Verdana" w:cs="Arial"/>
                <w:lang w:val="es-ES" w:eastAsia="es-ES"/>
              </w:rPr>
              <w:t xml:space="preserve">BIENES Y SERVICIOS DE CARACTERÍSTICAS TÉCNICAS UNIFORMES ‒ Características – Formas de adquisición </w:t>
            </w:r>
            <w:r>
              <w:rPr>
                <w:rFonts w:ascii="Verdana" w:eastAsia="Calibri" w:hAnsi="Verdana" w:cs="Arial"/>
                <w:lang w:val="es-ES" w:eastAsia="es-ES"/>
              </w:rPr>
              <w:t xml:space="preserve">/ </w:t>
            </w:r>
            <w:r w:rsidRPr="00013CD1">
              <w:rPr>
                <w:rFonts w:ascii="Verdana" w:eastAsia="Calibri" w:hAnsi="Verdana" w:cs="Arial"/>
                <w:lang w:val="es-ES" w:eastAsia="es-ES"/>
              </w:rPr>
              <w:t>CONTRATACIÓN DIRECTA – Pluralidad de oferentes – Inexistencia – Dos eventos / ÚNICO PROVEEDOR – Titular – Propiedad industrial – Derechos de autor / ÚNICO PROVEEDOR – Proveedor exclusivo – Territorio nacional / CONTRATACIÓN DIRECTA – Pluralidad de oferentes – Ausencia – Interpretación estricta</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6ED10CF" w14:textId="77777777" w:rsidR="00C9654B" w:rsidRPr="00593A5F" w:rsidRDefault="00C9654B" w:rsidP="008F7C2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9654B" w:rsidRPr="008E6AD9" w14:paraId="64695D3A" w14:textId="77777777" w:rsidTr="008F7C2F">
        <w:tc>
          <w:tcPr>
            <w:tcW w:w="2689" w:type="dxa"/>
          </w:tcPr>
          <w:p w14:paraId="11E1B195" w14:textId="77777777" w:rsidR="00C9654B" w:rsidRPr="008E6AD9" w:rsidRDefault="00C9654B" w:rsidP="008F7C2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A665F79" w14:textId="77777777" w:rsidR="00C9654B" w:rsidRPr="008E6AD9" w:rsidRDefault="00C9654B" w:rsidP="008F7C2F">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36057E">
              <w:rPr>
                <w:rFonts w:ascii="Verdana" w:eastAsia="Calibri" w:hAnsi="Verdana" w:cs="Arial"/>
                <w:lang w:val="es-ES_tradnl" w:eastAsia="es-ES_tradnl"/>
              </w:rPr>
              <w:t>1_2026_02_20_002322</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92A63B8" w14:textId="77777777" w:rsidR="00C9654B" w:rsidRPr="00593A5F" w:rsidRDefault="00C9654B" w:rsidP="00C9654B">
      <w:pPr>
        <w:spacing w:after="0" w:line="240" w:lineRule="auto"/>
        <w:jc w:val="both"/>
        <w:rPr>
          <w:rFonts w:ascii="Verdana" w:eastAsia="Calibri" w:hAnsi="Verdana" w:cs="Arial"/>
          <w:color w:val="000000"/>
          <w:lang w:val="es-ES_tradnl" w:eastAsia="es-ES_tradnl"/>
        </w:rPr>
      </w:pPr>
    </w:p>
    <w:p w14:paraId="2A406808" w14:textId="77777777" w:rsidR="00C9654B" w:rsidRPr="00593A5F" w:rsidRDefault="00C9654B" w:rsidP="00C9654B">
      <w:pPr>
        <w:spacing w:after="0" w:line="240" w:lineRule="auto"/>
        <w:jc w:val="both"/>
        <w:rPr>
          <w:rFonts w:ascii="Verdana" w:eastAsia="Calibri" w:hAnsi="Verdana" w:cs="Arial"/>
          <w:color w:val="000000"/>
          <w:lang w:val="es-ES_tradnl" w:eastAsia="es-ES_tradnl"/>
        </w:rPr>
      </w:pPr>
    </w:p>
    <w:p w14:paraId="03E3BAC0" w14:textId="77777777" w:rsidR="00C9654B" w:rsidRPr="008E6AD9" w:rsidRDefault="00C9654B" w:rsidP="00C9654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B40D5D">
        <w:rPr>
          <w:rFonts w:ascii="Verdana" w:eastAsia="Calibri" w:hAnsi="Verdana" w:cs="Arial"/>
          <w:lang w:val="es-ES" w:eastAsia="es-ES"/>
        </w:rPr>
        <w:t>Cuevas Betancourt</w:t>
      </w:r>
      <w:r w:rsidRPr="008E6AD9">
        <w:rPr>
          <w:rFonts w:ascii="Verdana" w:eastAsia="Calibri" w:hAnsi="Verdana" w:cs="Arial"/>
          <w:lang w:val="es-ES" w:eastAsia="es-ES"/>
        </w:rPr>
        <w:t xml:space="preserve">: </w:t>
      </w:r>
    </w:p>
    <w:p w14:paraId="528001EF" w14:textId="77777777" w:rsidR="00C9654B" w:rsidRDefault="00C9654B" w:rsidP="00C9654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3D711C8" w14:textId="77777777" w:rsidR="00C9654B" w:rsidRPr="00593A5F" w:rsidRDefault="00C9654B" w:rsidP="00C9654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A4423F">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febrero de 2026</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3CD1E4F9" w14:textId="77777777" w:rsidR="00C9654B" w:rsidRPr="00272A7B" w:rsidRDefault="00C9654B" w:rsidP="00C9654B">
      <w:pPr>
        <w:pStyle w:val="Prrafodelista"/>
        <w:tabs>
          <w:tab w:val="left" w:pos="142"/>
          <w:tab w:val="left" w:pos="284"/>
        </w:tabs>
        <w:spacing w:after="0" w:line="276" w:lineRule="auto"/>
        <w:ind w:left="0"/>
        <w:jc w:val="both"/>
        <w:rPr>
          <w:rFonts w:ascii="Verdana" w:eastAsia="Century Gothic" w:hAnsi="Verdana" w:cs="Century Gothic"/>
          <w:b/>
          <w:bCs/>
        </w:rPr>
      </w:pPr>
    </w:p>
    <w:p w14:paraId="5B49EA97" w14:textId="77777777" w:rsidR="00C9654B" w:rsidRPr="000E345C" w:rsidRDefault="00C9654B" w:rsidP="00C9654B">
      <w:pPr>
        <w:spacing w:after="120" w:line="240" w:lineRule="auto"/>
        <w:ind w:left="709" w:right="709"/>
        <w:jc w:val="both"/>
        <w:rPr>
          <w:rFonts w:ascii="Verdana" w:eastAsia="Century Gothic" w:hAnsi="Verdana" w:cs="Century Gothic"/>
          <w:sz w:val="20"/>
          <w:szCs w:val="20"/>
          <w:lang w:val="es-ES"/>
        </w:rPr>
      </w:pPr>
      <w:bookmarkStart w:id="0" w:name="_Hlk95313578"/>
      <w:r w:rsidRPr="000E345C">
        <w:rPr>
          <w:rFonts w:ascii="Verdana" w:eastAsia="Century Gothic" w:hAnsi="Verdana" w:cs="Century Gothic"/>
          <w:sz w:val="20"/>
          <w:szCs w:val="20"/>
          <w:lang w:val="es-ES"/>
        </w:rPr>
        <w:lastRenderedPageBreak/>
        <w:t>“</w:t>
      </w:r>
      <w:bookmarkEnd w:id="0"/>
      <w:r w:rsidRPr="000E345C">
        <w:rPr>
          <w:rFonts w:ascii="Verdana" w:eastAsia="Century Gothic" w:hAnsi="Verdana" w:cs="Century Gothic"/>
          <w:sz w:val="20"/>
          <w:szCs w:val="20"/>
          <w:lang w:val="es-ES"/>
        </w:rPr>
        <w:t>¿Las guías de estudio, material de estudio, o material pedagógico (u otros nombres semejantes) para estudiantes de instituciones educativas son bienes de características técnicas uniformes o de común utilización?</w:t>
      </w:r>
    </w:p>
    <w:p w14:paraId="3DB97D4B" w14:textId="77777777" w:rsidR="00C9654B" w:rsidRPr="000E345C" w:rsidRDefault="00C9654B" w:rsidP="00C9654B">
      <w:pPr>
        <w:spacing w:after="120" w:line="240" w:lineRule="auto"/>
        <w:ind w:left="709" w:right="709"/>
        <w:jc w:val="both"/>
        <w:rPr>
          <w:rFonts w:ascii="Verdana" w:eastAsia="Century Gothic" w:hAnsi="Verdana" w:cs="Century Gothic"/>
          <w:sz w:val="20"/>
          <w:szCs w:val="20"/>
          <w:lang w:val="es-ES"/>
        </w:rPr>
      </w:pPr>
      <w:r w:rsidRPr="000E345C">
        <w:rPr>
          <w:rFonts w:ascii="Verdana" w:eastAsia="Century Gothic" w:hAnsi="Verdana" w:cs="Century Gothic"/>
          <w:sz w:val="20"/>
          <w:szCs w:val="20"/>
          <w:lang w:val="es-ES"/>
        </w:rPr>
        <w:t>¿Es posible que existan derechos de autor sobre algunos bienes de características técnicas uniformes? Dé unos ejemplos.</w:t>
      </w:r>
    </w:p>
    <w:p w14:paraId="1008894E" w14:textId="77777777" w:rsidR="00C9654B" w:rsidRPr="005B7798" w:rsidRDefault="00C9654B" w:rsidP="00C9654B">
      <w:pPr>
        <w:spacing w:after="0" w:line="240" w:lineRule="auto"/>
        <w:ind w:left="709" w:right="709"/>
        <w:jc w:val="both"/>
        <w:rPr>
          <w:rFonts w:ascii="Verdana" w:eastAsia="Century Gothic" w:hAnsi="Verdana" w:cs="Century Gothic"/>
          <w:sz w:val="21"/>
          <w:szCs w:val="21"/>
          <w:lang w:val="es-ES"/>
        </w:rPr>
      </w:pPr>
      <w:r w:rsidRPr="000E345C">
        <w:rPr>
          <w:rFonts w:ascii="Verdana" w:eastAsia="Century Gothic" w:hAnsi="Verdana" w:cs="Century Gothic"/>
          <w:sz w:val="20"/>
          <w:szCs w:val="20"/>
          <w:lang w:val="es-ES"/>
        </w:rPr>
        <w:t>Si existen múltiples proveedores con derechos de autor sobre los bienes o servicios de características técnicas uniformes, ¿es posible concluir la inexistencia de pluralidad de oferentes?”.</w:t>
      </w:r>
      <w:r>
        <w:rPr>
          <w:rFonts w:ascii="Verdana" w:eastAsia="Century Gothic" w:hAnsi="Verdana" w:cs="Century Gothic"/>
          <w:sz w:val="20"/>
          <w:szCs w:val="20"/>
          <w:lang w:val="es-ES"/>
        </w:rPr>
        <w:t xml:space="preserve"> </w:t>
      </w:r>
    </w:p>
    <w:p w14:paraId="32882DC2" w14:textId="77777777" w:rsidR="00C9654B" w:rsidRPr="008E6AD9" w:rsidRDefault="00C9654B" w:rsidP="00C9654B">
      <w:pPr>
        <w:pStyle w:val="Prrafodelista"/>
        <w:tabs>
          <w:tab w:val="left" w:pos="142"/>
          <w:tab w:val="left" w:pos="284"/>
        </w:tabs>
        <w:spacing w:after="0" w:line="276" w:lineRule="auto"/>
        <w:ind w:left="0"/>
        <w:jc w:val="both"/>
        <w:rPr>
          <w:rFonts w:ascii="Verdana" w:eastAsia="Century Gothic" w:hAnsi="Verdana" w:cs="Century Gothic"/>
          <w:b/>
          <w:bCs/>
        </w:rPr>
      </w:pPr>
    </w:p>
    <w:p w14:paraId="2D503CB3" w14:textId="77777777" w:rsidR="00C9654B" w:rsidRPr="00A652FF" w:rsidRDefault="00C9654B" w:rsidP="00C9654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A3574F8" w14:textId="77777777" w:rsidR="00C9654B" w:rsidRDefault="00C9654B" w:rsidP="00C9654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FD5350B" w14:textId="77777777" w:rsidR="00C9654B" w:rsidRPr="00593A5F" w:rsidRDefault="00C9654B" w:rsidP="00C9654B">
      <w:pPr>
        <w:spacing w:after="0" w:line="276" w:lineRule="auto"/>
        <w:ind w:firstLine="709"/>
        <w:jc w:val="both"/>
        <w:rPr>
          <w:rFonts w:ascii="Verdana" w:eastAsia="Calibri" w:hAnsi="Verdana" w:cs="Arial"/>
          <w:color w:val="000000"/>
          <w:lang w:val="es-ES" w:eastAsia="es-ES"/>
        </w:rPr>
      </w:pPr>
    </w:p>
    <w:p w14:paraId="6160D6DD" w14:textId="77777777" w:rsidR="00C9654B" w:rsidRPr="00593A5F" w:rsidRDefault="00C9654B" w:rsidP="00C9654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B1FBD77" w14:textId="77777777" w:rsidR="00C9654B" w:rsidRPr="00593A5F" w:rsidRDefault="00C9654B" w:rsidP="00C9654B">
      <w:pPr>
        <w:tabs>
          <w:tab w:val="left" w:pos="426"/>
        </w:tabs>
        <w:spacing w:after="0" w:line="276" w:lineRule="auto"/>
        <w:jc w:val="both"/>
        <w:rPr>
          <w:rFonts w:ascii="Verdana" w:eastAsia="Century Gothic" w:hAnsi="Verdana" w:cs="Century Gothic"/>
          <w:lang w:val="es-ES"/>
        </w:rPr>
      </w:pPr>
    </w:p>
    <w:p w14:paraId="6BB46E9F" w14:textId="77777777" w:rsidR="00C9654B" w:rsidRPr="00593A5F" w:rsidRDefault="00C9654B" w:rsidP="00C9654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 </w:t>
      </w:r>
      <w:r>
        <w:rPr>
          <w:rFonts w:ascii="Verdana" w:eastAsia="Century Gothic" w:hAnsi="Verdana" w:cs="Century Gothic"/>
        </w:rPr>
        <w:t xml:space="preserve">¿cuál es el ámbito de aplicación de la causal de selección abreviada </w:t>
      </w:r>
      <w:r>
        <w:rPr>
          <w:rFonts w:ascii="Verdana" w:eastAsia="Calibri" w:hAnsi="Verdana" w:cs="Arial"/>
          <w:color w:val="000000" w:themeColor="text1"/>
        </w:rPr>
        <w:t xml:space="preserve">del literal a) del artículo 2.2 de la Ley 1150 de 2007 y cómo se articula con la causal de contratación directa del literal g) del artículo 2.4 </w:t>
      </w:r>
      <w:r w:rsidRPr="005A460C">
        <w:rPr>
          <w:rFonts w:ascii="Verdana" w:eastAsia="Calibri" w:hAnsi="Verdana" w:cs="Arial"/>
          <w:i/>
          <w:iCs/>
          <w:color w:val="000000" w:themeColor="text1"/>
        </w:rPr>
        <w:t>ibidem</w:t>
      </w:r>
      <w:r w:rsidRPr="005A460C">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404B54A" w14:textId="77777777" w:rsidR="00C9654B" w:rsidRPr="004B140F" w:rsidRDefault="00C9654B" w:rsidP="00C9654B">
      <w:pPr>
        <w:spacing w:after="0" w:line="276" w:lineRule="auto"/>
        <w:jc w:val="both"/>
        <w:rPr>
          <w:rFonts w:ascii="Verdana" w:eastAsia="Calibri" w:hAnsi="Verdana" w:cs="Arial"/>
          <w:color w:val="7030A0"/>
        </w:rPr>
      </w:pPr>
    </w:p>
    <w:p w14:paraId="43AB7E2C" w14:textId="77777777" w:rsidR="00C9654B" w:rsidRPr="00593A5F" w:rsidRDefault="00C9654B" w:rsidP="00C965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51430DB" w14:textId="77777777" w:rsidR="00C9654B" w:rsidRPr="00593A5F" w:rsidRDefault="00C9654B" w:rsidP="00C9654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9654B" w:rsidRPr="00593A5F" w14:paraId="11A10CDE" w14:textId="77777777" w:rsidTr="008F7C2F">
        <w:trPr>
          <w:jc w:val="center"/>
        </w:trPr>
        <w:tc>
          <w:tcPr>
            <w:tcW w:w="8828" w:type="dxa"/>
          </w:tcPr>
          <w:p w14:paraId="12A3175B" w14:textId="05A375DB" w:rsidR="00C9654B" w:rsidRDefault="00C9654B" w:rsidP="008F7C2F">
            <w:pPr>
              <w:spacing w:after="120" w:line="276" w:lineRule="auto"/>
              <w:jc w:val="both"/>
              <w:rPr>
                <w:rFonts w:ascii="Verdana" w:eastAsia="Calibri" w:hAnsi="Verdana" w:cs="Arial"/>
                <w:color w:val="000000" w:themeColor="text1"/>
              </w:rPr>
            </w:pPr>
            <w:bookmarkStart w:id="1" w:name="_Hlk171694685"/>
            <w:r>
              <w:rPr>
                <w:rFonts w:ascii="Verdana" w:eastAsia="Calibri" w:hAnsi="Verdana" w:cs="Times New Roman"/>
                <w:iCs/>
                <w:lang w:val="es-ES"/>
              </w:rPr>
              <w:lastRenderedPageBreak/>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Times New Roman"/>
                <w:iCs/>
                <w:lang w:val="es-ES"/>
              </w:rPr>
              <w:t>l</w:t>
            </w:r>
            <w:r>
              <w:rPr>
                <w:rFonts w:ascii="Verdana" w:eastAsia="Calibri" w:hAnsi="Verdana" w:cs="Arial"/>
                <w:color w:val="000000" w:themeColor="text1"/>
              </w:rPr>
              <w:t>a existencia de bienes y servicios de características técnicas uniformes y de común utilización no es contraria a los derechos de propiedad industrial sobre los mismos. Por ello, si bien –conforme al literal c) del numeral 7.1.3 de la “</w:t>
            </w:r>
            <w:r w:rsidRPr="007E2ED0">
              <w:rPr>
                <w:rFonts w:ascii="Verdana" w:eastAsia="Calibri" w:hAnsi="Verdana" w:cs="Arial"/>
                <w:color w:val="000000" w:themeColor="text1"/>
              </w:rPr>
              <w:t xml:space="preserve">Guía </w:t>
            </w:r>
            <w:r>
              <w:rPr>
                <w:rFonts w:ascii="Verdana" w:eastAsia="Calibri" w:hAnsi="Verdana" w:cs="Arial"/>
                <w:color w:val="000000" w:themeColor="text1"/>
              </w:rPr>
              <w:t>d</w:t>
            </w:r>
            <w:r w:rsidRPr="007E2ED0">
              <w:rPr>
                <w:rFonts w:ascii="Verdana" w:eastAsia="Calibri" w:hAnsi="Verdana" w:cs="Arial"/>
                <w:color w:val="000000" w:themeColor="text1"/>
              </w:rPr>
              <w:t xml:space="preserve">e Propiedad Intelectual </w:t>
            </w:r>
            <w:r>
              <w:rPr>
                <w:rFonts w:ascii="Verdana" w:eastAsia="Calibri" w:hAnsi="Verdana" w:cs="Arial"/>
                <w:color w:val="000000" w:themeColor="text1"/>
              </w:rPr>
              <w:t>e</w:t>
            </w:r>
            <w:r w:rsidRPr="007E2ED0">
              <w:rPr>
                <w:rFonts w:ascii="Verdana" w:eastAsia="Calibri" w:hAnsi="Verdana" w:cs="Arial"/>
                <w:color w:val="000000" w:themeColor="text1"/>
              </w:rPr>
              <w:t xml:space="preserve">n </w:t>
            </w:r>
            <w:r>
              <w:rPr>
                <w:rFonts w:ascii="Verdana" w:eastAsia="Calibri" w:hAnsi="Verdana" w:cs="Arial"/>
                <w:color w:val="000000" w:themeColor="text1"/>
              </w:rPr>
              <w:t>l</w:t>
            </w:r>
            <w:r w:rsidRPr="007E2ED0">
              <w:rPr>
                <w:rFonts w:ascii="Verdana" w:eastAsia="Calibri" w:hAnsi="Verdana" w:cs="Arial"/>
                <w:color w:val="000000" w:themeColor="text1"/>
              </w:rPr>
              <w:t>a</w:t>
            </w:r>
            <w:r>
              <w:rPr>
                <w:rFonts w:ascii="Verdana" w:eastAsia="Calibri" w:hAnsi="Verdana" w:cs="Arial"/>
                <w:color w:val="000000" w:themeColor="text1"/>
              </w:rPr>
              <w:t xml:space="preserve"> </w:t>
            </w:r>
            <w:r w:rsidRPr="007E2ED0">
              <w:rPr>
                <w:rFonts w:ascii="Verdana" w:eastAsia="Calibri" w:hAnsi="Verdana" w:cs="Arial"/>
                <w:color w:val="000000" w:themeColor="text1"/>
              </w:rPr>
              <w:t>Contratación Públ</w:t>
            </w:r>
            <w:r>
              <w:rPr>
                <w:rFonts w:ascii="Verdana" w:eastAsia="Calibri" w:hAnsi="Verdana" w:cs="Arial"/>
                <w:color w:val="000000" w:themeColor="text1"/>
              </w:rPr>
              <w:t>i</w:t>
            </w:r>
            <w:r w:rsidRPr="007E2ED0">
              <w:rPr>
                <w:rFonts w:ascii="Verdana" w:eastAsia="Calibri" w:hAnsi="Verdana" w:cs="Arial"/>
                <w:color w:val="000000" w:themeColor="text1"/>
              </w:rPr>
              <w:t>ca</w:t>
            </w:r>
            <w:r>
              <w:rPr>
                <w:rFonts w:ascii="Verdana" w:eastAsia="Calibri" w:hAnsi="Verdana" w:cs="Arial"/>
                <w:color w:val="000000" w:themeColor="text1"/>
              </w:rPr>
              <w:t xml:space="preserve">”– la Agencia estima que el mobiliario de oficina, las prendas de dotación, los equipos de cómputo y los vehículos cumplen el estándar normativo tanto del literal a) del artículo 2.2 de la Ley 1150 de 2007 como del artículo </w:t>
            </w:r>
            <w:r w:rsidRPr="007E2ED0">
              <w:rPr>
                <w:rFonts w:ascii="Verdana" w:eastAsia="Calibri" w:hAnsi="Verdana" w:cs="Arial"/>
                <w:color w:val="000000" w:themeColor="text1"/>
              </w:rPr>
              <w:t>2.2.1.1.1.3.1</w:t>
            </w:r>
            <w:r>
              <w:rPr>
                <w:rFonts w:ascii="Verdana" w:eastAsia="Calibri" w:hAnsi="Verdana" w:cs="Arial"/>
                <w:color w:val="000000" w:themeColor="text1"/>
              </w:rPr>
              <w:t xml:space="preserve"> del Decreto 1082 de 2015, también considera que “</w:t>
            </w:r>
            <w:r w:rsidRPr="007D09DB">
              <w:rPr>
                <w:rFonts w:ascii="Verdana" w:eastAsia="Calibri" w:hAnsi="Verdana" w:cs="Arial"/>
                <w:color w:val="000000" w:themeColor="text1"/>
              </w:rPr>
              <w:t>Todos estos productos mencionados a título de ejemplo se distinguen en el comercio con</w:t>
            </w:r>
            <w:r>
              <w:rPr>
                <w:rFonts w:ascii="Verdana" w:eastAsia="Calibri" w:hAnsi="Verdana" w:cs="Arial"/>
                <w:color w:val="000000" w:themeColor="text1"/>
              </w:rPr>
              <w:t xml:space="preserve"> </w:t>
            </w:r>
            <w:r w:rsidRPr="007D09DB">
              <w:rPr>
                <w:rFonts w:ascii="Verdana" w:eastAsia="Calibri" w:hAnsi="Verdana" w:cs="Arial"/>
                <w:color w:val="000000" w:themeColor="text1"/>
              </w:rPr>
              <w:t>signos como Marcas y Lemas comerciales. También es probable que su apariencia externa se</w:t>
            </w:r>
            <w:r>
              <w:rPr>
                <w:rFonts w:ascii="Verdana" w:eastAsia="Calibri" w:hAnsi="Verdana" w:cs="Arial"/>
                <w:color w:val="000000" w:themeColor="text1"/>
              </w:rPr>
              <w:t xml:space="preserve"> </w:t>
            </w:r>
            <w:r w:rsidRPr="007D09DB">
              <w:rPr>
                <w:rFonts w:ascii="Verdana" w:eastAsia="Calibri" w:hAnsi="Verdana" w:cs="Arial"/>
                <w:color w:val="000000" w:themeColor="text1"/>
              </w:rPr>
              <w:t>encuentre protegida a través del registro como Diseño Industrial. No obstante, es claro que</w:t>
            </w:r>
            <w:r w:rsidR="006B4186" w:rsidRPr="007D09DB">
              <w:rPr>
                <w:rFonts w:ascii="Verdana" w:eastAsia="Calibri" w:hAnsi="Verdana" w:cs="Arial"/>
                <w:color w:val="000000" w:themeColor="text1"/>
              </w:rPr>
              <w:t>,</w:t>
            </w:r>
            <w:r w:rsidRPr="007D09DB">
              <w:rPr>
                <w:rFonts w:ascii="Verdana" w:eastAsia="Calibri" w:hAnsi="Verdana" w:cs="Arial"/>
                <w:color w:val="000000" w:themeColor="text1"/>
              </w:rPr>
              <w:t xml:space="preserve"> para</w:t>
            </w:r>
            <w:r>
              <w:rPr>
                <w:rFonts w:ascii="Verdana" w:eastAsia="Calibri" w:hAnsi="Verdana" w:cs="Arial"/>
                <w:color w:val="000000" w:themeColor="text1"/>
              </w:rPr>
              <w:t xml:space="preserve"> </w:t>
            </w:r>
            <w:r w:rsidRPr="007D09DB">
              <w:rPr>
                <w:rFonts w:ascii="Verdana" w:eastAsia="Calibri" w:hAnsi="Verdana" w:cs="Arial"/>
                <w:color w:val="000000" w:themeColor="text1"/>
              </w:rPr>
              <w:t>efectos de la adquisición, lo relevante es que los productos cumplan con determinadas</w:t>
            </w:r>
            <w:r>
              <w:rPr>
                <w:rFonts w:ascii="Verdana" w:eastAsia="Calibri" w:hAnsi="Verdana" w:cs="Arial"/>
                <w:color w:val="000000" w:themeColor="text1"/>
              </w:rPr>
              <w:t xml:space="preserve"> </w:t>
            </w:r>
            <w:r w:rsidRPr="007D09DB">
              <w:rPr>
                <w:rFonts w:ascii="Verdana" w:eastAsia="Calibri" w:hAnsi="Verdana" w:cs="Arial"/>
                <w:color w:val="000000" w:themeColor="text1"/>
              </w:rPr>
              <w:t>características o condiciones técnicas y de calidad</w:t>
            </w:r>
            <w:r>
              <w:rPr>
                <w:rFonts w:ascii="Verdana" w:eastAsia="Calibri" w:hAnsi="Verdana" w:cs="Arial"/>
                <w:color w:val="000000" w:themeColor="text1"/>
              </w:rPr>
              <w:t>”.</w:t>
            </w:r>
          </w:p>
          <w:p w14:paraId="15C3B0B7" w14:textId="77777777" w:rsidR="00C9654B" w:rsidRDefault="00C9654B" w:rsidP="008F7C2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 xml:space="preserve">Es decir, de la existencia de derechos de propiedad industrial sobre bienes y servicios de características técnicas uniformes y de común utilización no se deriva la aplicación automática de la causal de contratación directa del literal g) del artículo 2.4 de la Ley 1150 de 2007. Por este motivo, la mencionada guía explica que el procedimiento de selección aplicable “[…] </w:t>
            </w:r>
            <w:r w:rsidRPr="007D09DB">
              <w:rPr>
                <w:rFonts w:ascii="Verdana" w:eastAsia="Calibri" w:hAnsi="Verdana" w:cs="Arial"/>
                <w:color w:val="000000" w:themeColor="text1"/>
              </w:rPr>
              <w:t>será la modalidad de selección abreviada, ya sea: a) través de un Acuerdo</w:t>
            </w:r>
            <w:r>
              <w:rPr>
                <w:rFonts w:ascii="Verdana" w:eastAsia="Calibri" w:hAnsi="Verdana" w:cs="Arial"/>
                <w:color w:val="000000" w:themeColor="text1"/>
              </w:rPr>
              <w:t xml:space="preserve"> </w:t>
            </w:r>
            <w:r w:rsidRPr="007D09DB">
              <w:rPr>
                <w:rFonts w:ascii="Verdana" w:eastAsia="Calibri" w:hAnsi="Verdana" w:cs="Arial"/>
                <w:color w:val="000000" w:themeColor="text1"/>
              </w:rPr>
              <w:t>Marco de Precios, b) subasta inversa o c) el mecanismo de bolsa de productos</w:t>
            </w:r>
            <w:r>
              <w:rPr>
                <w:rFonts w:ascii="Verdana" w:eastAsia="Calibri" w:hAnsi="Verdana" w:cs="Arial"/>
                <w:color w:val="000000" w:themeColor="text1"/>
              </w:rPr>
              <w:t>”.</w:t>
            </w:r>
          </w:p>
          <w:p w14:paraId="0F5F07DE" w14:textId="77777777" w:rsidR="00C9654B" w:rsidRDefault="00C9654B" w:rsidP="008F7C2F">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rPr>
              <w:tab/>
            </w:r>
            <w:r w:rsidRPr="00182E75">
              <w:rPr>
                <w:rFonts w:ascii="Verdana" w:eastAsia="Calibri" w:hAnsi="Verdana" w:cs="Arial"/>
                <w:i/>
                <w:iCs/>
                <w:color w:val="000000" w:themeColor="text1"/>
              </w:rPr>
              <w:t>Mutatis mutandis</w:t>
            </w:r>
            <w:r>
              <w:rPr>
                <w:rFonts w:ascii="Verdana" w:eastAsia="Calibri" w:hAnsi="Verdana" w:cs="Arial"/>
                <w:color w:val="000000" w:themeColor="text1"/>
              </w:rPr>
              <w:t xml:space="preserve">, el mismo razonamiento aplica a los derechos de autor sobre guías o materiales de estudio. Por el hecho de que sobre estas obras recaigan derechos de propiedad intelectual, dichos materiales no dejan de tener unas </w:t>
            </w:r>
            <w:r w:rsidRPr="00185EE9">
              <w:rPr>
                <w:rFonts w:ascii="Verdana" w:eastAsia="Calibri" w:hAnsi="Verdana" w:cs="Arial"/>
                <w:bCs/>
                <w:color w:val="000000" w:themeColor="text1"/>
              </w:rPr>
              <w:t>mismas especificaciones técnicas y compart</w:t>
            </w:r>
            <w:r>
              <w:rPr>
                <w:rFonts w:ascii="Verdana" w:eastAsia="Calibri" w:hAnsi="Verdana" w:cs="Arial"/>
                <w:bCs/>
                <w:color w:val="000000" w:themeColor="text1"/>
              </w:rPr>
              <w:t>ir</w:t>
            </w:r>
            <w:r w:rsidRPr="00185EE9">
              <w:rPr>
                <w:rFonts w:ascii="Verdana" w:eastAsia="Calibri" w:hAnsi="Verdana" w:cs="Arial"/>
                <w:bCs/>
                <w:color w:val="000000" w:themeColor="text1"/>
              </w:rPr>
              <w:t xml:space="preserve"> patrones de desempeño y calidad objetivamente definidos</w:t>
            </w:r>
            <w:r>
              <w:rPr>
                <w:rFonts w:ascii="Verdana" w:eastAsia="Calibri" w:hAnsi="Verdana" w:cs="Arial"/>
                <w:bCs/>
                <w:color w:val="000000" w:themeColor="text1"/>
              </w:rPr>
              <w:t xml:space="preserve">. Lo anterior en la medida que, bien sea en su confección o en su suministro, importa más la idea que la forma en que se expresa. </w:t>
            </w:r>
          </w:p>
          <w:p w14:paraId="4BBD89A4" w14:textId="77777777" w:rsidR="00C9654B" w:rsidRDefault="00C9654B" w:rsidP="008F7C2F">
            <w:pPr>
              <w:spacing w:after="120" w:line="276" w:lineRule="auto"/>
              <w:ind w:firstLine="708"/>
              <w:jc w:val="both"/>
              <w:rPr>
                <w:rFonts w:ascii="Verdana" w:eastAsia="Calibri" w:hAnsi="Verdana" w:cs="Arial"/>
                <w:color w:val="000000" w:themeColor="text1"/>
              </w:rPr>
            </w:pPr>
            <w:r>
              <w:rPr>
                <w:rFonts w:ascii="Verdana" w:eastAsia="Calibri" w:hAnsi="Verdana" w:cs="Arial"/>
                <w:bCs/>
                <w:color w:val="000000" w:themeColor="text1"/>
              </w:rPr>
              <w:t>En efecto, el</w:t>
            </w:r>
            <w:r w:rsidRPr="00EB71E3">
              <w:rPr>
                <w:rFonts w:ascii="Verdana" w:eastAsia="Calibri" w:hAnsi="Verdana" w:cs="Arial"/>
                <w:bCs/>
                <w:color w:val="000000" w:themeColor="text1"/>
              </w:rPr>
              <w:t xml:space="preserve"> derecho de autor protege la forma original </w:t>
            </w:r>
            <w:r>
              <w:rPr>
                <w:rFonts w:ascii="Verdana" w:eastAsia="Calibri" w:hAnsi="Verdana" w:cs="Arial"/>
                <w:bCs/>
                <w:color w:val="000000" w:themeColor="text1"/>
              </w:rPr>
              <w:t>de expresión de las ideas</w:t>
            </w:r>
            <w:r w:rsidRPr="00EB71E3">
              <w:rPr>
                <w:rFonts w:ascii="Verdana" w:eastAsia="Calibri" w:hAnsi="Verdana" w:cs="Arial"/>
                <w:bCs/>
                <w:color w:val="000000" w:themeColor="text1"/>
              </w:rPr>
              <w:t xml:space="preserve">, </w:t>
            </w:r>
            <w:r>
              <w:rPr>
                <w:rFonts w:ascii="Verdana" w:eastAsia="Calibri" w:hAnsi="Verdana" w:cs="Arial"/>
                <w:bCs/>
                <w:color w:val="000000" w:themeColor="text1"/>
              </w:rPr>
              <w:t>mas no estas últimas en</w:t>
            </w:r>
            <w:r w:rsidRPr="00EB71E3">
              <w:rPr>
                <w:rFonts w:ascii="Verdana" w:eastAsia="Calibri" w:hAnsi="Verdana" w:cs="Arial"/>
                <w:bCs/>
                <w:color w:val="000000" w:themeColor="text1"/>
              </w:rPr>
              <w:t xml:space="preserve"> sí misma</w:t>
            </w:r>
            <w:r>
              <w:rPr>
                <w:rFonts w:ascii="Verdana" w:eastAsia="Calibri" w:hAnsi="Verdana" w:cs="Arial"/>
                <w:bCs/>
                <w:color w:val="000000" w:themeColor="text1"/>
              </w:rPr>
              <w:t>s consideradas.</w:t>
            </w:r>
            <w:r w:rsidRPr="00EB71E3">
              <w:rPr>
                <w:rFonts w:ascii="Verdana" w:eastAsia="Calibri" w:hAnsi="Verdana" w:cs="Arial"/>
                <w:bCs/>
                <w:color w:val="000000" w:themeColor="text1"/>
              </w:rPr>
              <w:t xml:space="preserve"> </w:t>
            </w:r>
            <w:r>
              <w:rPr>
                <w:rFonts w:ascii="Verdana" w:eastAsia="Calibri" w:hAnsi="Verdana" w:cs="Arial"/>
                <w:bCs/>
                <w:color w:val="000000" w:themeColor="text1"/>
              </w:rPr>
              <w:t>Por ello, el artículo 7 de la Decisión 351 de 1993 –aplicable al Estado colombiano como miembro de la Comunidad Andina–</w:t>
            </w:r>
            <w:r>
              <w:rPr>
                <w:rFonts w:ascii="Verdana" w:eastAsia="Calibri" w:hAnsi="Verdana" w:cs="Arial"/>
                <w:color w:val="000000" w:themeColor="text1"/>
              </w:rPr>
              <w:t xml:space="preserve"> dispone que “</w:t>
            </w:r>
            <w:r w:rsidRPr="00AB561C">
              <w:rPr>
                <w:rFonts w:ascii="Verdana" w:eastAsia="Calibri" w:hAnsi="Verdana" w:cs="Arial"/>
                <w:color w:val="000000" w:themeColor="text1"/>
              </w:rPr>
              <w:t>Queda protegida exclusivamente la forma mediante la cual las ideas</w:t>
            </w:r>
            <w:r>
              <w:rPr>
                <w:rFonts w:ascii="Verdana" w:eastAsia="Calibri" w:hAnsi="Verdana" w:cs="Arial"/>
                <w:color w:val="000000" w:themeColor="text1"/>
              </w:rPr>
              <w:t xml:space="preserve"> </w:t>
            </w:r>
            <w:r w:rsidRPr="00AB561C">
              <w:rPr>
                <w:rFonts w:ascii="Verdana" w:eastAsia="Calibri" w:hAnsi="Verdana" w:cs="Arial"/>
                <w:color w:val="000000" w:themeColor="text1"/>
              </w:rPr>
              <w:t>del autor son descritas, explicadas, ilustradas o incorporadas a las obras</w:t>
            </w:r>
            <w:r>
              <w:rPr>
                <w:rFonts w:ascii="Verdana" w:eastAsia="Calibri" w:hAnsi="Verdana" w:cs="Arial"/>
                <w:color w:val="000000" w:themeColor="text1"/>
              </w:rPr>
              <w:t>”; razón por la cual, “</w:t>
            </w:r>
            <w:r w:rsidRPr="00EB71E3">
              <w:rPr>
                <w:rFonts w:ascii="Verdana" w:eastAsia="Calibri" w:hAnsi="Verdana" w:cs="Arial"/>
                <w:color w:val="000000" w:themeColor="text1"/>
              </w:rPr>
              <w:t xml:space="preserve">No son objeto de protección </w:t>
            </w:r>
            <w:r w:rsidRPr="00EB71E3">
              <w:rPr>
                <w:rFonts w:ascii="Verdana" w:eastAsia="Calibri" w:hAnsi="Verdana" w:cs="Arial"/>
                <w:color w:val="000000" w:themeColor="text1"/>
              </w:rPr>
              <w:lastRenderedPageBreak/>
              <w:t>las ideas contenidas en las obras literarias y</w:t>
            </w:r>
            <w:r>
              <w:rPr>
                <w:rFonts w:ascii="Verdana" w:eastAsia="Calibri" w:hAnsi="Verdana" w:cs="Arial"/>
                <w:color w:val="000000" w:themeColor="text1"/>
              </w:rPr>
              <w:t xml:space="preserve"> </w:t>
            </w:r>
            <w:r w:rsidRPr="00EB71E3">
              <w:rPr>
                <w:rFonts w:ascii="Verdana" w:eastAsia="Calibri" w:hAnsi="Verdana" w:cs="Arial"/>
                <w:color w:val="000000" w:themeColor="text1"/>
              </w:rPr>
              <w:t>artísticas, o el contenido ideológico o técnico de las obras científicas, ni su</w:t>
            </w:r>
            <w:r>
              <w:rPr>
                <w:rFonts w:ascii="Verdana" w:eastAsia="Calibri" w:hAnsi="Verdana" w:cs="Arial"/>
                <w:color w:val="000000" w:themeColor="text1"/>
              </w:rPr>
              <w:t xml:space="preserve"> </w:t>
            </w:r>
            <w:r w:rsidRPr="00EB71E3">
              <w:rPr>
                <w:rFonts w:ascii="Verdana" w:eastAsia="Calibri" w:hAnsi="Verdana" w:cs="Arial"/>
                <w:color w:val="000000" w:themeColor="text1"/>
              </w:rPr>
              <w:t>aprovechamiento industrial o comercial</w:t>
            </w:r>
            <w:r>
              <w:rPr>
                <w:rFonts w:ascii="Verdana" w:eastAsia="Calibri" w:hAnsi="Verdana" w:cs="Arial"/>
                <w:color w:val="000000" w:themeColor="text1"/>
              </w:rPr>
              <w:t>”</w:t>
            </w:r>
            <w:r w:rsidRPr="00AB561C">
              <w:rPr>
                <w:rFonts w:ascii="Verdana" w:eastAsia="Calibri" w:hAnsi="Verdana" w:cs="Arial"/>
                <w:color w:val="000000" w:themeColor="text1"/>
              </w:rPr>
              <w:t>.</w:t>
            </w:r>
            <w:r>
              <w:rPr>
                <w:rFonts w:ascii="Verdana" w:eastAsia="Calibri" w:hAnsi="Verdana" w:cs="Arial"/>
                <w:color w:val="000000" w:themeColor="text1"/>
              </w:rPr>
              <w:t xml:space="preserve"> </w:t>
            </w:r>
          </w:p>
          <w:p w14:paraId="4156490C" w14:textId="77777777" w:rsidR="00C9654B" w:rsidRDefault="00C9654B" w:rsidP="008F7C2F">
            <w:pPr>
              <w:spacing w:after="120" w:line="276" w:lineRule="auto"/>
              <w:ind w:firstLine="708"/>
              <w:jc w:val="both"/>
              <w:rPr>
                <w:rFonts w:ascii="Verdana" w:eastAsia="Calibri" w:hAnsi="Verdana" w:cs="Arial"/>
                <w:bCs/>
                <w:color w:val="000000" w:themeColor="text1"/>
              </w:rPr>
            </w:pPr>
            <w:r>
              <w:rPr>
                <w:rFonts w:ascii="Verdana" w:eastAsia="Calibri" w:hAnsi="Verdana" w:cs="Arial"/>
                <w:color w:val="000000" w:themeColor="text1"/>
              </w:rPr>
              <w:t xml:space="preserve">Sobre esta base, es posible la existencia de guías o materiales de estudio de varios autores que se refieren a un mismo tema.  Aunque cada obra tiene derechos de autor, la existencia de la propiedad intelectual no sería incompatible con la pluralidad de oferentes. Por ello, si la entidad estima que existen varias guías o materiales de estudio que pueden satisfacer su necesidad, deben privilegiarse los procedimientos de selección competitivos sobre la contratación directa. En este caso, no existe una única persona que pueda proveer el bien o servicio en los términos del </w:t>
            </w:r>
            <w:r w:rsidRPr="00910F48">
              <w:rPr>
                <w:rFonts w:ascii="Verdana" w:eastAsia="Calibri" w:hAnsi="Verdana" w:cs="Arial"/>
                <w:color w:val="000000" w:themeColor="text1"/>
              </w:rPr>
              <w:t>2.2.1.2.1.4.8 del Decreto 1082 de 2015</w:t>
            </w:r>
            <w:r>
              <w:rPr>
                <w:rFonts w:ascii="Verdana" w:eastAsia="Calibri" w:hAnsi="Verdana" w:cs="Arial"/>
                <w:color w:val="000000" w:themeColor="text1"/>
              </w:rPr>
              <w:t xml:space="preserve">.    </w:t>
            </w:r>
          </w:p>
          <w:p w14:paraId="263D1D7D" w14:textId="77777777" w:rsidR="00C9654B" w:rsidRPr="000E345C" w:rsidRDefault="00C9654B" w:rsidP="008F7C2F">
            <w:pPr>
              <w:spacing w:line="276" w:lineRule="auto"/>
              <w:ind w:firstLine="709"/>
              <w:jc w:val="both"/>
              <w:rPr>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Pr>
                <w:rStyle w:val="s15"/>
                <w:rFonts w:ascii="Verdana" w:hAnsi="Verdana"/>
                <w:color w:val="000000"/>
              </w:rPr>
              <w:t xml:space="preserve">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w:t>
            </w:r>
            <w:r>
              <w:rPr>
                <w:rStyle w:val="s15"/>
                <w:rFonts w:ascii="Verdana" w:hAnsi="Verdana"/>
                <w:color w:val="000000"/>
              </w:rPr>
              <w:t xml:space="preserve"> determinar qué </w:t>
            </w:r>
            <w:r>
              <w:rPr>
                <w:rFonts w:ascii="Verdana" w:eastAsia="Calibri" w:hAnsi="Verdana" w:cs="Arial"/>
                <w:color w:val="000000" w:themeColor="text1"/>
              </w:rPr>
              <w:t>bienes y servicios de características técnicas uniformes y de común utilización están sujetos a derechos de autor y</w:t>
            </w:r>
            <w:r w:rsidRPr="001941FD">
              <w:rPr>
                <w:rStyle w:val="s15"/>
                <w:rFonts w:ascii="Verdana" w:hAnsi="Verdana"/>
                <w:color w:val="000000"/>
              </w:rPr>
              <w:t xml:space="preserve"> validar sus actuaciones.</w:t>
            </w:r>
          </w:p>
        </w:tc>
      </w:tr>
    </w:tbl>
    <w:p w14:paraId="6A776CEC" w14:textId="77777777" w:rsidR="00C9654B" w:rsidRPr="00593A5F" w:rsidRDefault="00C9654B" w:rsidP="00C9654B">
      <w:pPr>
        <w:tabs>
          <w:tab w:val="left" w:pos="142"/>
          <w:tab w:val="left" w:pos="284"/>
        </w:tabs>
        <w:spacing w:after="0" w:line="276" w:lineRule="auto"/>
        <w:jc w:val="both"/>
        <w:rPr>
          <w:rFonts w:ascii="Verdana" w:eastAsia="Century Gothic" w:hAnsi="Verdana" w:cs="Century Gothic"/>
          <w:b/>
          <w:bCs/>
          <w:lang w:val="es-ES"/>
        </w:rPr>
      </w:pPr>
    </w:p>
    <w:bookmarkEnd w:id="1"/>
    <w:p w14:paraId="029A967E" w14:textId="77777777" w:rsidR="00C9654B" w:rsidRPr="00593A5F" w:rsidRDefault="00C9654B" w:rsidP="00C965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F8C23CE" w14:textId="77777777" w:rsidR="00C9654B" w:rsidRPr="00593A5F" w:rsidRDefault="00C9654B" w:rsidP="00C9654B">
      <w:pPr>
        <w:spacing w:after="0" w:line="276" w:lineRule="auto"/>
        <w:jc w:val="both"/>
        <w:rPr>
          <w:rFonts w:ascii="Verdana" w:eastAsia="Calibri" w:hAnsi="Verdana" w:cs="Arial"/>
          <w:color w:val="7030A0"/>
          <w:lang w:val="es-ES"/>
        </w:rPr>
      </w:pPr>
    </w:p>
    <w:p w14:paraId="3E469358" w14:textId="77777777" w:rsidR="00C9654B" w:rsidRDefault="00C9654B" w:rsidP="00C9654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48F6AF7" w14:textId="77777777" w:rsidR="00C9654B" w:rsidRPr="00415608" w:rsidRDefault="00C9654B" w:rsidP="00C9654B">
      <w:pPr>
        <w:spacing w:after="0" w:line="276" w:lineRule="auto"/>
        <w:jc w:val="both"/>
        <w:rPr>
          <w:rFonts w:ascii="Verdana" w:eastAsia="Calibri" w:hAnsi="Verdana" w:cs="Arial"/>
          <w:lang w:val="es-ES"/>
        </w:rPr>
      </w:pPr>
    </w:p>
    <w:p w14:paraId="7D0750F4" w14:textId="77777777" w:rsidR="00C9654B" w:rsidRPr="00B46EAD" w:rsidRDefault="00C9654B" w:rsidP="00C9654B">
      <w:pPr>
        <w:tabs>
          <w:tab w:val="left" w:pos="426"/>
        </w:tabs>
        <w:spacing w:after="120" w:line="276" w:lineRule="auto"/>
        <w:jc w:val="both"/>
        <w:rPr>
          <w:rFonts w:ascii="Verdana" w:eastAsia="Calibri" w:hAnsi="Verdana" w:cs="Arial"/>
          <w:color w:val="000000"/>
          <w:szCs w:val="24"/>
          <w:lang w:val="es-ES_tradnl" w:eastAsia="es-ES_tradnl"/>
        </w:rPr>
      </w:pPr>
      <w:r>
        <w:rPr>
          <w:rFonts w:ascii="Verdana" w:eastAsia="Calibri" w:hAnsi="Verdana" w:cs="Arial"/>
          <w:color w:val="000000"/>
          <w:szCs w:val="24"/>
          <w:lang w:val="es-ES_tradnl" w:eastAsia="es-ES_tradnl"/>
        </w:rPr>
        <w:t xml:space="preserve">i. </w:t>
      </w:r>
      <w:r w:rsidRPr="0086479C">
        <w:rPr>
          <w:rFonts w:ascii="Verdana" w:eastAsia="Calibri" w:hAnsi="Verdana" w:cs="Arial"/>
          <w:color w:val="000000"/>
          <w:szCs w:val="24"/>
          <w:lang w:val="es-ES_tradnl" w:eastAsia="es-ES_tradnl"/>
        </w:rPr>
        <w:t>P</w:t>
      </w:r>
      <w:r w:rsidRPr="0086479C">
        <w:rPr>
          <w:rFonts w:ascii="Verdana" w:hAnsi="Verdana" w:cs="Arial"/>
          <w:lang w:val="es-ES"/>
        </w:rPr>
        <w:t xml:space="preserve">ara las entidades sometidas al Estatuto General de Contratación de la Administración Pública, los procesos de selección se rigen por </w:t>
      </w:r>
      <w:r w:rsidRPr="0086479C">
        <w:rPr>
          <w:rFonts w:ascii="Verdana" w:hAnsi="Verdana" w:cs="Arial"/>
          <w:bCs/>
          <w:lang w:val="es-ES_tradnl"/>
        </w:rPr>
        <w:t>el artículo 2 de la Ley 1150 de 2007</w:t>
      </w:r>
      <w:r w:rsidRPr="0086479C">
        <w:rPr>
          <w:rFonts w:ascii="Verdana" w:hAnsi="Verdana" w:cs="Arial"/>
          <w:lang w:val="es-ES"/>
        </w:rPr>
        <w:t xml:space="preserve">. El </w:t>
      </w:r>
      <w:r w:rsidRPr="0086479C">
        <w:rPr>
          <w:rFonts w:ascii="Verdana" w:eastAsia="Calibri" w:hAnsi="Verdana" w:cs="Arial"/>
          <w:bCs/>
          <w:lang w:val="es-MX" w:eastAsia="es-ES_tradnl"/>
        </w:rPr>
        <w:t>numeral uno, inciso primero, de la norma citada</w:t>
      </w:r>
      <w:r w:rsidRPr="0086479C">
        <w:rPr>
          <w:rFonts w:ascii="Verdana" w:hAnsi="Verdana" w:cs="Arial"/>
          <w:bCs/>
          <w:lang w:val="es-ES_tradnl"/>
        </w:rPr>
        <w:t xml:space="preserve"> </w:t>
      </w:r>
      <w:r w:rsidRPr="0086479C">
        <w:rPr>
          <w:rFonts w:ascii="Verdana" w:eastAsia="Calibri" w:hAnsi="Verdana" w:cs="Arial"/>
          <w:bCs/>
          <w:lang w:val="es-MX" w:eastAsia="es-ES_tradnl"/>
        </w:rPr>
        <w:t xml:space="preserve">dispone que “La escogencia del contratista se efectuará por </w:t>
      </w:r>
      <w:r w:rsidRPr="0086479C">
        <w:rPr>
          <w:rFonts w:ascii="Verdana" w:eastAsia="Calibri" w:hAnsi="Verdana" w:cs="Arial"/>
          <w:bCs/>
          <w:i/>
          <w:iCs/>
          <w:lang w:val="es-MX" w:eastAsia="es-ES_tradnl"/>
        </w:rPr>
        <w:t>regla general</w:t>
      </w:r>
      <w:r w:rsidRPr="0086479C">
        <w:rPr>
          <w:rFonts w:ascii="Verdana" w:eastAsia="Calibri" w:hAnsi="Verdana" w:cs="Arial"/>
          <w:bCs/>
          <w:lang w:val="es-MX" w:eastAsia="es-ES_tradnl"/>
        </w:rPr>
        <w:t xml:space="preserve"> a través de licitación pública, con las </w:t>
      </w:r>
      <w:r w:rsidRPr="0086479C">
        <w:rPr>
          <w:rFonts w:ascii="Verdana" w:eastAsia="Calibri" w:hAnsi="Verdana" w:cs="Arial"/>
          <w:bCs/>
          <w:i/>
          <w:iCs/>
          <w:lang w:val="es-MX" w:eastAsia="es-ES_tradnl"/>
        </w:rPr>
        <w:t>excepciones</w:t>
      </w:r>
      <w:r w:rsidRPr="0086479C">
        <w:rPr>
          <w:rFonts w:ascii="Verdana" w:eastAsia="Calibri" w:hAnsi="Verdana" w:cs="Arial"/>
          <w:bCs/>
          <w:lang w:val="es-MX" w:eastAsia="es-ES_tradnl"/>
        </w:rPr>
        <w:t xml:space="preserve"> que se señalan en los numerales 2, 3 y 4 </w:t>
      </w:r>
      <w:r w:rsidRPr="0086479C">
        <w:rPr>
          <w:rFonts w:ascii="Verdana" w:eastAsia="Calibri" w:hAnsi="Verdana" w:cs="Arial"/>
          <w:bCs/>
          <w:lang w:val="es-MX" w:eastAsia="es-ES_tradnl"/>
        </w:rPr>
        <w:lastRenderedPageBreak/>
        <w:t>del presente artículo”, norma que sustituye el derogado numeral 1 del artículo 24 de la Ley 80 de 1993 sobre el principio de transparencia</w:t>
      </w:r>
      <w:r w:rsidRPr="0086479C">
        <w:rPr>
          <w:rStyle w:val="Refdenotaalpie"/>
          <w:rFonts w:ascii="Verdana" w:eastAsia="Calibri" w:hAnsi="Verdana" w:cs="Arial"/>
          <w:bCs/>
          <w:lang w:val="es-MX" w:eastAsia="es-ES_tradnl"/>
        </w:rPr>
        <w:footnoteReference w:id="1"/>
      </w:r>
      <w:r w:rsidRPr="0086479C">
        <w:rPr>
          <w:rFonts w:ascii="Verdana" w:eastAsia="Calibri" w:hAnsi="Verdana" w:cs="Arial"/>
          <w:bCs/>
          <w:lang w:val="es-MX" w:eastAsia="es-ES_tradnl"/>
        </w:rPr>
        <w:t xml:space="preserve">. </w:t>
      </w:r>
    </w:p>
    <w:p w14:paraId="1CB9AEEF" w14:textId="77777777" w:rsidR="00C9654B" w:rsidRPr="00185EE9" w:rsidRDefault="00C9654B" w:rsidP="00C9654B">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1A78B7E8" w14:textId="77777777" w:rsidR="00C9654B" w:rsidRPr="00185EE9" w:rsidRDefault="00C9654B" w:rsidP="00C9654B">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185EE9">
        <w:rPr>
          <w:rStyle w:val="Refdenotaalpie"/>
          <w:rFonts w:ascii="Verdana" w:eastAsia="Calibri" w:hAnsi="Verdana" w:cs="Arial"/>
        </w:rPr>
        <w:footnoteReference w:id="3"/>
      </w:r>
      <w:r w:rsidRPr="00185EE9">
        <w:rPr>
          <w:rFonts w:ascii="Verdana" w:eastAsia="Calibri" w:hAnsi="Verdana" w:cs="Arial"/>
        </w:rPr>
        <w:t xml:space="preserve">. </w:t>
      </w:r>
    </w:p>
    <w:p w14:paraId="2433F1C9" w14:textId="77777777" w:rsidR="00C9654B" w:rsidRPr="00185EE9" w:rsidRDefault="00C9654B" w:rsidP="00C9654B">
      <w:pPr>
        <w:spacing w:after="0" w:line="276" w:lineRule="auto"/>
        <w:ind w:firstLine="708"/>
        <w:jc w:val="both"/>
        <w:rPr>
          <w:rFonts w:ascii="Verdana" w:eastAsia="Calibri" w:hAnsi="Verdana" w:cs="Arial"/>
        </w:rPr>
      </w:pPr>
      <w:r w:rsidRPr="00185EE9">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77CF6FD4" w14:textId="77777777" w:rsidR="00C9654B" w:rsidRPr="00185EE9" w:rsidRDefault="00C9654B" w:rsidP="00C9654B">
      <w:pPr>
        <w:spacing w:after="0" w:line="276" w:lineRule="auto"/>
        <w:jc w:val="both"/>
        <w:rPr>
          <w:rFonts w:ascii="Verdana" w:eastAsia="Calibri" w:hAnsi="Verdana" w:cs="Arial"/>
        </w:rPr>
      </w:pPr>
    </w:p>
    <w:p w14:paraId="6C02009D" w14:textId="77777777" w:rsidR="00C9654B" w:rsidRPr="008C5B7D" w:rsidRDefault="00C9654B" w:rsidP="00C9654B">
      <w:pPr>
        <w:spacing w:after="120" w:line="240" w:lineRule="auto"/>
        <w:ind w:left="709" w:right="709"/>
        <w:jc w:val="both"/>
        <w:rPr>
          <w:rFonts w:ascii="Verdana" w:eastAsia="Calibri" w:hAnsi="Verdana" w:cs="Arial"/>
          <w:sz w:val="20"/>
          <w:szCs w:val="20"/>
        </w:rPr>
      </w:pPr>
      <w:r w:rsidRPr="008C5B7D">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23DE76C1" w14:textId="77777777" w:rsidR="00C9654B" w:rsidRPr="008C5B7D" w:rsidRDefault="00C9654B" w:rsidP="00C9654B">
      <w:pPr>
        <w:spacing w:after="0" w:line="240" w:lineRule="auto"/>
        <w:ind w:left="709" w:right="709"/>
        <w:jc w:val="both"/>
        <w:rPr>
          <w:rFonts w:ascii="Verdana" w:eastAsia="Calibri" w:hAnsi="Verdana" w:cs="Arial"/>
          <w:sz w:val="20"/>
          <w:szCs w:val="20"/>
        </w:rPr>
      </w:pPr>
      <w:r w:rsidRPr="008C5B7D">
        <w:rPr>
          <w:rFonts w:ascii="Verdana" w:eastAsia="Calibri" w:hAnsi="Verdana" w:cs="Arial"/>
          <w:sz w:val="20"/>
          <w:szCs w:val="20"/>
        </w:rPr>
        <w:t xml:space="preserve">– Se crea la llamada ‘selección abreviada’, para permitir la existencia de procedimientos de selección que, basados estrictamente en los principios </w:t>
      </w:r>
      <w:r w:rsidRPr="008C5B7D">
        <w:rPr>
          <w:rFonts w:ascii="Verdana" w:eastAsia="Calibri" w:hAnsi="Verdana" w:cs="Arial"/>
          <w:sz w:val="20"/>
          <w:szCs w:val="20"/>
        </w:rPr>
        <w:lastRenderedPageBreak/>
        <w:t>cardinales de la contratación pública, permitan de manera ágil la adopción de decisiones de selección […]”</w:t>
      </w:r>
      <w:r w:rsidRPr="008C5B7D">
        <w:rPr>
          <w:rStyle w:val="Refdenotaalpie"/>
          <w:rFonts w:ascii="Verdana" w:eastAsia="Calibri" w:hAnsi="Verdana" w:cs="Arial"/>
          <w:sz w:val="20"/>
          <w:szCs w:val="20"/>
        </w:rPr>
        <w:footnoteReference w:id="4"/>
      </w:r>
      <w:r w:rsidRPr="008C5B7D">
        <w:rPr>
          <w:rFonts w:ascii="Verdana" w:eastAsia="Calibri" w:hAnsi="Verdana" w:cs="Arial"/>
          <w:sz w:val="20"/>
          <w:szCs w:val="20"/>
        </w:rPr>
        <w:t>.</w:t>
      </w:r>
    </w:p>
    <w:p w14:paraId="287E9D5C" w14:textId="77777777" w:rsidR="00C9654B" w:rsidRPr="00185EE9" w:rsidRDefault="00C9654B" w:rsidP="00C9654B">
      <w:pPr>
        <w:spacing w:after="0" w:line="276" w:lineRule="auto"/>
        <w:jc w:val="both"/>
        <w:rPr>
          <w:rFonts w:ascii="Verdana" w:eastAsia="Calibri" w:hAnsi="Verdana" w:cs="Arial"/>
        </w:rPr>
      </w:pPr>
    </w:p>
    <w:p w14:paraId="1C67A4B2" w14:textId="77777777" w:rsidR="00C9654B" w:rsidRPr="00185EE9" w:rsidRDefault="00C9654B" w:rsidP="00C9654B">
      <w:pPr>
        <w:spacing w:after="120" w:line="276" w:lineRule="auto"/>
        <w:ind w:firstLine="709"/>
        <w:jc w:val="both"/>
        <w:rPr>
          <w:rFonts w:ascii="Verdana" w:eastAsia="Calibri" w:hAnsi="Verdana" w:cs="Arial"/>
        </w:rPr>
      </w:pPr>
      <w:r w:rsidRPr="00185EE9">
        <w:rPr>
          <w:rFonts w:ascii="Verdana" w:eastAsia="Calibri" w:hAnsi="Verdana"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5"/>
      </w:r>
      <w:r w:rsidRPr="00185EE9">
        <w:rPr>
          <w:rFonts w:ascii="Verdana" w:eastAsia="Calibri" w:hAnsi="Verdana" w:cs="Arial"/>
        </w:rPr>
        <w:t xml:space="preserve">. </w:t>
      </w:r>
    </w:p>
    <w:p w14:paraId="4F260513" w14:textId="77777777" w:rsidR="00C9654B" w:rsidRPr="00185EE9" w:rsidRDefault="00C9654B" w:rsidP="00C9654B">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6"/>
      </w:r>
      <w:r w:rsidRPr="00185EE9">
        <w:rPr>
          <w:rFonts w:ascii="Verdana" w:eastAsia="Calibri" w:hAnsi="Verdana" w:cs="Arial"/>
          <w:bCs/>
          <w:color w:val="000000" w:themeColor="text1"/>
        </w:rPr>
        <w:t xml:space="preserve">. </w:t>
      </w:r>
    </w:p>
    <w:p w14:paraId="009D7D87" w14:textId="77777777" w:rsidR="00C9654B" w:rsidRPr="00185EE9" w:rsidRDefault="00C9654B" w:rsidP="00C9654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lastRenderedPageBreak/>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34E54C6E" w14:textId="77777777" w:rsidR="00C9654B" w:rsidRPr="00185EE9" w:rsidRDefault="00C9654B" w:rsidP="00C9654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w:t>
      </w:r>
    </w:p>
    <w:p w14:paraId="5BB1EE21" w14:textId="77777777" w:rsidR="00C9654B" w:rsidRPr="00185EE9" w:rsidRDefault="00C9654B" w:rsidP="00C9654B">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w:t>
      </w:r>
      <w:r w:rsidRPr="00185EE9">
        <w:rPr>
          <w:rFonts w:ascii="Verdana" w:eastAsia="Calibri" w:hAnsi="Verdana" w:cs="Arial"/>
          <w:bCs/>
          <w:color w:val="000000" w:themeColor="text1"/>
        </w:rPr>
        <w:lastRenderedPageBreak/>
        <w:t xml:space="preserve">agrupados como bienes y servicios homogéneos para su adquisición […]”, dado que cuentan con especificaciones técnicas y patrones de desempeño y calidad similares. Al respecto, la exposición de motivos de la Ley 1150 de 2007 explica que: </w:t>
      </w:r>
    </w:p>
    <w:p w14:paraId="540948FB" w14:textId="77777777" w:rsidR="00C9654B" w:rsidRPr="00185EE9" w:rsidRDefault="00C9654B" w:rsidP="00C9654B">
      <w:pPr>
        <w:spacing w:after="0" w:line="276" w:lineRule="auto"/>
        <w:jc w:val="both"/>
        <w:rPr>
          <w:rFonts w:ascii="Verdana" w:eastAsia="Calibri" w:hAnsi="Verdana" w:cs="Arial"/>
        </w:rPr>
      </w:pPr>
    </w:p>
    <w:p w14:paraId="0341B761" w14:textId="77777777" w:rsidR="00C9654B" w:rsidRPr="00185EE9" w:rsidRDefault="00C9654B" w:rsidP="00C9654B">
      <w:pPr>
        <w:spacing w:after="0" w:line="240" w:lineRule="auto"/>
        <w:ind w:left="709" w:right="709"/>
        <w:jc w:val="both"/>
        <w:rPr>
          <w:rFonts w:ascii="Verdana" w:eastAsia="Calibri" w:hAnsi="Verdana" w:cs="Arial"/>
          <w:sz w:val="21"/>
          <w:szCs w:val="21"/>
        </w:rPr>
      </w:pPr>
      <w:r w:rsidRPr="00185EE9">
        <w:rPr>
          <w:rFonts w:ascii="Verdana" w:eastAsia="Calibri" w:hAnsi="Verdana" w:cs="Arial"/>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185EE9">
        <w:rPr>
          <w:rFonts w:ascii="Verdana" w:eastAsia="Calibri" w:hAnsi="Verdana" w:cs="Arial"/>
          <w:i/>
          <w:iCs/>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185EE9">
        <w:rPr>
          <w:rFonts w:ascii="Verdana" w:eastAsia="Calibri" w:hAnsi="Verdana" w:cs="Arial"/>
          <w:sz w:val="21"/>
          <w:szCs w:val="21"/>
        </w:rPr>
        <w:t xml:space="preserve"> […]”</w:t>
      </w:r>
      <w:r w:rsidRPr="00185EE9">
        <w:rPr>
          <w:rStyle w:val="Refdenotaalpie"/>
          <w:rFonts w:ascii="Verdana" w:eastAsia="Calibri" w:hAnsi="Verdana" w:cs="Arial"/>
          <w:sz w:val="21"/>
          <w:szCs w:val="21"/>
        </w:rPr>
        <w:footnoteReference w:id="9"/>
      </w:r>
      <w:r w:rsidRPr="00185EE9">
        <w:rPr>
          <w:rFonts w:ascii="Verdana" w:eastAsia="Calibri" w:hAnsi="Verdana" w:cs="Arial"/>
          <w:sz w:val="21"/>
          <w:szCs w:val="21"/>
        </w:rPr>
        <w:t>. (Énfasis fuera de texto)</w:t>
      </w:r>
    </w:p>
    <w:p w14:paraId="0B24B0D3" w14:textId="77777777" w:rsidR="00C9654B" w:rsidRPr="00185EE9" w:rsidRDefault="00C9654B" w:rsidP="00C9654B">
      <w:pPr>
        <w:spacing w:after="0" w:line="276" w:lineRule="auto"/>
        <w:jc w:val="both"/>
        <w:rPr>
          <w:rFonts w:ascii="Verdana" w:eastAsia="Calibri" w:hAnsi="Verdana" w:cs="Arial"/>
        </w:rPr>
      </w:pPr>
    </w:p>
    <w:p w14:paraId="19A0450E" w14:textId="77777777" w:rsidR="00C9654B" w:rsidRPr="00185EE9" w:rsidRDefault="00C9654B" w:rsidP="00C9654B">
      <w:pPr>
        <w:spacing w:after="120" w:line="276" w:lineRule="auto"/>
        <w:ind w:firstLine="709"/>
        <w:jc w:val="both"/>
        <w:rPr>
          <w:rFonts w:ascii="Verdana" w:eastAsia="Calibri" w:hAnsi="Verdana" w:cs="Arial"/>
        </w:rPr>
      </w:pPr>
      <w:r w:rsidRPr="00185EE9">
        <w:rPr>
          <w:rFonts w:ascii="Verdana" w:eastAsia="Calibri" w:hAnsi="Verdana" w:cs="Arial"/>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0"/>
      </w:r>
    </w:p>
    <w:p w14:paraId="3485EF9C" w14:textId="77777777" w:rsidR="00C9654B" w:rsidRDefault="00C9654B" w:rsidP="00C9654B">
      <w:pPr>
        <w:spacing w:after="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1E585B">
        <w:rPr>
          <w:rFonts w:ascii="Verdana" w:eastAsia="Calibri" w:hAnsi="Verdana" w:cs="Arial"/>
          <w:bCs/>
          <w:color w:val="000000" w:themeColor="text1"/>
        </w:rPr>
        <w:t xml:space="preserve">Para la adquisición de estos bienes y servicios las entidades deberán, siempre que el reglamento así lo señale, hacer uso de procedimientos de subasta inversa o de instrumentos de compra por </w:t>
      </w:r>
      <w:r w:rsidRPr="001E585B">
        <w:rPr>
          <w:rFonts w:ascii="Verdana" w:eastAsia="Calibri" w:hAnsi="Verdana" w:cs="Arial"/>
          <w:bCs/>
          <w:color w:val="000000" w:themeColor="text1"/>
        </w:rPr>
        <w:lastRenderedPageBreak/>
        <w:t>catálogo derivados de la celebración de acuerdos marco de precios o de procedimientos de adquisición en bolsas de productos</w:t>
      </w:r>
      <w:r w:rsidRPr="00185EE9">
        <w:rPr>
          <w:rFonts w:ascii="Verdana" w:eastAsia="Calibri" w:hAnsi="Verdana" w:cs="Arial"/>
          <w:bCs/>
          <w:color w:val="000000" w:themeColor="text1"/>
        </w:rPr>
        <w:t>”. Estos mecanismos se aplicarán en la forma que disponga el Decreto 1082 de 2015 para para cada uno de ellos.</w:t>
      </w:r>
    </w:p>
    <w:p w14:paraId="114613D8" w14:textId="77777777" w:rsidR="00C9654B" w:rsidRPr="00185EE9" w:rsidRDefault="00C9654B" w:rsidP="00C9654B">
      <w:pPr>
        <w:spacing w:after="0" w:line="276" w:lineRule="auto"/>
        <w:ind w:firstLine="709"/>
        <w:jc w:val="both"/>
        <w:rPr>
          <w:rFonts w:ascii="Verdana" w:eastAsia="Calibri" w:hAnsi="Verdana" w:cs="Arial"/>
          <w:bCs/>
          <w:color w:val="000000" w:themeColor="text1"/>
        </w:rPr>
      </w:pPr>
    </w:p>
    <w:p w14:paraId="48741155" w14:textId="77777777" w:rsidR="00C9654B" w:rsidRPr="00910F48" w:rsidRDefault="00C9654B" w:rsidP="00C9654B">
      <w:pPr>
        <w:spacing w:after="120" w:line="276" w:lineRule="auto"/>
        <w:jc w:val="both"/>
        <w:rPr>
          <w:rFonts w:ascii="Verdana" w:hAnsi="Verdana" w:cs="Arial"/>
          <w:color w:val="000000" w:themeColor="text1"/>
        </w:rPr>
      </w:pPr>
      <w:proofErr w:type="spellStart"/>
      <w:r w:rsidRPr="00910F48">
        <w:rPr>
          <w:rFonts w:ascii="Verdana" w:eastAsia="Calibri" w:hAnsi="Verdana" w:cs="Arial"/>
          <w:bCs/>
          <w:color w:val="000000" w:themeColor="text1"/>
        </w:rPr>
        <w:t>ii</w:t>
      </w:r>
      <w:proofErr w:type="spellEnd"/>
      <w:r w:rsidRPr="00910F48">
        <w:rPr>
          <w:rFonts w:ascii="Verdana" w:eastAsia="Calibri" w:hAnsi="Verdana" w:cs="Arial"/>
          <w:bCs/>
          <w:color w:val="000000" w:themeColor="text1"/>
        </w:rPr>
        <w:t xml:space="preserve">. </w:t>
      </w:r>
      <w:r w:rsidRPr="00910F48">
        <w:rPr>
          <w:rFonts w:ascii="Verdana" w:hAnsi="Verdana" w:cs="Arial"/>
          <w:color w:val="000000" w:themeColor="text1"/>
        </w:rPr>
        <w:t>Aunque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p>
    <w:p w14:paraId="27C9D37E" w14:textId="77777777" w:rsidR="00C9654B" w:rsidRPr="00910F48" w:rsidRDefault="00C9654B" w:rsidP="00C9654B">
      <w:pPr>
        <w:spacing w:after="120" w:line="276" w:lineRule="auto"/>
        <w:jc w:val="both"/>
        <w:rPr>
          <w:rFonts w:ascii="Verdana" w:eastAsia="Calibri" w:hAnsi="Verdana" w:cs="Arial"/>
          <w:color w:val="000000" w:themeColor="text1"/>
        </w:rPr>
      </w:pPr>
      <w:r w:rsidRPr="00910F48">
        <w:rPr>
          <w:rFonts w:ascii="Verdana" w:hAnsi="Verdana" w:cs="Arial"/>
          <w:color w:val="000000" w:themeColor="text1"/>
        </w:rPr>
        <w:tab/>
        <w:t xml:space="preserve">Cuando se interpreta aisladamente, la causal constituye un </w:t>
      </w:r>
      <w:r w:rsidRPr="00910F48">
        <w:rPr>
          <w:rFonts w:ascii="Verdana" w:hAnsi="Verdana" w:cs="Arial"/>
          <w:i/>
          <w:iCs/>
          <w:color w:val="000000" w:themeColor="text1"/>
        </w:rPr>
        <w:t>concepto jurídico indeterminado</w:t>
      </w:r>
      <w:r w:rsidRPr="00910F48">
        <w:rPr>
          <w:rFonts w:ascii="Verdana" w:hAnsi="Verdana" w:cs="Arial"/>
          <w:color w:val="000000" w:themeColor="text1"/>
        </w:rPr>
        <w:t>. Lo anterior en la medida que debe precisarse su contenido de acuerdo a las circunstancias, pues confiere una cierta facultad de apreciación interpretativa por la amplitud y abstracción del concepto</w:t>
      </w:r>
      <w:r w:rsidRPr="00910F48">
        <w:rPr>
          <w:rStyle w:val="Refdenotaalpie"/>
          <w:rFonts w:ascii="Verdana" w:eastAsia="Calibri" w:hAnsi="Verdana" w:cs="Arial"/>
        </w:rPr>
        <w:footnoteReference w:id="11"/>
      </w:r>
      <w:r w:rsidRPr="00910F48">
        <w:rPr>
          <w:rFonts w:ascii="Verdana" w:hAnsi="Verdana" w:cs="Arial"/>
          <w:color w:val="000000" w:themeColor="text1"/>
        </w:rPr>
        <w:t xml:space="preserve">. Sin embargo, teniendo en cuenta la competencia del artículo 189.11 superior para la debida ejecución de la ley, nada obsta para que el reglamento determine los casos en que no existe pluralidad de oferentes, pues </w:t>
      </w:r>
      <w:r w:rsidRPr="00910F48">
        <w:rPr>
          <w:rFonts w:ascii="Verdana" w:eastAsia="Calibri" w:hAnsi="Verdana" w:cs="Arial"/>
          <w:color w:val="000000" w:themeColor="text1"/>
        </w:rPr>
        <w:t xml:space="preserve">aunque el artículo 28 del Código Civil dispone que las palabras se entenderán en su sentido natural y obvio, es decir, de acuerdo con su sentido general, la norma también dispone que cuando se definan expresamente para ciertas materias, se les dará en éstas su significado legal. </w:t>
      </w:r>
    </w:p>
    <w:p w14:paraId="04C35055" w14:textId="77777777" w:rsidR="00C9654B" w:rsidRPr="00910F48" w:rsidRDefault="00C9654B" w:rsidP="00C9654B">
      <w:pPr>
        <w:spacing w:after="120" w:line="276" w:lineRule="auto"/>
        <w:ind w:firstLine="708"/>
        <w:jc w:val="both"/>
        <w:rPr>
          <w:rFonts w:ascii="Verdana" w:eastAsia="Calibri" w:hAnsi="Verdana" w:cs="Arial"/>
          <w:color w:val="000000" w:themeColor="text1"/>
        </w:rPr>
      </w:pPr>
      <w:r w:rsidRPr="00910F48">
        <w:rPr>
          <w:rFonts w:ascii="Verdana" w:eastAsia="Calibri" w:hAnsi="Verdana" w:cs="Arial"/>
          <w:color w:val="000000" w:themeColor="text1"/>
        </w:rPr>
        <w:t xml:space="preserve">Históricamente, reglamentando la causal de contratación directa prevista en el derogado numeral 1, literal j), del artículo 24 de la Ley 80 de 1993, el derogado Decreto 855 de 1994, en el artículo 12, dispuso la contratación directa cuando la licitación o concurso se declaran desiertos por la ausencia de </w:t>
      </w:r>
      <w:r w:rsidRPr="00910F48">
        <w:rPr>
          <w:rFonts w:ascii="Verdana" w:eastAsia="Calibri" w:hAnsi="Verdana" w:cs="Arial"/>
          <w:color w:val="000000" w:themeColor="text1"/>
        </w:rPr>
        <w:lastRenderedPageBreak/>
        <w:t xml:space="preserve">proponentes, por el incumplimiento de los requisitos del pliego por quienes se presentan y, en general, por la falta de voluntad de participación; además, definía la ausencia de pluralidad de ofertes cuando i) no existe más de una (1) persona inscrita en el registro único de proponentes –RUP– en los contratos que requieren el cumplimiento de este requisito o </w:t>
      </w:r>
      <w:proofErr w:type="spellStart"/>
      <w:r w:rsidRPr="00910F48">
        <w:rPr>
          <w:rFonts w:ascii="Verdana" w:eastAsia="Calibri" w:hAnsi="Verdana" w:cs="Arial"/>
          <w:color w:val="000000" w:themeColor="text1"/>
        </w:rPr>
        <w:t>ii</w:t>
      </w:r>
      <w:proofErr w:type="spellEnd"/>
      <w:r w:rsidRPr="00910F48">
        <w:rPr>
          <w:rFonts w:ascii="Verdana" w:eastAsia="Calibri" w:hAnsi="Verdana" w:cs="Arial"/>
          <w:color w:val="000000" w:themeColor="text1"/>
        </w:rPr>
        <w:t>) solo existe un proveedor el bien o el servicio por ser titular de los derechos de propiedad industrial o de los derechos de autor, o por ser, de acuerdo con la ley, su proveedor exclusivo</w:t>
      </w:r>
      <w:r w:rsidRPr="00910F48">
        <w:rPr>
          <w:rStyle w:val="Refdenotaalpie"/>
          <w:rFonts w:ascii="Verdana" w:eastAsia="Calibri" w:hAnsi="Verdana" w:cs="Arial"/>
          <w:color w:val="000000" w:themeColor="text1"/>
        </w:rPr>
        <w:footnoteReference w:id="12"/>
      </w:r>
      <w:r w:rsidRPr="00910F48">
        <w:rPr>
          <w:rFonts w:ascii="Verdana" w:eastAsia="Calibri" w:hAnsi="Verdana" w:cs="Arial"/>
          <w:color w:val="000000" w:themeColor="text1"/>
        </w:rPr>
        <w:t>.</w:t>
      </w:r>
    </w:p>
    <w:p w14:paraId="53ED9243" w14:textId="77777777" w:rsidR="00C9654B" w:rsidRPr="00910F48" w:rsidRDefault="00C9654B" w:rsidP="00C9654B">
      <w:pPr>
        <w:spacing w:after="120" w:line="276" w:lineRule="auto"/>
        <w:ind w:firstLine="708"/>
        <w:jc w:val="both"/>
        <w:rPr>
          <w:rFonts w:ascii="Verdana" w:eastAsia="Calibri" w:hAnsi="Verdana" w:cs="Arial"/>
          <w:color w:val="000000" w:themeColor="text1"/>
        </w:rPr>
      </w:pPr>
      <w:r w:rsidRPr="00910F48">
        <w:rPr>
          <w:rFonts w:ascii="Verdana" w:eastAsia="Calibri" w:hAnsi="Verdana" w:cs="Arial"/>
          <w:color w:val="000000" w:themeColor="text1"/>
        </w:rPr>
        <w:t xml:space="preserve">La falta de voluntad de participación y la inexistencia de pluralidad de oferentes son dos (2) eventos distintos. Aunque ambos suponen un conocimiento del mercado en el que los proponentes desarrollan sus actividades, en el segundo escenario no es posible adelantar un proceso de selección abierto, pues no existe concurrencia de participantes. En esta medida, conservando lo dispuesto en el citado artículo 12, parágrafo 2, del Decreto 855 de 1994, tanto el artículo 17 del Decreto 2170 de 2002 como el artículo 81 del Decreto 2474 de 2008 limitaron la falta de pluralidad de oferentes en los casos donde i) no existe más de una (1) persona inscrita en el RUP o </w:t>
      </w:r>
      <w:proofErr w:type="spellStart"/>
      <w:r w:rsidRPr="00910F48">
        <w:rPr>
          <w:rFonts w:ascii="Verdana" w:eastAsia="Calibri" w:hAnsi="Verdana" w:cs="Arial"/>
          <w:color w:val="000000" w:themeColor="text1"/>
        </w:rPr>
        <w:t>ii</w:t>
      </w:r>
      <w:proofErr w:type="spellEnd"/>
      <w:r w:rsidRPr="00910F48">
        <w:rPr>
          <w:rFonts w:ascii="Verdana" w:eastAsia="Calibri" w:hAnsi="Verdana" w:cs="Arial"/>
          <w:color w:val="000000" w:themeColor="text1"/>
        </w:rPr>
        <w:t>) solo existe un proveedor del bien o el servicio por ser titular de los derechos de propiedad industrial o de los derechos de autor, o por ser proveedor exclusivo de acuerdo con la ley.</w:t>
      </w:r>
    </w:p>
    <w:p w14:paraId="5C10F5D2" w14:textId="77777777" w:rsidR="00C9654B" w:rsidRPr="00910F48" w:rsidRDefault="00C9654B" w:rsidP="00C9654B">
      <w:pPr>
        <w:spacing w:after="120" w:line="276" w:lineRule="auto"/>
        <w:ind w:firstLine="709"/>
        <w:jc w:val="both"/>
        <w:rPr>
          <w:rFonts w:ascii="Verdana" w:eastAsia="Calibri" w:hAnsi="Verdana" w:cs="Arial"/>
          <w:color w:val="000000" w:themeColor="text1"/>
        </w:rPr>
      </w:pPr>
      <w:r w:rsidRPr="00910F48">
        <w:rPr>
          <w:rFonts w:ascii="Verdana" w:eastAsia="Calibri" w:hAnsi="Verdana" w:cs="Arial"/>
          <w:color w:val="000000" w:themeColor="text1"/>
        </w:rPr>
        <w:t xml:space="preserve">Continuando con la evolución histórica, el contenido del derogado Decreto 2474 de 2008 era más acorde con los procedimientos de selección del artículo 2 de la Ley 1150 de 2007, ya que –conforme al numeral 2, literal d)– cuando se declara desierta una licitación pública, no es procedente la contratación directa sino la selección abreviada. Incluso aunque la orientación del párrafo precedente también se conservó en el artículo 3.4.2.4.1 del Decreto 734 de 2012, el artículo 80 del Decreto 1510 de 2013 eliminó la ausencia de pluralidad de oferentes </w:t>
      </w:r>
      <w:r w:rsidRPr="00910F48">
        <w:rPr>
          <w:rFonts w:ascii="Verdana" w:eastAsia="Calibri" w:hAnsi="Verdana" w:cs="Arial"/>
          <w:color w:val="000000" w:themeColor="text1"/>
        </w:rPr>
        <w:lastRenderedPageBreak/>
        <w:t xml:space="preserve">cuando no existe más de una (1) persona inscrita en el RUP, así como la expresión “de acuerdo con la ley” al tratar los proveedores exclusivos. </w:t>
      </w:r>
    </w:p>
    <w:p w14:paraId="11B35F32" w14:textId="77777777" w:rsidR="00C9654B" w:rsidRPr="00910F48" w:rsidRDefault="00C9654B" w:rsidP="00C9654B">
      <w:pPr>
        <w:spacing w:after="0" w:line="276" w:lineRule="auto"/>
        <w:ind w:firstLine="708"/>
        <w:jc w:val="both"/>
        <w:rPr>
          <w:rFonts w:ascii="Verdana" w:eastAsia="Calibri" w:hAnsi="Verdana" w:cs="Arial"/>
          <w:color w:val="000000" w:themeColor="text1"/>
        </w:rPr>
      </w:pPr>
      <w:r w:rsidRPr="00910F48">
        <w:rPr>
          <w:rFonts w:ascii="Verdana" w:eastAsia="Calibri" w:hAnsi="Verdana" w:cs="Arial"/>
          <w:color w:val="000000" w:themeColor="text1"/>
        </w:rPr>
        <w:t>En la actualidad, la norma vigente para interpretar el alcance de la causal de contratación directa dispuesta en el artículo 2, numeral 4, literal g), de la Ley 1150 de 2007 está compilada en el artículo 2.2.1.2.1.4.8 del Decreto 1082 de 2015, el cual dispone lo siguiente:</w:t>
      </w:r>
    </w:p>
    <w:p w14:paraId="2957B5D7" w14:textId="77777777" w:rsidR="00C9654B" w:rsidRPr="00910F48" w:rsidRDefault="00C9654B" w:rsidP="00C9654B">
      <w:pPr>
        <w:spacing w:after="0" w:line="276" w:lineRule="auto"/>
        <w:ind w:firstLine="708"/>
        <w:jc w:val="both"/>
        <w:rPr>
          <w:rFonts w:ascii="Verdana" w:eastAsia="Calibri" w:hAnsi="Verdana" w:cs="Arial"/>
          <w:color w:val="000000" w:themeColor="text1"/>
        </w:rPr>
      </w:pPr>
    </w:p>
    <w:p w14:paraId="24E7C72F" w14:textId="77777777" w:rsidR="00C9654B" w:rsidRPr="00910F48" w:rsidRDefault="00C9654B" w:rsidP="00C9654B">
      <w:pPr>
        <w:spacing w:after="0" w:line="240" w:lineRule="auto"/>
        <w:ind w:left="709" w:right="709"/>
        <w:jc w:val="both"/>
        <w:rPr>
          <w:rFonts w:ascii="Verdana" w:eastAsia="Calibri" w:hAnsi="Verdana" w:cs="Arial"/>
          <w:color w:val="000000" w:themeColor="text1"/>
          <w:sz w:val="20"/>
          <w:szCs w:val="20"/>
        </w:rPr>
      </w:pPr>
      <w:r w:rsidRPr="00910F48">
        <w:rPr>
          <w:rFonts w:ascii="Verdana" w:eastAsia="Calibri" w:hAnsi="Verdana" w:cs="Arial"/>
          <w:color w:val="000000" w:themeColor="text1"/>
          <w:sz w:val="20"/>
          <w:szCs w:val="20"/>
        </w:rPr>
        <w:t xml:space="preserve">“Artículo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p>
    <w:p w14:paraId="6AD113E3" w14:textId="77777777" w:rsidR="00C9654B" w:rsidRPr="00910F48" w:rsidRDefault="00C9654B" w:rsidP="00C9654B">
      <w:pPr>
        <w:spacing w:after="0" w:line="276" w:lineRule="auto"/>
        <w:ind w:left="709" w:right="709"/>
        <w:jc w:val="both"/>
        <w:rPr>
          <w:rFonts w:ascii="Verdana" w:eastAsia="Calibri" w:hAnsi="Verdana" w:cs="Arial"/>
          <w:color w:val="000000" w:themeColor="text1"/>
        </w:rPr>
      </w:pPr>
    </w:p>
    <w:p w14:paraId="71F4E60B" w14:textId="77777777" w:rsidR="00C9654B" w:rsidRPr="00910F48" w:rsidRDefault="00C9654B" w:rsidP="00C9654B">
      <w:pPr>
        <w:spacing w:after="0" w:line="276" w:lineRule="auto"/>
        <w:ind w:firstLine="708"/>
        <w:jc w:val="both"/>
        <w:rPr>
          <w:rFonts w:ascii="Verdana" w:eastAsia="Calibri" w:hAnsi="Verdana" w:cs="Arial"/>
          <w:color w:val="000000" w:themeColor="text1"/>
        </w:rPr>
      </w:pPr>
      <w:bookmarkStart w:id="3" w:name="_Hlk45532127"/>
      <w:r w:rsidRPr="00910F48">
        <w:rPr>
          <w:rFonts w:ascii="Verdana" w:eastAsia="Calibri" w:hAnsi="Verdana" w:cs="Arial"/>
          <w:color w:val="000000" w:themeColor="text1"/>
        </w:rPr>
        <w:t xml:space="preserve">La norma consagra dos (2) hipótesis. </w:t>
      </w:r>
      <w:r w:rsidRPr="00910F48">
        <w:rPr>
          <w:rFonts w:ascii="Verdana" w:eastAsia="Calibri" w:hAnsi="Verdana" w:cs="Arial"/>
          <w:i/>
          <w:iCs/>
          <w:color w:val="000000" w:themeColor="text1"/>
        </w:rPr>
        <w:t>En primer lugar</w:t>
      </w:r>
      <w:r w:rsidRPr="00910F48">
        <w:rPr>
          <w:rFonts w:ascii="Verdana" w:eastAsia="Calibri" w:hAnsi="Verdana" w:cs="Arial"/>
          <w:color w:val="000000" w:themeColor="text1"/>
        </w:rPr>
        <w:t xml:space="preserve">, </w:t>
      </w:r>
      <w:bookmarkStart w:id="4" w:name="_Hlk45627093"/>
      <w:r w:rsidRPr="00910F48">
        <w:rPr>
          <w:rFonts w:ascii="Verdana" w:eastAsia="Calibri" w:hAnsi="Verdana" w:cs="Arial"/>
          <w:color w:val="000000" w:themeColor="text1"/>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w:t>
      </w:r>
      <w:r>
        <w:rPr>
          <w:rFonts w:ascii="Verdana" w:eastAsia="Calibri" w:hAnsi="Verdana" w:cs="Arial"/>
          <w:color w:val="000000" w:themeColor="text1"/>
        </w:rPr>
        <w:t xml:space="preserve">en </w:t>
      </w:r>
      <w:r w:rsidRPr="00910F48">
        <w:rPr>
          <w:rFonts w:ascii="Verdana" w:eastAsia="Calibri" w:hAnsi="Verdana" w:cs="Arial"/>
          <w:color w:val="000000" w:themeColor="text1"/>
        </w:rPr>
        <w:t xml:space="preserve">una situación de derecho que impida que otra lo haga de forma igual o similar. </w:t>
      </w:r>
      <w:bookmarkStart w:id="5" w:name="_Hlk45635593"/>
      <w:r w:rsidRPr="00910F48">
        <w:rPr>
          <w:rFonts w:ascii="Verdana" w:eastAsia="Calibri" w:hAnsi="Verdana" w:cs="Arial"/>
          <w:color w:val="000000" w:themeColor="text1"/>
        </w:rPr>
        <w:t>Para la doctrina, en ausencia de una barrera de entrada –como la que se concreta con los derechos de propiedad industrial o de autor– es necesario aplicar el principio de concurrencia</w:t>
      </w:r>
      <w:bookmarkEnd w:id="4"/>
      <w:bookmarkEnd w:id="5"/>
      <w:r w:rsidRPr="00910F48">
        <w:rPr>
          <w:rFonts w:ascii="Verdana" w:eastAsia="Calibri" w:hAnsi="Verdana" w:cs="Arial"/>
          <w:color w:val="000000" w:themeColor="text1"/>
        </w:rPr>
        <w:t>.</w:t>
      </w:r>
      <w:bookmarkEnd w:id="3"/>
      <w:r w:rsidRPr="00910F48">
        <w:rPr>
          <w:rFonts w:ascii="Verdana" w:eastAsia="Calibri" w:hAnsi="Verdana" w:cs="Arial"/>
          <w:color w:val="000000" w:themeColor="text1"/>
        </w:rPr>
        <w:t xml:space="preserve"> Por ello, explica que es posible la contratación directa con el oferente que es titular de una marca o privilegio, agregando que:</w:t>
      </w:r>
    </w:p>
    <w:p w14:paraId="5B2A3A7E" w14:textId="77777777" w:rsidR="00C9654B" w:rsidRPr="00910F48" w:rsidRDefault="00C9654B" w:rsidP="00C9654B">
      <w:pPr>
        <w:spacing w:after="0" w:line="276" w:lineRule="auto"/>
        <w:ind w:firstLine="708"/>
        <w:jc w:val="both"/>
        <w:rPr>
          <w:rFonts w:ascii="Verdana" w:eastAsia="Calibri" w:hAnsi="Verdana" w:cs="Arial"/>
          <w:color w:val="000000" w:themeColor="text1"/>
        </w:rPr>
      </w:pPr>
    </w:p>
    <w:p w14:paraId="7E12CF68" w14:textId="77777777" w:rsidR="00C9654B" w:rsidRPr="00800019" w:rsidRDefault="00C9654B" w:rsidP="00C9654B">
      <w:pPr>
        <w:spacing w:after="0" w:line="240" w:lineRule="auto"/>
        <w:ind w:left="709" w:right="709"/>
        <w:jc w:val="both"/>
        <w:rPr>
          <w:rFonts w:ascii="Verdana" w:eastAsia="Calibri" w:hAnsi="Verdana" w:cs="Arial"/>
          <w:color w:val="000000" w:themeColor="text1"/>
          <w:sz w:val="20"/>
          <w:szCs w:val="20"/>
        </w:rPr>
      </w:pPr>
      <w:r w:rsidRPr="00800019">
        <w:rPr>
          <w:rFonts w:ascii="Verdana" w:eastAsia="Calibri" w:hAnsi="Verdana" w:cs="Arial"/>
          <w:color w:val="000000" w:themeColor="text1"/>
          <w:sz w:val="20"/>
          <w:szCs w:val="20"/>
        </w:rPr>
        <w:t>“La tutela de la propiedad intelectual del oferente o de un privilegio otorgado en modo expreso, vuelven imposible proceder por licitación, ya que solamente la persona, entidad o empresa que posee el privilegio de invención de invención o fabricación, podría presentarse formulando ofertas. Desde luego no habría pluralidad de concurrentes, ni puja que hiciera posible el cumplimiento de las finalidades básicas perseguidas por la licitación”</w:t>
      </w:r>
      <w:r w:rsidRPr="00800019">
        <w:rPr>
          <w:rStyle w:val="Refdenotaalpie"/>
          <w:rFonts w:ascii="Verdana" w:eastAsia="Calibri" w:hAnsi="Verdana" w:cs="Arial"/>
          <w:color w:val="000000" w:themeColor="text1"/>
          <w:sz w:val="20"/>
          <w:szCs w:val="20"/>
        </w:rPr>
        <w:footnoteReference w:id="13"/>
      </w:r>
      <w:r w:rsidRPr="00800019">
        <w:rPr>
          <w:rFonts w:ascii="Verdana" w:eastAsia="Calibri" w:hAnsi="Verdana" w:cs="Arial"/>
          <w:color w:val="000000" w:themeColor="text1"/>
          <w:sz w:val="20"/>
          <w:szCs w:val="20"/>
        </w:rPr>
        <w:t>.</w:t>
      </w:r>
    </w:p>
    <w:p w14:paraId="32ABCE9B" w14:textId="77777777" w:rsidR="00C9654B" w:rsidRPr="00910F48" w:rsidRDefault="00C9654B" w:rsidP="00C9654B">
      <w:pPr>
        <w:spacing w:after="0" w:line="276" w:lineRule="auto"/>
        <w:ind w:left="709" w:right="709"/>
        <w:jc w:val="both"/>
        <w:rPr>
          <w:rFonts w:ascii="Verdana" w:eastAsia="Calibri" w:hAnsi="Verdana" w:cs="Arial"/>
          <w:color w:val="000000" w:themeColor="text1"/>
        </w:rPr>
      </w:pPr>
    </w:p>
    <w:p w14:paraId="0421D386" w14:textId="77777777" w:rsidR="00C9654B" w:rsidRPr="00910F48" w:rsidRDefault="00C9654B" w:rsidP="00C9654B">
      <w:pPr>
        <w:spacing w:after="120" w:line="276" w:lineRule="auto"/>
        <w:ind w:firstLine="708"/>
        <w:jc w:val="both"/>
        <w:rPr>
          <w:rFonts w:ascii="Verdana" w:eastAsia="Calibri" w:hAnsi="Verdana" w:cs="Arial"/>
          <w:color w:val="000000" w:themeColor="text1"/>
        </w:rPr>
      </w:pPr>
      <w:bookmarkStart w:id="6" w:name="_Hlk45532434"/>
      <w:r w:rsidRPr="00910F48">
        <w:rPr>
          <w:rFonts w:ascii="Verdana" w:eastAsia="Calibri" w:hAnsi="Verdana" w:cs="Arial"/>
          <w:i/>
          <w:iCs/>
          <w:color w:val="000000" w:themeColor="text1"/>
        </w:rPr>
        <w:lastRenderedPageBreak/>
        <w:t>En segundo lugar</w:t>
      </w:r>
      <w:r w:rsidRPr="00910F48">
        <w:rPr>
          <w:rFonts w:ascii="Verdana" w:eastAsia="Calibri" w:hAnsi="Verdana" w:cs="Arial"/>
          <w:color w:val="000000" w:themeColor="text1"/>
        </w:rPr>
        <w:t xml:space="preserve">, </w:t>
      </w:r>
      <w:bookmarkStart w:id="7" w:name="_Hlk45635630"/>
      <w:bookmarkStart w:id="8" w:name="_Hlk45627184"/>
      <w:r w:rsidRPr="00910F48">
        <w:rPr>
          <w:rFonts w:ascii="Verdana" w:eastAsia="Calibri" w:hAnsi="Verdana" w:cs="Arial"/>
          <w:color w:val="000000" w:themeColor="text1"/>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7"/>
      <w:r w:rsidRPr="00910F48">
        <w:rPr>
          <w:rFonts w:ascii="Verdana" w:eastAsia="Calibri" w:hAnsi="Verdana" w:cs="Arial"/>
          <w:color w:val="000000" w:themeColor="text1"/>
        </w:rPr>
        <w:t xml:space="preserve">. </w:t>
      </w:r>
    </w:p>
    <w:p w14:paraId="20BC6C89" w14:textId="77777777" w:rsidR="00C9654B" w:rsidRPr="00910F48" w:rsidRDefault="00C9654B" w:rsidP="00C9654B">
      <w:pPr>
        <w:spacing w:after="120" w:line="276" w:lineRule="auto"/>
        <w:ind w:firstLine="708"/>
        <w:jc w:val="both"/>
        <w:rPr>
          <w:rFonts w:ascii="Verdana" w:eastAsia="Calibri" w:hAnsi="Verdana" w:cs="Arial"/>
          <w:color w:val="000000" w:themeColor="text1"/>
        </w:rPr>
      </w:pPr>
      <w:bookmarkStart w:id="9" w:name="_Hlk45635661"/>
      <w:r w:rsidRPr="00910F48">
        <w:rPr>
          <w:rFonts w:ascii="Verdana" w:eastAsia="Calibri" w:hAnsi="Verdana" w:cs="Arial"/>
          <w:color w:val="000000" w:themeColor="text1"/>
        </w:rPr>
        <w:t>Al igual que la hipótesis precedente, la presencia de un proveedor exclusivo supone una barrera de entrada para otros posibles oferentes, por lo que no es posible aplicar el principio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9"/>
      <w:r w:rsidRPr="00910F48">
        <w:rPr>
          <w:rFonts w:ascii="Verdana" w:eastAsia="Calibri" w:hAnsi="Verdana" w:cs="Arial"/>
          <w:color w:val="000000" w:themeColor="text1"/>
        </w:rPr>
        <w:t>.</w:t>
      </w:r>
      <w:bookmarkEnd w:id="8"/>
      <w:r w:rsidRPr="00910F48">
        <w:rPr>
          <w:rFonts w:ascii="Verdana" w:eastAsia="Calibri" w:hAnsi="Verdana" w:cs="Arial"/>
          <w:color w:val="000000" w:themeColor="text1"/>
        </w:rPr>
        <w:t xml:space="preserve"> </w:t>
      </w:r>
      <w:bookmarkEnd w:id="6"/>
      <w:r w:rsidRPr="00910F48">
        <w:rPr>
          <w:rFonts w:ascii="Verdana" w:eastAsia="Calibri" w:hAnsi="Verdana" w:cs="Arial"/>
          <w:color w:val="000000" w:themeColor="text1"/>
        </w:rPr>
        <w:t xml:space="preserve"> </w:t>
      </w:r>
    </w:p>
    <w:p w14:paraId="779C87BA" w14:textId="77777777" w:rsidR="00C9654B" w:rsidRDefault="00C9654B" w:rsidP="00C9654B">
      <w:pPr>
        <w:spacing w:after="0" w:line="276" w:lineRule="auto"/>
        <w:ind w:firstLine="709"/>
        <w:jc w:val="both"/>
        <w:rPr>
          <w:rFonts w:ascii="Verdana" w:eastAsia="Calibri" w:hAnsi="Verdana" w:cs="Arial"/>
          <w:color w:val="000000" w:themeColor="text1"/>
        </w:rPr>
      </w:pPr>
      <w:bookmarkStart w:id="10" w:name="_Hlk45532582"/>
      <w:r w:rsidRPr="00910F48">
        <w:rPr>
          <w:rFonts w:ascii="Verdana" w:eastAsia="Calibri" w:hAnsi="Verdana" w:cs="Arial"/>
          <w:color w:val="000000" w:themeColor="text1"/>
        </w:rPr>
        <w:t xml:space="preserve">Fuera de estas dos (2) situaciones, no es posible aplicar </w:t>
      </w:r>
      <w:bookmarkStart w:id="11" w:name="_Hlk45529265"/>
      <w:r w:rsidRPr="00910F48">
        <w:rPr>
          <w:rFonts w:ascii="Verdana" w:eastAsia="Calibri" w:hAnsi="Verdana" w:cs="Arial"/>
          <w:color w:val="000000" w:themeColor="text1"/>
        </w:rPr>
        <w:t>el artículo 2, numeral 4, literal g), de la Ley 1150 de 2007</w:t>
      </w:r>
      <w:bookmarkEnd w:id="11"/>
      <w:r w:rsidRPr="00910F48">
        <w:rPr>
          <w:rFonts w:ascii="Verdana" w:eastAsia="Calibri" w:hAnsi="Verdana" w:cs="Arial"/>
          <w:color w:val="000000" w:themeColor="text1"/>
        </w:rPr>
        <w:t>,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bookmarkEnd w:id="10"/>
      <w:r w:rsidRPr="00910F48">
        <w:rPr>
          <w:rFonts w:ascii="Verdana" w:eastAsia="Calibri" w:hAnsi="Verdana" w:cs="Arial"/>
          <w:color w:val="000000" w:themeColor="text1"/>
        </w:rPr>
        <w:t>.</w:t>
      </w:r>
    </w:p>
    <w:p w14:paraId="4B0FE11B" w14:textId="77777777" w:rsidR="00C9654B" w:rsidRDefault="00C9654B" w:rsidP="00C9654B">
      <w:pPr>
        <w:spacing w:after="0" w:line="276" w:lineRule="auto"/>
        <w:ind w:firstLine="709"/>
        <w:jc w:val="both"/>
        <w:rPr>
          <w:rFonts w:ascii="Verdana" w:eastAsia="Calibri" w:hAnsi="Verdana" w:cs="Arial"/>
          <w:color w:val="000000" w:themeColor="text1"/>
        </w:rPr>
      </w:pPr>
    </w:p>
    <w:p w14:paraId="3B3BB049" w14:textId="21BBEE7E" w:rsidR="00C9654B" w:rsidRDefault="00C9654B" w:rsidP="00C9654B">
      <w:pPr>
        <w:spacing w:after="120" w:line="276" w:lineRule="auto"/>
        <w:jc w:val="both"/>
        <w:rPr>
          <w:rFonts w:ascii="Verdana" w:eastAsia="Calibri" w:hAnsi="Verdana" w:cs="Arial"/>
          <w:color w:val="000000" w:themeColor="text1"/>
        </w:rPr>
      </w:pPr>
      <w:proofErr w:type="spellStart"/>
      <w:r w:rsidRPr="127FF6DC">
        <w:rPr>
          <w:rFonts w:ascii="Verdana" w:eastAsia="Calibri" w:hAnsi="Verdana" w:cs="Arial"/>
          <w:color w:val="000000" w:themeColor="text1"/>
        </w:rPr>
        <w:t>i</w:t>
      </w:r>
      <w:r w:rsidR="5460D240" w:rsidRPr="127FF6DC">
        <w:rPr>
          <w:rFonts w:ascii="Verdana" w:eastAsia="Calibri" w:hAnsi="Verdana" w:cs="Arial"/>
          <w:color w:val="000000" w:themeColor="text1"/>
        </w:rPr>
        <w:t>ii</w:t>
      </w:r>
      <w:proofErr w:type="spellEnd"/>
      <w:r>
        <w:rPr>
          <w:rFonts w:ascii="Verdana" w:eastAsia="Calibri" w:hAnsi="Verdana" w:cs="Arial"/>
          <w:color w:val="000000" w:themeColor="text1"/>
        </w:rPr>
        <w:t>. La existencia de bienes y servicios de características técnicas uniformes y de común utilización no es contraria a los derechos de propiedad industrial sobre los mismos. Por ello, si bien –conforme al literal c) del numeral 7.1.3 de la “</w:t>
      </w:r>
      <w:r w:rsidRPr="007E2ED0">
        <w:rPr>
          <w:rFonts w:ascii="Verdana" w:eastAsia="Calibri" w:hAnsi="Verdana" w:cs="Arial"/>
          <w:color w:val="000000" w:themeColor="text1"/>
        </w:rPr>
        <w:t xml:space="preserve">Guía </w:t>
      </w:r>
      <w:r>
        <w:rPr>
          <w:rFonts w:ascii="Verdana" w:eastAsia="Calibri" w:hAnsi="Verdana" w:cs="Arial"/>
          <w:color w:val="000000" w:themeColor="text1"/>
        </w:rPr>
        <w:t>d</w:t>
      </w:r>
      <w:r w:rsidRPr="007E2ED0">
        <w:rPr>
          <w:rFonts w:ascii="Verdana" w:eastAsia="Calibri" w:hAnsi="Verdana" w:cs="Arial"/>
          <w:color w:val="000000" w:themeColor="text1"/>
        </w:rPr>
        <w:t xml:space="preserve">e Propiedad Intelectual </w:t>
      </w:r>
      <w:r>
        <w:rPr>
          <w:rFonts w:ascii="Verdana" w:eastAsia="Calibri" w:hAnsi="Verdana" w:cs="Arial"/>
          <w:color w:val="000000" w:themeColor="text1"/>
        </w:rPr>
        <w:t>e</w:t>
      </w:r>
      <w:r w:rsidRPr="007E2ED0">
        <w:rPr>
          <w:rFonts w:ascii="Verdana" w:eastAsia="Calibri" w:hAnsi="Verdana" w:cs="Arial"/>
          <w:color w:val="000000" w:themeColor="text1"/>
        </w:rPr>
        <w:t xml:space="preserve">n </w:t>
      </w:r>
      <w:r>
        <w:rPr>
          <w:rFonts w:ascii="Verdana" w:eastAsia="Calibri" w:hAnsi="Verdana" w:cs="Arial"/>
          <w:color w:val="000000" w:themeColor="text1"/>
        </w:rPr>
        <w:t>l</w:t>
      </w:r>
      <w:r w:rsidRPr="007E2ED0">
        <w:rPr>
          <w:rFonts w:ascii="Verdana" w:eastAsia="Calibri" w:hAnsi="Verdana" w:cs="Arial"/>
          <w:color w:val="000000" w:themeColor="text1"/>
        </w:rPr>
        <w:t>a</w:t>
      </w:r>
      <w:r>
        <w:rPr>
          <w:rFonts w:ascii="Verdana" w:eastAsia="Calibri" w:hAnsi="Verdana" w:cs="Arial"/>
          <w:color w:val="000000" w:themeColor="text1"/>
        </w:rPr>
        <w:t xml:space="preserve"> </w:t>
      </w:r>
      <w:r w:rsidRPr="007E2ED0">
        <w:rPr>
          <w:rFonts w:ascii="Verdana" w:eastAsia="Calibri" w:hAnsi="Verdana" w:cs="Arial"/>
          <w:color w:val="000000" w:themeColor="text1"/>
        </w:rPr>
        <w:t>Contratación Públ</w:t>
      </w:r>
      <w:r>
        <w:rPr>
          <w:rFonts w:ascii="Verdana" w:eastAsia="Calibri" w:hAnsi="Verdana" w:cs="Arial"/>
          <w:color w:val="000000" w:themeColor="text1"/>
        </w:rPr>
        <w:t>i</w:t>
      </w:r>
      <w:r w:rsidRPr="007E2ED0">
        <w:rPr>
          <w:rFonts w:ascii="Verdana" w:eastAsia="Calibri" w:hAnsi="Verdana" w:cs="Arial"/>
          <w:color w:val="000000" w:themeColor="text1"/>
        </w:rPr>
        <w:t>ca</w:t>
      </w:r>
      <w:r>
        <w:rPr>
          <w:rFonts w:ascii="Verdana" w:eastAsia="Calibri" w:hAnsi="Verdana" w:cs="Arial"/>
          <w:color w:val="000000" w:themeColor="text1"/>
        </w:rPr>
        <w:t xml:space="preserve">”– la Agencia estima que el mobiliario de oficina, las prendas de dotación, los equipos de cómputo y los vehículos cumplen el estándar normativo tanto del literal a) del artículo 2.2 de la Ley 1150 de 2007 como del artículo </w:t>
      </w:r>
      <w:r w:rsidRPr="007E2ED0">
        <w:rPr>
          <w:rFonts w:ascii="Verdana" w:eastAsia="Calibri" w:hAnsi="Verdana" w:cs="Arial"/>
          <w:color w:val="000000" w:themeColor="text1"/>
        </w:rPr>
        <w:t>2.2.1.1.1.3.1</w:t>
      </w:r>
      <w:r>
        <w:rPr>
          <w:rFonts w:ascii="Verdana" w:eastAsia="Calibri" w:hAnsi="Verdana" w:cs="Arial"/>
          <w:color w:val="000000" w:themeColor="text1"/>
        </w:rPr>
        <w:t xml:space="preserve"> del Decreto 1082 de 2015, también considera que “</w:t>
      </w:r>
      <w:r w:rsidRPr="007D09DB">
        <w:rPr>
          <w:rFonts w:ascii="Verdana" w:eastAsia="Calibri" w:hAnsi="Verdana" w:cs="Arial"/>
          <w:color w:val="000000" w:themeColor="text1"/>
        </w:rPr>
        <w:t>Todos estos productos mencionados a título de ejemplo se distinguen en el comercio con</w:t>
      </w:r>
      <w:r>
        <w:rPr>
          <w:rFonts w:ascii="Verdana" w:eastAsia="Calibri" w:hAnsi="Verdana" w:cs="Arial"/>
          <w:color w:val="000000" w:themeColor="text1"/>
        </w:rPr>
        <w:t xml:space="preserve"> </w:t>
      </w:r>
      <w:r w:rsidRPr="007D09DB">
        <w:rPr>
          <w:rFonts w:ascii="Verdana" w:eastAsia="Calibri" w:hAnsi="Verdana" w:cs="Arial"/>
          <w:color w:val="000000" w:themeColor="text1"/>
        </w:rPr>
        <w:t>signos como Marcas y Lemas comerciales. También es probable que su apariencia externa se</w:t>
      </w:r>
      <w:r>
        <w:rPr>
          <w:rFonts w:ascii="Verdana" w:eastAsia="Calibri" w:hAnsi="Verdana" w:cs="Arial"/>
          <w:color w:val="000000" w:themeColor="text1"/>
        </w:rPr>
        <w:t xml:space="preserve"> </w:t>
      </w:r>
      <w:r w:rsidRPr="007D09DB">
        <w:rPr>
          <w:rFonts w:ascii="Verdana" w:eastAsia="Calibri" w:hAnsi="Verdana" w:cs="Arial"/>
          <w:color w:val="000000" w:themeColor="text1"/>
        </w:rPr>
        <w:t>encuentre protegida a través del registro como Diseño Industrial. No obstante, es claro que para</w:t>
      </w:r>
      <w:r>
        <w:rPr>
          <w:rFonts w:ascii="Verdana" w:eastAsia="Calibri" w:hAnsi="Verdana" w:cs="Arial"/>
          <w:color w:val="000000" w:themeColor="text1"/>
        </w:rPr>
        <w:t xml:space="preserve"> </w:t>
      </w:r>
      <w:r w:rsidRPr="007D09DB">
        <w:rPr>
          <w:rFonts w:ascii="Verdana" w:eastAsia="Calibri" w:hAnsi="Verdana" w:cs="Arial"/>
          <w:color w:val="000000" w:themeColor="text1"/>
        </w:rPr>
        <w:t>efectos de la adquisición, lo relevante es que los productos cumplan con determinadas</w:t>
      </w:r>
      <w:r>
        <w:rPr>
          <w:rFonts w:ascii="Verdana" w:eastAsia="Calibri" w:hAnsi="Verdana" w:cs="Arial"/>
          <w:color w:val="000000" w:themeColor="text1"/>
        </w:rPr>
        <w:t xml:space="preserve"> </w:t>
      </w:r>
      <w:r w:rsidRPr="007D09DB">
        <w:rPr>
          <w:rFonts w:ascii="Verdana" w:eastAsia="Calibri" w:hAnsi="Verdana" w:cs="Arial"/>
          <w:color w:val="000000" w:themeColor="text1"/>
        </w:rPr>
        <w:t>características o condiciones técnicas y de calidad</w:t>
      </w:r>
      <w:r>
        <w:rPr>
          <w:rFonts w:ascii="Verdana" w:eastAsia="Calibri" w:hAnsi="Verdana" w:cs="Arial"/>
          <w:color w:val="000000" w:themeColor="text1"/>
        </w:rPr>
        <w:t>”.</w:t>
      </w:r>
    </w:p>
    <w:p w14:paraId="7BE6B470" w14:textId="77777777" w:rsidR="00C9654B" w:rsidRDefault="00C9654B" w:rsidP="00C9654B">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lastRenderedPageBreak/>
        <w:tab/>
        <w:t xml:space="preserve">Es decir, de la existencia de derechos de propiedad industrial sobre bienes y servicios de características técnicas uniformes y de común utilización no se deriva la aplicación automática de la causal de contratación directa del literal g) del artículo 2.4 de la Ley 1150 de 2007. Por este motivo, la mencionada guía explica que el procedimiento de selección aplicable “[…] </w:t>
      </w:r>
      <w:r w:rsidRPr="007D09DB">
        <w:rPr>
          <w:rFonts w:ascii="Verdana" w:eastAsia="Calibri" w:hAnsi="Verdana" w:cs="Arial"/>
          <w:color w:val="000000" w:themeColor="text1"/>
        </w:rPr>
        <w:t>será la modalidad de selección abreviada, ya sea: a) través de un Acuerdo</w:t>
      </w:r>
      <w:r>
        <w:rPr>
          <w:rFonts w:ascii="Verdana" w:eastAsia="Calibri" w:hAnsi="Verdana" w:cs="Arial"/>
          <w:color w:val="000000" w:themeColor="text1"/>
        </w:rPr>
        <w:t xml:space="preserve"> </w:t>
      </w:r>
      <w:r w:rsidRPr="007D09DB">
        <w:rPr>
          <w:rFonts w:ascii="Verdana" w:eastAsia="Calibri" w:hAnsi="Verdana" w:cs="Arial"/>
          <w:color w:val="000000" w:themeColor="text1"/>
        </w:rPr>
        <w:t>Marco de Precios, b) subasta inversa o c) el mecanismo de bolsa de productos</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4"/>
      </w:r>
      <w:r>
        <w:rPr>
          <w:rFonts w:ascii="Verdana" w:eastAsia="Calibri" w:hAnsi="Verdana" w:cs="Arial"/>
          <w:color w:val="000000" w:themeColor="text1"/>
        </w:rPr>
        <w:t>.</w:t>
      </w:r>
    </w:p>
    <w:p w14:paraId="5CA5174F" w14:textId="77777777" w:rsidR="00C9654B" w:rsidRDefault="00C9654B" w:rsidP="00C9654B">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rPr>
        <w:tab/>
      </w:r>
      <w:r w:rsidRPr="00182E75">
        <w:rPr>
          <w:rFonts w:ascii="Verdana" w:eastAsia="Calibri" w:hAnsi="Verdana" w:cs="Arial"/>
          <w:i/>
          <w:iCs/>
          <w:color w:val="000000" w:themeColor="text1"/>
        </w:rPr>
        <w:t>Mutatis mutandis</w:t>
      </w:r>
      <w:r>
        <w:rPr>
          <w:rFonts w:ascii="Verdana" w:eastAsia="Calibri" w:hAnsi="Verdana" w:cs="Arial"/>
          <w:color w:val="000000" w:themeColor="text1"/>
        </w:rPr>
        <w:t xml:space="preserve">, el mismo razonamiento aplica a los derechos de autor sobre guías o materiales de estudio. Por el hecho de que sobre estas obras recaigan derechos de propiedad intelectual, dichos materiales no dejan de tener unas </w:t>
      </w:r>
      <w:r w:rsidRPr="00185EE9">
        <w:rPr>
          <w:rFonts w:ascii="Verdana" w:eastAsia="Calibri" w:hAnsi="Verdana" w:cs="Arial"/>
          <w:bCs/>
          <w:color w:val="000000" w:themeColor="text1"/>
        </w:rPr>
        <w:t>mismas especificaciones técnicas y compart</w:t>
      </w:r>
      <w:r>
        <w:rPr>
          <w:rFonts w:ascii="Verdana" w:eastAsia="Calibri" w:hAnsi="Verdana" w:cs="Arial"/>
          <w:bCs/>
          <w:color w:val="000000" w:themeColor="text1"/>
        </w:rPr>
        <w:t>ir</w:t>
      </w:r>
      <w:r w:rsidRPr="00185EE9">
        <w:rPr>
          <w:rFonts w:ascii="Verdana" w:eastAsia="Calibri" w:hAnsi="Verdana" w:cs="Arial"/>
          <w:bCs/>
          <w:color w:val="000000" w:themeColor="text1"/>
        </w:rPr>
        <w:t xml:space="preserve"> patrones de desempeño y calidad objetivamente definidos</w:t>
      </w:r>
      <w:r>
        <w:rPr>
          <w:rFonts w:ascii="Verdana" w:eastAsia="Calibri" w:hAnsi="Verdana" w:cs="Arial"/>
          <w:bCs/>
          <w:color w:val="000000" w:themeColor="text1"/>
        </w:rPr>
        <w:t xml:space="preserve">. Lo anterior en la medida que, bien sea en su confección o en su suministro, importa más la idea que la forma en que se expresa. </w:t>
      </w:r>
    </w:p>
    <w:p w14:paraId="447C1DD2" w14:textId="77777777" w:rsidR="00C9654B" w:rsidRDefault="00C9654B" w:rsidP="00C9654B">
      <w:pPr>
        <w:spacing w:after="120" w:line="276" w:lineRule="auto"/>
        <w:ind w:firstLine="708"/>
        <w:jc w:val="both"/>
        <w:rPr>
          <w:rFonts w:ascii="Verdana" w:eastAsia="Calibri" w:hAnsi="Verdana" w:cs="Arial"/>
          <w:color w:val="000000" w:themeColor="text1"/>
        </w:rPr>
      </w:pPr>
      <w:r>
        <w:rPr>
          <w:rFonts w:ascii="Verdana" w:eastAsia="Calibri" w:hAnsi="Verdana" w:cs="Arial"/>
          <w:bCs/>
          <w:color w:val="000000" w:themeColor="text1"/>
        </w:rPr>
        <w:t>En efecto, el</w:t>
      </w:r>
      <w:r w:rsidRPr="00EB71E3">
        <w:rPr>
          <w:rFonts w:ascii="Verdana" w:eastAsia="Calibri" w:hAnsi="Verdana" w:cs="Arial"/>
          <w:bCs/>
          <w:color w:val="000000" w:themeColor="text1"/>
        </w:rPr>
        <w:t xml:space="preserve"> derecho de autor protege la forma original </w:t>
      </w:r>
      <w:r>
        <w:rPr>
          <w:rFonts w:ascii="Verdana" w:eastAsia="Calibri" w:hAnsi="Verdana" w:cs="Arial"/>
          <w:bCs/>
          <w:color w:val="000000" w:themeColor="text1"/>
        </w:rPr>
        <w:t>de expresión de las ideas</w:t>
      </w:r>
      <w:r w:rsidRPr="00EB71E3">
        <w:rPr>
          <w:rFonts w:ascii="Verdana" w:eastAsia="Calibri" w:hAnsi="Verdana" w:cs="Arial"/>
          <w:bCs/>
          <w:color w:val="000000" w:themeColor="text1"/>
        </w:rPr>
        <w:t xml:space="preserve">, </w:t>
      </w:r>
      <w:r>
        <w:rPr>
          <w:rFonts w:ascii="Verdana" w:eastAsia="Calibri" w:hAnsi="Verdana" w:cs="Arial"/>
          <w:bCs/>
          <w:color w:val="000000" w:themeColor="text1"/>
        </w:rPr>
        <w:t>mas no estas últimas en</w:t>
      </w:r>
      <w:r w:rsidRPr="00EB71E3">
        <w:rPr>
          <w:rFonts w:ascii="Verdana" w:eastAsia="Calibri" w:hAnsi="Verdana" w:cs="Arial"/>
          <w:bCs/>
          <w:color w:val="000000" w:themeColor="text1"/>
        </w:rPr>
        <w:t xml:space="preserve"> sí misma</w:t>
      </w:r>
      <w:r>
        <w:rPr>
          <w:rFonts w:ascii="Verdana" w:eastAsia="Calibri" w:hAnsi="Verdana" w:cs="Arial"/>
          <w:bCs/>
          <w:color w:val="000000" w:themeColor="text1"/>
        </w:rPr>
        <w:t>s consideradas.</w:t>
      </w:r>
      <w:r w:rsidRPr="00EB71E3">
        <w:rPr>
          <w:rFonts w:ascii="Verdana" w:eastAsia="Calibri" w:hAnsi="Verdana" w:cs="Arial"/>
          <w:bCs/>
          <w:color w:val="000000" w:themeColor="text1"/>
        </w:rPr>
        <w:t xml:space="preserve"> </w:t>
      </w:r>
      <w:r>
        <w:rPr>
          <w:rFonts w:ascii="Verdana" w:eastAsia="Calibri" w:hAnsi="Verdana" w:cs="Arial"/>
          <w:bCs/>
          <w:color w:val="000000" w:themeColor="text1"/>
        </w:rPr>
        <w:t>Por ello, el artículo 7 de la Decisión 351 de 1993 –aplicable al Estado colombiano como miembro de la Comunidad Andina–</w:t>
      </w:r>
      <w:r>
        <w:rPr>
          <w:rFonts w:ascii="Verdana" w:eastAsia="Calibri" w:hAnsi="Verdana" w:cs="Arial"/>
          <w:color w:val="000000" w:themeColor="text1"/>
        </w:rPr>
        <w:t xml:space="preserve"> dispone que “</w:t>
      </w:r>
      <w:r w:rsidRPr="00AB561C">
        <w:rPr>
          <w:rFonts w:ascii="Verdana" w:eastAsia="Calibri" w:hAnsi="Verdana" w:cs="Arial"/>
          <w:color w:val="000000" w:themeColor="text1"/>
        </w:rPr>
        <w:t>Queda protegida exclusivamente la forma mediante la cual las ideas</w:t>
      </w:r>
      <w:r>
        <w:rPr>
          <w:rFonts w:ascii="Verdana" w:eastAsia="Calibri" w:hAnsi="Verdana" w:cs="Arial"/>
          <w:color w:val="000000" w:themeColor="text1"/>
        </w:rPr>
        <w:t xml:space="preserve"> </w:t>
      </w:r>
      <w:r w:rsidRPr="00AB561C">
        <w:rPr>
          <w:rFonts w:ascii="Verdana" w:eastAsia="Calibri" w:hAnsi="Verdana" w:cs="Arial"/>
          <w:color w:val="000000" w:themeColor="text1"/>
        </w:rPr>
        <w:t>del autor son descritas, explicadas, ilustradas o incorporadas a las obras</w:t>
      </w:r>
      <w:r>
        <w:rPr>
          <w:rFonts w:ascii="Verdana" w:eastAsia="Calibri" w:hAnsi="Verdana" w:cs="Arial"/>
          <w:color w:val="000000" w:themeColor="text1"/>
        </w:rPr>
        <w:t>”; razón por la cual, “</w:t>
      </w:r>
      <w:r w:rsidRPr="00EB71E3">
        <w:rPr>
          <w:rFonts w:ascii="Verdana" w:eastAsia="Calibri" w:hAnsi="Verdana" w:cs="Arial"/>
          <w:color w:val="000000" w:themeColor="text1"/>
        </w:rPr>
        <w:t>No son objeto de protección las ideas contenidas en las obras literarias y</w:t>
      </w:r>
      <w:r>
        <w:rPr>
          <w:rFonts w:ascii="Verdana" w:eastAsia="Calibri" w:hAnsi="Verdana" w:cs="Arial"/>
          <w:color w:val="000000" w:themeColor="text1"/>
        </w:rPr>
        <w:t xml:space="preserve"> </w:t>
      </w:r>
      <w:r w:rsidRPr="00EB71E3">
        <w:rPr>
          <w:rFonts w:ascii="Verdana" w:eastAsia="Calibri" w:hAnsi="Verdana" w:cs="Arial"/>
          <w:color w:val="000000" w:themeColor="text1"/>
        </w:rPr>
        <w:t>artísticas, o el contenido ideológico o técnico de las obras científicas, ni su</w:t>
      </w:r>
      <w:r>
        <w:rPr>
          <w:rFonts w:ascii="Verdana" w:eastAsia="Calibri" w:hAnsi="Verdana" w:cs="Arial"/>
          <w:color w:val="000000" w:themeColor="text1"/>
        </w:rPr>
        <w:t xml:space="preserve"> </w:t>
      </w:r>
      <w:r w:rsidRPr="00EB71E3">
        <w:rPr>
          <w:rFonts w:ascii="Verdana" w:eastAsia="Calibri" w:hAnsi="Verdana" w:cs="Arial"/>
          <w:color w:val="000000" w:themeColor="text1"/>
        </w:rPr>
        <w:t>aprovechamiento industrial o comercial</w:t>
      </w:r>
      <w:r>
        <w:rPr>
          <w:rFonts w:ascii="Verdana" w:eastAsia="Calibri" w:hAnsi="Verdana" w:cs="Arial"/>
          <w:color w:val="000000" w:themeColor="text1"/>
        </w:rPr>
        <w:t>”</w:t>
      </w:r>
      <w:r w:rsidRPr="00AB561C">
        <w:rPr>
          <w:rFonts w:ascii="Verdana" w:eastAsia="Calibri" w:hAnsi="Verdana" w:cs="Arial"/>
          <w:color w:val="000000" w:themeColor="text1"/>
        </w:rPr>
        <w:t>.</w:t>
      </w:r>
      <w:r>
        <w:rPr>
          <w:rFonts w:ascii="Verdana" w:eastAsia="Calibri" w:hAnsi="Verdana" w:cs="Arial"/>
          <w:color w:val="000000" w:themeColor="text1"/>
        </w:rPr>
        <w:t xml:space="preserve"> </w:t>
      </w:r>
    </w:p>
    <w:p w14:paraId="6890DF3F" w14:textId="77777777" w:rsidR="00C9654B" w:rsidRPr="00E853DE" w:rsidRDefault="00C9654B" w:rsidP="00C9654B">
      <w:pPr>
        <w:spacing w:after="120" w:line="276" w:lineRule="auto"/>
        <w:ind w:firstLine="708"/>
        <w:jc w:val="both"/>
        <w:rPr>
          <w:rFonts w:ascii="Verdana" w:eastAsia="Calibri" w:hAnsi="Verdana" w:cs="Arial"/>
          <w:bCs/>
          <w:color w:val="000000" w:themeColor="text1"/>
        </w:rPr>
      </w:pPr>
      <w:r>
        <w:rPr>
          <w:rFonts w:ascii="Verdana" w:eastAsia="Calibri" w:hAnsi="Verdana" w:cs="Arial"/>
          <w:color w:val="000000" w:themeColor="text1"/>
        </w:rPr>
        <w:t xml:space="preserve">Sobre esta base, es posible la existencia de guías o materiales de estudio de varios autores que se refieren a un mismo tema.  Aunque cada obra tiene derechos de autor, la existencia de la propiedad intelectual no sería incompatible con la pluralidad de oferentes. Por ello, si la entidad estima que existen varias guías o materiales de estudio que pueden satisfacer su necesidad, deben privilegiarse los procedimientos de selección competitivos sobre la contratación directa. En este caso, no existe una única persona que pueda proveer el bien o servicio en los términos del </w:t>
      </w:r>
      <w:r w:rsidRPr="00910F48">
        <w:rPr>
          <w:rFonts w:ascii="Verdana" w:eastAsia="Calibri" w:hAnsi="Verdana" w:cs="Arial"/>
          <w:color w:val="000000" w:themeColor="text1"/>
        </w:rPr>
        <w:t>2.2.1.2.1.4.8 del Decreto 1082 de 2015</w:t>
      </w:r>
      <w:r>
        <w:rPr>
          <w:rStyle w:val="Refdenotaalpie"/>
          <w:rFonts w:ascii="Verdana" w:eastAsia="Calibri" w:hAnsi="Verdana" w:cs="Arial"/>
          <w:color w:val="000000" w:themeColor="text1"/>
        </w:rPr>
        <w:footnoteReference w:id="15"/>
      </w:r>
      <w:r>
        <w:rPr>
          <w:rFonts w:ascii="Verdana" w:eastAsia="Calibri" w:hAnsi="Verdana" w:cs="Arial"/>
          <w:color w:val="000000" w:themeColor="text1"/>
        </w:rPr>
        <w:t xml:space="preserve">.    </w:t>
      </w:r>
    </w:p>
    <w:p w14:paraId="18D16B8D" w14:textId="77777777" w:rsidR="00C9654B" w:rsidRDefault="00C9654B" w:rsidP="00C9654B">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17B6C5" w14:textId="77777777" w:rsidR="00C9654B" w:rsidRPr="00185EE9" w:rsidRDefault="00C9654B" w:rsidP="00C9654B">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sidRPr="001941FD">
        <w:rPr>
          <w:rStyle w:val="s15"/>
          <w:rFonts w:ascii="Verdana" w:hAnsi="Verdana"/>
          <w:color w:val="000000"/>
        </w:rPr>
        <w:t>cada entidad definirá la forma de adelantar su gestión contractual, sin que sea atribución de Colombia Compra Eficiente</w:t>
      </w:r>
      <w:r>
        <w:rPr>
          <w:rStyle w:val="s15"/>
          <w:rFonts w:ascii="Verdana" w:hAnsi="Verdana"/>
          <w:color w:val="000000"/>
        </w:rPr>
        <w:t xml:space="preserve"> determinar qué </w:t>
      </w:r>
      <w:r>
        <w:rPr>
          <w:rFonts w:ascii="Verdana" w:eastAsia="Calibri" w:hAnsi="Verdana" w:cs="Arial"/>
          <w:color w:val="000000" w:themeColor="text1"/>
        </w:rPr>
        <w:t>bienes y servicios de características técnicas uniformes y de común utilización están sujetos a derechos de autor y</w:t>
      </w:r>
      <w:r w:rsidRPr="001941FD">
        <w:rPr>
          <w:rStyle w:val="s15"/>
          <w:rFonts w:ascii="Verdana" w:hAnsi="Verdana"/>
          <w:color w:val="000000"/>
        </w:rPr>
        <w:t xml:space="preserve"> validar sus actuaciones.</w:t>
      </w:r>
      <w:r w:rsidRPr="00185EE9">
        <w:rPr>
          <w:rFonts w:ascii="Verdana" w:eastAsia="Calibri" w:hAnsi="Verdana" w:cs="Arial"/>
          <w:bCs/>
          <w:color w:val="000000" w:themeColor="text1"/>
        </w:rPr>
        <w:t xml:space="preserve"> </w:t>
      </w:r>
    </w:p>
    <w:p w14:paraId="69CB8665" w14:textId="77777777" w:rsidR="00C9654B" w:rsidRPr="00182C89" w:rsidRDefault="00C9654B" w:rsidP="00C9654B">
      <w:pPr>
        <w:tabs>
          <w:tab w:val="left" w:pos="709"/>
        </w:tabs>
        <w:spacing w:after="0" w:line="276" w:lineRule="auto"/>
        <w:jc w:val="both"/>
        <w:rPr>
          <w:rFonts w:ascii="Verdana" w:eastAsia="Calibri" w:hAnsi="Verdana" w:cs="Arial"/>
          <w:color w:val="000000" w:themeColor="text1"/>
        </w:rPr>
      </w:pPr>
    </w:p>
    <w:p w14:paraId="3FEFC0EF" w14:textId="77777777" w:rsidR="00C9654B" w:rsidRPr="00593A5F" w:rsidRDefault="00C9654B" w:rsidP="00C965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BC96E68" w14:textId="77777777" w:rsidR="00C9654B" w:rsidRPr="00593A5F" w:rsidRDefault="00C9654B" w:rsidP="00C9654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9654B" w:rsidRPr="002407CE" w14:paraId="45881A92" w14:textId="77777777" w:rsidTr="008F7C2F">
        <w:trPr>
          <w:trHeight w:val="870"/>
          <w:jc w:val="center"/>
        </w:trPr>
        <w:tc>
          <w:tcPr>
            <w:tcW w:w="8647" w:type="dxa"/>
          </w:tcPr>
          <w:p w14:paraId="299D86F7" w14:textId="77777777" w:rsidR="00C9654B" w:rsidRDefault="00C9654B" w:rsidP="008F7C2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189.</w:t>
            </w:r>
          </w:p>
          <w:p w14:paraId="1B4F7CE3" w14:textId="77777777" w:rsidR="00C9654B" w:rsidRPr="00A14662" w:rsidRDefault="00C9654B" w:rsidP="008F7C2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 xml:space="preserve">Ley 1150 de 2007, artículo 2. </w:t>
            </w:r>
          </w:p>
          <w:p w14:paraId="5376CB0F" w14:textId="77777777" w:rsidR="00C9654B" w:rsidRPr="00822C07" w:rsidRDefault="00C9654B" w:rsidP="008F7C2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 xml:space="preserve">Decreto 1082 de 2015, artículos </w:t>
            </w:r>
            <w:r w:rsidRPr="00A14662">
              <w:rPr>
                <w:rFonts w:ascii="Verdana" w:hAnsi="Verdana" w:cs="Arial"/>
              </w:rPr>
              <w:t>2.2.1.1.1.3.1</w:t>
            </w:r>
            <w:r>
              <w:rPr>
                <w:rFonts w:ascii="Verdana" w:hAnsi="Verdana" w:cs="Arial"/>
              </w:rPr>
              <w:t xml:space="preserve"> y </w:t>
            </w:r>
            <w:r w:rsidRPr="00910F48">
              <w:rPr>
                <w:rFonts w:ascii="Verdana" w:eastAsia="Calibri" w:hAnsi="Verdana" w:cs="Arial"/>
                <w:color w:val="000000" w:themeColor="text1"/>
              </w:rPr>
              <w:t>2.2.1.2.1.4.8</w:t>
            </w:r>
            <w:r>
              <w:rPr>
                <w:rFonts w:ascii="Verdana" w:eastAsia="Calibri" w:hAnsi="Verdana" w:cs="Arial"/>
                <w:bCs/>
                <w:color w:val="000000" w:themeColor="text1"/>
              </w:rPr>
              <w:t>.</w:t>
            </w:r>
          </w:p>
          <w:p w14:paraId="0F58D9F1" w14:textId="77777777" w:rsidR="00C9654B" w:rsidRPr="00185EE9" w:rsidRDefault="00C9654B" w:rsidP="008F7C2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bCs/>
                <w:color w:val="000000" w:themeColor="text1"/>
              </w:rPr>
              <w:t>Decisión 351 de 1993, artículo 7.</w:t>
            </w:r>
          </w:p>
          <w:p w14:paraId="5EAD9DB5" w14:textId="77777777" w:rsidR="00C9654B" w:rsidRPr="00DA543F" w:rsidRDefault="00C9654B" w:rsidP="008F7C2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Código Civil, artículos 28 y 29.</w:t>
            </w:r>
          </w:p>
        </w:tc>
      </w:tr>
    </w:tbl>
    <w:p w14:paraId="11702982" w14:textId="77777777" w:rsidR="00C9654B" w:rsidRPr="002407CE" w:rsidRDefault="00C9654B" w:rsidP="00C9654B">
      <w:pPr>
        <w:widowControl w:val="0"/>
        <w:autoSpaceDE w:val="0"/>
        <w:autoSpaceDN w:val="0"/>
        <w:spacing w:after="0" w:line="276" w:lineRule="auto"/>
        <w:jc w:val="both"/>
        <w:rPr>
          <w:rFonts w:ascii="Verdana" w:hAnsi="Verdana" w:cs="Arial"/>
        </w:rPr>
      </w:pPr>
    </w:p>
    <w:p w14:paraId="16F52B3C" w14:textId="77777777" w:rsidR="00C9654B" w:rsidRPr="00593A5F" w:rsidRDefault="00C9654B" w:rsidP="00C965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884974" w14:textId="77777777" w:rsidR="00C9654B" w:rsidRPr="00593A5F" w:rsidRDefault="00C9654B" w:rsidP="00C9654B">
      <w:pPr>
        <w:widowControl w:val="0"/>
        <w:autoSpaceDE w:val="0"/>
        <w:autoSpaceDN w:val="0"/>
        <w:spacing w:after="0" w:line="276" w:lineRule="auto"/>
        <w:jc w:val="both"/>
        <w:rPr>
          <w:rFonts w:ascii="Verdana" w:hAnsi="Verdana" w:cs="Arial"/>
        </w:rPr>
      </w:pPr>
    </w:p>
    <w:p w14:paraId="4576CADF" w14:textId="77777777" w:rsidR="00C9654B" w:rsidRPr="00ED0098" w:rsidRDefault="00C9654B" w:rsidP="00C9654B">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definición de los </w:t>
      </w:r>
      <w:r w:rsidRPr="00CC71AC">
        <w:rPr>
          <w:rFonts w:ascii="Verdana" w:hAnsi="Verdana" w:cs="Arial"/>
          <w:shd w:val="clear" w:color="auto" w:fill="FFFFFF"/>
        </w:rPr>
        <w:t>bienes y servicios de características técnicas uniformes</w:t>
      </w:r>
      <w:r>
        <w:rPr>
          <w:rFonts w:ascii="Verdana" w:hAnsi="Verdana" w:cs="Arial"/>
          <w:shd w:val="clear" w:color="auto" w:fill="FFFFFF"/>
        </w:rPr>
        <w:t xml:space="preserve"> en los Conceptos </w:t>
      </w:r>
      <w:r w:rsidRPr="001816D5">
        <w:rPr>
          <w:rFonts w:ascii="Verdana" w:hAnsi="Verdana" w:cs="Arial"/>
          <w:shd w:val="clear" w:color="auto" w:fill="FFFFFF"/>
        </w:rPr>
        <w:t>C-678 del 24 de noviembre de 2020</w:t>
      </w:r>
      <w:r>
        <w:rPr>
          <w:rFonts w:ascii="Verdana" w:hAnsi="Verdana" w:cs="Arial"/>
          <w:shd w:val="clear" w:color="auto" w:fill="FFFFFF"/>
        </w:rPr>
        <w:t>, C-024 del 24 de febrero de 2021, C-123 del 5 de abril de 2021, C-565 del 12 de septiembre de 2022, C-669 del 18 de octubre de 2022, C-850 del 16 de diciembre de 2022, C-905 del 28 de diciembre de 2022, C-456 del 27 de octubre de 2023, C-597 del 8 de noviembre de 2024, C-749 del 12 de noviembre de 2024 y C-787 del 19 de noviembre de 2024</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9519DC8" w14:textId="77777777" w:rsidR="00C9654B" w:rsidRDefault="00C9654B" w:rsidP="00C9654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B1EFA84" w14:textId="77777777" w:rsidR="00C9654B" w:rsidRDefault="00C9654B" w:rsidP="00C9654B">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E7D7357" w14:textId="77777777" w:rsidR="00C9654B" w:rsidRPr="009A385A" w:rsidRDefault="00C9654B" w:rsidP="00C9654B">
      <w:pPr>
        <w:spacing w:after="0"/>
        <w:jc w:val="both"/>
        <w:rPr>
          <w:rFonts w:ascii="Verdana" w:hAnsi="Verdana"/>
        </w:rPr>
      </w:pPr>
    </w:p>
    <w:p w14:paraId="2DBEC532" w14:textId="77777777" w:rsidR="00C9654B" w:rsidRDefault="00C9654B" w:rsidP="00C9654B">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0A9FDAEC" w14:textId="77777777" w:rsidR="00C9654B" w:rsidRDefault="00C9654B" w:rsidP="00C9654B">
      <w:pPr>
        <w:spacing w:after="0"/>
        <w:jc w:val="both"/>
        <w:rPr>
          <w:rFonts w:ascii="Verdana" w:hAnsi="Verdana"/>
        </w:rPr>
      </w:pPr>
    </w:p>
    <w:p w14:paraId="319E3559" w14:textId="77777777" w:rsidR="00C9654B" w:rsidRPr="008E1CD7" w:rsidRDefault="00C9654B" w:rsidP="00C9654B">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w:t>
      </w:r>
      <w:r w:rsidRPr="00797327">
        <w:rPr>
          <w:rFonts w:ascii="Verdana" w:hAnsi="Verdana"/>
        </w:rPr>
        <w:lastRenderedPageBreak/>
        <w:t>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D717837" w14:textId="77777777" w:rsidR="00C9654B" w:rsidRDefault="00C9654B" w:rsidP="00C9654B">
      <w:pPr>
        <w:shd w:val="clear" w:color="auto" w:fill="FFFFFF"/>
        <w:spacing w:after="0" w:line="276" w:lineRule="auto"/>
        <w:jc w:val="both"/>
        <w:rPr>
          <w:rFonts w:ascii="Verdana" w:hAnsi="Verdana"/>
          <w:color w:val="000000"/>
          <w:u w:val="single"/>
        </w:rPr>
      </w:pPr>
    </w:p>
    <w:p w14:paraId="251DAA80" w14:textId="77777777" w:rsidR="00C9654B" w:rsidRPr="0038088D" w:rsidRDefault="00C9654B" w:rsidP="00C9654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7E22C624" w14:textId="77777777" w:rsidR="00C9654B" w:rsidRPr="0038088D" w:rsidRDefault="00C9654B" w:rsidP="00C9654B">
      <w:pPr>
        <w:spacing w:after="0"/>
        <w:jc w:val="both"/>
        <w:rPr>
          <w:rFonts w:ascii="Verdana" w:hAnsi="Verdana"/>
        </w:rPr>
      </w:pPr>
    </w:p>
    <w:p w14:paraId="17184486" w14:textId="77777777" w:rsidR="00C9654B" w:rsidRPr="004C4825" w:rsidRDefault="00C9654B" w:rsidP="00C9654B">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19097C4F" w14:textId="77777777" w:rsidR="00C9654B" w:rsidRPr="004C4825" w:rsidRDefault="00C9654B" w:rsidP="00C9654B">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1BF29BF2" w14:textId="77777777" w:rsidR="00C9654B" w:rsidRPr="004C4825" w:rsidRDefault="00C9654B" w:rsidP="00C9654B">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6">
        <w:r w:rsidRPr="004C4825">
          <w:rPr>
            <w:rStyle w:val="Hipervnculo"/>
            <w:rFonts w:ascii="Verdana" w:eastAsia="Verdana" w:hAnsi="Verdana" w:cs="Verdana"/>
          </w:rPr>
          <w:t>ventanilladeradicacion@colombiacompra.gov.co</w:t>
        </w:r>
      </w:hyperlink>
    </w:p>
    <w:p w14:paraId="45556410" w14:textId="77777777" w:rsidR="00C9654B" w:rsidRPr="004C4825" w:rsidRDefault="00C9654B" w:rsidP="00C9654B">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7">
        <w:r w:rsidRPr="004C4825">
          <w:rPr>
            <w:rStyle w:val="Hipervnculo"/>
            <w:rFonts w:ascii="Verdana" w:eastAsia="Verdana" w:hAnsi="Verdana" w:cs="Verdana"/>
          </w:rPr>
          <w:t>https://www.colombiacompra.gov.co/pqrsd/informacion-importante-antes-de-formular-una-pqrsd</w:t>
        </w:r>
      </w:hyperlink>
    </w:p>
    <w:p w14:paraId="77EC88C9" w14:textId="77777777" w:rsidR="00C9654B" w:rsidRPr="0038088D" w:rsidRDefault="00C9654B" w:rsidP="00C9654B">
      <w:pPr>
        <w:spacing w:after="0" w:line="240" w:lineRule="auto"/>
        <w:ind w:left="720"/>
        <w:jc w:val="both"/>
        <w:rPr>
          <w:rFonts w:ascii="Verdana" w:hAnsi="Verdana"/>
        </w:rPr>
      </w:pPr>
    </w:p>
    <w:p w14:paraId="48487218" w14:textId="77777777" w:rsidR="00C9654B" w:rsidRPr="0038088D" w:rsidRDefault="00C9654B" w:rsidP="00C9654B">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1E4DCBED" w14:textId="77777777" w:rsidR="00C9654B" w:rsidRPr="0038088D" w:rsidRDefault="00C9654B" w:rsidP="00C9654B">
      <w:pPr>
        <w:spacing w:after="0" w:line="240" w:lineRule="auto"/>
        <w:rPr>
          <w:rFonts w:ascii="Verdana" w:hAnsi="Verdana"/>
        </w:rPr>
      </w:pPr>
    </w:p>
    <w:p w14:paraId="29950855" w14:textId="77777777" w:rsidR="00C9654B" w:rsidRPr="0038088D" w:rsidRDefault="00C9654B" w:rsidP="00C9654B">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556D786C" w14:textId="77777777" w:rsidR="00C9654B" w:rsidRPr="00116940" w:rsidRDefault="00C9654B" w:rsidP="00C9654B">
      <w:pPr>
        <w:spacing w:after="0" w:line="240" w:lineRule="auto"/>
        <w:jc w:val="both"/>
        <w:rPr>
          <w:rFonts w:ascii="Verdana" w:hAnsi="Verdana"/>
        </w:rPr>
      </w:pPr>
    </w:p>
    <w:p w14:paraId="63B1B561" w14:textId="77777777" w:rsidR="00C9654B" w:rsidRPr="00116940" w:rsidRDefault="00C9654B" w:rsidP="00C9654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3882487" w14:textId="77777777" w:rsidR="00C9654B" w:rsidRPr="00116940" w:rsidRDefault="00C9654B" w:rsidP="00C9654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8EE242A" w14:textId="77777777" w:rsidR="00C9654B" w:rsidRPr="00E22E6E" w:rsidRDefault="00C9654B" w:rsidP="00C9654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2EE1FEC" w14:textId="77777777" w:rsidR="00C9654B" w:rsidRPr="004C4825" w:rsidRDefault="00C9654B" w:rsidP="00C9654B">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44B7134" w14:textId="77777777" w:rsidR="00C9654B" w:rsidRPr="00593A5F" w:rsidRDefault="00C9654B" w:rsidP="00C9654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0D42DB3E" w14:textId="77777777" w:rsidR="00C9654B" w:rsidRPr="00593A5F" w:rsidRDefault="00C9654B" w:rsidP="00C9654B">
      <w:pPr>
        <w:widowControl w:val="0"/>
        <w:autoSpaceDE w:val="0"/>
        <w:autoSpaceDN w:val="0"/>
        <w:spacing w:after="0" w:line="276" w:lineRule="auto"/>
        <w:jc w:val="both"/>
        <w:rPr>
          <w:rFonts w:ascii="Verdana" w:hAnsi="Verdana" w:cs="Arial"/>
        </w:rPr>
      </w:pPr>
    </w:p>
    <w:p w14:paraId="58E19D08" w14:textId="77777777" w:rsidR="00C9654B" w:rsidRPr="00593A5F" w:rsidRDefault="00C9654B" w:rsidP="00C9654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2522EFF" w14:textId="55774FE3" w:rsidR="00C9654B" w:rsidRPr="00593A5F" w:rsidRDefault="00604492" w:rsidP="00C9654B">
      <w:pPr>
        <w:spacing w:line="276" w:lineRule="auto"/>
        <w:jc w:val="center"/>
        <w:rPr>
          <w:rFonts w:ascii="Verdana" w:hAnsi="Verdana" w:cs="Arial"/>
          <w:color w:val="000000"/>
          <w:lang w:val="es-ES_tradnl" w:eastAsia="es-CO"/>
        </w:rPr>
      </w:pPr>
      <w:r>
        <w:rPr>
          <w:noProof/>
        </w:rPr>
        <w:drawing>
          <wp:inline distT="0" distB="0" distL="0" distR="0" wp14:anchorId="5D409D5E" wp14:editId="12E1FA3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9654B" w:rsidRPr="00593A5F" w14:paraId="25336BFC" w14:textId="77777777" w:rsidTr="008F7C2F">
        <w:trPr>
          <w:trHeight w:val="315"/>
        </w:trPr>
        <w:tc>
          <w:tcPr>
            <w:tcW w:w="893" w:type="dxa"/>
            <w:vAlign w:val="center"/>
            <w:hideMark/>
          </w:tcPr>
          <w:p w14:paraId="05E1C67B" w14:textId="77777777" w:rsidR="00C9654B" w:rsidRPr="003751C7" w:rsidRDefault="00C9654B" w:rsidP="008F7C2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8807FE" w14:textId="77777777" w:rsidR="00C9654B" w:rsidRPr="00254A7A" w:rsidRDefault="00C9654B" w:rsidP="008F7C2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AA774AA" w14:textId="77777777" w:rsidR="00C9654B" w:rsidRPr="00254A7A" w:rsidRDefault="00C9654B" w:rsidP="008F7C2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9654B" w:rsidRPr="00593A5F" w14:paraId="48B51B7D" w14:textId="77777777" w:rsidTr="008F7C2F">
        <w:trPr>
          <w:trHeight w:val="330"/>
        </w:trPr>
        <w:tc>
          <w:tcPr>
            <w:tcW w:w="893" w:type="dxa"/>
            <w:vAlign w:val="center"/>
            <w:hideMark/>
          </w:tcPr>
          <w:p w14:paraId="40C26E4D" w14:textId="77777777" w:rsidR="00C9654B" w:rsidRPr="003751C7" w:rsidRDefault="00C9654B" w:rsidP="008F7C2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0E4BF2" w14:textId="77777777" w:rsidR="00C9654B" w:rsidRPr="00254A7A" w:rsidRDefault="00C9654B" w:rsidP="008F7C2F">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05848A2A" w14:textId="77777777" w:rsidR="00C9654B" w:rsidRPr="00254A7A" w:rsidRDefault="00C9654B" w:rsidP="008F7C2F">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C9654B" w:rsidRPr="00593A5F" w14:paraId="21E4C85B" w14:textId="77777777" w:rsidTr="008F7C2F">
        <w:trPr>
          <w:trHeight w:val="300"/>
        </w:trPr>
        <w:tc>
          <w:tcPr>
            <w:tcW w:w="893" w:type="dxa"/>
            <w:vAlign w:val="center"/>
          </w:tcPr>
          <w:p w14:paraId="66EC6705" w14:textId="77777777" w:rsidR="00C9654B" w:rsidRPr="003751C7" w:rsidRDefault="00C9654B" w:rsidP="008F7C2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391824" w14:textId="77777777" w:rsidR="00C9654B" w:rsidRPr="00731523" w:rsidRDefault="00C9654B" w:rsidP="008F7C2F">
            <w:pPr>
              <w:contextualSpacing/>
              <w:rPr>
                <w:rFonts w:ascii="Verdana" w:eastAsia="Calibri" w:hAnsi="Verdana" w:cs="Arial"/>
                <w:sz w:val="16"/>
                <w:szCs w:val="16"/>
                <w:lang w:val="es-ES" w:eastAsia="es-ES"/>
              </w:rPr>
            </w:pPr>
            <w:r w:rsidRPr="127FF6DC">
              <w:rPr>
                <w:rFonts w:ascii="Verdana" w:eastAsia="Calibri" w:hAnsi="Verdana" w:cs="Arial"/>
                <w:sz w:val="16"/>
                <w:szCs w:val="16"/>
                <w:lang w:val="es-ES" w:eastAsia="es-ES"/>
              </w:rPr>
              <w:t>Carolina Quintero Gacharná</w:t>
            </w:r>
          </w:p>
          <w:p w14:paraId="275FD115" w14:textId="77777777" w:rsidR="00C9654B" w:rsidRPr="003751C7" w:rsidRDefault="00C9654B" w:rsidP="008F7C2F">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1A1B6FCC" w14:textId="22F7A40D" w:rsidR="00C9654B" w:rsidRPr="00543BFE" w:rsidRDefault="00C9654B" w:rsidP="00C9654B"/>
    <w:p w14:paraId="0F293BF4" w14:textId="28DAD6C2" w:rsidR="00127233" w:rsidRPr="00BA0A34" w:rsidRDefault="00127233" w:rsidP="00BA0A34"/>
    <w:sectPr w:rsidR="00127233" w:rsidRPr="00BA0A34"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C78F2" w14:textId="77777777" w:rsidR="00CB7F46" w:rsidRDefault="00CB7F46" w:rsidP="004A1847">
      <w:pPr>
        <w:spacing w:after="0" w:line="240" w:lineRule="auto"/>
      </w:pPr>
      <w:r>
        <w:separator/>
      </w:r>
    </w:p>
  </w:endnote>
  <w:endnote w:type="continuationSeparator" w:id="0">
    <w:p w14:paraId="760E98D6" w14:textId="77777777" w:rsidR="00CB7F46" w:rsidRDefault="00CB7F4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6B4186"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6B4186">
      <w:rPr>
        <w:rFonts w:ascii="Verdana" w:eastAsia="Verdana" w:hAnsi="Verdana" w:cs="Verdana"/>
        <w:b/>
        <w:color w:val="000000" w:themeColor="text1"/>
        <w:sz w:val="18"/>
        <w:szCs w:val="18"/>
        <w:lang w:val="pt-BR" w:eastAsia="es-CO"/>
      </w:rPr>
      <w:t xml:space="preserve">Código: </w:t>
    </w:r>
    <w:r w:rsidRPr="006B4186">
      <w:rPr>
        <w:rFonts w:ascii="Verdana" w:eastAsia="Verdana" w:hAnsi="Verdana" w:cs="Verdana"/>
        <w:color w:val="000000" w:themeColor="text1"/>
        <w:sz w:val="18"/>
        <w:szCs w:val="18"/>
        <w:lang w:val="pt-BR" w:eastAsia="es-CO"/>
      </w:rPr>
      <w:t xml:space="preserve">CCE-REC-FM-17 </w:t>
    </w:r>
    <w:r w:rsidRPr="006B4186">
      <w:rPr>
        <w:rFonts w:ascii="Verdana" w:eastAsia="Verdana" w:hAnsi="Verdana" w:cs="Verdana"/>
        <w:b/>
        <w:color w:val="000000" w:themeColor="text1"/>
        <w:sz w:val="18"/>
        <w:szCs w:val="18"/>
        <w:lang w:val="pt-BR" w:eastAsia="es-CO"/>
      </w:rPr>
      <w:t xml:space="preserve">V: </w:t>
    </w:r>
    <w:r w:rsidRPr="006B4186">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1A0AC" w14:textId="77777777" w:rsidR="00CB7F46" w:rsidRDefault="00CB7F46" w:rsidP="004A1847">
      <w:pPr>
        <w:spacing w:after="0" w:line="240" w:lineRule="auto"/>
      </w:pPr>
      <w:r>
        <w:separator/>
      </w:r>
    </w:p>
  </w:footnote>
  <w:footnote w:type="continuationSeparator" w:id="0">
    <w:p w14:paraId="01C816A2" w14:textId="77777777" w:rsidR="00CB7F46" w:rsidRDefault="00CB7F46" w:rsidP="004A1847">
      <w:pPr>
        <w:spacing w:after="0" w:line="240" w:lineRule="auto"/>
      </w:pPr>
      <w:r>
        <w:continuationSeparator/>
      </w:r>
    </w:p>
  </w:footnote>
  <w:footnote w:id="1">
    <w:p w14:paraId="672D0650"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El inciso primero de norma disponía que, conforme al principio de transparencia, “</w:t>
      </w:r>
      <w:r w:rsidRPr="00910F48">
        <w:rPr>
          <w:rFonts w:ascii="Verdana" w:hAnsi="Verdana" w:cs="Arial"/>
          <w:i/>
          <w:iCs/>
          <w:sz w:val="16"/>
          <w:szCs w:val="16"/>
        </w:rPr>
        <w:t>La escogencia del contratista se efectuará siempre a través de licitación o concurso públicos</w:t>
      </w:r>
      <w:r w:rsidRPr="00910F4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45581157"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910F48">
        <w:rPr>
          <w:rFonts w:ascii="Verdana" w:hAnsi="Verdana" w:cs="Arial"/>
          <w:i/>
          <w:iCs/>
          <w:sz w:val="16"/>
          <w:szCs w:val="16"/>
        </w:rPr>
        <w:t>Presentación de la oferta de manera dinámica</w:t>
      </w:r>
      <w:r w:rsidRPr="00910F4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5E9E0E1F"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El numeral 2 del artículo 2 de la Ley 1150 de 2007 prescribe: </w:t>
      </w:r>
      <w:r w:rsidRPr="00910F48">
        <w:rPr>
          <w:rFonts w:ascii="Verdana" w:hAnsi="Verdana"/>
          <w:sz w:val="16"/>
          <w:szCs w:val="16"/>
        </w:rPr>
        <w:t xml:space="preserve">“[…] </w:t>
      </w:r>
      <w:r w:rsidRPr="00910F48">
        <w:rPr>
          <w:rFonts w:ascii="Verdana" w:hAnsi="Verdana" w:cs="Arial"/>
          <w:sz w:val="16"/>
          <w:szCs w:val="16"/>
        </w:rPr>
        <w:t>Serán causales de selección abreviada las siguientes:</w:t>
      </w:r>
    </w:p>
    <w:p w14:paraId="70909B18"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769ACDC5"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2BD4E78B"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21C38568"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w:t>
      </w:r>
    </w:p>
    <w:p w14:paraId="64E1AC50"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409C687B"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4B611458"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e) La enajenación de bienes del Estado, con excepción de aquellos a que se refiere la Ley 226 de 1995.</w:t>
      </w:r>
    </w:p>
    <w:p w14:paraId="66564FC1"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 xml:space="preserve">[…]; </w:t>
      </w:r>
    </w:p>
    <w:p w14:paraId="183E8C83"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 xml:space="preserve">f) Productos de origen o destinación agropecuarios que se ofrezcan en las bolsas de productos legalmente constituidas; </w:t>
      </w:r>
    </w:p>
    <w:p w14:paraId="32A1388F"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6E039DEA"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BCDFD4A"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i) La contratación de bienes y servicios que se requieran para la defensa y seguridad nacional.</w:t>
      </w:r>
    </w:p>
    <w:p w14:paraId="487ACD49"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4">
    <w:p w14:paraId="2A223559"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CONGRESO DE LA REPÚBLICA. Exposición de motivos de la Ley 1150 de 2007. Gaceta del Congreso No. 458 del 1º de agosto de 2005. p. 8. </w:t>
      </w:r>
    </w:p>
  </w:footnote>
  <w:footnote w:id="5">
    <w:p w14:paraId="7D656A46"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CONSEJO DE ESTADO. Sección Tercera. Subsección A. Sentencia del 23 de julio de 2015. Exp. 36.805. C. P. Hernán Andrade Rincón. </w:t>
      </w:r>
    </w:p>
  </w:footnote>
  <w:footnote w:id="6">
    <w:p w14:paraId="36AB028E" w14:textId="77777777" w:rsidR="00C9654B" w:rsidRPr="00910F48" w:rsidRDefault="00C9654B" w:rsidP="00C9654B">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910F48">
        <w:rPr>
          <w:rFonts w:ascii="Verdana" w:hAnsi="Verdana"/>
          <w:i/>
          <w:iCs/>
          <w:sz w:val="16"/>
          <w:szCs w:val="16"/>
        </w:rPr>
        <w:t>las palabras de la ley se entenderán en su sentido natural y obvio, según el uso general de las mismas palabras</w:t>
      </w:r>
      <w:r w:rsidRPr="00910F48">
        <w:rPr>
          <w:rFonts w:ascii="Verdana" w:hAnsi="Verdana"/>
          <w:sz w:val="16"/>
          <w:szCs w:val="16"/>
        </w:rPr>
        <w:t>’, es decir, el uso de la gente educada. El Diccionario de la Lengua publicado por la Real Academia Española goza a este respecto de gran autoridad. ‘</w:t>
      </w:r>
      <w:r w:rsidRPr="00910F48">
        <w:rPr>
          <w:rFonts w:ascii="Verdana" w:hAnsi="Verdana"/>
          <w:i/>
          <w:iCs/>
          <w:sz w:val="16"/>
          <w:szCs w:val="16"/>
        </w:rPr>
        <w:t>Pero cuando el legislador</w:t>
      </w:r>
      <w:r w:rsidRPr="00910F48">
        <w:rPr>
          <w:rFonts w:ascii="Verdana" w:hAnsi="Verdana"/>
          <w:sz w:val="16"/>
          <w:szCs w:val="16"/>
        </w:rPr>
        <w:t xml:space="preserve">, agrega el artículo 20, </w:t>
      </w:r>
      <w:r w:rsidRPr="00910F48">
        <w:rPr>
          <w:rFonts w:ascii="Verdana" w:hAnsi="Verdana"/>
          <w:i/>
          <w:iCs/>
          <w:sz w:val="16"/>
          <w:szCs w:val="16"/>
        </w:rPr>
        <w:t>las haya definido expresamente para ciertas materias se les dará en éstas su significado legal</w:t>
      </w:r>
      <w:r w:rsidRPr="00910F48">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7">
    <w:p w14:paraId="598DD67A" w14:textId="77777777" w:rsidR="00C9654B" w:rsidRPr="00910F48" w:rsidRDefault="00C9654B" w:rsidP="00C9654B">
      <w:pPr>
        <w:pStyle w:val="Textonotapie"/>
        <w:ind w:firstLine="708"/>
        <w:jc w:val="both"/>
        <w:rPr>
          <w:rFonts w:ascii="Verdana" w:hAnsi="Verdana"/>
          <w:sz w:val="16"/>
          <w:szCs w:val="16"/>
        </w:rPr>
      </w:pPr>
      <w:r w:rsidRPr="00910F48">
        <w:rPr>
          <w:rStyle w:val="Refdenotaalpie"/>
          <w:rFonts w:ascii="Verdana" w:hAnsi="Verdana"/>
          <w:sz w:val="16"/>
          <w:szCs w:val="16"/>
        </w:rPr>
        <w:footnoteRef/>
      </w:r>
      <w:r w:rsidRPr="00910F48">
        <w:rPr>
          <w:rFonts w:ascii="Verdana" w:hAnsi="Verdana"/>
          <w:sz w:val="16"/>
          <w:szCs w:val="16"/>
        </w:rPr>
        <w:t xml:space="preserve"> SUÁREZ BELTRÁN, Gonzalo. Estudios de derecho contractual público. Colombia: Bogotá, 2014. p. 72.</w:t>
      </w:r>
    </w:p>
  </w:footnote>
  <w:footnote w:id="8">
    <w:p w14:paraId="3169FECE" w14:textId="77777777" w:rsidR="00C9654B" w:rsidRPr="00910F48" w:rsidRDefault="00C9654B" w:rsidP="00C9654B">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i/>
          <w:iCs/>
          <w:sz w:val="16"/>
          <w:szCs w:val="16"/>
        </w:rPr>
        <w:t>Ibidem</w:t>
      </w:r>
      <w:r w:rsidRPr="00910F48">
        <w:rPr>
          <w:rFonts w:ascii="Verdana" w:hAnsi="Verdana"/>
          <w:sz w:val="16"/>
          <w:szCs w:val="16"/>
        </w:rPr>
        <w:t>.</w:t>
      </w:r>
    </w:p>
  </w:footnote>
  <w:footnote w:id="9">
    <w:p w14:paraId="4A6101AC"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CONGRESO DE LA REPÚBLICA. Exposición de motivos de la Ley 1150 de 2007. Gaceta del Congreso No. 458 del 1º de agosto de 2005. p. 8. </w:t>
      </w:r>
    </w:p>
  </w:footnote>
  <w:footnote w:id="10">
    <w:p w14:paraId="0689FF5A" w14:textId="77777777" w:rsidR="00C9654B" w:rsidRPr="00910F48" w:rsidRDefault="00C9654B" w:rsidP="00C9654B">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DÁVILA VINUEZA, Luis Guillermo. Régimen jurídico de la contratación estatal. </w:t>
      </w:r>
      <w:r w:rsidRPr="00910F48">
        <w:rPr>
          <w:rFonts w:ascii="Verdana" w:hAnsi="Verdana" w:cs="Arial"/>
          <w:sz w:val="16"/>
          <w:szCs w:val="16"/>
          <w:lang w:val="es-CO"/>
        </w:rPr>
        <w:t>Tercera Edición</w:t>
      </w:r>
      <w:r w:rsidRPr="00910F48">
        <w:rPr>
          <w:rFonts w:ascii="Verdana" w:hAnsi="Verdana"/>
          <w:sz w:val="16"/>
          <w:szCs w:val="16"/>
          <w:lang w:val="es-CO"/>
        </w:rPr>
        <w:t>. Bogotá: Legis, 2016. pp. 466-467.</w:t>
      </w:r>
    </w:p>
  </w:footnote>
  <w:footnote w:id="11">
    <w:p w14:paraId="7715C754" w14:textId="77777777" w:rsidR="00C9654B" w:rsidRPr="00910F48" w:rsidRDefault="00C9654B" w:rsidP="00C9654B">
      <w:pPr>
        <w:pStyle w:val="Textonotapie"/>
        <w:ind w:firstLine="709"/>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No en vano, la doctrina anota que “Los conceptos jurídicos indeterminados traen causa, pues, de la dificultad de la completa y acabada programación normativa de la acción administrativa. Aunque por razón de la imprecisión propia de todo lenguaje y también del jurídico, todo concepto jurídico requiere interpretación, lo específico del calificado como indeterminado es su utilización por el legislador por razón de no proceder o no poder realizar una predeterminación precisa de la acción administrativa. El legislador conoce ciertamente el supuesto que quiere establecer, pero las características de éste impondrían —para su definición acabada— el recurso a la casuística, lo que incrementaría la densidad de la programación normativa y la seguridad en su ejecución, pero conllevaría un riesgo cierto de restricción del supuesto normativo. El recurso a conceptos jurídicos indeterminados tiene por objeto prevenir este riesgo” (Cfr. PAREJO ALFONSO, Luciano. Lecciones de derecho administrativo. Quinta Edición. Valencia: Tirant lo Blanch, 2012, p. 269).</w:t>
      </w:r>
    </w:p>
  </w:footnote>
  <w:footnote w:id="12">
    <w:p w14:paraId="198CE518"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En lo pertinente, </w:t>
      </w:r>
      <w:bookmarkStart w:id="2" w:name="_Hlk45470939"/>
      <w:r w:rsidRPr="00910F48">
        <w:rPr>
          <w:rFonts w:ascii="Verdana" w:hAnsi="Verdana" w:cs="Arial"/>
          <w:sz w:val="16"/>
          <w:szCs w:val="16"/>
        </w:rPr>
        <w:t>el artículo 12 del derogado Decreto 855 de 1994</w:t>
      </w:r>
      <w:bookmarkEnd w:id="2"/>
      <w:r w:rsidRPr="00910F48">
        <w:rPr>
          <w:rFonts w:ascii="Verdana" w:hAnsi="Verdana" w:cs="Arial"/>
          <w:sz w:val="16"/>
          <w:szCs w:val="16"/>
        </w:rPr>
        <w:t xml:space="preserve"> dispuso que: “En los casos de declaratoria de desierta de la licitación o concurso, cuando no se presente propuesta alguna, ninguna propuesta se ajuste al pliego de condiciones o términos de referencia o, en general, cuando falte voluntad de participación, la entidad estatal podrá contratar directamente, sin necesidad de obtener previamente ofertas, teniendo en cuenta los precios del mercado, y si es del caso, los estudios y evaluaciones que para el efecto se hayan realizado directamente o a través de organismos consultores o asesores designados para ello.</w:t>
      </w:r>
    </w:p>
    <w:p w14:paraId="4D3D7BB2"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w:t>
      </w:r>
    </w:p>
    <w:p w14:paraId="4ABF3B6C"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Parágrafo 2. Se considera que no existe pluralidad de oferentes:</w:t>
      </w:r>
    </w:p>
    <w:p w14:paraId="25577D52" w14:textId="77777777" w:rsidR="00C9654B" w:rsidRPr="00910F48" w:rsidRDefault="00C9654B" w:rsidP="00C9654B">
      <w:pPr>
        <w:pStyle w:val="Textonotapie"/>
        <w:ind w:firstLine="708"/>
        <w:jc w:val="both"/>
        <w:rPr>
          <w:rFonts w:ascii="Verdana" w:hAnsi="Verdana" w:cs="Arial"/>
          <w:sz w:val="16"/>
          <w:szCs w:val="16"/>
        </w:rPr>
      </w:pPr>
      <w:r w:rsidRPr="00910F48">
        <w:rPr>
          <w:rFonts w:ascii="Verdana" w:hAnsi="Verdana" w:cs="Arial"/>
          <w:sz w:val="16"/>
          <w:szCs w:val="16"/>
        </w:rPr>
        <w:t>a) Cuando no existiere más de una persona inscrita en el Registro de Proponentes, en aquellos contratos respecto de los cuales se requiere dicha inscripción conforme al artículo 22 de la Ley 80 de 1993,</w:t>
      </w:r>
    </w:p>
    <w:p w14:paraId="286F7986" w14:textId="77777777" w:rsidR="00C9654B" w:rsidRPr="00910F48" w:rsidRDefault="00C9654B" w:rsidP="00C9654B">
      <w:pPr>
        <w:pStyle w:val="Textonotapie"/>
        <w:ind w:firstLine="708"/>
        <w:jc w:val="both"/>
        <w:rPr>
          <w:rFonts w:ascii="Verdana" w:hAnsi="Verdana" w:cs="Arial"/>
          <w:sz w:val="16"/>
          <w:szCs w:val="16"/>
          <w:lang w:val="es-ES"/>
        </w:rPr>
      </w:pPr>
      <w:r w:rsidRPr="00910F48">
        <w:rPr>
          <w:rFonts w:ascii="Verdana" w:hAnsi="Verdana" w:cs="Arial"/>
          <w:sz w:val="16"/>
          <w:szCs w:val="16"/>
        </w:rPr>
        <w:t xml:space="preserve">b) Cuando solo exista una persona que pueda proveer el bien o el servicio por ser titular de los derechos de propiedad industrial o de los derechos de autor, o por ser, de acuerdo con la ley, su proveedor exclusivo”.  </w:t>
      </w:r>
    </w:p>
  </w:footnote>
  <w:footnote w:id="13">
    <w:p w14:paraId="5795CF23" w14:textId="77777777" w:rsidR="00C9654B" w:rsidRPr="00910F48" w:rsidRDefault="00C9654B" w:rsidP="00C9654B">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w:t>
      </w:r>
      <w:r w:rsidRPr="00910F48">
        <w:rPr>
          <w:rFonts w:ascii="Verdana" w:hAnsi="Verdana" w:cs="Arial"/>
          <w:i/>
          <w:iCs/>
          <w:sz w:val="16"/>
          <w:szCs w:val="16"/>
        </w:rPr>
        <w:t>Ibidem</w:t>
      </w:r>
      <w:r w:rsidRPr="00910F48">
        <w:rPr>
          <w:rFonts w:ascii="Verdana" w:hAnsi="Verdana" w:cs="Arial"/>
          <w:sz w:val="16"/>
          <w:szCs w:val="16"/>
        </w:rPr>
        <w:t>., p. 174).</w:t>
      </w:r>
    </w:p>
  </w:footnote>
  <w:footnote w:id="14">
    <w:p w14:paraId="29385A2B" w14:textId="77777777" w:rsidR="00C9654B" w:rsidRPr="00182E75" w:rsidRDefault="00C9654B" w:rsidP="00C9654B">
      <w:pPr>
        <w:pStyle w:val="Textonotapie"/>
        <w:ind w:firstLine="708"/>
        <w:jc w:val="both"/>
        <w:rPr>
          <w:rFonts w:ascii="Verdana" w:hAnsi="Verdana"/>
          <w:sz w:val="16"/>
          <w:szCs w:val="16"/>
          <w:lang w:val="en-US"/>
        </w:rPr>
      </w:pPr>
      <w:r w:rsidRPr="00182E75">
        <w:rPr>
          <w:rStyle w:val="Refdenotaalpie"/>
          <w:rFonts w:ascii="Verdana" w:hAnsi="Verdana"/>
          <w:sz w:val="16"/>
          <w:szCs w:val="16"/>
        </w:rPr>
        <w:footnoteRef/>
      </w:r>
      <w:r w:rsidRPr="00182E75">
        <w:rPr>
          <w:rFonts w:ascii="Verdana" w:hAnsi="Verdana"/>
          <w:sz w:val="16"/>
          <w:szCs w:val="16"/>
          <w:lang w:val="en-US"/>
        </w:rPr>
        <w:t xml:space="preserve"> Cfr. </w:t>
      </w:r>
      <w:hyperlink r:id="rId1" w:history="1">
        <w:r w:rsidRPr="00182E75">
          <w:rPr>
            <w:rStyle w:val="Hipervnculo"/>
            <w:rFonts w:ascii="Verdana" w:hAnsi="Verdana"/>
            <w:sz w:val="16"/>
            <w:szCs w:val="16"/>
            <w:lang w:val="en-US"/>
          </w:rPr>
          <w:t>https://www.colombiacompra.gov.co/wp-content/uploads/2024/08/2022-Guia-de-propiedad-intelectual-en-la-contratacion-publica-CCE-EICP-GI-15.pdf</w:t>
        </w:r>
      </w:hyperlink>
      <w:r w:rsidRPr="00182E75">
        <w:rPr>
          <w:rFonts w:ascii="Verdana" w:hAnsi="Verdana"/>
          <w:sz w:val="16"/>
          <w:szCs w:val="16"/>
          <w:lang w:val="en-US"/>
        </w:rPr>
        <w:t>. pp. 56</w:t>
      </w:r>
      <w:r>
        <w:rPr>
          <w:rFonts w:ascii="Verdana" w:hAnsi="Verdana"/>
          <w:sz w:val="16"/>
          <w:szCs w:val="16"/>
          <w:lang w:val="en-US"/>
        </w:rPr>
        <w:t>-57.</w:t>
      </w:r>
    </w:p>
  </w:footnote>
  <w:footnote w:id="15">
    <w:p w14:paraId="71E7DF09" w14:textId="77777777" w:rsidR="00C9654B" w:rsidRPr="00322DFD" w:rsidRDefault="00C9654B" w:rsidP="00C9654B">
      <w:pPr>
        <w:pStyle w:val="Textonotapie"/>
        <w:ind w:firstLine="708"/>
        <w:jc w:val="both"/>
        <w:rPr>
          <w:rFonts w:ascii="Verdana" w:hAnsi="Verdana"/>
          <w:sz w:val="16"/>
          <w:szCs w:val="16"/>
          <w:lang w:val="es-CO"/>
        </w:rPr>
      </w:pPr>
      <w:r w:rsidRPr="00322DFD">
        <w:rPr>
          <w:rStyle w:val="Refdenotaalpie"/>
          <w:rFonts w:ascii="Verdana" w:hAnsi="Verdana"/>
          <w:sz w:val="16"/>
          <w:szCs w:val="16"/>
        </w:rPr>
        <w:footnoteRef/>
      </w:r>
      <w:r w:rsidRPr="00322DFD">
        <w:rPr>
          <w:rFonts w:ascii="Verdana" w:hAnsi="Verdana"/>
          <w:sz w:val="16"/>
          <w:szCs w:val="16"/>
        </w:rPr>
        <w:t xml:space="preserve"> </w:t>
      </w:r>
      <w:r>
        <w:rPr>
          <w:rFonts w:ascii="Verdana" w:hAnsi="Verdana"/>
          <w:sz w:val="16"/>
          <w:szCs w:val="16"/>
        </w:rPr>
        <w:t xml:space="preserve">De manera análoga, la doctrina anota que para aplicar </w:t>
      </w:r>
      <w:r w:rsidRPr="00322DFD">
        <w:rPr>
          <w:rFonts w:ascii="Verdana" w:hAnsi="Verdana"/>
          <w:sz w:val="16"/>
          <w:szCs w:val="16"/>
        </w:rPr>
        <w:t>el literal g) del artículo 2.4 de la Ley 1150 de 2007</w:t>
      </w:r>
      <w:r>
        <w:rPr>
          <w:rFonts w:ascii="Verdana" w:hAnsi="Verdana"/>
          <w:sz w:val="16"/>
          <w:szCs w:val="16"/>
        </w:rPr>
        <w:t xml:space="preserve"> “[…] no basta solo con </w:t>
      </w:r>
      <w:r w:rsidRPr="00C86153">
        <w:rPr>
          <w:rFonts w:ascii="Verdana" w:hAnsi="Verdana"/>
          <w:sz w:val="16"/>
          <w:szCs w:val="16"/>
        </w:rPr>
        <w:t>demostrar que un proveedor, siguiendo el texto del artículo 80 del Decreto 1510 de 2013, ‘[...] puede proveer el bien o el servicio por ser titular de los derechos de propiedad industrial o de los derechos de autor, o por ser proveedor exclusivo en el territorio nacional [...]’. No; necesariamente debe irse más allá: es necesario demostrar en el estudio previo del proceso de selección, que tales circunstancias recaen precisamente sobre el único bien o servicio que puede suplir la necesidad que la entidad debe atender. Un ejemplo permitirá ilustrar lo que queremos significar: no basta con demostrar que un proveedor es el distribuidor exclusivo de la marca XX de un determinado equipo en Colombia. Habría que probar también para acudir a esta causal exceptiva, que solo esos equipos de esa marca específica pueden satisfacer la necesidad de la entidad. De lo contrario, se deberá hacer el procedimiento competitivo de selección que corresponda (licitación pública, selección abreviada, mínima cuantía) en el que los representantes de las diferentes marcas de equipos compitan, aunque todos ellos o algunos de ellos sean representantes exclusivos en el país de sus respectivas marcas</w:t>
      </w:r>
      <w:r>
        <w:rPr>
          <w:rFonts w:ascii="Verdana" w:hAnsi="Verdana"/>
          <w:sz w:val="16"/>
          <w:szCs w:val="16"/>
        </w:rPr>
        <w:t>” (Cfr</w:t>
      </w:r>
      <w:r w:rsidRPr="00C86153">
        <w:rPr>
          <w:rFonts w:ascii="Verdana" w:hAnsi="Verdana"/>
          <w:sz w:val="16"/>
          <w:szCs w:val="16"/>
        </w:rPr>
        <w:t>.</w:t>
      </w:r>
      <w:r>
        <w:rPr>
          <w:rFonts w:ascii="Verdana" w:hAnsi="Verdana"/>
          <w:sz w:val="16"/>
          <w:szCs w:val="16"/>
        </w:rPr>
        <w:t xml:space="preserve"> </w:t>
      </w:r>
      <w:r w:rsidRPr="00C86153">
        <w:rPr>
          <w:rFonts w:ascii="Verdana" w:hAnsi="Verdana"/>
          <w:sz w:val="16"/>
          <w:szCs w:val="16"/>
        </w:rPr>
        <w:t>SUÁREZ BELTRÁN, Estudios de derech</w:t>
      </w:r>
      <w:r>
        <w:rPr>
          <w:rFonts w:ascii="Verdana" w:hAnsi="Verdana"/>
          <w:sz w:val="16"/>
          <w:szCs w:val="16"/>
        </w:rPr>
        <w:t>o… Op. cit</w:t>
      </w:r>
      <w:r w:rsidRPr="00C86153">
        <w:rPr>
          <w:rFonts w:ascii="Verdana" w:hAnsi="Verdana"/>
          <w:sz w:val="16"/>
          <w:szCs w:val="16"/>
        </w:rPr>
        <w:t>.</w:t>
      </w:r>
      <w:r>
        <w:rPr>
          <w:rFonts w:ascii="Verdana" w:hAnsi="Verdana"/>
          <w:sz w:val="16"/>
          <w:szCs w:val="16"/>
        </w:rPr>
        <w:t>,</w:t>
      </w:r>
      <w:r w:rsidRPr="00C86153">
        <w:rPr>
          <w:rFonts w:ascii="Verdana" w:hAnsi="Verdana"/>
          <w:sz w:val="16"/>
          <w:szCs w:val="16"/>
        </w:rPr>
        <w:t xml:space="preserve"> p. 72</w:t>
      </w:r>
      <w:r>
        <w:rPr>
          <w:rFonts w:ascii="Verdana" w:hAnsi="Verdana"/>
          <w:sz w:val="16"/>
          <w:szCs w:val="16"/>
        </w:rPr>
        <w:t>)</w:t>
      </w:r>
      <w:r w:rsidRPr="00C86153">
        <w:rPr>
          <w:rFonts w:ascii="Verdana" w:hAnsi="Verdana"/>
          <w:sz w:val="16"/>
          <w:szCs w:val="16"/>
        </w:rPr>
        <w:t xml:space="preserve">. </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05B"/>
    <w:rsid w:val="00046945"/>
    <w:rsid w:val="00061B2A"/>
    <w:rsid w:val="00082362"/>
    <w:rsid w:val="000A683E"/>
    <w:rsid w:val="000B19B9"/>
    <w:rsid w:val="000D0334"/>
    <w:rsid w:val="000D5DA7"/>
    <w:rsid w:val="000F6486"/>
    <w:rsid w:val="00116940"/>
    <w:rsid w:val="00125105"/>
    <w:rsid w:val="00127233"/>
    <w:rsid w:val="0014242F"/>
    <w:rsid w:val="0015699B"/>
    <w:rsid w:val="001A33BF"/>
    <w:rsid w:val="001E4177"/>
    <w:rsid w:val="001F0B24"/>
    <w:rsid w:val="001F7DC6"/>
    <w:rsid w:val="0022400B"/>
    <w:rsid w:val="002421BB"/>
    <w:rsid w:val="0025796E"/>
    <w:rsid w:val="002705B0"/>
    <w:rsid w:val="002707A2"/>
    <w:rsid w:val="002951A0"/>
    <w:rsid w:val="002962BC"/>
    <w:rsid w:val="002A093D"/>
    <w:rsid w:val="002A0DD0"/>
    <w:rsid w:val="002A49AC"/>
    <w:rsid w:val="002A64FD"/>
    <w:rsid w:val="002C7A84"/>
    <w:rsid w:val="002E2BF8"/>
    <w:rsid w:val="002E4FD9"/>
    <w:rsid w:val="002F42BA"/>
    <w:rsid w:val="002F482F"/>
    <w:rsid w:val="0030657A"/>
    <w:rsid w:val="00322A85"/>
    <w:rsid w:val="00324168"/>
    <w:rsid w:val="00330834"/>
    <w:rsid w:val="003448F4"/>
    <w:rsid w:val="00374F5E"/>
    <w:rsid w:val="00377E3E"/>
    <w:rsid w:val="003A779E"/>
    <w:rsid w:val="003D0F4D"/>
    <w:rsid w:val="003D5B0D"/>
    <w:rsid w:val="003E0499"/>
    <w:rsid w:val="003E4F80"/>
    <w:rsid w:val="003E6439"/>
    <w:rsid w:val="003F053C"/>
    <w:rsid w:val="003F3941"/>
    <w:rsid w:val="00402D50"/>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04492"/>
    <w:rsid w:val="006200BF"/>
    <w:rsid w:val="006219F8"/>
    <w:rsid w:val="006302F7"/>
    <w:rsid w:val="00646B9F"/>
    <w:rsid w:val="00665D70"/>
    <w:rsid w:val="006900D9"/>
    <w:rsid w:val="006B4186"/>
    <w:rsid w:val="00706C16"/>
    <w:rsid w:val="007340C3"/>
    <w:rsid w:val="0075235A"/>
    <w:rsid w:val="00754AA7"/>
    <w:rsid w:val="00756841"/>
    <w:rsid w:val="00761DCB"/>
    <w:rsid w:val="007649AB"/>
    <w:rsid w:val="00771D0C"/>
    <w:rsid w:val="007833AC"/>
    <w:rsid w:val="007B268C"/>
    <w:rsid w:val="007B7171"/>
    <w:rsid w:val="007C0C0F"/>
    <w:rsid w:val="007C3DC2"/>
    <w:rsid w:val="007E383D"/>
    <w:rsid w:val="007E5497"/>
    <w:rsid w:val="00806F5F"/>
    <w:rsid w:val="00820278"/>
    <w:rsid w:val="008258C9"/>
    <w:rsid w:val="00844AE9"/>
    <w:rsid w:val="00867F95"/>
    <w:rsid w:val="008843B6"/>
    <w:rsid w:val="00891928"/>
    <w:rsid w:val="008A446D"/>
    <w:rsid w:val="008B25F1"/>
    <w:rsid w:val="008D180B"/>
    <w:rsid w:val="008F0EA7"/>
    <w:rsid w:val="0091286F"/>
    <w:rsid w:val="00923EEF"/>
    <w:rsid w:val="009419F9"/>
    <w:rsid w:val="0095685E"/>
    <w:rsid w:val="00961B09"/>
    <w:rsid w:val="00965334"/>
    <w:rsid w:val="0097093E"/>
    <w:rsid w:val="0098305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2595"/>
    <w:rsid w:val="00A66D0E"/>
    <w:rsid w:val="00AB0ADB"/>
    <w:rsid w:val="00B00C0E"/>
    <w:rsid w:val="00B01B1A"/>
    <w:rsid w:val="00B0381D"/>
    <w:rsid w:val="00B22D70"/>
    <w:rsid w:val="00B44A47"/>
    <w:rsid w:val="00B72CD3"/>
    <w:rsid w:val="00B72FFF"/>
    <w:rsid w:val="00BA0997"/>
    <w:rsid w:val="00BA0A34"/>
    <w:rsid w:val="00BC3D36"/>
    <w:rsid w:val="00BD54A6"/>
    <w:rsid w:val="00BD7F72"/>
    <w:rsid w:val="00BF7425"/>
    <w:rsid w:val="00C04FB3"/>
    <w:rsid w:val="00C11D8B"/>
    <w:rsid w:val="00C15139"/>
    <w:rsid w:val="00C330EB"/>
    <w:rsid w:val="00C3340B"/>
    <w:rsid w:val="00C50D69"/>
    <w:rsid w:val="00C5365C"/>
    <w:rsid w:val="00C754BE"/>
    <w:rsid w:val="00C76B1C"/>
    <w:rsid w:val="00C925AC"/>
    <w:rsid w:val="00C9654B"/>
    <w:rsid w:val="00CB6357"/>
    <w:rsid w:val="00CB7F46"/>
    <w:rsid w:val="00CC1B26"/>
    <w:rsid w:val="00D24C9C"/>
    <w:rsid w:val="00D361FD"/>
    <w:rsid w:val="00D423A2"/>
    <w:rsid w:val="00D44E26"/>
    <w:rsid w:val="00D520D8"/>
    <w:rsid w:val="00D63AC2"/>
    <w:rsid w:val="00D7383B"/>
    <w:rsid w:val="00D7788A"/>
    <w:rsid w:val="00DA231B"/>
    <w:rsid w:val="00DC39FC"/>
    <w:rsid w:val="00DD0D55"/>
    <w:rsid w:val="00DF5254"/>
    <w:rsid w:val="00E02524"/>
    <w:rsid w:val="00E16408"/>
    <w:rsid w:val="00E20894"/>
    <w:rsid w:val="00E245AB"/>
    <w:rsid w:val="00E2764C"/>
    <w:rsid w:val="00E27F2E"/>
    <w:rsid w:val="00E50AFE"/>
    <w:rsid w:val="00E56DAF"/>
    <w:rsid w:val="00E75C92"/>
    <w:rsid w:val="00E771DC"/>
    <w:rsid w:val="00E8772A"/>
    <w:rsid w:val="00E90F6B"/>
    <w:rsid w:val="00E92C27"/>
    <w:rsid w:val="00EA0E3D"/>
    <w:rsid w:val="00EC38A7"/>
    <w:rsid w:val="00EE1AA8"/>
    <w:rsid w:val="00F23FEA"/>
    <w:rsid w:val="00F31EDC"/>
    <w:rsid w:val="00F462B3"/>
    <w:rsid w:val="00F56298"/>
    <w:rsid w:val="00F5664F"/>
    <w:rsid w:val="00F666C4"/>
    <w:rsid w:val="00F76AFC"/>
    <w:rsid w:val="00F86535"/>
    <w:rsid w:val="00FA47C0"/>
    <w:rsid w:val="00FB5DD1"/>
    <w:rsid w:val="00FC2B5D"/>
    <w:rsid w:val="00FF1449"/>
    <w:rsid w:val="00FF7963"/>
    <w:rsid w:val="071B8F93"/>
    <w:rsid w:val="07C73DD1"/>
    <w:rsid w:val="09908A09"/>
    <w:rsid w:val="0EFE6349"/>
    <w:rsid w:val="0FF4CCA8"/>
    <w:rsid w:val="127FF6DC"/>
    <w:rsid w:val="13CFC91B"/>
    <w:rsid w:val="19A2EC2C"/>
    <w:rsid w:val="21779BE6"/>
    <w:rsid w:val="2859CA1B"/>
    <w:rsid w:val="2C4D2425"/>
    <w:rsid w:val="2EE1E026"/>
    <w:rsid w:val="30821638"/>
    <w:rsid w:val="32A4F9CF"/>
    <w:rsid w:val="33A1FF93"/>
    <w:rsid w:val="356CEDFD"/>
    <w:rsid w:val="3C591AFD"/>
    <w:rsid w:val="42183F0A"/>
    <w:rsid w:val="545B112A"/>
    <w:rsid w:val="5460D240"/>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9654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9654B"/>
    <w:rPr>
      <w:rFonts w:ascii="Geomanist Light" w:hAnsi="Geomanist Light"/>
      <w:lang w:val="es-ES"/>
    </w:rPr>
  </w:style>
  <w:style w:type="paragraph" w:styleId="Textoindependiente">
    <w:name w:val="Body Text"/>
    <w:basedOn w:val="Normal"/>
    <w:link w:val="TextoindependienteCar"/>
    <w:uiPriority w:val="99"/>
    <w:unhideWhenUsed/>
    <w:rsid w:val="00C9654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C9654B"/>
    <w:rPr>
      <w:rFonts w:eastAsiaTheme="minorEastAsia"/>
      <w:lang w:eastAsia="es-CO"/>
    </w:rPr>
  </w:style>
  <w:style w:type="character" w:customStyle="1" w:styleId="s15">
    <w:name w:val="s15"/>
    <w:basedOn w:val="Fuentedeprrafopredeter"/>
    <w:rsid w:val="00C9654B"/>
  </w:style>
  <w:style w:type="character" w:customStyle="1" w:styleId="apple-converted-space">
    <w:name w:val="apple-converted-space"/>
    <w:basedOn w:val="Fuentedeprrafopredeter"/>
    <w:rsid w:val="00C96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g.jairocuevas10@outlook.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22-Guia-de-propiedad-intelectual-en-la-contratacion-publica-CCE-EICP-GI-15.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B7BAB5-DD7D-42B9-8995-CA800A66E0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21</Pages>
  <Words>6371</Words>
  <Characters>34852</Characters>
  <Application>Microsoft Office Word</Application>
  <DocSecurity>0</DocSecurity>
  <Lines>697</Lines>
  <Paragraphs>133</Paragraphs>
  <ScaleCrop>false</ScaleCrop>
  <Company/>
  <LinksUpToDate>false</LinksUpToDate>
  <CharactersWithSpaces>41090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2026-03-04T00:10:00Z</dcterms:created>
  <dcterms:modified xsi:type="dcterms:W3CDTF">2026-03-04T23:20:00Z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