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A8118" w14:textId="77777777" w:rsidR="00C70EDD" w:rsidRPr="00561B0A" w:rsidRDefault="00C70EDD" w:rsidP="00C70EDD">
      <w:pPr>
        <w:spacing w:after="0" w:line="240" w:lineRule="auto"/>
        <w:jc w:val="both"/>
        <w:rPr>
          <w:rFonts w:ascii="Verdana" w:eastAsia="Calibri" w:hAnsi="Verdana" w:cs="Arial"/>
          <w:b/>
          <w:lang w:val="es-ES" w:eastAsia="es-ES"/>
        </w:rPr>
      </w:pPr>
      <w:bookmarkStart w:id="0" w:name="_Hlk143780582"/>
      <w:r w:rsidRPr="00561B0A">
        <w:rPr>
          <w:rFonts w:ascii="Verdana" w:eastAsia="Calibri" w:hAnsi="Verdana" w:cs="Arial"/>
          <w:b/>
          <w:lang w:val="es-ES" w:eastAsia="es-ES"/>
        </w:rPr>
        <w:t xml:space="preserve">LEY DE GARANTÍAS ELECTORALES ‒ Finalidad </w:t>
      </w:r>
    </w:p>
    <w:p w14:paraId="63B74896" w14:textId="77777777" w:rsidR="00C70EDD" w:rsidRDefault="00C70EDD" w:rsidP="00C70EDD">
      <w:pPr>
        <w:spacing w:after="0" w:line="240" w:lineRule="auto"/>
        <w:jc w:val="both"/>
        <w:rPr>
          <w:rFonts w:ascii="Verdana" w:eastAsia="Calibri" w:hAnsi="Verdana" w:cs="Arial"/>
          <w:b/>
          <w:lang w:val="es-ES" w:eastAsia="es-ES"/>
        </w:rPr>
      </w:pPr>
    </w:p>
    <w:p w14:paraId="09689EA7" w14:textId="77777777" w:rsidR="00C70EDD" w:rsidRPr="00561B0A" w:rsidRDefault="00C70EDD" w:rsidP="00C70EDD">
      <w:pPr>
        <w:spacing w:after="0" w:line="240" w:lineRule="auto"/>
        <w:jc w:val="both"/>
        <w:rPr>
          <w:rFonts w:ascii="Verdana" w:eastAsia="Calibri" w:hAnsi="Verdana" w:cs="Arial"/>
          <w:sz w:val="20"/>
          <w:lang w:val="es-ES" w:eastAsia="es-ES"/>
        </w:rPr>
      </w:pPr>
      <w:r w:rsidRPr="00561B0A">
        <w:rPr>
          <w:rFonts w:ascii="Verdana" w:eastAsia="Calibri" w:hAnsi="Verdana" w:cs="Arial"/>
          <w:sz w:val="20"/>
          <w:lang w:val="es-MX" w:eastAsia="es-ES"/>
        </w:rPr>
        <w:t>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0D9B1F53" w14:textId="77777777" w:rsidR="00C70EDD" w:rsidRPr="00561B0A" w:rsidRDefault="00C70EDD" w:rsidP="00C70EDD">
      <w:pPr>
        <w:spacing w:after="0" w:line="240" w:lineRule="auto"/>
        <w:jc w:val="both"/>
        <w:rPr>
          <w:rFonts w:ascii="Verdana" w:eastAsia="Calibri" w:hAnsi="Verdana" w:cs="Arial"/>
          <w:b/>
          <w:lang w:val="es-ES" w:eastAsia="es-ES"/>
        </w:rPr>
      </w:pPr>
    </w:p>
    <w:p w14:paraId="130D5E8A" w14:textId="77777777" w:rsidR="00C70EDD" w:rsidRPr="00561B0A" w:rsidRDefault="00C70EDD" w:rsidP="00C70EDD">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Tipos de restricciones ‒ Ámbito temporal – </w:t>
      </w:r>
      <w:r>
        <w:rPr>
          <w:rFonts w:ascii="Verdana" w:eastAsia="Calibri" w:hAnsi="Verdana" w:cs="Arial"/>
          <w:b/>
          <w:lang w:val="es-ES" w:eastAsia="es-ES"/>
        </w:rPr>
        <w:t>C</w:t>
      </w:r>
      <w:r w:rsidRPr="00561B0A">
        <w:rPr>
          <w:rFonts w:ascii="Verdana" w:eastAsia="Calibri" w:hAnsi="Verdana" w:cs="Arial"/>
          <w:b/>
          <w:lang w:val="es-ES" w:eastAsia="es-ES"/>
        </w:rPr>
        <w:t>elebración</w:t>
      </w:r>
      <w:r>
        <w:rPr>
          <w:rFonts w:ascii="Verdana" w:eastAsia="Calibri" w:hAnsi="Verdana" w:cs="Arial"/>
          <w:b/>
          <w:lang w:val="es-ES" w:eastAsia="es-ES"/>
        </w:rPr>
        <w:t xml:space="preserve"> </w:t>
      </w:r>
      <w:r w:rsidRPr="00BE3D4E">
        <w:rPr>
          <w:rFonts w:ascii="Verdana" w:eastAsia="Calibri" w:hAnsi="Verdana" w:cs="Arial"/>
          <w:b/>
          <w:bCs/>
          <w:lang w:eastAsia="es-ES"/>
        </w:rPr>
        <w:t>–</w:t>
      </w:r>
      <w:r w:rsidRPr="00561B0A">
        <w:rPr>
          <w:rFonts w:ascii="Verdana" w:eastAsia="Calibri" w:hAnsi="Verdana" w:cs="Arial"/>
          <w:b/>
          <w:lang w:val="es-ES" w:eastAsia="es-ES"/>
        </w:rPr>
        <w:t xml:space="preserve"> </w:t>
      </w:r>
      <w:r>
        <w:rPr>
          <w:rFonts w:ascii="Verdana" w:eastAsia="Calibri" w:hAnsi="Verdana" w:cs="Arial"/>
          <w:b/>
          <w:lang w:val="es-ES" w:eastAsia="es-ES"/>
        </w:rPr>
        <w:t>L</w:t>
      </w:r>
      <w:r w:rsidRPr="00561B0A">
        <w:rPr>
          <w:rFonts w:ascii="Verdana" w:eastAsia="Calibri" w:hAnsi="Verdana" w:cs="Arial"/>
          <w:b/>
          <w:lang w:val="es-ES" w:eastAsia="es-ES"/>
        </w:rPr>
        <w:t>ímite</w:t>
      </w:r>
    </w:p>
    <w:p w14:paraId="02F08E22" w14:textId="77777777" w:rsidR="00C70EDD" w:rsidRDefault="00C70EDD" w:rsidP="00C70EDD">
      <w:pPr>
        <w:spacing w:after="0" w:line="240" w:lineRule="auto"/>
        <w:jc w:val="both"/>
        <w:rPr>
          <w:rFonts w:ascii="Verdana" w:eastAsia="Calibri" w:hAnsi="Verdana" w:cs="Arial"/>
          <w:b/>
          <w:lang w:val="es-ES" w:eastAsia="es-ES"/>
        </w:rPr>
      </w:pPr>
    </w:p>
    <w:p w14:paraId="61895217" w14:textId="77777777" w:rsidR="00C70EDD" w:rsidRDefault="00C70EDD" w:rsidP="00C70EDD">
      <w:pPr>
        <w:spacing w:after="0" w:line="240" w:lineRule="auto"/>
        <w:jc w:val="both"/>
        <w:rPr>
          <w:rFonts w:ascii="Verdana" w:eastAsia="Calibri" w:hAnsi="Verdana" w:cs="Arial"/>
          <w:sz w:val="20"/>
          <w:lang w:eastAsia="es-ES"/>
        </w:rPr>
      </w:pPr>
      <w:r w:rsidRPr="00561B0A">
        <w:rPr>
          <w:rFonts w:ascii="Verdana" w:eastAsia="Calibri" w:hAnsi="Verdana" w:cs="Arial"/>
          <w:i/>
          <w:iCs/>
          <w:sz w:val="20"/>
          <w:lang w:eastAsia="es-ES"/>
        </w:rPr>
        <w:t>Por un lado</w:t>
      </w:r>
      <w:r w:rsidRPr="00561B0A">
        <w:rPr>
          <w:rFonts w:ascii="Verdana" w:eastAsia="Calibri" w:hAnsi="Verdana" w:cs="Arial"/>
          <w:sz w:val="20"/>
          <w:lang w:eastAsia="es-ES"/>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C1F2ED9" w14:textId="77777777" w:rsidR="00C70EDD" w:rsidRPr="00561B0A" w:rsidRDefault="00C70EDD" w:rsidP="00C70EDD">
      <w:pPr>
        <w:spacing w:after="0" w:line="240" w:lineRule="auto"/>
        <w:jc w:val="both"/>
        <w:rPr>
          <w:rFonts w:ascii="Verdana" w:eastAsia="Calibri" w:hAnsi="Verdana" w:cs="Arial"/>
          <w:sz w:val="20"/>
          <w:lang w:eastAsia="es-ES"/>
        </w:rPr>
      </w:pPr>
    </w:p>
    <w:p w14:paraId="03551A4B" w14:textId="77777777" w:rsidR="00C70EDD" w:rsidRPr="00561B0A" w:rsidRDefault="00C70EDD" w:rsidP="00C70EDD">
      <w:pPr>
        <w:spacing w:after="0" w:line="240" w:lineRule="auto"/>
        <w:jc w:val="both"/>
        <w:rPr>
          <w:rFonts w:ascii="Verdana" w:eastAsia="Calibri" w:hAnsi="Verdana" w:cs="Arial"/>
          <w:sz w:val="20"/>
          <w:lang w:val="es-ES" w:eastAsia="es-ES" w:bidi="es-ES"/>
        </w:rPr>
      </w:pPr>
      <w:r w:rsidRPr="00561B0A">
        <w:rPr>
          <w:rFonts w:ascii="Verdana" w:eastAsia="Calibri" w:hAnsi="Verdana" w:cs="Arial"/>
          <w:i/>
          <w:iCs/>
          <w:sz w:val="20"/>
          <w:lang w:eastAsia="es-ES"/>
        </w:rPr>
        <w:t>Por otro</w:t>
      </w:r>
      <w:r w:rsidRPr="00561B0A">
        <w:rPr>
          <w:rFonts w:ascii="Verdana" w:eastAsia="Calibri" w:hAnsi="Verdana" w:cs="Arial"/>
          <w:sz w:val="20"/>
          <w:lang w:eastAsia="es-ES"/>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561B0A">
        <w:rPr>
          <w:rFonts w:ascii="Verdana" w:eastAsia="Calibri" w:hAnsi="Verdana" w:cs="Arial"/>
          <w:sz w:val="20"/>
          <w:lang w:val="es-MX" w:eastAsia="es-ES"/>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561B0A">
        <w:rPr>
          <w:rFonts w:ascii="Verdana" w:eastAsia="Calibri" w:hAnsi="Verdana" w:cs="Arial"/>
          <w:sz w:val="20"/>
          <w:lang w:eastAsia="es-ES"/>
        </w:rPr>
        <w:t>”</w:t>
      </w:r>
      <w:r w:rsidRPr="00561B0A">
        <w:rPr>
          <w:rFonts w:ascii="Verdana" w:eastAsia="Calibri" w:hAnsi="Verdana" w:cs="Arial"/>
          <w:sz w:val="20"/>
          <w:lang w:val="es-MX" w:eastAsia="es-ES"/>
        </w:rPr>
        <w:t>.</w:t>
      </w:r>
      <w:r w:rsidRPr="00561B0A">
        <w:rPr>
          <w:rFonts w:ascii="Verdana" w:eastAsia="Calibri" w:hAnsi="Verdana" w:cs="Arial"/>
          <w:sz w:val="20"/>
          <w:lang w:val="es-ES" w:eastAsia="es-ES" w:bidi="es-ES"/>
        </w:rPr>
        <w:t xml:space="preserve"> La Sala de Consulta y Servicio Civil del Consejo de Estado ha aclarado la distinción en la aplicación de las prohibiciones de la Ley 996 de 2005, dependiendo del tipo de elección que se trate. </w:t>
      </w:r>
    </w:p>
    <w:p w14:paraId="72DE729B" w14:textId="77777777" w:rsidR="00C70EDD" w:rsidRPr="00561B0A" w:rsidRDefault="00C70EDD" w:rsidP="00C70EDD">
      <w:pPr>
        <w:spacing w:after="0" w:line="240" w:lineRule="auto"/>
        <w:jc w:val="both"/>
        <w:rPr>
          <w:rFonts w:ascii="Verdana" w:eastAsia="Calibri" w:hAnsi="Verdana" w:cs="Arial"/>
          <w:b/>
          <w:lang w:val="es-ES" w:eastAsia="es-ES"/>
        </w:rPr>
      </w:pPr>
    </w:p>
    <w:p w14:paraId="5ADF8976" w14:textId="77777777" w:rsidR="00C70EDD" w:rsidRPr="00561B0A" w:rsidRDefault="00C70EDD" w:rsidP="00C70EDD">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Prohibición artículo 33 – Contratación directa – Alcance </w:t>
      </w:r>
    </w:p>
    <w:p w14:paraId="4CA96D07" w14:textId="77777777" w:rsidR="00C70EDD" w:rsidRDefault="00C70EDD" w:rsidP="00C70EDD">
      <w:pPr>
        <w:spacing w:after="0" w:line="240" w:lineRule="auto"/>
        <w:jc w:val="both"/>
        <w:rPr>
          <w:rFonts w:ascii="Verdana" w:eastAsia="Calibri" w:hAnsi="Verdana" w:cs="Arial"/>
          <w:b/>
          <w:lang w:val="es-ES" w:eastAsia="es-ES"/>
        </w:rPr>
      </w:pPr>
    </w:p>
    <w:p w14:paraId="1AC8745F" w14:textId="77777777" w:rsidR="00C70EDD" w:rsidRPr="00561B0A" w:rsidRDefault="00C70EDD" w:rsidP="00C70EDD">
      <w:pPr>
        <w:spacing w:after="0" w:line="240" w:lineRule="auto"/>
        <w:jc w:val="both"/>
        <w:rPr>
          <w:rFonts w:ascii="Verdana" w:eastAsia="Calibri" w:hAnsi="Verdana" w:cs="Arial"/>
          <w:sz w:val="20"/>
          <w:lang w:eastAsia="es-ES"/>
        </w:rPr>
      </w:pPr>
      <w:r w:rsidRPr="00561B0A">
        <w:rPr>
          <w:rFonts w:ascii="Verdana" w:eastAsia="Calibri" w:hAnsi="Verdana" w:cs="Arial"/>
          <w:sz w:val="20"/>
          <w:lang w:eastAsia="es-ES"/>
        </w:rPr>
        <w:t xml:space="preserve">De acuerdo con el citado concepto,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 y sistematizó las causales de contratación directa. </w:t>
      </w:r>
    </w:p>
    <w:p w14:paraId="1725174A" w14:textId="77777777" w:rsidR="00C70EDD" w:rsidRPr="00561B0A" w:rsidRDefault="00C70EDD" w:rsidP="00C70EDD">
      <w:pPr>
        <w:spacing w:after="0" w:line="240" w:lineRule="auto"/>
        <w:jc w:val="both"/>
        <w:rPr>
          <w:rFonts w:ascii="Verdana" w:eastAsia="Calibri" w:hAnsi="Verdana" w:cs="Arial"/>
          <w:bCs/>
          <w:sz w:val="20"/>
          <w:lang w:eastAsia="es-ES"/>
        </w:rPr>
      </w:pPr>
    </w:p>
    <w:p w14:paraId="04FB1CE5" w14:textId="77777777" w:rsidR="00C70EDD" w:rsidRPr="00561B0A" w:rsidRDefault="00C70EDD" w:rsidP="00C70EDD">
      <w:pPr>
        <w:spacing w:after="0" w:line="240" w:lineRule="auto"/>
        <w:jc w:val="both"/>
        <w:rPr>
          <w:rFonts w:ascii="Verdana" w:eastAsia="Calibri" w:hAnsi="Verdana" w:cs="Arial"/>
          <w:sz w:val="20"/>
          <w:lang w:eastAsia="es-ES"/>
        </w:rPr>
      </w:pPr>
      <w:r w:rsidRPr="00561B0A">
        <w:rPr>
          <w:rFonts w:ascii="Verdana" w:eastAsia="Calibri" w:hAnsi="Verdana" w:cs="Arial"/>
          <w:sz w:val="20"/>
          <w:lang w:eastAsia="es-ES"/>
        </w:rPr>
        <w:lastRenderedPageBreak/>
        <w:t>De esta forma, con fundamento en la evolución de la normativa sobre la contratación pública, se ha depurado la noción de “contratación directa”,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 han establecido sistemas de contratación que implican convocatoria pública y participación de varios oferentes”.</w:t>
      </w:r>
    </w:p>
    <w:p w14:paraId="30903AB5" w14:textId="77777777" w:rsidR="00C70EDD" w:rsidRPr="00561B0A" w:rsidRDefault="00C70EDD" w:rsidP="00C70EDD">
      <w:pPr>
        <w:spacing w:after="0" w:line="240" w:lineRule="auto"/>
        <w:jc w:val="both"/>
        <w:rPr>
          <w:rFonts w:ascii="Verdana" w:eastAsia="Calibri" w:hAnsi="Verdana" w:cs="Arial"/>
          <w:b/>
          <w:lang w:val="es-ES" w:eastAsia="es-ES"/>
        </w:rPr>
      </w:pPr>
    </w:p>
    <w:p w14:paraId="28291077" w14:textId="77777777" w:rsidR="00C70EDD" w:rsidRPr="00561B0A" w:rsidRDefault="00C70EDD" w:rsidP="00C70EDD">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Prohibición del artículo 33 – Destinatarios </w:t>
      </w:r>
    </w:p>
    <w:p w14:paraId="4A696F7C" w14:textId="77777777" w:rsidR="00C70EDD" w:rsidRDefault="00C70EDD" w:rsidP="00C70EDD">
      <w:pPr>
        <w:spacing w:after="0" w:line="240" w:lineRule="auto"/>
        <w:jc w:val="both"/>
        <w:rPr>
          <w:rFonts w:ascii="Verdana" w:eastAsia="Calibri" w:hAnsi="Verdana" w:cs="Arial"/>
          <w:b/>
          <w:lang w:val="es-ES" w:eastAsia="es-ES"/>
        </w:rPr>
      </w:pPr>
    </w:p>
    <w:p w14:paraId="49E6C21C" w14:textId="77777777" w:rsidR="00C70EDD" w:rsidRPr="00561B0A" w:rsidRDefault="00C70EDD" w:rsidP="00C70EDD">
      <w:pPr>
        <w:spacing w:after="0" w:line="240" w:lineRule="auto"/>
        <w:jc w:val="both"/>
        <w:rPr>
          <w:rFonts w:ascii="Verdana" w:eastAsia="Calibri" w:hAnsi="Verdana" w:cs="Arial"/>
          <w:bCs/>
          <w:sz w:val="20"/>
          <w:lang w:val="es-MX" w:eastAsia="es-ES"/>
        </w:rPr>
      </w:pPr>
      <w:r w:rsidRPr="00561B0A">
        <w:rPr>
          <w:rFonts w:ascii="Verdana" w:eastAsia="Calibri" w:hAnsi="Verdana" w:cs="Arial"/>
          <w:bCs/>
          <w:sz w:val="20"/>
          <w:lang w:val="es-MX" w:eastAsia="es-ES"/>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561B0A">
        <w:rPr>
          <w:rFonts w:ascii="Verdana" w:eastAsia="Calibri" w:hAnsi="Verdana" w:cs="Arial"/>
          <w:sz w:val="20"/>
          <w:lang w:val="es-MX" w:eastAsia="es-ES"/>
        </w:rPr>
        <w:t xml:space="preserve"> </w:t>
      </w:r>
      <w:r w:rsidRPr="00561B0A">
        <w:rPr>
          <w:rFonts w:ascii="Verdana" w:eastAsia="Calibri" w:hAnsi="Verdana" w:cs="Arial"/>
          <w:bCs/>
          <w:sz w:val="20"/>
          <w:lang w:val="es-MX" w:eastAsia="es-ES"/>
        </w:rPr>
        <w:t>En efecto, tal como lo ha sostenido el Consejo de Estado, el vocablo “todos” utilizado por el legislador comprende</w:t>
      </w:r>
      <w:r w:rsidRPr="00561B0A">
        <w:rPr>
          <w:rFonts w:ascii="Verdana" w:eastAsia="Calibri" w:hAnsi="Verdana" w:cs="Arial"/>
          <w:sz w:val="20"/>
          <w:lang w:val="es-MX" w:eastAsia="es-ES"/>
        </w:rPr>
        <w:t xml:space="preserve"> </w:t>
      </w:r>
      <w:r w:rsidRPr="00561B0A">
        <w:rPr>
          <w:rFonts w:ascii="Verdana" w:eastAsia="Calibri" w:hAnsi="Verdana" w:cs="Arial"/>
          <w:bCs/>
          <w:sz w:val="20"/>
          <w:lang w:val="es-MX" w:eastAsia="es-ES"/>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34B192C0" w14:textId="77777777" w:rsidR="00C70EDD" w:rsidRPr="00561B0A" w:rsidRDefault="00C70EDD" w:rsidP="00C70EDD">
      <w:pPr>
        <w:spacing w:after="0" w:line="240" w:lineRule="auto"/>
        <w:jc w:val="both"/>
        <w:rPr>
          <w:rFonts w:ascii="Verdana" w:eastAsia="Calibri" w:hAnsi="Verdana" w:cs="Arial"/>
          <w:b/>
          <w:lang w:val="es-ES" w:eastAsia="es-ES"/>
        </w:rPr>
      </w:pPr>
    </w:p>
    <w:p w14:paraId="1B579CC7" w14:textId="77777777" w:rsidR="00C70EDD" w:rsidRPr="00561B0A" w:rsidRDefault="00C70EDD" w:rsidP="00C70EDD">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 xml:space="preserve">LEY DE GARANTÍAS ELECTORALES – Condiciones de igualdad – Contratación directa </w:t>
      </w:r>
    </w:p>
    <w:p w14:paraId="0B264DA5" w14:textId="77777777" w:rsidR="00C70EDD" w:rsidRDefault="00C70EDD" w:rsidP="00C70EDD">
      <w:pPr>
        <w:spacing w:after="0" w:line="240" w:lineRule="auto"/>
        <w:jc w:val="both"/>
        <w:rPr>
          <w:rFonts w:ascii="Verdana" w:eastAsia="Calibri" w:hAnsi="Verdana" w:cs="Arial"/>
          <w:b/>
          <w:lang w:val="es-ES" w:eastAsia="es-ES"/>
        </w:rPr>
      </w:pPr>
    </w:p>
    <w:p w14:paraId="577D7421" w14:textId="77777777" w:rsidR="00C70EDD" w:rsidRPr="004D6761" w:rsidRDefault="00C70EDD" w:rsidP="00C70EDD">
      <w:pPr>
        <w:spacing w:after="0" w:line="240" w:lineRule="auto"/>
        <w:jc w:val="both"/>
        <w:rPr>
          <w:rFonts w:ascii="Verdana" w:eastAsia="Calibri" w:hAnsi="Verdana" w:cs="Arial"/>
          <w:bCs/>
          <w:sz w:val="20"/>
          <w:lang w:val="es-MX" w:eastAsia="es-ES"/>
        </w:rPr>
      </w:pPr>
      <w:r w:rsidRPr="004D6761">
        <w:rPr>
          <w:rFonts w:ascii="Verdana" w:eastAsia="Calibri" w:hAnsi="Verdana" w:cs="Arial"/>
          <w:sz w:val="20"/>
          <w:lang w:val="es-MX" w:eastAsia="es-ES"/>
        </w:rPr>
        <w:t xml:space="preserve">Por lo tanto, la restricción prevista en la Ley 996 de 2005, </w:t>
      </w:r>
      <w:r w:rsidRPr="004D6761">
        <w:rPr>
          <w:rFonts w:ascii="Verdana" w:eastAsia="Calibri" w:hAnsi="Verdana" w:cs="Arial"/>
          <w:bCs/>
          <w:sz w:val="20"/>
          <w:lang w:val="es-MX" w:eastAsia="es-ES"/>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02DCF0E1" w14:textId="77777777" w:rsidR="00C70EDD" w:rsidRPr="004D6761" w:rsidRDefault="00C70EDD" w:rsidP="00C70EDD">
      <w:pPr>
        <w:spacing w:after="0" w:line="240" w:lineRule="auto"/>
        <w:jc w:val="both"/>
        <w:rPr>
          <w:rFonts w:ascii="Verdana" w:eastAsia="Calibri" w:hAnsi="Verdana" w:cs="Arial"/>
          <w:sz w:val="20"/>
          <w:lang w:val="es-MX" w:eastAsia="es-ES"/>
        </w:rPr>
      </w:pPr>
    </w:p>
    <w:p w14:paraId="7111A7E0" w14:textId="77777777" w:rsidR="00C70EDD" w:rsidRPr="00561B0A" w:rsidRDefault="00C70EDD" w:rsidP="00C70EDD">
      <w:pPr>
        <w:spacing w:after="0" w:line="240" w:lineRule="auto"/>
        <w:jc w:val="both"/>
        <w:rPr>
          <w:rFonts w:ascii="Verdana" w:eastAsia="Calibri" w:hAnsi="Verdana" w:cs="Arial"/>
          <w:b/>
          <w:lang w:val="es-ES" w:eastAsia="es-ES"/>
        </w:rPr>
      </w:pPr>
      <w:r w:rsidRPr="00561B0A">
        <w:rPr>
          <w:rFonts w:ascii="Verdana" w:eastAsia="Calibri" w:hAnsi="Verdana" w:cs="Arial"/>
          <w:b/>
          <w:lang w:val="es-ES" w:eastAsia="es-ES"/>
        </w:rPr>
        <w:t>LEY DE GARANTÍAS ELECTORALES – Contratación Directa – Excepciones</w:t>
      </w:r>
    </w:p>
    <w:p w14:paraId="4D6228CC" w14:textId="77777777" w:rsidR="00C70EDD" w:rsidRDefault="00C70EDD" w:rsidP="00C70EDD">
      <w:pPr>
        <w:spacing w:after="0" w:line="240" w:lineRule="auto"/>
        <w:jc w:val="both"/>
        <w:rPr>
          <w:rFonts w:ascii="Verdana" w:eastAsia="Calibri" w:hAnsi="Verdana" w:cs="Arial"/>
          <w:b/>
          <w:lang w:val="es-ES" w:eastAsia="es-ES"/>
        </w:rPr>
      </w:pPr>
    </w:p>
    <w:p w14:paraId="49C40495" w14:textId="77777777" w:rsidR="00C70EDD" w:rsidRDefault="00C70EDD" w:rsidP="00C70EDD">
      <w:pPr>
        <w:spacing w:after="0" w:line="240" w:lineRule="auto"/>
        <w:jc w:val="both"/>
        <w:rPr>
          <w:rFonts w:ascii="Verdana" w:eastAsia="Calibri" w:hAnsi="Verdana" w:cs="Arial"/>
          <w:iCs/>
          <w:sz w:val="20"/>
          <w:lang w:val="es-ES" w:eastAsia="es-ES"/>
        </w:rPr>
      </w:pPr>
      <w:r w:rsidRPr="004D6761">
        <w:rPr>
          <w:rFonts w:ascii="Verdana" w:eastAsia="Calibri" w:hAnsi="Verdana" w:cs="Arial"/>
          <w:iCs/>
          <w:sz w:val="20"/>
          <w:lang w:eastAsia="es-ES"/>
        </w:rPr>
        <w:t xml:space="preserve">Las excepciones están </w:t>
      </w:r>
      <w:r w:rsidRPr="004D6761">
        <w:rPr>
          <w:rFonts w:ascii="Verdana" w:eastAsia="Calibri" w:hAnsi="Verdana" w:cs="Arial"/>
          <w:bCs/>
          <w:sz w:val="20"/>
          <w:lang w:val="es-MX" w:eastAsia="es-ES"/>
        </w:rPr>
        <w:t xml:space="preserve">consagradas de forma expresa en el inciso final del citado artículo 33 de la Ley 996 de 2005 en lo referente a i) la defensa y seguridad del Estado; </w:t>
      </w:r>
      <w:proofErr w:type="spellStart"/>
      <w:r w:rsidRPr="004D6761">
        <w:rPr>
          <w:rFonts w:ascii="Verdana" w:eastAsia="Calibri" w:hAnsi="Verdana" w:cs="Arial"/>
          <w:bCs/>
          <w:sz w:val="20"/>
          <w:lang w:val="es-MX" w:eastAsia="es-ES"/>
        </w:rPr>
        <w:t>ii</w:t>
      </w:r>
      <w:proofErr w:type="spellEnd"/>
      <w:r w:rsidRPr="004D6761">
        <w:rPr>
          <w:rFonts w:ascii="Verdana" w:eastAsia="Calibri" w:hAnsi="Verdana" w:cs="Arial"/>
          <w:bCs/>
          <w:sz w:val="20"/>
          <w:lang w:val="es-MX" w:eastAsia="es-ES"/>
        </w:rPr>
        <w:t xml:space="preserve">) los contratos de crédito público; </w:t>
      </w:r>
      <w:proofErr w:type="spellStart"/>
      <w:r w:rsidRPr="004D6761">
        <w:rPr>
          <w:rFonts w:ascii="Verdana" w:eastAsia="Calibri" w:hAnsi="Verdana" w:cs="Arial"/>
          <w:bCs/>
          <w:sz w:val="20"/>
          <w:lang w:val="es-MX" w:eastAsia="es-ES"/>
        </w:rPr>
        <w:t>iii</w:t>
      </w:r>
      <w:proofErr w:type="spellEnd"/>
      <w:r w:rsidRPr="004D6761">
        <w:rPr>
          <w:rFonts w:ascii="Verdana" w:eastAsia="Calibri" w:hAnsi="Verdana" w:cs="Arial"/>
          <w:bCs/>
          <w:sz w:val="20"/>
          <w:lang w:val="es-MX" w:eastAsia="es-ES"/>
        </w:rPr>
        <w:t xml:space="preserve">) los requeridos para cubrir las emergencias educativas, sanitarias y desastres; </w:t>
      </w:r>
      <w:proofErr w:type="spellStart"/>
      <w:r w:rsidRPr="004D6761">
        <w:rPr>
          <w:rFonts w:ascii="Verdana" w:eastAsia="Calibri" w:hAnsi="Verdana" w:cs="Arial"/>
          <w:bCs/>
          <w:sz w:val="20"/>
          <w:lang w:val="es-MX" w:eastAsia="es-ES"/>
        </w:rPr>
        <w:t>iv</w:t>
      </w:r>
      <w:proofErr w:type="spellEnd"/>
      <w:r w:rsidRPr="004D6761">
        <w:rPr>
          <w:rFonts w:ascii="Verdana" w:eastAsia="Calibri" w:hAnsi="Verdana" w:cs="Arial"/>
          <w:bCs/>
          <w:sz w:val="20"/>
          <w:lang w:val="es-MX" w:eastAsia="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Así mismo, la Corte </w:t>
      </w:r>
      <w:r w:rsidRPr="004D6761">
        <w:rPr>
          <w:rFonts w:ascii="Verdana" w:eastAsia="Calibri" w:hAnsi="Verdana" w:cs="Arial"/>
          <w:bCs/>
          <w:sz w:val="20"/>
          <w:lang w:val="es-MX" w:eastAsia="es-ES"/>
        </w:rPr>
        <w:lastRenderedPageBreak/>
        <w:t xml:space="preserve">Constitucional en la Sentencia C-1153 de 2005 señaló que la expresión </w:t>
      </w:r>
      <w:r w:rsidRPr="004D6761">
        <w:rPr>
          <w:rFonts w:ascii="Verdana" w:eastAsia="Calibri" w:hAnsi="Verdana" w:cs="Arial"/>
          <w:i/>
          <w:iCs/>
          <w:sz w:val="20"/>
          <w:lang w:val="es-ES" w:eastAsia="es-ES"/>
        </w:rPr>
        <w:t xml:space="preserve">“adicionalmente se exceptúan aquellos gastos inaplazables e imprescindibles que afecten el normal funcionamiento de la administración” </w:t>
      </w:r>
      <w:r w:rsidRPr="004D6761">
        <w:rPr>
          <w:rFonts w:ascii="Verdana" w:eastAsia="Calibri" w:hAnsi="Verdana" w:cs="Arial"/>
          <w:iCs/>
          <w:sz w:val="20"/>
          <w:lang w:val="es-ES" w:eastAsia="es-ES"/>
        </w:rPr>
        <w:t>regulada como excepción en el artículo 33</w:t>
      </w:r>
      <w:r w:rsidRPr="004D6761">
        <w:rPr>
          <w:rFonts w:ascii="Verdana" w:eastAsia="Calibri" w:hAnsi="Verdana" w:cs="Arial"/>
          <w:i/>
          <w:iCs/>
          <w:sz w:val="20"/>
          <w:lang w:val="es-ES" w:eastAsia="es-ES"/>
        </w:rPr>
        <w:t xml:space="preserve"> </w:t>
      </w:r>
      <w:r w:rsidRPr="004D6761">
        <w:rPr>
          <w:rFonts w:ascii="Verdana" w:eastAsia="Calibri" w:hAnsi="Verdana" w:cs="Arial"/>
          <w:iCs/>
          <w:sz w:val="20"/>
          <w:lang w:val="es-ES" w:eastAsia="es-ES"/>
        </w:rPr>
        <w:t>es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4D6761">
        <w:rPr>
          <w:rFonts w:ascii="Verdana" w:eastAsia="Calibri" w:hAnsi="Verdana" w:cs="Arial"/>
          <w:i/>
          <w:iCs/>
          <w:sz w:val="20"/>
          <w:lang w:val="es-ES" w:eastAsia="es-ES"/>
        </w:rPr>
        <w:t xml:space="preserve"> </w:t>
      </w:r>
      <w:r w:rsidRPr="004D6761">
        <w:rPr>
          <w:rFonts w:ascii="Verdana" w:eastAsia="Calibri" w:hAnsi="Verdana" w:cs="Arial"/>
          <w:iCs/>
          <w:sz w:val="20"/>
          <w:lang w:val="es-ES" w:eastAsia="es-ES"/>
        </w:rPr>
        <w:t>Por tanto, dicha expresión fue declarada inexequible, razón por la cual no es posible que las entidades argumenten razones como esta para exceptuar la restricción del artículo 33.</w:t>
      </w:r>
    </w:p>
    <w:p w14:paraId="7FF0A63C" w14:textId="77777777" w:rsidR="00C70EDD" w:rsidRPr="004D6761" w:rsidRDefault="00C70EDD" w:rsidP="00C70EDD">
      <w:pPr>
        <w:spacing w:after="0" w:line="240" w:lineRule="auto"/>
        <w:jc w:val="both"/>
        <w:rPr>
          <w:rFonts w:ascii="Verdana" w:eastAsia="Calibri" w:hAnsi="Verdana" w:cs="Arial"/>
          <w:sz w:val="20"/>
          <w:lang w:val="es-ES" w:eastAsia="es-ES"/>
        </w:rPr>
      </w:pPr>
    </w:p>
    <w:p w14:paraId="4E265165" w14:textId="77777777" w:rsidR="00C70EDD" w:rsidRPr="00561B0A" w:rsidRDefault="00C70EDD" w:rsidP="00C70EDD">
      <w:pPr>
        <w:spacing w:after="0" w:line="240" w:lineRule="auto"/>
        <w:jc w:val="both"/>
        <w:rPr>
          <w:rFonts w:ascii="Verdana" w:hAnsi="Verdana" w:cs="Arial"/>
          <w:b/>
          <w:bCs/>
          <w:lang w:val="es-ES_tradnl" w:eastAsia="es-ES_tradnl"/>
        </w:rPr>
      </w:pPr>
      <w:r w:rsidRPr="00561B0A">
        <w:rPr>
          <w:rFonts w:ascii="Verdana" w:eastAsia="Calibri" w:hAnsi="Verdana" w:cs="Arial"/>
          <w:b/>
          <w:lang w:val="es-ES" w:eastAsia="es-ES"/>
        </w:rPr>
        <w:t xml:space="preserve"> </w:t>
      </w:r>
      <w:r w:rsidRPr="00561B0A">
        <w:rPr>
          <w:rFonts w:ascii="Verdana" w:hAnsi="Verdana" w:cs="Arial"/>
          <w:b/>
          <w:bCs/>
          <w:lang w:val="es-ES_tradnl" w:eastAsia="es-ES_tradnl"/>
        </w:rPr>
        <w:t xml:space="preserve">CONTRATO DE ARRENDAMIENTO – Definición – Características </w:t>
      </w:r>
    </w:p>
    <w:p w14:paraId="2F0D6470" w14:textId="77777777" w:rsidR="00C70EDD" w:rsidRDefault="00C70EDD" w:rsidP="00C70EDD">
      <w:pPr>
        <w:spacing w:after="0" w:line="240" w:lineRule="auto"/>
        <w:jc w:val="both"/>
        <w:rPr>
          <w:rFonts w:ascii="Verdana" w:hAnsi="Verdana" w:cs="Arial"/>
          <w:b/>
          <w:bCs/>
          <w:lang w:val="es-ES_tradnl" w:eastAsia="es-ES_tradnl"/>
        </w:rPr>
      </w:pPr>
    </w:p>
    <w:p w14:paraId="2FD2E0E0" w14:textId="77777777" w:rsidR="00C70EDD" w:rsidRDefault="00C70EDD" w:rsidP="00C70EDD">
      <w:pPr>
        <w:spacing w:after="0" w:line="240" w:lineRule="auto"/>
        <w:jc w:val="both"/>
        <w:rPr>
          <w:rFonts w:ascii="Verdana" w:hAnsi="Verdana" w:cs="Arial"/>
          <w:bCs/>
          <w:sz w:val="20"/>
          <w:lang w:eastAsia="es-ES_tradnl"/>
        </w:rPr>
      </w:pPr>
      <w:r w:rsidRPr="00155A57">
        <w:rPr>
          <w:rFonts w:ascii="Verdana" w:hAnsi="Verdana" w:cs="Arial"/>
          <w:bCs/>
          <w:sz w:val="20"/>
          <w:lang w:eastAsia="es-ES_tradnl"/>
        </w:rPr>
        <w:t>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4809B017" w14:textId="77777777" w:rsidR="00C70EDD" w:rsidRPr="00155A57" w:rsidRDefault="00C70EDD" w:rsidP="00C70EDD">
      <w:pPr>
        <w:spacing w:after="0" w:line="240" w:lineRule="auto"/>
        <w:jc w:val="both"/>
        <w:rPr>
          <w:rFonts w:ascii="Verdana" w:hAnsi="Verdana" w:cs="Arial"/>
          <w:bCs/>
          <w:sz w:val="20"/>
          <w:lang w:eastAsia="es-ES_tradnl"/>
        </w:rPr>
      </w:pPr>
    </w:p>
    <w:p w14:paraId="36B53D78" w14:textId="77777777" w:rsidR="00C70EDD" w:rsidRPr="00155A57" w:rsidRDefault="00C70EDD" w:rsidP="00C70EDD">
      <w:pPr>
        <w:spacing w:after="0" w:line="240" w:lineRule="auto"/>
        <w:jc w:val="both"/>
        <w:rPr>
          <w:rFonts w:ascii="Verdana" w:hAnsi="Verdana" w:cs="Arial"/>
          <w:bCs/>
          <w:sz w:val="20"/>
          <w:lang w:val="es-ES" w:eastAsia="es-ES_tradnl"/>
        </w:rPr>
      </w:pPr>
      <w:r w:rsidRPr="00155A57">
        <w:rPr>
          <w:rFonts w:ascii="Verdana" w:hAnsi="Verdana" w:cs="Arial"/>
          <w:bCs/>
          <w:sz w:val="20"/>
          <w:lang w:val="es-ES" w:eastAsia="es-ES_tradnl"/>
        </w:rPr>
        <w:t xml:space="preserve">En cuanto a sus características, la doctrina ha indicado que el arrendamiento es un contrato: i) bilateral, pues ambas partes se obligan recíprocamente; </w:t>
      </w:r>
      <w:proofErr w:type="spellStart"/>
      <w:r w:rsidRPr="00155A57">
        <w:rPr>
          <w:rFonts w:ascii="Verdana" w:hAnsi="Verdana" w:cs="Arial"/>
          <w:bCs/>
          <w:sz w:val="20"/>
          <w:lang w:val="es-ES" w:eastAsia="es-ES_tradnl"/>
        </w:rPr>
        <w:t>ii</w:t>
      </w:r>
      <w:proofErr w:type="spellEnd"/>
      <w:r w:rsidRPr="00155A57">
        <w:rPr>
          <w:rFonts w:ascii="Verdana" w:hAnsi="Verdana" w:cs="Arial"/>
          <w:bCs/>
          <w:sz w:val="20"/>
          <w:lang w:val="es-ES" w:eastAsia="es-ES_tradnl"/>
        </w:rPr>
        <w:t xml:space="preserve">) consensual, dado que se perfecciona con el consentimiento; </w:t>
      </w:r>
      <w:proofErr w:type="spellStart"/>
      <w:r w:rsidRPr="00155A57">
        <w:rPr>
          <w:rFonts w:ascii="Verdana" w:hAnsi="Verdana" w:cs="Arial"/>
          <w:bCs/>
          <w:sz w:val="20"/>
          <w:lang w:val="es-ES" w:eastAsia="es-ES_tradnl"/>
        </w:rPr>
        <w:t>iii</w:t>
      </w:r>
      <w:proofErr w:type="spellEnd"/>
      <w:r w:rsidRPr="00155A57">
        <w:rPr>
          <w:rFonts w:ascii="Verdana" w:hAnsi="Verdana" w:cs="Arial"/>
          <w:bCs/>
          <w:sz w:val="20"/>
          <w:lang w:val="es-ES" w:eastAsia="es-ES_tradnl"/>
        </w:rPr>
        <w:t xml:space="preserve">) oneroso, ya que ambas partes obtienen utilidades –el arrendatario, el uso y goce del bien, y el arrendador la renta o canon–; </w:t>
      </w:r>
      <w:proofErr w:type="spellStart"/>
      <w:r w:rsidRPr="00155A57">
        <w:rPr>
          <w:rFonts w:ascii="Verdana" w:hAnsi="Verdana" w:cs="Arial"/>
          <w:bCs/>
          <w:sz w:val="20"/>
          <w:lang w:val="es-ES" w:eastAsia="es-ES_tradnl"/>
        </w:rPr>
        <w:t>iv</w:t>
      </w:r>
      <w:proofErr w:type="spellEnd"/>
      <w:r w:rsidRPr="00155A57">
        <w:rPr>
          <w:rFonts w:ascii="Verdana" w:hAnsi="Verdana" w:cs="Arial"/>
          <w:bCs/>
          <w:sz w:val="20"/>
          <w:lang w:val="es-ES" w:eastAsia="es-ES_tradnl"/>
        </w:rPr>
        <w:t>) de ejecución sucesiva, en la medida en que se ejecuta en forma periódica; v) principal, porque existe en forma autónoma; y v) nominado, porque está tipificado y desarrollado en la ley.</w:t>
      </w:r>
    </w:p>
    <w:p w14:paraId="6203F9A3" w14:textId="77777777" w:rsidR="00C70EDD" w:rsidRPr="00561B0A" w:rsidRDefault="00C70EDD" w:rsidP="00C70EDD">
      <w:pPr>
        <w:spacing w:after="0" w:line="240" w:lineRule="auto"/>
        <w:jc w:val="both"/>
        <w:rPr>
          <w:rFonts w:ascii="Verdana" w:hAnsi="Verdana" w:cs="Arial"/>
          <w:b/>
          <w:bCs/>
          <w:lang w:val="es-ES_tradnl" w:eastAsia="es-ES_tradnl"/>
        </w:rPr>
      </w:pPr>
    </w:p>
    <w:p w14:paraId="4D8CC246" w14:textId="77777777" w:rsidR="00C70EDD" w:rsidRDefault="00C70EDD" w:rsidP="00C70EDD">
      <w:pPr>
        <w:spacing w:after="0" w:line="240" w:lineRule="auto"/>
        <w:jc w:val="both"/>
        <w:rPr>
          <w:rFonts w:ascii="Verdana" w:hAnsi="Verdana" w:cs="Arial"/>
          <w:b/>
          <w:bCs/>
          <w:lang w:val="es-ES_tradnl" w:eastAsia="es-ES_tradnl"/>
        </w:rPr>
      </w:pPr>
      <w:r w:rsidRPr="00561B0A">
        <w:rPr>
          <w:rFonts w:ascii="Verdana" w:hAnsi="Verdana" w:cs="Arial"/>
          <w:b/>
          <w:bCs/>
          <w:lang w:val="es-ES_tradnl" w:eastAsia="es-ES_tradnl"/>
        </w:rPr>
        <w:t>CONTRATO DE ARRENDAMIENTO –</w:t>
      </w:r>
      <w:r>
        <w:rPr>
          <w:rFonts w:ascii="Verdana" w:hAnsi="Verdana" w:cs="Arial"/>
          <w:b/>
          <w:bCs/>
          <w:lang w:val="es-ES_tradnl" w:eastAsia="es-ES_tradnl"/>
        </w:rPr>
        <w:t xml:space="preserve"> </w:t>
      </w:r>
      <w:r w:rsidRPr="00561B0A">
        <w:rPr>
          <w:rFonts w:ascii="Verdana" w:hAnsi="Verdana" w:cs="Arial"/>
          <w:b/>
          <w:bCs/>
          <w:lang w:val="es-ES_tradnl" w:eastAsia="es-ES_tradnl"/>
        </w:rPr>
        <w:t>Restricción – Contratación Directa – Artículo 33 – Excepciones</w:t>
      </w:r>
    </w:p>
    <w:p w14:paraId="2C05CC06" w14:textId="77777777" w:rsidR="00C70EDD" w:rsidRPr="004D6761" w:rsidRDefault="00C70EDD" w:rsidP="00C70EDD">
      <w:pPr>
        <w:spacing w:after="0" w:line="240" w:lineRule="auto"/>
        <w:jc w:val="both"/>
        <w:rPr>
          <w:rFonts w:ascii="Verdana" w:hAnsi="Verdana" w:cs="Arial"/>
          <w:bCs/>
          <w:sz w:val="20"/>
          <w:lang w:val="es-ES_tradnl" w:eastAsia="es-ES_tradnl"/>
        </w:rPr>
      </w:pPr>
    </w:p>
    <w:p w14:paraId="7570DECA" w14:textId="77777777" w:rsidR="00C70EDD" w:rsidRPr="00155A57" w:rsidRDefault="00C70EDD" w:rsidP="00C70EDD">
      <w:pPr>
        <w:spacing w:after="0" w:line="240" w:lineRule="auto"/>
        <w:jc w:val="both"/>
        <w:rPr>
          <w:rFonts w:ascii="Verdana" w:hAnsi="Verdana" w:cs="Arial"/>
          <w:bCs/>
          <w:sz w:val="20"/>
          <w:szCs w:val="20"/>
          <w:lang w:val="es-MX" w:eastAsia="es-ES_tradnl"/>
        </w:rPr>
      </w:pPr>
      <w:r w:rsidRPr="00155A57">
        <w:rPr>
          <w:rFonts w:ascii="Verdana" w:hAnsi="Verdana" w:cs="Arial"/>
          <w:bCs/>
          <w:sz w:val="20"/>
          <w:szCs w:val="20"/>
          <w:lang w:eastAsia="es-ES_tradnl"/>
        </w:rPr>
        <w:t xml:space="preserve">Bajo esta lógica, no es posible que la entidad estatal en calidad de arrendadora o de arrendataria de un bien inmueble pueda suscribir un contrato de arrendamiento, pues se encuentra dentro de la restricción del artículo 33 de la Ley 996 de 2005, la cual </w:t>
      </w:r>
      <w:r w:rsidRPr="00155A57">
        <w:rPr>
          <w:rFonts w:ascii="Verdana" w:hAnsi="Verdana" w:cs="Arial"/>
          <w:bCs/>
          <w:sz w:val="20"/>
          <w:szCs w:val="20"/>
          <w:lang w:val="es-MX" w:eastAsia="es-ES_tradnl"/>
        </w:rPr>
        <w:t xml:space="preserve">prohíbe adelantar cualquier forma de contratación directa, entendida como todo mecanismo no competitivo. Es decir, dicha restricción aplica en aquellos supuestos, en los que se pretenda celebrar contratos de arrendamiento de bienes inmuebles de forma directa, ya sea en calidad de arrendadora o de arrendataria, conforme a la causal de contratación directa </w:t>
      </w:r>
      <w:r w:rsidRPr="00155A57">
        <w:rPr>
          <w:rFonts w:ascii="Verdana" w:hAnsi="Verdana" w:cs="Arial"/>
          <w:bCs/>
          <w:sz w:val="20"/>
          <w:szCs w:val="20"/>
          <w:lang w:eastAsia="es-ES_tradnl"/>
        </w:rPr>
        <w:t>del artículo 2º, numeral 4° literal i) de la Ley 1150 de 2007.</w:t>
      </w:r>
      <w:r w:rsidRPr="00155A57">
        <w:rPr>
          <w:rFonts w:ascii="Verdana" w:hAnsi="Verdana" w:cs="Arial"/>
          <w:bCs/>
          <w:sz w:val="20"/>
          <w:szCs w:val="20"/>
          <w:lang w:val="es-MX" w:eastAsia="es-ES_tradnl"/>
        </w:rPr>
        <w:t xml:space="preserve"> En este sentido, todos los entes del Estado, independiente del régimen jurídico aplicable, están sujetos a la restricción del artículo 33 de la Ley 996 de 2005, es decir, no podrán adelantar sistema que implique contratación directa respecto de las elecciones presidenciales, dentro de los cuatro (4) meses anteriores a la celebración de dichos comicios. </w:t>
      </w:r>
    </w:p>
    <w:p w14:paraId="061FD8B5" w14:textId="77777777" w:rsidR="00C70EDD" w:rsidRPr="00155A57" w:rsidRDefault="00C70EDD" w:rsidP="00C70EDD">
      <w:pPr>
        <w:spacing w:after="0" w:line="240" w:lineRule="auto"/>
        <w:jc w:val="both"/>
        <w:rPr>
          <w:rFonts w:ascii="Verdana" w:hAnsi="Verdana" w:cs="Arial"/>
          <w:bCs/>
          <w:sz w:val="20"/>
          <w:szCs w:val="20"/>
          <w:lang w:val="es-MX" w:eastAsia="es-ES_tradnl"/>
        </w:rPr>
      </w:pPr>
    </w:p>
    <w:p w14:paraId="0EC94BD5" w14:textId="77777777" w:rsidR="00C70EDD" w:rsidRPr="00155A57" w:rsidRDefault="00C70EDD" w:rsidP="00C70EDD">
      <w:pPr>
        <w:spacing w:after="0" w:line="240" w:lineRule="auto"/>
        <w:jc w:val="both"/>
        <w:rPr>
          <w:rFonts w:ascii="Verdana" w:hAnsi="Verdana" w:cs="Arial"/>
          <w:bCs/>
          <w:iCs/>
          <w:sz w:val="20"/>
          <w:szCs w:val="20"/>
          <w:lang w:val="es-ES" w:eastAsia="es-ES_tradnl"/>
        </w:rPr>
      </w:pPr>
      <w:r w:rsidRPr="00155A57">
        <w:rPr>
          <w:rFonts w:ascii="Verdana" w:hAnsi="Verdana" w:cs="Arial"/>
          <w:bCs/>
          <w:sz w:val="20"/>
          <w:szCs w:val="20"/>
          <w:lang w:val="es-MX" w:eastAsia="es-ES_tradnl"/>
        </w:rPr>
        <w:t xml:space="preserve">Sin embargo, la uso de la “contratación directa” no se encuentra absolutamente proscrita, en la medida en que se contemplan excepciones expresamente consagradas en el artículo 33 de la Ley 996 de 2005, las cuales constituyen un marco taxativo que habilita su procedencia en supuestos específicos. En este sentido, la Agencia ha desarrollado doctrina sobre cada una de dichas hipótesis excepcionales, entre las que se destacan: i) los contratos relacionados con la defensa y seguridad del Estado, analizados en el Concepto 322 de 2026; </w:t>
      </w:r>
      <w:proofErr w:type="spellStart"/>
      <w:r w:rsidRPr="00155A57">
        <w:rPr>
          <w:rFonts w:ascii="Verdana" w:hAnsi="Verdana" w:cs="Arial"/>
          <w:bCs/>
          <w:sz w:val="20"/>
          <w:szCs w:val="20"/>
          <w:lang w:val="es-MX" w:eastAsia="es-ES_tradnl"/>
        </w:rPr>
        <w:t>ii</w:t>
      </w:r>
      <w:proofErr w:type="spellEnd"/>
      <w:r w:rsidRPr="00155A57">
        <w:rPr>
          <w:rFonts w:ascii="Verdana" w:hAnsi="Verdana" w:cs="Arial"/>
          <w:bCs/>
          <w:sz w:val="20"/>
          <w:szCs w:val="20"/>
          <w:lang w:val="es-MX" w:eastAsia="es-ES_tradnl"/>
        </w:rPr>
        <w:t>) los contratos de crédito público, abordados en los Conceptos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109 de 2022 y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 xml:space="preserve">413 de 2022; </w:t>
      </w:r>
      <w:proofErr w:type="spellStart"/>
      <w:r w:rsidRPr="00155A57">
        <w:rPr>
          <w:rFonts w:ascii="Verdana" w:hAnsi="Verdana" w:cs="Arial"/>
          <w:bCs/>
          <w:sz w:val="20"/>
          <w:szCs w:val="20"/>
          <w:lang w:val="es-MX" w:eastAsia="es-ES_tradnl"/>
        </w:rPr>
        <w:t>iii</w:t>
      </w:r>
      <w:proofErr w:type="spellEnd"/>
      <w:r w:rsidRPr="00155A57">
        <w:rPr>
          <w:rFonts w:ascii="Verdana" w:hAnsi="Verdana" w:cs="Arial"/>
          <w:bCs/>
          <w:sz w:val="20"/>
          <w:szCs w:val="20"/>
          <w:lang w:val="es-MX" w:eastAsia="es-ES_tradnl"/>
        </w:rPr>
        <w:t>) los contratos necesarios para atender emergencias educativas, sanitarias o desastres, tratados en los Conceptos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118 de 2026 y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 xml:space="preserve">176 de 2026; </w:t>
      </w:r>
      <w:proofErr w:type="spellStart"/>
      <w:r w:rsidRPr="00155A57">
        <w:rPr>
          <w:rFonts w:ascii="Verdana" w:hAnsi="Verdana" w:cs="Arial"/>
          <w:bCs/>
          <w:sz w:val="20"/>
          <w:szCs w:val="20"/>
          <w:lang w:val="es-MX" w:eastAsia="es-ES_tradnl"/>
        </w:rPr>
        <w:t>iv</w:t>
      </w:r>
      <w:proofErr w:type="spellEnd"/>
      <w:r w:rsidRPr="00155A57">
        <w:rPr>
          <w:rFonts w:ascii="Verdana" w:hAnsi="Verdana" w:cs="Arial"/>
          <w:bCs/>
          <w:sz w:val="20"/>
          <w:szCs w:val="20"/>
          <w:lang w:val="es-MX" w:eastAsia="es-ES_tradnl"/>
        </w:rPr>
        <w:t>) los contratos destinados a la reconstrucción de infraestructura vial, energética y de comunicaciones afectada por atentados, acciones terroristas, desastres naturales o fuerza mayor, igualmente estudiados en los Conceptos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118 de 2026 y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176 de 2026, entre otros; y v) la contratación directa celebrada por entidades sanitarias y hospitalarias, objeto de análisis en los Conceptos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1124 de 2026,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1406 de 2026 y C</w:t>
      </w:r>
      <w:r w:rsidRPr="00155A57">
        <w:rPr>
          <w:rFonts w:ascii="Cambria Math" w:hAnsi="Cambria Math" w:cs="Cambria Math"/>
          <w:bCs/>
          <w:sz w:val="20"/>
          <w:szCs w:val="20"/>
          <w:lang w:val="es-MX" w:eastAsia="es-ES_tradnl"/>
        </w:rPr>
        <w:t>‑</w:t>
      </w:r>
      <w:r w:rsidRPr="00155A57">
        <w:rPr>
          <w:rFonts w:ascii="Verdana" w:hAnsi="Verdana" w:cs="Arial"/>
          <w:bCs/>
          <w:sz w:val="20"/>
          <w:szCs w:val="20"/>
          <w:lang w:val="es-MX" w:eastAsia="es-ES_tradnl"/>
        </w:rPr>
        <w:t xml:space="preserve">1703 de 2026. Así mismo, la Corte Constitucional en la Sentencia C-1153 de 2005 señaló que la expresión </w:t>
      </w:r>
      <w:r w:rsidRPr="00155A57">
        <w:rPr>
          <w:rFonts w:ascii="Verdana" w:hAnsi="Verdana" w:cs="Arial"/>
          <w:bCs/>
          <w:i/>
          <w:iCs/>
          <w:sz w:val="20"/>
          <w:szCs w:val="20"/>
          <w:lang w:val="es-ES" w:eastAsia="es-ES_tradnl"/>
        </w:rPr>
        <w:t xml:space="preserve">“adicionalmente se exceptúan aquellos gastos inaplazables e imprescindibles que afecten el normal funcionamiento de la administración” </w:t>
      </w:r>
      <w:r w:rsidRPr="00155A57">
        <w:rPr>
          <w:rFonts w:ascii="Verdana" w:hAnsi="Verdana" w:cs="Arial"/>
          <w:bCs/>
          <w:iCs/>
          <w:sz w:val="20"/>
          <w:szCs w:val="20"/>
          <w:lang w:val="es-ES" w:eastAsia="es-ES_tradnl"/>
        </w:rPr>
        <w:t>regulada como excepción en el artículo 33</w:t>
      </w:r>
      <w:r w:rsidRPr="00155A57">
        <w:rPr>
          <w:rFonts w:ascii="Verdana" w:hAnsi="Verdana" w:cs="Arial"/>
          <w:bCs/>
          <w:i/>
          <w:iCs/>
          <w:sz w:val="20"/>
          <w:szCs w:val="20"/>
          <w:lang w:val="es-ES" w:eastAsia="es-ES_tradnl"/>
        </w:rPr>
        <w:t xml:space="preserve"> </w:t>
      </w:r>
      <w:r w:rsidRPr="00155A57">
        <w:rPr>
          <w:rFonts w:ascii="Verdana" w:hAnsi="Verdana" w:cs="Arial"/>
          <w:bCs/>
          <w:iCs/>
          <w:sz w:val="20"/>
          <w:szCs w:val="20"/>
          <w:lang w:val="es-ES" w:eastAsia="es-ES_tradnl"/>
        </w:rPr>
        <w:t>era demasiado amplia y ambigua, pues términos como inaplazable, imprescindible y normal funcionamiento son evaluativos y sujetos a interpretaciones diversas, lo que permitiría introducir múltiples excepciones que desfigurarían la prohibición original y comprometerían los fines y propósitos de la Ley de Garantías Electorales.</w:t>
      </w:r>
      <w:r w:rsidRPr="00155A57">
        <w:rPr>
          <w:rFonts w:ascii="Verdana" w:hAnsi="Verdana" w:cs="Arial"/>
          <w:bCs/>
          <w:i/>
          <w:iCs/>
          <w:sz w:val="20"/>
          <w:szCs w:val="20"/>
          <w:lang w:val="es-ES" w:eastAsia="es-ES_tradnl"/>
        </w:rPr>
        <w:t xml:space="preserve"> </w:t>
      </w:r>
      <w:r w:rsidRPr="00155A57">
        <w:rPr>
          <w:rFonts w:ascii="Verdana" w:hAnsi="Verdana" w:cs="Arial"/>
          <w:bCs/>
          <w:iCs/>
          <w:sz w:val="20"/>
          <w:szCs w:val="20"/>
          <w:lang w:val="es-ES" w:eastAsia="es-ES_tradnl"/>
        </w:rPr>
        <w:t>Por tanto, dicha expresión fue declarada inexequible, razón por la cual no es posible que las entidades argumenten razones como esta para exceptuar la restricción del artículo 33.</w:t>
      </w:r>
    </w:p>
    <w:p w14:paraId="5B6EE712" w14:textId="77777777" w:rsidR="00C70EDD" w:rsidRPr="00155A57" w:rsidRDefault="00C70EDD" w:rsidP="00C70EDD">
      <w:pPr>
        <w:spacing w:after="0" w:line="240" w:lineRule="auto"/>
        <w:jc w:val="both"/>
        <w:rPr>
          <w:rFonts w:ascii="Verdana" w:hAnsi="Verdana" w:cs="Arial"/>
          <w:b/>
          <w:bCs/>
          <w:sz w:val="20"/>
          <w:szCs w:val="20"/>
          <w:lang w:val="es-ES" w:eastAsia="es-ES_tradnl"/>
        </w:rPr>
      </w:pPr>
    </w:p>
    <w:p w14:paraId="48A37C53" w14:textId="77777777" w:rsidR="00C70EDD" w:rsidRDefault="00C70EDD" w:rsidP="00C70EDD">
      <w:pPr>
        <w:spacing w:after="0" w:line="276" w:lineRule="auto"/>
        <w:jc w:val="both"/>
        <w:rPr>
          <w:rFonts w:ascii="Verdana" w:hAnsi="Verdana" w:cs="Arial"/>
          <w:b/>
          <w:bCs/>
          <w:lang w:val="es-ES_tradnl" w:eastAsia="es-ES_tradnl"/>
        </w:rPr>
      </w:pPr>
    </w:p>
    <w:p w14:paraId="42E54D60" w14:textId="77777777" w:rsidR="00C70EDD" w:rsidRDefault="00C70EDD" w:rsidP="00C70EDD">
      <w:pPr>
        <w:spacing w:after="0" w:line="276" w:lineRule="auto"/>
        <w:jc w:val="both"/>
        <w:rPr>
          <w:rFonts w:ascii="Verdana" w:eastAsia="Calibri" w:hAnsi="Verdana" w:cs="Arial"/>
          <w:b/>
          <w:lang w:val="es-ES" w:eastAsia="es-ES"/>
        </w:rPr>
      </w:pPr>
    </w:p>
    <w:p w14:paraId="71D631D1" w14:textId="77777777" w:rsidR="00C70EDD" w:rsidRDefault="00C70EDD" w:rsidP="00C70EDD">
      <w:pPr>
        <w:spacing w:after="0" w:line="276" w:lineRule="auto"/>
        <w:jc w:val="both"/>
        <w:rPr>
          <w:rFonts w:ascii="Verdana" w:eastAsia="Calibri" w:hAnsi="Verdana" w:cs="Arial"/>
          <w:b/>
          <w:lang w:val="es-ES" w:eastAsia="es-ES"/>
        </w:rPr>
      </w:pPr>
    </w:p>
    <w:p w14:paraId="414205E1" w14:textId="77777777" w:rsidR="00C70EDD" w:rsidRDefault="00C70EDD" w:rsidP="00C70EDD">
      <w:pPr>
        <w:spacing w:after="0" w:line="276" w:lineRule="auto"/>
        <w:jc w:val="both"/>
        <w:rPr>
          <w:rFonts w:ascii="Verdana" w:eastAsia="Calibri" w:hAnsi="Verdana" w:cs="Arial"/>
          <w:b/>
          <w:lang w:val="es-ES" w:eastAsia="es-ES"/>
        </w:rPr>
      </w:pPr>
    </w:p>
    <w:p w14:paraId="1CE85265" w14:textId="77777777" w:rsidR="00C70EDD" w:rsidRDefault="00C70EDD" w:rsidP="00C70EDD">
      <w:pPr>
        <w:spacing w:after="0" w:line="276" w:lineRule="auto"/>
        <w:jc w:val="both"/>
        <w:rPr>
          <w:rFonts w:ascii="Verdana" w:eastAsia="Calibri" w:hAnsi="Verdana" w:cs="Arial"/>
          <w:b/>
          <w:lang w:val="es-ES" w:eastAsia="es-ES"/>
        </w:rPr>
      </w:pPr>
    </w:p>
    <w:p w14:paraId="17ADB560" w14:textId="77777777" w:rsidR="00C70EDD" w:rsidRDefault="00C70EDD" w:rsidP="00C70EDD">
      <w:pPr>
        <w:spacing w:after="0" w:line="276" w:lineRule="auto"/>
        <w:jc w:val="both"/>
        <w:rPr>
          <w:rFonts w:ascii="Verdana" w:eastAsia="Calibri" w:hAnsi="Verdana" w:cs="Arial"/>
          <w:b/>
          <w:lang w:val="es-ES" w:eastAsia="es-ES"/>
        </w:rPr>
      </w:pPr>
    </w:p>
    <w:p w14:paraId="7E13DEB1" w14:textId="77777777" w:rsidR="00C70EDD" w:rsidRDefault="00C70EDD" w:rsidP="00C70EDD">
      <w:pPr>
        <w:spacing w:after="0" w:line="276" w:lineRule="auto"/>
        <w:jc w:val="both"/>
        <w:rPr>
          <w:rFonts w:ascii="Verdana" w:eastAsia="Calibri" w:hAnsi="Verdana" w:cs="Arial"/>
          <w:b/>
          <w:lang w:val="es-ES" w:eastAsia="es-ES"/>
        </w:rPr>
      </w:pPr>
    </w:p>
    <w:p w14:paraId="5B531CB1" w14:textId="77777777" w:rsidR="00C70EDD" w:rsidRDefault="00C70EDD" w:rsidP="00C70EDD">
      <w:pPr>
        <w:spacing w:after="0" w:line="276" w:lineRule="auto"/>
        <w:jc w:val="both"/>
        <w:rPr>
          <w:rFonts w:ascii="Verdana" w:eastAsia="Calibri" w:hAnsi="Verdana" w:cs="Arial"/>
          <w:b/>
          <w:lang w:val="es-ES" w:eastAsia="es-ES"/>
        </w:rPr>
      </w:pPr>
    </w:p>
    <w:p w14:paraId="1E809DD3" w14:textId="77777777" w:rsidR="00C70EDD" w:rsidRDefault="00C70EDD" w:rsidP="00C70EDD">
      <w:pPr>
        <w:spacing w:after="0" w:line="276" w:lineRule="auto"/>
        <w:jc w:val="both"/>
        <w:rPr>
          <w:rFonts w:ascii="Verdana" w:eastAsia="Calibri" w:hAnsi="Verdana" w:cs="Arial"/>
          <w:b/>
          <w:lang w:val="es-ES" w:eastAsia="es-ES"/>
        </w:rPr>
      </w:pPr>
    </w:p>
    <w:p w14:paraId="4733743B" w14:textId="77777777" w:rsidR="00C70EDD" w:rsidRDefault="00C70EDD" w:rsidP="00C70EDD">
      <w:pPr>
        <w:spacing w:after="0" w:line="276" w:lineRule="auto"/>
        <w:jc w:val="both"/>
        <w:rPr>
          <w:rFonts w:ascii="Verdana" w:eastAsia="Calibri" w:hAnsi="Verdana" w:cs="Arial"/>
          <w:b/>
          <w:lang w:val="es-ES" w:eastAsia="es-ES"/>
        </w:rPr>
      </w:pPr>
    </w:p>
    <w:p w14:paraId="1BFEC757" w14:textId="77777777" w:rsidR="00C70EDD" w:rsidRPr="00CE650F" w:rsidRDefault="00C70EDD" w:rsidP="00C70EDD">
      <w:pPr>
        <w:spacing w:after="0" w:line="276" w:lineRule="auto"/>
        <w:jc w:val="both"/>
        <w:rPr>
          <w:rFonts w:ascii="Verdana" w:eastAsia="Aptos" w:hAnsi="Verdana" w:cs="Arial"/>
        </w:rPr>
      </w:pPr>
    </w:p>
    <w:p w14:paraId="18320829" w14:textId="77777777" w:rsidR="00C70EDD" w:rsidRPr="00CE650F" w:rsidRDefault="00C70EDD" w:rsidP="00C70EDD">
      <w:pPr>
        <w:spacing w:after="0" w:line="276" w:lineRule="auto"/>
        <w:jc w:val="both"/>
        <w:rPr>
          <w:rFonts w:ascii="Verdana" w:eastAsia="Aptos" w:hAnsi="Verdana" w:cs="Arial"/>
        </w:rPr>
      </w:pPr>
    </w:p>
    <w:p w14:paraId="526FBF2C" w14:textId="77777777" w:rsidR="00C70EDD" w:rsidRDefault="00C70EDD" w:rsidP="00C70EDD">
      <w:pPr>
        <w:spacing w:after="0" w:line="240" w:lineRule="auto"/>
        <w:rPr>
          <w:rFonts w:ascii="Verdana" w:hAnsi="Verdana" w:cs="Arial"/>
          <w:b/>
          <w:lang w:eastAsia="es-CO"/>
        </w:rPr>
      </w:pPr>
    </w:p>
    <w:p w14:paraId="2405D041" w14:textId="77777777" w:rsidR="00C70EDD" w:rsidRDefault="00C70EDD" w:rsidP="00C70EDD">
      <w:pPr>
        <w:spacing w:after="0" w:line="240" w:lineRule="auto"/>
        <w:rPr>
          <w:rFonts w:ascii="Verdana" w:hAnsi="Verdana" w:cs="Arial"/>
          <w:b/>
          <w:lang w:eastAsia="es-CO"/>
        </w:rPr>
      </w:pPr>
    </w:p>
    <w:p w14:paraId="5C48533F" w14:textId="77777777" w:rsidR="006B24FC" w:rsidRDefault="006B24FC" w:rsidP="00C70EDD">
      <w:pPr>
        <w:spacing w:after="0" w:line="240" w:lineRule="auto"/>
        <w:rPr>
          <w:rFonts w:ascii="Verdana" w:eastAsia="Calibri" w:hAnsi="Verdana" w:cs="Arial"/>
          <w:bCs/>
          <w:lang w:eastAsia="es-ES_tradnl"/>
        </w:rPr>
      </w:pPr>
    </w:p>
    <w:p w14:paraId="09FCEAD9" w14:textId="77777777" w:rsidR="006B24FC" w:rsidRDefault="006B24FC" w:rsidP="00C70EDD">
      <w:pPr>
        <w:spacing w:after="0" w:line="240" w:lineRule="auto"/>
        <w:rPr>
          <w:rFonts w:ascii="Verdana" w:eastAsia="Calibri" w:hAnsi="Verdana" w:cs="Arial"/>
          <w:bCs/>
          <w:lang w:eastAsia="es-ES_tradnl"/>
        </w:rPr>
      </w:pPr>
    </w:p>
    <w:p w14:paraId="1D491F5B" w14:textId="5DAE7CF7" w:rsidR="00C70EDD" w:rsidRPr="006B24FC" w:rsidRDefault="004944D1" w:rsidP="00C70EDD">
      <w:pPr>
        <w:spacing w:after="0" w:line="240" w:lineRule="auto"/>
        <w:rPr>
          <w:rFonts w:ascii="Verdana" w:eastAsia="Calibri" w:hAnsi="Verdana" w:cs="Arial"/>
          <w:bCs/>
          <w:lang w:eastAsia="es-ES_tradnl"/>
        </w:rPr>
      </w:pPr>
      <w:r w:rsidRPr="006B24FC">
        <w:rPr>
          <w:rFonts w:ascii="Verdana" w:eastAsia="Calibri" w:hAnsi="Verdana" w:cs="Arial"/>
          <w:bCs/>
          <w:lang w:eastAsia="es-ES_tradnl"/>
        </w:rPr>
        <w:lastRenderedPageBreak/>
        <w:t xml:space="preserve">Bogotá D.C., 25 de </w:t>
      </w:r>
      <w:r w:rsidR="006B24FC" w:rsidRPr="006B24FC">
        <w:rPr>
          <w:rFonts w:ascii="Verdana" w:eastAsia="Calibri" w:hAnsi="Verdana" w:cs="Arial"/>
          <w:bCs/>
          <w:lang w:eastAsia="es-ES_tradnl"/>
        </w:rPr>
        <w:t>marzo</w:t>
      </w:r>
      <w:r w:rsidRPr="006B24FC">
        <w:rPr>
          <w:rFonts w:ascii="Verdana" w:eastAsia="Calibri" w:hAnsi="Verdana" w:cs="Arial"/>
          <w:bCs/>
          <w:lang w:eastAsia="es-ES_tradnl"/>
        </w:rPr>
        <w:t xml:space="preserve"> de 2026</w:t>
      </w:r>
    </w:p>
    <w:p w14:paraId="1944A274" w14:textId="142BBB80" w:rsidR="00C70EDD" w:rsidRDefault="00C70EDD" w:rsidP="00C70EDD">
      <w:pPr>
        <w:spacing w:after="0" w:line="240" w:lineRule="auto"/>
        <w:rPr>
          <w:rFonts w:ascii="Verdana" w:eastAsia="Calibri" w:hAnsi="Verdana" w:cs="Arial"/>
          <w:b/>
          <w:bCs/>
          <w:lang w:eastAsia="es-ES_tradnl"/>
        </w:rPr>
      </w:pPr>
    </w:p>
    <w:p w14:paraId="7918FF0C" w14:textId="6CC4CC2E" w:rsidR="00C70EDD" w:rsidRDefault="006B24FC" w:rsidP="00C70EDD">
      <w:pPr>
        <w:spacing w:after="0" w:line="240" w:lineRule="auto"/>
        <w:rPr>
          <w:rFonts w:ascii="Verdana" w:eastAsia="Calibri" w:hAnsi="Verdana" w:cs="Arial"/>
          <w:b/>
          <w:lang w:val="es-ES" w:eastAsia="es-ES"/>
        </w:rPr>
      </w:pPr>
      <w:r w:rsidRPr="006B24FC">
        <w:rPr>
          <w:rFonts w:ascii="Verdana" w:hAnsi="Verdana"/>
          <w:noProof/>
          <w:sz w:val="24"/>
          <w:szCs w:val="24"/>
        </w:rPr>
        <w:drawing>
          <wp:anchor distT="0" distB="0" distL="114300" distR="114300" simplePos="0" relativeHeight="251658240" behindDoc="1" locked="0" layoutInCell="1" allowOverlap="1" wp14:anchorId="26DC7E39" wp14:editId="46CA3583">
            <wp:simplePos x="0" y="0"/>
            <wp:positionH relativeFrom="margin">
              <wp:align>right</wp:align>
            </wp:positionH>
            <wp:positionV relativeFrom="paragraph">
              <wp:posOffset>7592</wp:posOffset>
            </wp:positionV>
            <wp:extent cx="2245360" cy="684530"/>
            <wp:effectExtent l="0" t="0" r="2540" b="1270"/>
            <wp:wrapSquare wrapText="bothSides"/>
            <wp:docPr id="62350710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507108"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45360" cy="684530"/>
                    </a:xfrm>
                    <a:prstGeom prst="rect">
                      <a:avLst/>
                    </a:prstGeom>
                  </pic:spPr>
                </pic:pic>
              </a:graphicData>
            </a:graphic>
            <wp14:sizeRelH relativeFrom="page">
              <wp14:pctWidth>0</wp14:pctWidth>
            </wp14:sizeRelH>
            <wp14:sizeRelV relativeFrom="page">
              <wp14:pctHeight>0</wp14:pctHeight>
            </wp14:sizeRelV>
          </wp:anchor>
        </w:drawing>
      </w:r>
      <w:r w:rsidR="00C70EDD">
        <w:rPr>
          <w:rFonts w:ascii="Verdana" w:eastAsia="Calibri" w:hAnsi="Verdana" w:cs="Arial"/>
          <w:b/>
          <w:lang w:val="es-ES" w:eastAsia="es-ES"/>
        </w:rPr>
        <w:t>Señora</w:t>
      </w:r>
    </w:p>
    <w:p w14:paraId="4EFD776E" w14:textId="678AB707" w:rsidR="00C70EDD" w:rsidRPr="00DE12D1" w:rsidRDefault="00C70EDD" w:rsidP="00C70EDD">
      <w:pPr>
        <w:spacing w:after="0" w:line="240" w:lineRule="auto"/>
        <w:rPr>
          <w:rFonts w:ascii="Verdana" w:eastAsia="Calibri" w:hAnsi="Verdana" w:cs="Arial"/>
          <w:bCs/>
          <w:lang w:val="es-ES" w:eastAsia="es-ES"/>
        </w:rPr>
      </w:pPr>
      <w:r>
        <w:rPr>
          <w:rFonts w:ascii="Verdana" w:eastAsia="Calibri" w:hAnsi="Verdana" w:cs="Arial"/>
          <w:bCs/>
          <w:lang w:val="es-ES" w:eastAsia="es-ES"/>
        </w:rPr>
        <w:t>Viviana Rocío Medina Chaux</w:t>
      </w:r>
    </w:p>
    <w:p w14:paraId="6CDB8B67" w14:textId="2D46FA77" w:rsidR="00C70EDD" w:rsidRPr="00503F12" w:rsidRDefault="00C70EDD" w:rsidP="00C70EDD">
      <w:pPr>
        <w:spacing w:after="0" w:line="240" w:lineRule="auto"/>
        <w:rPr>
          <w:rFonts w:ascii="Verdana" w:hAnsi="Verdana"/>
        </w:rPr>
      </w:pPr>
      <w:r w:rsidRPr="00503F12">
        <w:rPr>
          <w:rFonts w:ascii="Verdana" w:hAnsi="Verdana"/>
        </w:rPr>
        <w:t>V.mecha@hotmail.com</w:t>
      </w:r>
    </w:p>
    <w:p w14:paraId="6E45CEDA" w14:textId="05E4979D" w:rsidR="00C70EDD" w:rsidRPr="00514983" w:rsidRDefault="00C70EDD" w:rsidP="00C70EDD">
      <w:pPr>
        <w:spacing w:after="0" w:line="240" w:lineRule="auto"/>
        <w:rPr>
          <w:rFonts w:ascii="Verdana" w:eastAsia="Calibri" w:hAnsi="Verdana" w:cs="Arial"/>
          <w:lang w:eastAsia="es-ES_tradnl"/>
        </w:rPr>
      </w:pPr>
      <w:r>
        <w:rPr>
          <w:rFonts w:ascii="Verdana" w:eastAsia="Calibri" w:hAnsi="Verdana" w:cs="Arial"/>
          <w:lang w:eastAsia="es-ES_tradnl"/>
        </w:rPr>
        <w:t>Neiva, Huila</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C70EDD" w:rsidRPr="00960F72" w14:paraId="156433AB" w14:textId="77777777" w:rsidTr="00882D00">
        <w:trPr>
          <w:trHeight w:val="190"/>
        </w:trPr>
        <w:tc>
          <w:tcPr>
            <w:tcW w:w="2689" w:type="dxa"/>
          </w:tcPr>
          <w:p w14:paraId="071D68C0" w14:textId="77777777" w:rsidR="00C70EDD" w:rsidRPr="00960F72" w:rsidRDefault="00C70EDD" w:rsidP="00882D00">
            <w:pPr>
              <w:jc w:val="both"/>
              <w:rPr>
                <w:rFonts w:ascii="Verdana" w:eastAsia="Calibri" w:hAnsi="Verdana" w:cs="Arial"/>
                <w:b/>
                <w:bCs/>
                <w:lang w:eastAsia="es-ES_tradnl"/>
              </w:rPr>
            </w:pPr>
          </w:p>
        </w:tc>
        <w:tc>
          <w:tcPr>
            <w:tcW w:w="6100" w:type="dxa"/>
          </w:tcPr>
          <w:p w14:paraId="0E48426E" w14:textId="77777777" w:rsidR="00C70EDD" w:rsidRPr="00960F72" w:rsidRDefault="00C70EDD" w:rsidP="00882D00">
            <w:pPr>
              <w:jc w:val="both"/>
              <w:rPr>
                <w:rFonts w:ascii="Verdana" w:eastAsia="Calibri" w:hAnsi="Verdana" w:cs="Arial"/>
                <w:b/>
                <w:bCs/>
                <w:lang w:eastAsia="es-ES"/>
              </w:rPr>
            </w:pPr>
            <w:r w:rsidRPr="00960F72">
              <w:rPr>
                <w:rFonts w:ascii="Verdana" w:eastAsia="Calibri" w:hAnsi="Verdana" w:cs="Arial"/>
                <w:b/>
                <w:bCs/>
                <w:lang w:eastAsia="es-ES"/>
              </w:rPr>
              <w:t xml:space="preserve">Concepto C- </w:t>
            </w:r>
            <w:r>
              <w:rPr>
                <w:rFonts w:ascii="Verdana" w:eastAsia="Calibri" w:hAnsi="Verdana" w:cs="Arial"/>
                <w:b/>
                <w:bCs/>
                <w:lang w:eastAsia="es-ES"/>
              </w:rPr>
              <w:t xml:space="preserve">271 </w:t>
            </w:r>
            <w:r w:rsidRPr="00960F72">
              <w:rPr>
                <w:rFonts w:ascii="Verdana" w:eastAsia="Calibri" w:hAnsi="Verdana" w:cs="Arial"/>
                <w:b/>
                <w:bCs/>
                <w:lang w:eastAsia="es-ES"/>
              </w:rPr>
              <w:t>de 202</w:t>
            </w:r>
            <w:r>
              <w:rPr>
                <w:rFonts w:ascii="Verdana" w:eastAsia="Calibri" w:hAnsi="Verdana" w:cs="Arial"/>
                <w:b/>
                <w:bCs/>
                <w:lang w:eastAsia="es-ES"/>
              </w:rPr>
              <w:t>6</w:t>
            </w:r>
          </w:p>
          <w:p w14:paraId="05291DAD" w14:textId="77777777" w:rsidR="00C70EDD" w:rsidRPr="00960F72" w:rsidRDefault="00C70EDD" w:rsidP="00882D00">
            <w:pPr>
              <w:jc w:val="both"/>
              <w:rPr>
                <w:rFonts w:ascii="Verdana" w:eastAsia="Calibri" w:hAnsi="Verdana" w:cs="Arial"/>
                <w:b/>
                <w:bCs/>
                <w:lang w:eastAsia="es-ES"/>
              </w:rPr>
            </w:pPr>
          </w:p>
        </w:tc>
      </w:tr>
      <w:tr w:rsidR="00C70EDD" w:rsidRPr="00960F72" w14:paraId="124E8989" w14:textId="77777777" w:rsidTr="00882D00">
        <w:trPr>
          <w:trHeight w:val="884"/>
        </w:trPr>
        <w:tc>
          <w:tcPr>
            <w:tcW w:w="2689" w:type="dxa"/>
          </w:tcPr>
          <w:p w14:paraId="401ED4FA" w14:textId="77777777" w:rsidR="00C70EDD" w:rsidRPr="00960F72" w:rsidRDefault="00C70EDD" w:rsidP="00882D00">
            <w:pPr>
              <w:jc w:val="both"/>
              <w:rPr>
                <w:rFonts w:ascii="Verdana" w:eastAsia="Calibri" w:hAnsi="Verdana" w:cs="Arial"/>
                <w:lang w:eastAsia="es-ES_tradnl"/>
              </w:rPr>
            </w:pPr>
            <w:r w:rsidRPr="00960F72">
              <w:rPr>
                <w:rFonts w:ascii="Verdana" w:eastAsia="Calibri" w:hAnsi="Verdana" w:cs="Arial"/>
                <w:b/>
                <w:lang w:eastAsia="es-ES_tradnl"/>
              </w:rPr>
              <w:t>Tema:</w:t>
            </w:r>
            <w:r w:rsidRPr="00960F72">
              <w:rPr>
                <w:rFonts w:ascii="Verdana" w:eastAsia="Calibri" w:hAnsi="Verdana" w:cs="Arial"/>
                <w:lang w:eastAsia="es-ES_tradnl"/>
              </w:rPr>
              <w:t xml:space="preserve">                   </w:t>
            </w:r>
          </w:p>
        </w:tc>
        <w:tc>
          <w:tcPr>
            <w:tcW w:w="6100" w:type="dxa"/>
          </w:tcPr>
          <w:p w14:paraId="79DD5AF3" w14:textId="77777777" w:rsidR="00C70EDD" w:rsidRDefault="00C70EDD" w:rsidP="00882D00">
            <w:pPr>
              <w:spacing w:line="276" w:lineRule="auto"/>
              <w:jc w:val="both"/>
              <w:rPr>
                <w:rFonts w:ascii="Verdana" w:hAnsi="Verdana" w:cs="Arial"/>
                <w:bCs/>
                <w:lang w:val="es-ES_tradnl" w:eastAsia="es-ES_tradnl"/>
              </w:rPr>
            </w:pPr>
            <w:r w:rsidRPr="0022149E">
              <w:rPr>
                <w:rFonts w:ascii="Verdana" w:eastAsia="Calibri" w:hAnsi="Verdana" w:cs="Arial"/>
                <w:lang w:val="es-ES" w:eastAsia="es-ES"/>
              </w:rPr>
              <w:t xml:space="preserve">LEY DE GARANTÍAS ELECTORALES ‒ Finalidad / LEY DE GARANTÍAS ELECTORALES ‒ Tipos de restricciones ‒ Ámbito temporal – celebración- límite / LEY DE GARANTÍAS ELECTORALES – Prohibición artículo 33 – Contratación directa – Alcance / LEY DE GARANTÍAS ELECTORALES – Prohibición del artículo 33 – Destinatarios / LEY DE GARANTÍAS ELECTORALES – Condiciones de igualdad – Contratación directa / LEY DE GARANTÍAS ELECTORALES – Contratación Directa - Excepciones / </w:t>
            </w:r>
            <w:r w:rsidRPr="0022149E">
              <w:rPr>
                <w:rFonts w:ascii="Verdana" w:hAnsi="Verdana" w:cs="Arial"/>
                <w:bCs/>
                <w:lang w:val="es-ES_tradnl" w:eastAsia="es-ES_tradnl"/>
              </w:rPr>
              <w:t xml:space="preserve">CONTRATO DE ARRENDAMIENTO – Definición – Características / CONTRATO DE ARRENDAMIENTO –Restricción – Contratación Directa – Artículo 33 </w:t>
            </w:r>
            <w:r>
              <w:rPr>
                <w:rFonts w:ascii="Verdana" w:hAnsi="Verdana" w:cs="Arial"/>
                <w:bCs/>
                <w:lang w:val="es-ES_tradnl" w:eastAsia="es-ES_tradnl"/>
              </w:rPr>
              <w:t>–</w:t>
            </w:r>
            <w:r w:rsidRPr="0022149E">
              <w:rPr>
                <w:rFonts w:ascii="Verdana" w:hAnsi="Verdana" w:cs="Arial"/>
                <w:bCs/>
                <w:lang w:val="es-ES_tradnl" w:eastAsia="es-ES_tradnl"/>
              </w:rPr>
              <w:t xml:space="preserve"> Excepciones</w:t>
            </w:r>
          </w:p>
          <w:p w14:paraId="3BF71E34" w14:textId="77777777" w:rsidR="00C70EDD" w:rsidRPr="001F1B6C" w:rsidRDefault="00C70EDD" w:rsidP="00882D00">
            <w:pPr>
              <w:spacing w:line="276" w:lineRule="auto"/>
              <w:jc w:val="both"/>
              <w:rPr>
                <w:rFonts w:ascii="Verdana" w:eastAsia="Calibri" w:hAnsi="Verdana" w:cs="Arial"/>
                <w:lang w:val="es-ES" w:eastAsia="es-ES"/>
              </w:rPr>
            </w:pPr>
          </w:p>
        </w:tc>
      </w:tr>
      <w:tr w:rsidR="00C70EDD" w:rsidRPr="00960F72" w14:paraId="75740601" w14:textId="77777777" w:rsidTr="00882D00">
        <w:tc>
          <w:tcPr>
            <w:tcW w:w="2689" w:type="dxa"/>
          </w:tcPr>
          <w:p w14:paraId="69FEFBAC" w14:textId="77777777" w:rsidR="00C70EDD" w:rsidRPr="008149BA" w:rsidRDefault="00C70EDD" w:rsidP="00882D00">
            <w:pPr>
              <w:jc w:val="both"/>
              <w:rPr>
                <w:rFonts w:ascii="Verdana" w:eastAsia="Calibri" w:hAnsi="Verdana" w:cs="Arial"/>
                <w:b/>
                <w:lang w:eastAsia="es-ES_tradnl"/>
              </w:rPr>
            </w:pPr>
            <w:r w:rsidRPr="008149BA">
              <w:rPr>
                <w:rFonts w:ascii="Verdana" w:eastAsia="Calibri" w:hAnsi="Verdana" w:cs="Arial"/>
                <w:b/>
                <w:lang w:eastAsia="es-ES_tradnl"/>
              </w:rPr>
              <w:t>Radicación:</w:t>
            </w:r>
            <w:r w:rsidRPr="008149BA">
              <w:rPr>
                <w:rFonts w:ascii="Verdana" w:eastAsia="Calibri" w:hAnsi="Verdana" w:cs="Arial"/>
                <w:lang w:eastAsia="es-ES_tradnl"/>
              </w:rPr>
              <w:t xml:space="preserve">               </w:t>
            </w:r>
          </w:p>
        </w:tc>
        <w:tc>
          <w:tcPr>
            <w:tcW w:w="6100" w:type="dxa"/>
          </w:tcPr>
          <w:p w14:paraId="7609EA72" w14:textId="77777777" w:rsidR="00C70EDD" w:rsidRPr="008149BA" w:rsidRDefault="00C70EDD" w:rsidP="00882D00">
            <w:pPr>
              <w:jc w:val="both"/>
              <w:rPr>
                <w:rFonts w:ascii="Verdana" w:eastAsia="Calibri" w:hAnsi="Verdana" w:cs="Arial"/>
                <w:lang w:eastAsia="es-ES_tradnl"/>
              </w:rPr>
            </w:pPr>
            <w:r w:rsidRPr="008149BA">
              <w:rPr>
                <w:rFonts w:ascii="Verdana" w:eastAsia="Calibri" w:hAnsi="Verdana" w:cs="Arial"/>
                <w:lang w:eastAsia="es-ES_tradnl"/>
              </w:rPr>
              <w:t xml:space="preserve">Respuesta a consulta con radicado </w:t>
            </w:r>
            <w:proofErr w:type="gramStart"/>
            <w:r w:rsidRPr="008149BA">
              <w:rPr>
                <w:rFonts w:ascii="Verdana" w:eastAsia="Calibri" w:hAnsi="Verdana" w:cs="Arial"/>
                <w:lang w:eastAsia="es-ES_tradnl"/>
              </w:rPr>
              <w:t>No.</w:t>
            </w:r>
            <w:r>
              <w:rPr>
                <w:rFonts w:ascii="Verdana" w:eastAsia="Calibri" w:hAnsi="Verdana" w:cs="Arial"/>
                <w:lang w:eastAsia="es-ES_tradnl"/>
              </w:rPr>
              <w:t xml:space="preserve">  </w:t>
            </w:r>
            <w:r w:rsidRPr="00DE12D1">
              <w:rPr>
                <w:rFonts w:ascii="Verdana" w:eastAsia="Calibri" w:hAnsi="Verdana" w:cs="Arial"/>
                <w:lang w:eastAsia="es-ES_tradnl"/>
              </w:rPr>
              <w:t>1</w:t>
            </w:r>
            <w:proofErr w:type="gramEnd"/>
            <w:r w:rsidRPr="00DE12D1">
              <w:rPr>
                <w:rFonts w:ascii="Verdana" w:eastAsia="Calibri" w:hAnsi="Verdana" w:cs="Arial"/>
                <w:lang w:eastAsia="es-ES_tradnl"/>
              </w:rPr>
              <w:t>_2026_02_20_002357</w:t>
            </w:r>
          </w:p>
        </w:tc>
      </w:tr>
    </w:tbl>
    <w:p w14:paraId="7F175875" w14:textId="77777777" w:rsidR="00C70EDD" w:rsidRPr="00960F72" w:rsidRDefault="00C70EDD" w:rsidP="00C70EDD">
      <w:pPr>
        <w:spacing w:after="0" w:line="240" w:lineRule="auto"/>
        <w:jc w:val="both"/>
        <w:rPr>
          <w:rFonts w:ascii="Verdana" w:eastAsia="Calibri" w:hAnsi="Verdana" w:cs="Arial"/>
          <w:lang w:eastAsia="es-ES_tradnl"/>
        </w:rPr>
      </w:pPr>
    </w:p>
    <w:p w14:paraId="3DA989B3" w14:textId="77777777" w:rsidR="00C70EDD" w:rsidRPr="00CE650F" w:rsidRDefault="00C70EDD" w:rsidP="00C70EDD">
      <w:pPr>
        <w:spacing w:after="0" w:line="276" w:lineRule="auto"/>
        <w:jc w:val="both"/>
        <w:rPr>
          <w:rFonts w:ascii="Verdana" w:eastAsia="Calibri" w:hAnsi="Verdana" w:cs="Arial"/>
          <w:lang w:val="es-ES" w:eastAsia="es-ES"/>
        </w:rPr>
      </w:pPr>
      <w:r w:rsidRPr="00CE650F">
        <w:rPr>
          <w:rFonts w:ascii="Verdana" w:eastAsia="Calibri" w:hAnsi="Verdana" w:cs="Arial"/>
          <w:lang w:val="es-ES" w:eastAsia="es-ES"/>
        </w:rPr>
        <w:t>Esti</w:t>
      </w:r>
      <w:r>
        <w:rPr>
          <w:rFonts w:ascii="Verdana" w:eastAsia="Calibri" w:hAnsi="Verdana" w:cs="Arial"/>
          <w:lang w:val="es-ES" w:eastAsia="es-ES"/>
        </w:rPr>
        <w:t>mada señora Medina.</w:t>
      </w:r>
      <w:r w:rsidRPr="00CE650F">
        <w:rPr>
          <w:rFonts w:ascii="Verdana" w:eastAsia="Calibri" w:hAnsi="Verdana" w:cs="Arial"/>
          <w:lang w:val="es-ES" w:eastAsia="es-ES"/>
        </w:rPr>
        <w:t xml:space="preserve"> </w:t>
      </w:r>
    </w:p>
    <w:p w14:paraId="2C1461FC" w14:textId="77777777" w:rsidR="00C70EDD" w:rsidRDefault="00C70EDD" w:rsidP="00C70EDD">
      <w:pPr>
        <w:spacing w:after="0" w:line="276" w:lineRule="auto"/>
        <w:jc w:val="both"/>
        <w:rPr>
          <w:rFonts w:ascii="Verdana" w:eastAsia="Calibri" w:hAnsi="Verdana" w:cs="Arial"/>
          <w:lang w:eastAsia="es-ES"/>
        </w:rPr>
      </w:pPr>
    </w:p>
    <w:p w14:paraId="24FFBEBD" w14:textId="77777777" w:rsidR="00C70EDD" w:rsidRPr="00960F72" w:rsidRDefault="00C70EDD" w:rsidP="00C70EDD">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20 </w:t>
      </w:r>
      <w:r w:rsidRPr="00960F72">
        <w:rPr>
          <w:rFonts w:ascii="Verdana" w:eastAsia="Calibri" w:hAnsi="Verdana" w:cs="Arial"/>
          <w:lang w:eastAsia="es-ES"/>
        </w:rPr>
        <w:t xml:space="preserve">de </w:t>
      </w:r>
      <w:r>
        <w:rPr>
          <w:rFonts w:ascii="Verdana" w:eastAsia="Calibri" w:hAnsi="Verdana" w:cs="Arial"/>
          <w:lang w:eastAsia="es-ES"/>
        </w:rPr>
        <w:t>febrero</w:t>
      </w:r>
      <w:r w:rsidRPr="00960F72">
        <w:rPr>
          <w:rFonts w:ascii="Verdana" w:eastAsia="Calibri" w:hAnsi="Verdana" w:cs="Arial"/>
          <w:lang w:eastAsia="es-ES"/>
        </w:rPr>
        <w:t xml:space="preserve"> de 202</w:t>
      </w:r>
      <w:r>
        <w:rPr>
          <w:rFonts w:ascii="Verdana" w:eastAsia="Calibri" w:hAnsi="Verdana" w:cs="Arial"/>
          <w:lang w:eastAsia="es-ES"/>
        </w:rPr>
        <w:t>6</w:t>
      </w:r>
      <w:r w:rsidRPr="00960F72">
        <w:rPr>
          <w:rFonts w:ascii="Verdana" w:eastAsia="Calibri" w:hAnsi="Verdana" w:cs="Arial"/>
          <w:lang w:eastAsia="es-ES"/>
        </w:rPr>
        <w:t xml:space="preserve">, en la cual manifiesta lo siguiente: </w:t>
      </w:r>
    </w:p>
    <w:p w14:paraId="0245295D" w14:textId="77777777" w:rsidR="00C70EDD" w:rsidRPr="00960F72" w:rsidRDefault="00C70EDD" w:rsidP="00C70EDD">
      <w:pPr>
        <w:spacing w:after="0" w:line="276" w:lineRule="auto"/>
        <w:jc w:val="both"/>
        <w:rPr>
          <w:rFonts w:ascii="Verdana" w:eastAsia="Calibri" w:hAnsi="Verdana" w:cs="Arial"/>
          <w:lang w:eastAsia="es-ES"/>
        </w:rPr>
      </w:pPr>
    </w:p>
    <w:p w14:paraId="325079F3" w14:textId="77777777" w:rsidR="00C70EDD" w:rsidRPr="00DE12D1" w:rsidRDefault="00C70EDD" w:rsidP="00C70EDD">
      <w:pPr>
        <w:spacing w:after="0" w:line="276"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DE12D1">
        <w:rPr>
          <w:rFonts w:ascii="Verdana" w:eastAsia="Calibri" w:hAnsi="Verdana" w:cs="Arial"/>
          <w:sz w:val="20"/>
          <w:szCs w:val="20"/>
          <w:lang w:eastAsia="es-ES"/>
        </w:rPr>
        <w:t>Se pretende adelantar un</w:t>
      </w:r>
      <w:r>
        <w:rPr>
          <w:rFonts w:ascii="Verdana" w:eastAsia="Calibri" w:hAnsi="Verdana" w:cs="Arial"/>
          <w:sz w:val="20"/>
          <w:szCs w:val="20"/>
          <w:lang w:eastAsia="es-ES"/>
        </w:rPr>
        <w:t xml:space="preserve"> </w:t>
      </w:r>
      <w:r w:rsidRPr="00DE12D1">
        <w:rPr>
          <w:rFonts w:ascii="Verdana" w:eastAsia="Calibri" w:hAnsi="Verdana" w:cs="Arial"/>
          <w:sz w:val="20"/>
          <w:szCs w:val="20"/>
          <w:lang w:eastAsia="es-ES"/>
        </w:rPr>
        <w:t>contrato de arrendamiento, de la sede de la institución Educativa Julián Motta Salas</w:t>
      </w:r>
      <w:r>
        <w:rPr>
          <w:rFonts w:ascii="Verdana" w:eastAsia="Calibri" w:hAnsi="Verdana" w:cs="Arial"/>
          <w:sz w:val="20"/>
          <w:szCs w:val="20"/>
          <w:lang w:eastAsia="es-ES"/>
        </w:rPr>
        <w:t xml:space="preserve"> </w:t>
      </w:r>
      <w:r w:rsidRPr="00DE12D1">
        <w:rPr>
          <w:rFonts w:ascii="Verdana" w:eastAsia="Calibri" w:hAnsi="Verdana" w:cs="Arial"/>
          <w:sz w:val="20"/>
          <w:szCs w:val="20"/>
          <w:lang w:eastAsia="es-ES"/>
        </w:rPr>
        <w:t xml:space="preserve">del municipio de Neiva a la Universidad del Tolima que es una universidad </w:t>
      </w:r>
      <w:proofErr w:type="spellStart"/>
      <w:r w:rsidRPr="00DE12D1">
        <w:rPr>
          <w:rFonts w:ascii="Verdana" w:eastAsia="Calibri" w:hAnsi="Verdana" w:cs="Arial"/>
          <w:sz w:val="20"/>
          <w:szCs w:val="20"/>
          <w:lang w:eastAsia="es-ES"/>
        </w:rPr>
        <w:t>publica</w:t>
      </w:r>
      <w:proofErr w:type="spellEnd"/>
      <w:r w:rsidRPr="00DE12D1">
        <w:rPr>
          <w:rFonts w:ascii="Verdana" w:eastAsia="Calibri" w:hAnsi="Verdana" w:cs="Arial"/>
          <w:sz w:val="20"/>
          <w:szCs w:val="20"/>
          <w:lang w:eastAsia="es-ES"/>
        </w:rPr>
        <w:t>,</w:t>
      </w:r>
      <w:r>
        <w:rPr>
          <w:rFonts w:ascii="Verdana" w:eastAsia="Calibri" w:hAnsi="Verdana" w:cs="Arial"/>
          <w:sz w:val="20"/>
          <w:szCs w:val="20"/>
          <w:lang w:eastAsia="es-ES"/>
        </w:rPr>
        <w:t xml:space="preserve"> </w:t>
      </w:r>
      <w:r w:rsidRPr="00DE12D1">
        <w:rPr>
          <w:rFonts w:ascii="Verdana" w:eastAsia="Calibri" w:hAnsi="Verdana" w:cs="Arial"/>
          <w:sz w:val="20"/>
          <w:szCs w:val="20"/>
          <w:lang w:eastAsia="es-ES"/>
        </w:rPr>
        <w:t>con el fin de que ellos adelanten fines académicos, ofrecen carreras universitarias,</w:t>
      </w:r>
      <w:r>
        <w:rPr>
          <w:rFonts w:ascii="Verdana" w:eastAsia="Calibri" w:hAnsi="Verdana" w:cs="Arial"/>
          <w:sz w:val="20"/>
          <w:szCs w:val="20"/>
          <w:lang w:eastAsia="es-ES"/>
        </w:rPr>
        <w:t xml:space="preserve"> </w:t>
      </w:r>
      <w:r w:rsidRPr="00DE12D1">
        <w:rPr>
          <w:rFonts w:ascii="Verdana" w:eastAsia="Calibri" w:hAnsi="Verdana" w:cs="Arial"/>
          <w:sz w:val="20"/>
          <w:szCs w:val="20"/>
          <w:lang w:eastAsia="es-ES"/>
        </w:rPr>
        <w:t xml:space="preserve">para la comunidad en general, vienen en esa desde el año 2019 vinculados a </w:t>
      </w:r>
      <w:r>
        <w:rPr>
          <w:rFonts w:ascii="Verdana" w:eastAsia="Calibri" w:hAnsi="Verdana" w:cs="Arial"/>
          <w:sz w:val="20"/>
          <w:szCs w:val="20"/>
          <w:lang w:eastAsia="es-ES"/>
        </w:rPr>
        <w:lastRenderedPageBreak/>
        <w:t xml:space="preserve">través </w:t>
      </w:r>
      <w:r w:rsidRPr="00DE12D1">
        <w:rPr>
          <w:rFonts w:ascii="Verdana" w:eastAsia="Calibri" w:hAnsi="Verdana" w:cs="Arial"/>
          <w:sz w:val="20"/>
          <w:szCs w:val="20"/>
          <w:lang w:eastAsia="es-ES"/>
        </w:rPr>
        <w:t>de convenios interadministrativos y un año a través de un contrato de arrendamiento,</w:t>
      </w:r>
      <w:r>
        <w:rPr>
          <w:rFonts w:ascii="Verdana" w:eastAsia="Calibri" w:hAnsi="Verdana" w:cs="Arial"/>
          <w:sz w:val="20"/>
          <w:szCs w:val="20"/>
          <w:lang w:eastAsia="es-ES"/>
        </w:rPr>
        <w:t xml:space="preserve"> </w:t>
      </w:r>
      <w:r w:rsidRPr="00DE12D1">
        <w:rPr>
          <w:rFonts w:ascii="Verdana" w:eastAsia="Calibri" w:hAnsi="Verdana" w:cs="Arial"/>
          <w:sz w:val="20"/>
          <w:szCs w:val="20"/>
          <w:lang w:eastAsia="es-ES"/>
        </w:rPr>
        <w:t>mi pregunta es? se puede celebrar un contrato de arrendamiento entre la Secretaria</w:t>
      </w:r>
      <w:r>
        <w:rPr>
          <w:rFonts w:ascii="Verdana" w:eastAsia="Calibri" w:hAnsi="Verdana" w:cs="Arial"/>
          <w:sz w:val="20"/>
          <w:szCs w:val="20"/>
          <w:lang w:eastAsia="es-ES"/>
        </w:rPr>
        <w:t xml:space="preserve"> </w:t>
      </w:r>
      <w:r w:rsidRPr="00DE12D1">
        <w:rPr>
          <w:rFonts w:ascii="Verdana" w:eastAsia="Calibri" w:hAnsi="Verdana" w:cs="Arial"/>
          <w:sz w:val="20"/>
          <w:szCs w:val="20"/>
          <w:lang w:eastAsia="es-ES"/>
        </w:rPr>
        <w:t xml:space="preserve">de Educación y la U del Tolima, </w:t>
      </w:r>
      <w:r>
        <w:rPr>
          <w:rFonts w:ascii="Verdana" w:eastAsia="Calibri" w:hAnsi="Verdana" w:cs="Arial"/>
          <w:sz w:val="20"/>
          <w:szCs w:val="20"/>
          <w:lang w:eastAsia="es-ES"/>
        </w:rPr>
        <w:t xml:space="preserve">encontrándonos </w:t>
      </w:r>
      <w:r w:rsidRPr="00DE12D1">
        <w:rPr>
          <w:rFonts w:ascii="Verdana" w:eastAsia="Calibri" w:hAnsi="Verdana" w:cs="Arial"/>
          <w:sz w:val="20"/>
          <w:szCs w:val="20"/>
          <w:lang w:eastAsia="es-ES"/>
        </w:rPr>
        <w:t>en Ley de garantías, estamos dentro de</w:t>
      </w:r>
    </w:p>
    <w:p w14:paraId="7E1D165D" w14:textId="5721E68A" w:rsidR="00C70EDD" w:rsidRPr="004944D1" w:rsidRDefault="00C70EDD" w:rsidP="004944D1">
      <w:pPr>
        <w:spacing w:after="0" w:line="276" w:lineRule="auto"/>
        <w:ind w:left="709" w:right="709"/>
        <w:jc w:val="both"/>
        <w:rPr>
          <w:rFonts w:ascii="Verdana" w:eastAsia="Calibri" w:hAnsi="Verdana" w:cs="Arial"/>
          <w:sz w:val="20"/>
          <w:szCs w:val="20"/>
          <w:lang w:eastAsia="es-ES"/>
        </w:rPr>
      </w:pPr>
      <w:r w:rsidRPr="00DE12D1">
        <w:rPr>
          <w:rFonts w:ascii="Verdana" w:eastAsia="Calibri" w:hAnsi="Verdana" w:cs="Arial"/>
          <w:sz w:val="20"/>
          <w:szCs w:val="20"/>
          <w:lang w:eastAsia="es-ES"/>
        </w:rPr>
        <w:t>las excepciones, se ha de tener en cuenta que la U del Tolima tiene todos los ensere</w:t>
      </w:r>
      <w:r>
        <w:rPr>
          <w:rFonts w:ascii="Verdana" w:eastAsia="Calibri" w:hAnsi="Verdana" w:cs="Arial"/>
          <w:sz w:val="20"/>
          <w:szCs w:val="20"/>
          <w:lang w:eastAsia="es-ES"/>
        </w:rPr>
        <w:t xml:space="preserve">s </w:t>
      </w:r>
      <w:r w:rsidRPr="00DE12D1">
        <w:rPr>
          <w:rFonts w:ascii="Verdana" w:eastAsia="Calibri" w:hAnsi="Verdana" w:cs="Arial"/>
          <w:sz w:val="20"/>
          <w:szCs w:val="20"/>
          <w:lang w:eastAsia="es-ES"/>
        </w:rPr>
        <w:t xml:space="preserve">en </w:t>
      </w:r>
      <w:proofErr w:type="gramStart"/>
      <w:r w:rsidRPr="00DE12D1">
        <w:rPr>
          <w:rFonts w:ascii="Verdana" w:eastAsia="Calibri" w:hAnsi="Verdana" w:cs="Arial"/>
          <w:sz w:val="20"/>
          <w:szCs w:val="20"/>
          <w:lang w:eastAsia="es-ES"/>
        </w:rPr>
        <w:t>la instalaciones</w:t>
      </w:r>
      <w:proofErr w:type="gramEnd"/>
      <w:r w:rsidRPr="00DE12D1">
        <w:rPr>
          <w:rFonts w:ascii="Verdana" w:eastAsia="Calibri" w:hAnsi="Verdana" w:cs="Arial"/>
          <w:sz w:val="20"/>
          <w:szCs w:val="20"/>
          <w:lang w:eastAsia="es-ES"/>
        </w:rPr>
        <w:t xml:space="preserve"> del Colegio Información del solicitant</w:t>
      </w:r>
      <w:r>
        <w:rPr>
          <w:rFonts w:ascii="Verdana" w:eastAsia="Calibri" w:hAnsi="Verdana" w:cs="Arial"/>
          <w:sz w:val="20"/>
          <w:szCs w:val="20"/>
          <w:lang w:eastAsia="es-ES"/>
        </w:rPr>
        <w:t xml:space="preserve">e”. </w:t>
      </w:r>
    </w:p>
    <w:p w14:paraId="3CEFDE7A" w14:textId="77777777" w:rsidR="00C70EDD" w:rsidRPr="00960F72" w:rsidRDefault="00C70EDD" w:rsidP="00C70EDD">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5936CF5A" w14:textId="77777777" w:rsidR="00C70EDD" w:rsidRDefault="00C70EDD" w:rsidP="00C70EDD">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26BD9227" w14:textId="77777777" w:rsidR="00C70EDD" w:rsidRPr="00960F72" w:rsidRDefault="00C70EDD" w:rsidP="00C70EDD">
      <w:pPr>
        <w:spacing w:after="0" w:line="276" w:lineRule="auto"/>
        <w:jc w:val="both"/>
        <w:rPr>
          <w:rFonts w:ascii="Verdana" w:eastAsia="Calibri" w:hAnsi="Verdana" w:cs="Arial"/>
          <w:lang w:eastAsia="es-ES"/>
        </w:rPr>
      </w:pPr>
    </w:p>
    <w:p w14:paraId="519CAF91" w14:textId="77777777" w:rsidR="00C70EDD" w:rsidRPr="00960F72" w:rsidRDefault="00C70EDD" w:rsidP="00C70ED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03083FDF" w14:textId="77777777" w:rsidR="00C70EDD" w:rsidRPr="00960F72" w:rsidRDefault="00C70EDD" w:rsidP="00C70EDD">
      <w:pPr>
        <w:tabs>
          <w:tab w:val="left" w:pos="426"/>
        </w:tabs>
        <w:spacing w:after="0" w:line="276" w:lineRule="auto"/>
        <w:jc w:val="both"/>
        <w:rPr>
          <w:rFonts w:ascii="Verdana" w:eastAsia="Century Gothic" w:hAnsi="Verdana" w:cs="Century Gothic"/>
        </w:rPr>
      </w:pPr>
    </w:p>
    <w:p w14:paraId="35E30A28" w14:textId="54C6B3DD" w:rsidR="00C70EDD" w:rsidRDefault="00C70EDD" w:rsidP="00C70EDD">
      <w:pPr>
        <w:spacing w:after="0" w:line="276" w:lineRule="auto"/>
        <w:jc w:val="both"/>
        <w:rPr>
          <w:rFonts w:ascii="Verdana" w:eastAsia="Century Gothic" w:hAnsi="Verdana" w:cs="Century Gothic"/>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7801A6">
        <w:rPr>
          <w:rFonts w:ascii="Verdana" w:eastAsia="Century Gothic" w:hAnsi="Verdana" w:cs="Century Gothic"/>
        </w:rPr>
        <w:t>¿</w:t>
      </w:r>
      <w:r w:rsidRPr="00DE12D1">
        <w:rPr>
          <w:rFonts w:ascii="Verdana" w:eastAsia="Century Gothic" w:hAnsi="Verdana" w:cs="Century Gothic"/>
        </w:rPr>
        <w:t>Es jurídicamente procedente que una entidad territorial celebre un contrato de arrendamiento con una universidad pública durante la vigencia de la Ley de Garantías Electorales, o dicha actuación se encuentra restringida por esta normativa?</w:t>
      </w:r>
      <w:r>
        <w:rPr>
          <w:rFonts w:ascii="Verdana" w:eastAsia="Century Gothic" w:hAnsi="Verdana" w:cs="Century Gothic"/>
        </w:rPr>
        <w:t xml:space="preserve"> </w:t>
      </w:r>
    </w:p>
    <w:p w14:paraId="6209708E" w14:textId="77777777" w:rsidR="00C70EDD" w:rsidRPr="00960F72" w:rsidRDefault="00C70EDD" w:rsidP="00C70EDD">
      <w:pPr>
        <w:spacing w:after="0" w:line="276" w:lineRule="auto"/>
        <w:jc w:val="both"/>
        <w:rPr>
          <w:rFonts w:ascii="Verdana" w:eastAsia="Century Gothic" w:hAnsi="Verdana" w:cs="Century Gothic"/>
        </w:rPr>
      </w:pPr>
    </w:p>
    <w:p w14:paraId="1F2FD121" w14:textId="77777777" w:rsidR="00C70EDD" w:rsidRPr="00503F12" w:rsidRDefault="00C70EDD" w:rsidP="00C70ED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70EDD" w:rsidRPr="00960F72" w14:paraId="1804B48C" w14:textId="77777777" w:rsidTr="00882D00">
        <w:tc>
          <w:tcPr>
            <w:tcW w:w="8828" w:type="dxa"/>
          </w:tcPr>
          <w:p w14:paraId="3481C494" w14:textId="77777777" w:rsidR="006E2B53" w:rsidRPr="006E2B53" w:rsidRDefault="006E2B53" w:rsidP="006E2B53">
            <w:pPr>
              <w:spacing w:after="120" w:line="276" w:lineRule="auto"/>
              <w:jc w:val="both"/>
              <w:rPr>
                <w:rFonts w:ascii="Verdana" w:eastAsiaTheme="minorEastAsia" w:hAnsi="Verdana" w:cs="Arial"/>
                <w:bCs/>
                <w:lang w:eastAsia="es-CO"/>
              </w:rPr>
            </w:pPr>
            <w:r w:rsidRPr="006E2B53">
              <w:rPr>
                <w:rFonts w:ascii="Verdana" w:eastAsiaTheme="minorEastAsia" w:hAnsi="Verdana" w:cs="Arial"/>
                <w:bCs/>
                <w:lang w:eastAsia="es-CO"/>
              </w:rPr>
              <w:t xml:space="preserve">En atención al problema jurídico planteado debe señalarse que la Ley de Garantías Electorales, en materia de contratación estatal dispone dos tipos de </w:t>
            </w:r>
            <w:r w:rsidRPr="006E2B53">
              <w:rPr>
                <w:rFonts w:ascii="Verdana" w:eastAsiaTheme="minorEastAsia" w:hAnsi="Verdana" w:cs="Arial"/>
                <w:bCs/>
                <w:lang w:eastAsia="es-CO"/>
              </w:rPr>
              <w:lastRenderedPageBreak/>
              <w:t xml:space="preserve">restricciones. El artículo 33 de la Ley 996 de 2205 prohíbe la contratación directa por parte de todos los entes estatales durante los cuatro (4) meses anteriores a las elecciones presidenciales y dispone las excepciones a dicha prohibición. Así, su ámbito de prohibición está delimitado por la expresión “queda prohibida la contratación directa” y para los efectos de la Ley de Garantías Electorales y, en particular, para la prohibición o restricción temporal contenida en su artículo 33, “contratación directa” se refiere a cualquier sistema de selección o procedimiento de contratación utilizado por las entidades estatales que no incluya la convocatoria pública en alguna de sus etapas, ni permita la participación de una pluralidad de oferentes. </w:t>
            </w:r>
          </w:p>
          <w:p w14:paraId="715F25CC" w14:textId="77777777" w:rsidR="006E2B53" w:rsidRPr="006E2B53" w:rsidRDefault="006E2B53" w:rsidP="006E2B53">
            <w:pPr>
              <w:spacing w:after="120" w:line="276" w:lineRule="auto"/>
              <w:jc w:val="both"/>
              <w:rPr>
                <w:rFonts w:ascii="Verdana" w:eastAsiaTheme="minorEastAsia" w:hAnsi="Verdana" w:cs="Arial"/>
                <w:bCs/>
                <w:lang w:eastAsia="es-CO"/>
              </w:rPr>
            </w:pPr>
            <w:r w:rsidRPr="006E2B53">
              <w:rPr>
                <w:rFonts w:ascii="Verdana" w:eastAsiaTheme="minorEastAsia" w:hAnsi="Verdana" w:cs="Arial"/>
                <w:bCs/>
                <w:lang w:eastAsia="es-CO"/>
              </w:rPr>
              <w:t xml:space="preserve">Por su parte, los destinatarios de la prohibición están expresamente señalados como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A3A009D" w14:textId="77777777" w:rsidR="006E2B53" w:rsidRPr="006E2B53" w:rsidRDefault="006E2B53" w:rsidP="006E2B53">
            <w:pPr>
              <w:spacing w:after="120" w:line="276" w:lineRule="auto"/>
              <w:jc w:val="both"/>
              <w:rPr>
                <w:rFonts w:ascii="Verdana" w:eastAsiaTheme="minorEastAsia" w:hAnsi="Verdana" w:cs="Arial"/>
                <w:bCs/>
                <w:lang w:eastAsia="es-CO"/>
              </w:rPr>
            </w:pPr>
            <w:r w:rsidRPr="006E2B53">
              <w:rPr>
                <w:rFonts w:ascii="Verdana" w:eastAsiaTheme="minorEastAsia" w:hAnsi="Verdana" w:cs="Arial"/>
                <w:bCs/>
                <w:lang w:eastAsia="es-CO"/>
              </w:rPr>
              <w:t xml:space="preserve">En este contexto, dado que las universidades públicas son entidades públicas de carácter autónomo con régimen especial, les aplica la restricción establecida en el artículo 33 de la Ley 996 de 2005, que prohíbe la contratación directa por parte de todos los entes estatales durante los cuatro (4) meses anteriores a las elecciones presidenciales y dispone las excepciones a dicha prohibición. </w:t>
            </w:r>
          </w:p>
          <w:p w14:paraId="4E366A77" w14:textId="77777777" w:rsidR="006E2B53" w:rsidRPr="006E2B53" w:rsidRDefault="006E2B53" w:rsidP="006E2B53">
            <w:pPr>
              <w:spacing w:after="120" w:line="276" w:lineRule="auto"/>
              <w:jc w:val="both"/>
              <w:rPr>
                <w:rFonts w:ascii="Verdana" w:eastAsiaTheme="minorEastAsia" w:hAnsi="Verdana" w:cs="Arial"/>
                <w:bCs/>
                <w:lang w:eastAsia="es-CO"/>
              </w:rPr>
            </w:pPr>
            <w:r w:rsidRPr="006E2B53">
              <w:rPr>
                <w:rFonts w:ascii="Verdana" w:eastAsiaTheme="minorEastAsia" w:hAnsi="Verdana" w:cs="Arial"/>
                <w:bCs/>
                <w:lang w:eastAsia="es-CO"/>
              </w:rPr>
              <w:t xml:space="preserve">El parágrafo del artículo 38 de la Ley 996 de 2005 prohíbe a los </w:t>
            </w:r>
            <w:proofErr w:type="gramStart"/>
            <w:r w:rsidRPr="006E2B53">
              <w:rPr>
                <w:rFonts w:ascii="Verdana" w:eastAsiaTheme="minorEastAsia" w:hAnsi="Verdana" w:cs="Arial"/>
                <w:bCs/>
                <w:lang w:eastAsia="es-CO"/>
              </w:rPr>
              <w:t>Alcaldes</w:t>
            </w:r>
            <w:proofErr w:type="gramEnd"/>
            <w:r w:rsidRPr="006E2B53">
              <w:rPr>
                <w:rFonts w:ascii="Verdana" w:eastAsiaTheme="minorEastAsia" w:hAnsi="Verdana" w:cs="Arial"/>
                <w:bCs/>
                <w:lang w:eastAsia="es-CO"/>
              </w:rPr>
              <w:t xml:space="preserve">, Gobernadores, </w:t>
            </w:r>
            <w:proofErr w:type="gramStart"/>
            <w:r w:rsidRPr="006E2B53">
              <w:rPr>
                <w:rFonts w:ascii="Verdana" w:eastAsiaTheme="minorEastAsia" w:hAnsi="Verdana" w:cs="Arial"/>
                <w:bCs/>
                <w:lang w:eastAsia="es-CO"/>
              </w:rPr>
              <w:t>Secretarios</w:t>
            </w:r>
            <w:proofErr w:type="gramEnd"/>
            <w:r w:rsidRPr="006E2B53">
              <w:rPr>
                <w:rFonts w:ascii="Verdana" w:eastAsiaTheme="minorEastAsia" w:hAnsi="Verdana" w:cs="Arial"/>
                <w:bCs/>
                <w:lang w:eastAsia="es-CO"/>
              </w:rPr>
              <w:t xml:space="preserve">, Gerentes y </w:t>
            </w:r>
            <w:proofErr w:type="gramStart"/>
            <w:r w:rsidRPr="006E2B53">
              <w:rPr>
                <w:rFonts w:ascii="Verdana" w:eastAsiaTheme="minorEastAsia" w:hAnsi="Verdana" w:cs="Arial"/>
                <w:bCs/>
                <w:lang w:eastAsia="es-CO"/>
              </w:rPr>
              <w:t>Directores</w:t>
            </w:r>
            <w:proofErr w:type="gramEnd"/>
            <w:r w:rsidRPr="006E2B53">
              <w:rPr>
                <w:rFonts w:ascii="Verdana" w:eastAsiaTheme="minorEastAsia" w:hAnsi="Verdana" w:cs="Arial"/>
                <w:bCs/>
                <w:lang w:eastAsia="es-CO"/>
              </w:rPr>
              <w:t xml:space="preserve"> de las entidades descentralizadas del orden municipal, departamental o distrital celebrar convenios interadministrativos para la ejecución de recursos públicos. En este sentido, si una o ambas partes de la relación contractual es una entidad de aquellas 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Así las cosas, por el </w:t>
            </w:r>
            <w:r w:rsidRPr="006E2B53">
              <w:rPr>
                <w:rFonts w:ascii="Verdana" w:eastAsiaTheme="minorEastAsia" w:hAnsi="Verdana" w:cs="Arial"/>
                <w:bCs/>
                <w:lang w:eastAsia="es-CO"/>
              </w:rPr>
              <w:lastRenderedPageBreak/>
              <w:t xml:space="preserve">contrario, a estas entidades no les aplica la restricción contenida en el parágrafo del artículo 38 de la Ley 996 de 2005, dado que esta solo es aplicable a </w:t>
            </w:r>
            <w:proofErr w:type="gramStart"/>
            <w:r w:rsidRPr="006E2B53">
              <w:rPr>
                <w:rFonts w:ascii="Verdana" w:eastAsiaTheme="minorEastAsia" w:hAnsi="Verdana" w:cs="Arial"/>
                <w:bCs/>
                <w:lang w:eastAsia="es-CO"/>
              </w:rPr>
              <w:t>Alcaldes</w:t>
            </w:r>
            <w:proofErr w:type="gramEnd"/>
            <w:r w:rsidRPr="006E2B53">
              <w:rPr>
                <w:rFonts w:ascii="Verdana" w:eastAsiaTheme="minorEastAsia" w:hAnsi="Verdana" w:cs="Arial"/>
                <w:bCs/>
                <w:lang w:eastAsia="es-CO"/>
              </w:rPr>
              <w:t xml:space="preserve">, Gobernadores, </w:t>
            </w:r>
            <w:proofErr w:type="gramStart"/>
            <w:r w:rsidRPr="006E2B53">
              <w:rPr>
                <w:rFonts w:ascii="Verdana" w:eastAsiaTheme="minorEastAsia" w:hAnsi="Verdana" w:cs="Arial"/>
                <w:bCs/>
                <w:lang w:eastAsia="es-CO"/>
              </w:rPr>
              <w:t>Secretarios</w:t>
            </w:r>
            <w:proofErr w:type="gramEnd"/>
            <w:r w:rsidRPr="006E2B53">
              <w:rPr>
                <w:rFonts w:ascii="Verdana" w:eastAsiaTheme="minorEastAsia" w:hAnsi="Verdana" w:cs="Arial"/>
                <w:bCs/>
                <w:lang w:eastAsia="es-CO"/>
              </w:rPr>
              <w:t xml:space="preserve">, Gerentes y </w:t>
            </w:r>
            <w:proofErr w:type="gramStart"/>
            <w:r w:rsidRPr="006E2B53">
              <w:rPr>
                <w:rFonts w:ascii="Verdana" w:eastAsiaTheme="minorEastAsia" w:hAnsi="Verdana" w:cs="Arial"/>
                <w:bCs/>
                <w:lang w:eastAsia="es-CO"/>
              </w:rPr>
              <w:t>Directores</w:t>
            </w:r>
            <w:proofErr w:type="gramEnd"/>
            <w:r w:rsidRPr="006E2B53">
              <w:rPr>
                <w:rFonts w:ascii="Verdana" w:eastAsiaTheme="minorEastAsia" w:hAnsi="Verdana" w:cs="Arial"/>
                <w:bCs/>
                <w:lang w:eastAsia="es-CO"/>
              </w:rPr>
              <w:t xml:space="preserve"> de las entidades descentralizadas del orden municipal, departamental o distrital.</w:t>
            </w:r>
          </w:p>
          <w:p w14:paraId="4EF7EB24" w14:textId="6ECA15D6" w:rsidR="00C70EDD" w:rsidRPr="00EB66F0" w:rsidRDefault="006E2B53" w:rsidP="00882D00">
            <w:pPr>
              <w:spacing w:line="276" w:lineRule="auto"/>
              <w:ind w:firstLine="360"/>
              <w:contextualSpacing/>
              <w:jc w:val="both"/>
              <w:rPr>
                <w:rFonts w:ascii="Verdana" w:hAnsi="Verdana" w:cs="Arial"/>
                <w:lang w:eastAsia="es-ES"/>
              </w:rPr>
            </w:pPr>
            <w:r w:rsidRPr="006E2B53">
              <w:rPr>
                <w:rFonts w:ascii="Verdana" w:eastAsiaTheme="minorEastAsia" w:hAnsi="Verdana" w:cs="Arial"/>
                <w:bCs/>
                <w:lang w:eastAsia="es-CO"/>
              </w:rPr>
              <w:t>Para las elecciones presidenciales, el Consejo Nacional Electoral mediante Resolución No. 2580 del 5 de marzo de 2025 fijó el calendario electoral para las elecciones de Presidente y Vicepresidente de la República en primera vuelta que se celebrarán el 31 de mayo de 2026, por lo que las restricciones a aplicar son las del artículo 33 de la Ley 996 de 2005 que dispone que dentro de los cuatro (4) meses anteriores a la elección presidencial, es decir desde el 31 de enero de 2026 y hasta el momento de la celebración de la segunda vuelta, si fuere el caso, queda prohibida la contratación directa por parte de todos los entes del Estado.</w:t>
            </w:r>
          </w:p>
        </w:tc>
      </w:tr>
    </w:tbl>
    <w:p w14:paraId="078F2AFE" w14:textId="77777777" w:rsidR="00C70EDD" w:rsidRPr="00960F72" w:rsidRDefault="00C70EDD" w:rsidP="00C70EDD">
      <w:pPr>
        <w:tabs>
          <w:tab w:val="left" w:pos="142"/>
          <w:tab w:val="left" w:pos="284"/>
        </w:tabs>
        <w:spacing w:after="0" w:line="276" w:lineRule="auto"/>
        <w:jc w:val="both"/>
        <w:rPr>
          <w:rFonts w:ascii="Verdana" w:eastAsia="Century Gothic" w:hAnsi="Verdana" w:cs="Century Gothic"/>
          <w:b/>
          <w:bCs/>
        </w:rPr>
      </w:pPr>
    </w:p>
    <w:p w14:paraId="1A70F45E" w14:textId="77777777" w:rsidR="00C70EDD" w:rsidRDefault="00C70EDD" w:rsidP="00C70ED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Razones de la respuesta:</w:t>
      </w:r>
    </w:p>
    <w:p w14:paraId="7A5B866C" w14:textId="77777777" w:rsidR="00C70EDD" w:rsidRDefault="00C70EDD" w:rsidP="00C70EDD">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440D9FE" w14:textId="77777777" w:rsidR="00C70EDD" w:rsidRDefault="00C70EDD" w:rsidP="00C70ED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6F7A962" w14:textId="77777777" w:rsidR="00C70EDD" w:rsidRPr="000C6D8F" w:rsidRDefault="00C70EDD" w:rsidP="00C70EDD">
      <w:pPr>
        <w:spacing w:after="0" w:line="276" w:lineRule="auto"/>
        <w:jc w:val="both"/>
        <w:rPr>
          <w:rFonts w:ascii="Verdana" w:eastAsia="Calibri" w:hAnsi="Verdana" w:cs="Arial"/>
          <w:lang w:val="es-ES"/>
        </w:rPr>
      </w:pPr>
    </w:p>
    <w:p w14:paraId="4629F2B6" w14:textId="77777777" w:rsidR="00C70EDD" w:rsidRPr="009E105D" w:rsidRDefault="00C70EDD" w:rsidP="00C70EDD">
      <w:pPr>
        <w:tabs>
          <w:tab w:val="left" w:pos="426"/>
        </w:tabs>
        <w:spacing w:after="120" w:line="276" w:lineRule="auto"/>
        <w:jc w:val="both"/>
        <w:rPr>
          <w:rFonts w:ascii="Verdana" w:eastAsia="Times New Roman" w:hAnsi="Verdana" w:cs="Arial"/>
          <w:lang w:eastAsia="es-CO"/>
        </w:rPr>
      </w:pPr>
      <w:r>
        <w:rPr>
          <w:rFonts w:ascii="Verdana" w:eastAsia="Calibri" w:hAnsi="Verdana" w:cs="Arial"/>
          <w:color w:val="000000" w:themeColor="text1"/>
        </w:rPr>
        <w:t xml:space="preserve">i. </w:t>
      </w:r>
      <w:r w:rsidRPr="009E105D">
        <w:rPr>
          <w:rFonts w:ascii="Verdana" w:eastAsia="Calibri" w:hAnsi="Verdana" w:cs="Arial"/>
        </w:rPr>
        <w:t>El ordenamiento jurídico colombiano contempla previsiones claras para evitar la obtención de beneficios personales en asuntos propios de la administración pública</w:t>
      </w:r>
      <w:r w:rsidRPr="009E105D">
        <w:rPr>
          <w:rFonts w:ascii="Verdana" w:eastAsia="Calibri" w:hAnsi="Verdana" w:cs="Arial"/>
          <w:i/>
        </w:rPr>
        <w:t xml:space="preserve">. </w:t>
      </w:r>
      <w:r w:rsidRPr="009E105D">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Pr="009E105D">
        <w:rPr>
          <w:rFonts w:ascii="Verdana" w:eastAsia="Calibri" w:hAnsi="Verdana" w:cs="Arial"/>
          <w:vertAlign w:val="superscript"/>
        </w:rPr>
        <w:footnoteReference w:id="2"/>
      </w:r>
      <w:r w:rsidRPr="009E105D">
        <w:rPr>
          <w:rFonts w:ascii="Verdana" w:eastAsia="Calibri" w:hAnsi="Verdana" w:cs="Arial"/>
        </w:rPr>
        <w:t xml:space="preserve">. </w:t>
      </w:r>
    </w:p>
    <w:p w14:paraId="52510F5A" w14:textId="77777777" w:rsidR="00C70EDD" w:rsidRPr="009E105D" w:rsidRDefault="00C70EDD" w:rsidP="00C70EDD">
      <w:pPr>
        <w:tabs>
          <w:tab w:val="left" w:pos="426"/>
        </w:tabs>
        <w:spacing w:after="0" w:line="276" w:lineRule="auto"/>
        <w:ind w:firstLine="709"/>
        <w:jc w:val="both"/>
        <w:rPr>
          <w:rFonts w:ascii="Verdana" w:eastAsia="Times New Roman" w:hAnsi="Verdana" w:cs="Arial"/>
          <w:lang w:val="es-MX" w:eastAsia="es-CO"/>
        </w:rPr>
      </w:pPr>
      <w:r w:rsidRPr="009E105D">
        <w:rPr>
          <w:rFonts w:ascii="Verdana" w:eastAsia="Times New Roman" w:hAnsi="Verdana" w:cs="Arial"/>
          <w:lang w:eastAsia="es-CO"/>
        </w:rPr>
        <w:t>En el mismo sentido</w:t>
      </w:r>
      <w:r w:rsidRPr="009E105D">
        <w:rPr>
          <w:rFonts w:ascii="Verdana" w:eastAsia="Times New Roman" w:hAnsi="Verdana" w:cs="Arial"/>
          <w:lang w:val="es-MX" w:eastAsia="es-CO"/>
        </w:rPr>
        <w:t xml:space="preserve">, </w:t>
      </w:r>
      <w:bookmarkStart w:id="1" w:name="_Hlk99576829"/>
      <w:r w:rsidRPr="009E105D">
        <w:rPr>
          <w:rFonts w:ascii="Verdana" w:eastAsia="Times New Roman" w:hAnsi="Verdana" w:cs="Arial"/>
          <w:lang w:val="es-MX" w:eastAsia="es-CO"/>
        </w:rPr>
        <w:t xml:space="preserve">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w:t>
      </w:r>
      <w:r w:rsidRPr="009E105D">
        <w:rPr>
          <w:rFonts w:ascii="Verdana" w:eastAsia="Times New Roman" w:hAnsi="Verdana" w:cs="Arial"/>
          <w:lang w:val="es-MX" w:eastAsia="es-CO"/>
        </w:rPr>
        <w:lastRenderedPageBreak/>
        <w:t>Estado en las campañas o falta de garantías en la elección presidencial</w:t>
      </w:r>
      <w:r w:rsidRPr="009E105D">
        <w:rPr>
          <w:rFonts w:ascii="Verdana" w:eastAsia="Times New Roman" w:hAnsi="Verdana" w:cs="Arial"/>
          <w:vertAlign w:val="superscript"/>
          <w:lang w:val="es-MX" w:eastAsia="es-CO"/>
        </w:rPr>
        <w:footnoteReference w:id="3"/>
      </w:r>
      <w:r w:rsidRPr="009E105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9E105D">
        <w:rPr>
          <w:rFonts w:ascii="Verdana" w:eastAsia="Calibri" w:hAnsi="Verdana" w:cs="Arial"/>
          <w:lang w:val="es-ES_tradnl"/>
        </w:rPr>
        <w:t xml:space="preserve"> </w:t>
      </w:r>
      <w:bookmarkEnd w:id="1"/>
      <w:r w:rsidRPr="009E105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AC6C45E" w14:textId="77777777" w:rsidR="00C70EDD" w:rsidRPr="009E105D" w:rsidRDefault="00C70EDD" w:rsidP="00C70EDD">
      <w:pPr>
        <w:spacing w:after="0" w:line="276" w:lineRule="auto"/>
        <w:ind w:right="709"/>
        <w:contextualSpacing/>
        <w:jc w:val="both"/>
        <w:rPr>
          <w:rFonts w:ascii="Verdana" w:eastAsia="Times New Roman" w:hAnsi="Verdana" w:cs="Arial"/>
          <w:sz w:val="21"/>
          <w:szCs w:val="21"/>
          <w:lang w:val="es-ES" w:eastAsia="es-CO"/>
        </w:rPr>
      </w:pPr>
    </w:p>
    <w:p w14:paraId="0668075E" w14:textId="77777777" w:rsidR="00C70EDD" w:rsidRPr="00E066AC" w:rsidRDefault="00C70EDD" w:rsidP="00C70EDD">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ES" w:eastAsia="es-CO"/>
        </w:rPr>
        <w:t xml:space="preserve">“[…] </w:t>
      </w:r>
      <w:r w:rsidRPr="00E066AC">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FEF63FC" w14:textId="77777777" w:rsidR="00C70EDD" w:rsidRPr="001B7CDA" w:rsidRDefault="00C70EDD" w:rsidP="00C70EDD">
      <w:pPr>
        <w:spacing w:after="12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 xml:space="preserve">[…] </w:t>
      </w:r>
    </w:p>
    <w:p w14:paraId="7DDB9548" w14:textId="77777777" w:rsidR="00C70EDD" w:rsidRPr="00E066AC" w:rsidRDefault="00C70EDD" w:rsidP="00C70EDD">
      <w:pPr>
        <w:spacing w:after="0" w:line="240" w:lineRule="auto"/>
        <w:ind w:left="709" w:right="709"/>
        <w:contextualSpacing/>
        <w:jc w:val="both"/>
        <w:rPr>
          <w:rFonts w:ascii="Verdana" w:eastAsia="Times New Roman" w:hAnsi="Verdana" w:cs="Arial"/>
          <w:sz w:val="20"/>
          <w:szCs w:val="20"/>
          <w:lang w:val="es-MX" w:eastAsia="es-CO"/>
        </w:rPr>
      </w:pPr>
      <w:r w:rsidRPr="00E066AC">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066AC">
        <w:rPr>
          <w:rFonts w:ascii="Verdana" w:eastAsia="Calibri" w:hAnsi="Verdana" w:cs="Arial"/>
          <w:sz w:val="20"/>
          <w:szCs w:val="20"/>
          <w:vertAlign w:val="superscript"/>
          <w:lang w:val="es-MX"/>
        </w:rPr>
        <w:footnoteReference w:id="4"/>
      </w:r>
      <w:r w:rsidRPr="00E066AC">
        <w:rPr>
          <w:rFonts w:ascii="Verdana" w:eastAsia="Times New Roman" w:hAnsi="Verdana" w:cs="Arial"/>
          <w:sz w:val="20"/>
          <w:szCs w:val="20"/>
          <w:lang w:val="es-MX" w:eastAsia="es-CO"/>
        </w:rPr>
        <w:t>.</w:t>
      </w:r>
    </w:p>
    <w:p w14:paraId="6BFAEA15" w14:textId="77777777" w:rsidR="00C70EDD" w:rsidRPr="009E105D" w:rsidRDefault="00C70EDD" w:rsidP="00C70EDD">
      <w:pPr>
        <w:spacing w:after="0" w:line="276" w:lineRule="auto"/>
        <w:ind w:left="709" w:right="709"/>
        <w:contextualSpacing/>
        <w:jc w:val="both"/>
        <w:rPr>
          <w:rFonts w:ascii="Verdana" w:eastAsia="Times New Roman" w:hAnsi="Verdana" w:cs="Arial"/>
          <w:sz w:val="21"/>
          <w:szCs w:val="21"/>
          <w:lang w:val="es-MX" w:eastAsia="es-CO"/>
        </w:rPr>
      </w:pPr>
    </w:p>
    <w:p w14:paraId="13F31C72" w14:textId="77777777" w:rsidR="00C70EDD" w:rsidRPr="009E105D" w:rsidRDefault="00C70EDD" w:rsidP="00C70EDD">
      <w:pPr>
        <w:spacing w:after="0" w:line="276" w:lineRule="auto"/>
        <w:ind w:firstLine="709"/>
        <w:jc w:val="both"/>
        <w:rPr>
          <w:rFonts w:ascii="Verdana" w:eastAsia="Times New Roman" w:hAnsi="Verdana" w:cs="Arial"/>
          <w:lang w:val="es-MX" w:eastAsia="es-CO"/>
        </w:rPr>
      </w:pPr>
      <w:bookmarkStart w:id="2" w:name="_Hlk78818186"/>
      <w:r w:rsidRPr="009E105D">
        <w:rPr>
          <w:rFonts w:ascii="Verdana" w:eastAsia="Times New Roman" w:hAnsi="Verdana" w:cs="Arial"/>
          <w:lang w:val="es-MX" w:eastAsia="es-CO"/>
        </w:rPr>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9E105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7096FBC8" w14:textId="77777777" w:rsidR="00C70EDD" w:rsidRPr="009E105D" w:rsidRDefault="00C70EDD" w:rsidP="00C70EDD">
      <w:pPr>
        <w:spacing w:after="0" w:line="276" w:lineRule="auto"/>
        <w:ind w:firstLine="709"/>
        <w:contextualSpacing/>
        <w:jc w:val="both"/>
        <w:rPr>
          <w:rFonts w:ascii="Verdana" w:eastAsia="Times New Roman" w:hAnsi="Verdana" w:cs="Arial"/>
          <w:lang w:val="es-MX" w:eastAsia="es-CO"/>
        </w:rPr>
      </w:pPr>
    </w:p>
    <w:p w14:paraId="6B46149A" w14:textId="77777777" w:rsidR="00C70EDD" w:rsidRPr="001B7CDA" w:rsidRDefault="00C70EDD" w:rsidP="00C70EDD">
      <w:pPr>
        <w:spacing w:after="0" w:line="240" w:lineRule="auto"/>
        <w:ind w:left="709" w:right="709"/>
        <w:contextualSpacing/>
        <w:jc w:val="both"/>
        <w:rPr>
          <w:rFonts w:ascii="Verdana" w:eastAsia="Times New Roman" w:hAnsi="Verdana" w:cs="Arial"/>
          <w:sz w:val="20"/>
          <w:szCs w:val="20"/>
          <w:lang w:val="es-MX" w:eastAsia="es-CO"/>
        </w:rPr>
      </w:pPr>
      <w:r w:rsidRPr="001B7CDA">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1B7CDA">
        <w:rPr>
          <w:rFonts w:ascii="Verdana" w:eastAsia="Times New Roman" w:hAnsi="Verdana" w:cs="Arial"/>
          <w:sz w:val="20"/>
          <w:szCs w:val="20"/>
          <w:lang w:val="es-MX" w:eastAsia="es-CO"/>
        </w:rPr>
        <w:t>legis</w:t>
      </w:r>
      <w:proofErr w:type="spellEnd"/>
      <w:r w:rsidRPr="001B7CDA">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w:t>
      </w:r>
      <w:r w:rsidRPr="001B7CDA">
        <w:rPr>
          <w:rFonts w:ascii="Verdana" w:eastAsia="Times New Roman" w:hAnsi="Verdana" w:cs="Arial"/>
          <w:sz w:val="20"/>
          <w:szCs w:val="20"/>
          <w:lang w:val="es-MX" w:eastAsia="es-CO"/>
        </w:rPr>
        <w:lastRenderedPageBreak/>
        <w:t>disponibles ni pueden ser derogadas, modificadas, ampliadas o adicionadas por acuerdo o convenio o acto unilateral.</w:t>
      </w:r>
    </w:p>
    <w:p w14:paraId="7A9135FA" w14:textId="77777777" w:rsidR="00C70EDD" w:rsidRPr="001B7CDA" w:rsidRDefault="00C70EDD" w:rsidP="00C70EDD">
      <w:pPr>
        <w:spacing w:after="0" w:line="240" w:lineRule="auto"/>
        <w:ind w:right="709"/>
        <w:contextualSpacing/>
        <w:jc w:val="both"/>
        <w:rPr>
          <w:rFonts w:ascii="Verdana" w:eastAsia="Times New Roman" w:hAnsi="Verdana" w:cs="Arial"/>
          <w:sz w:val="20"/>
          <w:szCs w:val="20"/>
          <w:lang w:val="es-MX" w:eastAsia="es-CO"/>
        </w:rPr>
      </w:pPr>
    </w:p>
    <w:p w14:paraId="2FD0B686" w14:textId="77777777" w:rsidR="00C70EDD" w:rsidRPr="001B7CDA" w:rsidRDefault="00C70EDD" w:rsidP="00C70EDD">
      <w:pPr>
        <w:spacing w:after="0" w:line="240" w:lineRule="auto"/>
        <w:ind w:left="709" w:right="709"/>
        <w:contextualSpacing/>
        <w:jc w:val="both"/>
        <w:rPr>
          <w:rFonts w:ascii="Verdana" w:eastAsia="Times New Roman" w:hAnsi="Verdana" w:cs="Arial"/>
          <w:sz w:val="20"/>
          <w:szCs w:val="20"/>
          <w:lang w:val="es-MX" w:eastAsia="es-CO"/>
        </w:rPr>
      </w:pPr>
      <w:r w:rsidRPr="001B7CDA">
        <w:rPr>
          <w:rFonts w:ascii="Verdana" w:eastAsia="Times New Roman" w:hAnsi="Verdana" w:cs="Arial"/>
          <w:sz w:val="20"/>
          <w:szCs w:val="20"/>
          <w:lang w:val="es-MX" w:eastAsia="es-CO"/>
        </w:rPr>
        <w:t>La jurisprudencia de la Corte Constitucional</w:t>
      </w:r>
      <w:r w:rsidRPr="001B7CDA">
        <w:rPr>
          <w:rFonts w:ascii="Verdana" w:eastAsia="Times New Roman" w:hAnsi="Verdana" w:cs="Arial"/>
          <w:sz w:val="20"/>
          <w:szCs w:val="20"/>
          <w:vertAlign w:val="superscript"/>
          <w:lang w:val="es-MX" w:eastAsia="es-CO"/>
        </w:rPr>
        <w:footnoteReference w:id="5"/>
      </w:r>
      <w:r w:rsidRPr="001B7CDA">
        <w:rPr>
          <w:rFonts w:ascii="Verdana" w:eastAsia="Times New Roman" w:hAnsi="Verdana" w:cs="Arial"/>
          <w:sz w:val="20"/>
          <w:szCs w:val="20"/>
          <w:lang w:val="es-MX" w:eastAsia="es-CO"/>
        </w:rPr>
        <w:t> y del Consejo de Estado</w:t>
      </w:r>
      <w:r w:rsidRPr="001B7CDA">
        <w:rPr>
          <w:rFonts w:ascii="Verdana" w:eastAsia="Times New Roman" w:hAnsi="Verdana" w:cs="Arial"/>
          <w:sz w:val="20"/>
          <w:szCs w:val="20"/>
          <w:vertAlign w:val="superscript"/>
          <w:lang w:val="es-MX" w:eastAsia="es-CO"/>
        </w:rPr>
        <w:footnoteReference w:id="6"/>
      </w:r>
      <w:r w:rsidRPr="001B7CDA">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1B7CDA">
        <w:rPr>
          <w:rFonts w:ascii="Verdana" w:eastAsia="Times New Roman" w:hAnsi="Verdana" w:cs="Arial"/>
          <w:sz w:val="20"/>
          <w:szCs w:val="20"/>
          <w:vertAlign w:val="superscript"/>
          <w:lang w:val="es-MX" w:eastAsia="es-CO"/>
        </w:rPr>
        <w:footnoteReference w:id="7"/>
      </w:r>
      <w:r w:rsidRPr="001B7CDA">
        <w:rPr>
          <w:rFonts w:ascii="Verdana" w:eastAsia="Times New Roman" w:hAnsi="Verdana" w:cs="Arial"/>
          <w:sz w:val="20"/>
          <w:szCs w:val="20"/>
          <w:lang w:val="es-MX" w:eastAsia="es-CO"/>
        </w:rPr>
        <w:t>.</w:t>
      </w:r>
    </w:p>
    <w:p w14:paraId="74F71283" w14:textId="77777777" w:rsidR="00C70EDD" w:rsidRPr="009E105D" w:rsidRDefault="00C70EDD" w:rsidP="00C70EDD">
      <w:pPr>
        <w:spacing w:after="0" w:line="276" w:lineRule="auto"/>
        <w:ind w:right="709"/>
        <w:contextualSpacing/>
        <w:jc w:val="both"/>
        <w:rPr>
          <w:rFonts w:ascii="Verdana" w:eastAsia="Times New Roman" w:hAnsi="Verdana" w:cs="Arial"/>
          <w:sz w:val="21"/>
          <w:szCs w:val="21"/>
          <w:lang w:val="es-MX" w:eastAsia="es-CO"/>
        </w:rPr>
      </w:pPr>
    </w:p>
    <w:p w14:paraId="458E11A4" w14:textId="77777777" w:rsidR="00C70EDD" w:rsidRPr="009E105D" w:rsidRDefault="00C70EDD" w:rsidP="00C70EDD">
      <w:pPr>
        <w:spacing w:after="120" w:line="276" w:lineRule="auto"/>
        <w:jc w:val="both"/>
        <w:rPr>
          <w:rFonts w:ascii="Verdana" w:eastAsia="Arial" w:hAnsi="Verdana" w:cs="Arial"/>
          <w:lang w:val="es-ES" w:eastAsia="es-ES" w:bidi="es-ES"/>
        </w:rPr>
      </w:pPr>
      <w:r w:rsidRPr="009E105D">
        <w:rPr>
          <w:rFonts w:ascii="Verdana" w:eastAsia="Times New Roman" w:hAnsi="Verdana" w:cs="Arial"/>
          <w:lang w:val="es-MX" w:eastAsia="es-CO"/>
        </w:rPr>
        <w:tab/>
        <w:t>De</w:t>
      </w:r>
      <w:r w:rsidRPr="009E105D">
        <w:rPr>
          <w:rFonts w:ascii="Verdana" w:eastAsia="Arial" w:hAnsi="Verdana" w:cs="Arial"/>
          <w:lang w:val="es-ES" w:eastAsia="es-ES" w:bidi="es-ES"/>
        </w:rPr>
        <w:t xml:space="preserve"> conformidad con lo anterior, </w:t>
      </w:r>
      <w:bookmarkStart w:id="3" w:name="_Hlk77236098"/>
      <w:bookmarkStart w:id="4" w:name="_Hlk100679383"/>
      <w:r w:rsidRPr="009E105D">
        <w:rPr>
          <w:rFonts w:ascii="Verdana" w:eastAsia="Arial" w:hAnsi="Verdana" w:cs="Arial"/>
          <w:lang w:val="es-ES" w:eastAsia="es-ES" w:bidi="es-ES"/>
        </w:rPr>
        <w:t>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7647A9B3" w14:textId="77777777" w:rsidR="00C70EDD" w:rsidRPr="009E105D" w:rsidRDefault="00C70EDD" w:rsidP="00C70EDD">
      <w:pPr>
        <w:spacing w:after="120" w:line="276" w:lineRule="auto"/>
        <w:ind w:firstLine="708"/>
        <w:jc w:val="both"/>
        <w:rPr>
          <w:rFonts w:ascii="Verdana" w:eastAsia="Calibri" w:hAnsi="Verdana" w:cs="Arial"/>
        </w:rPr>
      </w:pPr>
      <w:r w:rsidRPr="00C50FB4">
        <w:rPr>
          <w:rFonts w:ascii="Verdana" w:eastAsia="Calibri" w:hAnsi="Verdana" w:cs="Arial"/>
          <w:i/>
          <w:iCs/>
        </w:rPr>
        <w:t>Por un lado</w:t>
      </w:r>
      <w:r w:rsidRPr="009E105D">
        <w:rPr>
          <w:rFonts w:ascii="Verdana" w:eastAsia="Calibri" w:hAnsi="Verdana" w:cs="Arial"/>
        </w:rPr>
        <w:t xml:space="preserve">,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9E105D">
        <w:rPr>
          <w:rFonts w:ascii="Verdana" w:eastAsia="Calibri" w:hAnsi="Verdana" w:cs="Arial"/>
        </w:rPr>
        <w:lastRenderedPageBreak/>
        <w:t>acciones terroristas, desastres naturales o casos de fuerza mayor, y los que deban realizar las entidades sanitarias y hospitalarias”</w:t>
      </w:r>
      <w:r w:rsidRPr="009E105D">
        <w:rPr>
          <w:rFonts w:ascii="Verdana" w:eastAsia="Calibri" w:hAnsi="Verdana" w:cs="Arial"/>
          <w:vertAlign w:val="superscript"/>
        </w:rPr>
        <w:footnoteReference w:id="8"/>
      </w:r>
      <w:r w:rsidRPr="009E105D">
        <w:rPr>
          <w:rFonts w:ascii="Verdana" w:eastAsia="Calibri" w:hAnsi="Verdana" w:cs="Arial"/>
        </w:rPr>
        <w:t>.</w:t>
      </w:r>
    </w:p>
    <w:p w14:paraId="36463229" w14:textId="77777777" w:rsidR="00C70EDD" w:rsidRPr="009E105D" w:rsidRDefault="00C70EDD" w:rsidP="00C70EDD">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50FB4">
        <w:rPr>
          <w:rFonts w:ascii="Verdana" w:eastAsia="Calibri" w:hAnsi="Verdana" w:cs="Arial"/>
          <w:i/>
          <w:iCs/>
        </w:rPr>
        <w:t>Por otro</w:t>
      </w:r>
      <w:r w:rsidRPr="009E105D">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9E105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9E105D">
        <w:rPr>
          <w:rFonts w:ascii="Verdana" w:eastAsia="Calibri" w:hAnsi="Verdana" w:cs="Arial"/>
          <w:sz w:val="19"/>
          <w:szCs w:val="19"/>
        </w:rPr>
        <w:t>”</w:t>
      </w:r>
      <w:bookmarkEnd w:id="4"/>
      <w:r w:rsidRPr="009E105D">
        <w:rPr>
          <w:rFonts w:ascii="Verdana" w:eastAsia="Calibri" w:hAnsi="Verdana" w:cs="Arial"/>
          <w:sz w:val="19"/>
          <w:szCs w:val="19"/>
          <w:vertAlign w:val="superscript"/>
        </w:rPr>
        <w:footnoteReference w:id="9"/>
      </w:r>
      <w:r w:rsidRPr="009E105D">
        <w:rPr>
          <w:rFonts w:ascii="Verdana" w:eastAsia="Calibri" w:hAnsi="Verdana" w:cs="Arial"/>
          <w:lang w:val="es-MX"/>
        </w:rPr>
        <w:t>.</w:t>
      </w:r>
      <w:r w:rsidRPr="009E105D">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3DFF2BBB" w14:textId="77777777" w:rsidR="00C70EDD" w:rsidRPr="00E066AC" w:rsidRDefault="00C70EDD" w:rsidP="00C70EDD">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E066AC">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066AC">
        <w:rPr>
          <w:rFonts w:ascii="Verdana" w:eastAsia="Arial" w:hAnsi="Verdana" w:cs="Arial"/>
          <w:sz w:val="20"/>
          <w:szCs w:val="20"/>
          <w:lang w:val="es-ES" w:eastAsia="es-ES" w:bidi="es-ES"/>
        </w:rPr>
        <w:t>se integran parcialmente</w:t>
      </w:r>
      <w:bookmarkEnd w:id="7"/>
      <w:r w:rsidRPr="00E066AC">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066AC">
        <w:rPr>
          <w:rFonts w:ascii="Verdana" w:eastAsia="Arial" w:hAnsi="Verdana" w:cs="Arial"/>
          <w:sz w:val="20"/>
          <w:szCs w:val="20"/>
          <w:lang w:val="es-ES" w:eastAsia="es-ES" w:bidi="es-ES"/>
        </w:rPr>
        <w:t>Presidente</w:t>
      </w:r>
      <w:proofErr w:type="gramEnd"/>
      <w:r w:rsidRPr="00E066AC">
        <w:rPr>
          <w:rFonts w:ascii="Verdana" w:eastAsia="Arial" w:hAnsi="Verdana" w:cs="Arial"/>
          <w:sz w:val="20"/>
          <w:szCs w:val="20"/>
          <w:lang w:val="es-ES" w:eastAsia="es-ES" w:bidi="es-ES"/>
        </w:rPr>
        <w:t xml:space="preserve"> de la República, a las autoridades territoriales allí mencionadas sólo se aplican las restricciones </w:t>
      </w:r>
      <w:r w:rsidRPr="00E066AC">
        <w:rPr>
          <w:rFonts w:ascii="Verdana" w:eastAsia="Arial" w:hAnsi="Verdana" w:cs="Arial"/>
          <w:sz w:val="20"/>
          <w:szCs w:val="20"/>
          <w:lang w:val="es-ES" w:eastAsia="es-ES" w:bidi="es-ES"/>
        </w:rPr>
        <w:lastRenderedPageBreak/>
        <w:t>contenidas en el parágrafo del artículo 38”</w:t>
      </w:r>
      <w:r w:rsidRPr="00E066AC">
        <w:rPr>
          <w:rFonts w:ascii="Verdana" w:eastAsia="Arial" w:hAnsi="Verdana" w:cs="Arial"/>
          <w:sz w:val="20"/>
          <w:szCs w:val="20"/>
          <w:vertAlign w:val="superscript"/>
          <w:lang w:val="es-ES" w:eastAsia="es-ES" w:bidi="es-ES"/>
        </w:rPr>
        <w:footnoteReference w:id="10"/>
      </w:r>
      <w:r w:rsidRPr="00E066AC">
        <w:rPr>
          <w:rFonts w:ascii="Verdana" w:eastAsia="Arial" w:hAnsi="Verdana" w:cs="Arial"/>
          <w:sz w:val="20"/>
          <w:szCs w:val="20"/>
          <w:lang w:val="es-ES" w:eastAsia="es-ES" w:bidi="es-ES"/>
        </w:rPr>
        <w:t>.</w:t>
      </w:r>
    </w:p>
    <w:p w14:paraId="013D80CD" w14:textId="77777777" w:rsidR="00C70EDD" w:rsidRPr="009E105D" w:rsidRDefault="00C70EDD" w:rsidP="00C70EDD">
      <w:pPr>
        <w:widowControl w:val="0"/>
        <w:autoSpaceDE w:val="0"/>
        <w:autoSpaceDN w:val="0"/>
        <w:spacing w:after="0" w:line="276" w:lineRule="auto"/>
        <w:contextualSpacing/>
        <w:rPr>
          <w:rFonts w:ascii="Verdana" w:eastAsia="Arial" w:hAnsi="Verdana" w:cs="Arial"/>
          <w:lang w:val="es-ES" w:eastAsia="es-ES" w:bidi="es-ES"/>
        </w:rPr>
      </w:pPr>
    </w:p>
    <w:p w14:paraId="2F82E01C" w14:textId="77777777" w:rsidR="00C70EDD" w:rsidRPr="009E105D" w:rsidRDefault="00C70EDD" w:rsidP="00C70EDD">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9E105D">
        <w:rPr>
          <w:rFonts w:ascii="Verdana" w:eastAsia="Arial" w:hAnsi="Verdana" w:cs="Arial"/>
          <w:lang w:val="es-ES" w:eastAsia="es-ES" w:bidi="es-ES"/>
        </w:rPr>
        <w:t xml:space="preserve">la Ley 996 de 2005 establece dos (2) tipos de restricciones en materia de contratación, las cuales coinciden parcialmente. </w:t>
      </w:r>
      <w:r w:rsidRPr="009E105D">
        <w:rPr>
          <w:rFonts w:ascii="Verdana" w:eastAsia="Arial" w:hAnsi="Verdana" w:cs="Arial"/>
          <w:i/>
          <w:lang w:val="es-ES" w:eastAsia="es-ES" w:bidi="es-ES"/>
        </w:rPr>
        <w:t>En primer lugar</w:t>
      </w:r>
      <w:r w:rsidRPr="009E105D">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9E105D">
        <w:rPr>
          <w:rFonts w:ascii="Verdana" w:eastAsia="Arial" w:hAnsi="Verdana" w:cs="Arial"/>
          <w:i/>
          <w:lang w:val="es-ES" w:eastAsia="es-ES" w:bidi="es-ES"/>
        </w:rPr>
        <w:t>En segundo lugar</w:t>
      </w:r>
      <w:r w:rsidRPr="009E105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4ADC6F62" w14:textId="77777777" w:rsidR="00C70EDD" w:rsidRPr="009E105D" w:rsidRDefault="00C70EDD" w:rsidP="00C70EDD">
      <w:pPr>
        <w:spacing w:after="120" w:line="276" w:lineRule="auto"/>
        <w:ind w:firstLine="709"/>
        <w:jc w:val="both"/>
        <w:rPr>
          <w:rFonts w:ascii="Verdana" w:eastAsia="Arial" w:hAnsi="Verdana" w:cs="Arial"/>
          <w:lang w:val="es-ES" w:eastAsia="es-ES" w:bidi="es-ES"/>
        </w:rPr>
      </w:pPr>
      <w:r w:rsidRPr="009E105D">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05A9E673" w14:textId="77777777" w:rsidR="00C70EDD" w:rsidRDefault="00C70EDD" w:rsidP="00C70EDD">
      <w:pPr>
        <w:spacing w:after="0" w:line="276" w:lineRule="auto"/>
        <w:ind w:firstLine="708"/>
        <w:jc w:val="both"/>
        <w:rPr>
          <w:rFonts w:ascii="Verdana" w:eastAsia="Arial" w:hAnsi="Verdana" w:cs="Arial"/>
          <w:lang w:val="es-ES" w:eastAsia="es-ES" w:bidi="es-ES"/>
        </w:rPr>
      </w:pPr>
      <w:r w:rsidRPr="009E105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9E105D">
        <w:rPr>
          <w:rFonts w:ascii="Verdana" w:eastAsia="Arial" w:hAnsi="Verdana" w:cs="Arial"/>
          <w:lang w:val="es-ES" w:eastAsia="es-ES" w:bidi="es-ES"/>
        </w:rPr>
        <w:t>Presidente</w:t>
      </w:r>
      <w:proofErr w:type="gramEnd"/>
      <w:r w:rsidRPr="009E105D">
        <w:rPr>
          <w:rFonts w:ascii="Verdana" w:eastAsia="Arial" w:hAnsi="Verdana" w:cs="Arial"/>
          <w:lang w:val="es-ES" w:eastAsia="es-ES" w:bidi="es-ES"/>
        </w:rPr>
        <w:t xml:space="preserve"> o el </w:t>
      </w:r>
      <w:proofErr w:type="gramStart"/>
      <w:r w:rsidRPr="009E105D">
        <w:rPr>
          <w:rFonts w:ascii="Verdana" w:eastAsia="Arial" w:hAnsi="Verdana" w:cs="Arial"/>
          <w:lang w:val="es-ES" w:eastAsia="es-ES" w:bidi="es-ES"/>
        </w:rPr>
        <w:t>Vicepresidente</w:t>
      </w:r>
      <w:proofErr w:type="gramEnd"/>
      <w:r w:rsidRPr="009E105D">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w:t>
      </w:r>
      <w:r w:rsidRPr="009E105D">
        <w:rPr>
          <w:rFonts w:ascii="Verdana" w:eastAsia="Arial" w:hAnsi="Verdana" w:cs="Arial"/>
          <w:lang w:val="es-ES" w:eastAsia="es-ES" w:bidi="es-ES"/>
        </w:rPr>
        <w:lastRenderedPageBreak/>
        <w:t>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61FA6B7E" w14:textId="77777777" w:rsidR="00C70EDD" w:rsidRDefault="00C70EDD" w:rsidP="00C70EDD">
      <w:pPr>
        <w:spacing w:after="0" w:line="276" w:lineRule="auto"/>
        <w:jc w:val="both"/>
        <w:rPr>
          <w:rFonts w:ascii="Verdana" w:eastAsia="Arial" w:hAnsi="Verdana" w:cs="Arial"/>
          <w:lang w:val="es-ES" w:eastAsia="es-ES" w:bidi="es-ES"/>
        </w:rPr>
      </w:pPr>
    </w:p>
    <w:p w14:paraId="5EFAB6EF" w14:textId="77777777" w:rsidR="00C70EDD" w:rsidRPr="00F8199A" w:rsidRDefault="00C70EDD" w:rsidP="00C70EDD">
      <w:pPr>
        <w:spacing w:after="0" w:line="276" w:lineRule="auto"/>
        <w:jc w:val="both"/>
        <w:rPr>
          <w:rFonts w:ascii="Verdana" w:hAnsi="Verdana" w:cs="Arial"/>
          <w:bCs/>
          <w:lang w:val="es-MX" w:eastAsia="es-CO"/>
        </w:rPr>
      </w:pPr>
      <w:proofErr w:type="spellStart"/>
      <w:r w:rsidRPr="00F8199A">
        <w:rPr>
          <w:rFonts w:ascii="Verdana" w:eastAsia="Arial" w:hAnsi="Verdana" w:cs="Arial"/>
          <w:lang w:val="es-ES" w:eastAsia="es-ES" w:bidi="es-ES"/>
        </w:rPr>
        <w:t>ii</w:t>
      </w:r>
      <w:proofErr w:type="spellEnd"/>
      <w:r w:rsidRPr="00F8199A">
        <w:rPr>
          <w:rFonts w:ascii="Verdana" w:eastAsia="Arial" w:hAnsi="Verdana" w:cs="Arial"/>
          <w:lang w:val="es-ES" w:eastAsia="es-ES" w:bidi="es-ES"/>
        </w:rPr>
        <w:t xml:space="preserve">. </w:t>
      </w:r>
      <w:r w:rsidRPr="00F8199A">
        <w:rPr>
          <w:rFonts w:ascii="Verdana"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F8199A">
        <w:rPr>
          <w:rFonts w:ascii="Verdana" w:hAnsi="Verdana" w:cs="Arial"/>
          <w:bCs/>
          <w:lang w:val="es-MX" w:eastAsia="x-none"/>
        </w:rPr>
        <w:t>queda prohibida la contratación directa</w:t>
      </w:r>
      <w:r>
        <w:rPr>
          <w:rFonts w:ascii="Verdana" w:hAnsi="Verdana" w:cs="Arial"/>
          <w:sz w:val="20"/>
          <w:szCs w:val="20"/>
          <w:lang w:val="es-MX"/>
        </w:rPr>
        <w:t>”</w:t>
      </w:r>
      <w:r>
        <w:rPr>
          <w:rFonts w:ascii="Verdana" w:hAnsi="Verdana" w:cs="Arial"/>
          <w:bCs/>
          <w:lang w:val="es-MX" w:eastAsia="x-none"/>
        </w:rPr>
        <w:t>.</w:t>
      </w:r>
      <w:r w:rsidRPr="00F8199A">
        <w:rPr>
          <w:rFonts w:ascii="Verdana" w:hAnsi="Verdana" w:cs="Arial"/>
          <w:lang w:val="es-MX" w:eastAsia="es-CO"/>
        </w:rPr>
        <w:t xml:space="preserve"> A propósito de </w:t>
      </w:r>
      <w:r w:rsidRPr="00F8199A">
        <w:rPr>
          <w:rFonts w:ascii="Verdana" w:hAnsi="Verdana" w:cs="Arial"/>
          <w:lang w:eastAsia="es-CO"/>
        </w:rPr>
        <w:t>esta restricción de la Ley de Garantías Electorales, la Sala de Consulta y Servicio Civil del Consejo de Estado ha considerado que:</w:t>
      </w:r>
    </w:p>
    <w:p w14:paraId="5348D9D2" w14:textId="77777777" w:rsidR="00C70EDD" w:rsidRPr="00F8199A" w:rsidRDefault="00C70EDD" w:rsidP="00C70EDD">
      <w:pPr>
        <w:spacing w:after="0" w:line="276" w:lineRule="auto"/>
        <w:ind w:left="708" w:right="709"/>
        <w:jc w:val="both"/>
        <w:rPr>
          <w:rFonts w:ascii="Verdana" w:hAnsi="Verdana" w:cs="Arial"/>
          <w:lang w:val="es-MX"/>
        </w:rPr>
      </w:pPr>
    </w:p>
    <w:p w14:paraId="2CD935D1" w14:textId="77777777" w:rsidR="00C70EDD" w:rsidRPr="00F8199A" w:rsidRDefault="00C70EDD" w:rsidP="00C70EDD">
      <w:pPr>
        <w:spacing w:after="120"/>
        <w:ind w:left="709" w:right="709"/>
        <w:jc w:val="both"/>
        <w:rPr>
          <w:rFonts w:ascii="Verdana" w:hAnsi="Verdana" w:cs="Arial"/>
          <w:sz w:val="20"/>
          <w:szCs w:val="20"/>
          <w:lang w:val="es-MX"/>
        </w:rPr>
      </w:pPr>
      <w:r>
        <w:rPr>
          <w:rFonts w:ascii="Verdana" w:hAnsi="Verdana" w:cs="Arial"/>
          <w:sz w:val="18"/>
          <w:szCs w:val="18"/>
          <w:lang w:val="es-MX"/>
        </w:rPr>
        <w:t>“</w:t>
      </w:r>
      <w:r w:rsidRPr="00F8199A">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8199A">
        <w:rPr>
          <w:rFonts w:ascii="Verdana" w:hAnsi="Verdana" w:cs="Arial"/>
          <w:sz w:val="20"/>
          <w:szCs w:val="20"/>
          <w:vertAlign w:val="superscript"/>
          <w:lang w:eastAsia="es-CO"/>
        </w:rPr>
        <w:footnoteReference w:id="11"/>
      </w:r>
      <w:r w:rsidRPr="00F8199A">
        <w:rPr>
          <w:rFonts w:ascii="Verdana" w:hAnsi="Verdana" w:cs="Arial"/>
          <w:sz w:val="20"/>
          <w:szCs w:val="20"/>
          <w:lang w:val="es-MX"/>
        </w:rPr>
        <w:t>.</w:t>
      </w:r>
    </w:p>
    <w:p w14:paraId="23F25550" w14:textId="77777777" w:rsidR="00C70EDD" w:rsidRPr="00F8199A" w:rsidRDefault="00C70EDD" w:rsidP="00C70EDD">
      <w:pPr>
        <w:spacing w:after="0"/>
        <w:ind w:left="708" w:right="709"/>
        <w:jc w:val="both"/>
        <w:rPr>
          <w:rFonts w:ascii="Verdana" w:hAnsi="Verdana" w:cs="Arial"/>
          <w:sz w:val="20"/>
          <w:szCs w:val="20"/>
          <w:lang w:val="es-MX"/>
        </w:rPr>
      </w:pPr>
      <w:r w:rsidRPr="00F8199A">
        <w:rPr>
          <w:rFonts w:ascii="Verdana" w:hAnsi="Verdana" w:cs="Arial"/>
          <w:sz w:val="20"/>
          <w:szCs w:val="20"/>
          <w:lang w:val="es-MX"/>
        </w:rPr>
        <w:t xml:space="preserve">Esta Sala ha entendido </w:t>
      </w:r>
      <w:proofErr w:type="gramStart"/>
      <w:r w:rsidRPr="00F8199A">
        <w:rPr>
          <w:rFonts w:ascii="Verdana" w:hAnsi="Verdana" w:cs="Arial"/>
          <w:sz w:val="20"/>
          <w:szCs w:val="20"/>
          <w:lang w:val="es-MX"/>
        </w:rPr>
        <w:t>que</w:t>
      </w:r>
      <w:proofErr w:type="gramEnd"/>
      <w:r w:rsidRPr="00F8199A">
        <w:rPr>
          <w:rFonts w:ascii="Verdana" w:hAnsi="Verdana" w:cs="Arial"/>
          <w:sz w:val="20"/>
          <w:szCs w:val="20"/>
          <w:lang w:val="es-MX"/>
        </w:rPr>
        <w:t xml:space="preserve"> para los efectos de la ley de garantías, y dada su finalidad, el enunciado </w:t>
      </w:r>
      <w:r>
        <w:rPr>
          <w:rFonts w:ascii="Verdana" w:hAnsi="Verdana" w:cs="Arial"/>
          <w:sz w:val="20"/>
          <w:szCs w:val="20"/>
          <w:lang w:val="es-MX"/>
        </w:rPr>
        <w:t>‘</w:t>
      </w:r>
      <w:r w:rsidRPr="00F8199A">
        <w:rPr>
          <w:rFonts w:ascii="Verdana" w:hAnsi="Verdana" w:cs="Arial"/>
          <w:sz w:val="20"/>
          <w:szCs w:val="20"/>
          <w:lang w:val="es-MX"/>
        </w:rPr>
        <w:t>contratación direct</w:t>
      </w:r>
      <w:r>
        <w:rPr>
          <w:rFonts w:ascii="Verdana" w:hAnsi="Verdana" w:cs="Arial"/>
          <w:sz w:val="20"/>
          <w:szCs w:val="20"/>
          <w:lang w:val="es-MX"/>
        </w:rPr>
        <w:t>a’</w:t>
      </w:r>
      <w:r w:rsidRPr="00F8199A">
        <w:rPr>
          <w:rFonts w:ascii="Verdana" w:hAnsi="Verdana" w:cs="Arial"/>
          <w:sz w:val="20"/>
          <w:szCs w:val="20"/>
          <w:lang w:val="es-MX"/>
        </w:rPr>
        <w:t xml:space="preserve">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8199A">
        <w:rPr>
          <w:rFonts w:ascii="Verdana" w:hAnsi="Verdana" w:cs="Arial"/>
          <w:sz w:val="20"/>
          <w:szCs w:val="20"/>
          <w:vertAlign w:val="superscript"/>
          <w:lang w:val="es-MX"/>
        </w:rPr>
        <w:footnoteReference w:id="12"/>
      </w:r>
      <w:r w:rsidRPr="00F8199A">
        <w:rPr>
          <w:rFonts w:ascii="Verdana" w:hAnsi="Verdana" w:cs="Arial"/>
          <w:sz w:val="20"/>
          <w:szCs w:val="20"/>
          <w:vertAlign w:val="superscript"/>
          <w:lang w:val="es-MX"/>
        </w:rPr>
        <w:t>.</w:t>
      </w:r>
      <w:r w:rsidRPr="00F8199A">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Pr>
          <w:rFonts w:ascii="Verdana" w:hAnsi="Verdana" w:cs="Arial"/>
          <w:sz w:val="20"/>
          <w:szCs w:val="20"/>
          <w:lang w:val="es-MX"/>
        </w:rPr>
        <w:t xml:space="preserve"> </w:t>
      </w:r>
      <w:r w:rsidRPr="00F8199A">
        <w:rPr>
          <w:rFonts w:ascii="Verdana" w:hAnsi="Verdana" w:cs="Arial"/>
          <w:sz w:val="20"/>
          <w:szCs w:val="20"/>
          <w:lang w:val="es-MX"/>
        </w:rPr>
        <w:t>[...]</w:t>
      </w:r>
      <w:r>
        <w:rPr>
          <w:rFonts w:ascii="Verdana" w:hAnsi="Verdana" w:cs="Arial"/>
          <w:sz w:val="20"/>
          <w:szCs w:val="20"/>
          <w:lang w:val="es-MX"/>
        </w:rPr>
        <w:t>”</w:t>
      </w:r>
      <w:r w:rsidRPr="00F8199A">
        <w:rPr>
          <w:rFonts w:ascii="Verdana" w:hAnsi="Verdana" w:cs="Arial"/>
          <w:sz w:val="20"/>
          <w:szCs w:val="20"/>
          <w:vertAlign w:val="superscript"/>
          <w:lang w:eastAsia="es-CO"/>
        </w:rPr>
        <w:footnoteReference w:id="13"/>
      </w:r>
      <w:r w:rsidRPr="00F8199A">
        <w:rPr>
          <w:rFonts w:ascii="Verdana" w:hAnsi="Verdana" w:cs="Arial"/>
          <w:sz w:val="20"/>
          <w:szCs w:val="20"/>
          <w:lang w:val="es-MX"/>
        </w:rPr>
        <w:t>.</w:t>
      </w:r>
    </w:p>
    <w:p w14:paraId="22BFB55B" w14:textId="77777777" w:rsidR="00C70EDD" w:rsidRPr="00F8199A" w:rsidRDefault="00C70EDD" w:rsidP="00C70EDD">
      <w:pPr>
        <w:shd w:val="clear" w:color="auto" w:fill="FFFFFF"/>
        <w:spacing w:after="0" w:line="276" w:lineRule="auto"/>
        <w:ind w:firstLine="709"/>
        <w:jc w:val="both"/>
        <w:rPr>
          <w:rFonts w:ascii="Verdana" w:hAnsi="Verdana" w:cs="Arial"/>
          <w:lang w:eastAsia="x-none"/>
        </w:rPr>
      </w:pPr>
    </w:p>
    <w:p w14:paraId="2F9D2EFD" w14:textId="77777777" w:rsidR="00C70EDD" w:rsidRPr="00F8199A" w:rsidRDefault="00C70EDD" w:rsidP="00C70EDD">
      <w:pPr>
        <w:spacing w:after="120" w:line="276" w:lineRule="auto"/>
        <w:ind w:firstLine="708"/>
        <w:jc w:val="both"/>
        <w:rPr>
          <w:rFonts w:ascii="Verdana" w:hAnsi="Verdana" w:cs="Arial"/>
          <w:bCs/>
          <w:lang w:eastAsia="x-none"/>
        </w:rPr>
      </w:pPr>
      <w:r w:rsidRPr="00F8199A">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F8199A">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F8199A">
        <w:rPr>
          <w:rFonts w:ascii="Verdana" w:hAnsi="Verdana" w:cs="Arial"/>
          <w:lang w:eastAsia="x-none"/>
        </w:rPr>
        <w:t xml:space="preserve">, por lo que excluye las demás modalidades de contratación previstas en la Ley 1150 de 2007, es decir, la licitación pública, la selección abreviada y el concurso de méritos u otros </w:t>
      </w:r>
      <w:r w:rsidRPr="00F8199A">
        <w:rPr>
          <w:rFonts w:ascii="Verdana" w:hAnsi="Verdana" w:cs="Arial"/>
          <w:lang w:eastAsia="x-none"/>
        </w:rPr>
        <w:lastRenderedPageBreak/>
        <w:t>previstos en normas especiales. Esta posición es congruente con la expedición de la Ley 1150 de 2007 que, entre otras reformas, introdujo la selección abreviada, rediseñó el concurso de méritos</w:t>
      </w:r>
      <w:r w:rsidRPr="00F8199A">
        <w:rPr>
          <w:rFonts w:ascii="Verdana" w:hAnsi="Verdana" w:cs="Arial"/>
          <w:vertAlign w:val="superscript"/>
          <w:lang w:val="en-GB" w:eastAsia="x-none"/>
        </w:rPr>
        <w:footnoteReference w:id="14"/>
      </w:r>
      <w:r w:rsidRPr="00F8199A">
        <w:rPr>
          <w:rFonts w:ascii="Verdana" w:hAnsi="Verdana" w:cs="Arial"/>
          <w:lang w:eastAsia="x-none"/>
        </w:rPr>
        <w:t xml:space="preserve"> y sistematizó las causales de contratación directa</w:t>
      </w:r>
      <w:r w:rsidRPr="00F8199A">
        <w:rPr>
          <w:rFonts w:ascii="Verdana" w:hAnsi="Verdana" w:cs="Arial"/>
          <w:vertAlign w:val="superscript"/>
          <w:lang w:val="en-GB" w:eastAsia="x-none"/>
        </w:rPr>
        <w:footnoteReference w:id="15"/>
      </w:r>
      <w:r w:rsidRPr="00F8199A">
        <w:rPr>
          <w:rFonts w:ascii="Verdana" w:hAnsi="Verdana" w:cs="Arial"/>
          <w:lang w:eastAsia="x-none"/>
        </w:rPr>
        <w:t xml:space="preserve">. </w:t>
      </w:r>
    </w:p>
    <w:p w14:paraId="3C206BF7" w14:textId="77777777" w:rsidR="00C70EDD" w:rsidRPr="00F8199A" w:rsidRDefault="00C70EDD" w:rsidP="00C70EDD">
      <w:pPr>
        <w:spacing w:after="120" w:line="276" w:lineRule="auto"/>
        <w:ind w:firstLine="708"/>
        <w:jc w:val="both"/>
        <w:rPr>
          <w:rFonts w:ascii="Verdana" w:hAnsi="Verdana" w:cs="Arial"/>
          <w:lang w:val="es-MX" w:eastAsia="x-none"/>
        </w:rPr>
      </w:pPr>
      <w:r w:rsidRPr="00F8199A">
        <w:rPr>
          <w:rFonts w:ascii="Verdana" w:hAnsi="Verdana" w:cs="Arial"/>
          <w:lang w:eastAsia="x-none"/>
        </w:rPr>
        <w:t xml:space="preserve">De esta forma, con fundamento en la evolución de la normativa sobre la contratación pública, se ha depurado la noción de </w:t>
      </w:r>
      <w:r>
        <w:rPr>
          <w:rFonts w:ascii="Verdana" w:hAnsi="Verdana" w:cs="Arial"/>
          <w:sz w:val="19"/>
          <w:szCs w:val="19"/>
          <w:lang w:eastAsia="en-GB"/>
        </w:rPr>
        <w:t>“</w:t>
      </w:r>
      <w:r w:rsidRPr="00F8199A">
        <w:rPr>
          <w:rFonts w:ascii="Verdana" w:hAnsi="Verdana" w:cs="Arial"/>
          <w:lang w:eastAsia="x-none"/>
        </w:rPr>
        <w:t>contratación directa</w:t>
      </w:r>
      <w:r>
        <w:rPr>
          <w:rFonts w:ascii="Verdana" w:hAnsi="Verdana" w:cs="Arial"/>
          <w:lang w:eastAsia="en-GB"/>
        </w:rPr>
        <w:t>”</w:t>
      </w:r>
      <w:r w:rsidRPr="00F8199A">
        <w:rPr>
          <w:rFonts w:ascii="Verdana" w:hAnsi="Verdana" w:cs="Arial"/>
          <w:lang w:eastAsia="x-none"/>
        </w:rPr>
        <w:t xml:space="preserve">, precisando el Consejo de Estado –en el concepto citado– que, </w:t>
      </w:r>
      <w:r>
        <w:rPr>
          <w:rFonts w:ascii="Verdana" w:hAnsi="Verdana" w:cs="Arial"/>
          <w:lang w:eastAsia="x-none"/>
        </w:rPr>
        <w:t>“</w:t>
      </w:r>
      <w:r w:rsidRPr="00F8199A">
        <w:rPr>
          <w:rFonts w:ascii="Verdana"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8199A">
        <w:rPr>
          <w:rFonts w:ascii="Verdana" w:hAnsi="Verdana" w:cs="Arial"/>
          <w:vertAlign w:val="superscript"/>
          <w:lang w:val="en-GB" w:eastAsia="x-none"/>
        </w:rPr>
        <w:footnoteReference w:id="16"/>
      </w:r>
      <w:r w:rsidRPr="00F8199A">
        <w:rPr>
          <w:rFonts w:ascii="Verdana" w:hAnsi="Verdana" w:cs="Arial"/>
          <w:lang w:eastAsia="x-none"/>
        </w:rPr>
        <w:t>, han establecido sistemas de contratación que implican convocatoria pública y participación de varios oferentes</w:t>
      </w:r>
      <w:r>
        <w:rPr>
          <w:rFonts w:ascii="Verdana" w:hAnsi="Verdana" w:cs="Arial"/>
          <w:lang w:eastAsia="en-GB"/>
        </w:rPr>
        <w:t>”</w:t>
      </w:r>
      <w:r w:rsidRPr="00F8199A">
        <w:rPr>
          <w:rFonts w:ascii="Verdana" w:hAnsi="Verdana" w:cs="Arial"/>
          <w:lang w:eastAsia="x-none"/>
        </w:rPr>
        <w:t xml:space="preserve">. </w:t>
      </w:r>
    </w:p>
    <w:p w14:paraId="42DAA438" w14:textId="77777777" w:rsidR="00C70EDD" w:rsidRPr="00F8199A" w:rsidRDefault="00C70EDD" w:rsidP="00C70EDD">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E</w:t>
      </w:r>
      <w:r w:rsidRPr="00F8199A">
        <w:rPr>
          <w:rFonts w:ascii="Verdana"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hAnsi="Verdana" w:cs="Arial"/>
          <w:lang w:eastAsia="x-none"/>
        </w:rPr>
        <w:t>“</w:t>
      </w:r>
      <w:r w:rsidRPr="00F8199A">
        <w:rPr>
          <w:rFonts w:ascii="Verdana" w:hAnsi="Verdana" w:cs="Arial"/>
          <w:lang w:eastAsia="x-none"/>
        </w:rPr>
        <w:t>contratación directa</w:t>
      </w:r>
      <w:r>
        <w:rPr>
          <w:rFonts w:ascii="Verdana" w:hAnsi="Verdana" w:cs="Arial"/>
          <w:lang w:eastAsia="x-none"/>
        </w:rPr>
        <w:t>”</w:t>
      </w:r>
      <w:r w:rsidRPr="00F8199A">
        <w:rPr>
          <w:rFonts w:ascii="Verdana" w:hAnsi="Verdana" w:cs="Arial"/>
          <w:lang w:eastAsia="x-none"/>
        </w:rPr>
        <w:t>, es que la convocatoria para inscribirse en forma previa se haga de manera pública, y que se permita la participación de una pluralidad de oferentes</w:t>
      </w:r>
      <w:r w:rsidRPr="00F8199A">
        <w:rPr>
          <w:rFonts w:ascii="Verdana" w:hAnsi="Verdana" w:cs="Arial"/>
          <w:vertAlign w:val="superscript"/>
          <w:lang w:eastAsia="x-none"/>
        </w:rPr>
        <w:footnoteReference w:id="17"/>
      </w:r>
      <w:r w:rsidRPr="00F8199A">
        <w:rPr>
          <w:rFonts w:ascii="Verdana" w:hAnsi="Verdana" w:cs="Arial"/>
          <w:lang w:eastAsia="x-none"/>
        </w:rPr>
        <w:t xml:space="preserve">. </w:t>
      </w:r>
    </w:p>
    <w:p w14:paraId="58DAC8BE" w14:textId="77777777" w:rsidR="00C70EDD" w:rsidRPr="00F8199A" w:rsidRDefault="00C70EDD" w:rsidP="00C70EDD">
      <w:pPr>
        <w:spacing w:after="120" w:line="276" w:lineRule="auto"/>
        <w:ind w:firstLine="708"/>
        <w:jc w:val="both"/>
        <w:rPr>
          <w:rFonts w:ascii="Verdana" w:hAnsi="Verdana" w:cs="Arial"/>
          <w:bCs/>
          <w:lang w:val="es-MX" w:eastAsia="es-CO"/>
        </w:rPr>
      </w:pPr>
      <w:r w:rsidRPr="00F8199A">
        <w:rPr>
          <w:rFonts w:ascii="Verdana" w:hAnsi="Verdana" w:cs="Arial"/>
          <w:bCs/>
          <w:lang w:val="es-MX"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w:t>
      </w:r>
      <w:r w:rsidRPr="00F8199A">
        <w:rPr>
          <w:rFonts w:ascii="Verdana" w:hAnsi="Verdana" w:cs="Arial"/>
          <w:bCs/>
          <w:lang w:val="es-MX" w:eastAsia="es-CO"/>
        </w:rPr>
        <w:lastRenderedPageBreak/>
        <w:t xml:space="preserve">de la expedición de Ley 1150 de 2007, el Consejo de Estado comenzó a delimitar con mayor precisión el término de </w:t>
      </w:r>
      <w:r>
        <w:rPr>
          <w:rFonts w:ascii="Verdana" w:hAnsi="Verdana" w:cs="Arial"/>
          <w:bCs/>
          <w:lang w:val="es-MX" w:eastAsia="es-CO"/>
        </w:rPr>
        <w:t>“</w:t>
      </w:r>
      <w:r w:rsidRPr="00F8199A">
        <w:rPr>
          <w:rFonts w:ascii="Verdana" w:hAnsi="Verdana" w:cs="Arial"/>
          <w:bCs/>
          <w:lang w:val="es-MX" w:eastAsia="es-CO"/>
        </w:rPr>
        <w:t>contratación directa</w:t>
      </w:r>
      <w:r>
        <w:rPr>
          <w:rFonts w:ascii="Verdana" w:hAnsi="Verdana" w:cs="Arial"/>
          <w:bCs/>
          <w:lang w:val="es-MX" w:eastAsia="es-CO"/>
        </w:rPr>
        <w:t>”</w:t>
      </w:r>
      <w:r w:rsidRPr="00F8199A">
        <w:rPr>
          <w:rFonts w:ascii="Verdana" w:hAnsi="Verdana" w:cs="Arial"/>
          <w:bCs/>
          <w:lang w:val="es-MX" w:eastAsia="es-CO"/>
        </w:rPr>
        <w:t>.</w:t>
      </w:r>
    </w:p>
    <w:p w14:paraId="5C53F70A" w14:textId="77777777" w:rsidR="00C70EDD" w:rsidRPr="00F8199A" w:rsidRDefault="00C70EDD" w:rsidP="00C70EDD">
      <w:pPr>
        <w:spacing w:after="12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w:t>
      </w:r>
      <w:r>
        <w:rPr>
          <w:rFonts w:ascii="Verdana" w:hAnsi="Verdana" w:cs="Arial"/>
          <w:bCs/>
          <w:lang w:val="es-MX" w:eastAsia="x-none"/>
        </w:rPr>
        <w:t>“</w:t>
      </w:r>
      <w:r w:rsidRPr="00F8199A">
        <w:rPr>
          <w:rFonts w:ascii="Verdana" w:hAnsi="Verdana" w:cs="Arial"/>
          <w:bCs/>
          <w:lang w:val="es-MX" w:eastAsia="x-none"/>
        </w:rPr>
        <w:t>contratación directa</w:t>
      </w:r>
      <w:r>
        <w:rPr>
          <w:rFonts w:ascii="Verdana" w:hAnsi="Verdana" w:cs="Arial"/>
          <w:bCs/>
          <w:lang w:val="es-MX" w:eastAsia="x-none"/>
        </w:rPr>
        <w:t>”</w:t>
      </w:r>
      <w:r w:rsidRPr="00F8199A">
        <w:rPr>
          <w:rFonts w:ascii="Verdana"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F8199A">
        <w:rPr>
          <w:rFonts w:ascii="Verdana" w:hAnsi="Verdana" w:cs="Arial"/>
          <w:vertAlign w:val="superscript"/>
          <w:lang w:eastAsia="x-none"/>
        </w:rPr>
        <w:footnoteReference w:id="18"/>
      </w:r>
      <w:r w:rsidRPr="00F8199A">
        <w:rPr>
          <w:rFonts w:ascii="Verdana" w:hAnsi="Verdana" w:cs="Arial"/>
          <w:bCs/>
          <w:lang w:val="es-MX" w:eastAsia="x-none"/>
        </w:rPr>
        <w:t>.</w:t>
      </w:r>
      <w:r w:rsidRPr="00F8199A">
        <w:rPr>
          <w:rFonts w:ascii="Verdana" w:hAnsi="Verdana" w:cs="Arial"/>
          <w:vertAlign w:val="superscript"/>
          <w:lang w:eastAsia="x-none"/>
        </w:rPr>
        <w:t xml:space="preserve"> </w:t>
      </w:r>
    </w:p>
    <w:p w14:paraId="1C39288E" w14:textId="77777777" w:rsidR="00C70EDD" w:rsidRPr="00F8199A" w:rsidRDefault="00C70EDD" w:rsidP="00C70EDD">
      <w:pPr>
        <w:spacing w:after="120" w:line="276" w:lineRule="auto"/>
        <w:ind w:firstLine="708"/>
        <w:jc w:val="both"/>
        <w:rPr>
          <w:rFonts w:ascii="Verdana" w:hAnsi="Verdana" w:cs="Arial"/>
          <w:lang w:eastAsia="x-none"/>
        </w:rPr>
      </w:pPr>
      <w:r w:rsidRPr="00F8199A">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8199A">
        <w:rPr>
          <w:rFonts w:ascii="Verdana" w:hAnsi="Verdana" w:cs="Arial"/>
          <w:lang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57D594F8" w14:textId="77777777" w:rsidR="00C70EDD" w:rsidRPr="00F8199A" w:rsidRDefault="00C70EDD" w:rsidP="00C70EDD">
      <w:pPr>
        <w:spacing w:after="120" w:line="276" w:lineRule="auto"/>
        <w:ind w:firstLine="708"/>
        <w:jc w:val="both"/>
        <w:rPr>
          <w:rFonts w:ascii="Verdana" w:hAnsi="Verdana" w:cs="Arial"/>
          <w:bCs/>
          <w:lang w:val="es-MX" w:eastAsia="x-none"/>
        </w:rPr>
      </w:pPr>
      <w:bookmarkStart w:id="11" w:name="_Hlk77237094"/>
      <w:r w:rsidRPr="00F8199A">
        <w:rPr>
          <w:rFonts w:ascii="Verdana" w:hAnsi="Verdana" w:cs="Arial"/>
          <w:bCs/>
          <w:lang w:val="es-MX" w:eastAsia="es-CO"/>
        </w:rPr>
        <w:t xml:space="preserve">Como en otras oportunidades lo ha manifestado esta Agencia, las prórrogas, modificaciones o adiciones de los contratos suscritos antes de la </w:t>
      </w:r>
      <w:proofErr w:type="gramStart"/>
      <w:r w:rsidRPr="00F8199A">
        <w:rPr>
          <w:rFonts w:ascii="Verdana" w:hAnsi="Verdana" w:cs="Arial"/>
          <w:bCs/>
          <w:lang w:val="es-MX" w:eastAsia="es-CO"/>
        </w:rPr>
        <w:t>entrada en vigencia</w:t>
      </w:r>
      <w:proofErr w:type="gramEnd"/>
      <w:r w:rsidRPr="00F8199A">
        <w:rPr>
          <w:rFonts w:ascii="Verdana" w:hAnsi="Verdana" w:cs="Arial"/>
          <w:bCs/>
          <w:lang w:val="es-MX" w:eastAsia="es-CO"/>
        </w:rPr>
        <w:t xml:space="preserve"> de las prohibiciones anotadas, así como la cesión de </w:t>
      </w:r>
      <w:proofErr w:type="gramStart"/>
      <w:r w:rsidRPr="00F8199A">
        <w:rPr>
          <w:rFonts w:ascii="Verdana" w:hAnsi="Verdana" w:cs="Arial"/>
          <w:bCs/>
          <w:lang w:val="es-MX" w:eastAsia="es-CO"/>
        </w:rPr>
        <w:t>los mismos</w:t>
      </w:r>
      <w:proofErr w:type="gramEnd"/>
      <w:r w:rsidRPr="00F8199A">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1"/>
    </w:p>
    <w:p w14:paraId="37C0CF94" w14:textId="77777777" w:rsidR="00C70EDD" w:rsidRPr="00F8199A" w:rsidRDefault="00C70EDD" w:rsidP="00C70EDD">
      <w:pPr>
        <w:spacing w:after="120" w:line="276" w:lineRule="auto"/>
        <w:ind w:firstLine="708"/>
        <w:jc w:val="both"/>
        <w:rPr>
          <w:rFonts w:ascii="Verdana" w:hAnsi="Verdana" w:cs="Arial"/>
          <w:bCs/>
          <w:lang w:val="es-MX" w:eastAsia="es-CO"/>
        </w:rPr>
      </w:pPr>
      <w:r w:rsidRPr="00F8199A">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F8199A">
        <w:rPr>
          <w:rFonts w:ascii="Verdana" w:hAnsi="Verdana" w:cs="Arial"/>
          <w:bCs/>
          <w:lang w:val="es-MX" w:eastAsia="x-none"/>
        </w:rPr>
        <w:t>ii</w:t>
      </w:r>
      <w:proofErr w:type="spellEnd"/>
      <w:r w:rsidRPr="00F8199A">
        <w:rPr>
          <w:rFonts w:ascii="Verdana" w:hAnsi="Verdana" w:cs="Arial"/>
          <w:bCs/>
          <w:lang w:val="es-MX" w:eastAsia="x-none"/>
        </w:rPr>
        <w:t xml:space="preserve">) los contratos de crédito público; </w:t>
      </w:r>
      <w:proofErr w:type="spellStart"/>
      <w:r w:rsidRPr="00F8199A">
        <w:rPr>
          <w:rFonts w:ascii="Verdana" w:hAnsi="Verdana" w:cs="Arial"/>
          <w:bCs/>
          <w:lang w:val="es-MX" w:eastAsia="x-none"/>
        </w:rPr>
        <w:t>iii</w:t>
      </w:r>
      <w:proofErr w:type="spellEnd"/>
      <w:r w:rsidRPr="00F8199A">
        <w:rPr>
          <w:rFonts w:ascii="Verdana" w:hAnsi="Verdana" w:cs="Arial"/>
          <w:bCs/>
          <w:lang w:val="es-MX" w:eastAsia="x-none"/>
        </w:rPr>
        <w:t xml:space="preserve">) los requeridos para cubrir las emergencias educativas, sanitarias y desastres; </w:t>
      </w:r>
      <w:proofErr w:type="spellStart"/>
      <w:r w:rsidRPr="00F8199A">
        <w:rPr>
          <w:rFonts w:ascii="Verdana" w:hAnsi="Verdana" w:cs="Arial"/>
          <w:bCs/>
          <w:lang w:val="es-MX" w:eastAsia="x-none"/>
        </w:rPr>
        <w:t>iv</w:t>
      </w:r>
      <w:proofErr w:type="spellEnd"/>
      <w:r w:rsidRPr="00F8199A">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F8199A">
        <w:rPr>
          <w:rFonts w:ascii="Verdana" w:hAnsi="Verdana" w:cs="Arial"/>
          <w:bCs/>
          <w:lang w:val="es-MX" w:eastAsia="es-CO"/>
        </w:rPr>
        <w:t xml:space="preserve"> </w:t>
      </w:r>
      <w:r>
        <w:rPr>
          <w:rFonts w:ascii="Verdana" w:hAnsi="Verdana" w:cs="Arial"/>
          <w:bCs/>
          <w:lang w:val="es-MX" w:eastAsia="es-CO"/>
        </w:rPr>
        <w:t xml:space="preserve">Es </w:t>
      </w:r>
      <w:r w:rsidRPr="00F8199A">
        <w:rPr>
          <w:rFonts w:ascii="Verdana" w:hAnsi="Verdana" w:cs="Arial"/>
          <w:bCs/>
          <w:lang w:val="es-MX" w:eastAsia="es-CO"/>
        </w:rPr>
        <w:t xml:space="preserve">responsabilidad del respectivo </w:t>
      </w:r>
      <w:r w:rsidRPr="00F8199A">
        <w:rPr>
          <w:rFonts w:ascii="Verdana" w:hAnsi="Verdana" w:cs="Arial"/>
          <w:bCs/>
          <w:lang w:val="es-MX" w:eastAsia="es-CO"/>
        </w:rPr>
        <w:lastRenderedPageBreak/>
        <w:t>ente del Estado, examinar en cada caso la naturaleza de las actividades que adelanta y determinar si las mismas se enmarcan en alguna de las mencionadas excepciones, de manera que se le permita realizar la contratación que necesite en forma directa.</w:t>
      </w:r>
    </w:p>
    <w:p w14:paraId="7AE8204D" w14:textId="77777777" w:rsidR="00C70EDD" w:rsidRDefault="00C70EDD" w:rsidP="00C70EDD">
      <w:pPr>
        <w:spacing w:after="0" w:line="276" w:lineRule="auto"/>
        <w:ind w:firstLine="708"/>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2" w:name="_Hlk74309042"/>
      <w:r w:rsidRPr="00F8199A">
        <w:rPr>
          <w:rFonts w:ascii="Verdana" w:hAnsi="Verdana" w:cs="Arial"/>
          <w:bCs/>
          <w:lang w:val="es-MX" w:eastAsia="x-none"/>
        </w:rPr>
        <w:t xml:space="preserve">que </w:t>
      </w:r>
      <w:r>
        <w:rPr>
          <w:rFonts w:ascii="Verdana" w:hAnsi="Verdana" w:cs="Arial"/>
          <w:bCs/>
          <w:lang w:val="es-MX" w:eastAsia="x-none"/>
        </w:rPr>
        <w:t>“</w:t>
      </w:r>
      <w:bookmarkEnd w:id="12"/>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3"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19"/>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3"/>
    </w:p>
    <w:p w14:paraId="362C2B60" w14:textId="77777777" w:rsidR="00C70EDD" w:rsidRPr="00F8199A" w:rsidRDefault="00C70EDD" w:rsidP="00C70EDD">
      <w:pPr>
        <w:spacing w:after="0" w:line="276" w:lineRule="auto"/>
        <w:ind w:firstLine="708"/>
        <w:jc w:val="both"/>
        <w:rPr>
          <w:rFonts w:ascii="Verdana" w:hAnsi="Verdana" w:cs="Arial"/>
          <w:bCs/>
          <w:lang w:val="es-MX" w:eastAsia="x-none"/>
        </w:rPr>
      </w:pPr>
    </w:p>
    <w:p w14:paraId="5788D006" w14:textId="77777777" w:rsidR="00C70EDD" w:rsidRPr="00A45D99" w:rsidRDefault="00C70EDD" w:rsidP="00C70EDD">
      <w:pPr>
        <w:spacing w:after="0" w:line="276" w:lineRule="auto"/>
        <w:jc w:val="both"/>
        <w:rPr>
          <w:rFonts w:ascii="Verdana" w:hAnsi="Verdana" w:cs="Arial"/>
          <w:bCs/>
          <w:lang w:val="es-MX" w:eastAsia="x-none"/>
        </w:rPr>
      </w:pPr>
      <w:proofErr w:type="spellStart"/>
      <w:r w:rsidRPr="00A45D99">
        <w:rPr>
          <w:rFonts w:ascii="Verdana" w:eastAsia="Arial" w:hAnsi="Verdana" w:cs="Arial"/>
          <w:lang w:val="es-MX" w:eastAsia="es-ES" w:bidi="es-ES"/>
        </w:rPr>
        <w:t>iii</w:t>
      </w:r>
      <w:proofErr w:type="spellEnd"/>
      <w:r w:rsidRPr="00A45D99">
        <w:rPr>
          <w:rFonts w:ascii="Verdana" w:eastAsia="Arial" w:hAnsi="Verdana" w:cs="Arial"/>
          <w:lang w:val="es-MX" w:eastAsia="es-ES" w:bidi="es-ES"/>
        </w:rPr>
        <w:t xml:space="preserve">. </w:t>
      </w:r>
      <w:r w:rsidRPr="00A45D99">
        <w:rPr>
          <w:rFonts w:ascii="Verdana" w:hAnsi="Verdana" w:cs="Arial"/>
          <w:bCs/>
          <w:lang w:val="es-MX" w:eastAsia="x-none"/>
        </w:rPr>
        <w:t xml:space="preserve">El artículo 33 de la Ley 996 de 2005 señala expresamente a los destinatarios de la prohibición, en el sentido de que son </w:t>
      </w:r>
      <w:r>
        <w:rPr>
          <w:rFonts w:ascii="Verdana" w:hAnsi="Verdana" w:cs="Arial"/>
          <w:bCs/>
          <w:lang w:val="es-MX" w:eastAsia="x-none"/>
        </w:rPr>
        <w:t>“</w:t>
      </w:r>
      <w:r w:rsidRPr="00A45D99">
        <w:rPr>
          <w:rFonts w:ascii="Verdana" w:hAnsi="Verdana" w:cs="Arial"/>
          <w:bCs/>
          <w:lang w:val="es-MX" w:eastAsia="x-none"/>
        </w:rPr>
        <w:t>todos los entes del Estado</w:t>
      </w:r>
      <w:r>
        <w:rPr>
          <w:rFonts w:ascii="Verdana" w:hAnsi="Verdana" w:cs="Arial"/>
          <w:bCs/>
          <w:lang w:val="es-MX" w:eastAsia="x-none"/>
        </w:rPr>
        <w:t>”</w:t>
      </w:r>
      <w:r w:rsidRPr="00A45D99">
        <w:rPr>
          <w:rFonts w:ascii="Verdana" w:hAnsi="Verdana" w:cs="Arial"/>
          <w:bCs/>
          <w:lang w:val="es-MX" w:eastAsia="x-none"/>
        </w:rPr>
        <w:t>, expresión que contempla a los diferentes organismos o entidades autorizadas por la ley para suscribir contratos.</w:t>
      </w:r>
      <w:r w:rsidRPr="00A45D99">
        <w:rPr>
          <w:rFonts w:ascii="Verdana" w:hAnsi="Verdana" w:cs="Arial"/>
          <w:lang w:val="es-MX"/>
        </w:rPr>
        <w:t xml:space="preserve"> </w:t>
      </w:r>
      <w:r w:rsidRPr="00A45D99">
        <w:rPr>
          <w:rFonts w:ascii="Verdana" w:hAnsi="Verdana" w:cs="Arial"/>
          <w:bCs/>
          <w:lang w:val="es-MX" w:eastAsia="x-none"/>
        </w:rPr>
        <w:t xml:space="preserve">En efecto, tal como lo ha sostenido el Consejo de Estado, el vocablo </w:t>
      </w:r>
      <w:r>
        <w:rPr>
          <w:rFonts w:ascii="Verdana" w:hAnsi="Verdana" w:cs="Arial"/>
          <w:bCs/>
          <w:lang w:val="es-MX" w:eastAsia="x-none"/>
        </w:rPr>
        <w:t>“</w:t>
      </w:r>
      <w:r w:rsidRPr="00A45D99">
        <w:rPr>
          <w:rFonts w:ascii="Verdana" w:hAnsi="Verdana" w:cs="Arial"/>
          <w:bCs/>
          <w:lang w:val="es-MX" w:eastAsia="x-none"/>
        </w:rPr>
        <w:t>todos</w:t>
      </w:r>
      <w:r>
        <w:rPr>
          <w:rFonts w:ascii="Verdana" w:hAnsi="Verdana" w:cs="Arial"/>
          <w:bCs/>
          <w:lang w:val="es-MX" w:eastAsia="x-none"/>
        </w:rPr>
        <w:t>”</w:t>
      </w:r>
      <w:r w:rsidRPr="00A45D99">
        <w:rPr>
          <w:rFonts w:ascii="Verdana" w:hAnsi="Verdana" w:cs="Arial"/>
          <w:bCs/>
          <w:lang w:val="es-MX" w:eastAsia="x-none"/>
        </w:rPr>
        <w:t xml:space="preserve"> utilizado por el legislador comprende</w:t>
      </w:r>
      <w:r w:rsidRPr="00A45D99">
        <w:rPr>
          <w:rFonts w:ascii="Verdana" w:hAnsi="Verdana" w:cs="Arial"/>
          <w:lang w:val="es-MX"/>
        </w:rPr>
        <w:t xml:space="preserve"> </w:t>
      </w:r>
      <w:r w:rsidRPr="00A45D99">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36A16154" w14:textId="77777777" w:rsidR="00C70EDD" w:rsidRPr="00A45D99" w:rsidRDefault="00C70EDD" w:rsidP="00C70EDD">
      <w:pPr>
        <w:spacing w:after="0" w:line="276" w:lineRule="auto"/>
        <w:ind w:firstLine="708"/>
        <w:jc w:val="both"/>
        <w:rPr>
          <w:rFonts w:ascii="Verdana" w:hAnsi="Verdana" w:cs="Arial"/>
          <w:bCs/>
          <w:lang w:val="es-MX" w:eastAsia="x-none"/>
        </w:rPr>
      </w:pPr>
    </w:p>
    <w:p w14:paraId="681FA39D" w14:textId="77777777" w:rsidR="00C70EDD" w:rsidRPr="00A45D99" w:rsidRDefault="00C70EDD" w:rsidP="00C70EDD">
      <w:pPr>
        <w:spacing w:after="0" w:line="240" w:lineRule="auto"/>
        <w:ind w:left="708" w:right="709"/>
        <w:jc w:val="both"/>
        <w:rPr>
          <w:rFonts w:ascii="Verdana" w:hAnsi="Verdana" w:cs="Arial"/>
          <w:bCs/>
          <w:sz w:val="20"/>
          <w:szCs w:val="20"/>
          <w:lang w:val="es-MX" w:eastAsia="es-CO"/>
        </w:rPr>
      </w:pPr>
      <w:r w:rsidRPr="00A45D99">
        <w:rPr>
          <w:rFonts w:ascii="Verdana" w:hAnsi="Verdana" w:cs="Arial"/>
          <w:bCs/>
          <w:sz w:val="20"/>
          <w:szCs w:val="20"/>
          <w:lang w:val="es-MX" w:eastAsia="x-none"/>
        </w:rPr>
        <w:t xml:space="preserve">“El artículo 33 de la ley 996 de 2005, </w:t>
      </w:r>
      <w:bookmarkStart w:id="14" w:name="_Hlk75787147"/>
      <w:r w:rsidRPr="00A45D99">
        <w:rPr>
          <w:rFonts w:ascii="Verdana" w:hAnsi="Verdana" w:cs="Arial"/>
          <w:bCs/>
          <w:sz w:val="20"/>
          <w:szCs w:val="20"/>
          <w:lang w:val="es-MX" w:eastAsia="x-none"/>
        </w:rPr>
        <w:t xml:space="preserve">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w:t>
      </w:r>
      <w:r w:rsidRPr="00A45D99">
        <w:rPr>
          <w:rFonts w:ascii="Verdana" w:hAnsi="Verdana" w:cs="Arial"/>
          <w:bCs/>
          <w:sz w:val="20"/>
          <w:szCs w:val="20"/>
          <w:lang w:val="es-MX" w:eastAsia="x-none"/>
        </w:rPr>
        <w:lastRenderedPageBreak/>
        <w:t>prestadores directos, incluyendo las excepciones contenidas en el segundo inciso de esta norma”</w:t>
      </w:r>
      <w:r w:rsidRPr="00A45D99">
        <w:rPr>
          <w:rFonts w:ascii="Verdana" w:hAnsi="Verdana" w:cs="Arial"/>
          <w:bCs/>
          <w:sz w:val="20"/>
          <w:szCs w:val="20"/>
          <w:vertAlign w:val="superscript"/>
          <w:lang w:val="es-MX" w:eastAsia="x-none"/>
        </w:rPr>
        <w:footnoteReference w:id="20"/>
      </w:r>
      <w:r w:rsidRPr="00A45D99">
        <w:rPr>
          <w:rFonts w:ascii="Verdana" w:hAnsi="Verdana" w:cs="Arial"/>
          <w:bCs/>
          <w:sz w:val="20"/>
          <w:szCs w:val="20"/>
          <w:lang w:val="es-MX" w:eastAsia="x-none"/>
        </w:rPr>
        <w:t>.</w:t>
      </w:r>
      <w:r w:rsidRPr="00A45D99">
        <w:rPr>
          <w:rFonts w:ascii="Verdana" w:hAnsi="Verdana" w:cs="Arial"/>
          <w:bCs/>
          <w:sz w:val="20"/>
          <w:szCs w:val="20"/>
          <w:lang w:val="es-MX" w:eastAsia="es-CO"/>
        </w:rPr>
        <w:t xml:space="preserve"> </w:t>
      </w:r>
    </w:p>
    <w:p w14:paraId="20D49E8C" w14:textId="77777777" w:rsidR="00C70EDD" w:rsidRPr="00A45D99" w:rsidRDefault="00C70EDD" w:rsidP="00C70EDD">
      <w:pPr>
        <w:spacing w:after="0" w:line="276" w:lineRule="auto"/>
        <w:ind w:firstLine="708"/>
        <w:jc w:val="both"/>
        <w:rPr>
          <w:rFonts w:ascii="Verdana" w:hAnsi="Verdana" w:cs="Arial"/>
          <w:bCs/>
          <w:lang w:val="es-MX" w:eastAsia="es-CO"/>
        </w:rPr>
      </w:pPr>
    </w:p>
    <w:p w14:paraId="17D3128A" w14:textId="77777777" w:rsidR="00C70EDD" w:rsidRPr="00A45D99" w:rsidRDefault="00C70EDD" w:rsidP="00C70EDD">
      <w:pPr>
        <w:spacing w:after="0" w:line="276" w:lineRule="auto"/>
        <w:ind w:firstLine="708"/>
        <w:jc w:val="both"/>
        <w:rPr>
          <w:rFonts w:ascii="Verdana" w:hAnsi="Verdana" w:cs="Arial"/>
          <w:lang w:val="es-MX"/>
        </w:rPr>
      </w:pPr>
      <w:r w:rsidRPr="00A45D99">
        <w:rPr>
          <w:rFonts w:ascii="Verdana" w:hAnsi="Verdana" w:cs="Arial"/>
          <w:bCs/>
          <w:lang w:val="es-MX" w:eastAsia="x-none"/>
        </w:rPr>
        <w:t xml:space="preserve">De igual forma, en Concepto con radicado 1738 de 6 de abril de 2006, esa misma Corporación manifestó que </w:t>
      </w:r>
      <w:r>
        <w:rPr>
          <w:rFonts w:ascii="Verdana" w:hAnsi="Verdana" w:cs="Arial"/>
          <w:bCs/>
          <w:lang w:val="es-MX" w:eastAsia="x-none"/>
        </w:rPr>
        <w:t>“</w:t>
      </w:r>
      <w:r w:rsidRPr="00A45D99">
        <w:rPr>
          <w:rFonts w:ascii="Verdana" w:hAnsi="Verdana" w:cs="Arial"/>
          <w:bCs/>
          <w:lang w:val="es-MX" w:eastAsia="x-none"/>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Pr>
          <w:rFonts w:ascii="Verdana" w:hAnsi="Verdana" w:cs="Arial"/>
          <w:bCs/>
          <w:lang w:val="es-MX" w:eastAsia="x-none"/>
        </w:rPr>
        <w:t>”</w:t>
      </w:r>
      <w:bookmarkStart w:id="15" w:name="_Hlk75758868"/>
      <w:bookmarkStart w:id="16" w:name="_Hlk75741220"/>
      <w:r w:rsidRPr="00A45D99">
        <w:rPr>
          <w:rFonts w:ascii="Verdana" w:hAnsi="Verdana" w:cs="Arial"/>
          <w:vertAlign w:val="superscript"/>
          <w:lang w:val="es-MX"/>
        </w:rPr>
        <w:footnoteReference w:id="21"/>
      </w:r>
      <w:bookmarkEnd w:id="15"/>
      <w:bookmarkEnd w:id="16"/>
      <w:r w:rsidRPr="00A45D99">
        <w:rPr>
          <w:rFonts w:ascii="Verdana" w:hAnsi="Verdana" w:cs="Arial"/>
          <w:bCs/>
          <w:lang w:val="es-MX" w:eastAsia="x-none"/>
        </w:rPr>
        <w:t>.</w:t>
      </w:r>
      <w:r w:rsidRPr="00A45D99">
        <w:rPr>
          <w:rFonts w:ascii="Verdana" w:hAnsi="Verdana" w:cs="Arial"/>
          <w:lang w:val="es-MX"/>
        </w:rPr>
        <w:t xml:space="preserve"> Sin embargo, debe precisarse el siguiente aspecto que distinguió la Sala de Consulta y Servicio Civil:</w:t>
      </w:r>
    </w:p>
    <w:p w14:paraId="177AFC05" w14:textId="77777777" w:rsidR="00C70EDD" w:rsidRPr="00A45D99" w:rsidRDefault="00C70EDD" w:rsidP="00C70EDD">
      <w:pPr>
        <w:spacing w:after="0" w:line="276" w:lineRule="auto"/>
        <w:jc w:val="both"/>
        <w:rPr>
          <w:rFonts w:ascii="Verdana" w:hAnsi="Verdana" w:cs="Arial"/>
          <w:lang w:val="es-MX"/>
        </w:rPr>
      </w:pPr>
    </w:p>
    <w:p w14:paraId="64231505" w14:textId="77777777" w:rsidR="00C70EDD" w:rsidRPr="00A45D99" w:rsidRDefault="00C70EDD" w:rsidP="00C70EDD">
      <w:pPr>
        <w:spacing w:after="0" w:line="240" w:lineRule="auto"/>
        <w:ind w:left="708" w:right="709"/>
        <w:jc w:val="both"/>
        <w:rPr>
          <w:rFonts w:ascii="Verdana" w:hAnsi="Verdana" w:cs="Arial"/>
          <w:sz w:val="20"/>
          <w:szCs w:val="20"/>
          <w:lang w:val="es-MX"/>
        </w:rPr>
      </w:pPr>
      <w:bookmarkStart w:id="18" w:name="_Hlk75811446"/>
      <w:r w:rsidRPr="00A45D99">
        <w:rPr>
          <w:rFonts w:ascii="Verdana"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8"/>
      <w:r w:rsidRPr="00A45D99">
        <w:rPr>
          <w:rFonts w:ascii="Verdana" w:hAnsi="Verdana" w:cs="Arial"/>
          <w:sz w:val="20"/>
          <w:szCs w:val="20"/>
          <w:lang w:val="es-MX"/>
        </w:rPr>
        <w:t>”</w:t>
      </w:r>
      <w:r w:rsidRPr="00A45D99">
        <w:rPr>
          <w:rFonts w:ascii="Verdana" w:hAnsi="Verdana" w:cs="Arial"/>
          <w:sz w:val="20"/>
          <w:szCs w:val="20"/>
          <w:vertAlign w:val="superscript"/>
          <w:lang w:val="es-MX"/>
        </w:rPr>
        <w:footnoteReference w:id="22"/>
      </w:r>
      <w:r w:rsidRPr="00A45D99">
        <w:rPr>
          <w:rFonts w:ascii="Verdana" w:hAnsi="Verdana" w:cs="Arial"/>
          <w:bCs/>
          <w:sz w:val="20"/>
          <w:szCs w:val="20"/>
          <w:lang w:val="es-MX" w:eastAsia="x-none"/>
        </w:rPr>
        <w:t>.</w:t>
      </w:r>
    </w:p>
    <w:p w14:paraId="30EA4C6A" w14:textId="77777777" w:rsidR="00C70EDD" w:rsidRPr="00A45D99" w:rsidRDefault="00C70EDD" w:rsidP="00C70EDD">
      <w:pPr>
        <w:spacing w:after="0" w:line="276" w:lineRule="auto"/>
        <w:jc w:val="both"/>
        <w:rPr>
          <w:rFonts w:ascii="Verdana" w:hAnsi="Verdana" w:cs="Arial"/>
          <w:lang w:val="es-MX"/>
        </w:rPr>
      </w:pPr>
    </w:p>
    <w:p w14:paraId="2782520E" w14:textId="77777777" w:rsidR="00C70EDD" w:rsidRPr="00A45D99" w:rsidRDefault="00C70EDD" w:rsidP="00C70EDD">
      <w:pPr>
        <w:spacing w:after="120" w:line="276" w:lineRule="auto"/>
        <w:ind w:firstLine="709"/>
        <w:jc w:val="both"/>
        <w:rPr>
          <w:rFonts w:ascii="Verdana" w:hAnsi="Verdana" w:cs="Arial"/>
          <w:bCs/>
          <w:lang w:val="es-MX" w:eastAsia="x-none"/>
        </w:rPr>
      </w:pPr>
      <w:r w:rsidRPr="00A45D99">
        <w:rPr>
          <w:rFonts w:ascii="Verdana" w:hAnsi="Verdana" w:cs="Arial"/>
          <w:lang w:val="es-MX"/>
        </w:rPr>
        <w:t>Aplicando este razonamiento,</w:t>
      </w:r>
      <w:bookmarkStart w:id="19" w:name="_Hlk75811096"/>
      <w:r w:rsidRPr="00A45D99">
        <w:rPr>
          <w:rFonts w:ascii="Verdana" w:hAnsi="Verdana" w:cs="Arial"/>
          <w:lang w:val="es-MX"/>
        </w:rPr>
        <w:t xml:space="preserve"> se tiene que las empresas industriales y comerciales del estado y a las empresas de servicios públicos oficiales y mixtas </w:t>
      </w:r>
      <w:r w:rsidRPr="00A45D99">
        <w:rPr>
          <w:rFonts w:ascii="Verdana" w:hAnsi="Verdana" w:cs="Arial"/>
          <w:lang w:val="es-MX"/>
        </w:rPr>
        <w:lastRenderedPageBreak/>
        <w:t>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19"/>
      <w:r w:rsidRPr="00A45D99">
        <w:rPr>
          <w:rFonts w:ascii="Verdana" w:hAnsi="Verdana" w:cs="Arial"/>
          <w:vertAlign w:val="superscript"/>
          <w:lang w:val="es-MX"/>
        </w:rPr>
        <w:t xml:space="preserve"> </w:t>
      </w:r>
      <w:r w:rsidRPr="00A45D99">
        <w:rPr>
          <w:rFonts w:ascii="Verdana" w:hAnsi="Verdana" w:cs="Arial"/>
          <w:vertAlign w:val="superscript"/>
          <w:lang w:val="es-MX"/>
        </w:rPr>
        <w:footnoteReference w:id="23"/>
      </w:r>
      <w:r w:rsidRPr="00A45D99">
        <w:rPr>
          <w:rFonts w:ascii="Verdana" w:hAnsi="Verdana" w:cs="Arial"/>
          <w:lang w:val="es-MX"/>
        </w:rPr>
        <w:t>.</w:t>
      </w:r>
    </w:p>
    <w:bookmarkEnd w:id="14"/>
    <w:p w14:paraId="4D92AADE" w14:textId="77777777" w:rsidR="00C70EDD" w:rsidRDefault="00C70EDD" w:rsidP="00C70EDD">
      <w:pPr>
        <w:spacing w:after="0" w:line="276" w:lineRule="auto"/>
        <w:ind w:firstLine="708"/>
        <w:jc w:val="both"/>
        <w:rPr>
          <w:rFonts w:ascii="Verdana" w:hAnsi="Verdana" w:cs="Arial"/>
          <w:bCs/>
          <w:lang w:val="es-MX" w:eastAsia="x-none"/>
        </w:rPr>
      </w:pPr>
      <w:r w:rsidRPr="00A45D99">
        <w:rPr>
          <w:rFonts w:ascii="Verdana" w:hAnsi="Verdana" w:cs="Arial"/>
          <w:lang w:val="es-MX"/>
        </w:rPr>
        <w:t xml:space="preserve">Por lo tanto, la restricción prevista en la Ley 996 de 2005, </w:t>
      </w:r>
      <w:r w:rsidRPr="00A45D99">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0EB1E0F1" w14:textId="77777777" w:rsidR="00C70EDD" w:rsidRDefault="00C70EDD" w:rsidP="00C70EDD">
      <w:pPr>
        <w:spacing w:after="0" w:line="276" w:lineRule="auto"/>
        <w:ind w:firstLine="708"/>
        <w:jc w:val="both"/>
        <w:rPr>
          <w:rFonts w:ascii="Verdana" w:hAnsi="Verdana" w:cs="Arial"/>
          <w:bCs/>
          <w:lang w:val="es-MX" w:eastAsia="x-none"/>
        </w:rPr>
      </w:pPr>
    </w:p>
    <w:p w14:paraId="590F2C4E" w14:textId="77777777" w:rsidR="00C70EDD" w:rsidRPr="0004207F" w:rsidRDefault="00C70EDD" w:rsidP="00C70EDD">
      <w:pPr>
        <w:spacing w:after="120" w:line="276" w:lineRule="auto"/>
        <w:jc w:val="both"/>
        <w:rPr>
          <w:rFonts w:ascii="Verdana" w:hAnsi="Verdana" w:cs="Arial"/>
          <w:bCs/>
          <w:lang w:val="es-MX" w:eastAsia="x-none"/>
        </w:rPr>
      </w:pPr>
      <w:proofErr w:type="spellStart"/>
      <w:r w:rsidRPr="0004207F">
        <w:rPr>
          <w:rFonts w:ascii="Verdana" w:hAnsi="Verdana" w:cs="Arial"/>
          <w:bCs/>
          <w:lang w:val="es-MX" w:eastAsia="x-none"/>
        </w:rPr>
        <w:t>iv</w:t>
      </w:r>
      <w:proofErr w:type="spellEnd"/>
      <w:r w:rsidRPr="0004207F">
        <w:rPr>
          <w:rFonts w:ascii="Verdana" w:hAnsi="Verdana" w:cs="Arial"/>
          <w:bCs/>
          <w:lang w:val="es-MX" w:eastAsia="x-none"/>
        </w:rPr>
        <w:t>. Es importante reiterar que el segundo inciso del artículo 33 de la Ley de Garantías Electorales consagró las excepciones aplicables a la prohibición de contratación directa establecida en el mismo artículo. La Sala de Consulta y Servicio Civil del Consejo de Estado, en Concepto del 4 de febrero de 2010, explica que “[…] Las excepciones establecidas en los artículos 32 y 33 en comento, guardan relación, exclusivamente, con algunos servicios públicos que por su naturaleza no admiten postergaciones en la atención de sus necesidades de personal, bienes y servicios [...]”</w:t>
      </w:r>
      <w:r w:rsidRPr="0022149E">
        <w:rPr>
          <w:rFonts w:ascii="Verdana" w:hAnsi="Verdana" w:cs="Arial"/>
          <w:vertAlign w:val="superscript"/>
          <w:lang w:val="es-ES_tradnl" w:eastAsia="es-CO"/>
        </w:rPr>
        <w:footnoteReference w:id="24"/>
      </w:r>
      <w:r w:rsidRPr="0004207F">
        <w:rPr>
          <w:rFonts w:ascii="Verdana" w:hAnsi="Verdana" w:cs="Arial"/>
          <w:bCs/>
          <w:lang w:val="es-MX" w:eastAsia="x-none"/>
        </w:rPr>
        <w:t>.</w:t>
      </w:r>
    </w:p>
    <w:p w14:paraId="3623935D" w14:textId="77777777" w:rsidR="00C70EDD" w:rsidRPr="0004207F" w:rsidRDefault="00C70EDD" w:rsidP="00C70EDD">
      <w:pPr>
        <w:shd w:val="clear" w:color="auto" w:fill="FFFFFF" w:themeFill="background1"/>
        <w:spacing w:after="120" w:line="276" w:lineRule="auto"/>
        <w:ind w:firstLine="709"/>
        <w:jc w:val="both"/>
        <w:rPr>
          <w:rFonts w:ascii="Verdana" w:hAnsi="Verdana" w:cs="Arial"/>
          <w:lang w:val="es-ES" w:eastAsia="es-CO"/>
        </w:rPr>
      </w:pPr>
      <w:r w:rsidRPr="70BB5D8B">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70BB5D8B">
        <w:rPr>
          <w:rFonts w:ascii="Verdana" w:hAnsi="Verdana" w:cs="Arial"/>
          <w:lang w:val="es-ES" w:eastAsia="es-CO"/>
        </w:rPr>
        <w:t>exequibilidad</w:t>
      </w:r>
      <w:proofErr w:type="spellEnd"/>
      <w:r w:rsidRPr="70BB5D8B">
        <w:rPr>
          <w:rFonts w:ascii="Verdana" w:hAnsi="Verdana" w:cs="Arial"/>
          <w:lang w:val="es-ES" w:eastAsia="es-CO"/>
        </w:rPr>
        <w:t xml:space="preserve">. Así, por ejemplo, la Corte Constitucional explicó que “[…] las </w:t>
      </w:r>
      <w:r w:rsidRPr="70BB5D8B">
        <w:rPr>
          <w:rFonts w:ascii="Verdana" w:hAnsi="Verdana" w:cs="Arial"/>
          <w:lang w:val="es-ES" w:eastAsia="es-CO"/>
        </w:rPr>
        <w:lastRenderedPageBreak/>
        <w:t>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22149E">
        <w:rPr>
          <w:rFonts w:ascii="Verdana" w:hAnsi="Verdana" w:cs="Arial"/>
          <w:vertAlign w:val="superscript"/>
          <w:lang w:val="es-ES" w:eastAsia="es-CO"/>
        </w:rPr>
        <w:footnoteReference w:id="25"/>
      </w:r>
      <w:r w:rsidRPr="70BB5D8B">
        <w:rPr>
          <w:rFonts w:ascii="Verdana" w:hAnsi="Verdana" w:cs="Arial"/>
          <w:lang w:val="es-ES" w:eastAsia="es-CO"/>
        </w:rPr>
        <w:t xml:space="preserve">. </w:t>
      </w:r>
    </w:p>
    <w:p w14:paraId="0DD92743" w14:textId="77777777" w:rsidR="00C70EDD" w:rsidRDefault="00C70EDD" w:rsidP="00C70EDD">
      <w:pPr>
        <w:spacing w:after="120" w:line="276" w:lineRule="auto"/>
        <w:ind w:firstLine="708"/>
        <w:jc w:val="both"/>
        <w:rPr>
          <w:rFonts w:ascii="Verdana" w:eastAsia="Times New Roman" w:hAnsi="Verdana" w:cs="Times New Roman"/>
          <w:iCs/>
          <w:lang w:val="es-ES" w:eastAsia="es-ES"/>
        </w:rPr>
      </w:pPr>
      <w:r w:rsidRPr="00B2403B">
        <w:rPr>
          <w:rFonts w:ascii="Verdana" w:eastAsia="Calibri" w:hAnsi="Verdana" w:cs="Times New Roman"/>
          <w:iCs/>
        </w:rPr>
        <w:t xml:space="preserve">Las excepciones están </w:t>
      </w:r>
      <w:r>
        <w:rPr>
          <w:rFonts w:ascii="Verdana" w:eastAsia="Times New Roman" w:hAnsi="Verdana" w:cs="Arial"/>
          <w:bCs/>
          <w:lang w:val="es-MX" w:eastAsia="x-none"/>
        </w:rPr>
        <w:t>consagradas de forma expresa</w:t>
      </w:r>
      <w:r w:rsidRPr="00B2403B">
        <w:rPr>
          <w:rFonts w:ascii="Verdana" w:eastAsia="Times New Roman" w:hAnsi="Verdana" w:cs="Arial"/>
          <w:bCs/>
          <w:lang w:val="es-MX" w:eastAsia="x-none"/>
        </w:rPr>
        <w:t xml:space="preserve"> en el inciso final del citado artículo 33 de la Ley 996 de 2005 en lo referente a i) la defensa y seguridad del Estado; </w:t>
      </w:r>
      <w:proofErr w:type="spellStart"/>
      <w:r w:rsidRPr="00B2403B">
        <w:rPr>
          <w:rFonts w:ascii="Verdana" w:eastAsia="Times New Roman" w:hAnsi="Verdana" w:cs="Arial"/>
          <w:bCs/>
          <w:lang w:val="es-MX" w:eastAsia="x-none"/>
        </w:rPr>
        <w:t>ii</w:t>
      </w:r>
      <w:proofErr w:type="spellEnd"/>
      <w:r w:rsidRPr="00B2403B">
        <w:rPr>
          <w:rFonts w:ascii="Verdana" w:eastAsia="Times New Roman" w:hAnsi="Verdana" w:cs="Arial"/>
          <w:bCs/>
          <w:lang w:val="es-MX" w:eastAsia="x-none"/>
        </w:rPr>
        <w:t xml:space="preserve">) los contratos de crédito público; </w:t>
      </w:r>
      <w:proofErr w:type="spellStart"/>
      <w:r w:rsidRPr="00B2403B">
        <w:rPr>
          <w:rFonts w:ascii="Verdana" w:eastAsia="Times New Roman" w:hAnsi="Verdana" w:cs="Arial"/>
          <w:bCs/>
          <w:lang w:val="es-MX" w:eastAsia="x-none"/>
        </w:rPr>
        <w:t>iii</w:t>
      </w:r>
      <w:proofErr w:type="spellEnd"/>
      <w:r w:rsidRPr="00B2403B">
        <w:rPr>
          <w:rFonts w:ascii="Verdana" w:eastAsia="Times New Roman" w:hAnsi="Verdana" w:cs="Arial"/>
          <w:bCs/>
          <w:lang w:val="es-MX" w:eastAsia="x-none"/>
        </w:rPr>
        <w:t xml:space="preserve">) los requeridos para cubrir las emergencias educativas, sanitarias y desastres; </w:t>
      </w:r>
      <w:proofErr w:type="spellStart"/>
      <w:r w:rsidRPr="00B2403B">
        <w:rPr>
          <w:rFonts w:ascii="Verdana" w:eastAsia="Times New Roman" w:hAnsi="Verdana" w:cs="Arial"/>
          <w:bCs/>
          <w:lang w:val="es-MX" w:eastAsia="x-none"/>
        </w:rPr>
        <w:t>iv</w:t>
      </w:r>
      <w:proofErr w:type="spellEnd"/>
      <w:r w:rsidRPr="00B240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B2403B">
        <w:rPr>
          <w:rFonts w:ascii="Verdana" w:eastAsia="Times New Roman" w:hAnsi="Verdana" w:cs="Arial"/>
          <w:bCs/>
          <w:lang w:val="es-MX" w:eastAsia="es-CO"/>
        </w:rPr>
        <w:t xml:space="preserve"> 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regulada como excepción en el artículo 33</w:t>
      </w:r>
      <w:r w:rsidRPr="00B2403B">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es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5EC3EBF6" w14:textId="77777777" w:rsidR="00C70EDD" w:rsidRDefault="00C70EDD" w:rsidP="00C70EDD">
      <w:pPr>
        <w:spacing w:after="120" w:line="276" w:lineRule="auto"/>
        <w:ind w:firstLine="709"/>
        <w:jc w:val="both"/>
        <w:rPr>
          <w:rFonts w:ascii="Verdana" w:eastAsia="Calibri" w:hAnsi="Verdana" w:cs="Times New Roman"/>
        </w:rPr>
      </w:pPr>
      <w:r w:rsidRPr="0022149E">
        <w:rPr>
          <w:rFonts w:ascii="Verdana" w:hAnsi="Verdana" w:cs="Arial"/>
          <w:bCs/>
          <w:lang w:val="es-ES_tradnl"/>
        </w:rPr>
        <w:t>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r w:rsidRPr="0022149E">
        <w:rPr>
          <w:rFonts w:ascii="Verdana" w:hAnsi="Verdana" w:cs="Arial"/>
          <w:bCs/>
          <w:lang w:val="es-MX" w:eastAsia="x-none"/>
        </w:rPr>
        <w:t xml:space="preserve"> </w:t>
      </w:r>
    </w:p>
    <w:p w14:paraId="1D40262B" w14:textId="77777777" w:rsidR="00C70EDD" w:rsidRDefault="00C70EDD" w:rsidP="00C70EDD">
      <w:pPr>
        <w:spacing w:after="0" w:line="276" w:lineRule="auto"/>
        <w:ind w:firstLine="709"/>
        <w:jc w:val="both"/>
        <w:rPr>
          <w:rFonts w:ascii="Verdana" w:eastAsiaTheme="minorEastAsia" w:hAnsi="Verdana" w:cs="Arial"/>
          <w:lang w:eastAsia="es-CO"/>
        </w:rPr>
      </w:pPr>
      <w:r>
        <w:rPr>
          <w:rFonts w:ascii="Verdana" w:eastAsiaTheme="minorEastAsia" w:hAnsi="Verdana" w:cs="Arial"/>
          <w:lang w:eastAsia="es-CO"/>
        </w:rPr>
        <w:t xml:space="preserve">Bajo ese escenario, </w:t>
      </w:r>
      <w:r>
        <w:rPr>
          <w:rFonts w:ascii="Verdana" w:eastAsia="Arial" w:hAnsi="Verdana" w:cs="Arial"/>
          <w:lang w:val="es-ES" w:eastAsia="es-ES" w:bidi="es-ES"/>
        </w:rPr>
        <w:t xml:space="preserve">el alcance de esta obligación frente a las restricciones de la Ley de Garantías Electorales, resulta pertinente traer a colación el </w:t>
      </w:r>
      <w:r>
        <w:rPr>
          <w:rFonts w:ascii="Verdana" w:eastAsia="Arial" w:hAnsi="Verdana" w:cs="Arial"/>
          <w:lang w:val="es-ES" w:eastAsia="es-ES" w:bidi="es-ES"/>
        </w:rPr>
        <w:lastRenderedPageBreak/>
        <w:t>pronunciamiento de la Sala de Consulta y Servicio Civil del Consejo de Estado</w:t>
      </w:r>
      <w:r>
        <w:rPr>
          <w:rStyle w:val="Refdenotaalpie"/>
          <w:rFonts w:ascii="Verdana" w:eastAsia="Arial" w:hAnsi="Verdana" w:cs="Arial"/>
          <w:lang w:val="es-ES" w:eastAsia="es-ES" w:bidi="es-ES"/>
        </w:rPr>
        <w:footnoteReference w:id="26"/>
      </w:r>
      <w:r>
        <w:rPr>
          <w:rFonts w:ascii="Verdana" w:eastAsia="Arial" w:hAnsi="Verdana" w:cs="Arial"/>
          <w:lang w:val="es-ES" w:eastAsia="es-ES" w:bidi="es-ES"/>
        </w:rPr>
        <w:t xml:space="preserve">, el cual en un tema concerniente a las restricciones de la Ley de Garantías Electorales expresa que si bien </w:t>
      </w:r>
      <w:r w:rsidRPr="005B7756">
        <w:rPr>
          <w:rFonts w:ascii="Verdana" w:eastAsia="Arial" w:hAnsi="Verdana" w:cs="Arial"/>
          <w:lang w:val="es-ES" w:eastAsia="es-ES" w:bidi="es-ES"/>
        </w:rPr>
        <w:t>la seguridad social no está expresamente definida como derecho fundamental, adquiere ese carácter cuando su protección resulta necesaria para salvaguardar derechos esenciales como la vida, la dignidad o la integridad de las personas mayores, lo que hace imperativo mantener el programa de apoyo a ancianos indigentes mediante subsidio indirecto; por ello, el Administrador Fiduciario puede contratar directamente con los Centros de Bienestar del Adulto Mayor para asegurar la continuidad de los cupos asignados, y los alcaldes, a su vez, pueden celebrar estos mismos acuerdos en representación de sus municipios cuando administran recursos destinados a comunidades indígenas en resguardo, garantizando así la continuidad y eficacia de la protección estatal.</w:t>
      </w:r>
      <w:r>
        <w:rPr>
          <w:rFonts w:ascii="Verdana" w:eastAsia="Times New Roman" w:hAnsi="Verdana" w:cs="Arial"/>
          <w:bCs/>
          <w:lang w:val="es-ES" w:eastAsia="es-CO"/>
        </w:rPr>
        <w:t xml:space="preserve"> En este contexto, </w:t>
      </w:r>
      <w:r w:rsidRPr="00C15179">
        <w:rPr>
          <w:rFonts w:ascii="Verdana" w:eastAsia="Times New Roman" w:hAnsi="Verdana" w:cs="Arial"/>
          <w:bCs/>
          <w:lang w:val="es-ES" w:eastAsia="es-CO"/>
        </w:rPr>
        <w:t>La Sala de Consulta y Servicio Civil del Consejo de Estado ha señalado que las restricciones de la Ley de Garantías Electorales deben interpretarse con especial cuidado cuando se trata de Empresas de Servicios Públicos Domiciliarios. En el Concepto 1727 de 2006, la Sala precisó que, aunque la norma limita la contratación directa durante la campaña presidencial, existen excepciones justificadas por razones de orden público social, particularmente en lo relacionado con la prestación de servicios públicos esenciales</w:t>
      </w:r>
      <w:r>
        <w:rPr>
          <w:rFonts w:ascii="Verdana" w:eastAsia="Times New Roman" w:hAnsi="Verdana" w:cs="Arial"/>
          <w:bCs/>
          <w:lang w:val="es-ES" w:eastAsia="es-CO"/>
        </w:rPr>
        <w:t>. Al respecto, expresó</w:t>
      </w:r>
      <w:r>
        <w:rPr>
          <w:rFonts w:ascii="Verdana" w:eastAsia="Calibri" w:hAnsi="Verdana" w:cs="Arial"/>
          <w:lang w:val="es-MX"/>
        </w:rPr>
        <w:t>:</w:t>
      </w:r>
    </w:p>
    <w:p w14:paraId="41050561" w14:textId="77777777" w:rsidR="00C70EDD" w:rsidRDefault="00C70EDD" w:rsidP="00C70EDD">
      <w:pPr>
        <w:spacing w:after="120" w:line="276" w:lineRule="auto"/>
        <w:ind w:left="709" w:right="709"/>
        <w:jc w:val="both"/>
        <w:rPr>
          <w:rFonts w:ascii="Verdana" w:eastAsia="Calibri" w:hAnsi="Verdana" w:cs="Arial"/>
          <w:sz w:val="20"/>
          <w:szCs w:val="20"/>
        </w:rPr>
      </w:pPr>
    </w:p>
    <w:p w14:paraId="78AC3832" w14:textId="77777777" w:rsidR="00C70EDD" w:rsidRDefault="00C70EDD" w:rsidP="00C70EDD">
      <w:pPr>
        <w:spacing w:after="0" w:line="240" w:lineRule="auto"/>
        <w:ind w:left="709" w:right="709"/>
        <w:jc w:val="both"/>
        <w:rPr>
          <w:rFonts w:ascii="Verdana" w:eastAsia="Times New Roman" w:hAnsi="Verdana" w:cs="Arial"/>
          <w:lang w:eastAsia="es-CO"/>
        </w:rPr>
      </w:pPr>
      <w:r w:rsidRPr="002D1225">
        <w:rPr>
          <w:rFonts w:ascii="Verdana" w:eastAsia="Calibri" w:hAnsi="Verdana" w:cs="Arial"/>
          <w:sz w:val="20"/>
          <w:szCs w:val="20"/>
        </w:rPr>
        <w:t xml:space="preserve">“[…] en la medida en que los reglamentos internos de una empresa de servicios públicos domiciliarios determinen que la adquisición de algún insumo esencial para la prestación del servicio se realice por contratación directa, y que mientras se adelanta el trámite de la licitación pública del artículo 860 del código de comercio puede verse suspendido o gravemente afectado el servicio a su cargo, para evitar esta emergencia puede acudir a la contratación directa, pues se encontraría dentro de la excepción a la prohibición por causa de la sanidad y del mantenimiento del orden público en su elemento de salubridad, esenciales a la organización del Estado. Se anota </w:t>
      </w:r>
      <w:proofErr w:type="gramStart"/>
      <w:r w:rsidRPr="002D1225">
        <w:rPr>
          <w:rFonts w:ascii="Verdana" w:eastAsia="Calibri" w:hAnsi="Verdana" w:cs="Arial"/>
          <w:sz w:val="20"/>
          <w:szCs w:val="20"/>
        </w:rPr>
        <w:t>que</w:t>
      </w:r>
      <w:proofErr w:type="gramEnd"/>
      <w:r w:rsidRPr="002D1225">
        <w:rPr>
          <w:rFonts w:ascii="Verdana" w:eastAsia="Calibri" w:hAnsi="Verdana" w:cs="Arial"/>
          <w:sz w:val="20"/>
          <w:szCs w:val="20"/>
        </w:rPr>
        <w:t xml:space="preserve"> frente a los servicios públicos domiciliarios, los usuarios tienen un derecho subjetivo a su prestación, que en veces está en conexión con los derechos fundamentales, como en el caso de los servicios del acueducto, alcantarillado, saneamiento básico, </w:t>
      </w:r>
      <w:proofErr w:type="spellStart"/>
      <w:r w:rsidRPr="002D1225">
        <w:rPr>
          <w:rFonts w:ascii="Verdana" w:eastAsia="Calibri" w:hAnsi="Verdana" w:cs="Arial"/>
          <w:sz w:val="20"/>
          <w:szCs w:val="20"/>
        </w:rPr>
        <w:t>etc</w:t>
      </w:r>
      <w:proofErr w:type="spellEnd"/>
      <w:r>
        <w:rPr>
          <w:rFonts w:ascii="Verdana" w:eastAsia="Calibri" w:hAnsi="Verdana" w:cs="Arial"/>
          <w:lang w:val="es-MX"/>
        </w:rPr>
        <w:t>”</w:t>
      </w:r>
      <w:r w:rsidRPr="0057193B">
        <w:rPr>
          <w:rFonts w:ascii="Verdana" w:eastAsia="Calibri" w:hAnsi="Verdana" w:cs="Arial"/>
          <w:vertAlign w:val="superscript"/>
          <w:lang w:val="es-MX"/>
        </w:rPr>
        <w:footnoteReference w:id="27"/>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01F4CDD4" w14:textId="77777777" w:rsidR="00C70EDD" w:rsidRDefault="00C70EDD" w:rsidP="00C70EDD">
      <w:pPr>
        <w:spacing w:after="0" w:line="276" w:lineRule="auto"/>
        <w:ind w:left="709" w:right="709"/>
        <w:jc w:val="both"/>
        <w:rPr>
          <w:rFonts w:ascii="Verdana" w:eastAsia="Calibri" w:hAnsi="Verdana" w:cs="Arial"/>
          <w:sz w:val="20"/>
          <w:szCs w:val="20"/>
        </w:rPr>
      </w:pPr>
    </w:p>
    <w:p w14:paraId="2788F4A4" w14:textId="77777777" w:rsidR="00C70EDD" w:rsidRPr="00C15525" w:rsidRDefault="00C70EDD" w:rsidP="00C70EDD">
      <w:pPr>
        <w:spacing w:after="120" w:line="276" w:lineRule="auto"/>
        <w:ind w:firstLine="709"/>
        <w:jc w:val="both"/>
        <w:rPr>
          <w:rFonts w:ascii="Verdana" w:eastAsia="Arial" w:hAnsi="Verdana" w:cs="Arial"/>
          <w:lang w:val="es-ES" w:eastAsia="es-ES" w:bidi="es-ES"/>
        </w:rPr>
      </w:pPr>
      <w:r>
        <w:rPr>
          <w:rFonts w:ascii="Verdana" w:hAnsi="Verdana" w:cs="Arial"/>
          <w:lang w:val="es-ES_tradnl"/>
        </w:rPr>
        <w:lastRenderedPageBreak/>
        <w:t xml:space="preserve">En otro asunto, materia de estudio, </w:t>
      </w:r>
      <w:r w:rsidRPr="00C15525">
        <w:rPr>
          <w:rFonts w:ascii="Verdana" w:eastAsia="Calibri" w:hAnsi="Verdana" w:cs="Arial"/>
          <w:color w:val="000000" w:themeColor="text1"/>
        </w:rPr>
        <w:t xml:space="preserve">es importante </w:t>
      </w:r>
      <w:r w:rsidRPr="00C15525">
        <w:rPr>
          <w:rFonts w:ascii="Verdana" w:eastAsia="Calibri" w:hAnsi="Verdana" w:cs="Arial"/>
          <w:bCs/>
          <w:color w:val="000000" w:themeColor="text1"/>
        </w:rPr>
        <w:t xml:space="preserve">tener en cuenta </w:t>
      </w:r>
      <w:r w:rsidRPr="00C15525">
        <w:rPr>
          <w:rFonts w:ascii="Verdana" w:eastAsia="Arial" w:hAnsi="Verdana" w:cs="Arial"/>
          <w:lang w:val="es-ES" w:eastAsia="es-ES" w:bidi="es-ES"/>
        </w:rPr>
        <w:t>el pronunciamiento de la Sala de Consulta y Servicio Civil del Consejo de Estado, el cual precisó, respecto del artículo 5 de la Ley 109 de 1994, que cuando excepcionalmente el contrato o convenio interadministrativo es ordenado por una ley, su celebración no resultaría violatoria de la restricción a la contratación directa contenida en la Ley 996 de 2005:</w:t>
      </w:r>
    </w:p>
    <w:p w14:paraId="4C1DFB04" w14:textId="77777777" w:rsidR="00C70EDD" w:rsidRPr="00C15525" w:rsidRDefault="00C70EDD" w:rsidP="00C70EDD">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Esta norma [artículo 5 de la Ley 109 de 1994], obliga a los “organismos” de la Rama Legislativa, esto es el Congreso de la República, a contratar con la Imprenta Nacional la publicación de la Gaceta del Congreso. Se hace notar, que este contrato regula las relaciones jurídicas entre dos órganos del Estado que desarrollan en ejercicio de sus obligaciones legales, el Congreso para cumplir el procedimiento legislativo, y la Imprenta para ejercer su función administrativa de imprimir los actos o documentos oficiales que requieran de este requisito. </w:t>
      </w:r>
    </w:p>
    <w:p w14:paraId="3533A537" w14:textId="77777777" w:rsidR="00C70EDD" w:rsidRPr="00C15525" w:rsidRDefault="00C70EDD" w:rsidP="00C70EDD">
      <w:pPr>
        <w:widowControl w:val="0"/>
        <w:autoSpaceDE w:val="0"/>
        <w:autoSpaceDN w:val="0"/>
        <w:spacing w:after="0" w:line="240" w:lineRule="auto"/>
        <w:ind w:left="709" w:right="709"/>
        <w:jc w:val="both"/>
        <w:rPr>
          <w:rFonts w:ascii="Verdana" w:hAnsi="Verdana" w:cs="Arial"/>
          <w:sz w:val="20"/>
          <w:szCs w:val="20"/>
        </w:rPr>
      </w:pPr>
    </w:p>
    <w:p w14:paraId="195603E0" w14:textId="77777777" w:rsidR="00C70EDD" w:rsidRPr="00C15525" w:rsidRDefault="00C70EDD" w:rsidP="00C70EDD">
      <w:pPr>
        <w:widowControl w:val="0"/>
        <w:autoSpaceDE w:val="0"/>
        <w:autoSpaceDN w:val="0"/>
        <w:spacing w:after="0" w:line="240" w:lineRule="auto"/>
        <w:ind w:left="709" w:right="709"/>
        <w:jc w:val="both"/>
        <w:rPr>
          <w:rFonts w:ascii="Verdana" w:hAnsi="Verdana" w:cs="Arial"/>
          <w:sz w:val="20"/>
          <w:szCs w:val="20"/>
        </w:rPr>
      </w:pPr>
      <w:r w:rsidRPr="00C15525">
        <w:rPr>
          <w:rFonts w:ascii="Verdana" w:hAnsi="Verdana" w:cs="Arial"/>
          <w:sz w:val="20"/>
          <w:szCs w:val="20"/>
        </w:rPr>
        <w:t xml:space="preserve">Es claro que la ley ordena que la regulación de dicha relación interadministrativa se efectúe por el mecanismo de una convención, pero también es claro que </w:t>
      </w:r>
      <w:proofErr w:type="gramStart"/>
      <w:r w:rsidRPr="00C15525">
        <w:rPr>
          <w:rFonts w:ascii="Verdana" w:hAnsi="Verdana" w:cs="Arial"/>
          <w:sz w:val="20"/>
          <w:szCs w:val="20"/>
        </w:rPr>
        <w:t>éste</w:t>
      </w:r>
      <w:proofErr w:type="gramEnd"/>
      <w:r w:rsidRPr="00C15525">
        <w:rPr>
          <w:rFonts w:ascii="Verdana" w:hAnsi="Verdana" w:cs="Arial"/>
          <w:sz w:val="20"/>
          <w:szCs w:val="20"/>
        </w:rPr>
        <w:t xml:space="preserve"> contrato no se celebra en ejercicio de la autonomía de la voluntad ni con el fin de cumplir la misión industrial, comercial o de gestión propia de la Imprenta Nacional. En este caso, el contrato se celebra como un mero instrumento que le posibilita el desarrollo de las funciones públicas ordenadas por la ley a ambas entidades Estatales.</w:t>
      </w:r>
    </w:p>
    <w:p w14:paraId="13DF7A80" w14:textId="77777777" w:rsidR="00C70EDD" w:rsidRPr="00C15525" w:rsidRDefault="00C70EDD" w:rsidP="00C70EDD">
      <w:pPr>
        <w:widowControl w:val="0"/>
        <w:autoSpaceDE w:val="0"/>
        <w:autoSpaceDN w:val="0"/>
        <w:spacing w:after="0" w:line="240" w:lineRule="auto"/>
        <w:ind w:left="709" w:right="709"/>
        <w:jc w:val="both"/>
        <w:rPr>
          <w:rFonts w:ascii="Verdana" w:hAnsi="Verdana" w:cs="Arial"/>
          <w:sz w:val="20"/>
          <w:szCs w:val="20"/>
        </w:rPr>
      </w:pPr>
    </w:p>
    <w:p w14:paraId="7F6B36F8" w14:textId="77777777" w:rsidR="00C70EDD" w:rsidRPr="00C15525" w:rsidRDefault="00C70EDD" w:rsidP="00C70EDD">
      <w:pPr>
        <w:widowControl w:val="0"/>
        <w:autoSpaceDE w:val="0"/>
        <w:autoSpaceDN w:val="0"/>
        <w:spacing w:after="0" w:line="240" w:lineRule="auto"/>
        <w:ind w:left="709" w:right="709"/>
        <w:jc w:val="both"/>
        <w:rPr>
          <w:rFonts w:ascii="Verdana" w:hAnsi="Verdana" w:cs="Arial"/>
        </w:rPr>
      </w:pPr>
      <w:bookmarkStart w:id="20" w:name="_Hlk75761737"/>
      <w:r w:rsidRPr="00C15525">
        <w:rPr>
          <w:rFonts w:ascii="Verdana" w:hAnsi="Verdana" w:cs="Arial"/>
          <w:sz w:val="20"/>
          <w:szCs w:val="20"/>
        </w:rPr>
        <w:t>En este orden de ideas, celebrar o prorrogar el contrato entre la Cámara de Representantes y la Imprenta Nacional no puede ser violatorio de la restricción a la contratación directa contenida por ley 996 de 2005, pues las entidades públicas que lo suscriban están cumpliendo sus funciones y la orden dada por el legislador</w:t>
      </w:r>
      <w:bookmarkEnd w:id="20"/>
      <w:r w:rsidRPr="00C15525">
        <w:rPr>
          <w:rFonts w:ascii="Verdana" w:hAnsi="Verdana" w:cs="Arial"/>
          <w:sz w:val="20"/>
          <w:szCs w:val="20"/>
          <w:vertAlign w:val="superscript"/>
        </w:rPr>
        <w:footnoteReference w:id="28"/>
      </w:r>
      <w:r w:rsidRPr="00C15525">
        <w:rPr>
          <w:rFonts w:ascii="Verdana" w:hAnsi="Verdana" w:cs="Arial"/>
          <w:sz w:val="20"/>
          <w:szCs w:val="20"/>
        </w:rPr>
        <w:t xml:space="preserve">. </w:t>
      </w:r>
    </w:p>
    <w:p w14:paraId="4F28CA52" w14:textId="77777777" w:rsidR="00C70EDD" w:rsidRPr="00C15525" w:rsidRDefault="00C70EDD" w:rsidP="00C70EDD">
      <w:pPr>
        <w:widowControl w:val="0"/>
        <w:autoSpaceDE w:val="0"/>
        <w:autoSpaceDN w:val="0"/>
        <w:spacing w:after="0" w:line="276" w:lineRule="auto"/>
        <w:jc w:val="both"/>
        <w:rPr>
          <w:rFonts w:ascii="Verdana" w:eastAsia="Arial" w:hAnsi="Verdana" w:cs="Arial"/>
          <w:lang w:val="es-ES" w:eastAsia="es-ES" w:bidi="es-ES"/>
        </w:rPr>
      </w:pPr>
    </w:p>
    <w:p w14:paraId="6AE679F0" w14:textId="77777777" w:rsidR="00C70EDD" w:rsidRPr="000E03E2" w:rsidRDefault="00C70EDD" w:rsidP="00C70EDD">
      <w:pPr>
        <w:widowControl w:val="0"/>
        <w:autoSpaceDE w:val="0"/>
        <w:autoSpaceDN w:val="0"/>
        <w:spacing w:after="120" w:line="276" w:lineRule="auto"/>
        <w:ind w:firstLine="709"/>
        <w:jc w:val="both"/>
        <w:rPr>
          <w:rFonts w:ascii="Verdana" w:eastAsia="Arial" w:hAnsi="Verdana" w:cs="Arial"/>
          <w:lang w:eastAsia="es-ES" w:bidi="es-ES"/>
        </w:rPr>
      </w:pPr>
      <w:r w:rsidRPr="00C15525">
        <w:rPr>
          <w:rFonts w:ascii="Verdana" w:eastAsia="Arial" w:hAnsi="Verdana" w:cs="Arial"/>
          <w:lang w:val="es-ES" w:eastAsia="es-ES" w:bidi="es-ES"/>
        </w:rPr>
        <w:t xml:space="preserve">De lo expuesto, el Consejo de Estado resalta que el contrato que se celebra con fundamento en el artículo 5 de la Ley 109 de 1994 entre el Congreso de la República y la Imprenta Nacional no se efectúa en ejercicio de la autonomía de la voluntad ni con el fin de cumplir la misión industrial, comercial o de gestión propia de la Imprenta Nacional de Colombia, sino en cumplimiento de lo ordenado por la Ley a ambas entidades Estatales. De ahí que se concluya que en ese caso </w:t>
      </w:r>
      <w:r w:rsidRPr="00C15525">
        <w:rPr>
          <w:rFonts w:ascii="Verdana" w:eastAsia="Arial" w:hAnsi="Verdana" w:cs="Arial"/>
          <w:lang w:eastAsia="es-ES" w:bidi="es-ES"/>
        </w:rPr>
        <w:t xml:space="preserve">el contrato no puede ser violatorio de la restricción a la contratación directa contenida en el artículo 33 de la Ley 996 de 2005. </w:t>
      </w:r>
    </w:p>
    <w:p w14:paraId="26E0D756" w14:textId="77777777" w:rsidR="00C70EDD" w:rsidRPr="006177F8" w:rsidRDefault="00C70EDD" w:rsidP="00C70EDD">
      <w:pPr>
        <w:spacing w:after="120" w:line="276" w:lineRule="auto"/>
        <w:ind w:firstLine="708"/>
        <w:jc w:val="both"/>
        <w:rPr>
          <w:rFonts w:ascii="Verdana" w:eastAsia="Arial" w:hAnsi="Verdana" w:cs="Arial"/>
          <w:lang w:val="es-ES" w:eastAsia="es-ES" w:bidi="es-ES"/>
        </w:rPr>
      </w:pPr>
      <w:r>
        <w:rPr>
          <w:rFonts w:ascii="Verdana" w:hAnsi="Verdana" w:cs="Arial"/>
          <w:lang w:val="es-ES_tradnl"/>
        </w:rPr>
        <w:lastRenderedPageBreak/>
        <w:t>También la Sala de Consulta y Servicio Civil del Consejo de Estado ha presentado supuestos de excepción a la restricción de los artículos 33 y 38 cuando l</w:t>
      </w:r>
      <w:r w:rsidRPr="006177F8">
        <w:rPr>
          <w:rFonts w:ascii="Verdana" w:hAnsi="Verdana" w:cs="Arial"/>
          <w:lang w:val="es-ES_tradnl"/>
        </w:rPr>
        <w:t>a contratación se enmarca en una providencia judicial</w:t>
      </w:r>
      <w:r w:rsidRPr="006177F8">
        <w:rPr>
          <w:rFonts w:ascii="Verdana" w:eastAsia="Arial" w:hAnsi="Verdana" w:cs="Arial"/>
          <w:lang w:val="es-ES" w:eastAsia="es-ES" w:bidi="es-ES"/>
        </w:rPr>
        <w:t xml:space="preserve">, </w:t>
      </w:r>
      <w:r>
        <w:rPr>
          <w:rFonts w:ascii="Verdana" w:eastAsia="Arial" w:hAnsi="Verdana" w:cs="Arial"/>
          <w:lang w:val="es-ES" w:eastAsia="es-ES" w:bidi="es-ES"/>
        </w:rPr>
        <w:t xml:space="preserve">pues en dicho caso debe tenerse </w:t>
      </w:r>
      <w:r w:rsidRPr="006177F8">
        <w:rPr>
          <w:rFonts w:ascii="Verdana" w:eastAsia="Arial" w:hAnsi="Verdana" w:cs="Arial"/>
          <w:lang w:val="es-ES" w:eastAsia="es-ES" w:bidi="es-ES"/>
        </w:rPr>
        <w:t>en cuenta que las decisiones judiciales tienen fuerza vinculante y cumplirse en virtud del principio de supremacía constitucional y del derecho fundamental de acceso a la administraci</w:t>
      </w:r>
      <w:r>
        <w:rPr>
          <w:rFonts w:ascii="Verdana" w:eastAsia="Arial" w:hAnsi="Verdana" w:cs="Arial"/>
          <w:lang w:val="es-ES" w:eastAsia="es-ES" w:bidi="es-ES"/>
        </w:rPr>
        <w:t xml:space="preserve">ón de justicia. La celebración de un contrato de forma directa o de un convenio interadministrativo para la ejecución de recursos públicos </w:t>
      </w:r>
      <w:r w:rsidRPr="006177F8">
        <w:rPr>
          <w:rFonts w:ascii="Verdana" w:eastAsia="Arial" w:hAnsi="Verdana" w:cs="Arial"/>
          <w:lang w:val="es-ES" w:eastAsia="es-ES" w:bidi="es-ES"/>
        </w:rPr>
        <w:t>no obedece a una decisión discrecional de la administración, sino al cumplimiento de un mandato judicial, lo cual la diferencia de la contratación ordinaria y lo pone en un plano de obligatoriedad que no puede desconocerse por las restricciones de la Ley de Garantías.</w:t>
      </w:r>
    </w:p>
    <w:p w14:paraId="1AB1CE7E" w14:textId="77777777" w:rsidR="00C70EDD" w:rsidRPr="006177F8" w:rsidRDefault="00C70EDD" w:rsidP="00C70EDD">
      <w:pPr>
        <w:spacing w:after="0" w:line="276" w:lineRule="auto"/>
        <w:ind w:firstLine="709"/>
        <w:jc w:val="both"/>
        <w:rPr>
          <w:rFonts w:ascii="Verdana" w:eastAsia="Arial" w:hAnsi="Verdana" w:cs="Arial"/>
          <w:lang w:val="es-ES" w:eastAsia="es-ES" w:bidi="es-ES"/>
        </w:rPr>
      </w:pPr>
      <w:r w:rsidRPr="006177F8">
        <w:rPr>
          <w:rFonts w:ascii="Verdana" w:eastAsia="Arial" w:hAnsi="Verdana" w:cs="Arial"/>
          <w:lang w:val="es-ES" w:eastAsia="es-ES" w:bidi="es-ES"/>
        </w:rPr>
        <w:t xml:space="preserve">En este asunto, es importante resaltar que la Sala de Consulta y Servicio Civil del Consejo de Estado </w:t>
      </w:r>
      <w:r>
        <w:rPr>
          <w:rFonts w:ascii="Verdana" w:eastAsia="Arial" w:hAnsi="Verdana" w:cs="Arial"/>
          <w:lang w:val="es-ES" w:eastAsia="es-ES" w:bidi="es-ES"/>
        </w:rPr>
        <w:t xml:space="preserve">mediante </w:t>
      </w:r>
      <w:r w:rsidRPr="00CD734E">
        <w:rPr>
          <w:rFonts w:ascii="Verdana" w:eastAsia="Arial" w:hAnsi="Verdana" w:cs="Arial"/>
          <w:lang w:val="es-ES" w:eastAsia="es-ES" w:bidi="es-ES"/>
        </w:rPr>
        <w:t>Concepto</w:t>
      </w:r>
      <w:r>
        <w:rPr>
          <w:rFonts w:ascii="Verdana" w:eastAsia="Arial" w:hAnsi="Verdana" w:cs="Arial"/>
          <w:lang w:val="es-ES" w:eastAsia="es-ES" w:bidi="es-ES"/>
        </w:rPr>
        <w:t xml:space="preserve"> con Radicado</w:t>
      </w:r>
      <w:r w:rsidRPr="00CD734E">
        <w:rPr>
          <w:rFonts w:ascii="Verdana" w:eastAsia="Arial" w:hAnsi="Verdana" w:cs="Arial"/>
          <w:lang w:val="es-ES" w:eastAsia="es-ES" w:bidi="es-ES"/>
        </w:rPr>
        <w:t xml:space="preserve"> 1863 del 15 de noviembre de 2007 </w:t>
      </w:r>
      <w:r w:rsidRPr="006177F8">
        <w:rPr>
          <w:rFonts w:ascii="Verdana" w:eastAsia="Arial" w:hAnsi="Verdana" w:cs="Arial"/>
          <w:lang w:val="es-ES" w:eastAsia="es-ES" w:bidi="es-ES"/>
        </w:rPr>
        <w:t>se ha pronunciado en el sentido de que no se les aplica las restricciones contempladas en Ley de Garantías Electorales que deben celebrarse en virtud de un fallo judicial. Esto</w:t>
      </w:r>
      <w:r>
        <w:rPr>
          <w:rFonts w:ascii="Verdana" w:eastAsia="Arial" w:hAnsi="Verdana" w:cs="Arial"/>
          <w:lang w:val="es-ES" w:eastAsia="es-ES" w:bidi="es-ES"/>
        </w:rPr>
        <w:t>,</w:t>
      </w:r>
      <w:r w:rsidRPr="006177F8">
        <w:rPr>
          <w:rFonts w:ascii="Verdana" w:eastAsia="Arial" w:hAnsi="Verdana" w:cs="Arial"/>
          <w:lang w:val="es-ES" w:eastAsia="es-ES" w:bidi="es-ES"/>
        </w:rPr>
        <w:t xml:space="preserve">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6177F8">
        <w:rPr>
          <w:rFonts w:ascii="Verdana" w:eastAsia="Arial" w:hAnsi="Verdana" w:cs="Arial"/>
          <w:vertAlign w:val="superscript"/>
          <w:lang w:val="es-ES" w:eastAsia="es-ES" w:bidi="es-ES"/>
        </w:rPr>
        <w:footnoteReference w:id="29"/>
      </w:r>
      <w:r w:rsidRPr="006177F8">
        <w:rPr>
          <w:rFonts w:ascii="Verdana" w:eastAsia="Arial" w:hAnsi="Verdana" w:cs="Arial"/>
          <w:lang w:val="es-ES" w:eastAsia="es-ES" w:bidi="es-ES"/>
        </w:rPr>
        <w:t>. Al respecto, dicho Concepto expresa:</w:t>
      </w:r>
    </w:p>
    <w:p w14:paraId="324B7FDB" w14:textId="77777777" w:rsidR="00C70EDD" w:rsidRPr="006177F8" w:rsidRDefault="00C70EDD" w:rsidP="00C70EDD">
      <w:pPr>
        <w:spacing w:after="0" w:line="276" w:lineRule="auto"/>
        <w:ind w:firstLine="709"/>
        <w:jc w:val="both"/>
        <w:rPr>
          <w:rFonts w:ascii="Verdana" w:eastAsia="Arial" w:hAnsi="Verdana" w:cs="Arial"/>
          <w:lang w:val="es-ES" w:eastAsia="es-ES" w:bidi="es-ES"/>
        </w:rPr>
      </w:pPr>
    </w:p>
    <w:p w14:paraId="1574C45C" w14:textId="77777777" w:rsidR="00C70EDD" w:rsidRPr="006177F8" w:rsidRDefault="00C70EDD" w:rsidP="00C70EDD">
      <w:pPr>
        <w:spacing w:after="0" w:line="240" w:lineRule="auto"/>
        <w:ind w:left="709" w:right="709"/>
        <w:jc w:val="both"/>
        <w:rPr>
          <w:rFonts w:ascii="Verdana" w:eastAsia="Arial" w:hAnsi="Verdana" w:cs="Arial"/>
          <w:sz w:val="20"/>
          <w:lang w:eastAsia="es-ES" w:bidi="es-ES"/>
        </w:rPr>
      </w:pPr>
      <w:r>
        <w:rPr>
          <w:rFonts w:ascii="Verdana" w:eastAsia="Arial" w:hAnsi="Verdana" w:cs="Arial"/>
          <w:sz w:val="20"/>
          <w:lang w:val="es-ES" w:eastAsia="es-ES" w:bidi="es-ES"/>
        </w:rPr>
        <w:t>“</w:t>
      </w:r>
      <w:r w:rsidRPr="006177F8">
        <w:rPr>
          <w:rFonts w:ascii="Verdana" w:eastAsia="Arial" w:hAnsi="Verdana" w:cs="Arial"/>
          <w:sz w:val="20"/>
          <w:lang w:val="es-ES" w:eastAsia="es-ES" w:bidi="es-ES"/>
        </w:rPr>
        <w:t xml:space="preserve">[…] considera </w:t>
      </w:r>
      <w:r w:rsidRPr="006177F8">
        <w:rPr>
          <w:rFonts w:ascii="Verdana" w:eastAsia="Arial" w:hAnsi="Verdana" w:cs="Arial"/>
          <w:sz w:val="20"/>
          <w:lang w:eastAsia="es-ES" w:bidi="es-ES"/>
        </w:rPr>
        <w:t>la Sala que los servidores públicos del nivel nacional o territorial que en cumplimiento de una sentencia judicial o de una providencia proferida en una acción popular o de tutela, deban contratar, ejecutar obras, efectuar gastos e incluso hacer algún reintegro de personal durante los cuatro meses anteriores a las elecciones para cargos de elección popular general o de Presidente, según el caso, </w:t>
      </w:r>
      <w:r w:rsidRPr="006177F8">
        <w:rPr>
          <w:rFonts w:ascii="Verdana" w:eastAsia="Arial" w:hAnsi="Verdana" w:cs="Arial"/>
          <w:b/>
          <w:bCs/>
          <w:sz w:val="20"/>
          <w:lang w:eastAsia="es-ES" w:bidi="es-ES"/>
        </w:rPr>
        <w:t>no violan la ley de garantías electorales</w:t>
      </w:r>
      <w:r w:rsidRPr="006177F8">
        <w:rPr>
          <w:rFonts w:ascii="Verdana" w:eastAsia="Arial" w:hAnsi="Verdana" w:cs="Arial"/>
          <w:sz w:val="20"/>
          <w:lang w:eastAsia="es-ES" w:bidi="es-ES"/>
        </w:rPr>
        <w:t>, por las razones de orden constitucional y legal que se explican a continuación.</w:t>
      </w:r>
    </w:p>
    <w:p w14:paraId="3B9DC20F" w14:textId="77777777" w:rsidR="00C70EDD" w:rsidRPr="006177F8" w:rsidRDefault="00C70EDD" w:rsidP="00C70EDD">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Con fundamento en la autonomía del poder judicial derivada de la separación de poderes y del derecho al acceso a la administración de justicia que tienen todos los ciudadanos, las decisiones de los jueces, como ya se expuso en el acápite anterior, son de obligatorio cumplimiento para la administración y los particulares en los términos y condiciones previstos en cada providencia.</w:t>
      </w:r>
    </w:p>
    <w:p w14:paraId="2E2A7B9D" w14:textId="77777777" w:rsidR="00C70EDD" w:rsidRPr="006177F8" w:rsidRDefault="00C70EDD" w:rsidP="00C70EDD">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 xml:space="preserve">Los actos de ejecución que la administración deba expedir o realizar para dar cabal cumplimiento a lo ordenado en las providencias judiciales, se </w:t>
      </w:r>
      <w:r w:rsidRPr="006177F8">
        <w:rPr>
          <w:rFonts w:ascii="Verdana" w:eastAsia="Arial" w:hAnsi="Verdana" w:cs="Arial"/>
          <w:sz w:val="20"/>
          <w:lang w:eastAsia="es-ES" w:bidi="es-ES"/>
        </w:rPr>
        <w:lastRenderedPageBreak/>
        <w:t>fundamentan en decisiones desprovistas </w:t>
      </w:r>
      <w:r w:rsidRPr="006177F8">
        <w:rPr>
          <w:rFonts w:ascii="Verdana" w:eastAsia="Arial" w:hAnsi="Verdana" w:cs="Arial"/>
          <w:i/>
          <w:iCs/>
          <w:sz w:val="20"/>
          <w:lang w:eastAsia="es-ES" w:bidi="es-ES"/>
        </w:rPr>
        <w:t>per se </w:t>
      </w:r>
      <w:r w:rsidRPr="006177F8">
        <w:rPr>
          <w:rFonts w:ascii="Verdana" w:eastAsia="Arial" w:hAnsi="Verdana" w:cs="Arial"/>
          <w:sz w:val="20"/>
          <w:lang w:eastAsia="es-ES" w:bidi="es-ES"/>
        </w:rPr>
        <w:t>de intereses proselitistas, pues los funcionarios investidos de jurisdicción, al impartir justicia sólo están sometidos al imperio de la Constitución y de la ley (artículo 230 C.P.) , de manera que sus fallos no son fruto de las presiones propias de épocas de campaña electoral, ni comprometen o amenazan la transparencia de la actividad administrativa tutelada en la ley de </w:t>
      </w:r>
      <w:hyperlink r:id="rId11" w:anchor="0" w:history="1">
        <w:r w:rsidRPr="006177F8">
          <w:rPr>
            <w:rStyle w:val="Hipervnculo"/>
            <w:rFonts w:ascii="Verdana" w:eastAsia="Arial" w:hAnsi="Verdana" w:cs="Arial"/>
            <w:color w:val="auto"/>
            <w:sz w:val="20"/>
            <w:u w:val="none"/>
            <w:lang w:eastAsia="es-ES" w:bidi="es-ES"/>
          </w:rPr>
          <w:t>996</w:t>
        </w:r>
      </w:hyperlink>
      <w:r w:rsidRPr="006177F8">
        <w:rPr>
          <w:rFonts w:ascii="Verdana" w:eastAsia="Arial" w:hAnsi="Verdana" w:cs="Arial"/>
          <w:sz w:val="20"/>
          <w:lang w:eastAsia="es-ES" w:bidi="es-ES"/>
        </w:rPr>
        <w:t> de 2005</w:t>
      </w:r>
    </w:p>
    <w:p w14:paraId="2ED4F86C" w14:textId="77777777" w:rsidR="00C70EDD" w:rsidRPr="006177F8" w:rsidRDefault="00C70EDD" w:rsidP="00C70EDD">
      <w:pPr>
        <w:spacing w:after="0" w:line="240" w:lineRule="auto"/>
        <w:ind w:left="709" w:right="709"/>
        <w:jc w:val="both"/>
        <w:rPr>
          <w:rFonts w:ascii="Verdana" w:eastAsia="Arial" w:hAnsi="Verdana" w:cs="Arial"/>
          <w:sz w:val="20"/>
          <w:lang w:eastAsia="es-ES" w:bidi="es-ES"/>
        </w:rPr>
      </w:pPr>
      <w:r w:rsidRPr="006177F8">
        <w:rPr>
          <w:rFonts w:ascii="Verdana" w:eastAsia="Arial" w:hAnsi="Verdana" w:cs="Arial"/>
          <w:sz w:val="20"/>
          <w:lang w:eastAsia="es-ES" w:bidi="es-ES"/>
        </w:rPr>
        <w:t>Por tanto, el derecho de acceso y de obtener una pronta y cumplida administración de justicia , que se concreta cuando se cumple lo ordenado en las respectivas sentencias, hacen que no sea necesario que el legislador hubiese incluido el cumplimiento de fallos judiciales como parte de las excepciones a los regímenes prohibitivos contendido en los artículos </w:t>
      </w:r>
      <w:hyperlink r:id="rId12" w:anchor="32" w:history="1">
        <w:r w:rsidRPr="006177F8">
          <w:rPr>
            <w:rStyle w:val="Hipervnculo"/>
            <w:rFonts w:ascii="Verdana" w:eastAsia="Arial" w:hAnsi="Verdana" w:cs="Arial"/>
            <w:color w:val="auto"/>
            <w:sz w:val="20"/>
            <w:u w:val="none"/>
            <w:lang w:eastAsia="es-ES" w:bidi="es-ES"/>
          </w:rPr>
          <w:t>32</w:t>
        </w:r>
      </w:hyperlink>
      <w:r w:rsidRPr="006177F8">
        <w:rPr>
          <w:rFonts w:ascii="Verdana" w:eastAsia="Arial" w:hAnsi="Verdana" w:cs="Arial"/>
          <w:sz w:val="20"/>
          <w:lang w:eastAsia="es-ES" w:bidi="es-ES"/>
        </w:rPr>
        <w:t>, </w:t>
      </w:r>
      <w:hyperlink r:id="rId13" w:anchor="33" w:history="1">
        <w:r w:rsidRPr="006177F8">
          <w:rPr>
            <w:rStyle w:val="Hipervnculo"/>
            <w:rFonts w:ascii="Verdana" w:eastAsia="Arial" w:hAnsi="Verdana" w:cs="Arial"/>
            <w:color w:val="auto"/>
            <w:sz w:val="20"/>
            <w:u w:val="none"/>
            <w:lang w:eastAsia="es-ES" w:bidi="es-ES"/>
          </w:rPr>
          <w:t>33</w:t>
        </w:r>
      </w:hyperlink>
      <w:r w:rsidRPr="006177F8">
        <w:rPr>
          <w:rFonts w:ascii="Verdana" w:eastAsia="Arial" w:hAnsi="Verdana" w:cs="Arial"/>
          <w:sz w:val="20"/>
          <w:lang w:eastAsia="es-ES" w:bidi="es-ES"/>
        </w:rPr>
        <w:t> y el parágrafo del artículo </w:t>
      </w:r>
      <w:hyperlink r:id="rId14" w:anchor="38" w:history="1">
        <w:r w:rsidRPr="006177F8">
          <w:rPr>
            <w:rStyle w:val="Hipervnculo"/>
            <w:rFonts w:ascii="Verdana" w:eastAsia="Arial" w:hAnsi="Verdana" w:cs="Arial"/>
            <w:color w:val="auto"/>
            <w:sz w:val="20"/>
            <w:u w:val="none"/>
            <w:lang w:eastAsia="es-ES" w:bidi="es-ES"/>
          </w:rPr>
          <w:t>38</w:t>
        </w:r>
      </w:hyperlink>
      <w:r w:rsidRPr="006177F8">
        <w:rPr>
          <w:rFonts w:ascii="Verdana" w:eastAsia="Arial" w:hAnsi="Verdana" w:cs="Arial"/>
          <w:sz w:val="20"/>
          <w:lang w:eastAsia="es-ES" w:bidi="es-ES"/>
        </w:rPr>
        <w:t>, todos ellos de la ley 996 de 2005, ya que la fuerza vinculante de la sentencias emana directamente de estructura del Estado y de la autonomía conferida al poder judicial</w:t>
      </w:r>
      <w:r>
        <w:rPr>
          <w:rFonts w:ascii="Verdana" w:eastAsia="Arial" w:hAnsi="Verdana" w:cs="Arial"/>
          <w:sz w:val="20"/>
          <w:lang w:eastAsia="es-ES" w:bidi="es-ES"/>
        </w:rPr>
        <w:t>”</w:t>
      </w:r>
      <w:r w:rsidRPr="006177F8">
        <w:rPr>
          <w:rFonts w:ascii="Verdana" w:eastAsia="Arial" w:hAnsi="Verdana" w:cs="Arial"/>
          <w:sz w:val="20"/>
          <w:lang w:eastAsia="es-ES" w:bidi="es-ES"/>
        </w:rPr>
        <w:t>.</w:t>
      </w:r>
      <w:r>
        <w:rPr>
          <w:rFonts w:ascii="Verdana" w:eastAsia="Arial" w:hAnsi="Verdana" w:cs="Arial"/>
          <w:sz w:val="20"/>
          <w:lang w:eastAsia="es-ES" w:bidi="es-ES"/>
        </w:rPr>
        <w:t xml:space="preserve"> (énfasis dentro del texto). </w:t>
      </w:r>
    </w:p>
    <w:p w14:paraId="3B4B1E87" w14:textId="77777777" w:rsidR="00C70EDD" w:rsidRPr="006177F8" w:rsidRDefault="00C70EDD" w:rsidP="00C70EDD">
      <w:pPr>
        <w:spacing w:after="120" w:line="240" w:lineRule="auto"/>
        <w:ind w:firstLine="709"/>
        <w:jc w:val="both"/>
        <w:rPr>
          <w:rFonts w:ascii="Verdana" w:eastAsia="Arial" w:hAnsi="Verdana" w:cs="Arial"/>
          <w:lang w:eastAsia="es-ES" w:bidi="es-ES"/>
        </w:rPr>
      </w:pPr>
    </w:p>
    <w:p w14:paraId="4BDEEBF9" w14:textId="77777777" w:rsidR="00C70EDD" w:rsidRDefault="00C70EDD" w:rsidP="00C70EDD">
      <w:pPr>
        <w:spacing w:after="120" w:line="276" w:lineRule="auto"/>
        <w:ind w:firstLine="708"/>
        <w:jc w:val="both"/>
        <w:rPr>
          <w:rFonts w:ascii="Verdana" w:hAnsi="Verdana" w:cs="Arial"/>
          <w:lang w:val="es-ES"/>
        </w:rPr>
      </w:pPr>
      <w:r>
        <w:rPr>
          <w:rFonts w:ascii="Verdana" w:hAnsi="Verdana" w:cs="Arial"/>
          <w:lang w:val="es-ES"/>
        </w:rPr>
        <w:t xml:space="preserve">El </w:t>
      </w:r>
      <w:r w:rsidRPr="006177F8">
        <w:rPr>
          <w:rFonts w:ascii="Verdana" w:hAnsi="Verdana" w:cs="Arial"/>
          <w:lang w:val="es-ES"/>
        </w:rPr>
        <w:t xml:space="preserve">razonamiento de la Sala de Consulta y Servicio Civil del Consejo de Estado establece que las decisiones judiciales no se encuentran restringidas por las limitaciones de la Ley de Garantías Electorales. En consecuencia, es posible que un juez ordene la suscripción de un contrato de manera directa, como ocurre con la contratación de un perito dentro de un proceso judicial. </w:t>
      </w:r>
      <w:r>
        <w:rPr>
          <w:rFonts w:ascii="Verdana" w:hAnsi="Verdana" w:cs="Arial"/>
          <w:lang w:val="es-ES"/>
        </w:rPr>
        <w:t>De tal manera, n</w:t>
      </w:r>
      <w:r w:rsidRPr="006177F8">
        <w:rPr>
          <w:rFonts w:ascii="Verdana" w:hAnsi="Verdana" w:cs="Arial"/>
          <w:lang w:val="es-ES"/>
        </w:rPr>
        <w:t>egar esta posibilidad significaría desconocer el principio de colaboración armónica entre poderes y, además, vulnerar el derecho fundamental de acceso a la justicia. Por ello, debe entenderse que el cumplimiento de órdenes judiciales se encuentra por fuera de los fines, límites y condiciones previstos en la Ley de Garantías Electorales, pues su naturaleza responde a la obligación constitucional de garantizar la efectividad de las decisiones judiciales y la protección de los derechos fundamentales.</w:t>
      </w:r>
    </w:p>
    <w:p w14:paraId="420F7B82" w14:textId="77777777" w:rsidR="00C70EDD" w:rsidRPr="00C3378E" w:rsidRDefault="00C70EDD" w:rsidP="00C70EDD">
      <w:pPr>
        <w:spacing w:before="120" w:after="0" w:line="276" w:lineRule="auto"/>
        <w:jc w:val="both"/>
        <w:rPr>
          <w:rFonts w:ascii="Verdana" w:eastAsia="Times New Roman" w:hAnsi="Verdana" w:cs="Arial"/>
          <w:bCs/>
          <w:lang w:val="es-MX" w:eastAsia="es-CO"/>
        </w:rPr>
      </w:pPr>
      <w:r>
        <w:rPr>
          <w:rFonts w:ascii="Verdana" w:eastAsia="Times New Roman" w:hAnsi="Verdana" w:cs="Arial"/>
          <w:bCs/>
          <w:lang w:val="es-ES" w:eastAsia="es-CO"/>
        </w:rPr>
        <w:tab/>
        <w:t xml:space="preserve">Se reitera </w:t>
      </w:r>
      <w:r w:rsidRPr="00C3378E">
        <w:rPr>
          <w:rFonts w:ascii="Verdana" w:eastAsia="Times New Roman" w:hAnsi="Verdana" w:cs="Arial"/>
          <w:bCs/>
          <w:lang w:val="es-MX" w:eastAsia="es-CO"/>
        </w:rPr>
        <w:t xml:space="preserve">que las prórrogas, modificaciones o adiciones de los contratos suscritos antes de la entrada en vigor de las prohibiciones anotadas, así como la cesión de </w:t>
      </w:r>
      <w:proofErr w:type="gramStart"/>
      <w:r w:rsidRPr="00C3378E">
        <w:rPr>
          <w:rFonts w:ascii="Verdana" w:eastAsia="Times New Roman" w:hAnsi="Verdana" w:cs="Arial"/>
          <w:bCs/>
          <w:lang w:val="es-MX" w:eastAsia="es-CO"/>
        </w:rPr>
        <w:t>los mismos</w:t>
      </w:r>
      <w:proofErr w:type="gramEnd"/>
      <w:r w:rsidRPr="00C3378E">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C3378E">
        <w:rPr>
          <w:rFonts w:ascii="Verdana" w:eastAsia="Times New Roman" w:hAnsi="Verdana" w:cs="Arial"/>
          <w:bCs/>
          <w:vertAlign w:val="superscript"/>
          <w:lang w:val="es-MX" w:eastAsia="es-CO"/>
        </w:rPr>
        <w:footnoteReference w:id="30"/>
      </w:r>
      <w:r w:rsidRPr="00C3378E">
        <w:rPr>
          <w:rFonts w:ascii="Verdana" w:eastAsia="Times New Roman" w:hAnsi="Verdana" w:cs="Arial"/>
          <w:bCs/>
          <w:lang w:val="es-MX" w:eastAsia="es-CO"/>
        </w:rPr>
        <w:t>. Además, también es posible que contratos celebrados previamente se continúen ejecutando con normalidad.</w:t>
      </w:r>
    </w:p>
    <w:p w14:paraId="67021213" w14:textId="77777777" w:rsidR="00C70EDD" w:rsidRPr="0022149E" w:rsidRDefault="00C70EDD" w:rsidP="00C70EDD">
      <w:pPr>
        <w:shd w:val="clear" w:color="auto" w:fill="FFFFFF"/>
        <w:spacing w:after="0" w:line="276" w:lineRule="auto"/>
        <w:jc w:val="both"/>
        <w:rPr>
          <w:rFonts w:ascii="Verdana" w:eastAsia="Times New Roman" w:hAnsi="Verdana" w:cs="Arial"/>
          <w:lang w:val="es-ES" w:eastAsia="es-MX"/>
        </w:rPr>
      </w:pPr>
    </w:p>
    <w:p w14:paraId="557C59AA" w14:textId="77777777" w:rsidR="00C70EDD" w:rsidRPr="00BB46CC" w:rsidRDefault="00C70EDD" w:rsidP="00C70EDD">
      <w:pPr>
        <w:spacing w:after="120" w:line="276" w:lineRule="auto"/>
        <w:jc w:val="both"/>
        <w:rPr>
          <w:rFonts w:ascii="Verdana" w:eastAsia="Calibri" w:hAnsi="Verdana"/>
          <w:color w:val="000000" w:themeColor="text1"/>
        </w:rPr>
      </w:pPr>
      <w:r w:rsidRPr="0022149E">
        <w:rPr>
          <w:rFonts w:ascii="Verdana" w:eastAsia="Times New Roman" w:hAnsi="Verdana" w:cs="Arial"/>
          <w:lang w:val="es-ES" w:eastAsia="es-MX"/>
        </w:rPr>
        <w:lastRenderedPageBreak/>
        <w:t>vi.</w:t>
      </w:r>
      <w:r>
        <w:rPr>
          <w:rFonts w:ascii="Verdana" w:eastAsia="Times New Roman" w:hAnsi="Verdana" w:cs="Arial"/>
          <w:lang w:val="es-ES" w:eastAsia="es-MX"/>
        </w:rPr>
        <w:t xml:space="preserve"> </w:t>
      </w:r>
      <w:r w:rsidRPr="00DA60DB">
        <w:rPr>
          <w:rFonts w:ascii="Verdana" w:eastAsia="Calibri" w:hAnsi="Verdana"/>
          <w:bCs/>
          <w:color w:val="000000" w:themeColor="text1"/>
        </w:rPr>
        <w:t>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w:t>
      </w:r>
      <w:r w:rsidRPr="00DA60DB">
        <w:rPr>
          <w:rFonts w:ascii="Verdana" w:eastAsia="Calibri" w:hAnsi="Verdana"/>
          <w:bCs/>
          <w:color w:val="000000" w:themeColor="text1"/>
          <w:vertAlign w:val="superscript"/>
        </w:rPr>
        <w:footnoteReference w:id="31"/>
      </w:r>
      <w:r w:rsidRPr="00DA60DB">
        <w:rPr>
          <w:rFonts w:ascii="Verdana" w:eastAsia="Calibri" w:hAnsi="Verdana"/>
          <w:bCs/>
          <w:color w:val="000000" w:themeColor="text1"/>
        </w:rPr>
        <w:t>. Por tanto, se diferencia del contrato de compraventa en que no opera una transferencia del dominio del bien cuyo uso y goce se entrega.</w:t>
      </w:r>
    </w:p>
    <w:p w14:paraId="1E88A4C7" w14:textId="77777777" w:rsidR="00C70EDD" w:rsidRPr="00DA60DB" w:rsidRDefault="00C70EDD" w:rsidP="00C70EDD">
      <w:pPr>
        <w:spacing w:after="120" w:line="276" w:lineRule="auto"/>
        <w:ind w:firstLine="708"/>
        <w:jc w:val="both"/>
        <w:rPr>
          <w:rFonts w:ascii="Verdana" w:eastAsia="Calibri" w:hAnsi="Verdana"/>
          <w:bCs/>
          <w:color w:val="000000" w:themeColor="text1"/>
          <w:lang w:val="es-ES"/>
        </w:rPr>
      </w:pPr>
      <w:r w:rsidRPr="00DA60DB">
        <w:rPr>
          <w:rFonts w:ascii="Verdana" w:eastAsia="Calibri" w:hAnsi="Verdana"/>
          <w:bCs/>
          <w:color w:val="000000" w:themeColor="text1"/>
          <w:lang w:val="es-ES"/>
        </w:rPr>
        <w:t xml:space="preserve">En </w:t>
      </w:r>
      <w:r w:rsidRPr="00DA60DB">
        <w:rPr>
          <w:rFonts w:ascii="Verdana" w:eastAsia="Calibri" w:hAnsi="Verdana"/>
          <w:color w:val="000000" w:themeColor="text1"/>
          <w:lang w:val="es-ES"/>
        </w:rPr>
        <w:t>cuanto</w:t>
      </w:r>
      <w:r w:rsidRPr="00DA60DB">
        <w:rPr>
          <w:rFonts w:ascii="Verdana" w:eastAsia="Calibri" w:hAnsi="Verdana"/>
          <w:bCs/>
          <w:color w:val="000000" w:themeColor="text1"/>
          <w:lang w:val="es-ES"/>
        </w:rPr>
        <w:t xml:space="preserve"> a sus características, la doctrina ha indicado que el arrendamiento es un contrato: i) bilateral, pues ambas partes se obligan recíprocamente; </w:t>
      </w:r>
      <w:proofErr w:type="spellStart"/>
      <w:r w:rsidRPr="00DA60DB">
        <w:rPr>
          <w:rFonts w:ascii="Verdana" w:eastAsia="Calibri" w:hAnsi="Verdana"/>
          <w:bCs/>
          <w:color w:val="000000" w:themeColor="text1"/>
          <w:lang w:val="es-ES"/>
        </w:rPr>
        <w:t>ii</w:t>
      </w:r>
      <w:proofErr w:type="spellEnd"/>
      <w:r w:rsidRPr="00DA60DB">
        <w:rPr>
          <w:rFonts w:ascii="Verdana" w:eastAsia="Calibri" w:hAnsi="Verdana"/>
          <w:bCs/>
          <w:color w:val="000000" w:themeColor="text1"/>
          <w:lang w:val="es-ES"/>
        </w:rPr>
        <w:t>) consensual, dado que se perfecciona con el consentimiento</w:t>
      </w:r>
      <w:r w:rsidRPr="00DA60DB">
        <w:rPr>
          <w:rFonts w:ascii="Verdana" w:eastAsia="Calibri" w:hAnsi="Verdana"/>
          <w:bCs/>
          <w:color w:val="000000" w:themeColor="text1"/>
          <w:vertAlign w:val="superscript"/>
          <w:lang w:val="es-ES"/>
        </w:rPr>
        <w:footnoteReference w:id="32"/>
      </w:r>
      <w:r w:rsidRPr="00DA60DB">
        <w:rPr>
          <w:rFonts w:ascii="Verdana" w:eastAsia="Calibri" w:hAnsi="Verdana"/>
          <w:bCs/>
          <w:color w:val="000000" w:themeColor="text1"/>
          <w:lang w:val="es-ES"/>
        </w:rPr>
        <w:t xml:space="preserve">; </w:t>
      </w:r>
      <w:proofErr w:type="spellStart"/>
      <w:r w:rsidRPr="00DA60DB">
        <w:rPr>
          <w:rFonts w:ascii="Verdana" w:eastAsia="Calibri" w:hAnsi="Verdana"/>
          <w:bCs/>
          <w:color w:val="000000" w:themeColor="text1"/>
          <w:lang w:val="es-ES"/>
        </w:rPr>
        <w:t>iii</w:t>
      </w:r>
      <w:proofErr w:type="spellEnd"/>
      <w:r w:rsidRPr="00DA60DB">
        <w:rPr>
          <w:rFonts w:ascii="Verdana" w:eastAsia="Calibri" w:hAnsi="Verdana"/>
          <w:bCs/>
          <w:color w:val="000000" w:themeColor="text1"/>
          <w:lang w:val="es-ES"/>
        </w:rPr>
        <w:t xml:space="preserve">) oneroso, ya que ambas partes obtienen utilidades –el arrendatario, el uso y goce del bien, y el arrendador la renta o canon–; </w:t>
      </w:r>
      <w:proofErr w:type="spellStart"/>
      <w:r w:rsidRPr="00DA60DB">
        <w:rPr>
          <w:rFonts w:ascii="Verdana" w:eastAsia="Calibri" w:hAnsi="Verdana"/>
          <w:bCs/>
          <w:color w:val="000000" w:themeColor="text1"/>
          <w:lang w:val="es-ES"/>
        </w:rPr>
        <w:t>iv</w:t>
      </w:r>
      <w:proofErr w:type="spellEnd"/>
      <w:r w:rsidRPr="00DA60DB">
        <w:rPr>
          <w:rFonts w:ascii="Verdana" w:eastAsia="Calibri" w:hAnsi="Verdana"/>
          <w:bCs/>
          <w:color w:val="000000" w:themeColor="text1"/>
          <w:lang w:val="es-ES"/>
        </w:rPr>
        <w:t>) de ejecución sucesiva, en la medida en que se ejecuta en forma periódica; v) principal, porque existe en forma autónoma; y v) nominado, porque está tipificado y desarrollado en la ley</w:t>
      </w:r>
      <w:r w:rsidRPr="00DA60DB">
        <w:rPr>
          <w:rFonts w:ascii="Verdana" w:eastAsia="Calibri" w:hAnsi="Verdana"/>
          <w:bCs/>
          <w:color w:val="000000" w:themeColor="text1"/>
          <w:vertAlign w:val="superscript"/>
          <w:lang w:val="es-ES"/>
        </w:rPr>
        <w:footnoteReference w:id="33"/>
      </w:r>
      <w:r w:rsidRPr="00DA60DB">
        <w:rPr>
          <w:rFonts w:ascii="Verdana" w:eastAsia="Calibri" w:hAnsi="Verdana"/>
          <w:bCs/>
          <w:color w:val="000000" w:themeColor="text1"/>
          <w:lang w:val="es-ES"/>
        </w:rPr>
        <w:t xml:space="preserve">. </w:t>
      </w:r>
    </w:p>
    <w:p w14:paraId="7B262DD9" w14:textId="77777777" w:rsidR="00C70EDD" w:rsidRPr="00BB46CC" w:rsidRDefault="00C70EDD" w:rsidP="00C70EDD">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w:t>
      </w:r>
      <w:r>
        <w:rPr>
          <w:rFonts w:ascii="Verdana" w:eastAsia="Calibri" w:hAnsi="Verdana"/>
          <w:color w:val="000000" w:themeColor="text1"/>
        </w:rPr>
        <w:t>torno</w:t>
      </w:r>
      <w:r w:rsidRPr="00BB46CC">
        <w:rPr>
          <w:rFonts w:ascii="Verdana" w:eastAsia="Calibri" w:hAnsi="Verdana"/>
          <w:color w:val="000000" w:themeColor="text1"/>
        </w:rPr>
        <w:t xml:space="preserve"> a su regulación, son, principalmente, los artículos 1973 al 2078 del Código Civil los que lo desarrollan. Pero también existen normas especiales sobre el contrato de arrendamiento en los artículos 518 al 523 del Código de Comercio –sobre arrendamiento de inmuebles para los establecimientos de comercio–, 1678 al 1687 y 1890 al 1899 de la misma codificación –sobre arrendamiento de naves–; y en la Ley 820 de 2003, </w:t>
      </w:r>
      <w:r>
        <w:rPr>
          <w:rFonts w:ascii="Verdana" w:eastAsia="Calibri" w:hAnsi="Verdana"/>
          <w:color w:val="000000" w:themeColor="text1"/>
        </w:rPr>
        <w:t>“</w:t>
      </w:r>
      <w:r w:rsidRPr="00E21DBA">
        <w:rPr>
          <w:rFonts w:ascii="Verdana" w:eastAsia="Calibri" w:hAnsi="Verdana"/>
          <w:color w:val="000000" w:themeColor="text1"/>
        </w:rPr>
        <w:t>Por la cual se expide el régimen de arrendamiento de vivienda urbana y se dictan otras disposiciones</w:t>
      </w:r>
      <w:r>
        <w:rPr>
          <w:rFonts w:ascii="Verdana" w:eastAsia="Calibri" w:hAnsi="Verdana"/>
          <w:color w:val="000000" w:themeColor="text1"/>
        </w:rPr>
        <w:t>”</w:t>
      </w:r>
      <w:r w:rsidRPr="00BB46CC">
        <w:rPr>
          <w:rFonts w:ascii="Verdana" w:eastAsia="Calibri" w:hAnsi="Verdana"/>
          <w:color w:val="000000" w:themeColor="text1"/>
        </w:rPr>
        <w:t>.</w:t>
      </w:r>
    </w:p>
    <w:p w14:paraId="02B9C995" w14:textId="77777777" w:rsidR="00C70EDD" w:rsidRDefault="00C70EDD" w:rsidP="00C70EDD">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igual sentido, por su importancia en la contratación estatal, debe precisarse que la modalidad de selección aplicable a la celebración de los contratos de arrendamiento depende del régimen aplicable a la entidad estatal. </w:t>
      </w:r>
      <w:r w:rsidRPr="00BB46CC">
        <w:rPr>
          <w:rFonts w:ascii="Verdana" w:eastAsia="Calibri" w:hAnsi="Verdana"/>
          <w:color w:val="000000" w:themeColor="text1"/>
        </w:rPr>
        <w:lastRenderedPageBreak/>
        <w:t xml:space="preserve">Si se rige por el derecho privado, es decir, si está exceptuada del Estatuto General de Contratación de la Administración Pública, debe aplicar en principio las normas civiles y comerciales mencionadas, en las cuales se permite la celebración directa del contrato de arrendamiento, pero si el reglamento o manual interno de contratación de la entidad dispone que debe efectuar algún procedimiento especial, este prevalece. </w:t>
      </w:r>
    </w:p>
    <w:p w14:paraId="2C771466" w14:textId="77777777" w:rsidR="00C70EDD" w:rsidRDefault="00C70EDD" w:rsidP="00C70EDD">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contrate, si la entidad estatal se rige por el Estatuto General de Contratación de la Administración Pública, bien sea que obre en calidad de arrendadora o arrendataria, debe acudir a la modalidad de selección de contratación directa si arrendara un inmueble, pues el artículo 2º, numeral 4° literal i) de la Ley 1150 de 2007 establece que una de las causales de este procedimiento es “i) El arrendamiento o adquisición de inmuebles”. En ambos supuestos la entidad estatal </w:t>
      </w:r>
      <w:r>
        <w:rPr>
          <w:rFonts w:ascii="Verdana" w:eastAsia="Calibri" w:hAnsi="Verdana"/>
          <w:color w:val="000000" w:themeColor="text1"/>
        </w:rPr>
        <w:t xml:space="preserve">–arrendadora o arrendataria- </w:t>
      </w:r>
      <w:r w:rsidRPr="00BB46CC">
        <w:rPr>
          <w:rFonts w:ascii="Verdana" w:eastAsia="Calibri" w:hAnsi="Verdana"/>
          <w:color w:val="000000" w:themeColor="text1"/>
        </w:rPr>
        <w:t>también debe aplicar las normas civiles y comerciales que regulan la sustantividad del contrato de arrendamiento, porque a estas se remiten los artículos 13, 32 y 40 de la Ley 80 de 1993.</w:t>
      </w:r>
      <w:r>
        <w:rPr>
          <w:rFonts w:ascii="Verdana" w:eastAsia="Calibri" w:hAnsi="Verdana"/>
          <w:color w:val="000000" w:themeColor="text1"/>
        </w:rPr>
        <w:t xml:space="preserve"> </w:t>
      </w:r>
      <w:r w:rsidRPr="00BB46CC">
        <w:rPr>
          <w:rFonts w:ascii="Verdana" w:eastAsia="Calibri" w:hAnsi="Verdana"/>
          <w:color w:val="000000" w:themeColor="text1"/>
        </w:rPr>
        <w:t xml:space="preserve">Por otro lado, La Ley 80 de 1993, en el texto original del artículo 41, estableció que los requisitos para perfeccionar el contrato eran: i) llegar a un acuerdo sobre el objeto y la contraprestación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xml:space="preserve">) que conste por escrito. Por su parte, para iniciar la ejecución se requería: i) la constitución y aprobación de la garantía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la existencia del registro presupuestal.</w:t>
      </w:r>
    </w:p>
    <w:p w14:paraId="6F565A88" w14:textId="77777777" w:rsidR="00C70EDD" w:rsidRPr="005C008F" w:rsidRDefault="00C70EDD" w:rsidP="00C70EDD">
      <w:pPr>
        <w:spacing w:after="120" w:line="276" w:lineRule="auto"/>
        <w:ind w:firstLine="709"/>
        <w:jc w:val="both"/>
        <w:rPr>
          <w:rFonts w:ascii="Verdana" w:eastAsia="Calibri" w:hAnsi="Verdana"/>
          <w:color w:val="000000" w:themeColor="text1"/>
        </w:rPr>
      </w:pPr>
      <w:r>
        <w:rPr>
          <w:rFonts w:ascii="Verdana" w:eastAsia="Calibri" w:hAnsi="Verdana"/>
          <w:color w:val="000000" w:themeColor="text1"/>
        </w:rPr>
        <w:t>Teniendo en cuenta lo expuesto anteriormente, c</w:t>
      </w:r>
      <w:r w:rsidRPr="005C008F">
        <w:rPr>
          <w:rFonts w:ascii="Verdana" w:eastAsia="Calibri" w:hAnsi="Verdana"/>
          <w:color w:val="000000" w:themeColor="text1"/>
        </w:rPr>
        <w:t>uando una entidad estatal actúa como arrendadora de un bien inmueble, no requiere disponibilidad presupuestal ni registro o compromiso presupuestal, dado que el pago corresponde al arrendatario, quien generalmente es un particular. La excepción se presenta cuando el arrendatario es otra entidad pública, en cuyo caso sí debe contar con la respectiva disponibilidad y compromiso presupuestal para cumplir con la obligación de pago.</w:t>
      </w:r>
    </w:p>
    <w:p w14:paraId="5EDBFD34" w14:textId="77777777" w:rsidR="00C70EDD" w:rsidRPr="00BB46CC" w:rsidRDefault="00C70EDD" w:rsidP="00C70EDD">
      <w:pPr>
        <w:spacing w:after="120" w:line="276" w:lineRule="auto"/>
        <w:ind w:firstLine="708"/>
        <w:jc w:val="both"/>
        <w:rPr>
          <w:rFonts w:ascii="Verdana" w:eastAsia="Calibri" w:hAnsi="Verdana"/>
          <w:color w:val="000000" w:themeColor="text1"/>
        </w:rPr>
      </w:pPr>
      <w:r w:rsidRPr="00BB46CC">
        <w:rPr>
          <w:rFonts w:ascii="Verdana" w:eastAsia="Calibri" w:hAnsi="Verdana"/>
          <w:color w:val="000000" w:themeColor="text1"/>
        </w:rPr>
        <w:t xml:space="preserve">En virtud de este contrato, las partes se obligan, una a conceder el goce del inmueble, y otra a pagar un precio por el mismo. Estos contratos tienen como elementos característicos, conforme a la ley y a la jurisprudencia del Consejo de Estado, los siguientes: i) entrega de un bien que efectúa el arrendador al arrendatario para el goce o uso exclusivo de este y </w:t>
      </w:r>
      <w:proofErr w:type="spellStart"/>
      <w:r w:rsidRPr="00BB46CC">
        <w:rPr>
          <w:rFonts w:ascii="Verdana" w:eastAsia="Calibri" w:hAnsi="Verdana"/>
          <w:color w:val="000000" w:themeColor="text1"/>
        </w:rPr>
        <w:t>ii</w:t>
      </w:r>
      <w:proofErr w:type="spellEnd"/>
      <w:r w:rsidRPr="00BB46CC">
        <w:rPr>
          <w:rFonts w:ascii="Verdana" w:eastAsia="Calibri" w:hAnsi="Verdana"/>
          <w:color w:val="000000" w:themeColor="text1"/>
        </w:rPr>
        <w:t xml:space="preserve">) el pago de un precio por el uso o goce del bien arrendado. </w:t>
      </w:r>
    </w:p>
    <w:p w14:paraId="388DA003" w14:textId="77777777" w:rsidR="00C70EDD" w:rsidRDefault="00C70EDD" w:rsidP="00C70EDD">
      <w:pPr>
        <w:spacing w:after="120" w:line="276" w:lineRule="auto"/>
        <w:ind w:firstLine="708"/>
        <w:jc w:val="both"/>
        <w:rPr>
          <w:rFonts w:ascii="Verdana" w:eastAsiaTheme="minorEastAsia" w:hAnsi="Verdana" w:cs="Arial"/>
          <w:bCs/>
          <w:lang w:val="es-MX" w:eastAsia="es-CO"/>
        </w:rPr>
      </w:pPr>
      <w:r>
        <w:rPr>
          <w:rFonts w:ascii="Verdana" w:eastAsia="Calibri" w:hAnsi="Verdana"/>
          <w:color w:val="000000" w:themeColor="text1"/>
        </w:rPr>
        <w:t xml:space="preserve">Bajo esta lógica, no es posible que la entidad estatal en calidad de arrendadora o de arrendataria de un bien inmueble pueda suscribir un contrato </w:t>
      </w:r>
      <w:r>
        <w:rPr>
          <w:rFonts w:ascii="Verdana" w:eastAsia="Calibri" w:hAnsi="Verdana"/>
          <w:color w:val="000000" w:themeColor="text1"/>
        </w:rPr>
        <w:lastRenderedPageBreak/>
        <w:t xml:space="preserve">de arrendamiento, pues se encuentra dentro de la restricción del artículo 33 </w:t>
      </w:r>
      <w:r>
        <w:rPr>
          <w:rFonts w:ascii="Verdana" w:eastAsiaTheme="minorEastAsia" w:hAnsi="Verdana" w:cs="Arial"/>
          <w:lang w:eastAsia="es-CO"/>
        </w:rPr>
        <w:t xml:space="preserve">de la Ley 996 de 2005, la cual </w:t>
      </w:r>
      <w:r w:rsidRPr="004C1120">
        <w:rPr>
          <w:rFonts w:ascii="Verdana" w:eastAsiaTheme="minorEastAsia" w:hAnsi="Verdana" w:cs="Arial"/>
          <w:bCs/>
          <w:lang w:val="es-MX" w:eastAsia="es-CO"/>
        </w:rPr>
        <w:t xml:space="preserve">prohíbe adelantar cualquier </w:t>
      </w:r>
      <w:r>
        <w:rPr>
          <w:rFonts w:ascii="Verdana" w:eastAsiaTheme="minorEastAsia" w:hAnsi="Verdana" w:cs="Arial"/>
          <w:bCs/>
          <w:lang w:val="es-MX" w:eastAsia="es-CO"/>
        </w:rPr>
        <w:t xml:space="preserve">forma </w:t>
      </w:r>
      <w:r w:rsidRPr="004C1120">
        <w:rPr>
          <w:rFonts w:ascii="Verdana" w:eastAsiaTheme="minorEastAsia" w:hAnsi="Verdana" w:cs="Arial"/>
          <w:bCs/>
          <w:lang w:val="es-MX" w:eastAsia="es-CO"/>
        </w:rPr>
        <w:t xml:space="preserve">de contratación directa, entendida como todo mecanismo no competitivo. Es decir, </w:t>
      </w:r>
      <w:r>
        <w:rPr>
          <w:rFonts w:ascii="Verdana" w:eastAsiaTheme="minorEastAsia" w:hAnsi="Verdana" w:cs="Arial"/>
          <w:bCs/>
          <w:lang w:val="es-MX" w:eastAsia="es-CO"/>
        </w:rPr>
        <w:t xml:space="preserve">dicha restricción aplica en aquellos supuestos, en los que se pretenda </w:t>
      </w:r>
      <w:r w:rsidRPr="004C1120">
        <w:rPr>
          <w:rFonts w:ascii="Verdana" w:eastAsiaTheme="minorEastAsia" w:hAnsi="Verdana" w:cs="Arial"/>
          <w:bCs/>
          <w:lang w:val="es-MX" w:eastAsia="es-CO"/>
        </w:rPr>
        <w:t xml:space="preserve">celebrar </w:t>
      </w:r>
      <w:r>
        <w:rPr>
          <w:rFonts w:ascii="Verdana" w:eastAsiaTheme="minorEastAsia" w:hAnsi="Verdana" w:cs="Arial"/>
          <w:bCs/>
          <w:lang w:val="es-MX" w:eastAsia="es-CO"/>
        </w:rPr>
        <w:t xml:space="preserve">contratos de arrendamiento de bienes inmuebles </w:t>
      </w:r>
      <w:r w:rsidRPr="004C1120">
        <w:rPr>
          <w:rFonts w:ascii="Verdana" w:eastAsiaTheme="minorEastAsia" w:hAnsi="Verdana" w:cs="Arial"/>
          <w:bCs/>
          <w:lang w:val="es-MX" w:eastAsia="es-CO"/>
        </w:rPr>
        <w:t>de forma directa,</w:t>
      </w:r>
      <w:r>
        <w:rPr>
          <w:rFonts w:ascii="Verdana" w:eastAsiaTheme="minorEastAsia" w:hAnsi="Verdana" w:cs="Arial"/>
          <w:bCs/>
          <w:lang w:val="es-MX" w:eastAsia="es-CO"/>
        </w:rPr>
        <w:t xml:space="preserve"> ya sea en calidad de arrendadora</w:t>
      </w:r>
      <w:r w:rsidRPr="0022149E">
        <w:rPr>
          <w:rFonts w:ascii="Verdana" w:eastAsiaTheme="minorEastAsia" w:hAnsi="Verdana" w:cs="Arial"/>
          <w:bCs/>
          <w:vertAlign w:val="superscript"/>
          <w:lang w:val="es-MX" w:eastAsia="es-CO"/>
        </w:rPr>
        <w:footnoteReference w:id="34"/>
      </w:r>
      <w:r>
        <w:rPr>
          <w:rFonts w:ascii="Verdana" w:eastAsiaTheme="minorEastAsia" w:hAnsi="Verdana" w:cs="Arial"/>
          <w:bCs/>
          <w:lang w:val="es-MX" w:eastAsia="es-CO"/>
        </w:rPr>
        <w:t xml:space="preserve"> o de arrendataria, conforme a la causal de contratación directa </w:t>
      </w:r>
      <w:r>
        <w:rPr>
          <w:rFonts w:ascii="Verdana" w:eastAsiaTheme="minorEastAsia" w:hAnsi="Verdana" w:cs="Arial"/>
          <w:bCs/>
          <w:lang w:eastAsia="es-CO"/>
        </w:rPr>
        <w:t>de</w:t>
      </w:r>
      <w:r w:rsidRPr="00F45DD2">
        <w:rPr>
          <w:rFonts w:ascii="Verdana" w:eastAsiaTheme="minorEastAsia" w:hAnsi="Verdana" w:cs="Arial"/>
          <w:bCs/>
          <w:lang w:eastAsia="es-CO"/>
        </w:rPr>
        <w:t>l artículo 2º, numeral 4° literal i) de la Ley 1150 de 2007</w:t>
      </w:r>
      <w:r>
        <w:rPr>
          <w:rFonts w:ascii="Verdana" w:eastAsiaTheme="minorEastAsia" w:hAnsi="Verdana" w:cs="Arial"/>
          <w:bCs/>
          <w:lang w:eastAsia="es-CO"/>
        </w:rPr>
        <w:t>.</w:t>
      </w:r>
      <w:r>
        <w:rPr>
          <w:rFonts w:ascii="Verdana" w:eastAsiaTheme="minorEastAsia" w:hAnsi="Verdana" w:cs="Arial"/>
          <w:bCs/>
          <w:lang w:val="es-MX" w:eastAsia="es-CO"/>
        </w:rPr>
        <w:t xml:space="preserve"> E</w:t>
      </w:r>
      <w:r w:rsidRPr="004C1120">
        <w:rPr>
          <w:rFonts w:ascii="Verdana" w:eastAsiaTheme="minorEastAsia" w:hAnsi="Verdana" w:cs="Arial"/>
          <w:bCs/>
          <w:lang w:val="es-MX" w:eastAsia="es-CO"/>
        </w:rPr>
        <w:t xml:space="preserve">n este sentido, todos los entes del Estado, independiente del régimen jurídico aplicable, están sujetos a la restricción del artículo 33 de la Ley 996 de 2005, es decir, no podrán adelantar sistema que implique contratación directa respecto de las elecciones presidenciales, dentro de los cuatro (4) meses anteriores a la celebración de dichos comicios. </w:t>
      </w:r>
    </w:p>
    <w:p w14:paraId="2C40710D" w14:textId="77777777" w:rsidR="00C70EDD" w:rsidRPr="004E0592" w:rsidRDefault="00C70EDD" w:rsidP="00C70EDD">
      <w:pPr>
        <w:spacing w:after="120" w:line="276" w:lineRule="auto"/>
        <w:ind w:firstLine="708"/>
        <w:jc w:val="both"/>
        <w:rPr>
          <w:rFonts w:ascii="Verdana" w:eastAsia="Times New Roman" w:hAnsi="Verdana" w:cs="Times New Roman"/>
          <w:iCs/>
          <w:lang w:val="es-ES" w:eastAsia="es-ES"/>
        </w:rPr>
      </w:pPr>
      <w:r w:rsidRPr="00BF6124">
        <w:rPr>
          <w:rFonts w:ascii="Verdana" w:eastAsiaTheme="minorEastAsia" w:hAnsi="Verdana" w:cs="Arial"/>
          <w:bCs/>
          <w:lang w:val="es-MX" w:eastAsia="es-CO"/>
        </w:rPr>
        <w:t>Sin</w:t>
      </w:r>
      <w:r>
        <w:rPr>
          <w:rFonts w:ascii="Verdana" w:eastAsiaTheme="minorEastAsia" w:hAnsi="Verdana" w:cs="Arial"/>
          <w:bCs/>
          <w:lang w:val="es-MX" w:eastAsia="es-CO"/>
        </w:rPr>
        <w:t xml:space="preserve"> embargo, la uso de la “contratación directa”</w:t>
      </w:r>
      <w:r w:rsidRPr="00BF6124">
        <w:rPr>
          <w:rFonts w:ascii="Verdana" w:eastAsiaTheme="minorEastAsia" w:hAnsi="Verdana" w:cs="Arial"/>
          <w:bCs/>
          <w:lang w:val="es-MX" w:eastAsia="es-CO"/>
        </w:rPr>
        <w:t xml:space="preserve"> no se encuentra absolutamente proscri</w:t>
      </w:r>
      <w:r>
        <w:rPr>
          <w:rFonts w:ascii="Verdana" w:eastAsiaTheme="minorEastAsia" w:hAnsi="Verdana" w:cs="Arial"/>
          <w:bCs/>
          <w:lang w:val="es-MX" w:eastAsia="es-CO"/>
        </w:rPr>
        <w:t xml:space="preserve">ta, en la medida en que se contemplan </w:t>
      </w:r>
      <w:r w:rsidRPr="00BF6124">
        <w:rPr>
          <w:rFonts w:ascii="Verdana" w:eastAsiaTheme="minorEastAsia" w:hAnsi="Verdana" w:cs="Arial"/>
          <w:bCs/>
          <w:lang w:val="es-MX" w:eastAsia="es-CO"/>
        </w:rPr>
        <w:t>excepciones expresamente consagradas en el artículo 33 de la Ley 996 de 2005, las cuales constituyen un marco taxativo que habilita su procedencia en supuestos específicos. En este sentido, la Agencia ha desarrollado doctrina sobre cada una de dichas</w:t>
      </w:r>
      <w:r w:rsidRPr="0022149E">
        <w:rPr>
          <w:rFonts w:ascii="Verdana" w:eastAsiaTheme="minorEastAsia" w:hAnsi="Verdana" w:cs="Arial"/>
          <w:bCs/>
          <w:lang w:val="es-MX" w:eastAsia="es-CO"/>
        </w:rPr>
        <w:t xml:space="preserve"> hipótesis excepcionales, entre </w:t>
      </w:r>
      <w:r w:rsidRPr="00BF6124">
        <w:rPr>
          <w:rFonts w:ascii="Verdana" w:eastAsiaTheme="minorEastAsia" w:hAnsi="Verdana" w:cs="Arial"/>
          <w:bCs/>
          <w:lang w:val="es-MX" w:eastAsia="es-CO"/>
        </w:rPr>
        <w:t>las que se destacan: i)</w:t>
      </w:r>
      <w:r w:rsidRPr="0022149E">
        <w:rPr>
          <w:rFonts w:ascii="Verdana" w:eastAsiaTheme="minorEastAsia" w:hAnsi="Verdana" w:cs="Arial"/>
          <w:bCs/>
          <w:lang w:val="es-MX" w:eastAsia="es-CO"/>
        </w:rPr>
        <w:t xml:space="preserve"> los contratos </w:t>
      </w:r>
      <w:r w:rsidRPr="0022149E">
        <w:rPr>
          <w:rFonts w:ascii="Verdana" w:eastAsiaTheme="minorEastAsia" w:hAnsi="Verdana" w:cs="Arial"/>
          <w:bCs/>
          <w:lang w:val="es-MX" w:eastAsia="es-CO"/>
        </w:rPr>
        <w:lastRenderedPageBreak/>
        <w:t xml:space="preserve">relacionados con la defensa y seguridad del Estado, </w:t>
      </w:r>
      <w:r w:rsidRPr="00BF6124">
        <w:rPr>
          <w:rFonts w:ascii="Verdana" w:eastAsiaTheme="minorEastAsia" w:hAnsi="Verdana" w:cs="Arial"/>
          <w:bCs/>
          <w:lang w:val="es-MX" w:eastAsia="es-CO"/>
        </w:rPr>
        <w:t xml:space="preserve">analizados en el Concepto 322 de 2026; </w:t>
      </w:r>
      <w:proofErr w:type="spellStart"/>
      <w:r w:rsidRPr="00BF6124">
        <w:rPr>
          <w:rFonts w:ascii="Verdana" w:eastAsiaTheme="minorEastAsia" w:hAnsi="Verdana" w:cs="Arial"/>
          <w:bCs/>
          <w:lang w:val="es-MX" w:eastAsia="es-CO"/>
        </w:rPr>
        <w:t>ii</w:t>
      </w:r>
      <w:proofErr w:type="spellEnd"/>
      <w:r w:rsidRPr="00BF6124">
        <w:rPr>
          <w:rFonts w:ascii="Verdana" w:eastAsiaTheme="minorEastAsia" w:hAnsi="Verdana" w:cs="Arial"/>
          <w:bCs/>
          <w:lang w:val="es-MX" w:eastAsia="es-CO"/>
        </w:rPr>
        <w:t>) los contratos</w:t>
      </w:r>
      <w:r w:rsidRPr="0022149E">
        <w:rPr>
          <w:rFonts w:ascii="Verdana" w:eastAsiaTheme="minorEastAsia" w:hAnsi="Verdana" w:cs="Arial"/>
          <w:bCs/>
          <w:lang w:val="es-MX" w:eastAsia="es-CO"/>
        </w:rPr>
        <w:t xml:space="preserve"> de crédito público, </w:t>
      </w:r>
      <w:r w:rsidRPr="00BF6124">
        <w:rPr>
          <w:rFonts w:ascii="Verdana" w:eastAsiaTheme="minorEastAsia" w:hAnsi="Verdana" w:cs="Arial"/>
          <w:bCs/>
          <w:lang w:val="es-MX" w:eastAsia="es-CO"/>
        </w:rPr>
        <w:t>abordados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109 de 2022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 xml:space="preserve">413 de 2022; </w:t>
      </w:r>
      <w:proofErr w:type="spellStart"/>
      <w:r w:rsidRPr="00BF6124">
        <w:rPr>
          <w:rFonts w:ascii="Verdana" w:eastAsiaTheme="minorEastAsia" w:hAnsi="Verdana" w:cs="Arial"/>
          <w:bCs/>
          <w:lang w:val="es-MX" w:eastAsia="es-CO"/>
        </w:rPr>
        <w:t>iii</w:t>
      </w:r>
      <w:proofErr w:type="spellEnd"/>
      <w:r w:rsidRPr="00BF6124">
        <w:rPr>
          <w:rFonts w:ascii="Verdana" w:eastAsiaTheme="minorEastAsia" w:hAnsi="Verdana" w:cs="Arial"/>
          <w:bCs/>
          <w:lang w:val="es-MX" w:eastAsia="es-CO"/>
        </w:rPr>
        <w:t xml:space="preserve">) los contratos </w:t>
      </w:r>
      <w:r w:rsidRPr="0022149E">
        <w:rPr>
          <w:rFonts w:ascii="Verdana" w:eastAsiaTheme="minorEastAsia" w:hAnsi="Verdana" w:cs="Arial"/>
          <w:bCs/>
          <w:lang w:val="es-MX" w:eastAsia="es-CO"/>
        </w:rPr>
        <w:t xml:space="preserve">necesarios para atender emergencias educativas, sanitarias o desastres, </w:t>
      </w:r>
      <w:r w:rsidRPr="00BF6124">
        <w:rPr>
          <w:rFonts w:ascii="Verdana" w:eastAsiaTheme="minorEastAsia" w:hAnsi="Verdana" w:cs="Arial"/>
          <w:bCs/>
          <w:lang w:val="es-MX" w:eastAsia="es-CO"/>
        </w:rPr>
        <w:t>tratados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118 de 2026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 xml:space="preserve">176 de 2026; </w:t>
      </w:r>
      <w:proofErr w:type="spellStart"/>
      <w:r w:rsidRPr="00BF6124">
        <w:rPr>
          <w:rFonts w:ascii="Verdana" w:eastAsiaTheme="minorEastAsia" w:hAnsi="Verdana" w:cs="Arial"/>
          <w:bCs/>
          <w:lang w:val="es-MX" w:eastAsia="es-CO"/>
        </w:rPr>
        <w:t>iv</w:t>
      </w:r>
      <w:proofErr w:type="spellEnd"/>
      <w:r w:rsidRPr="00BF6124">
        <w:rPr>
          <w:rFonts w:ascii="Verdana" w:eastAsiaTheme="minorEastAsia" w:hAnsi="Verdana" w:cs="Arial"/>
          <w:bCs/>
          <w:lang w:val="es-MX" w:eastAsia="es-CO"/>
        </w:rPr>
        <w:t>) los contratos</w:t>
      </w:r>
      <w:r w:rsidRPr="0022149E">
        <w:rPr>
          <w:rFonts w:ascii="Verdana" w:eastAsiaTheme="minorEastAsia" w:hAnsi="Verdana" w:cs="Arial"/>
          <w:bCs/>
          <w:lang w:val="es-MX" w:eastAsia="es-CO"/>
        </w:rPr>
        <w:t xml:space="preserve"> destinados a la reconstrucci</w:t>
      </w:r>
      <w:r w:rsidRPr="00BF6124">
        <w:rPr>
          <w:rFonts w:ascii="Verdana" w:eastAsiaTheme="minorEastAsia" w:hAnsi="Verdana" w:cs="Verdana"/>
          <w:lang w:val="es-MX" w:eastAsia="es-CO"/>
        </w:rPr>
        <w:t>ó</w:t>
      </w:r>
      <w:r w:rsidRPr="0022149E">
        <w:rPr>
          <w:rFonts w:ascii="Verdana" w:eastAsiaTheme="minorEastAsia" w:hAnsi="Verdana" w:cs="Arial"/>
          <w:bCs/>
          <w:lang w:val="es-MX" w:eastAsia="es-CO"/>
        </w:rPr>
        <w:t>n de infraestructura vial, energética y de comunicaciones afectada por atentados, acciones terroristas, desastres naturales o fuerza mayor</w:t>
      </w:r>
      <w:r w:rsidRPr="00BF6124">
        <w:rPr>
          <w:rFonts w:ascii="Verdana" w:eastAsiaTheme="minorEastAsia" w:hAnsi="Verdana" w:cs="Arial"/>
          <w:bCs/>
          <w:lang w:val="es-MX" w:eastAsia="es-CO"/>
        </w:rPr>
        <w:t>, igualmente estudiados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118 de 2026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 xml:space="preserve">176 de 2026, entre otros; y v) </w:t>
      </w:r>
      <w:r w:rsidRPr="0022149E">
        <w:rPr>
          <w:rFonts w:ascii="Verdana" w:eastAsiaTheme="minorEastAsia" w:hAnsi="Verdana" w:cs="Arial"/>
          <w:bCs/>
          <w:lang w:val="es-MX" w:eastAsia="es-CO"/>
        </w:rPr>
        <w:t>la contrataci</w:t>
      </w:r>
      <w:r w:rsidRPr="00BF6124">
        <w:rPr>
          <w:rFonts w:ascii="Verdana" w:eastAsiaTheme="minorEastAsia" w:hAnsi="Verdana" w:cs="Verdana"/>
          <w:lang w:val="es-MX" w:eastAsia="es-CO"/>
        </w:rPr>
        <w:t>ó</w:t>
      </w:r>
      <w:r w:rsidRPr="0022149E">
        <w:rPr>
          <w:rFonts w:ascii="Verdana" w:eastAsiaTheme="minorEastAsia" w:hAnsi="Verdana" w:cs="Arial"/>
          <w:bCs/>
          <w:lang w:val="es-MX" w:eastAsia="es-CO"/>
        </w:rPr>
        <w:t xml:space="preserve">n directa </w:t>
      </w:r>
      <w:r w:rsidRPr="00BF6124">
        <w:rPr>
          <w:rFonts w:ascii="Verdana" w:eastAsiaTheme="minorEastAsia" w:hAnsi="Verdana" w:cs="Arial"/>
          <w:bCs/>
          <w:lang w:val="es-MX" w:eastAsia="es-CO"/>
        </w:rPr>
        <w:t>celebrada</w:t>
      </w:r>
      <w:r w:rsidRPr="0022149E">
        <w:rPr>
          <w:rFonts w:ascii="Verdana" w:eastAsiaTheme="minorEastAsia" w:hAnsi="Verdana" w:cs="Arial"/>
          <w:bCs/>
          <w:lang w:val="es-MX" w:eastAsia="es-CO"/>
        </w:rPr>
        <w:t xml:space="preserve"> por entidades sanitarias y hospitalarias</w:t>
      </w:r>
      <w:r w:rsidRPr="00BF6124">
        <w:rPr>
          <w:rFonts w:ascii="Verdana" w:eastAsiaTheme="minorEastAsia" w:hAnsi="Verdana" w:cs="Arial"/>
          <w:bCs/>
          <w:lang w:val="es-MX" w:eastAsia="es-CO"/>
        </w:rPr>
        <w:t>, objeto de análisis en los Conceptos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1124 de 2026,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1406 de 2026 y C</w:t>
      </w:r>
      <w:r w:rsidRPr="00BF6124">
        <w:rPr>
          <w:rFonts w:ascii="Cambria Math" w:eastAsiaTheme="minorEastAsia" w:hAnsi="Cambria Math" w:cs="Cambria Math"/>
          <w:bCs/>
          <w:lang w:val="es-MX" w:eastAsia="es-CO"/>
        </w:rPr>
        <w:t>‑</w:t>
      </w:r>
      <w:r w:rsidRPr="00BF6124">
        <w:rPr>
          <w:rFonts w:ascii="Verdana" w:eastAsiaTheme="minorEastAsia" w:hAnsi="Verdana" w:cs="Arial"/>
          <w:bCs/>
          <w:lang w:val="es-MX" w:eastAsia="es-CO"/>
        </w:rPr>
        <w:t>1703 de 2026.</w:t>
      </w:r>
      <w:r w:rsidRPr="0022149E">
        <w:rPr>
          <w:rFonts w:ascii="Verdana" w:eastAsiaTheme="minorEastAsia" w:hAnsi="Verdana" w:cs="Arial"/>
          <w:bCs/>
          <w:lang w:val="es-MX" w:eastAsia="es-CO"/>
        </w:rPr>
        <w:t xml:space="preserve"> </w:t>
      </w:r>
      <w:r w:rsidRPr="00B2403B">
        <w:rPr>
          <w:rFonts w:ascii="Verdana" w:eastAsia="Times New Roman" w:hAnsi="Verdana" w:cs="Arial"/>
          <w:bCs/>
          <w:lang w:val="es-MX" w:eastAsia="es-CO"/>
        </w:rPr>
        <w:t xml:space="preserve">Así mismo, la Corte Constitucional en la Sentencia C-1153 de 2005 señaló que la expresión </w:t>
      </w:r>
      <w:r w:rsidRPr="00B2403B">
        <w:rPr>
          <w:rFonts w:ascii="Verdana" w:eastAsia="Times New Roman" w:hAnsi="Verdana" w:cs="Times New Roman"/>
          <w:i/>
          <w:iCs/>
          <w:lang w:val="es-ES" w:eastAsia="es-ES"/>
        </w:rPr>
        <w:t>“adicionalmente se exceptúan aquellos gastos inaplazables e imprescindibles que afecten el normal funci</w:t>
      </w:r>
      <w:r>
        <w:rPr>
          <w:rFonts w:ascii="Verdana" w:eastAsia="Times New Roman" w:hAnsi="Verdana" w:cs="Times New Roman"/>
          <w:i/>
          <w:iCs/>
          <w:lang w:val="es-ES" w:eastAsia="es-ES"/>
        </w:rPr>
        <w:t>onamiento de la administración</w:t>
      </w:r>
      <w:r w:rsidRPr="00B2403B">
        <w:rPr>
          <w:rFonts w:ascii="Verdana" w:eastAsia="Times New Roman" w:hAnsi="Verdana" w:cs="Times New Roman"/>
          <w:i/>
          <w:iCs/>
          <w:lang w:val="es-ES" w:eastAsia="es-ES"/>
        </w:rPr>
        <w:t>”</w:t>
      </w:r>
      <w:r>
        <w:rPr>
          <w:rFonts w:ascii="Verdana" w:eastAsia="Times New Roman" w:hAnsi="Verdana" w:cs="Times New Roman"/>
          <w:i/>
          <w:iCs/>
          <w:lang w:val="es-ES" w:eastAsia="es-ES"/>
        </w:rPr>
        <w:t xml:space="preserve"> </w:t>
      </w:r>
      <w:r w:rsidRPr="00B2403B">
        <w:rPr>
          <w:rFonts w:ascii="Verdana" w:eastAsia="Times New Roman" w:hAnsi="Verdana" w:cs="Times New Roman"/>
          <w:iCs/>
          <w:lang w:val="es-ES" w:eastAsia="es-ES"/>
        </w:rPr>
        <w:t>regulada como excepción en el artículo 33</w:t>
      </w:r>
      <w:r w:rsidRPr="00B2403B">
        <w:rPr>
          <w:rFonts w:ascii="Verdana" w:eastAsia="Times New Roman" w:hAnsi="Verdana" w:cs="Times New Roman"/>
          <w:i/>
          <w:iCs/>
          <w:lang w:val="es-ES" w:eastAsia="es-ES"/>
        </w:rPr>
        <w:t xml:space="preserve"> </w:t>
      </w:r>
      <w:r>
        <w:rPr>
          <w:rFonts w:ascii="Verdana" w:eastAsia="Times New Roman" w:hAnsi="Verdana" w:cs="Times New Roman"/>
          <w:iCs/>
          <w:lang w:val="es-ES" w:eastAsia="es-ES"/>
        </w:rPr>
        <w:t>era</w:t>
      </w:r>
      <w:r w:rsidRPr="00B2403B">
        <w:rPr>
          <w:rFonts w:ascii="Verdana" w:eastAsia="Times New Roman" w:hAnsi="Verdana" w:cs="Times New Roman"/>
          <w:iCs/>
          <w:lang w:val="es-ES" w:eastAsia="es-ES"/>
        </w:rPr>
        <w:t xml:space="preserve"> demasiado amplia y ambigua, pues términos como inaplazable, imprescindible y normal funcionamiento son evaluativos y sujetos a interpretaciones diversas, lo que permitiría introducir mú</w:t>
      </w:r>
      <w:r>
        <w:rPr>
          <w:rFonts w:ascii="Verdana" w:eastAsia="Times New Roman" w:hAnsi="Verdana" w:cs="Times New Roman"/>
          <w:iCs/>
          <w:lang w:val="es-ES" w:eastAsia="es-ES"/>
        </w:rPr>
        <w:t>ltiples excepciones que desfigurarían</w:t>
      </w:r>
      <w:r w:rsidRPr="00B2403B">
        <w:rPr>
          <w:rFonts w:ascii="Verdana" w:eastAsia="Times New Roman" w:hAnsi="Verdana" w:cs="Times New Roman"/>
          <w:iCs/>
          <w:lang w:val="es-ES" w:eastAsia="es-ES"/>
        </w:rPr>
        <w:t xml:space="preserve"> la prohibición original y comp</w:t>
      </w:r>
      <w:r>
        <w:rPr>
          <w:rFonts w:ascii="Verdana" w:eastAsia="Times New Roman" w:hAnsi="Verdana" w:cs="Times New Roman"/>
          <w:iCs/>
          <w:lang w:val="es-ES" w:eastAsia="es-ES"/>
        </w:rPr>
        <w:t>rometerían los fines y propósitos de la Ley de Garantías Electorales</w:t>
      </w:r>
      <w:r w:rsidRPr="00B2403B">
        <w:rPr>
          <w:rFonts w:ascii="Verdana" w:eastAsia="Times New Roman" w:hAnsi="Verdana" w:cs="Times New Roman"/>
          <w:iCs/>
          <w:lang w:val="es-ES" w:eastAsia="es-ES"/>
        </w:rPr>
        <w:t>.</w:t>
      </w:r>
      <w:r w:rsidRPr="00B2403B">
        <w:rPr>
          <w:rFonts w:ascii="Verdana" w:eastAsia="Times New Roman" w:hAnsi="Verdana" w:cs="Times New Roman"/>
          <w:i/>
          <w:iCs/>
          <w:lang w:val="es-ES" w:eastAsia="es-ES"/>
        </w:rPr>
        <w:t xml:space="preserve"> </w:t>
      </w:r>
      <w:r w:rsidRPr="00B95F21">
        <w:rPr>
          <w:rFonts w:ascii="Verdana" w:eastAsia="Times New Roman" w:hAnsi="Verdana" w:cs="Times New Roman"/>
          <w:iCs/>
          <w:lang w:val="es-ES" w:eastAsia="es-ES"/>
        </w:rPr>
        <w:t>Por tanto, dicha expresión fue declarada inexequible, razón por la cual no es posible que las entidades argumenten razones como esta para exceptuar la restricción del artículo 33.</w:t>
      </w:r>
    </w:p>
    <w:p w14:paraId="3F3DD105" w14:textId="77777777" w:rsidR="00C70EDD" w:rsidRPr="00456FBA" w:rsidRDefault="00C70EDD" w:rsidP="00C70EDD">
      <w:pPr>
        <w:spacing w:after="120" w:line="276" w:lineRule="auto"/>
        <w:ind w:firstLine="709"/>
        <w:jc w:val="both"/>
        <w:rPr>
          <w:rFonts w:ascii="Verdana" w:eastAsia="Arial" w:hAnsi="Verdana" w:cs="Arial"/>
          <w:lang w:eastAsia="es-ES" w:bidi="es-ES"/>
        </w:rPr>
      </w:pPr>
      <w:r>
        <w:rPr>
          <w:rFonts w:ascii="Verdana" w:eastAsiaTheme="minorEastAsia" w:hAnsi="Verdana" w:cs="Arial"/>
          <w:bCs/>
          <w:lang w:val="es-MX" w:eastAsia="es-CO"/>
        </w:rPr>
        <w:t xml:space="preserve">Es </w:t>
      </w:r>
      <w:r w:rsidRPr="0022149E">
        <w:rPr>
          <w:rFonts w:ascii="Verdana" w:eastAsiaTheme="minorEastAsia" w:hAnsi="Verdana" w:cs="Arial"/>
          <w:bCs/>
          <w:lang w:val="es-MX" w:eastAsia="es-CO"/>
        </w:rPr>
        <w:t xml:space="preserve">importante destacar </w:t>
      </w:r>
      <w:r w:rsidRPr="0022149E">
        <w:rPr>
          <w:rFonts w:ascii="Verdana" w:eastAsia="Arial" w:hAnsi="Verdana" w:cs="Arial"/>
          <w:lang w:val="es-ES" w:eastAsia="es-ES" w:bidi="es-ES"/>
        </w:rPr>
        <w:t xml:space="preserve">que la Sala de Consulta y Servicio Civil del Consejo de Estado mediante Concepto 1863 del 15 de noviembre de 2007 se ha pronunciado en el sentido de que no se les aplica las restricciones contempladas en Ley de Garantías Electorales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 </w:t>
      </w:r>
    </w:p>
    <w:p w14:paraId="418889BA" w14:textId="77777777" w:rsidR="00C70EDD" w:rsidRPr="004C1120" w:rsidRDefault="00C70EDD" w:rsidP="00C70EDD">
      <w:pPr>
        <w:spacing w:after="120" w:line="276" w:lineRule="auto"/>
        <w:ind w:firstLine="708"/>
        <w:jc w:val="both"/>
        <w:rPr>
          <w:rFonts w:ascii="Verdana" w:eastAsiaTheme="minorEastAsia" w:hAnsi="Verdana" w:cs="Arial"/>
          <w:bCs/>
          <w:lang w:val="es-MX" w:eastAsia="es-CO"/>
        </w:rPr>
      </w:pPr>
      <w:r>
        <w:rPr>
          <w:rFonts w:ascii="Verdana" w:eastAsiaTheme="minorEastAsia" w:hAnsi="Verdana" w:cs="Arial"/>
          <w:bCs/>
          <w:lang w:val="es-MX" w:eastAsia="es-CO"/>
        </w:rPr>
        <w:t>En esta línea</w:t>
      </w:r>
      <w:r w:rsidRPr="009D7880">
        <w:rPr>
          <w:rFonts w:ascii="Verdana" w:eastAsiaTheme="minorEastAsia" w:hAnsi="Verdana" w:cs="Arial"/>
          <w:bCs/>
          <w:lang w:val="es-MX" w:eastAsia="es-CO"/>
        </w:rPr>
        <w:t xml:space="preserve">, </w:t>
      </w:r>
      <w:r w:rsidRPr="001A0CB3">
        <w:rPr>
          <w:rFonts w:ascii="Verdana" w:eastAsiaTheme="minorEastAsia" w:hAnsi="Verdana" w:cs="Arial"/>
          <w:bCs/>
          <w:lang w:val="es-MX" w:eastAsia="es-CO"/>
        </w:rPr>
        <w:t>el artículo 33 de la Ley 996 de 2005 establece excepciones puntuales que permiten apartarse del procedimiento ordinario de selección, siempre que la necesidad de la entidad se ajuste a dichas circunstancias</w:t>
      </w:r>
      <w:r w:rsidRPr="0022149E">
        <w:rPr>
          <w:rFonts w:ascii="Verdana" w:eastAsiaTheme="minorEastAsia" w:hAnsi="Verdana" w:cs="Arial"/>
          <w:bCs/>
          <w:lang w:val="es-MX" w:eastAsia="es-CO"/>
        </w:rPr>
        <w:t>.</w:t>
      </w:r>
      <w:r w:rsidRPr="001A0CB3">
        <w:rPr>
          <w:rFonts w:ascii="Verdana" w:eastAsiaTheme="minorEastAsia" w:hAnsi="Verdana" w:cs="Arial"/>
          <w:bCs/>
          <w:lang w:val="es-MX" w:eastAsia="es-CO"/>
        </w:rPr>
        <w:t xml:space="preserve"> Así, cuando se pretenda suscribir un contrat</w:t>
      </w:r>
      <w:r>
        <w:rPr>
          <w:rFonts w:ascii="Verdana" w:eastAsiaTheme="minorEastAsia" w:hAnsi="Verdana" w:cs="Arial"/>
          <w:bCs/>
          <w:lang w:val="es-MX" w:eastAsia="es-CO"/>
        </w:rPr>
        <w:t xml:space="preserve">o de arrendamiento para atender, </w:t>
      </w:r>
      <w:r w:rsidRPr="001A0CB3">
        <w:rPr>
          <w:rFonts w:ascii="Verdana" w:eastAsiaTheme="minorEastAsia" w:hAnsi="Verdana" w:cs="Arial"/>
          <w:bCs/>
          <w:lang w:val="es-MX" w:eastAsia="es-CO"/>
        </w:rPr>
        <w:t xml:space="preserve">la entidad podrá recurrir a la contratación directa únicamente si la situación se </w:t>
      </w:r>
      <w:r w:rsidRPr="001A0CB3">
        <w:rPr>
          <w:rFonts w:ascii="Verdana" w:eastAsiaTheme="minorEastAsia" w:hAnsi="Verdana" w:cs="Arial"/>
          <w:bCs/>
          <w:lang w:val="es-MX" w:eastAsia="es-CO"/>
        </w:rPr>
        <w:lastRenderedPageBreak/>
        <w:t xml:space="preserve">encuentra expresamente </w:t>
      </w:r>
      <w:r>
        <w:rPr>
          <w:rFonts w:ascii="Verdana" w:eastAsiaTheme="minorEastAsia" w:hAnsi="Verdana" w:cs="Arial"/>
          <w:bCs/>
          <w:lang w:val="es-MX" w:eastAsia="es-CO"/>
        </w:rPr>
        <w:t>contemplada en las excepciones dispuestas en el artículo 33</w:t>
      </w:r>
      <w:r w:rsidRPr="0022149E">
        <w:rPr>
          <w:rFonts w:ascii="Verdana" w:eastAsiaTheme="minorEastAsia" w:hAnsi="Verdana" w:cs="Arial"/>
          <w:bCs/>
          <w:lang w:val="es-MX" w:eastAsia="es-CO"/>
        </w:rPr>
        <w:t>,</w:t>
      </w:r>
      <w:r>
        <w:rPr>
          <w:rFonts w:ascii="Verdana" w:eastAsiaTheme="minorEastAsia" w:hAnsi="Verdana" w:cs="Arial"/>
          <w:bCs/>
          <w:lang w:val="es-MX" w:eastAsia="es-CO"/>
        </w:rPr>
        <w:t xml:space="preserve"> </w:t>
      </w:r>
      <w:r w:rsidRPr="00D96BA4">
        <w:rPr>
          <w:rFonts w:ascii="Verdana" w:eastAsiaTheme="minorEastAsia" w:hAnsi="Verdana" w:cs="Arial"/>
          <w:bCs/>
          <w:lang w:val="es-ES" w:eastAsia="es-CO"/>
        </w:rPr>
        <w:t>sin perjuicio de lo expresado por la Sala de Consulta y Servicio Civil del Consejo que se expuso previamente</w:t>
      </w:r>
      <w:r>
        <w:rPr>
          <w:rFonts w:ascii="Verdana" w:eastAsiaTheme="minorEastAsia" w:hAnsi="Verdana" w:cs="Arial"/>
          <w:bCs/>
          <w:lang w:val="es-ES" w:eastAsia="es-CO"/>
        </w:rPr>
        <w:t xml:space="preserve"> y que están explicadas con mayor profundidad en las razones de la respuesta</w:t>
      </w:r>
      <w:r w:rsidRPr="00D96BA4">
        <w:rPr>
          <w:rFonts w:ascii="Verdana" w:eastAsiaTheme="minorEastAsia" w:hAnsi="Verdana" w:cs="Arial"/>
          <w:bCs/>
          <w:lang w:val="es-ES" w:eastAsia="es-CO"/>
        </w:rPr>
        <w:t>.</w:t>
      </w:r>
    </w:p>
    <w:p w14:paraId="2E188767" w14:textId="77777777" w:rsidR="00C70EDD" w:rsidRDefault="00C70EDD" w:rsidP="00C70EDD">
      <w:pPr>
        <w:spacing w:after="0" w:line="276" w:lineRule="auto"/>
        <w:ind w:firstLine="709"/>
        <w:jc w:val="both"/>
        <w:rPr>
          <w:rFonts w:ascii="Verdana" w:eastAsia="Times New Roman" w:hAnsi="Verdana" w:cs="Arial"/>
          <w:bCs/>
          <w:lang w:val="es-MX" w:eastAsia="es-CO"/>
        </w:rPr>
      </w:pPr>
      <w:r>
        <w:rPr>
          <w:rFonts w:ascii="Verdana" w:eastAsia="Times New Roman" w:hAnsi="Verdana" w:cs="Arial"/>
          <w:bCs/>
          <w:lang w:eastAsia="x-none"/>
        </w:rPr>
        <w:t>Por último</w:t>
      </w:r>
      <w:r w:rsidRPr="004F1C0A">
        <w:rPr>
          <w:rFonts w:ascii="Verdana" w:eastAsia="Times New Roman" w:hAnsi="Verdana" w:cs="Arial"/>
          <w:bCs/>
          <w:lang w:val="es-MX" w:eastAsia="x-none"/>
        </w:rPr>
        <w:t xml:space="preserve">, se reitera, </w:t>
      </w:r>
      <w:r w:rsidRPr="004F1C0A">
        <w:rPr>
          <w:rFonts w:ascii="Verdana" w:eastAsia="Times New Roman" w:hAnsi="Verdana" w:cs="Arial"/>
          <w:bCs/>
          <w:lang w:val="es-MX" w:eastAsia="es-CO"/>
        </w:rPr>
        <w:t>que las prórrogas, modificaciones o adiciones de los contratos suscritos antes de la entrada en vigor de las prohibiciones anotadas,</w:t>
      </w:r>
      <w:r>
        <w:rPr>
          <w:rFonts w:ascii="Verdana" w:eastAsia="Times New Roman" w:hAnsi="Verdana" w:cs="Arial"/>
          <w:bCs/>
          <w:lang w:val="es-MX" w:eastAsia="es-CO"/>
        </w:rPr>
        <w:t xml:space="preserve"> en especial del artículo 33 de la Ley 996 de 2005,</w:t>
      </w:r>
      <w:r w:rsidRPr="004F1C0A">
        <w:rPr>
          <w:rFonts w:ascii="Verdana" w:eastAsia="Times New Roman" w:hAnsi="Verdana" w:cs="Arial"/>
          <w:bCs/>
          <w:lang w:val="es-MX" w:eastAsia="es-CO"/>
        </w:rPr>
        <w:t xml:space="preserve"> así como la cesión de </w:t>
      </w:r>
      <w:proofErr w:type="gramStart"/>
      <w:r w:rsidRPr="004F1C0A">
        <w:rPr>
          <w:rFonts w:ascii="Verdana" w:eastAsia="Times New Roman" w:hAnsi="Verdana" w:cs="Arial"/>
          <w:bCs/>
          <w:lang w:val="es-MX" w:eastAsia="es-CO"/>
        </w:rPr>
        <w:t>los mismos</w:t>
      </w:r>
      <w:proofErr w:type="gramEnd"/>
      <w:r w:rsidRPr="004F1C0A">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4F1C0A">
        <w:rPr>
          <w:rFonts w:ascii="Verdana" w:eastAsia="Times New Roman" w:hAnsi="Verdana" w:cs="Arial"/>
          <w:bCs/>
          <w:vertAlign w:val="superscript"/>
          <w:lang w:val="es-MX" w:eastAsia="es-CO"/>
        </w:rPr>
        <w:footnoteReference w:id="35"/>
      </w:r>
      <w:r w:rsidRPr="004F1C0A">
        <w:rPr>
          <w:rFonts w:ascii="Verdana" w:eastAsia="Times New Roman" w:hAnsi="Verdana" w:cs="Arial"/>
          <w:bCs/>
          <w:lang w:val="es-MX" w:eastAsia="es-CO"/>
        </w:rPr>
        <w:t>. Además, también es posible que contratos celebrados previamente se continúen ejecutando con normalidad.</w:t>
      </w:r>
    </w:p>
    <w:p w14:paraId="7E0F444B" w14:textId="77777777" w:rsidR="00C70EDD" w:rsidRPr="001B7CDA" w:rsidRDefault="00C70EDD" w:rsidP="00C70EDD">
      <w:pPr>
        <w:spacing w:after="0" w:line="276" w:lineRule="auto"/>
        <w:ind w:firstLine="709"/>
        <w:jc w:val="both"/>
        <w:rPr>
          <w:rFonts w:ascii="Verdana" w:eastAsia="Calibri" w:hAnsi="Verdana"/>
          <w:color w:val="000000" w:themeColor="text1"/>
          <w:lang w:val="es-MX"/>
        </w:rPr>
      </w:pPr>
    </w:p>
    <w:p w14:paraId="2ABBF532" w14:textId="77777777" w:rsidR="00C70EDD" w:rsidRPr="00F4158D" w:rsidRDefault="00C70EDD" w:rsidP="00C70EDD">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w:t>
      </w:r>
      <w:proofErr w:type="spellEnd"/>
      <w:r>
        <w:rPr>
          <w:rFonts w:ascii="Verdana" w:eastAsia="Calibri" w:hAnsi="Verdana" w:cs="Arial"/>
          <w:bCs/>
          <w:color w:val="000000" w:themeColor="text1"/>
        </w:rPr>
        <w:t xml:space="preserve">. </w:t>
      </w:r>
      <w:r w:rsidRPr="00F4158D">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7BA5410" w14:textId="77777777" w:rsidR="00C70EDD" w:rsidRPr="00F4158D" w:rsidRDefault="00C70EDD" w:rsidP="00C70EDD">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2379593" w14:textId="77777777" w:rsidR="00C70EDD" w:rsidRPr="0022149E" w:rsidRDefault="00C70EDD" w:rsidP="00C70EDD">
      <w:pPr>
        <w:spacing w:after="0" w:line="276" w:lineRule="auto"/>
        <w:jc w:val="both"/>
        <w:rPr>
          <w:rFonts w:ascii="Verdana" w:eastAsia="Calibri" w:hAnsi="Verdana" w:cs="Arial"/>
          <w:bCs/>
          <w:color w:val="000000" w:themeColor="text1"/>
        </w:rPr>
      </w:pPr>
    </w:p>
    <w:p w14:paraId="7971DEDF" w14:textId="77777777" w:rsidR="00C70EDD" w:rsidRPr="0022149E" w:rsidRDefault="00C70EDD" w:rsidP="00C70ED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2149E">
        <w:rPr>
          <w:rFonts w:ascii="Verdana" w:eastAsia="Century Gothic" w:hAnsi="Verdana" w:cs="Century Gothic"/>
          <w:b/>
          <w:bCs/>
          <w:lang w:val="es-ES"/>
        </w:rPr>
        <w:t>Referencias normativas, jurisprudenciales y otras fuentes:</w:t>
      </w:r>
    </w:p>
    <w:p w14:paraId="2080133D" w14:textId="77777777" w:rsidR="00C70EDD" w:rsidRPr="00593A5F" w:rsidRDefault="00C70EDD" w:rsidP="00C70EDD">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70EDD" w:rsidRPr="0022149E" w14:paraId="26163798" w14:textId="77777777" w:rsidTr="00882D00">
        <w:trPr>
          <w:trHeight w:val="453"/>
          <w:jc w:val="center"/>
        </w:trPr>
        <w:tc>
          <w:tcPr>
            <w:tcW w:w="8647" w:type="dxa"/>
          </w:tcPr>
          <w:p w14:paraId="6C6ED94F" w14:textId="77777777" w:rsidR="00C70EDD" w:rsidRPr="0022149E" w:rsidRDefault="00C70EDD" w:rsidP="00882D00">
            <w:pPr>
              <w:widowControl w:val="0"/>
              <w:numPr>
                <w:ilvl w:val="0"/>
                <w:numId w:val="17"/>
              </w:numPr>
              <w:autoSpaceDE w:val="0"/>
              <w:autoSpaceDN w:val="0"/>
              <w:spacing w:before="120"/>
              <w:ind w:left="714" w:hanging="357"/>
              <w:jc w:val="both"/>
              <w:rPr>
                <w:rFonts w:ascii="Verdana" w:hAnsi="Verdana" w:cs="Arial"/>
                <w:lang w:val="es-ES"/>
              </w:rPr>
            </w:pPr>
            <w:r w:rsidRPr="0022149E">
              <w:rPr>
                <w:rFonts w:ascii="Verdana" w:hAnsi="Verdana" w:cs="Arial"/>
                <w:lang w:val="es-ES"/>
              </w:rPr>
              <w:t>Constitución Política de 1991, artículos 127 y 197.</w:t>
            </w:r>
          </w:p>
          <w:p w14:paraId="739396D8" w14:textId="77777777" w:rsidR="00C70EDD" w:rsidRPr="0022149E" w:rsidRDefault="00C70EDD" w:rsidP="00882D00">
            <w:pPr>
              <w:widowControl w:val="0"/>
              <w:numPr>
                <w:ilvl w:val="0"/>
                <w:numId w:val="17"/>
              </w:numPr>
              <w:autoSpaceDE w:val="0"/>
              <w:autoSpaceDN w:val="0"/>
              <w:spacing w:before="120"/>
              <w:ind w:left="714" w:hanging="357"/>
              <w:jc w:val="both"/>
              <w:rPr>
                <w:rFonts w:ascii="Verdana" w:hAnsi="Verdana" w:cs="Arial"/>
                <w:lang w:val="es-ES"/>
              </w:rPr>
            </w:pPr>
            <w:r>
              <w:rPr>
                <w:rFonts w:ascii="Verdana" w:hAnsi="Verdana" w:cs="Arial"/>
                <w:lang w:val="es-ES"/>
              </w:rPr>
              <w:t>Ley 80 de 1993, artículos 13, 32 y 40.</w:t>
            </w:r>
          </w:p>
          <w:p w14:paraId="000ED316" w14:textId="77777777" w:rsidR="00C70EDD" w:rsidRPr="0022149E" w:rsidRDefault="00C70EDD" w:rsidP="00882D00">
            <w:pPr>
              <w:widowControl w:val="0"/>
              <w:numPr>
                <w:ilvl w:val="0"/>
                <w:numId w:val="17"/>
              </w:numPr>
              <w:autoSpaceDE w:val="0"/>
              <w:autoSpaceDN w:val="0"/>
              <w:spacing w:before="120"/>
              <w:ind w:left="714" w:hanging="357"/>
              <w:jc w:val="both"/>
              <w:rPr>
                <w:rFonts w:ascii="Verdana" w:hAnsi="Verdana" w:cs="Arial"/>
                <w:lang w:val="es-ES"/>
              </w:rPr>
            </w:pPr>
            <w:r w:rsidRPr="0022149E">
              <w:rPr>
                <w:rFonts w:ascii="Verdana" w:hAnsi="Verdana" w:cs="Arial"/>
                <w:lang w:val="es-ES"/>
              </w:rPr>
              <w:t>Ley 996 de 2005, artículos 33 y 38.</w:t>
            </w:r>
          </w:p>
          <w:p w14:paraId="53C494C9"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Ley 1150 de 2007, artículo 2.</w:t>
            </w:r>
          </w:p>
          <w:p w14:paraId="378CB9CA"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 xml:space="preserve">Código Civil, artículos 27, 31, 1501, 1973 al 2078 </w:t>
            </w:r>
          </w:p>
          <w:p w14:paraId="2CC04889"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 xml:space="preserve">Código de Comercio, artículos 518 al 523. </w:t>
            </w:r>
          </w:p>
          <w:p w14:paraId="67AB748D"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 xml:space="preserve">Consejo de Estado. Sala de Consulta y Servicio Civil. Concepto de 20 de febrero de 2006. Rad. 1727. C.P. Enrique José Arboleda Perdomo. </w:t>
            </w:r>
          </w:p>
          <w:p w14:paraId="37A33BAF"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Consejo de Estado. Sala de Consulta y Servicio Civil. Concepto de 6 de abril de 2006. Rad. 1738. C.P. Enrique José Arboleda Perdomo.</w:t>
            </w:r>
          </w:p>
          <w:p w14:paraId="0C358916"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Consejo de Estado. Sala de Consulta y Servicio Civil. Concepto del 15 de noviembre de 2007. Rad. 1863. C.P</w:t>
            </w:r>
            <w:r>
              <w:rPr>
                <w:rFonts w:ascii="Verdana" w:hAnsi="Verdana" w:cs="Arial"/>
                <w:lang w:val="es-ES"/>
              </w:rPr>
              <w:t>.</w:t>
            </w:r>
            <w:r w:rsidRPr="0022149E">
              <w:rPr>
                <w:rFonts w:ascii="Verdana" w:hAnsi="Verdana" w:cs="Arial"/>
                <w:lang w:val="es-ES"/>
              </w:rPr>
              <w:t xml:space="preserve"> Luis Fernando Álvarez Jaramillo.</w:t>
            </w:r>
          </w:p>
          <w:p w14:paraId="7CD8C2AB"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Consejo de Estado. Sala de Consulta y Servicio Civil. Concepto del 18 de febrero 2010. Rad. 1985. C.P. Enrique José Arboleda Perdomo.</w:t>
            </w:r>
          </w:p>
          <w:p w14:paraId="22B1045F"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 xml:space="preserve">Consejo de Estado, Sala de Consulta y Servicio Civil de fecha 24 de julio de 2013. Rad. 2166. C.P. Álvaro Namén Vargas. </w:t>
            </w:r>
          </w:p>
          <w:p w14:paraId="7C0179DD"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Consejo de Estado. Sala de Consulta y Servicio Civil. Concepto del 2 de septiembre de 2013. Rad. 2168. C.P. Álvaro Namén Vargas.</w:t>
            </w:r>
          </w:p>
          <w:p w14:paraId="5FAD0CD1"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Consejo de Estado. Sala de Consulta y Servicio Civil. Concepto del 17 de febrero de 2015. Rad. 2269. C.P. William Zambrano Cetina.</w:t>
            </w:r>
          </w:p>
          <w:p w14:paraId="0CD19FBF"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Consejo de Estado. Sala de Consulta y Servicio Civil. Concepto del 08 de mayo de 2018. Rad. 2.382. C.P. Álvaro Namén Vargas.</w:t>
            </w:r>
          </w:p>
          <w:p w14:paraId="60EA127D"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Corte Constitucional. Sentencia C-1153 de 2005 M.P. Marco Gerardo Monroy Cabra.</w:t>
            </w:r>
          </w:p>
          <w:p w14:paraId="0ED436C8"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ESTRADA SÁNCHEZ, Juan Pablo. Contratación directa, convenios interadministrativos y contratos de cooperación internacional. En: Contratación estatal. Estudios sobre la reforma del Estatuto Contractual Ley 1150 de 2007. Bogotá: Universidad Externado de Colombia, 2009.</w:t>
            </w:r>
          </w:p>
          <w:p w14:paraId="7E46434F"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t>RICO PUERTA, Luis Alonso. Teoría general y práctica de la contratación estatal. Volumen II. Decimotercera edición. Bogotá: Grupo Editorial Ibañez, 2025.</w:t>
            </w:r>
          </w:p>
          <w:p w14:paraId="689137CA" w14:textId="77777777" w:rsidR="00C70EDD" w:rsidRPr="0022149E" w:rsidRDefault="00C70EDD" w:rsidP="00882D00">
            <w:pPr>
              <w:widowControl w:val="0"/>
              <w:numPr>
                <w:ilvl w:val="0"/>
                <w:numId w:val="17"/>
              </w:numPr>
              <w:autoSpaceDE w:val="0"/>
              <w:autoSpaceDN w:val="0"/>
              <w:spacing w:before="120"/>
              <w:jc w:val="both"/>
              <w:rPr>
                <w:rFonts w:ascii="Verdana" w:hAnsi="Verdana" w:cs="Arial"/>
                <w:lang w:val="es-ES"/>
              </w:rPr>
            </w:pPr>
            <w:r w:rsidRPr="0022149E">
              <w:rPr>
                <w:rFonts w:ascii="Verdana" w:hAnsi="Verdana" w:cs="Arial"/>
                <w:lang w:val="es-ES"/>
              </w:rPr>
              <w:lastRenderedPageBreak/>
              <w:t>RODRÍGUEZ TAMAYO, Mauricio Fernando. Los contratos estatales en Colombia. Bogotá: Tirant lo Blanch, 2022.</w:t>
            </w:r>
          </w:p>
        </w:tc>
      </w:tr>
    </w:tbl>
    <w:p w14:paraId="3D5F9BAF" w14:textId="77777777" w:rsidR="00C70EDD" w:rsidRPr="002407CE" w:rsidRDefault="00C70EDD" w:rsidP="00C70EDD">
      <w:pPr>
        <w:widowControl w:val="0"/>
        <w:autoSpaceDE w:val="0"/>
        <w:autoSpaceDN w:val="0"/>
        <w:spacing w:after="0" w:line="276" w:lineRule="auto"/>
        <w:jc w:val="both"/>
        <w:rPr>
          <w:rFonts w:ascii="Verdana" w:hAnsi="Verdana" w:cs="Arial"/>
        </w:rPr>
      </w:pPr>
    </w:p>
    <w:p w14:paraId="17E45DC5" w14:textId="77777777" w:rsidR="00C70EDD" w:rsidRPr="0022149E" w:rsidRDefault="00C70EDD" w:rsidP="00C70EDD">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22149E">
        <w:rPr>
          <w:rFonts w:ascii="Verdana" w:eastAsia="Century Gothic" w:hAnsi="Verdana" w:cs="Century Gothic"/>
          <w:b/>
          <w:bCs/>
          <w:lang w:val="es-ES"/>
        </w:rPr>
        <w:t>Doctrina de la Agencia Nacional de Contratación Pública:</w:t>
      </w:r>
    </w:p>
    <w:p w14:paraId="2EEE1633" w14:textId="77777777" w:rsidR="00C70EDD" w:rsidRPr="00593A5F" w:rsidRDefault="00C70EDD" w:rsidP="00C70EDD">
      <w:pPr>
        <w:widowControl w:val="0"/>
        <w:autoSpaceDE w:val="0"/>
        <w:autoSpaceDN w:val="0"/>
        <w:spacing w:after="0" w:line="276" w:lineRule="auto"/>
        <w:jc w:val="both"/>
        <w:rPr>
          <w:rFonts w:ascii="Verdana" w:hAnsi="Verdana" w:cs="Arial"/>
        </w:rPr>
      </w:pPr>
    </w:p>
    <w:p w14:paraId="7ED66EE0" w14:textId="77777777" w:rsidR="00C70EDD" w:rsidRPr="00A14D98" w:rsidRDefault="00C70EDD" w:rsidP="00C70EDD">
      <w:pPr>
        <w:widowControl w:val="0"/>
        <w:autoSpaceDE w:val="0"/>
        <w:autoSpaceDN w:val="0"/>
        <w:spacing w:after="0" w:line="276" w:lineRule="auto"/>
        <w:jc w:val="both"/>
        <w:rPr>
          <w:rFonts w:ascii="Verdana" w:hAnsi="Verdana" w:cs="Arial"/>
          <w:shd w:val="clear" w:color="auto" w:fill="FFFFFF"/>
          <w:lang w:val="es-ES"/>
        </w:rPr>
      </w:pPr>
      <w:r w:rsidRPr="00A14D98">
        <w:rPr>
          <w:rFonts w:ascii="Verdana" w:hAnsi="Verdana" w:cs="Arial"/>
          <w:shd w:val="clear" w:color="auto" w:fill="FFFFFF"/>
        </w:rPr>
        <w:t>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C-1343 del 20 de octubre de 2025, C-1350 del 1˚ de octubre de 2025, C-1401 del 22 de octubre de 2025, C-1512 del 27 de octubre de 2025, C-1488 del 30 de octubre de 2025, C-1596 del 6 de noviembre de 2025, C-1509 del 19 de noviembre de 2025, C-1773 del 5 de diciembre de 2025, C-1646 del 17 de diciembre de 2025, C-1703 del 29 de diciembre de 2025, C-068 del 27 de enero de 2026, C-111 del 6 de febrero de 2026, C-127 del 6 de febrero de 2026,</w:t>
      </w:r>
      <w:r>
        <w:rPr>
          <w:rFonts w:ascii="Verdana" w:hAnsi="Verdana" w:cs="Arial"/>
          <w:shd w:val="clear" w:color="auto" w:fill="FFFFFF"/>
        </w:rPr>
        <w:t xml:space="preserve"> C-137 del 17 de febrero de 2026, C-185 del 23 de febrero de 2026,</w:t>
      </w:r>
      <w:r w:rsidRPr="00A14D98">
        <w:rPr>
          <w:rFonts w:ascii="Verdana" w:hAnsi="Verdana" w:cs="Arial"/>
          <w:shd w:val="clear" w:color="auto" w:fill="FFFFFF"/>
        </w:rPr>
        <w:t xml:space="preserve"> </w:t>
      </w:r>
      <w:r w:rsidRPr="0022149E">
        <w:rPr>
          <w:rFonts w:ascii="Verdana" w:hAnsi="Verdana" w:cs="Arial"/>
          <w:shd w:val="clear" w:color="auto" w:fill="FFFFFF"/>
        </w:rPr>
        <w:t>C-322 del 4 de marzo de 2026, entre otros</w:t>
      </w:r>
      <w:r w:rsidRPr="0022149E">
        <w:rPr>
          <w:rFonts w:ascii="Verdana" w:hAnsi="Verdana" w:cs="Arial"/>
          <w:shd w:val="clear" w:color="auto" w:fill="FFFFFF"/>
          <w:lang w:val="es-ES"/>
        </w:rPr>
        <w:t>.</w:t>
      </w:r>
      <w:r>
        <w:rPr>
          <w:rFonts w:ascii="Verdana" w:hAnsi="Verdana" w:cs="Arial"/>
          <w:shd w:val="clear" w:color="auto" w:fill="FFFFFF"/>
          <w:lang w:val="es-ES"/>
        </w:rPr>
        <w:t xml:space="preserve"> </w:t>
      </w:r>
      <w:r w:rsidRPr="00A14D98">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3688B1A" w14:textId="77777777" w:rsidR="00C70EDD" w:rsidRPr="00A14D98" w:rsidRDefault="00C70EDD" w:rsidP="00C70EDD">
      <w:pPr>
        <w:spacing w:after="0" w:line="256" w:lineRule="auto"/>
        <w:jc w:val="both"/>
        <w:rPr>
          <w:rFonts w:ascii="Verdana" w:eastAsia="Calibri" w:hAnsi="Verdana" w:cs="Times New Roman"/>
        </w:rPr>
      </w:pPr>
      <w:hyperlink r:id="rId15" w:history="1">
        <w:r w:rsidRPr="00A14D98">
          <w:rPr>
            <w:rFonts w:ascii="Verdana" w:eastAsia="Calibri" w:hAnsi="Verdana" w:cs="Times New Roman"/>
            <w:color w:val="0000FF"/>
            <w:u w:val="single"/>
            <w:lang w:val="es-ES"/>
          </w:rPr>
          <w:t>https://relatoria.colombiacompra.gov.co/busqueda/conceptos</w:t>
        </w:r>
      </w:hyperlink>
      <w:r w:rsidRPr="00A14D98">
        <w:rPr>
          <w:rFonts w:ascii="Verdana" w:eastAsia="Calibri" w:hAnsi="Verdana" w:cs="Times New Roman"/>
        </w:rPr>
        <w:t xml:space="preserve">. </w:t>
      </w:r>
    </w:p>
    <w:p w14:paraId="5CAD2482" w14:textId="77777777" w:rsidR="00C70EDD" w:rsidRPr="00096788" w:rsidRDefault="00C70EDD" w:rsidP="00C70EDD">
      <w:pPr>
        <w:widowControl w:val="0"/>
        <w:autoSpaceDE w:val="0"/>
        <w:autoSpaceDN w:val="0"/>
        <w:spacing w:after="0" w:line="276" w:lineRule="auto"/>
        <w:jc w:val="both"/>
        <w:rPr>
          <w:rFonts w:ascii="Verdana" w:hAnsi="Verdana" w:cs="Arial"/>
          <w:color w:val="000000" w:themeColor="text1"/>
          <w:shd w:val="clear" w:color="auto" w:fill="FFFFFF"/>
        </w:rPr>
      </w:pPr>
    </w:p>
    <w:p w14:paraId="795E74AD" w14:textId="77777777" w:rsidR="00C70EDD" w:rsidRDefault="00C70EDD" w:rsidP="00C70EDD">
      <w:pPr>
        <w:spacing w:after="0"/>
        <w:jc w:val="both"/>
      </w:pPr>
      <w:r w:rsidRPr="009A385A">
        <w:rPr>
          <w:rFonts w:ascii="Verdana" w:hAnsi="Verdana"/>
        </w:rPr>
        <w:lastRenderedPageBreak/>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6" w:tgtFrame="_new" w:history="1">
        <w:r w:rsidRPr="0022149E">
          <w:rPr>
            <w:rFonts w:ascii="Verdana" w:hAnsi="Verdana"/>
            <w:color w:val="0000FF"/>
            <w:u w:val="single"/>
          </w:rPr>
          <w:t>https://formacionvirtual.colombiacompra.gov.co/mod/page/view.php?id=3718</w:t>
        </w:r>
      </w:hyperlink>
    </w:p>
    <w:p w14:paraId="37AF0ECE" w14:textId="77777777" w:rsidR="00C70EDD" w:rsidRPr="009A385A" w:rsidRDefault="00C70EDD" w:rsidP="00C70EDD">
      <w:pPr>
        <w:spacing w:after="0"/>
        <w:jc w:val="both"/>
        <w:rPr>
          <w:rFonts w:ascii="Verdana" w:hAnsi="Verdana"/>
        </w:rPr>
      </w:pPr>
    </w:p>
    <w:p w14:paraId="51D7B559" w14:textId="77777777" w:rsidR="00C70EDD" w:rsidRDefault="00C70EDD" w:rsidP="00C70EDD">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7" w:tgtFrame="_new" w:history="1">
        <w:r w:rsidRPr="0022149E">
          <w:rPr>
            <w:rFonts w:ascii="Verdana" w:hAnsi="Verdana"/>
            <w:color w:val="0000FF"/>
            <w:u w:val="single"/>
          </w:rPr>
          <w:t>https://www.colombiacompra.gov.co/normativa-y-relatoria/documentos-tipo</w:t>
        </w:r>
      </w:hyperlink>
    </w:p>
    <w:p w14:paraId="5B55003B" w14:textId="77777777" w:rsidR="00C70EDD" w:rsidRDefault="00C70EDD" w:rsidP="00C70EDD">
      <w:pPr>
        <w:spacing w:after="0"/>
        <w:jc w:val="both"/>
        <w:rPr>
          <w:rFonts w:ascii="Verdana" w:hAnsi="Verdana"/>
        </w:rPr>
      </w:pPr>
    </w:p>
    <w:p w14:paraId="66F6BCA9" w14:textId="77777777" w:rsidR="00C70EDD" w:rsidRPr="008E1CD7" w:rsidRDefault="00C70EDD" w:rsidP="00C70EDD">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8" w:tgtFrame="_new" w:history="1">
        <w:r w:rsidRPr="0022149E">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22B08872" w14:textId="77777777" w:rsidR="00C70EDD" w:rsidRDefault="00C70EDD" w:rsidP="00C70EDD">
      <w:pPr>
        <w:shd w:val="clear" w:color="auto" w:fill="FFFFFF"/>
        <w:spacing w:after="0" w:line="276" w:lineRule="auto"/>
        <w:jc w:val="both"/>
        <w:rPr>
          <w:rFonts w:ascii="Verdana" w:hAnsi="Verdana"/>
          <w:color w:val="000000"/>
          <w:u w:val="single"/>
        </w:rPr>
      </w:pPr>
    </w:p>
    <w:p w14:paraId="696F4A37" w14:textId="77777777" w:rsidR="00C70EDD" w:rsidRPr="0038088D" w:rsidRDefault="00C70EDD" w:rsidP="00C70EDD">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6D7F00C9" w14:textId="77777777" w:rsidR="00C70EDD" w:rsidRPr="0038088D" w:rsidRDefault="00C70EDD" w:rsidP="00C70EDD">
      <w:pPr>
        <w:spacing w:after="0"/>
        <w:jc w:val="both"/>
        <w:rPr>
          <w:rFonts w:ascii="Verdana" w:hAnsi="Verdana"/>
        </w:rPr>
      </w:pPr>
    </w:p>
    <w:p w14:paraId="3C4E12EF" w14:textId="77777777" w:rsidR="00C70EDD" w:rsidRPr="0022149E" w:rsidRDefault="00C70EDD" w:rsidP="00C70EDD">
      <w:pPr>
        <w:numPr>
          <w:ilvl w:val="0"/>
          <w:numId w:val="15"/>
        </w:numPr>
        <w:spacing w:after="0" w:line="240" w:lineRule="auto"/>
        <w:contextualSpacing/>
        <w:jc w:val="both"/>
        <w:rPr>
          <w:rFonts w:ascii="Verdana" w:eastAsia="Verdana" w:hAnsi="Verdana" w:cs="Verdana"/>
          <w:color w:val="4472C4" w:themeColor="accent1"/>
          <w:u w:val="single"/>
          <w:lang w:val="es-ES"/>
        </w:rPr>
      </w:pPr>
      <w:r w:rsidRPr="0022149E">
        <w:rPr>
          <w:rFonts w:ascii="Verdana" w:eastAsia="Verdana" w:hAnsi="Verdana" w:cs="Verdana"/>
          <w:lang w:val="es-ES"/>
        </w:rPr>
        <w:t xml:space="preserve">Línea nacional gratuita o servicio a la ciudadanía (Mesa de servicio): </w:t>
      </w:r>
      <w:r w:rsidRPr="0022149E">
        <w:rPr>
          <w:rFonts w:ascii="Verdana" w:hAnsi="Verdana"/>
          <w:color w:val="0000FF"/>
          <w:u w:val="single"/>
          <w:lang w:val="es-ES"/>
        </w:rPr>
        <w:t>01800 0520808</w:t>
      </w:r>
    </w:p>
    <w:p w14:paraId="1A3934AA" w14:textId="77777777" w:rsidR="00C70EDD" w:rsidRPr="0022149E" w:rsidRDefault="00C70EDD" w:rsidP="00C70EDD">
      <w:pPr>
        <w:numPr>
          <w:ilvl w:val="0"/>
          <w:numId w:val="15"/>
        </w:numPr>
        <w:spacing w:after="0"/>
        <w:contextualSpacing/>
        <w:rPr>
          <w:rFonts w:ascii="Verdana" w:eastAsia="Verdana" w:hAnsi="Verdana" w:cs="Verdana"/>
          <w:color w:val="4472C4" w:themeColor="accent1"/>
          <w:u w:val="single"/>
          <w:lang w:val="es-ES"/>
        </w:rPr>
      </w:pPr>
      <w:r w:rsidRPr="0022149E">
        <w:rPr>
          <w:rFonts w:ascii="Verdana" w:eastAsia="Verdana" w:hAnsi="Verdana" w:cs="Verdana"/>
          <w:lang w:val="es-ES"/>
        </w:rPr>
        <w:t>Línea en Bogotá (Mesa de servicio</w:t>
      </w:r>
      <w:proofErr w:type="gramStart"/>
      <w:r w:rsidRPr="0022149E">
        <w:rPr>
          <w:rFonts w:ascii="Verdana" w:eastAsia="Verdana" w:hAnsi="Verdana" w:cs="Verdana"/>
          <w:lang w:val="es-ES"/>
        </w:rPr>
        <w:t>):</w:t>
      </w:r>
      <w:r w:rsidRPr="0022149E">
        <w:rPr>
          <w:rFonts w:ascii="Verdana" w:hAnsi="Verdana"/>
          <w:color w:val="0000FF"/>
          <w:u w:val="single"/>
          <w:lang w:val="es-ES"/>
        </w:rPr>
        <w:t>+</w:t>
      </w:r>
      <w:proofErr w:type="gramEnd"/>
      <w:r w:rsidRPr="0022149E">
        <w:rPr>
          <w:rFonts w:ascii="Verdana" w:hAnsi="Verdana"/>
          <w:color w:val="0000FF"/>
          <w:u w:val="single"/>
          <w:lang w:val="es-ES"/>
        </w:rPr>
        <w:t>57 601 7456788</w:t>
      </w:r>
    </w:p>
    <w:p w14:paraId="1FA62F6F" w14:textId="77777777" w:rsidR="00C70EDD" w:rsidRPr="0022149E" w:rsidRDefault="00C70EDD" w:rsidP="00C70EDD">
      <w:pPr>
        <w:numPr>
          <w:ilvl w:val="0"/>
          <w:numId w:val="15"/>
        </w:numPr>
        <w:spacing w:after="0"/>
        <w:contextualSpacing/>
        <w:rPr>
          <w:rFonts w:ascii="Verdana" w:eastAsia="Verdana" w:hAnsi="Verdana" w:cs="Verdana"/>
          <w:color w:val="0000FF"/>
          <w:u w:val="single"/>
          <w:lang w:val="es-ES"/>
        </w:rPr>
      </w:pPr>
      <w:r w:rsidRPr="0022149E">
        <w:rPr>
          <w:rFonts w:ascii="Verdana" w:eastAsia="Verdana" w:hAnsi="Verdana" w:cs="Verdana"/>
          <w:lang w:val="es-ES"/>
        </w:rPr>
        <w:t xml:space="preserve">Correo de radicación de correspondencia: </w:t>
      </w:r>
      <w:hyperlink r:id="rId19">
        <w:r w:rsidRPr="0022149E">
          <w:rPr>
            <w:rFonts w:ascii="Verdana" w:eastAsia="Verdana" w:hAnsi="Verdana" w:cs="Verdana"/>
            <w:color w:val="0000FF"/>
            <w:u w:val="single"/>
            <w:lang w:val="es-ES"/>
          </w:rPr>
          <w:t>ventanilladeradicacion@colombiacompra.gov.co</w:t>
        </w:r>
      </w:hyperlink>
    </w:p>
    <w:p w14:paraId="4576685A" w14:textId="77777777" w:rsidR="00C70EDD" w:rsidRPr="0022149E" w:rsidRDefault="00C70EDD" w:rsidP="00C70EDD">
      <w:pPr>
        <w:numPr>
          <w:ilvl w:val="0"/>
          <w:numId w:val="15"/>
        </w:numPr>
        <w:spacing w:after="0"/>
        <w:contextualSpacing/>
        <w:rPr>
          <w:rFonts w:ascii="Verdana" w:eastAsia="Verdana" w:hAnsi="Verdana" w:cs="Verdana"/>
          <w:color w:val="0000FF"/>
          <w:u w:val="single"/>
          <w:lang w:val="es-ES"/>
        </w:rPr>
      </w:pPr>
      <w:r w:rsidRPr="0022149E">
        <w:rPr>
          <w:rFonts w:ascii="Verdana" w:eastAsia="Verdana" w:hAnsi="Verdana" w:cs="Verdana"/>
          <w:lang w:val="es-ES"/>
        </w:rPr>
        <w:t>Formulario web para</w:t>
      </w:r>
      <w:r w:rsidRPr="0038088D">
        <w:rPr>
          <w:rFonts w:ascii="Verdana" w:eastAsia="Verdana" w:hAnsi="Verdana" w:cs="Verdana"/>
          <w:lang w:val="es"/>
        </w:rPr>
        <w:t xml:space="preserve"> PQRSD: </w:t>
      </w:r>
      <w:hyperlink r:id="rId20">
        <w:r w:rsidRPr="0022149E">
          <w:rPr>
            <w:rFonts w:ascii="Verdana" w:eastAsia="Verdana" w:hAnsi="Verdana" w:cs="Verdana"/>
            <w:color w:val="0000FF"/>
            <w:u w:val="single"/>
            <w:lang w:val="es-ES"/>
          </w:rPr>
          <w:t>https://www.colombiacompra.gov.co/pqrsd/informacion-importante-antes-de-formular-una-pqrsd</w:t>
        </w:r>
      </w:hyperlink>
    </w:p>
    <w:p w14:paraId="6A8E12EB" w14:textId="77777777" w:rsidR="00C70EDD" w:rsidRPr="0038088D" w:rsidRDefault="00C70EDD" w:rsidP="00C70EDD">
      <w:pPr>
        <w:spacing w:after="0" w:line="240" w:lineRule="auto"/>
        <w:ind w:left="720"/>
        <w:jc w:val="both"/>
        <w:rPr>
          <w:rFonts w:ascii="Verdana" w:hAnsi="Verdana"/>
        </w:rPr>
      </w:pPr>
    </w:p>
    <w:p w14:paraId="6778B37C" w14:textId="77777777" w:rsidR="00C70EDD" w:rsidRPr="0038088D" w:rsidRDefault="00C70EDD" w:rsidP="00C70EDD">
      <w:pPr>
        <w:spacing w:after="0" w:line="240" w:lineRule="auto"/>
        <w:rPr>
          <w:rFonts w:ascii="Verdana" w:hAnsi="Verdana"/>
        </w:rPr>
      </w:pPr>
      <w:r w:rsidRPr="0038088D">
        <w:rPr>
          <w:rFonts w:ascii="Verdana" w:hAnsi="Verdana"/>
        </w:rPr>
        <w:t xml:space="preserve">Evalúa el servicio que ofrece la Agencia por el canal de atención de PQRSD en el siguiente </w:t>
      </w:r>
      <w:proofErr w:type="gramStart"/>
      <w:r w:rsidRPr="0038088D">
        <w:rPr>
          <w:rFonts w:ascii="Verdana" w:hAnsi="Verdana"/>
        </w:rPr>
        <w:t>enlace :</w:t>
      </w:r>
      <w:proofErr w:type="gramEnd"/>
      <w:hyperlink r:id="rId21" w:tgtFrame="_blank" w:tooltip="https://forms.office.com/r/pphywvs2sz" w:history="1">
        <w:r w:rsidRPr="0022149E">
          <w:rPr>
            <w:rFonts w:ascii="Verdana" w:hAnsi="Verdana"/>
            <w:color w:val="0000FF"/>
            <w:u w:val="single"/>
          </w:rPr>
          <w:t>https://forms.office.com/r/pPHyWVs2SZ</w:t>
        </w:r>
      </w:hyperlink>
      <w:r w:rsidRPr="0038088D">
        <w:rPr>
          <w:rFonts w:ascii="Verdana" w:hAnsi="Verdana"/>
        </w:rPr>
        <w:t xml:space="preserve"> .¡Ayúdanos a mejorar porque el compromiso es de todos!</w:t>
      </w:r>
    </w:p>
    <w:p w14:paraId="1C8A8E64" w14:textId="77777777" w:rsidR="00C70EDD" w:rsidRPr="0038088D" w:rsidRDefault="00C70EDD" w:rsidP="00C70EDD">
      <w:pPr>
        <w:spacing w:after="0" w:line="240" w:lineRule="auto"/>
        <w:rPr>
          <w:rFonts w:ascii="Verdana" w:hAnsi="Verdana"/>
        </w:rPr>
      </w:pPr>
    </w:p>
    <w:p w14:paraId="0A854CDA" w14:textId="77777777" w:rsidR="00C70EDD" w:rsidRPr="0038088D" w:rsidRDefault="00C70EDD" w:rsidP="00C70EDD">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36E1F55A" w14:textId="77777777" w:rsidR="00C70EDD" w:rsidRPr="00116940" w:rsidRDefault="00C70EDD" w:rsidP="00C70EDD">
      <w:pPr>
        <w:spacing w:after="0" w:line="240" w:lineRule="auto"/>
        <w:jc w:val="both"/>
        <w:rPr>
          <w:rFonts w:ascii="Verdana" w:hAnsi="Verdana"/>
        </w:rPr>
      </w:pPr>
    </w:p>
    <w:p w14:paraId="158E5357" w14:textId="77777777" w:rsidR="00C70EDD" w:rsidRPr="00116940" w:rsidRDefault="00C70EDD" w:rsidP="00C70EDD">
      <w:pPr>
        <w:spacing w:after="0" w:line="240" w:lineRule="auto"/>
        <w:jc w:val="both"/>
        <w:rPr>
          <w:rFonts w:ascii="Verdana" w:hAnsi="Verdana"/>
        </w:rPr>
      </w:pPr>
      <w:r w:rsidRPr="00116940">
        <w:rPr>
          <w:rFonts w:ascii="Verdana" w:hAnsi="Verdana"/>
        </w:rPr>
        <w:t xml:space="preserve">Twitter: </w:t>
      </w:r>
      <w:r w:rsidRPr="0022149E">
        <w:rPr>
          <w:rFonts w:ascii="Verdana" w:hAnsi="Verdana"/>
          <w:color w:val="0000FF"/>
          <w:u w:val="single"/>
        </w:rPr>
        <w:t>@colombiacompra</w:t>
      </w:r>
      <w:r w:rsidRPr="00116940">
        <w:rPr>
          <w:rFonts w:ascii="Verdana" w:hAnsi="Verdana"/>
        </w:rPr>
        <w:t xml:space="preserve"> </w:t>
      </w:r>
    </w:p>
    <w:p w14:paraId="101FFBB0" w14:textId="77777777" w:rsidR="00C70EDD" w:rsidRPr="00116940" w:rsidRDefault="00C70EDD" w:rsidP="00C70EDD">
      <w:pPr>
        <w:spacing w:after="0" w:line="240" w:lineRule="auto"/>
        <w:jc w:val="both"/>
        <w:rPr>
          <w:rFonts w:ascii="Verdana" w:hAnsi="Verdana"/>
        </w:rPr>
      </w:pPr>
      <w:r w:rsidRPr="00116940">
        <w:rPr>
          <w:rFonts w:ascii="Verdana" w:hAnsi="Verdana"/>
        </w:rPr>
        <w:t xml:space="preserve">Facebook: </w:t>
      </w:r>
      <w:proofErr w:type="spellStart"/>
      <w:r w:rsidRPr="0022149E">
        <w:rPr>
          <w:rFonts w:ascii="Verdana" w:hAnsi="Verdana"/>
          <w:color w:val="0000FF"/>
          <w:u w:val="single"/>
        </w:rPr>
        <w:t>ColombiaCompraEficiente</w:t>
      </w:r>
      <w:proofErr w:type="spellEnd"/>
    </w:p>
    <w:p w14:paraId="36074290" w14:textId="77777777" w:rsidR="00C70EDD" w:rsidRPr="00E22E6E" w:rsidRDefault="00C70EDD" w:rsidP="00C70EDD">
      <w:pPr>
        <w:spacing w:after="0" w:line="240" w:lineRule="auto"/>
        <w:jc w:val="both"/>
        <w:rPr>
          <w:rFonts w:ascii="Verdana" w:hAnsi="Verdana"/>
        </w:rPr>
      </w:pPr>
      <w:r w:rsidRPr="00116940">
        <w:rPr>
          <w:rFonts w:ascii="Verdana" w:hAnsi="Verdana"/>
        </w:rPr>
        <w:t xml:space="preserve">LinkedIn: </w:t>
      </w:r>
      <w:r w:rsidRPr="0022149E">
        <w:rPr>
          <w:rFonts w:ascii="Verdana" w:hAnsi="Verdana"/>
          <w:color w:val="0000FF"/>
          <w:u w:val="single"/>
        </w:rPr>
        <w:t>Agencia Nacional de Contratación Pública - Colombia Compra Eficiente</w:t>
      </w:r>
      <w:r w:rsidRPr="00116940">
        <w:rPr>
          <w:rFonts w:ascii="Verdana" w:hAnsi="Verdana"/>
        </w:rPr>
        <w:t xml:space="preserve"> Instagram: </w:t>
      </w:r>
      <w:r w:rsidRPr="0022149E">
        <w:rPr>
          <w:rFonts w:ascii="Verdana" w:hAnsi="Verdana"/>
          <w:color w:val="0000FF"/>
          <w:u w:val="single"/>
        </w:rPr>
        <w:t>@colombiacompraeficiente_cce</w:t>
      </w:r>
    </w:p>
    <w:p w14:paraId="4F916DEC" w14:textId="77777777" w:rsidR="00C70EDD" w:rsidRPr="009C4035" w:rsidRDefault="00C70EDD" w:rsidP="00C70EDD">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22149E">
        <w:rPr>
          <w:rFonts w:ascii="Verdana" w:hAnsi="Verdana" w:cs="Arial"/>
          <w:color w:val="FF0000"/>
          <w:shd w:val="clear" w:color="auto" w:fill="FFFFFF"/>
          <w:lang w:val="es-ES_tradnl"/>
        </w:rPr>
        <w:t xml:space="preserve">        </w:t>
      </w:r>
    </w:p>
    <w:p w14:paraId="1932C7E2" w14:textId="77777777" w:rsidR="00C70EDD" w:rsidRPr="00593A5F" w:rsidRDefault="00C70EDD" w:rsidP="00C70ED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4C2AF813" w14:textId="77777777" w:rsidR="00C70EDD" w:rsidRPr="00593A5F" w:rsidRDefault="00C70EDD" w:rsidP="00C70EDD">
      <w:pPr>
        <w:widowControl w:val="0"/>
        <w:autoSpaceDE w:val="0"/>
        <w:autoSpaceDN w:val="0"/>
        <w:spacing w:after="0" w:line="276" w:lineRule="auto"/>
        <w:jc w:val="both"/>
        <w:rPr>
          <w:rFonts w:ascii="Verdana" w:hAnsi="Verdana" w:cs="Arial"/>
        </w:rPr>
      </w:pPr>
    </w:p>
    <w:p w14:paraId="55B2CEF3" w14:textId="316259BD" w:rsidR="00C70EDD" w:rsidRPr="004944D1" w:rsidRDefault="00C70EDD" w:rsidP="004944D1">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47BA24E8" w14:textId="1B8A1CAB" w:rsidR="00C70EDD" w:rsidRDefault="004944D1" w:rsidP="00C70EDD">
      <w:pPr>
        <w:spacing w:after="0" w:line="276" w:lineRule="auto"/>
        <w:jc w:val="center"/>
        <w:rPr>
          <w:rFonts w:ascii="Verdana" w:hAnsi="Verdana"/>
          <w:lang w:val="es-ES_tradnl"/>
        </w:rPr>
      </w:pPr>
      <w:r>
        <w:rPr>
          <w:rFonts w:ascii="Verdana" w:hAnsi="Verdana"/>
          <w:noProof/>
          <w:lang w:val="es-ES_tradnl"/>
        </w:rPr>
        <w:drawing>
          <wp:inline distT="0" distB="0" distL="0" distR="0" wp14:anchorId="1C7A842C" wp14:editId="0E9770E7">
            <wp:extent cx="2822122" cy="1041673"/>
            <wp:effectExtent l="0" t="0" r="0" b="6350"/>
            <wp:docPr id="132690000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900008" name="Imagen 1" descr="Texto&#10;&#10;Descripción generada automáticamente"/>
                    <pic:cNvPicPr/>
                  </pic:nvPicPr>
                  <pic:blipFill>
                    <a:blip r:embed="rId22">
                      <a:extLst>
                        <a:ext uri="{28A0092B-C50C-407E-A947-70E740481C1C}">
                          <a14:useLocalDpi xmlns:a14="http://schemas.microsoft.com/office/drawing/2010/main" val="0"/>
                        </a:ext>
                      </a:extLst>
                    </a:blip>
                    <a:stretch>
                      <a:fillRect/>
                    </a:stretch>
                  </pic:blipFill>
                  <pic:spPr>
                    <a:xfrm>
                      <a:off x="0" y="0"/>
                      <a:ext cx="2835674" cy="10466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70EDD" w:rsidRPr="00D53651" w14:paraId="6CFED853" w14:textId="77777777" w:rsidTr="00882D00">
        <w:trPr>
          <w:trHeight w:val="315"/>
        </w:trPr>
        <w:tc>
          <w:tcPr>
            <w:tcW w:w="893" w:type="dxa"/>
            <w:vAlign w:val="center"/>
            <w:hideMark/>
          </w:tcPr>
          <w:p w14:paraId="4B26AFF2" w14:textId="77777777" w:rsidR="00C70EDD" w:rsidRPr="00D53651" w:rsidRDefault="00C70EDD" w:rsidP="00882D00">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2638C4B0" w14:textId="77777777" w:rsidR="00C70EDD" w:rsidRPr="00D53651" w:rsidRDefault="00C70EDD" w:rsidP="00882D00">
            <w:pPr>
              <w:spacing w:line="276" w:lineRule="auto"/>
              <w:jc w:val="both"/>
              <w:rPr>
                <w:rFonts w:ascii="Verdana" w:hAnsi="Verdana"/>
                <w:sz w:val="16"/>
                <w:szCs w:val="16"/>
              </w:rPr>
            </w:pPr>
            <w:r>
              <w:rPr>
                <w:rFonts w:ascii="Verdana" w:hAnsi="Verdana"/>
                <w:sz w:val="16"/>
                <w:szCs w:val="16"/>
              </w:rPr>
              <w:t>Gloria Elizabeth Arango Builes</w:t>
            </w:r>
          </w:p>
          <w:p w14:paraId="6ADE4B62" w14:textId="77777777" w:rsidR="00C70EDD" w:rsidRPr="00D53651" w:rsidRDefault="00C70EDD" w:rsidP="00882D00">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C70EDD" w:rsidRPr="00D53651" w14:paraId="6C607E45" w14:textId="77777777" w:rsidTr="00882D00">
        <w:trPr>
          <w:trHeight w:val="330"/>
        </w:trPr>
        <w:tc>
          <w:tcPr>
            <w:tcW w:w="893" w:type="dxa"/>
            <w:vAlign w:val="center"/>
            <w:hideMark/>
          </w:tcPr>
          <w:p w14:paraId="07BDCD62" w14:textId="77777777" w:rsidR="00C70EDD" w:rsidRPr="00D53651" w:rsidRDefault="00C70EDD" w:rsidP="00882D00">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177CEB5E" w14:textId="77777777" w:rsidR="00C70EDD" w:rsidRPr="00870FF5" w:rsidRDefault="00C70EDD" w:rsidP="00882D00">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 xml:space="preserve">Adriana </w:t>
            </w:r>
            <w:proofErr w:type="spellStart"/>
            <w:r>
              <w:rPr>
                <w:rFonts w:ascii="Verdana" w:hAnsi="Verdana" w:cs="Segoe UI"/>
                <w:sz w:val="16"/>
                <w:szCs w:val="16"/>
              </w:rPr>
              <w:t>Katerine</w:t>
            </w:r>
            <w:proofErr w:type="spellEnd"/>
            <w:r>
              <w:rPr>
                <w:rFonts w:ascii="Verdana" w:hAnsi="Verdana" w:cs="Segoe UI"/>
                <w:sz w:val="16"/>
                <w:szCs w:val="16"/>
              </w:rPr>
              <w:t xml:space="preserve"> López Rodríguez</w:t>
            </w:r>
          </w:p>
          <w:p w14:paraId="2E5E228E" w14:textId="77777777" w:rsidR="00C70EDD" w:rsidRPr="00D53651" w:rsidRDefault="00C70EDD" w:rsidP="00882D00">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C70EDD" w:rsidRPr="00D53651" w14:paraId="44C1E5B5" w14:textId="77777777" w:rsidTr="00882D00">
        <w:trPr>
          <w:trHeight w:val="300"/>
        </w:trPr>
        <w:tc>
          <w:tcPr>
            <w:tcW w:w="893" w:type="dxa"/>
            <w:vAlign w:val="center"/>
            <w:hideMark/>
          </w:tcPr>
          <w:p w14:paraId="4CD9115B" w14:textId="77777777" w:rsidR="00C70EDD" w:rsidRPr="00D53651" w:rsidRDefault="00C70EDD" w:rsidP="00882D00">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3E7BA64D" w14:textId="77777777" w:rsidR="00C70EDD" w:rsidRPr="00D53651" w:rsidRDefault="00C70EDD" w:rsidP="00882D00">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28A7B470" w14:textId="77777777" w:rsidR="00C70EDD" w:rsidRPr="00D53651" w:rsidRDefault="00C70EDD" w:rsidP="00882D00">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bookmarkEnd w:id="0"/>
    </w:tbl>
    <w:p w14:paraId="314AFC6E" w14:textId="77777777" w:rsidR="004944D1" w:rsidRPr="000E2B93" w:rsidRDefault="004944D1" w:rsidP="30821638">
      <w:pPr>
        <w:spacing w:after="0" w:line="240" w:lineRule="auto"/>
        <w:textAlignment w:val="baseline"/>
        <w:rPr>
          <w:rFonts w:ascii="Verdana" w:eastAsia="Verdana" w:hAnsi="Verdana" w:cs="Verdana"/>
          <w:lang w:eastAsia="es-CO"/>
        </w:rPr>
      </w:pPr>
    </w:p>
    <w:sectPr w:rsidR="004944D1" w:rsidRPr="000E2B93"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27D41" w14:textId="77777777" w:rsidR="00372ECF" w:rsidRDefault="00372ECF" w:rsidP="004A1847">
      <w:pPr>
        <w:spacing w:after="0" w:line="240" w:lineRule="auto"/>
      </w:pPr>
      <w:r>
        <w:separator/>
      </w:r>
    </w:p>
  </w:endnote>
  <w:endnote w:type="continuationSeparator" w:id="0">
    <w:p w14:paraId="588EFACB" w14:textId="77777777" w:rsidR="00372ECF" w:rsidRDefault="00372ECF" w:rsidP="004A1847">
      <w:pPr>
        <w:spacing w:after="0" w:line="240" w:lineRule="auto"/>
      </w:pPr>
      <w:r>
        <w:continuationSeparator/>
      </w:r>
    </w:p>
  </w:endnote>
  <w:endnote w:type="continuationNotice" w:id="1">
    <w:p w14:paraId="0776F2EC" w14:textId="77777777" w:rsidR="00372ECF" w:rsidRDefault="00372E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CF3961" w14:textId="77777777" w:rsidR="00372ECF" w:rsidRDefault="00372ECF" w:rsidP="004A1847">
      <w:pPr>
        <w:spacing w:after="0" w:line="240" w:lineRule="auto"/>
      </w:pPr>
      <w:r>
        <w:separator/>
      </w:r>
    </w:p>
  </w:footnote>
  <w:footnote w:type="continuationSeparator" w:id="0">
    <w:p w14:paraId="54CAA2FD" w14:textId="77777777" w:rsidR="00372ECF" w:rsidRDefault="00372ECF" w:rsidP="004A1847">
      <w:pPr>
        <w:spacing w:after="0" w:line="240" w:lineRule="auto"/>
      </w:pPr>
      <w:r>
        <w:continuationSeparator/>
      </w:r>
    </w:p>
  </w:footnote>
  <w:footnote w:type="continuationNotice" w:id="1">
    <w:p w14:paraId="13A0D97F" w14:textId="77777777" w:rsidR="00372ECF" w:rsidRDefault="00372ECF">
      <w:pPr>
        <w:spacing w:after="0" w:line="240" w:lineRule="auto"/>
      </w:pPr>
    </w:p>
  </w:footnote>
  <w:footnote w:id="2">
    <w:p w14:paraId="0BB7D485" w14:textId="77777777" w:rsidR="00C70EDD" w:rsidRPr="00E5567D" w:rsidRDefault="00C70EDD" w:rsidP="00C70EDD">
      <w:pPr>
        <w:pStyle w:val="Textonotapie"/>
        <w:ind w:firstLine="709"/>
        <w:contextualSpacing/>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660B8E7" w14:textId="77777777" w:rsidR="00C70EDD" w:rsidRPr="00E5567D" w:rsidRDefault="00C70EDD" w:rsidP="00C70EDD">
      <w:pPr>
        <w:pStyle w:val="Textonotapie"/>
        <w:ind w:firstLine="709"/>
        <w:contextualSpacing/>
        <w:jc w:val="both"/>
        <w:rPr>
          <w:rFonts w:ascii="Verdana" w:hAnsi="Verdana" w:cs="Arial"/>
          <w:sz w:val="15"/>
          <w:szCs w:val="15"/>
        </w:rPr>
      </w:pPr>
      <w:r w:rsidRPr="00E5567D">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67A22D70" w14:textId="77777777" w:rsidR="00C70EDD" w:rsidRPr="00E5567D" w:rsidRDefault="00C70EDD" w:rsidP="00C70EDD">
      <w:pPr>
        <w:pStyle w:val="Textonotapie"/>
        <w:ind w:firstLine="709"/>
        <w:contextualSpacing/>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Gaceta del Congreso de la República No. 71 del 2005.</w:t>
      </w:r>
    </w:p>
  </w:footnote>
  <w:footnote w:id="4">
    <w:p w14:paraId="53B61261" w14:textId="77777777" w:rsidR="00C70EDD" w:rsidRPr="00E5567D" w:rsidRDefault="00C70EDD" w:rsidP="00C70EDD">
      <w:pPr>
        <w:pStyle w:val="Textonotapie"/>
        <w:ind w:firstLine="709"/>
        <w:contextualSpacing/>
        <w:jc w:val="both"/>
        <w:rPr>
          <w:rFonts w:ascii="Verdana" w:hAnsi="Verdana" w:cs="Arial"/>
          <w:sz w:val="15"/>
          <w:szCs w:val="15"/>
          <w:lang w:val="pt-BR"/>
        </w:rPr>
      </w:pPr>
      <w:r w:rsidRPr="00E5567D">
        <w:rPr>
          <w:rStyle w:val="Refdenotaalpie"/>
          <w:rFonts w:ascii="Verdana" w:hAnsi="Verdana" w:cs="Arial"/>
          <w:sz w:val="15"/>
          <w:szCs w:val="15"/>
        </w:rPr>
        <w:footnoteRef/>
      </w:r>
      <w:r w:rsidRPr="00E5567D">
        <w:rPr>
          <w:rFonts w:ascii="Verdana" w:hAnsi="Verdana" w:cs="Arial"/>
          <w:sz w:val="15"/>
          <w:szCs w:val="15"/>
          <w:lang w:val="pt-BR"/>
        </w:rPr>
        <w:t xml:space="preserve"> Corte Constitucional, Sentencia C- 1153 de 2005, M.P. Marco Gerardo </w:t>
      </w:r>
      <w:r w:rsidRPr="00E5567D">
        <w:rPr>
          <w:rFonts w:ascii="Verdana" w:hAnsi="Verdana" w:cs="Arial"/>
          <w:sz w:val="15"/>
          <w:szCs w:val="15"/>
          <w:lang w:val="pt-BR"/>
        </w:rPr>
        <w:t>Monroy Cabra.</w:t>
      </w:r>
    </w:p>
  </w:footnote>
  <w:footnote w:id="5">
    <w:p w14:paraId="0AEBF446" w14:textId="77777777" w:rsidR="00C70EDD" w:rsidRPr="00E5567D" w:rsidRDefault="00C70EDD" w:rsidP="00C70EDD">
      <w:pPr>
        <w:pStyle w:val="Textonotapie"/>
        <w:ind w:firstLine="709"/>
        <w:contextualSpacing/>
        <w:jc w:val="both"/>
        <w:rPr>
          <w:rFonts w:ascii="Verdana" w:hAnsi="Verdana" w:cs="Arial"/>
          <w:sz w:val="15"/>
          <w:szCs w:val="15"/>
          <w:lang w:val="pt-BR"/>
        </w:rPr>
      </w:pPr>
      <w:r w:rsidRPr="00E5567D">
        <w:rPr>
          <w:rStyle w:val="Refdenotaalpie"/>
          <w:rFonts w:ascii="Verdana" w:hAnsi="Verdana" w:cs="Arial"/>
          <w:sz w:val="15"/>
          <w:szCs w:val="15"/>
        </w:rPr>
        <w:footnoteRef/>
      </w:r>
      <w:r w:rsidRPr="00E5567D">
        <w:rPr>
          <w:rFonts w:ascii="Verdana" w:hAnsi="Verdana" w:cs="Arial"/>
          <w:sz w:val="15"/>
          <w:szCs w:val="15"/>
          <w:lang w:val="pt-BR"/>
        </w:rPr>
        <w:t xml:space="preserve"> Corte Constitucional. Sentencias: C-233 de 4 de abril de 2002, expediente: D-3704; C-551 de 9 de </w:t>
      </w:r>
      <w:r w:rsidRPr="00E5567D">
        <w:rPr>
          <w:rFonts w:ascii="Verdana" w:hAnsi="Verdana" w:cs="Arial"/>
          <w:sz w:val="15"/>
          <w:szCs w:val="15"/>
          <w:lang w:val="pt-BR"/>
        </w:rPr>
        <w:t>julio de 2003, expediente: CRF-001 de 9 de julio de 2003; C-652 de 5 de agosto de 2003, expediente: D-4330; C-353 de 20 de mayo de 2009, expediente: D-7518, C-541 de 30 de junio de 2010, expediente: DD7966; entre otras.</w:t>
      </w:r>
    </w:p>
  </w:footnote>
  <w:footnote w:id="6">
    <w:p w14:paraId="1906DD86" w14:textId="77777777" w:rsidR="00C70EDD" w:rsidRPr="00E5567D" w:rsidRDefault="00C70EDD" w:rsidP="00C70EDD">
      <w:pPr>
        <w:pStyle w:val="Textonotapie"/>
        <w:ind w:firstLine="709"/>
        <w:contextualSpacing/>
        <w:jc w:val="both"/>
        <w:rPr>
          <w:rFonts w:ascii="Verdana" w:hAnsi="Verdana" w:cs="Arial"/>
          <w:sz w:val="15"/>
          <w:szCs w:val="15"/>
          <w:lang w:val="es-CO"/>
        </w:rPr>
      </w:pPr>
      <w:r w:rsidRPr="00E5567D">
        <w:rPr>
          <w:rStyle w:val="Refdenotaalpie"/>
          <w:rFonts w:ascii="Verdana" w:hAnsi="Verdana" w:cs="Arial"/>
          <w:sz w:val="15"/>
          <w:szCs w:val="15"/>
        </w:rPr>
        <w:footnoteRef/>
      </w:r>
      <w:r w:rsidRPr="00E5567D">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376D2B15" w14:textId="77777777" w:rsidR="00C70EDD" w:rsidRPr="00E5567D" w:rsidRDefault="00C70EDD" w:rsidP="00C70EDD">
      <w:pPr>
        <w:pStyle w:val="Textonotapie"/>
        <w:ind w:firstLine="709"/>
        <w:contextualSpacing/>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de fecha 24 de julio de 2013. Rad. 2166, C.P. Álvaro </w:t>
      </w:r>
      <w:r w:rsidRPr="00E5567D">
        <w:rPr>
          <w:rFonts w:ascii="Verdana" w:hAnsi="Verdana" w:cs="Arial"/>
          <w:sz w:val="15"/>
          <w:szCs w:val="15"/>
        </w:rPr>
        <w:t xml:space="preserve">Namén Vargas.  </w:t>
      </w:r>
    </w:p>
  </w:footnote>
  <w:footnote w:id="8">
    <w:p w14:paraId="721A9074" w14:textId="77777777" w:rsidR="00C70EDD" w:rsidRPr="00E5567D" w:rsidRDefault="00C70EDD" w:rsidP="00C70EDD">
      <w:pPr>
        <w:spacing w:after="0" w:line="240" w:lineRule="auto"/>
        <w:ind w:firstLine="709"/>
        <w:contextualSpacing/>
        <w:jc w:val="both"/>
        <w:rPr>
          <w:rFonts w:ascii="Verdana" w:eastAsia="Times New Roman"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bookmarkStart w:id="5" w:name="33"/>
      <w:r w:rsidRPr="00E5567D">
        <w:rPr>
          <w:rFonts w:ascii="Verdana" w:eastAsia="Calibri" w:hAnsi="Verdana" w:cs="Arial"/>
          <w:color w:val="000000"/>
          <w:sz w:val="15"/>
          <w:szCs w:val="15"/>
        </w:rPr>
        <w:t>“</w:t>
      </w:r>
      <w:r w:rsidRPr="00E5567D">
        <w:rPr>
          <w:rFonts w:ascii="Verdana" w:eastAsia="Times New Roman" w:hAnsi="Verdana" w:cs="Arial"/>
          <w:sz w:val="15"/>
          <w:szCs w:val="15"/>
        </w:rPr>
        <w:t>Artículo 33. Restricciones a la contratación pública.</w:t>
      </w:r>
      <w:bookmarkEnd w:id="5"/>
      <w:r w:rsidRPr="00E5567D">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0024AB74" w14:textId="77777777" w:rsidR="00C70EDD" w:rsidRPr="00E5567D" w:rsidRDefault="00C70EDD" w:rsidP="00C70EDD">
      <w:pPr>
        <w:spacing w:after="0" w:line="240" w:lineRule="auto"/>
        <w:ind w:firstLine="709"/>
        <w:contextualSpacing/>
        <w:jc w:val="both"/>
        <w:rPr>
          <w:rFonts w:ascii="Verdana" w:eastAsia="Times New Roman" w:hAnsi="Verdana" w:cs="Arial"/>
          <w:sz w:val="15"/>
          <w:szCs w:val="15"/>
        </w:rPr>
      </w:pPr>
      <w:r w:rsidRPr="00E5567D">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5567D">
        <w:rPr>
          <w:rFonts w:ascii="Verdana" w:eastAsia="Calibri" w:hAnsi="Verdana" w:cs="Arial"/>
          <w:color w:val="000000"/>
          <w:sz w:val="15"/>
          <w:szCs w:val="15"/>
        </w:rPr>
        <w:t>”</w:t>
      </w:r>
      <w:r w:rsidRPr="00E5567D">
        <w:rPr>
          <w:rFonts w:ascii="Verdana" w:eastAsia="Times New Roman" w:hAnsi="Verdana" w:cs="Arial"/>
          <w:sz w:val="15"/>
          <w:szCs w:val="15"/>
        </w:rPr>
        <w:t>.</w:t>
      </w:r>
    </w:p>
  </w:footnote>
  <w:footnote w:id="9">
    <w:p w14:paraId="19D2379E" w14:textId="77777777" w:rsidR="00C70EDD" w:rsidRPr="00E5567D" w:rsidRDefault="00C70EDD" w:rsidP="00C70EDD">
      <w:pPr>
        <w:pStyle w:val="NormalWeb"/>
        <w:spacing w:before="0" w:beforeAutospacing="0" w:after="0" w:afterAutospacing="0"/>
        <w:ind w:firstLine="709"/>
        <w:contextualSpacing/>
        <w:jc w:val="both"/>
        <w:rPr>
          <w:rFonts w:ascii="Verdana" w:hAnsi="Verdana" w:cs="Arial"/>
          <w:sz w:val="15"/>
          <w:szCs w:val="15"/>
          <w:lang w:val="es-MX"/>
        </w:rPr>
      </w:pPr>
      <w:r w:rsidRPr="00E5567D">
        <w:rPr>
          <w:rStyle w:val="Refdenotaalpie"/>
          <w:rFonts w:ascii="Verdana" w:hAnsi="Verdana" w:cs="Arial"/>
          <w:sz w:val="15"/>
          <w:szCs w:val="15"/>
        </w:rPr>
        <w:footnoteRef/>
      </w:r>
      <w:r w:rsidRPr="00E5567D">
        <w:rPr>
          <w:rFonts w:ascii="Verdana" w:hAnsi="Verdana" w:cs="Arial"/>
          <w:sz w:val="15"/>
          <w:szCs w:val="15"/>
        </w:rPr>
        <w:t xml:space="preserve"> </w:t>
      </w:r>
      <w:bookmarkStart w:id="6" w:name="38"/>
      <w:r w:rsidRPr="00E5567D">
        <w:rPr>
          <w:rFonts w:ascii="Verdana" w:eastAsia="Calibri" w:hAnsi="Verdana" w:cs="Arial"/>
          <w:color w:val="000000"/>
          <w:sz w:val="15"/>
          <w:szCs w:val="15"/>
        </w:rPr>
        <w:t>“</w:t>
      </w:r>
      <w:r w:rsidRPr="00E5567D">
        <w:rPr>
          <w:rFonts w:ascii="Verdana" w:hAnsi="Verdana" w:cs="Arial"/>
          <w:sz w:val="15"/>
          <w:szCs w:val="15"/>
          <w:lang w:val="es-MX"/>
        </w:rPr>
        <w:t>Artículo 38. Prohibiciones para los servidores públicos. A los empleados del Estado les está prohibido:</w:t>
      </w:r>
      <w:bookmarkEnd w:id="6"/>
    </w:p>
    <w:p w14:paraId="30AC5DE6" w14:textId="77777777" w:rsidR="00C70EDD" w:rsidRPr="00E5567D" w:rsidRDefault="00C70EDD" w:rsidP="00C70EDD">
      <w:pPr>
        <w:pStyle w:val="NormalWeb"/>
        <w:spacing w:before="0" w:beforeAutospacing="0" w:after="0" w:afterAutospacing="0"/>
        <w:ind w:firstLine="709"/>
        <w:contextualSpacing/>
        <w:jc w:val="both"/>
        <w:rPr>
          <w:rFonts w:ascii="Verdana" w:hAnsi="Verdana" w:cs="Arial"/>
          <w:sz w:val="15"/>
          <w:szCs w:val="15"/>
          <w:lang w:val="es-MX"/>
        </w:rPr>
      </w:pPr>
      <w:r w:rsidRPr="00E5567D">
        <w:rPr>
          <w:rFonts w:ascii="Verdana" w:hAnsi="Verdana" w:cs="Arial"/>
          <w:sz w:val="15"/>
          <w:szCs w:val="15"/>
          <w:lang w:val="es-MX"/>
        </w:rPr>
        <w:t>[…]</w:t>
      </w:r>
    </w:p>
    <w:p w14:paraId="5F9B1CEC" w14:textId="77777777" w:rsidR="00C70EDD" w:rsidRPr="00E5567D" w:rsidRDefault="00C70EDD" w:rsidP="00C70EDD">
      <w:pPr>
        <w:pStyle w:val="NormalWeb"/>
        <w:spacing w:before="0" w:beforeAutospacing="0" w:after="0" w:afterAutospacing="0"/>
        <w:ind w:firstLine="709"/>
        <w:contextualSpacing/>
        <w:jc w:val="both"/>
        <w:rPr>
          <w:rFonts w:ascii="Verdana" w:hAnsi="Verdana" w:cs="Arial"/>
          <w:sz w:val="15"/>
          <w:szCs w:val="15"/>
          <w:lang w:val="es-MX"/>
        </w:rPr>
      </w:pPr>
      <w:r w:rsidRPr="00E5567D">
        <w:rPr>
          <w:rStyle w:val="baj"/>
          <w:rFonts w:ascii="Verdana" w:eastAsiaTheme="minorEastAsia" w:hAnsi="Verdana" w:cs="Arial"/>
          <w:sz w:val="15"/>
          <w:szCs w:val="15"/>
          <w:lang w:val="es-MX"/>
        </w:rPr>
        <w:t>Parágrafo.</w:t>
      </w:r>
      <w:r w:rsidRPr="00E5567D">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5567D">
        <w:rPr>
          <w:rFonts w:ascii="Verdana" w:eastAsia="Calibri" w:hAnsi="Verdana" w:cs="Arial"/>
          <w:color w:val="000000"/>
          <w:sz w:val="15"/>
          <w:szCs w:val="15"/>
        </w:rPr>
        <w:t>”</w:t>
      </w:r>
      <w:r w:rsidRPr="00E5567D">
        <w:rPr>
          <w:rFonts w:ascii="Verdana" w:hAnsi="Verdana" w:cs="Arial"/>
          <w:sz w:val="15"/>
          <w:szCs w:val="15"/>
          <w:lang w:val="es-MX"/>
        </w:rPr>
        <w:t>.</w:t>
      </w:r>
    </w:p>
  </w:footnote>
  <w:footnote w:id="10">
    <w:p w14:paraId="5CB16A04" w14:textId="77777777" w:rsidR="00C70EDD" w:rsidRPr="00E5567D" w:rsidRDefault="00C70EDD" w:rsidP="00C70EDD">
      <w:pPr>
        <w:spacing w:after="0" w:line="240" w:lineRule="auto"/>
        <w:ind w:left="100" w:right="244" w:firstLine="709"/>
        <w:contextualSpacing/>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17 de febrero de 2015. Rad. 2269. C.P. William Zambrano Cetina. </w:t>
      </w:r>
    </w:p>
  </w:footnote>
  <w:footnote w:id="11">
    <w:p w14:paraId="1D3D04F4" w14:textId="77777777" w:rsidR="00C70EDD" w:rsidRPr="00E5567D" w:rsidRDefault="00C70EDD" w:rsidP="00C70EDD">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sz w:val="15"/>
          <w:szCs w:val="15"/>
          <w:lang w:val="es-ES"/>
        </w:rPr>
        <w:t xml:space="preserve">[25] </w:t>
      </w:r>
      <w:r w:rsidRPr="00E5567D">
        <w:rPr>
          <w:rFonts w:ascii="Verdana" w:hAnsi="Verdana" w:cs="Arial"/>
          <w:sz w:val="15"/>
          <w:szCs w:val="15"/>
        </w:rPr>
        <w:t>Cfr. Consejo de Estado. Sección Tercera. Sentencia de 3 de diciembre de 2007. Radicados: 24.715, 25.206, 25.409, 24.524, 27.834, 25.410, 26.105, 28.244, 31.447 -acumulados-”.</w:t>
      </w:r>
    </w:p>
  </w:footnote>
  <w:footnote w:id="12">
    <w:p w14:paraId="48F3D4E3" w14:textId="77777777" w:rsidR="00C70EDD" w:rsidRPr="00E5567D" w:rsidRDefault="00C70EDD" w:rsidP="00C70EDD">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sz w:val="15"/>
          <w:szCs w:val="15"/>
          <w:lang w:val="es-ES"/>
        </w:rPr>
        <w:t xml:space="preserve">[26] </w:t>
      </w:r>
      <w:r w:rsidRPr="00E5567D">
        <w:rPr>
          <w:rFonts w:ascii="Verdana" w:hAnsi="Verdana" w:cs="Arial"/>
          <w:sz w:val="15"/>
          <w:szCs w:val="15"/>
        </w:rPr>
        <w:t>Al respecto ver el concepto 1712 de 2 de febrero de 2006. Consejo de Estado Sala de Consulta y Servicio Civil”.</w:t>
      </w:r>
    </w:p>
  </w:footnote>
  <w:footnote w:id="13">
    <w:p w14:paraId="4D3AF6E9" w14:textId="77777777" w:rsidR="00C70EDD" w:rsidRPr="00E5567D" w:rsidRDefault="00C70EDD" w:rsidP="00C70EDD">
      <w:pPr>
        <w:pStyle w:val="Textonotapie"/>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2 de septiembre de 2013. Rad. 2168). C.P. Álvaro </w:t>
      </w:r>
      <w:r w:rsidRPr="00E5567D">
        <w:rPr>
          <w:rFonts w:ascii="Verdana" w:hAnsi="Verdana" w:cs="Arial"/>
          <w:sz w:val="15"/>
          <w:szCs w:val="15"/>
        </w:rPr>
        <w:t>Namén Vargas.</w:t>
      </w:r>
    </w:p>
  </w:footnote>
  <w:footnote w:id="14">
    <w:p w14:paraId="6A1F1871" w14:textId="77777777" w:rsidR="00C70EDD" w:rsidRPr="00E5567D" w:rsidRDefault="00C70EDD" w:rsidP="00C70EDD">
      <w:pPr>
        <w:pStyle w:val="Textonotapie"/>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sz w:val="15"/>
          <w:szCs w:val="15"/>
          <w:lang w:val="es-ES"/>
        </w:rPr>
        <w:t xml:space="preserve">Artículo 2. </w:t>
      </w:r>
    </w:p>
  </w:footnote>
  <w:footnote w:id="15">
    <w:p w14:paraId="45F9920C" w14:textId="77777777" w:rsidR="00C70EDD" w:rsidRPr="00E5567D" w:rsidRDefault="00C70EDD" w:rsidP="00C70EDD">
      <w:pPr>
        <w:pStyle w:val="Textonotapie"/>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Fonts w:ascii="Verdana" w:hAnsi="Verdana" w:cs="Arial"/>
          <w:sz w:val="15"/>
          <w:szCs w:val="15"/>
        </w:rPr>
        <w:t xml:space="preserve"> </w:t>
      </w:r>
      <w:r w:rsidRPr="00E5567D">
        <w:rPr>
          <w:rFonts w:ascii="Verdana" w:hAnsi="Verdana" w:cs="Arial"/>
          <w:i/>
          <w:sz w:val="15"/>
          <w:szCs w:val="15"/>
          <w:lang w:val="es-ES"/>
        </w:rPr>
        <w:t>Ibidem</w:t>
      </w:r>
      <w:r w:rsidRPr="00E5567D">
        <w:rPr>
          <w:rFonts w:ascii="Verdana" w:hAnsi="Verdana" w:cs="Arial"/>
          <w:sz w:val="15"/>
          <w:szCs w:val="15"/>
          <w:lang w:val="es-ES"/>
        </w:rPr>
        <w:t>.</w:t>
      </w:r>
    </w:p>
  </w:footnote>
  <w:footnote w:id="16">
    <w:p w14:paraId="1264BEE3" w14:textId="77777777" w:rsidR="00C70EDD" w:rsidRPr="00E5567D" w:rsidRDefault="00C70EDD" w:rsidP="00C70EDD">
      <w:pPr>
        <w:pStyle w:val="Textonotapie"/>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Style w:val="Refdenotaalpie"/>
          <w:rFonts w:ascii="Verdana" w:hAnsi="Verdana" w:cs="Arial"/>
          <w:sz w:val="15"/>
          <w:szCs w:val="15"/>
        </w:rPr>
        <w:t xml:space="preserve"> </w:t>
      </w:r>
      <w:r w:rsidRPr="00E5567D">
        <w:rPr>
          <w:rFonts w:ascii="Verdana" w:hAnsi="Verdana" w:cs="Arial"/>
          <w:sz w:val="15"/>
          <w:szCs w:val="15"/>
          <w:lang w:val="es-ES"/>
        </w:rPr>
        <w:t xml:space="preserve">“[…] A este respecto, cabe recordar que el artículo 860 del Código de Comercio regula la licitación en el derecho privado”. </w:t>
      </w:r>
    </w:p>
  </w:footnote>
  <w:footnote w:id="17">
    <w:p w14:paraId="3DFBCCDA" w14:textId="77777777" w:rsidR="00C70EDD" w:rsidRPr="00E5567D" w:rsidRDefault="00C70EDD" w:rsidP="00C70EDD">
      <w:pPr>
        <w:shd w:val="clear" w:color="auto" w:fill="FFFFFF"/>
        <w:spacing w:after="0"/>
        <w:ind w:firstLine="709"/>
        <w:jc w:val="both"/>
        <w:rPr>
          <w:rFonts w:ascii="Verdana" w:hAnsi="Verdana" w:cs="Arial"/>
          <w:sz w:val="15"/>
          <w:szCs w:val="15"/>
          <w:lang w:val="es-ES"/>
        </w:rPr>
      </w:pPr>
      <w:r w:rsidRPr="00E5567D">
        <w:rPr>
          <w:rStyle w:val="Refdenotaalpie"/>
          <w:rFonts w:ascii="Verdana" w:hAnsi="Verdana" w:cs="Arial"/>
          <w:sz w:val="15"/>
          <w:szCs w:val="15"/>
        </w:rPr>
        <w:footnoteRef/>
      </w:r>
      <w:r w:rsidRPr="00E5567D">
        <w:rPr>
          <w:rStyle w:val="Refdenotaalpie"/>
          <w:rFonts w:ascii="Verdana" w:hAnsi="Verdana" w:cs="Arial"/>
          <w:sz w:val="15"/>
          <w:szCs w:val="15"/>
        </w:rPr>
        <w:t xml:space="preserve"> </w:t>
      </w:r>
      <w:r w:rsidRPr="00E5567D">
        <w:rPr>
          <w:rFonts w:ascii="Verdana" w:hAnsi="Verdana" w:cs="Arial"/>
          <w:sz w:val="15"/>
          <w:szCs w:val="15"/>
        </w:rPr>
        <w:t xml:space="preserve">Consejo de Estado. Sala de Consulta y Servicio Civil. Concepto del 08 de mayo de 2018. Rad. 2.382. C.P. Álvaro </w:t>
      </w:r>
      <w:r w:rsidRPr="00E5567D">
        <w:rPr>
          <w:rFonts w:ascii="Verdana" w:hAnsi="Verdana" w:cs="Arial"/>
          <w:sz w:val="15"/>
          <w:szCs w:val="15"/>
        </w:rPr>
        <w:t>Namén Vargas.</w:t>
      </w:r>
    </w:p>
  </w:footnote>
  <w:footnote w:id="18">
    <w:p w14:paraId="7FEE9E7C" w14:textId="77777777" w:rsidR="00C70EDD" w:rsidRPr="00E5567D" w:rsidRDefault="00C70EDD" w:rsidP="00C70EDD">
      <w:pPr>
        <w:pStyle w:val="Textonotapie"/>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08 de mayo de 2018. Rad. 2.382. C.P. Álvaro </w:t>
      </w:r>
      <w:r w:rsidRPr="00E5567D">
        <w:rPr>
          <w:rFonts w:ascii="Verdana" w:hAnsi="Verdana" w:cs="Arial"/>
          <w:sz w:val="15"/>
          <w:szCs w:val="15"/>
        </w:rPr>
        <w:t>Namén Vargas.</w:t>
      </w:r>
    </w:p>
  </w:footnote>
  <w:footnote w:id="19">
    <w:p w14:paraId="0042EC58" w14:textId="77777777" w:rsidR="00C70EDD" w:rsidRPr="00E5567D" w:rsidRDefault="00C70EDD" w:rsidP="00C70EDD">
      <w:pPr>
        <w:pStyle w:val="Textonotapie"/>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w:t>
      </w:r>
      <w:r w:rsidRPr="00E5567D">
        <w:rPr>
          <w:rFonts w:ascii="Verdana" w:hAnsi="Verdana" w:cs="Arial"/>
          <w:sz w:val="15"/>
          <w:szCs w:val="15"/>
        </w:rPr>
        <w:t>N° 216/05 Senado, N° 235-Cámara que dio lugar a la Ley de Garantías Electorales.</w:t>
      </w:r>
    </w:p>
  </w:footnote>
  <w:footnote w:id="20">
    <w:p w14:paraId="227191A9" w14:textId="77777777" w:rsidR="00C70EDD" w:rsidRPr="00E5567D" w:rsidRDefault="00C70EDD" w:rsidP="00C70EDD">
      <w:pPr>
        <w:spacing w:after="0"/>
        <w:ind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 20 de febrero de 2006. Rad.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79EDC1E1" w14:textId="77777777" w:rsidR="00C70EDD" w:rsidRPr="00E5567D" w:rsidRDefault="00C70EDD" w:rsidP="00C70EDD">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w:t>
      </w:r>
      <w:bookmarkStart w:id="17" w:name="_Hlk75633115"/>
      <w:r w:rsidRPr="00E5567D">
        <w:rPr>
          <w:rFonts w:ascii="Verdana" w:hAnsi="Verdana" w:cs="Arial"/>
          <w:sz w:val="15"/>
          <w:szCs w:val="15"/>
        </w:rPr>
        <w:t xml:space="preserve">Consejo de Estado. Sala de Consulta y Servicio Civil. Concepto </w:t>
      </w:r>
      <w:bookmarkEnd w:id="17"/>
      <w:r w:rsidRPr="00E5567D">
        <w:rPr>
          <w:rFonts w:ascii="Verdana" w:hAnsi="Verdana" w:cs="Arial"/>
          <w:sz w:val="15"/>
          <w:szCs w:val="15"/>
        </w:rPr>
        <w:t>de 6 de abril de 2006. Rad. 1738. C.P. Enrique José Arboleda Perdomo:</w:t>
      </w:r>
      <w:r w:rsidRPr="00E5567D">
        <w:rPr>
          <w:rFonts w:ascii="Verdana" w:eastAsia="Times New Roman" w:hAnsi="Verdana" w:cs="Arial"/>
          <w:sz w:val="15"/>
          <w:szCs w:val="15"/>
          <w:lang w:eastAsia="x-none"/>
        </w:rPr>
        <w:t xml:space="preserve"> “</w:t>
      </w:r>
      <w:r w:rsidRPr="00E5567D">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E5567D">
        <w:rPr>
          <w:rFonts w:ascii="Verdana" w:eastAsia="Times New Roman" w:hAnsi="Verdana" w:cs="Arial"/>
          <w:sz w:val="15"/>
          <w:szCs w:val="15"/>
          <w:lang w:eastAsia="x-none"/>
        </w:rPr>
        <w:t>”.</w:t>
      </w:r>
    </w:p>
  </w:footnote>
  <w:footnote w:id="22">
    <w:p w14:paraId="3133D9E3" w14:textId="77777777" w:rsidR="00C70EDD" w:rsidRPr="00E5567D" w:rsidRDefault="00C70EDD" w:rsidP="00C70EDD">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 6 de abril de 2006. Rad. 1738. C.P. Enrique José Arboleda Perdomo.</w:t>
      </w:r>
    </w:p>
  </w:footnote>
  <w:footnote w:id="23">
    <w:p w14:paraId="2D3AAAC3" w14:textId="77777777" w:rsidR="00C70EDD" w:rsidRPr="00E5567D" w:rsidRDefault="00C70EDD" w:rsidP="00C70EDD">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w:t>
      </w:r>
      <w:r w:rsidRPr="00E5567D">
        <w:rPr>
          <w:rFonts w:ascii="Verdana" w:hAnsi="Verdana" w:cs="Arial"/>
          <w:i/>
          <w:sz w:val="15"/>
          <w:szCs w:val="15"/>
        </w:rPr>
        <w:t>ibidem</w:t>
      </w:r>
      <w:r w:rsidRPr="00E5567D">
        <w:rPr>
          <w:rFonts w:ascii="Verdana" w:hAnsi="Verdana" w:cs="Arial"/>
          <w:sz w:val="15"/>
          <w:szCs w:val="15"/>
        </w:rPr>
        <w:t>.</w:t>
      </w:r>
    </w:p>
  </w:footnote>
  <w:footnote w:id="24">
    <w:p w14:paraId="3EB5D7C0" w14:textId="77777777" w:rsidR="00C70EDD" w:rsidRPr="00E5567D" w:rsidRDefault="00C70EDD" w:rsidP="00C70EDD">
      <w:pPr>
        <w:pStyle w:val="Textonotapie"/>
        <w:ind w:firstLine="708"/>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18 de febrero 2010. Rad. 1985. C.P. Enrique José Arboleda Perdomo.</w:t>
      </w:r>
    </w:p>
  </w:footnote>
  <w:footnote w:id="25">
    <w:p w14:paraId="6122C394" w14:textId="77777777" w:rsidR="00C70EDD" w:rsidRPr="00E5567D" w:rsidRDefault="00C70EDD" w:rsidP="00C70EDD">
      <w:pPr>
        <w:pStyle w:val="Textonotapie"/>
        <w:ind w:firstLine="708"/>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Corte Constitucional. Sentencia C-1153 de 2005 M.P. Marco Gerardo Monroy Cabra. </w:t>
      </w:r>
    </w:p>
  </w:footnote>
  <w:footnote w:id="26">
    <w:p w14:paraId="0DB5F503" w14:textId="77777777" w:rsidR="00C70EDD" w:rsidRPr="00E5567D" w:rsidRDefault="00C70EDD" w:rsidP="00C70EDD">
      <w:pPr>
        <w:pStyle w:val="Textonotapie"/>
        <w:ind w:firstLine="708"/>
        <w:jc w:val="both"/>
        <w:rPr>
          <w:rFonts w:ascii="Verdana" w:hAnsi="Verdana"/>
          <w:sz w:val="15"/>
          <w:szCs w:val="15"/>
          <w:lang w:val="es-CO"/>
        </w:rPr>
      </w:pPr>
      <w:r w:rsidRPr="00E5567D">
        <w:rPr>
          <w:rStyle w:val="Refdenotaalpie"/>
          <w:rFonts w:ascii="Verdana" w:hAnsi="Verdana"/>
          <w:sz w:val="15"/>
          <w:szCs w:val="15"/>
        </w:rPr>
        <w:footnoteRef/>
      </w:r>
      <w:r w:rsidRPr="00E5567D">
        <w:rPr>
          <w:rFonts w:ascii="Verdana" w:hAnsi="Verdana"/>
          <w:sz w:val="15"/>
          <w:szCs w:val="15"/>
        </w:rPr>
        <w:t xml:space="preserve"> </w:t>
      </w:r>
      <w:r w:rsidRPr="00E5567D">
        <w:rPr>
          <w:rFonts w:ascii="Verdana" w:hAnsi="Verdana"/>
          <w:sz w:val="15"/>
          <w:szCs w:val="15"/>
          <w:lang w:val="es-CO"/>
        </w:rPr>
        <w:t xml:space="preserve">Consejo de Estado, Sala de Consulta y Servicio Civil. Concepto del 6 de abril de 2006, Rad. 1736. C.P. Luis Fernando Álvarez Jaramillo. </w:t>
      </w:r>
    </w:p>
  </w:footnote>
  <w:footnote w:id="27">
    <w:p w14:paraId="18852B51" w14:textId="77777777" w:rsidR="00C70EDD" w:rsidRPr="00E5567D" w:rsidRDefault="00C70EDD" w:rsidP="00C70EDD">
      <w:pPr>
        <w:pStyle w:val="Textonotapie"/>
        <w:ind w:right="51" w:firstLine="709"/>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20 de febrero de 2006. Rad. 1727. C.P. Enrique José Arboleda Perdomo. </w:t>
      </w:r>
    </w:p>
  </w:footnote>
  <w:footnote w:id="28">
    <w:p w14:paraId="47DB70E2" w14:textId="77777777" w:rsidR="00C70EDD" w:rsidRPr="00E5567D" w:rsidRDefault="00C70EDD" w:rsidP="00C70EDD">
      <w:pPr>
        <w:pStyle w:val="Textonotapie"/>
        <w:ind w:firstLine="709"/>
        <w:rPr>
          <w:rFonts w:ascii="Verdana" w:hAnsi="Verdana"/>
          <w:sz w:val="15"/>
          <w:szCs w:val="15"/>
          <w:lang w:val="es-CO"/>
        </w:rPr>
      </w:pPr>
      <w:r w:rsidRPr="00E5567D">
        <w:rPr>
          <w:rStyle w:val="Refdenotaalpie"/>
          <w:rFonts w:ascii="Verdana" w:hAnsi="Verdana"/>
          <w:sz w:val="15"/>
          <w:szCs w:val="15"/>
        </w:rPr>
        <w:footnoteRef/>
      </w:r>
      <w:r w:rsidRPr="00E5567D">
        <w:rPr>
          <w:rFonts w:ascii="Verdana" w:hAnsi="Verdana"/>
          <w:sz w:val="15"/>
          <w:szCs w:val="15"/>
        </w:rPr>
        <w:t xml:space="preserve"> </w:t>
      </w:r>
      <w:r w:rsidRPr="00E5567D">
        <w:rPr>
          <w:rFonts w:ascii="Verdana" w:hAnsi="Verdana" w:cs="Arial"/>
          <w:sz w:val="15"/>
          <w:szCs w:val="15"/>
        </w:rPr>
        <w:t>Consejo de Estado. Sala de Consulta y Servicio Civil. Concepto de 6 de abril de 2006. Rad. 1738. C.P. Enrique José Arboleda Perdomo.</w:t>
      </w:r>
    </w:p>
  </w:footnote>
  <w:footnote w:id="29">
    <w:p w14:paraId="48865941" w14:textId="77777777" w:rsidR="00C70EDD" w:rsidRPr="00E5567D" w:rsidRDefault="00C70EDD" w:rsidP="00C70EDD">
      <w:pPr>
        <w:pStyle w:val="Textonotapie"/>
        <w:ind w:firstLine="709"/>
        <w:contextualSpacing/>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Consejo de Estado. Sala de Consulta y Servicio Civil. Concepto del 15 de noviembre de 2007. Rad. 1863. C.P.: Luis Fernando Álvarez Jaramillo.</w:t>
      </w:r>
    </w:p>
  </w:footnote>
  <w:footnote w:id="30">
    <w:p w14:paraId="651AF392" w14:textId="77777777" w:rsidR="00C70EDD" w:rsidRPr="00E5567D" w:rsidRDefault="00C70EDD" w:rsidP="00C70EDD">
      <w:pPr>
        <w:pStyle w:val="Textonotapie"/>
        <w:ind w:firstLine="708"/>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Colombia Compra Eficiente. Circular Externa Única. Numeral 15.5.</w:t>
      </w:r>
    </w:p>
  </w:footnote>
  <w:footnote w:id="31">
    <w:p w14:paraId="55FF0387" w14:textId="77777777" w:rsidR="00C70EDD" w:rsidRPr="00E5567D" w:rsidRDefault="00C70EDD" w:rsidP="00C70EDD">
      <w:pPr>
        <w:pStyle w:val="Textonotapie"/>
        <w:ind w:firstLine="709"/>
        <w:jc w:val="both"/>
        <w:rPr>
          <w:rFonts w:ascii="Verdana" w:hAnsi="Verdana" w:cs="Arial"/>
          <w:color w:val="000000" w:themeColor="text1"/>
          <w:sz w:val="15"/>
          <w:szCs w:val="15"/>
          <w:lang w:val="es-ES"/>
        </w:rPr>
      </w:pPr>
      <w:r w:rsidRPr="00E5567D">
        <w:rPr>
          <w:rStyle w:val="Refdenotaalpie"/>
          <w:rFonts w:ascii="Verdana" w:hAnsi="Verdana" w:cs="Arial"/>
          <w:color w:val="000000" w:themeColor="text1"/>
          <w:sz w:val="15"/>
          <w:szCs w:val="15"/>
        </w:rPr>
        <w:footnoteRef/>
      </w:r>
      <w:r w:rsidRPr="00E5567D">
        <w:rPr>
          <w:rFonts w:ascii="Verdana" w:hAnsi="Verdana" w:cs="Arial"/>
          <w:color w:val="000000" w:themeColor="text1"/>
          <w:sz w:val="15"/>
          <w:szCs w:val="15"/>
        </w:rPr>
        <w:t xml:space="preserve"> </w:t>
      </w:r>
      <w:r w:rsidRPr="00E5567D">
        <w:rPr>
          <w:rFonts w:ascii="Verdana" w:hAnsi="Verdana" w:cs="Arial"/>
          <w:color w:val="000000" w:themeColor="text1"/>
          <w:sz w:val="15"/>
          <w:szCs w:val="15"/>
          <w:lang w:val="es-ES"/>
        </w:rPr>
        <w:t>Para la doctrina, “El arrendamiento es el contrato en virtud del cual una de las partes se obliga a proporcionarle a otra el uso y goce de una cosa, durante cierto tiempo, y ésta a pagar, como contraprestación, un precio determinado.</w:t>
      </w:r>
    </w:p>
    <w:p w14:paraId="33372391" w14:textId="77777777" w:rsidR="00C70EDD" w:rsidRPr="00E5567D" w:rsidRDefault="00C70EDD" w:rsidP="00C70EDD">
      <w:pPr>
        <w:pStyle w:val="Textonotapie"/>
        <w:ind w:firstLine="709"/>
        <w:jc w:val="both"/>
        <w:rPr>
          <w:rFonts w:ascii="Verdana" w:hAnsi="Verdana" w:cs="Arial"/>
          <w:color w:val="000000" w:themeColor="text1"/>
          <w:sz w:val="15"/>
          <w:szCs w:val="15"/>
          <w:lang w:val="es-ES"/>
        </w:rPr>
      </w:pPr>
      <w:r w:rsidRPr="00E5567D">
        <w:rPr>
          <w:rFonts w:ascii="Verdana" w:hAnsi="Verdana" w:cs="Arial"/>
          <w:color w:val="000000" w:themeColor="text1"/>
          <w:sz w:val="15"/>
          <w:szCs w:val="15"/>
          <w:lang w:val="es-ES"/>
        </w:rPr>
        <w:t xml:space="preserve">La parte que proporciona el goce se llama </w:t>
      </w:r>
      <w:r w:rsidRPr="00E5567D">
        <w:rPr>
          <w:rFonts w:ascii="Verdana" w:hAnsi="Verdana" w:cs="Arial"/>
          <w:b/>
          <w:color w:val="000000" w:themeColor="text1"/>
          <w:sz w:val="15"/>
          <w:szCs w:val="15"/>
          <w:lang w:val="es-ES"/>
        </w:rPr>
        <w:t>arrendador</w:t>
      </w:r>
      <w:r w:rsidRPr="00E5567D">
        <w:rPr>
          <w:rFonts w:ascii="Verdana" w:hAnsi="Verdana" w:cs="Arial"/>
          <w:color w:val="000000" w:themeColor="text1"/>
          <w:sz w:val="15"/>
          <w:szCs w:val="15"/>
          <w:lang w:val="es-ES"/>
        </w:rPr>
        <w:t xml:space="preserve"> y la parte que da el precio </w:t>
      </w:r>
      <w:r w:rsidRPr="00E5567D">
        <w:rPr>
          <w:rFonts w:ascii="Verdana" w:hAnsi="Verdana" w:cs="Arial"/>
          <w:b/>
          <w:color w:val="000000" w:themeColor="text1"/>
          <w:sz w:val="15"/>
          <w:szCs w:val="15"/>
          <w:lang w:val="es-ES"/>
        </w:rPr>
        <w:t>arrendatario</w:t>
      </w:r>
      <w:r w:rsidRPr="00E5567D">
        <w:rPr>
          <w:rFonts w:ascii="Verdana" w:hAnsi="Verdana" w:cs="Arial"/>
          <w:color w:val="000000" w:themeColor="text1"/>
          <w:sz w:val="15"/>
          <w:szCs w:val="15"/>
          <w:lang w:val="es-ES"/>
        </w:rPr>
        <w:t xml:space="preserve">. También se conoce con el nombre de </w:t>
      </w:r>
      <w:r w:rsidRPr="00E5567D">
        <w:rPr>
          <w:rFonts w:ascii="Verdana" w:hAnsi="Verdana" w:cs="Arial"/>
          <w:b/>
          <w:color w:val="000000" w:themeColor="text1"/>
          <w:sz w:val="15"/>
          <w:szCs w:val="15"/>
          <w:lang w:val="es-ES"/>
        </w:rPr>
        <w:t>inquilino</w:t>
      </w:r>
      <w:r w:rsidRPr="00E5567D">
        <w:rPr>
          <w:rFonts w:ascii="Verdana" w:hAnsi="Verdana" w:cs="Arial"/>
          <w:color w:val="000000" w:themeColor="text1"/>
          <w:sz w:val="15"/>
          <w:szCs w:val="15"/>
          <w:lang w:val="es-ES"/>
        </w:rPr>
        <w:t xml:space="preserve"> cuando se trata de arrendamiento de casas, almacenes u otros edificios, y </w:t>
      </w:r>
      <w:r w:rsidRPr="00E5567D">
        <w:rPr>
          <w:rFonts w:ascii="Verdana" w:hAnsi="Verdana" w:cs="Arial"/>
          <w:b/>
          <w:color w:val="000000" w:themeColor="text1"/>
          <w:sz w:val="15"/>
          <w:szCs w:val="15"/>
          <w:lang w:val="es-ES"/>
        </w:rPr>
        <w:t>colono</w:t>
      </w:r>
      <w:r w:rsidRPr="00E5567D">
        <w:rPr>
          <w:rFonts w:ascii="Verdana" w:hAnsi="Verdana" w:cs="Arial"/>
          <w:color w:val="000000" w:themeColor="text1"/>
          <w:sz w:val="15"/>
          <w:szCs w:val="15"/>
          <w:lang w:val="es-ES"/>
        </w:rPr>
        <w:t xml:space="preserve"> cuando el goce radica en predio rústico. Son expresiones que, indistintamente, hace uso el Código Civil, por ejemplo, en los artículos 1977, 2028, 2037, respectivamente” (BONIVENTO FERNANDEZ, José. Los principales contratos civiles y su paralelo con los comerciales. Vigésimo segunda edición. Bogotá: Tirant lo Blanch, 2024. p. 524. Énfasis dentro del texto). </w:t>
      </w:r>
    </w:p>
  </w:footnote>
  <w:footnote w:id="32">
    <w:p w14:paraId="655C3D20" w14:textId="77777777" w:rsidR="00C70EDD" w:rsidRPr="00E5567D" w:rsidRDefault="00C70EDD" w:rsidP="00C70EDD">
      <w:pPr>
        <w:pStyle w:val="Textonotapie"/>
        <w:ind w:firstLine="708"/>
        <w:jc w:val="both"/>
        <w:rPr>
          <w:rFonts w:ascii="Verdana" w:hAnsi="Verdana" w:cs="Arial"/>
          <w:sz w:val="15"/>
          <w:szCs w:val="15"/>
        </w:rPr>
      </w:pPr>
      <w:r w:rsidRPr="00E5567D">
        <w:rPr>
          <w:rStyle w:val="Refdenotaalpie"/>
          <w:rFonts w:ascii="Verdana" w:hAnsi="Verdana" w:cs="Arial"/>
          <w:sz w:val="15"/>
          <w:szCs w:val="15"/>
        </w:rPr>
        <w:footnoteRef/>
      </w:r>
      <w:r w:rsidRPr="00E5567D">
        <w:rPr>
          <w:rFonts w:ascii="Verdana" w:hAnsi="Verdana" w:cs="Arial"/>
          <w:sz w:val="15"/>
          <w:szCs w:val="15"/>
        </w:rPr>
        <w:t xml:space="preserve"> Lo anterior bajo el régimen del derecho privado, sin perjuicio de que cuando se trata de un contrato estatal deben cumplirse los requisitos de perfeccionamiento establecidos en el artículo 41 de la Ley 80 de 1993.</w:t>
      </w:r>
    </w:p>
  </w:footnote>
  <w:footnote w:id="33">
    <w:p w14:paraId="1EA1F175" w14:textId="77777777" w:rsidR="00C70EDD" w:rsidRPr="00E5567D" w:rsidRDefault="00C70EDD" w:rsidP="00C70EDD">
      <w:pPr>
        <w:pStyle w:val="Textonotapie"/>
        <w:ind w:firstLine="709"/>
        <w:jc w:val="both"/>
        <w:rPr>
          <w:rFonts w:ascii="Verdana" w:hAnsi="Verdana" w:cs="Arial"/>
          <w:color w:val="000000" w:themeColor="text1"/>
          <w:sz w:val="15"/>
          <w:szCs w:val="15"/>
        </w:rPr>
      </w:pPr>
      <w:r w:rsidRPr="00E5567D">
        <w:rPr>
          <w:rStyle w:val="Refdenotaalpie"/>
          <w:rFonts w:ascii="Verdana" w:hAnsi="Verdana" w:cs="Arial"/>
          <w:color w:val="000000" w:themeColor="text1"/>
          <w:sz w:val="15"/>
          <w:szCs w:val="15"/>
        </w:rPr>
        <w:footnoteRef/>
      </w:r>
      <w:r w:rsidRPr="00E5567D">
        <w:rPr>
          <w:rFonts w:ascii="Verdana" w:hAnsi="Verdana" w:cs="Arial"/>
          <w:color w:val="000000" w:themeColor="text1"/>
          <w:sz w:val="15"/>
          <w:szCs w:val="15"/>
        </w:rPr>
        <w:t xml:space="preserve"> </w:t>
      </w:r>
      <w:r w:rsidRPr="00E5567D">
        <w:rPr>
          <w:rFonts w:ascii="Verdana" w:hAnsi="Verdana" w:cs="Arial"/>
          <w:i/>
          <w:color w:val="000000" w:themeColor="text1"/>
          <w:sz w:val="15"/>
          <w:szCs w:val="15"/>
        </w:rPr>
        <w:t>Ibidem</w:t>
      </w:r>
      <w:r w:rsidRPr="00E5567D">
        <w:rPr>
          <w:rFonts w:ascii="Verdana" w:hAnsi="Verdana" w:cs="Arial"/>
          <w:color w:val="000000" w:themeColor="text1"/>
          <w:sz w:val="15"/>
          <w:szCs w:val="15"/>
        </w:rPr>
        <w:t>. pp. 569-570.</w:t>
      </w:r>
    </w:p>
  </w:footnote>
  <w:footnote w:id="34">
    <w:p w14:paraId="45B8E082" w14:textId="77777777" w:rsidR="00C70EDD" w:rsidRPr="00E5567D" w:rsidRDefault="00C70EDD" w:rsidP="00C70EDD">
      <w:pPr>
        <w:pStyle w:val="Textonotapie"/>
        <w:ind w:firstLine="708"/>
        <w:jc w:val="both"/>
        <w:rPr>
          <w:rFonts w:ascii="Verdana" w:hAnsi="Verdana"/>
          <w:sz w:val="15"/>
          <w:szCs w:val="15"/>
        </w:rPr>
      </w:pPr>
      <w:r w:rsidRPr="00E5567D">
        <w:rPr>
          <w:rStyle w:val="Refdenotaalpie"/>
          <w:rFonts w:ascii="Verdana" w:hAnsi="Verdana"/>
          <w:sz w:val="15"/>
          <w:szCs w:val="15"/>
        </w:rPr>
        <w:footnoteRef/>
      </w:r>
      <w:r w:rsidRPr="00E5567D">
        <w:rPr>
          <w:rFonts w:ascii="Verdana" w:hAnsi="Verdana"/>
          <w:sz w:val="15"/>
          <w:szCs w:val="15"/>
        </w:rPr>
        <w:t xml:space="preserve"> </w:t>
      </w:r>
      <w:r w:rsidRPr="00E5567D">
        <w:rPr>
          <w:rFonts w:ascii="Verdana" w:eastAsia="Calibri" w:hAnsi="Verdana" w:cs="Arial"/>
          <w:sz w:val="15"/>
          <w:szCs w:val="15"/>
          <w:lang w:val="es-ES"/>
        </w:rPr>
        <w:t>RICO PUERTA sostiene que “[…] no existe prohibición legal para que, en los eventos en los que la entidad estatal actúa como arrendadora pueda adelantar una convocatoria pública para obtener las mejores condiciones en el negocio y para garantizar el principio de libre concurrencia” (</w:t>
      </w:r>
      <w:r w:rsidRPr="00E5567D">
        <w:rPr>
          <w:rFonts w:ascii="Verdana" w:eastAsia="Calibri" w:hAnsi="Verdana" w:cs="Arial"/>
          <w:sz w:val="15"/>
          <w:szCs w:val="15"/>
          <w:lang w:val="es-CO"/>
        </w:rPr>
        <w:t xml:space="preserve">RICO PUERTA, Luis Alonso. Teoría general y práctica de la contratación estatal. Volumen II. Decimotercera edición. Bogotá: Grupo Editorial </w:t>
      </w:r>
      <w:r w:rsidRPr="00E5567D">
        <w:rPr>
          <w:rFonts w:ascii="Verdana" w:eastAsia="Calibri" w:hAnsi="Verdana" w:cs="Arial"/>
          <w:sz w:val="15"/>
          <w:szCs w:val="15"/>
          <w:lang w:val="es-CO"/>
        </w:rPr>
        <w:t xml:space="preserve">Ibañez, 2025. p. 1142). </w:t>
      </w:r>
      <w:r w:rsidRPr="00E5567D">
        <w:rPr>
          <w:rFonts w:ascii="Verdana" w:hAnsi="Verdana"/>
          <w:sz w:val="15"/>
          <w:szCs w:val="15"/>
        </w:rPr>
        <w:t xml:space="preserve">Por ejemplo, para RODRÍGUEZ TAMAYO “[…] resulta inútil la tramitación de convocatorias públicas que hacen algunas entidades estatales, cuando van a entregar en arrendamiento bienes inmuebles de su propiedad, pues en esos casos, el ordenamiento jurídico no exige tal procedimiento y, por el contrario, ello se presta para conflictos con los interesados que concurren a dichos llamados. Tanto la ley como el </w:t>
      </w:r>
      <w:r w:rsidRPr="00E5567D">
        <w:rPr>
          <w:rFonts w:ascii="Verdana" w:hAnsi="Verdana"/>
          <w:sz w:val="15"/>
          <w:szCs w:val="15"/>
        </w:rPr>
        <w:t>reglamento, dieron flexibilidad a la administración, ya sea para obrar como arrendador o como arrendatario, obviamente, teniendo como límite los precios del mercado y obrar en sentido contrario, en la práctica, implica regular aspectos no autorizados por la ley” (RODRÍGUEZ TAMAYO, Mauricio Fernando. Los contratos estatales en Colombia. Bogotá: Tirant lo Blanch, 2022. p. 199).</w:t>
      </w:r>
    </w:p>
    <w:p w14:paraId="6089AE3F" w14:textId="77777777" w:rsidR="00C70EDD" w:rsidRPr="00E5567D" w:rsidRDefault="00C70EDD" w:rsidP="00C70EDD">
      <w:pPr>
        <w:pStyle w:val="Textonotapie"/>
        <w:ind w:firstLine="708"/>
        <w:jc w:val="both"/>
        <w:rPr>
          <w:rFonts w:ascii="Verdana" w:hAnsi="Verdana"/>
          <w:sz w:val="15"/>
          <w:szCs w:val="15"/>
        </w:rPr>
      </w:pPr>
      <w:r w:rsidRPr="00E5567D">
        <w:rPr>
          <w:rFonts w:ascii="Verdana" w:hAnsi="Verdana"/>
          <w:sz w:val="15"/>
          <w:szCs w:val="15"/>
        </w:rPr>
        <w:t>En contraste, para SÁNCHEZ ESTRADA “[…] el legislador desaprovechó la oportunidad de corregir el yerro que viene desde los decretos 150 de 1976 y 222 de 1983, de habilitar la contratación directa tanto cuando la entidad estatal es arrendataria como cuando funge de arrendadora. En efecto, en la primera de las hipótesis está justificada la causal, pues cuando un ente estatal busca un inmueble el factor menos importante termina siendo el precio. La ubicación, funcionalidad, capacidad, etc., son criterios determinantes y muy difíciles de evaluar en un trámite licitatorio. No ocurre lo mismo cuando se trata de arrendar bienes de propiedad el Estado. En ese caso nada le impide a la administración adelantar un proceso de selección en el que escoja a quien, cumpliendo unas exigencias mínimas, le ofrezca pagar el mejor canon. De hecho, la aplicación amplia de la causal ha propiciado el favoritismo a la hora de arrendar bienes del Estado con privilegiada ubicación, no sólo en los entes territoriales.</w:t>
      </w:r>
    </w:p>
    <w:p w14:paraId="1CEE8A9E" w14:textId="77777777" w:rsidR="00C70EDD" w:rsidRPr="00E5567D" w:rsidRDefault="00C70EDD" w:rsidP="00C70EDD">
      <w:pPr>
        <w:pStyle w:val="Textonotapie"/>
        <w:ind w:firstLine="708"/>
        <w:jc w:val="both"/>
        <w:rPr>
          <w:rFonts w:ascii="Verdana" w:hAnsi="Verdana"/>
          <w:sz w:val="15"/>
          <w:szCs w:val="15"/>
        </w:rPr>
      </w:pPr>
      <w:r w:rsidRPr="00E5567D">
        <w:rPr>
          <w:rFonts w:ascii="Verdana" w:hAnsi="Verdana"/>
          <w:sz w:val="15"/>
          <w:szCs w:val="15"/>
        </w:rPr>
        <w:t>A manera de ejemplo, recordemos los recientes contratos de arrendamiento suscritos por el Incoder-Ministerio de Agricultura con los ocupantes ilegales de las Islas del Rosario, a quienes se les ‘sancionó’ su infracción celebrando con ellos, de forma directa y a precios risibles, contratos de arrendamiento. Sin duda, de haberse efectuado convocatoria pública, el Estado hubiera conseguido mejores contratistas. No entendemos cómo para los casos de compra y venta se tienen previstos procedimientos distintos y no ocurre lo mismo cuando se toman o dan en arriendo inmuebles de propiedad de las entidades del Estado” (ESTRADA SÁNCHEZ, Juan Pablo. Contratación directa, convenios interadministrativos y contratos de cooperación internacional. En: Contratación estatal. Estudios sobre la reforma del Estatuto Contractual Ley 1150 de 2007. Bogotá: Universidad Externado de Colombia, 2009. p. 315).</w:t>
      </w:r>
    </w:p>
  </w:footnote>
  <w:footnote w:id="35">
    <w:p w14:paraId="0648A02D" w14:textId="77777777" w:rsidR="00C70EDD" w:rsidRPr="009D6AE1" w:rsidRDefault="00C70EDD" w:rsidP="00C70EDD">
      <w:pPr>
        <w:pStyle w:val="Textonotapie"/>
        <w:ind w:firstLine="708"/>
        <w:jc w:val="both"/>
        <w:rPr>
          <w:rFonts w:ascii="Arial" w:hAnsi="Arial" w:cs="Arial"/>
          <w:sz w:val="14"/>
          <w:szCs w:val="14"/>
        </w:rPr>
      </w:pPr>
      <w:r w:rsidRPr="00E5567D">
        <w:rPr>
          <w:rStyle w:val="Refdenotaalpie"/>
          <w:rFonts w:ascii="Verdana" w:hAnsi="Verdana" w:cs="Arial"/>
          <w:sz w:val="15"/>
          <w:szCs w:val="15"/>
        </w:rPr>
        <w:footnoteRef/>
      </w:r>
      <w:r w:rsidRPr="00E5567D">
        <w:rPr>
          <w:rFonts w:ascii="Verdana" w:hAnsi="Verdana" w:cs="Arial"/>
          <w:sz w:val="15"/>
          <w:szCs w:val="15"/>
        </w:rPr>
        <w:t xml:space="preserve"> Colombia Compra Eficiente. Circular Externa Única. Numeral 15.5.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352E"/>
    <w:rsid w:val="002A49AC"/>
    <w:rsid w:val="002A64FD"/>
    <w:rsid w:val="002C7A84"/>
    <w:rsid w:val="002E2BF8"/>
    <w:rsid w:val="002E4FD9"/>
    <w:rsid w:val="0030657A"/>
    <w:rsid w:val="00322A85"/>
    <w:rsid w:val="00324168"/>
    <w:rsid w:val="00330834"/>
    <w:rsid w:val="003448F4"/>
    <w:rsid w:val="00372ECF"/>
    <w:rsid w:val="00374F5E"/>
    <w:rsid w:val="00377E3E"/>
    <w:rsid w:val="003A779E"/>
    <w:rsid w:val="003D0F4D"/>
    <w:rsid w:val="003D5B0D"/>
    <w:rsid w:val="003E0499"/>
    <w:rsid w:val="003E4F80"/>
    <w:rsid w:val="003E6439"/>
    <w:rsid w:val="003F3941"/>
    <w:rsid w:val="00406575"/>
    <w:rsid w:val="00414C74"/>
    <w:rsid w:val="0042722E"/>
    <w:rsid w:val="0044528D"/>
    <w:rsid w:val="004536F6"/>
    <w:rsid w:val="00466E39"/>
    <w:rsid w:val="004944D1"/>
    <w:rsid w:val="004A1847"/>
    <w:rsid w:val="004A2C9B"/>
    <w:rsid w:val="004A305D"/>
    <w:rsid w:val="004F21C4"/>
    <w:rsid w:val="004F685F"/>
    <w:rsid w:val="005566E8"/>
    <w:rsid w:val="00574867"/>
    <w:rsid w:val="00591460"/>
    <w:rsid w:val="005A65E0"/>
    <w:rsid w:val="005C3777"/>
    <w:rsid w:val="005C5CDC"/>
    <w:rsid w:val="005D476C"/>
    <w:rsid w:val="00603211"/>
    <w:rsid w:val="006200BF"/>
    <w:rsid w:val="006219F8"/>
    <w:rsid w:val="006302F7"/>
    <w:rsid w:val="00646B9F"/>
    <w:rsid w:val="00665D70"/>
    <w:rsid w:val="006900D9"/>
    <w:rsid w:val="006B24FC"/>
    <w:rsid w:val="006E2B53"/>
    <w:rsid w:val="00706C16"/>
    <w:rsid w:val="007340C3"/>
    <w:rsid w:val="0075235A"/>
    <w:rsid w:val="00756841"/>
    <w:rsid w:val="007649AB"/>
    <w:rsid w:val="00771D0C"/>
    <w:rsid w:val="007833AC"/>
    <w:rsid w:val="007B268C"/>
    <w:rsid w:val="007B7171"/>
    <w:rsid w:val="007C0C0F"/>
    <w:rsid w:val="007C3DC2"/>
    <w:rsid w:val="007E5497"/>
    <w:rsid w:val="00806F5F"/>
    <w:rsid w:val="0081120D"/>
    <w:rsid w:val="00820278"/>
    <w:rsid w:val="008258C9"/>
    <w:rsid w:val="008441BF"/>
    <w:rsid w:val="00844AE9"/>
    <w:rsid w:val="00867F95"/>
    <w:rsid w:val="008843B6"/>
    <w:rsid w:val="00891928"/>
    <w:rsid w:val="008A446D"/>
    <w:rsid w:val="008B25F1"/>
    <w:rsid w:val="008D180B"/>
    <w:rsid w:val="008F0EA7"/>
    <w:rsid w:val="008F79D9"/>
    <w:rsid w:val="00923EEF"/>
    <w:rsid w:val="0094147D"/>
    <w:rsid w:val="009419F9"/>
    <w:rsid w:val="0095685E"/>
    <w:rsid w:val="00957CD6"/>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D059C"/>
    <w:rsid w:val="00B00C0E"/>
    <w:rsid w:val="00B01B1A"/>
    <w:rsid w:val="00B0381D"/>
    <w:rsid w:val="00B44A47"/>
    <w:rsid w:val="00B45DEC"/>
    <w:rsid w:val="00B72CD3"/>
    <w:rsid w:val="00B72FFF"/>
    <w:rsid w:val="00BC3D36"/>
    <w:rsid w:val="00BD54A6"/>
    <w:rsid w:val="00BD7F72"/>
    <w:rsid w:val="00BF7425"/>
    <w:rsid w:val="00C04FB3"/>
    <w:rsid w:val="00C11D8B"/>
    <w:rsid w:val="00C15139"/>
    <w:rsid w:val="00C330EB"/>
    <w:rsid w:val="00C50D69"/>
    <w:rsid w:val="00C5365C"/>
    <w:rsid w:val="00C5759C"/>
    <w:rsid w:val="00C70EDD"/>
    <w:rsid w:val="00C754BE"/>
    <w:rsid w:val="00C76B1C"/>
    <w:rsid w:val="00C925AC"/>
    <w:rsid w:val="00CB6357"/>
    <w:rsid w:val="00CC1B26"/>
    <w:rsid w:val="00D31283"/>
    <w:rsid w:val="00D361FD"/>
    <w:rsid w:val="00D423A2"/>
    <w:rsid w:val="00D44E26"/>
    <w:rsid w:val="00D520D8"/>
    <w:rsid w:val="00D63AC2"/>
    <w:rsid w:val="00D7383B"/>
    <w:rsid w:val="00D7788A"/>
    <w:rsid w:val="00DA231B"/>
    <w:rsid w:val="00DC39FC"/>
    <w:rsid w:val="00DD55A6"/>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C4E0A"/>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70ED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C70EDD"/>
    <w:rPr>
      <w:rFonts w:ascii="Geomanist Light" w:hAnsi="Geomanist Light"/>
      <w:lang w:val="es-ES"/>
    </w:rPr>
  </w:style>
  <w:style w:type="character" w:customStyle="1" w:styleId="NormalWebCar">
    <w:name w:val="Normal (Web) Car"/>
    <w:link w:val="NormalWeb"/>
    <w:uiPriority w:val="99"/>
    <w:locked/>
    <w:rsid w:val="00C70EDD"/>
    <w:rPr>
      <w:rFonts w:ascii="Times New Roman" w:eastAsia="Times New Roman" w:hAnsi="Times New Roman" w:cs="Times New Roman"/>
      <w:sz w:val="24"/>
      <w:szCs w:val="24"/>
      <w:lang w:eastAsia="es-CO"/>
    </w:rPr>
  </w:style>
  <w:style w:type="character" w:customStyle="1" w:styleId="baj">
    <w:name w:val="b_aj"/>
    <w:basedOn w:val="Fuentedeprrafopredeter"/>
    <w:rsid w:val="00C70EDD"/>
  </w:style>
  <w:style w:type="table" w:customStyle="1" w:styleId="Tablaconcuadrcula1">
    <w:name w:val="Tabla con cuadrícula1"/>
    <w:basedOn w:val="Tablanormal"/>
    <w:next w:val="Tablaconcuadrcula"/>
    <w:uiPriority w:val="39"/>
    <w:qFormat/>
    <w:rsid w:val="00C70E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18232" TargetMode="External"/><Relationship Id="rId18"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forms.office.com/r/pPHyWVs2SZ" TargetMode="External"/><Relationship Id="rId7" Type="http://schemas.openxmlformats.org/officeDocument/2006/relationships/webSettings" Target="webSettings.xml"/><Relationship Id="rId12" Type="http://schemas.openxmlformats.org/officeDocument/2006/relationships/hyperlink" Target="https://www.funcionpublica.gov.co/eva/gestornormativo/norma.php?i=18232" TargetMode="External"/><Relationship Id="rId17" Type="http://schemas.openxmlformats.org/officeDocument/2006/relationships/hyperlink" Target="https://www.colombiacompra.gov.co/normativa-y-relatoria/documentos-tipo"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formacionvirtual.colombiacompra.gov.co/mod/page/view.php?id=3718" TargetMode="External"/><Relationship Id="rId20" Type="http://schemas.openxmlformats.org/officeDocument/2006/relationships/hyperlink" Target="https://www.colombiacompra.gov.co/pqrsd/informacion-importante-antes-de-formular-una-pqrs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ncionpublica.gov.co/eva/gestornormativo/norma.php?i=18232"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mailto:ventanilladeradicacion@colombiacompra.gov.co"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18232" TargetMode="External"/><Relationship Id="rId22"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F089DD9E-54CC-4FE7-991B-E39B131D74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32</Pages>
  <Words>11601</Words>
  <Characters>62881</Characters>
  <Application>Microsoft Office Word</Application>
  <DocSecurity>0</DocSecurity>
  <Lines>1143</Lines>
  <Paragraphs>190</Paragraphs>
  <ScaleCrop>false</ScaleCrop>
  <Company/>
  <LinksUpToDate>false</LinksUpToDate>
  <CharactersWithSpaces>74292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2026-03-25T23:54:00Z</dcterms:created>
  <dcterms:modified xsi:type="dcterms:W3CDTF">2026-03-26T22:31:00Z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