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C3310" w14:textId="77777777" w:rsidR="00DE0A4A" w:rsidRPr="00647611" w:rsidRDefault="00DE0A4A" w:rsidP="00DE0A4A">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artículo 33 – Contratación directa – Alcance </w:t>
      </w:r>
    </w:p>
    <w:p w14:paraId="017FBEF0" w14:textId="77777777" w:rsidR="00DE0A4A" w:rsidRPr="00647611" w:rsidRDefault="00DE0A4A" w:rsidP="00DE0A4A">
      <w:pPr>
        <w:spacing w:after="0" w:line="240" w:lineRule="auto"/>
        <w:jc w:val="both"/>
        <w:rPr>
          <w:rFonts w:ascii="Verdana" w:hAnsi="Verdana" w:cs="Arial"/>
          <w:b/>
          <w:sz w:val="20"/>
          <w:szCs w:val="20"/>
          <w:lang w:val="es-MX" w:eastAsia="es-ES_tradnl"/>
        </w:rPr>
      </w:pPr>
    </w:p>
    <w:p w14:paraId="1CCCB3AA" w14:textId="77777777" w:rsidR="00DE0A4A" w:rsidRPr="00647611" w:rsidRDefault="00DE0A4A" w:rsidP="00DE0A4A">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74153641" w14:textId="77777777" w:rsidR="00DE0A4A" w:rsidRPr="00647611" w:rsidRDefault="00DE0A4A" w:rsidP="00DE0A4A">
      <w:pPr>
        <w:spacing w:after="0" w:line="240" w:lineRule="auto"/>
        <w:jc w:val="both"/>
        <w:rPr>
          <w:rFonts w:ascii="Verdana" w:hAnsi="Verdana" w:cs="Arial"/>
          <w:b/>
          <w:sz w:val="20"/>
          <w:szCs w:val="20"/>
          <w:lang w:eastAsia="es-ES_tradnl"/>
        </w:rPr>
      </w:pPr>
    </w:p>
    <w:p w14:paraId="6CCF5B7A" w14:textId="77777777" w:rsidR="00DE0A4A" w:rsidRPr="00647611" w:rsidRDefault="00DE0A4A" w:rsidP="00DE0A4A">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69F5434A" w14:textId="77777777" w:rsidR="00DE0A4A" w:rsidRPr="00647611" w:rsidRDefault="00DE0A4A" w:rsidP="00DE0A4A">
      <w:pPr>
        <w:spacing w:after="0" w:line="240" w:lineRule="auto"/>
        <w:jc w:val="both"/>
        <w:rPr>
          <w:rFonts w:ascii="Verdana" w:hAnsi="Verdana" w:cs="Arial"/>
          <w:b/>
          <w:sz w:val="20"/>
          <w:szCs w:val="20"/>
          <w:lang w:val="es-MX" w:eastAsia="es-ES_tradnl"/>
        </w:rPr>
      </w:pPr>
    </w:p>
    <w:p w14:paraId="01236459" w14:textId="77777777" w:rsidR="00DE0A4A" w:rsidRPr="00647611" w:rsidRDefault="00DE0A4A" w:rsidP="00DE0A4A">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647611">
        <w:rPr>
          <w:rFonts w:ascii="Verdana" w:eastAsia="Times New Roman" w:hAnsi="Verdana" w:cs="Arial"/>
          <w:bCs/>
          <w:sz w:val="20"/>
          <w:szCs w:val="20"/>
          <w:lang w:val="es-MX" w:eastAsia="x-none"/>
        </w:rPr>
        <w:t>ii</w:t>
      </w:r>
      <w:proofErr w:type="spellEnd"/>
      <w:r w:rsidRPr="00647611">
        <w:rPr>
          <w:rFonts w:ascii="Verdana" w:eastAsia="Times New Roman" w:hAnsi="Verdana" w:cs="Arial"/>
          <w:bCs/>
          <w:sz w:val="20"/>
          <w:szCs w:val="20"/>
          <w:lang w:val="es-MX" w:eastAsia="x-none"/>
        </w:rPr>
        <w:t xml:space="preserve">) los contratos de crédito público; </w:t>
      </w:r>
      <w:proofErr w:type="spellStart"/>
      <w:r w:rsidRPr="00647611">
        <w:rPr>
          <w:rFonts w:ascii="Verdana" w:eastAsia="Times New Roman" w:hAnsi="Verdana" w:cs="Arial"/>
          <w:bCs/>
          <w:sz w:val="20"/>
          <w:szCs w:val="20"/>
          <w:lang w:val="es-MX" w:eastAsia="x-none"/>
        </w:rPr>
        <w:t>iii</w:t>
      </w:r>
      <w:proofErr w:type="spellEnd"/>
      <w:r w:rsidRPr="00647611">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647611">
        <w:rPr>
          <w:rFonts w:ascii="Verdana" w:eastAsia="Times New Roman" w:hAnsi="Verdana" w:cs="Arial"/>
          <w:bCs/>
          <w:sz w:val="20"/>
          <w:szCs w:val="20"/>
          <w:lang w:val="es-MX" w:eastAsia="x-none"/>
        </w:rPr>
        <w:t>iv</w:t>
      </w:r>
      <w:proofErr w:type="spellEnd"/>
      <w:r w:rsidRPr="00647611">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5CD647A" w14:textId="77777777" w:rsidR="00DE0A4A" w:rsidRPr="00647611" w:rsidRDefault="00DE0A4A" w:rsidP="00DE0A4A">
      <w:pPr>
        <w:spacing w:after="0" w:line="240" w:lineRule="auto"/>
        <w:jc w:val="both"/>
        <w:rPr>
          <w:rFonts w:ascii="Verdana" w:hAnsi="Verdana" w:cs="Arial"/>
          <w:b/>
          <w:sz w:val="20"/>
          <w:szCs w:val="20"/>
          <w:lang w:val="es-MX" w:eastAsia="es-ES_tradnl"/>
        </w:rPr>
      </w:pPr>
    </w:p>
    <w:p w14:paraId="7394745C" w14:textId="77777777" w:rsidR="00DE0A4A" w:rsidRPr="00647611" w:rsidRDefault="00DE0A4A" w:rsidP="00DE0A4A">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2140E323" w14:textId="77777777" w:rsidR="00DE0A4A" w:rsidRPr="00647611" w:rsidRDefault="00DE0A4A" w:rsidP="00DE0A4A">
      <w:pPr>
        <w:spacing w:after="0" w:line="240" w:lineRule="auto"/>
        <w:rPr>
          <w:rFonts w:ascii="Verdana" w:hAnsi="Verdana" w:cs="Arial"/>
          <w:sz w:val="20"/>
          <w:szCs w:val="20"/>
          <w:lang w:val="es-MX" w:eastAsia="es-ES_tradnl"/>
        </w:rPr>
      </w:pPr>
    </w:p>
    <w:p w14:paraId="515676FA" w14:textId="77777777" w:rsidR="00DE0A4A" w:rsidRPr="00647611" w:rsidRDefault="00DE0A4A" w:rsidP="00DE0A4A">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7D1F36AC" w14:textId="77777777" w:rsidR="00DE0A4A" w:rsidRPr="00647611" w:rsidRDefault="00DE0A4A" w:rsidP="00DE0A4A">
      <w:pPr>
        <w:spacing w:after="0" w:line="240" w:lineRule="auto"/>
        <w:jc w:val="both"/>
        <w:rPr>
          <w:rFonts w:ascii="Verdana" w:hAnsi="Verdana"/>
          <w:b/>
          <w:sz w:val="20"/>
          <w:szCs w:val="20"/>
        </w:rPr>
      </w:pPr>
    </w:p>
    <w:p w14:paraId="31816D3B" w14:textId="77777777" w:rsidR="00DE0A4A" w:rsidRPr="00647611" w:rsidRDefault="00DE0A4A" w:rsidP="00DE0A4A">
      <w:pPr>
        <w:spacing w:after="0" w:line="240" w:lineRule="auto"/>
        <w:jc w:val="both"/>
        <w:rPr>
          <w:rFonts w:ascii="Verdana" w:hAnsi="Verdana"/>
          <w:b/>
          <w:lang w:val="es-MX"/>
        </w:rPr>
      </w:pPr>
      <w:r w:rsidRPr="00647611">
        <w:rPr>
          <w:rFonts w:ascii="Verdana" w:hAnsi="Verdana"/>
          <w:b/>
          <w:lang w:val="es-ES"/>
        </w:rPr>
        <w:t xml:space="preserve">ENAJENACIÓN VOLUNTARIA </w:t>
      </w:r>
      <w:r w:rsidRPr="00647611">
        <w:rPr>
          <w:rFonts w:ascii="Verdana" w:hAnsi="Verdana"/>
          <w:b/>
          <w:lang w:val="es-MX"/>
        </w:rPr>
        <w:t>– Objeto – Aplicación – Ley de Garantías Electorales – Restricción</w:t>
      </w:r>
      <w:r>
        <w:rPr>
          <w:rFonts w:ascii="Verdana" w:hAnsi="Verdana"/>
          <w:b/>
          <w:lang w:val="es-MX"/>
        </w:rPr>
        <w:t xml:space="preserve"> –</w:t>
      </w:r>
      <w:r w:rsidRPr="00647611">
        <w:rPr>
          <w:rFonts w:ascii="Verdana" w:hAnsi="Verdana"/>
          <w:b/>
          <w:lang w:val="es-MX"/>
        </w:rPr>
        <w:t xml:space="preserve"> Contratación Directa</w:t>
      </w:r>
    </w:p>
    <w:p w14:paraId="4D4836F1" w14:textId="77777777" w:rsidR="00DE0A4A" w:rsidRPr="00647611" w:rsidRDefault="00DE0A4A" w:rsidP="00DE0A4A">
      <w:pPr>
        <w:spacing w:after="0" w:line="240" w:lineRule="auto"/>
        <w:rPr>
          <w:rFonts w:ascii="Verdana" w:hAnsi="Verdana"/>
          <w:sz w:val="20"/>
          <w:szCs w:val="20"/>
          <w:lang w:val="es-MX"/>
        </w:rPr>
      </w:pPr>
    </w:p>
    <w:p w14:paraId="72B51702" w14:textId="13838B51" w:rsidR="00256973" w:rsidRPr="00256973" w:rsidRDefault="00256973" w:rsidP="00256973">
      <w:pPr>
        <w:spacing w:line="240" w:lineRule="auto"/>
        <w:jc w:val="both"/>
        <w:rPr>
          <w:rFonts w:ascii="Verdana" w:eastAsia="Times New Roman" w:hAnsi="Verdana" w:cs="Arial"/>
          <w:bCs/>
          <w:sz w:val="20"/>
          <w:szCs w:val="20"/>
          <w:lang w:eastAsia="x-none"/>
        </w:rPr>
      </w:pPr>
      <w:r w:rsidRPr="00256973">
        <w:rPr>
          <w:rFonts w:ascii="Verdana" w:eastAsia="Times New Roman" w:hAnsi="Verdana" w:cs="Arial"/>
          <w:sz w:val="20"/>
          <w:szCs w:val="20"/>
          <w:lang w:val="es-ES" w:eastAsia="es-ES_tradnl"/>
        </w:rPr>
        <w:t>En virtud de esta restricción y de acuerdo con lo señalado en los conceptos C-1799 y C-1501 de 2025</w:t>
      </w:r>
      <w:r w:rsidRPr="00256973">
        <w:rPr>
          <w:rFonts w:ascii="Verdana" w:eastAsia="Times New Roman" w:hAnsi="Verdana" w:cs="Arial"/>
          <w:bCs/>
          <w:sz w:val="20"/>
          <w:szCs w:val="20"/>
          <w:lang w:eastAsia="x-none"/>
        </w:rPr>
        <w:t>, se</w:t>
      </w:r>
      <w:r w:rsidRPr="00256973">
        <w:rPr>
          <w:rFonts w:ascii="Verdana" w:eastAsia="Calibri" w:hAnsi="Verdana" w:cs="Arial"/>
          <w:sz w:val="20"/>
          <w:szCs w:val="20"/>
        </w:rPr>
        <w:t xml:space="preserve"> precisa que la restricción prevista en el artículo 33 de la Ley 996 de 2005 no resulta aplicable al procedimiento </w:t>
      </w:r>
      <w:r w:rsidRPr="00256973">
        <w:rPr>
          <w:rFonts w:ascii="Verdana" w:eastAsia="Calibri" w:hAnsi="Verdana" w:cs="Arial"/>
          <w:sz w:val="20"/>
          <w:szCs w:val="20"/>
          <w:lang w:val="es-ES"/>
        </w:rPr>
        <w:t xml:space="preserve">administrativo de adquisición predial </w:t>
      </w:r>
      <w:r w:rsidRPr="00256973">
        <w:rPr>
          <w:rFonts w:ascii="Verdana" w:eastAsia="Calibri" w:hAnsi="Verdana" w:cs="Arial"/>
          <w:i/>
          <w:iCs/>
          <w:sz w:val="20"/>
          <w:szCs w:val="20"/>
        </w:rPr>
        <w:t>en sí mismo</w:t>
      </w:r>
      <w:r w:rsidRPr="00256973">
        <w:rPr>
          <w:rFonts w:ascii="Verdana" w:eastAsia="Calibri" w:hAnsi="Verdana" w:cs="Arial"/>
          <w:sz w:val="20"/>
          <w:szCs w:val="20"/>
        </w:rPr>
        <w:t xml:space="preserve">, en su etapa preparatoria o preliminar, en la medida en que dicho artículo se refiere a la </w:t>
      </w:r>
      <w:r w:rsidRPr="00256973">
        <w:rPr>
          <w:rFonts w:ascii="Verdana" w:eastAsia="Calibri" w:hAnsi="Verdana" w:cs="Arial"/>
          <w:bCs/>
          <w:sz w:val="20"/>
          <w:szCs w:val="20"/>
          <w:lang w:val="es-MX"/>
        </w:rPr>
        <w:t xml:space="preserve">celebración de contratos de forma directa, </w:t>
      </w:r>
      <w:r w:rsidRPr="00256973">
        <w:rPr>
          <w:rFonts w:ascii="Verdana" w:eastAsia="Calibri" w:hAnsi="Verdana" w:cs="Arial"/>
          <w:sz w:val="20"/>
          <w:szCs w:val="20"/>
        </w:rPr>
        <w:t>y no a las actuaciones administrativas que se puedan generar previamente</w:t>
      </w:r>
      <w:r w:rsidRPr="00256973">
        <w:rPr>
          <w:rFonts w:ascii="Verdana" w:eastAsia="Times New Roman" w:hAnsi="Verdana" w:cs="Arial"/>
          <w:bCs/>
          <w:sz w:val="20"/>
          <w:szCs w:val="20"/>
          <w:lang w:eastAsia="x-none"/>
        </w:rPr>
        <w:t>. En tal sentido, la gestión predial no se ve paralizada durante el período de restricción.</w:t>
      </w:r>
    </w:p>
    <w:p w14:paraId="0F8F0AE3" w14:textId="77777777" w:rsidR="00256973" w:rsidRDefault="00256973" w:rsidP="00256973">
      <w:pPr>
        <w:pStyle w:val="paragraph"/>
        <w:shd w:val="clear" w:color="auto" w:fill="FFFFFF"/>
        <w:spacing w:before="0" w:beforeAutospacing="0" w:after="0" w:afterAutospacing="0"/>
        <w:jc w:val="both"/>
        <w:textAlignment w:val="baseline"/>
        <w:rPr>
          <w:rFonts w:ascii="Verdana" w:eastAsia="Calibri" w:hAnsi="Verdana" w:cs="Arial"/>
          <w:sz w:val="20"/>
          <w:szCs w:val="20"/>
          <w:lang w:val="es-ES"/>
        </w:rPr>
      </w:pPr>
      <w:r w:rsidRPr="00256973">
        <w:rPr>
          <w:rFonts w:ascii="Verdana" w:eastAsia="Calibri" w:hAnsi="Verdana" w:cs="Arial"/>
          <w:sz w:val="20"/>
          <w:szCs w:val="20"/>
          <w:lang w:val="es-ES"/>
        </w:rPr>
        <w:t>Así, se reconoce que el procedimiento administrativo de adquisición predial por motivos de utilidad pública e interés social no constituye un procedimiento sometido al EGCAP, puesto que se trata de un procedimiento especial, dotado de finalidad, etapas y reglas propias, cuya regulación se encuentra prevista de manera específica en</w:t>
      </w:r>
      <w:r w:rsidRPr="00256973">
        <w:rPr>
          <w:rFonts w:asciiTheme="minorHAnsi" w:eastAsiaTheme="minorHAnsi" w:hAnsiTheme="minorHAnsi" w:cstheme="minorBidi"/>
          <w:sz w:val="20"/>
          <w:szCs w:val="20"/>
          <w:lang w:eastAsia="en-US"/>
        </w:rPr>
        <w:t xml:space="preserve"> </w:t>
      </w:r>
      <w:r w:rsidRPr="00256973">
        <w:rPr>
          <w:rFonts w:ascii="Verdana" w:eastAsia="Calibri" w:hAnsi="Verdana" w:cs="Arial"/>
          <w:sz w:val="20"/>
          <w:szCs w:val="20"/>
        </w:rPr>
        <w:t>Leyes 9 de 1989, 388 de 1997 y 1682 de 2013</w:t>
      </w:r>
      <w:r w:rsidRPr="00256973">
        <w:rPr>
          <w:rFonts w:ascii="Verdana" w:eastAsia="Calibri" w:hAnsi="Verdana" w:cs="Arial"/>
          <w:sz w:val="20"/>
          <w:szCs w:val="20"/>
          <w:lang w:val="es-ES"/>
        </w:rPr>
        <w:t xml:space="preserve">, lo que lo sustrae del régimen general de la contratación estatal. Esta caracterización ha sido reiterada en los conceptos previamente citados, en los cuales se concluyó que dicho procedimiento se rige por unas reglas especiales. </w:t>
      </w:r>
    </w:p>
    <w:p w14:paraId="285E261A" w14:textId="77777777" w:rsidR="00256973" w:rsidRPr="00256973" w:rsidRDefault="00256973" w:rsidP="00256973">
      <w:pPr>
        <w:pStyle w:val="paragraph"/>
        <w:shd w:val="clear" w:color="auto" w:fill="FFFFFF"/>
        <w:spacing w:before="0" w:beforeAutospacing="0" w:after="0" w:afterAutospacing="0"/>
        <w:jc w:val="both"/>
        <w:textAlignment w:val="baseline"/>
        <w:rPr>
          <w:rFonts w:ascii="Verdana" w:eastAsia="Calibri" w:hAnsi="Verdana" w:cs="Arial"/>
          <w:sz w:val="20"/>
          <w:szCs w:val="20"/>
          <w:lang w:val="es-ES"/>
        </w:rPr>
      </w:pPr>
    </w:p>
    <w:p w14:paraId="7AB82749" w14:textId="3EE87CBA" w:rsidR="00256973" w:rsidRDefault="00256973" w:rsidP="00256973">
      <w:pPr>
        <w:tabs>
          <w:tab w:val="left" w:pos="709"/>
        </w:tabs>
        <w:spacing w:after="0" w:line="240" w:lineRule="auto"/>
        <w:jc w:val="both"/>
        <w:rPr>
          <w:rFonts w:ascii="Verdana" w:eastAsia="Times New Roman" w:hAnsi="Verdana" w:cs="Arial"/>
          <w:sz w:val="20"/>
          <w:szCs w:val="20"/>
        </w:rPr>
      </w:pPr>
      <w:r>
        <w:rPr>
          <w:rFonts w:ascii="Verdana" w:eastAsia="Century Gothic" w:hAnsi="Verdana" w:cs="Century Gothic"/>
          <w:sz w:val="20"/>
          <w:szCs w:val="20"/>
          <w:lang w:val="es-ES"/>
        </w:rPr>
        <w:t>[…]</w:t>
      </w:r>
    </w:p>
    <w:p w14:paraId="332FFE73" w14:textId="1EF366B6" w:rsidR="00256973" w:rsidRPr="00256973" w:rsidRDefault="00256973" w:rsidP="00256973">
      <w:pPr>
        <w:tabs>
          <w:tab w:val="left" w:pos="709"/>
        </w:tabs>
        <w:spacing w:after="0" w:line="240" w:lineRule="auto"/>
        <w:jc w:val="both"/>
        <w:rPr>
          <w:rFonts w:ascii="Verdana" w:eastAsia="Calibri" w:hAnsi="Verdana" w:cs="Arial"/>
          <w:sz w:val="20"/>
          <w:szCs w:val="20"/>
          <w:lang w:eastAsia="es-CO"/>
        </w:rPr>
      </w:pPr>
      <w:r w:rsidRPr="00256973">
        <w:rPr>
          <w:rFonts w:ascii="Verdana" w:eastAsia="Times New Roman" w:hAnsi="Verdana" w:cs="Arial"/>
          <w:bCs/>
          <w:sz w:val="20"/>
          <w:szCs w:val="20"/>
          <w:lang w:eastAsia="x-none"/>
        </w:rPr>
        <w:t xml:space="preserve">No obstante, frente a la celebración de una promesa de compraventa o de un contrato de compraventa, sí resulta aplicable la restricción prevista en el citado artículo 33 ibidem, razón por la cual se reitera la postura sostenida en los conceptos C-1512 y C-1529, en tanto dichos negocios jurídicos comportan la celebración directa de un contrato estatal. </w:t>
      </w:r>
      <w:r w:rsidRPr="00256973">
        <w:rPr>
          <w:rFonts w:ascii="Verdana" w:eastAsia="Calibri" w:hAnsi="Verdana" w:cs="Arial"/>
          <w:sz w:val="20"/>
          <w:szCs w:val="20"/>
          <w:lang w:eastAsia="es-CO"/>
        </w:rPr>
        <w:t xml:space="preserve">En efecto, en la promesa de compraventa </w:t>
      </w:r>
      <w:r w:rsidRPr="00256973">
        <w:rPr>
          <w:rFonts w:ascii="Verdana" w:eastAsia="Calibri" w:hAnsi="Verdana" w:cs="Arial"/>
          <w:sz w:val="20"/>
          <w:szCs w:val="20"/>
        </w:rPr>
        <w:t>y</w:t>
      </w:r>
      <w:r w:rsidRPr="00256973">
        <w:rPr>
          <w:rFonts w:ascii="Verdana" w:eastAsia="Calibri" w:hAnsi="Verdana" w:cs="Arial"/>
          <w:sz w:val="20"/>
          <w:szCs w:val="20"/>
          <w:lang w:eastAsia="es-CO"/>
        </w:rPr>
        <w:t xml:space="preserve"> en el contrato de compraventa </w:t>
      </w:r>
      <w:r w:rsidRPr="00256973">
        <w:rPr>
          <w:rFonts w:ascii="Verdana" w:eastAsia="Times New Roman" w:hAnsi="Verdana" w:cs="Arial"/>
          <w:sz w:val="20"/>
          <w:szCs w:val="20"/>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sidRPr="00256973">
        <w:rPr>
          <w:rFonts w:ascii="Verdana" w:eastAsia="Times New Roman" w:hAnsi="Verdana" w:cs="Arial"/>
          <w:i/>
          <w:iCs/>
          <w:sz w:val="20"/>
          <w:szCs w:val="20"/>
          <w:lang w:val="es-ES" w:eastAsia="es-ES_tradnl"/>
        </w:rPr>
        <w:t>ibidem.</w:t>
      </w:r>
      <w:r w:rsidRPr="00256973">
        <w:rPr>
          <w:rFonts w:ascii="Verdana" w:eastAsia="Times New Roman" w:hAnsi="Verdana" w:cs="Arial"/>
          <w:sz w:val="20"/>
          <w:szCs w:val="20"/>
          <w:lang w:val="es-ES" w:eastAsia="es-ES_tradnl"/>
        </w:rPr>
        <w:t xml:space="preserve"> Estos negocios jurídicos, así como los demás que se suscriban de forma directa como cesiones de inmueble o permutas entre entidades estatales, </w:t>
      </w:r>
      <w:r w:rsidRPr="00256973">
        <w:rPr>
          <w:rFonts w:ascii="Verdana" w:eastAsia="Calibri" w:hAnsi="Verdana" w:cs="Arial"/>
          <w:sz w:val="20"/>
          <w:szCs w:val="20"/>
          <w:lang w:eastAsia="es-CO"/>
        </w:rPr>
        <w:t xml:space="preserve">constituyen formas de contratación directa en cuanto su celebración se realiza con un sujeto determinado, sin convocatoria pública y sin posibilidad de concurrencia de una pluralidad de oferentes. </w:t>
      </w:r>
    </w:p>
    <w:p w14:paraId="214402E1" w14:textId="77777777" w:rsidR="00DE0A4A" w:rsidRDefault="00DE0A4A" w:rsidP="00DE0A4A">
      <w:pPr>
        <w:spacing w:after="0"/>
        <w:rPr>
          <w:rFonts w:ascii="Verdana" w:hAnsi="Verdana"/>
          <w:lang w:val="es-MX"/>
        </w:rPr>
      </w:pPr>
    </w:p>
    <w:p w14:paraId="492F42CF" w14:textId="77777777" w:rsidR="00DE0A4A" w:rsidRDefault="00DE0A4A" w:rsidP="00DE0A4A">
      <w:pPr>
        <w:spacing w:after="0"/>
        <w:rPr>
          <w:rFonts w:ascii="Verdana" w:hAnsi="Verdana"/>
          <w:lang w:val="es-MX"/>
        </w:rPr>
      </w:pPr>
    </w:p>
    <w:p w14:paraId="3522ED92" w14:textId="77777777" w:rsidR="00DE0A4A" w:rsidRDefault="00DE0A4A" w:rsidP="00DE0A4A">
      <w:pPr>
        <w:spacing w:after="0"/>
        <w:rPr>
          <w:rFonts w:ascii="Verdana" w:hAnsi="Verdana"/>
          <w:lang w:val="es-MX"/>
        </w:rPr>
      </w:pPr>
    </w:p>
    <w:p w14:paraId="1800C2DF" w14:textId="77777777" w:rsidR="00DE0A4A" w:rsidRDefault="00DE0A4A" w:rsidP="00DE0A4A">
      <w:pPr>
        <w:spacing w:after="0"/>
        <w:rPr>
          <w:rFonts w:ascii="Verdana" w:hAnsi="Verdana"/>
          <w:lang w:val="es-MX"/>
        </w:rPr>
      </w:pPr>
    </w:p>
    <w:p w14:paraId="7040ADC4" w14:textId="77777777" w:rsidR="00DE0A4A" w:rsidRDefault="00DE0A4A" w:rsidP="00DE0A4A">
      <w:pPr>
        <w:spacing w:after="0"/>
        <w:rPr>
          <w:rFonts w:ascii="Verdana" w:hAnsi="Verdana"/>
          <w:lang w:val="es-MX"/>
        </w:rPr>
      </w:pPr>
    </w:p>
    <w:p w14:paraId="7C57205A" w14:textId="77777777" w:rsidR="00DE0A4A" w:rsidRDefault="00DE0A4A" w:rsidP="00DE0A4A">
      <w:pPr>
        <w:spacing w:after="0"/>
        <w:rPr>
          <w:rFonts w:ascii="Verdana" w:hAnsi="Verdana"/>
          <w:lang w:val="es-MX"/>
        </w:rPr>
      </w:pPr>
    </w:p>
    <w:p w14:paraId="03ABD0E6" w14:textId="77777777" w:rsidR="00CE7A0D" w:rsidRDefault="00CE7A0D" w:rsidP="00CE7A0D">
      <w:pPr>
        <w:spacing w:after="0"/>
        <w:rPr>
          <w:rFonts w:ascii="Verdana" w:hAnsi="Verdana"/>
        </w:rPr>
      </w:pPr>
    </w:p>
    <w:p w14:paraId="67E05E5E" w14:textId="77777777" w:rsidR="00CE7A0D" w:rsidRDefault="00CE7A0D" w:rsidP="00CE7A0D">
      <w:pPr>
        <w:spacing w:after="0"/>
        <w:rPr>
          <w:rFonts w:ascii="Verdana" w:hAnsi="Verdana"/>
        </w:rPr>
      </w:pPr>
    </w:p>
    <w:p w14:paraId="3738CA63" w14:textId="05FBD7A7" w:rsidR="00B64F30" w:rsidRPr="00F461B1" w:rsidRDefault="00B64F30" w:rsidP="00B64F30">
      <w:pPr>
        <w:spacing w:after="0"/>
        <w:rPr>
          <w:rFonts w:ascii="Verdana" w:hAnsi="Verdana"/>
        </w:rPr>
      </w:pPr>
      <w:bookmarkStart w:id="0" w:name="_Hlk143780582"/>
      <w:r w:rsidRPr="001D0D1B">
        <w:rPr>
          <w:rFonts w:ascii="Verdana" w:hAnsi="Verdana"/>
        </w:rPr>
        <w:lastRenderedPageBreak/>
        <w:t>Bogotá D.C.,</w:t>
      </w:r>
      <w:r>
        <w:rPr>
          <w:rFonts w:ascii="Verdana" w:hAnsi="Verdana"/>
        </w:rPr>
        <w:t xml:space="preserve"> </w:t>
      </w:r>
      <w:r w:rsidR="00BD704C">
        <w:rPr>
          <w:rFonts w:ascii="Verdana" w:eastAsia="Geomanist Light" w:hAnsi="Verdana" w:cs="Arial"/>
          <w:color w:val="201F1E"/>
          <w:lang w:val="es-MX"/>
        </w:rPr>
        <w:t>11 de marzo de 2026</w:t>
      </w:r>
    </w:p>
    <w:p w14:paraId="18B91075" w14:textId="0A37342D" w:rsidR="00B64F30" w:rsidRDefault="009B6380" w:rsidP="00B64F30">
      <w:pPr>
        <w:spacing w:after="0" w:line="240" w:lineRule="auto"/>
        <w:jc w:val="both"/>
        <w:rPr>
          <w:rFonts w:ascii="Verdana" w:eastAsia="Calibri" w:hAnsi="Verdana" w:cs="Arial"/>
          <w:color w:val="000000"/>
          <w:lang w:val="es-ES"/>
        </w:rPr>
      </w:pPr>
      <w:r w:rsidRPr="00BD704C">
        <w:rPr>
          <w:rFonts w:ascii="Verdana" w:eastAsia="Calibri" w:hAnsi="Verdana" w:cs="Arial"/>
          <w:noProof/>
          <w:color w:val="000000"/>
          <w:lang w:val="es-ES"/>
        </w:rPr>
        <w:drawing>
          <wp:anchor distT="0" distB="0" distL="114300" distR="114300" simplePos="0" relativeHeight="251658240" behindDoc="0" locked="0" layoutInCell="1" allowOverlap="1" wp14:anchorId="063907D5" wp14:editId="02D9645D">
            <wp:simplePos x="0" y="0"/>
            <wp:positionH relativeFrom="margin">
              <wp:align>right</wp:align>
            </wp:positionH>
            <wp:positionV relativeFrom="paragraph">
              <wp:posOffset>83185</wp:posOffset>
            </wp:positionV>
            <wp:extent cx="2539365" cy="838200"/>
            <wp:effectExtent l="0" t="0" r="0" b="0"/>
            <wp:wrapSquare wrapText="bothSides"/>
            <wp:docPr id="88570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39365" cy="838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878488" w14:textId="19A8E7D7" w:rsidR="00BD704C" w:rsidRDefault="00BD704C" w:rsidP="00BD704C">
      <w:pPr>
        <w:spacing w:after="0" w:line="240" w:lineRule="auto"/>
        <w:jc w:val="right"/>
        <w:rPr>
          <w:rFonts w:ascii="Verdana" w:eastAsia="Calibri" w:hAnsi="Verdana" w:cs="Arial"/>
          <w:color w:val="000000"/>
          <w:lang w:val="es-ES"/>
        </w:rPr>
      </w:pPr>
    </w:p>
    <w:p w14:paraId="0EB91FD7" w14:textId="05DCFF34" w:rsidR="00B64F30" w:rsidRDefault="00B64F30" w:rsidP="00B64F30">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6F072B95" w14:textId="77777777" w:rsidR="00B64F30" w:rsidRPr="00CC0E9D" w:rsidRDefault="00B64F30" w:rsidP="00B64F30">
      <w:pPr>
        <w:spacing w:after="0" w:line="240" w:lineRule="auto"/>
        <w:jc w:val="both"/>
        <w:rPr>
          <w:rFonts w:ascii="Verdana" w:eastAsia="Calibri" w:hAnsi="Verdana" w:cs="Arial"/>
          <w:b/>
          <w:bCs/>
          <w:lang w:val="es-ES" w:eastAsia="es-ES"/>
        </w:rPr>
      </w:pPr>
      <w:r w:rsidRPr="00CC0E9D">
        <w:rPr>
          <w:rFonts w:ascii="Verdana" w:eastAsia="Calibri" w:hAnsi="Verdana" w:cs="Arial"/>
          <w:b/>
          <w:bCs/>
          <w:lang w:val="es-ES" w:eastAsia="es-ES"/>
        </w:rPr>
        <w:t>Daniel Alfonso Morales Zapata</w:t>
      </w:r>
    </w:p>
    <w:p w14:paraId="011FE0FA" w14:textId="77777777" w:rsidR="00B64F30" w:rsidRPr="00F749A6" w:rsidRDefault="00B64F30" w:rsidP="00B64F30">
      <w:pPr>
        <w:spacing w:after="0" w:line="240" w:lineRule="auto"/>
        <w:jc w:val="both"/>
        <w:rPr>
          <w:rFonts w:ascii="Verdana" w:eastAsia="Calibri" w:hAnsi="Verdana" w:cs="Arial"/>
          <w:bCs/>
          <w:lang w:val="es-ES" w:eastAsia="es-ES"/>
        </w:rPr>
      </w:pPr>
      <w:hyperlink r:id="rId11" w:history="1">
        <w:r w:rsidRPr="008B4D4C">
          <w:rPr>
            <w:rStyle w:val="Hipervnculo"/>
            <w:rFonts w:ascii="Verdana" w:hAnsi="Verdana"/>
          </w:rPr>
          <w:t>damoraz@gmail.com</w:t>
        </w:r>
      </w:hyperlink>
      <w:r>
        <w:rPr>
          <w:rFonts w:ascii="Verdana" w:hAnsi="Verdana"/>
        </w:rPr>
        <w:t xml:space="preserve"> </w:t>
      </w:r>
      <w:r w:rsidRPr="00F749A6">
        <w:rPr>
          <w:rFonts w:ascii="Verdana" w:hAnsi="Verdana"/>
        </w:rPr>
        <w:t xml:space="preserve"> </w:t>
      </w:r>
    </w:p>
    <w:p w14:paraId="3F069563" w14:textId="77777777" w:rsidR="00B64F30" w:rsidRPr="00F749A6" w:rsidRDefault="00B64F30" w:rsidP="00B64F30">
      <w:pPr>
        <w:spacing w:after="0" w:line="240" w:lineRule="auto"/>
        <w:rPr>
          <w:rFonts w:ascii="Verdana" w:eastAsia="Calibri" w:hAnsi="Verdana" w:cs="Arial"/>
          <w:lang w:val="es-ES" w:eastAsia="es-ES"/>
        </w:rPr>
      </w:pPr>
      <w:r w:rsidRPr="00F749A6">
        <w:rPr>
          <w:rFonts w:ascii="Verdana" w:eastAsia="Calibri" w:hAnsi="Verdana" w:cs="Arial"/>
          <w:lang w:val="es-ES" w:eastAsia="es-ES"/>
        </w:rPr>
        <w:t>Bogotá D.C</w:t>
      </w:r>
    </w:p>
    <w:p w14:paraId="7A9DC424" w14:textId="77777777" w:rsidR="00B64F30" w:rsidRDefault="00B64F30" w:rsidP="00B64F30">
      <w:pPr>
        <w:spacing w:after="0" w:line="240" w:lineRule="auto"/>
        <w:rPr>
          <w:rFonts w:ascii="Verdana" w:eastAsia="Calibri" w:hAnsi="Verdana" w:cs="Arial"/>
          <w:b/>
          <w:bCs/>
          <w:color w:val="000000"/>
          <w:lang w:val="es-ES_tradnl" w:eastAsia="es-ES_tradnl"/>
        </w:rPr>
      </w:pPr>
    </w:p>
    <w:p w14:paraId="117A81D5" w14:textId="77777777" w:rsidR="00B64F30" w:rsidRDefault="00B64F30" w:rsidP="00B64F30">
      <w:pPr>
        <w:spacing w:after="0" w:line="240" w:lineRule="auto"/>
        <w:jc w:val="center"/>
        <w:rPr>
          <w:rFonts w:ascii="Verdana" w:eastAsia="Calibri" w:hAnsi="Verdana" w:cs="Arial"/>
          <w:b/>
          <w:bCs/>
          <w:color w:val="000000"/>
          <w:lang w:val="es-ES_tradnl" w:eastAsia="es-ES_tradnl"/>
        </w:rPr>
      </w:pPr>
      <w:r w:rsidRPr="00143822">
        <w:rPr>
          <w:rFonts w:ascii="Verdana" w:eastAsia="Calibri" w:hAnsi="Verdana" w:cs="Arial"/>
          <w:b/>
          <w:bCs/>
          <w:lang w:val="es-ES" w:eastAsia="es-ES"/>
        </w:rPr>
        <w:t xml:space="preserve">Concepto C – </w:t>
      </w:r>
      <w:r>
        <w:rPr>
          <w:rFonts w:ascii="Verdana" w:eastAsia="Calibri" w:hAnsi="Verdana" w:cs="Arial"/>
          <w:b/>
          <w:bCs/>
          <w:lang w:val="es-ES" w:eastAsia="es-ES"/>
        </w:rPr>
        <w:t>275</w:t>
      </w:r>
      <w:r w:rsidRPr="00143822">
        <w:rPr>
          <w:rFonts w:ascii="Verdana" w:eastAsia="Calibri" w:hAnsi="Verdana" w:cs="Arial"/>
          <w:b/>
          <w:bCs/>
          <w:lang w:val="es-ES" w:eastAsia="es-ES"/>
        </w:rPr>
        <w:t xml:space="preserve"> de 202</w:t>
      </w:r>
      <w:r>
        <w:rPr>
          <w:rFonts w:ascii="Verdana" w:eastAsia="Calibri" w:hAnsi="Verdana" w:cs="Arial"/>
          <w:b/>
          <w:bCs/>
          <w:lang w:val="es-ES" w:eastAsia="es-ES"/>
        </w:rPr>
        <w:t>6</w:t>
      </w:r>
    </w:p>
    <w:p w14:paraId="23D37976" w14:textId="77777777" w:rsidR="00B64F30" w:rsidRDefault="00B64F30" w:rsidP="00B64F30">
      <w:pPr>
        <w:spacing w:after="0" w:line="240" w:lineRule="auto"/>
        <w:rPr>
          <w:rFonts w:ascii="Verdana" w:eastAsia="Calibri" w:hAnsi="Verdana" w:cs="Arial"/>
          <w:b/>
          <w:bCs/>
          <w:color w:val="000000"/>
          <w:lang w:val="es-ES_tradnl" w:eastAsia="es-ES_tradnl"/>
        </w:rPr>
      </w:pPr>
    </w:p>
    <w:p w14:paraId="02E7565F" w14:textId="77777777" w:rsidR="00B64F30" w:rsidRDefault="00B64F30" w:rsidP="00B64F3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64F30" w14:paraId="17A16DEA" w14:textId="77777777" w:rsidTr="009972BF">
        <w:trPr>
          <w:trHeight w:val="884"/>
        </w:trPr>
        <w:tc>
          <w:tcPr>
            <w:tcW w:w="2689" w:type="dxa"/>
            <w:hideMark/>
          </w:tcPr>
          <w:p w14:paraId="7FE93E51" w14:textId="77777777" w:rsidR="00B64F30" w:rsidRDefault="00B64F30" w:rsidP="009972BF">
            <w:pPr>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Temas:</w:t>
            </w:r>
            <w:r>
              <w:rPr>
                <w:rFonts w:ascii="Verdana" w:eastAsia="Calibri" w:hAnsi="Verdana" w:cs="Arial"/>
                <w:color w:val="000000"/>
                <w:lang w:val="es-ES_tradnl" w:eastAsia="es-ES_tradnl"/>
              </w:rPr>
              <w:t xml:space="preserve">                   </w:t>
            </w:r>
          </w:p>
        </w:tc>
        <w:tc>
          <w:tcPr>
            <w:tcW w:w="6100" w:type="dxa"/>
            <w:hideMark/>
          </w:tcPr>
          <w:p w14:paraId="3208B864" w14:textId="77777777" w:rsidR="00B64F30" w:rsidRDefault="00B64F30" w:rsidP="009972BF">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LEY DE GARANTÍAS ELECTORALES – Prohibición artículo 33 – Contratación directa – Alcance / LEY DE GARANTÍAS ELECTORALES – Excepciones / LEY DE GARANTÍAS ELECTORALES – Prohibición del artículo 33 – Destinatarios / ENAJENACIÓN VOLUNTARIA – Objeto – Aplicación – Ley de Garantías Electorales – Restricción- Contratación Directa                     </w:t>
            </w:r>
          </w:p>
          <w:p w14:paraId="1396B4C4" w14:textId="77777777" w:rsidR="00B64F30" w:rsidRDefault="00B64F30" w:rsidP="009972BF">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  </w:t>
            </w:r>
          </w:p>
        </w:tc>
      </w:tr>
      <w:tr w:rsidR="00B64F30" w14:paraId="6895D546" w14:textId="77777777" w:rsidTr="009972BF">
        <w:tc>
          <w:tcPr>
            <w:tcW w:w="2689" w:type="dxa"/>
            <w:hideMark/>
          </w:tcPr>
          <w:p w14:paraId="27027204" w14:textId="77777777" w:rsidR="00B64F30" w:rsidRDefault="00B64F30" w:rsidP="009972BF">
            <w:pPr>
              <w:jc w:val="both"/>
              <w:rPr>
                <w:rFonts w:ascii="Verdana" w:eastAsia="Calibri" w:hAnsi="Verdana" w:cs="Arial"/>
                <w:b/>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100" w:type="dxa"/>
            <w:hideMark/>
          </w:tcPr>
          <w:p w14:paraId="23DCCC49" w14:textId="77777777" w:rsidR="00B64F30" w:rsidRDefault="00B64F30" w:rsidP="009972BF">
            <w:pPr>
              <w:spacing w:line="276" w:lineRule="auto"/>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la consulta con radicado No. </w:t>
            </w:r>
            <w:r w:rsidRPr="00E02E8E">
              <w:rPr>
                <w:rFonts w:ascii="Verdana" w:eastAsia="Calibri" w:hAnsi="Verdana" w:cs="Arial"/>
                <w:lang w:val="es-ES_tradnl" w:eastAsia="es-ES_tradnl"/>
              </w:rPr>
              <w:t>1_2026_02_23_002397</w:t>
            </w:r>
          </w:p>
        </w:tc>
      </w:tr>
    </w:tbl>
    <w:p w14:paraId="5723C694" w14:textId="77777777" w:rsidR="00B64F30" w:rsidRDefault="00B64F30" w:rsidP="00B64F30">
      <w:pPr>
        <w:spacing w:after="0" w:line="240" w:lineRule="auto"/>
        <w:jc w:val="both"/>
        <w:rPr>
          <w:rFonts w:ascii="Verdana" w:eastAsia="Calibri" w:hAnsi="Verdana" w:cs="Arial"/>
          <w:color w:val="000000"/>
          <w:lang w:val="es-ES_tradnl" w:eastAsia="es-ES_tradnl"/>
        </w:rPr>
      </w:pPr>
    </w:p>
    <w:p w14:paraId="1286080A" w14:textId="77777777" w:rsidR="00B64F30" w:rsidRDefault="00B64F30" w:rsidP="00B64F30">
      <w:pPr>
        <w:spacing w:after="0" w:line="240" w:lineRule="auto"/>
        <w:jc w:val="both"/>
        <w:rPr>
          <w:rFonts w:ascii="Verdana" w:eastAsia="Calibri" w:hAnsi="Verdana" w:cs="Arial"/>
          <w:color w:val="000000"/>
          <w:lang w:val="es-ES_tradnl" w:eastAsia="es-ES_tradnl"/>
        </w:rPr>
      </w:pPr>
    </w:p>
    <w:p w14:paraId="3AEF2D2B" w14:textId="77777777" w:rsidR="00B64F30" w:rsidRDefault="00B64F30" w:rsidP="00B64F30">
      <w:pPr>
        <w:spacing w:after="0" w:line="276" w:lineRule="auto"/>
        <w:jc w:val="both"/>
        <w:rPr>
          <w:rFonts w:ascii="Verdana" w:eastAsia="Calibri" w:hAnsi="Verdana" w:cs="Arial"/>
          <w:lang w:val="es-ES" w:eastAsia="es-ES"/>
        </w:rPr>
      </w:pPr>
      <w:r>
        <w:rPr>
          <w:rFonts w:ascii="Verdana" w:eastAsia="Calibri" w:hAnsi="Verdana" w:cs="Arial"/>
          <w:lang w:val="es-ES" w:eastAsia="es-ES"/>
        </w:rPr>
        <w:t xml:space="preserve">Estimado señor Morales: </w:t>
      </w:r>
    </w:p>
    <w:p w14:paraId="04A493AE" w14:textId="77777777" w:rsidR="00B64F30" w:rsidRDefault="00B64F30" w:rsidP="00B64F3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8C23182" w14:textId="77777777" w:rsidR="00B64F30" w:rsidRDefault="00B64F30" w:rsidP="00B64F30">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sidRPr="006C555A">
        <w:rPr>
          <w:rFonts w:ascii="Verdana" w:hAnsi="Verdana" w:cs="Arial"/>
          <w:lang w:val="es-ES_tradnl"/>
        </w:rPr>
        <w:t>así como lo establecido en</w:t>
      </w:r>
      <w:r w:rsidRPr="006C555A">
        <w:rPr>
          <w:rFonts w:ascii="Verdana" w:hAnsi="Verdana" w:cs="Arial"/>
        </w:rPr>
        <w:t xml:space="preserve"> la Resolución 469 de 2025 expedida por esta Entidad</w:t>
      </w:r>
      <w:r>
        <w:rPr>
          <w:rFonts w:ascii="Verdana" w:hAnsi="Verdana" w:cs="Arial"/>
        </w:rPr>
        <w:t xml:space="preserve">, </w:t>
      </w:r>
      <w:r>
        <w:rPr>
          <w:rFonts w:ascii="Verdana" w:eastAsia="Calibri" w:hAnsi="Verdana" w:cs="Arial"/>
          <w:color w:val="000000" w:themeColor="text1"/>
          <w:lang w:val="es-ES" w:eastAsia="es-ES"/>
        </w:rPr>
        <w:t xml:space="preserve">la Agencia Nacional de Contratación Pública – Colombia Compra Eficiente responde su solicitud remitida por competencia por la Contraloría General de la República el 23 de febrero de 2026, en el cual, </w:t>
      </w:r>
      <w:r w:rsidRPr="00072DB7">
        <w:rPr>
          <w:rFonts w:ascii="Verdana" w:eastAsia="Calibri" w:hAnsi="Verdana" w:cs="Arial"/>
          <w:color w:val="000000" w:themeColor="text1"/>
          <w:lang w:eastAsia="es-ES"/>
        </w:rPr>
        <w:t>sobre la suscripción de negocios jurídicos de adquisición predial para proyectos de infraestructura de transporte</w:t>
      </w:r>
      <w:r>
        <w:rPr>
          <w:rFonts w:ascii="Verdana" w:eastAsia="Calibri" w:hAnsi="Verdana" w:cs="Arial"/>
          <w:color w:val="000000" w:themeColor="text1"/>
          <w:lang w:eastAsia="es-ES"/>
        </w:rPr>
        <w:t>, pregunta lo siguiente</w:t>
      </w:r>
      <w:r>
        <w:rPr>
          <w:rFonts w:ascii="Verdana" w:eastAsia="Calibri" w:hAnsi="Verdana" w:cs="Arial"/>
          <w:lang w:val="es-ES" w:eastAsia="es-ES"/>
        </w:rPr>
        <w:t xml:space="preserve">: </w:t>
      </w:r>
    </w:p>
    <w:p w14:paraId="0CF22404" w14:textId="77777777" w:rsidR="00B64F30" w:rsidRDefault="00B64F30" w:rsidP="00B64F30">
      <w:pPr>
        <w:pStyle w:val="Prrafodelista"/>
        <w:tabs>
          <w:tab w:val="left" w:pos="142"/>
          <w:tab w:val="left" w:pos="284"/>
        </w:tabs>
        <w:spacing w:after="0" w:line="276" w:lineRule="auto"/>
        <w:ind w:left="0"/>
        <w:jc w:val="both"/>
        <w:rPr>
          <w:rFonts w:ascii="Verdana" w:eastAsia="Century Gothic" w:hAnsi="Verdana" w:cs="Century Gothic"/>
          <w:b/>
          <w:bCs/>
        </w:rPr>
      </w:pPr>
    </w:p>
    <w:p w14:paraId="405C747C" w14:textId="77777777" w:rsidR="00B64F30" w:rsidRDefault="00B64F30" w:rsidP="00B64F30">
      <w:pPr>
        <w:spacing w:after="0" w:line="240" w:lineRule="auto"/>
        <w:ind w:left="709" w:right="709"/>
        <w:jc w:val="both"/>
        <w:rPr>
          <w:rFonts w:ascii="Verdana" w:eastAsia="Century Gothic" w:hAnsi="Verdana" w:cs="Century Gothic"/>
          <w:sz w:val="20"/>
          <w:szCs w:val="20"/>
          <w:lang w:val="es-ES"/>
        </w:rPr>
      </w:pPr>
      <w:bookmarkStart w:id="1" w:name="_Hlk95313578"/>
      <w:r>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 xml:space="preserve">[…] </w:t>
      </w:r>
    </w:p>
    <w:p w14:paraId="35ED9A61" w14:textId="77777777" w:rsidR="00B64F30" w:rsidRDefault="00B64F30" w:rsidP="00B64F30">
      <w:pPr>
        <w:spacing w:after="0" w:line="240" w:lineRule="auto"/>
        <w:ind w:left="709" w:right="709"/>
        <w:jc w:val="both"/>
        <w:rPr>
          <w:rFonts w:ascii="Verdana" w:eastAsia="Century Gothic" w:hAnsi="Verdana" w:cs="Century Gothic"/>
          <w:sz w:val="20"/>
          <w:szCs w:val="20"/>
        </w:rPr>
      </w:pPr>
      <w:r w:rsidRPr="00E65EC3">
        <w:rPr>
          <w:rFonts w:ascii="Verdana" w:eastAsia="Century Gothic" w:hAnsi="Verdana" w:cs="Century Gothic"/>
          <w:sz w:val="20"/>
          <w:szCs w:val="20"/>
        </w:rPr>
        <w:t xml:space="preserve">Se solicita informar si las entidades públicas responsables de proyectos de infraestructura de transporte, regidos por la Ley 1682 de 2013, modificada por las Leyes 1742 de 2014 y 1882 de 2018, cuyos proyectos han sido declarados de utilidad pública e interés social por disposición legal </w:t>
      </w:r>
      <w:r w:rsidRPr="00E65EC3">
        <w:rPr>
          <w:rFonts w:ascii="Verdana" w:eastAsia="Century Gothic" w:hAnsi="Verdana" w:cs="Century Gothic"/>
          <w:sz w:val="20"/>
          <w:szCs w:val="20"/>
        </w:rPr>
        <w:lastRenderedPageBreak/>
        <w:t xml:space="preserve">conforme al artículo 19 de la Ley 1682 de 2013, se encuentran legalmente habilitadas para: </w:t>
      </w:r>
    </w:p>
    <w:p w14:paraId="77485333" w14:textId="77777777" w:rsidR="00B64F30" w:rsidRDefault="00B64F30" w:rsidP="00B64F30">
      <w:pPr>
        <w:spacing w:after="0" w:line="240" w:lineRule="auto"/>
        <w:ind w:left="709" w:right="709"/>
        <w:jc w:val="both"/>
        <w:rPr>
          <w:rFonts w:ascii="Verdana" w:eastAsia="Century Gothic" w:hAnsi="Verdana" w:cs="Century Gothic"/>
          <w:sz w:val="20"/>
          <w:szCs w:val="20"/>
        </w:rPr>
      </w:pPr>
      <w:r w:rsidRPr="00E65EC3">
        <w:rPr>
          <w:rFonts w:ascii="Verdana" w:eastAsia="Century Gothic" w:hAnsi="Verdana" w:cs="Century Gothic"/>
          <w:sz w:val="20"/>
          <w:szCs w:val="20"/>
        </w:rPr>
        <w:t xml:space="preserve">Suscribir promesas de compraventa, </w:t>
      </w:r>
    </w:p>
    <w:p w14:paraId="2CACD52C" w14:textId="77777777" w:rsidR="00B64F30" w:rsidRDefault="00B64F30" w:rsidP="00B64F30">
      <w:pPr>
        <w:spacing w:after="0" w:line="240" w:lineRule="auto"/>
        <w:ind w:left="709" w:right="709"/>
        <w:jc w:val="both"/>
        <w:rPr>
          <w:rFonts w:ascii="Verdana" w:eastAsia="Century Gothic" w:hAnsi="Verdana" w:cs="Century Gothic"/>
          <w:sz w:val="20"/>
          <w:szCs w:val="20"/>
        </w:rPr>
      </w:pPr>
      <w:r w:rsidRPr="00E65EC3">
        <w:rPr>
          <w:rFonts w:ascii="Verdana" w:eastAsia="Century Gothic" w:hAnsi="Verdana" w:cs="Century Gothic"/>
          <w:sz w:val="20"/>
          <w:szCs w:val="20"/>
        </w:rPr>
        <w:t xml:space="preserve">Suscribir escrituras públicas de compraventa, </w:t>
      </w:r>
    </w:p>
    <w:p w14:paraId="7D7AC662" w14:textId="77777777" w:rsidR="00B64F30" w:rsidRDefault="00B64F30" w:rsidP="00B64F30">
      <w:pPr>
        <w:spacing w:after="0" w:line="240" w:lineRule="auto"/>
        <w:ind w:left="709" w:right="709"/>
        <w:jc w:val="both"/>
        <w:rPr>
          <w:rFonts w:ascii="Verdana" w:eastAsia="Century Gothic" w:hAnsi="Verdana" w:cs="Century Gothic"/>
          <w:sz w:val="20"/>
          <w:szCs w:val="20"/>
        </w:rPr>
      </w:pPr>
      <w:r w:rsidRPr="00E65EC3">
        <w:rPr>
          <w:rFonts w:ascii="Verdana" w:eastAsia="Century Gothic" w:hAnsi="Verdana" w:cs="Century Gothic"/>
          <w:sz w:val="20"/>
          <w:szCs w:val="20"/>
        </w:rPr>
        <w:t xml:space="preserve">Suscribir escrituras públicas de cesión a título oneroso entre entidades públicas </w:t>
      </w:r>
    </w:p>
    <w:p w14:paraId="6A198FCA" w14:textId="77777777" w:rsidR="00B64F30" w:rsidRDefault="00B64F30" w:rsidP="00B64F30">
      <w:pPr>
        <w:spacing w:after="0" w:line="240" w:lineRule="auto"/>
        <w:ind w:left="709" w:right="709"/>
        <w:jc w:val="both"/>
        <w:rPr>
          <w:rFonts w:ascii="Verdana" w:eastAsia="Century Gothic" w:hAnsi="Verdana" w:cs="Century Gothic"/>
          <w:sz w:val="20"/>
          <w:szCs w:val="20"/>
        </w:rPr>
      </w:pPr>
      <w:r w:rsidRPr="00E65EC3">
        <w:rPr>
          <w:rFonts w:ascii="Verdana" w:eastAsia="Century Gothic" w:hAnsi="Verdana" w:cs="Century Gothic"/>
          <w:sz w:val="20"/>
          <w:szCs w:val="20"/>
        </w:rPr>
        <w:t xml:space="preserve">Suscribir escrituras públicas de cesión a título gratuito entre entidades públicas </w:t>
      </w:r>
    </w:p>
    <w:p w14:paraId="71AE31B0" w14:textId="77777777" w:rsidR="00B64F30" w:rsidRDefault="00B64F30" w:rsidP="00B64F30">
      <w:pPr>
        <w:spacing w:after="0" w:line="240" w:lineRule="auto"/>
        <w:ind w:left="709" w:right="709"/>
        <w:jc w:val="both"/>
        <w:rPr>
          <w:rFonts w:ascii="Verdana" w:eastAsia="Century Gothic" w:hAnsi="Verdana" w:cs="Century Gothic"/>
          <w:sz w:val="20"/>
          <w:szCs w:val="20"/>
        </w:rPr>
      </w:pPr>
      <w:r w:rsidRPr="00E65EC3">
        <w:rPr>
          <w:rFonts w:ascii="Verdana" w:eastAsia="Century Gothic" w:hAnsi="Verdana" w:cs="Century Gothic"/>
          <w:sz w:val="20"/>
          <w:szCs w:val="20"/>
        </w:rPr>
        <w:t xml:space="preserve">Celebrar permutas entre entidades públicas </w:t>
      </w:r>
    </w:p>
    <w:p w14:paraId="42B53010" w14:textId="77777777" w:rsidR="00B64F30" w:rsidRDefault="00B64F30" w:rsidP="00B64F30">
      <w:pPr>
        <w:spacing w:after="0" w:line="240" w:lineRule="auto"/>
        <w:ind w:left="709" w:right="709"/>
        <w:jc w:val="both"/>
        <w:rPr>
          <w:rFonts w:ascii="Verdana" w:eastAsia="Century Gothic" w:hAnsi="Verdana" w:cs="Century Gothic"/>
          <w:sz w:val="20"/>
          <w:szCs w:val="20"/>
        </w:rPr>
      </w:pPr>
    </w:p>
    <w:p w14:paraId="3C01AADB" w14:textId="77777777" w:rsidR="00B64F30" w:rsidRDefault="00B64F30" w:rsidP="00B64F30">
      <w:pPr>
        <w:spacing w:after="0" w:line="240" w:lineRule="auto"/>
        <w:ind w:left="709" w:right="709"/>
        <w:jc w:val="both"/>
        <w:rPr>
          <w:rFonts w:ascii="Verdana" w:eastAsia="Century Gothic" w:hAnsi="Verdana" w:cs="Century Gothic"/>
          <w:sz w:val="20"/>
          <w:szCs w:val="20"/>
        </w:rPr>
      </w:pPr>
      <w:r w:rsidRPr="00E65EC3">
        <w:rPr>
          <w:rFonts w:ascii="Verdana" w:eastAsia="Century Gothic" w:hAnsi="Verdana" w:cs="Century Gothic"/>
          <w:sz w:val="20"/>
          <w:szCs w:val="20"/>
        </w:rPr>
        <w:t>Lo anterior durante el periodo de prohibición establecido por la Ley de Garantías Electorales, art. 33 ley 996 de 2005</w:t>
      </w:r>
    </w:p>
    <w:p w14:paraId="2704739E" w14:textId="77777777" w:rsidR="00B64F30" w:rsidRDefault="00B64F30" w:rsidP="00B64F30">
      <w:pPr>
        <w:spacing w:after="0" w:line="240" w:lineRule="auto"/>
        <w:ind w:left="709" w:right="709"/>
        <w:jc w:val="both"/>
        <w:rPr>
          <w:rFonts w:ascii="Verdana" w:eastAsia="Century Gothic" w:hAnsi="Verdana" w:cs="Century Gothic"/>
          <w:sz w:val="20"/>
          <w:szCs w:val="20"/>
        </w:rPr>
      </w:pPr>
    </w:p>
    <w:p w14:paraId="70D448FD" w14:textId="77777777" w:rsidR="00B64F30" w:rsidRDefault="00B64F30" w:rsidP="00B64F30">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p>
    <w:p w14:paraId="1B0114E3" w14:textId="77777777" w:rsidR="00B64F30" w:rsidRDefault="00B64F30" w:rsidP="00B64F30">
      <w:pPr>
        <w:spacing w:after="0" w:line="240" w:lineRule="auto"/>
        <w:ind w:left="709" w:right="709"/>
        <w:jc w:val="both"/>
        <w:rPr>
          <w:rFonts w:ascii="Verdana" w:eastAsia="Century Gothic" w:hAnsi="Verdana" w:cs="Century Gothic"/>
          <w:sz w:val="20"/>
          <w:szCs w:val="20"/>
          <w:lang w:val="es-ES"/>
        </w:rPr>
      </w:pPr>
    </w:p>
    <w:p w14:paraId="138B0F6D" w14:textId="77777777" w:rsidR="00B64F30" w:rsidRDefault="00B64F30" w:rsidP="00B64F30">
      <w:pPr>
        <w:spacing w:after="0" w:line="240" w:lineRule="auto"/>
        <w:ind w:left="709" w:right="709"/>
        <w:jc w:val="both"/>
        <w:rPr>
          <w:rFonts w:ascii="Verdana" w:eastAsia="Century Gothic" w:hAnsi="Verdana" w:cs="Century Gothic"/>
          <w:sz w:val="20"/>
          <w:szCs w:val="20"/>
          <w:lang w:val="es-ES"/>
        </w:rPr>
      </w:pPr>
      <w:r w:rsidRPr="00FC30F9">
        <w:rPr>
          <w:rFonts w:ascii="Verdana" w:eastAsia="Century Gothic" w:hAnsi="Verdana" w:cs="Century Gothic"/>
          <w:sz w:val="20"/>
          <w:szCs w:val="20"/>
          <w:lang w:val="es-ES"/>
        </w:rPr>
        <w:t>Con fundamento en lo anterior, solicito respetuosamente que la Contraloría General de la República se</w:t>
      </w:r>
      <w:r>
        <w:rPr>
          <w:rFonts w:ascii="Verdana" w:eastAsia="Century Gothic" w:hAnsi="Verdana" w:cs="Century Gothic"/>
          <w:sz w:val="20"/>
          <w:szCs w:val="20"/>
          <w:lang w:val="es-ES"/>
        </w:rPr>
        <w:t xml:space="preserve"> </w:t>
      </w:r>
      <w:r w:rsidRPr="00FC30F9">
        <w:rPr>
          <w:rFonts w:ascii="Verdana" w:eastAsia="Century Gothic" w:hAnsi="Verdana" w:cs="Century Gothic"/>
          <w:sz w:val="20"/>
          <w:szCs w:val="20"/>
          <w:lang w:val="es-ES"/>
        </w:rPr>
        <w:t>pronuncie sobre:</w:t>
      </w:r>
    </w:p>
    <w:p w14:paraId="58DB7C99" w14:textId="77777777" w:rsidR="00B64F30" w:rsidRDefault="00B64F30" w:rsidP="00B64F30">
      <w:pPr>
        <w:spacing w:after="0" w:line="240" w:lineRule="auto"/>
        <w:ind w:left="709" w:right="709"/>
        <w:jc w:val="both"/>
        <w:rPr>
          <w:rFonts w:ascii="Verdana" w:eastAsia="Century Gothic" w:hAnsi="Verdana" w:cs="Century Gothic"/>
          <w:sz w:val="20"/>
          <w:szCs w:val="20"/>
          <w:lang w:val="es-ES"/>
        </w:rPr>
      </w:pPr>
    </w:p>
    <w:p w14:paraId="7747D5AA" w14:textId="77777777" w:rsidR="00B64F30" w:rsidRDefault="00B64F30" w:rsidP="00B64F30">
      <w:pPr>
        <w:spacing w:after="0" w:line="240" w:lineRule="auto"/>
        <w:ind w:left="709" w:right="709"/>
        <w:jc w:val="both"/>
        <w:rPr>
          <w:rFonts w:ascii="Verdana" w:eastAsia="Century Gothic" w:hAnsi="Verdana" w:cs="Century Gothic"/>
          <w:sz w:val="20"/>
          <w:szCs w:val="20"/>
        </w:rPr>
      </w:pPr>
      <w:r w:rsidRPr="00F820D9">
        <w:rPr>
          <w:rFonts w:ascii="Verdana" w:eastAsia="Century Gothic" w:hAnsi="Verdana" w:cs="Century Gothic"/>
          <w:sz w:val="20"/>
          <w:szCs w:val="20"/>
        </w:rPr>
        <w:t>•</w:t>
      </w:r>
      <w:r>
        <w:rPr>
          <w:rFonts w:ascii="Verdana" w:eastAsia="Century Gothic" w:hAnsi="Verdana" w:cs="Century Gothic"/>
          <w:sz w:val="20"/>
          <w:szCs w:val="20"/>
        </w:rPr>
        <w:t xml:space="preserve"> </w:t>
      </w:r>
      <w:r w:rsidRPr="00F820D9">
        <w:rPr>
          <w:rFonts w:ascii="Verdana" w:eastAsia="Century Gothic" w:hAnsi="Verdana" w:cs="Century Gothic"/>
          <w:sz w:val="20"/>
          <w:szCs w:val="20"/>
        </w:rPr>
        <w:t xml:space="preserve">La procedencia jurídica de la suscripción de los referidos negocios jurídicos de adquisición predial durante la vigencia de la Ley de Garantías Electorales, y </w:t>
      </w:r>
    </w:p>
    <w:p w14:paraId="19DCE407" w14:textId="77777777" w:rsidR="00B64F30" w:rsidRPr="00F820D9" w:rsidRDefault="00B64F30" w:rsidP="00B64F30">
      <w:pPr>
        <w:spacing w:after="0" w:line="240" w:lineRule="auto"/>
        <w:ind w:left="709" w:right="709"/>
        <w:jc w:val="both"/>
        <w:rPr>
          <w:rFonts w:ascii="Verdana" w:eastAsia="Century Gothic" w:hAnsi="Verdana" w:cs="Century Gothic"/>
          <w:sz w:val="20"/>
          <w:szCs w:val="20"/>
        </w:rPr>
      </w:pPr>
      <w:r w:rsidRPr="00F820D9">
        <w:rPr>
          <w:rFonts w:ascii="Verdana" w:eastAsia="Century Gothic" w:hAnsi="Verdana" w:cs="Century Gothic"/>
          <w:sz w:val="20"/>
          <w:szCs w:val="20"/>
        </w:rPr>
        <w:t>• La eventual existencia de riesgos fiscales o de control asociados a la suspensión de dichos procesos de adquisición predial en proyectos de infraestructura de transporte declarados de utilidad pública</w:t>
      </w:r>
      <w:r>
        <w:rPr>
          <w:rFonts w:ascii="Verdana" w:eastAsia="Century Gothic" w:hAnsi="Verdana" w:cs="Century Gothic"/>
          <w:sz w:val="20"/>
          <w:szCs w:val="20"/>
          <w:lang w:val="es-ES"/>
        </w:rPr>
        <w:t>.”</w:t>
      </w:r>
    </w:p>
    <w:p w14:paraId="4A24B164" w14:textId="77777777" w:rsidR="00B64F30" w:rsidRDefault="00B64F30" w:rsidP="00B64F30">
      <w:pPr>
        <w:pStyle w:val="Prrafodelista"/>
        <w:tabs>
          <w:tab w:val="left" w:pos="142"/>
          <w:tab w:val="left" w:pos="284"/>
        </w:tabs>
        <w:spacing w:after="0" w:line="276" w:lineRule="auto"/>
        <w:ind w:left="0"/>
        <w:jc w:val="both"/>
        <w:rPr>
          <w:rFonts w:ascii="Verdana" w:eastAsia="Century Gothic" w:hAnsi="Verdana" w:cs="Century Gothic"/>
          <w:b/>
          <w:bCs/>
        </w:rPr>
      </w:pPr>
    </w:p>
    <w:p w14:paraId="7CB622CA" w14:textId="77777777" w:rsidR="00B64F30" w:rsidRDefault="00B64F30" w:rsidP="00B64F30">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72619AF0" w14:textId="77777777" w:rsidR="00B64F30" w:rsidRDefault="00B64F30" w:rsidP="00B64F30">
      <w:pPr>
        <w:spacing w:after="0" w:line="276" w:lineRule="auto"/>
        <w:ind w:firstLine="708"/>
        <w:jc w:val="both"/>
        <w:rPr>
          <w:rFonts w:ascii="Verdana" w:eastAsia="Calibri" w:hAnsi="Verdana" w:cs="Arial"/>
          <w:lang w:val="es-ES" w:eastAsia="es-ES"/>
        </w:rPr>
      </w:pPr>
      <w:r>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específicas que la </w:t>
      </w:r>
      <w:r>
        <w:rPr>
          <w:rFonts w:ascii="Verdana" w:eastAsia="Calibri" w:hAnsi="Verdana" w:cs="Arial"/>
          <w:color w:val="000000"/>
          <w:lang w:val="es-ES" w:eastAsia="es-ES"/>
        </w:rPr>
        <w:lastRenderedPageBreak/>
        <w:t>hayan motivado, pero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 consulta.</w:t>
      </w:r>
      <w:r>
        <w:rPr>
          <w:rFonts w:ascii="Verdana" w:eastAsia="Calibri" w:hAnsi="Verdana" w:cs="Arial"/>
          <w:lang w:val="es-ES" w:eastAsia="es-ES"/>
        </w:rPr>
        <w:t xml:space="preserve"> </w:t>
      </w:r>
      <w:r>
        <w:rPr>
          <w:rFonts w:ascii="Verdana" w:eastAsia="Calibri" w:hAnsi="Verdana" w:cs="Arial"/>
          <w:color w:val="000000"/>
          <w:lang w:val="es-ES" w:eastAsia="es-ES"/>
        </w:rPr>
        <w:t xml:space="preserve">  </w:t>
      </w:r>
    </w:p>
    <w:p w14:paraId="2581D742" w14:textId="77777777" w:rsidR="00B64F30" w:rsidRDefault="00B64F30" w:rsidP="00B64F30">
      <w:pPr>
        <w:spacing w:after="0" w:line="276" w:lineRule="auto"/>
        <w:ind w:firstLine="709"/>
        <w:jc w:val="both"/>
        <w:rPr>
          <w:rFonts w:ascii="Verdana" w:eastAsia="Calibri" w:hAnsi="Verdana" w:cs="Arial"/>
          <w:color w:val="000000"/>
          <w:lang w:val="es-ES" w:eastAsia="es-ES"/>
        </w:rPr>
      </w:pPr>
    </w:p>
    <w:p w14:paraId="012BD260" w14:textId="77777777" w:rsidR="00B64F30" w:rsidRDefault="00B64F30" w:rsidP="00B64F30">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Problema planteado:</w:t>
      </w:r>
    </w:p>
    <w:p w14:paraId="093266B9" w14:textId="77777777" w:rsidR="00B64F30" w:rsidRDefault="00B64F30" w:rsidP="00B64F30">
      <w:pPr>
        <w:tabs>
          <w:tab w:val="left" w:pos="426"/>
        </w:tabs>
        <w:spacing w:after="0" w:line="276" w:lineRule="auto"/>
        <w:jc w:val="both"/>
        <w:rPr>
          <w:rFonts w:ascii="Verdana" w:eastAsia="Century Gothic" w:hAnsi="Verdana" w:cs="Century Gothic"/>
          <w:lang w:val="es-ES"/>
        </w:rPr>
      </w:pPr>
    </w:p>
    <w:p w14:paraId="6D9B8360" w14:textId="77777777" w:rsidR="00B64F30" w:rsidRDefault="00B64F30" w:rsidP="00B64F30">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los siguientes problemas jurídicos: ¿Los procesos de enajenación voluntaria </w:t>
      </w:r>
      <w:r>
        <w:rPr>
          <w:rFonts w:ascii="Verdana" w:eastAsia="Calibri" w:hAnsi="Verdana" w:cs="Times New Roman"/>
          <w:iCs/>
          <w:lang w:val="es-ES"/>
        </w:rPr>
        <w:t xml:space="preserve">para adquisición predial </w:t>
      </w:r>
      <w:r>
        <w:rPr>
          <w:rFonts w:ascii="Verdana" w:eastAsia="Century Gothic" w:hAnsi="Verdana" w:cs="Century Gothic"/>
        </w:rPr>
        <w:t xml:space="preserve">que implican la celebración de ciertos contratos </w:t>
      </w:r>
      <w:r>
        <w:rPr>
          <w:rFonts w:ascii="Verdana" w:eastAsia="Calibri" w:hAnsi="Verdana" w:cs="Times New Roman"/>
          <w:iCs/>
          <w:lang w:val="es-ES"/>
        </w:rPr>
        <w:t xml:space="preserve">por parte de entidades estatales están restringidos durante la Ley de Garantías Electorales? </w:t>
      </w:r>
    </w:p>
    <w:p w14:paraId="020BD9C0" w14:textId="77777777" w:rsidR="00B64F30" w:rsidRDefault="00B64F30" w:rsidP="00B64F30">
      <w:pPr>
        <w:spacing w:after="0" w:line="276" w:lineRule="auto"/>
        <w:jc w:val="both"/>
        <w:rPr>
          <w:rFonts w:ascii="Verdana" w:eastAsia="Calibri" w:hAnsi="Verdana" w:cs="Arial"/>
          <w:color w:val="7030A0"/>
        </w:rPr>
      </w:pPr>
    </w:p>
    <w:p w14:paraId="1BAD4AC8" w14:textId="77777777" w:rsidR="00B64F30" w:rsidRDefault="00B64F30" w:rsidP="00B64F30">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Respuesta:</w:t>
      </w:r>
    </w:p>
    <w:p w14:paraId="621A9EB1" w14:textId="77777777" w:rsidR="00B64F30" w:rsidRDefault="00B64F30" w:rsidP="00B64F3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64F30" w14:paraId="0C333075" w14:textId="77777777" w:rsidTr="009972BF">
        <w:trPr>
          <w:jc w:val="center"/>
        </w:trPr>
        <w:tc>
          <w:tcPr>
            <w:tcW w:w="8828" w:type="dxa"/>
            <w:tcBorders>
              <w:top w:val="dotted" w:sz="4" w:space="0" w:color="auto"/>
              <w:left w:val="dotted" w:sz="4" w:space="0" w:color="auto"/>
              <w:bottom w:val="dotted" w:sz="4" w:space="0" w:color="auto"/>
              <w:right w:val="dotted" w:sz="4" w:space="0" w:color="auto"/>
            </w:tcBorders>
            <w:hideMark/>
          </w:tcPr>
          <w:p w14:paraId="3246DA72" w14:textId="77777777" w:rsidR="00B64F30" w:rsidRDefault="00B64F30" w:rsidP="009972BF">
            <w:pPr>
              <w:spacing w:after="120" w:line="276" w:lineRule="auto"/>
              <w:jc w:val="both"/>
              <w:rPr>
                <w:rFonts w:ascii="Verdana" w:eastAsia="Calibri" w:hAnsi="Verdana" w:cs="Arial"/>
                <w:lang w:val="es-MX"/>
              </w:rPr>
            </w:pPr>
            <w:bookmarkStart w:id="2" w:name="_Hlk171694685"/>
            <w:r>
              <w:rPr>
                <w:rFonts w:ascii="Verdana" w:eastAsia="Calibri" w:hAnsi="Verdana" w:cs="Arial"/>
                <w:lang w:val="es-MX"/>
              </w:rPr>
              <w:t xml:space="preserve">Conforme a la interpretación general de las normas del sistema de compras públicas, </w:t>
            </w:r>
            <w:r>
              <w:rPr>
                <w:rFonts w:ascii="Verdana" w:eastAsia="Times New Roman" w:hAnsi="Verdana" w:cs="Arial"/>
                <w:bCs/>
                <w:lang w:val="es-MX" w:eastAsia="x-none"/>
              </w:rPr>
              <w:t>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633721B3" w14:textId="77777777" w:rsidR="00B64F30" w:rsidRDefault="00B64F30" w:rsidP="009972BF">
            <w:pPr>
              <w:spacing w:after="120" w:line="276" w:lineRule="auto"/>
              <w:ind w:firstLine="743"/>
              <w:jc w:val="both"/>
              <w:rPr>
                <w:rFonts w:ascii="Verdana" w:eastAsia="Times New Roman" w:hAnsi="Verdana" w:cs="Arial"/>
                <w:bCs/>
                <w:lang w:eastAsia="x-none"/>
              </w:rPr>
            </w:pPr>
            <w:r>
              <w:rPr>
                <w:rFonts w:ascii="Verdana" w:eastAsia="Times New Roman" w:hAnsi="Verdana" w:cs="Arial"/>
                <w:lang w:val="es-ES" w:eastAsia="es-ES_tradnl"/>
              </w:rPr>
              <w:t>En virtud de esta restricción y de acuerdo con lo señalado en los conceptos C-1799 y C-1501 de 2025</w:t>
            </w:r>
            <w:r>
              <w:rPr>
                <w:rFonts w:ascii="Verdana" w:eastAsia="Times New Roman" w:hAnsi="Verdana" w:cs="Arial"/>
                <w:bCs/>
                <w:lang w:eastAsia="x-none"/>
              </w:rPr>
              <w:t>, se</w:t>
            </w:r>
            <w:r w:rsidRPr="00611BBF">
              <w:rPr>
                <w:rFonts w:ascii="Verdana" w:eastAsia="Calibri" w:hAnsi="Verdana" w:cs="Arial"/>
              </w:rPr>
              <w:t xml:space="preserve"> precisa que </w:t>
            </w:r>
            <w:r w:rsidRPr="00ED2EBA">
              <w:rPr>
                <w:rFonts w:ascii="Verdana" w:eastAsia="Calibri" w:hAnsi="Verdana" w:cs="Arial"/>
              </w:rPr>
              <w:t xml:space="preserve">la restricción prevista en el artículo 33 de la Ley 996 de 2005 no resulta aplicable al </w:t>
            </w:r>
            <w:r>
              <w:rPr>
                <w:rFonts w:ascii="Verdana" w:eastAsia="Calibri" w:hAnsi="Verdana" w:cs="Arial"/>
              </w:rPr>
              <w:t xml:space="preserve">procedimiento </w:t>
            </w:r>
            <w:r w:rsidRPr="0013781B">
              <w:rPr>
                <w:rFonts w:ascii="Verdana" w:eastAsia="Calibri" w:hAnsi="Verdana" w:cs="Arial"/>
                <w:lang w:val="es-ES"/>
              </w:rPr>
              <w:t>administrativo de adquisición</w:t>
            </w:r>
            <w:r>
              <w:rPr>
                <w:rFonts w:ascii="Verdana" w:eastAsia="Calibri" w:hAnsi="Verdana" w:cs="Arial"/>
                <w:lang w:val="es-ES"/>
              </w:rPr>
              <w:t xml:space="preserve"> predial</w:t>
            </w:r>
            <w:r w:rsidRPr="0013781B">
              <w:rPr>
                <w:rFonts w:ascii="Verdana" w:eastAsia="Calibri" w:hAnsi="Verdana" w:cs="Arial"/>
                <w:lang w:val="es-ES"/>
              </w:rPr>
              <w:t xml:space="preserve"> </w:t>
            </w:r>
            <w:r w:rsidRPr="00DF2532">
              <w:rPr>
                <w:rFonts w:ascii="Verdana" w:eastAsia="Calibri" w:hAnsi="Verdana" w:cs="Arial"/>
                <w:i/>
                <w:iCs/>
              </w:rPr>
              <w:t>en sí mismo</w:t>
            </w:r>
            <w:r w:rsidRPr="00ED2EBA">
              <w:rPr>
                <w:rFonts w:ascii="Verdana" w:eastAsia="Calibri" w:hAnsi="Verdana" w:cs="Arial"/>
              </w:rPr>
              <w:t>,</w:t>
            </w:r>
            <w:r>
              <w:rPr>
                <w:rFonts w:ascii="Verdana" w:eastAsia="Calibri" w:hAnsi="Verdana" w:cs="Arial"/>
              </w:rPr>
              <w:t xml:space="preserve"> en su etapa preparatoria o preliminar, </w:t>
            </w:r>
            <w:r w:rsidRPr="00ED2EBA">
              <w:rPr>
                <w:rFonts w:ascii="Verdana" w:eastAsia="Calibri" w:hAnsi="Verdana" w:cs="Arial"/>
              </w:rPr>
              <w:t>en la medida en que dicho artículo se refiere a</w:t>
            </w:r>
            <w:r>
              <w:rPr>
                <w:rFonts w:ascii="Verdana" w:eastAsia="Calibri" w:hAnsi="Verdana" w:cs="Arial"/>
              </w:rPr>
              <w:t xml:space="preserve"> la </w:t>
            </w:r>
            <w:r w:rsidRPr="0087731C">
              <w:rPr>
                <w:rFonts w:ascii="Verdana" w:eastAsia="Calibri" w:hAnsi="Verdana" w:cs="Arial"/>
                <w:bCs/>
                <w:lang w:val="es-MX"/>
              </w:rPr>
              <w:t>celebra</w:t>
            </w:r>
            <w:r>
              <w:rPr>
                <w:rFonts w:ascii="Verdana" w:eastAsia="Calibri" w:hAnsi="Verdana" w:cs="Arial"/>
                <w:bCs/>
                <w:lang w:val="es-MX"/>
              </w:rPr>
              <w:t xml:space="preserve">ción de </w:t>
            </w:r>
            <w:r w:rsidRPr="0087731C">
              <w:rPr>
                <w:rFonts w:ascii="Verdana" w:eastAsia="Calibri" w:hAnsi="Verdana" w:cs="Arial"/>
                <w:bCs/>
                <w:lang w:val="es-MX"/>
              </w:rPr>
              <w:t>contrato</w:t>
            </w:r>
            <w:r>
              <w:rPr>
                <w:rFonts w:ascii="Verdana" w:eastAsia="Calibri" w:hAnsi="Verdana" w:cs="Arial"/>
                <w:bCs/>
                <w:lang w:val="es-MX"/>
              </w:rPr>
              <w:t>s</w:t>
            </w:r>
            <w:r w:rsidRPr="0087731C">
              <w:rPr>
                <w:rFonts w:ascii="Verdana" w:eastAsia="Calibri" w:hAnsi="Verdana" w:cs="Arial"/>
                <w:bCs/>
                <w:lang w:val="es-MX"/>
              </w:rPr>
              <w:t xml:space="preserve"> de forma directa, </w:t>
            </w:r>
            <w:r w:rsidRPr="00ED2EBA">
              <w:rPr>
                <w:rFonts w:ascii="Verdana" w:eastAsia="Calibri" w:hAnsi="Verdana" w:cs="Arial"/>
              </w:rPr>
              <w:t>y</w:t>
            </w:r>
            <w:r w:rsidRPr="00611BBF">
              <w:rPr>
                <w:rFonts w:ascii="Verdana" w:eastAsia="Calibri" w:hAnsi="Verdana" w:cs="Arial"/>
              </w:rPr>
              <w:t xml:space="preserve"> no a</w:t>
            </w:r>
            <w:r>
              <w:rPr>
                <w:rFonts w:ascii="Verdana" w:eastAsia="Calibri" w:hAnsi="Verdana" w:cs="Arial"/>
              </w:rPr>
              <w:t xml:space="preserve"> las</w:t>
            </w:r>
            <w:r w:rsidRPr="00611BBF">
              <w:rPr>
                <w:rFonts w:ascii="Verdana" w:eastAsia="Calibri" w:hAnsi="Verdana" w:cs="Arial"/>
              </w:rPr>
              <w:t xml:space="preserve"> actuaciones administrativas</w:t>
            </w:r>
            <w:r>
              <w:rPr>
                <w:rFonts w:ascii="Verdana" w:eastAsia="Calibri" w:hAnsi="Verdana" w:cs="Arial"/>
              </w:rPr>
              <w:t xml:space="preserve"> que se puedan generar previamente</w:t>
            </w:r>
            <w:r w:rsidRPr="00494FAF">
              <w:rPr>
                <w:rFonts w:ascii="Verdana" w:eastAsia="Times New Roman" w:hAnsi="Verdana" w:cs="Arial"/>
                <w:bCs/>
                <w:lang w:eastAsia="x-none"/>
              </w:rPr>
              <w:t xml:space="preserve">. En tal sentido, la gestión predial no se ve paralizada durante el período de restricción. </w:t>
            </w:r>
          </w:p>
          <w:p w14:paraId="5514CB82" w14:textId="77777777" w:rsidR="00B64F30" w:rsidRPr="00FD2412" w:rsidRDefault="00B64F30" w:rsidP="009972BF">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Pr>
                <w:rFonts w:ascii="Verdana" w:eastAsia="Calibri" w:hAnsi="Verdana" w:cs="Arial"/>
                <w:sz w:val="22"/>
                <w:szCs w:val="22"/>
                <w:lang w:val="es-ES"/>
              </w:rPr>
              <w:t xml:space="preserve">Así, se reconoce que </w:t>
            </w:r>
            <w:r w:rsidRPr="0013781B">
              <w:rPr>
                <w:rFonts w:ascii="Verdana" w:eastAsia="Calibri" w:hAnsi="Verdana" w:cs="Arial"/>
                <w:sz w:val="22"/>
                <w:szCs w:val="22"/>
                <w:lang w:val="es-ES"/>
              </w:rPr>
              <w:t>el procedimiento 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por motivos de utilidad pública e interés social no constituye un procedimiento sometido al E</w:t>
            </w:r>
            <w:r>
              <w:rPr>
                <w:rFonts w:ascii="Verdana" w:eastAsia="Calibri" w:hAnsi="Verdana" w:cs="Arial"/>
                <w:sz w:val="22"/>
                <w:szCs w:val="22"/>
                <w:lang w:val="es-ES"/>
              </w:rPr>
              <w:t xml:space="preserve">GCAP, puesto que se </w:t>
            </w:r>
            <w:r w:rsidRPr="0013781B">
              <w:rPr>
                <w:rFonts w:ascii="Verdana" w:eastAsia="Calibri" w:hAnsi="Verdana" w:cs="Arial"/>
                <w:sz w:val="22"/>
                <w:szCs w:val="22"/>
                <w:lang w:val="es-ES"/>
              </w:rPr>
              <w:t>trata de un procedimiento especial, dotado de finalidad, etapas y reglas propias, cuya regulación se encuentra prevista de manera específica en</w:t>
            </w:r>
            <w:r w:rsidRPr="007B37F8">
              <w:rPr>
                <w:rFonts w:asciiTheme="minorHAnsi" w:eastAsiaTheme="minorHAnsi" w:hAnsiTheme="minorHAnsi" w:cstheme="minorBidi"/>
                <w:sz w:val="22"/>
                <w:szCs w:val="22"/>
                <w:lang w:eastAsia="en-US"/>
              </w:rPr>
              <w:t xml:space="preserve"> </w:t>
            </w:r>
            <w:r w:rsidRPr="007B37F8">
              <w:rPr>
                <w:rFonts w:ascii="Verdana" w:eastAsia="Calibri" w:hAnsi="Verdana" w:cs="Arial"/>
                <w:sz w:val="22"/>
                <w:szCs w:val="22"/>
              </w:rPr>
              <w:t>Leyes 9 de 1989, 388 de 1997 y 1682 de 2013</w:t>
            </w:r>
            <w:r w:rsidRPr="0013781B">
              <w:rPr>
                <w:rFonts w:ascii="Verdana" w:eastAsia="Calibri" w:hAnsi="Verdana" w:cs="Arial"/>
                <w:sz w:val="22"/>
                <w:szCs w:val="22"/>
                <w:lang w:val="es-ES"/>
              </w:rPr>
              <w:t>, lo que lo sustrae del régimen general de la contratación estatal.</w:t>
            </w:r>
            <w:r>
              <w:rPr>
                <w:rFonts w:ascii="Verdana" w:eastAsia="Calibri" w:hAnsi="Verdana" w:cs="Arial"/>
                <w:sz w:val="22"/>
                <w:szCs w:val="22"/>
                <w:lang w:val="es-ES"/>
              </w:rPr>
              <w:t xml:space="preserve"> </w:t>
            </w:r>
            <w:r w:rsidRPr="0013781B">
              <w:rPr>
                <w:rFonts w:ascii="Verdana" w:eastAsia="Calibri" w:hAnsi="Verdana" w:cs="Arial"/>
                <w:sz w:val="22"/>
                <w:szCs w:val="22"/>
                <w:lang w:val="es-ES"/>
              </w:rPr>
              <w:t xml:space="preserve">Esta caracterización ha sido reiterada en los conceptos previamente citados, </w:t>
            </w:r>
            <w:r w:rsidRPr="0013781B">
              <w:rPr>
                <w:rFonts w:ascii="Verdana" w:eastAsia="Calibri" w:hAnsi="Verdana" w:cs="Arial"/>
                <w:sz w:val="22"/>
                <w:szCs w:val="22"/>
                <w:lang w:val="es-ES"/>
              </w:rPr>
              <w:lastRenderedPageBreak/>
              <w:t>en los cuales se concluyó que dicho procedimiento se rige por un</w:t>
            </w:r>
            <w:r>
              <w:rPr>
                <w:rFonts w:ascii="Verdana" w:eastAsia="Calibri" w:hAnsi="Verdana" w:cs="Arial"/>
                <w:sz w:val="22"/>
                <w:szCs w:val="22"/>
                <w:lang w:val="es-ES"/>
              </w:rPr>
              <w:t xml:space="preserve">as reglas especiales. </w:t>
            </w:r>
          </w:p>
          <w:p w14:paraId="19D02141" w14:textId="77777777" w:rsidR="00B64F30" w:rsidRDefault="00B64F30" w:rsidP="009972BF">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t>De esta manera</w:t>
            </w:r>
            <w:r w:rsidRPr="00B61452">
              <w:rPr>
                <w:rFonts w:ascii="Verdana" w:eastAsia="Calibri" w:hAnsi="Verdana" w:cs="Arial"/>
                <w:sz w:val="22"/>
                <w:szCs w:val="22"/>
              </w:rPr>
              <w:t xml:space="preserve">, </w:t>
            </w:r>
            <w:r w:rsidRPr="009C69E1">
              <w:rPr>
                <w:rFonts w:ascii="Verdana" w:eastAsia="Calibri" w:hAnsi="Verdana" w:cs="Arial"/>
                <w:sz w:val="22"/>
                <w:szCs w:val="22"/>
              </w:rPr>
              <w:t xml:space="preserve">todos los trámites preparatorios y actuaciones administrativas </w:t>
            </w:r>
            <w:r>
              <w:rPr>
                <w:rFonts w:ascii="Verdana" w:eastAsia="Calibri" w:hAnsi="Verdana" w:cs="Arial"/>
                <w:sz w:val="22"/>
                <w:szCs w:val="22"/>
              </w:rPr>
              <w:t xml:space="preserve">de gestión predial </w:t>
            </w:r>
            <w:r w:rsidRPr="00B61452">
              <w:rPr>
                <w:rFonts w:ascii="Verdana" w:eastAsia="Calibri" w:hAnsi="Verdana" w:cs="Arial"/>
                <w:sz w:val="22"/>
                <w:szCs w:val="22"/>
              </w:rPr>
              <w:t>que se surtan dentro de este procedimiento especial</w:t>
            </w:r>
            <w:r>
              <w:rPr>
                <w:rFonts w:ascii="Verdana" w:eastAsia="Calibri" w:hAnsi="Verdana" w:cs="Arial"/>
                <w:sz w:val="22"/>
                <w:szCs w:val="22"/>
              </w:rPr>
              <w:t xml:space="preserve">, </w:t>
            </w:r>
            <w:r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Pr="0044553E">
              <w:rPr>
                <w:rFonts w:ascii="Verdana" w:eastAsia="Calibri" w:hAnsi="Verdana" w:cs="Arial"/>
                <w:sz w:val="22"/>
                <w:szCs w:val="22"/>
              </w:rPr>
              <w:t>u</w:t>
            </w:r>
            <w:r>
              <w:rPr>
                <w:rFonts w:ascii="Verdana" w:eastAsia="Calibri" w:hAnsi="Verdana" w:cs="Arial"/>
                <w:sz w:val="22"/>
                <w:szCs w:val="22"/>
              </w:rPr>
              <w:t>na promesa de compraventa o contrato compraventa o cualquier otro contrato,</w:t>
            </w:r>
            <w:r w:rsidRPr="0044553E">
              <w:rPr>
                <w:rFonts w:ascii="Verdana" w:eastAsia="Calibri" w:hAnsi="Verdana" w:cs="Arial"/>
                <w:sz w:val="22"/>
                <w:szCs w:val="22"/>
              </w:rPr>
              <w:t xml:space="preserve"> pueden adelantarse válidamente, incluso durante el período de restricción previsto en la </w:t>
            </w:r>
            <w:r>
              <w:rPr>
                <w:rFonts w:ascii="Verdana" w:eastAsia="Calibri" w:hAnsi="Verdana" w:cs="Arial"/>
                <w:sz w:val="22"/>
                <w:szCs w:val="22"/>
              </w:rPr>
              <w:t>L</w:t>
            </w:r>
            <w:r w:rsidRPr="0044553E">
              <w:rPr>
                <w:rFonts w:ascii="Verdana" w:eastAsia="Calibri" w:hAnsi="Verdana" w:cs="Arial"/>
                <w:sz w:val="22"/>
                <w:szCs w:val="22"/>
              </w:rPr>
              <w:t xml:space="preserve">ey de </w:t>
            </w:r>
            <w:r>
              <w:rPr>
                <w:rFonts w:ascii="Verdana" w:eastAsia="Calibri" w:hAnsi="Verdana" w:cs="Arial"/>
                <w:sz w:val="22"/>
                <w:szCs w:val="22"/>
              </w:rPr>
              <w:t>G</w:t>
            </w:r>
            <w:r w:rsidRPr="0044553E">
              <w:rPr>
                <w:rFonts w:ascii="Verdana" w:eastAsia="Calibri" w:hAnsi="Verdana" w:cs="Arial"/>
                <w:sz w:val="22"/>
                <w:szCs w:val="22"/>
              </w:rPr>
              <w:t>arantías</w:t>
            </w:r>
            <w:r>
              <w:rPr>
                <w:rFonts w:ascii="Verdana" w:eastAsia="Calibri" w:hAnsi="Verdana" w:cs="Arial"/>
                <w:sz w:val="22"/>
                <w:szCs w:val="22"/>
              </w:rPr>
              <w:t xml:space="preserve"> Electorales</w:t>
            </w:r>
            <w:r w:rsidRPr="0044553E">
              <w:rPr>
                <w:rFonts w:ascii="Verdana" w:eastAsia="Calibri" w:hAnsi="Verdana" w:cs="Arial"/>
                <w:sz w:val="22"/>
                <w:szCs w:val="22"/>
              </w:rPr>
              <w:t>, por cuanto no configuran</w:t>
            </w:r>
            <w:r>
              <w:rPr>
                <w:rFonts w:ascii="Verdana" w:eastAsia="Calibri" w:hAnsi="Verdana" w:cs="Arial"/>
                <w:sz w:val="22"/>
                <w:szCs w:val="22"/>
              </w:rPr>
              <w:t xml:space="preserve"> los</w:t>
            </w:r>
            <w:r w:rsidRPr="0044553E">
              <w:rPr>
                <w:rFonts w:ascii="Verdana" w:eastAsia="Calibri" w:hAnsi="Verdana" w:cs="Arial"/>
                <w:sz w:val="22"/>
                <w:szCs w:val="22"/>
              </w:rPr>
              <w:t xml:space="preserve"> supuestos de contratación </w:t>
            </w:r>
            <w:r>
              <w:rPr>
                <w:rFonts w:ascii="Verdana" w:eastAsia="Calibri" w:hAnsi="Verdana" w:cs="Arial"/>
                <w:sz w:val="22"/>
                <w:szCs w:val="22"/>
              </w:rPr>
              <w:t>directa al que se refiere el artículo en comento</w:t>
            </w:r>
            <w:r w:rsidRPr="0044553E">
              <w:rPr>
                <w:rFonts w:ascii="Verdana" w:eastAsia="Calibri" w:hAnsi="Verdana" w:cs="Arial"/>
                <w:sz w:val="22"/>
                <w:szCs w:val="22"/>
              </w:rPr>
              <w:t>.</w:t>
            </w:r>
          </w:p>
          <w:p w14:paraId="60988B16" w14:textId="77777777" w:rsidR="00B64F30" w:rsidRPr="000D58B6" w:rsidRDefault="00B64F30" w:rsidP="009972BF">
            <w:pPr>
              <w:spacing w:after="120" w:line="276" w:lineRule="auto"/>
              <w:ind w:firstLine="709"/>
              <w:jc w:val="both"/>
              <w:rPr>
                <w:rFonts w:ascii="Verdana" w:hAnsi="Verdana" w:cs="Arial"/>
                <w:bCs/>
                <w:lang w:eastAsia="es-CO"/>
              </w:rPr>
            </w:pPr>
            <w:r>
              <w:rPr>
                <w:rFonts w:ascii="Verdana" w:eastAsia="Times New Roman" w:hAnsi="Verdana" w:cs="Arial"/>
              </w:rPr>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actuaciones no implican, por sí mismas, la celebración directa de un contrato 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mas no frente a actuaciones 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571CA7FA" w14:textId="77777777" w:rsidR="00B64F30" w:rsidRDefault="00B64F30" w:rsidP="009972BF">
            <w:pPr>
              <w:tabs>
                <w:tab w:val="left" w:pos="709"/>
              </w:tabs>
              <w:spacing w:before="120" w:after="120" w:line="276" w:lineRule="auto"/>
              <w:ind w:firstLine="709"/>
              <w:jc w:val="both"/>
              <w:rPr>
                <w:rFonts w:ascii="Verdana" w:eastAsia="Calibri" w:hAnsi="Verdana" w:cs="Arial"/>
                <w:lang w:eastAsia="es-CO"/>
              </w:rPr>
            </w:pPr>
            <w:r w:rsidRPr="00494FAF">
              <w:rPr>
                <w:rFonts w:ascii="Verdana" w:eastAsia="Times New Roman" w:hAnsi="Verdana" w:cs="Arial"/>
                <w:bCs/>
                <w:lang w:eastAsia="x-none"/>
              </w:rPr>
              <w:t>No obstante, frente a la celebración de una promesa de compraventa</w:t>
            </w:r>
            <w:r>
              <w:rPr>
                <w:rFonts w:ascii="Verdana" w:eastAsia="Times New Roman" w:hAnsi="Verdana" w:cs="Arial"/>
                <w:bCs/>
                <w:lang w:eastAsia="x-none"/>
              </w:rPr>
              <w:t xml:space="preserve"> o </w:t>
            </w:r>
            <w:r w:rsidRPr="00494FAF">
              <w:rPr>
                <w:rFonts w:ascii="Verdana" w:eastAsia="Times New Roman" w:hAnsi="Verdana" w:cs="Arial"/>
                <w:bCs/>
                <w:lang w:eastAsia="x-none"/>
              </w:rPr>
              <w:t>de un contrato de compraventa, sí resulta aplicable la restricción prevista en el citado artículo 33</w:t>
            </w:r>
            <w:r>
              <w:rPr>
                <w:rFonts w:ascii="Verdana" w:eastAsia="Times New Roman" w:hAnsi="Verdana" w:cs="Arial"/>
                <w:bCs/>
                <w:lang w:eastAsia="x-none"/>
              </w:rPr>
              <w:t xml:space="preserve"> ibidem</w:t>
            </w:r>
            <w:r w:rsidRPr="00494FAF">
              <w:rPr>
                <w:rFonts w:ascii="Verdana" w:eastAsia="Times New Roman" w:hAnsi="Verdana" w:cs="Arial"/>
                <w:bCs/>
                <w:lang w:eastAsia="x-none"/>
              </w:rPr>
              <w:t xml:space="preserve">,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r>
              <w:rPr>
                <w:rFonts w:ascii="Verdana" w:eastAsia="Times New Roman" w:hAnsi="Verdana" w:cs="Arial"/>
                <w:bCs/>
                <w:lang w:eastAsia="x-none"/>
              </w:rPr>
              <w:t xml:space="preserve">. </w:t>
            </w: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 </w:t>
            </w:r>
            <w:r>
              <w:rPr>
                <w:rFonts w:ascii="Verdana" w:eastAsia="Calibri" w:hAnsi="Verdana" w:cs="Arial"/>
              </w:rPr>
              <w:t>y</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 xml:space="preserve">el contrato de compraventa </w:t>
            </w:r>
            <w:r>
              <w:rPr>
                <w:rFonts w:ascii="Verdana" w:eastAsia="Times New Roman" w:hAnsi="Verdana" w:cs="Arial"/>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Estos negocios jurídicos, así como los demás que se suscriban de forma directa como cesiones de inmueble o permutas entre entidades estatales, </w:t>
            </w:r>
            <w:r w:rsidRPr="00A00771">
              <w:rPr>
                <w:rFonts w:ascii="Verdana" w:eastAsia="Calibri" w:hAnsi="Verdana" w:cs="Arial"/>
                <w:lang w:eastAsia="es-CO"/>
              </w:rPr>
              <w:t>constituyen formas de contratación directa en cuanto su celebración se realiza con un sujeto determinado, sin convocatoria pública y sin posibilidad de concurrencia de una pluralidad de oferentes</w:t>
            </w:r>
            <w:r>
              <w:rPr>
                <w:rFonts w:ascii="Verdana" w:eastAsia="Calibri" w:hAnsi="Verdana" w:cs="Arial"/>
                <w:lang w:eastAsia="es-CO"/>
              </w:rPr>
              <w:t xml:space="preserve">. </w:t>
            </w:r>
          </w:p>
          <w:p w14:paraId="01650BA0" w14:textId="77777777" w:rsidR="00B64F30" w:rsidRPr="001747EF" w:rsidRDefault="00B64F30" w:rsidP="009972BF">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7806D8">
              <w:rPr>
                <w:rFonts w:ascii="Verdana" w:eastAsia="Calibri" w:hAnsi="Verdana" w:cs="Arial"/>
                <w:sz w:val="22"/>
                <w:szCs w:val="22"/>
              </w:rPr>
              <w:lastRenderedPageBreak/>
              <w:t>Adicionalmente, dentro de las excepciones expresamente previstas por el legislador en dicha norma no se encuentran comprendidos los contratos que se deriven del procedimiento administrativo de adquisición</w:t>
            </w:r>
            <w:r>
              <w:rPr>
                <w:rFonts w:ascii="Verdana" w:eastAsia="Calibri" w:hAnsi="Verdana" w:cs="Arial"/>
                <w:sz w:val="22"/>
                <w:szCs w:val="22"/>
              </w:rPr>
              <w:t xml:space="preserve"> predial</w:t>
            </w:r>
            <w:r w:rsidRPr="007806D8">
              <w:rPr>
                <w:rFonts w:ascii="Verdana" w:eastAsia="Calibri" w:hAnsi="Verdana" w:cs="Arial"/>
                <w:sz w:val="22"/>
                <w:szCs w:val="22"/>
              </w:rPr>
              <w:t>, lo cual resulta relevante, pues de haber sido la intención del legislador exceptuar este tipo de negocios jurídicos, así lo habría señalado de manera expresa, tal como lo hizo respecto de otras hipótesis exceptuadas.</w:t>
            </w:r>
          </w:p>
          <w:p w14:paraId="1C7B9886" w14:textId="77777777" w:rsidR="00B64F30" w:rsidRPr="00785125" w:rsidRDefault="00B64F30" w:rsidP="009972BF">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suma, </w:t>
            </w:r>
            <w:r w:rsidRPr="00494FAF">
              <w:rPr>
                <w:rFonts w:ascii="Verdana" w:eastAsia="Times New Roman" w:hAnsi="Verdana" w:cs="Arial"/>
                <w:bCs/>
                <w:lang w:eastAsia="x-none"/>
              </w:rPr>
              <w:t xml:space="preserve">debe precisarse que la restricción establecida en el artículo 33 de la Ley 996 de 2005 no resulta aplicable al procedimiento administrativo de adquisición </w:t>
            </w:r>
            <w:r>
              <w:rPr>
                <w:rFonts w:ascii="Verdana" w:eastAsia="Times New Roman" w:hAnsi="Verdana" w:cs="Arial"/>
                <w:bCs/>
                <w:lang w:eastAsia="x-none"/>
              </w:rPr>
              <w:t xml:space="preserve">predial </w:t>
            </w:r>
            <w:r w:rsidRPr="00494FAF">
              <w:rPr>
                <w:rFonts w:ascii="Verdana" w:eastAsia="Times New Roman" w:hAnsi="Verdana" w:cs="Arial"/>
                <w:bCs/>
                <w:lang w:eastAsia="x-none"/>
              </w:rPr>
              <w:t>considerado en sí mismo, ni a su etapa preparatoria o preliminar, en la medida en que dicha disposición se circunscribe a la celebración de contratos de manera directa y no a las actuaciones administrativas previas que puedan adelantarse con ese propósito</w:t>
            </w:r>
            <w:r>
              <w:rPr>
                <w:rFonts w:ascii="Verdana" w:eastAsia="Times New Roman" w:hAnsi="Verdana" w:cs="Arial"/>
                <w:bCs/>
                <w:lang w:eastAsia="x-none"/>
              </w:rPr>
              <w:t>, siempre que estas no impliquen la celebración de un contrato directo</w:t>
            </w:r>
            <w:r w:rsidRPr="00494FAF">
              <w:rPr>
                <w:rFonts w:ascii="Verdana" w:eastAsia="Times New Roman" w:hAnsi="Verdana" w:cs="Arial"/>
                <w:bCs/>
                <w:lang w:eastAsia="x-none"/>
              </w:rPr>
              <w:t>. En tal sentido, la gestión predial no se ve paralizada durante el período de restricción. No obstante, frente a la celebración de una promesa de compraventa o de un contrato de compraventa</w:t>
            </w:r>
            <w:r>
              <w:rPr>
                <w:rFonts w:ascii="Verdana" w:eastAsia="Times New Roman" w:hAnsi="Verdana" w:cs="Arial"/>
                <w:bCs/>
                <w:lang w:eastAsia="x-none"/>
              </w:rPr>
              <w:t xml:space="preserve"> o cualquier otro contrato directo</w:t>
            </w:r>
            <w:r w:rsidRPr="00494FAF">
              <w:rPr>
                <w:rFonts w:ascii="Verdana" w:eastAsia="Times New Roman" w:hAnsi="Verdana" w:cs="Arial"/>
                <w:bCs/>
                <w:lang w:eastAsia="x-none"/>
              </w:rPr>
              <w:t xml:space="preserve">, sí resulta 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p>
          <w:p w14:paraId="4C970447" w14:textId="77777777" w:rsidR="00B64F30" w:rsidRPr="00A8090E" w:rsidRDefault="00B64F30" w:rsidP="009972BF">
            <w:pPr>
              <w:spacing w:after="120" w:line="276" w:lineRule="auto"/>
              <w:ind w:firstLine="709"/>
              <w:jc w:val="both"/>
              <w:rPr>
                <w:rFonts w:ascii="Verdana" w:eastAsia="Times New Roman" w:hAnsi="Verdana" w:cs="Arial"/>
                <w:bCs/>
                <w:lang w:val="es-MX" w:eastAsia="x-none"/>
              </w:rPr>
            </w:pPr>
            <w:r w:rsidRPr="00DE6146">
              <w:rPr>
                <w:rFonts w:ascii="Verdana" w:eastAsia="Times New Roman" w:hAnsi="Verdana" w:cs="Arial"/>
                <w:bCs/>
                <w:lang w:val="es-MX" w:eastAsia="x-none"/>
              </w:rPr>
              <w:t>En consecuencia, la interpretación contenida en e</w:t>
            </w:r>
            <w:r>
              <w:rPr>
                <w:rFonts w:ascii="Verdana" w:eastAsia="Times New Roman" w:hAnsi="Verdana" w:cs="Arial"/>
                <w:bCs/>
                <w:lang w:val="es-MX" w:eastAsia="x-none"/>
              </w:rPr>
              <w:t>ste</w:t>
            </w:r>
            <w:r w:rsidRPr="00DE6146">
              <w:rPr>
                <w:rFonts w:ascii="Verdana" w:eastAsia="Times New Roman" w:hAnsi="Verdana" w:cs="Arial"/>
                <w:bCs/>
                <w:lang w:val="es-MX" w:eastAsia="x-none"/>
              </w:rPr>
              <w:t xml:space="preserve"> concepto</w:t>
            </w:r>
            <w:r>
              <w:rPr>
                <w:rFonts w:ascii="Verdana" w:eastAsia="Times New Roman" w:hAnsi="Verdana" w:cs="Arial"/>
                <w:bCs/>
                <w:lang w:val="es-MX" w:eastAsia="x-none"/>
              </w:rPr>
              <w:t xml:space="preserve"> no</w:t>
            </w:r>
            <w:r w:rsidRPr="00DE6146">
              <w:rPr>
                <w:rFonts w:ascii="Verdana" w:eastAsia="Times New Roman" w:hAnsi="Verdana" w:cs="Arial"/>
                <w:bCs/>
                <w:lang w:val="es-MX" w:eastAsia="x-none"/>
              </w:rPr>
              <w:t xml:space="preserve"> impli</w:t>
            </w:r>
            <w:r>
              <w:rPr>
                <w:rFonts w:ascii="Verdana" w:eastAsia="Times New Roman" w:hAnsi="Verdana" w:cs="Arial"/>
                <w:bCs/>
                <w:lang w:val="es-MX" w:eastAsia="x-none"/>
              </w:rPr>
              <w:t>ca</w:t>
            </w:r>
            <w:r w:rsidRPr="00DE6146">
              <w:rPr>
                <w:rFonts w:ascii="Verdana" w:eastAsia="Times New Roman" w:hAnsi="Verdana" w:cs="Arial"/>
                <w:bCs/>
                <w:lang w:val="es-MX" w:eastAsia="x-none"/>
              </w:rPr>
              <w:t xml:space="preserve"> la paralización de procedimientos administrativos o contractuales como los relacionados con la gestión predial para proyectos de infraestructura. La determinación sobre la forma de adelantar dichos procedimientos, así como la valoración de las normas aplicables en cada caso concreto, corresponde </w:t>
            </w:r>
            <w:r w:rsidRPr="002F1004">
              <w:rPr>
                <w:rFonts w:ascii="Verdana" w:eastAsia="Times New Roman" w:hAnsi="Verdana" w:cs="Arial"/>
                <w:b/>
                <w:i/>
                <w:iCs/>
                <w:lang w:val="es-MX" w:eastAsia="x-none"/>
              </w:rPr>
              <w:t>exclusivamente</w:t>
            </w:r>
            <w:r w:rsidRPr="00784B93">
              <w:rPr>
                <w:rFonts w:ascii="Verdana" w:eastAsia="Times New Roman" w:hAnsi="Verdana" w:cs="Arial"/>
                <w:b/>
                <w:lang w:val="es-MX" w:eastAsia="x-none"/>
              </w:rPr>
              <w:t xml:space="preserve"> </w:t>
            </w:r>
            <w:r w:rsidRPr="00DE6146">
              <w:rPr>
                <w:rFonts w:ascii="Verdana" w:eastAsia="Times New Roman" w:hAnsi="Verdana" w:cs="Arial"/>
                <w:bCs/>
                <w:lang w:val="es-MX" w:eastAsia="x-none"/>
              </w:rPr>
              <w:t>a las entidades estatales en el marco de sus competencias funcionales, quienes deben adoptar las decisiones que estimen pertinentes con fundamento en su propio análisis jurídico y en el principio de responsabilidad en el ejercicio de la función administrativa.</w:t>
            </w:r>
          </w:p>
          <w:p w14:paraId="588BF497" w14:textId="77777777" w:rsidR="00B64F30" w:rsidRDefault="00B64F30" w:rsidP="009972BF">
            <w:pPr>
              <w:spacing w:line="276" w:lineRule="auto"/>
              <w:ind w:right="51" w:firstLine="737"/>
              <w:jc w:val="both"/>
              <w:rPr>
                <w:rFonts w:ascii="Verdana" w:eastAsia="Calibri" w:hAnsi="Verdana" w:cs="Arial"/>
                <w:bCs/>
                <w:color w:val="000000" w:themeColor="text1"/>
              </w:rPr>
            </w:pPr>
          </w:p>
        </w:tc>
      </w:tr>
    </w:tbl>
    <w:p w14:paraId="22D6A5B0" w14:textId="77777777" w:rsidR="00B64F30" w:rsidRDefault="00B64F30" w:rsidP="00B64F30">
      <w:pPr>
        <w:tabs>
          <w:tab w:val="left" w:pos="142"/>
          <w:tab w:val="left" w:pos="284"/>
        </w:tabs>
        <w:spacing w:after="0" w:line="276" w:lineRule="auto"/>
        <w:jc w:val="both"/>
        <w:rPr>
          <w:rFonts w:ascii="Verdana" w:eastAsia="Century Gothic" w:hAnsi="Verdana" w:cs="Century Gothic"/>
          <w:b/>
          <w:bCs/>
          <w:lang w:val="es-ES"/>
        </w:rPr>
      </w:pPr>
    </w:p>
    <w:bookmarkEnd w:id="2"/>
    <w:p w14:paraId="1F9F18B9" w14:textId="77777777" w:rsidR="00B64F30" w:rsidRDefault="00B64F30" w:rsidP="00B64F30">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Razones de la respuesta:</w:t>
      </w:r>
    </w:p>
    <w:p w14:paraId="35842522" w14:textId="77777777" w:rsidR="00B64F30" w:rsidRDefault="00B64F30" w:rsidP="00B64F30">
      <w:pPr>
        <w:spacing w:after="0" w:line="276" w:lineRule="auto"/>
        <w:jc w:val="both"/>
        <w:rPr>
          <w:rFonts w:ascii="Verdana" w:eastAsia="Calibri" w:hAnsi="Verdana" w:cs="Arial"/>
          <w:color w:val="7030A0"/>
          <w:lang w:val="es-ES"/>
        </w:rPr>
      </w:pPr>
    </w:p>
    <w:p w14:paraId="29915E79" w14:textId="77777777" w:rsidR="00B64F30" w:rsidRDefault="00B64F30" w:rsidP="00B64F30">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48E2089F" w14:textId="77777777" w:rsidR="00B64F30" w:rsidRDefault="00B64F30" w:rsidP="00B64F30">
      <w:pPr>
        <w:spacing w:after="0" w:line="276" w:lineRule="auto"/>
        <w:jc w:val="both"/>
        <w:rPr>
          <w:rFonts w:ascii="Verdana" w:eastAsia="Calibri" w:hAnsi="Verdana" w:cs="Arial"/>
          <w:lang w:val="es-ES"/>
        </w:rPr>
      </w:pPr>
    </w:p>
    <w:p w14:paraId="22718C3D" w14:textId="77777777" w:rsidR="00B64F30" w:rsidRPr="00FC6F34" w:rsidRDefault="00B64F30" w:rsidP="00B64F30">
      <w:pPr>
        <w:tabs>
          <w:tab w:val="left" w:pos="426"/>
        </w:tabs>
        <w:spacing w:after="120" w:line="276" w:lineRule="auto"/>
        <w:jc w:val="both"/>
        <w:rPr>
          <w:rFonts w:ascii="Verdana" w:eastAsia="Times New Roman" w:hAnsi="Verdana" w:cs="Arial"/>
          <w:lang w:val="es-ES" w:eastAsia="es-CO"/>
        </w:rPr>
      </w:pPr>
      <w:r>
        <w:rPr>
          <w:rFonts w:ascii="Verdana" w:eastAsia="Calibri" w:hAnsi="Verdana" w:cs="Arial"/>
        </w:rPr>
        <w:t xml:space="preserve">i. </w:t>
      </w:r>
      <w:r w:rsidRPr="00FC6F34">
        <w:rPr>
          <w:rFonts w:ascii="Verdana" w:eastAsia="Calibri" w:hAnsi="Verdana" w:cs="Arial"/>
          <w:lang w:val="es-ES"/>
        </w:rPr>
        <w:t xml:space="preserve">El ordenamiento jurídico colombiano contempla medidas para evitar la obtención de beneficios personales en asuntos propios de la administración </w:t>
      </w:r>
      <w:r w:rsidRPr="00FC6F34">
        <w:rPr>
          <w:rFonts w:ascii="Verdana" w:eastAsia="Calibri" w:hAnsi="Verdana" w:cs="Arial"/>
          <w:lang w:val="es-ES"/>
        </w:rPr>
        <w:lastRenderedPageBreak/>
        <w:t>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1"/>
      </w:r>
      <w:r w:rsidRPr="00FC6F34">
        <w:rPr>
          <w:rFonts w:ascii="Verdana" w:eastAsia="Calibri" w:hAnsi="Verdana" w:cs="Arial"/>
          <w:lang w:val="es-ES"/>
        </w:rPr>
        <w:t xml:space="preserve">. </w:t>
      </w:r>
    </w:p>
    <w:p w14:paraId="791DB6C8" w14:textId="77777777" w:rsidR="00B64F30" w:rsidRPr="00FC6F34" w:rsidRDefault="00B64F30" w:rsidP="00B64F30">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2"/>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03FA0076" w14:textId="77777777" w:rsidR="00B64F30" w:rsidRPr="00FC6F34" w:rsidRDefault="00B64F30" w:rsidP="00B64F30">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28F04E44" w14:textId="77777777" w:rsidR="00B64F30" w:rsidRPr="00FC6F34" w:rsidRDefault="00B64F30" w:rsidP="00B64F30">
      <w:pPr>
        <w:spacing w:after="0" w:line="276" w:lineRule="auto"/>
        <w:ind w:right="709"/>
        <w:jc w:val="both"/>
        <w:rPr>
          <w:rFonts w:ascii="Verdana" w:eastAsia="Times New Roman" w:hAnsi="Verdana" w:cs="Arial"/>
          <w:lang w:val="es-ES" w:eastAsia="es-CO"/>
        </w:rPr>
      </w:pPr>
    </w:p>
    <w:p w14:paraId="25F73E4D" w14:textId="77777777" w:rsidR="00B64F30" w:rsidRPr="00FC6F34" w:rsidRDefault="00B64F30" w:rsidP="00B64F30">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191DE146" w14:textId="77777777" w:rsidR="00B64F30" w:rsidRPr="00FC6F34" w:rsidRDefault="00B64F30" w:rsidP="00B64F30">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2A57F0FB" w14:textId="77777777" w:rsidR="00B64F30" w:rsidRPr="00FC6F34" w:rsidRDefault="00B64F30" w:rsidP="00B64F30">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FC6F34">
        <w:rPr>
          <w:rFonts w:ascii="Verdana" w:eastAsia="Times New Roman" w:hAnsi="Verdana" w:cs="Arial"/>
          <w:sz w:val="20"/>
          <w:szCs w:val="20"/>
          <w:lang w:val="es-ES" w:eastAsia="es-CO"/>
        </w:rPr>
        <w:lastRenderedPageBreak/>
        <w:t>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3"/>
      </w:r>
    </w:p>
    <w:p w14:paraId="0AC489A8" w14:textId="77777777" w:rsidR="00B64F30" w:rsidRPr="00FC6F34" w:rsidRDefault="00B64F30" w:rsidP="00B64F30">
      <w:pPr>
        <w:spacing w:after="0" w:line="276" w:lineRule="auto"/>
        <w:ind w:firstLine="709"/>
        <w:jc w:val="both"/>
        <w:rPr>
          <w:rFonts w:ascii="Verdana" w:eastAsia="Times New Roman" w:hAnsi="Verdana" w:cs="Arial"/>
          <w:lang w:val="es-ES" w:eastAsia="es-CO"/>
        </w:rPr>
      </w:pPr>
    </w:p>
    <w:p w14:paraId="30E1958C" w14:textId="77777777" w:rsidR="00B64F30" w:rsidRPr="00FC6F34" w:rsidRDefault="00B64F30" w:rsidP="00B64F30">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5932F972" w14:textId="77777777" w:rsidR="00B64F30" w:rsidRPr="00FC6F34" w:rsidRDefault="00B64F30" w:rsidP="00B64F30">
      <w:pPr>
        <w:spacing w:after="0" w:line="276" w:lineRule="auto"/>
        <w:ind w:firstLine="709"/>
        <w:jc w:val="both"/>
        <w:rPr>
          <w:rFonts w:ascii="Verdana" w:eastAsia="Times New Roman" w:hAnsi="Verdana" w:cs="Arial"/>
          <w:lang w:val="es-ES" w:eastAsia="es-CO"/>
        </w:rPr>
      </w:pPr>
    </w:p>
    <w:p w14:paraId="13985F3C" w14:textId="77777777" w:rsidR="00B64F30" w:rsidRPr="00FC6F34" w:rsidRDefault="00B64F30" w:rsidP="00B64F30">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78A4BF3" w14:textId="77777777" w:rsidR="00B64F30" w:rsidRPr="00FC6F34" w:rsidRDefault="00B64F30" w:rsidP="00B64F30">
      <w:pPr>
        <w:spacing w:after="0" w:line="240" w:lineRule="auto"/>
        <w:ind w:right="709"/>
        <w:jc w:val="both"/>
        <w:rPr>
          <w:rFonts w:ascii="Verdana" w:eastAsia="Times New Roman" w:hAnsi="Verdana" w:cs="Arial"/>
          <w:lang w:val="es-ES" w:eastAsia="es-CO"/>
        </w:rPr>
      </w:pPr>
    </w:p>
    <w:p w14:paraId="6F908A3B" w14:textId="77777777" w:rsidR="00B64F30" w:rsidRPr="00FC6F34" w:rsidRDefault="00B64F30" w:rsidP="00B64F30">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4"/>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w:t>
      </w:r>
    </w:p>
    <w:p w14:paraId="1713FB4A" w14:textId="77777777" w:rsidR="00B64F30" w:rsidRPr="00FC6F34" w:rsidRDefault="00B64F30" w:rsidP="00B64F30">
      <w:pPr>
        <w:spacing w:after="0" w:line="276" w:lineRule="auto"/>
        <w:jc w:val="both"/>
        <w:rPr>
          <w:rFonts w:ascii="Verdana" w:eastAsia="Calibri" w:hAnsi="Verdana" w:cs="Arial"/>
          <w:bCs/>
          <w:lang w:val="es-ES"/>
        </w:rPr>
      </w:pPr>
    </w:p>
    <w:p w14:paraId="749BF11D" w14:textId="77777777" w:rsidR="00B64F30" w:rsidRPr="00FC6F34" w:rsidRDefault="00B64F30" w:rsidP="00B64F30">
      <w:pPr>
        <w:spacing w:after="12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1D7DDE52" w14:textId="77777777" w:rsidR="00B64F30" w:rsidRPr="00FB5047" w:rsidRDefault="00B64F30" w:rsidP="00B64F30">
      <w:pPr>
        <w:spacing w:after="120" w:line="276" w:lineRule="auto"/>
        <w:jc w:val="both"/>
        <w:rPr>
          <w:rFonts w:ascii="Verdana" w:eastAsia="Arial" w:hAnsi="Verdana" w:cs="Arial"/>
          <w:lang w:val="es-ES" w:eastAsia="es-ES" w:bidi="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xml:space="preserve">. </w:t>
      </w:r>
      <w:r w:rsidRPr="00FC6F34">
        <w:rPr>
          <w:rFonts w:ascii="Verdana" w:eastAsia="Arial" w:hAnsi="Verdana" w:cs="Arial"/>
          <w:lang w:val="es-ES" w:eastAsia="es-ES" w:bidi="es-ES"/>
        </w:rPr>
        <w:t>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00C6C224" w14:textId="77777777" w:rsidR="00B64F30" w:rsidRDefault="00B64F30" w:rsidP="00B64F30">
      <w:pPr>
        <w:tabs>
          <w:tab w:val="left" w:pos="426"/>
        </w:tabs>
        <w:spacing w:after="120" w:line="276" w:lineRule="auto"/>
        <w:ind w:firstLine="709"/>
        <w:jc w:val="both"/>
        <w:rPr>
          <w:rFonts w:ascii="Verdana" w:eastAsia="Arial" w:hAnsi="Verdana" w:cs="Arial"/>
          <w:lang w:val="es-ES" w:eastAsia="es-ES" w:bidi="es-ES"/>
        </w:rPr>
      </w:pPr>
      <w:r w:rsidRPr="00FC6F34">
        <w:rPr>
          <w:rFonts w:ascii="Verdana" w:eastAsia="Calibri" w:hAnsi="Verdana" w:cs="Arial"/>
          <w:lang w:val="es-ES"/>
        </w:rPr>
        <w:t xml:space="preserve">Por un lado, </w:t>
      </w:r>
      <w:bookmarkStart w:id="3" w:name="_Hlk100679383"/>
      <w:r>
        <w:rPr>
          <w:rFonts w:ascii="Verdana" w:eastAsia="Calibri" w:hAnsi="Verdana" w:cs="Arial"/>
        </w:rPr>
        <w:t xml:space="preserve">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vertAlign w:val="superscript"/>
        </w:rPr>
        <w:footnoteReference w:id="7"/>
      </w:r>
      <w:r>
        <w:rPr>
          <w:rFonts w:ascii="Verdana" w:eastAsia="Calibri" w:hAnsi="Verdana" w:cs="Arial"/>
        </w:rPr>
        <w:t>.</w:t>
      </w:r>
      <w:bookmarkEnd w:id="3"/>
      <w:r>
        <w:rPr>
          <w:rFonts w:ascii="Verdana" w:eastAsia="Arial" w:hAnsi="Verdana" w:cs="Arial"/>
          <w:lang w:val="es-ES" w:eastAsia="es-ES" w:bidi="es-ES"/>
        </w:rPr>
        <w:t xml:space="preserve"> </w:t>
      </w:r>
      <w:bookmarkStart w:id="5" w:name="_Hlk78820161"/>
    </w:p>
    <w:p w14:paraId="64128417" w14:textId="77777777" w:rsidR="00B64F30" w:rsidRDefault="00B64F30" w:rsidP="00B64F30">
      <w:pPr>
        <w:tabs>
          <w:tab w:val="left" w:pos="426"/>
        </w:tabs>
        <w:spacing w:after="120" w:line="276" w:lineRule="auto"/>
        <w:ind w:firstLine="709"/>
        <w:jc w:val="both"/>
        <w:rPr>
          <w:rFonts w:ascii="Verdana" w:eastAsia="Calibri" w:hAnsi="Verdana" w:cs="Arial"/>
          <w:lang w:val="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w:t>
      </w:r>
      <w:r w:rsidRPr="00FC6F34">
        <w:rPr>
          <w:rFonts w:ascii="Verdana" w:eastAsia="Calibri" w:hAnsi="Verdana" w:cs="Arial"/>
          <w:lang w:val="es-ES"/>
        </w:rPr>
        <w:lastRenderedPageBreak/>
        <w:t>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35625C38" w14:textId="77777777" w:rsidR="00B64F30" w:rsidRPr="00FC6F34" w:rsidRDefault="00B64F30" w:rsidP="00B64F30">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1978AAEF" w14:textId="77777777" w:rsidR="00B64F30" w:rsidRPr="00FC6F34" w:rsidRDefault="00B64F30" w:rsidP="00B64F30">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5425D74" w14:textId="77777777" w:rsidR="00B64F30" w:rsidRPr="00FC6F34" w:rsidRDefault="00B64F30" w:rsidP="00B64F3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9"/>
      </w:r>
    </w:p>
    <w:p w14:paraId="1E0801AF" w14:textId="77777777" w:rsidR="00B64F30" w:rsidRPr="00FC6F34" w:rsidRDefault="00B64F30" w:rsidP="00B64F30">
      <w:pPr>
        <w:widowControl w:val="0"/>
        <w:autoSpaceDE w:val="0"/>
        <w:autoSpaceDN w:val="0"/>
        <w:spacing w:after="0" w:line="276" w:lineRule="auto"/>
        <w:contextualSpacing/>
        <w:rPr>
          <w:rFonts w:ascii="Verdana" w:eastAsia="Arial" w:hAnsi="Verdana" w:cs="Arial"/>
          <w:lang w:val="es-ES" w:eastAsia="es-ES" w:bidi="es-ES"/>
        </w:rPr>
      </w:pPr>
    </w:p>
    <w:p w14:paraId="3435688C" w14:textId="77777777" w:rsidR="00B64F30" w:rsidRPr="00FC6F34" w:rsidRDefault="00B64F30" w:rsidP="00B64F30">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w:t>
      </w:r>
      <w:r w:rsidRPr="00FC6F34">
        <w:rPr>
          <w:rFonts w:ascii="Verdana" w:eastAsia="Arial" w:hAnsi="Verdana" w:cs="Arial"/>
          <w:lang w:val="es-ES" w:eastAsia="es-ES" w:bidi="es-ES"/>
        </w:rPr>
        <w:lastRenderedPageBreak/>
        <w:t xml:space="preserve">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FF891C1" w14:textId="77777777" w:rsidR="00B64F30" w:rsidRPr="00FC6F34" w:rsidRDefault="00B64F30" w:rsidP="00B64F30">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7DFCA394" w14:textId="77777777" w:rsidR="00B64F30" w:rsidRDefault="00B64F30" w:rsidP="00B64F30">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601C5861" w14:textId="77777777" w:rsidR="00B64F30" w:rsidRPr="00A15DDF" w:rsidRDefault="00B64F30" w:rsidP="00B64F30">
      <w:pPr>
        <w:spacing w:after="120" w:line="276" w:lineRule="auto"/>
        <w:jc w:val="both"/>
        <w:rPr>
          <w:rFonts w:ascii="Verdana" w:eastAsia="Arial" w:hAnsi="Verdana" w:cs="Arial"/>
          <w:lang w:val="es-ES" w:eastAsia="es-ES" w:bidi="es-ES"/>
        </w:rPr>
      </w:pPr>
      <w:proofErr w:type="spellStart"/>
      <w:r>
        <w:rPr>
          <w:rFonts w:ascii="Verdana" w:eastAsia="Calibri" w:hAnsi="Verdana" w:cs="Arial"/>
        </w:rPr>
        <w:t>iii</w:t>
      </w:r>
      <w:proofErr w:type="spellEnd"/>
      <w:r>
        <w:rPr>
          <w:rFonts w:ascii="Verdana" w:eastAsia="Calibri" w:hAnsi="Verdana" w:cs="Arial"/>
        </w:rPr>
        <w:t xml:space="preserve">. </w:t>
      </w:r>
      <w:r>
        <w:rPr>
          <w:rFonts w:ascii="Verdana" w:eastAsia="Times New Roman" w:hAnsi="Verdana" w:cs="Arial"/>
          <w:bCs/>
          <w:lang w:val="es-MX" w:eastAsia="x-none"/>
        </w:rPr>
        <w:t xml:space="preserve">Respecto del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Pr>
          <w:rFonts w:ascii="Verdana" w:eastAsia="Times New Roman" w:hAnsi="Verdana" w:cs="Arial"/>
          <w:bCs/>
          <w:lang w:val="es-MX" w:eastAsia="x-none"/>
        </w:rPr>
        <w:t xml:space="preserve">. </w:t>
      </w:r>
      <w:r>
        <w:rPr>
          <w:rFonts w:ascii="Verdana" w:eastAsia="Times New Roman" w:hAnsi="Verdana" w:cs="Arial"/>
          <w:lang w:val="es-MX" w:eastAsia="es-CO"/>
        </w:rPr>
        <w:t xml:space="preserve"> A propósito de </w:t>
      </w:r>
      <w:r>
        <w:rPr>
          <w:rFonts w:ascii="Verdana" w:eastAsia="Times New Roman" w:hAnsi="Verdana" w:cs="Arial"/>
          <w:lang w:eastAsia="es-CO"/>
        </w:rPr>
        <w:t>esta restricción de la Ley de Garantías Electorales, la Sala de Consulta y Servicio Civil del Consejo de Estado ha considerado que:</w:t>
      </w:r>
    </w:p>
    <w:p w14:paraId="3A776591" w14:textId="77777777" w:rsidR="00B64F30" w:rsidRDefault="00B64F30" w:rsidP="00B64F30">
      <w:pPr>
        <w:spacing w:after="0" w:line="276" w:lineRule="auto"/>
        <w:ind w:left="708" w:right="709"/>
        <w:jc w:val="both"/>
        <w:rPr>
          <w:rFonts w:ascii="Verdana" w:eastAsia="Calibri" w:hAnsi="Verdana" w:cs="Arial"/>
          <w:lang w:val="es-MX"/>
        </w:rPr>
      </w:pPr>
    </w:p>
    <w:p w14:paraId="11804DD6" w14:textId="77777777" w:rsidR="00B64F30" w:rsidRDefault="00B64F30" w:rsidP="00B64F30">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 xml:space="preserve">“La contratación directa es un mecanismo de selección de carácter excepcional, en virtud del cual las entidades públicas pueden contratar </w:t>
      </w:r>
      <w:r>
        <w:rPr>
          <w:rFonts w:ascii="Verdana" w:eastAsia="Calibri" w:hAnsi="Verdana" w:cs="Arial"/>
          <w:sz w:val="20"/>
          <w:szCs w:val="20"/>
          <w:lang w:val="es-MX"/>
        </w:rPr>
        <w:lastRenderedPageBreak/>
        <w:t>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10"/>
      </w:r>
      <w:r>
        <w:rPr>
          <w:rFonts w:ascii="Verdana" w:eastAsia="Calibri" w:hAnsi="Verdana" w:cs="Arial"/>
          <w:sz w:val="20"/>
          <w:szCs w:val="20"/>
          <w:lang w:val="es-MX"/>
        </w:rPr>
        <w:t>.</w:t>
      </w:r>
    </w:p>
    <w:p w14:paraId="0236BC46" w14:textId="77777777" w:rsidR="00B64F30" w:rsidRDefault="00B64F30" w:rsidP="00B64F30">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 xml:space="preserve">Esta Sala ha entendido </w:t>
      </w:r>
      <w:proofErr w:type="gramStart"/>
      <w:r>
        <w:rPr>
          <w:rFonts w:ascii="Verdana" w:eastAsia="Calibri" w:hAnsi="Verdana" w:cs="Arial"/>
          <w:sz w:val="20"/>
          <w:szCs w:val="20"/>
          <w:lang w:val="es-MX"/>
        </w:rPr>
        <w:t>que</w:t>
      </w:r>
      <w:proofErr w:type="gramEnd"/>
      <w:r>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w:t>
      </w:r>
      <w:r w:rsidRPr="008601ED">
        <w:rPr>
          <w:rFonts w:ascii="Verdana" w:eastAsia="Calibri" w:hAnsi="Verdana" w:cs="Arial"/>
          <w:b/>
          <w:bCs/>
          <w:i/>
          <w:iCs/>
          <w:sz w:val="20"/>
          <w:szCs w:val="20"/>
          <w:lang w:val="es-MX"/>
        </w:rPr>
        <w:t>no necesariamente hace referencia al procedimiento especial regulado por la ley de contratación estatal, sino a cualquier otro que prescinda de un proceso de licitación pública o concurso</w:t>
      </w:r>
      <w:r>
        <w:rPr>
          <w:rFonts w:ascii="Verdana" w:eastAsia="Times New Roman" w:hAnsi="Verdana" w:cs="Arial"/>
          <w:sz w:val="20"/>
          <w:szCs w:val="20"/>
          <w:vertAlign w:val="superscript"/>
          <w:lang w:val="es-MX"/>
        </w:rPr>
        <w:footnoteReference w:id="11"/>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12"/>
      </w:r>
      <w:r>
        <w:rPr>
          <w:rFonts w:ascii="Verdana" w:eastAsia="Calibri" w:hAnsi="Verdana" w:cs="Arial"/>
          <w:sz w:val="20"/>
          <w:szCs w:val="20"/>
          <w:lang w:val="es-MX"/>
        </w:rPr>
        <w:t>.[Énfasis por fuera de texto]</w:t>
      </w:r>
    </w:p>
    <w:p w14:paraId="08E17F62" w14:textId="77777777" w:rsidR="00B64F30" w:rsidRDefault="00B64F30" w:rsidP="00B64F30">
      <w:pPr>
        <w:shd w:val="clear" w:color="auto" w:fill="FFFFFF"/>
        <w:spacing w:after="0" w:line="276" w:lineRule="auto"/>
        <w:ind w:firstLine="709"/>
        <w:jc w:val="both"/>
        <w:rPr>
          <w:rFonts w:ascii="Verdana" w:eastAsia="Times New Roman" w:hAnsi="Verdana" w:cs="Arial"/>
          <w:lang w:eastAsia="x-none"/>
        </w:rPr>
      </w:pPr>
    </w:p>
    <w:p w14:paraId="4DE07DB0" w14:textId="77777777" w:rsidR="00B64F30" w:rsidRDefault="00B64F30" w:rsidP="00B64F30">
      <w:pPr>
        <w:spacing w:after="120" w:line="276" w:lineRule="auto"/>
        <w:ind w:firstLine="708"/>
        <w:jc w:val="both"/>
        <w:rPr>
          <w:rFonts w:ascii="Verdana" w:eastAsia="Times New Roman" w:hAnsi="Verdana" w:cs="Arial"/>
          <w:bCs/>
          <w:lang w:eastAsia="x-none"/>
        </w:rPr>
      </w:pPr>
      <w:r>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Pr>
          <w:rFonts w:ascii="Verdana" w:eastAsia="Times New Roman" w:hAnsi="Verdana" w:cs="Arial"/>
          <w:lang w:val="es-ES_tradnl" w:eastAsia="x-none"/>
        </w:rPr>
        <w:t xml:space="preserve">y la mínima cuantía </w:t>
      </w:r>
      <w:r>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Pr>
          <w:rFonts w:ascii="Verdana" w:eastAsia="Times New Roman" w:hAnsi="Verdana" w:cs="Arial"/>
          <w:vertAlign w:val="superscript"/>
          <w:lang w:val="en-GB" w:eastAsia="x-none"/>
        </w:rPr>
        <w:footnoteReference w:id="13"/>
      </w:r>
      <w:r>
        <w:rPr>
          <w:rFonts w:ascii="Verdana" w:eastAsia="Times New Roman" w:hAnsi="Verdana" w:cs="Arial"/>
          <w:lang w:eastAsia="x-none"/>
        </w:rPr>
        <w:t xml:space="preserve"> y sistematizó las causales de contratación directa</w:t>
      </w:r>
      <w:r>
        <w:rPr>
          <w:rFonts w:ascii="Verdana" w:eastAsia="Times New Roman" w:hAnsi="Verdana" w:cs="Arial"/>
          <w:vertAlign w:val="superscript"/>
          <w:lang w:val="en-GB" w:eastAsia="x-none"/>
        </w:rPr>
        <w:footnoteReference w:id="14"/>
      </w:r>
      <w:r>
        <w:rPr>
          <w:rFonts w:ascii="Verdana" w:eastAsia="Times New Roman" w:hAnsi="Verdana" w:cs="Arial"/>
          <w:lang w:eastAsia="x-none"/>
        </w:rPr>
        <w:t xml:space="preserve">, </w:t>
      </w:r>
      <w:r>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3842A46B" w14:textId="77777777" w:rsidR="00B64F30" w:rsidRDefault="00B64F30" w:rsidP="00B64F30">
      <w:pPr>
        <w:spacing w:after="120" w:line="276" w:lineRule="auto"/>
        <w:ind w:firstLine="708"/>
        <w:jc w:val="both"/>
        <w:rPr>
          <w:rFonts w:ascii="Verdana" w:eastAsia="Times New Roman" w:hAnsi="Verdana" w:cs="Arial"/>
          <w:lang w:val="es-MX" w:eastAsia="x-none"/>
        </w:rPr>
      </w:pPr>
      <w:r>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Pr>
          <w:rFonts w:ascii="Verdana" w:eastAsia="Times New Roman" w:hAnsi="Verdana" w:cs="Arial"/>
          <w:lang w:eastAsia="x-none"/>
        </w:rPr>
        <w:t>contratación directa</w:t>
      </w:r>
      <w:r>
        <w:rPr>
          <w:rFonts w:ascii="Verdana" w:eastAsia="Times New Roman" w:hAnsi="Verdana" w:cs="Arial"/>
          <w:lang w:eastAsia="en-GB"/>
        </w:rPr>
        <w:t>”</w:t>
      </w:r>
      <w:r>
        <w:rPr>
          <w:rFonts w:ascii="Verdana" w:eastAsia="Times New Roman" w:hAnsi="Verdana" w:cs="Arial"/>
          <w:lang w:eastAsia="x-none"/>
        </w:rPr>
        <w:t xml:space="preserve">, precisando el Consejo de Estado –en el concepto citado– que, “aun cuando no </w:t>
      </w:r>
      <w:r>
        <w:rPr>
          <w:rFonts w:ascii="Verdana" w:eastAsia="Times New Roman" w:hAnsi="Verdana" w:cs="Arial"/>
          <w:lang w:eastAsia="x-none"/>
        </w:rPr>
        <w:lastRenderedPageBreak/>
        <w:t>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eastAsia="Times New Roman" w:hAnsi="Verdana" w:cs="Arial"/>
          <w:vertAlign w:val="superscript"/>
          <w:lang w:val="en-GB" w:eastAsia="x-none"/>
        </w:rPr>
        <w:footnoteReference w:id="15"/>
      </w:r>
      <w:r>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Pr>
          <w:rFonts w:ascii="Verdana" w:eastAsia="Times New Roman" w:hAnsi="Verdana" w:cs="Arial"/>
          <w:lang w:eastAsia="x-none"/>
        </w:rPr>
        <w:t xml:space="preserve">. </w:t>
      </w:r>
    </w:p>
    <w:p w14:paraId="6FAA5F1B" w14:textId="77777777" w:rsidR="00B64F30" w:rsidRDefault="00B64F30" w:rsidP="00B64F30">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E</w:t>
      </w:r>
      <w:r>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vertAlign w:val="superscript"/>
        </w:rPr>
        <w:footnoteReference w:id="16"/>
      </w:r>
      <w:r>
        <w:rPr>
          <w:rFonts w:ascii="Verdana" w:eastAsia="Times New Roman" w:hAnsi="Verdana" w:cs="Arial"/>
          <w:lang w:eastAsia="x-none"/>
        </w:rPr>
        <w:t xml:space="preserve">. </w:t>
      </w:r>
    </w:p>
    <w:p w14:paraId="760F7E86" w14:textId="77777777" w:rsidR="00B64F30" w:rsidRDefault="00B64F30" w:rsidP="00B64F30">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B75D44A" w14:textId="77777777" w:rsidR="00B64F30" w:rsidRDefault="00B64F30" w:rsidP="00B64F30">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w:t>
      </w:r>
      <w:r>
        <w:rPr>
          <w:rFonts w:ascii="Verdana" w:eastAsia="Times New Roman" w:hAnsi="Verdana" w:cs="Arial"/>
          <w:bCs/>
          <w:lang w:val="es-MX" w:eastAsia="x-none"/>
        </w:rPr>
        <w:lastRenderedPageBreak/>
        <w:t>que no incluya la convocatoria pública en alguna de sus etapas, ni permita la participación de una pluralidad de oferentes</w:t>
      </w:r>
      <w:r>
        <w:rPr>
          <w:rFonts w:ascii="Verdana" w:eastAsia="Times New Roman" w:hAnsi="Verdana" w:cs="Arial"/>
          <w:vertAlign w:val="superscript"/>
          <w:lang w:eastAsia="x-none"/>
        </w:rPr>
        <w:footnoteReference w:id="17"/>
      </w:r>
      <w:r>
        <w:rPr>
          <w:rFonts w:ascii="Verdana" w:eastAsia="Times New Roman" w:hAnsi="Verdana" w:cs="Arial"/>
          <w:bCs/>
          <w:lang w:val="es-MX" w:eastAsia="x-none"/>
        </w:rPr>
        <w:t>.</w:t>
      </w:r>
      <w:r>
        <w:rPr>
          <w:rFonts w:ascii="Verdana" w:eastAsia="Times New Roman" w:hAnsi="Verdana" w:cs="Arial"/>
          <w:vertAlign w:val="superscript"/>
          <w:lang w:val="es-MX" w:eastAsia="x-none"/>
        </w:rPr>
        <w:t xml:space="preserve"> </w:t>
      </w:r>
    </w:p>
    <w:p w14:paraId="025DED3C" w14:textId="77777777" w:rsidR="00B64F30" w:rsidRDefault="00B64F30" w:rsidP="00B64F30">
      <w:pPr>
        <w:spacing w:after="120" w:line="276" w:lineRule="auto"/>
        <w:ind w:firstLine="708"/>
        <w:jc w:val="both"/>
        <w:rPr>
          <w:rFonts w:ascii="Verdana" w:eastAsia="Times New Roman" w:hAnsi="Verdana" w:cs="Arial"/>
          <w:lang w:eastAsia="x-none"/>
        </w:rPr>
      </w:pPr>
      <w:r>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862BBCF" w14:textId="77777777" w:rsidR="00B64F30" w:rsidRDefault="00B64F30" w:rsidP="00B64F30">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 xml:space="preserve">En este contexto,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Pr>
          <w:rFonts w:ascii="Verdana" w:eastAsia="Times New Roman" w:hAnsi="Verdana" w:cs="Arial"/>
          <w:bCs/>
          <w:lang w:val="es-MX" w:eastAsia="x-none"/>
        </w:rPr>
        <w:t>ii</w:t>
      </w:r>
      <w:proofErr w:type="spellEnd"/>
      <w:r>
        <w:rPr>
          <w:rFonts w:ascii="Verdana" w:eastAsia="Times New Roman" w:hAnsi="Verdana" w:cs="Arial"/>
          <w:bCs/>
          <w:lang w:val="es-MX" w:eastAsia="x-none"/>
        </w:rPr>
        <w:t xml:space="preserve">) los contratos de crédito público; </w:t>
      </w:r>
      <w:proofErr w:type="spellStart"/>
      <w:r>
        <w:rPr>
          <w:rFonts w:ascii="Verdana" w:eastAsia="Times New Roman" w:hAnsi="Verdana" w:cs="Arial"/>
          <w:bCs/>
          <w:lang w:val="es-MX" w:eastAsia="x-none"/>
        </w:rPr>
        <w:t>iii</w:t>
      </w:r>
      <w:proofErr w:type="spellEnd"/>
      <w:r>
        <w:rPr>
          <w:rFonts w:ascii="Verdana" w:eastAsia="Times New Roman" w:hAnsi="Verdana" w:cs="Arial"/>
          <w:bCs/>
          <w:lang w:val="es-MX" w:eastAsia="x-none"/>
        </w:rPr>
        <w:t xml:space="preserve">) los requeridos para cubrir las emergencias educativas, sanitarias y desastres; </w:t>
      </w: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ECBEA11" w14:textId="77777777" w:rsidR="00B64F30" w:rsidRDefault="00B64F30" w:rsidP="00B64F30">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18"/>
      </w:r>
      <w:r>
        <w:rPr>
          <w:rFonts w:ascii="Verdana" w:eastAsia="Times New Roman" w:hAnsi="Verdana" w:cs="Arial"/>
          <w:bCs/>
          <w:lang w:val="es-MX" w:eastAsia="x-none"/>
        </w:rPr>
        <w:t xml:space="preserve">. De ahí que la Corte haya </w:t>
      </w:r>
      <w:r>
        <w:rPr>
          <w:rFonts w:ascii="Verdana" w:eastAsia="Times New Roman" w:hAnsi="Verdana" w:cs="Arial"/>
          <w:bCs/>
          <w:lang w:val="es-MX" w:eastAsia="x-none"/>
        </w:rPr>
        <w:lastRenderedPageBreak/>
        <w:t>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5FDF4DF0" w14:textId="77777777" w:rsidR="00B64F30" w:rsidRDefault="00B64F30" w:rsidP="00B64F30">
      <w:pPr>
        <w:spacing w:after="120" w:line="276" w:lineRule="auto"/>
        <w:ind w:firstLine="708"/>
        <w:jc w:val="both"/>
        <w:rPr>
          <w:rFonts w:ascii="Verdana" w:eastAsia="Calibri" w:hAnsi="Verdana" w:cs="Arial"/>
          <w:lang w:val="es-MX"/>
        </w:rPr>
      </w:pPr>
      <w:r>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4BDE022" w14:textId="77777777" w:rsidR="00B64F30" w:rsidRPr="005E6430" w:rsidRDefault="00B64F30" w:rsidP="00B64F30">
      <w:pPr>
        <w:spacing w:after="120" w:line="276" w:lineRule="auto"/>
        <w:ind w:firstLine="708"/>
        <w:jc w:val="both"/>
        <w:rPr>
          <w:rFonts w:ascii="Verdana" w:eastAsia="Calibri" w:hAnsi="Verdana" w:cs="Arial"/>
          <w:lang w:val="es-MX"/>
        </w:rPr>
      </w:pPr>
      <w:r>
        <w:rPr>
          <w:rFonts w:ascii="Verdana" w:eastAsia="Calibri" w:hAnsi="Verdana" w:cs="Arial"/>
          <w:lang w:val="es-MX"/>
        </w:rPr>
        <w:t>Así las cosas, de acuerdo con los pronunciamientos de la Sala de Consulta y Servicio Civil del Consejo de Estado</w:t>
      </w:r>
      <w:r>
        <w:rPr>
          <w:rStyle w:val="Refdenotaalpie"/>
          <w:rFonts w:ascii="Verdana" w:eastAsia="Calibri" w:hAnsi="Verdana" w:cs="Arial"/>
          <w:lang w:val="es-MX"/>
        </w:rPr>
        <w:footnoteReference w:id="19"/>
      </w:r>
      <w:r>
        <w:rPr>
          <w:rFonts w:ascii="Verdana" w:eastAsia="Calibri" w:hAnsi="Verdana" w:cs="Arial"/>
          <w:lang w:val="es-MX"/>
        </w:rPr>
        <w:t xml:space="preserve">,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Pr>
          <w:rFonts w:ascii="Verdana" w:eastAsia="Times New Roman" w:hAnsi="Verdana" w:cs="Arial"/>
          <w:bCs/>
          <w:lang w:val="es-MX" w:eastAsia="x-none"/>
        </w:rPr>
        <w:t>establecimientos de crédito, las sociedades de 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vertAlign w:val="superscript"/>
        </w:rPr>
        <w:footnoteReference w:id="20"/>
      </w:r>
      <w:r>
        <w:rPr>
          <w:rFonts w:ascii="Verdana" w:eastAsia="Calibri" w:hAnsi="Verdana" w:cs="Arial"/>
          <w:lang w:val="es-MX"/>
        </w:rPr>
        <w:t>.</w:t>
      </w:r>
      <w:r>
        <w:rPr>
          <w:rFonts w:ascii="Verdana" w:eastAsia="Times New Roman" w:hAnsi="Verdana" w:cs="Arial"/>
          <w:lang w:val="es-MX" w:eastAsia="es-CO"/>
        </w:rPr>
        <w:t xml:space="preserve"> </w:t>
      </w:r>
    </w:p>
    <w:p w14:paraId="534C3A10" w14:textId="77777777" w:rsidR="00B64F30" w:rsidRDefault="00B64F30" w:rsidP="00B64F30">
      <w:pPr>
        <w:spacing w:after="12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 xml:space="preserve">cobija a cualquier entidad pública independiente del régimen </w:t>
      </w:r>
      <w:r>
        <w:rPr>
          <w:rFonts w:ascii="Verdana" w:eastAsia="Times New Roman" w:hAnsi="Verdana" w:cs="Arial"/>
          <w:bCs/>
          <w:lang w:val="es-MX" w:eastAsia="x-none"/>
        </w:rPr>
        <w:lastRenderedPageBreak/>
        <w:t>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2E5C5D1E" w14:textId="77777777" w:rsidR="00B64F30" w:rsidRDefault="00B64F30" w:rsidP="00B64F30">
      <w:pPr>
        <w:pStyle w:val="paragraph"/>
        <w:shd w:val="clear" w:color="auto" w:fill="FFFFFF"/>
        <w:spacing w:before="0" w:beforeAutospacing="0" w:after="120" w:afterAutospacing="0" w:line="276" w:lineRule="auto"/>
        <w:jc w:val="both"/>
        <w:textAlignment w:val="baseline"/>
        <w:rPr>
          <w:rFonts w:ascii="Verdana" w:eastAsia="Calibri" w:hAnsi="Verdana" w:cs="Arial"/>
          <w:sz w:val="22"/>
          <w:szCs w:val="22"/>
          <w:lang w:val="es-ES"/>
        </w:rPr>
      </w:pPr>
      <w:proofErr w:type="spellStart"/>
      <w:r>
        <w:rPr>
          <w:rFonts w:ascii="Verdana" w:eastAsia="Calibri" w:hAnsi="Verdana" w:cs="Arial"/>
          <w:sz w:val="22"/>
          <w:szCs w:val="22"/>
          <w:lang w:val="es-ES"/>
        </w:rPr>
        <w:t>iv</w:t>
      </w:r>
      <w:proofErr w:type="spellEnd"/>
      <w:r>
        <w:rPr>
          <w:rFonts w:ascii="Verdana" w:eastAsia="Calibri" w:hAnsi="Verdana" w:cs="Arial"/>
          <w:sz w:val="22"/>
          <w:szCs w:val="22"/>
          <w:lang w:val="es-ES"/>
        </w:rPr>
        <w:t>. E</w:t>
      </w:r>
      <w:r w:rsidRPr="006C389A">
        <w:rPr>
          <w:rFonts w:ascii="Verdana" w:eastAsia="Calibri" w:hAnsi="Verdana" w:cs="Arial"/>
          <w:sz w:val="22"/>
          <w:szCs w:val="22"/>
          <w:lang w:val="es-ES"/>
        </w:rPr>
        <w:t xml:space="preserve">n relación con el procedimiento administrativo </w:t>
      </w:r>
      <w:r>
        <w:rPr>
          <w:rFonts w:ascii="Verdana" w:eastAsia="Calibri" w:hAnsi="Verdana" w:cs="Arial"/>
          <w:sz w:val="22"/>
          <w:szCs w:val="22"/>
          <w:lang w:val="es-ES"/>
        </w:rPr>
        <w:t xml:space="preserve">de </w:t>
      </w:r>
      <w:r w:rsidRPr="006C389A">
        <w:rPr>
          <w:rFonts w:ascii="Verdana" w:eastAsia="Calibri" w:hAnsi="Verdana" w:cs="Arial"/>
          <w:sz w:val="22"/>
          <w:szCs w:val="22"/>
          <w:lang w:val="es-ES"/>
        </w:rPr>
        <w:t xml:space="preserve">adquisición </w:t>
      </w:r>
      <w:r>
        <w:rPr>
          <w:rFonts w:ascii="Verdana" w:eastAsia="Calibri" w:hAnsi="Verdana" w:cs="Arial"/>
          <w:sz w:val="22"/>
          <w:szCs w:val="22"/>
          <w:lang w:val="es-ES"/>
        </w:rPr>
        <w:t>predial p</w:t>
      </w:r>
      <w:r w:rsidRPr="006C389A">
        <w:rPr>
          <w:rFonts w:ascii="Verdana" w:eastAsia="Calibri" w:hAnsi="Verdana" w:cs="Arial"/>
          <w:sz w:val="22"/>
          <w:szCs w:val="22"/>
          <w:lang w:val="es-ES"/>
        </w:rPr>
        <w:t>or motivos de utilidad pública e interés social mediante enajenación voluntaria, en los conceptos C-1512 y C-1529 de 2025 se concluyó que dicho procedimiento se encuentra excluido de la aplicación del EGCAP, en la medida en que está regulado por un régimen especial y exceptuado. No obstante, se precisó que este procedimiento puede culminar en la celebración de una promesa de compraventa o de un contrato de compraventa entre la entidad y el particular, lo cual implica que, en tales eventos, se está frente a un procedimiento de contratación estatal de naturaleza no competitiva, sujeto a la restricción prevista en el artículo 33 de la Ley 996 de 2005, conforme al alcance explicado</w:t>
      </w:r>
      <w:r>
        <w:rPr>
          <w:rFonts w:ascii="Verdana" w:eastAsia="Calibri" w:hAnsi="Verdana" w:cs="Arial"/>
          <w:sz w:val="22"/>
          <w:szCs w:val="22"/>
          <w:lang w:val="es-ES"/>
        </w:rPr>
        <w:t xml:space="preserve">. </w:t>
      </w:r>
      <w:r w:rsidRPr="006C389A">
        <w:rPr>
          <w:rFonts w:ascii="Verdana" w:eastAsia="Calibri" w:hAnsi="Verdana" w:cs="Arial"/>
          <w:sz w:val="22"/>
          <w:szCs w:val="22"/>
          <w:lang w:val="es-ES"/>
        </w:rPr>
        <w:t xml:space="preserve">En contraste, </w:t>
      </w:r>
      <w:r w:rsidRPr="006A3D18">
        <w:rPr>
          <w:rFonts w:ascii="Verdana" w:eastAsia="Calibri" w:hAnsi="Verdana" w:cs="Arial"/>
          <w:sz w:val="22"/>
          <w:szCs w:val="22"/>
          <w:lang w:val="es-ES"/>
        </w:rPr>
        <w:t>cuando la adquisición ocurra por el procedimiento expropiatorio no se materializa en la celebración de un contrato.</w:t>
      </w:r>
    </w:p>
    <w:p w14:paraId="286D118E" w14:textId="77777777" w:rsidR="00B64F30" w:rsidRDefault="00B64F30" w:rsidP="00B64F30">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6C389A">
        <w:rPr>
          <w:rFonts w:ascii="Verdana" w:eastAsia="Calibri" w:hAnsi="Verdana" w:cs="Arial"/>
          <w:sz w:val="22"/>
          <w:szCs w:val="22"/>
          <w:lang w:val="es-ES"/>
        </w:rPr>
        <w:t xml:space="preserve">Con fundamento en lo anterior, esta Subdirección </w:t>
      </w:r>
      <w:r>
        <w:rPr>
          <w:rFonts w:ascii="Verdana" w:eastAsia="Calibri" w:hAnsi="Verdana" w:cs="Arial"/>
          <w:sz w:val="22"/>
          <w:szCs w:val="22"/>
          <w:lang w:val="es-ES"/>
        </w:rPr>
        <w:t>en conceptos C-1799 y C-1501 de 2025 reiteró</w:t>
      </w:r>
      <w:r w:rsidRPr="006C389A">
        <w:rPr>
          <w:rFonts w:ascii="Verdana" w:eastAsia="Calibri" w:hAnsi="Verdana" w:cs="Arial"/>
          <w:sz w:val="22"/>
          <w:szCs w:val="22"/>
          <w:lang w:val="es-ES"/>
        </w:rPr>
        <w:t xml:space="preserve"> la posición sostenida en los conceptos mencionados, </w:t>
      </w:r>
      <w:r>
        <w:rPr>
          <w:rFonts w:ascii="Verdana" w:eastAsia="Calibri" w:hAnsi="Verdana" w:cs="Arial"/>
          <w:sz w:val="22"/>
          <w:szCs w:val="22"/>
          <w:lang w:val="es-ES"/>
        </w:rPr>
        <w:t xml:space="preserve">realizando a continuación </w:t>
      </w:r>
      <w:r w:rsidRPr="006C389A">
        <w:rPr>
          <w:rFonts w:ascii="Verdana" w:eastAsia="Calibri" w:hAnsi="Verdana" w:cs="Arial"/>
          <w:sz w:val="22"/>
          <w:szCs w:val="22"/>
          <w:lang w:val="es-ES"/>
        </w:rPr>
        <w:t>algunas precisiones sobre el alcance de su aplicación</w:t>
      </w:r>
      <w:r>
        <w:rPr>
          <w:rFonts w:ascii="Verdana" w:eastAsia="Calibri" w:hAnsi="Verdana" w:cs="Arial"/>
          <w:sz w:val="22"/>
          <w:szCs w:val="22"/>
          <w:lang w:val="es-ES"/>
        </w:rPr>
        <w:t xml:space="preserve">. </w:t>
      </w:r>
      <w:r w:rsidRPr="0013781B">
        <w:rPr>
          <w:rFonts w:ascii="Verdana" w:eastAsia="Calibri" w:hAnsi="Verdana" w:cs="Arial"/>
          <w:sz w:val="22"/>
          <w:szCs w:val="22"/>
          <w:lang w:val="es-ES"/>
        </w:rPr>
        <w:t xml:space="preserve">En primer </w:t>
      </w:r>
      <w:proofErr w:type="gramStart"/>
      <w:r w:rsidRPr="0013781B">
        <w:rPr>
          <w:rFonts w:ascii="Verdana" w:eastAsia="Calibri" w:hAnsi="Verdana" w:cs="Arial"/>
          <w:sz w:val="22"/>
          <w:szCs w:val="22"/>
          <w:lang w:val="es-ES"/>
        </w:rPr>
        <w:t>lugar</w:t>
      </w:r>
      <w:proofErr w:type="gramEnd"/>
      <w:r w:rsidRPr="0013781B">
        <w:rPr>
          <w:rFonts w:ascii="Verdana" w:eastAsia="Calibri" w:hAnsi="Verdana" w:cs="Arial"/>
          <w:sz w:val="22"/>
          <w:szCs w:val="22"/>
          <w:lang w:val="es-ES"/>
        </w:rPr>
        <w:t xml:space="preserve"> </w:t>
      </w:r>
      <w:r>
        <w:rPr>
          <w:rFonts w:ascii="Verdana" w:eastAsia="Calibri" w:hAnsi="Verdana" w:cs="Arial"/>
          <w:sz w:val="22"/>
          <w:szCs w:val="22"/>
          <w:lang w:val="es-ES"/>
        </w:rPr>
        <w:t xml:space="preserve">se reconoce que </w:t>
      </w:r>
      <w:r w:rsidRPr="0013781B">
        <w:rPr>
          <w:rFonts w:ascii="Verdana" w:eastAsia="Calibri" w:hAnsi="Verdana" w:cs="Arial"/>
          <w:sz w:val="22"/>
          <w:szCs w:val="22"/>
          <w:lang w:val="es-ES"/>
        </w:rPr>
        <w:t>el procedimiento 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por motivos de utilidad pública e interés social no constituye un procedimiento sometido al E</w:t>
      </w:r>
      <w:r>
        <w:rPr>
          <w:rFonts w:ascii="Verdana" w:eastAsia="Calibri" w:hAnsi="Verdana" w:cs="Arial"/>
          <w:sz w:val="22"/>
          <w:szCs w:val="22"/>
          <w:lang w:val="es-ES"/>
        </w:rPr>
        <w:t xml:space="preserve">GCAP, puesto que se </w:t>
      </w:r>
      <w:r w:rsidRPr="0013781B">
        <w:rPr>
          <w:rFonts w:ascii="Verdana" w:eastAsia="Calibri" w:hAnsi="Verdana" w:cs="Arial"/>
          <w:sz w:val="22"/>
          <w:szCs w:val="22"/>
          <w:lang w:val="es-ES"/>
        </w:rPr>
        <w:t>trata de un procedimiento especial, dotado de finalidad, etapas y reglas propias, cuya regulación se encuentra prevista de manera específica en</w:t>
      </w:r>
      <w:r w:rsidRPr="007B37F8">
        <w:rPr>
          <w:rFonts w:asciiTheme="minorHAnsi" w:eastAsiaTheme="minorHAnsi" w:hAnsiTheme="minorHAnsi" w:cstheme="minorBidi"/>
          <w:sz w:val="22"/>
          <w:szCs w:val="22"/>
          <w:lang w:eastAsia="en-US"/>
        </w:rPr>
        <w:t xml:space="preserve"> </w:t>
      </w:r>
      <w:r w:rsidRPr="007B37F8">
        <w:rPr>
          <w:rFonts w:ascii="Verdana" w:eastAsia="Calibri" w:hAnsi="Verdana" w:cs="Arial"/>
          <w:sz w:val="22"/>
          <w:szCs w:val="22"/>
        </w:rPr>
        <w:t>Leyes 9 de 1989, 388 de 1997 y 1682 de 2013</w:t>
      </w:r>
      <w:r w:rsidRPr="0013781B">
        <w:rPr>
          <w:rFonts w:ascii="Verdana" w:eastAsia="Calibri" w:hAnsi="Verdana" w:cs="Arial"/>
          <w:sz w:val="22"/>
          <w:szCs w:val="22"/>
          <w:lang w:val="es-ES"/>
        </w:rPr>
        <w:t>, lo que lo sustrae del régimen general de la contratación estatal.</w:t>
      </w:r>
      <w:r>
        <w:rPr>
          <w:rFonts w:ascii="Verdana" w:eastAsia="Calibri" w:hAnsi="Verdana" w:cs="Arial"/>
          <w:sz w:val="22"/>
          <w:szCs w:val="22"/>
          <w:lang w:val="es-ES"/>
        </w:rPr>
        <w:t xml:space="preserve"> </w:t>
      </w:r>
      <w:r w:rsidRPr="0013781B">
        <w:rPr>
          <w:rFonts w:ascii="Verdana" w:eastAsia="Calibri" w:hAnsi="Verdana" w:cs="Arial"/>
          <w:sz w:val="22"/>
          <w:szCs w:val="22"/>
          <w:lang w:val="es-ES"/>
        </w:rPr>
        <w:t>Esta caracterización ha sido reiterada en los conceptos previamente citados, en los cuales se concluyó que dicho procedimiento se rige por un</w:t>
      </w:r>
      <w:r>
        <w:rPr>
          <w:rFonts w:ascii="Verdana" w:eastAsia="Calibri" w:hAnsi="Verdana" w:cs="Arial"/>
          <w:sz w:val="22"/>
          <w:szCs w:val="22"/>
          <w:lang w:val="es-ES"/>
        </w:rPr>
        <w:t xml:space="preserve">as reglas especiales. </w:t>
      </w:r>
    </w:p>
    <w:p w14:paraId="7B473D43" w14:textId="77777777" w:rsidR="00B64F30" w:rsidRPr="00E47785" w:rsidRDefault="00B64F30" w:rsidP="00B64F30">
      <w:pPr>
        <w:spacing w:before="120" w:after="120" w:line="276" w:lineRule="auto"/>
        <w:ind w:firstLine="709"/>
        <w:jc w:val="both"/>
        <w:rPr>
          <w:rFonts w:ascii="Verdana" w:eastAsia="Times New Roman" w:hAnsi="Verdana" w:cs="Arial"/>
          <w:lang w:val="es-ES" w:eastAsia="es-ES_tradnl"/>
        </w:rPr>
      </w:pPr>
      <w:r>
        <w:rPr>
          <w:rFonts w:ascii="Verdana" w:eastAsia="Calibri" w:hAnsi="Verdana" w:cs="Arial"/>
          <w:lang w:val="es-ES"/>
        </w:rPr>
        <w:t xml:space="preserve">En efecto, </w:t>
      </w:r>
      <w:r>
        <w:rPr>
          <w:rFonts w:ascii="Verdana" w:eastAsia="Times New Roman" w:hAnsi="Verdana" w:cs="Arial"/>
          <w:lang w:val="es-ES" w:eastAsia="es-ES_tradnl"/>
        </w:rPr>
        <w:t xml:space="preserve">en los procesos de expropiación judicial o expropiación administrativa existe una etapa previa de negociación, en la cual la </w:t>
      </w:r>
      <w:r>
        <w:rPr>
          <w:rFonts w:ascii="Verdana" w:eastAsia="Times New Roman" w:hAnsi="Verdana" w:cs="Arial"/>
          <w:lang w:val="es-ES" w:eastAsia="es-ES_tradnl"/>
        </w:rPr>
        <w:lastRenderedPageBreak/>
        <w:t>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77063AE2" w14:textId="77777777" w:rsidR="00B64F30" w:rsidRDefault="00B64F30" w:rsidP="00B64F30">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611BBF">
        <w:rPr>
          <w:rFonts w:ascii="Verdana" w:eastAsia="Calibri" w:hAnsi="Verdana" w:cs="Arial"/>
          <w:sz w:val="22"/>
          <w:szCs w:val="22"/>
        </w:rPr>
        <w:t xml:space="preserve">Como consecuencia de lo anterior, debe precisarse que </w:t>
      </w:r>
      <w:r w:rsidRPr="00ED2EBA">
        <w:rPr>
          <w:rFonts w:ascii="Verdana" w:eastAsia="Calibri" w:hAnsi="Verdana" w:cs="Arial"/>
          <w:sz w:val="22"/>
          <w:szCs w:val="22"/>
        </w:rPr>
        <w:t xml:space="preserve">la restricción prevista en el artículo 33 de la Ley 996 de 2005 no resulta aplicable al </w:t>
      </w:r>
      <w:r w:rsidRPr="0013781B">
        <w:rPr>
          <w:rFonts w:ascii="Verdana" w:eastAsia="Calibri" w:hAnsi="Verdana" w:cs="Arial"/>
          <w:sz w:val="22"/>
          <w:szCs w:val="22"/>
          <w:lang w:val="es-ES"/>
        </w:rPr>
        <w:t>administrativo de adquisición</w:t>
      </w:r>
      <w:r>
        <w:rPr>
          <w:rFonts w:ascii="Verdana" w:eastAsia="Calibri" w:hAnsi="Verdana" w:cs="Arial"/>
          <w:sz w:val="22"/>
          <w:szCs w:val="22"/>
          <w:lang w:val="es-ES"/>
        </w:rPr>
        <w:t xml:space="preserve"> predial</w:t>
      </w:r>
      <w:r w:rsidRPr="0013781B">
        <w:rPr>
          <w:rFonts w:ascii="Verdana" w:eastAsia="Calibri" w:hAnsi="Verdana" w:cs="Arial"/>
          <w:sz w:val="22"/>
          <w:szCs w:val="22"/>
          <w:lang w:val="es-ES"/>
        </w:rPr>
        <w:t xml:space="preserve"> </w:t>
      </w:r>
      <w:r w:rsidRPr="00DF2532">
        <w:rPr>
          <w:rFonts w:ascii="Verdana" w:eastAsia="Calibri" w:hAnsi="Verdana" w:cs="Arial"/>
          <w:i/>
          <w:iCs/>
          <w:sz w:val="22"/>
          <w:szCs w:val="22"/>
        </w:rPr>
        <w:t>en sí mismo</w:t>
      </w:r>
      <w:r w:rsidRPr="00ED2EBA">
        <w:rPr>
          <w:rFonts w:ascii="Verdana" w:eastAsia="Calibri" w:hAnsi="Verdana" w:cs="Arial"/>
          <w:sz w:val="22"/>
          <w:szCs w:val="22"/>
        </w:rPr>
        <w:t>,</w:t>
      </w:r>
      <w:r>
        <w:rPr>
          <w:rFonts w:ascii="Verdana" w:eastAsia="Calibri" w:hAnsi="Verdana" w:cs="Arial"/>
          <w:sz w:val="22"/>
          <w:szCs w:val="22"/>
        </w:rPr>
        <w:t xml:space="preserve"> en su etapa preparatoria o preliminar,</w:t>
      </w:r>
      <w:r w:rsidRPr="00ED2EBA">
        <w:rPr>
          <w:rFonts w:ascii="Verdana" w:eastAsia="Calibri" w:hAnsi="Verdana" w:cs="Arial"/>
          <w:sz w:val="22"/>
          <w:szCs w:val="22"/>
        </w:rPr>
        <w:t xml:space="preserve"> en la medida en que dicho artículo se refiere a</w:t>
      </w:r>
      <w:r>
        <w:rPr>
          <w:rFonts w:ascii="Verdana" w:eastAsia="Calibri" w:hAnsi="Verdana" w:cs="Arial"/>
          <w:sz w:val="22"/>
          <w:szCs w:val="22"/>
        </w:rPr>
        <w:t xml:space="preserve"> la </w:t>
      </w:r>
      <w:r w:rsidRPr="0087731C">
        <w:rPr>
          <w:rFonts w:ascii="Verdana" w:eastAsia="Calibri" w:hAnsi="Verdana" w:cs="Arial"/>
          <w:bCs/>
          <w:sz w:val="22"/>
          <w:szCs w:val="22"/>
          <w:lang w:val="es-MX"/>
        </w:rPr>
        <w:t>celebra</w:t>
      </w:r>
      <w:r>
        <w:rPr>
          <w:rFonts w:ascii="Verdana" w:eastAsia="Calibri" w:hAnsi="Verdana" w:cs="Arial"/>
          <w:bCs/>
          <w:sz w:val="22"/>
          <w:szCs w:val="22"/>
          <w:lang w:val="es-MX"/>
        </w:rPr>
        <w:t xml:space="preserve">ción de </w:t>
      </w:r>
      <w:r w:rsidRPr="0087731C">
        <w:rPr>
          <w:rFonts w:ascii="Verdana" w:eastAsia="Calibri" w:hAnsi="Verdana" w:cs="Arial"/>
          <w:bCs/>
          <w:sz w:val="22"/>
          <w:szCs w:val="22"/>
          <w:lang w:val="es-MX"/>
        </w:rPr>
        <w:t>contrato</w:t>
      </w:r>
      <w:r>
        <w:rPr>
          <w:rFonts w:ascii="Verdana" w:eastAsia="Calibri" w:hAnsi="Verdana" w:cs="Arial"/>
          <w:bCs/>
          <w:sz w:val="22"/>
          <w:szCs w:val="22"/>
          <w:lang w:val="es-MX"/>
        </w:rPr>
        <w:t>s</w:t>
      </w:r>
      <w:r w:rsidRPr="0087731C">
        <w:rPr>
          <w:rFonts w:ascii="Verdana" w:eastAsia="Calibri" w:hAnsi="Verdana" w:cs="Arial"/>
          <w:bCs/>
          <w:sz w:val="22"/>
          <w:szCs w:val="22"/>
          <w:lang w:val="es-MX"/>
        </w:rPr>
        <w:t xml:space="preserve"> de forma directa, </w:t>
      </w:r>
      <w:r w:rsidRPr="00ED2EBA">
        <w:rPr>
          <w:rFonts w:ascii="Verdana" w:eastAsia="Calibri" w:hAnsi="Verdana" w:cs="Arial"/>
          <w:sz w:val="22"/>
          <w:szCs w:val="22"/>
        </w:rPr>
        <w:t>y</w:t>
      </w:r>
      <w:r w:rsidRPr="00611BBF">
        <w:rPr>
          <w:rFonts w:ascii="Verdana" w:eastAsia="Calibri" w:hAnsi="Verdana" w:cs="Arial"/>
          <w:sz w:val="22"/>
          <w:szCs w:val="22"/>
        </w:rPr>
        <w:t xml:space="preserve"> no a</w:t>
      </w:r>
      <w:r>
        <w:rPr>
          <w:rFonts w:ascii="Verdana" w:eastAsia="Calibri" w:hAnsi="Verdana" w:cs="Arial"/>
          <w:sz w:val="22"/>
          <w:szCs w:val="22"/>
        </w:rPr>
        <w:t xml:space="preserve"> las</w:t>
      </w:r>
      <w:r w:rsidRPr="00611BBF">
        <w:rPr>
          <w:rFonts w:ascii="Verdana" w:eastAsia="Calibri" w:hAnsi="Verdana" w:cs="Arial"/>
          <w:sz w:val="22"/>
          <w:szCs w:val="22"/>
        </w:rPr>
        <w:t xml:space="preserve"> actuaciones administrativas</w:t>
      </w:r>
      <w:r>
        <w:rPr>
          <w:rFonts w:ascii="Verdana" w:eastAsia="Calibri" w:hAnsi="Verdana" w:cs="Arial"/>
          <w:sz w:val="22"/>
          <w:szCs w:val="22"/>
        </w:rPr>
        <w:t xml:space="preserve"> que se puedan generar previamente. </w:t>
      </w:r>
    </w:p>
    <w:p w14:paraId="450DE092" w14:textId="77777777" w:rsidR="00B64F30" w:rsidRDefault="00B64F30" w:rsidP="00B64F30">
      <w:pPr>
        <w:spacing w:after="120" w:line="276" w:lineRule="auto"/>
        <w:ind w:firstLine="709"/>
        <w:jc w:val="both"/>
        <w:rPr>
          <w:rFonts w:ascii="Verdana" w:hAnsi="Verdana" w:cs="Arial"/>
          <w:bCs/>
          <w:lang w:eastAsia="es-CO"/>
        </w:rPr>
      </w:pPr>
      <w:r>
        <w:rPr>
          <w:rFonts w:ascii="Verdana" w:eastAsia="Times New Roman" w:hAnsi="Verdana" w:cs="Arial"/>
          <w:lang w:val="es-ES"/>
        </w:rPr>
        <w:t xml:space="preserve">Respecto de la celebración de otros instrumentos jurídicos distintos de contratos directos que impliquen la expedición de actos administrativos y otras actuaciones administrativas, es importante señalar que en estos casos </w:t>
      </w:r>
      <w:r>
        <w:rPr>
          <w:rFonts w:ascii="Verdana" w:hAnsi="Verdana" w:cs="Arial"/>
          <w:bCs/>
          <w:lang w:val="es-ES_tradnl" w:eastAsia="es-CO"/>
        </w:rPr>
        <w:t xml:space="preserve">no le resulta aplicable las restricciones previstas en el artículo 33 de la Ley 996 de 2005, porque lo que este precepto prohíbe es </w:t>
      </w:r>
      <w:r>
        <w:rPr>
          <w:rFonts w:ascii="Verdana" w:hAnsi="Verdana" w:cs="Arial"/>
          <w:bCs/>
          <w:lang w:val="es-MX" w:eastAsia="x-none"/>
        </w:rPr>
        <w:t>celebrar cualquier contrato de forma directa</w:t>
      </w:r>
      <w:r>
        <w:rPr>
          <w:rFonts w:ascii="Verdana" w:hAnsi="Verdana" w:cs="Arial"/>
          <w:bCs/>
          <w:lang w:val="es-ES_tradnl" w:eastAsia="es-CO"/>
        </w:rPr>
        <w:t xml:space="preserve">. En este sentido, </w:t>
      </w:r>
      <w:r>
        <w:rPr>
          <w:rFonts w:ascii="Verdana" w:eastAsia="Times New Roman" w:hAnsi="Verdana" w:cs="Arial"/>
          <w:lang w:val="es-ES"/>
        </w:rPr>
        <w:t xml:space="preserve">la celebración de contratos de forma directa </w:t>
      </w:r>
      <w:r>
        <w:rPr>
          <w:rFonts w:ascii="Verdana" w:hAnsi="Verdana" w:cs="Arial"/>
          <w:bCs/>
          <w:lang w:val="es-ES_tradnl" w:eastAsia="es-CO"/>
        </w:rPr>
        <w:t xml:space="preserve">son </w:t>
      </w:r>
      <w:r>
        <w:rPr>
          <w:rFonts w:ascii="Verdana" w:hAnsi="Verdana" w:cs="Arial"/>
          <w:bCs/>
          <w:i/>
          <w:iCs/>
          <w:lang w:val="es-ES_tradnl" w:eastAsia="es-CO"/>
        </w:rPr>
        <w:t>acuerdos de voluntades</w:t>
      </w:r>
      <w:r>
        <w:rPr>
          <w:rFonts w:ascii="Verdana" w:hAnsi="Verdana" w:cs="Arial"/>
          <w:bCs/>
          <w:lang w:val="es-ES_tradnl" w:eastAsia="es-CO"/>
        </w:rPr>
        <w:t xml:space="preserve">, o sea un acto jurídico </w:t>
      </w:r>
      <w:r>
        <w:rPr>
          <w:rFonts w:ascii="Verdana" w:hAnsi="Verdana" w:cs="Arial"/>
          <w:bCs/>
          <w:i/>
          <w:iCs/>
          <w:lang w:val="es-ES_tradnl" w:eastAsia="es-CO"/>
        </w:rPr>
        <w:t>bilateral</w:t>
      </w:r>
      <w:r>
        <w:rPr>
          <w:rFonts w:ascii="Verdana" w:hAnsi="Verdana" w:cs="Arial"/>
          <w:bCs/>
          <w:lang w:val="es-ES_tradnl" w:eastAsia="es-CO"/>
        </w:rPr>
        <w:t xml:space="preserve"> o que participa de la forma contractual, de conformidad con el artículo 1495 del Código Civil. En cambio, </w:t>
      </w:r>
      <w:r w:rsidRPr="00F12276">
        <w:rPr>
          <w:rFonts w:ascii="Verdana" w:hAnsi="Verdana" w:cs="Arial"/>
          <w:bCs/>
          <w:lang w:eastAsia="es-CO"/>
        </w:rPr>
        <w:t>los actos administrativos son declaraciones unilaterales de voluntad encaminadas a la producción de efectos jurídicos vinculantes</w:t>
      </w:r>
      <w:r w:rsidRPr="00F12276">
        <w:rPr>
          <w:rFonts w:ascii="Verdana" w:hAnsi="Verdana" w:cs="Arial"/>
          <w:bCs/>
          <w:vertAlign w:val="superscript"/>
          <w:lang w:eastAsia="es-CO"/>
        </w:rPr>
        <w:footnoteReference w:id="21"/>
      </w:r>
      <w:r>
        <w:rPr>
          <w:rFonts w:ascii="Verdana" w:hAnsi="Verdana" w:cs="Arial"/>
          <w:bCs/>
          <w:lang w:eastAsia="es-CO"/>
        </w:rPr>
        <w:t xml:space="preserve">. En tal sentido, </w:t>
      </w:r>
      <w:r>
        <w:rPr>
          <w:rFonts w:ascii="Verdana" w:hAnsi="Verdana" w:cs="Arial"/>
          <w:bCs/>
          <w:lang w:val="es-ES_tradnl" w:eastAsia="es-CO"/>
        </w:rPr>
        <w:t xml:space="preserve">si el artículo 33 </w:t>
      </w:r>
      <w:r w:rsidRPr="00A72ADC">
        <w:rPr>
          <w:rFonts w:ascii="Verdana" w:hAnsi="Verdana" w:cs="Arial"/>
          <w:bCs/>
          <w:i/>
          <w:iCs/>
          <w:lang w:val="es-ES_tradnl" w:eastAsia="es-CO"/>
        </w:rPr>
        <w:t>ibidem</w:t>
      </w:r>
      <w:r>
        <w:rPr>
          <w:rFonts w:ascii="Verdana" w:hAnsi="Verdana" w:cs="Arial"/>
          <w:bCs/>
          <w:lang w:val="es-ES_tradnl" w:eastAsia="es-CO"/>
        </w:rPr>
        <w:t xml:space="preserve"> prohibió la celebración directa de contratos, no puede </w:t>
      </w:r>
      <w:r>
        <w:rPr>
          <w:rFonts w:ascii="Verdana" w:hAnsi="Verdana" w:cs="Arial"/>
          <w:bCs/>
          <w:lang w:val="es-ES_tradnl" w:eastAsia="es-CO"/>
        </w:rPr>
        <w:lastRenderedPageBreak/>
        <w:t xml:space="preserve">entenderse </w:t>
      </w:r>
      <w:r w:rsidRPr="00A72ADC">
        <w:rPr>
          <w:rFonts w:ascii="Verdana" w:hAnsi="Verdana" w:cs="Arial"/>
          <w:bCs/>
          <w:lang w:val="es-ES_tradnl" w:eastAsia="es-CO"/>
        </w:rPr>
        <w:t>también</w:t>
      </w:r>
      <w:r>
        <w:rPr>
          <w:rFonts w:ascii="Verdana" w:hAnsi="Verdana" w:cs="Arial"/>
          <w:bCs/>
          <w:lang w:val="es-ES_tradnl" w:eastAsia="es-CO"/>
        </w:rPr>
        <w:t xml:space="preserve"> prohibida la expedición de actos administrativos u otros instrumentos jurídicos, porque se estaría incluyendo una circunstancia que el supuesto de hecho de la restricción no contempla. </w:t>
      </w:r>
    </w:p>
    <w:p w14:paraId="406D0D3E" w14:textId="77777777" w:rsidR="00B64F30" w:rsidRDefault="00B64F30" w:rsidP="00B64F30">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B61452">
        <w:rPr>
          <w:rFonts w:ascii="Verdana" w:eastAsia="Calibri" w:hAnsi="Verdana" w:cs="Arial"/>
          <w:sz w:val="22"/>
          <w:szCs w:val="22"/>
        </w:rPr>
        <w:t xml:space="preserve">En ese sentido, </w:t>
      </w:r>
      <w:r w:rsidRPr="009C69E1">
        <w:rPr>
          <w:rFonts w:ascii="Verdana" w:eastAsia="Calibri" w:hAnsi="Verdana" w:cs="Arial"/>
          <w:sz w:val="22"/>
          <w:szCs w:val="22"/>
        </w:rPr>
        <w:t xml:space="preserve">todos los trámites preparatorios y actuaciones administrativas </w:t>
      </w:r>
      <w:r>
        <w:rPr>
          <w:rFonts w:ascii="Verdana" w:eastAsia="Calibri" w:hAnsi="Verdana" w:cs="Arial"/>
          <w:sz w:val="22"/>
          <w:szCs w:val="22"/>
        </w:rPr>
        <w:t xml:space="preserve">de gestión predial </w:t>
      </w:r>
      <w:r w:rsidRPr="00B61452">
        <w:rPr>
          <w:rFonts w:ascii="Verdana" w:eastAsia="Calibri" w:hAnsi="Verdana" w:cs="Arial"/>
          <w:sz w:val="22"/>
          <w:szCs w:val="22"/>
        </w:rPr>
        <w:t>que se surtan dentro de este procedimiento especial</w:t>
      </w:r>
      <w:r>
        <w:rPr>
          <w:rFonts w:ascii="Verdana" w:eastAsia="Calibri" w:hAnsi="Verdana" w:cs="Arial"/>
          <w:sz w:val="22"/>
          <w:szCs w:val="22"/>
        </w:rPr>
        <w:t xml:space="preserve">, </w:t>
      </w:r>
      <w:r w:rsidRPr="00B61452">
        <w:rPr>
          <w:rFonts w:ascii="Verdana" w:eastAsia="Calibri" w:hAnsi="Verdana" w:cs="Arial"/>
          <w:sz w:val="22"/>
          <w:szCs w:val="22"/>
        </w:rPr>
        <w:t xml:space="preserve">tales como los avalúos, las ofertas de compra, las negociaciones preliminares y demás actuaciones que no impliquen la celebración de </w:t>
      </w:r>
      <w:r w:rsidRPr="0044553E">
        <w:rPr>
          <w:rFonts w:ascii="Verdana" w:eastAsia="Calibri" w:hAnsi="Verdana" w:cs="Arial"/>
          <w:sz w:val="22"/>
          <w:szCs w:val="22"/>
        </w:rPr>
        <w:t>u</w:t>
      </w:r>
      <w:r>
        <w:rPr>
          <w:rFonts w:ascii="Verdana" w:eastAsia="Calibri" w:hAnsi="Verdana" w:cs="Arial"/>
          <w:sz w:val="22"/>
          <w:szCs w:val="22"/>
        </w:rPr>
        <w:t>na promesa de compraventa o contrato compraventa o cualquier otro contrato,</w:t>
      </w:r>
      <w:r w:rsidRPr="0044553E">
        <w:rPr>
          <w:rFonts w:ascii="Verdana" w:eastAsia="Calibri" w:hAnsi="Verdana" w:cs="Arial"/>
          <w:sz w:val="22"/>
          <w:szCs w:val="22"/>
        </w:rPr>
        <w:t xml:space="preserve"> pueden adelantarse válidamente, incluso durante el período de restricción previsto en la </w:t>
      </w:r>
      <w:r>
        <w:rPr>
          <w:rFonts w:ascii="Verdana" w:eastAsia="Calibri" w:hAnsi="Verdana" w:cs="Arial"/>
          <w:sz w:val="22"/>
          <w:szCs w:val="22"/>
        </w:rPr>
        <w:t>L</w:t>
      </w:r>
      <w:r w:rsidRPr="0044553E">
        <w:rPr>
          <w:rFonts w:ascii="Verdana" w:eastAsia="Calibri" w:hAnsi="Verdana" w:cs="Arial"/>
          <w:sz w:val="22"/>
          <w:szCs w:val="22"/>
        </w:rPr>
        <w:t xml:space="preserve">ey de </w:t>
      </w:r>
      <w:r>
        <w:rPr>
          <w:rFonts w:ascii="Verdana" w:eastAsia="Calibri" w:hAnsi="Verdana" w:cs="Arial"/>
          <w:sz w:val="22"/>
          <w:szCs w:val="22"/>
        </w:rPr>
        <w:t>G</w:t>
      </w:r>
      <w:r w:rsidRPr="0044553E">
        <w:rPr>
          <w:rFonts w:ascii="Verdana" w:eastAsia="Calibri" w:hAnsi="Verdana" w:cs="Arial"/>
          <w:sz w:val="22"/>
          <w:szCs w:val="22"/>
        </w:rPr>
        <w:t>arantías</w:t>
      </w:r>
      <w:r>
        <w:rPr>
          <w:rFonts w:ascii="Verdana" w:eastAsia="Calibri" w:hAnsi="Verdana" w:cs="Arial"/>
          <w:sz w:val="22"/>
          <w:szCs w:val="22"/>
        </w:rPr>
        <w:t xml:space="preserve"> Electorales</w:t>
      </w:r>
      <w:r w:rsidRPr="0044553E">
        <w:rPr>
          <w:rFonts w:ascii="Verdana" w:eastAsia="Calibri" w:hAnsi="Verdana" w:cs="Arial"/>
          <w:sz w:val="22"/>
          <w:szCs w:val="22"/>
        </w:rPr>
        <w:t>, por cuanto no configuran</w:t>
      </w:r>
      <w:r>
        <w:rPr>
          <w:rFonts w:ascii="Verdana" w:eastAsia="Calibri" w:hAnsi="Verdana" w:cs="Arial"/>
          <w:sz w:val="22"/>
          <w:szCs w:val="22"/>
        </w:rPr>
        <w:t xml:space="preserve"> los</w:t>
      </w:r>
      <w:r w:rsidRPr="0044553E">
        <w:rPr>
          <w:rFonts w:ascii="Verdana" w:eastAsia="Calibri" w:hAnsi="Verdana" w:cs="Arial"/>
          <w:sz w:val="22"/>
          <w:szCs w:val="22"/>
        </w:rPr>
        <w:t xml:space="preserve"> supuestos de contratación </w:t>
      </w:r>
      <w:r>
        <w:rPr>
          <w:rFonts w:ascii="Verdana" w:eastAsia="Calibri" w:hAnsi="Verdana" w:cs="Arial"/>
          <w:sz w:val="22"/>
          <w:szCs w:val="22"/>
        </w:rPr>
        <w:t>directa al que se refiere el artículo en comento</w:t>
      </w:r>
      <w:r w:rsidRPr="0044553E">
        <w:rPr>
          <w:rFonts w:ascii="Verdana" w:eastAsia="Calibri" w:hAnsi="Verdana" w:cs="Arial"/>
          <w:sz w:val="22"/>
          <w:szCs w:val="22"/>
        </w:rPr>
        <w:t>.</w:t>
      </w:r>
    </w:p>
    <w:p w14:paraId="32A1D2F3" w14:textId="77777777" w:rsidR="00B64F30" w:rsidRPr="00323979" w:rsidRDefault="00B64F30" w:rsidP="00B64F30">
      <w:pPr>
        <w:spacing w:before="120" w:line="276" w:lineRule="auto"/>
        <w:ind w:firstLine="709"/>
        <w:jc w:val="both"/>
        <w:rPr>
          <w:rFonts w:ascii="Verdana" w:hAnsi="Verdana" w:cs="Arial"/>
          <w:bCs/>
          <w:lang w:eastAsia="es-CO"/>
        </w:rPr>
      </w:pPr>
      <w:r>
        <w:rPr>
          <w:rFonts w:ascii="Verdana" w:eastAsia="Times New Roman" w:hAnsi="Verdana" w:cs="Arial"/>
        </w:rPr>
        <w:t>E</w:t>
      </w:r>
      <w:r w:rsidRPr="00FB77DC">
        <w:rPr>
          <w:rFonts w:ascii="Verdana" w:eastAsia="Times New Roman" w:hAnsi="Verdana" w:cs="Arial"/>
        </w:rPr>
        <w:t xml:space="preserve">n ese orden de ideas, corresponde a la entidad verificar la naturaleza jurídica de las actuaciones </w:t>
      </w:r>
      <w:r>
        <w:rPr>
          <w:rFonts w:ascii="Verdana" w:eastAsia="Times New Roman" w:hAnsi="Verdana" w:cs="Arial"/>
        </w:rPr>
        <w:t xml:space="preserve">preliminares </w:t>
      </w:r>
      <w:r w:rsidRPr="00FB77DC">
        <w:rPr>
          <w:rFonts w:ascii="Verdana" w:eastAsia="Times New Roman" w:hAnsi="Verdana" w:cs="Arial"/>
        </w:rPr>
        <w:t xml:space="preserve">de gestión predial que se adelantarán en el marco </w:t>
      </w:r>
      <w:r>
        <w:rPr>
          <w:rFonts w:ascii="Verdana" w:eastAsia="Times New Roman" w:hAnsi="Verdana" w:cs="Arial"/>
        </w:rPr>
        <w:t>del</w:t>
      </w:r>
      <w:r w:rsidRPr="00FB77DC">
        <w:rPr>
          <w:rFonts w:ascii="Verdana" w:eastAsia="Times New Roman" w:hAnsi="Verdana" w:cs="Arial"/>
        </w:rPr>
        <w:t xml:space="preserve"> procedimiento administrativo</w:t>
      </w:r>
      <w:r>
        <w:rPr>
          <w:rFonts w:ascii="Verdana" w:eastAsia="Times New Roman" w:hAnsi="Verdana" w:cs="Arial"/>
        </w:rPr>
        <w:t xml:space="preserve"> referido</w:t>
      </w:r>
      <w:r w:rsidRPr="00FB77DC">
        <w:rPr>
          <w:rFonts w:ascii="Verdana" w:eastAsia="Times New Roman" w:hAnsi="Verdana" w:cs="Arial"/>
        </w:rPr>
        <w:t>, precis</w:t>
      </w:r>
      <w:r>
        <w:rPr>
          <w:rFonts w:ascii="Verdana" w:eastAsia="Times New Roman" w:hAnsi="Verdana" w:cs="Arial"/>
        </w:rPr>
        <w:t>ando</w:t>
      </w:r>
      <w:r w:rsidRPr="00FB77DC">
        <w:rPr>
          <w:rFonts w:ascii="Verdana" w:eastAsia="Times New Roman" w:hAnsi="Verdana" w:cs="Arial"/>
        </w:rPr>
        <w:t xml:space="preserve"> que dichas actuaciones no implican, por sí mismas, la celebración directa de un contrato estatal</w:t>
      </w:r>
      <w:r w:rsidRPr="00724D86">
        <w:rPr>
          <w:rFonts w:ascii="Verdana" w:eastAsia="Times New Roman" w:hAnsi="Verdana" w:cs="Arial"/>
          <w:lang w:val="es-ES"/>
        </w:rPr>
        <w:t>. Esta diferenciación resulta esencial, en la medida en que la prohibici</w:t>
      </w:r>
      <w:r>
        <w:rPr>
          <w:rFonts w:ascii="Verdana" w:eastAsia="Times New Roman" w:hAnsi="Verdana" w:cs="Arial"/>
          <w:lang w:val="es-ES"/>
        </w:rPr>
        <w:t>ón</w:t>
      </w:r>
      <w:r w:rsidRPr="00724D86">
        <w:rPr>
          <w:rFonts w:ascii="Verdana" w:eastAsia="Times New Roman" w:hAnsi="Verdana" w:cs="Arial"/>
          <w:lang w:val="es-ES"/>
        </w:rPr>
        <w:t xml:space="preserve"> prevista en el artículo 33 de la Ley 996 de 2005 se</w:t>
      </w:r>
      <w:r w:rsidRPr="00BC1926">
        <w:rPr>
          <w:rFonts w:ascii="Verdana" w:eastAsia="Times New Roman" w:hAnsi="Verdana" w:cs="Arial"/>
          <w:lang w:val="es-ES"/>
        </w:rPr>
        <w:t xml:space="preserve"> </w:t>
      </w:r>
      <w:r>
        <w:rPr>
          <w:rFonts w:ascii="Verdana" w:eastAsia="Times New Roman" w:hAnsi="Verdana" w:cs="Arial"/>
          <w:lang w:val="es-ES"/>
        </w:rPr>
        <w:t xml:space="preserve">configura </w:t>
      </w:r>
      <w:r w:rsidRPr="001C7B22">
        <w:rPr>
          <w:rFonts w:ascii="Verdana" w:eastAsia="Times New Roman" w:hAnsi="Verdana" w:cs="Arial"/>
          <w:lang w:val="es-ES"/>
        </w:rPr>
        <w:t xml:space="preserve">cuando </w:t>
      </w:r>
      <w:r>
        <w:rPr>
          <w:rFonts w:ascii="Verdana" w:eastAsia="Times New Roman" w:hAnsi="Verdana" w:cs="Arial"/>
          <w:lang w:val="es-ES"/>
        </w:rPr>
        <w:t>se refiera a la celebración de un</w:t>
      </w:r>
      <w:r w:rsidRPr="001C7B22">
        <w:rPr>
          <w:rFonts w:ascii="Verdana" w:eastAsia="Times New Roman" w:hAnsi="Verdana" w:cs="Arial"/>
          <w:lang w:val="es-ES"/>
        </w:rPr>
        <w:t xml:space="preserve"> contrato en sentido estricto</w:t>
      </w:r>
      <w:r w:rsidRPr="00724D86">
        <w:rPr>
          <w:rFonts w:ascii="Verdana" w:eastAsia="Times New Roman" w:hAnsi="Verdana" w:cs="Arial"/>
          <w:lang w:val="es-ES"/>
        </w:rPr>
        <w:t>, mas no frente a actuaciones administrativas, que no genera</w:t>
      </w:r>
      <w:r>
        <w:rPr>
          <w:rFonts w:ascii="Verdana" w:eastAsia="Times New Roman" w:hAnsi="Verdana" w:cs="Arial"/>
          <w:lang w:val="es-ES"/>
        </w:rPr>
        <w:t>n propiamente u</w:t>
      </w:r>
      <w:r w:rsidRPr="00724D86">
        <w:rPr>
          <w:rFonts w:ascii="Verdana" w:eastAsia="Times New Roman" w:hAnsi="Verdana" w:cs="Arial"/>
          <w:lang w:val="es-ES"/>
        </w:rPr>
        <w:t xml:space="preserve">na relación contractual entre la entidad </w:t>
      </w:r>
      <w:r>
        <w:rPr>
          <w:rFonts w:ascii="Verdana" w:eastAsia="Times New Roman" w:hAnsi="Verdana" w:cs="Arial"/>
          <w:lang w:val="es-ES"/>
        </w:rPr>
        <w:t xml:space="preserve">y el particular. </w:t>
      </w:r>
    </w:p>
    <w:p w14:paraId="05267C70" w14:textId="77777777" w:rsidR="00B64F30" w:rsidRPr="0044553E" w:rsidRDefault="00B64F30" w:rsidP="00B64F30">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lang w:val="es-ES"/>
        </w:rPr>
      </w:pPr>
      <w:r w:rsidRPr="0044553E">
        <w:rPr>
          <w:rFonts w:ascii="Verdana" w:eastAsia="Calibri" w:hAnsi="Verdana" w:cs="Arial"/>
          <w:sz w:val="22"/>
          <w:szCs w:val="22"/>
        </w:rPr>
        <w:t xml:space="preserve">En segundo lugar, respecto de la afirmación según la cual cuando el procedimiento administrativo de adquisición </w:t>
      </w:r>
      <w:r>
        <w:rPr>
          <w:rFonts w:ascii="Verdana" w:eastAsia="Calibri" w:hAnsi="Verdana" w:cs="Arial"/>
          <w:sz w:val="22"/>
          <w:szCs w:val="22"/>
        </w:rPr>
        <w:t xml:space="preserve">predial </w:t>
      </w:r>
      <w:r w:rsidRPr="0044553E">
        <w:rPr>
          <w:rFonts w:ascii="Verdana" w:eastAsia="Calibri" w:hAnsi="Verdana" w:cs="Arial"/>
          <w:sz w:val="22"/>
          <w:szCs w:val="22"/>
        </w:rPr>
        <w:t>culmina en la celebración de una promesa de compraventa o de un contrato de compraventa sí resulta aplicable la restricción del artículo 33 de la Ley 996 de 2005, se reitera la postura previamente sostenida</w:t>
      </w:r>
      <w:r>
        <w:rPr>
          <w:rFonts w:ascii="Verdana" w:eastAsia="Calibri" w:hAnsi="Verdana" w:cs="Arial"/>
          <w:sz w:val="22"/>
          <w:szCs w:val="22"/>
        </w:rPr>
        <w:t xml:space="preserve"> en los conceptos C-1512 y C-1529 </w:t>
      </w:r>
      <w:r w:rsidRPr="0044553E">
        <w:rPr>
          <w:rFonts w:ascii="Verdana" w:eastAsia="Calibri" w:hAnsi="Verdana" w:cs="Arial"/>
          <w:sz w:val="22"/>
          <w:szCs w:val="22"/>
        </w:rPr>
        <w:t>en la medida en que dichos negocios jurídicos implican la celebración de un contrato estatal</w:t>
      </w:r>
      <w:r>
        <w:rPr>
          <w:rFonts w:ascii="Verdana" w:eastAsia="Calibri" w:hAnsi="Verdana" w:cs="Arial"/>
          <w:sz w:val="22"/>
          <w:szCs w:val="22"/>
        </w:rPr>
        <w:t xml:space="preserve"> de forma directa</w:t>
      </w:r>
      <w:r w:rsidRPr="0044553E">
        <w:rPr>
          <w:rFonts w:ascii="Verdana" w:eastAsia="Calibri" w:hAnsi="Verdana" w:cs="Arial"/>
          <w:sz w:val="22"/>
          <w:szCs w:val="22"/>
        </w:rPr>
        <w:t>.</w:t>
      </w:r>
    </w:p>
    <w:p w14:paraId="30808518" w14:textId="77777777" w:rsidR="00B64F30" w:rsidRPr="00A00771" w:rsidRDefault="00B64F30" w:rsidP="00B64F30">
      <w:pPr>
        <w:tabs>
          <w:tab w:val="left" w:pos="709"/>
        </w:tabs>
        <w:spacing w:before="120" w:after="120" w:line="276" w:lineRule="auto"/>
        <w:ind w:firstLine="709"/>
        <w:jc w:val="both"/>
        <w:rPr>
          <w:rFonts w:ascii="Verdana" w:eastAsia="Times New Roman" w:hAnsi="Verdana" w:cs="Arial"/>
          <w:lang w:val="es-ES" w:eastAsia="es-ES_tradnl"/>
        </w:rPr>
      </w:pPr>
      <w:r w:rsidRPr="00A00771">
        <w:rPr>
          <w:rFonts w:ascii="Verdana" w:eastAsia="Calibri" w:hAnsi="Verdana" w:cs="Arial"/>
          <w:lang w:eastAsia="es-CO"/>
        </w:rPr>
        <w:t>En efecto,</w:t>
      </w:r>
      <w:r>
        <w:rPr>
          <w:rFonts w:ascii="Verdana" w:eastAsia="Calibri" w:hAnsi="Verdana" w:cs="Arial"/>
          <w:lang w:eastAsia="es-CO"/>
        </w:rPr>
        <w:t xml:space="preserve"> en</w:t>
      </w:r>
      <w:r w:rsidRPr="00A00771">
        <w:rPr>
          <w:rFonts w:ascii="Verdana" w:eastAsia="Calibri" w:hAnsi="Verdana" w:cs="Arial"/>
          <w:lang w:eastAsia="es-CO"/>
        </w:rPr>
        <w:t xml:space="preserve"> la promesa de compraventa </w:t>
      </w:r>
      <w:r>
        <w:rPr>
          <w:rFonts w:ascii="Verdana" w:eastAsia="Calibri" w:hAnsi="Verdana" w:cs="Arial"/>
        </w:rPr>
        <w:t>y</w:t>
      </w:r>
      <w:r w:rsidRPr="00A00771">
        <w:rPr>
          <w:rFonts w:ascii="Verdana" w:eastAsia="Calibri" w:hAnsi="Verdana" w:cs="Arial"/>
          <w:lang w:eastAsia="es-CO"/>
        </w:rPr>
        <w:t xml:space="preserve"> </w:t>
      </w:r>
      <w:r>
        <w:rPr>
          <w:rFonts w:ascii="Verdana" w:eastAsia="Calibri" w:hAnsi="Verdana" w:cs="Arial"/>
          <w:lang w:eastAsia="es-CO"/>
        </w:rPr>
        <w:t xml:space="preserve">en </w:t>
      </w:r>
      <w:r w:rsidRPr="00A00771">
        <w:rPr>
          <w:rFonts w:ascii="Verdana" w:eastAsia="Calibri" w:hAnsi="Verdana" w:cs="Arial"/>
          <w:lang w:eastAsia="es-CO"/>
        </w:rPr>
        <w:t xml:space="preserve">el contrato de compraventa </w:t>
      </w:r>
      <w:r>
        <w:rPr>
          <w:rFonts w:ascii="Verdana" w:eastAsia="Times New Roman" w:hAnsi="Verdana" w:cs="Arial"/>
          <w:lang w:val="es-ES" w:eastAsia="es-ES_tradnl"/>
        </w:rPr>
        <w:t xml:space="preserve">participan entidades estatales y se invierten recursos de naturaleza pública, por lo cual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Estos negocios jurídicos, así como los demás que se suscriban de forma directa como cesiones de inmueble o permutas entre entidades estatales, </w:t>
      </w:r>
      <w:r w:rsidRPr="00A00771">
        <w:rPr>
          <w:rFonts w:ascii="Verdana" w:eastAsia="Calibri" w:hAnsi="Verdana" w:cs="Arial"/>
          <w:lang w:eastAsia="es-CO"/>
        </w:rPr>
        <w:t xml:space="preserve">constituyen formas de contratación directa en cuanto su celebración se realiza con un sujeto </w:t>
      </w:r>
      <w:r w:rsidRPr="00A00771">
        <w:rPr>
          <w:rFonts w:ascii="Verdana" w:eastAsia="Calibri" w:hAnsi="Verdana" w:cs="Arial"/>
          <w:lang w:eastAsia="es-CO"/>
        </w:rPr>
        <w:lastRenderedPageBreak/>
        <w:t>determinado, sin convocatoria pública y sin posibilidad de concurrencia de una pluralidad de oferentes</w:t>
      </w:r>
      <w:r>
        <w:rPr>
          <w:rFonts w:ascii="Verdana" w:eastAsia="Calibri" w:hAnsi="Verdana" w:cs="Arial"/>
          <w:lang w:eastAsia="es-CO"/>
        </w:rPr>
        <w:t xml:space="preserve">. </w:t>
      </w:r>
    </w:p>
    <w:p w14:paraId="4D7EAA3B" w14:textId="77777777" w:rsidR="00B64F30" w:rsidRPr="0044553E" w:rsidRDefault="00B64F30" w:rsidP="00B64F30">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A00771">
        <w:rPr>
          <w:rFonts w:ascii="Verdana" w:eastAsia="Calibri" w:hAnsi="Verdana" w:cs="Arial"/>
          <w:sz w:val="22"/>
          <w:szCs w:val="22"/>
        </w:rPr>
        <w:t>Para sustentar esta conclusión, debe tenerse en cuenta que el alcance del artículo 33 de la Ley 996 de 2005, conforme a la interpretación realizada por el Consejo de Estado</w:t>
      </w:r>
      <w:r>
        <w:rPr>
          <w:rFonts w:ascii="Verdana" w:eastAsia="Calibri" w:hAnsi="Verdana" w:cs="Arial"/>
          <w:sz w:val="22"/>
          <w:szCs w:val="22"/>
        </w:rPr>
        <w:t xml:space="preserve"> explicada previamente</w:t>
      </w:r>
      <w:r w:rsidRPr="00A00771">
        <w:rPr>
          <w:rFonts w:ascii="Verdana" w:eastAsia="Calibri" w:hAnsi="Verdana" w:cs="Arial"/>
          <w:sz w:val="22"/>
          <w:szCs w:val="22"/>
        </w:rPr>
        <w:t>, no se limita a la figura formal de “contratación directa” prevista en el EGCAP. Por el contrario, comprende cualquier sistema de selección o procedimiento de contratación utilizado por las entidades estatales que no incluya convocatoria pública</w:t>
      </w:r>
      <w:r w:rsidRPr="0044553E">
        <w:rPr>
          <w:sz w:val="22"/>
          <w:szCs w:val="22"/>
        </w:rPr>
        <w:t xml:space="preserve"> </w:t>
      </w:r>
      <w:r w:rsidRPr="0044553E">
        <w:rPr>
          <w:rFonts w:ascii="Verdana" w:eastAsia="Calibri" w:hAnsi="Verdana" w:cs="Arial"/>
          <w:sz w:val="22"/>
          <w:szCs w:val="22"/>
        </w:rPr>
        <w:t xml:space="preserve">en alguna de sus etapas ni permita la participación de una pluralidad de oferentes, ya sea que se trate de mecanismos regulados por el Estatuto General de Contratación </w:t>
      </w:r>
      <w:r w:rsidRPr="004B02A6">
        <w:rPr>
          <w:rFonts w:ascii="Verdana" w:eastAsia="Calibri" w:hAnsi="Verdana" w:cs="Arial"/>
          <w:i/>
          <w:iCs/>
          <w:sz w:val="22"/>
          <w:szCs w:val="22"/>
        </w:rPr>
        <w:t>o por regímenes especiales.</w:t>
      </w:r>
    </w:p>
    <w:p w14:paraId="0F558256" w14:textId="77777777" w:rsidR="00B64F30" w:rsidRPr="0044553E" w:rsidRDefault="00B64F30" w:rsidP="00B64F30">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EF7387">
        <w:rPr>
          <w:rFonts w:ascii="Verdana" w:eastAsia="Calibri" w:hAnsi="Verdana" w:cs="Arial"/>
          <w:sz w:val="22"/>
          <w:szCs w:val="22"/>
        </w:rPr>
        <w:t xml:space="preserve">Desde esta perspectiva, lo relevante no es el régimen jurídico del cual se derive el negocio jurídico, sino su naturaleza no competitiva y la ausencia de concurrencia, elementos que justifican la restricción impuesta por la </w:t>
      </w:r>
      <w:r>
        <w:rPr>
          <w:rFonts w:ascii="Verdana" w:eastAsia="Calibri" w:hAnsi="Verdana" w:cs="Arial"/>
          <w:sz w:val="22"/>
          <w:szCs w:val="22"/>
        </w:rPr>
        <w:t>L</w:t>
      </w:r>
      <w:r w:rsidRPr="00EF7387">
        <w:rPr>
          <w:rFonts w:ascii="Verdana" w:eastAsia="Calibri" w:hAnsi="Verdana" w:cs="Arial"/>
          <w:sz w:val="22"/>
          <w:szCs w:val="22"/>
        </w:rPr>
        <w:t xml:space="preserve">ey de </w:t>
      </w:r>
      <w:r>
        <w:rPr>
          <w:rFonts w:ascii="Verdana" w:eastAsia="Calibri" w:hAnsi="Verdana" w:cs="Arial"/>
          <w:sz w:val="22"/>
          <w:szCs w:val="22"/>
        </w:rPr>
        <w:t>G</w:t>
      </w:r>
      <w:r w:rsidRPr="00EF7387">
        <w:rPr>
          <w:rFonts w:ascii="Verdana" w:eastAsia="Calibri" w:hAnsi="Verdana" w:cs="Arial"/>
          <w:sz w:val="22"/>
          <w:szCs w:val="22"/>
        </w:rPr>
        <w:t>arantías.</w:t>
      </w:r>
      <w:r>
        <w:rPr>
          <w:rFonts w:ascii="Verdana" w:eastAsia="Calibri" w:hAnsi="Verdana" w:cs="Arial"/>
          <w:sz w:val="22"/>
          <w:szCs w:val="22"/>
        </w:rPr>
        <w:t xml:space="preserve"> </w:t>
      </w:r>
      <w:r w:rsidRPr="0044553E">
        <w:rPr>
          <w:rFonts w:ascii="Verdana" w:eastAsia="Calibri" w:hAnsi="Verdana" w:cs="Arial"/>
          <w:sz w:val="22"/>
          <w:szCs w:val="22"/>
        </w:rPr>
        <w:t xml:space="preserve">En este sentido, si bien la celebración de la promesa de compraventa o del contrato de compraventa se deriva de un procedimiento administrativo </w:t>
      </w:r>
      <w:r>
        <w:rPr>
          <w:rFonts w:ascii="Verdana" w:eastAsia="Calibri" w:hAnsi="Verdana" w:cs="Arial"/>
          <w:sz w:val="22"/>
          <w:szCs w:val="22"/>
        </w:rPr>
        <w:t xml:space="preserve">que se regula por reglas </w:t>
      </w:r>
      <w:r w:rsidRPr="0044553E">
        <w:rPr>
          <w:rFonts w:ascii="Verdana" w:eastAsia="Calibri" w:hAnsi="Verdana" w:cs="Arial"/>
          <w:sz w:val="22"/>
          <w:szCs w:val="22"/>
        </w:rPr>
        <w:t>especial</w:t>
      </w:r>
      <w:r>
        <w:rPr>
          <w:rFonts w:ascii="Verdana" w:eastAsia="Calibri" w:hAnsi="Verdana" w:cs="Arial"/>
          <w:sz w:val="22"/>
          <w:szCs w:val="22"/>
        </w:rPr>
        <w:t>es</w:t>
      </w:r>
      <w:r w:rsidRPr="0044553E">
        <w:rPr>
          <w:rFonts w:ascii="Verdana" w:eastAsia="Calibri" w:hAnsi="Verdana" w:cs="Arial"/>
          <w:sz w:val="22"/>
          <w:szCs w:val="22"/>
        </w:rPr>
        <w:t>, ello no desvirtúa su carácter de cont</w:t>
      </w:r>
      <w:r>
        <w:rPr>
          <w:rFonts w:ascii="Verdana" w:eastAsia="Calibri" w:hAnsi="Verdana" w:cs="Arial"/>
          <w:sz w:val="22"/>
          <w:szCs w:val="22"/>
        </w:rPr>
        <w:t>rato</w:t>
      </w:r>
      <w:r w:rsidRPr="0044553E">
        <w:rPr>
          <w:rFonts w:ascii="Verdana" w:eastAsia="Calibri" w:hAnsi="Verdana" w:cs="Arial"/>
          <w:sz w:val="22"/>
          <w:szCs w:val="22"/>
        </w:rPr>
        <w:t xml:space="preserve"> direct</w:t>
      </w:r>
      <w:r>
        <w:rPr>
          <w:rFonts w:ascii="Verdana" w:eastAsia="Calibri" w:hAnsi="Verdana" w:cs="Arial"/>
          <w:sz w:val="22"/>
          <w:szCs w:val="22"/>
        </w:rPr>
        <w:t>o</w:t>
      </w:r>
      <w:r w:rsidRPr="0044553E">
        <w:rPr>
          <w:rFonts w:ascii="Verdana" w:eastAsia="Calibri" w:hAnsi="Verdana" w:cs="Arial"/>
          <w:sz w:val="22"/>
          <w:szCs w:val="22"/>
        </w:rPr>
        <w:t>, en la medida en que la entidad estatal negocia y contrata con un único propietario, sin competencia entre oferentes, independientemente del contexto normativo que rodea la adquisición del inmueble.</w:t>
      </w:r>
      <w:r>
        <w:rPr>
          <w:rFonts w:ascii="Verdana" w:eastAsia="Calibri" w:hAnsi="Verdana" w:cs="Arial"/>
          <w:sz w:val="22"/>
          <w:szCs w:val="22"/>
        </w:rPr>
        <w:t xml:space="preserve"> </w:t>
      </w:r>
    </w:p>
    <w:p w14:paraId="5E75DC1B" w14:textId="77777777" w:rsidR="00B64F30" w:rsidRDefault="00B64F30" w:rsidP="00B64F30">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sidRPr="007806D8">
        <w:rPr>
          <w:rFonts w:ascii="Verdana" w:eastAsia="Calibri" w:hAnsi="Verdana" w:cs="Arial"/>
          <w:sz w:val="22"/>
          <w:szCs w:val="22"/>
        </w:rPr>
        <w:t xml:space="preserve">En consecuencia, si bien el procedimiento administrativo de adquisición predial, </w:t>
      </w:r>
      <w:r>
        <w:rPr>
          <w:rFonts w:ascii="Verdana" w:eastAsia="Calibri" w:hAnsi="Verdana" w:cs="Arial"/>
          <w:sz w:val="22"/>
          <w:szCs w:val="22"/>
        </w:rPr>
        <w:t>por sí mismo</w:t>
      </w:r>
      <w:r w:rsidRPr="007806D8">
        <w:rPr>
          <w:rFonts w:ascii="Verdana" w:eastAsia="Calibri" w:hAnsi="Verdana" w:cs="Arial"/>
          <w:sz w:val="22"/>
          <w:szCs w:val="22"/>
        </w:rPr>
        <w:t xml:space="preserve">, no se encuentra sometido a las disposiciones </w:t>
      </w:r>
      <w:r>
        <w:rPr>
          <w:rFonts w:ascii="Verdana" w:eastAsia="Calibri" w:hAnsi="Verdana" w:cs="Arial"/>
          <w:sz w:val="22"/>
          <w:szCs w:val="22"/>
        </w:rPr>
        <w:t xml:space="preserve">al EGCAP </w:t>
      </w:r>
      <w:r w:rsidRPr="007806D8">
        <w:rPr>
          <w:rFonts w:ascii="Verdana" w:eastAsia="Calibri" w:hAnsi="Verdana" w:cs="Arial"/>
          <w:sz w:val="22"/>
          <w:szCs w:val="22"/>
        </w:rPr>
        <w:t xml:space="preserve">ni a la Ley de Garantías </w:t>
      </w:r>
      <w:r>
        <w:rPr>
          <w:rFonts w:ascii="Verdana" w:eastAsia="Calibri" w:hAnsi="Verdana" w:cs="Arial"/>
          <w:sz w:val="22"/>
          <w:szCs w:val="22"/>
        </w:rPr>
        <w:t xml:space="preserve">Electorales </w:t>
      </w:r>
      <w:r w:rsidRPr="007806D8">
        <w:rPr>
          <w:rFonts w:ascii="Verdana" w:eastAsia="Calibri" w:hAnsi="Verdana" w:cs="Arial"/>
          <w:sz w:val="22"/>
          <w:szCs w:val="22"/>
        </w:rPr>
        <w:t>en los términos previamente analizados, lo cierto es que el contrato de compraventa que pone fin a dicho procedimiento sí da lugar a la aplicación de la restricción prevista en el artículo 33 de la Ley 996 de 2005. Ello, en la medida en que se trata de un contrato estatal celebrado sin pluralidad de oferentes</w:t>
      </w:r>
      <w:r>
        <w:rPr>
          <w:rFonts w:ascii="Verdana" w:eastAsia="Calibri" w:hAnsi="Verdana" w:cs="Arial"/>
          <w:sz w:val="22"/>
          <w:szCs w:val="22"/>
        </w:rPr>
        <w:t xml:space="preserve"> y sin convocatoria pública, </w:t>
      </w:r>
      <w:r w:rsidRPr="007806D8">
        <w:rPr>
          <w:rFonts w:ascii="Verdana" w:eastAsia="Calibri" w:hAnsi="Verdana" w:cs="Arial"/>
          <w:sz w:val="22"/>
          <w:szCs w:val="22"/>
        </w:rPr>
        <w:t>circunstancia</w:t>
      </w:r>
      <w:r>
        <w:rPr>
          <w:rFonts w:ascii="Verdana" w:eastAsia="Calibri" w:hAnsi="Verdana" w:cs="Arial"/>
          <w:sz w:val="22"/>
          <w:szCs w:val="22"/>
        </w:rPr>
        <w:t>s</w:t>
      </w:r>
      <w:r w:rsidRPr="007806D8">
        <w:rPr>
          <w:rFonts w:ascii="Verdana" w:eastAsia="Calibri" w:hAnsi="Verdana" w:cs="Arial"/>
          <w:sz w:val="22"/>
          <w:szCs w:val="22"/>
        </w:rPr>
        <w:t xml:space="preserve"> que activa</w:t>
      </w:r>
      <w:r>
        <w:rPr>
          <w:rFonts w:ascii="Verdana" w:eastAsia="Calibri" w:hAnsi="Verdana" w:cs="Arial"/>
          <w:sz w:val="22"/>
          <w:szCs w:val="22"/>
        </w:rPr>
        <w:t>n</w:t>
      </w:r>
      <w:r w:rsidRPr="007806D8">
        <w:rPr>
          <w:rFonts w:ascii="Verdana" w:eastAsia="Calibri" w:hAnsi="Verdana" w:cs="Arial"/>
          <w:sz w:val="22"/>
          <w:szCs w:val="22"/>
        </w:rPr>
        <w:t xml:space="preserve"> la prohibición allí consagrada. Adicionalmente, dentro de las excepciones expresamente previstas por el legislador en dicha norma no se encuentran comprendidos los contratos que se deriven del procedimiento administrativo de adquisición</w:t>
      </w:r>
      <w:r>
        <w:rPr>
          <w:rFonts w:ascii="Verdana" w:eastAsia="Calibri" w:hAnsi="Verdana" w:cs="Arial"/>
          <w:sz w:val="22"/>
          <w:szCs w:val="22"/>
        </w:rPr>
        <w:t xml:space="preserve"> predial</w:t>
      </w:r>
      <w:r w:rsidRPr="007806D8">
        <w:rPr>
          <w:rFonts w:ascii="Verdana" w:eastAsia="Calibri" w:hAnsi="Verdana" w:cs="Arial"/>
          <w:sz w:val="22"/>
          <w:szCs w:val="22"/>
        </w:rPr>
        <w:t>, lo cual resulta relevante, pues de haber sido la intención del legislador exceptuar este tipo de negocios jurídicos, así lo habría señalado de manera expresa, tal como lo hizo respecto de otras hipótesis exceptuadas.</w:t>
      </w:r>
    </w:p>
    <w:p w14:paraId="6A89E0DB" w14:textId="77777777" w:rsidR="00B64F30" w:rsidRPr="001D031E" w:rsidRDefault="00B64F30" w:rsidP="00B64F30">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sz w:val="22"/>
          <w:szCs w:val="22"/>
        </w:rPr>
      </w:pPr>
      <w:r>
        <w:rPr>
          <w:rFonts w:ascii="Verdana" w:eastAsia="Calibri" w:hAnsi="Verdana" w:cs="Arial"/>
          <w:sz w:val="22"/>
          <w:szCs w:val="22"/>
        </w:rPr>
        <w:lastRenderedPageBreak/>
        <w:t>Sobre el particular, se precisa que la Sala de Consulta y Servicio Civil del Consejo de Estado, en concepto del 21 de mayo del 2014</w:t>
      </w:r>
      <w:r>
        <w:rPr>
          <w:rStyle w:val="Refdenotaalpie"/>
          <w:rFonts w:ascii="Verdana" w:eastAsia="Calibri" w:hAnsi="Verdana" w:cs="Arial"/>
          <w:sz w:val="22"/>
          <w:szCs w:val="22"/>
        </w:rPr>
        <w:footnoteReference w:id="22"/>
      </w:r>
      <w:r>
        <w:rPr>
          <w:rFonts w:ascii="Verdana" w:eastAsia="Calibri" w:hAnsi="Verdana" w:cs="Arial"/>
          <w:sz w:val="22"/>
          <w:szCs w:val="22"/>
        </w:rPr>
        <w:t>, respecto de una consulta relacionada con la aplicación d</w:t>
      </w:r>
      <w:r w:rsidRPr="000634B9">
        <w:rPr>
          <w:rFonts w:ascii="Verdana" w:eastAsia="Calibri" w:hAnsi="Verdana" w:cs="Arial"/>
          <w:sz w:val="22"/>
          <w:szCs w:val="22"/>
        </w:rPr>
        <w:t>el artículo 33 de la Ley 996 de 2005, a los procesos que debe adelantar el INCODER para realizar la compraventa de algunos predios destinados a las Comunidades Étnicas</w:t>
      </w:r>
      <w:r>
        <w:rPr>
          <w:rFonts w:ascii="Verdana" w:eastAsia="Calibri" w:hAnsi="Verdana" w:cs="Arial"/>
          <w:sz w:val="22"/>
          <w:szCs w:val="22"/>
        </w:rPr>
        <w:t>, concluyó que “</w:t>
      </w:r>
      <w:r w:rsidRPr="00BB7F22">
        <w:rPr>
          <w:rFonts w:ascii="Verdana" w:eastAsia="Calibri" w:hAnsi="Verdana" w:cs="Arial"/>
          <w:sz w:val="22"/>
          <w:szCs w:val="22"/>
        </w:rPr>
        <w:t>el Instituto Colombiano de Desarrollo Rural –INCODER- no puede adelantar las contrataciones directas para adquirir los terrenos de que trata la Ley 160 de 1994, por cuanto se trata de una hipótesis que no cabe dentro de las excepciones previstas en el inciso último del artículo 33 de la Ley 996 de 2005</w:t>
      </w:r>
      <w:r>
        <w:rPr>
          <w:rFonts w:ascii="Verdana" w:eastAsia="Calibri" w:hAnsi="Verdana" w:cs="Arial"/>
          <w:sz w:val="22"/>
          <w:szCs w:val="22"/>
        </w:rPr>
        <w:t xml:space="preserve">”. </w:t>
      </w:r>
      <w:r>
        <w:rPr>
          <w:rFonts w:ascii="Verdana" w:hAnsi="Verdana" w:cs="Arial"/>
          <w:sz w:val="22"/>
          <w:szCs w:val="22"/>
          <w:lang w:val="es-ES" w:eastAsia="es-ES_tradnl"/>
        </w:rPr>
        <w:t>P</w:t>
      </w:r>
      <w:r w:rsidRPr="001D031E">
        <w:rPr>
          <w:rFonts w:ascii="Verdana" w:hAnsi="Verdana" w:cs="Arial"/>
          <w:sz w:val="22"/>
          <w:szCs w:val="22"/>
          <w:lang w:val="es-ES" w:eastAsia="es-ES_tradnl"/>
        </w:rPr>
        <w:t>ara argumentar dicha postura, el Consejo de Estado señaló lo siguiente:</w:t>
      </w:r>
      <w:r>
        <w:rPr>
          <w:rFonts w:ascii="Verdana" w:hAnsi="Verdana" w:cs="Arial"/>
          <w:lang w:val="es-ES" w:eastAsia="es-ES_tradnl"/>
        </w:rPr>
        <w:t xml:space="preserve"> </w:t>
      </w:r>
    </w:p>
    <w:p w14:paraId="468424B9" w14:textId="77777777" w:rsidR="00B64F30" w:rsidRDefault="00B64F30" w:rsidP="00B64F30">
      <w:pPr>
        <w:tabs>
          <w:tab w:val="left" w:pos="426"/>
        </w:tabs>
        <w:spacing w:after="0" w:line="276" w:lineRule="auto"/>
        <w:jc w:val="both"/>
        <w:rPr>
          <w:rFonts w:ascii="Verdana" w:eastAsia="Times New Roman" w:hAnsi="Verdana" w:cs="Arial"/>
          <w:lang w:val="es-ES" w:eastAsia="es-ES_tradnl"/>
        </w:rPr>
      </w:pPr>
    </w:p>
    <w:p w14:paraId="5681AE03" w14:textId="77777777" w:rsidR="00B64F30" w:rsidRPr="00D85C95" w:rsidRDefault="00B64F30" w:rsidP="00B64F30">
      <w:pPr>
        <w:spacing w:after="120" w:line="240" w:lineRule="auto"/>
        <w:ind w:left="709" w:right="709"/>
        <w:jc w:val="both"/>
        <w:rPr>
          <w:rFonts w:ascii="Verdana" w:eastAsia="Calibri" w:hAnsi="Verdana" w:cs="Arial"/>
          <w:b/>
          <w:bCs/>
          <w:i/>
          <w:iCs/>
          <w:sz w:val="20"/>
          <w:szCs w:val="20"/>
        </w:rPr>
      </w:pPr>
      <w:r>
        <w:rPr>
          <w:rFonts w:ascii="Verdana" w:eastAsia="Calibri" w:hAnsi="Verdana" w:cs="Arial"/>
          <w:sz w:val="20"/>
          <w:szCs w:val="20"/>
          <w:lang w:val="es-MX"/>
        </w:rPr>
        <w:t>“</w:t>
      </w:r>
      <w:r w:rsidRPr="00CC7726">
        <w:rPr>
          <w:rFonts w:ascii="Verdana" w:eastAsia="Calibri" w:hAnsi="Verdana" w:cs="Arial"/>
          <w:sz w:val="20"/>
          <w:szCs w:val="20"/>
        </w:rPr>
        <w:t xml:space="preserve">Así, en los casos de negociación directa de la Ley 160 de 1994 se tiene que la identificación y valoración de los predios la hace el INCODER. De igual forma, el instituto adelanta los trámites para hacer la oferta al propietario del predio y cumple con la obligación de pago frente al vendedor. </w:t>
      </w:r>
      <w:r w:rsidRPr="00D85C95">
        <w:rPr>
          <w:rFonts w:ascii="Verdana" w:eastAsia="Calibri" w:hAnsi="Verdana" w:cs="Arial"/>
          <w:b/>
          <w:bCs/>
          <w:i/>
          <w:iCs/>
          <w:sz w:val="20"/>
          <w:szCs w:val="20"/>
        </w:rPr>
        <w:t>Como se advierte, este proceso de compra de los predios obviamente no admite la posibilidad de que concurra pluralidad de oferentes ni de llevar a cabo un proceso de licitación pública.</w:t>
      </w:r>
    </w:p>
    <w:p w14:paraId="47FD9D01" w14:textId="77777777" w:rsidR="00B64F30" w:rsidRPr="009D26DE" w:rsidRDefault="00B64F30" w:rsidP="00B64F30">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 xml:space="preserve">Por tanto, </w:t>
      </w:r>
      <w:r w:rsidRPr="009D26DE">
        <w:rPr>
          <w:rFonts w:ascii="Verdana" w:eastAsia="Calibri" w:hAnsi="Verdana" w:cs="Arial"/>
          <w:sz w:val="20"/>
          <w:szCs w:val="20"/>
          <w:lang w:val="es-MX"/>
        </w:rPr>
        <w:t xml:space="preserve">si dentro de la etapa de negociación directa el INCODER logra el acuerdo de un particular para adquirir un predio con destino a las comunidades destinatarias de la Ley 160 de 1994, </w:t>
      </w:r>
      <w:r w:rsidRPr="00396998">
        <w:rPr>
          <w:rFonts w:ascii="Verdana" w:eastAsia="Calibri" w:hAnsi="Verdana" w:cs="Arial"/>
          <w:b/>
          <w:bCs/>
          <w:i/>
          <w:iCs/>
          <w:sz w:val="20"/>
          <w:szCs w:val="20"/>
          <w:lang w:val="es-MX"/>
        </w:rPr>
        <w:t>el negocio jurídico de compraventa de esos predios queda afectado por la prohibición temporal a la contratación directa, durante los cuatro (4) meses anteriores a la elección presidencial y hasta la realización de la elección en la segunda vuelta, consagrada en el artículo 33 de la Ley 996 de 2005.</w:t>
      </w:r>
      <w:r w:rsidRPr="009D26DE">
        <w:rPr>
          <w:rFonts w:ascii="Verdana" w:eastAsia="Calibri" w:hAnsi="Verdana" w:cs="Arial"/>
          <w:sz w:val="20"/>
          <w:szCs w:val="20"/>
          <w:lang w:val="es-MX"/>
        </w:rPr>
        <w:t xml:space="preserve"> </w:t>
      </w:r>
    </w:p>
    <w:p w14:paraId="677D0920" w14:textId="77777777" w:rsidR="00B64F30" w:rsidRDefault="00B64F30" w:rsidP="00B64F30">
      <w:pPr>
        <w:spacing w:after="120" w:line="240" w:lineRule="auto"/>
        <w:ind w:left="709" w:right="709"/>
        <w:jc w:val="both"/>
        <w:rPr>
          <w:rFonts w:ascii="Verdana" w:eastAsia="Calibri" w:hAnsi="Verdana" w:cs="Arial"/>
          <w:sz w:val="20"/>
          <w:szCs w:val="20"/>
          <w:lang w:val="es-MX"/>
        </w:rPr>
      </w:pPr>
      <w:r w:rsidRPr="009D26DE">
        <w:rPr>
          <w:rFonts w:ascii="Verdana" w:eastAsia="Calibri" w:hAnsi="Verdana" w:cs="Arial"/>
          <w:sz w:val="20"/>
          <w:szCs w:val="20"/>
          <w:lang w:val="es-MX"/>
        </w:rPr>
        <w:t>Ahora bien, esta Sala ha sido enfática al señalar que las excepciones consagradas en el inciso segundo del artículo 33 son taxativas y su interpretación debe ser de carácter restrictivo. A partir de esta premisa concluye la Sala que la actividad contractual del INCODER en relación con la compraventa de los predios destinados a las Comunidades Étnicas no se ajusta a ninguna de las hipótesis exceptivas que consagra el artículo 33 de la Ley de Garantías Electorales</w:t>
      </w:r>
      <w:r>
        <w:rPr>
          <w:rFonts w:ascii="Verdana" w:eastAsia="Calibri" w:hAnsi="Verdana" w:cs="Arial"/>
          <w:sz w:val="20"/>
          <w:szCs w:val="20"/>
          <w:lang w:val="es-MX"/>
        </w:rPr>
        <w:t>”</w:t>
      </w:r>
      <w:r w:rsidRPr="009D26DE">
        <w:rPr>
          <w:rFonts w:ascii="Verdana" w:eastAsia="Calibri" w:hAnsi="Verdana" w:cs="Arial"/>
          <w:sz w:val="20"/>
          <w:szCs w:val="20"/>
          <w:lang w:val="es-MX"/>
        </w:rPr>
        <w:t>.</w:t>
      </w:r>
    </w:p>
    <w:p w14:paraId="42D401B1" w14:textId="77777777" w:rsidR="00B64F30" w:rsidRPr="009D26DE" w:rsidRDefault="00B64F30" w:rsidP="00B64F30">
      <w:pPr>
        <w:spacing w:after="0" w:line="240" w:lineRule="auto"/>
        <w:ind w:left="709" w:right="709"/>
        <w:jc w:val="both"/>
        <w:rPr>
          <w:rFonts w:ascii="Verdana" w:eastAsia="Calibri" w:hAnsi="Verdana" w:cs="Arial"/>
          <w:sz w:val="20"/>
          <w:szCs w:val="20"/>
          <w:lang w:val="es-MX"/>
        </w:rPr>
      </w:pPr>
    </w:p>
    <w:bookmarkEnd w:id="5"/>
    <w:p w14:paraId="5A51C0CF" w14:textId="77777777" w:rsidR="00B64F30" w:rsidRDefault="00B64F30" w:rsidP="00B64F30">
      <w:pPr>
        <w:spacing w:after="120" w:line="276" w:lineRule="auto"/>
        <w:ind w:firstLine="709"/>
        <w:jc w:val="both"/>
        <w:rPr>
          <w:rFonts w:ascii="Verdana" w:eastAsia="Calibri" w:hAnsi="Verdana" w:cs="Arial"/>
        </w:rPr>
      </w:pPr>
      <w:r>
        <w:rPr>
          <w:rFonts w:ascii="Verdana" w:eastAsia="Times New Roman" w:hAnsi="Verdana" w:cs="Arial"/>
          <w:bCs/>
          <w:lang w:val="es-MX" w:eastAsia="x-none"/>
        </w:rPr>
        <w:t xml:space="preserve">Conforme se desprende de lo anterior, el Consejo de Estado concluyó la aplicación del artículo 33 de la Ley de Garantías Electorales al procedimiento </w:t>
      </w:r>
      <w:r w:rsidRPr="00740990">
        <w:rPr>
          <w:rFonts w:ascii="Verdana" w:eastAsia="Times New Roman" w:hAnsi="Verdana" w:cs="Arial"/>
          <w:bCs/>
          <w:lang w:eastAsia="x-none"/>
        </w:rPr>
        <w:t xml:space="preserve">administrativo de adquisición de predios para las comunidades indígenas, </w:t>
      </w:r>
      <w:r w:rsidRPr="00740990">
        <w:rPr>
          <w:rFonts w:ascii="Verdana" w:eastAsia="Times New Roman" w:hAnsi="Verdana" w:cs="Arial"/>
          <w:bCs/>
          <w:lang w:eastAsia="x-none"/>
        </w:rPr>
        <w:lastRenderedPageBreak/>
        <w:t>afrocolombianas y demás minorías étnicas a cargo del INCODER</w:t>
      </w:r>
      <w:r>
        <w:rPr>
          <w:rFonts w:ascii="Verdana" w:eastAsia="Times New Roman" w:hAnsi="Verdana" w:cs="Arial"/>
          <w:bCs/>
          <w:lang w:eastAsia="x-none"/>
        </w:rPr>
        <w:t>, teniendo en cuenta que en este</w:t>
      </w:r>
      <w:r w:rsidRPr="00EB50CC">
        <w:rPr>
          <w:rFonts w:ascii="Verdana" w:eastAsia="Calibri" w:hAnsi="Verdana" w:cs="Arial"/>
          <w:b/>
          <w:bCs/>
          <w:i/>
          <w:iCs/>
          <w:sz w:val="20"/>
          <w:szCs w:val="20"/>
        </w:rPr>
        <w:t xml:space="preserve"> </w:t>
      </w:r>
      <w:r w:rsidRPr="007C4B33">
        <w:rPr>
          <w:rFonts w:ascii="Verdana" w:eastAsia="Calibri" w:hAnsi="Verdana" w:cs="Arial"/>
        </w:rPr>
        <w:t xml:space="preserve">no se admite la posibilidad de que concurra pluralidad de oferentes ni de llevar a cabo un proceso de licitación pública y </w:t>
      </w:r>
      <w:r>
        <w:rPr>
          <w:rFonts w:ascii="Verdana" w:eastAsia="Calibri" w:hAnsi="Verdana" w:cs="Arial"/>
        </w:rPr>
        <w:t>que</w:t>
      </w:r>
      <w:r w:rsidRPr="007C4B33">
        <w:rPr>
          <w:rFonts w:ascii="Verdana" w:eastAsia="Calibri" w:hAnsi="Verdana" w:cs="Arial"/>
        </w:rPr>
        <w:t xml:space="preserve"> conlleva</w:t>
      </w:r>
      <w:r>
        <w:rPr>
          <w:rFonts w:ascii="Verdana" w:eastAsia="Calibri" w:hAnsi="Verdana" w:cs="Arial"/>
        </w:rPr>
        <w:t xml:space="preserve"> la celebración de una compraventa en caso de que se logre acuerdo con el particular para adquirir el predio.</w:t>
      </w:r>
    </w:p>
    <w:p w14:paraId="0D5EB96B" w14:textId="77777777" w:rsidR="00B64F30" w:rsidRDefault="00B64F30" w:rsidP="00B64F30">
      <w:pPr>
        <w:spacing w:after="120" w:line="276" w:lineRule="auto"/>
        <w:ind w:firstLine="709"/>
        <w:jc w:val="both"/>
        <w:rPr>
          <w:rFonts w:ascii="Verdana" w:eastAsia="Calibri" w:hAnsi="Verdana" w:cs="Arial"/>
        </w:rPr>
      </w:pPr>
      <w:r w:rsidRPr="009B6C64">
        <w:rPr>
          <w:rFonts w:ascii="Verdana" w:eastAsia="Calibri" w:hAnsi="Verdana" w:cs="Arial"/>
        </w:rPr>
        <w:t xml:space="preserve">Lo anterior resulta especialmente </w:t>
      </w:r>
      <w:r>
        <w:rPr>
          <w:rFonts w:ascii="Verdana" w:eastAsia="Calibri" w:hAnsi="Verdana" w:cs="Arial"/>
        </w:rPr>
        <w:t>importante</w:t>
      </w:r>
      <w:r w:rsidRPr="009B6C64">
        <w:rPr>
          <w:rFonts w:ascii="Verdana" w:eastAsia="Calibri" w:hAnsi="Verdana" w:cs="Arial"/>
        </w:rPr>
        <w:t xml:space="preserve"> para el caso bajo estudio, ya que, aunque el procedimiento administrativo de adquisición </w:t>
      </w:r>
      <w:r>
        <w:rPr>
          <w:rFonts w:ascii="Verdana" w:eastAsia="Calibri" w:hAnsi="Verdana" w:cs="Arial"/>
        </w:rPr>
        <w:t xml:space="preserve">predial </w:t>
      </w:r>
      <w:r w:rsidRPr="009B6C64">
        <w:rPr>
          <w:rFonts w:ascii="Verdana" w:eastAsia="Calibri" w:hAnsi="Verdana" w:cs="Arial"/>
        </w:rPr>
        <w:t>adelantado por el INCODER presenta diferencias sustanciales frente al procedimiento de adquisición predial por razones de utilidad pública</w:t>
      </w:r>
      <w:r>
        <w:rPr>
          <w:rFonts w:ascii="Verdana" w:eastAsia="Calibri" w:hAnsi="Verdana" w:cs="Arial"/>
        </w:rPr>
        <w:t xml:space="preserve">, concretamente </w:t>
      </w:r>
      <w:r w:rsidRPr="009B6C64">
        <w:rPr>
          <w:rFonts w:ascii="Verdana" w:eastAsia="Calibri" w:hAnsi="Verdana" w:cs="Arial"/>
        </w:rPr>
        <w:t xml:space="preserve">en lo relativo a su objeto, </w:t>
      </w:r>
      <w:r>
        <w:rPr>
          <w:rFonts w:ascii="Verdana" w:eastAsia="Calibri" w:hAnsi="Verdana" w:cs="Arial"/>
        </w:rPr>
        <w:t xml:space="preserve">reglas, </w:t>
      </w:r>
      <w:r w:rsidRPr="009B6C64">
        <w:rPr>
          <w:rFonts w:ascii="Verdana" w:eastAsia="Calibri" w:hAnsi="Verdana" w:cs="Arial"/>
        </w:rPr>
        <w:t xml:space="preserve">a los sujetos destinatarios y a las autoridades competentes para su desarrollo, debe tenerse en cuenta que, </w:t>
      </w:r>
      <w:r>
        <w:rPr>
          <w:rFonts w:ascii="Verdana" w:eastAsia="Calibri" w:hAnsi="Verdana" w:cs="Arial"/>
        </w:rPr>
        <w:t xml:space="preserve">de acuerdo con </w:t>
      </w:r>
      <w:r w:rsidRPr="009B6C64">
        <w:rPr>
          <w:rFonts w:ascii="Verdana" w:eastAsia="Calibri" w:hAnsi="Verdana" w:cs="Arial"/>
        </w:rPr>
        <w:t>el análisis realizado por el Consejo de Estado en torno a la interpretación y aplicación del artículo 33 de la Ley 996 de 2005, ambos procedimientos coinciden en elementos estructurales esenciales que adquieren relevancia para efectos de la aplicación de la Ley de Garantías.</w:t>
      </w:r>
    </w:p>
    <w:p w14:paraId="05FBE6C9" w14:textId="77777777" w:rsidR="00B64F30" w:rsidRDefault="00B64F30" w:rsidP="00B64F30">
      <w:pPr>
        <w:spacing w:after="120" w:line="276" w:lineRule="auto"/>
        <w:ind w:firstLine="709"/>
        <w:jc w:val="both"/>
        <w:rPr>
          <w:rFonts w:ascii="Verdana" w:eastAsia="Calibri" w:hAnsi="Verdana" w:cs="Arial"/>
        </w:rPr>
      </w:pPr>
      <w:r w:rsidRPr="00654C01">
        <w:rPr>
          <w:rFonts w:ascii="Verdana" w:eastAsia="Calibri" w:hAnsi="Verdana" w:cs="Arial"/>
        </w:rPr>
        <w:t>En particular, co</w:t>
      </w:r>
      <w:r>
        <w:rPr>
          <w:rFonts w:ascii="Verdana" w:eastAsia="Calibri" w:hAnsi="Verdana" w:cs="Arial"/>
        </w:rPr>
        <w:t>nvergen</w:t>
      </w:r>
      <w:r w:rsidRPr="00654C01">
        <w:rPr>
          <w:rFonts w:ascii="Verdana" w:eastAsia="Calibri" w:hAnsi="Verdana" w:cs="Arial"/>
        </w:rPr>
        <w:t xml:space="preserve"> en dos aspectos fundamentales: (i) no admiten la concurrencia de pluralidad de oferentes ni la realización de un proceso licitación pública, y (</w:t>
      </w:r>
      <w:proofErr w:type="spellStart"/>
      <w:r w:rsidRPr="00654C01">
        <w:rPr>
          <w:rFonts w:ascii="Verdana" w:eastAsia="Calibri" w:hAnsi="Verdana" w:cs="Arial"/>
        </w:rPr>
        <w:t>ii</w:t>
      </w:r>
      <w:proofErr w:type="spellEnd"/>
      <w:r w:rsidRPr="00654C01">
        <w:rPr>
          <w:rFonts w:ascii="Verdana" w:eastAsia="Calibri" w:hAnsi="Verdana" w:cs="Arial"/>
        </w:rPr>
        <w:t xml:space="preserve">) en caso de que la etapa de negociación directa resulte exitosa, el procedimiento culmina con la suscripción de una promesa de compraventa y el posterior perfeccionamiento del contrato de compraventa. En ese sentido, aun cuando se trate de procedimientos administrativos distintos, la lógica interpretativa </w:t>
      </w:r>
      <w:r>
        <w:rPr>
          <w:rFonts w:ascii="Verdana" w:eastAsia="Calibri" w:hAnsi="Verdana" w:cs="Arial"/>
        </w:rPr>
        <w:t xml:space="preserve">de aplicación del artículo 33 </w:t>
      </w:r>
      <w:r w:rsidRPr="0004219C">
        <w:rPr>
          <w:rFonts w:ascii="Verdana" w:eastAsia="Calibri" w:hAnsi="Verdana" w:cs="Arial"/>
          <w:i/>
          <w:iCs/>
        </w:rPr>
        <w:t>ibidem</w:t>
      </w:r>
      <w:r>
        <w:rPr>
          <w:rFonts w:ascii="Verdana" w:eastAsia="Calibri" w:hAnsi="Verdana" w:cs="Arial"/>
        </w:rPr>
        <w:t xml:space="preserve"> </w:t>
      </w:r>
      <w:r w:rsidRPr="00654C01">
        <w:rPr>
          <w:rFonts w:ascii="Verdana" w:eastAsia="Calibri" w:hAnsi="Verdana" w:cs="Arial"/>
        </w:rPr>
        <w:t>empleada por el Consejo de Estado resulta plenamente aplicable al procedimiento de adquisición predial</w:t>
      </w:r>
      <w:r>
        <w:rPr>
          <w:rFonts w:ascii="Verdana" w:eastAsia="Calibri" w:hAnsi="Verdana" w:cs="Arial"/>
        </w:rPr>
        <w:t xml:space="preserve"> regulado por </w:t>
      </w:r>
      <w:r w:rsidRPr="007B37F8">
        <w:rPr>
          <w:rFonts w:ascii="Verdana" w:eastAsia="Calibri" w:hAnsi="Verdana" w:cs="Arial"/>
        </w:rPr>
        <w:t>Leyes 9 de 1989, 388 de 1997 y 1682 de 2013</w:t>
      </w:r>
      <w:r w:rsidRPr="00654C01">
        <w:rPr>
          <w:rFonts w:ascii="Verdana" w:eastAsia="Calibri" w:hAnsi="Verdana" w:cs="Arial"/>
        </w:rPr>
        <w:t>, en tanto este último tampoco contempla, por expresa disposición legal, una convocatoria pública</w:t>
      </w:r>
      <w:r>
        <w:rPr>
          <w:rFonts w:ascii="Verdana" w:eastAsia="Calibri" w:hAnsi="Verdana" w:cs="Arial"/>
        </w:rPr>
        <w:t>, ni concurrencia de oferentes</w:t>
      </w:r>
      <w:r w:rsidRPr="00654C01">
        <w:rPr>
          <w:rFonts w:ascii="Verdana" w:eastAsia="Calibri" w:hAnsi="Verdana" w:cs="Arial"/>
        </w:rPr>
        <w:t xml:space="preserve"> y puede igualmente concluir con la celebración de un contrato de compraventa</w:t>
      </w:r>
      <w:r>
        <w:rPr>
          <w:rFonts w:ascii="Verdana" w:eastAsia="Calibri" w:hAnsi="Verdana" w:cs="Arial"/>
        </w:rPr>
        <w:t xml:space="preserve"> cuando se llegue a un acuerdo con el particular</w:t>
      </w:r>
      <w:r w:rsidRPr="00654C01">
        <w:rPr>
          <w:rFonts w:ascii="Verdana" w:eastAsia="Calibri" w:hAnsi="Verdana" w:cs="Arial"/>
        </w:rPr>
        <w:t>.</w:t>
      </w:r>
    </w:p>
    <w:p w14:paraId="2BD1673E" w14:textId="77777777" w:rsidR="00B64F30" w:rsidRDefault="00B64F30" w:rsidP="00B64F30">
      <w:pPr>
        <w:spacing w:after="120" w:line="276" w:lineRule="auto"/>
        <w:ind w:firstLine="709"/>
        <w:jc w:val="both"/>
        <w:rPr>
          <w:rFonts w:ascii="Verdana" w:eastAsia="Calibri" w:hAnsi="Verdana" w:cs="Arial"/>
        </w:rPr>
      </w:pPr>
      <w:r w:rsidRPr="00B1274A">
        <w:rPr>
          <w:rFonts w:ascii="Verdana" w:eastAsia="Calibri" w:hAnsi="Verdana" w:cs="Arial"/>
        </w:rPr>
        <w:t xml:space="preserve">Lo anterior no supone, en modo alguno, una transgresión al criterio de interpretación restrictiva que rige este tipo de prohibiciones. Por el contrario, se ajusta plenamente a la hermenéutica adoptada por el Consejo de Estado en sus distintos pronunciamientos, en los cuales ha precisado de manera inequívoca que </w:t>
      </w:r>
      <w:r>
        <w:rPr>
          <w:rFonts w:ascii="Verdana" w:eastAsia="Calibri" w:hAnsi="Verdana" w:cs="Arial"/>
        </w:rPr>
        <w:t>“</w:t>
      </w:r>
      <w:r w:rsidRPr="002273D0">
        <w:rPr>
          <w:rFonts w:ascii="Verdana" w:eastAsia="Calibri" w:hAnsi="Verdana" w:cs="Arial"/>
          <w:lang w:val="es-MX"/>
        </w:rPr>
        <w:t xml:space="preserve">el enunciado ´contratación directa´ es sinónimo de </w:t>
      </w:r>
      <w:r w:rsidRPr="00E44CB8">
        <w:rPr>
          <w:rFonts w:ascii="Verdana" w:eastAsia="Calibri" w:hAnsi="Verdana" w:cs="Arial"/>
          <w:i/>
          <w:iCs/>
          <w:lang w:val="es-MX"/>
        </w:rPr>
        <w:t xml:space="preserve">cualquier sistema que no implique convocatoria pública y posibilidad de pluralidad de oferentes, y que, además, no necesariamente hace referencia al procedimiento especial regulado </w:t>
      </w:r>
      <w:r w:rsidRPr="00E44CB8">
        <w:rPr>
          <w:rFonts w:ascii="Verdana" w:eastAsia="Calibri" w:hAnsi="Verdana" w:cs="Arial"/>
          <w:i/>
          <w:iCs/>
          <w:lang w:val="es-MX"/>
        </w:rPr>
        <w:lastRenderedPageBreak/>
        <w:t>por la ley de contratación estatal</w:t>
      </w:r>
      <w:r>
        <w:rPr>
          <w:rFonts w:ascii="Verdana" w:eastAsia="Calibri" w:hAnsi="Verdana" w:cs="Arial"/>
          <w:lang w:val="es-MX"/>
        </w:rPr>
        <w:t>”</w:t>
      </w:r>
      <w:r w:rsidRPr="002273D0">
        <w:rPr>
          <w:rFonts w:ascii="Verdana" w:eastAsia="Calibri" w:hAnsi="Verdana" w:cs="Arial"/>
        </w:rPr>
        <w:t>.</w:t>
      </w:r>
      <w:r w:rsidRPr="00B1274A">
        <w:rPr>
          <w:rFonts w:ascii="Verdana" w:eastAsia="Calibri" w:hAnsi="Verdana" w:cs="Arial"/>
        </w:rPr>
        <w:t xml:space="preserve"> Tales consideraciones, por lo demás, han sido reiteradas en el concepto previamente citado.</w:t>
      </w:r>
    </w:p>
    <w:p w14:paraId="1B726E2C" w14:textId="77777777" w:rsidR="00B64F30" w:rsidRDefault="00B64F30" w:rsidP="00B64F30">
      <w:pPr>
        <w:spacing w:after="120" w:line="276" w:lineRule="auto"/>
        <w:ind w:firstLine="709"/>
        <w:jc w:val="both"/>
        <w:rPr>
          <w:rFonts w:ascii="Verdana" w:eastAsia="Times New Roman" w:hAnsi="Verdana" w:cs="Arial"/>
          <w:bCs/>
          <w:lang w:val="es-MX" w:eastAsia="x-none"/>
        </w:rPr>
      </w:pPr>
      <w:r w:rsidRPr="00654C01">
        <w:rPr>
          <w:rFonts w:ascii="Verdana" w:eastAsia="Calibri" w:hAnsi="Verdana" w:cs="Arial"/>
        </w:rPr>
        <w:t xml:space="preserve"> Por consiguiente, para efectos del presente análisis, se considera que los argumentos desarrollados por el Consejo de Estado son válidos y suficientes para sostener la aplicación de la Ley de Garantías al contrato de compraventa que se derive de dicho procedimiento</w:t>
      </w:r>
      <w:r>
        <w:rPr>
          <w:rFonts w:ascii="Verdana" w:eastAsia="Calibri" w:hAnsi="Verdana" w:cs="Arial"/>
        </w:rPr>
        <w:t xml:space="preserve">. </w:t>
      </w:r>
      <w:proofErr w:type="gramStart"/>
      <w:r>
        <w:rPr>
          <w:rFonts w:ascii="Verdana" w:eastAsia="Calibri" w:hAnsi="Verdana" w:cs="Arial"/>
        </w:rPr>
        <w:t>Además</w:t>
      </w:r>
      <w:proofErr w:type="gramEnd"/>
      <w:r>
        <w:rPr>
          <w:rFonts w:ascii="Verdana" w:eastAsia="Calibri" w:hAnsi="Verdana" w:cs="Arial"/>
        </w:rPr>
        <w:t xml:space="preserve"> se reitera que dentro de las excepciones </w:t>
      </w:r>
      <w:r>
        <w:rPr>
          <w:rFonts w:ascii="Verdana" w:eastAsia="Times New Roman" w:hAnsi="Verdana" w:cs="Arial"/>
          <w:bCs/>
          <w:lang w:val="es-MX" w:eastAsia="x-none"/>
        </w:rPr>
        <w:t xml:space="preserve">establecidas en el inciso segundo del mismo artículo 33, no se contempló dicha contratación. </w:t>
      </w:r>
    </w:p>
    <w:p w14:paraId="0FF94DC0" w14:textId="77777777" w:rsidR="00B64F30" w:rsidRDefault="00B64F30" w:rsidP="00B64F30">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Aunado a lo anterior, vale la pena traer a colación lo dispuesto por el Consejo de Estado sobre la importancia de que </w:t>
      </w:r>
      <w:r w:rsidRPr="008D09BD">
        <w:rPr>
          <w:rFonts w:ascii="Verdana" w:eastAsia="Times New Roman" w:hAnsi="Verdana" w:cs="Arial"/>
          <w:bCs/>
          <w:lang w:eastAsia="x-none"/>
        </w:rPr>
        <w:t xml:space="preserve">las entidades </w:t>
      </w:r>
      <w:r>
        <w:rPr>
          <w:rFonts w:ascii="Verdana" w:eastAsia="Times New Roman" w:hAnsi="Verdana" w:cs="Arial"/>
          <w:bCs/>
          <w:lang w:eastAsia="x-none"/>
        </w:rPr>
        <w:t xml:space="preserve">planeen y prevean </w:t>
      </w:r>
      <w:r w:rsidRPr="008D09BD">
        <w:rPr>
          <w:rFonts w:ascii="Verdana" w:eastAsia="Times New Roman" w:hAnsi="Verdana" w:cs="Arial"/>
          <w:bCs/>
          <w:lang w:eastAsia="x-none"/>
        </w:rPr>
        <w:t xml:space="preserve">con suficiente antelación las gestiones necesarias para garantizar </w:t>
      </w:r>
      <w:r>
        <w:rPr>
          <w:rFonts w:ascii="Verdana" w:eastAsia="Times New Roman" w:hAnsi="Verdana" w:cs="Arial"/>
          <w:bCs/>
          <w:lang w:eastAsia="x-none"/>
        </w:rPr>
        <w:t>los objetivos “</w:t>
      </w:r>
      <w:r w:rsidRPr="008D09BD">
        <w:rPr>
          <w:rFonts w:ascii="Verdana" w:eastAsia="Times New Roman" w:hAnsi="Verdana" w:cs="Arial"/>
          <w:bCs/>
          <w:lang w:eastAsia="x-none"/>
        </w:rPr>
        <w:t xml:space="preserve">de manera que no se vean afectados los derechos de las comunidades beneficiarias por circunstancias </w:t>
      </w:r>
      <w:proofErr w:type="spellStart"/>
      <w:r w:rsidRPr="008D09BD">
        <w:rPr>
          <w:rFonts w:ascii="Verdana" w:eastAsia="Times New Roman" w:hAnsi="Verdana" w:cs="Arial"/>
          <w:bCs/>
          <w:lang w:eastAsia="x-none"/>
        </w:rPr>
        <w:t>anticipables</w:t>
      </w:r>
      <w:proofErr w:type="spellEnd"/>
      <w:r w:rsidRPr="008D09BD">
        <w:rPr>
          <w:rFonts w:ascii="Verdana" w:eastAsia="Times New Roman" w:hAnsi="Verdana" w:cs="Arial"/>
          <w:bCs/>
          <w:lang w:eastAsia="x-none"/>
        </w:rPr>
        <w:t xml:space="preserve"> como las que dan origen a la legislación protectora de la igualdad política</w:t>
      </w:r>
      <w:r>
        <w:rPr>
          <w:rFonts w:ascii="Verdana" w:eastAsia="Times New Roman" w:hAnsi="Verdana" w:cs="Arial"/>
          <w:bCs/>
          <w:lang w:eastAsia="x-none"/>
        </w:rPr>
        <w:t>”</w:t>
      </w:r>
      <w:r w:rsidRPr="008D09BD">
        <w:rPr>
          <w:rFonts w:ascii="Verdana" w:eastAsia="Times New Roman" w:hAnsi="Verdana" w:cs="Arial"/>
          <w:bCs/>
          <w:lang w:eastAsia="x-none"/>
        </w:rPr>
        <w:t>.</w:t>
      </w:r>
    </w:p>
    <w:p w14:paraId="6A288854" w14:textId="77777777" w:rsidR="00B64F30" w:rsidRDefault="00B64F30" w:rsidP="00B64F30">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suma, </w:t>
      </w:r>
      <w:r w:rsidRPr="00494FAF">
        <w:rPr>
          <w:rFonts w:ascii="Verdana" w:eastAsia="Times New Roman" w:hAnsi="Verdana" w:cs="Arial"/>
          <w:bCs/>
          <w:lang w:eastAsia="x-none"/>
        </w:rPr>
        <w:t xml:space="preserve">debe precisarse que la restricción establecida en el artículo 33 de la Ley 996 de 2005 no resulta aplicable al procedimiento administrativo de adquisición </w:t>
      </w:r>
      <w:r>
        <w:rPr>
          <w:rFonts w:ascii="Verdana" w:eastAsia="Times New Roman" w:hAnsi="Verdana" w:cs="Arial"/>
          <w:bCs/>
          <w:lang w:eastAsia="x-none"/>
        </w:rPr>
        <w:t xml:space="preserve">predial </w:t>
      </w:r>
      <w:r w:rsidRPr="00494FAF">
        <w:rPr>
          <w:rFonts w:ascii="Verdana" w:eastAsia="Times New Roman" w:hAnsi="Verdana" w:cs="Arial"/>
          <w:bCs/>
          <w:lang w:eastAsia="x-none"/>
        </w:rPr>
        <w:t>considerado en sí mismo, ni a su etapa preparatoria o preliminar, en la medida en que dicha disposición se circunscribe a la celebración de contratos de manera directa y no a las actuaciones administrativas previas que puedan adelantarse con ese propósito</w:t>
      </w:r>
      <w:r>
        <w:rPr>
          <w:rFonts w:ascii="Verdana" w:eastAsia="Times New Roman" w:hAnsi="Verdana" w:cs="Arial"/>
          <w:bCs/>
          <w:lang w:eastAsia="x-none"/>
        </w:rPr>
        <w:t>, siempre que estas no impliquen la celebración de un contrato directo</w:t>
      </w:r>
      <w:r w:rsidRPr="00494FAF">
        <w:rPr>
          <w:rFonts w:ascii="Verdana" w:eastAsia="Times New Roman" w:hAnsi="Verdana" w:cs="Arial"/>
          <w:bCs/>
          <w:lang w:eastAsia="x-none"/>
        </w:rPr>
        <w:t xml:space="preserve">. En tal sentido, la gestión predial no se ve paralizada durante el período de restricción. No obstante, frente a la celebración de una promesa de compraventa o de un contrato de compraventa, sí resulta aplicable la restricción prevista en el citado artículo 33, razón por la cual se reitera la postura sostenida en los conceptos C-1512 y C-1529, en tanto dichos negocios jurídicos comportan la celebración </w:t>
      </w:r>
      <w:r>
        <w:rPr>
          <w:rFonts w:ascii="Verdana" w:eastAsia="Times New Roman" w:hAnsi="Verdana" w:cs="Arial"/>
          <w:bCs/>
          <w:lang w:eastAsia="x-none"/>
        </w:rPr>
        <w:t xml:space="preserve">directa </w:t>
      </w:r>
      <w:r w:rsidRPr="00494FAF">
        <w:rPr>
          <w:rFonts w:ascii="Verdana" w:eastAsia="Times New Roman" w:hAnsi="Verdana" w:cs="Arial"/>
          <w:bCs/>
          <w:lang w:eastAsia="x-none"/>
        </w:rPr>
        <w:t>de un contrato estatal.</w:t>
      </w:r>
    </w:p>
    <w:p w14:paraId="3002E698" w14:textId="77777777" w:rsidR="00B64F30" w:rsidRDefault="00B64F30" w:rsidP="00B64F30">
      <w:pPr>
        <w:tabs>
          <w:tab w:val="left" w:pos="426"/>
        </w:tabs>
        <w:spacing w:after="120" w:line="276" w:lineRule="auto"/>
        <w:jc w:val="both"/>
        <w:rPr>
          <w:rFonts w:ascii="Verdana" w:eastAsia="Calibri" w:hAnsi="Verdana" w:cs="Arial"/>
          <w:lang w:val="es-ES"/>
        </w:rPr>
      </w:pPr>
      <w:r>
        <w:rPr>
          <w:rFonts w:ascii="Verdana" w:eastAsia="Calibri" w:hAnsi="Verdana" w:cs="Arial"/>
          <w:lang w:val="es-ES"/>
        </w:rPr>
        <w:t xml:space="preserve">v. Al margen de lo expuesto, </w:t>
      </w:r>
      <w:r>
        <w:rPr>
          <w:rFonts w:ascii="Verdana" w:eastAsia="Calibri" w:hAnsi="Verdana" w:cs="Arial"/>
          <w:bCs/>
          <w:lang w:val="es-ES_tradnl"/>
        </w:rPr>
        <w:t xml:space="preserve">debe precisarse que la </w:t>
      </w:r>
      <w:r w:rsidRPr="008F0413">
        <w:rPr>
          <w:rFonts w:ascii="Verdana" w:eastAsia="Calibri" w:hAnsi="Verdana" w:cs="Arial"/>
          <w:bCs/>
          <w:lang w:val="es-ES_tradnl"/>
        </w:rPr>
        <w:t>competencia consultiva</w:t>
      </w:r>
      <w:r>
        <w:rPr>
          <w:rFonts w:ascii="Verdana" w:eastAsia="Calibri" w:hAnsi="Verdana" w:cs="Arial"/>
          <w:bCs/>
          <w:lang w:val="es-ES_tradnl"/>
        </w:rPr>
        <w:t xml:space="preserve"> contemplada en</w:t>
      </w:r>
      <w:r w:rsidRPr="00F47E0C">
        <w:rPr>
          <w:rFonts w:ascii="Verdana" w:eastAsia="Calibri" w:hAnsi="Verdana" w:cs="Arial"/>
          <w:color w:val="000000" w:themeColor="text1"/>
          <w:lang w:val="es-ES"/>
        </w:rPr>
        <w:t xml:space="preserve"> el numeral 5 del artículo 3 </w:t>
      </w:r>
      <w:r>
        <w:rPr>
          <w:rFonts w:ascii="Verdana" w:eastAsia="Calibri" w:hAnsi="Verdana" w:cs="Arial"/>
          <w:color w:val="000000" w:themeColor="text1"/>
          <w:lang w:val="es-ES"/>
        </w:rPr>
        <w:t xml:space="preserve">y numeral 11 artículo 8 </w:t>
      </w:r>
      <w:r>
        <w:rPr>
          <w:rFonts w:ascii="Verdana" w:eastAsia="Calibri" w:hAnsi="Verdana" w:cs="Arial"/>
          <w:color w:val="000000"/>
          <w:lang w:eastAsia="es-ES"/>
        </w:rPr>
        <w:t xml:space="preserve">del Decreto 4170 de 2011 </w:t>
      </w:r>
      <w:r w:rsidRPr="00E71075">
        <w:rPr>
          <w:rFonts w:ascii="Verdana" w:eastAsia="Calibri" w:hAnsi="Verdana" w:cs="Arial"/>
          <w:lang w:val="es-ES" w:eastAsia="es-ES_tradnl"/>
        </w:rPr>
        <w:t xml:space="preserve">quedó </w:t>
      </w:r>
      <w:r>
        <w:rPr>
          <w:rFonts w:ascii="Verdana" w:eastAsia="Calibri" w:hAnsi="Verdana" w:cs="Arial"/>
          <w:lang w:val="es-ES" w:eastAsia="es-ES_tradnl"/>
        </w:rPr>
        <w:t>determinada</w:t>
      </w:r>
      <w:r w:rsidRPr="00E71075">
        <w:rPr>
          <w:rFonts w:ascii="Verdana" w:eastAsia="Calibri" w:hAnsi="Verdana" w:cs="Arial"/>
          <w:lang w:val="es-ES" w:eastAsia="es-ES_tradnl"/>
        </w:rPr>
        <w:t xml:space="preserve"> dentro de unos límites precisos. </w:t>
      </w:r>
      <w:r>
        <w:rPr>
          <w:rFonts w:ascii="Verdana" w:eastAsia="Calibri" w:hAnsi="Verdana" w:cs="Arial"/>
          <w:lang w:val="es-ES" w:eastAsia="es-ES_tradnl"/>
        </w:rPr>
        <w:t>Esta competencia</w:t>
      </w:r>
      <w:r w:rsidRPr="00E71075">
        <w:rPr>
          <w:rFonts w:ascii="Verdana" w:eastAsia="Calibri" w:hAnsi="Verdana" w:cs="Arial"/>
          <w:lang w:val="es-ES" w:eastAsia="es-ES_tradnl"/>
        </w:rPr>
        <w:t xml:space="preserve"> </w:t>
      </w:r>
      <w:r>
        <w:rPr>
          <w:rFonts w:ascii="Verdana" w:eastAsia="Calibri" w:hAnsi="Verdana" w:cs="Arial"/>
          <w:lang w:val="es-ES" w:eastAsia="es-ES_tradnl"/>
        </w:rPr>
        <w:t>está</w:t>
      </w:r>
      <w:r w:rsidRPr="00E71075">
        <w:rPr>
          <w:rFonts w:ascii="Verdana" w:eastAsia="Calibri" w:hAnsi="Verdana" w:cs="Arial"/>
          <w:lang w:val="es-ES" w:eastAsia="es-ES_tradnl"/>
        </w:rPr>
        <w:t xml:space="preserve"> claramente delimitada en la expresión “</w:t>
      </w:r>
      <w:r>
        <w:rPr>
          <w:rFonts w:ascii="Verdana" w:eastAsia="Calibri" w:hAnsi="Verdana" w:cs="Arial"/>
          <w:lang w:eastAsia="es-ES_tradnl"/>
        </w:rPr>
        <w:t>A</w:t>
      </w:r>
      <w:r w:rsidRPr="003435F6">
        <w:rPr>
          <w:rFonts w:ascii="Verdana" w:eastAsia="Calibri" w:hAnsi="Verdana" w:cs="Arial"/>
          <w:lang w:eastAsia="es-ES_tradnl"/>
        </w:rPr>
        <w:t xml:space="preserve">bsolver consultas sobre la </w:t>
      </w:r>
      <w:r w:rsidRPr="003435F6">
        <w:rPr>
          <w:rFonts w:ascii="Verdana" w:eastAsia="Calibri" w:hAnsi="Verdana" w:cs="Arial"/>
          <w:i/>
          <w:iCs/>
          <w:lang w:eastAsia="es-ES_tradnl"/>
        </w:rPr>
        <w:t xml:space="preserve">aplicación </w:t>
      </w:r>
      <w:r w:rsidRPr="003435F6">
        <w:rPr>
          <w:rFonts w:ascii="Verdana" w:eastAsia="Calibri" w:hAnsi="Verdana" w:cs="Arial"/>
          <w:i/>
          <w:iCs/>
          <w:lang w:val="es-ES" w:eastAsia="es-ES_tradnl"/>
        </w:rPr>
        <w:t>de normas de carácter general</w:t>
      </w:r>
      <w:r w:rsidRPr="00E71075">
        <w:rPr>
          <w:rFonts w:ascii="Verdana" w:eastAsia="Calibri" w:hAnsi="Verdana" w:cs="Arial"/>
          <w:lang w:val="es-ES" w:eastAsia="es-ES_tradnl"/>
        </w:rPr>
        <w:t>”</w:t>
      </w:r>
      <w:r>
        <w:rPr>
          <w:rFonts w:ascii="Verdana" w:eastAsia="Calibri" w:hAnsi="Verdana" w:cs="Arial"/>
          <w:lang w:val="es-ES" w:eastAsia="es-ES_tradnl"/>
        </w:rPr>
        <w:t xml:space="preserve">, lo que significa </w:t>
      </w:r>
      <w:r w:rsidRPr="00E71075">
        <w:rPr>
          <w:rFonts w:ascii="Verdana" w:eastAsia="Calibri" w:hAnsi="Verdana" w:cs="Arial"/>
          <w:lang w:val="es-ES" w:eastAsia="es-ES_tradnl"/>
        </w:rPr>
        <w:t>no son admisibles las consultas que busquen la solución de problemas generados en procesos de contratación particulares o cuyo propósito implique la validación de las decisiones y/o actuaciones que “</w:t>
      </w:r>
      <w:r w:rsidRPr="00E71075">
        <w:rPr>
          <w:rFonts w:ascii="Verdana" w:eastAsia="Calibri" w:hAnsi="Verdana" w:cs="Arial"/>
          <w:i/>
          <w:iCs/>
          <w:lang w:val="es-ES" w:eastAsia="es-ES_tradnl"/>
        </w:rPr>
        <w:t>pueden</w:t>
      </w:r>
      <w:r w:rsidRPr="00E71075">
        <w:rPr>
          <w:rFonts w:ascii="Verdana" w:eastAsia="Calibri" w:hAnsi="Verdana" w:cs="Arial"/>
          <w:lang w:val="es-ES" w:eastAsia="es-ES_tradnl"/>
        </w:rPr>
        <w:t xml:space="preserve">” adelantar las autoridades y/o los </w:t>
      </w:r>
      <w:r w:rsidRPr="00E71075">
        <w:rPr>
          <w:rFonts w:ascii="Verdana" w:eastAsia="Calibri" w:hAnsi="Verdana" w:cs="Arial"/>
          <w:lang w:val="es-ES" w:eastAsia="es-ES_tradnl"/>
        </w:rPr>
        <w:lastRenderedPageBreak/>
        <w:t>part</w:t>
      </w:r>
      <w:r>
        <w:rPr>
          <w:rFonts w:ascii="Verdana" w:eastAsia="Calibri" w:hAnsi="Verdana" w:cs="Arial"/>
          <w:lang w:val="es-ES" w:eastAsia="es-ES_tradnl"/>
        </w:rPr>
        <w:t>ícipes</w:t>
      </w:r>
      <w:r w:rsidRPr="00E71075">
        <w:rPr>
          <w:rFonts w:ascii="Verdana" w:eastAsia="Calibri" w:hAnsi="Verdana" w:cs="Arial"/>
          <w:lang w:val="es-ES" w:eastAsia="es-ES_tradnl"/>
        </w:rPr>
        <w:t xml:space="preserve"> del sistema de compras públicas, en ejercicio de la actividad contractual de las autoridades</w:t>
      </w:r>
      <w:r>
        <w:rPr>
          <w:rFonts w:ascii="Verdana" w:eastAsia="Calibri" w:hAnsi="Verdana" w:cs="Arial"/>
          <w:lang w:val="es-ES" w:eastAsia="es-ES_tradnl"/>
        </w:rPr>
        <w:t xml:space="preserve">. </w:t>
      </w:r>
    </w:p>
    <w:p w14:paraId="7A551428" w14:textId="77777777" w:rsidR="00B64F30" w:rsidRDefault="00B64F30" w:rsidP="00B64F30">
      <w:pPr>
        <w:tabs>
          <w:tab w:val="left" w:pos="426"/>
        </w:tabs>
        <w:spacing w:after="120" w:line="276" w:lineRule="auto"/>
        <w:ind w:firstLine="709"/>
        <w:jc w:val="both"/>
        <w:rPr>
          <w:rFonts w:ascii="Verdana" w:eastAsiaTheme="minorEastAsia" w:hAnsi="Verdana" w:cs="Arial"/>
          <w:spacing w:val="-9"/>
          <w:szCs w:val="24"/>
          <w:lang w:eastAsia="es-CO"/>
        </w:rPr>
      </w:pPr>
      <w:r>
        <w:rPr>
          <w:rFonts w:ascii="Verdana" w:eastAsia="Calibri" w:hAnsi="Verdana" w:cs="Arial"/>
          <w:color w:val="000000"/>
          <w:lang w:val="es-ES" w:eastAsia="es-ES"/>
        </w:rPr>
        <w:t xml:space="preserve">Asimismo, esas competencias </w:t>
      </w:r>
      <w:r w:rsidRPr="008F0413">
        <w:rPr>
          <w:rFonts w:ascii="Verdana" w:eastAsia="Calibri" w:hAnsi="Verdana" w:cs="Arial"/>
          <w:bCs/>
          <w:lang w:val="es-ES_tradnl"/>
        </w:rPr>
        <w:t>se relaciona con el artículo 28 de la Ley 1437 de 2011, sustituido por el artículo 1 de la Ley 1755,</w:t>
      </w:r>
      <w:r>
        <w:rPr>
          <w:rFonts w:ascii="Verdana" w:eastAsia="Calibri" w:hAnsi="Verdana" w:cs="Arial"/>
          <w:bCs/>
          <w:lang w:val="es-ES_tradnl"/>
        </w:rPr>
        <w:t xml:space="preserve"> por lo que</w:t>
      </w:r>
      <w:r w:rsidRPr="008F0413">
        <w:rPr>
          <w:rFonts w:ascii="Verdana" w:eastAsia="Calibri" w:hAnsi="Verdana" w:cs="Arial"/>
          <w:bCs/>
          <w:lang w:val="es-ES_tradnl"/>
        </w:rPr>
        <w:t xml:space="preserve"> </w:t>
      </w:r>
      <w:r>
        <w:rPr>
          <w:rFonts w:ascii="Verdana" w:eastAsia="Calibri" w:hAnsi="Verdana" w:cs="Arial"/>
          <w:color w:val="000000"/>
          <w:lang w:val="es-ES" w:eastAsia="es-ES"/>
        </w:rPr>
        <w:t xml:space="preserve">los conceptos emitidos por esta Subdirección en el marco de la función consultiva </w:t>
      </w:r>
      <w:bookmarkStart w:id="6" w:name="_Hlk200718672"/>
      <w:r>
        <w:rPr>
          <w:rFonts w:ascii="Verdana" w:eastAsia="Calibri" w:hAnsi="Verdana" w:cs="Arial"/>
          <w:color w:val="000000"/>
          <w:lang w:val="es-ES" w:eastAsia="es-ES"/>
        </w:rPr>
        <w:t>representan</w:t>
      </w:r>
      <w:r>
        <w:rPr>
          <w:rFonts w:ascii="Verdana" w:hAnsi="Verdana" w:cs="Arial"/>
          <w:lang w:eastAsia="es-ES"/>
        </w:rPr>
        <w:t xml:space="preserve"> una </w:t>
      </w:r>
      <w:r w:rsidRPr="008F0413">
        <w:rPr>
          <w:rFonts w:ascii="Verdana" w:eastAsia="Calibri" w:hAnsi="Verdana" w:cs="Arial"/>
          <w:bCs/>
          <w:lang w:val="es-ES_tradnl"/>
        </w:rPr>
        <w:t>posición hermenéutica respecto a las disposiciones normativas</w:t>
      </w:r>
      <w:r>
        <w:rPr>
          <w:rFonts w:ascii="Verdana" w:eastAsia="Calibri" w:hAnsi="Verdana" w:cs="Arial"/>
          <w:bCs/>
          <w:lang w:val="es-ES_tradnl"/>
        </w:rPr>
        <w:t xml:space="preserve"> del Sistema de Compras Públicas,</w:t>
      </w:r>
      <w:r w:rsidRPr="004E32E1">
        <w:rPr>
          <w:rFonts w:ascii="Verdana" w:hAnsi="Verdana" w:cs="Arial"/>
          <w:lang w:eastAsia="es-ES"/>
        </w:rPr>
        <w:t xml:space="preserve"> </w:t>
      </w:r>
      <w:bookmarkStart w:id="7" w:name="_Hlk42100007"/>
      <w:r>
        <w:rPr>
          <w:rFonts w:ascii="Verdana" w:hAnsi="Verdana" w:cs="Arial"/>
          <w:lang w:eastAsia="es-ES"/>
        </w:rPr>
        <w:t xml:space="preserve">que </w:t>
      </w:r>
      <w:r w:rsidRPr="00DF1D83">
        <w:rPr>
          <w:rFonts w:ascii="Verdana" w:eastAsia="Calibri" w:hAnsi="Verdana" w:cs="Arial"/>
          <w:bCs/>
          <w:lang w:val="es-ES_tradnl"/>
        </w:rPr>
        <w:t xml:space="preserve">no tienen efectos vinculantes </w:t>
      </w:r>
      <w:bookmarkEnd w:id="6"/>
      <w:r w:rsidRPr="00DF1D83">
        <w:rPr>
          <w:rFonts w:ascii="Verdana" w:eastAsia="Calibri" w:hAnsi="Verdana" w:cs="Arial"/>
          <w:bCs/>
          <w:lang w:val="es-ES_tradnl"/>
        </w:rPr>
        <w:t>en relación con una situación jurídica particular y concreta, y exponen un criterio que, aunque jurídicamente fundamentado, no representan la única interpretación válida del ordenamiento jurídico.</w:t>
      </w:r>
      <w:bookmarkEnd w:id="7"/>
      <w:r w:rsidRPr="0084273B">
        <w:rPr>
          <w:rFonts w:ascii="Verdana" w:eastAsiaTheme="minorEastAsia" w:hAnsi="Verdana" w:cs="Arial"/>
          <w:szCs w:val="24"/>
          <w:lang w:eastAsia="es-CO"/>
        </w:rPr>
        <w:t xml:space="preserve"> </w:t>
      </w:r>
      <w:r>
        <w:rPr>
          <w:rFonts w:ascii="Verdana" w:eastAsiaTheme="minorEastAsia" w:hAnsi="Verdana" w:cs="Arial"/>
          <w:szCs w:val="24"/>
          <w:lang w:eastAsia="es-CO"/>
        </w:rPr>
        <w:t>De este modo, las autoridades que ejercen funciones consultivas pueden expresar su</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Pr>
          <w:rFonts w:ascii="Verdana" w:eastAsiaTheme="minorEastAsia" w:hAnsi="Verdana" w:cs="Arial"/>
          <w:spacing w:val="1"/>
          <w:szCs w:val="24"/>
          <w:lang w:eastAsia="es-CO"/>
        </w:rPr>
        <w:t xml:space="preserve"> </w:t>
      </w:r>
      <w:r>
        <w:rPr>
          <w:rFonts w:ascii="Verdana" w:eastAsiaTheme="minorEastAsia" w:hAnsi="Verdana" w:cs="Arial"/>
          <w:szCs w:val="24"/>
          <w:lang w:eastAsia="es-CO"/>
        </w:rPr>
        <w:t>virtud</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la</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utilización</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de</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conceptos</w:t>
      </w:r>
      <w:r>
        <w:rPr>
          <w:rFonts w:ascii="Verdana" w:eastAsiaTheme="minorEastAsia" w:hAnsi="Verdana" w:cs="Arial"/>
          <w:spacing w:val="-10"/>
          <w:szCs w:val="24"/>
          <w:lang w:eastAsia="es-CO"/>
        </w:rPr>
        <w:t xml:space="preserve"> </w:t>
      </w:r>
      <w:r>
        <w:rPr>
          <w:rFonts w:ascii="Verdana" w:eastAsiaTheme="minorEastAsia" w:hAnsi="Verdana" w:cs="Arial"/>
          <w:szCs w:val="24"/>
          <w:lang w:eastAsia="es-CO"/>
        </w:rPr>
        <w:t>jurídicos</w:t>
      </w:r>
      <w:r>
        <w:rPr>
          <w:rFonts w:ascii="Verdana" w:eastAsiaTheme="minorEastAsia" w:hAnsi="Verdana" w:cs="Arial"/>
          <w:spacing w:val="-9"/>
          <w:szCs w:val="24"/>
          <w:lang w:eastAsia="es-CO"/>
        </w:rPr>
        <w:t xml:space="preserve"> </w:t>
      </w:r>
      <w:r>
        <w:rPr>
          <w:rFonts w:ascii="Verdana" w:eastAsiaTheme="minorEastAsia" w:hAnsi="Verdana" w:cs="Arial"/>
          <w:szCs w:val="24"/>
          <w:lang w:eastAsia="es-CO"/>
        </w:rPr>
        <w:t>indeterminados.</w:t>
      </w:r>
      <w:r>
        <w:rPr>
          <w:rFonts w:ascii="Verdana" w:eastAsiaTheme="minorEastAsia" w:hAnsi="Verdana" w:cs="Arial"/>
          <w:spacing w:val="-9"/>
          <w:szCs w:val="24"/>
          <w:lang w:eastAsia="es-CO"/>
        </w:rPr>
        <w:t xml:space="preserve"> </w:t>
      </w:r>
    </w:p>
    <w:p w14:paraId="2CF3328D" w14:textId="77777777" w:rsidR="00B64F30" w:rsidRDefault="00B64F30" w:rsidP="00B64F30">
      <w:pPr>
        <w:tabs>
          <w:tab w:val="left" w:pos="426"/>
        </w:tabs>
        <w:spacing w:after="120" w:line="276" w:lineRule="auto"/>
        <w:ind w:firstLine="709"/>
        <w:jc w:val="both"/>
        <w:rPr>
          <w:rFonts w:ascii="Verdana" w:eastAsia="Calibri" w:hAnsi="Verdana" w:cs="Arial"/>
          <w:bCs/>
          <w:lang w:val="es-ES_tradnl"/>
        </w:rPr>
      </w:pPr>
      <w:r w:rsidRPr="008F0413">
        <w:rPr>
          <w:rFonts w:ascii="Verdana" w:eastAsia="Calibri" w:hAnsi="Verdana" w:cs="Arial"/>
          <w:bCs/>
          <w:lang w:val="es-ES_tradnl"/>
        </w:rPr>
        <w:t>En términos generales, lo que se busca es que la opinión jurídica de la entidad sirva a los ciudadanos y a la administración pública para el ejercicio de sus derechos y la defensa de sus intereses, y como criterio de orientación para el cumplimiento de sus competencias legales, sin que tome partida por uno u otro, pues a la autoridad que emite el concepto no le compete resolver una controversia o prevenir una problemática, esto es, no le corresponde determinar quién tienen la razón en su interpretación normativa.</w:t>
      </w:r>
    </w:p>
    <w:p w14:paraId="08E713FB" w14:textId="77777777" w:rsidR="00B64F30" w:rsidRPr="00970824" w:rsidRDefault="00B64F30" w:rsidP="00B64F30">
      <w:pPr>
        <w:spacing w:after="120" w:line="276" w:lineRule="auto"/>
        <w:ind w:firstLine="709"/>
        <w:jc w:val="both"/>
        <w:rPr>
          <w:rFonts w:ascii="Verdana" w:eastAsia="Times New Roman" w:hAnsi="Verdana" w:cs="Arial"/>
          <w:bCs/>
          <w:lang w:val="es-MX" w:eastAsia="x-none"/>
        </w:rPr>
      </w:pPr>
      <w:r w:rsidRPr="00DE6146">
        <w:rPr>
          <w:rFonts w:ascii="Verdana" w:eastAsia="Times New Roman" w:hAnsi="Verdana" w:cs="Arial"/>
          <w:bCs/>
          <w:lang w:val="es-MX" w:eastAsia="x-none"/>
        </w:rPr>
        <w:t>En consecuencia, la interpretación contenida en e</w:t>
      </w:r>
      <w:r>
        <w:rPr>
          <w:rFonts w:ascii="Verdana" w:eastAsia="Times New Roman" w:hAnsi="Verdana" w:cs="Arial"/>
          <w:bCs/>
          <w:lang w:val="es-MX" w:eastAsia="x-none"/>
        </w:rPr>
        <w:t>ste</w:t>
      </w:r>
      <w:r w:rsidRPr="00DE6146">
        <w:rPr>
          <w:rFonts w:ascii="Verdana" w:eastAsia="Times New Roman" w:hAnsi="Verdana" w:cs="Arial"/>
          <w:bCs/>
          <w:lang w:val="es-MX" w:eastAsia="x-none"/>
        </w:rPr>
        <w:t xml:space="preserve"> concepto</w:t>
      </w:r>
      <w:r>
        <w:rPr>
          <w:rFonts w:ascii="Verdana" w:eastAsia="Times New Roman" w:hAnsi="Verdana" w:cs="Arial"/>
          <w:bCs/>
          <w:lang w:val="es-MX" w:eastAsia="x-none"/>
        </w:rPr>
        <w:t xml:space="preserve"> no</w:t>
      </w:r>
      <w:r w:rsidRPr="00DE6146">
        <w:rPr>
          <w:rFonts w:ascii="Verdana" w:eastAsia="Times New Roman" w:hAnsi="Verdana" w:cs="Arial"/>
          <w:bCs/>
          <w:lang w:val="es-MX" w:eastAsia="x-none"/>
        </w:rPr>
        <w:t xml:space="preserve"> impli</w:t>
      </w:r>
      <w:r>
        <w:rPr>
          <w:rFonts w:ascii="Verdana" w:eastAsia="Times New Roman" w:hAnsi="Verdana" w:cs="Arial"/>
          <w:bCs/>
          <w:lang w:val="es-MX" w:eastAsia="x-none"/>
        </w:rPr>
        <w:t>ca</w:t>
      </w:r>
      <w:r w:rsidRPr="00DE6146">
        <w:rPr>
          <w:rFonts w:ascii="Verdana" w:eastAsia="Times New Roman" w:hAnsi="Verdana" w:cs="Arial"/>
          <w:bCs/>
          <w:lang w:val="es-MX" w:eastAsia="x-none"/>
        </w:rPr>
        <w:t xml:space="preserve"> la paralización de procedimientos administrativos o contractuales como los relacionados con la gestión predial para proyectos de infraestructura. La determinación sobre la forma de adelantar dichos procedimientos, así como la valoración de las normas aplicables en cada caso concreto, corresponde </w:t>
      </w:r>
      <w:r w:rsidRPr="002F1004">
        <w:rPr>
          <w:rFonts w:ascii="Verdana" w:eastAsia="Times New Roman" w:hAnsi="Verdana" w:cs="Arial"/>
          <w:b/>
          <w:i/>
          <w:iCs/>
          <w:lang w:val="es-MX" w:eastAsia="x-none"/>
        </w:rPr>
        <w:t>exclusivamente</w:t>
      </w:r>
      <w:r w:rsidRPr="00784B93">
        <w:rPr>
          <w:rFonts w:ascii="Verdana" w:eastAsia="Times New Roman" w:hAnsi="Verdana" w:cs="Arial"/>
          <w:b/>
          <w:lang w:val="es-MX" w:eastAsia="x-none"/>
        </w:rPr>
        <w:t xml:space="preserve"> </w:t>
      </w:r>
      <w:r w:rsidRPr="00DE6146">
        <w:rPr>
          <w:rFonts w:ascii="Verdana" w:eastAsia="Times New Roman" w:hAnsi="Verdana" w:cs="Arial"/>
          <w:bCs/>
          <w:lang w:val="es-MX" w:eastAsia="x-none"/>
        </w:rPr>
        <w:t>a las entidades estatales en el marco de sus competencias funcionales, quienes deben adoptar las decisiones que estimen pertinentes con fundamento en su propio análisis jurídico y en el principio de responsabilidad en el ejercicio de la función administrativa.</w:t>
      </w:r>
    </w:p>
    <w:p w14:paraId="23F645F9" w14:textId="77777777" w:rsidR="00B64F30" w:rsidRPr="00086CBB" w:rsidRDefault="00B64F30" w:rsidP="00B64F30">
      <w:pPr>
        <w:tabs>
          <w:tab w:val="left" w:pos="426"/>
        </w:tabs>
        <w:spacing w:after="120" w:line="276" w:lineRule="auto"/>
        <w:ind w:firstLine="709"/>
        <w:jc w:val="both"/>
        <w:rPr>
          <w:rFonts w:ascii="Verdana" w:eastAsia="Calibri" w:hAnsi="Verdana" w:cs="Arial"/>
          <w:bCs/>
          <w:color w:val="000000" w:themeColor="text1"/>
        </w:rPr>
      </w:pPr>
      <w:r w:rsidRPr="00F60A0F">
        <w:rPr>
          <w:rFonts w:ascii="Verdana" w:hAnsi="Verdana"/>
        </w:rPr>
        <w:t xml:space="preserve">Por tanto, </w:t>
      </w:r>
      <w:r>
        <w:rPr>
          <w:rFonts w:ascii="Verdana" w:hAnsi="Verdana"/>
        </w:rPr>
        <w:t xml:space="preserve">se reitera que </w:t>
      </w:r>
      <w:r>
        <w:rPr>
          <w:rFonts w:ascii="Verdana" w:eastAsia="Calibri" w:hAnsi="Verdana" w:cs="Arial"/>
          <w:bCs/>
          <w:color w:val="000000" w:themeColor="text1"/>
        </w:rPr>
        <w:t xml:space="preserve">el análisis requerido para resolver problemas específicos en torno a la gestión contractual de las entidades públicas y concretamente sobre la situación expuesta debe ser realizado por quienes tengan interés en ello, de acuerdo con lo explicado en este concepto. De esta manera, las afirmaciones aquí realizadas no pueden ser interpretadas como </w:t>
      </w:r>
      <w:r>
        <w:rPr>
          <w:rFonts w:ascii="Verdana" w:eastAsia="Calibri" w:hAnsi="Verdana" w:cs="Arial"/>
          <w:bCs/>
          <w:color w:val="000000" w:themeColor="text1"/>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9E7275E" w14:textId="77777777" w:rsidR="00B64F30" w:rsidRDefault="00B64F30" w:rsidP="00B64F30">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3DE06AE" w14:textId="77777777" w:rsidR="00B64F30" w:rsidRDefault="00B64F30" w:rsidP="00B64F30">
      <w:pPr>
        <w:spacing w:after="0" w:line="276" w:lineRule="auto"/>
        <w:ind w:firstLine="709"/>
        <w:jc w:val="both"/>
        <w:rPr>
          <w:rFonts w:ascii="Verdana" w:eastAsia="Calibri" w:hAnsi="Verdana" w:cs="Arial"/>
          <w:bCs/>
          <w:color w:val="000000" w:themeColor="text1"/>
        </w:rPr>
      </w:pPr>
    </w:p>
    <w:p w14:paraId="27B330A2" w14:textId="77777777" w:rsidR="00B64F30" w:rsidRDefault="00B64F30" w:rsidP="00B64F30">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Referencias normativas:</w:t>
      </w:r>
    </w:p>
    <w:p w14:paraId="205D6E3A" w14:textId="77777777" w:rsidR="00B64F30" w:rsidRDefault="00B64F30" w:rsidP="00B64F30">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64F30" w14:paraId="3298F24D" w14:textId="77777777" w:rsidTr="009972BF">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3B5A6377" w14:textId="77777777" w:rsidR="00B64F30" w:rsidRDefault="00B64F30" w:rsidP="00B64F30">
            <w:pPr>
              <w:pStyle w:val="Prrafodelista"/>
              <w:widowControl w:val="0"/>
              <w:numPr>
                <w:ilvl w:val="0"/>
                <w:numId w:val="2"/>
              </w:numPr>
              <w:autoSpaceDE w:val="0"/>
              <w:autoSpaceDN w:val="0"/>
              <w:spacing w:after="120" w:line="276" w:lineRule="auto"/>
              <w:ind w:left="714" w:hanging="357"/>
              <w:jc w:val="both"/>
              <w:rPr>
                <w:rFonts w:ascii="Verdana" w:hAnsi="Verdana" w:cs="Arial"/>
              </w:rPr>
            </w:pPr>
            <w:r>
              <w:rPr>
                <w:rFonts w:ascii="Verdana" w:hAnsi="Verdana" w:cs="Arial"/>
              </w:rPr>
              <w:t>Constitución Política de 1991, artículos 127, 197 y 209.</w:t>
            </w:r>
          </w:p>
          <w:p w14:paraId="15A68F25" w14:textId="77777777" w:rsidR="00B64F30" w:rsidRDefault="00B64F30" w:rsidP="00B64F30">
            <w:pPr>
              <w:pStyle w:val="Prrafodelista"/>
              <w:widowControl w:val="0"/>
              <w:numPr>
                <w:ilvl w:val="0"/>
                <w:numId w:val="2"/>
              </w:numPr>
              <w:autoSpaceDE w:val="0"/>
              <w:autoSpaceDN w:val="0"/>
              <w:spacing w:after="120" w:line="276" w:lineRule="auto"/>
              <w:ind w:left="714" w:hanging="357"/>
              <w:jc w:val="both"/>
              <w:rPr>
                <w:rFonts w:ascii="Verdana" w:hAnsi="Verdana" w:cs="Arial"/>
              </w:rPr>
            </w:pPr>
            <w:r>
              <w:rPr>
                <w:rFonts w:ascii="Verdana" w:hAnsi="Verdana" w:cs="Arial"/>
              </w:rPr>
              <w:t>Ley 80 de 1993, artículos 2, 32, 39 y 41.</w:t>
            </w:r>
          </w:p>
          <w:p w14:paraId="31CE39C9" w14:textId="77777777" w:rsidR="00B64F30" w:rsidRDefault="00B64F30" w:rsidP="00B64F30">
            <w:pPr>
              <w:pStyle w:val="Prrafodelista"/>
              <w:widowControl w:val="0"/>
              <w:numPr>
                <w:ilvl w:val="0"/>
                <w:numId w:val="2"/>
              </w:numPr>
              <w:autoSpaceDE w:val="0"/>
              <w:autoSpaceDN w:val="0"/>
              <w:spacing w:after="120" w:line="276" w:lineRule="auto"/>
              <w:ind w:left="714" w:hanging="357"/>
              <w:jc w:val="both"/>
              <w:rPr>
                <w:rFonts w:ascii="Verdana" w:hAnsi="Verdana" w:cs="Arial"/>
              </w:rPr>
            </w:pPr>
            <w:r>
              <w:rPr>
                <w:rFonts w:ascii="Verdana" w:hAnsi="Verdana" w:cs="Arial"/>
              </w:rPr>
              <w:t>Ley 338 de 1997, artículos 58 y ss.</w:t>
            </w:r>
          </w:p>
          <w:p w14:paraId="4F8BA877" w14:textId="77777777" w:rsidR="00B64F30" w:rsidRDefault="00B64F30" w:rsidP="00B64F30">
            <w:pPr>
              <w:pStyle w:val="Prrafodelista"/>
              <w:widowControl w:val="0"/>
              <w:numPr>
                <w:ilvl w:val="0"/>
                <w:numId w:val="2"/>
              </w:numPr>
              <w:autoSpaceDE w:val="0"/>
              <w:autoSpaceDN w:val="0"/>
              <w:spacing w:after="120" w:line="276" w:lineRule="auto"/>
              <w:ind w:left="714" w:hanging="357"/>
              <w:jc w:val="both"/>
              <w:rPr>
                <w:rFonts w:ascii="Verdana" w:hAnsi="Verdana" w:cs="Arial"/>
              </w:rPr>
            </w:pPr>
            <w:r>
              <w:rPr>
                <w:rFonts w:ascii="Verdana" w:hAnsi="Verdana" w:cs="Arial"/>
              </w:rPr>
              <w:t xml:space="preserve">Ley 996 de 2005, artículo 33 </w:t>
            </w:r>
          </w:p>
          <w:p w14:paraId="3BCAABE8" w14:textId="77777777" w:rsidR="00B64F30" w:rsidRDefault="00B64F30" w:rsidP="00B64F30">
            <w:pPr>
              <w:pStyle w:val="Prrafodelista"/>
              <w:widowControl w:val="0"/>
              <w:numPr>
                <w:ilvl w:val="0"/>
                <w:numId w:val="2"/>
              </w:numPr>
              <w:autoSpaceDE w:val="0"/>
              <w:autoSpaceDN w:val="0"/>
              <w:spacing w:after="120" w:line="276" w:lineRule="auto"/>
              <w:ind w:left="714" w:hanging="357"/>
              <w:jc w:val="both"/>
              <w:rPr>
                <w:rFonts w:ascii="Verdana" w:hAnsi="Verdana" w:cs="Arial"/>
              </w:rPr>
            </w:pPr>
            <w:r>
              <w:rPr>
                <w:rFonts w:ascii="Verdana" w:hAnsi="Verdana" w:cs="Arial"/>
              </w:rPr>
              <w:t>Ley 1150 de 2007, artículos 1 y 2.</w:t>
            </w:r>
          </w:p>
          <w:p w14:paraId="6931B27A" w14:textId="77777777" w:rsidR="00B64F30" w:rsidRDefault="00B64F30" w:rsidP="00B64F30">
            <w:pPr>
              <w:pStyle w:val="Prrafodelista"/>
              <w:widowControl w:val="0"/>
              <w:numPr>
                <w:ilvl w:val="0"/>
                <w:numId w:val="2"/>
              </w:numPr>
              <w:autoSpaceDE w:val="0"/>
              <w:autoSpaceDN w:val="0"/>
              <w:spacing w:line="276" w:lineRule="auto"/>
              <w:ind w:left="714" w:hanging="357"/>
              <w:jc w:val="both"/>
              <w:rPr>
                <w:rFonts w:ascii="Verdana" w:hAnsi="Verdana" w:cs="Arial"/>
              </w:rPr>
            </w:pPr>
            <w:r>
              <w:rPr>
                <w:rFonts w:ascii="Verdana" w:hAnsi="Verdana" w:cs="Arial"/>
              </w:rPr>
              <w:t>Código Civil, artículo 1501.</w:t>
            </w:r>
          </w:p>
        </w:tc>
      </w:tr>
    </w:tbl>
    <w:p w14:paraId="309430BE" w14:textId="77777777" w:rsidR="00B64F30" w:rsidRDefault="00B64F30" w:rsidP="00B64F30">
      <w:pPr>
        <w:widowControl w:val="0"/>
        <w:autoSpaceDE w:val="0"/>
        <w:autoSpaceDN w:val="0"/>
        <w:spacing w:after="0" w:line="276" w:lineRule="auto"/>
        <w:jc w:val="both"/>
        <w:rPr>
          <w:rFonts w:ascii="Verdana" w:hAnsi="Verdana" w:cs="Arial"/>
        </w:rPr>
      </w:pPr>
    </w:p>
    <w:p w14:paraId="401EA86A" w14:textId="77777777" w:rsidR="00B64F30" w:rsidRDefault="00B64F30" w:rsidP="00B64F30">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732FB79B" w14:textId="77777777" w:rsidR="00B64F30" w:rsidRDefault="00B64F30" w:rsidP="00B64F30">
      <w:pPr>
        <w:widowControl w:val="0"/>
        <w:autoSpaceDE w:val="0"/>
        <w:autoSpaceDN w:val="0"/>
        <w:spacing w:after="0" w:line="276" w:lineRule="auto"/>
        <w:jc w:val="both"/>
        <w:rPr>
          <w:rFonts w:ascii="Verdana" w:hAnsi="Verdana" w:cs="Arial"/>
        </w:rPr>
      </w:pPr>
    </w:p>
    <w:p w14:paraId="08A3B1FE" w14:textId="77777777" w:rsidR="00B64F30" w:rsidRDefault="00B64F30" w:rsidP="00B64F30">
      <w:pPr>
        <w:widowControl w:val="0"/>
        <w:autoSpaceDE w:val="0"/>
        <w:autoSpaceDN w:val="0"/>
        <w:spacing w:after="0" w:line="276" w:lineRule="auto"/>
        <w:jc w:val="both"/>
        <w:rPr>
          <w:rStyle w:val="normaltextrun"/>
          <w:shd w:val="clear" w:color="auto" w:fill="FFFFFF"/>
        </w:rPr>
      </w:pPr>
      <w:r>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w:t>
      </w:r>
      <w:r>
        <w:rPr>
          <w:rFonts w:ascii="Verdana" w:hAnsi="Verdana" w:cs="Arial"/>
          <w:shd w:val="clear" w:color="auto" w:fill="FFFFFF"/>
        </w:rPr>
        <w:lastRenderedPageBreak/>
        <w:t>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C-1512 del 27 de octubre de 2025, C-1529 del 4 de noviembre de 2025, C-1799 y C-1501 de 2026, C-091 del 27 de enero de 2026, entre otros</w:t>
      </w:r>
      <w:r>
        <w:rPr>
          <w:rFonts w:ascii="Verdana" w:hAnsi="Verdana"/>
        </w:rPr>
        <w:t>.</w:t>
      </w:r>
      <w:r>
        <w:rPr>
          <w:rFonts w:ascii="Verdana" w:hAnsi="Verdana" w:cs="Arial"/>
          <w:shd w:val="clear" w:color="auto" w:fill="FFFFFF"/>
        </w:rPr>
        <w:t xml:space="preserve"> Estos y otros </w:t>
      </w:r>
      <w:r>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AF01A58" w14:textId="77777777" w:rsidR="00B64F30" w:rsidRPr="00C15525" w:rsidRDefault="00B64F30" w:rsidP="00B64F30">
      <w:pPr>
        <w:widowControl w:val="0"/>
        <w:autoSpaceDE w:val="0"/>
        <w:autoSpaceDN w:val="0"/>
        <w:spacing w:after="0" w:line="276" w:lineRule="auto"/>
        <w:jc w:val="both"/>
        <w:rPr>
          <w:color w:val="000000" w:themeColor="text1"/>
        </w:rPr>
      </w:pPr>
    </w:p>
    <w:p w14:paraId="382F56DE" w14:textId="77777777" w:rsidR="00B64F30" w:rsidRPr="00C15525" w:rsidRDefault="00B64F30" w:rsidP="00B64F30">
      <w:pPr>
        <w:jc w:val="both"/>
        <w:rPr>
          <w:rFonts w:ascii="Verdana" w:hAnsi="Verdana"/>
        </w:rPr>
      </w:pPr>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3" w:tgtFrame="_new" w:history="1">
        <w:r w:rsidRPr="00C15525">
          <w:rPr>
            <w:rFonts w:ascii="Verdana" w:hAnsi="Verdana"/>
            <w:color w:val="0000FF"/>
            <w:u w:val="single"/>
          </w:rPr>
          <w:t>https://formacionvirtual.colombiacompra.gov.co/mod/page/view.php?id=3718</w:t>
        </w:r>
      </w:hyperlink>
    </w:p>
    <w:p w14:paraId="0B2465A2" w14:textId="77777777" w:rsidR="00B64F30" w:rsidRPr="00C15525" w:rsidRDefault="00B64F30" w:rsidP="00B64F30">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15525">
          <w:rPr>
            <w:rFonts w:ascii="Verdana" w:hAnsi="Verdana"/>
            <w:color w:val="0000FF"/>
            <w:u w:val="single"/>
          </w:rPr>
          <w:t>https://www.colombiacompra.gov.co/normativa-y-relatoria/documentos-tipo</w:t>
        </w:r>
      </w:hyperlink>
    </w:p>
    <w:p w14:paraId="0E5BA94F" w14:textId="77777777" w:rsidR="00B64F30" w:rsidRPr="00C15525" w:rsidRDefault="00B64F30" w:rsidP="00B64F30">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xml:space="preserve">. En </w:t>
      </w:r>
      <w:r w:rsidRPr="00C15525">
        <w:rPr>
          <w:rFonts w:ascii="Verdana" w:hAnsi="Verdana"/>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15"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6D7AEAAD" w14:textId="77777777" w:rsidR="00B64F30" w:rsidRPr="00C15525" w:rsidRDefault="00B64F30" w:rsidP="00B64F30">
      <w:pPr>
        <w:spacing w:after="0"/>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F89EAC8" w14:textId="77777777" w:rsidR="00B64F30" w:rsidRPr="00C15525" w:rsidRDefault="00B64F30" w:rsidP="00B64F30">
      <w:pPr>
        <w:spacing w:after="0"/>
        <w:jc w:val="both"/>
        <w:rPr>
          <w:rFonts w:ascii="Verdana" w:hAnsi="Verdana"/>
        </w:rPr>
      </w:pPr>
    </w:p>
    <w:p w14:paraId="0900BEEB" w14:textId="77777777" w:rsidR="00B64F30" w:rsidRPr="00C15525" w:rsidRDefault="00B64F30" w:rsidP="00B64F30">
      <w:pPr>
        <w:numPr>
          <w:ilvl w:val="0"/>
          <w:numId w:val="3"/>
        </w:numPr>
        <w:spacing w:after="0" w:line="240" w:lineRule="auto"/>
        <w:contextualSpacing/>
        <w:jc w:val="both"/>
        <w:rPr>
          <w:rFonts w:ascii="Verdana" w:eastAsia="Verdana" w:hAnsi="Verdana" w:cs="Verdana"/>
          <w:color w:val="156082"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7CA9030D" w14:textId="77777777" w:rsidR="00B64F30" w:rsidRPr="00C15525" w:rsidRDefault="00B64F30" w:rsidP="00B64F30">
      <w:pPr>
        <w:numPr>
          <w:ilvl w:val="0"/>
          <w:numId w:val="3"/>
        </w:numPr>
        <w:spacing w:after="0" w:line="256" w:lineRule="auto"/>
        <w:contextualSpacing/>
        <w:rPr>
          <w:rFonts w:ascii="Verdana" w:eastAsia="Verdana" w:hAnsi="Verdana" w:cs="Verdana"/>
          <w:color w:val="156082"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7AE70713" w14:textId="77777777" w:rsidR="00B64F30" w:rsidRPr="00C15525" w:rsidRDefault="00B64F30" w:rsidP="00B64F30">
      <w:pPr>
        <w:numPr>
          <w:ilvl w:val="0"/>
          <w:numId w:val="3"/>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16" w:history="1">
        <w:r w:rsidRPr="00C15525">
          <w:rPr>
            <w:rFonts w:ascii="Verdana" w:eastAsia="Verdana" w:hAnsi="Verdana" w:cs="Verdana"/>
            <w:color w:val="0000FF"/>
            <w:u w:val="single"/>
            <w:lang w:val="es-MX"/>
          </w:rPr>
          <w:t>ventanilladeradicacion@colombiacompra.gov.co</w:t>
        </w:r>
      </w:hyperlink>
    </w:p>
    <w:p w14:paraId="0C075FC3" w14:textId="77777777" w:rsidR="00B64F30" w:rsidRPr="00C15525" w:rsidRDefault="00B64F30" w:rsidP="00B64F30">
      <w:pPr>
        <w:numPr>
          <w:ilvl w:val="0"/>
          <w:numId w:val="3"/>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17" w:history="1">
        <w:r w:rsidRPr="00C15525">
          <w:rPr>
            <w:rFonts w:ascii="Verdana" w:eastAsia="Verdana" w:hAnsi="Verdana" w:cs="Verdana"/>
            <w:color w:val="0000FF"/>
            <w:u w:val="single"/>
            <w:lang w:val="es-MX"/>
          </w:rPr>
          <w:t>https://www.colombiacompra.gov.co/pqrsd/informacion-importante-antes-de-formular-una-pqrsd</w:t>
        </w:r>
      </w:hyperlink>
    </w:p>
    <w:p w14:paraId="11F1790F" w14:textId="77777777" w:rsidR="00B64F30" w:rsidRPr="00C15525" w:rsidRDefault="00B64F30" w:rsidP="00B64F30">
      <w:pPr>
        <w:spacing w:after="0" w:line="240" w:lineRule="auto"/>
        <w:ind w:left="720"/>
        <w:jc w:val="both"/>
        <w:rPr>
          <w:rFonts w:ascii="Verdana" w:hAnsi="Verdana"/>
        </w:rPr>
      </w:pPr>
    </w:p>
    <w:p w14:paraId="77BDF748" w14:textId="77777777" w:rsidR="00B64F30" w:rsidRPr="00C15525" w:rsidRDefault="00B64F30" w:rsidP="00B64F30">
      <w:pPr>
        <w:spacing w:after="0" w:line="240"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18"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4DC48642" w14:textId="77777777" w:rsidR="00B64F30" w:rsidRPr="00C15525" w:rsidRDefault="00B64F30" w:rsidP="00B64F30">
      <w:pPr>
        <w:spacing w:after="0" w:line="240" w:lineRule="auto"/>
        <w:rPr>
          <w:rFonts w:ascii="Verdana" w:hAnsi="Verdana"/>
        </w:rPr>
      </w:pPr>
    </w:p>
    <w:p w14:paraId="075F6A9F" w14:textId="77777777" w:rsidR="00B64F30" w:rsidRPr="00C15525" w:rsidRDefault="00B64F30" w:rsidP="00B64F30">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728A04AA" w14:textId="77777777" w:rsidR="00B64F30" w:rsidRPr="00C15525" w:rsidRDefault="00B64F30" w:rsidP="00B64F30">
      <w:pPr>
        <w:spacing w:after="0" w:line="240" w:lineRule="auto"/>
        <w:jc w:val="both"/>
        <w:rPr>
          <w:rFonts w:ascii="Verdana" w:hAnsi="Verdana"/>
        </w:rPr>
      </w:pPr>
    </w:p>
    <w:p w14:paraId="33E1E2B9" w14:textId="77777777" w:rsidR="00B64F30" w:rsidRPr="00C15525" w:rsidRDefault="00B64F30" w:rsidP="00B64F30">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7BC39B82" w14:textId="77777777" w:rsidR="00B64F30" w:rsidRPr="00C15525" w:rsidRDefault="00B64F30" w:rsidP="00B64F30">
      <w:pPr>
        <w:spacing w:after="0" w:line="240"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1A31D54C" w14:textId="77777777" w:rsidR="00B64F30" w:rsidRPr="00C15525" w:rsidRDefault="00B64F30" w:rsidP="00B64F30">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04D07CE2" w14:textId="77777777" w:rsidR="00B64F30" w:rsidRPr="008278B1" w:rsidRDefault="00B64F30" w:rsidP="00B64F30">
      <w:pPr>
        <w:widowControl w:val="0"/>
        <w:autoSpaceDE w:val="0"/>
        <w:autoSpaceDN w:val="0"/>
        <w:spacing w:after="120" w:line="276" w:lineRule="auto"/>
        <w:jc w:val="both"/>
        <w:rPr>
          <w:rFonts w:ascii="Verdana" w:hAnsi="Verdana" w:cs="Arial"/>
          <w:lang w:val="es-ES"/>
        </w:rPr>
      </w:pPr>
      <w:r w:rsidRPr="00C15525">
        <w:rPr>
          <w:rFonts w:ascii="Verdana" w:hAnsi="Verdana" w:cs="Arial"/>
          <w:color w:val="FF0000"/>
          <w:shd w:val="clear" w:color="auto" w:fill="FFFFFF"/>
          <w:lang w:val="es-ES_tradnl"/>
        </w:rPr>
        <w:t xml:space="preserve">        </w:t>
      </w:r>
    </w:p>
    <w:p w14:paraId="4D53AD63" w14:textId="77777777" w:rsidR="00B64F30" w:rsidRPr="008278B1" w:rsidRDefault="00B64F30" w:rsidP="00B64F30">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 xml:space="preserve">Este concepto tiene el alcance previsto en el artículo 28 del Código de Procedimiento Administrativo y de lo Contencioso Administrativo y las </w:t>
      </w:r>
      <w:r w:rsidRPr="008278B1">
        <w:rPr>
          <w:rFonts w:ascii="Verdana" w:hAnsi="Verdana" w:cs="Arial"/>
          <w:lang w:val="es-ES"/>
        </w:rPr>
        <w:lastRenderedPageBreak/>
        <w:t>expresiones aquí utilizadas con mayúscula inicial deben ser entendidas con el significado que les otorga el artículo 2.2.1.1.1.3.1. del Decreto 1082 de 2015.</w:t>
      </w:r>
    </w:p>
    <w:p w14:paraId="1E2F8D27" w14:textId="77777777" w:rsidR="00B64F30" w:rsidRPr="008278B1" w:rsidRDefault="00B64F30" w:rsidP="00B64F30">
      <w:pPr>
        <w:widowControl w:val="0"/>
        <w:autoSpaceDE w:val="0"/>
        <w:autoSpaceDN w:val="0"/>
        <w:spacing w:after="0" w:line="276" w:lineRule="auto"/>
        <w:jc w:val="both"/>
        <w:rPr>
          <w:rFonts w:ascii="Verdana" w:hAnsi="Verdana" w:cs="Arial"/>
          <w:lang w:val="es-ES"/>
        </w:rPr>
      </w:pPr>
    </w:p>
    <w:p w14:paraId="2146D102" w14:textId="77777777" w:rsidR="00B64F30" w:rsidRPr="00BF2B1C" w:rsidRDefault="00B64F30" w:rsidP="00B64F30">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34CD0A47" w14:textId="1E28545C" w:rsidR="00B64F30" w:rsidRPr="00AD4F6A" w:rsidRDefault="00256973" w:rsidP="00B64F30">
      <w:pPr>
        <w:spacing w:line="276" w:lineRule="auto"/>
        <w:jc w:val="center"/>
        <w:rPr>
          <w:rFonts w:ascii="Verdana" w:hAnsi="Verdana" w:cs="Arial"/>
          <w:color w:val="000000"/>
          <w:lang w:eastAsia="es-CO"/>
        </w:rPr>
      </w:pPr>
      <w:r w:rsidRPr="00F21F0B">
        <w:rPr>
          <w:rFonts w:ascii="Century Gothic" w:hAnsi="Century Gothic"/>
          <w:noProof/>
        </w:rPr>
        <w:drawing>
          <wp:inline distT="0" distB="0" distL="0" distR="0" wp14:anchorId="0C391F52" wp14:editId="067354B9">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64F30" w:rsidRPr="00AD4F6A" w14:paraId="5B584D52" w14:textId="77777777" w:rsidTr="009972BF">
        <w:trPr>
          <w:trHeight w:val="315"/>
        </w:trPr>
        <w:tc>
          <w:tcPr>
            <w:tcW w:w="893" w:type="dxa"/>
            <w:vAlign w:val="center"/>
            <w:hideMark/>
          </w:tcPr>
          <w:p w14:paraId="39100363" w14:textId="77777777" w:rsidR="00B64F30" w:rsidRPr="00AD4F6A" w:rsidRDefault="00B64F30" w:rsidP="009972BF">
            <w:pPr>
              <w:contextualSpacing/>
              <w:rPr>
                <w:rFonts w:ascii="Verdana" w:hAnsi="Verdana" w:cs="Arial"/>
                <w:sz w:val="16"/>
                <w:szCs w:val="16"/>
                <w:lang w:eastAsia="es-ES"/>
              </w:rPr>
            </w:pPr>
            <w:r w:rsidRPr="00AD4F6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65EAC48" w14:textId="77777777" w:rsidR="00B64F30" w:rsidRPr="00AD4F6A" w:rsidRDefault="00B64F30" w:rsidP="009972BF">
            <w:pPr>
              <w:contextualSpacing/>
              <w:rPr>
                <w:rFonts w:ascii="Verdana" w:hAnsi="Verdana"/>
                <w:sz w:val="16"/>
                <w:szCs w:val="16"/>
              </w:rPr>
            </w:pPr>
            <w:r w:rsidRPr="00AD4F6A">
              <w:rPr>
                <w:rFonts w:ascii="Verdana" w:hAnsi="Verdana"/>
                <w:sz w:val="16"/>
                <w:szCs w:val="16"/>
              </w:rPr>
              <w:t>Tatiana Baquero Iguarán</w:t>
            </w:r>
          </w:p>
          <w:p w14:paraId="69040C49" w14:textId="77777777" w:rsidR="00B64F30" w:rsidRPr="00AD4F6A" w:rsidRDefault="00B64F30" w:rsidP="009972BF">
            <w:pPr>
              <w:contextualSpacing/>
              <w:rPr>
                <w:rFonts w:ascii="Verdana" w:eastAsia="Arial" w:hAnsi="Verdana" w:cs="Arial"/>
                <w:sz w:val="16"/>
                <w:szCs w:val="16"/>
              </w:rPr>
            </w:pPr>
            <w:r w:rsidRPr="00AD4F6A">
              <w:rPr>
                <w:rFonts w:ascii="Verdana" w:hAnsi="Verdana"/>
                <w:sz w:val="16"/>
                <w:szCs w:val="16"/>
              </w:rPr>
              <w:t>Contratista de la Subdirección de Gestión Contractual</w:t>
            </w:r>
          </w:p>
        </w:tc>
      </w:tr>
      <w:tr w:rsidR="00B64F30" w:rsidRPr="00AD4F6A" w14:paraId="3AF01BB0" w14:textId="77777777" w:rsidTr="009972BF">
        <w:trPr>
          <w:trHeight w:val="330"/>
        </w:trPr>
        <w:tc>
          <w:tcPr>
            <w:tcW w:w="893" w:type="dxa"/>
            <w:vAlign w:val="center"/>
            <w:hideMark/>
          </w:tcPr>
          <w:p w14:paraId="659B25D8" w14:textId="77777777" w:rsidR="00B64F30" w:rsidRPr="00AD4F6A" w:rsidRDefault="00B64F30" w:rsidP="009972BF">
            <w:pPr>
              <w:contextualSpacing/>
              <w:rPr>
                <w:rFonts w:ascii="Verdana" w:hAnsi="Verdana" w:cs="Arial"/>
                <w:sz w:val="16"/>
                <w:szCs w:val="16"/>
                <w:lang w:eastAsia="es-ES"/>
              </w:rPr>
            </w:pPr>
            <w:r w:rsidRPr="00AD4F6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07AE42" w14:textId="77777777" w:rsidR="00B64F30" w:rsidRPr="00AD4F6A" w:rsidRDefault="00B64F30" w:rsidP="009972BF">
            <w:pPr>
              <w:textAlignment w:val="baseline"/>
              <w:rPr>
                <w:rFonts w:ascii="Verdana" w:eastAsia="Times New Roman" w:hAnsi="Verdana" w:cs="Arial"/>
                <w:sz w:val="16"/>
                <w:szCs w:val="16"/>
                <w:lang w:val="es-MX" w:eastAsia="es-CO"/>
              </w:rPr>
            </w:pPr>
            <w:r w:rsidRPr="00AD4F6A">
              <w:rPr>
                <w:rFonts w:ascii="Verdana" w:eastAsia="Times New Roman" w:hAnsi="Verdana" w:cs="Arial"/>
                <w:sz w:val="16"/>
                <w:szCs w:val="16"/>
                <w:lang w:val="es-MX" w:eastAsia="es-CO"/>
              </w:rPr>
              <w:t>Alejandro Raúl Sarmiento Cantillo</w:t>
            </w:r>
          </w:p>
          <w:p w14:paraId="1DB4C4D7" w14:textId="77777777" w:rsidR="00B64F30" w:rsidRPr="00AD4F6A" w:rsidRDefault="00B64F30" w:rsidP="009972BF">
            <w:pPr>
              <w:spacing w:before="100" w:beforeAutospacing="1" w:after="100" w:afterAutospacing="1"/>
              <w:contextualSpacing/>
              <w:textAlignment w:val="baseline"/>
              <w:rPr>
                <w:rFonts w:ascii="Verdana" w:eastAsia="Times New Roman" w:hAnsi="Verdana" w:cs="Segoe UI"/>
                <w:sz w:val="16"/>
                <w:szCs w:val="16"/>
                <w:lang w:eastAsia="es-ES_tradnl"/>
              </w:rPr>
            </w:pPr>
            <w:r w:rsidRPr="00AD4F6A">
              <w:rPr>
                <w:rFonts w:ascii="Verdana" w:eastAsia="Times New Roman" w:hAnsi="Verdana" w:cs="Arial"/>
                <w:sz w:val="16"/>
                <w:szCs w:val="16"/>
                <w:lang w:val="es-MX" w:eastAsia="es-CO"/>
              </w:rPr>
              <w:t>Gestor T1-15 de la Subdirección de Gestión Contractual</w:t>
            </w:r>
          </w:p>
        </w:tc>
      </w:tr>
      <w:tr w:rsidR="00B64F30" w:rsidRPr="00AD4F6A" w14:paraId="37874B28" w14:textId="77777777" w:rsidTr="009972BF">
        <w:trPr>
          <w:trHeight w:val="300"/>
        </w:trPr>
        <w:tc>
          <w:tcPr>
            <w:tcW w:w="893" w:type="dxa"/>
            <w:vAlign w:val="center"/>
          </w:tcPr>
          <w:p w14:paraId="2862EF87" w14:textId="77777777" w:rsidR="00B64F30" w:rsidRPr="00AD4F6A" w:rsidRDefault="00B64F30" w:rsidP="009972BF">
            <w:pPr>
              <w:contextualSpacing/>
              <w:rPr>
                <w:rFonts w:ascii="Verdana" w:hAnsi="Verdana" w:cs="Arial"/>
                <w:sz w:val="16"/>
                <w:szCs w:val="16"/>
                <w:lang w:eastAsia="es-ES"/>
              </w:rPr>
            </w:pPr>
            <w:r w:rsidRPr="00AD4F6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8BD78B" w14:textId="77777777" w:rsidR="00B64F30" w:rsidRPr="00AD4F6A" w:rsidRDefault="00B64F30" w:rsidP="009972BF">
            <w:pPr>
              <w:contextualSpacing/>
              <w:rPr>
                <w:rFonts w:ascii="Verdana" w:eastAsia="Calibri" w:hAnsi="Verdana" w:cs="Arial"/>
                <w:sz w:val="16"/>
                <w:szCs w:val="16"/>
                <w:lang w:eastAsia="es-ES"/>
              </w:rPr>
            </w:pPr>
            <w:r w:rsidRPr="00AD4F6A">
              <w:rPr>
                <w:rFonts w:ascii="Verdana" w:eastAsia="Calibri" w:hAnsi="Verdana" w:cs="Arial"/>
                <w:sz w:val="16"/>
                <w:szCs w:val="16"/>
                <w:lang w:eastAsia="es-ES"/>
              </w:rPr>
              <w:t>Carolina Quintero Gacharná</w:t>
            </w:r>
          </w:p>
          <w:p w14:paraId="6DD8F6F7" w14:textId="77777777" w:rsidR="00B64F30" w:rsidRPr="00AD4F6A" w:rsidRDefault="00B64F30" w:rsidP="009972BF">
            <w:pPr>
              <w:contextualSpacing/>
              <w:rPr>
                <w:rFonts w:ascii="Verdana" w:eastAsia="Calibri" w:hAnsi="Verdana" w:cs="Arial"/>
                <w:sz w:val="16"/>
                <w:szCs w:val="16"/>
                <w:lang w:eastAsia="es-ES"/>
              </w:rPr>
            </w:pPr>
            <w:r w:rsidRPr="00AD4F6A">
              <w:rPr>
                <w:rFonts w:ascii="Verdana" w:eastAsia="Calibri" w:hAnsi="Verdana" w:cs="Arial"/>
                <w:sz w:val="16"/>
                <w:szCs w:val="16"/>
                <w:lang w:eastAsia="es-ES"/>
              </w:rPr>
              <w:t>Subdirectora de Gestión Contractual ANCP – CCE</w:t>
            </w:r>
          </w:p>
        </w:tc>
      </w:tr>
    </w:tbl>
    <w:p w14:paraId="5C5B06E2" w14:textId="77777777" w:rsidR="00B64F30" w:rsidRPr="00E02524" w:rsidRDefault="00B64F30" w:rsidP="00B64F30">
      <w:pPr>
        <w:spacing w:after="0" w:line="240" w:lineRule="auto"/>
        <w:jc w:val="both"/>
        <w:rPr>
          <w:rFonts w:ascii="Verdana" w:eastAsia="Verdana" w:hAnsi="Verdana" w:cs="Verdana"/>
          <w:b/>
          <w:bCs/>
          <w:lang w:val="es-MX"/>
        </w:rPr>
      </w:pPr>
    </w:p>
    <w:p w14:paraId="2B2405A3" w14:textId="77777777" w:rsidR="00B64F30" w:rsidRPr="00E02524" w:rsidRDefault="00B64F30" w:rsidP="00B64F30">
      <w:pPr>
        <w:spacing w:after="0" w:line="240" w:lineRule="auto"/>
        <w:jc w:val="both"/>
        <w:rPr>
          <w:rFonts w:ascii="Verdana" w:eastAsia="Verdana" w:hAnsi="Verdana" w:cs="Verdana"/>
          <w:b/>
          <w:bCs/>
          <w:lang w:val="es-MX"/>
        </w:rPr>
      </w:pPr>
    </w:p>
    <w:p w14:paraId="1FF90985" w14:textId="77777777" w:rsidR="00B64F30" w:rsidRPr="000E2B93" w:rsidRDefault="00B64F30" w:rsidP="00B64F30">
      <w:pPr>
        <w:spacing w:after="0" w:line="240" w:lineRule="auto"/>
        <w:jc w:val="both"/>
        <w:textAlignment w:val="baseline"/>
        <w:rPr>
          <w:rFonts w:ascii="Verdana" w:eastAsia="Verdana" w:hAnsi="Verdana" w:cs="Verdana"/>
          <w:lang w:eastAsia="es-CO"/>
        </w:rPr>
      </w:pPr>
    </w:p>
    <w:p w14:paraId="2FEEFBD9" w14:textId="298CE448" w:rsidR="00B64F30" w:rsidRPr="000E2B93" w:rsidRDefault="00B64F30" w:rsidP="00B64F30">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32479772" w14:textId="77777777" w:rsidR="00DE0A4A" w:rsidRDefault="00DE0A4A" w:rsidP="00DE0A4A">
      <w:pPr>
        <w:spacing w:after="0"/>
        <w:rPr>
          <w:rFonts w:ascii="Verdana" w:hAnsi="Verdana"/>
          <w:lang w:val="es-MX"/>
        </w:rPr>
      </w:pPr>
    </w:p>
    <w:sectPr w:rsidR="00DE0A4A" w:rsidSect="00DE0A4A">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9C128" w14:textId="77777777" w:rsidR="00BB5F05" w:rsidRDefault="00BB5F05" w:rsidP="00DE0A4A">
      <w:pPr>
        <w:spacing w:after="0" w:line="240" w:lineRule="auto"/>
      </w:pPr>
      <w:r>
        <w:separator/>
      </w:r>
    </w:p>
  </w:endnote>
  <w:endnote w:type="continuationSeparator" w:id="0">
    <w:p w14:paraId="18C24622" w14:textId="77777777" w:rsidR="00BB5F05" w:rsidRDefault="00BB5F05" w:rsidP="00DE0A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A6FCA" w14:textId="77777777" w:rsidR="00DE0A4A" w:rsidRDefault="00DE0A4A">
    <w:pPr>
      <w:pStyle w:val="Piedepgina"/>
    </w:pPr>
  </w:p>
  <w:p w14:paraId="189F8AE0" w14:textId="77777777" w:rsidR="00DE0A4A" w:rsidRPr="00174B77" w:rsidRDefault="00DE0A4A"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B9F7BD5" w14:textId="77777777" w:rsidR="00DE0A4A" w:rsidRDefault="00DE0A4A"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705E66A7" w14:textId="77777777" w:rsidR="00DE0A4A" w:rsidRPr="00E41027" w:rsidRDefault="00DE0A4A" w:rsidP="00D520D8">
    <w:pPr>
      <w:spacing w:after="0"/>
      <w:jc w:val="both"/>
      <w:rPr>
        <w:rFonts w:ascii="Verdana" w:hAnsi="Verdana"/>
        <w:sz w:val="18"/>
        <w:szCs w:val="18"/>
      </w:rPr>
    </w:pPr>
    <w:r w:rsidRPr="00E41027">
      <w:rPr>
        <w:rFonts w:ascii="Verdana" w:hAnsi="Verdana"/>
        <w:sz w:val="18"/>
        <w:szCs w:val="18"/>
      </w:rPr>
      <w:t>Mesa de servicio: (+57) 601 7456788</w:t>
    </w:r>
  </w:p>
  <w:p w14:paraId="7095116C" w14:textId="77777777" w:rsidR="00DE0A4A" w:rsidRPr="008D0677" w:rsidRDefault="00DE0A4A" w:rsidP="356CEDFD">
    <w:pPr>
      <w:pBdr>
        <w:top w:val="nil"/>
        <w:left w:val="nil"/>
        <w:bottom w:val="nil"/>
        <w:right w:val="nil"/>
        <w:between w:val="nil"/>
      </w:pBdr>
      <w:tabs>
        <w:tab w:val="center" w:pos="4419"/>
        <w:tab w:val="right" w:pos="8838"/>
        <w:tab w:val="center" w:pos="5400"/>
      </w:tabs>
      <w:spacing w:after="0"/>
      <w:jc w:val="right"/>
      <w:rPr>
        <w:lang w:val="pt-BR"/>
      </w:rPr>
    </w:pPr>
    <w:r w:rsidRPr="008D0677">
      <w:rPr>
        <w:rFonts w:ascii="Century Gothic" w:eastAsia="Geo" w:hAnsi="Century Gothic" w:cs="Geo"/>
        <w:b/>
        <w:color w:val="000000" w:themeColor="text1"/>
        <w:sz w:val="16"/>
        <w:szCs w:val="16"/>
        <w:lang w:val="pt-BR" w:eastAsia="es-CO"/>
      </w:rPr>
      <w:t xml:space="preserve">Código: </w:t>
    </w:r>
    <w:r w:rsidRPr="008D0677">
      <w:rPr>
        <w:rFonts w:ascii="Century Gothic" w:eastAsia="Geo" w:hAnsi="Century Gothic" w:cs="Geo"/>
        <w:color w:val="000000" w:themeColor="text1"/>
        <w:sz w:val="16"/>
        <w:szCs w:val="16"/>
        <w:lang w:val="pt-BR" w:eastAsia="es-CO"/>
      </w:rPr>
      <w:t xml:space="preserve">CCE-REC-FM-17 </w:t>
    </w:r>
    <w:r w:rsidRPr="008D0677">
      <w:rPr>
        <w:rFonts w:ascii="Century Gothic" w:eastAsia="Geo" w:hAnsi="Century Gothic" w:cs="Geo"/>
        <w:b/>
        <w:color w:val="000000" w:themeColor="text1"/>
        <w:sz w:val="16"/>
        <w:szCs w:val="16"/>
        <w:lang w:val="pt-BR" w:eastAsia="es-CO"/>
      </w:rPr>
      <w:t>V</w:t>
    </w:r>
    <w:r w:rsidRPr="008D0677">
      <w:rPr>
        <w:rFonts w:ascii="Century Gothic" w:eastAsia="Arial Nova" w:hAnsi="Century Gothic" w:cs="Arial Nova"/>
        <w:b/>
        <w:color w:val="000000" w:themeColor="text1"/>
        <w:sz w:val="16"/>
        <w:szCs w:val="16"/>
        <w:lang w:val="pt-BR" w:eastAsia="es-CO"/>
      </w:rPr>
      <w:t xml:space="preserve">: </w:t>
    </w:r>
    <w:r w:rsidRPr="008D0677">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21455" w14:textId="77777777" w:rsidR="00BB5F05" w:rsidRDefault="00BB5F05" w:rsidP="00DE0A4A">
      <w:pPr>
        <w:spacing w:after="0" w:line="240" w:lineRule="auto"/>
      </w:pPr>
      <w:r>
        <w:separator/>
      </w:r>
    </w:p>
  </w:footnote>
  <w:footnote w:type="continuationSeparator" w:id="0">
    <w:p w14:paraId="4DF76AF3" w14:textId="77777777" w:rsidR="00BB5F05" w:rsidRDefault="00BB5F05" w:rsidP="00DE0A4A">
      <w:pPr>
        <w:spacing w:after="0" w:line="240" w:lineRule="auto"/>
      </w:pPr>
      <w:r>
        <w:continuationSeparator/>
      </w:r>
    </w:p>
  </w:footnote>
  <w:footnote w:id="1">
    <w:p w14:paraId="6CCAF76D" w14:textId="77777777" w:rsidR="00B64F30" w:rsidRPr="0016660C" w:rsidRDefault="00B64F30" w:rsidP="00B64F30">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1830DF4" w14:textId="77777777" w:rsidR="00B64F30" w:rsidRPr="0016660C" w:rsidRDefault="00B64F30" w:rsidP="00B64F30">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5BBB1F22" w14:textId="77777777" w:rsidR="00B64F30" w:rsidRPr="0016660C" w:rsidRDefault="00B64F30" w:rsidP="00B64F30">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3">
    <w:p w14:paraId="34A63EDB" w14:textId="77777777" w:rsidR="00B64F30" w:rsidRPr="0016660C" w:rsidRDefault="00B64F30" w:rsidP="00B64F30">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Monroy Cabra.</w:t>
      </w:r>
    </w:p>
  </w:footnote>
  <w:footnote w:id="4">
    <w:p w14:paraId="68C639CA" w14:textId="77777777" w:rsidR="00B64F30" w:rsidRPr="0016660C" w:rsidRDefault="00B64F30" w:rsidP="00B64F30">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17A3D93F" w14:textId="77777777" w:rsidR="00B64F30" w:rsidRPr="0016660C" w:rsidRDefault="00B64F30" w:rsidP="00B64F30">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03D1F7B8" w14:textId="77777777" w:rsidR="00B64F30" w:rsidRPr="0016660C" w:rsidRDefault="00B64F30" w:rsidP="00B64F30">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7">
    <w:p w14:paraId="2918F94E" w14:textId="77777777" w:rsidR="00B64F30" w:rsidRDefault="00B64F30" w:rsidP="00B64F30">
      <w:pPr>
        <w:spacing w:after="0" w:line="240" w:lineRule="auto"/>
        <w:ind w:firstLine="709"/>
        <w:jc w:val="both"/>
        <w:rPr>
          <w:rFonts w:ascii="Verdana" w:eastAsia="Times New Roman"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4" w:name="33"/>
      <w:r>
        <w:rPr>
          <w:rFonts w:ascii="Verdana" w:eastAsia="Times New Roman" w:hAnsi="Verdana" w:cs="Arial"/>
          <w:sz w:val="16"/>
          <w:szCs w:val="16"/>
        </w:rPr>
        <w:t>Artículo 33. Restricciones a la contratación pública.</w:t>
      </w:r>
      <w:bookmarkEnd w:id="4"/>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E20E64D" w14:textId="77777777" w:rsidR="00B64F30" w:rsidRDefault="00B64F30" w:rsidP="00B64F30">
      <w:pPr>
        <w:spacing w:after="0" w:line="240" w:lineRule="auto"/>
        <w:ind w:firstLine="709"/>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8">
    <w:p w14:paraId="0F2FDDF6" w14:textId="77777777" w:rsidR="00B64F30" w:rsidRPr="0016660C" w:rsidRDefault="00B64F30" w:rsidP="00B64F30">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eastAsiaTheme="majorEastAsi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3A62CC82" w14:textId="77777777" w:rsidR="00B64F30" w:rsidRPr="0016660C" w:rsidRDefault="00B64F30" w:rsidP="00B64F30">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9">
    <w:p w14:paraId="7B4C5C28" w14:textId="77777777" w:rsidR="00B64F30" w:rsidRPr="0016660C" w:rsidRDefault="00B64F30" w:rsidP="00B64F30">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3B786EEE" w14:textId="77777777" w:rsidR="00B64F30" w:rsidRDefault="00B64F30" w:rsidP="00B64F30">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11">
    <w:p w14:paraId="164478CE" w14:textId="77777777" w:rsidR="00B64F30" w:rsidRDefault="00B64F30" w:rsidP="00B64F30">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12">
    <w:p w14:paraId="5BDB303B" w14:textId="77777777" w:rsidR="00B64F30" w:rsidRDefault="00B64F30" w:rsidP="00B64F3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02D62686" w14:textId="77777777" w:rsidR="00B64F30" w:rsidRDefault="00B64F30" w:rsidP="00B64F3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14">
    <w:p w14:paraId="6C90830C" w14:textId="77777777" w:rsidR="00B64F30" w:rsidRDefault="00B64F30" w:rsidP="00B64F3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Ídem</w:t>
      </w:r>
      <w:r>
        <w:rPr>
          <w:rFonts w:ascii="Verdana" w:hAnsi="Verdana" w:cs="Arial"/>
          <w:sz w:val="16"/>
          <w:szCs w:val="16"/>
          <w:lang w:val="es-ES"/>
        </w:rPr>
        <w:t>.</w:t>
      </w:r>
    </w:p>
  </w:footnote>
  <w:footnote w:id="15">
    <w:p w14:paraId="7F004F2E" w14:textId="77777777" w:rsidR="00B64F30" w:rsidRDefault="00B64F30" w:rsidP="00B64F30">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49EA972A" w14:textId="77777777" w:rsidR="00B64F30" w:rsidRDefault="00B64F30" w:rsidP="00B64F30">
      <w:pPr>
        <w:shd w:val="clear" w:color="auto" w:fill="FFFFFF"/>
        <w:spacing w:after="0" w:line="240" w:lineRule="auto"/>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7">
    <w:p w14:paraId="47B5FF0C" w14:textId="77777777" w:rsidR="00B64F30" w:rsidRDefault="00B64F30" w:rsidP="00B64F3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18">
    <w:p w14:paraId="2C065291" w14:textId="77777777" w:rsidR="00B64F30" w:rsidRDefault="00B64F30" w:rsidP="00B64F30">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099A4B09" w14:textId="77777777" w:rsidR="00B64F30" w:rsidRPr="005E6430" w:rsidRDefault="00B64F30" w:rsidP="00B64F30">
      <w:pPr>
        <w:pStyle w:val="Textonotapie"/>
        <w:ind w:firstLine="709"/>
        <w:jc w:val="both"/>
        <w:rPr>
          <w:lang w:val="es-CO"/>
        </w:rPr>
      </w:pPr>
      <w:r>
        <w:rPr>
          <w:rStyle w:val="Refdenotaalpie"/>
        </w:rPr>
        <w:footnoteRef/>
      </w:r>
      <w:r>
        <w:t xml:space="preserve"> </w:t>
      </w:r>
      <w:r>
        <w:rPr>
          <w:rFonts w:ascii="Verdana" w:hAnsi="Verdana" w:cs="Arial"/>
          <w:sz w:val="16"/>
          <w:szCs w:val="16"/>
        </w:rPr>
        <w:t xml:space="preserve">Consejo de Estado. Sala de </w:t>
      </w:r>
      <w:r w:rsidRPr="00DD3C4B">
        <w:rPr>
          <w:rFonts w:ascii="Verdana" w:hAnsi="Verdana" w:cs="Arial"/>
          <w:sz w:val="16"/>
          <w:szCs w:val="16"/>
        </w:rPr>
        <w:t>Consulta y Servicio Civil</w:t>
      </w:r>
      <w:r w:rsidRPr="00DD3C4B">
        <w:rPr>
          <w:rFonts w:ascii="Verdana" w:eastAsia="Times New Roman" w:hAnsi="Verdana" w:cs="Arial"/>
          <w:bCs/>
          <w:sz w:val="16"/>
          <w:szCs w:val="16"/>
          <w:lang w:val="es-ES_tradnl" w:eastAsia="x-none"/>
        </w:rPr>
        <w:t xml:space="preserve">. Conceptos 1727 de fecha 20 de febrero de 2006, </w:t>
      </w:r>
      <w:r w:rsidRPr="00DD3C4B">
        <w:rPr>
          <w:rFonts w:ascii="Verdana" w:eastAsia="Times New Roman" w:hAnsi="Verdana" w:cs="Arial"/>
          <w:bCs/>
          <w:sz w:val="16"/>
          <w:szCs w:val="16"/>
          <w:lang w:eastAsia="x-none"/>
        </w:rPr>
        <w:t>1738 del 6 de abril de 2006</w:t>
      </w:r>
    </w:p>
  </w:footnote>
  <w:footnote w:id="20">
    <w:p w14:paraId="7F3D613F" w14:textId="77777777" w:rsidR="00B64F30" w:rsidRDefault="00B64F30" w:rsidP="00B64F30">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ídem.</w:t>
      </w:r>
    </w:p>
  </w:footnote>
  <w:footnote w:id="21">
    <w:p w14:paraId="70C8AAF0" w14:textId="77777777" w:rsidR="00B64F30" w:rsidRDefault="00B64F30" w:rsidP="00B64F30">
      <w:pPr>
        <w:pStyle w:val="Textonotapie"/>
        <w:ind w:firstLine="708"/>
        <w:jc w:val="both"/>
        <w:rPr>
          <w:rFonts w:ascii="Verdana" w:hAnsi="Verdana"/>
          <w:sz w:val="16"/>
          <w:szCs w:val="16"/>
          <w:lang w:val="es-ES"/>
        </w:rPr>
      </w:pPr>
      <w:r>
        <w:rPr>
          <w:rStyle w:val="Refdenotaalpie"/>
          <w:rFonts w:ascii="Verdana" w:hAnsi="Verdana"/>
          <w:sz w:val="16"/>
          <w:szCs w:val="16"/>
        </w:rPr>
        <w:footnoteRef/>
      </w:r>
      <w:r>
        <w:rPr>
          <w:rFonts w:ascii="Verdana" w:hAnsi="Verdana"/>
          <w:sz w:val="16"/>
          <w:szCs w:val="16"/>
        </w:rPr>
        <w:t xml:space="preserve"> Para Berrocal Guerrero, el acto administrativo es entendido como: […] TODA </w:t>
      </w:r>
      <w:r>
        <w:rPr>
          <w:rFonts w:ascii="Verdana" w:hAnsi="Verdana"/>
          <w:b/>
          <w:bCs/>
          <w:sz w:val="16"/>
          <w:szCs w:val="16"/>
        </w:rPr>
        <w:t>DECLARACIÓN</w:t>
      </w:r>
      <w:r>
        <w:rPr>
          <w:rFonts w:ascii="Verdana" w:hAnsi="Verdana"/>
          <w:sz w:val="16"/>
          <w:szCs w:val="16"/>
        </w:rPr>
        <w:t xml:space="preserve"> DE VOLUNTAD, JUICIO, COGNICIÓN O DESEO QUE SE PROFIERE DE MANERA </w:t>
      </w:r>
      <w:r>
        <w:rPr>
          <w:rFonts w:ascii="Verdana" w:hAnsi="Verdana"/>
          <w:b/>
          <w:bCs/>
          <w:sz w:val="16"/>
          <w:szCs w:val="16"/>
        </w:rPr>
        <w:t>UNILATERAL</w:t>
      </w:r>
      <w:r>
        <w:rPr>
          <w:rFonts w:ascii="Verdana" w:hAnsi="Verdana"/>
          <w:sz w:val="16"/>
          <w:szCs w:val="16"/>
        </w:rPr>
        <w:t xml:space="preserve">, EN EJERCICIO DE LA </w:t>
      </w:r>
      <w:r>
        <w:rPr>
          <w:rFonts w:ascii="Verdana" w:hAnsi="Verdana"/>
          <w:b/>
          <w:bCs/>
          <w:sz w:val="16"/>
          <w:szCs w:val="16"/>
        </w:rPr>
        <w:t>FUNCIÓN ADMINISTRATIVA</w:t>
      </w:r>
      <w:r>
        <w:rPr>
          <w:rFonts w:ascii="Verdana" w:hAnsi="Verdana"/>
          <w:sz w:val="16"/>
          <w:szCs w:val="16"/>
        </w:rPr>
        <w:t xml:space="preserve">, Y PRODUCE </w:t>
      </w:r>
      <w:r>
        <w:rPr>
          <w:rFonts w:ascii="Verdana" w:hAnsi="Verdana"/>
          <w:b/>
          <w:bCs/>
          <w:sz w:val="16"/>
          <w:szCs w:val="16"/>
        </w:rPr>
        <w:t>EFECTOS JURÍDICOS DIRECTOS O DEFINITIVOS</w:t>
      </w:r>
      <w:r>
        <w:rPr>
          <w:rFonts w:ascii="Verdana" w:hAnsi="Verdana"/>
          <w:sz w:val="16"/>
          <w:szCs w:val="16"/>
        </w:rPr>
        <w:t xml:space="preserve"> […] (Mayúsculas y negrillas propios del texto) (</w:t>
      </w:r>
      <w:r>
        <w:rPr>
          <w:rFonts w:ascii="Verdana" w:hAnsi="Verdana"/>
          <w:sz w:val="16"/>
          <w:szCs w:val="16"/>
          <w:lang w:val="es-ES"/>
        </w:rPr>
        <w:t>BERROCAL GUERRERO, Luis Enrique. Manual del acto administrativo. Según la Ley, la jurisprudencia y la doctrina. 7° ed. Bogotá: Librería Ediciones del Profesional Ltda, 2019, p. 114)</w:t>
      </w:r>
      <w:r>
        <w:rPr>
          <w:rFonts w:ascii="Verdana" w:hAnsi="Verdana"/>
          <w:sz w:val="16"/>
          <w:szCs w:val="16"/>
        </w:rPr>
        <w:t xml:space="preserve">. De igual modo, Marín Cortés expresa: “[…] </w:t>
      </w:r>
      <w:r>
        <w:rPr>
          <w:rFonts w:ascii="Verdana" w:hAnsi="Verdana"/>
          <w:sz w:val="16"/>
          <w:szCs w:val="16"/>
          <w:lang w:val="es-ES"/>
        </w:rPr>
        <w:t xml:space="preserve">i) una declaración de voluntad -y excepcionalmente la omisión que representa el silencio-, ii) de carácter unilateral, iii) que proviene de cualquier órgano del Estado cuando ejerce la función administrativa (a), o también cuando cumple funciones de control o electoral b), al igual que de los particulares cuando desempeñan las anteriores funciones públicas (c); y iv) produce efectos jurídicos” (MARÍN CORTÉS, Fabián Gonzalo. El concepto de acto administrativo. Texto inédito, p. 9).  </w:t>
      </w:r>
    </w:p>
  </w:footnote>
  <w:footnote w:id="22">
    <w:p w14:paraId="5D52BF88" w14:textId="77777777" w:rsidR="00B64F30" w:rsidRPr="00C9638B" w:rsidRDefault="00B64F30" w:rsidP="00B64F30">
      <w:pPr>
        <w:pStyle w:val="Textonotapie"/>
        <w:ind w:firstLine="709"/>
        <w:rPr>
          <w:lang w:val="es-CO"/>
        </w:rPr>
      </w:pPr>
      <w:r>
        <w:rPr>
          <w:rStyle w:val="Refdenotaalpie"/>
        </w:rPr>
        <w:footnoteRef/>
      </w:r>
      <w:r>
        <w:t xml:space="preserve"> </w:t>
      </w:r>
      <w:r>
        <w:rPr>
          <w:rFonts w:ascii="Verdana" w:hAnsi="Verdana" w:cs="Arial"/>
          <w:sz w:val="16"/>
          <w:szCs w:val="16"/>
        </w:rPr>
        <w:t xml:space="preserve">Consejo de Estado. Sala de </w:t>
      </w:r>
      <w:r w:rsidRPr="00DD3C4B">
        <w:rPr>
          <w:rFonts w:ascii="Verdana" w:hAnsi="Verdana" w:cs="Arial"/>
          <w:sz w:val="16"/>
          <w:szCs w:val="16"/>
        </w:rPr>
        <w:t>Consulta y Servicio Civil</w:t>
      </w:r>
      <w:r w:rsidRPr="00DD3C4B">
        <w:rPr>
          <w:rFonts w:ascii="Verdana" w:eastAsia="Times New Roman" w:hAnsi="Verdana" w:cs="Arial"/>
          <w:bCs/>
          <w:sz w:val="16"/>
          <w:szCs w:val="16"/>
          <w:lang w:val="es-ES_tradnl" w:eastAsia="x-none"/>
        </w:rPr>
        <w:t>. Concepto</w:t>
      </w:r>
      <w:r>
        <w:rPr>
          <w:rFonts w:ascii="Verdana" w:eastAsia="Times New Roman" w:hAnsi="Verdana" w:cs="Arial"/>
          <w:bCs/>
          <w:sz w:val="16"/>
          <w:szCs w:val="16"/>
          <w:lang w:val="es-ES_tradnl" w:eastAsia="x-none"/>
        </w:rPr>
        <w:t xml:space="preserve"> del 21 de mayo del 2014. </w:t>
      </w:r>
      <w:r w:rsidRPr="00CE1DD5">
        <w:rPr>
          <w:rFonts w:ascii="Verdana" w:eastAsia="Times New Roman" w:hAnsi="Verdana" w:cs="Arial"/>
          <w:bCs/>
          <w:sz w:val="16"/>
          <w:szCs w:val="16"/>
          <w:lang w:val="es-CO" w:eastAsia="x-none"/>
        </w:rPr>
        <w:t>Radicación número: 11001-03-06-000-2014-00119-00(2212)</w:t>
      </w:r>
      <w:r>
        <w:rPr>
          <w:rFonts w:ascii="Verdana" w:eastAsia="Times New Roman" w:hAnsi="Verdana" w:cs="Arial"/>
          <w:bCs/>
          <w:sz w:val="16"/>
          <w:szCs w:val="16"/>
          <w:lang w:val="es-CO" w:eastAsia="x-none"/>
        </w:rPr>
        <w:t>. C.P: Alvaro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2E7D9" w14:textId="77777777" w:rsidR="00DE0A4A" w:rsidRDefault="00DE0A4A"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9264" behindDoc="1" locked="0" layoutInCell="1" allowOverlap="1" wp14:anchorId="5E136C24" wp14:editId="2A288170">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p>
  <w:p w14:paraId="555542ED" w14:textId="77777777" w:rsidR="00DE0A4A" w:rsidRDefault="00DE0A4A">
    <w:pPr>
      <w:pStyle w:val="Encabezado"/>
    </w:pPr>
  </w:p>
  <w:p w14:paraId="42F568CC" w14:textId="77777777" w:rsidR="00DE0A4A" w:rsidRPr="004A305D" w:rsidRDefault="00DE0A4A" w:rsidP="00B01B1A">
    <w:pPr>
      <w:spacing w:after="0" w:line="120" w:lineRule="auto"/>
      <w:rPr>
        <w:rFonts w:ascii="Century Gothic" w:eastAsia="Geo" w:hAnsi="Century Gothic" w:cs="Geo"/>
        <w:sz w:val="16"/>
        <w:szCs w:val="16"/>
        <w:lang w:eastAsia="es-CO"/>
      </w:rPr>
    </w:pPr>
  </w:p>
  <w:p w14:paraId="5BC226C2" w14:textId="77777777" w:rsidR="00DE0A4A" w:rsidRDefault="00DE0A4A" w:rsidP="00844AE9">
    <w:pPr>
      <w:spacing w:after="0" w:line="240" w:lineRule="auto"/>
      <w:rPr>
        <w:rFonts w:ascii="Verdana" w:hAnsi="Verdana"/>
        <w:sz w:val="24"/>
        <w:szCs w:val="24"/>
      </w:rPr>
    </w:pPr>
  </w:p>
  <w:p w14:paraId="4255D9B6" w14:textId="77777777" w:rsidR="00DE0A4A" w:rsidRPr="00C925AC" w:rsidRDefault="00DE0A4A" w:rsidP="00844AE9">
    <w:pPr>
      <w:spacing w:after="0" w:line="240" w:lineRule="auto"/>
      <w:rPr>
        <w:rFonts w:ascii="Verdana" w:hAnsi="Verdana"/>
        <w:sz w:val="24"/>
        <w:szCs w:val="24"/>
      </w:rPr>
    </w:pPr>
  </w:p>
  <w:p w14:paraId="728DF0E8" w14:textId="77777777" w:rsidR="00DE0A4A" w:rsidRPr="00C925AC" w:rsidRDefault="00DE0A4A"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FA2609E8"/>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805397034">
    <w:abstractNumId w:val="0"/>
  </w:num>
  <w:num w:numId="2" w16cid:durableId="1638610423">
    <w:abstractNumId w:val="1"/>
  </w:num>
  <w:num w:numId="3" w16cid:durableId="390349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A4A"/>
    <w:rsid w:val="00007A26"/>
    <w:rsid w:val="00007FF6"/>
    <w:rsid w:val="00036FBC"/>
    <w:rsid w:val="00041E10"/>
    <w:rsid w:val="000644D3"/>
    <w:rsid w:val="00065B1E"/>
    <w:rsid w:val="000714A8"/>
    <w:rsid w:val="00072DB7"/>
    <w:rsid w:val="000813F4"/>
    <w:rsid w:val="000E58F5"/>
    <w:rsid w:val="000F11C6"/>
    <w:rsid w:val="000F6170"/>
    <w:rsid w:val="001172F9"/>
    <w:rsid w:val="0012145D"/>
    <w:rsid w:val="00146B9C"/>
    <w:rsid w:val="00150BAC"/>
    <w:rsid w:val="00152D90"/>
    <w:rsid w:val="001747EF"/>
    <w:rsid w:val="00180381"/>
    <w:rsid w:val="001849DC"/>
    <w:rsid w:val="00191EA0"/>
    <w:rsid w:val="001B0842"/>
    <w:rsid w:val="001D77CB"/>
    <w:rsid w:val="00217942"/>
    <w:rsid w:val="0025314D"/>
    <w:rsid w:val="00256973"/>
    <w:rsid w:val="00292CE5"/>
    <w:rsid w:val="002A62D6"/>
    <w:rsid w:val="002B3D9D"/>
    <w:rsid w:val="002C2235"/>
    <w:rsid w:val="002D3380"/>
    <w:rsid w:val="00391BED"/>
    <w:rsid w:val="003E085D"/>
    <w:rsid w:val="004208F4"/>
    <w:rsid w:val="00435D60"/>
    <w:rsid w:val="00457AB4"/>
    <w:rsid w:val="00494BC1"/>
    <w:rsid w:val="004B02A6"/>
    <w:rsid w:val="004E1D2D"/>
    <w:rsid w:val="005151CD"/>
    <w:rsid w:val="00546DE7"/>
    <w:rsid w:val="00554721"/>
    <w:rsid w:val="00554E6B"/>
    <w:rsid w:val="00561DE9"/>
    <w:rsid w:val="00564ACB"/>
    <w:rsid w:val="00580673"/>
    <w:rsid w:val="005C6478"/>
    <w:rsid w:val="005D5DB0"/>
    <w:rsid w:val="00663830"/>
    <w:rsid w:val="006659C9"/>
    <w:rsid w:val="00672702"/>
    <w:rsid w:val="006D50BB"/>
    <w:rsid w:val="00736AAF"/>
    <w:rsid w:val="00785125"/>
    <w:rsid w:val="007B1FCC"/>
    <w:rsid w:val="007B3797"/>
    <w:rsid w:val="007E23E2"/>
    <w:rsid w:val="0088052C"/>
    <w:rsid w:val="00883FFB"/>
    <w:rsid w:val="008A4168"/>
    <w:rsid w:val="008E6E1C"/>
    <w:rsid w:val="008F0BDF"/>
    <w:rsid w:val="00927CE9"/>
    <w:rsid w:val="0095425B"/>
    <w:rsid w:val="00970824"/>
    <w:rsid w:val="00972D3C"/>
    <w:rsid w:val="009A6466"/>
    <w:rsid w:val="009B6380"/>
    <w:rsid w:val="009C05B4"/>
    <w:rsid w:val="009F27CD"/>
    <w:rsid w:val="00A05403"/>
    <w:rsid w:val="00A15DDF"/>
    <w:rsid w:val="00A55583"/>
    <w:rsid w:val="00A8090E"/>
    <w:rsid w:val="00AA544D"/>
    <w:rsid w:val="00AC4732"/>
    <w:rsid w:val="00AE269D"/>
    <w:rsid w:val="00AF0076"/>
    <w:rsid w:val="00B05316"/>
    <w:rsid w:val="00B12218"/>
    <w:rsid w:val="00B47B09"/>
    <w:rsid w:val="00B64F30"/>
    <w:rsid w:val="00B861A4"/>
    <w:rsid w:val="00BB5F05"/>
    <w:rsid w:val="00BD704C"/>
    <w:rsid w:val="00BE1BED"/>
    <w:rsid w:val="00C249EF"/>
    <w:rsid w:val="00C26C11"/>
    <w:rsid w:val="00C848C5"/>
    <w:rsid w:val="00C95EDD"/>
    <w:rsid w:val="00CC0E9D"/>
    <w:rsid w:val="00CC5154"/>
    <w:rsid w:val="00CD79F6"/>
    <w:rsid w:val="00CE7A0D"/>
    <w:rsid w:val="00D1608A"/>
    <w:rsid w:val="00D2383B"/>
    <w:rsid w:val="00D572EE"/>
    <w:rsid w:val="00DB7189"/>
    <w:rsid w:val="00DE0A4A"/>
    <w:rsid w:val="00DF5161"/>
    <w:rsid w:val="00E02E8E"/>
    <w:rsid w:val="00E055D6"/>
    <w:rsid w:val="00E6438E"/>
    <w:rsid w:val="00E65EC3"/>
    <w:rsid w:val="00EA0DF2"/>
    <w:rsid w:val="00EB66FA"/>
    <w:rsid w:val="00EE43F0"/>
    <w:rsid w:val="00EF6EA2"/>
    <w:rsid w:val="00F340ED"/>
    <w:rsid w:val="00F51C24"/>
    <w:rsid w:val="00F749A6"/>
    <w:rsid w:val="00F820D9"/>
    <w:rsid w:val="00FB5047"/>
    <w:rsid w:val="00FC30F9"/>
    <w:rsid w:val="00FD2412"/>
    <w:rsid w:val="00FD31F3"/>
    <w:rsid w:val="00FD799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99556"/>
  <w15:chartTrackingRefBased/>
  <w15:docId w15:val="{DD26AA28-F316-46BD-A4C0-02F99E976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A4A"/>
    <w:pPr>
      <w:spacing w:line="259" w:lineRule="auto"/>
    </w:pPr>
    <w:rPr>
      <w:kern w:val="0"/>
      <w:sz w:val="22"/>
      <w:szCs w:val="22"/>
      <w14:ligatures w14:val="none"/>
    </w:rPr>
  </w:style>
  <w:style w:type="paragraph" w:styleId="Ttulo1">
    <w:name w:val="heading 1"/>
    <w:basedOn w:val="Normal"/>
    <w:next w:val="Normal"/>
    <w:link w:val="Ttulo1Car"/>
    <w:uiPriority w:val="9"/>
    <w:qFormat/>
    <w:rsid w:val="00DE0A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E0A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E0A4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E0A4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E0A4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E0A4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E0A4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E0A4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E0A4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E0A4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E0A4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E0A4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E0A4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E0A4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E0A4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E0A4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E0A4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E0A4A"/>
    <w:rPr>
      <w:rFonts w:eastAsiaTheme="majorEastAsia" w:cstheme="majorBidi"/>
      <w:color w:val="272727" w:themeColor="text1" w:themeTint="D8"/>
    </w:rPr>
  </w:style>
  <w:style w:type="paragraph" w:styleId="Ttulo">
    <w:name w:val="Title"/>
    <w:basedOn w:val="Normal"/>
    <w:next w:val="Normal"/>
    <w:link w:val="TtuloCar"/>
    <w:uiPriority w:val="10"/>
    <w:qFormat/>
    <w:rsid w:val="00DE0A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E0A4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E0A4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E0A4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E0A4A"/>
    <w:pPr>
      <w:spacing w:before="160"/>
      <w:jc w:val="center"/>
    </w:pPr>
    <w:rPr>
      <w:i/>
      <w:iCs/>
      <w:color w:val="404040" w:themeColor="text1" w:themeTint="BF"/>
    </w:rPr>
  </w:style>
  <w:style w:type="character" w:customStyle="1" w:styleId="CitaCar">
    <w:name w:val="Cita Car"/>
    <w:basedOn w:val="Fuentedeprrafopredeter"/>
    <w:link w:val="Cita"/>
    <w:uiPriority w:val="29"/>
    <w:rsid w:val="00DE0A4A"/>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DE0A4A"/>
    <w:pPr>
      <w:ind w:left="720"/>
      <w:contextualSpacing/>
    </w:pPr>
  </w:style>
  <w:style w:type="character" w:styleId="nfasisintenso">
    <w:name w:val="Intense Emphasis"/>
    <w:basedOn w:val="Fuentedeprrafopredeter"/>
    <w:uiPriority w:val="21"/>
    <w:qFormat/>
    <w:rsid w:val="00DE0A4A"/>
    <w:rPr>
      <w:i/>
      <w:iCs/>
      <w:color w:val="0F4761" w:themeColor="accent1" w:themeShade="BF"/>
    </w:rPr>
  </w:style>
  <w:style w:type="paragraph" w:styleId="Citadestacada">
    <w:name w:val="Intense Quote"/>
    <w:basedOn w:val="Normal"/>
    <w:next w:val="Normal"/>
    <w:link w:val="CitadestacadaCar"/>
    <w:uiPriority w:val="30"/>
    <w:qFormat/>
    <w:rsid w:val="00DE0A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E0A4A"/>
    <w:rPr>
      <w:i/>
      <w:iCs/>
      <w:color w:val="0F4761" w:themeColor="accent1" w:themeShade="BF"/>
    </w:rPr>
  </w:style>
  <w:style w:type="character" w:styleId="Referenciaintensa">
    <w:name w:val="Intense Reference"/>
    <w:basedOn w:val="Fuentedeprrafopredeter"/>
    <w:uiPriority w:val="32"/>
    <w:qFormat/>
    <w:rsid w:val="00DE0A4A"/>
    <w:rPr>
      <w:b/>
      <w:bCs/>
      <w:smallCaps/>
      <w:color w:val="0F4761" w:themeColor="accent1" w:themeShade="BF"/>
      <w:spacing w:val="5"/>
    </w:rPr>
  </w:style>
  <w:style w:type="paragraph" w:styleId="Encabezado">
    <w:name w:val="header"/>
    <w:basedOn w:val="Normal"/>
    <w:link w:val="EncabezadoCar"/>
    <w:uiPriority w:val="99"/>
    <w:unhideWhenUsed/>
    <w:rsid w:val="00DE0A4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0A4A"/>
    <w:rPr>
      <w:kern w:val="0"/>
      <w:sz w:val="22"/>
      <w:szCs w:val="22"/>
      <w14:ligatures w14:val="none"/>
    </w:rPr>
  </w:style>
  <w:style w:type="paragraph" w:styleId="Piedepgina">
    <w:name w:val="footer"/>
    <w:basedOn w:val="Normal"/>
    <w:link w:val="PiedepginaCar"/>
    <w:uiPriority w:val="99"/>
    <w:unhideWhenUsed/>
    <w:rsid w:val="00DE0A4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E0A4A"/>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DE0A4A"/>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DE0A4A"/>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DE0A4A"/>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DE0A4A"/>
    <w:rPr>
      <w:vertAlign w:val="superscript"/>
    </w:rPr>
  </w:style>
  <w:style w:type="character" w:customStyle="1" w:styleId="normaltextrun">
    <w:name w:val="normaltextrun"/>
    <w:basedOn w:val="Fuentedeprrafopredeter"/>
    <w:rsid w:val="00DE0A4A"/>
  </w:style>
  <w:style w:type="table" w:styleId="Tablaconcuadrcula">
    <w:name w:val="Table Grid"/>
    <w:basedOn w:val="Tablanormal"/>
    <w:uiPriority w:val="39"/>
    <w:qFormat/>
    <w:rsid w:val="00DE0A4A"/>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DE0A4A"/>
    <w:rPr>
      <w:color w:val="0000FF"/>
      <w:u w:val="single"/>
    </w:rPr>
  </w:style>
  <w:style w:type="paragraph" w:customStyle="1" w:styleId="paragraph">
    <w:name w:val="paragraph"/>
    <w:basedOn w:val="Normal"/>
    <w:uiPriority w:val="99"/>
    <w:rsid w:val="00DE0A4A"/>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E0A4A"/>
  </w:style>
  <w:style w:type="paragraph" w:customStyle="1" w:styleId="Appelnotedebasde">
    <w:name w:val="Appel note de bas de..."/>
    <w:basedOn w:val="Normal"/>
    <w:link w:val="Refdenotaalpie"/>
    <w:uiPriority w:val="99"/>
    <w:rsid w:val="00DE0A4A"/>
    <w:pPr>
      <w:spacing w:line="240" w:lineRule="exact"/>
    </w:pPr>
    <w:rPr>
      <w:kern w:val="2"/>
      <w:sz w:val="24"/>
      <w:szCs w:val="24"/>
      <w:vertAlign w:val="superscript"/>
      <w14:ligatures w14:val="standardContextual"/>
    </w:rPr>
  </w:style>
  <w:style w:type="character" w:styleId="Mencinsinresolver">
    <w:name w:val="Unresolved Mention"/>
    <w:basedOn w:val="Fuentedeprrafopredeter"/>
    <w:uiPriority w:val="99"/>
    <w:semiHidden/>
    <w:unhideWhenUsed/>
    <w:rsid w:val="0095425B"/>
    <w:rPr>
      <w:color w:val="605E5C"/>
      <w:shd w:val="clear" w:color="auto" w:fill="E1DFDD"/>
    </w:rPr>
  </w:style>
  <w:style w:type="paragraph" w:styleId="NormalWeb">
    <w:name w:val="Normal (Web)"/>
    <w:basedOn w:val="Normal"/>
    <w:link w:val="NormalWebCar"/>
    <w:uiPriority w:val="99"/>
    <w:unhideWhenUsed/>
    <w:rsid w:val="001172F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1172F9"/>
  </w:style>
  <w:style w:type="character" w:customStyle="1" w:styleId="NormalWebCar">
    <w:name w:val="Normal (Web) Car"/>
    <w:link w:val="NormalWeb"/>
    <w:uiPriority w:val="99"/>
    <w:locked/>
    <w:rsid w:val="001172F9"/>
    <w:rPr>
      <w:rFonts w:ascii="Times New Roman" w:eastAsia="Times New Roman" w:hAnsi="Times New Roman" w:cs="Times New Roman"/>
      <w:kern w:val="0"/>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moraz@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1.emf"/><Relationship Id="rId19"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3A66A3-9856-4D45-9AA3-B72CD657A236}">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79798928-ABD8-4082-8768-3BCB4BEFB25B}">
  <ds:schemaRefs>
    <ds:schemaRef ds:uri="http://schemas.microsoft.com/sharepoint/v3/contenttype/forms"/>
  </ds:schemaRefs>
</ds:datastoreItem>
</file>

<file path=customXml/itemProps3.xml><?xml version="1.0" encoding="utf-8"?>
<ds:datastoreItem xmlns:ds="http://schemas.openxmlformats.org/officeDocument/2006/customXml" ds:itemID="{20D10274-AC74-4545-B3EE-7E97743665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28</Pages>
  <Words>9671</Words>
  <Characters>53192</Characters>
  <Application>Microsoft Office Word</Application>
  <DocSecurity>0</DocSecurity>
  <Lines>443</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dc:creator>
  <cp:keywords/>
  <dc:description/>
  <cp:lastModifiedBy>Sergio Andrés Rivera Cano</cp:lastModifiedBy>
  <cp:revision>5</cp:revision>
  <dcterms:created xsi:type="dcterms:W3CDTF">2026-03-12T14:36:00Z</dcterms:created>
  <dcterms:modified xsi:type="dcterms:W3CDTF">2026-03-12T18:50:00Z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