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3DFED" w14:textId="77777777" w:rsidR="00AB6268" w:rsidRPr="00BB3BE4" w:rsidRDefault="00AB6268" w:rsidP="00AB6268">
      <w:pPr>
        <w:tabs>
          <w:tab w:val="left" w:pos="709"/>
        </w:tabs>
        <w:spacing w:after="0" w:line="240" w:lineRule="auto"/>
        <w:jc w:val="both"/>
        <w:rPr>
          <w:rFonts w:ascii="Verdana" w:eastAsia="Calibri" w:hAnsi="Verdana" w:cs="Arial"/>
          <w:b/>
          <w:lang w:val="es-ES_tradnl" w:eastAsia="es-ES_tradnl"/>
        </w:rPr>
      </w:pPr>
      <w:r w:rsidRPr="00BB3BE4">
        <w:rPr>
          <w:rFonts w:ascii="Verdana" w:eastAsia="Calibri" w:hAnsi="Verdana" w:cs="Arial"/>
          <w:b/>
          <w:lang w:val="es-ES_tradnl" w:eastAsia="es-ES_tradnl"/>
        </w:rPr>
        <w:t>PROPONENTE PLURAL ‒ Consorcio ‒ Uni</w:t>
      </w:r>
      <w:r w:rsidRPr="00BB3BE4">
        <w:rPr>
          <w:rFonts w:ascii="Verdana" w:eastAsia="Calibri" w:hAnsi="Verdana" w:cs="Century Gothic"/>
          <w:b/>
          <w:lang w:val="es-ES_tradnl" w:eastAsia="es-ES_tradnl"/>
        </w:rPr>
        <w:t>ó</w:t>
      </w:r>
      <w:r w:rsidRPr="00BB3BE4">
        <w:rPr>
          <w:rFonts w:ascii="Verdana" w:eastAsia="Calibri" w:hAnsi="Verdana" w:cs="Arial"/>
          <w:b/>
          <w:lang w:val="es-ES_tradnl" w:eastAsia="es-ES_tradnl"/>
        </w:rPr>
        <w:t xml:space="preserve">n temporal ‒ Concepto </w:t>
      </w:r>
      <w:r w:rsidRPr="00BB3BE4">
        <w:rPr>
          <w:rFonts w:ascii="Verdana" w:eastAsia="Calibri" w:hAnsi="Verdana" w:cs="Century Gothic"/>
          <w:b/>
          <w:lang w:val="es-ES_tradnl" w:eastAsia="es-ES_tradnl"/>
        </w:rPr>
        <w:t>–</w:t>
      </w:r>
      <w:r w:rsidRPr="00BB3BE4">
        <w:rPr>
          <w:rFonts w:ascii="Verdana" w:eastAsia="Calibri" w:hAnsi="Verdana" w:cs="Arial"/>
          <w:b/>
          <w:lang w:val="es-ES_tradnl" w:eastAsia="es-ES_tradnl"/>
        </w:rPr>
        <w:t xml:space="preserve"> Diferencias</w:t>
      </w:r>
    </w:p>
    <w:p w14:paraId="22624B49" w14:textId="77777777" w:rsidR="00AB6268" w:rsidRPr="00BB3BE4" w:rsidRDefault="00AB6268" w:rsidP="00AB6268">
      <w:pPr>
        <w:tabs>
          <w:tab w:val="left" w:pos="709"/>
        </w:tabs>
        <w:spacing w:after="0" w:line="240" w:lineRule="auto"/>
        <w:jc w:val="both"/>
        <w:rPr>
          <w:rFonts w:ascii="Verdana" w:eastAsia="Calibri" w:hAnsi="Verdana" w:cs="Arial"/>
          <w:bCs/>
          <w:sz w:val="20"/>
          <w:szCs w:val="20"/>
          <w:lang w:val="es-ES_tradnl" w:eastAsia="es-ES_tradnl"/>
        </w:rPr>
      </w:pPr>
    </w:p>
    <w:p w14:paraId="2FEEEE3C" w14:textId="77777777" w:rsidR="00AB6268" w:rsidRPr="00BB3BE4" w:rsidRDefault="00AB6268" w:rsidP="00AB6268">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7C364EE8" w14:textId="77777777" w:rsidR="00AB6268" w:rsidRPr="00BB3BE4" w:rsidRDefault="00AB6268" w:rsidP="00AB6268">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w:t>
      </w:r>
    </w:p>
    <w:p w14:paraId="4A7E15B0" w14:textId="77777777" w:rsidR="00AB6268" w:rsidRPr="00BB3BE4" w:rsidRDefault="00AB6268" w:rsidP="00AB6268">
      <w:pPr>
        <w:tabs>
          <w:tab w:val="left" w:pos="709"/>
        </w:tabs>
        <w:spacing w:after="0" w:line="240" w:lineRule="auto"/>
        <w:jc w:val="both"/>
        <w:rPr>
          <w:rFonts w:ascii="Verdana" w:eastAsia="Calibri" w:hAnsi="Verdana" w:cs="Arial"/>
          <w:b/>
          <w:color w:val="000000" w:themeColor="text1"/>
        </w:rPr>
      </w:pPr>
      <w:r w:rsidRPr="00BB3BE4">
        <w:rPr>
          <w:rFonts w:ascii="Verdana" w:eastAsia="Calibri" w:hAnsi="Verdana" w:cs="Arial"/>
          <w:b/>
          <w:lang w:val="es-ES_tradnl" w:eastAsia="es-ES_tradnl"/>
        </w:rPr>
        <w:t xml:space="preserve">CONSORCIOS Y UNIONES TEMPORALES – </w:t>
      </w:r>
      <w:r>
        <w:rPr>
          <w:rFonts w:ascii="Verdana" w:eastAsia="Calibri" w:hAnsi="Verdana" w:cs="Arial"/>
          <w:b/>
          <w:lang w:val="es-ES_tradnl" w:eastAsia="es-ES_tradnl"/>
        </w:rPr>
        <w:t>Responsabilidad solidaria</w:t>
      </w:r>
      <w:r w:rsidRPr="00BB3BE4">
        <w:rPr>
          <w:rFonts w:ascii="Verdana" w:eastAsia="Calibri" w:hAnsi="Verdana" w:cs="Arial"/>
          <w:b/>
          <w:lang w:val="es-ES_tradnl" w:eastAsia="es-ES_tradnl"/>
        </w:rPr>
        <w:t xml:space="preserve"> </w:t>
      </w:r>
    </w:p>
    <w:p w14:paraId="6212E112" w14:textId="77777777" w:rsidR="00AB6268" w:rsidRPr="00BB3BE4" w:rsidRDefault="00AB6268" w:rsidP="00AB6268">
      <w:pPr>
        <w:spacing w:after="0" w:line="240" w:lineRule="auto"/>
        <w:jc w:val="both"/>
        <w:rPr>
          <w:rFonts w:ascii="Verdana" w:eastAsia="Calibri" w:hAnsi="Verdana" w:cs="Arial"/>
          <w:bCs/>
          <w:sz w:val="20"/>
          <w:szCs w:val="20"/>
          <w:lang w:val="es-ES_tradnl" w:eastAsia="es-ES_tradnl"/>
        </w:rPr>
      </w:pPr>
    </w:p>
    <w:p w14:paraId="09514B1B" w14:textId="77777777" w:rsidR="00AB6268" w:rsidRPr="00B97F89" w:rsidRDefault="00AB6268" w:rsidP="00AB6268">
      <w:pPr>
        <w:spacing w:after="0" w:line="240" w:lineRule="auto"/>
        <w:jc w:val="both"/>
        <w:rPr>
          <w:rFonts w:ascii="Verdana" w:eastAsia="Calibri" w:hAnsi="Verdana" w:cs="Arial"/>
          <w:bCs/>
          <w:color w:val="000000" w:themeColor="text1"/>
          <w:sz w:val="20"/>
          <w:szCs w:val="20"/>
          <w:lang w:val="es-ES"/>
        </w:rPr>
      </w:pPr>
      <w:r>
        <w:rPr>
          <w:rFonts w:ascii="Verdana" w:eastAsia="Calibri" w:hAnsi="Verdana" w:cs="Arial"/>
          <w:bCs/>
          <w:color w:val="000000" w:themeColor="text1"/>
          <w:sz w:val="20"/>
          <w:szCs w:val="20"/>
          <w:lang w:val="es-ES"/>
        </w:rPr>
        <w:t>D</w:t>
      </w:r>
      <w:r w:rsidRPr="00B97F89">
        <w:rPr>
          <w:rFonts w:ascii="Verdana" w:eastAsia="Calibri" w:hAnsi="Verdana" w:cs="Arial"/>
          <w:bCs/>
          <w:color w:val="000000" w:themeColor="text1"/>
          <w:sz w:val="20"/>
          <w:szCs w:val="20"/>
          <w:lang w:val="es-ES"/>
        </w:rPr>
        <w:t>e acuerdo con los numerales 6 y 7 del artículo 7 de la Ley 80 de 1993, el consorcio o la unión temporal se da “Cuando dos o más personas en forma conjunta presentan una misma propuesta para la adjudicación, celebración y ejecución de un contrato, respondiendo solidariamente de todas y cada una de las obligaciones derivadas de la propuesta y del contrato […]”.</w:t>
      </w:r>
      <w:r>
        <w:rPr>
          <w:rFonts w:ascii="Verdana" w:eastAsia="Calibri" w:hAnsi="Verdana" w:cs="Arial"/>
          <w:bCs/>
          <w:color w:val="000000" w:themeColor="text1"/>
          <w:sz w:val="20"/>
          <w:szCs w:val="20"/>
          <w:lang w:val="es-ES"/>
        </w:rPr>
        <w:t xml:space="preserve"> </w:t>
      </w:r>
      <w:r w:rsidRPr="00B97F89">
        <w:rPr>
          <w:rFonts w:ascii="Verdana" w:eastAsia="Calibri" w:hAnsi="Verdana" w:cs="Arial"/>
          <w:bCs/>
          <w:color w:val="000000" w:themeColor="text1"/>
          <w:sz w:val="20"/>
          <w:szCs w:val="20"/>
          <w:lang w:val="es-ES"/>
        </w:rPr>
        <w:t>Así como existe participación conjunta en la presentación de la propuesta, todos los integrantes de la estructura plural deben participar en la ejecución del contrato, pues existe solidaridad en el cumplimiento de las obligaciones. Por remisión de los artículos 13, 32 y 40 del EGCAP al artículo 1568 del Código Civil, las obligaciones son solidarias cuando “[…] existiendo varios deudores de un mismo objeto divisible, el acreedor puede exigir, por el ministerio de la ley o por la convención, el total a cada uno de ellos, y el pago que haga cualquiera de los deudores extingue la obligación respecto de todos”. Esto significa que la entidad contratante puede exigir a cualquiera de los miembros del consorcio o la unión temporal el cumplimiento de lo pactado</w:t>
      </w:r>
      <w:r>
        <w:rPr>
          <w:rFonts w:ascii="Verdana" w:eastAsia="Calibri" w:hAnsi="Verdana" w:cs="Arial"/>
          <w:bCs/>
          <w:color w:val="000000" w:themeColor="text1"/>
          <w:sz w:val="20"/>
          <w:szCs w:val="20"/>
          <w:lang w:val="es-ES"/>
        </w:rPr>
        <w:t>.</w:t>
      </w:r>
    </w:p>
    <w:p w14:paraId="0EBAFCF0" w14:textId="77777777" w:rsidR="00AB6268" w:rsidRPr="00BB3BE4" w:rsidRDefault="00AB6268" w:rsidP="00AB6268">
      <w:pPr>
        <w:spacing w:after="0" w:line="240" w:lineRule="auto"/>
        <w:jc w:val="both"/>
        <w:rPr>
          <w:rFonts w:ascii="Verdana" w:hAnsi="Verdana" w:cs="Arial"/>
          <w:color w:val="000000" w:themeColor="text1"/>
          <w:sz w:val="20"/>
          <w:szCs w:val="20"/>
        </w:rPr>
      </w:pPr>
    </w:p>
    <w:p w14:paraId="36864A85" w14:textId="77777777" w:rsidR="00AB6268" w:rsidRPr="00BB3BE4" w:rsidRDefault="00AB6268" w:rsidP="00AB6268">
      <w:pPr>
        <w:tabs>
          <w:tab w:val="left" w:pos="709"/>
        </w:tabs>
        <w:spacing w:after="0" w:line="240" w:lineRule="auto"/>
        <w:jc w:val="both"/>
        <w:rPr>
          <w:rFonts w:ascii="Verdana" w:eastAsia="Calibri" w:hAnsi="Verdana" w:cs="Arial"/>
          <w:b/>
          <w:color w:val="000000" w:themeColor="text1"/>
        </w:rPr>
      </w:pPr>
      <w:r>
        <w:rPr>
          <w:rFonts w:ascii="Verdana" w:eastAsia="Calibri" w:hAnsi="Verdana" w:cs="Arial"/>
          <w:b/>
          <w:lang w:val="es-ES_tradnl" w:eastAsia="es-ES_tradnl"/>
        </w:rPr>
        <w:t>RESPONSABILIDAD CONTRACTUAL</w:t>
      </w:r>
      <w:r w:rsidRPr="00BB3BE4">
        <w:rPr>
          <w:rFonts w:ascii="Verdana" w:eastAsia="Calibri" w:hAnsi="Verdana" w:cs="Arial"/>
          <w:b/>
          <w:lang w:val="es-ES_tradnl" w:eastAsia="es-ES_tradnl"/>
        </w:rPr>
        <w:t xml:space="preserve"> – </w:t>
      </w:r>
      <w:r>
        <w:rPr>
          <w:rFonts w:ascii="Verdana" w:eastAsia="Calibri" w:hAnsi="Verdana" w:cs="Arial"/>
          <w:b/>
          <w:lang w:val="es-ES_tradnl" w:eastAsia="es-ES_tradnl"/>
        </w:rPr>
        <w:t>Solidaridad –</w:t>
      </w:r>
      <w:r w:rsidRPr="00BB3BE4">
        <w:rPr>
          <w:rFonts w:ascii="Verdana" w:eastAsia="Calibri" w:hAnsi="Verdana" w:cs="Arial"/>
          <w:b/>
          <w:lang w:val="es-ES_tradnl" w:eastAsia="es-ES_tradnl"/>
        </w:rPr>
        <w:t xml:space="preserve"> </w:t>
      </w:r>
      <w:r>
        <w:rPr>
          <w:rFonts w:ascii="Verdana" w:eastAsia="Calibri" w:hAnsi="Verdana" w:cs="Arial"/>
          <w:b/>
          <w:lang w:val="es-ES_tradnl" w:eastAsia="es-ES_tradnl"/>
        </w:rPr>
        <w:t>Daños extracontractuales a terceros – Exclusión – Fundamento jurídico distinto</w:t>
      </w:r>
    </w:p>
    <w:p w14:paraId="58E5A728" w14:textId="77777777" w:rsidR="00AB6268" w:rsidRPr="00BB3BE4" w:rsidRDefault="00AB6268" w:rsidP="00AB6268">
      <w:pPr>
        <w:spacing w:after="0" w:line="240" w:lineRule="auto"/>
        <w:jc w:val="both"/>
        <w:rPr>
          <w:rFonts w:ascii="Verdana" w:eastAsia="Calibri" w:hAnsi="Verdana" w:cs="Arial"/>
          <w:bCs/>
          <w:sz w:val="20"/>
          <w:szCs w:val="20"/>
          <w:lang w:val="es-ES_tradnl" w:eastAsia="es-ES_tradnl"/>
        </w:rPr>
      </w:pPr>
    </w:p>
    <w:p w14:paraId="7D4A975F" w14:textId="77777777" w:rsidR="00AB6268" w:rsidRPr="000C12E0" w:rsidRDefault="00AB6268" w:rsidP="00AB6268">
      <w:pPr>
        <w:spacing w:after="0" w:line="240" w:lineRule="auto"/>
        <w:jc w:val="both"/>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L</w:t>
      </w:r>
      <w:r w:rsidRPr="000C12E0">
        <w:rPr>
          <w:rFonts w:ascii="Verdana" w:eastAsia="Calibri" w:hAnsi="Verdana" w:cs="Arial"/>
          <w:bCs/>
          <w:color w:val="000000" w:themeColor="text1"/>
          <w:sz w:val="20"/>
          <w:szCs w:val="20"/>
        </w:rPr>
        <w:t xml:space="preserve">os numerales 6 y 7 del artículo 7 de la Ley 80 de 1993 –en concordancia con el inciso segundo del artículo 1568 del Código Civil– establecen una </w:t>
      </w:r>
      <w:r w:rsidRPr="000C12E0">
        <w:rPr>
          <w:rFonts w:ascii="Verdana" w:eastAsia="Calibri" w:hAnsi="Verdana" w:cs="Arial"/>
          <w:bCs/>
          <w:i/>
          <w:iCs/>
          <w:color w:val="000000" w:themeColor="text1"/>
          <w:sz w:val="20"/>
          <w:szCs w:val="20"/>
        </w:rPr>
        <w:t>solidaridad legal de carácter contractual</w:t>
      </w:r>
      <w:r w:rsidRPr="000C12E0">
        <w:rPr>
          <w:rFonts w:ascii="Verdana" w:eastAsia="Calibri" w:hAnsi="Verdana" w:cs="Arial"/>
          <w:bCs/>
          <w:color w:val="000000" w:themeColor="text1"/>
          <w:sz w:val="20"/>
          <w:szCs w:val="20"/>
        </w:rPr>
        <w:t xml:space="preserve"> de todos los miembros del consorcio o unión temporal con la entidad contratante. Dado que el negocio jurídico se rige por el principio de relatividad, esto es, lo convenido entre las partes concierne exclusivamente a ellas, la solidaridad prevista en el EGCAP no perjudica ni aprovecha a terceros ajenos al contrato estatal. </w:t>
      </w:r>
    </w:p>
    <w:p w14:paraId="319E22A8" w14:textId="77777777" w:rsidR="00AB6268" w:rsidRDefault="00AB6268" w:rsidP="00AB6268">
      <w:pPr>
        <w:spacing w:after="0" w:line="240" w:lineRule="auto"/>
        <w:jc w:val="both"/>
        <w:rPr>
          <w:rFonts w:ascii="Verdana" w:eastAsia="Calibri" w:hAnsi="Verdana" w:cs="Arial"/>
          <w:bCs/>
          <w:color w:val="000000" w:themeColor="text1"/>
          <w:sz w:val="20"/>
          <w:szCs w:val="20"/>
        </w:rPr>
      </w:pPr>
    </w:p>
    <w:p w14:paraId="1AA44659" w14:textId="77777777" w:rsidR="00AB6268" w:rsidRDefault="00AB6268" w:rsidP="00AB6268">
      <w:pPr>
        <w:spacing w:after="0" w:line="240" w:lineRule="auto"/>
        <w:jc w:val="both"/>
        <w:rPr>
          <w:rFonts w:ascii="Verdana" w:eastAsia="Calibri" w:hAnsi="Verdana" w:cs="Arial"/>
          <w:bCs/>
          <w:color w:val="000000" w:themeColor="text1"/>
          <w:sz w:val="20"/>
          <w:szCs w:val="20"/>
          <w:lang w:val="es-ES"/>
        </w:rPr>
      </w:pPr>
      <w:r w:rsidRPr="000C12E0">
        <w:rPr>
          <w:rFonts w:ascii="Verdana" w:eastAsia="Calibri" w:hAnsi="Verdana" w:cs="Arial"/>
          <w:bCs/>
          <w:color w:val="000000" w:themeColor="text1"/>
          <w:sz w:val="20"/>
          <w:szCs w:val="20"/>
        </w:rPr>
        <w:t xml:space="preserve">Asimismo, los numerales 6 y 7 del artículo 7 de la Ley 80 de 1993 tampoco consagran una </w:t>
      </w:r>
      <w:r w:rsidRPr="000C12E0">
        <w:rPr>
          <w:rFonts w:ascii="Verdana" w:eastAsia="Calibri" w:hAnsi="Verdana" w:cs="Arial"/>
          <w:bCs/>
          <w:i/>
          <w:iCs/>
          <w:color w:val="000000" w:themeColor="text1"/>
          <w:sz w:val="20"/>
          <w:szCs w:val="20"/>
        </w:rPr>
        <w:t>solidaridad legal extracontractual</w:t>
      </w:r>
      <w:r w:rsidRPr="000C12E0">
        <w:rPr>
          <w:rFonts w:ascii="Verdana" w:eastAsia="Calibri" w:hAnsi="Verdana" w:cs="Arial"/>
          <w:bCs/>
          <w:color w:val="000000" w:themeColor="text1"/>
          <w:sz w:val="20"/>
          <w:szCs w:val="20"/>
        </w:rPr>
        <w:t xml:space="preserve"> por daños ocasionados a terceros durante la ejecución de las obligaciones. Lo anterior en la medida que, conforme al inciso primero del artículo 1613 del Código Civil, </w:t>
      </w:r>
      <w:r>
        <w:rPr>
          <w:rFonts w:ascii="Verdana" w:eastAsia="Calibri" w:hAnsi="Verdana" w:cs="Arial"/>
          <w:bCs/>
          <w:color w:val="000000" w:themeColor="text1"/>
          <w:sz w:val="20"/>
          <w:szCs w:val="20"/>
        </w:rPr>
        <w:t>la responsabilidad contractual se funda</w:t>
      </w:r>
      <w:r w:rsidRPr="000C12E0">
        <w:rPr>
          <w:rFonts w:ascii="Verdana" w:eastAsia="Calibri" w:hAnsi="Verdana" w:cs="Arial"/>
          <w:bCs/>
          <w:color w:val="000000" w:themeColor="text1"/>
          <w:sz w:val="20"/>
          <w:szCs w:val="20"/>
        </w:rPr>
        <w:t xml:space="preserve"> en la falta de </w:t>
      </w:r>
      <w:r w:rsidRPr="000C12E0">
        <w:rPr>
          <w:rFonts w:ascii="Verdana" w:eastAsia="Calibri" w:hAnsi="Verdana" w:cs="Arial"/>
          <w:bCs/>
          <w:color w:val="000000" w:themeColor="text1"/>
          <w:sz w:val="20"/>
          <w:szCs w:val="20"/>
        </w:rPr>
        <w:lastRenderedPageBreak/>
        <w:t xml:space="preserve">cumplimiento, el cumplimiento imperfecto o el retardo en el cumplimiento de las obligaciones pactadas. Como la responsabilidad extracontractual tiene un régimen jurídico distinto, la solidaridad se circunscribe a la regla general del inciso primero del artículo 2344 </w:t>
      </w:r>
      <w:r w:rsidRPr="000C12E0">
        <w:rPr>
          <w:rFonts w:ascii="Verdana" w:eastAsia="Calibri" w:hAnsi="Verdana" w:cs="Arial"/>
          <w:bCs/>
          <w:i/>
          <w:iCs/>
          <w:color w:val="000000" w:themeColor="text1"/>
          <w:sz w:val="20"/>
          <w:szCs w:val="20"/>
        </w:rPr>
        <w:t>ibidem</w:t>
      </w:r>
      <w:r>
        <w:rPr>
          <w:rFonts w:ascii="Verdana" w:eastAsia="Calibri" w:hAnsi="Verdana" w:cs="Arial"/>
          <w:bCs/>
          <w:color w:val="000000" w:themeColor="text1"/>
          <w:sz w:val="20"/>
          <w:szCs w:val="20"/>
          <w:lang w:val="es-ES"/>
        </w:rPr>
        <w:t>.</w:t>
      </w:r>
    </w:p>
    <w:p w14:paraId="2B2B8A77" w14:textId="77777777" w:rsidR="00AB6268" w:rsidRDefault="00AB6268" w:rsidP="00AB6268">
      <w:pPr>
        <w:spacing w:after="0" w:line="240" w:lineRule="auto"/>
        <w:jc w:val="both"/>
        <w:rPr>
          <w:rFonts w:ascii="Verdana" w:eastAsia="Calibri" w:hAnsi="Verdana" w:cs="Arial"/>
          <w:bCs/>
          <w:color w:val="000000" w:themeColor="text1"/>
          <w:sz w:val="20"/>
          <w:szCs w:val="20"/>
          <w:lang w:val="es-ES"/>
        </w:rPr>
      </w:pPr>
    </w:p>
    <w:p w14:paraId="406BD1AB" w14:textId="77777777" w:rsidR="00AB6268" w:rsidRPr="00BB3BE4" w:rsidRDefault="00AB6268" w:rsidP="00AB6268">
      <w:pPr>
        <w:tabs>
          <w:tab w:val="left" w:pos="709"/>
        </w:tabs>
        <w:spacing w:after="0" w:line="240" w:lineRule="auto"/>
        <w:jc w:val="both"/>
        <w:rPr>
          <w:rFonts w:ascii="Verdana" w:eastAsia="Calibri" w:hAnsi="Verdana" w:cs="Arial"/>
          <w:b/>
          <w:color w:val="000000" w:themeColor="text1"/>
        </w:rPr>
      </w:pPr>
      <w:r>
        <w:rPr>
          <w:rFonts w:ascii="Verdana" w:eastAsia="Calibri" w:hAnsi="Verdana" w:cs="Arial"/>
          <w:b/>
          <w:lang w:val="es-ES_tradnl" w:eastAsia="es-ES_tradnl"/>
        </w:rPr>
        <w:t>CAPACIDAD PROCESAL</w:t>
      </w:r>
      <w:r w:rsidRPr="00BB3BE4">
        <w:rPr>
          <w:rFonts w:ascii="Verdana" w:eastAsia="Calibri" w:hAnsi="Verdana" w:cs="Arial"/>
          <w:b/>
          <w:lang w:val="es-ES_tradnl" w:eastAsia="es-ES_tradnl"/>
        </w:rPr>
        <w:t xml:space="preserve"> – </w:t>
      </w:r>
      <w:r>
        <w:rPr>
          <w:rFonts w:ascii="Verdana" w:eastAsia="Calibri" w:hAnsi="Verdana" w:cs="Arial"/>
          <w:b/>
          <w:lang w:val="es-ES_tradnl" w:eastAsia="es-ES_tradnl"/>
        </w:rPr>
        <w:t>Proponentes plurales</w:t>
      </w:r>
    </w:p>
    <w:p w14:paraId="0357702E" w14:textId="77777777" w:rsidR="00AB6268" w:rsidRPr="00BB3BE4" w:rsidRDefault="00AB6268" w:rsidP="00AB6268">
      <w:pPr>
        <w:spacing w:after="0" w:line="240" w:lineRule="auto"/>
        <w:jc w:val="both"/>
        <w:rPr>
          <w:rFonts w:ascii="Verdana" w:eastAsia="Calibri" w:hAnsi="Verdana" w:cs="Arial"/>
          <w:bCs/>
          <w:sz w:val="20"/>
          <w:szCs w:val="20"/>
          <w:lang w:val="es-ES_tradnl" w:eastAsia="es-ES_tradnl"/>
        </w:rPr>
      </w:pPr>
    </w:p>
    <w:p w14:paraId="4C774D22" w14:textId="0EEBB783" w:rsidR="00AB6268" w:rsidRPr="000C12E0" w:rsidRDefault="00AB6268" w:rsidP="00AB6268">
      <w:pPr>
        <w:spacing w:after="0" w:line="240" w:lineRule="auto"/>
        <w:jc w:val="both"/>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C</w:t>
      </w:r>
      <w:r w:rsidRPr="00294FF1">
        <w:rPr>
          <w:rFonts w:ascii="Verdana" w:eastAsia="Calibri" w:hAnsi="Verdana" w:cs="Arial"/>
          <w:bCs/>
          <w:color w:val="000000" w:themeColor="text1"/>
          <w:sz w:val="20"/>
          <w:szCs w:val="20"/>
        </w:rPr>
        <w:t>omo el parágrafo primero del artículo 7 de la Ley 80 de 1993 dispone que “Los miembros del consorcio y de la unión temporal deberán designar la persona que, para todos los efectos, representará al consorcio o unión temporal y señalarán las reglas básicas que regulen las relaciones entre ellos y su responsabilidad”, la Sala Plena de la Sección Tercera del Consejo de Estado entiende que las estructuras plurales –pese a carecer de personalidad jurídica– tienen capacidad procesal; razón por la cual, la demanda se dirigiría al consorcio o unión temporal representada por la persona designada para el efecto. Por ello, la Sala Casación Laboral de la Corte Suprema de Justicia también ha sostenido que “[…] las uniones temporales y consorcios sí tienen capacidad para ser parte y comparecer al proceso a través de su representante legal, y sin que deba constituirse un litisconsorcio necesario con cada uno de sus integrantes […]”</w:t>
      </w:r>
      <w:r w:rsidR="007C2EA2">
        <w:rPr>
          <w:rFonts w:ascii="Verdana" w:eastAsia="Calibri" w:hAnsi="Verdana" w:cs="Arial"/>
          <w:bCs/>
          <w:color w:val="000000" w:themeColor="text1"/>
          <w:sz w:val="20"/>
          <w:szCs w:val="20"/>
        </w:rPr>
        <w:t>.</w:t>
      </w:r>
    </w:p>
    <w:p w14:paraId="17D6E294" w14:textId="77777777" w:rsidR="00AB6268" w:rsidRPr="0052164D" w:rsidRDefault="00AB6268" w:rsidP="00AB6268">
      <w:pPr>
        <w:spacing w:after="0" w:line="240" w:lineRule="auto"/>
        <w:jc w:val="both"/>
        <w:rPr>
          <w:rFonts w:ascii="Verdana" w:eastAsia="Calibri" w:hAnsi="Verdana" w:cs="Arial"/>
          <w:bCs/>
          <w:color w:val="000000" w:themeColor="text1"/>
          <w:sz w:val="20"/>
          <w:szCs w:val="20"/>
        </w:rPr>
      </w:pPr>
    </w:p>
    <w:p w14:paraId="29BEF759" w14:textId="77777777" w:rsidR="00AB6268" w:rsidRPr="000C12E0" w:rsidRDefault="00AB6268" w:rsidP="00AB6268">
      <w:pPr>
        <w:spacing w:after="0" w:line="240" w:lineRule="auto"/>
        <w:jc w:val="both"/>
        <w:rPr>
          <w:rFonts w:ascii="Verdana" w:eastAsia="Calibri" w:hAnsi="Verdana" w:cs="Arial"/>
          <w:bCs/>
          <w:color w:val="000000" w:themeColor="text1"/>
          <w:sz w:val="20"/>
          <w:szCs w:val="20"/>
        </w:rPr>
      </w:pPr>
    </w:p>
    <w:p w14:paraId="1E23D1EC" w14:textId="77777777" w:rsidR="00AB6268" w:rsidRPr="000C12E0" w:rsidRDefault="00AB6268" w:rsidP="00AB6268">
      <w:pPr>
        <w:spacing w:after="0" w:line="240" w:lineRule="auto"/>
        <w:rPr>
          <w:rFonts w:ascii="Verdana" w:eastAsia="Geomanist Light" w:hAnsi="Verdana" w:cs="Arial"/>
          <w:color w:val="000000" w:themeColor="text1"/>
          <w:lang w:val="es-ES"/>
        </w:rPr>
      </w:pPr>
    </w:p>
    <w:p w14:paraId="5F39143D" w14:textId="77777777" w:rsidR="00AB6268" w:rsidRDefault="00AB6268" w:rsidP="00AB6268">
      <w:pPr>
        <w:spacing w:after="0" w:line="240" w:lineRule="auto"/>
        <w:rPr>
          <w:rFonts w:ascii="Verdana" w:eastAsia="Geomanist Light" w:hAnsi="Verdana" w:cs="Arial"/>
          <w:color w:val="000000" w:themeColor="text1"/>
          <w:lang w:val="es-MX"/>
        </w:rPr>
      </w:pPr>
    </w:p>
    <w:p w14:paraId="2BCA4945" w14:textId="77777777" w:rsidR="00AB6268" w:rsidRDefault="00AB6268" w:rsidP="00AB6268">
      <w:pPr>
        <w:spacing w:after="0" w:line="240" w:lineRule="auto"/>
        <w:rPr>
          <w:rFonts w:ascii="Verdana" w:eastAsia="Geomanist Light" w:hAnsi="Verdana" w:cs="Arial"/>
          <w:color w:val="000000" w:themeColor="text1"/>
          <w:lang w:val="es-MX"/>
        </w:rPr>
      </w:pPr>
    </w:p>
    <w:p w14:paraId="0A699F21" w14:textId="77777777" w:rsidR="00AB6268" w:rsidRDefault="00AB6268" w:rsidP="00AB6268">
      <w:pPr>
        <w:spacing w:after="0" w:line="240" w:lineRule="auto"/>
        <w:rPr>
          <w:rFonts w:ascii="Verdana" w:eastAsia="Geomanist Light" w:hAnsi="Verdana" w:cs="Arial"/>
          <w:color w:val="000000" w:themeColor="text1"/>
          <w:lang w:val="es-MX"/>
        </w:rPr>
      </w:pPr>
    </w:p>
    <w:p w14:paraId="110A7E45" w14:textId="77777777" w:rsidR="00AB6268" w:rsidRDefault="00AB6268" w:rsidP="00AB6268">
      <w:pPr>
        <w:spacing w:after="0" w:line="240" w:lineRule="auto"/>
        <w:rPr>
          <w:rFonts w:ascii="Verdana" w:eastAsia="Geomanist Light" w:hAnsi="Verdana" w:cs="Arial"/>
          <w:color w:val="000000" w:themeColor="text1"/>
          <w:lang w:val="es-MX"/>
        </w:rPr>
      </w:pPr>
    </w:p>
    <w:p w14:paraId="5A9AE944" w14:textId="77777777" w:rsidR="00AB6268" w:rsidRDefault="00AB6268" w:rsidP="00AB6268">
      <w:pPr>
        <w:spacing w:after="0" w:line="240" w:lineRule="auto"/>
        <w:rPr>
          <w:rFonts w:ascii="Verdana" w:eastAsia="Geomanist Light" w:hAnsi="Verdana" w:cs="Arial"/>
          <w:color w:val="000000" w:themeColor="text1"/>
          <w:lang w:val="es-MX"/>
        </w:rPr>
      </w:pPr>
    </w:p>
    <w:p w14:paraId="03F3CB7F" w14:textId="77777777" w:rsidR="00AB6268" w:rsidRDefault="00AB6268" w:rsidP="00AB6268">
      <w:pPr>
        <w:spacing w:after="0" w:line="240" w:lineRule="auto"/>
        <w:rPr>
          <w:rFonts w:ascii="Verdana" w:eastAsia="Geomanist Light" w:hAnsi="Verdana" w:cs="Arial"/>
          <w:color w:val="000000" w:themeColor="text1"/>
          <w:lang w:val="es-MX"/>
        </w:rPr>
      </w:pPr>
    </w:p>
    <w:p w14:paraId="3AD268EE" w14:textId="77777777" w:rsidR="00AB6268" w:rsidRDefault="00AB6268" w:rsidP="00AB6268">
      <w:pPr>
        <w:spacing w:after="0" w:line="240" w:lineRule="auto"/>
        <w:rPr>
          <w:rFonts w:ascii="Verdana" w:eastAsia="Geomanist Light" w:hAnsi="Verdana" w:cs="Arial"/>
          <w:color w:val="000000" w:themeColor="text1"/>
          <w:lang w:val="es-MX"/>
        </w:rPr>
      </w:pPr>
    </w:p>
    <w:p w14:paraId="3510493B" w14:textId="77777777" w:rsidR="00AB6268" w:rsidRDefault="00AB6268" w:rsidP="00AB6268">
      <w:pPr>
        <w:spacing w:after="0" w:line="240" w:lineRule="auto"/>
        <w:rPr>
          <w:rFonts w:ascii="Verdana" w:eastAsia="Geomanist Light" w:hAnsi="Verdana" w:cs="Arial"/>
          <w:color w:val="000000" w:themeColor="text1"/>
          <w:lang w:val="es-MX"/>
        </w:rPr>
      </w:pPr>
    </w:p>
    <w:p w14:paraId="4CD61CF2" w14:textId="77777777" w:rsidR="00AB6268" w:rsidRDefault="00AB6268" w:rsidP="00AB6268">
      <w:pPr>
        <w:spacing w:after="0" w:line="240" w:lineRule="auto"/>
        <w:rPr>
          <w:rFonts w:ascii="Verdana" w:eastAsia="Geomanist Light" w:hAnsi="Verdana" w:cs="Arial"/>
          <w:color w:val="000000" w:themeColor="text1"/>
          <w:lang w:val="es-MX"/>
        </w:rPr>
      </w:pPr>
    </w:p>
    <w:p w14:paraId="4D2158D0" w14:textId="77777777" w:rsidR="00AB6268" w:rsidRDefault="00AB6268" w:rsidP="00AB6268">
      <w:pPr>
        <w:spacing w:after="0" w:line="240" w:lineRule="auto"/>
        <w:rPr>
          <w:rFonts w:ascii="Verdana" w:eastAsia="Geomanist Light" w:hAnsi="Verdana" w:cs="Arial"/>
          <w:color w:val="000000" w:themeColor="text1"/>
          <w:lang w:val="es-MX"/>
        </w:rPr>
      </w:pPr>
    </w:p>
    <w:p w14:paraId="135908CB" w14:textId="77777777" w:rsidR="00AB6268" w:rsidRDefault="00AB6268" w:rsidP="00AB6268">
      <w:pPr>
        <w:spacing w:after="0" w:line="240" w:lineRule="auto"/>
        <w:rPr>
          <w:rFonts w:ascii="Verdana" w:eastAsia="Geomanist Light" w:hAnsi="Verdana" w:cs="Arial"/>
          <w:color w:val="000000" w:themeColor="text1"/>
          <w:lang w:val="es-MX"/>
        </w:rPr>
      </w:pPr>
    </w:p>
    <w:p w14:paraId="59B3166E" w14:textId="77777777" w:rsidR="00AB6268" w:rsidRDefault="00AB6268" w:rsidP="00AB6268">
      <w:pPr>
        <w:spacing w:after="0" w:line="240" w:lineRule="auto"/>
        <w:rPr>
          <w:rFonts w:ascii="Verdana" w:eastAsia="Geomanist Light" w:hAnsi="Verdana" w:cs="Arial"/>
          <w:color w:val="000000" w:themeColor="text1"/>
          <w:lang w:val="es-MX"/>
        </w:rPr>
      </w:pPr>
    </w:p>
    <w:p w14:paraId="46706D20" w14:textId="77777777" w:rsidR="00AB6268" w:rsidRDefault="00AB6268" w:rsidP="00AB6268">
      <w:pPr>
        <w:spacing w:after="0" w:line="240" w:lineRule="auto"/>
        <w:rPr>
          <w:rFonts w:ascii="Verdana" w:eastAsia="Geomanist Light" w:hAnsi="Verdana" w:cs="Arial"/>
          <w:color w:val="000000" w:themeColor="text1"/>
          <w:lang w:val="es-MX"/>
        </w:rPr>
      </w:pPr>
    </w:p>
    <w:p w14:paraId="6217456E" w14:textId="77777777" w:rsidR="00AB6268" w:rsidRDefault="00AB6268" w:rsidP="00AB6268">
      <w:pPr>
        <w:spacing w:after="0" w:line="240" w:lineRule="auto"/>
        <w:rPr>
          <w:rFonts w:ascii="Verdana" w:eastAsia="Geomanist Light" w:hAnsi="Verdana" w:cs="Arial"/>
          <w:color w:val="000000" w:themeColor="text1"/>
          <w:lang w:val="es-MX"/>
        </w:rPr>
      </w:pPr>
    </w:p>
    <w:p w14:paraId="31CF80E0" w14:textId="77777777" w:rsidR="00AB6268" w:rsidRDefault="00AB6268" w:rsidP="00AB6268">
      <w:pPr>
        <w:spacing w:after="0" w:line="240" w:lineRule="auto"/>
        <w:rPr>
          <w:rFonts w:ascii="Verdana" w:eastAsia="Geomanist Light" w:hAnsi="Verdana" w:cs="Arial"/>
          <w:color w:val="000000" w:themeColor="text1"/>
          <w:lang w:val="es-MX"/>
        </w:rPr>
      </w:pPr>
    </w:p>
    <w:p w14:paraId="008FEB25" w14:textId="77777777" w:rsidR="00AB6268" w:rsidRDefault="00AB6268" w:rsidP="00AB6268">
      <w:pPr>
        <w:spacing w:after="0" w:line="240" w:lineRule="auto"/>
        <w:rPr>
          <w:rFonts w:ascii="Verdana" w:eastAsia="Geomanist Light" w:hAnsi="Verdana" w:cs="Arial"/>
          <w:color w:val="000000" w:themeColor="text1"/>
          <w:lang w:val="es-MX"/>
        </w:rPr>
      </w:pPr>
    </w:p>
    <w:p w14:paraId="2C3C8EC8" w14:textId="77777777" w:rsidR="00AB6268" w:rsidRDefault="00AB6268" w:rsidP="00AB6268">
      <w:pPr>
        <w:spacing w:after="0" w:line="240" w:lineRule="auto"/>
        <w:rPr>
          <w:rFonts w:ascii="Verdana" w:eastAsia="Geomanist Light" w:hAnsi="Verdana" w:cs="Arial"/>
          <w:color w:val="000000" w:themeColor="text1"/>
          <w:lang w:val="es-MX"/>
        </w:rPr>
      </w:pPr>
    </w:p>
    <w:p w14:paraId="2A3E6C2B" w14:textId="77777777" w:rsidR="00AB6268" w:rsidRDefault="00AB6268" w:rsidP="00AB6268">
      <w:pPr>
        <w:spacing w:after="0" w:line="240" w:lineRule="auto"/>
        <w:rPr>
          <w:rFonts w:ascii="Verdana" w:eastAsia="Geomanist Light" w:hAnsi="Verdana" w:cs="Arial"/>
          <w:color w:val="000000" w:themeColor="text1"/>
          <w:lang w:val="es-MX"/>
        </w:rPr>
      </w:pPr>
    </w:p>
    <w:p w14:paraId="37C886F9" w14:textId="77777777" w:rsidR="00AB6268" w:rsidRDefault="00AB6268" w:rsidP="00AB6268">
      <w:pPr>
        <w:spacing w:after="0" w:line="240" w:lineRule="auto"/>
        <w:rPr>
          <w:rFonts w:ascii="Verdana" w:eastAsia="Geomanist Light" w:hAnsi="Verdana" w:cs="Arial"/>
          <w:color w:val="000000" w:themeColor="text1"/>
          <w:lang w:val="es-MX"/>
        </w:rPr>
      </w:pPr>
    </w:p>
    <w:p w14:paraId="22EEDC62" w14:textId="77777777" w:rsidR="00AB6268" w:rsidRDefault="00AB6268" w:rsidP="00AB6268">
      <w:pPr>
        <w:spacing w:after="0" w:line="240" w:lineRule="auto"/>
        <w:rPr>
          <w:rFonts w:ascii="Verdana" w:eastAsia="Geomanist Light" w:hAnsi="Verdana" w:cs="Arial"/>
          <w:color w:val="000000" w:themeColor="text1"/>
          <w:lang w:val="es-MX"/>
        </w:rPr>
      </w:pPr>
    </w:p>
    <w:p w14:paraId="3A6C40DD" w14:textId="77777777" w:rsidR="00AB6268" w:rsidRDefault="00AB6268" w:rsidP="007520D6">
      <w:pPr>
        <w:spacing w:after="0" w:line="240" w:lineRule="auto"/>
        <w:rPr>
          <w:rFonts w:ascii="Verdana" w:eastAsia="Geomanist Light" w:hAnsi="Verdana" w:cs="Arial"/>
          <w:color w:val="000000" w:themeColor="text1"/>
          <w:lang w:val="es-MX"/>
        </w:rPr>
      </w:pPr>
    </w:p>
    <w:p w14:paraId="5396C55F" w14:textId="5D705B52" w:rsidR="007520D6" w:rsidRPr="00593A5F" w:rsidRDefault="007520D6" w:rsidP="007520D6">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845CD8" w:rsidRPr="0075132B">
        <w:rPr>
          <w:rFonts w:ascii="Verdana" w:eastAsia="Geomanist Light" w:hAnsi="Verdana" w:cs="Arial"/>
          <w:color w:val="000000" w:themeColor="text1"/>
          <w:lang w:val="es-MX"/>
        </w:rPr>
        <w:t xml:space="preserve">04 de </w:t>
      </w:r>
      <w:r w:rsidR="00845CD8">
        <w:rPr>
          <w:rFonts w:ascii="Verdana" w:eastAsia="Geomanist Light" w:hAnsi="Verdana" w:cs="Arial"/>
          <w:color w:val="000000" w:themeColor="text1"/>
          <w:lang w:val="es-MX"/>
        </w:rPr>
        <w:t>Marzo</w:t>
      </w:r>
      <w:r w:rsidR="00845CD8" w:rsidRPr="0075132B">
        <w:rPr>
          <w:rFonts w:ascii="Verdana" w:eastAsia="Geomanist Light" w:hAnsi="Verdana" w:cs="Arial"/>
          <w:color w:val="000000" w:themeColor="text1"/>
          <w:lang w:val="es-MX"/>
        </w:rPr>
        <w:t xml:space="preserve"> de 2026</w:t>
      </w:r>
    </w:p>
    <w:p w14:paraId="5A1EBB22" w14:textId="550F7089" w:rsidR="007520D6" w:rsidRDefault="007C2EA2" w:rsidP="007520D6">
      <w:pPr>
        <w:spacing w:after="0" w:line="240" w:lineRule="auto"/>
        <w:jc w:val="both"/>
        <w:rPr>
          <w:rFonts w:ascii="Verdana" w:eastAsia="Calibri" w:hAnsi="Verdana" w:cs="Arial"/>
          <w:color w:val="000000"/>
          <w:lang w:val="es-ES"/>
        </w:rPr>
      </w:pPr>
      <w:r w:rsidRPr="005A06A5">
        <w:rPr>
          <w:rFonts w:ascii="Verdana" w:eastAsia="Calibri" w:hAnsi="Verdana" w:cs="Arial"/>
          <w:noProof/>
          <w:color w:val="000000"/>
          <w:lang w:val="es-ES"/>
        </w:rPr>
        <w:drawing>
          <wp:anchor distT="0" distB="0" distL="114300" distR="114300" simplePos="0" relativeHeight="251658240" behindDoc="0" locked="0" layoutInCell="1" allowOverlap="1" wp14:anchorId="11E1A832" wp14:editId="5747E84E">
            <wp:simplePos x="0" y="0"/>
            <wp:positionH relativeFrom="margin">
              <wp:align>right</wp:align>
            </wp:positionH>
            <wp:positionV relativeFrom="paragraph">
              <wp:posOffset>173355</wp:posOffset>
            </wp:positionV>
            <wp:extent cx="2845435" cy="874395"/>
            <wp:effectExtent l="0" t="0" r="0" b="1905"/>
            <wp:wrapSquare wrapText="bothSides"/>
            <wp:docPr id="15501590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59099" name=""/>
                    <pic:cNvPicPr/>
                  </pic:nvPicPr>
                  <pic:blipFill>
                    <a:blip r:embed="rId10">
                      <a:extLst>
                        <a:ext uri="{28A0092B-C50C-407E-A947-70E740481C1C}">
                          <a14:useLocalDpi xmlns:a14="http://schemas.microsoft.com/office/drawing/2010/main" val="0"/>
                        </a:ext>
                      </a:extLst>
                    </a:blip>
                    <a:stretch>
                      <a:fillRect/>
                    </a:stretch>
                  </pic:blipFill>
                  <pic:spPr>
                    <a:xfrm>
                      <a:off x="0" y="0"/>
                      <a:ext cx="2845435" cy="874395"/>
                    </a:xfrm>
                    <a:prstGeom prst="rect">
                      <a:avLst/>
                    </a:prstGeom>
                  </pic:spPr>
                </pic:pic>
              </a:graphicData>
            </a:graphic>
            <wp14:sizeRelH relativeFrom="margin">
              <wp14:pctWidth>0</wp14:pctWidth>
            </wp14:sizeRelH>
            <wp14:sizeRelV relativeFrom="margin">
              <wp14:pctHeight>0</wp14:pctHeight>
            </wp14:sizeRelV>
          </wp:anchor>
        </w:drawing>
      </w:r>
    </w:p>
    <w:p w14:paraId="6D160CE9" w14:textId="26C0FF50" w:rsidR="005A06A5" w:rsidRDefault="005A06A5" w:rsidP="005A06A5">
      <w:pPr>
        <w:spacing w:after="0" w:line="240" w:lineRule="auto"/>
        <w:jc w:val="right"/>
        <w:rPr>
          <w:rFonts w:ascii="Verdana" w:eastAsia="Calibri" w:hAnsi="Verdana" w:cs="Arial"/>
          <w:color w:val="000000"/>
          <w:lang w:val="es-ES"/>
        </w:rPr>
      </w:pPr>
    </w:p>
    <w:p w14:paraId="67FDEE3A" w14:textId="77777777" w:rsidR="007520D6" w:rsidRPr="00593A5F" w:rsidRDefault="007520D6" w:rsidP="007520D6">
      <w:pPr>
        <w:spacing w:after="0" w:line="240" w:lineRule="auto"/>
        <w:jc w:val="both"/>
        <w:rPr>
          <w:rFonts w:ascii="Verdana" w:eastAsia="Calibri" w:hAnsi="Verdana" w:cs="Arial"/>
          <w:color w:val="000000"/>
          <w:lang w:val="es-ES"/>
        </w:rPr>
      </w:pPr>
    </w:p>
    <w:p w14:paraId="13A90FF9" w14:textId="77777777" w:rsidR="007520D6" w:rsidRPr="00B96799" w:rsidRDefault="007520D6" w:rsidP="007520D6">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57D68252" w14:textId="77777777" w:rsidR="007520D6" w:rsidRDefault="007520D6" w:rsidP="007520D6">
      <w:pPr>
        <w:spacing w:after="0" w:line="240" w:lineRule="auto"/>
        <w:rPr>
          <w:rFonts w:ascii="Verdana" w:eastAsia="Calibri" w:hAnsi="Verdana" w:cs="Arial"/>
          <w:b/>
          <w:lang w:val="es-ES_tradnl" w:eastAsia="es-ES_tradnl"/>
        </w:rPr>
      </w:pPr>
      <w:r w:rsidRPr="00C540C9">
        <w:rPr>
          <w:rFonts w:ascii="Verdana" w:eastAsia="Calibri" w:hAnsi="Verdana" w:cs="Arial"/>
          <w:b/>
          <w:lang w:val="es-ES_tradnl" w:eastAsia="es-ES_tradnl"/>
        </w:rPr>
        <w:t>Iván Santiago Pérez Rodríguez</w:t>
      </w:r>
    </w:p>
    <w:p w14:paraId="5B526CD6" w14:textId="77777777" w:rsidR="007520D6" w:rsidRPr="00C540C9" w:rsidRDefault="007520D6" w:rsidP="007520D6">
      <w:pPr>
        <w:spacing w:after="0" w:line="240" w:lineRule="auto"/>
        <w:rPr>
          <w:rFonts w:ascii="Verdana" w:eastAsia="Calibri" w:hAnsi="Verdana" w:cs="Arial"/>
          <w:color w:val="4472C4" w:themeColor="accent1"/>
          <w:u w:val="single"/>
          <w:lang w:val="es-ES" w:eastAsia="es-ES"/>
        </w:rPr>
      </w:pPr>
      <w:hyperlink r:id="rId11" w:history="1">
        <w:r w:rsidRPr="00B078BF">
          <w:rPr>
            <w:rStyle w:val="Hipervnculo"/>
            <w:rFonts w:ascii="Verdana" w:hAnsi="Verdana"/>
          </w:rPr>
          <w:t>ivansantiagopeez@gmail.com</w:t>
        </w:r>
      </w:hyperlink>
      <w:r>
        <w:rPr>
          <w:rFonts w:ascii="Verdana" w:hAnsi="Verdana"/>
        </w:rPr>
        <w:t xml:space="preserve"> </w:t>
      </w:r>
      <w:r w:rsidRPr="00C540C9">
        <w:rPr>
          <w:rFonts w:ascii="Verdana" w:eastAsia="Calibri" w:hAnsi="Verdana" w:cs="Arial"/>
          <w:color w:val="4472C4" w:themeColor="accent1"/>
          <w:u w:val="single"/>
          <w:lang w:val="es-ES" w:eastAsia="es-ES"/>
        </w:rPr>
        <w:t xml:space="preserve">  </w:t>
      </w:r>
    </w:p>
    <w:p w14:paraId="042640E9" w14:textId="77777777" w:rsidR="007520D6" w:rsidRDefault="007520D6" w:rsidP="007520D6">
      <w:pPr>
        <w:spacing w:after="0" w:line="240" w:lineRule="auto"/>
        <w:rPr>
          <w:rFonts w:ascii="Verdana" w:eastAsia="Calibri" w:hAnsi="Verdana" w:cs="Arial"/>
          <w:lang w:val="es-ES" w:eastAsia="es-ES"/>
        </w:rPr>
      </w:pPr>
      <w:r>
        <w:rPr>
          <w:rFonts w:ascii="Verdana" w:eastAsia="Calibri" w:hAnsi="Verdana" w:cs="Arial"/>
          <w:lang w:val="es-ES" w:eastAsia="es-ES"/>
        </w:rPr>
        <w:t>Yopal, Casanare</w:t>
      </w:r>
    </w:p>
    <w:p w14:paraId="4A94E517" w14:textId="77777777" w:rsidR="007520D6" w:rsidRPr="00593A5F" w:rsidRDefault="007520D6" w:rsidP="007520D6">
      <w:pPr>
        <w:spacing w:after="0" w:line="240" w:lineRule="auto"/>
        <w:rPr>
          <w:rFonts w:ascii="Verdana" w:eastAsia="Calibri" w:hAnsi="Verdana" w:cs="Arial"/>
          <w:b/>
          <w:bCs/>
          <w:color w:val="000000"/>
          <w:lang w:val="es-ES_tradnl" w:eastAsia="es-ES_tradnl"/>
        </w:rPr>
      </w:pPr>
    </w:p>
    <w:p w14:paraId="4D2570E8" w14:textId="77777777" w:rsidR="007520D6" w:rsidRPr="00593A5F" w:rsidRDefault="007520D6" w:rsidP="007520D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520D6" w:rsidRPr="00593A5F" w14:paraId="0D0A5C54" w14:textId="77777777">
        <w:trPr>
          <w:trHeight w:val="884"/>
        </w:trPr>
        <w:tc>
          <w:tcPr>
            <w:tcW w:w="2689" w:type="dxa"/>
          </w:tcPr>
          <w:p w14:paraId="30694E0C" w14:textId="77777777" w:rsidR="007520D6" w:rsidRPr="00C00976" w:rsidRDefault="007520D6">
            <w:pPr>
              <w:jc w:val="both"/>
              <w:rPr>
                <w:rFonts w:ascii="Verdana" w:eastAsia="Calibri" w:hAnsi="Verdana" w:cs="Arial"/>
                <w:b/>
                <w:bCs/>
                <w:color w:val="7030A0"/>
                <w:lang w:val="es-ES_tradnl" w:eastAsia="es-ES_tradnl"/>
              </w:rPr>
            </w:pPr>
          </w:p>
        </w:tc>
        <w:tc>
          <w:tcPr>
            <w:tcW w:w="6100" w:type="dxa"/>
          </w:tcPr>
          <w:p w14:paraId="52E3ED10" w14:textId="77777777" w:rsidR="007520D6" w:rsidRPr="00C00976" w:rsidRDefault="007520D6">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290</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7520D6" w:rsidRPr="00593A5F" w14:paraId="449B191E" w14:textId="77777777">
        <w:trPr>
          <w:trHeight w:val="884"/>
        </w:trPr>
        <w:tc>
          <w:tcPr>
            <w:tcW w:w="2689" w:type="dxa"/>
          </w:tcPr>
          <w:p w14:paraId="6184AA00" w14:textId="77777777" w:rsidR="007520D6" w:rsidRPr="00593A5F" w:rsidRDefault="007520D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97AB7A3" w14:textId="77777777" w:rsidR="007520D6" w:rsidRPr="00D1484F" w:rsidRDefault="007520D6">
            <w:pPr>
              <w:spacing w:line="276" w:lineRule="auto"/>
              <w:jc w:val="both"/>
              <w:rPr>
                <w:rFonts w:ascii="Verdana" w:eastAsia="Calibri" w:hAnsi="Verdana" w:cs="Arial"/>
                <w:lang w:val="es-ES" w:eastAsia="es-ES"/>
              </w:rPr>
            </w:pPr>
            <w:r w:rsidRPr="00D1484F">
              <w:rPr>
                <w:rFonts w:ascii="Verdana" w:eastAsia="Calibri" w:hAnsi="Verdana" w:cs="Arial"/>
                <w:lang w:val="es-ES" w:eastAsia="es-ES"/>
              </w:rPr>
              <w:t xml:space="preserve">PROPONENTE PLURAL ‒ Consorcio ‒ Unión temporal ‒ Concepto – Diferencias / </w:t>
            </w:r>
            <w:r w:rsidRPr="00B97F89">
              <w:rPr>
                <w:rFonts w:ascii="Verdana" w:eastAsia="Calibri" w:hAnsi="Verdana" w:cs="Arial"/>
                <w:lang w:val="es-ES" w:eastAsia="es-ES"/>
              </w:rPr>
              <w:t>CONSORCIOS Y UNIONES TEMPORALES – Responsabilidad solidaria</w:t>
            </w:r>
            <w:r>
              <w:rPr>
                <w:rFonts w:ascii="Verdana" w:eastAsia="Calibri" w:hAnsi="Verdana" w:cs="Arial"/>
                <w:lang w:val="es-ES" w:eastAsia="es-ES"/>
              </w:rPr>
              <w:t xml:space="preserve"> / </w:t>
            </w:r>
            <w:r w:rsidRPr="00294FF1">
              <w:rPr>
                <w:rFonts w:ascii="Verdana" w:eastAsia="Calibri" w:hAnsi="Verdana" w:cs="Arial"/>
                <w:lang w:val="es-ES" w:eastAsia="es-ES"/>
              </w:rPr>
              <w:t>RESPONSABILIDAD CONTRACTUAL – Solidaridad – Daños extracontractuales a terceros – Exclusión – Fundamento jurídico distinto</w:t>
            </w:r>
            <w:r>
              <w:rPr>
                <w:rFonts w:ascii="Verdana" w:eastAsia="Calibri" w:hAnsi="Verdana" w:cs="Arial"/>
                <w:lang w:val="es-ES" w:eastAsia="es-ES"/>
              </w:rPr>
              <w:t xml:space="preserve"> / </w:t>
            </w:r>
            <w:r w:rsidRPr="00294FF1">
              <w:rPr>
                <w:rFonts w:ascii="Verdana" w:eastAsia="Calibri" w:hAnsi="Verdana" w:cs="Arial"/>
                <w:lang w:val="es-ES" w:eastAsia="es-ES"/>
              </w:rPr>
              <w:t>CAPACIDAD PROCESAL – Proponentes plurales</w:t>
            </w:r>
            <w:r w:rsidRPr="00B97F89">
              <w:rPr>
                <w:rFonts w:ascii="Verdana" w:eastAsia="Calibri" w:hAnsi="Verdana" w:cs="Arial"/>
                <w:lang w:val="es-ES" w:eastAsia="es-ES"/>
              </w:rPr>
              <w:t xml:space="preserve"> </w:t>
            </w:r>
            <w:r w:rsidRPr="00D1484F">
              <w:rPr>
                <w:rFonts w:ascii="Verdana" w:eastAsia="Calibri" w:hAnsi="Verdana" w:cs="Arial"/>
                <w:lang w:val="es-ES" w:eastAsia="es-ES"/>
              </w:rPr>
              <w:t xml:space="preserve"> </w:t>
            </w:r>
          </w:p>
          <w:p w14:paraId="33E3C8CC" w14:textId="77777777" w:rsidR="007520D6" w:rsidRPr="00593A5F" w:rsidRDefault="007520D6">
            <w:pPr>
              <w:spacing w:line="276" w:lineRule="auto"/>
              <w:jc w:val="both"/>
              <w:rPr>
                <w:rFonts w:ascii="Verdana" w:eastAsia="Calibri" w:hAnsi="Verdana" w:cs="Arial"/>
                <w:lang w:val="es-ES" w:eastAsia="es-ES"/>
              </w:rPr>
            </w:pPr>
          </w:p>
        </w:tc>
      </w:tr>
      <w:tr w:rsidR="007520D6" w:rsidRPr="008E6AD9" w14:paraId="0DA51557" w14:textId="77777777">
        <w:tc>
          <w:tcPr>
            <w:tcW w:w="2689" w:type="dxa"/>
          </w:tcPr>
          <w:p w14:paraId="0D1F7A07" w14:textId="77777777" w:rsidR="007520D6" w:rsidRPr="008E6AD9" w:rsidRDefault="007520D6">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B992820" w14:textId="77777777" w:rsidR="007520D6" w:rsidRPr="008E6AD9" w:rsidRDefault="007520D6">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consulta con radicado No. </w:t>
            </w:r>
            <w:r w:rsidRPr="003F574C">
              <w:rPr>
                <w:rFonts w:ascii="Verdana" w:eastAsia="Calibri" w:hAnsi="Verdana" w:cs="Arial"/>
                <w:lang w:val="es-ES_tradnl" w:eastAsia="es-ES_tradnl"/>
              </w:rPr>
              <w:t>1_2026_02_24_002529</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130698C" w14:textId="77777777" w:rsidR="007520D6" w:rsidRPr="00593A5F" w:rsidRDefault="007520D6" w:rsidP="007520D6">
      <w:pPr>
        <w:spacing w:after="0" w:line="240" w:lineRule="auto"/>
        <w:jc w:val="both"/>
        <w:rPr>
          <w:rFonts w:ascii="Verdana" w:eastAsia="Calibri" w:hAnsi="Verdana" w:cs="Arial"/>
          <w:color w:val="000000"/>
          <w:lang w:val="es-ES_tradnl" w:eastAsia="es-ES_tradnl"/>
        </w:rPr>
      </w:pPr>
    </w:p>
    <w:p w14:paraId="094DE984" w14:textId="77777777" w:rsidR="007520D6" w:rsidRPr="00593A5F" w:rsidRDefault="007520D6" w:rsidP="007520D6">
      <w:pPr>
        <w:spacing w:after="0" w:line="240" w:lineRule="auto"/>
        <w:jc w:val="both"/>
        <w:rPr>
          <w:rFonts w:ascii="Verdana" w:eastAsia="Calibri" w:hAnsi="Verdana" w:cs="Arial"/>
          <w:color w:val="000000"/>
          <w:lang w:val="es-ES_tradnl" w:eastAsia="es-ES_tradnl"/>
        </w:rPr>
      </w:pPr>
    </w:p>
    <w:p w14:paraId="0D0435A3" w14:textId="77777777" w:rsidR="007520D6" w:rsidRPr="008E6AD9" w:rsidRDefault="007520D6" w:rsidP="007520D6">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 xml:space="preserve">Estimado señor </w:t>
      </w:r>
      <w:r w:rsidRPr="003F574C">
        <w:rPr>
          <w:rFonts w:ascii="Verdana" w:eastAsia="Calibri" w:hAnsi="Verdana" w:cs="Arial"/>
          <w:lang w:val="es-ES" w:eastAsia="es-ES"/>
        </w:rPr>
        <w:t>Pérez Rodríguez</w:t>
      </w:r>
      <w:r w:rsidRPr="008E6AD9">
        <w:rPr>
          <w:rFonts w:ascii="Verdana" w:eastAsia="Calibri" w:hAnsi="Verdana" w:cs="Arial"/>
          <w:lang w:val="es-ES" w:eastAsia="es-ES"/>
        </w:rPr>
        <w:t xml:space="preserve">: </w:t>
      </w:r>
    </w:p>
    <w:p w14:paraId="758A6908" w14:textId="77777777" w:rsidR="007520D6" w:rsidRDefault="007520D6" w:rsidP="007520D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9EC484C" w14:textId="77777777" w:rsidR="007520D6" w:rsidRPr="00593A5F" w:rsidRDefault="007520D6" w:rsidP="007520D6">
      <w:pPr>
        <w:spacing w:after="0" w:line="276" w:lineRule="auto"/>
        <w:jc w:val="both"/>
        <w:rPr>
          <w:rFonts w:ascii="Verdana" w:eastAsia="Calibri" w:hAnsi="Verdana" w:cs="Arial"/>
          <w:color w:val="7030A0"/>
          <w:lang w:val="es-ES" w:eastAsia="es-ES"/>
        </w:rPr>
      </w:pPr>
      <w:r w:rsidRPr="00C705FB">
        <w:rPr>
          <w:rFonts w:ascii="Verdana" w:eastAsia="Calibri" w:hAnsi="Verdana" w:cs="Arial"/>
          <w:color w:val="000000" w:themeColor="text1"/>
          <w:lang w:val="es-ES" w:eastAsia="es-ES"/>
        </w:rPr>
        <w:t>En ejercicio de la competencia otorgada</w:t>
      </w:r>
      <w:r w:rsidRPr="00593A5F">
        <w:rPr>
          <w:rFonts w:ascii="Verdana" w:eastAsia="Calibri" w:hAnsi="Verdana" w:cs="Arial"/>
          <w:color w:val="000000" w:themeColor="text1"/>
          <w:lang w:val="es-ES" w:eastAsia="es-ES"/>
        </w:rPr>
        <w:t xml:space="preserve">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 xml:space="preserve">fecha </w:t>
      </w:r>
      <w:r>
        <w:rPr>
          <w:rFonts w:ascii="Verdana" w:eastAsia="Calibri" w:hAnsi="Verdana" w:cs="Arial"/>
          <w:lang w:val="es-ES" w:eastAsia="es-ES"/>
        </w:rPr>
        <w:t>24 de febrero de 2026</w:t>
      </w:r>
      <w:r w:rsidRPr="008E6AD9">
        <w:rPr>
          <w:rFonts w:ascii="Verdana" w:eastAsia="Calibri" w:hAnsi="Verdana" w:cs="Arial"/>
          <w:lang w:val="es-ES" w:eastAsia="es-ES"/>
        </w:rPr>
        <w:t>, en la cua</w:t>
      </w:r>
      <w:r>
        <w:rPr>
          <w:rFonts w:ascii="Verdana" w:eastAsia="Calibri" w:hAnsi="Verdana" w:cs="Arial"/>
          <w:lang w:val="es-ES" w:eastAsia="es-ES"/>
        </w:rPr>
        <w:t>l realiza las siguientes preguntas</w:t>
      </w:r>
      <w:r w:rsidRPr="008E6AD9">
        <w:rPr>
          <w:rFonts w:ascii="Verdana" w:eastAsia="Calibri" w:hAnsi="Verdana" w:cs="Arial"/>
          <w:lang w:val="es-ES" w:eastAsia="es-ES"/>
        </w:rPr>
        <w:t xml:space="preserve">: </w:t>
      </w:r>
    </w:p>
    <w:p w14:paraId="589E7721" w14:textId="77777777" w:rsidR="007520D6" w:rsidRPr="00272A7B" w:rsidRDefault="007520D6" w:rsidP="008132E8">
      <w:pPr>
        <w:pStyle w:val="Prrafodelista"/>
        <w:tabs>
          <w:tab w:val="left" w:pos="142"/>
          <w:tab w:val="left" w:pos="284"/>
        </w:tabs>
        <w:spacing w:after="0" w:line="276" w:lineRule="auto"/>
        <w:ind w:left="0"/>
        <w:jc w:val="both"/>
        <w:rPr>
          <w:rFonts w:ascii="Verdana" w:eastAsia="Century Gothic" w:hAnsi="Verdana" w:cs="Century Gothic"/>
          <w:b/>
          <w:bCs/>
        </w:rPr>
      </w:pPr>
    </w:p>
    <w:p w14:paraId="524D1FED" w14:textId="77777777" w:rsidR="007520D6" w:rsidRPr="00DA1D70" w:rsidRDefault="007520D6" w:rsidP="007520D6">
      <w:pPr>
        <w:spacing w:after="120" w:line="240" w:lineRule="auto"/>
        <w:ind w:left="709" w:right="709"/>
        <w:jc w:val="both"/>
        <w:rPr>
          <w:rStyle w:val="normaltextrun"/>
          <w:rFonts w:ascii="Verdana" w:hAnsi="Verdana" w:cs="Arial"/>
          <w:sz w:val="20"/>
          <w:szCs w:val="20"/>
          <w:shd w:val="clear" w:color="auto" w:fill="FFFFFF"/>
          <w:lang w:val="es-ES"/>
        </w:rPr>
      </w:pPr>
      <w:bookmarkStart w:id="0" w:name="_Hlk95313578"/>
      <w:r w:rsidRPr="008E6AD9">
        <w:rPr>
          <w:rFonts w:ascii="Verdana" w:eastAsia="Century Gothic" w:hAnsi="Verdana" w:cs="Century Gothic"/>
          <w:sz w:val="20"/>
          <w:szCs w:val="20"/>
          <w:lang w:val="es-ES"/>
        </w:rPr>
        <w:t>“</w:t>
      </w:r>
      <w:r w:rsidRPr="00DA1D70">
        <w:rPr>
          <w:rStyle w:val="normaltextrun"/>
          <w:rFonts w:ascii="Verdana" w:hAnsi="Verdana" w:cs="Arial"/>
          <w:b/>
          <w:bCs/>
          <w:sz w:val="20"/>
          <w:szCs w:val="20"/>
          <w:shd w:val="clear" w:color="auto" w:fill="FFFFFF"/>
          <w:lang w:val="es-ES"/>
        </w:rPr>
        <w:t>PRIMERO:</w:t>
      </w:r>
      <w:r w:rsidRPr="00DA1D70">
        <w:rPr>
          <w:rStyle w:val="normaltextrun"/>
          <w:rFonts w:ascii="Verdana" w:hAnsi="Verdana" w:cs="Arial"/>
          <w:sz w:val="20"/>
          <w:szCs w:val="20"/>
          <w:shd w:val="clear" w:color="auto" w:fill="FFFFFF"/>
          <w:lang w:val="es-ES"/>
        </w:rPr>
        <w:t xml:space="preserve"> ¿Cómo se debe entender el alcance de la responsabilidad conjunta de los miembros de un consorcio y de una unión temporal ante personas que no son parte del contrato estatal? </w:t>
      </w:r>
    </w:p>
    <w:p w14:paraId="73CEB95C" w14:textId="77777777" w:rsidR="007520D6" w:rsidRPr="00DA1D70" w:rsidRDefault="007520D6" w:rsidP="007520D6">
      <w:pPr>
        <w:spacing w:after="120" w:line="240" w:lineRule="auto"/>
        <w:ind w:left="709" w:right="709"/>
        <w:jc w:val="both"/>
        <w:rPr>
          <w:rStyle w:val="normaltextrun"/>
          <w:rFonts w:ascii="Verdana" w:hAnsi="Verdana" w:cs="Arial"/>
          <w:sz w:val="20"/>
          <w:szCs w:val="20"/>
          <w:shd w:val="clear" w:color="auto" w:fill="FFFFFF"/>
          <w:lang w:val="es-ES"/>
        </w:rPr>
      </w:pPr>
      <w:r w:rsidRPr="00DA1D70">
        <w:rPr>
          <w:rStyle w:val="normaltextrun"/>
          <w:rFonts w:ascii="Verdana" w:hAnsi="Verdana" w:cs="Arial"/>
          <w:b/>
          <w:bCs/>
          <w:sz w:val="20"/>
          <w:szCs w:val="20"/>
          <w:shd w:val="clear" w:color="auto" w:fill="FFFFFF"/>
          <w:lang w:val="es-ES"/>
        </w:rPr>
        <w:lastRenderedPageBreak/>
        <w:t>SEGUNDO:</w:t>
      </w:r>
      <w:r w:rsidRPr="00DA1D70">
        <w:rPr>
          <w:rStyle w:val="normaltextrun"/>
          <w:rFonts w:ascii="Verdana" w:hAnsi="Verdana" w:cs="Arial"/>
          <w:sz w:val="20"/>
          <w:szCs w:val="20"/>
          <w:shd w:val="clear" w:color="auto" w:fill="FFFFFF"/>
          <w:lang w:val="es-ES"/>
        </w:rPr>
        <w:t xml:space="preserve"> ¿La responsabilidad conjunta mencionada en el artículo 7 de la Ley 80 de 1993 incluye deudas de tipo extracontractual que surgen durante la ejecución del contrato? </w:t>
      </w:r>
    </w:p>
    <w:p w14:paraId="5CA9FEB3" w14:textId="77777777" w:rsidR="007520D6" w:rsidRPr="00DA1D70" w:rsidRDefault="007520D6" w:rsidP="007520D6">
      <w:pPr>
        <w:spacing w:after="120" w:line="240" w:lineRule="auto"/>
        <w:ind w:left="709" w:right="709"/>
        <w:jc w:val="both"/>
        <w:rPr>
          <w:rStyle w:val="normaltextrun"/>
          <w:rFonts w:ascii="Verdana" w:hAnsi="Verdana" w:cs="Arial"/>
          <w:sz w:val="20"/>
          <w:szCs w:val="20"/>
          <w:shd w:val="clear" w:color="auto" w:fill="FFFFFF"/>
          <w:lang w:val="es-ES"/>
        </w:rPr>
      </w:pPr>
      <w:r w:rsidRPr="00DA1D70">
        <w:rPr>
          <w:rStyle w:val="normaltextrun"/>
          <w:rFonts w:ascii="Verdana" w:hAnsi="Verdana" w:cs="Arial"/>
          <w:b/>
          <w:bCs/>
          <w:sz w:val="20"/>
          <w:szCs w:val="20"/>
          <w:shd w:val="clear" w:color="auto" w:fill="FFFFFF"/>
          <w:lang w:val="es-ES"/>
        </w:rPr>
        <w:t>TERCERO:</w:t>
      </w:r>
      <w:r w:rsidRPr="00DA1D70">
        <w:rPr>
          <w:rStyle w:val="normaltextrun"/>
          <w:rFonts w:ascii="Verdana" w:hAnsi="Verdana" w:cs="Arial"/>
          <w:sz w:val="20"/>
          <w:szCs w:val="20"/>
          <w:shd w:val="clear" w:color="auto" w:fill="FFFFFF"/>
          <w:lang w:val="es-ES"/>
        </w:rPr>
        <w:t xml:space="preserve"> Si se causa un perjuicio a un tercero mientras se lleva a cabo el contrato, ¿la demanda debería ser presentada contra todos los miembros del consorcio o la unión temporal, o es posible hacerlo solo contra uno de ellos? </w:t>
      </w:r>
    </w:p>
    <w:p w14:paraId="009CF1AC" w14:textId="77777777" w:rsidR="007520D6" w:rsidRPr="008E6AD9" w:rsidRDefault="007520D6" w:rsidP="007520D6">
      <w:pPr>
        <w:spacing w:after="0" w:line="240" w:lineRule="auto"/>
        <w:ind w:left="709" w:right="709"/>
        <w:jc w:val="both"/>
        <w:rPr>
          <w:rFonts w:ascii="Verdana" w:hAnsi="Verdana" w:cs="Arial"/>
          <w:sz w:val="20"/>
          <w:szCs w:val="20"/>
          <w:shd w:val="clear" w:color="auto" w:fill="FFFFFF"/>
          <w:lang w:val="es-ES"/>
        </w:rPr>
      </w:pPr>
      <w:r w:rsidRPr="00DA1D70">
        <w:rPr>
          <w:rStyle w:val="normaltextrun"/>
          <w:rFonts w:ascii="Verdana" w:hAnsi="Verdana" w:cs="Arial"/>
          <w:b/>
          <w:bCs/>
          <w:sz w:val="20"/>
          <w:szCs w:val="20"/>
          <w:shd w:val="clear" w:color="auto" w:fill="FFFFFF"/>
          <w:lang w:val="es-ES"/>
        </w:rPr>
        <w:t>CUARTO:</w:t>
      </w:r>
      <w:r w:rsidRPr="00DA1D70">
        <w:rPr>
          <w:rStyle w:val="normaltextrun"/>
          <w:rFonts w:ascii="Verdana" w:hAnsi="Verdana" w:cs="Arial"/>
          <w:sz w:val="20"/>
          <w:szCs w:val="20"/>
          <w:shd w:val="clear" w:color="auto" w:fill="FFFFFF"/>
          <w:lang w:val="es-ES"/>
        </w:rPr>
        <w:t xml:space="preserve"> ¿Existen directrices, conceptos o documentos actuales emitidos por esa agencia que aborden de manera específica el régimen de responsabilidad ante terceros de estas figuras asociativas?</w:t>
      </w:r>
      <w:r w:rsidRPr="008E6AD9">
        <w:rPr>
          <w:rFonts w:ascii="Verdana" w:eastAsia="Century Gothic" w:hAnsi="Verdana" w:cs="Century Gothic"/>
          <w:sz w:val="20"/>
          <w:szCs w:val="20"/>
          <w:lang w:val="es-ES"/>
        </w:rPr>
        <w:t>”</w:t>
      </w:r>
      <w:bookmarkEnd w:id="0"/>
      <w:r w:rsidRPr="008E6AD9">
        <w:rPr>
          <w:rFonts w:ascii="Verdana" w:eastAsia="Century Gothic" w:hAnsi="Verdana" w:cs="Century Gothic"/>
          <w:sz w:val="20"/>
          <w:szCs w:val="20"/>
          <w:lang w:val="es-ES"/>
        </w:rPr>
        <w:t>.</w:t>
      </w:r>
    </w:p>
    <w:p w14:paraId="1FF00264" w14:textId="77777777" w:rsidR="007520D6" w:rsidRPr="008E6AD9" w:rsidRDefault="007520D6" w:rsidP="008132E8">
      <w:pPr>
        <w:pStyle w:val="Prrafodelista"/>
        <w:tabs>
          <w:tab w:val="left" w:pos="142"/>
          <w:tab w:val="left" w:pos="284"/>
        </w:tabs>
        <w:spacing w:after="0" w:line="276" w:lineRule="auto"/>
        <w:ind w:left="0"/>
        <w:jc w:val="both"/>
        <w:rPr>
          <w:rFonts w:ascii="Verdana" w:eastAsia="Century Gothic" w:hAnsi="Verdana" w:cs="Century Gothic"/>
          <w:b/>
          <w:bCs/>
        </w:rPr>
      </w:pPr>
    </w:p>
    <w:p w14:paraId="559884EE" w14:textId="77777777" w:rsidR="007520D6" w:rsidRPr="00A652FF" w:rsidRDefault="007520D6" w:rsidP="007520D6">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7307231" w14:textId="77777777" w:rsidR="007520D6" w:rsidRDefault="007520D6" w:rsidP="007520D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11E34D02" w14:textId="77777777" w:rsidR="007520D6" w:rsidRPr="00593A5F" w:rsidRDefault="007520D6" w:rsidP="008132E8">
      <w:pPr>
        <w:spacing w:after="0" w:line="276" w:lineRule="auto"/>
        <w:jc w:val="both"/>
        <w:rPr>
          <w:rFonts w:ascii="Verdana" w:eastAsia="Calibri" w:hAnsi="Verdana" w:cs="Arial"/>
          <w:color w:val="000000"/>
          <w:lang w:val="es-ES" w:eastAsia="es-ES"/>
        </w:rPr>
      </w:pPr>
    </w:p>
    <w:p w14:paraId="3ABD942E" w14:textId="77777777" w:rsidR="007520D6" w:rsidRPr="00593A5F" w:rsidRDefault="007520D6" w:rsidP="007520D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A3D5A23" w14:textId="77777777" w:rsidR="007520D6" w:rsidRPr="00593A5F" w:rsidRDefault="007520D6" w:rsidP="007520D6">
      <w:pPr>
        <w:tabs>
          <w:tab w:val="left" w:pos="426"/>
        </w:tabs>
        <w:spacing w:after="0" w:line="276" w:lineRule="auto"/>
        <w:jc w:val="both"/>
        <w:rPr>
          <w:rFonts w:ascii="Verdana" w:eastAsia="Century Gothic" w:hAnsi="Verdana" w:cs="Century Gothic"/>
          <w:lang w:val="es-ES"/>
        </w:rPr>
      </w:pPr>
    </w:p>
    <w:p w14:paraId="5CDF1817" w14:textId="77777777" w:rsidR="007520D6" w:rsidRPr="00593A5F" w:rsidRDefault="007520D6" w:rsidP="007520D6">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siguiente problema jurídico: </w:t>
      </w:r>
      <w:r>
        <w:rPr>
          <w:rFonts w:ascii="Verdana" w:eastAsia="Century Gothic" w:hAnsi="Verdana" w:cs="Century Gothic"/>
        </w:rPr>
        <w:t xml:space="preserve">¿la solidaridad de los </w:t>
      </w:r>
      <w:r>
        <w:rPr>
          <w:rFonts w:ascii="Verdana" w:hAnsi="Verdana" w:cs="Arial"/>
          <w:color w:val="000000" w:themeColor="text1"/>
        </w:rPr>
        <w:t>numerales 6 y 7 del artículo 7 de la Ley 80 de 1993 se limita a la responsabilidad contractual</w:t>
      </w:r>
      <w:r>
        <w:rPr>
          <w:rFonts w:ascii="Verdana" w:eastAsia="Century Gothic" w:hAnsi="Verdana" w:cs="Century Gothic"/>
        </w:rPr>
        <w:t>?</w:t>
      </w:r>
    </w:p>
    <w:p w14:paraId="5E90AD4B" w14:textId="77777777" w:rsidR="001929CA" w:rsidRPr="00593A5F" w:rsidRDefault="001929CA" w:rsidP="007520D6">
      <w:pPr>
        <w:spacing w:after="0" w:line="276" w:lineRule="auto"/>
        <w:jc w:val="both"/>
        <w:rPr>
          <w:rFonts w:ascii="Verdana" w:eastAsia="Calibri" w:hAnsi="Verdana" w:cs="Arial"/>
          <w:color w:val="7030A0"/>
          <w:lang w:val="es-ES"/>
        </w:rPr>
      </w:pPr>
    </w:p>
    <w:p w14:paraId="62664CA1" w14:textId="77777777" w:rsidR="007520D6" w:rsidRPr="00593A5F" w:rsidRDefault="007520D6" w:rsidP="007520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996A192" w14:textId="77777777" w:rsidR="007520D6" w:rsidRPr="00593A5F" w:rsidRDefault="007520D6" w:rsidP="007520D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20D6" w:rsidRPr="00593A5F" w14:paraId="2F774E93" w14:textId="77777777" w:rsidTr="008132E8">
        <w:trPr>
          <w:trHeight w:val="595"/>
          <w:jc w:val="center"/>
        </w:trPr>
        <w:tc>
          <w:tcPr>
            <w:tcW w:w="9400" w:type="dxa"/>
          </w:tcPr>
          <w:p w14:paraId="72C112C9" w14:textId="33A8D995" w:rsidR="007520D6" w:rsidRDefault="007520D6">
            <w:pPr>
              <w:spacing w:after="120" w:line="276" w:lineRule="auto"/>
              <w:jc w:val="both"/>
              <w:rPr>
                <w:rFonts w:ascii="Verdana" w:hAnsi="Verdana" w:cs="Arial"/>
                <w:color w:val="000000" w:themeColor="text1"/>
              </w:rPr>
            </w:pPr>
            <w:r>
              <w:rPr>
                <w:rFonts w:ascii="Verdana" w:eastAsia="Calibri" w:hAnsi="Verdana" w:cs="Arial"/>
                <w:lang w:val="es-ES"/>
              </w:rPr>
              <w:lastRenderedPageBreak/>
              <w:t>La ANCP – CCE no ha abordado</w:t>
            </w:r>
            <w:r w:rsidRPr="000F44CB">
              <w:rPr>
                <w:rFonts w:ascii="Verdana" w:eastAsia="Calibri" w:hAnsi="Verdana" w:cs="Arial"/>
                <w:lang w:val="es-ES"/>
              </w:rPr>
              <w:t xml:space="preserve"> el régimen de responsabilidad </w:t>
            </w:r>
            <w:r>
              <w:rPr>
                <w:rFonts w:ascii="Verdana" w:eastAsia="Calibri" w:hAnsi="Verdana" w:cs="Arial"/>
                <w:lang w:val="es-ES"/>
              </w:rPr>
              <w:t>de las estructuras plurales frente a</w:t>
            </w:r>
            <w:r w:rsidRPr="000F44CB">
              <w:rPr>
                <w:rFonts w:ascii="Verdana" w:eastAsia="Calibri" w:hAnsi="Verdana" w:cs="Arial"/>
                <w:lang w:val="es-ES"/>
              </w:rPr>
              <w:t xml:space="preserve"> terceros</w:t>
            </w:r>
            <w:r>
              <w:rPr>
                <w:rFonts w:ascii="Verdana" w:eastAsia="Calibri" w:hAnsi="Verdana" w:cs="Arial"/>
                <w:lang w:val="es-ES"/>
              </w:rPr>
              <w:t>. Sin embargo</w:t>
            </w:r>
            <w:r w:rsidRPr="00760008">
              <w:rPr>
                <w:rFonts w:ascii="Verdana" w:eastAsia="Calibri" w:hAnsi="Verdana" w:cs="Arial"/>
                <w:lang w:val="es-ES"/>
              </w:rPr>
              <w:t xml:space="preserve">, </w:t>
            </w:r>
            <w:r>
              <w:rPr>
                <w:rFonts w:ascii="Verdana" w:hAnsi="Verdana" w:cs="Arial"/>
                <w:color w:val="000000" w:themeColor="text1"/>
              </w:rPr>
              <w:t xml:space="preserve">los numerales 6 y 7 del artículo 7 de la Ley 80 de 1993 –en concordancia con el inciso segundo del artículo 1568 del Código Civil– establecen una </w:t>
            </w:r>
            <w:r w:rsidRPr="00094498">
              <w:rPr>
                <w:rFonts w:ascii="Verdana" w:hAnsi="Verdana" w:cs="Arial"/>
                <w:i/>
                <w:iCs/>
                <w:color w:val="000000" w:themeColor="text1"/>
              </w:rPr>
              <w:t>solidaridad legal de carácter contractual</w:t>
            </w:r>
            <w:r>
              <w:rPr>
                <w:rFonts w:ascii="Verdana" w:hAnsi="Verdana" w:cs="Arial"/>
                <w:color w:val="000000" w:themeColor="text1"/>
              </w:rPr>
              <w:t xml:space="preserve"> de todos los miembros del consorcio o unión temporal con la entidad contratante. Dado que el negocio jurídico se rige por el principio de relatividad, esto es, </w:t>
            </w:r>
            <w:r w:rsidRPr="007B032D">
              <w:rPr>
                <w:rFonts w:ascii="Verdana" w:hAnsi="Verdana" w:cs="Arial"/>
                <w:color w:val="000000" w:themeColor="text1"/>
              </w:rPr>
              <w:t xml:space="preserve">lo convenido entre </w:t>
            </w:r>
            <w:r>
              <w:rPr>
                <w:rFonts w:ascii="Verdana" w:hAnsi="Verdana" w:cs="Arial"/>
                <w:color w:val="000000" w:themeColor="text1"/>
              </w:rPr>
              <w:t xml:space="preserve">las partes concierne exclusivamente a ellas, la solidaridad prevista en el EGCAP </w:t>
            </w:r>
            <w:r w:rsidRPr="007B032D">
              <w:rPr>
                <w:rFonts w:ascii="Verdana" w:hAnsi="Verdana" w:cs="Arial"/>
                <w:color w:val="000000" w:themeColor="text1"/>
              </w:rPr>
              <w:t>no perjudica ni aprovecha a terceros</w:t>
            </w:r>
            <w:r>
              <w:rPr>
                <w:rFonts w:ascii="Verdana" w:hAnsi="Verdana" w:cs="Arial"/>
                <w:color w:val="000000" w:themeColor="text1"/>
              </w:rPr>
              <w:t xml:space="preserve"> ajenos al contrato estatal. </w:t>
            </w:r>
          </w:p>
          <w:p w14:paraId="73FAA46C" w14:textId="77777777" w:rsidR="007520D6" w:rsidRDefault="007520D6">
            <w:pPr>
              <w:spacing w:after="120" w:line="276" w:lineRule="auto"/>
              <w:jc w:val="both"/>
              <w:rPr>
                <w:rFonts w:ascii="Verdana" w:hAnsi="Verdana" w:cs="Arial"/>
                <w:color w:val="000000" w:themeColor="text1"/>
              </w:rPr>
            </w:pPr>
            <w:r>
              <w:rPr>
                <w:rFonts w:ascii="Verdana" w:hAnsi="Verdana" w:cs="Arial"/>
                <w:color w:val="000000" w:themeColor="text1"/>
              </w:rPr>
              <w:tab/>
              <w:t xml:space="preserve">Asimismo, los numerales 6 y 7 del artículo 7 de la Ley 80 de 1993 tampoco consagran una </w:t>
            </w:r>
            <w:r w:rsidRPr="0093091C">
              <w:rPr>
                <w:rFonts w:ascii="Verdana" w:hAnsi="Verdana" w:cs="Arial"/>
                <w:i/>
                <w:iCs/>
                <w:color w:val="000000" w:themeColor="text1"/>
              </w:rPr>
              <w:t>solidaridad legal extracontractual</w:t>
            </w:r>
            <w:r>
              <w:rPr>
                <w:rFonts w:ascii="Verdana" w:hAnsi="Verdana" w:cs="Arial"/>
                <w:color w:val="000000" w:themeColor="text1"/>
              </w:rPr>
              <w:t xml:space="preserve"> por daños ocasionados a terceros durante la ejecución de las obligaciones. Lo anterior en la medida que, conforme al inciso primero del artículo 1613 del Código Civil, la responsabilidad contractual se funda en la falta de cumplimiento, el cumplimiento imperfecto o el retardo en el cumplimiento de las obligaciones pactadas. Como la responsabilidad extracontractual tiene un régimen jurídico distinto, la solidaridad se circunscribe a la regla general del inciso primero del artículo 2344 </w:t>
            </w:r>
            <w:r w:rsidRPr="002C2827">
              <w:rPr>
                <w:rFonts w:ascii="Verdana" w:hAnsi="Verdana" w:cs="Arial"/>
                <w:i/>
                <w:iCs/>
                <w:color w:val="000000" w:themeColor="text1"/>
              </w:rPr>
              <w:t>ibidem</w:t>
            </w:r>
            <w:r>
              <w:rPr>
                <w:rFonts w:ascii="Verdana" w:hAnsi="Verdana" w:cs="Arial"/>
                <w:color w:val="000000" w:themeColor="text1"/>
              </w:rPr>
              <w:t xml:space="preserve">. </w:t>
            </w:r>
          </w:p>
          <w:p w14:paraId="512E97B1" w14:textId="3714FFE4" w:rsidR="001929CA" w:rsidRPr="008132E8" w:rsidRDefault="007520D6" w:rsidP="008132E8">
            <w:pPr>
              <w:spacing w:after="120" w:line="276" w:lineRule="auto"/>
              <w:ind w:firstLine="737"/>
              <w:jc w:val="both"/>
              <w:rPr>
                <w:rFonts w:ascii="Verdana" w:hAnsi="Verdana" w:cs="Arial"/>
                <w:color w:val="000000" w:themeColor="text1"/>
              </w:rPr>
            </w:pPr>
            <w:r>
              <w:rPr>
                <w:rFonts w:ascii="Verdana" w:hAnsi="Verdana" w:cs="Arial"/>
                <w:color w:val="000000" w:themeColor="text1"/>
              </w:rPr>
              <w:t>En todo caso, como el parágrafo primero del artículo 7 de la Ley 80 de 1993 dispone que “</w:t>
            </w:r>
            <w:r w:rsidRPr="009401A5">
              <w:rPr>
                <w:rFonts w:ascii="Verdana" w:hAnsi="Verdana" w:cs="Arial"/>
                <w:color w:val="000000" w:themeColor="text1"/>
              </w:rPr>
              <w:t>Los miembros del consorcio y de la unión temporal deberán designar la persona que, para todos los efectos, representará al consorcio o unión temporal y señalarán las reglas básicas que regulen las relaciones entre ellos y su responsabilidad</w:t>
            </w:r>
            <w:r>
              <w:rPr>
                <w:rFonts w:ascii="Verdana" w:hAnsi="Verdana" w:cs="Arial"/>
                <w:color w:val="000000" w:themeColor="text1"/>
              </w:rPr>
              <w:t xml:space="preserve">”, la Sala Plena de la Sección Tercera del Consejo de Estado entiende que las estructuras plurales –pese a carecer de personalidad jurídica– tienen capacidad procesal; razón por la cual, la demanda se dirigiría al consorcio o unión temporal representada por la persona designada para el efecto. Por ello, la Sala Casación Laboral de la Corte Suprema de Justicia también ha sostenido que “[…] </w:t>
            </w:r>
            <w:r w:rsidRPr="00686CF5">
              <w:rPr>
                <w:rFonts w:ascii="Verdana" w:hAnsi="Verdana" w:cs="Arial"/>
                <w:color w:val="000000" w:themeColor="text1"/>
              </w:rPr>
              <w:t>las uniones</w:t>
            </w:r>
            <w:r>
              <w:rPr>
                <w:rFonts w:ascii="Verdana" w:hAnsi="Verdana" w:cs="Arial"/>
                <w:color w:val="000000" w:themeColor="text1"/>
              </w:rPr>
              <w:t xml:space="preserve"> </w:t>
            </w:r>
            <w:r w:rsidRPr="00686CF5">
              <w:rPr>
                <w:rFonts w:ascii="Verdana" w:hAnsi="Verdana" w:cs="Arial"/>
                <w:color w:val="000000" w:themeColor="text1"/>
              </w:rPr>
              <w:t>temporales y consorcios sí tienen capacidad para ser parte y</w:t>
            </w:r>
            <w:r>
              <w:rPr>
                <w:rFonts w:ascii="Verdana" w:hAnsi="Verdana" w:cs="Arial"/>
                <w:color w:val="000000" w:themeColor="text1"/>
              </w:rPr>
              <w:t xml:space="preserve"> </w:t>
            </w:r>
            <w:r w:rsidRPr="00686CF5">
              <w:rPr>
                <w:rFonts w:ascii="Verdana" w:hAnsi="Verdana" w:cs="Arial"/>
                <w:color w:val="000000" w:themeColor="text1"/>
              </w:rPr>
              <w:t>comparecer al proceso a través de su representante legal, y</w:t>
            </w:r>
            <w:r>
              <w:rPr>
                <w:rFonts w:ascii="Verdana" w:hAnsi="Verdana" w:cs="Arial"/>
                <w:color w:val="000000" w:themeColor="text1"/>
              </w:rPr>
              <w:t xml:space="preserve"> </w:t>
            </w:r>
            <w:r w:rsidRPr="00686CF5">
              <w:rPr>
                <w:rFonts w:ascii="Verdana" w:hAnsi="Verdana" w:cs="Arial"/>
                <w:color w:val="000000" w:themeColor="text1"/>
              </w:rPr>
              <w:t>sin que deba constituirse un litisconsorcio necesario con</w:t>
            </w:r>
            <w:r>
              <w:rPr>
                <w:rFonts w:ascii="Verdana" w:hAnsi="Verdana" w:cs="Arial"/>
                <w:color w:val="000000" w:themeColor="text1"/>
              </w:rPr>
              <w:t xml:space="preserve"> </w:t>
            </w:r>
            <w:r w:rsidRPr="00686CF5">
              <w:rPr>
                <w:rFonts w:ascii="Verdana" w:hAnsi="Verdana" w:cs="Arial"/>
                <w:color w:val="000000" w:themeColor="text1"/>
              </w:rPr>
              <w:t>cada uno de sus integrantes</w:t>
            </w:r>
            <w:r>
              <w:rPr>
                <w:rFonts w:ascii="Verdana" w:hAnsi="Verdana" w:cs="Arial"/>
                <w:color w:val="000000" w:themeColor="text1"/>
              </w:rPr>
              <w:t xml:space="preserve"> […]”.</w:t>
            </w:r>
          </w:p>
          <w:p w14:paraId="4181E692" w14:textId="6712D4F0" w:rsidR="007520D6" w:rsidRPr="008132E8" w:rsidRDefault="007520D6" w:rsidP="008132E8">
            <w:pPr>
              <w:spacing w:line="276" w:lineRule="auto"/>
              <w:ind w:firstLine="737"/>
              <w:jc w:val="both"/>
              <w:rPr>
                <w:rFonts w:ascii="Verdana" w:eastAsia="Calibri" w:hAnsi="Verdana" w:cs="Arial"/>
                <w:lang w:val="es-ES"/>
              </w:rPr>
            </w:pPr>
            <w:r w:rsidRPr="000F44CB">
              <w:rPr>
                <w:rFonts w:ascii="Verdana" w:eastAsia="Calibri" w:hAnsi="Verdana" w:cs="Arial"/>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w:t>
            </w:r>
            <w:r w:rsidRPr="000F44CB">
              <w:rPr>
                <w:rFonts w:ascii="Verdana" w:eastAsia="Calibri" w:hAnsi="Verdana" w:cs="Arial"/>
                <w:lang w:val="es-ES"/>
              </w:rPr>
              <w:lastRenderedPageBreak/>
              <w:t>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F0E2796" w14:textId="77777777" w:rsidR="007520D6" w:rsidRPr="00593A5F" w:rsidRDefault="007520D6" w:rsidP="007520D6">
      <w:pPr>
        <w:tabs>
          <w:tab w:val="left" w:pos="142"/>
          <w:tab w:val="left" w:pos="284"/>
        </w:tabs>
        <w:spacing w:after="0" w:line="276" w:lineRule="auto"/>
        <w:jc w:val="both"/>
        <w:rPr>
          <w:rFonts w:ascii="Verdana" w:eastAsia="Century Gothic" w:hAnsi="Verdana" w:cs="Century Gothic"/>
          <w:b/>
          <w:bCs/>
          <w:lang w:val="es-ES"/>
        </w:rPr>
      </w:pPr>
    </w:p>
    <w:p w14:paraId="2D11523A" w14:textId="77777777" w:rsidR="007520D6" w:rsidRPr="00593A5F" w:rsidRDefault="007520D6" w:rsidP="007520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C8C3F69" w14:textId="77777777" w:rsidR="007520D6" w:rsidRPr="00593A5F" w:rsidRDefault="007520D6" w:rsidP="007520D6">
      <w:pPr>
        <w:spacing w:after="0" w:line="276" w:lineRule="auto"/>
        <w:jc w:val="both"/>
        <w:rPr>
          <w:rFonts w:ascii="Verdana" w:eastAsia="Calibri" w:hAnsi="Verdana" w:cs="Arial"/>
          <w:color w:val="7030A0"/>
          <w:lang w:val="es-ES"/>
        </w:rPr>
      </w:pPr>
    </w:p>
    <w:p w14:paraId="7B69456E" w14:textId="77777777" w:rsidR="007520D6" w:rsidRPr="00B96799" w:rsidRDefault="007520D6" w:rsidP="007520D6">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0998633" w14:textId="77777777" w:rsidR="007520D6" w:rsidRPr="00593A5F" w:rsidRDefault="007520D6" w:rsidP="007520D6">
      <w:pPr>
        <w:spacing w:after="0" w:line="276" w:lineRule="auto"/>
        <w:jc w:val="both"/>
        <w:rPr>
          <w:rFonts w:ascii="Verdana" w:eastAsia="Calibri" w:hAnsi="Verdana" w:cs="Arial"/>
          <w:color w:val="7030A0"/>
          <w:lang w:val="es-ES"/>
        </w:rPr>
      </w:pPr>
    </w:p>
    <w:p w14:paraId="6CBE01F4" w14:textId="77777777" w:rsidR="007520D6" w:rsidRPr="008A4AEC" w:rsidRDefault="007520D6" w:rsidP="007520D6">
      <w:pPr>
        <w:spacing w:after="120" w:line="276" w:lineRule="auto"/>
        <w:jc w:val="both"/>
        <w:rPr>
          <w:rFonts w:ascii="Verdana" w:eastAsia="Calibri" w:hAnsi="Verdana" w:cs="Arial"/>
          <w:lang w:val="es-MX"/>
        </w:rPr>
      </w:pPr>
      <w:r w:rsidRPr="008A4AEC">
        <w:rPr>
          <w:rFonts w:ascii="Verdana" w:hAnsi="Verdana" w:cs="Arial"/>
          <w:lang w:val="es-ES_tradnl"/>
        </w:rPr>
        <w:t xml:space="preserve">Si bien las personas pueden presentarse individualmente a los procesos de selección, también pueden hacerlo en forma plural a través de consorcios o uniones temporales. En efecto, </w:t>
      </w:r>
      <w:r w:rsidRPr="008A4AEC">
        <w:rPr>
          <w:rFonts w:ascii="Verdana" w:eastAsia="Calibri" w:hAnsi="Verdana" w:cs="Arial"/>
          <w:lang w:val="es-MX"/>
        </w:rPr>
        <w:t>de acuerdo con el Código Civil, la capacidad se refiere a la facultad que la ley le confiere a la persona para ejercer derechos y 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505DED05" w14:textId="77777777" w:rsidR="007520D6" w:rsidRPr="008A4AEC" w:rsidRDefault="007520D6" w:rsidP="007520D6">
      <w:pPr>
        <w:spacing w:after="0" w:line="276" w:lineRule="auto"/>
        <w:ind w:firstLine="720"/>
        <w:jc w:val="both"/>
        <w:rPr>
          <w:rFonts w:ascii="Verdana" w:eastAsia="Calibri" w:hAnsi="Verdana" w:cs="Arial"/>
          <w:bCs/>
          <w:color w:val="000000" w:themeColor="text1"/>
          <w:lang w:val="es-ES"/>
        </w:rPr>
      </w:pPr>
      <w:r w:rsidRPr="008A4AEC">
        <w:rPr>
          <w:rFonts w:ascii="Verdana" w:eastAsia="Calibri" w:hAnsi="Verdana" w:cs="Arial"/>
          <w:bCs/>
          <w:color w:val="000000" w:themeColor="text1"/>
          <w:lang w:val="es-ES"/>
        </w:rPr>
        <w:t>La capacidad para contratar, e incluso la de realizar actos jurídicamente vinculantes como la presentación de una oferta en un procedimiento de 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tradicionalmente habían estado reservados a las personas jurídicas. Tal es precisamente el caso de la capacidad para contratar otorgada a los consorcios y uniones temporales. En este sentido, la Corte Constitucional ha sostenido:</w:t>
      </w:r>
    </w:p>
    <w:p w14:paraId="3E5AAA90" w14:textId="77777777" w:rsidR="007520D6" w:rsidRPr="008A4AEC" w:rsidRDefault="007520D6" w:rsidP="007520D6">
      <w:pPr>
        <w:spacing w:after="0" w:line="276" w:lineRule="auto"/>
        <w:jc w:val="both"/>
        <w:rPr>
          <w:rFonts w:ascii="Verdana" w:eastAsia="Calibri" w:hAnsi="Verdana" w:cs="Arial"/>
          <w:bCs/>
          <w:color w:val="000000" w:themeColor="text1"/>
          <w:lang w:val="es-ES"/>
        </w:rPr>
      </w:pPr>
    </w:p>
    <w:p w14:paraId="374E36AC" w14:textId="77777777" w:rsidR="007520D6" w:rsidRPr="009B7E32" w:rsidRDefault="007520D6" w:rsidP="007520D6">
      <w:pPr>
        <w:spacing w:after="0" w:line="240" w:lineRule="auto"/>
        <w:ind w:left="709" w:right="709"/>
        <w:jc w:val="both"/>
        <w:rPr>
          <w:rFonts w:ascii="Verdana" w:eastAsia="Calibri" w:hAnsi="Verdana" w:cs="Arial"/>
          <w:bCs/>
          <w:color w:val="000000" w:themeColor="text1"/>
          <w:sz w:val="20"/>
          <w:szCs w:val="20"/>
        </w:rPr>
      </w:pPr>
      <w:r w:rsidRPr="009B7E32">
        <w:rPr>
          <w:rFonts w:ascii="Verdana" w:eastAsia="Calibri" w:hAnsi="Verdana" w:cs="Arial"/>
          <w:bCs/>
          <w:color w:val="000000" w:themeColor="text1"/>
          <w:sz w:val="20"/>
          <w:szCs w:val="20"/>
        </w:rPr>
        <w:t xml:space="preserve">“Respecto de la capacidad legal para contratar y la personalidad jurídica señala, que la Ley 80 de 1993 al crear las figuras de los consorcios y </w:t>
      </w:r>
      <w:r w:rsidRPr="009B7E32">
        <w:rPr>
          <w:rFonts w:ascii="Verdana" w:eastAsia="Calibri" w:hAnsi="Verdana" w:cs="Arial"/>
          <w:bCs/>
          <w:color w:val="000000" w:themeColor="text1"/>
          <w:sz w:val="20"/>
          <w:szCs w:val="20"/>
        </w:rPr>
        <w:lastRenderedPageBreak/>
        <w:t>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4E942E97" w14:textId="77777777" w:rsidR="007520D6" w:rsidRPr="009B7E32" w:rsidRDefault="007520D6" w:rsidP="007520D6">
      <w:pPr>
        <w:spacing w:after="120" w:line="240" w:lineRule="auto"/>
        <w:ind w:left="709" w:right="709"/>
        <w:jc w:val="both"/>
        <w:rPr>
          <w:rFonts w:ascii="Verdana" w:eastAsia="Calibri" w:hAnsi="Verdana" w:cs="Arial"/>
          <w:bCs/>
          <w:color w:val="000000" w:themeColor="text1"/>
          <w:sz w:val="20"/>
          <w:szCs w:val="20"/>
        </w:rPr>
      </w:pPr>
      <w:r w:rsidRPr="009B7E32">
        <w:rPr>
          <w:rFonts w:ascii="Verdana" w:eastAsia="Calibri" w:hAnsi="Verdana" w:cs="Arial"/>
          <w:bCs/>
          <w:color w:val="000000" w:themeColor="text1"/>
          <w:sz w:val="20"/>
          <w:szCs w:val="20"/>
        </w:rPr>
        <w:t>[…]</w:t>
      </w:r>
    </w:p>
    <w:p w14:paraId="25CC22FC" w14:textId="77777777" w:rsidR="007520D6" w:rsidRPr="009B7E32" w:rsidRDefault="007520D6" w:rsidP="007520D6">
      <w:pPr>
        <w:spacing w:after="0" w:line="240" w:lineRule="auto"/>
        <w:ind w:left="709" w:right="709"/>
        <w:jc w:val="both"/>
        <w:rPr>
          <w:rFonts w:ascii="Verdana" w:eastAsia="Calibri" w:hAnsi="Verdana" w:cs="Arial"/>
          <w:bCs/>
          <w:color w:val="000000" w:themeColor="text1"/>
          <w:sz w:val="20"/>
          <w:szCs w:val="20"/>
        </w:rPr>
      </w:pPr>
      <w:r w:rsidRPr="009B7E32">
        <w:rPr>
          <w:rFonts w:ascii="Verdana" w:eastAsia="Calibri" w:hAnsi="Verdana" w:cs="Arial"/>
          <w:bCs/>
          <w:color w:val="000000" w:themeColor="text1"/>
          <w:sz w:val="20"/>
          <w:szCs w:val="20"/>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9B7E32">
        <w:rPr>
          <w:rStyle w:val="Refdenotaalpie"/>
          <w:rFonts w:ascii="Verdana" w:eastAsia="Calibri" w:hAnsi="Verdana" w:cs="Arial"/>
          <w:bCs/>
          <w:color w:val="000000" w:themeColor="text1"/>
          <w:sz w:val="20"/>
          <w:szCs w:val="20"/>
        </w:rPr>
        <w:footnoteReference w:id="1"/>
      </w:r>
      <w:r w:rsidRPr="009B7E32">
        <w:rPr>
          <w:rFonts w:ascii="Verdana" w:eastAsia="Calibri" w:hAnsi="Verdana" w:cs="Arial"/>
          <w:bCs/>
          <w:color w:val="000000" w:themeColor="text1"/>
          <w:sz w:val="20"/>
          <w:szCs w:val="20"/>
        </w:rPr>
        <w:t>.</w:t>
      </w:r>
    </w:p>
    <w:p w14:paraId="2366E601" w14:textId="77777777" w:rsidR="007520D6" w:rsidRPr="008A4AEC" w:rsidRDefault="007520D6" w:rsidP="007520D6">
      <w:pPr>
        <w:spacing w:after="0"/>
        <w:ind w:left="720" w:right="730"/>
        <w:jc w:val="both"/>
        <w:rPr>
          <w:rFonts w:ascii="Verdana" w:eastAsia="Calibri" w:hAnsi="Verdana" w:cs="Arial"/>
          <w:bCs/>
          <w:color w:val="000000" w:themeColor="text1"/>
          <w:sz w:val="21"/>
          <w:szCs w:val="21"/>
        </w:rPr>
      </w:pPr>
    </w:p>
    <w:p w14:paraId="3D9280A4" w14:textId="77777777" w:rsidR="007520D6" w:rsidRPr="008A4AEC" w:rsidRDefault="007520D6" w:rsidP="007520D6">
      <w:pPr>
        <w:spacing w:after="120" w:line="276" w:lineRule="auto"/>
        <w:ind w:firstLine="720"/>
        <w:jc w:val="both"/>
        <w:rPr>
          <w:rFonts w:ascii="Verdana" w:eastAsia="Calibri" w:hAnsi="Verdana" w:cs="Arial"/>
          <w:bCs/>
          <w:color w:val="000000" w:themeColor="text1"/>
          <w:lang w:val="es-ES"/>
        </w:rPr>
      </w:pPr>
      <w:bookmarkStart w:id="1" w:name="_Hlk135067740"/>
      <w:r w:rsidRPr="008A4AEC">
        <w:rPr>
          <w:rFonts w:ascii="Verdana" w:eastAsia="Calibri" w:hAnsi="Verdana" w:cs="Arial"/>
          <w:bCs/>
          <w:color w:val="000000" w:themeColor="text1"/>
          <w:lang w:val="es-ES"/>
        </w:rPr>
        <w:t>La Corte Constitucional destaca, de un lado, que las estructuras plurales son el reconocimiento de una realidad negocial en materia de contratación estatal, y del otro,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 lo que, hasta cierto punto, podría considerarse una evolución en la teoría de la personalidad jurídica.</w:t>
      </w:r>
    </w:p>
    <w:bookmarkEnd w:id="1"/>
    <w:p w14:paraId="385DE9F9" w14:textId="77777777" w:rsidR="007520D6" w:rsidRPr="008A4AEC" w:rsidRDefault="007520D6" w:rsidP="007520D6">
      <w:pPr>
        <w:spacing w:after="0" w:line="276" w:lineRule="auto"/>
        <w:ind w:firstLine="709"/>
        <w:jc w:val="both"/>
        <w:rPr>
          <w:rFonts w:ascii="Verdana" w:hAnsi="Verdana" w:cs="Arial"/>
        </w:rPr>
      </w:pPr>
      <w:r w:rsidRPr="008A4AEC">
        <w:rPr>
          <w:rFonts w:ascii="Verdana" w:hAnsi="Verdana" w:cs="Arial"/>
        </w:rPr>
        <w:t>Debido a que los consorcios y las uniones temporales no son personas jurídicas, 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 En lo pertinente, la norma precitada dispone que:</w:t>
      </w:r>
    </w:p>
    <w:p w14:paraId="05E5B97F" w14:textId="77777777" w:rsidR="007520D6" w:rsidRPr="008A4AEC" w:rsidRDefault="007520D6" w:rsidP="007520D6">
      <w:pPr>
        <w:spacing w:after="0" w:line="276" w:lineRule="auto"/>
        <w:ind w:firstLine="709"/>
        <w:jc w:val="both"/>
        <w:rPr>
          <w:rFonts w:ascii="Verdana" w:eastAsia="Calibri" w:hAnsi="Verdana" w:cs="Arial"/>
          <w:bCs/>
          <w:color w:val="000000" w:themeColor="text1"/>
          <w:lang w:val="es-ES"/>
        </w:rPr>
      </w:pPr>
    </w:p>
    <w:p w14:paraId="5909EDEA" w14:textId="77777777" w:rsidR="007520D6" w:rsidRPr="009B7E32" w:rsidRDefault="007520D6" w:rsidP="007520D6">
      <w:pPr>
        <w:spacing w:after="0" w:line="240" w:lineRule="auto"/>
        <w:ind w:left="709" w:right="709"/>
        <w:jc w:val="both"/>
        <w:rPr>
          <w:rFonts w:ascii="Verdana" w:eastAsia="Calibri" w:hAnsi="Verdana" w:cs="Arial"/>
          <w:bCs/>
          <w:color w:val="000000" w:themeColor="text1"/>
          <w:sz w:val="20"/>
          <w:szCs w:val="20"/>
          <w:lang w:val="es-ES"/>
        </w:rPr>
      </w:pPr>
      <w:r w:rsidRPr="009B7E32">
        <w:rPr>
          <w:rFonts w:ascii="Verdana" w:eastAsia="Calibri" w:hAnsi="Verdana" w:cs="Arial"/>
          <w:bCs/>
          <w:color w:val="000000" w:themeColor="text1"/>
          <w:sz w:val="20"/>
          <w:szCs w:val="20"/>
          <w:lang w:val="es-ES"/>
        </w:rPr>
        <w:t>“Artículo 7º.- ENTIDADES A CONTRATAR. Artículo modificado por el artículo 3 de la Ley 2160 de 2021. Para los efectos de esta Ley se entiende por:</w:t>
      </w:r>
    </w:p>
    <w:p w14:paraId="6CF90D5C" w14:textId="77777777" w:rsidR="007520D6" w:rsidRPr="009B7E32" w:rsidRDefault="007520D6" w:rsidP="007520D6">
      <w:pPr>
        <w:spacing w:after="120" w:line="240" w:lineRule="auto"/>
        <w:ind w:left="709" w:right="709"/>
        <w:jc w:val="both"/>
        <w:rPr>
          <w:rFonts w:ascii="Verdana" w:eastAsia="Calibri" w:hAnsi="Verdana" w:cs="Arial"/>
          <w:bCs/>
          <w:color w:val="000000" w:themeColor="text1"/>
          <w:sz w:val="20"/>
          <w:szCs w:val="20"/>
          <w:lang w:val="es-ES"/>
        </w:rPr>
      </w:pPr>
      <w:r w:rsidRPr="009B7E32">
        <w:rPr>
          <w:rFonts w:ascii="Verdana" w:eastAsia="Calibri" w:hAnsi="Verdana" w:cs="Arial"/>
          <w:bCs/>
          <w:color w:val="000000" w:themeColor="text1"/>
          <w:sz w:val="20"/>
          <w:szCs w:val="20"/>
          <w:lang w:val="es-ES"/>
        </w:rPr>
        <w:lastRenderedPageBreak/>
        <w:t>[…]</w:t>
      </w:r>
    </w:p>
    <w:p w14:paraId="29827D15" w14:textId="77777777" w:rsidR="007520D6" w:rsidRPr="009B7E32" w:rsidRDefault="007520D6" w:rsidP="007520D6">
      <w:pPr>
        <w:spacing w:after="120" w:line="240" w:lineRule="auto"/>
        <w:ind w:left="709" w:right="709"/>
        <w:jc w:val="both"/>
        <w:rPr>
          <w:rFonts w:ascii="Verdana" w:eastAsia="Calibri" w:hAnsi="Verdana" w:cs="Arial"/>
          <w:bCs/>
          <w:color w:val="000000" w:themeColor="text1"/>
          <w:sz w:val="20"/>
          <w:szCs w:val="20"/>
          <w:lang w:val="es-ES"/>
        </w:rPr>
      </w:pPr>
      <w:r w:rsidRPr="009B7E32">
        <w:rPr>
          <w:rFonts w:ascii="Verdana" w:eastAsia="Calibri" w:hAnsi="Verdana" w:cs="Arial"/>
          <w:bCs/>
          <w:color w:val="000000" w:themeColor="text1"/>
          <w:sz w:val="20"/>
          <w:szCs w:val="20"/>
          <w:lang w:val="es-ES"/>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0E054F72" w14:textId="77777777" w:rsidR="007520D6" w:rsidRPr="009B7E32" w:rsidRDefault="007520D6" w:rsidP="007520D6">
      <w:pPr>
        <w:spacing w:after="0" w:line="240" w:lineRule="auto"/>
        <w:ind w:left="709" w:right="709"/>
        <w:jc w:val="both"/>
        <w:rPr>
          <w:rFonts w:ascii="Verdana" w:eastAsia="Calibri" w:hAnsi="Verdana" w:cs="Arial"/>
          <w:bCs/>
          <w:color w:val="000000" w:themeColor="text1"/>
          <w:sz w:val="20"/>
          <w:szCs w:val="20"/>
          <w:lang w:val="es-ES"/>
        </w:rPr>
      </w:pPr>
      <w:r w:rsidRPr="009B7E32">
        <w:rPr>
          <w:rFonts w:ascii="Verdana" w:eastAsia="Calibri" w:hAnsi="Verdana" w:cs="Arial"/>
          <w:bCs/>
          <w:color w:val="000000" w:themeColor="text1"/>
          <w:sz w:val="20"/>
          <w:szCs w:val="20"/>
          <w:lang w:val="es-ES"/>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7CC58075" w14:textId="77777777" w:rsidR="007520D6" w:rsidRPr="009B7E32" w:rsidRDefault="007520D6" w:rsidP="007520D6">
      <w:pPr>
        <w:spacing w:after="120" w:line="240" w:lineRule="auto"/>
        <w:ind w:left="709" w:right="709"/>
        <w:jc w:val="both"/>
        <w:rPr>
          <w:rFonts w:ascii="Verdana" w:eastAsia="Calibri" w:hAnsi="Verdana" w:cs="Arial"/>
          <w:bCs/>
          <w:color w:val="000000" w:themeColor="text1"/>
          <w:sz w:val="20"/>
          <w:szCs w:val="20"/>
          <w:lang w:val="es-ES"/>
        </w:rPr>
      </w:pPr>
      <w:r w:rsidRPr="009B7E32">
        <w:rPr>
          <w:rFonts w:ascii="Verdana" w:eastAsia="Calibri" w:hAnsi="Verdana" w:cs="Arial"/>
          <w:bCs/>
          <w:color w:val="000000" w:themeColor="text1"/>
          <w:sz w:val="20"/>
          <w:szCs w:val="20"/>
          <w:lang w:val="es-ES"/>
        </w:rPr>
        <w:t>[…]</w:t>
      </w:r>
    </w:p>
    <w:p w14:paraId="3FDE039D" w14:textId="77777777" w:rsidR="007520D6" w:rsidRPr="009B7E32" w:rsidRDefault="007520D6" w:rsidP="007520D6">
      <w:pPr>
        <w:spacing w:after="120" w:line="240" w:lineRule="auto"/>
        <w:ind w:left="709" w:right="709"/>
        <w:jc w:val="both"/>
        <w:rPr>
          <w:rFonts w:ascii="Verdana" w:eastAsia="Calibri" w:hAnsi="Verdana" w:cs="Arial"/>
          <w:bCs/>
          <w:color w:val="000000" w:themeColor="text1"/>
          <w:sz w:val="20"/>
          <w:szCs w:val="20"/>
          <w:lang w:val="es-ES"/>
        </w:rPr>
      </w:pPr>
      <w:r w:rsidRPr="009B7E32">
        <w:rPr>
          <w:rFonts w:ascii="Verdana" w:eastAsia="Calibri" w:hAnsi="Verdana" w:cs="Arial"/>
          <w:bCs/>
          <w:color w:val="000000" w:themeColor="text1"/>
          <w:sz w:val="20"/>
          <w:szCs w:val="20"/>
          <w:lang w:val="es-ES"/>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433D624C" w14:textId="77777777" w:rsidR="007520D6" w:rsidRPr="009B7E32" w:rsidRDefault="007520D6" w:rsidP="007520D6">
      <w:pPr>
        <w:spacing w:after="0" w:line="240" w:lineRule="auto"/>
        <w:ind w:left="709" w:right="709"/>
        <w:jc w:val="both"/>
        <w:rPr>
          <w:rFonts w:ascii="Verdana" w:eastAsia="Calibri" w:hAnsi="Verdana" w:cs="Arial"/>
          <w:bCs/>
          <w:color w:val="000000" w:themeColor="text1"/>
          <w:sz w:val="20"/>
          <w:szCs w:val="20"/>
          <w:lang w:val="es-ES"/>
        </w:rPr>
      </w:pPr>
      <w:r w:rsidRPr="009B7E32">
        <w:rPr>
          <w:rFonts w:ascii="Verdana" w:eastAsia="Calibri" w:hAnsi="Verdana" w:cs="Arial"/>
          <w:bCs/>
          <w:color w:val="000000" w:themeColor="text1"/>
          <w:sz w:val="20"/>
          <w:szCs w:val="20"/>
          <w:lang w:val="es-ES"/>
        </w:rPr>
        <w:t>Los miembros del consorcio y de la unión temporal deberán designar la persona que, para todos los efectos, representará al consorcio o unión temporal y señalarán las reglas básicas que regulen las relaciones entre ellos y su responsabilidad.</w:t>
      </w:r>
    </w:p>
    <w:p w14:paraId="24F0C34B" w14:textId="77777777" w:rsidR="007520D6" w:rsidRPr="009B7E32" w:rsidRDefault="007520D6" w:rsidP="007520D6">
      <w:pPr>
        <w:spacing w:after="0" w:line="240" w:lineRule="auto"/>
        <w:ind w:left="709" w:right="709"/>
        <w:jc w:val="both"/>
        <w:rPr>
          <w:rFonts w:ascii="Verdana" w:eastAsia="Calibri" w:hAnsi="Verdana" w:cs="Arial"/>
          <w:bCs/>
          <w:color w:val="000000" w:themeColor="text1"/>
          <w:sz w:val="20"/>
          <w:szCs w:val="20"/>
          <w:lang w:val="es-ES"/>
        </w:rPr>
      </w:pPr>
      <w:r w:rsidRPr="009B7E32">
        <w:rPr>
          <w:rFonts w:ascii="Verdana" w:eastAsia="Calibri" w:hAnsi="Verdana" w:cs="Arial"/>
          <w:bCs/>
          <w:color w:val="000000" w:themeColor="text1"/>
          <w:sz w:val="20"/>
          <w:szCs w:val="20"/>
          <w:lang w:val="es-ES"/>
        </w:rPr>
        <w:t>[…]”.</w:t>
      </w:r>
    </w:p>
    <w:p w14:paraId="4380EB3D" w14:textId="77777777" w:rsidR="007520D6" w:rsidRPr="008A4AEC" w:rsidRDefault="007520D6" w:rsidP="007520D6">
      <w:pPr>
        <w:spacing w:after="0" w:line="276" w:lineRule="auto"/>
        <w:ind w:left="720" w:right="731"/>
        <w:jc w:val="both"/>
        <w:rPr>
          <w:rFonts w:ascii="Verdana" w:eastAsia="Calibri" w:hAnsi="Verdana" w:cs="Arial"/>
          <w:bCs/>
          <w:color w:val="000000" w:themeColor="text1"/>
          <w:lang w:val="es-ES"/>
        </w:rPr>
      </w:pPr>
    </w:p>
    <w:p w14:paraId="43CD5894" w14:textId="77777777" w:rsidR="007520D6" w:rsidRPr="008A4AEC" w:rsidRDefault="007520D6" w:rsidP="007520D6">
      <w:pPr>
        <w:spacing w:after="120" w:line="276" w:lineRule="auto"/>
        <w:jc w:val="both"/>
        <w:rPr>
          <w:rFonts w:ascii="Verdana" w:hAnsi="Verdana" w:cs="Arial"/>
          <w:color w:val="000000" w:themeColor="text1"/>
        </w:rPr>
      </w:pPr>
      <w:r w:rsidRPr="008A4AEC">
        <w:rPr>
          <w:rFonts w:ascii="Verdana" w:eastAsia="Calibri" w:hAnsi="Verdana" w:cs="Arial"/>
          <w:bCs/>
          <w:color w:val="000000" w:themeColor="text1"/>
          <w:lang w:val="es-ES"/>
        </w:rPr>
        <w:tab/>
        <w:t>Como se observa, el artículo citado señala que el consorcio o la unión temporal se da “</w:t>
      </w:r>
      <w:r w:rsidRPr="001F0AFE">
        <w:rPr>
          <w:rFonts w:ascii="Verdana" w:eastAsia="Calibri" w:hAnsi="Verdana" w:cs="Arial"/>
          <w:bCs/>
          <w:color w:val="000000" w:themeColor="text1"/>
          <w:lang w:val="es-ES"/>
        </w:rPr>
        <w:t>Cuando dos o más personas en forma conjunta presentan una misma propuesta para la adjudicación, celebración y ejecución de un contrato, respondiendo solidariamente de todas y cada una de las obligaciones derivadas de la propuesta y del contrato […]</w:t>
      </w:r>
      <w:r w:rsidRPr="008A4AEC">
        <w:rPr>
          <w:rFonts w:ascii="Verdana" w:eastAsia="Calibri" w:hAnsi="Verdana" w:cs="Arial"/>
          <w:bCs/>
          <w:color w:val="000000" w:themeColor="text1"/>
          <w:lang w:val="es-ES"/>
        </w:rPr>
        <w:t>”.</w:t>
      </w:r>
      <w:r w:rsidRPr="008A4AEC">
        <w:rPr>
          <w:rFonts w:ascii="Verdana" w:hAnsi="Verdana" w:cs="Arial"/>
          <w:color w:val="000000" w:themeColor="text1"/>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r>
        <w:rPr>
          <w:rFonts w:ascii="Verdana" w:hAnsi="Verdana" w:cs="Arial"/>
          <w:color w:val="000000" w:themeColor="text1"/>
        </w:rPr>
        <w:t xml:space="preserve"> </w:t>
      </w:r>
    </w:p>
    <w:p w14:paraId="37CC024E" w14:textId="77777777" w:rsidR="007520D6" w:rsidRDefault="007520D6" w:rsidP="007520D6">
      <w:pPr>
        <w:spacing w:after="120" w:line="276" w:lineRule="auto"/>
        <w:jc w:val="both"/>
        <w:rPr>
          <w:rFonts w:ascii="Verdana" w:hAnsi="Verdana" w:cs="Arial"/>
          <w:color w:val="000000" w:themeColor="text1"/>
        </w:rPr>
      </w:pPr>
      <w:r w:rsidRPr="008A4AEC">
        <w:rPr>
          <w:rFonts w:ascii="Verdana" w:hAnsi="Verdana" w:cs="Arial"/>
          <w:color w:val="000000" w:themeColor="text1"/>
        </w:rPr>
        <w:tab/>
        <w:t xml:space="preserve">De esta manera, los consorcios o uniones temporales son convenios de asociación provenientes de la colaboración empresarial, mediante los cuales sus integrantes se unen y se organizan mancomunadamente para lograr con mayor </w:t>
      </w:r>
      <w:r w:rsidRPr="008A4AEC">
        <w:rPr>
          <w:rFonts w:ascii="Verdana" w:hAnsi="Verdana" w:cs="Arial"/>
          <w:color w:val="000000" w:themeColor="text1"/>
        </w:rPr>
        <w:lastRenderedPageBreak/>
        <w:t xml:space="preserve">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28812A54" w14:textId="77777777" w:rsidR="007520D6" w:rsidRPr="008A4AEC" w:rsidRDefault="007520D6" w:rsidP="007520D6">
      <w:pPr>
        <w:spacing w:after="120" w:line="276" w:lineRule="auto"/>
        <w:jc w:val="both"/>
        <w:rPr>
          <w:rFonts w:ascii="Verdana" w:hAnsi="Verdana" w:cs="Arial"/>
          <w:color w:val="000000" w:themeColor="text1"/>
        </w:rPr>
      </w:pPr>
      <w:r>
        <w:rPr>
          <w:rFonts w:ascii="Verdana" w:hAnsi="Verdana" w:cs="Arial"/>
          <w:color w:val="000000" w:themeColor="text1"/>
        </w:rPr>
        <w:tab/>
        <w:t xml:space="preserve">Ahora bien, conforme a la remisión de los artículos 13, 32 y 40 de la Ley 80 de 1993 al derecho privado, el artículo 1568 del Código Civil dispone que si bien “[…] </w:t>
      </w:r>
      <w:r w:rsidRPr="00DE31A0">
        <w:rPr>
          <w:rFonts w:ascii="Verdana" w:hAnsi="Verdana" w:cs="Arial"/>
          <w:color w:val="000000" w:themeColor="text1"/>
        </w:rPr>
        <w:t>cuando se ha contraído por muchas personas o para con muchas la obligación de una cosa divisible, cada uno de los deudores, en el primer caso, es obligado solamente a su parte o cuota en la deuda, y cada uno de los acreedores, en el segundo, sólo tiene derecho para demandar su parte o cuota en el crédito</w:t>
      </w:r>
      <w:r>
        <w:rPr>
          <w:rFonts w:ascii="Verdana" w:hAnsi="Verdana" w:cs="Arial"/>
          <w:color w:val="000000" w:themeColor="text1"/>
        </w:rPr>
        <w:t xml:space="preserve">” –inciso 1˚–, lo cierto es que “[…] </w:t>
      </w:r>
      <w:r w:rsidRPr="00DE31A0">
        <w:rPr>
          <w:rFonts w:ascii="Verdana" w:hAnsi="Verdana" w:cs="Arial"/>
          <w:color w:val="000000" w:themeColor="text1"/>
        </w:rPr>
        <w:t xml:space="preserve">en virtud de la convención, del testamento o de la ley puede exigirse a cada uno de los deudores o por cada uno de los acreedores el total de la deuda, y entonces la obligación es solidaria o </w:t>
      </w:r>
      <w:r w:rsidRPr="00DE31A0">
        <w:rPr>
          <w:rFonts w:ascii="Verdana" w:hAnsi="Verdana" w:cs="Arial"/>
          <w:i/>
          <w:iCs/>
          <w:color w:val="000000" w:themeColor="text1"/>
        </w:rPr>
        <w:t xml:space="preserve">in </w:t>
      </w:r>
      <w:proofErr w:type="spellStart"/>
      <w:r w:rsidRPr="00DE31A0">
        <w:rPr>
          <w:rFonts w:ascii="Verdana" w:hAnsi="Verdana" w:cs="Arial"/>
          <w:i/>
          <w:iCs/>
          <w:color w:val="000000" w:themeColor="text1"/>
        </w:rPr>
        <w:t>solidum</w:t>
      </w:r>
      <w:proofErr w:type="spellEnd"/>
      <w:r>
        <w:rPr>
          <w:rFonts w:ascii="Verdana" w:hAnsi="Verdana" w:cs="Arial"/>
          <w:color w:val="000000" w:themeColor="text1"/>
        </w:rPr>
        <w:t>” –inciso 2˚–</w:t>
      </w:r>
      <w:r w:rsidRPr="00DE31A0">
        <w:rPr>
          <w:rFonts w:ascii="Verdana" w:hAnsi="Verdana" w:cs="Arial"/>
          <w:color w:val="000000" w:themeColor="text1"/>
        </w:rPr>
        <w:t>.</w:t>
      </w:r>
      <w:r>
        <w:rPr>
          <w:rFonts w:ascii="Verdana" w:hAnsi="Verdana" w:cs="Arial"/>
          <w:color w:val="000000" w:themeColor="text1"/>
        </w:rPr>
        <w:t xml:space="preserve"> </w:t>
      </w:r>
    </w:p>
    <w:p w14:paraId="7E4190A2" w14:textId="77777777" w:rsidR="007520D6" w:rsidRDefault="007520D6" w:rsidP="007520D6">
      <w:pPr>
        <w:spacing w:after="120" w:line="276" w:lineRule="auto"/>
        <w:jc w:val="both"/>
        <w:rPr>
          <w:rFonts w:ascii="Verdana" w:hAnsi="Verdana" w:cs="Arial"/>
          <w:color w:val="000000" w:themeColor="text1"/>
        </w:rPr>
      </w:pPr>
      <w:r>
        <w:rPr>
          <w:rFonts w:ascii="Verdana" w:hAnsi="Verdana" w:cs="Arial"/>
          <w:color w:val="000000" w:themeColor="text1"/>
        </w:rPr>
        <w:tab/>
        <w:t xml:space="preserve">En el aspecto pasivo, las obligaciones son solidarias cuando “[…] </w:t>
      </w:r>
      <w:r w:rsidRPr="00EA1B06">
        <w:rPr>
          <w:rFonts w:ascii="Verdana" w:hAnsi="Verdana" w:cs="Arial"/>
          <w:color w:val="000000" w:themeColor="text1"/>
        </w:rPr>
        <w:t>existiendo varios deudores de un mismo objeto</w:t>
      </w:r>
      <w:r>
        <w:rPr>
          <w:rFonts w:ascii="Verdana" w:hAnsi="Verdana" w:cs="Arial"/>
          <w:color w:val="000000" w:themeColor="text1"/>
        </w:rPr>
        <w:t xml:space="preserve"> </w:t>
      </w:r>
      <w:r w:rsidRPr="00EA1B06">
        <w:rPr>
          <w:rFonts w:ascii="Verdana" w:hAnsi="Verdana" w:cs="Arial"/>
          <w:color w:val="000000" w:themeColor="text1"/>
        </w:rPr>
        <w:t>divisible, el acreedor puede exigir, por el ministerio de la ley o por la</w:t>
      </w:r>
      <w:r>
        <w:rPr>
          <w:rFonts w:ascii="Verdana" w:hAnsi="Verdana" w:cs="Arial"/>
          <w:color w:val="000000" w:themeColor="text1"/>
        </w:rPr>
        <w:t xml:space="preserve"> </w:t>
      </w:r>
      <w:r w:rsidRPr="00EA1B06">
        <w:rPr>
          <w:rFonts w:ascii="Verdana" w:hAnsi="Verdana" w:cs="Arial"/>
          <w:color w:val="000000" w:themeColor="text1"/>
        </w:rPr>
        <w:t>convención, el total a cada uno de ellos, y el pago que haga cualquiera de los deudores extingue la obligación respecto de todos</w:t>
      </w:r>
      <w:r>
        <w:rPr>
          <w:rFonts w:ascii="Verdana" w:hAnsi="Verdana" w:cs="Arial"/>
          <w:color w:val="000000" w:themeColor="text1"/>
        </w:rPr>
        <w:t>”</w:t>
      </w:r>
      <w:r>
        <w:rPr>
          <w:rStyle w:val="Refdenotaalpie"/>
          <w:rFonts w:ascii="Verdana" w:hAnsi="Verdana" w:cs="Arial"/>
          <w:color w:val="000000" w:themeColor="text1"/>
        </w:rPr>
        <w:footnoteReference w:id="2"/>
      </w:r>
      <w:r w:rsidRPr="00EA1B06">
        <w:rPr>
          <w:rFonts w:ascii="Verdana" w:hAnsi="Verdana" w:cs="Arial"/>
          <w:color w:val="000000" w:themeColor="text1"/>
        </w:rPr>
        <w:t>.</w:t>
      </w:r>
      <w:r>
        <w:rPr>
          <w:rFonts w:ascii="Verdana" w:hAnsi="Verdana" w:cs="Arial"/>
          <w:color w:val="000000" w:themeColor="text1"/>
        </w:rPr>
        <w:t xml:space="preserve"> Esto significa que la entidad contratante puede exigir a cualquiera de los miembros del consorcio o la unión temporal el cumplimiento de lo pactado</w:t>
      </w:r>
      <w:bookmarkStart w:id="2" w:name="_Hlk170989338"/>
      <w:r>
        <w:rPr>
          <w:rFonts w:ascii="Verdana" w:hAnsi="Verdana" w:cs="Arial"/>
          <w:color w:val="000000" w:themeColor="text1"/>
        </w:rPr>
        <w:t>.</w:t>
      </w:r>
    </w:p>
    <w:p w14:paraId="345698EE" w14:textId="77777777" w:rsidR="007520D6" w:rsidRDefault="007520D6" w:rsidP="007520D6">
      <w:pPr>
        <w:spacing w:after="120" w:line="276" w:lineRule="auto"/>
        <w:jc w:val="both"/>
        <w:rPr>
          <w:rFonts w:ascii="Verdana" w:hAnsi="Verdana" w:cs="Arial"/>
          <w:color w:val="000000" w:themeColor="text1"/>
        </w:rPr>
      </w:pPr>
      <w:r>
        <w:rPr>
          <w:rFonts w:ascii="Verdana" w:hAnsi="Verdana" w:cs="Arial"/>
          <w:color w:val="000000" w:themeColor="text1"/>
        </w:rPr>
        <w:tab/>
        <w:t xml:space="preserve">Para efectos de los procesos de selección publicados en la plataforma transaccional, el literal b) del apartado II de la “Guía de Creación de Proponentes Plurales en el SECOP II” explica que se debe “[…] </w:t>
      </w:r>
      <w:r w:rsidRPr="00525EC3">
        <w:rPr>
          <w:rFonts w:ascii="Verdana" w:hAnsi="Verdana" w:cs="Arial"/>
          <w:color w:val="000000" w:themeColor="text1"/>
        </w:rPr>
        <w:t>indicar el porcentaje de participación de cada</w:t>
      </w:r>
      <w:r>
        <w:rPr>
          <w:rFonts w:ascii="Verdana" w:hAnsi="Verdana" w:cs="Arial"/>
          <w:color w:val="000000" w:themeColor="text1"/>
        </w:rPr>
        <w:t xml:space="preserve"> </w:t>
      </w:r>
      <w:r w:rsidRPr="00525EC3">
        <w:rPr>
          <w:rFonts w:ascii="Verdana" w:hAnsi="Verdana" w:cs="Arial"/>
          <w:color w:val="000000" w:themeColor="text1"/>
        </w:rPr>
        <w:t>integrante</w:t>
      </w:r>
      <w:r>
        <w:rPr>
          <w:rFonts w:ascii="Verdana" w:hAnsi="Verdana" w:cs="Arial"/>
          <w:color w:val="000000" w:themeColor="text1"/>
        </w:rPr>
        <w:t xml:space="preserve"> […]”, para lo cual “[…] </w:t>
      </w:r>
      <w:r w:rsidRPr="00CF41C0">
        <w:rPr>
          <w:rFonts w:ascii="Verdana" w:hAnsi="Verdana" w:cs="Arial"/>
          <w:color w:val="000000" w:themeColor="text1"/>
        </w:rPr>
        <w:t>la suma de participación de los Proveedores debe ser</w:t>
      </w:r>
      <w:r>
        <w:rPr>
          <w:rFonts w:ascii="Verdana" w:hAnsi="Verdana" w:cs="Arial"/>
          <w:color w:val="000000" w:themeColor="text1"/>
        </w:rPr>
        <w:t xml:space="preserve"> </w:t>
      </w:r>
      <w:r w:rsidRPr="00CF41C0">
        <w:rPr>
          <w:rFonts w:ascii="Verdana" w:hAnsi="Verdana" w:cs="Arial"/>
          <w:color w:val="000000" w:themeColor="text1"/>
        </w:rPr>
        <w:t>igual al 100%</w:t>
      </w:r>
      <w:r>
        <w:rPr>
          <w:rFonts w:ascii="Verdana" w:hAnsi="Verdana" w:cs="Arial"/>
          <w:color w:val="000000" w:themeColor="text1"/>
        </w:rPr>
        <w:t xml:space="preserve"> […]”</w:t>
      </w:r>
      <w:r>
        <w:rPr>
          <w:rStyle w:val="Refdenotaalpie"/>
          <w:rFonts w:ascii="Verdana" w:hAnsi="Verdana" w:cs="Arial"/>
          <w:color w:val="000000" w:themeColor="text1"/>
        </w:rPr>
        <w:footnoteReference w:id="3"/>
      </w:r>
      <w:r>
        <w:rPr>
          <w:rFonts w:ascii="Verdana" w:hAnsi="Verdana" w:cs="Arial"/>
          <w:color w:val="000000" w:themeColor="text1"/>
        </w:rPr>
        <w:t xml:space="preserve">. Sin perjuicio de la solidaridad, esta instrucción aplica tanto a consorcios como a uniones temporales, por lo cual </w:t>
      </w:r>
      <w:r>
        <w:rPr>
          <w:rFonts w:ascii="Verdana" w:hAnsi="Verdana" w:cs="Arial"/>
          <w:color w:val="000000" w:themeColor="text1"/>
        </w:rPr>
        <w:lastRenderedPageBreak/>
        <w:t xml:space="preserve">todos los integrantes de estructura plural participan en la ejecución del contrato. De hecho, es más necesaria en el segundo caso, ya que el artículo 7.7 de la Ley 80 de 1993 dispone que “[…] </w:t>
      </w:r>
      <w:r w:rsidRPr="00EE5DA9">
        <w:rPr>
          <w:rFonts w:ascii="Verdana" w:hAnsi="Verdana" w:cs="Arial"/>
          <w:color w:val="000000" w:themeColor="text1"/>
        </w:rPr>
        <w:t>las sanciones por el incumplimiento de las obligaciones derivadas de la propuesta y del contrato se impondrán de acuerdo con la participación en la ejecución de cada uno de los miembros de la unión temporal</w:t>
      </w:r>
      <w:r>
        <w:rPr>
          <w:rFonts w:ascii="Verdana" w:hAnsi="Verdana" w:cs="Arial"/>
          <w:color w:val="000000" w:themeColor="text1"/>
        </w:rPr>
        <w:t>”.</w:t>
      </w:r>
    </w:p>
    <w:p w14:paraId="7935A285" w14:textId="77777777" w:rsidR="007520D6" w:rsidRDefault="007520D6" w:rsidP="007520D6">
      <w:pPr>
        <w:spacing w:after="120" w:line="276" w:lineRule="auto"/>
        <w:jc w:val="both"/>
        <w:rPr>
          <w:rFonts w:ascii="Verdana" w:hAnsi="Verdana" w:cs="Arial"/>
          <w:color w:val="000000" w:themeColor="text1"/>
        </w:rPr>
      </w:pPr>
      <w:r>
        <w:rPr>
          <w:rFonts w:ascii="Verdana" w:hAnsi="Verdana" w:cs="Arial"/>
          <w:color w:val="000000" w:themeColor="text1"/>
        </w:rPr>
        <w:tab/>
        <w:t xml:space="preserve">Incluso, al margen de la publicidad en el SECOP II, </w:t>
      </w:r>
      <w:r w:rsidRPr="00384800">
        <w:rPr>
          <w:rFonts w:ascii="Verdana" w:hAnsi="Verdana" w:cs="Arial"/>
          <w:color w:val="000000" w:themeColor="text1"/>
        </w:rPr>
        <w:t xml:space="preserve">el documento de conformación del proponente plural </w:t>
      </w:r>
      <w:r>
        <w:rPr>
          <w:rFonts w:ascii="Verdana" w:hAnsi="Verdana" w:cs="Arial"/>
          <w:color w:val="000000" w:themeColor="text1"/>
        </w:rPr>
        <w:t>incide en</w:t>
      </w:r>
      <w:r w:rsidRPr="00384800">
        <w:rPr>
          <w:rFonts w:ascii="Verdana" w:hAnsi="Verdana" w:cs="Arial"/>
          <w:color w:val="000000" w:themeColor="text1"/>
        </w:rPr>
        <w:t xml:space="preserve"> la acreditación </w:t>
      </w:r>
      <w:r>
        <w:rPr>
          <w:rFonts w:ascii="Verdana" w:hAnsi="Verdana" w:cs="Arial"/>
          <w:color w:val="000000" w:themeColor="text1"/>
        </w:rPr>
        <w:t>de requisitos habilitantes o criterios de evaluación, por lo que es importante discriminar el porcentaje de participación. Por ejemplo, tratándose de los documentos tipo de licitación para obra pública de infraestructura de transporte, ello es relevante para la acreditación de la experiencia de los consorcios y las uniones temporales</w:t>
      </w:r>
      <w:r>
        <w:rPr>
          <w:rStyle w:val="Refdenotaalpie"/>
          <w:rFonts w:ascii="Verdana" w:hAnsi="Verdana" w:cs="Arial"/>
          <w:color w:val="000000" w:themeColor="text1"/>
        </w:rPr>
        <w:footnoteReference w:id="4"/>
      </w:r>
      <w:r>
        <w:rPr>
          <w:rFonts w:ascii="Verdana" w:hAnsi="Verdana" w:cs="Arial"/>
          <w:color w:val="000000" w:themeColor="text1"/>
        </w:rPr>
        <w:t>. Por ello, el literal E del numeral 3.3.3 del pliego de condiciones prescribe que en el documento de conformación del consorcio o la unión temporal “</w:t>
      </w:r>
      <w:r w:rsidRPr="003A381F">
        <w:rPr>
          <w:rFonts w:ascii="Verdana" w:hAnsi="Verdana" w:cs="Arial"/>
          <w:color w:val="000000" w:themeColor="text1"/>
        </w:rPr>
        <w:t>El proponente plural debe señalar expresamente cuál es el porcentaje de participación de cada uno de sus miembros. La sumatoria del porcentaje de participación no podrá ser diferente al 100%</w:t>
      </w:r>
      <w:r>
        <w:rPr>
          <w:rFonts w:ascii="Verdana" w:hAnsi="Verdana" w:cs="Arial"/>
          <w:color w:val="000000" w:themeColor="text1"/>
        </w:rPr>
        <w:t>”</w:t>
      </w:r>
      <w:r w:rsidRPr="003A381F">
        <w:rPr>
          <w:rFonts w:ascii="Verdana" w:hAnsi="Verdana" w:cs="Arial"/>
          <w:color w:val="000000" w:themeColor="text1"/>
        </w:rPr>
        <w:t>.</w:t>
      </w:r>
    </w:p>
    <w:p w14:paraId="19A8D423" w14:textId="77777777" w:rsidR="007520D6" w:rsidRDefault="007520D6" w:rsidP="007520D6">
      <w:pPr>
        <w:spacing w:after="120" w:line="276" w:lineRule="auto"/>
        <w:jc w:val="both"/>
        <w:rPr>
          <w:rFonts w:ascii="Verdana" w:hAnsi="Verdana" w:cs="Arial"/>
          <w:color w:val="000000" w:themeColor="text1"/>
        </w:rPr>
      </w:pPr>
      <w:r>
        <w:rPr>
          <w:rFonts w:ascii="Verdana" w:hAnsi="Verdana" w:cs="Arial"/>
          <w:color w:val="000000" w:themeColor="text1"/>
        </w:rPr>
        <w:tab/>
        <w:t xml:space="preserve">Asimismo, algunos factores de evaluación aplican en función del porcentaje de participación. Por ejemplo, respecto a los incentivos de los artículos 32 y 33 de la Ley de Emprendimiento, </w:t>
      </w:r>
      <w:r w:rsidRPr="005846D2">
        <w:rPr>
          <w:rFonts w:ascii="Verdana" w:hAnsi="Verdana" w:cs="Arial"/>
          <w:color w:val="000000" w:themeColor="text1"/>
        </w:rPr>
        <w:t>los artículos 2.2.1.2.4.2.15 –Parágrafo 1– y 2.2.1.2.4.2.18 –Parágrafo 2– del Decreto 1082 de 2015</w:t>
      </w:r>
      <w:r>
        <w:rPr>
          <w:rFonts w:ascii="Verdana" w:hAnsi="Verdana" w:cs="Arial"/>
          <w:color w:val="000000" w:themeColor="text1"/>
        </w:rPr>
        <w:t xml:space="preserve"> precisan que </w:t>
      </w:r>
      <w:r w:rsidRPr="00EF550E">
        <w:rPr>
          <w:rFonts w:ascii="Verdana" w:hAnsi="Verdana" w:cs="Arial"/>
          <w:color w:val="000000" w:themeColor="text1"/>
        </w:rPr>
        <w:t>los criterios diferenciales y los puntajes adicionales solo se aplicarán si por lo menos uno de los integrantes acredita que es emprendimiento y empresa</w:t>
      </w:r>
      <w:r>
        <w:rPr>
          <w:rFonts w:ascii="Verdana" w:hAnsi="Verdana" w:cs="Arial"/>
          <w:color w:val="000000" w:themeColor="text1"/>
        </w:rPr>
        <w:t xml:space="preserve"> de mujeres</w:t>
      </w:r>
      <w:r w:rsidRPr="00EF550E">
        <w:rPr>
          <w:rFonts w:ascii="Verdana" w:hAnsi="Verdana" w:cs="Arial"/>
          <w:color w:val="000000" w:themeColor="text1"/>
        </w:rPr>
        <w:t xml:space="preserve"> </w:t>
      </w:r>
      <w:r>
        <w:rPr>
          <w:rFonts w:ascii="Verdana" w:hAnsi="Verdana" w:cs="Arial"/>
          <w:color w:val="000000" w:themeColor="text1"/>
        </w:rPr>
        <w:t xml:space="preserve">o </w:t>
      </w:r>
      <w:proofErr w:type="spellStart"/>
      <w:r>
        <w:rPr>
          <w:rFonts w:ascii="Verdana" w:hAnsi="Verdana" w:cs="Arial"/>
          <w:color w:val="000000" w:themeColor="text1"/>
        </w:rPr>
        <w:t>Mipyme</w:t>
      </w:r>
      <w:proofErr w:type="spellEnd"/>
      <w:r>
        <w:rPr>
          <w:rFonts w:ascii="Verdana" w:hAnsi="Verdana" w:cs="Arial"/>
          <w:color w:val="000000" w:themeColor="text1"/>
        </w:rPr>
        <w:t>,</w:t>
      </w:r>
      <w:r w:rsidRPr="00EF550E">
        <w:rPr>
          <w:rFonts w:ascii="Verdana" w:hAnsi="Verdana" w:cs="Arial"/>
          <w:color w:val="000000" w:themeColor="text1"/>
        </w:rPr>
        <w:t xml:space="preserve"> y que tiene una participación igual o superior al diez por ciento (10%) en el consorcio o la unión tempora</w:t>
      </w:r>
      <w:r>
        <w:rPr>
          <w:rFonts w:ascii="Verdana" w:hAnsi="Verdana" w:cs="Arial"/>
          <w:color w:val="000000" w:themeColor="text1"/>
        </w:rPr>
        <w:t xml:space="preserve">l. </w:t>
      </w:r>
      <w:r w:rsidRPr="00E3311D">
        <w:rPr>
          <w:rFonts w:ascii="Verdana" w:hAnsi="Verdana" w:cs="Arial"/>
          <w:color w:val="000000" w:themeColor="text1"/>
        </w:rPr>
        <w:t>En este contexto, sobre la base de la relevancia de los porcentajes de participación en el proponente plural, es adecuado y proporcional incluir de reglas en el los pliegos de condiciones sobre la discriminación de tales porcentajes</w:t>
      </w:r>
      <w:r>
        <w:rPr>
          <w:rFonts w:ascii="Verdana" w:hAnsi="Verdana" w:cs="Arial"/>
          <w:color w:val="000000" w:themeColor="text1"/>
        </w:rPr>
        <w:t>.</w:t>
      </w:r>
    </w:p>
    <w:p w14:paraId="7CDEF3F0" w14:textId="77777777" w:rsidR="007520D6" w:rsidRDefault="007520D6" w:rsidP="007520D6">
      <w:pPr>
        <w:spacing w:after="120" w:line="276" w:lineRule="auto"/>
        <w:jc w:val="both"/>
        <w:rPr>
          <w:rFonts w:ascii="Verdana" w:hAnsi="Verdana" w:cs="Arial"/>
          <w:color w:val="000000" w:themeColor="text1"/>
        </w:rPr>
      </w:pPr>
      <w:r>
        <w:rPr>
          <w:rFonts w:ascii="Verdana" w:hAnsi="Verdana" w:cs="Arial"/>
          <w:color w:val="000000" w:themeColor="text1"/>
        </w:rPr>
        <w:tab/>
        <w:t xml:space="preserve">Sobre la base de la participación de todos los integrantes de la estructura plural, los numerales 6 y 7 del artículo 7 de la Ley 80 de 1993 –en concordancia </w:t>
      </w:r>
      <w:r>
        <w:rPr>
          <w:rFonts w:ascii="Verdana" w:hAnsi="Verdana" w:cs="Arial"/>
          <w:color w:val="000000" w:themeColor="text1"/>
        </w:rPr>
        <w:lastRenderedPageBreak/>
        <w:t xml:space="preserve">con el inciso segundo del artículo 1568 del Código Civil– establecen una </w:t>
      </w:r>
      <w:r w:rsidRPr="00094498">
        <w:rPr>
          <w:rFonts w:ascii="Verdana" w:hAnsi="Verdana" w:cs="Arial"/>
          <w:i/>
          <w:iCs/>
          <w:color w:val="000000" w:themeColor="text1"/>
        </w:rPr>
        <w:t>solidaridad legal de carácter contractual</w:t>
      </w:r>
      <w:r>
        <w:rPr>
          <w:rFonts w:ascii="Verdana" w:hAnsi="Verdana" w:cs="Arial"/>
          <w:color w:val="000000" w:themeColor="text1"/>
        </w:rPr>
        <w:t xml:space="preserve"> de todos los miembros del consorcio o unión temporal con la entidad contratante. Dado que el negocio jurídico se rige por el principio de relatividad, esto es, </w:t>
      </w:r>
      <w:r w:rsidRPr="007B032D">
        <w:rPr>
          <w:rFonts w:ascii="Verdana" w:hAnsi="Verdana" w:cs="Arial"/>
          <w:color w:val="000000" w:themeColor="text1"/>
        </w:rPr>
        <w:t xml:space="preserve">lo convenido entre </w:t>
      </w:r>
      <w:r>
        <w:rPr>
          <w:rFonts w:ascii="Verdana" w:hAnsi="Verdana" w:cs="Arial"/>
          <w:color w:val="000000" w:themeColor="text1"/>
        </w:rPr>
        <w:t xml:space="preserve">las partes concierne exclusivamente a ellas, la solidaridad prevista en el EGCAP </w:t>
      </w:r>
      <w:r w:rsidRPr="007B032D">
        <w:rPr>
          <w:rFonts w:ascii="Verdana" w:hAnsi="Verdana" w:cs="Arial"/>
          <w:color w:val="000000" w:themeColor="text1"/>
        </w:rPr>
        <w:t>no perjudica ni aprovecha a terceros</w:t>
      </w:r>
      <w:r>
        <w:rPr>
          <w:rFonts w:ascii="Verdana" w:hAnsi="Verdana" w:cs="Arial"/>
          <w:color w:val="000000" w:themeColor="text1"/>
        </w:rPr>
        <w:t xml:space="preserve"> ajenos al contrato estatal. </w:t>
      </w:r>
    </w:p>
    <w:p w14:paraId="10414B5B" w14:textId="77777777" w:rsidR="007520D6" w:rsidRDefault="007520D6" w:rsidP="007520D6">
      <w:pPr>
        <w:spacing w:after="120" w:line="276" w:lineRule="auto"/>
        <w:jc w:val="both"/>
        <w:rPr>
          <w:rFonts w:ascii="Verdana" w:hAnsi="Verdana" w:cs="Arial"/>
          <w:color w:val="000000" w:themeColor="text1"/>
        </w:rPr>
      </w:pPr>
      <w:r>
        <w:rPr>
          <w:rFonts w:ascii="Verdana" w:hAnsi="Verdana" w:cs="Arial"/>
          <w:color w:val="000000" w:themeColor="text1"/>
        </w:rPr>
        <w:tab/>
        <w:t xml:space="preserve">Asimismo, los numerales 6 y 7 del artículo 7 de la Ley 80 de 1993 tampoco consagran una </w:t>
      </w:r>
      <w:r w:rsidRPr="0093091C">
        <w:rPr>
          <w:rFonts w:ascii="Verdana" w:hAnsi="Verdana" w:cs="Arial"/>
          <w:i/>
          <w:iCs/>
          <w:color w:val="000000" w:themeColor="text1"/>
        </w:rPr>
        <w:t>solidaridad legal extracontractual</w:t>
      </w:r>
      <w:r>
        <w:rPr>
          <w:rFonts w:ascii="Verdana" w:hAnsi="Verdana" w:cs="Arial"/>
          <w:color w:val="000000" w:themeColor="text1"/>
        </w:rPr>
        <w:t xml:space="preserve"> por daños ocasionados a terceros durante la ejecución de las obligaciones. Lo anterior en la medida que, conforme al inciso primero del artículo 1613 del Código Civil, la responsabilidad contractual se funda en la falta de cumplimiento, el cumplimiento imperfecto o el retardo en el cumplimiento de las obligaciones pactadas. Como la responsabilidad extracontractual tiene un régimen jurídico distinto, la solidaridad se circunscribe a la regla general del inciso primero del artículo 2344 </w:t>
      </w:r>
      <w:r w:rsidRPr="002C2827">
        <w:rPr>
          <w:rFonts w:ascii="Verdana" w:hAnsi="Verdana" w:cs="Arial"/>
          <w:i/>
          <w:iCs/>
          <w:color w:val="000000" w:themeColor="text1"/>
        </w:rPr>
        <w:t>ibidem</w:t>
      </w:r>
      <w:r>
        <w:rPr>
          <w:rStyle w:val="Refdenotaalpie"/>
          <w:rFonts w:ascii="Verdana" w:hAnsi="Verdana" w:cs="Arial"/>
          <w:i/>
          <w:iCs/>
          <w:color w:val="000000" w:themeColor="text1"/>
        </w:rPr>
        <w:footnoteReference w:id="5"/>
      </w:r>
      <w:r>
        <w:rPr>
          <w:rFonts w:ascii="Verdana" w:hAnsi="Verdana" w:cs="Arial"/>
          <w:color w:val="000000" w:themeColor="text1"/>
        </w:rPr>
        <w:t xml:space="preserve">. </w:t>
      </w:r>
    </w:p>
    <w:p w14:paraId="33F49DA1" w14:textId="77777777" w:rsidR="007520D6" w:rsidRDefault="007520D6" w:rsidP="007520D6">
      <w:pPr>
        <w:spacing w:after="120" w:line="276" w:lineRule="auto"/>
        <w:jc w:val="both"/>
        <w:rPr>
          <w:rFonts w:ascii="Verdana" w:hAnsi="Verdana" w:cs="Arial"/>
          <w:color w:val="000000" w:themeColor="text1"/>
        </w:rPr>
      </w:pPr>
      <w:r>
        <w:rPr>
          <w:rFonts w:ascii="Verdana" w:hAnsi="Verdana" w:cs="Arial"/>
          <w:color w:val="000000" w:themeColor="text1"/>
        </w:rPr>
        <w:tab/>
        <w:t>En todo caso, como el parágrafo primero del artículo 7 de la Ley 80 de 1993 dispone que “</w:t>
      </w:r>
      <w:r w:rsidRPr="009401A5">
        <w:rPr>
          <w:rFonts w:ascii="Verdana" w:hAnsi="Verdana" w:cs="Arial"/>
          <w:color w:val="000000" w:themeColor="text1"/>
        </w:rPr>
        <w:t>Los miembros del consorcio y de la unión temporal deberán designar la persona que, para todos los efectos, representará al consorcio o unión temporal y señalarán las reglas básicas que regulen las relaciones entre ellos y su responsabilidad</w:t>
      </w:r>
      <w:r>
        <w:rPr>
          <w:rFonts w:ascii="Verdana" w:hAnsi="Verdana" w:cs="Arial"/>
          <w:color w:val="000000" w:themeColor="text1"/>
        </w:rPr>
        <w:t>”, la Sala Plena de la Sección Tercera del Consejo de Estado entiende que las estructuras plurales –pese a carecer de personalidad jurídica– tienen capacidad procesal; razón por la cual, la demanda se dirigiría al consorcio o unión temporal representada por la persona designada para el efecto</w:t>
      </w:r>
      <w:r>
        <w:rPr>
          <w:rStyle w:val="Refdenotaalpie"/>
          <w:rFonts w:ascii="Verdana" w:hAnsi="Verdana" w:cs="Arial"/>
          <w:color w:val="000000" w:themeColor="text1"/>
        </w:rPr>
        <w:footnoteReference w:id="6"/>
      </w:r>
      <w:r>
        <w:rPr>
          <w:rFonts w:ascii="Verdana" w:hAnsi="Verdana" w:cs="Arial"/>
          <w:color w:val="000000" w:themeColor="text1"/>
        </w:rPr>
        <w:t xml:space="preserve">. Por ello, la Sala Casación Laboral de la Corte Suprema de Justicia también ha sostenido que “[…] </w:t>
      </w:r>
      <w:r w:rsidRPr="00686CF5">
        <w:rPr>
          <w:rFonts w:ascii="Verdana" w:hAnsi="Verdana" w:cs="Arial"/>
          <w:color w:val="000000" w:themeColor="text1"/>
        </w:rPr>
        <w:t>las uniones</w:t>
      </w:r>
      <w:r>
        <w:rPr>
          <w:rFonts w:ascii="Verdana" w:hAnsi="Verdana" w:cs="Arial"/>
          <w:color w:val="000000" w:themeColor="text1"/>
        </w:rPr>
        <w:t xml:space="preserve"> </w:t>
      </w:r>
      <w:r w:rsidRPr="00686CF5">
        <w:rPr>
          <w:rFonts w:ascii="Verdana" w:hAnsi="Verdana" w:cs="Arial"/>
          <w:color w:val="000000" w:themeColor="text1"/>
        </w:rPr>
        <w:t>temporales y consorcios sí tienen capacidad para ser parte y</w:t>
      </w:r>
      <w:r>
        <w:rPr>
          <w:rFonts w:ascii="Verdana" w:hAnsi="Verdana" w:cs="Arial"/>
          <w:color w:val="000000" w:themeColor="text1"/>
        </w:rPr>
        <w:t xml:space="preserve"> </w:t>
      </w:r>
      <w:r w:rsidRPr="00686CF5">
        <w:rPr>
          <w:rFonts w:ascii="Verdana" w:hAnsi="Verdana" w:cs="Arial"/>
          <w:color w:val="000000" w:themeColor="text1"/>
        </w:rPr>
        <w:t>comparecer al proceso a través de su representante legal, y</w:t>
      </w:r>
      <w:r>
        <w:rPr>
          <w:rFonts w:ascii="Verdana" w:hAnsi="Verdana" w:cs="Arial"/>
          <w:color w:val="000000" w:themeColor="text1"/>
        </w:rPr>
        <w:t xml:space="preserve"> </w:t>
      </w:r>
      <w:r w:rsidRPr="00686CF5">
        <w:rPr>
          <w:rFonts w:ascii="Verdana" w:hAnsi="Verdana" w:cs="Arial"/>
          <w:color w:val="000000" w:themeColor="text1"/>
        </w:rPr>
        <w:t>sin que deba constituirse un litisconsorcio necesario con</w:t>
      </w:r>
      <w:r>
        <w:rPr>
          <w:rFonts w:ascii="Verdana" w:hAnsi="Verdana" w:cs="Arial"/>
          <w:color w:val="000000" w:themeColor="text1"/>
        </w:rPr>
        <w:t xml:space="preserve"> </w:t>
      </w:r>
      <w:r w:rsidRPr="00686CF5">
        <w:rPr>
          <w:rFonts w:ascii="Verdana" w:hAnsi="Verdana" w:cs="Arial"/>
          <w:color w:val="000000" w:themeColor="text1"/>
        </w:rPr>
        <w:t>cada uno de sus integrantes</w:t>
      </w:r>
      <w:r>
        <w:rPr>
          <w:rFonts w:ascii="Verdana" w:hAnsi="Verdana" w:cs="Arial"/>
          <w:color w:val="000000" w:themeColor="text1"/>
        </w:rPr>
        <w:t xml:space="preserve"> […]”</w:t>
      </w:r>
      <w:r>
        <w:rPr>
          <w:rStyle w:val="Refdenotaalpie"/>
          <w:rFonts w:ascii="Verdana" w:hAnsi="Verdana" w:cs="Arial"/>
          <w:color w:val="000000" w:themeColor="text1"/>
        </w:rPr>
        <w:footnoteReference w:id="7"/>
      </w:r>
      <w:r>
        <w:rPr>
          <w:rFonts w:ascii="Verdana" w:hAnsi="Verdana" w:cs="Arial"/>
          <w:color w:val="000000" w:themeColor="text1"/>
        </w:rPr>
        <w:t xml:space="preserve">.    </w:t>
      </w:r>
    </w:p>
    <w:bookmarkEnd w:id="2"/>
    <w:p w14:paraId="4A4FEC79" w14:textId="77777777" w:rsidR="007520D6" w:rsidRDefault="007520D6" w:rsidP="007520D6">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72FC6A1" w14:textId="77777777" w:rsidR="007520D6" w:rsidRPr="008A4AEC" w:rsidRDefault="007520D6" w:rsidP="007520D6">
      <w:pPr>
        <w:widowControl w:val="0"/>
        <w:autoSpaceDE w:val="0"/>
        <w:autoSpaceDN w:val="0"/>
        <w:spacing w:after="0" w:line="276" w:lineRule="auto"/>
        <w:ind w:firstLine="708"/>
        <w:jc w:val="both"/>
        <w:rPr>
          <w:rFonts w:ascii="Verdana" w:hAnsi="Verdana" w:cs="Arial"/>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r w:rsidRPr="00DE3BB8">
        <w:rPr>
          <w:rFonts w:ascii="Verdana" w:hAnsi="Verdana" w:cs="Arial"/>
        </w:rPr>
        <w:t xml:space="preserve"> </w:t>
      </w:r>
      <w:r>
        <w:rPr>
          <w:rFonts w:ascii="Verdana" w:hAnsi="Verdana" w:cs="Arial"/>
        </w:rPr>
        <w:t xml:space="preserve"> </w:t>
      </w:r>
    </w:p>
    <w:p w14:paraId="7EE4052C" w14:textId="77777777" w:rsidR="007520D6" w:rsidRPr="00593A5F" w:rsidRDefault="007520D6" w:rsidP="007520D6">
      <w:pPr>
        <w:widowControl w:val="0"/>
        <w:autoSpaceDE w:val="0"/>
        <w:autoSpaceDN w:val="0"/>
        <w:spacing w:after="0" w:line="276" w:lineRule="auto"/>
        <w:jc w:val="both"/>
        <w:rPr>
          <w:rFonts w:ascii="Verdana" w:hAnsi="Verdana" w:cs="Arial"/>
        </w:rPr>
      </w:pPr>
    </w:p>
    <w:p w14:paraId="0CA75E67" w14:textId="77777777" w:rsidR="007520D6" w:rsidRPr="00593A5F" w:rsidRDefault="007520D6" w:rsidP="007520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BDD3AD0" w14:textId="77777777" w:rsidR="007520D6" w:rsidRPr="00593A5F" w:rsidRDefault="007520D6" w:rsidP="007520D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520D6" w:rsidRPr="002407CE" w14:paraId="49D2DEAA" w14:textId="77777777">
        <w:trPr>
          <w:trHeight w:val="870"/>
          <w:jc w:val="center"/>
        </w:trPr>
        <w:tc>
          <w:tcPr>
            <w:tcW w:w="8647" w:type="dxa"/>
          </w:tcPr>
          <w:p w14:paraId="4125E32D" w14:textId="77777777" w:rsidR="007520D6" w:rsidRDefault="007520D6" w:rsidP="007520D6">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2407CE">
              <w:rPr>
                <w:rFonts w:ascii="Verdana" w:hAnsi="Verdana" w:cs="Arial"/>
              </w:rPr>
              <w:t>Ley 80 de 1993, artículos 6</w:t>
            </w:r>
            <w:r>
              <w:rPr>
                <w:rFonts w:ascii="Verdana" w:hAnsi="Verdana" w:cs="Arial"/>
              </w:rPr>
              <w:t>,</w:t>
            </w:r>
            <w:r w:rsidRPr="002407CE">
              <w:rPr>
                <w:rFonts w:ascii="Verdana" w:hAnsi="Verdana" w:cs="Arial"/>
              </w:rPr>
              <w:t xml:space="preserve"> 7</w:t>
            </w:r>
            <w:r>
              <w:rPr>
                <w:rFonts w:ascii="Verdana" w:hAnsi="Verdana" w:cs="Arial"/>
              </w:rPr>
              <w:t>, 13, 32 y 40</w:t>
            </w:r>
            <w:r w:rsidRPr="002407CE">
              <w:rPr>
                <w:rFonts w:ascii="Verdana" w:hAnsi="Verdana" w:cs="Arial"/>
              </w:rPr>
              <w:t>.</w:t>
            </w:r>
          </w:p>
          <w:p w14:paraId="6589163A" w14:textId="77777777" w:rsidR="007520D6" w:rsidRPr="00C705FB" w:rsidRDefault="007520D6" w:rsidP="007520D6">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2069 de 2020, artículos 32 y 33.</w:t>
            </w:r>
          </w:p>
          <w:p w14:paraId="5726A9F4" w14:textId="77777777" w:rsidR="007520D6" w:rsidRPr="002407CE" w:rsidRDefault="007520D6" w:rsidP="007520D6">
            <w:pPr>
              <w:pStyle w:val="Prrafodelista"/>
              <w:widowControl w:val="0"/>
              <w:numPr>
                <w:ilvl w:val="0"/>
                <w:numId w:val="17"/>
              </w:numPr>
              <w:autoSpaceDE w:val="0"/>
              <w:autoSpaceDN w:val="0"/>
              <w:spacing w:after="120" w:line="276" w:lineRule="auto"/>
              <w:jc w:val="both"/>
              <w:rPr>
                <w:rFonts w:ascii="Verdana" w:hAnsi="Verdana" w:cs="Arial"/>
              </w:rPr>
            </w:pPr>
            <w:r w:rsidRPr="002407CE">
              <w:rPr>
                <w:rFonts w:ascii="Verdana" w:hAnsi="Verdana" w:cs="Arial"/>
              </w:rPr>
              <w:t>Código Civil, artículos 1502, 1503</w:t>
            </w:r>
            <w:r>
              <w:rPr>
                <w:rFonts w:ascii="Verdana" w:hAnsi="Verdana" w:cs="Arial"/>
              </w:rPr>
              <w:t xml:space="preserve">, </w:t>
            </w:r>
            <w:r w:rsidRPr="002407CE">
              <w:rPr>
                <w:rFonts w:ascii="Verdana" w:hAnsi="Verdana" w:cs="Arial"/>
              </w:rPr>
              <w:t>1504</w:t>
            </w:r>
            <w:r>
              <w:rPr>
                <w:rFonts w:ascii="Verdana" w:hAnsi="Verdana" w:cs="Arial"/>
              </w:rPr>
              <w:t>, 1568, 1613 y 2344</w:t>
            </w:r>
            <w:r w:rsidRPr="002407CE">
              <w:rPr>
                <w:rFonts w:ascii="Verdana" w:hAnsi="Verdana" w:cs="Arial"/>
              </w:rPr>
              <w:t xml:space="preserve">. </w:t>
            </w:r>
          </w:p>
          <w:p w14:paraId="0152CB4A" w14:textId="77777777" w:rsidR="007520D6" w:rsidRPr="002407CE" w:rsidRDefault="007520D6">
            <w:pPr>
              <w:pStyle w:val="Prrafodelista"/>
              <w:widowControl w:val="0"/>
              <w:autoSpaceDE w:val="0"/>
              <w:autoSpaceDN w:val="0"/>
              <w:spacing w:after="120" w:line="276" w:lineRule="auto"/>
              <w:jc w:val="both"/>
              <w:rPr>
                <w:rFonts w:ascii="Verdana" w:hAnsi="Verdana" w:cs="Arial"/>
                <w:sz w:val="12"/>
                <w:szCs w:val="12"/>
              </w:rPr>
            </w:pPr>
          </w:p>
          <w:p w14:paraId="604D7A99" w14:textId="77777777" w:rsidR="007520D6" w:rsidRDefault="007520D6" w:rsidP="007520D6">
            <w:pPr>
              <w:pStyle w:val="Prrafodelista"/>
              <w:widowControl w:val="0"/>
              <w:numPr>
                <w:ilvl w:val="0"/>
                <w:numId w:val="17"/>
              </w:numPr>
              <w:autoSpaceDE w:val="0"/>
              <w:autoSpaceDN w:val="0"/>
              <w:spacing w:line="276" w:lineRule="auto"/>
              <w:contextualSpacing w:val="0"/>
              <w:jc w:val="both"/>
              <w:rPr>
                <w:rFonts w:ascii="Verdana" w:hAnsi="Verdana" w:cs="Arial"/>
              </w:rPr>
            </w:pPr>
            <w:r w:rsidRPr="002407CE">
              <w:rPr>
                <w:rFonts w:ascii="Verdana" w:hAnsi="Verdana" w:cs="Arial"/>
              </w:rPr>
              <w:t>Código de Comercio, artículo 99.</w:t>
            </w:r>
          </w:p>
          <w:p w14:paraId="17651993" w14:textId="77777777" w:rsidR="007520D6" w:rsidRPr="00B958D0" w:rsidRDefault="007520D6">
            <w:pPr>
              <w:widowControl w:val="0"/>
              <w:autoSpaceDE w:val="0"/>
              <w:autoSpaceDN w:val="0"/>
              <w:spacing w:line="276" w:lineRule="auto"/>
              <w:jc w:val="both"/>
              <w:rPr>
                <w:rFonts w:ascii="Verdana" w:hAnsi="Verdana" w:cs="Arial"/>
                <w:sz w:val="12"/>
                <w:szCs w:val="12"/>
              </w:rPr>
            </w:pPr>
          </w:p>
          <w:p w14:paraId="1C92E11D" w14:textId="77777777" w:rsidR="007520D6" w:rsidRPr="00B958D0" w:rsidRDefault="007520D6" w:rsidP="007520D6">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 xml:space="preserve">Decreto 1082 de 2015, </w:t>
            </w:r>
            <w:r w:rsidRPr="00B958D0">
              <w:rPr>
                <w:rFonts w:ascii="Verdana" w:hAnsi="Verdana" w:cs="Arial"/>
              </w:rPr>
              <w:t>artículos 2.2.1.2.4.2.15 y 2.2.1.2.4.2.18</w:t>
            </w:r>
            <w:r>
              <w:rPr>
                <w:rFonts w:ascii="Verdana" w:hAnsi="Verdana" w:cs="Arial"/>
              </w:rPr>
              <w:t>.</w:t>
            </w:r>
          </w:p>
        </w:tc>
      </w:tr>
    </w:tbl>
    <w:p w14:paraId="39B50463" w14:textId="77777777" w:rsidR="007520D6" w:rsidRPr="002407CE" w:rsidRDefault="007520D6" w:rsidP="007520D6">
      <w:pPr>
        <w:widowControl w:val="0"/>
        <w:autoSpaceDE w:val="0"/>
        <w:autoSpaceDN w:val="0"/>
        <w:spacing w:after="0" w:line="276" w:lineRule="auto"/>
        <w:jc w:val="both"/>
        <w:rPr>
          <w:rFonts w:ascii="Verdana" w:hAnsi="Verdana" w:cs="Arial"/>
        </w:rPr>
      </w:pPr>
    </w:p>
    <w:p w14:paraId="707621A1" w14:textId="77777777" w:rsidR="007520D6" w:rsidRPr="00593A5F" w:rsidRDefault="007520D6" w:rsidP="007520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EF50B41" w14:textId="77777777" w:rsidR="007520D6" w:rsidRPr="00593A5F" w:rsidRDefault="007520D6" w:rsidP="007520D6">
      <w:pPr>
        <w:widowControl w:val="0"/>
        <w:autoSpaceDE w:val="0"/>
        <w:autoSpaceDN w:val="0"/>
        <w:spacing w:after="0" w:line="276" w:lineRule="auto"/>
        <w:jc w:val="both"/>
        <w:rPr>
          <w:rFonts w:ascii="Verdana" w:hAnsi="Verdana" w:cs="Arial"/>
        </w:rPr>
      </w:pPr>
    </w:p>
    <w:p w14:paraId="19BDC0DD" w14:textId="77777777" w:rsidR="007520D6" w:rsidRDefault="007520D6" w:rsidP="007520D6">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E</w:t>
      </w:r>
      <w:r w:rsidRPr="00EA761C">
        <w:rPr>
          <w:rStyle w:val="normaltextrun"/>
          <w:rFonts w:ascii="Verdana" w:hAnsi="Verdana" w:cs="Arial"/>
          <w:shd w:val="clear" w:color="auto" w:fill="FFFFFF"/>
          <w:lang w:val="es-ES"/>
        </w:rPr>
        <w:t>sta Subdirección </w:t>
      </w:r>
      <w:r>
        <w:rPr>
          <w:rStyle w:val="normaltextrun"/>
          <w:rFonts w:ascii="Verdana" w:hAnsi="Verdana" w:cs="Arial"/>
          <w:shd w:val="clear" w:color="auto" w:fill="FFFFFF"/>
          <w:lang w:val="es-ES"/>
        </w:rPr>
        <w:t>se ha pronunciado s</w:t>
      </w:r>
      <w:r w:rsidRPr="00EA761C">
        <w:rPr>
          <w:rStyle w:val="normaltextrun"/>
          <w:rFonts w:ascii="Verdana" w:hAnsi="Verdana" w:cs="Arial"/>
          <w:shd w:val="clear" w:color="auto" w:fill="FFFFFF"/>
          <w:lang w:val="es-ES"/>
        </w:rPr>
        <w:t>obre la capacidad jurídica de los consorcios y las uniones temporales en los Conceptos</w:t>
      </w:r>
      <w:r w:rsidRPr="00EA761C">
        <w:rPr>
          <w:rStyle w:val="normaltextrun"/>
          <w:rFonts w:ascii="Verdana" w:hAnsi="Verdana" w:cs="Calibri"/>
          <w:shd w:val="clear" w:color="auto" w:fill="FFFFFF"/>
        </w:rPr>
        <w:t xml:space="preserve"> </w:t>
      </w:r>
      <w:r w:rsidRPr="00EA761C">
        <w:rPr>
          <w:rStyle w:val="normaltextrun"/>
          <w:rFonts w:ascii="Verdana" w:hAnsi="Verdana" w:cs="Arial"/>
          <w:shd w:val="clear" w:color="auto" w:fill="FFFFFF"/>
          <w:lang w:val="es-ES"/>
        </w:rPr>
        <w:t xml:space="preserve">4201913000007643 del 26 de diciembre de 2019, C-343 del 17 de junio de 2020, C-518 del 9 de septiembre de 2020, C-614 del 5 de octubre de 2022, C-882 del 21 de diciembre </w:t>
      </w:r>
      <w:r w:rsidRPr="00EA761C">
        <w:rPr>
          <w:rStyle w:val="normaltextrun"/>
          <w:rFonts w:ascii="Verdana" w:hAnsi="Verdana" w:cs="Arial"/>
          <w:shd w:val="clear" w:color="auto" w:fill="FFFFFF"/>
          <w:lang w:val="es-ES"/>
        </w:rPr>
        <w:lastRenderedPageBreak/>
        <w:t>de 2022, C-172 del 6 de junio de 2023, C-032 del 16 de abril de 2024</w:t>
      </w:r>
      <w:r>
        <w:rPr>
          <w:rStyle w:val="normaltextrun"/>
          <w:rFonts w:ascii="Verdana" w:hAnsi="Verdana" w:cs="Arial"/>
          <w:shd w:val="clear" w:color="auto" w:fill="FFFFFF"/>
          <w:lang w:val="es-ES"/>
        </w:rPr>
        <w:t>,</w:t>
      </w:r>
      <w:r w:rsidRPr="00EA761C">
        <w:rPr>
          <w:rStyle w:val="normaltextrun"/>
          <w:rFonts w:ascii="Verdana" w:hAnsi="Verdana" w:cs="Arial"/>
          <w:shd w:val="clear" w:color="auto" w:fill="FFFFFF"/>
          <w:lang w:val="es-ES"/>
        </w:rPr>
        <w:t xml:space="preserve"> C-100 del 12 de junio de 2024</w:t>
      </w:r>
      <w:r>
        <w:rPr>
          <w:rStyle w:val="normaltextrun"/>
          <w:rFonts w:ascii="Verdana" w:hAnsi="Verdana" w:cs="Arial"/>
          <w:shd w:val="clear" w:color="auto" w:fill="FFFFFF"/>
          <w:lang w:val="es-ES"/>
        </w:rPr>
        <w:t>, C-924 del 18 de julio de 2025 y C-1109 del 24 de agosto de 2025</w:t>
      </w:r>
      <w:r w:rsidRPr="00EA761C">
        <w:rPr>
          <w:rStyle w:val="normaltextrun"/>
          <w:rFonts w:ascii="Verdana" w:hAnsi="Verdana" w:cs="Arial"/>
          <w:shd w:val="clear" w:color="auto" w:fill="FFFFFF"/>
          <w:lang w:val="es-ES"/>
        </w:rPr>
        <w:t>. Es</w:t>
      </w:r>
      <w:r w:rsidRPr="00EA761C">
        <w:rPr>
          <w:rFonts w:ascii="Verdana" w:hAnsi="Verdana"/>
        </w:rPr>
        <w:t>tos</w:t>
      </w:r>
      <w:r>
        <w:rPr>
          <w:rFonts w:ascii="Verdana" w:hAnsi="Verdana"/>
        </w:rPr>
        <w:t xml:space="preserve"> y otros</w:t>
      </w:r>
      <w:r w:rsidRPr="00A1554D">
        <w:rPr>
          <w:rFonts w:ascii="Verdana" w:hAnsi="Verdana"/>
        </w:rPr>
        <w:t xml:space="preserve"> se encuentran disponibles para consulta en el Sistema de </w:t>
      </w:r>
      <w:r>
        <w:rPr>
          <w:rFonts w:ascii="Verdana" w:hAnsi="Verdana"/>
        </w:rPr>
        <w:t>r</w:t>
      </w:r>
      <w:r w:rsidRPr="00A1554D">
        <w:rPr>
          <w:rFonts w:ascii="Verdana" w:hAnsi="Verdana"/>
        </w:rPr>
        <w:t>elatoría de la Agencia,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1F9CA8B1" w14:textId="77777777" w:rsidR="007520D6" w:rsidRDefault="007520D6" w:rsidP="007520D6">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8004FF0" w14:textId="77777777" w:rsidR="007520D6" w:rsidRDefault="007520D6" w:rsidP="007520D6">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1F078886" w14:textId="77777777" w:rsidR="007520D6" w:rsidRPr="009A385A" w:rsidRDefault="007520D6" w:rsidP="007520D6">
      <w:pPr>
        <w:spacing w:after="0"/>
        <w:jc w:val="both"/>
        <w:rPr>
          <w:rFonts w:ascii="Verdana" w:hAnsi="Verdana"/>
        </w:rPr>
      </w:pPr>
    </w:p>
    <w:p w14:paraId="7F0D4A74" w14:textId="77777777" w:rsidR="007520D6" w:rsidRDefault="007520D6" w:rsidP="007520D6">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3BEE32CF" w14:textId="77777777" w:rsidR="007520D6" w:rsidRDefault="007520D6" w:rsidP="007520D6">
      <w:pPr>
        <w:spacing w:after="0"/>
        <w:jc w:val="both"/>
        <w:rPr>
          <w:rFonts w:ascii="Verdana" w:hAnsi="Verdana"/>
        </w:rPr>
      </w:pPr>
    </w:p>
    <w:p w14:paraId="3C2013FA" w14:textId="77777777" w:rsidR="007520D6" w:rsidRPr="008E1CD7" w:rsidRDefault="007520D6" w:rsidP="007520D6">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w:t>
        </w:r>
        <w:r w:rsidRPr="009A385A">
          <w:rPr>
            <w:rStyle w:val="Hipervnculo"/>
            <w:rFonts w:ascii="Verdana" w:hAnsi="Verdana"/>
          </w:rPr>
          <w:lastRenderedPageBreak/>
          <w:t>infraestructura-de-transporte-bajo-las-diferentes-modalidades-de-contratacion-vigentes</w:t>
        </w:r>
      </w:hyperlink>
    </w:p>
    <w:p w14:paraId="35AB436D" w14:textId="77777777" w:rsidR="007520D6" w:rsidRDefault="007520D6" w:rsidP="007520D6">
      <w:pPr>
        <w:shd w:val="clear" w:color="auto" w:fill="FFFFFF"/>
        <w:spacing w:after="0" w:line="276" w:lineRule="auto"/>
        <w:jc w:val="both"/>
        <w:rPr>
          <w:rFonts w:ascii="Verdana" w:hAnsi="Verdana"/>
          <w:color w:val="000000"/>
          <w:u w:val="single"/>
        </w:rPr>
      </w:pPr>
    </w:p>
    <w:p w14:paraId="06466BC4" w14:textId="77777777" w:rsidR="007520D6" w:rsidRPr="0038088D" w:rsidRDefault="007520D6" w:rsidP="007520D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56A0F666" w14:textId="77777777" w:rsidR="007520D6" w:rsidRPr="0038088D" w:rsidRDefault="007520D6" w:rsidP="007520D6">
      <w:pPr>
        <w:spacing w:after="0"/>
        <w:jc w:val="both"/>
        <w:rPr>
          <w:rFonts w:ascii="Verdana" w:hAnsi="Verdana"/>
        </w:rPr>
      </w:pPr>
    </w:p>
    <w:p w14:paraId="781989BB" w14:textId="77777777" w:rsidR="007520D6" w:rsidRPr="004C4825" w:rsidRDefault="007520D6" w:rsidP="007520D6">
      <w:pPr>
        <w:pStyle w:val="Prrafodelista"/>
        <w:numPr>
          <w:ilvl w:val="0"/>
          <w:numId w:val="15"/>
        </w:numPr>
        <w:spacing w:after="0" w:line="240" w:lineRule="auto"/>
        <w:jc w:val="both"/>
        <w:rPr>
          <w:rFonts w:ascii="Verdana" w:eastAsia="Verdana" w:hAnsi="Verdana" w:cs="Verdana"/>
          <w:color w:val="4472C4" w:themeColor="accent1"/>
          <w:u w:val="single"/>
        </w:rPr>
      </w:pPr>
      <w:r w:rsidRPr="004C4825">
        <w:rPr>
          <w:rFonts w:ascii="Verdana" w:eastAsia="Verdana" w:hAnsi="Verdana" w:cs="Verdana"/>
        </w:rPr>
        <w:t xml:space="preserve">Línea nacional gratuita o servicio a la ciudadanía (Mesa de servicio): </w:t>
      </w:r>
      <w:r w:rsidRPr="004C4825">
        <w:rPr>
          <w:rStyle w:val="Hipervnculo"/>
          <w:rFonts w:ascii="Verdana" w:hAnsi="Verdana"/>
        </w:rPr>
        <w:t>01800 0520808</w:t>
      </w:r>
    </w:p>
    <w:p w14:paraId="06C5D39B" w14:textId="77777777" w:rsidR="007520D6" w:rsidRPr="004C4825" w:rsidRDefault="007520D6" w:rsidP="007520D6">
      <w:pPr>
        <w:pStyle w:val="Prrafodelista"/>
        <w:numPr>
          <w:ilvl w:val="0"/>
          <w:numId w:val="15"/>
        </w:numPr>
        <w:spacing w:after="0"/>
        <w:rPr>
          <w:rFonts w:ascii="Verdana" w:eastAsia="Verdana" w:hAnsi="Verdana" w:cs="Verdana"/>
          <w:color w:val="4472C4" w:themeColor="accent1"/>
          <w:u w:val="single"/>
        </w:rPr>
      </w:pPr>
      <w:r w:rsidRPr="004C4825">
        <w:rPr>
          <w:rFonts w:ascii="Verdana" w:eastAsia="Verdana" w:hAnsi="Verdana" w:cs="Verdana"/>
        </w:rPr>
        <w:t>Línea en Bogotá (Mesa de servicio</w:t>
      </w:r>
      <w:proofErr w:type="gramStart"/>
      <w:r w:rsidRPr="004C4825">
        <w:rPr>
          <w:rFonts w:ascii="Verdana" w:eastAsia="Verdana" w:hAnsi="Verdana" w:cs="Verdana"/>
        </w:rPr>
        <w:t>):</w:t>
      </w:r>
      <w:r w:rsidRPr="004C4825">
        <w:rPr>
          <w:rStyle w:val="Hipervnculo"/>
          <w:rFonts w:ascii="Verdana" w:hAnsi="Verdana"/>
        </w:rPr>
        <w:t>+</w:t>
      </w:r>
      <w:proofErr w:type="gramEnd"/>
      <w:r w:rsidRPr="004C4825">
        <w:rPr>
          <w:rStyle w:val="Hipervnculo"/>
          <w:rFonts w:ascii="Verdana" w:hAnsi="Verdana"/>
        </w:rPr>
        <w:t>57 601 7456788</w:t>
      </w:r>
    </w:p>
    <w:p w14:paraId="6E53A0C5" w14:textId="77777777" w:rsidR="007520D6" w:rsidRPr="004C4825" w:rsidRDefault="007520D6" w:rsidP="007520D6">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 xml:space="preserve">Correo de radicación de correspondencia: </w:t>
      </w:r>
      <w:hyperlink r:id="rId16">
        <w:r w:rsidRPr="004C4825">
          <w:rPr>
            <w:rStyle w:val="Hipervnculo"/>
            <w:rFonts w:ascii="Verdana" w:eastAsia="Verdana" w:hAnsi="Verdana" w:cs="Verdana"/>
          </w:rPr>
          <w:t>ventanilladeradicacion@colombiacompra.gov.co</w:t>
        </w:r>
      </w:hyperlink>
    </w:p>
    <w:p w14:paraId="194BA000" w14:textId="77777777" w:rsidR="007520D6" w:rsidRPr="004C4825" w:rsidRDefault="007520D6" w:rsidP="007520D6">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Formulario web para</w:t>
      </w:r>
      <w:r w:rsidRPr="004C4825">
        <w:rPr>
          <w:rFonts w:ascii="Verdana" w:eastAsia="Verdana" w:hAnsi="Verdana" w:cs="Verdana"/>
          <w:lang w:val="es"/>
        </w:rPr>
        <w:t xml:space="preserve"> PQRSD: </w:t>
      </w:r>
      <w:hyperlink r:id="rId17">
        <w:r w:rsidRPr="004C4825">
          <w:rPr>
            <w:rStyle w:val="Hipervnculo"/>
            <w:rFonts w:ascii="Verdana" w:eastAsia="Verdana" w:hAnsi="Verdana" w:cs="Verdana"/>
          </w:rPr>
          <w:t>https://www.colombiacompra.gov.co/pqrsd/informacion-importante-antes-de-formular-una-pqrsd</w:t>
        </w:r>
      </w:hyperlink>
    </w:p>
    <w:p w14:paraId="0545F233" w14:textId="77777777" w:rsidR="007520D6" w:rsidRPr="0038088D" w:rsidRDefault="007520D6" w:rsidP="007520D6">
      <w:pPr>
        <w:spacing w:after="0" w:line="240" w:lineRule="auto"/>
        <w:ind w:left="720"/>
        <w:jc w:val="both"/>
        <w:rPr>
          <w:rFonts w:ascii="Verdana" w:hAnsi="Verdana"/>
        </w:rPr>
      </w:pPr>
    </w:p>
    <w:p w14:paraId="67694BF7" w14:textId="77777777" w:rsidR="007520D6" w:rsidRPr="0038088D" w:rsidRDefault="007520D6" w:rsidP="007520D6">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8"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4D9440D6" w14:textId="77777777" w:rsidR="007520D6" w:rsidRPr="0038088D" w:rsidRDefault="007520D6" w:rsidP="007520D6">
      <w:pPr>
        <w:spacing w:after="0" w:line="240" w:lineRule="auto"/>
        <w:rPr>
          <w:rFonts w:ascii="Verdana" w:hAnsi="Verdana"/>
        </w:rPr>
      </w:pPr>
    </w:p>
    <w:p w14:paraId="4B88201E" w14:textId="77777777" w:rsidR="007520D6" w:rsidRPr="0038088D" w:rsidRDefault="007520D6" w:rsidP="007520D6">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4044F897" w14:textId="77777777" w:rsidR="007520D6" w:rsidRPr="00116940" w:rsidRDefault="007520D6" w:rsidP="007520D6">
      <w:pPr>
        <w:spacing w:after="0" w:line="240" w:lineRule="auto"/>
        <w:jc w:val="both"/>
        <w:rPr>
          <w:rFonts w:ascii="Verdana" w:hAnsi="Verdana"/>
        </w:rPr>
      </w:pPr>
    </w:p>
    <w:p w14:paraId="31017C98" w14:textId="77777777" w:rsidR="007520D6" w:rsidRPr="00116940" w:rsidRDefault="007520D6" w:rsidP="007520D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1158E7D" w14:textId="77777777" w:rsidR="007520D6" w:rsidRPr="00116940" w:rsidRDefault="007520D6" w:rsidP="007520D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3081EE3" w14:textId="77777777" w:rsidR="007520D6" w:rsidRPr="00E22E6E" w:rsidRDefault="007520D6" w:rsidP="007520D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995BD42" w14:textId="77777777" w:rsidR="007520D6" w:rsidRPr="004C4825" w:rsidRDefault="007520D6" w:rsidP="007520D6">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008A822B" w14:textId="77777777" w:rsidR="007520D6" w:rsidRPr="00593A5F" w:rsidRDefault="007520D6" w:rsidP="007520D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CB06264" w14:textId="77777777" w:rsidR="007520D6" w:rsidRPr="00593A5F" w:rsidRDefault="007520D6" w:rsidP="007520D6">
      <w:pPr>
        <w:widowControl w:val="0"/>
        <w:autoSpaceDE w:val="0"/>
        <w:autoSpaceDN w:val="0"/>
        <w:spacing w:after="0" w:line="276" w:lineRule="auto"/>
        <w:jc w:val="both"/>
        <w:rPr>
          <w:rFonts w:ascii="Verdana" w:hAnsi="Verdana" w:cs="Arial"/>
        </w:rPr>
      </w:pPr>
    </w:p>
    <w:p w14:paraId="75BB8E10" w14:textId="77777777" w:rsidR="007520D6" w:rsidRPr="00593A5F" w:rsidRDefault="007520D6" w:rsidP="007520D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745EB28" w14:textId="01A67288" w:rsidR="007520D6" w:rsidRPr="00593A5F" w:rsidRDefault="0043157C" w:rsidP="007520D6">
      <w:pPr>
        <w:spacing w:line="276" w:lineRule="auto"/>
        <w:jc w:val="center"/>
        <w:rPr>
          <w:rFonts w:ascii="Verdana" w:hAnsi="Verdana" w:cs="Arial"/>
          <w:color w:val="000000"/>
          <w:lang w:val="es-ES_tradnl" w:eastAsia="es-CO"/>
        </w:rPr>
      </w:pPr>
      <w:r>
        <w:rPr>
          <w:noProof/>
        </w:rPr>
        <w:lastRenderedPageBreak/>
        <w:drawing>
          <wp:inline distT="0" distB="0" distL="0" distR="0" wp14:anchorId="69848E04" wp14:editId="1D491BA7">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520D6" w:rsidRPr="00593A5F" w14:paraId="77FF5FF0" w14:textId="77777777">
        <w:trPr>
          <w:trHeight w:val="315"/>
        </w:trPr>
        <w:tc>
          <w:tcPr>
            <w:tcW w:w="893" w:type="dxa"/>
            <w:vAlign w:val="center"/>
            <w:hideMark/>
          </w:tcPr>
          <w:p w14:paraId="105B343A" w14:textId="77777777" w:rsidR="007520D6" w:rsidRPr="003751C7" w:rsidRDefault="007520D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EF4E9E" w14:textId="77777777" w:rsidR="007520D6" w:rsidRPr="00254A7A" w:rsidRDefault="007520D6">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8A7CA0F" w14:textId="77777777" w:rsidR="007520D6" w:rsidRPr="00254A7A" w:rsidRDefault="007520D6">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7520D6" w:rsidRPr="00593A5F" w14:paraId="5BB61451" w14:textId="77777777">
        <w:trPr>
          <w:trHeight w:val="330"/>
        </w:trPr>
        <w:tc>
          <w:tcPr>
            <w:tcW w:w="893" w:type="dxa"/>
            <w:vAlign w:val="center"/>
            <w:hideMark/>
          </w:tcPr>
          <w:p w14:paraId="1B1066C3" w14:textId="77777777" w:rsidR="007520D6" w:rsidRPr="003751C7" w:rsidRDefault="007520D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4301F5" w14:textId="77777777" w:rsidR="007520D6" w:rsidRPr="00254A7A" w:rsidRDefault="007520D6">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28AEF9E8" w14:textId="77777777" w:rsidR="007520D6" w:rsidRPr="00254A7A" w:rsidRDefault="007520D6">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7520D6" w:rsidRPr="00593A5F" w14:paraId="071BB9C9" w14:textId="77777777">
        <w:trPr>
          <w:trHeight w:val="300"/>
        </w:trPr>
        <w:tc>
          <w:tcPr>
            <w:tcW w:w="893" w:type="dxa"/>
            <w:vAlign w:val="center"/>
          </w:tcPr>
          <w:p w14:paraId="73365BDD" w14:textId="77777777" w:rsidR="007520D6" w:rsidRPr="003751C7" w:rsidRDefault="007520D6">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76F1178" w14:textId="77777777" w:rsidR="007520D6" w:rsidRPr="003751C7" w:rsidRDefault="007520D6">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4AFDD686" w14:textId="77777777" w:rsidR="007520D6" w:rsidRPr="003751C7" w:rsidRDefault="007520D6">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4DB30519" w14:textId="77777777" w:rsidR="007520D6" w:rsidRDefault="007520D6" w:rsidP="007520D6">
      <w:pPr>
        <w:spacing w:after="0" w:line="240" w:lineRule="auto"/>
        <w:rPr>
          <w:rFonts w:ascii="Verdana" w:eastAsia="Times New Roman" w:hAnsi="Verdana" w:cs="Arial"/>
          <w:sz w:val="24"/>
          <w:szCs w:val="24"/>
          <w:lang w:eastAsia="es-ES"/>
        </w:rPr>
      </w:pPr>
    </w:p>
    <w:p w14:paraId="67D768F2" w14:textId="77777777" w:rsidR="007520D6" w:rsidRPr="00593A5F" w:rsidRDefault="007520D6" w:rsidP="007520D6">
      <w:pPr>
        <w:spacing w:after="0" w:line="240" w:lineRule="auto"/>
        <w:rPr>
          <w:rFonts w:ascii="Verdana" w:eastAsia="Times New Roman" w:hAnsi="Verdana" w:cs="Arial"/>
          <w:sz w:val="24"/>
          <w:szCs w:val="24"/>
          <w:lang w:eastAsia="es-ES"/>
        </w:rPr>
      </w:pPr>
      <w:r>
        <w:rPr>
          <w:noProof/>
        </w:rPr>
        <w:drawing>
          <wp:inline distT="0" distB="0" distL="0" distR="0" wp14:anchorId="5AC69A92" wp14:editId="1024CCA7">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225EB70B" w14:textId="77777777" w:rsidR="007520D6" w:rsidRPr="007520D6" w:rsidRDefault="007520D6" w:rsidP="007520D6"/>
    <w:sectPr w:rsidR="007520D6" w:rsidRPr="007520D6"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B84C5" w14:textId="77777777" w:rsidR="00D23E2D" w:rsidRDefault="00D23E2D" w:rsidP="004A1847">
      <w:pPr>
        <w:spacing w:after="0" w:line="240" w:lineRule="auto"/>
      </w:pPr>
      <w:r>
        <w:separator/>
      </w:r>
    </w:p>
  </w:endnote>
  <w:endnote w:type="continuationSeparator" w:id="0">
    <w:p w14:paraId="10707277" w14:textId="77777777" w:rsidR="00D23E2D" w:rsidRDefault="00D23E2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366A1F"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366A1F">
      <w:rPr>
        <w:rFonts w:ascii="Verdana" w:eastAsia="Verdana" w:hAnsi="Verdana" w:cs="Verdana"/>
        <w:b/>
        <w:bCs/>
        <w:color w:val="000000" w:themeColor="text1"/>
        <w:sz w:val="18"/>
        <w:szCs w:val="18"/>
        <w:lang w:val="pt-BR" w:eastAsia="es-CO"/>
      </w:rPr>
      <w:t xml:space="preserve">Código: </w:t>
    </w:r>
    <w:r w:rsidRPr="00366A1F">
      <w:rPr>
        <w:rFonts w:ascii="Verdana" w:eastAsia="Verdana" w:hAnsi="Verdana" w:cs="Verdana"/>
        <w:color w:val="000000" w:themeColor="text1"/>
        <w:sz w:val="18"/>
        <w:szCs w:val="18"/>
        <w:lang w:val="pt-BR" w:eastAsia="es-CO"/>
      </w:rPr>
      <w:t xml:space="preserve">CCE-REC-FM-17 </w:t>
    </w:r>
    <w:r w:rsidRPr="00366A1F">
      <w:rPr>
        <w:rFonts w:ascii="Verdana" w:eastAsia="Verdana" w:hAnsi="Verdana" w:cs="Verdana"/>
        <w:b/>
        <w:bCs/>
        <w:color w:val="000000" w:themeColor="text1"/>
        <w:sz w:val="18"/>
        <w:szCs w:val="18"/>
        <w:lang w:val="pt-BR" w:eastAsia="es-CO"/>
      </w:rPr>
      <w:t xml:space="preserve">V: </w:t>
    </w:r>
    <w:r w:rsidRPr="00366A1F">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10ADD" w14:textId="77777777" w:rsidR="00D23E2D" w:rsidRDefault="00D23E2D" w:rsidP="004A1847">
      <w:pPr>
        <w:spacing w:after="0" w:line="240" w:lineRule="auto"/>
      </w:pPr>
      <w:r>
        <w:separator/>
      </w:r>
    </w:p>
  </w:footnote>
  <w:footnote w:type="continuationSeparator" w:id="0">
    <w:p w14:paraId="09ACCC83" w14:textId="77777777" w:rsidR="00D23E2D" w:rsidRDefault="00D23E2D" w:rsidP="004A1847">
      <w:pPr>
        <w:spacing w:after="0" w:line="240" w:lineRule="auto"/>
      </w:pPr>
      <w:r>
        <w:continuationSeparator/>
      </w:r>
    </w:p>
  </w:footnote>
  <w:footnote w:id="1">
    <w:p w14:paraId="6ECBCE93" w14:textId="77777777" w:rsidR="007520D6" w:rsidRPr="00003BC7" w:rsidRDefault="007520D6" w:rsidP="007520D6">
      <w:pPr>
        <w:pStyle w:val="Textonotapie"/>
        <w:ind w:firstLine="720"/>
        <w:jc w:val="both"/>
        <w:rPr>
          <w:rFonts w:ascii="Century Gothic" w:hAnsi="Century Gothic" w:cs="Arial"/>
          <w:sz w:val="16"/>
          <w:szCs w:val="16"/>
        </w:rPr>
      </w:pPr>
      <w:r w:rsidRPr="00003BC7">
        <w:rPr>
          <w:rStyle w:val="Refdenotaalpie"/>
          <w:rFonts w:ascii="Century Gothic" w:hAnsi="Century Gothic" w:cs="Arial"/>
          <w:sz w:val="16"/>
          <w:szCs w:val="16"/>
        </w:rPr>
        <w:footnoteRef/>
      </w:r>
      <w:r w:rsidRPr="00003BC7">
        <w:rPr>
          <w:rFonts w:ascii="Century Gothic" w:hAnsi="Century Gothic" w:cs="Arial"/>
          <w:sz w:val="16"/>
          <w:szCs w:val="16"/>
        </w:rPr>
        <w:t xml:space="preserve"> CORTE CONSTITUCIONAL. Sentencia C-949 del 5 de septiembre de 2001. M.P. Clara Inés Vargas Hernández.  </w:t>
      </w:r>
    </w:p>
  </w:footnote>
  <w:footnote w:id="2">
    <w:p w14:paraId="1BC0C82D" w14:textId="77777777" w:rsidR="007520D6" w:rsidRPr="004B3DBD" w:rsidRDefault="007520D6" w:rsidP="007520D6">
      <w:pPr>
        <w:pStyle w:val="Textonotapie"/>
        <w:ind w:firstLine="708"/>
        <w:jc w:val="both"/>
        <w:rPr>
          <w:rFonts w:ascii="Verdana" w:hAnsi="Verdana"/>
          <w:sz w:val="16"/>
          <w:szCs w:val="16"/>
          <w:lang w:val="es-CO"/>
        </w:rPr>
      </w:pPr>
      <w:r w:rsidRPr="004B3DBD">
        <w:rPr>
          <w:rStyle w:val="Refdenotaalpie"/>
          <w:rFonts w:ascii="Verdana" w:hAnsi="Verdana"/>
          <w:sz w:val="16"/>
          <w:szCs w:val="16"/>
        </w:rPr>
        <w:footnoteRef/>
      </w:r>
      <w:r w:rsidRPr="004B3DBD">
        <w:rPr>
          <w:rFonts w:ascii="Verdana" w:hAnsi="Verdana"/>
          <w:sz w:val="16"/>
          <w:szCs w:val="16"/>
        </w:rPr>
        <w:t xml:space="preserve"> </w:t>
      </w:r>
      <w:r>
        <w:rPr>
          <w:rFonts w:ascii="Verdana" w:hAnsi="Verdana"/>
          <w:sz w:val="16"/>
          <w:szCs w:val="16"/>
        </w:rPr>
        <w:t>SOMARRIVA UNDURRAGA, Manuel. Tratado de las cauciones. Santiago: Editorial Nascimento, 1943. pp. 39-40.</w:t>
      </w:r>
    </w:p>
  </w:footnote>
  <w:footnote w:id="3">
    <w:p w14:paraId="4DCC3A0B" w14:textId="77777777" w:rsidR="007520D6" w:rsidRPr="004C46BA" w:rsidRDefault="007520D6" w:rsidP="007520D6">
      <w:pPr>
        <w:pStyle w:val="Textonotapie"/>
        <w:ind w:firstLine="708"/>
        <w:jc w:val="both"/>
        <w:rPr>
          <w:rFonts w:ascii="Verdana" w:hAnsi="Verdana"/>
          <w:sz w:val="16"/>
          <w:szCs w:val="16"/>
          <w:lang w:val="es-CO"/>
        </w:rPr>
      </w:pPr>
      <w:r w:rsidRPr="004C46BA">
        <w:rPr>
          <w:rStyle w:val="Refdenotaalpie"/>
          <w:rFonts w:ascii="Verdana" w:hAnsi="Verdana"/>
          <w:sz w:val="16"/>
          <w:szCs w:val="16"/>
        </w:rPr>
        <w:footnoteRef/>
      </w:r>
      <w:r w:rsidRPr="004C46BA">
        <w:rPr>
          <w:rFonts w:ascii="Verdana" w:hAnsi="Verdana"/>
          <w:sz w:val="16"/>
          <w:szCs w:val="16"/>
        </w:rPr>
        <w:t xml:space="preserve"> </w:t>
      </w:r>
      <w:r>
        <w:rPr>
          <w:rFonts w:ascii="Verdana" w:hAnsi="Verdana"/>
          <w:sz w:val="16"/>
          <w:szCs w:val="16"/>
        </w:rPr>
        <w:t xml:space="preserve">Cfr. </w:t>
      </w:r>
      <w:hyperlink r:id="rId1" w:history="1">
        <w:r w:rsidRPr="001E268D">
          <w:rPr>
            <w:rStyle w:val="Hipervnculo"/>
            <w:rFonts w:ascii="Verdana" w:hAnsi="Verdana"/>
            <w:sz w:val="16"/>
            <w:szCs w:val="16"/>
          </w:rPr>
          <w:t>https://www.colombiacompra.gov.co/wp-content/uploads/2024/10/cce-sec-gi-06_guia_de_creacion_de_proponentes_plurales_en_el_secop_ii_29-05-2024.pdf?_gl=1*un01d0*_ga*MTc5MzEwNzY5OC4xNzU1NjUyMTk1*_ga_FE1Z7272J6*czE3NTU2NTIxOTUkbzEkZzAkdDE3NTU2NTIxOTUkajYwJGwwJGgw</w:t>
        </w:r>
      </w:hyperlink>
      <w:r>
        <w:rPr>
          <w:rFonts w:ascii="Verdana" w:hAnsi="Verdana"/>
          <w:sz w:val="16"/>
          <w:szCs w:val="16"/>
        </w:rPr>
        <w:t>, consultado el 19 de agosto de 2025.</w:t>
      </w:r>
    </w:p>
  </w:footnote>
  <w:footnote w:id="4">
    <w:p w14:paraId="2EDB8DB7" w14:textId="77777777" w:rsidR="007520D6" w:rsidRPr="004C46BA" w:rsidRDefault="007520D6" w:rsidP="007520D6">
      <w:pPr>
        <w:pStyle w:val="Textonotapie"/>
        <w:ind w:firstLine="708"/>
        <w:jc w:val="both"/>
        <w:rPr>
          <w:rFonts w:ascii="Verdana" w:hAnsi="Verdana"/>
          <w:sz w:val="16"/>
          <w:szCs w:val="16"/>
          <w:lang w:val="es-CO"/>
        </w:rPr>
      </w:pPr>
      <w:r w:rsidRPr="004C46BA">
        <w:rPr>
          <w:rStyle w:val="Refdenotaalpie"/>
          <w:rFonts w:ascii="Verdana" w:hAnsi="Verdana"/>
          <w:sz w:val="16"/>
          <w:szCs w:val="16"/>
        </w:rPr>
        <w:footnoteRef/>
      </w:r>
      <w:r w:rsidRPr="004C46BA">
        <w:rPr>
          <w:rFonts w:ascii="Verdana" w:hAnsi="Verdana"/>
          <w:sz w:val="16"/>
          <w:szCs w:val="16"/>
        </w:rPr>
        <w:t xml:space="preserve"> </w:t>
      </w:r>
      <w:r>
        <w:rPr>
          <w:rFonts w:ascii="Verdana" w:hAnsi="Verdana"/>
          <w:sz w:val="16"/>
          <w:szCs w:val="16"/>
        </w:rPr>
        <w:t>El literal D del numeral 3.5.3 del documento base dispone que “</w:t>
      </w:r>
      <w:r w:rsidRPr="00064449">
        <w:rPr>
          <w:rFonts w:ascii="Verdana" w:hAnsi="Verdana"/>
          <w:sz w:val="16"/>
          <w:szCs w:val="16"/>
        </w:rPr>
        <w:t xml:space="preserve">Tratándose de Proponentes Plurales se tendrá en cuenta lo siguiente: i) uno de los integrantes debe aportar como mínimo el cincuenta por ciento (50 %) de la experiencia solicitada; ii) los demás integrantes deben acreditar al menos el cinco por ciento (5 %) de la experiencia solicitada; y iii) </w:t>
      </w:r>
      <w:r w:rsidRPr="004C46BA">
        <w:rPr>
          <w:rFonts w:ascii="Verdana" w:hAnsi="Verdana"/>
          <w:i/>
          <w:iCs/>
          <w:sz w:val="16"/>
          <w:szCs w:val="16"/>
        </w:rPr>
        <w:t>sin perjuicio de lo anterior, solo uno (1) de los integrantes, si así lo considera pertinente, podrá no acreditar experiencia. En este último caso, el porcentaje de participación del integrante que no aporta experiencia en la estructura plural no podrá superar el diez por ciento (10 %)</w:t>
      </w:r>
      <w:r>
        <w:rPr>
          <w:rFonts w:ascii="Verdana" w:hAnsi="Verdana"/>
          <w:sz w:val="16"/>
          <w:szCs w:val="16"/>
        </w:rPr>
        <w:t>” (Énfasis fuera de texto)</w:t>
      </w:r>
      <w:r w:rsidRPr="00064449">
        <w:rPr>
          <w:rFonts w:ascii="Verdana" w:hAnsi="Verdana"/>
          <w:sz w:val="16"/>
          <w:szCs w:val="16"/>
        </w:rPr>
        <w:t>.</w:t>
      </w:r>
    </w:p>
  </w:footnote>
  <w:footnote w:id="5">
    <w:p w14:paraId="37D87787" w14:textId="77777777" w:rsidR="007520D6" w:rsidRPr="000A4765" w:rsidRDefault="007520D6" w:rsidP="007520D6">
      <w:pPr>
        <w:pStyle w:val="Textonotapie"/>
        <w:ind w:firstLine="708"/>
        <w:jc w:val="both"/>
        <w:rPr>
          <w:rFonts w:ascii="Verdana" w:hAnsi="Verdana"/>
          <w:sz w:val="16"/>
          <w:szCs w:val="16"/>
          <w:lang w:val="es-CO"/>
        </w:rPr>
      </w:pPr>
      <w:r w:rsidRPr="002C2827">
        <w:rPr>
          <w:rStyle w:val="Refdenotaalpie"/>
          <w:rFonts w:ascii="Verdana" w:hAnsi="Verdana"/>
          <w:sz w:val="16"/>
          <w:szCs w:val="16"/>
        </w:rPr>
        <w:footnoteRef/>
      </w:r>
      <w:r w:rsidRPr="002C2827">
        <w:rPr>
          <w:rFonts w:ascii="Verdana" w:hAnsi="Verdana"/>
          <w:sz w:val="16"/>
          <w:szCs w:val="16"/>
        </w:rPr>
        <w:t xml:space="preserve"> </w:t>
      </w:r>
      <w:r>
        <w:rPr>
          <w:rFonts w:ascii="Verdana" w:hAnsi="Verdana"/>
          <w:sz w:val="16"/>
          <w:szCs w:val="16"/>
        </w:rPr>
        <w:t>E</w:t>
      </w:r>
      <w:r w:rsidRPr="000A4765">
        <w:rPr>
          <w:rFonts w:ascii="Verdana" w:hAnsi="Verdana"/>
          <w:sz w:val="16"/>
          <w:szCs w:val="16"/>
        </w:rPr>
        <w:t>l inciso primero del artículo 2344</w:t>
      </w:r>
      <w:r>
        <w:rPr>
          <w:rFonts w:ascii="Verdana" w:hAnsi="Verdana"/>
          <w:sz w:val="16"/>
          <w:szCs w:val="16"/>
        </w:rPr>
        <w:t xml:space="preserve"> del Código Civil precisa lo siguiente: “</w:t>
      </w:r>
      <w:r w:rsidRPr="000A4765">
        <w:rPr>
          <w:rFonts w:ascii="Verdana" w:hAnsi="Verdana"/>
          <w:sz w:val="16"/>
          <w:szCs w:val="16"/>
        </w:rPr>
        <w:t xml:space="preserve">Si de un delito o culpa ha sido cometido por dos o mas personas, cada una de ellas será solidariamente responsable de todo perjuicio procedente del mismo delito o culpa, salvas las excepciones de los artículos 2350 </w:t>
      </w:r>
      <w:r>
        <w:rPr>
          <w:rFonts w:ascii="Verdana" w:hAnsi="Verdana"/>
          <w:sz w:val="16"/>
          <w:szCs w:val="16"/>
        </w:rPr>
        <w:t>y</w:t>
      </w:r>
      <w:r w:rsidRPr="000A4765">
        <w:rPr>
          <w:rFonts w:ascii="Verdana" w:hAnsi="Verdana"/>
          <w:sz w:val="16"/>
          <w:szCs w:val="16"/>
        </w:rPr>
        <w:t xml:space="preserve"> 2355</w:t>
      </w:r>
      <w:r>
        <w:rPr>
          <w:rFonts w:ascii="Verdana" w:hAnsi="Verdana"/>
          <w:sz w:val="16"/>
          <w:szCs w:val="16"/>
        </w:rPr>
        <w:t>”.</w:t>
      </w:r>
    </w:p>
  </w:footnote>
  <w:footnote w:id="6">
    <w:p w14:paraId="066E4BEA" w14:textId="77777777" w:rsidR="007520D6" w:rsidRPr="007E76EC" w:rsidRDefault="007520D6" w:rsidP="007520D6">
      <w:pPr>
        <w:pStyle w:val="Textonotapie"/>
        <w:ind w:firstLine="708"/>
        <w:jc w:val="both"/>
        <w:rPr>
          <w:rFonts w:ascii="Verdana" w:hAnsi="Verdana"/>
          <w:sz w:val="16"/>
          <w:szCs w:val="16"/>
        </w:rPr>
      </w:pPr>
      <w:r w:rsidRPr="005E3F46">
        <w:rPr>
          <w:rStyle w:val="Refdenotaalpie"/>
          <w:rFonts w:ascii="Verdana" w:hAnsi="Verdana"/>
          <w:sz w:val="16"/>
          <w:szCs w:val="16"/>
        </w:rPr>
        <w:footnoteRef/>
      </w:r>
      <w:r w:rsidRPr="005E3F46">
        <w:rPr>
          <w:rFonts w:ascii="Verdana" w:hAnsi="Verdana"/>
          <w:sz w:val="16"/>
          <w:szCs w:val="16"/>
        </w:rPr>
        <w:t xml:space="preserve"> </w:t>
      </w:r>
      <w:r>
        <w:rPr>
          <w:rFonts w:ascii="Verdana" w:hAnsi="Verdana"/>
          <w:sz w:val="16"/>
          <w:szCs w:val="16"/>
        </w:rPr>
        <w:t>Por un lado, la Sala Plena del Consejo de Estado, en Sentencia del 25 de septiembre de 2013, exp. 19993, con ponencia del Consejero Mauricio Fajardo Gómez, estimó “</w:t>
      </w:r>
      <w:r w:rsidRPr="007E76EC">
        <w:rPr>
          <w:rFonts w:ascii="Verdana" w:hAnsi="Verdana"/>
          <w:sz w:val="16"/>
          <w:szCs w:val="16"/>
        </w:rPr>
        <w:t>UNIFICAR la Jurisprudencia en relación con la capacidad</w:t>
      </w:r>
      <w:r>
        <w:rPr>
          <w:rFonts w:ascii="Verdana" w:hAnsi="Verdana"/>
          <w:sz w:val="16"/>
          <w:szCs w:val="16"/>
        </w:rPr>
        <w:t xml:space="preserve"> </w:t>
      </w:r>
      <w:r w:rsidRPr="007E76EC">
        <w:rPr>
          <w:rFonts w:ascii="Verdana" w:hAnsi="Verdana"/>
          <w:sz w:val="16"/>
          <w:szCs w:val="16"/>
        </w:rPr>
        <w:t>procesal que legalmente les asiste a los consorcios y a las uniones temporales</w:t>
      </w:r>
      <w:r>
        <w:rPr>
          <w:rFonts w:ascii="Verdana" w:hAnsi="Verdana"/>
          <w:sz w:val="16"/>
          <w:szCs w:val="16"/>
        </w:rPr>
        <w:t xml:space="preserve"> </w:t>
      </w:r>
      <w:r w:rsidRPr="007E76EC">
        <w:rPr>
          <w:rFonts w:ascii="Verdana" w:hAnsi="Verdana"/>
          <w:sz w:val="16"/>
          <w:szCs w:val="16"/>
        </w:rPr>
        <w:t>para comparecer como sujetos -en condición de partes, terceros interesados o</w:t>
      </w:r>
      <w:r>
        <w:rPr>
          <w:rFonts w:ascii="Verdana" w:hAnsi="Verdana"/>
          <w:sz w:val="16"/>
          <w:szCs w:val="16"/>
        </w:rPr>
        <w:t xml:space="preserve"> </w:t>
      </w:r>
      <w:r w:rsidRPr="007E76EC">
        <w:rPr>
          <w:rFonts w:ascii="Verdana" w:hAnsi="Verdana"/>
          <w:sz w:val="16"/>
          <w:szCs w:val="16"/>
        </w:rPr>
        <w:t>litisconsortes- en los procesos judiciales en los cuales se debatan asuntos</w:t>
      </w:r>
      <w:r>
        <w:rPr>
          <w:rFonts w:ascii="Verdana" w:hAnsi="Verdana"/>
          <w:sz w:val="16"/>
          <w:szCs w:val="16"/>
        </w:rPr>
        <w:t xml:space="preserve"> </w:t>
      </w:r>
      <w:r w:rsidRPr="007E76EC">
        <w:rPr>
          <w:rFonts w:ascii="Verdana" w:hAnsi="Verdana"/>
          <w:sz w:val="16"/>
          <w:szCs w:val="16"/>
        </w:rPr>
        <w:t>relacionados con los derechos o intereses de los que son titulares o que discuten</w:t>
      </w:r>
      <w:r>
        <w:rPr>
          <w:rFonts w:ascii="Verdana" w:hAnsi="Verdana"/>
          <w:sz w:val="16"/>
          <w:szCs w:val="16"/>
        </w:rPr>
        <w:t xml:space="preserve"> </w:t>
      </w:r>
      <w:r w:rsidRPr="007E76EC">
        <w:rPr>
          <w:rFonts w:ascii="Verdana" w:hAnsi="Verdana"/>
          <w:sz w:val="16"/>
          <w:szCs w:val="16"/>
        </w:rPr>
        <w:t>o que de alguna otra manera les conciernen con ocasión o por causa de la</w:t>
      </w:r>
      <w:r>
        <w:rPr>
          <w:rFonts w:ascii="Verdana" w:hAnsi="Verdana"/>
          <w:sz w:val="16"/>
          <w:szCs w:val="16"/>
        </w:rPr>
        <w:t xml:space="preserve"> </w:t>
      </w:r>
      <w:r w:rsidRPr="007E76EC">
        <w:rPr>
          <w:rFonts w:ascii="Verdana" w:hAnsi="Verdana"/>
          <w:sz w:val="16"/>
          <w:szCs w:val="16"/>
        </w:rPr>
        <w:t>actividad contractual de las entidades estatales</w:t>
      </w:r>
      <w:r>
        <w:rPr>
          <w:rFonts w:ascii="Verdana" w:hAnsi="Verdana"/>
          <w:sz w:val="16"/>
          <w:szCs w:val="16"/>
        </w:rPr>
        <w:t>”</w:t>
      </w:r>
      <w:r w:rsidRPr="007E76EC">
        <w:rPr>
          <w:rFonts w:ascii="Verdana" w:hAnsi="Verdana"/>
          <w:sz w:val="16"/>
          <w:szCs w:val="16"/>
        </w:rPr>
        <w:t>.</w:t>
      </w:r>
    </w:p>
  </w:footnote>
  <w:footnote w:id="7">
    <w:p w14:paraId="506309A1" w14:textId="77777777" w:rsidR="007520D6" w:rsidRPr="00686CF5" w:rsidRDefault="007520D6" w:rsidP="007520D6">
      <w:pPr>
        <w:pStyle w:val="Textonotapie"/>
        <w:ind w:firstLine="708"/>
        <w:jc w:val="both"/>
        <w:rPr>
          <w:rFonts w:ascii="Verdana" w:hAnsi="Verdana"/>
          <w:sz w:val="16"/>
          <w:szCs w:val="16"/>
          <w:lang w:val="es-CO"/>
        </w:rPr>
      </w:pPr>
      <w:r w:rsidRPr="00686CF5">
        <w:rPr>
          <w:rStyle w:val="Refdenotaalpie"/>
          <w:rFonts w:ascii="Verdana" w:hAnsi="Verdana"/>
          <w:sz w:val="16"/>
          <w:szCs w:val="16"/>
        </w:rPr>
        <w:footnoteRef/>
      </w:r>
      <w:r w:rsidRPr="00686CF5">
        <w:rPr>
          <w:rFonts w:ascii="Verdana" w:hAnsi="Verdana"/>
          <w:sz w:val="16"/>
          <w:szCs w:val="16"/>
        </w:rPr>
        <w:t xml:space="preserve"> </w:t>
      </w:r>
      <w:r>
        <w:rPr>
          <w:rFonts w:ascii="Verdana" w:hAnsi="Verdana"/>
          <w:sz w:val="16"/>
          <w:szCs w:val="16"/>
        </w:rPr>
        <w:t xml:space="preserve">CORTE SUPREMA DE JUSTICIA. Sala de Casación Laboral. Sentencia SL676 del 10 de febrero de 2021. Radicación 57957. M.P. </w:t>
      </w:r>
      <w:r w:rsidRPr="00686CF5">
        <w:rPr>
          <w:rFonts w:ascii="Verdana" w:hAnsi="Verdana"/>
          <w:sz w:val="16"/>
          <w:szCs w:val="16"/>
        </w:rPr>
        <w:t>Iván Mauricio Lenis Gómez</w:t>
      </w:r>
      <w:r>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BEA"/>
    <w:rsid w:val="00046945"/>
    <w:rsid w:val="00061B2A"/>
    <w:rsid w:val="00073BEC"/>
    <w:rsid w:val="00082362"/>
    <w:rsid w:val="00085C7E"/>
    <w:rsid w:val="000914D3"/>
    <w:rsid w:val="000A683E"/>
    <w:rsid w:val="000B19B9"/>
    <w:rsid w:val="000D0334"/>
    <w:rsid w:val="000D5DA7"/>
    <w:rsid w:val="000F6486"/>
    <w:rsid w:val="00102837"/>
    <w:rsid w:val="00116940"/>
    <w:rsid w:val="001172CD"/>
    <w:rsid w:val="00125105"/>
    <w:rsid w:val="00127233"/>
    <w:rsid w:val="00130F57"/>
    <w:rsid w:val="0014242F"/>
    <w:rsid w:val="0015699B"/>
    <w:rsid w:val="001929CA"/>
    <w:rsid w:val="001A33BF"/>
    <w:rsid w:val="001E4177"/>
    <w:rsid w:val="001F0B24"/>
    <w:rsid w:val="001F7DC6"/>
    <w:rsid w:val="0022400B"/>
    <w:rsid w:val="002421BB"/>
    <w:rsid w:val="0025796E"/>
    <w:rsid w:val="002707A2"/>
    <w:rsid w:val="00281166"/>
    <w:rsid w:val="002951A0"/>
    <w:rsid w:val="002962BC"/>
    <w:rsid w:val="002A093D"/>
    <w:rsid w:val="002A0DD0"/>
    <w:rsid w:val="002A49AC"/>
    <w:rsid w:val="002A64FD"/>
    <w:rsid w:val="002B21F6"/>
    <w:rsid w:val="002C7A84"/>
    <w:rsid w:val="002E2BF8"/>
    <w:rsid w:val="002E4FD9"/>
    <w:rsid w:val="002F482F"/>
    <w:rsid w:val="0030657A"/>
    <w:rsid w:val="00322A85"/>
    <w:rsid w:val="00324168"/>
    <w:rsid w:val="00330834"/>
    <w:rsid w:val="003448F4"/>
    <w:rsid w:val="00366A1F"/>
    <w:rsid w:val="00374F5E"/>
    <w:rsid w:val="00377E3E"/>
    <w:rsid w:val="003A779E"/>
    <w:rsid w:val="003D0F4D"/>
    <w:rsid w:val="003D5B0D"/>
    <w:rsid w:val="003E0499"/>
    <w:rsid w:val="003E4F80"/>
    <w:rsid w:val="003E6439"/>
    <w:rsid w:val="003F3941"/>
    <w:rsid w:val="00406575"/>
    <w:rsid w:val="00414C74"/>
    <w:rsid w:val="0042722E"/>
    <w:rsid w:val="0043157C"/>
    <w:rsid w:val="0044528D"/>
    <w:rsid w:val="00451F0E"/>
    <w:rsid w:val="00466E39"/>
    <w:rsid w:val="00482BEE"/>
    <w:rsid w:val="004A1847"/>
    <w:rsid w:val="004A305D"/>
    <w:rsid w:val="004F21C4"/>
    <w:rsid w:val="004F685F"/>
    <w:rsid w:val="00550D77"/>
    <w:rsid w:val="005522C8"/>
    <w:rsid w:val="005566E8"/>
    <w:rsid w:val="00574867"/>
    <w:rsid w:val="00591460"/>
    <w:rsid w:val="005A06A5"/>
    <w:rsid w:val="005A571A"/>
    <w:rsid w:val="005A65E0"/>
    <w:rsid w:val="005C3777"/>
    <w:rsid w:val="005C5A59"/>
    <w:rsid w:val="005C5CDC"/>
    <w:rsid w:val="005D476C"/>
    <w:rsid w:val="006200BF"/>
    <w:rsid w:val="0062041B"/>
    <w:rsid w:val="006219F8"/>
    <w:rsid w:val="006302F7"/>
    <w:rsid w:val="00646B9F"/>
    <w:rsid w:val="00665D70"/>
    <w:rsid w:val="006900D9"/>
    <w:rsid w:val="006C2137"/>
    <w:rsid w:val="006D0A12"/>
    <w:rsid w:val="00704593"/>
    <w:rsid w:val="00706C16"/>
    <w:rsid w:val="00710181"/>
    <w:rsid w:val="00733D7E"/>
    <w:rsid w:val="007340C3"/>
    <w:rsid w:val="007520D6"/>
    <w:rsid w:val="0075235A"/>
    <w:rsid w:val="00756841"/>
    <w:rsid w:val="007649AB"/>
    <w:rsid w:val="00771D0C"/>
    <w:rsid w:val="007833AC"/>
    <w:rsid w:val="007B268C"/>
    <w:rsid w:val="007B7171"/>
    <w:rsid w:val="007C0C0F"/>
    <w:rsid w:val="007C2EA2"/>
    <w:rsid w:val="007C3DC2"/>
    <w:rsid w:val="007E5497"/>
    <w:rsid w:val="00806F5F"/>
    <w:rsid w:val="008132E8"/>
    <w:rsid w:val="00820278"/>
    <w:rsid w:val="008258C9"/>
    <w:rsid w:val="00844AE9"/>
    <w:rsid w:val="00845CD8"/>
    <w:rsid w:val="0085262C"/>
    <w:rsid w:val="008654B8"/>
    <w:rsid w:val="00867F95"/>
    <w:rsid w:val="008843B6"/>
    <w:rsid w:val="00891928"/>
    <w:rsid w:val="008A446D"/>
    <w:rsid w:val="008B25F1"/>
    <w:rsid w:val="008D180B"/>
    <w:rsid w:val="008F0EA7"/>
    <w:rsid w:val="00923EEF"/>
    <w:rsid w:val="009419F9"/>
    <w:rsid w:val="00945419"/>
    <w:rsid w:val="0095685E"/>
    <w:rsid w:val="00961B09"/>
    <w:rsid w:val="00965334"/>
    <w:rsid w:val="0097093E"/>
    <w:rsid w:val="009A0DFA"/>
    <w:rsid w:val="009A1C6F"/>
    <w:rsid w:val="009B2D26"/>
    <w:rsid w:val="009C71FA"/>
    <w:rsid w:val="009C72E7"/>
    <w:rsid w:val="009C7F7E"/>
    <w:rsid w:val="009D3058"/>
    <w:rsid w:val="009D662B"/>
    <w:rsid w:val="009F3A13"/>
    <w:rsid w:val="00A122D3"/>
    <w:rsid w:val="00A14468"/>
    <w:rsid w:val="00A16625"/>
    <w:rsid w:val="00A17F13"/>
    <w:rsid w:val="00A20739"/>
    <w:rsid w:val="00A23AF9"/>
    <w:rsid w:val="00A33C78"/>
    <w:rsid w:val="00A80111"/>
    <w:rsid w:val="00A8233F"/>
    <w:rsid w:val="00AB0ADB"/>
    <w:rsid w:val="00AB55F3"/>
    <w:rsid w:val="00AB6268"/>
    <w:rsid w:val="00B00C0E"/>
    <w:rsid w:val="00B01B1A"/>
    <w:rsid w:val="00B0381D"/>
    <w:rsid w:val="00B44A47"/>
    <w:rsid w:val="00B72CD3"/>
    <w:rsid w:val="00B72FFF"/>
    <w:rsid w:val="00B82B61"/>
    <w:rsid w:val="00BC3D36"/>
    <w:rsid w:val="00BD54A6"/>
    <w:rsid w:val="00BD7F72"/>
    <w:rsid w:val="00BF7425"/>
    <w:rsid w:val="00C04FB3"/>
    <w:rsid w:val="00C11D8B"/>
    <w:rsid w:val="00C15139"/>
    <w:rsid w:val="00C330EB"/>
    <w:rsid w:val="00C50D69"/>
    <w:rsid w:val="00C5365C"/>
    <w:rsid w:val="00C71286"/>
    <w:rsid w:val="00C754BE"/>
    <w:rsid w:val="00C76B1C"/>
    <w:rsid w:val="00C925AC"/>
    <w:rsid w:val="00CB6357"/>
    <w:rsid w:val="00CC1B26"/>
    <w:rsid w:val="00D23E2D"/>
    <w:rsid w:val="00D361FD"/>
    <w:rsid w:val="00D423A2"/>
    <w:rsid w:val="00D44E26"/>
    <w:rsid w:val="00D520D8"/>
    <w:rsid w:val="00D61EBF"/>
    <w:rsid w:val="00D63AC2"/>
    <w:rsid w:val="00D7383B"/>
    <w:rsid w:val="00D7788A"/>
    <w:rsid w:val="00DA231B"/>
    <w:rsid w:val="00DC39FC"/>
    <w:rsid w:val="00DD0D55"/>
    <w:rsid w:val="00DF5254"/>
    <w:rsid w:val="00E02524"/>
    <w:rsid w:val="00E16408"/>
    <w:rsid w:val="00E20894"/>
    <w:rsid w:val="00E245AB"/>
    <w:rsid w:val="00E2764C"/>
    <w:rsid w:val="00E27F2E"/>
    <w:rsid w:val="00E50AFE"/>
    <w:rsid w:val="00E75C92"/>
    <w:rsid w:val="00E771DC"/>
    <w:rsid w:val="00E77712"/>
    <w:rsid w:val="00E8772A"/>
    <w:rsid w:val="00E90F6B"/>
    <w:rsid w:val="00E92C27"/>
    <w:rsid w:val="00EA0E3D"/>
    <w:rsid w:val="00EC38A7"/>
    <w:rsid w:val="00EE1AA8"/>
    <w:rsid w:val="00EF3FE8"/>
    <w:rsid w:val="00F23FEA"/>
    <w:rsid w:val="00F31EDC"/>
    <w:rsid w:val="00F462B3"/>
    <w:rsid w:val="00F47E26"/>
    <w:rsid w:val="00F5664F"/>
    <w:rsid w:val="00F666C4"/>
    <w:rsid w:val="00F76AFC"/>
    <w:rsid w:val="00FA47C0"/>
    <w:rsid w:val="00FB5DD1"/>
    <w:rsid w:val="00FC2B5D"/>
    <w:rsid w:val="00FD156C"/>
    <w:rsid w:val="00FD580B"/>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6359F05-BEC2-1B48-9EDE-738B14E63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520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520D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santiagopeez@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10/cce-sec-gi-06_guia_de_creacion_de_proponentes_plurales_en_el_secop_ii_29-05-2024.pdf?_gl=1*un01d0*_ga*MTc5MzEwNzY5OC4xNzU1NjUyMTk1*_ga_FE1Z7272J6*czE3NTU2NTIxOTUkbzEkZzAkdDE3NTU2NTIxOTUkajYwJGwwJGgw"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5E695A8-75CA-4866-8CA2-D135E9F564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4756</Words>
  <Characters>26162</Characters>
  <Application>Microsoft Office Word</Application>
  <DocSecurity>0</DocSecurity>
  <Lines>218</Lines>
  <Paragraphs>61</Paragraphs>
  <ScaleCrop>false</ScaleCrop>
  <Company/>
  <LinksUpToDate>false</LinksUpToDate>
  <CharactersWithSpaces>30857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2026-03-04T00:01:00Z</dcterms:created>
  <dcterms:modified xsi:type="dcterms:W3CDTF">2026-03-04T23:43:00Z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