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7776E" w14:textId="77777777" w:rsidR="002171B7" w:rsidRPr="00F50E68" w:rsidRDefault="002171B7" w:rsidP="002171B7">
      <w:pPr>
        <w:spacing w:after="0" w:line="240" w:lineRule="auto"/>
        <w:jc w:val="both"/>
        <w:rPr>
          <w:rFonts w:ascii="Verdana" w:eastAsia="Century Gothic" w:hAnsi="Verdana" w:cs="Century Gothic"/>
          <w:b/>
          <w:bCs/>
          <w:lang w:val="es-ES" w:eastAsia="es-ES_tradnl"/>
        </w:rPr>
      </w:pPr>
      <w:bookmarkStart w:id="0" w:name="_Hlk143780582"/>
      <w:r w:rsidRPr="00F50E68">
        <w:rPr>
          <w:rFonts w:ascii="Verdana" w:eastAsia="Century Gothic" w:hAnsi="Verdana" w:cs="Century Gothic"/>
          <w:b/>
          <w:bCs/>
          <w:lang w:val="es-ES" w:eastAsia="es-ES"/>
        </w:rPr>
        <w:t xml:space="preserve">PLAN ANUAL DE ADQUISICIONES – Noción – Carácter estimativo </w:t>
      </w:r>
    </w:p>
    <w:p w14:paraId="75AD6856" w14:textId="77777777" w:rsidR="002171B7" w:rsidRPr="00F50E68" w:rsidRDefault="002171B7" w:rsidP="002171B7">
      <w:pPr>
        <w:spacing w:after="0" w:line="240" w:lineRule="auto"/>
        <w:jc w:val="both"/>
        <w:rPr>
          <w:rFonts w:ascii="Verdana" w:eastAsia="Century Gothic" w:hAnsi="Verdana" w:cs="Century Gothic"/>
          <w:sz w:val="20"/>
          <w:szCs w:val="20"/>
          <w:lang w:val="es-ES" w:eastAsia="es-ES_tradnl"/>
        </w:rPr>
      </w:pPr>
    </w:p>
    <w:p w14:paraId="18889FFC" w14:textId="77777777" w:rsidR="002171B7" w:rsidRPr="00F50E68" w:rsidRDefault="002171B7" w:rsidP="002171B7">
      <w:pPr>
        <w:spacing w:after="0" w:line="240" w:lineRule="auto"/>
        <w:jc w:val="both"/>
        <w:rPr>
          <w:rFonts w:ascii="Verdana" w:eastAsia="Century Gothic" w:hAnsi="Verdana" w:cs="Century Gothic"/>
          <w:sz w:val="20"/>
          <w:szCs w:val="20"/>
          <w:lang w:val="es-ES" w:eastAsia="es-ES_tradnl"/>
        </w:rPr>
      </w:pPr>
      <w:r w:rsidRPr="00F50E68">
        <w:rPr>
          <w:rFonts w:ascii="Verdana" w:eastAsia="Century Gothic" w:hAnsi="Verdana" w:cs="Century Gothic"/>
          <w:sz w:val="20"/>
          <w:szCs w:val="20"/>
          <w:lang w:val="es-ES" w:eastAsia="es-ES_tradnl"/>
        </w:rPr>
        <w:t xml:space="preserve">El Plan Anual de Adquisiciones, es un instrumento de planificación y orientación de la contratación de las Entidades Estatales,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De este modo, el Plan Anual de Adquisiciones, se considera un documento de carácter estimativo que tiene entre otras finalidades, la de “servir como referente inicial para evaluar la ejecución de presupuesto y pronosticar la demanda de bienes y servicios de la entidad durante el año referido del plan”. </w:t>
      </w:r>
    </w:p>
    <w:p w14:paraId="4C6E3A06" w14:textId="77777777" w:rsidR="002171B7" w:rsidRPr="00F50E68" w:rsidRDefault="002171B7" w:rsidP="002171B7">
      <w:pPr>
        <w:spacing w:after="0" w:line="240" w:lineRule="auto"/>
        <w:jc w:val="both"/>
        <w:rPr>
          <w:rFonts w:ascii="Verdana" w:eastAsia="Century Gothic" w:hAnsi="Verdana" w:cs="Century Gothic"/>
          <w:sz w:val="20"/>
          <w:szCs w:val="20"/>
          <w:lang w:val="es-ES" w:eastAsia="es-ES_tradnl"/>
        </w:rPr>
      </w:pPr>
    </w:p>
    <w:p w14:paraId="3BB4C9DA" w14:textId="77777777" w:rsidR="002171B7" w:rsidRPr="00F50E68" w:rsidRDefault="002171B7" w:rsidP="002171B7">
      <w:pPr>
        <w:spacing w:after="0" w:line="240" w:lineRule="auto"/>
        <w:jc w:val="both"/>
        <w:rPr>
          <w:rFonts w:ascii="Verdana" w:eastAsia="Century Gothic" w:hAnsi="Verdana" w:cs="Century Gothic"/>
          <w:b/>
          <w:bCs/>
          <w:lang w:val="es-ES" w:eastAsia="es-ES_tradnl"/>
        </w:rPr>
      </w:pPr>
      <w:r w:rsidRPr="00F50E68">
        <w:rPr>
          <w:rFonts w:ascii="Verdana" w:eastAsia="Century Gothic" w:hAnsi="Verdana" w:cs="Century Gothic"/>
          <w:b/>
          <w:bCs/>
          <w:lang w:val="es-ES" w:eastAsia="es-ES"/>
        </w:rPr>
        <w:t>PLAN ANUAL DE ADQUISICIONES – Obligatoriedad de elaboración – Sujetos obligados</w:t>
      </w:r>
    </w:p>
    <w:p w14:paraId="21B08996" w14:textId="77777777" w:rsidR="002171B7" w:rsidRPr="00F50E68" w:rsidRDefault="002171B7" w:rsidP="002171B7">
      <w:pPr>
        <w:spacing w:after="0" w:line="240" w:lineRule="auto"/>
        <w:jc w:val="both"/>
        <w:rPr>
          <w:rFonts w:ascii="Verdana" w:eastAsia="Century Gothic" w:hAnsi="Verdana" w:cs="Century Gothic"/>
          <w:sz w:val="20"/>
          <w:szCs w:val="20"/>
          <w:lang w:val="es-ES" w:eastAsia="es-ES_tradnl"/>
        </w:rPr>
      </w:pPr>
    </w:p>
    <w:p w14:paraId="0C9B0DB9" w14:textId="77777777" w:rsidR="002171B7" w:rsidRPr="00F50E68" w:rsidRDefault="002171B7" w:rsidP="002171B7">
      <w:pPr>
        <w:spacing w:after="0" w:line="240" w:lineRule="auto"/>
        <w:jc w:val="both"/>
        <w:rPr>
          <w:rFonts w:ascii="Verdana" w:eastAsia="Century Gothic" w:hAnsi="Verdana" w:cs="Century Gothic"/>
          <w:sz w:val="20"/>
          <w:szCs w:val="20"/>
          <w:lang w:val="es-ES" w:eastAsia="es-ES_tradnl"/>
        </w:rPr>
      </w:pPr>
      <w:r w:rsidRPr="00F50E68">
        <w:rPr>
          <w:rFonts w:ascii="Verdana" w:eastAsia="Century Gothic" w:hAnsi="Verdana" w:cs="Century Gothic"/>
          <w:sz w:val="20"/>
          <w:szCs w:val="20"/>
          <w:lang w:val="es-ES" w:eastAsia="es-ES_tradnl"/>
        </w:rPr>
        <w:t>De acuerdo con el artículo 2.2.1.1.1.3.1 del Decreto 1082 de 2015, el Plan Anual de Adquisiciones es el plan general de compras al que se refiere el artículo 74 de la Ley 1474 de 2011 y el plan de compras al que se refiere la Ley Anual de Presupuesto. Asimismo, el artículo 2.1.1.1.3.1 del Decreto 1082 de 2015 lo define como un instrumento de planeación contractual que las Entidades Estatales debe diligenciar, publicar y actualizar.</w:t>
      </w:r>
    </w:p>
    <w:p w14:paraId="336A1799" w14:textId="77777777" w:rsidR="002171B7" w:rsidRPr="00F50E68" w:rsidRDefault="002171B7" w:rsidP="002171B7">
      <w:pPr>
        <w:spacing w:after="0" w:line="240" w:lineRule="auto"/>
        <w:jc w:val="both"/>
        <w:rPr>
          <w:rFonts w:ascii="Verdana" w:eastAsia="Century Gothic" w:hAnsi="Verdana" w:cs="Century Gothic"/>
          <w:sz w:val="20"/>
          <w:szCs w:val="20"/>
          <w:lang w:val="es-ES" w:eastAsia="es-ES_tradnl"/>
        </w:rPr>
      </w:pPr>
    </w:p>
    <w:p w14:paraId="08181490" w14:textId="77777777" w:rsidR="002171B7" w:rsidRPr="00F50E68" w:rsidRDefault="002171B7" w:rsidP="002171B7">
      <w:pPr>
        <w:spacing w:after="0" w:line="240" w:lineRule="auto"/>
        <w:jc w:val="both"/>
        <w:rPr>
          <w:rFonts w:ascii="Verdana" w:eastAsia="Century Gothic" w:hAnsi="Verdana" w:cs="Century Gothic"/>
          <w:sz w:val="20"/>
          <w:szCs w:val="20"/>
          <w:lang w:val="es-ES" w:eastAsia="es-ES_tradnl"/>
        </w:rPr>
      </w:pPr>
      <w:r w:rsidRPr="00F50E68">
        <w:rPr>
          <w:rFonts w:ascii="Verdana" w:eastAsia="Century Gothic" w:hAnsi="Verdana" w:cs="Century Gothic"/>
          <w:sz w:val="20"/>
          <w:szCs w:val="20"/>
          <w:lang w:val="es-ES" w:eastAsia="es-ES_tradnl"/>
        </w:rPr>
        <w:t xml:space="preserve">[…] el artículo 74 de la Ley 1474 de 2011 dispone que “todas las entidades del Estado” deben publicar, a más tardar el 31 de enero de cada año, en su respectiva página web, el plan de acción, en el cual se incluye el plan general de compras. Como ya se indicó, el plan general de compras para el ordenamiento vigente corresponde con el concepto de Plan Anual de Adquisiciones como lo establece el artículo 2.2.1.1.1.3.1. del Decreto 1082 de 2015.  </w:t>
      </w:r>
    </w:p>
    <w:p w14:paraId="1ED992D5" w14:textId="77777777" w:rsidR="002171B7" w:rsidRPr="00F50E68" w:rsidRDefault="002171B7" w:rsidP="002171B7">
      <w:pPr>
        <w:spacing w:after="0"/>
        <w:contextualSpacing/>
        <w:jc w:val="both"/>
        <w:rPr>
          <w:rFonts w:ascii="Verdana" w:eastAsia="Calibri" w:hAnsi="Verdana" w:cs="Arial"/>
          <w:lang w:eastAsia="es-ES_tradnl"/>
        </w:rPr>
      </w:pPr>
    </w:p>
    <w:p w14:paraId="1BE2C9E7" w14:textId="77777777" w:rsidR="002171B7" w:rsidRPr="00F50E68" w:rsidRDefault="002171B7" w:rsidP="002171B7">
      <w:pPr>
        <w:contextualSpacing/>
        <w:jc w:val="both"/>
        <w:rPr>
          <w:rFonts w:ascii="Verdana" w:eastAsia="Calibri" w:hAnsi="Verdana" w:cs="Arial"/>
          <w:sz w:val="20"/>
          <w:szCs w:val="20"/>
          <w:lang w:eastAsia="es-ES_tradnl"/>
        </w:rPr>
      </w:pPr>
      <w:r w:rsidRPr="00F50E68">
        <w:rPr>
          <w:rFonts w:ascii="Verdana" w:eastAsia="Calibri" w:hAnsi="Verdana" w:cs="Arial"/>
          <w:sz w:val="20"/>
          <w:szCs w:val="20"/>
          <w:lang w:eastAsia="es-ES_tradnl"/>
        </w:rPr>
        <w:t>[…]el artículo 2.2.1.1.1.4.3 ibidem, el Plan Anual de Adquisiciones también debe publicarse en el SECOP. Se trata de una obligación que involucra a todas las Entidades del Estado sin importar la rama a la cual pertenecen, o si se trata de entidades descentralizadas territorialmente o por servicios; las empresas del Estado y las sociedades en las que el Estado tenga participación, sin que importe su monto.</w:t>
      </w:r>
    </w:p>
    <w:p w14:paraId="66685232" w14:textId="77777777" w:rsidR="002171B7" w:rsidRPr="00F50E68" w:rsidRDefault="002171B7" w:rsidP="002171B7">
      <w:pPr>
        <w:contextualSpacing/>
        <w:jc w:val="both"/>
        <w:rPr>
          <w:rFonts w:ascii="Verdana" w:eastAsia="Calibri" w:hAnsi="Verdana" w:cs="Arial"/>
          <w:lang w:eastAsia="es-ES_tradnl"/>
        </w:rPr>
      </w:pPr>
    </w:p>
    <w:p w14:paraId="4B26399B" w14:textId="77777777" w:rsidR="002171B7" w:rsidRPr="00F50E68" w:rsidRDefault="002171B7" w:rsidP="002171B7">
      <w:pPr>
        <w:spacing w:after="0" w:line="276" w:lineRule="auto"/>
        <w:jc w:val="both"/>
        <w:rPr>
          <w:rFonts w:ascii="Verdana" w:eastAsia="Century Gothic" w:hAnsi="Verdana" w:cs="Century Gothic"/>
          <w:b/>
          <w:bCs/>
        </w:rPr>
      </w:pPr>
      <w:r w:rsidRPr="00F50E68">
        <w:rPr>
          <w:rFonts w:ascii="Verdana" w:eastAsia="Century Gothic" w:hAnsi="Verdana" w:cs="Century Gothic"/>
          <w:b/>
          <w:bCs/>
        </w:rPr>
        <w:t xml:space="preserve">PLAN ANUAL DE ADQUISICIONES – Contenido </w:t>
      </w:r>
    </w:p>
    <w:p w14:paraId="147CC94D" w14:textId="77777777" w:rsidR="002171B7" w:rsidRPr="00F50E68" w:rsidRDefault="002171B7" w:rsidP="002171B7">
      <w:pPr>
        <w:spacing w:after="0" w:line="276" w:lineRule="auto"/>
        <w:jc w:val="both"/>
        <w:rPr>
          <w:rFonts w:ascii="Verdana" w:eastAsia="Century Gothic" w:hAnsi="Verdana" w:cs="Century Gothic"/>
          <w:b/>
          <w:bCs/>
        </w:rPr>
      </w:pPr>
    </w:p>
    <w:p w14:paraId="12434839" w14:textId="77777777" w:rsidR="002171B7" w:rsidRPr="00F50E68" w:rsidRDefault="002171B7" w:rsidP="002171B7">
      <w:pPr>
        <w:spacing w:after="0"/>
        <w:jc w:val="both"/>
        <w:rPr>
          <w:rFonts w:ascii="Verdana" w:eastAsia="Century Gothic" w:hAnsi="Verdana" w:cs="Century Gothic"/>
          <w:sz w:val="20"/>
          <w:szCs w:val="20"/>
          <w:lang w:val="es-ES"/>
        </w:rPr>
      </w:pPr>
      <w:r w:rsidRPr="00F50E68">
        <w:rPr>
          <w:rFonts w:ascii="Verdana" w:eastAsia="Century Gothic" w:hAnsi="Verdana" w:cs="Century Gothic"/>
          <w:sz w:val="20"/>
          <w:szCs w:val="20"/>
          <w:lang w:val="es-ES"/>
        </w:rPr>
        <w:t xml:space="preserve">El artículo 2.2.1.1.1.4.1. del Decreto 1082 de 2015 establece el deber de elaborar el plan anual de adquisiciones, que debe contener un listado de lo que la entidad adquirirá durante el año, para satisfacer sus necesidades de bienes, obras o servicios, y debe tener la información desagregada, principalmente en los siguientes aspectos: i) identificación con el clasificador de bienes y servicios, </w:t>
      </w:r>
      <w:proofErr w:type="spellStart"/>
      <w:r w:rsidRPr="00F50E68">
        <w:rPr>
          <w:rFonts w:ascii="Verdana" w:eastAsia="Century Gothic" w:hAnsi="Verdana" w:cs="Century Gothic"/>
          <w:sz w:val="20"/>
          <w:szCs w:val="20"/>
          <w:lang w:val="es-ES"/>
        </w:rPr>
        <w:t>ii</w:t>
      </w:r>
      <w:proofErr w:type="spellEnd"/>
      <w:r w:rsidRPr="00F50E68">
        <w:rPr>
          <w:rFonts w:ascii="Verdana" w:eastAsia="Century Gothic" w:hAnsi="Verdana" w:cs="Century Gothic"/>
          <w:sz w:val="20"/>
          <w:szCs w:val="20"/>
          <w:lang w:val="es-ES"/>
        </w:rPr>
        <w:t xml:space="preserve">) valor estimado del contrato, </w:t>
      </w:r>
      <w:proofErr w:type="spellStart"/>
      <w:r w:rsidRPr="00F50E68">
        <w:rPr>
          <w:rFonts w:ascii="Verdana" w:eastAsia="Century Gothic" w:hAnsi="Verdana" w:cs="Century Gothic"/>
          <w:sz w:val="20"/>
          <w:szCs w:val="20"/>
          <w:lang w:val="es-ES"/>
        </w:rPr>
        <w:t>iii</w:t>
      </w:r>
      <w:proofErr w:type="spellEnd"/>
      <w:r w:rsidRPr="00F50E68">
        <w:rPr>
          <w:rFonts w:ascii="Verdana" w:eastAsia="Century Gothic" w:hAnsi="Verdana" w:cs="Century Gothic"/>
          <w:sz w:val="20"/>
          <w:szCs w:val="20"/>
          <w:lang w:val="es-ES"/>
        </w:rPr>
        <w:t xml:space="preserve">) tipo de recursos, </w:t>
      </w:r>
      <w:proofErr w:type="spellStart"/>
      <w:r w:rsidRPr="00F50E68">
        <w:rPr>
          <w:rFonts w:ascii="Verdana" w:eastAsia="Century Gothic" w:hAnsi="Verdana" w:cs="Century Gothic"/>
          <w:sz w:val="20"/>
          <w:szCs w:val="20"/>
          <w:lang w:val="es-ES"/>
        </w:rPr>
        <w:t>iv</w:t>
      </w:r>
      <w:proofErr w:type="spellEnd"/>
      <w:r w:rsidRPr="00F50E68">
        <w:rPr>
          <w:rFonts w:ascii="Verdana" w:eastAsia="Century Gothic" w:hAnsi="Verdana" w:cs="Century Gothic"/>
          <w:sz w:val="20"/>
          <w:szCs w:val="20"/>
          <w:lang w:val="es-ES"/>
        </w:rPr>
        <w:t xml:space="preserve">) modalidad de selección y v) fecha de inicio del proceso contractual . Con relación a la configuración de dicho listado, en primer lugar, es necesario resaltar </w:t>
      </w:r>
      <w:r w:rsidRPr="00F50E68">
        <w:rPr>
          <w:rFonts w:ascii="Verdana" w:eastAsia="Century Gothic" w:hAnsi="Verdana" w:cs="Century Gothic"/>
          <w:sz w:val="20"/>
          <w:szCs w:val="20"/>
          <w:lang w:val="es-ES"/>
        </w:rPr>
        <w:lastRenderedPageBreak/>
        <w:t>que el objetivo del Plan Anual de Adquisiciones es indicar los bienes, obras y servicios que la entidad pretende adquirir, sin consideración a la forma en que estos se obtendrán,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w:t>
      </w:r>
    </w:p>
    <w:p w14:paraId="3A365D7E" w14:textId="77777777" w:rsidR="002171B7" w:rsidRPr="00F50E68" w:rsidRDefault="002171B7" w:rsidP="002171B7">
      <w:pPr>
        <w:spacing w:after="0" w:line="240" w:lineRule="auto"/>
        <w:rPr>
          <w:rFonts w:ascii="Verdana" w:eastAsia="Geomanist Light" w:hAnsi="Verdana" w:cs="Arial"/>
          <w:sz w:val="20"/>
          <w:szCs w:val="20"/>
          <w:lang w:val="es-MX"/>
        </w:rPr>
      </w:pPr>
    </w:p>
    <w:p w14:paraId="52AD79BF" w14:textId="77777777" w:rsidR="002171B7" w:rsidRPr="00F50E68" w:rsidRDefault="002171B7" w:rsidP="002171B7">
      <w:pPr>
        <w:spacing w:after="0" w:line="240" w:lineRule="auto"/>
        <w:rPr>
          <w:rFonts w:ascii="Verdana" w:eastAsia="Geomanist Light" w:hAnsi="Verdana" w:cs="Arial"/>
          <w:sz w:val="20"/>
          <w:szCs w:val="20"/>
          <w:lang w:val="es-MX"/>
        </w:rPr>
      </w:pPr>
    </w:p>
    <w:p w14:paraId="64247F75" w14:textId="77777777" w:rsidR="002171B7" w:rsidRPr="00F50E68" w:rsidRDefault="002171B7" w:rsidP="002171B7">
      <w:pPr>
        <w:spacing w:after="0" w:line="240" w:lineRule="auto"/>
        <w:rPr>
          <w:rFonts w:ascii="Verdana" w:eastAsia="Geomanist Light" w:hAnsi="Verdana" w:cs="Arial"/>
          <w:sz w:val="20"/>
          <w:szCs w:val="20"/>
          <w:lang w:val="es-MX"/>
        </w:rPr>
      </w:pPr>
    </w:p>
    <w:p w14:paraId="673A9AFF" w14:textId="77777777" w:rsidR="002171B7" w:rsidRPr="00F50E68" w:rsidRDefault="002171B7" w:rsidP="002171B7">
      <w:pPr>
        <w:spacing w:after="0" w:line="240" w:lineRule="auto"/>
        <w:rPr>
          <w:rFonts w:ascii="Verdana" w:eastAsia="Geomanist Light" w:hAnsi="Verdana" w:cs="Arial"/>
          <w:sz w:val="20"/>
          <w:szCs w:val="20"/>
          <w:lang w:val="es-MX"/>
        </w:rPr>
      </w:pPr>
    </w:p>
    <w:p w14:paraId="4E590D44" w14:textId="77777777" w:rsidR="002171B7" w:rsidRPr="00F50E68" w:rsidRDefault="002171B7" w:rsidP="002171B7">
      <w:pPr>
        <w:spacing w:after="0" w:line="240" w:lineRule="auto"/>
        <w:rPr>
          <w:rFonts w:ascii="Verdana" w:eastAsia="Geomanist Light" w:hAnsi="Verdana" w:cs="Arial"/>
          <w:sz w:val="20"/>
          <w:szCs w:val="20"/>
          <w:lang w:val="es-MX"/>
        </w:rPr>
      </w:pPr>
    </w:p>
    <w:p w14:paraId="495EC15E" w14:textId="77777777" w:rsidR="002171B7" w:rsidRPr="00F50E68" w:rsidRDefault="002171B7" w:rsidP="002171B7">
      <w:pPr>
        <w:spacing w:after="0" w:line="240" w:lineRule="auto"/>
        <w:rPr>
          <w:rFonts w:ascii="Verdana" w:eastAsia="Geomanist Light" w:hAnsi="Verdana" w:cs="Arial"/>
          <w:sz w:val="20"/>
          <w:szCs w:val="20"/>
          <w:lang w:val="es-MX"/>
        </w:rPr>
      </w:pPr>
    </w:p>
    <w:p w14:paraId="532D20EB" w14:textId="77777777" w:rsidR="002171B7" w:rsidRPr="00F50E68" w:rsidRDefault="002171B7" w:rsidP="002171B7">
      <w:pPr>
        <w:spacing w:after="0" w:line="240" w:lineRule="auto"/>
        <w:rPr>
          <w:rFonts w:ascii="Verdana" w:eastAsia="Geomanist Light" w:hAnsi="Verdana" w:cs="Arial"/>
          <w:sz w:val="20"/>
          <w:szCs w:val="20"/>
          <w:lang w:val="es-MX"/>
        </w:rPr>
      </w:pPr>
    </w:p>
    <w:p w14:paraId="0554B52F" w14:textId="77777777" w:rsidR="002171B7" w:rsidRPr="00F50E68" w:rsidRDefault="002171B7" w:rsidP="002171B7">
      <w:pPr>
        <w:spacing w:after="0" w:line="240" w:lineRule="auto"/>
        <w:rPr>
          <w:rFonts w:ascii="Verdana" w:eastAsia="Geomanist Light" w:hAnsi="Verdana" w:cs="Arial"/>
          <w:sz w:val="20"/>
          <w:szCs w:val="20"/>
          <w:lang w:val="es-MX"/>
        </w:rPr>
      </w:pPr>
    </w:p>
    <w:p w14:paraId="1DB78F70" w14:textId="77777777" w:rsidR="002171B7" w:rsidRPr="00F50E68" w:rsidRDefault="002171B7" w:rsidP="002171B7">
      <w:pPr>
        <w:spacing w:after="0" w:line="240" w:lineRule="auto"/>
        <w:rPr>
          <w:rFonts w:ascii="Verdana" w:eastAsia="Geomanist Light" w:hAnsi="Verdana" w:cs="Arial"/>
          <w:sz w:val="20"/>
          <w:szCs w:val="20"/>
          <w:lang w:val="es-MX"/>
        </w:rPr>
      </w:pPr>
    </w:p>
    <w:p w14:paraId="26067A7B" w14:textId="77777777" w:rsidR="002171B7" w:rsidRPr="00F50E68" w:rsidRDefault="002171B7" w:rsidP="002171B7">
      <w:pPr>
        <w:spacing w:after="0" w:line="240" w:lineRule="auto"/>
        <w:rPr>
          <w:rFonts w:ascii="Verdana" w:eastAsia="Geomanist Light" w:hAnsi="Verdana" w:cs="Arial"/>
          <w:sz w:val="20"/>
          <w:szCs w:val="20"/>
          <w:lang w:val="es-MX"/>
        </w:rPr>
      </w:pPr>
    </w:p>
    <w:p w14:paraId="61957C66" w14:textId="77777777" w:rsidR="002171B7" w:rsidRPr="00F50E68" w:rsidRDefault="002171B7" w:rsidP="002171B7">
      <w:pPr>
        <w:spacing w:after="0" w:line="240" w:lineRule="auto"/>
        <w:rPr>
          <w:rFonts w:ascii="Verdana" w:eastAsia="Geomanist Light" w:hAnsi="Verdana" w:cs="Arial"/>
          <w:sz w:val="20"/>
          <w:szCs w:val="20"/>
          <w:lang w:val="es-MX"/>
        </w:rPr>
      </w:pPr>
    </w:p>
    <w:p w14:paraId="3ED24C57" w14:textId="77777777" w:rsidR="002171B7" w:rsidRPr="00F50E68" w:rsidRDefault="002171B7" w:rsidP="002171B7">
      <w:pPr>
        <w:spacing w:after="0" w:line="240" w:lineRule="auto"/>
        <w:rPr>
          <w:rFonts w:ascii="Verdana" w:eastAsia="Geomanist Light" w:hAnsi="Verdana" w:cs="Arial"/>
          <w:sz w:val="20"/>
          <w:szCs w:val="20"/>
          <w:lang w:val="es-MX"/>
        </w:rPr>
      </w:pPr>
    </w:p>
    <w:p w14:paraId="24C7860A" w14:textId="77777777" w:rsidR="002171B7" w:rsidRPr="00F50E68" w:rsidRDefault="002171B7" w:rsidP="002171B7">
      <w:pPr>
        <w:spacing w:after="0" w:line="240" w:lineRule="auto"/>
        <w:rPr>
          <w:rFonts w:ascii="Verdana" w:eastAsia="Geomanist Light" w:hAnsi="Verdana" w:cs="Arial"/>
          <w:sz w:val="20"/>
          <w:szCs w:val="20"/>
          <w:lang w:val="es-MX"/>
        </w:rPr>
      </w:pPr>
    </w:p>
    <w:p w14:paraId="156DFEB5" w14:textId="77777777" w:rsidR="002171B7" w:rsidRPr="00F50E68" w:rsidRDefault="002171B7" w:rsidP="002171B7">
      <w:pPr>
        <w:spacing w:after="0" w:line="240" w:lineRule="auto"/>
        <w:rPr>
          <w:rFonts w:ascii="Verdana" w:eastAsia="Geomanist Light" w:hAnsi="Verdana" w:cs="Arial"/>
          <w:sz w:val="20"/>
          <w:szCs w:val="20"/>
          <w:lang w:val="es-MX"/>
        </w:rPr>
      </w:pPr>
    </w:p>
    <w:p w14:paraId="37D12DC3" w14:textId="77777777" w:rsidR="002171B7" w:rsidRPr="00F50E68" w:rsidRDefault="002171B7" w:rsidP="002171B7">
      <w:pPr>
        <w:spacing w:after="0" w:line="240" w:lineRule="auto"/>
        <w:rPr>
          <w:rFonts w:ascii="Verdana" w:eastAsia="Geomanist Light" w:hAnsi="Verdana" w:cs="Arial"/>
          <w:sz w:val="20"/>
          <w:szCs w:val="20"/>
          <w:lang w:val="es-MX"/>
        </w:rPr>
      </w:pPr>
    </w:p>
    <w:p w14:paraId="6ED55AAB" w14:textId="77777777" w:rsidR="002171B7" w:rsidRPr="00F50E68" w:rsidRDefault="002171B7" w:rsidP="002171B7">
      <w:pPr>
        <w:spacing w:after="0" w:line="240" w:lineRule="auto"/>
        <w:rPr>
          <w:rFonts w:ascii="Verdana" w:eastAsia="Geomanist Light" w:hAnsi="Verdana" w:cs="Arial"/>
          <w:sz w:val="20"/>
          <w:szCs w:val="20"/>
          <w:lang w:val="es-MX"/>
        </w:rPr>
      </w:pPr>
    </w:p>
    <w:p w14:paraId="0A04413E" w14:textId="77777777" w:rsidR="002171B7" w:rsidRPr="00F50E68" w:rsidRDefault="002171B7" w:rsidP="002171B7">
      <w:pPr>
        <w:spacing w:after="0" w:line="240" w:lineRule="auto"/>
        <w:rPr>
          <w:rFonts w:ascii="Verdana" w:eastAsia="Geomanist Light" w:hAnsi="Verdana" w:cs="Arial"/>
          <w:sz w:val="20"/>
          <w:szCs w:val="20"/>
          <w:lang w:val="es-MX"/>
        </w:rPr>
      </w:pPr>
    </w:p>
    <w:p w14:paraId="6047A962" w14:textId="77777777" w:rsidR="002171B7" w:rsidRPr="00F50E68" w:rsidRDefault="002171B7" w:rsidP="002171B7">
      <w:pPr>
        <w:spacing w:after="0" w:line="240" w:lineRule="auto"/>
        <w:rPr>
          <w:rFonts w:ascii="Verdana" w:eastAsia="Geomanist Light" w:hAnsi="Verdana" w:cs="Arial"/>
          <w:sz w:val="20"/>
          <w:szCs w:val="20"/>
          <w:lang w:val="es-MX"/>
        </w:rPr>
      </w:pPr>
    </w:p>
    <w:p w14:paraId="383A07D8" w14:textId="77777777" w:rsidR="002171B7" w:rsidRPr="00F50E68" w:rsidRDefault="002171B7" w:rsidP="002171B7">
      <w:pPr>
        <w:spacing w:after="0" w:line="240" w:lineRule="auto"/>
        <w:rPr>
          <w:rFonts w:ascii="Verdana" w:eastAsia="Geomanist Light" w:hAnsi="Verdana" w:cs="Arial"/>
          <w:sz w:val="20"/>
          <w:szCs w:val="20"/>
          <w:lang w:val="es-MX"/>
        </w:rPr>
      </w:pPr>
    </w:p>
    <w:p w14:paraId="254BAAE2" w14:textId="77777777" w:rsidR="002171B7" w:rsidRPr="00F50E68" w:rsidRDefault="002171B7" w:rsidP="002171B7">
      <w:pPr>
        <w:spacing w:after="0" w:line="240" w:lineRule="auto"/>
        <w:rPr>
          <w:rFonts w:ascii="Verdana" w:eastAsia="Geomanist Light" w:hAnsi="Verdana" w:cs="Arial"/>
          <w:sz w:val="20"/>
          <w:szCs w:val="20"/>
          <w:lang w:val="es-MX"/>
        </w:rPr>
      </w:pPr>
    </w:p>
    <w:p w14:paraId="62E76988" w14:textId="77777777" w:rsidR="002171B7" w:rsidRPr="00F50E68" w:rsidRDefault="002171B7" w:rsidP="002171B7">
      <w:pPr>
        <w:spacing w:after="0" w:line="240" w:lineRule="auto"/>
        <w:rPr>
          <w:rFonts w:ascii="Verdana" w:eastAsia="Geomanist Light" w:hAnsi="Verdana" w:cs="Arial"/>
          <w:sz w:val="20"/>
          <w:szCs w:val="20"/>
          <w:lang w:val="es-MX"/>
        </w:rPr>
      </w:pPr>
    </w:p>
    <w:p w14:paraId="62C8608B" w14:textId="77777777" w:rsidR="002171B7" w:rsidRPr="00F50E68" w:rsidRDefault="002171B7" w:rsidP="002171B7">
      <w:pPr>
        <w:spacing w:after="0" w:line="240" w:lineRule="auto"/>
        <w:rPr>
          <w:rFonts w:ascii="Verdana" w:eastAsia="Geomanist Light" w:hAnsi="Verdana" w:cs="Arial"/>
          <w:sz w:val="20"/>
          <w:szCs w:val="20"/>
          <w:lang w:val="es-MX"/>
        </w:rPr>
      </w:pPr>
    </w:p>
    <w:p w14:paraId="3C2CA20B" w14:textId="77777777" w:rsidR="002171B7" w:rsidRPr="00F50E68" w:rsidRDefault="002171B7" w:rsidP="002171B7">
      <w:pPr>
        <w:spacing w:after="0" w:line="240" w:lineRule="auto"/>
        <w:rPr>
          <w:rFonts w:ascii="Verdana" w:eastAsia="Geomanist Light" w:hAnsi="Verdana" w:cs="Arial"/>
          <w:sz w:val="20"/>
          <w:szCs w:val="20"/>
          <w:lang w:val="es-MX"/>
        </w:rPr>
      </w:pPr>
    </w:p>
    <w:p w14:paraId="175148E7" w14:textId="77777777" w:rsidR="002171B7" w:rsidRPr="00F50E68" w:rsidRDefault="002171B7" w:rsidP="002171B7">
      <w:pPr>
        <w:spacing w:after="0" w:line="240" w:lineRule="auto"/>
        <w:rPr>
          <w:rFonts w:ascii="Verdana" w:eastAsia="Geomanist Light" w:hAnsi="Verdana" w:cs="Arial"/>
          <w:sz w:val="20"/>
          <w:szCs w:val="20"/>
          <w:lang w:val="es-MX"/>
        </w:rPr>
      </w:pPr>
    </w:p>
    <w:p w14:paraId="246695A5" w14:textId="77777777" w:rsidR="002171B7" w:rsidRPr="00F50E68" w:rsidRDefault="002171B7" w:rsidP="002171B7">
      <w:pPr>
        <w:spacing w:after="0" w:line="240" w:lineRule="auto"/>
        <w:rPr>
          <w:rFonts w:ascii="Verdana" w:eastAsia="Geomanist Light" w:hAnsi="Verdana" w:cs="Arial"/>
          <w:sz w:val="20"/>
          <w:szCs w:val="20"/>
          <w:lang w:val="es-MX"/>
        </w:rPr>
      </w:pPr>
    </w:p>
    <w:p w14:paraId="0E87989C" w14:textId="77777777" w:rsidR="002171B7" w:rsidRPr="00F50E68" w:rsidRDefault="002171B7" w:rsidP="002171B7">
      <w:pPr>
        <w:spacing w:after="0" w:line="240" w:lineRule="auto"/>
        <w:rPr>
          <w:rFonts w:ascii="Verdana" w:eastAsia="Geomanist Light" w:hAnsi="Verdana" w:cs="Arial"/>
          <w:sz w:val="20"/>
          <w:szCs w:val="20"/>
          <w:lang w:val="es-MX"/>
        </w:rPr>
      </w:pPr>
    </w:p>
    <w:p w14:paraId="02F65EF5" w14:textId="77777777" w:rsidR="002171B7" w:rsidRPr="00F50E68" w:rsidRDefault="002171B7" w:rsidP="002171B7">
      <w:pPr>
        <w:spacing w:after="0" w:line="240" w:lineRule="auto"/>
        <w:rPr>
          <w:rFonts w:ascii="Verdana" w:eastAsia="Geomanist Light" w:hAnsi="Verdana" w:cs="Arial"/>
          <w:sz w:val="20"/>
          <w:szCs w:val="20"/>
          <w:lang w:val="es-MX"/>
        </w:rPr>
      </w:pPr>
    </w:p>
    <w:p w14:paraId="40A59F04" w14:textId="77777777" w:rsidR="002171B7" w:rsidRPr="00F50E68" w:rsidRDefault="002171B7" w:rsidP="002171B7">
      <w:pPr>
        <w:spacing w:after="0" w:line="240" w:lineRule="auto"/>
        <w:rPr>
          <w:rFonts w:ascii="Verdana" w:eastAsia="Geomanist Light" w:hAnsi="Verdana" w:cs="Arial"/>
          <w:sz w:val="20"/>
          <w:szCs w:val="20"/>
          <w:lang w:val="es-MX"/>
        </w:rPr>
      </w:pPr>
    </w:p>
    <w:p w14:paraId="2CD23745" w14:textId="77777777" w:rsidR="002171B7" w:rsidRPr="00F50E68" w:rsidRDefault="002171B7" w:rsidP="002171B7">
      <w:pPr>
        <w:spacing w:after="0" w:line="240" w:lineRule="auto"/>
        <w:rPr>
          <w:rFonts w:ascii="Verdana" w:eastAsia="Geomanist Light" w:hAnsi="Verdana" w:cs="Arial"/>
          <w:sz w:val="20"/>
          <w:szCs w:val="20"/>
          <w:lang w:val="es-MX"/>
        </w:rPr>
      </w:pPr>
    </w:p>
    <w:p w14:paraId="179F223E" w14:textId="77777777" w:rsidR="002171B7" w:rsidRPr="00F50E68" w:rsidRDefault="002171B7" w:rsidP="002171B7">
      <w:pPr>
        <w:spacing w:after="0" w:line="240" w:lineRule="auto"/>
        <w:rPr>
          <w:rFonts w:ascii="Verdana" w:eastAsia="Geomanist Light" w:hAnsi="Verdana" w:cs="Arial"/>
          <w:sz w:val="20"/>
          <w:szCs w:val="20"/>
          <w:lang w:val="es-MX"/>
        </w:rPr>
      </w:pPr>
    </w:p>
    <w:p w14:paraId="4EF165A3" w14:textId="77777777" w:rsidR="002171B7" w:rsidRPr="00F50E68" w:rsidRDefault="002171B7" w:rsidP="002171B7">
      <w:pPr>
        <w:spacing w:after="0" w:line="240" w:lineRule="auto"/>
        <w:rPr>
          <w:rFonts w:ascii="Verdana" w:eastAsia="Geomanist Light" w:hAnsi="Verdana" w:cs="Arial"/>
          <w:sz w:val="20"/>
          <w:szCs w:val="20"/>
          <w:lang w:val="es-MX"/>
        </w:rPr>
      </w:pPr>
    </w:p>
    <w:p w14:paraId="1DD4F223" w14:textId="77777777" w:rsidR="002171B7" w:rsidRPr="00F50E68" w:rsidRDefault="002171B7" w:rsidP="002171B7">
      <w:pPr>
        <w:spacing w:after="0" w:line="240" w:lineRule="auto"/>
        <w:rPr>
          <w:rFonts w:ascii="Verdana" w:eastAsia="Geomanist Light" w:hAnsi="Verdana" w:cs="Arial"/>
          <w:sz w:val="20"/>
          <w:szCs w:val="20"/>
          <w:lang w:val="es-MX"/>
        </w:rPr>
      </w:pPr>
    </w:p>
    <w:p w14:paraId="0D59ECFA" w14:textId="77777777" w:rsidR="002171B7" w:rsidRPr="00F50E68" w:rsidRDefault="002171B7" w:rsidP="002171B7">
      <w:pPr>
        <w:spacing w:after="0" w:line="240" w:lineRule="auto"/>
        <w:rPr>
          <w:rFonts w:ascii="Verdana" w:eastAsia="Geomanist Light" w:hAnsi="Verdana" w:cs="Arial"/>
          <w:sz w:val="20"/>
          <w:szCs w:val="20"/>
          <w:lang w:val="es-MX"/>
        </w:rPr>
      </w:pPr>
    </w:p>
    <w:p w14:paraId="4DE4F881" w14:textId="77777777" w:rsidR="002171B7" w:rsidRPr="00F50E68" w:rsidRDefault="002171B7" w:rsidP="002171B7">
      <w:pPr>
        <w:spacing w:after="0" w:line="240" w:lineRule="auto"/>
        <w:rPr>
          <w:rFonts w:ascii="Verdana" w:eastAsia="Geomanist Light" w:hAnsi="Verdana" w:cs="Arial"/>
          <w:sz w:val="20"/>
          <w:szCs w:val="20"/>
          <w:lang w:val="es-MX"/>
        </w:rPr>
      </w:pPr>
    </w:p>
    <w:p w14:paraId="641E43DA" w14:textId="77777777" w:rsidR="002171B7" w:rsidRPr="00F50E68" w:rsidRDefault="002171B7" w:rsidP="002171B7">
      <w:pPr>
        <w:spacing w:after="0" w:line="240" w:lineRule="auto"/>
        <w:rPr>
          <w:rFonts w:ascii="Verdana" w:eastAsia="Geomanist Light" w:hAnsi="Verdana" w:cs="Arial"/>
          <w:sz w:val="20"/>
          <w:szCs w:val="20"/>
          <w:lang w:val="es-MX"/>
        </w:rPr>
      </w:pPr>
    </w:p>
    <w:p w14:paraId="781DFDF9" w14:textId="77777777" w:rsidR="002171B7" w:rsidRPr="00F50E68" w:rsidRDefault="002171B7" w:rsidP="002171B7">
      <w:pPr>
        <w:spacing w:after="0" w:line="240" w:lineRule="auto"/>
        <w:rPr>
          <w:rFonts w:ascii="Verdana" w:eastAsia="Geomanist Light" w:hAnsi="Verdana" w:cs="Arial"/>
          <w:sz w:val="20"/>
          <w:szCs w:val="20"/>
          <w:lang w:val="es-MX"/>
        </w:rPr>
      </w:pPr>
    </w:p>
    <w:p w14:paraId="31A53C5C" w14:textId="77777777" w:rsidR="002171B7" w:rsidRPr="00F50E68" w:rsidRDefault="002171B7" w:rsidP="002171B7">
      <w:pPr>
        <w:spacing w:after="0" w:line="240" w:lineRule="auto"/>
        <w:rPr>
          <w:rFonts w:ascii="Verdana" w:eastAsia="Geomanist Light" w:hAnsi="Verdana" w:cs="Arial"/>
          <w:sz w:val="20"/>
          <w:szCs w:val="20"/>
          <w:lang w:val="es-MX"/>
        </w:rPr>
      </w:pPr>
    </w:p>
    <w:p w14:paraId="2B09557D" w14:textId="77777777" w:rsidR="002171B7" w:rsidRPr="00F50E68" w:rsidRDefault="002171B7" w:rsidP="002171B7">
      <w:pPr>
        <w:spacing w:after="0" w:line="240" w:lineRule="auto"/>
        <w:rPr>
          <w:rFonts w:ascii="Verdana" w:eastAsia="Geomanist Light" w:hAnsi="Verdana" w:cs="Arial"/>
          <w:sz w:val="20"/>
          <w:szCs w:val="20"/>
          <w:lang w:val="es-MX"/>
        </w:rPr>
      </w:pPr>
    </w:p>
    <w:p w14:paraId="20215B81" w14:textId="77777777" w:rsidR="002171B7" w:rsidRPr="00F50E68" w:rsidRDefault="002171B7" w:rsidP="002171B7">
      <w:pPr>
        <w:spacing w:after="0" w:line="240" w:lineRule="auto"/>
        <w:rPr>
          <w:rFonts w:ascii="Verdana" w:eastAsia="Geomanist Light" w:hAnsi="Verdana" w:cs="Arial"/>
          <w:sz w:val="20"/>
          <w:szCs w:val="20"/>
          <w:lang w:val="es-MX"/>
        </w:rPr>
      </w:pPr>
    </w:p>
    <w:p w14:paraId="38C4E731" w14:textId="6FAA87E1" w:rsidR="002171B7" w:rsidRPr="00F50E68" w:rsidRDefault="002171B7" w:rsidP="002171B7">
      <w:pPr>
        <w:spacing w:after="0" w:line="240" w:lineRule="auto"/>
        <w:rPr>
          <w:rFonts w:ascii="Verdana" w:eastAsia="Geomanist Light" w:hAnsi="Verdana" w:cs="Arial"/>
          <w:lang w:val="es-MX"/>
        </w:rPr>
      </w:pPr>
      <w:r w:rsidRPr="00F50E68">
        <w:rPr>
          <w:rFonts w:ascii="Verdana" w:eastAsia="Geomanist Light" w:hAnsi="Verdana" w:cs="Arial"/>
          <w:lang w:val="es-MX"/>
        </w:rPr>
        <w:lastRenderedPageBreak/>
        <w:t>Bogotá D.C., </w:t>
      </w:r>
      <w:r w:rsidR="000417AF">
        <w:rPr>
          <w:rFonts w:ascii="Verdana" w:eastAsia="Geomanist Light" w:hAnsi="Verdana" w:cs="Arial"/>
          <w:lang w:val="es-MX"/>
        </w:rPr>
        <w:t>27 de marzo de 2026</w:t>
      </w:r>
    </w:p>
    <w:p w14:paraId="74E61512" w14:textId="77777777" w:rsidR="002171B7" w:rsidRPr="00F50E68" w:rsidRDefault="002171B7" w:rsidP="002171B7">
      <w:pPr>
        <w:spacing w:after="0" w:line="240" w:lineRule="auto"/>
        <w:jc w:val="both"/>
        <w:rPr>
          <w:rFonts w:ascii="Verdana" w:eastAsia="Calibri" w:hAnsi="Verdana" w:cs="Arial"/>
          <w:lang w:val="es-ES"/>
        </w:rPr>
      </w:pPr>
    </w:p>
    <w:p w14:paraId="39C33E50" w14:textId="23CC2669" w:rsidR="002171B7" w:rsidRPr="00F50E68" w:rsidRDefault="00FE38A0" w:rsidP="002171B7">
      <w:pPr>
        <w:spacing w:after="0" w:line="240" w:lineRule="auto"/>
        <w:jc w:val="right"/>
        <w:rPr>
          <w:rFonts w:ascii="Verdana" w:eastAsia="Calibri" w:hAnsi="Verdana" w:cs="Arial"/>
          <w:lang w:val="es-ES"/>
        </w:rPr>
      </w:pPr>
      <w:r w:rsidRPr="00FE38A0">
        <w:rPr>
          <w:rFonts w:ascii="Verdana" w:eastAsia="Calibri" w:hAnsi="Verdana" w:cs="Arial"/>
          <w:lang w:val="es-ES"/>
        </w:rPr>
        <w:drawing>
          <wp:inline distT="0" distB="0" distL="0" distR="0" wp14:anchorId="69EA560B" wp14:editId="5DF3E446">
            <wp:extent cx="1724266" cy="476316"/>
            <wp:effectExtent l="0" t="0" r="9525" b="0"/>
            <wp:docPr id="13494358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435818" name=""/>
                    <pic:cNvPicPr/>
                  </pic:nvPicPr>
                  <pic:blipFill>
                    <a:blip r:embed="rId10"/>
                    <a:stretch>
                      <a:fillRect/>
                    </a:stretch>
                  </pic:blipFill>
                  <pic:spPr>
                    <a:xfrm>
                      <a:off x="0" y="0"/>
                      <a:ext cx="1724266" cy="476316"/>
                    </a:xfrm>
                    <a:prstGeom prst="rect">
                      <a:avLst/>
                    </a:prstGeom>
                  </pic:spPr>
                </pic:pic>
              </a:graphicData>
            </a:graphic>
          </wp:inline>
        </w:drawing>
      </w:r>
    </w:p>
    <w:p w14:paraId="123A56C3" w14:textId="77777777" w:rsidR="002171B7" w:rsidRPr="00F50E68" w:rsidRDefault="002171B7" w:rsidP="002171B7">
      <w:pPr>
        <w:spacing w:after="0" w:line="240" w:lineRule="auto"/>
        <w:jc w:val="both"/>
        <w:rPr>
          <w:rFonts w:ascii="Verdana" w:eastAsia="Calibri" w:hAnsi="Verdana" w:cs="Arial"/>
          <w:lang w:val="es-ES"/>
        </w:rPr>
      </w:pPr>
    </w:p>
    <w:p w14:paraId="631F2631" w14:textId="77777777" w:rsidR="002171B7" w:rsidRPr="00F50E68" w:rsidRDefault="002171B7" w:rsidP="002171B7">
      <w:pPr>
        <w:spacing w:after="0" w:line="240" w:lineRule="auto"/>
        <w:jc w:val="both"/>
        <w:rPr>
          <w:rFonts w:ascii="Verdana" w:eastAsia="Calibri" w:hAnsi="Verdana" w:cs="Arial"/>
          <w:lang w:val="es-ES" w:eastAsia="es-ES"/>
        </w:rPr>
      </w:pPr>
      <w:r w:rsidRPr="00F50E68">
        <w:rPr>
          <w:rFonts w:ascii="Verdana" w:eastAsia="Calibri" w:hAnsi="Verdana" w:cs="Arial"/>
          <w:lang w:val="es-ES" w:eastAsia="es-ES"/>
        </w:rPr>
        <w:t>Señora</w:t>
      </w:r>
    </w:p>
    <w:p w14:paraId="3D091E36" w14:textId="77777777" w:rsidR="002171B7" w:rsidRPr="00F50E68" w:rsidRDefault="002171B7" w:rsidP="002171B7">
      <w:pPr>
        <w:spacing w:after="0" w:line="240" w:lineRule="auto"/>
        <w:rPr>
          <w:rFonts w:ascii="Verdana" w:eastAsia="Calibri" w:hAnsi="Verdana" w:cs="Arial"/>
          <w:b/>
          <w:lang w:val="es-ES_tradnl" w:eastAsia="es-ES_tradnl"/>
        </w:rPr>
      </w:pPr>
      <w:r w:rsidRPr="00F50E68">
        <w:rPr>
          <w:rFonts w:ascii="Verdana" w:eastAsia="Calibri" w:hAnsi="Verdana" w:cs="Arial"/>
          <w:b/>
          <w:lang w:val="es-ES_tradnl" w:eastAsia="es-ES_tradnl"/>
        </w:rPr>
        <w:t>Sofia Galindo</w:t>
      </w:r>
    </w:p>
    <w:p w14:paraId="21D8D37D" w14:textId="77777777" w:rsidR="002171B7" w:rsidRPr="00783D66" w:rsidRDefault="002171B7" w:rsidP="002171B7">
      <w:pPr>
        <w:spacing w:after="0" w:line="240" w:lineRule="auto"/>
        <w:rPr>
          <w:rFonts w:ascii="Verdana" w:eastAsia="Calibri" w:hAnsi="Verdana" w:cs="Arial"/>
          <w:bCs/>
          <w:lang w:val="es-ES_tradnl" w:eastAsia="es-ES_tradnl"/>
        </w:rPr>
      </w:pPr>
      <w:hyperlink r:id="rId11" w:history="1">
        <w:r w:rsidRPr="00783D66">
          <w:rPr>
            <w:rStyle w:val="Hipervnculo"/>
            <w:rFonts w:ascii="Verdana" w:eastAsia="Calibri" w:hAnsi="Verdana" w:cs="Arial"/>
            <w:bCs/>
            <w:lang w:val="es-ES_tradnl" w:eastAsia="es-ES_tradnl"/>
          </w:rPr>
          <w:t>sofiagalindo2003@hotmail.com</w:t>
        </w:r>
      </w:hyperlink>
      <w:r w:rsidRPr="00783D66">
        <w:rPr>
          <w:rFonts w:ascii="Verdana" w:eastAsia="Calibri" w:hAnsi="Verdana" w:cs="Arial"/>
          <w:bCs/>
          <w:lang w:val="es-ES_tradnl" w:eastAsia="es-ES_tradnl"/>
        </w:rPr>
        <w:t xml:space="preserve"> </w:t>
      </w:r>
    </w:p>
    <w:p w14:paraId="16361C08" w14:textId="77777777" w:rsidR="002171B7" w:rsidRPr="00F50E68" w:rsidRDefault="002171B7" w:rsidP="002171B7">
      <w:pPr>
        <w:spacing w:after="0" w:line="240" w:lineRule="auto"/>
        <w:rPr>
          <w:rFonts w:ascii="Verdana" w:eastAsia="Calibri" w:hAnsi="Verdana" w:cs="Arial"/>
          <w:b/>
          <w:bCs/>
          <w:lang w:val="es-ES" w:eastAsia="es-ES"/>
        </w:rPr>
      </w:pPr>
      <w:r w:rsidRPr="00F50E68">
        <w:rPr>
          <w:rFonts w:ascii="Verdana" w:eastAsia="Calibri" w:hAnsi="Verdana" w:cs="Arial"/>
          <w:lang w:val="es-ES" w:eastAsia="es-ES"/>
        </w:rPr>
        <w:t>Ciudad</w:t>
      </w:r>
    </w:p>
    <w:p w14:paraId="34DE2C88" w14:textId="77777777" w:rsidR="002171B7" w:rsidRPr="00F50E68" w:rsidRDefault="002171B7" w:rsidP="002171B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171B7" w:rsidRPr="00F50E68" w14:paraId="1AAF7E48" w14:textId="77777777" w:rsidTr="00EE3DD5">
        <w:trPr>
          <w:trHeight w:val="884"/>
        </w:trPr>
        <w:tc>
          <w:tcPr>
            <w:tcW w:w="2689" w:type="dxa"/>
          </w:tcPr>
          <w:p w14:paraId="4A5F3E23" w14:textId="77777777" w:rsidR="002171B7" w:rsidRPr="00F50E68" w:rsidRDefault="002171B7" w:rsidP="00EE3DD5">
            <w:pPr>
              <w:jc w:val="both"/>
              <w:rPr>
                <w:rFonts w:ascii="Verdana" w:eastAsia="Calibri" w:hAnsi="Verdana" w:cs="Arial"/>
                <w:b/>
                <w:bCs/>
                <w:lang w:val="es-ES_tradnl" w:eastAsia="es-ES_tradnl"/>
              </w:rPr>
            </w:pPr>
          </w:p>
        </w:tc>
        <w:tc>
          <w:tcPr>
            <w:tcW w:w="6100" w:type="dxa"/>
          </w:tcPr>
          <w:p w14:paraId="42DFB1A9" w14:textId="7C764C4C" w:rsidR="002171B7" w:rsidRPr="00F50E68" w:rsidRDefault="002171B7" w:rsidP="00EE3DD5">
            <w:pPr>
              <w:jc w:val="both"/>
              <w:rPr>
                <w:rFonts w:ascii="Verdana" w:eastAsia="Calibri" w:hAnsi="Verdana" w:cs="Arial"/>
                <w:b/>
                <w:bCs/>
                <w:lang w:val="es-ES" w:eastAsia="es-ES"/>
              </w:rPr>
            </w:pPr>
            <w:r w:rsidRPr="00F50E68">
              <w:rPr>
                <w:rFonts w:ascii="Verdana" w:eastAsia="Calibri" w:hAnsi="Verdana" w:cs="Arial"/>
                <w:b/>
                <w:bCs/>
                <w:lang w:val="es-ES" w:eastAsia="es-ES"/>
              </w:rPr>
              <w:t>Concepto C-292 de 2026</w:t>
            </w:r>
          </w:p>
        </w:tc>
      </w:tr>
      <w:tr w:rsidR="002171B7" w:rsidRPr="00F50E68" w14:paraId="6F32ABC1" w14:textId="77777777" w:rsidTr="00EE3DD5">
        <w:trPr>
          <w:trHeight w:val="884"/>
        </w:trPr>
        <w:tc>
          <w:tcPr>
            <w:tcW w:w="2689" w:type="dxa"/>
          </w:tcPr>
          <w:p w14:paraId="598C5A7C" w14:textId="77777777" w:rsidR="002171B7" w:rsidRPr="00F50E68" w:rsidRDefault="002171B7" w:rsidP="00EE3DD5">
            <w:pPr>
              <w:jc w:val="both"/>
              <w:rPr>
                <w:rFonts w:ascii="Verdana" w:eastAsia="Calibri" w:hAnsi="Verdana" w:cs="Arial"/>
                <w:lang w:val="es-ES_tradnl" w:eastAsia="es-ES_tradnl"/>
              </w:rPr>
            </w:pPr>
            <w:r w:rsidRPr="00F50E68">
              <w:rPr>
                <w:rFonts w:ascii="Verdana" w:eastAsia="Calibri" w:hAnsi="Verdana" w:cs="Arial"/>
                <w:b/>
                <w:lang w:val="es-ES_tradnl" w:eastAsia="es-ES_tradnl"/>
              </w:rPr>
              <w:t>Temas:</w:t>
            </w:r>
            <w:r w:rsidRPr="00F50E68">
              <w:rPr>
                <w:rFonts w:ascii="Verdana" w:eastAsia="Calibri" w:hAnsi="Verdana" w:cs="Arial"/>
                <w:lang w:val="es-ES_tradnl" w:eastAsia="es-ES_tradnl"/>
              </w:rPr>
              <w:t xml:space="preserve">                   </w:t>
            </w:r>
          </w:p>
        </w:tc>
        <w:tc>
          <w:tcPr>
            <w:tcW w:w="6100" w:type="dxa"/>
          </w:tcPr>
          <w:p w14:paraId="78782813" w14:textId="77777777" w:rsidR="002171B7" w:rsidRPr="00F50E68" w:rsidRDefault="002171B7" w:rsidP="00EE3DD5">
            <w:pPr>
              <w:spacing w:line="276" w:lineRule="auto"/>
              <w:jc w:val="both"/>
              <w:rPr>
                <w:rFonts w:ascii="Verdana" w:eastAsia="Calibri" w:hAnsi="Verdana" w:cs="Arial"/>
                <w:lang w:val="es-ES" w:eastAsia="es-ES"/>
              </w:rPr>
            </w:pPr>
            <w:r w:rsidRPr="00F50E68">
              <w:rPr>
                <w:rFonts w:ascii="Verdana" w:eastAsia="Calibri" w:hAnsi="Verdana" w:cs="Arial"/>
                <w:lang w:val="es-ES" w:eastAsia="es-ES"/>
              </w:rPr>
              <w:t>PLAN ANUAL DE ADQUISICIONES – Noción – Carácter estimativo / PLAN ANUAL DE ADQUISICIONES – Obligatoriedad de elaboración – Sujetos obligados / PLAN ANUAL DE ADQUISICIONES - Contenido</w:t>
            </w:r>
          </w:p>
          <w:p w14:paraId="34A669B9" w14:textId="77777777" w:rsidR="002171B7" w:rsidRPr="00F50E68" w:rsidRDefault="002171B7" w:rsidP="00EE3DD5">
            <w:pPr>
              <w:spacing w:line="276" w:lineRule="auto"/>
              <w:jc w:val="both"/>
              <w:rPr>
                <w:rFonts w:ascii="Verdana" w:eastAsia="Calibri" w:hAnsi="Verdana" w:cs="Arial"/>
                <w:lang w:val="es-ES" w:eastAsia="es-ES"/>
              </w:rPr>
            </w:pPr>
          </w:p>
        </w:tc>
      </w:tr>
      <w:tr w:rsidR="002171B7" w:rsidRPr="00F50E68" w14:paraId="46FA9252" w14:textId="77777777" w:rsidTr="00EE3DD5">
        <w:tc>
          <w:tcPr>
            <w:tcW w:w="2689" w:type="dxa"/>
          </w:tcPr>
          <w:p w14:paraId="05F40B3F" w14:textId="77777777" w:rsidR="002171B7" w:rsidRPr="00F50E68" w:rsidRDefault="002171B7" w:rsidP="00EE3DD5">
            <w:pPr>
              <w:jc w:val="both"/>
              <w:rPr>
                <w:rFonts w:ascii="Verdana" w:eastAsia="Calibri" w:hAnsi="Verdana" w:cs="Arial"/>
                <w:b/>
                <w:lang w:val="es-ES_tradnl" w:eastAsia="es-ES_tradnl"/>
              </w:rPr>
            </w:pPr>
            <w:r w:rsidRPr="00F50E68">
              <w:rPr>
                <w:rFonts w:ascii="Verdana" w:eastAsia="Calibri" w:hAnsi="Verdana" w:cs="Arial"/>
                <w:b/>
                <w:lang w:val="es-ES_tradnl" w:eastAsia="es-ES_tradnl"/>
              </w:rPr>
              <w:t>Radicación:</w:t>
            </w:r>
            <w:r w:rsidRPr="00F50E68">
              <w:rPr>
                <w:rFonts w:ascii="Verdana" w:eastAsia="Calibri" w:hAnsi="Verdana" w:cs="Arial"/>
                <w:lang w:val="es-ES_tradnl" w:eastAsia="es-ES_tradnl"/>
              </w:rPr>
              <w:t xml:space="preserve">               </w:t>
            </w:r>
          </w:p>
        </w:tc>
        <w:tc>
          <w:tcPr>
            <w:tcW w:w="6100" w:type="dxa"/>
          </w:tcPr>
          <w:p w14:paraId="7E601460" w14:textId="77777777" w:rsidR="002171B7" w:rsidRPr="00F50E68" w:rsidRDefault="002171B7" w:rsidP="00EE3DD5">
            <w:pPr>
              <w:jc w:val="both"/>
              <w:rPr>
                <w:rFonts w:ascii="Verdana" w:eastAsia="Calibri" w:hAnsi="Verdana" w:cs="Arial"/>
                <w:lang w:val="es-ES" w:eastAsia="es-ES"/>
              </w:rPr>
            </w:pPr>
            <w:r w:rsidRPr="4D8C9812">
              <w:rPr>
                <w:rFonts w:ascii="Verdana" w:eastAsia="Calibri" w:hAnsi="Verdana" w:cs="Arial"/>
                <w:lang w:val="es-ES" w:eastAsia="es-ES"/>
              </w:rPr>
              <w:t xml:space="preserve">Respuesta a consultas acumuladas con radicados Nos. 1_2026_02_24_002536, </w:t>
            </w:r>
            <w:r>
              <w:tab/>
            </w:r>
            <w:r w:rsidRPr="4D8C9812">
              <w:rPr>
                <w:rFonts w:ascii="Verdana" w:eastAsia="Calibri" w:hAnsi="Verdana" w:cs="Arial"/>
                <w:lang w:val="es-ES" w:eastAsia="es-ES"/>
              </w:rPr>
              <w:t xml:space="preserve">1_2026_02_25_002593 </w:t>
            </w:r>
            <w:proofErr w:type="gramStart"/>
            <w:r w:rsidRPr="4D8C9812">
              <w:rPr>
                <w:rFonts w:ascii="Verdana" w:eastAsia="Calibri" w:hAnsi="Verdana" w:cs="Arial"/>
                <w:lang w:val="es-ES" w:eastAsia="es-ES"/>
              </w:rPr>
              <w:t>y  1</w:t>
            </w:r>
            <w:proofErr w:type="gramEnd"/>
            <w:r w:rsidRPr="4D8C9812">
              <w:rPr>
                <w:rFonts w:ascii="Verdana" w:eastAsia="Calibri" w:hAnsi="Verdana" w:cs="Arial"/>
                <w:lang w:val="es-ES" w:eastAsia="es-ES"/>
              </w:rPr>
              <w:t>_2026_02_25_002594</w:t>
            </w:r>
          </w:p>
        </w:tc>
      </w:tr>
    </w:tbl>
    <w:p w14:paraId="15CC3FEA" w14:textId="77777777" w:rsidR="002171B7" w:rsidRPr="00F50E68" w:rsidRDefault="002171B7" w:rsidP="002171B7">
      <w:pPr>
        <w:spacing w:after="0" w:line="240" w:lineRule="auto"/>
        <w:jc w:val="both"/>
        <w:rPr>
          <w:rFonts w:ascii="Verdana" w:eastAsia="Calibri" w:hAnsi="Verdana" w:cs="Arial"/>
          <w:lang w:val="es-ES_tradnl" w:eastAsia="es-ES_tradnl"/>
        </w:rPr>
      </w:pPr>
    </w:p>
    <w:p w14:paraId="57BCAB9A" w14:textId="77777777" w:rsidR="002171B7" w:rsidRPr="00F50E68" w:rsidRDefault="002171B7" w:rsidP="002171B7">
      <w:pPr>
        <w:spacing w:after="0" w:line="276" w:lineRule="auto"/>
        <w:jc w:val="both"/>
        <w:rPr>
          <w:rFonts w:ascii="Verdana" w:eastAsia="Calibri" w:hAnsi="Verdana" w:cs="Arial"/>
          <w:lang w:val="es-ES" w:eastAsia="es-ES"/>
        </w:rPr>
      </w:pPr>
      <w:r w:rsidRPr="00F50E68">
        <w:rPr>
          <w:rFonts w:ascii="Verdana" w:eastAsia="Calibri" w:hAnsi="Verdana" w:cs="Arial"/>
          <w:lang w:val="es-ES" w:eastAsia="es-ES"/>
        </w:rPr>
        <w:t>Estimada señora Galindo:</w:t>
      </w:r>
    </w:p>
    <w:p w14:paraId="7C102A9A" w14:textId="77777777" w:rsidR="002171B7" w:rsidRPr="00F50E68" w:rsidRDefault="002171B7" w:rsidP="002171B7">
      <w:pPr>
        <w:tabs>
          <w:tab w:val="left" w:pos="3768"/>
        </w:tabs>
        <w:spacing w:after="0" w:line="276" w:lineRule="auto"/>
        <w:jc w:val="both"/>
        <w:rPr>
          <w:rFonts w:ascii="Verdana" w:eastAsia="Calibri" w:hAnsi="Verdana" w:cs="Arial"/>
          <w:lang w:val="es-ES" w:eastAsia="es-ES"/>
        </w:rPr>
      </w:pPr>
    </w:p>
    <w:p w14:paraId="133F5939" w14:textId="77777777" w:rsidR="002171B7" w:rsidRPr="00F50E68" w:rsidRDefault="002171B7" w:rsidP="002171B7">
      <w:pPr>
        <w:spacing w:after="0" w:line="276" w:lineRule="auto"/>
        <w:jc w:val="both"/>
        <w:rPr>
          <w:rFonts w:ascii="Verdana" w:eastAsia="Calibri" w:hAnsi="Verdana" w:cs="Arial"/>
          <w:lang w:val="es-ES" w:eastAsia="es-ES"/>
        </w:rPr>
      </w:pPr>
      <w:r w:rsidRPr="00F50E68">
        <w:rPr>
          <w:rFonts w:ascii="Verdana" w:eastAsia="Calibri" w:hAnsi="Verdana" w:cs="Arial"/>
          <w:lang w:val="es-ES" w:eastAsia="es-ES"/>
        </w:rPr>
        <w:t>En ejercicio de la competencia otorgada por los artículos 3, numeral 5º, y 11, numeral 8º, del Decreto Ley 4170 de 2011,</w:t>
      </w:r>
      <w:r w:rsidRPr="00F50E68">
        <w:rPr>
          <w:rFonts w:ascii="Verdana" w:eastAsia="Arial MT" w:hAnsi="Verdana" w:cs="Arial MT"/>
          <w:lang w:val="es-ES" w:eastAsia="es-ES"/>
        </w:rPr>
        <w:t xml:space="preserve"> </w:t>
      </w:r>
      <w:r w:rsidRPr="00F50E68">
        <w:rPr>
          <w:rFonts w:ascii="Verdana" w:hAnsi="Verdana" w:cs="Arial"/>
        </w:rPr>
        <w:t xml:space="preserve">así como lo establecido en el artículo 4 de la Resolución 1707 de 2018 expedida por esta Entidad, </w:t>
      </w:r>
      <w:r w:rsidRPr="00F50E68">
        <w:rPr>
          <w:rFonts w:ascii="Verdana" w:eastAsia="Calibri" w:hAnsi="Verdana" w:cs="Arial"/>
          <w:lang w:val="es-ES" w:eastAsia="es-ES"/>
        </w:rPr>
        <w:t xml:space="preserve">la Agencia Nacional de Contratación Pública – Colombia Compra Eficiente– responde sus solicitudes de consultas del 24 y 25 de febrero de 2026, donde dos de estas fueron remitidas por el Departamento de Nacional de Planeación mediante oficio con Radicado No. 2026601013431. Usted realiza las siguientes preguntas: </w:t>
      </w:r>
    </w:p>
    <w:p w14:paraId="004E9C2E" w14:textId="77777777" w:rsidR="002171B7" w:rsidRPr="00F50E68" w:rsidRDefault="002171B7" w:rsidP="002171B7">
      <w:pPr>
        <w:spacing w:after="0" w:line="276" w:lineRule="auto"/>
        <w:jc w:val="both"/>
        <w:rPr>
          <w:rFonts w:ascii="Verdana" w:eastAsia="Calibri" w:hAnsi="Verdana" w:cs="Arial"/>
          <w:lang w:val="es-ES" w:eastAsia="es-ES"/>
        </w:rPr>
      </w:pPr>
    </w:p>
    <w:p w14:paraId="62CA343A" w14:textId="77777777" w:rsidR="002171B7" w:rsidRPr="00F50E68" w:rsidRDefault="002171B7" w:rsidP="002171B7">
      <w:pPr>
        <w:spacing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“(a) ¿Cuál es la función que cumple el PAA?</w:t>
      </w:r>
    </w:p>
    <w:p w14:paraId="024272A9"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(b) ¿Qué relación tiene el PAA con la (i) la actividad de programación y (</w:t>
      </w:r>
      <w:proofErr w:type="spellStart"/>
      <w:r w:rsidRPr="00F50E68">
        <w:rPr>
          <w:rFonts w:ascii="Verdana" w:eastAsia="Calibri" w:hAnsi="Verdana" w:cs="Arial"/>
          <w:sz w:val="20"/>
          <w:szCs w:val="20"/>
          <w:lang w:val="es-MX"/>
        </w:rPr>
        <w:t>ii</w:t>
      </w:r>
      <w:proofErr w:type="spellEnd"/>
      <w:r w:rsidRPr="00F50E68">
        <w:rPr>
          <w:rFonts w:ascii="Verdana" w:eastAsia="Calibri" w:hAnsi="Verdana" w:cs="Arial"/>
          <w:sz w:val="20"/>
          <w:szCs w:val="20"/>
          <w:lang w:val="es-MX"/>
        </w:rPr>
        <w:t>) la planificación contractual de las entidades estatales?</w:t>
      </w:r>
    </w:p>
    <w:p w14:paraId="4A357A3C"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(c) ¿Cuáles son los principios que rigen la elaboración y modificación del PAA?</w:t>
      </w:r>
    </w:p>
    <w:p w14:paraId="009F3C86"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lastRenderedPageBreak/>
        <w:t>(d) ¿Cuáles son los elementos que deben estar contenidos en el PAA de manera obligatoria y cuáles tiene carácter facultativo?</w:t>
      </w:r>
    </w:p>
    <w:p w14:paraId="77E19A4C"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 xml:space="preserve">(e) Al momento de elaborar el PAA, </w:t>
      </w:r>
      <w:proofErr w:type="gramStart"/>
      <w:r w:rsidRPr="00F50E68">
        <w:rPr>
          <w:rFonts w:ascii="Verdana" w:eastAsia="Calibri" w:hAnsi="Verdana" w:cs="Arial"/>
          <w:sz w:val="20"/>
          <w:szCs w:val="20"/>
          <w:lang w:val="es-MX"/>
        </w:rPr>
        <w:t>¿ la</w:t>
      </w:r>
      <w:proofErr w:type="gramEnd"/>
      <w:r w:rsidRPr="00F50E68">
        <w:rPr>
          <w:rFonts w:ascii="Verdana" w:eastAsia="Calibri" w:hAnsi="Verdana" w:cs="Arial"/>
          <w:sz w:val="20"/>
          <w:szCs w:val="20"/>
          <w:lang w:val="es-MX"/>
        </w:rPr>
        <w:t xml:space="preserve"> entidad estatal debe haber identificado con precisión el bien, obra o servicio que satisface cada necesidad, o es suficiente con describir la necesidad de forma general?</w:t>
      </w:r>
    </w:p>
    <w:p w14:paraId="24E9499A"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(f) De ser necesario identificar el bien, obra o servicio, ¿el PAA debe individualizarlo por sus características o especificaciones técnicas?</w:t>
      </w:r>
    </w:p>
    <w:p w14:paraId="24B95EDB"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(g) En el evento en que únicamente se haya consignado la necesidad –sin identificar el bien, obra o servicio que la satisface– y con posterioridad a su publicación determine cuál es el bien, obra o servicio que satisface dicha necesidad, ¿la entidad estatal está obligada a modificar el PAA para incorporarlo?</w:t>
      </w:r>
    </w:p>
    <w:p w14:paraId="7678BD17"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(h) ¿La elaboración del PAA es una etapa previa e independiente a la elaboración de los estudios del mercado y los estudios previos o, por el contrario, la entidad debe contar con dichos análisis antes de estructurar su plan?</w:t>
      </w:r>
    </w:p>
    <w:p w14:paraId="10FB0AC7"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(i) En consideración de las respuestas anteriores, y si como resultado de los estudios de mercado y los estudios previos adelantados con posterioridad a la publicación del PAA se identifican nuevos bienes, obras o servicios con la capacidad de satisfacer la necesidad identificada o nuevas especificaciones técnicas, ¿es obligatorio modificar el PAA para incorporarlos?</w:t>
      </w:r>
    </w:p>
    <w:p w14:paraId="09D92BAB"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(j) ¿Todo cambio en el listado de bienes, obras o servicios listados en el PAA, o en sus especificaciones técnicas, conlleva la obligación de modificarlo?</w:t>
      </w:r>
    </w:p>
    <w:p w14:paraId="6B6CFB83"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(k) ¿Cuál es el criterio determinante para establecer si una modificación en la planeación contractual obliga o no a la Entidad a modificar el PAA?</w:t>
      </w:r>
    </w:p>
    <w:p w14:paraId="4EF9B9DD" w14:textId="77777777" w:rsidR="002171B7" w:rsidRPr="00F50E68" w:rsidRDefault="002171B7" w:rsidP="002171B7">
      <w:pPr>
        <w:spacing w:before="120" w:after="0" w:line="240" w:lineRule="auto"/>
        <w:ind w:left="709" w:right="709"/>
        <w:jc w:val="both"/>
        <w:rPr>
          <w:rFonts w:ascii="Verdana" w:eastAsia="Calibri" w:hAnsi="Verdana" w:cs="Arial"/>
          <w:sz w:val="20"/>
          <w:szCs w:val="20"/>
          <w:lang w:val="es-ES" w:eastAsia="es-ES"/>
        </w:rPr>
      </w:pPr>
      <w:r w:rsidRPr="00F50E68">
        <w:rPr>
          <w:rFonts w:ascii="Verdana" w:eastAsia="Calibri" w:hAnsi="Verdana" w:cs="Arial"/>
          <w:sz w:val="20"/>
          <w:szCs w:val="20"/>
          <w:lang w:val="es-MX"/>
        </w:rPr>
        <w:t>(l) ¿El PAA debe o no contener la formulación del objeto contractual con que se pretende satisfacer la necesidad previamente identificada? De ser así, ¿dicho objeto debe coincidir necesariamente con el que se refleje en los documentos del proceso de contratación?” [sic</w:t>
      </w:r>
    </w:p>
    <w:p w14:paraId="5D5C3511" w14:textId="77777777" w:rsidR="002171B7" w:rsidRPr="00F50E68" w:rsidRDefault="002171B7" w:rsidP="002171B7">
      <w:pPr>
        <w:tabs>
          <w:tab w:val="left" w:pos="142"/>
          <w:tab w:val="left" w:pos="284"/>
        </w:tabs>
        <w:spacing w:line="276" w:lineRule="auto"/>
        <w:contextualSpacing/>
        <w:jc w:val="both"/>
        <w:rPr>
          <w:rFonts w:ascii="Verdana" w:eastAsia="Century Gothic" w:hAnsi="Verdana" w:cs="Century Gothic"/>
          <w:b/>
          <w:bCs/>
          <w:lang w:val="es-ES"/>
        </w:rPr>
      </w:pPr>
    </w:p>
    <w:p w14:paraId="356CA897" w14:textId="77777777" w:rsidR="002171B7" w:rsidRPr="00F50E68" w:rsidRDefault="002171B7" w:rsidP="002171B7">
      <w:pPr>
        <w:spacing w:after="120" w:line="276" w:lineRule="auto"/>
        <w:ind w:firstLine="709"/>
        <w:jc w:val="both"/>
        <w:rPr>
          <w:rFonts w:ascii="Verdana" w:eastAsia="Calibri" w:hAnsi="Verdana" w:cs="Arial"/>
          <w:szCs w:val="24"/>
          <w:lang w:val="es-ES_tradnl" w:eastAsia="es-ES_tradnl"/>
        </w:rPr>
      </w:pPr>
      <w:r w:rsidRPr="00F50E6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w:t>
      </w:r>
      <w:r w:rsidRPr="00F50E68">
        <w:rPr>
          <w:rFonts w:ascii="Verdana" w:eastAsia="Calibri" w:hAnsi="Verdana" w:cs="Arial"/>
          <w:lang w:val="es-ES" w:eastAsia="es-ES"/>
        </w:rPr>
        <w:lastRenderedPageBreak/>
        <w:t xml:space="preserve">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0E68">
        <w:rPr>
          <w:rFonts w:ascii="Verdana" w:eastAsia="Calibri" w:hAnsi="Verdana" w:cs="Arial"/>
          <w:szCs w:val="24"/>
          <w:lang w:val="es-ES_tradnl" w:eastAsia="es-ES_tradnl"/>
        </w:rPr>
        <w:tab/>
      </w:r>
    </w:p>
    <w:p w14:paraId="248C7369" w14:textId="77777777" w:rsidR="002171B7" w:rsidRPr="00F50E68" w:rsidRDefault="002171B7" w:rsidP="002171B7">
      <w:pPr>
        <w:spacing w:after="0" w:line="276" w:lineRule="auto"/>
        <w:ind w:firstLine="709"/>
        <w:jc w:val="both"/>
        <w:rPr>
          <w:rFonts w:ascii="Verdana" w:eastAsia="Calibri" w:hAnsi="Verdana" w:cs="Arial"/>
          <w:lang w:val="es-ES" w:eastAsia="es-ES"/>
        </w:rPr>
      </w:pPr>
      <w:r w:rsidRPr="00F50E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B3452B8" w14:textId="77777777" w:rsidR="002171B7" w:rsidRPr="00F50E68" w:rsidRDefault="002171B7" w:rsidP="002171B7">
      <w:pPr>
        <w:spacing w:after="0" w:line="276" w:lineRule="auto"/>
        <w:ind w:firstLine="709"/>
        <w:jc w:val="both"/>
        <w:rPr>
          <w:rFonts w:ascii="Verdana" w:eastAsia="Calibri" w:hAnsi="Verdana" w:cs="Arial"/>
          <w:lang w:val="es-ES" w:eastAsia="es-ES"/>
        </w:rPr>
      </w:pPr>
    </w:p>
    <w:p w14:paraId="615632EF" w14:textId="77777777" w:rsidR="002171B7" w:rsidRPr="00F50E68" w:rsidRDefault="002171B7" w:rsidP="002171B7">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F50E68">
        <w:rPr>
          <w:rFonts w:ascii="Verdana" w:eastAsia="Arial" w:hAnsi="Verdana" w:cs="Arial"/>
          <w:b/>
          <w:bCs/>
          <w:lang w:val="es-ES"/>
        </w:rPr>
        <w:t>1. Problema planteado:</w:t>
      </w:r>
    </w:p>
    <w:p w14:paraId="42ECEFB6" w14:textId="77777777" w:rsidR="002171B7" w:rsidRPr="00F50E68" w:rsidRDefault="002171B7" w:rsidP="002171B7">
      <w:pPr>
        <w:tabs>
          <w:tab w:val="left" w:pos="426"/>
        </w:tabs>
        <w:spacing w:after="0" w:line="276" w:lineRule="auto"/>
        <w:jc w:val="both"/>
        <w:rPr>
          <w:rFonts w:ascii="Verdana" w:eastAsia="Century Gothic" w:hAnsi="Verdana" w:cs="Century Gothic"/>
          <w:lang w:val="es-ES"/>
        </w:rPr>
      </w:pPr>
    </w:p>
    <w:p w14:paraId="16B500BF" w14:textId="77777777" w:rsidR="002171B7" w:rsidRPr="00F50E68" w:rsidRDefault="002171B7" w:rsidP="002171B7">
      <w:pPr>
        <w:spacing w:after="0" w:line="276" w:lineRule="auto"/>
        <w:jc w:val="both"/>
        <w:rPr>
          <w:rFonts w:ascii="Verdana" w:eastAsia="Century Gothic" w:hAnsi="Verdana" w:cs="Century Gothic"/>
        </w:rPr>
      </w:pPr>
      <w:r w:rsidRPr="00F50E68">
        <w:rPr>
          <w:rFonts w:ascii="Verdana" w:eastAsia="Century Gothic" w:hAnsi="Verdana" w:cs="Century Gothic"/>
        </w:rPr>
        <w:t xml:space="preserve">De acuerdo con el contenido de su solicitud, le informamos que la misma será atendida desde los siguientes interrogantes: i) ¿Cuál es la noción jurídica del Plan Anual de Adquisiciones?; </w:t>
      </w:r>
      <w:proofErr w:type="spellStart"/>
      <w:r w:rsidRPr="00F50E68">
        <w:rPr>
          <w:rFonts w:ascii="Verdana" w:eastAsia="Century Gothic" w:hAnsi="Verdana" w:cs="Century Gothic"/>
        </w:rPr>
        <w:t>ii</w:t>
      </w:r>
      <w:proofErr w:type="spellEnd"/>
      <w:r w:rsidRPr="00F50E68">
        <w:rPr>
          <w:rFonts w:ascii="Verdana" w:eastAsia="Century Gothic" w:hAnsi="Verdana" w:cs="Century Gothic"/>
        </w:rPr>
        <w:t xml:space="preserve">) ¿Qué información debe relacionarse en el Plan Anual de Adquisiciones?; y </w:t>
      </w:r>
      <w:proofErr w:type="spellStart"/>
      <w:r w:rsidRPr="00F50E68">
        <w:rPr>
          <w:rFonts w:ascii="Verdana" w:eastAsia="Century Gothic" w:hAnsi="Verdana" w:cs="Century Gothic"/>
        </w:rPr>
        <w:t>iii</w:t>
      </w:r>
      <w:proofErr w:type="spellEnd"/>
      <w:r w:rsidRPr="00F50E68">
        <w:rPr>
          <w:rFonts w:ascii="Verdana" w:eastAsia="Century Gothic" w:hAnsi="Verdana" w:cs="Century Gothic"/>
        </w:rPr>
        <w:t>) ¿En qué circunstancias debe actualizarse el Plan Anual de Adquisiciones?</w:t>
      </w:r>
    </w:p>
    <w:p w14:paraId="38EA5AE1" w14:textId="77777777" w:rsidR="002171B7" w:rsidRPr="00F50E68" w:rsidRDefault="002171B7" w:rsidP="002171B7">
      <w:pPr>
        <w:spacing w:after="0" w:line="276" w:lineRule="auto"/>
        <w:jc w:val="both"/>
        <w:rPr>
          <w:rFonts w:ascii="Verdana" w:eastAsia="Calibri" w:hAnsi="Verdana" w:cs="Arial"/>
          <w:lang w:val="es-ES"/>
        </w:rPr>
      </w:pPr>
      <w:bookmarkStart w:id="1" w:name="_Hlk171070029"/>
    </w:p>
    <w:bookmarkEnd w:id="1"/>
    <w:p w14:paraId="11AD4C1F" w14:textId="77777777" w:rsidR="002171B7" w:rsidRPr="00F50E68" w:rsidRDefault="002171B7" w:rsidP="002171B7">
      <w:pPr>
        <w:widowControl w:val="0"/>
        <w:autoSpaceDE w:val="0"/>
        <w:autoSpaceDN w:val="0"/>
        <w:spacing w:before="1" w:after="0" w:line="240" w:lineRule="auto"/>
        <w:jc w:val="both"/>
        <w:outlineLvl w:val="0"/>
        <w:rPr>
          <w:rFonts w:ascii="Verdana" w:eastAsia="Arial" w:hAnsi="Verdana" w:cs="Arial"/>
          <w:b/>
          <w:bCs/>
          <w:lang w:val="es-ES"/>
        </w:rPr>
      </w:pPr>
      <w:r w:rsidRPr="00F50E68">
        <w:rPr>
          <w:rFonts w:ascii="Verdana" w:eastAsia="Arial" w:hAnsi="Verdana" w:cs="Arial"/>
          <w:b/>
          <w:bCs/>
          <w:lang w:val="es-ES"/>
        </w:rPr>
        <w:t>2. Respuesta:</w:t>
      </w:r>
    </w:p>
    <w:p w14:paraId="404E07B2" w14:textId="77777777" w:rsidR="002171B7" w:rsidRPr="00F50E68" w:rsidRDefault="002171B7" w:rsidP="002171B7">
      <w:pPr>
        <w:spacing w:after="0"/>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171B7" w:rsidRPr="00F50E68" w14:paraId="00D97976" w14:textId="77777777" w:rsidTr="00EE3DD5">
        <w:tc>
          <w:tcPr>
            <w:tcW w:w="8828" w:type="dxa"/>
          </w:tcPr>
          <w:p w14:paraId="0C8A079E" w14:textId="77777777" w:rsidR="002171B7" w:rsidRPr="00F50E68" w:rsidRDefault="002171B7" w:rsidP="00EE3DD5">
            <w:pPr>
              <w:tabs>
                <w:tab w:val="left" w:pos="7237"/>
              </w:tabs>
              <w:snapToGrid w:val="0"/>
              <w:spacing w:before="120" w:line="276" w:lineRule="auto"/>
              <w:jc w:val="both"/>
              <w:rPr>
                <w:rFonts w:ascii="Verdana" w:eastAsia="Calibri" w:hAnsi="Verdana" w:cs="Arial"/>
              </w:rPr>
            </w:pPr>
            <w:bookmarkStart w:id="2" w:name="_Hlk171067516"/>
            <w:r w:rsidRPr="00F50E68">
              <w:rPr>
                <w:rFonts w:ascii="Verdana" w:eastAsia="Calibri" w:hAnsi="Verdana" w:cs="Arial"/>
              </w:rPr>
              <w:t>i) Estudiado el marco jurídico aplicable al Plan Anual de Adquisiciones, se observa que este constituye a un instrumento de planificación y orientación de la contratación de las Entidades Estatales,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De este modo, el Plan Anual de Adquisiciones, se considera un documento de carácter estimativo que tiene entre otras finalidades, la de “servir como referente inicial para evaluar la ejecución de presupuesto y pronosticar la demanda de bienes y servicios de la entidad durante el año referido del plan”.</w:t>
            </w:r>
          </w:p>
          <w:p w14:paraId="2652E49C" w14:textId="77777777" w:rsidR="002171B7" w:rsidRPr="00F50E68" w:rsidRDefault="002171B7" w:rsidP="00EE3DD5">
            <w:pPr>
              <w:tabs>
                <w:tab w:val="left" w:pos="7237"/>
              </w:tabs>
              <w:snapToGrid w:val="0"/>
              <w:spacing w:before="120" w:line="276" w:lineRule="auto"/>
              <w:jc w:val="both"/>
              <w:rPr>
                <w:rFonts w:ascii="Verdana" w:eastAsia="Calibri" w:hAnsi="Verdana" w:cs="Arial"/>
              </w:rPr>
            </w:pPr>
            <w:proofErr w:type="spellStart"/>
            <w:r w:rsidRPr="00F50E68">
              <w:rPr>
                <w:rFonts w:ascii="Verdana" w:eastAsia="Calibri" w:hAnsi="Verdana" w:cs="Arial"/>
              </w:rPr>
              <w:t>ii</w:t>
            </w:r>
            <w:proofErr w:type="spellEnd"/>
            <w:r w:rsidRPr="00F50E68">
              <w:rPr>
                <w:rFonts w:ascii="Verdana" w:eastAsia="Calibri" w:hAnsi="Verdana" w:cs="Arial"/>
              </w:rPr>
              <w:t xml:space="preserve">) A la luz de lo dispuesto en el artículo 2.2.1.1.1.4.1 del Decreto 1082 de 2015, el Plan Anual de Adquisiciones debe contener un listado de lo que la </w:t>
            </w:r>
            <w:r w:rsidRPr="00F50E68">
              <w:rPr>
                <w:rFonts w:ascii="Verdana" w:eastAsia="Calibri" w:hAnsi="Verdana" w:cs="Arial"/>
              </w:rPr>
              <w:lastRenderedPageBreak/>
              <w:t xml:space="preserve">entidad adquirirá durante el año, para satisfacer su necesidad de bienes, obras o servicios, y que debe contener información desagregada, principalmente en los siguientes aspectos: : i) identificación con el clasificador de bienes y servicios, </w:t>
            </w:r>
            <w:proofErr w:type="spellStart"/>
            <w:r w:rsidRPr="00F50E68">
              <w:rPr>
                <w:rFonts w:ascii="Verdana" w:eastAsia="Calibri" w:hAnsi="Verdana" w:cs="Arial"/>
              </w:rPr>
              <w:t>ii</w:t>
            </w:r>
            <w:proofErr w:type="spellEnd"/>
            <w:r w:rsidRPr="00F50E68">
              <w:rPr>
                <w:rFonts w:ascii="Verdana" w:eastAsia="Calibri" w:hAnsi="Verdana" w:cs="Arial"/>
              </w:rPr>
              <w:t xml:space="preserve">) valor estimado del contrato, </w:t>
            </w:r>
            <w:proofErr w:type="spellStart"/>
            <w:r w:rsidRPr="00F50E68">
              <w:rPr>
                <w:rFonts w:ascii="Verdana" w:eastAsia="Calibri" w:hAnsi="Verdana" w:cs="Arial"/>
              </w:rPr>
              <w:t>iii</w:t>
            </w:r>
            <w:proofErr w:type="spellEnd"/>
            <w:r w:rsidRPr="00F50E68">
              <w:rPr>
                <w:rFonts w:ascii="Verdana" w:eastAsia="Calibri" w:hAnsi="Verdana" w:cs="Arial"/>
              </w:rPr>
              <w:t xml:space="preserve">) tipo de recursos, </w:t>
            </w:r>
            <w:proofErr w:type="spellStart"/>
            <w:r w:rsidRPr="00F50E68">
              <w:rPr>
                <w:rFonts w:ascii="Verdana" w:eastAsia="Calibri" w:hAnsi="Verdana" w:cs="Arial"/>
              </w:rPr>
              <w:t>iv</w:t>
            </w:r>
            <w:proofErr w:type="spellEnd"/>
            <w:r w:rsidRPr="00F50E68">
              <w:rPr>
                <w:rFonts w:ascii="Verdana" w:eastAsia="Calibri" w:hAnsi="Verdana" w:cs="Arial"/>
              </w:rPr>
              <w:t>) modalidad de selección y v) fecha de inicio del proceso contractual.</w:t>
            </w:r>
          </w:p>
          <w:p w14:paraId="5518EE97" w14:textId="77777777" w:rsidR="002171B7" w:rsidRPr="00F50E68" w:rsidRDefault="002171B7" w:rsidP="00EE3DD5">
            <w:pPr>
              <w:snapToGrid w:val="0"/>
              <w:spacing w:before="120" w:line="276" w:lineRule="auto"/>
              <w:ind w:firstLine="709"/>
              <w:jc w:val="both"/>
              <w:rPr>
                <w:rFonts w:ascii="Verdana" w:eastAsia="Calibri" w:hAnsi="Verdana" w:cs="Arial"/>
              </w:rPr>
            </w:pPr>
            <w:r w:rsidRPr="00F50E68">
              <w:rPr>
                <w:rFonts w:ascii="Verdana" w:eastAsia="Calibri" w:hAnsi="Verdana" w:cs="Arial"/>
              </w:rPr>
              <w:t xml:space="preserve">En ese sentido, la norma citada dispone que el Plan Anual de Adquisiciones tiene un contenido esencial –la lista de bienes, obras y servicios que la entidad pretenda adquirir–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p>
          <w:p w14:paraId="3886005B" w14:textId="77777777" w:rsidR="002171B7" w:rsidRPr="00F50E68" w:rsidRDefault="002171B7" w:rsidP="00EE3DD5">
            <w:pPr>
              <w:snapToGrid w:val="0"/>
              <w:spacing w:before="120" w:line="276" w:lineRule="auto"/>
              <w:jc w:val="both"/>
              <w:rPr>
                <w:rFonts w:ascii="Verdana" w:eastAsia="Calibri" w:hAnsi="Verdana" w:cs="Arial"/>
              </w:rPr>
            </w:pPr>
            <w:proofErr w:type="spellStart"/>
            <w:r w:rsidRPr="00F50E68">
              <w:rPr>
                <w:rFonts w:ascii="Verdana" w:eastAsia="Calibri" w:hAnsi="Verdana" w:cs="Arial"/>
              </w:rPr>
              <w:t>iii</w:t>
            </w:r>
            <w:proofErr w:type="spellEnd"/>
            <w:r w:rsidRPr="00F50E68">
              <w:rPr>
                <w:rFonts w:ascii="Verdana" w:eastAsia="Calibri" w:hAnsi="Verdana" w:cs="Arial"/>
              </w:rPr>
              <w:t>) Sobre el particular se precisa, que de acuerdo con lo dispuesto en el artículo.2.1.1.1.4.4. del Decreto 1082 de 2015, las Entidades Estatales tienen el deber de actualizar el Plan Anual de Adquisiciones, una vez al año cuando menos, pues el contenido inicial de este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w:t>
            </w:r>
          </w:p>
          <w:p w14:paraId="07C87350" w14:textId="77777777" w:rsidR="002171B7" w:rsidRPr="00F50E68" w:rsidRDefault="002171B7" w:rsidP="00EE3DD5">
            <w:pPr>
              <w:snapToGrid w:val="0"/>
              <w:spacing w:before="120" w:line="276" w:lineRule="auto"/>
              <w:ind w:firstLine="709"/>
              <w:jc w:val="both"/>
              <w:rPr>
                <w:rFonts w:ascii="Verdana" w:eastAsia="Calibri" w:hAnsi="Verdana" w:cs="Arial"/>
              </w:rPr>
            </w:pPr>
            <w:r w:rsidRPr="00F50E68">
              <w:rPr>
                <w:rFonts w:ascii="Verdana" w:eastAsia="Calibri" w:hAnsi="Verdana" w:cs="Arial"/>
              </w:rPr>
              <w:t xml:space="preserve">En ese sentido, el inciso segundo (2) del artículo citado estableció cuatro (4) eventos en los que procede actualizar el Plan Anual de Adquisiciones: i) ajustes en los cronogramas de adquisición, valores, modalidad de selección y origen de los recursos; </w:t>
            </w:r>
            <w:proofErr w:type="spellStart"/>
            <w:r w:rsidRPr="00F50E68">
              <w:rPr>
                <w:rFonts w:ascii="Verdana" w:eastAsia="Calibri" w:hAnsi="Verdana" w:cs="Arial"/>
              </w:rPr>
              <w:t>ii</w:t>
            </w:r>
            <w:proofErr w:type="spellEnd"/>
            <w:r w:rsidRPr="00F50E68">
              <w:rPr>
                <w:rFonts w:ascii="Verdana" w:eastAsia="Calibri" w:hAnsi="Verdana" w:cs="Arial"/>
              </w:rPr>
              <w:t xml:space="preserve">) para incluir nuevas obras, bienes o servicios; </w:t>
            </w:r>
            <w:proofErr w:type="spellStart"/>
            <w:r w:rsidRPr="00F50E68">
              <w:rPr>
                <w:rFonts w:ascii="Verdana" w:eastAsia="Calibri" w:hAnsi="Verdana" w:cs="Arial"/>
              </w:rPr>
              <w:t>iii</w:t>
            </w:r>
            <w:proofErr w:type="spellEnd"/>
            <w:r w:rsidRPr="00F50E68">
              <w:rPr>
                <w:rFonts w:ascii="Verdana" w:eastAsia="Calibri" w:hAnsi="Verdana" w:cs="Arial"/>
              </w:rPr>
              <w:t xml:space="preserve">) excluir obras, bienes o servicios y </w:t>
            </w:r>
            <w:proofErr w:type="spellStart"/>
            <w:r w:rsidRPr="00F50E68">
              <w:rPr>
                <w:rFonts w:ascii="Verdana" w:eastAsia="Calibri" w:hAnsi="Verdana" w:cs="Arial"/>
              </w:rPr>
              <w:t>iv</w:t>
            </w:r>
            <w:proofErr w:type="spellEnd"/>
            <w:r w:rsidRPr="00F50E68">
              <w:rPr>
                <w:rFonts w:ascii="Verdana" w:eastAsia="Calibri" w:hAnsi="Verdana" w:cs="Arial"/>
              </w:rPr>
              <w:t>)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w:t>
            </w:r>
          </w:p>
          <w:p w14:paraId="2FFC65C8" w14:textId="77777777" w:rsidR="002171B7" w:rsidRPr="00F50E68" w:rsidRDefault="002171B7" w:rsidP="00EE3DD5">
            <w:pPr>
              <w:spacing w:before="120" w:after="120" w:line="276" w:lineRule="auto"/>
              <w:jc w:val="both"/>
              <w:rPr>
                <w:rFonts w:ascii="Verdana" w:eastAsia="Calibri" w:hAnsi="Verdana" w:cs="Arial"/>
              </w:rPr>
            </w:pPr>
            <w:r w:rsidRPr="00F50E68">
              <w:rPr>
                <w:rFonts w:ascii="Verdana" w:eastAsia="Calibri" w:hAnsi="Verdana" w:cs="Arial"/>
              </w:rPr>
              <w:t xml:space="preserve">Finalmente, debe advertirse que el análisis requerido para resolver problemas específicos en torno a la elaboración del PAA, debe ser realizado por quienes tengan interés en ello. De esta manera, las afirmaciones aquí realizadas no pueden ser interpretadas como juicios de valor sobre circunstancias concretas relacionadas con los hechos que motivan la consulta. Por lo anterior, previo </w:t>
            </w:r>
            <w:r w:rsidRPr="00F50E68">
              <w:rPr>
                <w:rFonts w:ascii="Verdana" w:eastAsia="Calibri" w:hAnsi="Verdana" w:cs="Arial"/>
              </w:rPr>
              <w:lastRenderedPageBreak/>
              <w:t xml:space="preserve">concepto de sus asesores, la solución de situaciones particulares corresponde a los interesados de adoptar la decisión y, en caso de conflicto, a las autoridades judiciales, fiscales y disciplinarias.  </w:t>
            </w:r>
          </w:p>
        </w:tc>
      </w:tr>
      <w:bookmarkEnd w:id="2"/>
    </w:tbl>
    <w:p w14:paraId="32154224" w14:textId="77777777" w:rsidR="002171B7" w:rsidRPr="00F50E68" w:rsidRDefault="002171B7" w:rsidP="002171B7">
      <w:pPr>
        <w:tabs>
          <w:tab w:val="left" w:pos="142"/>
          <w:tab w:val="left" w:pos="967"/>
        </w:tabs>
        <w:spacing w:after="0" w:line="276" w:lineRule="auto"/>
        <w:jc w:val="both"/>
        <w:rPr>
          <w:rFonts w:ascii="Verdana" w:eastAsia="Century Gothic" w:hAnsi="Verdana" w:cs="Century Gothic"/>
          <w:b/>
          <w:bCs/>
          <w:lang w:val="es-ES"/>
        </w:rPr>
      </w:pPr>
    </w:p>
    <w:p w14:paraId="7497213D" w14:textId="77777777" w:rsidR="002171B7" w:rsidRPr="00F50E68" w:rsidRDefault="002171B7" w:rsidP="002171B7">
      <w:pPr>
        <w:widowControl w:val="0"/>
        <w:autoSpaceDE w:val="0"/>
        <w:autoSpaceDN w:val="0"/>
        <w:spacing w:before="1" w:after="0" w:line="240" w:lineRule="auto"/>
        <w:ind w:left="360" w:hanging="360"/>
        <w:outlineLvl w:val="0"/>
        <w:rPr>
          <w:rFonts w:ascii="Verdana" w:eastAsia="Arial" w:hAnsi="Verdana" w:cs="Arial"/>
          <w:b/>
          <w:bCs/>
          <w:lang w:val="es-ES"/>
        </w:rPr>
      </w:pPr>
      <w:r w:rsidRPr="00F50E68">
        <w:rPr>
          <w:rFonts w:ascii="Verdana" w:eastAsia="Arial" w:hAnsi="Verdana" w:cs="Arial"/>
          <w:b/>
          <w:bCs/>
          <w:lang w:val="es-ES"/>
        </w:rPr>
        <w:t>3. Razones de la respuesta</w:t>
      </w:r>
    </w:p>
    <w:p w14:paraId="64E31569" w14:textId="77777777" w:rsidR="002171B7" w:rsidRPr="00F50E68" w:rsidRDefault="002171B7" w:rsidP="002171B7">
      <w:pPr>
        <w:spacing w:after="0" w:line="276" w:lineRule="auto"/>
        <w:jc w:val="both"/>
        <w:rPr>
          <w:rFonts w:ascii="Verdana" w:eastAsia="Calibri" w:hAnsi="Verdana" w:cs="Arial"/>
          <w:lang w:val="es-ES"/>
        </w:rPr>
      </w:pPr>
    </w:p>
    <w:p w14:paraId="76B9431E" w14:textId="77777777" w:rsidR="002171B7" w:rsidRPr="00F50E68" w:rsidRDefault="002171B7" w:rsidP="002171B7">
      <w:pPr>
        <w:spacing w:after="0" w:line="276" w:lineRule="auto"/>
        <w:jc w:val="both"/>
        <w:rPr>
          <w:rFonts w:ascii="Verdana" w:eastAsia="Calibri" w:hAnsi="Verdana" w:cs="Arial"/>
          <w:lang w:val="es-ES"/>
        </w:rPr>
      </w:pPr>
      <w:r w:rsidRPr="00F50E68">
        <w:rPr>
          <w:rFonts w:ascii="Verdana" w:eastAsia="Calibri" w:hAnsi="Verdana" w:cs="Arial"/>
          <w:lang w:val="es-ES"/>
        </w:rPr>
        <w:t xml:space="preserve">La respuesta anterior se sustenta en las siguientes consideraciones: </w:t>
      </w:r>
    </w:p>
    <w:p w14:paraId="3C50DE45" w14:textId="77777777" w:rsidR="002171B7" w:rsidRPr="00F50E68" w:rsidRDefault="002171B7" w:rsidP="002171B7">
      <w:pPr>
        <w:spacing w:after="0" w:line="276" w:lineRule="auto"/>
        <w:jc w:val="both"/>
        <w:rPr>
          <w:rFonts w:ascii="Verdana" w:eastAsia="Calibri" w:hAnsi="Verdana" w:cs="Arial"/>
          <w:lang w:val="es-ES"/>
        </w:rPr>
      </w:pPr>
    </w:p>
    <w:p w14:paraId="056BC706" w14:textId="77777777" w:rsidR="002171B7" w:rsidRPr="00F50E68" w:rsidRDefault="002171B7" w:rsidP="002171B7">
      <w:pPr>
        <w:spacing w:after="0" w:line="276" w:lineRule="auto"/>
        <w:contextualSpacing/>
        <w:jc w:val="both"/>
        <w:rPr>
          <w:rFonts w:ascii="Verdana" w:eastAsia="Calibri" w:hAnsi="Verdana" w:cs="Arial"/>
        </w:rPr>
      </w:pPr>
      <w:r w:rsidRPr="00F50E68">
        <w:rPr>
          <w:rFonts w:ascii="Verdana" w:eastAsia="Calibri" w:hAnsi="Verdana" w:cs="Arial"/>
        </w:rPr>
        <w:t>La Guía para elaborar el Plan Anual de Adquisiciones</w:t>
      </w:r>
      <w:r w:rsidRPr="00F50E68">
        <w:rPr>
          <w:rFonts w:ascii="Verdana" w:eastAsia="Calibri" w:hAnsi="Verdana" w:cs="Arial"/>
          <w:vertAlign w:val="superscript"/>
        </w:rPr>
        <w:footnoteReference w:id="1"/>
      </w:r>
      <w:r w:rsidRPr="00F50E68">
        <w:rPr>
          <w:rFonts w:ascii="Verdana" w:eastAsia="Calibri" w:hAnsi="Verdana" w:cs="Arial"/>
        </w:rPr>
        <w:t xml:space="preserve"> de esta Agencia, define al Plan Anual de Adquisiciones, en adelante PAA como “un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Sin perjuicio de lo anterior, el PAA no restringe las decisiones en la contratación que habrán de adoptarse dentro de la anualidad respectiva, por lo que se considera un documento de carácter estimativo que tiene entre otras finalidades, la de “servir como referente inicial para evaluar la ejecución de presupuesto y pronosticar la demanda de bienes y servicios de la entidad durante el año referido del plan”</w:t>
      </w:r>
      <w:r w:rsidRPr="00F50E68">
        <w:rPr>
          <w:rFonts w:ascii="Verdana" w:eastAsia="Aptos" w:hAnsi="Verdana" w:cs="Times New Roman"/>
          <w:color w:val="000000"/>
          <w:vertAlign w:val="superscript"/>
        </w:rPr>
        <w:footnoteReference w:id="2"/>
      </w:r>
      <w:r w:rsidRPr="00F50E68">
        <w:rPr>
          <w:rFonts w:ascii="Verdana" w:eastAsia="Calibri" w:hAnsi="Verdana" w:cs="Arial"/>
        </w:rPr>
        <w:t>.</w:t>
      </w:r>
    </w:p>
    <w:p w14:paraId="12BEEF60" w14:textId="77777777" w:rsidR="002171B7" w:rsidRPr="00F50E68" w:rsidRDefault="002171B7" w:rsidP="002171B7">
      <w:pPr>
        <w:tabs>
          <w:tab w:val="left" w:pos="0"/>
        </w:tabs>
        <w:spacing w:before="120" w:after="120" w:line="276" w:lineRule="auto"/>
        <w:jc w:val="both"/>
        <w:rPr>
          <w:rFonts w:ascii="Verdana" w:eastAsia="Calibri" w:hAnsi="Verdana" w:cs="Arial"/>
          <w:lang w:val="es-ES"/>
        </w:rPr>
      </w:pPr>
      <w:r w:rsidRPr="00F50E68">
        <w:rPr>
          <w:rFonts w:ascii="Verdana" w:eastAsia="Calibri" w:hAnsi="Verdana" w:cs="Arial"/>
          <w:lang w:val="es-ES"/>
        </w:rPr>
        <w:tab/>
        <w:t xml:space="preserve">De acuerdo con el artículo </w:t>
      </w:r>
      <w:r w:rsidRPr="00F50E68">
        <w:rPr>
          <w:rFonts w:ascii="Verdana" w:eastAsia="Calibri" w:hAnsi="Verdana" w:cs="Arial"/>
          <w:kern w:val="2"/>
          <w14:ligatures w14:val="standardContextual"/>
        </w:rPr>
        <w:t>2.2.1.1.1.3.1 del Decreto 1082 de 2015, el PAA es el plan general de compras al que se refiere el artículo 74 de la Ley 1474 de 2011 y el plan de compras al que se refiere la Ley Anual de Presupuesto. Asimismo, el artículo 2.1.1.1.3.1 del Decreto 1082 de 2015 lo define como un instrumento de planeación contractual que las Entidades Estatales debe diligenciar, publicar y actualizar.</w:t>
      </w:r>
      <w:r w:rsidRPr="00F50E68">
        <w:rPr>
          <w:rFonts w:ascii="Verdana" w:eastAsia="Calibri" w:hAnsi="Verdana" w:cs="Arial"/>
          <w:lang w:val="es-ES"/>
        </w:rPr>
        <w:t xml:space="preserve"> En particular, el artículo 74 de la Ley 1474 de 2011 dispone que “todas las entidades del Estado” deben publicar, a más tardar el 31</w:t>
      </w:r>
      <w:r w:rsidRPr="00F50E68">
        <w:rPr>
          <w:rFonts w:ascii="Verdana" w:eastAsia="Calibri" w:hAnsi="Verdana" w:cs="Arial"/>
          <w:lang w:val="es-ES_tradnl"/>
        </w:rPr>
        <w:t xml:space="preserve"> de enero de cada año, en su respectiva página web, el plan de acción, en el cual se incluye el plan general de compras</w:t>
      </w:r>
      <w:r w:rsidRPr="00F50E68">
        <w:rPr>
          <w:rFonts w:ascii="Verdana" w:eastAsia="Calibri" w:hAnsi="Verdana" w:cs="Arial"/>
          <w:vertAlign w:val="superscript"/>
          <w:lang w:val="es-ES_tradnl"/>
        </w:rPr>
        <w:footnoteReference w:id="3"/>
      </w:r>
      <w:r w:rsidRPr="00F50E68">
        <w:rPr>
          <w:rFonts w:ascii="Verdana" w:eastAsia="Calibri" w:hAnsi="Verdana" w:cs="Arial"/>
          <w:lang w:val="es-ES_tradnl"/>
        </w:rPr>
        <w:t xml:space="preserve">. Como ya se indicó, el plan general </w:t>
      </w:r>
      <w:r w:rsidRPr="00F50E68">
        <w:rPr>
          <w:rFonts w:ascii="Verdana" w:eastAsia="Calibri" w:hAnsi="Verdana" w:cs="Arial"/>
          <w:lang w:val="es-ES_tradnl"/>
        </w:rPr>
        <w:lastRenderedPageBreak/>
        <w:t>de compras para el ordenamiento vigente corresponde con el concepto de Plan Anual de Adquisiciones como lo establece el artículo 2.2.1.1.1.3.1. del Decreto 1082 de 2015</w:t>
      </w:r>
      <w:r w:rsidRPr="00F50E68">
        <w:rPr>
          <w:rFonts w:ascii="Verdana" w:eastAsia="Calibri" w:hAnsi="Verdana" w:cs="Arial"/>
          <w:vertAlign w:val="superscript"/>
          <w:lang w:val="es-ES_tradnl"/>
        </w:rPr>
        <w:footnoteReference w:id="4"/>
      </w:r>
      <w:r w:rsidRPr="00F50E68">
        <w:rPr>
          <w:rFonts w:ascii="Verdana" w:eastAsia="Calibri" w:hAnsi="Verdana" w:cs="Arial"/>
          <w:lang w:val="es-ES_tradnl"/>
        </w:rPr>
        <w:t xml:space="preserve">.  </w:t>
      </w:r>
    </w:p>
    <w:p w14:paraId="41F1E036" w14:textId="77777777" w:rsidR="002171B7" w:rsidRPr="00F50E68" w:rsidRDefault="002171B7" w:rsidP="002171B7">
      <w:pPr>
        <w:tabs>
          <w:tab w:val="left" w:pos="0"/>
        </w:tabs>
        <w:spacing w:line="276" w:lineRule="auto"/>
        <w:jc w:val="both"/>
        <w:rPr>
          <w:rFonts w:ascii="Verdana" w:eastAsia="Calibri" w:hAnsi="Verdana" w:cs="Arial"/>
          <w:lang w:val="es-ES"/>
        </w:rPr>
      </w:pPr>
      <w:r w:rsidRPr="00F50E68">
        <w:rPr>
          <w:rFonts w:ascii="Verdana" w:eastAsia="Calibri" w:hAnsi="Verdana" w:cs="Arial"/>
          <w:lang w:val="es-ES"/>
        </w:rPr>
        <w:tab/>
        <w:t xml:space="preserve">Además, de acuerdo con el artículo </w:t>
      </w:r>
      <w:r w:rsidRPr="00F50E68">
        <w:rPr>
          <w:rFonts w:ascii="Verdana" w:eastAsia="Calibri" w:hAnsi="Verdana" w:cs="Arial"/>
          <w:lang w:val="es-ES_tradnl"/>
        </w:rPr>
        <w:t>2.2.1.1.1.4.3 ibidem</w:t>
      </w:r>
      <w:r w:rsidRPr="00F50E68">
        <w:rPr>
          <w:rFonts w:ascii="Verdana" w:eastAsia="Calibri" w:hAnsi="Verdana" w:cs="Arial"/>
          <w:i/>
          <w:iCs/>
          <w:lang w:val="es-ES_tradnl"/>
        </w:rPr>
        <w:t xml:space="preserve">, </w:t>
      </w:r>
      <w:r w:rsidRPr="00F50E68">
        <w:rPr>
          <w:rFonts w:ascii="Verdana" w:eastAsia="Calibri" w:hAnsi="Verdana" w:cs="Arial"/>
          <w:lang w:val="es-ES_tradnl"/>
        </w:rPr>
        <w:t>el PAA también debe publicarse en el SECOP</w:t>
      </w:r>
      <w:r w:rsidRPr="00F50E68">
        <w:rPr>
          <w:rFonts w:ascii="Verdana" w:eastAsia="Calibri" w:hAnsi="Verdana" w:cs="Arial"/>
          <w:vertAlign w:val="superscript"/>
        </w:rPr>
        <w:footnoteReference w:id="5"/>
      </w:r>
      <w:r w:rsidRPr="00F50E68">
        <w:rPr>
          <w:rFonts w:ascii="Verdana" w:eastAsia="Calibri" w:hAnsi="Verdana" w:cs="Arial"/>
          <w:lang w:val="es-ES"/>
        </w:rPr>
        <w:t>. Se trata de una obligación que involucra a todas las Entidades del Estado sin importar la rama a la cual pertenecen, o si se trata de entidades descentralizadas territorialmente o por servicios; las empresas del Estado y las sociedades en las que el Estado tenga participación, sin que importe su monto.</w:t>
      </w:r>
    </w:p>
    <w:p w14:paraId="77334324" w14:textId="77777777" w:rsidR="002171B7" w:rsidRPr="00F50E68" w:rsidRDefault="002171B7" w:rsidP="002171B7">
      <w:pPr>
        <w:tabs>
          <w:tab w:val="left" w:pos="0"/>
        </w:tabs>
        <w:spacing w:line="276" w:lineRule="auto"/>
        <w:jc w:val="both"/>
        <w:rPr>
          <w:rStyle w:val="normaltextrun"/>
          <w:rFonts w:ascii="Verdana" w:hAnsi="Verdana" w:cs="Arial"/>
          <w:lang w:val="es-ES"/>
        </w:rPr>
      </w:pPr>
      <w:r w:rsidRPr="00F50E68">
        <w:rPr>
          <w:rFonts w:ascii="Verdana" w:eastAsia="Calibri" w:hAnsi="Verdana" w:cs="Arial"/>
          <w:kern w:val="2"/>
          <w14:ligatures w14:val="standardContextual"/>
        </w:rPr>
        <w:tab/>
        <w:t xml:space="preserve">Ahora bien, teniendo en cuenta que </w:t>
      </w:r>
      <w:r w:rsidRPr="00F50E68">
        <w:rPr>
          <w:rStyle w:val="normaltextrun"/>
          <w:rFonts w:ascii="Verdana" w:hAnsi="Verdana" w:cs="Arial"/>
          <w:lang w:val="es-ES"/>
        </w:rPr>
        <w:t xml:space="preserve">el artículo 2.1.1.2.1.10 del Decreto 1082 de 2015 dispone que los sujetos obligados que contraten con cargo a recursos públicos tienen la obligación de publicar el PAA en el SECOP, se sugiere consultar los lineamientos dispuestos por esta Agencia en el documento denominado “Plan Anual de Adquisiciones en SECOP II – Creación y publicación del PAA” disponible </w:t>
      </w:r>
      <w:hyperlink r:id="rId12" w:history="1">
        <w:r w:rsidRPr="00F50E68">
          <w:rPr>
            <w:rStyle w:val="Hipervnculo"/>
            <w:rFonts w:ascii="Verdana" w:hAnsi="Verdana" w:cs="Arial"/>
            <w:lang w:val="es-ES"/>
          </w:rPr>
          <w:t>aquí</w:t>
        </w:r>
      </w:hyperlink>
    </w:p>
    <w:p w14:paraId="04A3BFE2" w14:textId="77777777" w:rsidR="002171B7" w:rsidRPr="00F50E68" w:rsidRDefault="002171B7" w:rsidP="002171B7">
      <w:pPr>
        <w:spacing w:before="120" w:after="0" w:line="276" w:lineRule="auto"/>
        <w:ind w:firstLine="708"/>
        <w:jc w:val="both"/>
        <w:rPr>
          <w:rFonts w:ascii="Verdana" w:hAnsi="Verdana" w:cs="Arial"/>
          <w:lang w:val="es-ES"/>
        </w:rPr>
      </w:pPr>
      <w:r w:rsidRPr="00F50E68">
        <w:rPr>
          <w:rFonts w:ascii="Verdana" w:hAnsi="Verdana" w:cs="Arial"/>
          <w:lang w:val="es-ES"/>
        </w:rPr>
        <w:lastRenderedPageBreak/>
        <w:t>Adicionalmente se aclara, que los sujetos que no contratan con cargo a recursos públicos no están obligados a publicarlo, mientras que aquellos que contratan tanto con cargo a recursos públicos como con aquellos que no tienen esta naturaleza, solamente están obligados a publicar el PAA para los recursos de carácter público que se ejecutarán duranta la vigencia fiscal.</w:t>
      </w:r>
    </w:p>
    <w:p w14:paraId="1904E1B3" w14:textId="77777777" w:rsidR="002171B7" w:rsidRPr="00F50E68" w:rsidRDefault="002171B7" w:rsidP="002171B7">
      <w:pPr>
        <w:spacing w:before="120" w:after="120" w:line="276" w:lineRule="auto"/>
        <w:jc w:val="both"/>
        <w:rPr>
          <w:rFonts w:ascii="Verdana" w:eastAsia="Calibri" w:hAnsi="Verdana" w:cs="Arial"/>
          <w:sz w:val="24"/>
          <w:szCs w:val="24"/>
          <w:lang w:val="es-ES" w:eastAsia="es-ES_tradnl"/>
        </w:rPr>
      </w:pPr>
      <w:r w:rsidRPr="00F50E68">
        <w:rPr>
          <w:rFonts w:ascii="Verdana" w:eastAsia="Calibri" w:hAnsi="Verdana" w:cs="Arial"/>
          <w:lang w:val="es-ES"/>
        </w:rPr>
        <w:tab/>
      </w:r>
      <w:r w:rsidRPr="00F50E68">
        <w:rPr>
          <w:rStyle w:val="normaltextrun"/>
          <w:rFonts w:ascii="Verdana" w:hAnsi="Verdana" w:cs="Arial"/>
          <w:lang w:val="es-ES"/>
        </w:rPr>
        <w:t>Teniendo en claro lo anterior, el artículo 2.2.1.1.1.4.1 del Decreto 1082 de 2015 establece el deber de elaborar el PAA, que debe contener un listado de lo que la entidad adquirirá durante el año, para satisfacer su necesidad de bienes, obras o servicios, y que debe tener la información desagregada, principalmente en los siguientes aspectos</w:t>
      </w:r>
      <w:r w:rsidRPr="00F50E68">
        <w:rPr>
          <w:rFonts w:ascii="Verdana" w:eastAsia="Calibri" w:hAnsi="Verdana" w:cs="Arial"/>
          <w:lang w:val="es-ES" w:eastAsia="es-ES_tradnl"/>
        </w:rPr>
        <w:t xml:space="preserve">: i) identificación con el clasificador de bienes y servicios, </w:t>
      </w:r>
      <w:proofErr w:type="spellStart"/>
      <w:r w:rsidRPr="00F50E68">
        <w:rPr>
          <w:rFonts w:ascii="Verdana" w:eastAsia="Calibri" w:hAnsi="Verdana" w:cs="Arial"/>
          <w:lang w:val="es-ES" w:eastAsia="es-ES_tradnl"/>
        </w:rPr>
        <w:t>ii</w:t>
      </w:r>
      <w:proofErr w:type="spellEnd"/>
      <w:r w:rsidRPr="00F50E68">
        <w:rPr>
          <w:rFonts w:ascii="Verdana" w:eastAsia="Calibri" w:hAnsi="Verdana" w:cs="Arial"/>
          <w:lang w:val="es-ES" w:eastAsia="es-ES_tradnl"/>
        </w:rPr>
        <w:t xml:space="preserve">) valor estimado del contrato, </w:t>
      </w:r>
      <w:proofErr w:type="spellStart"/>
      <w:r w:rsidRPr="00F50E68">
        <w:rPr>
          <w:rFonts w:ascii="Verdana" w:eastAsia="Calibri" w:hAnsi="Verdana" w:cs="Arial"/>
          <w:lang w:val="es-ES" w:eastAsia="es-ES_tradnl"/>
        </w:rPr>
        <w:t>iii</w:t>
      </w:r>
      <w:proofErr w:type="spellEnd"/>
      <w:r w:rsidRPr="00F50E68">
        <w:rPr>
          <w:rFonts w:ascii="Verdana" w:eastAsia="Calibri" w:hAnsi="Verdana" w:cs="Arial"/>
          <w:lang w:val="es-ES" w:eastAsia="es-ES_tradnl"/>
        </w:rPr>
        <w:t xml:space="preserve">) tipo de recursos, </w:t>
      </w:r>
      <w:proofErr w:type="spellStart"/>
      <w:r w:rsidRPr="00F50E68">
        <w:rPr>
          <w:rFonts w:ascii="Verdana" w:eastAsia="Calibri" w:hAnsi="Verdana" w:cs="Arial"/>
          <w:lang w:val="es-ES" w:eastAsia="es-ES_tradnl"/>
        </w:rPr>
        <w:t>iv</w:t>
      </w:r>
      <w:proofErr w:type="spellEnd"/>
      <w:r w:rsidRPr="00F50E68">
        <w:rPr>
          <w:rFonts w:ascii="Verdana" w:eastAsia="Calibri" w:hAnsi="Verdana" w:cs="Arial"/>
          <w:lang w:val="es-ES" w:eastAsia="es-ES_tradnl"/>
        </w:rPr>
        <w:t>) modalidad de selección y v) fecha de inicio del proceso contractual</w:t>
      </w:r>
      <w:r w:rsidRPr="00F50E68">
        <w:rPr>
          <w:rFonts w:ascii="Verdana" w:eastAsia="Calibri" w:hAnsi="Verdana" w:cs="Arial"/>
          <w:vertAlign w:val="superscript"/>
          <w:lang w:eastAsia="es-ES_tradnl"/>
        </w:rPr>
        <w:footnoteReference w:id="6"/>
      </w:r>
      <w:r w:rsidRPr="00F50E68">
        <w:rPr>
          <w:rFonts w:ascii="Verdana" w:eastAsia="Calibri" w:hAnsi="Verdana" w:cs="Arial"/>
          <w:lang w:val="es-ES" w:eastAsia="es-ES_tradnl"/>
        </w:rPr>
        <w:t>.</w:t>
      </w:r>
    </w:p>
    <w:p w14:paraId="6B534406" w14:textId="77777777" w:rsidR="002171B7" w:rsidRPr="00F50E68" w:rsidRDefault="002171B7" w:rsidP="002171B7">
      <w:pPr>
        <w:tabs>
          <w:tab w:val="left" w:pos="0"/>
        </w:tabs>
        <w:spacing w:line="276" w:lineRule="auto"/>
        <w:jc w:val="both"/>
        <w:rPr>
          <w:rFonts w:ascii="Verdana" w:eastAsia="Calibri" w:hAnsi="Verdana" w:cs="Arial"/>
          <w:lang w:val="es-ES"/>
        </w:rPr>
      </w:pPr>
      <w:r w:rsidRPr="00F50E68">
        <w:rPr>
          <w:rFonts w:ascii="Verdana" w:eastAsia="Calibri" w:hAnsi="Verdana" w:cs="Arial"/>
          <w:lang w:val="es-ES"/>
        </w:rPr>
        <w:tab/>
        <w:t>Con relación a la configuración de dicho listado, en primer lugar, es necesario resaltar que el objetivo del PAA es indicar los bienes, obras y servicios que la entidad pretende adquirir, sin consideración a la forma en que estos se obtendrán,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w:t>
      </w:r>
    </w:p>
    <w:p w14:paraId="74659CA1" w14:textId="77777777" w:rsidR="002171B7" w:rsidRPr="00F50E68" w:rsidRDefault="002171B7" w:rsidP="002171B7">
      <w:pPr>
        <w:spacing w:after="120" w:line="276" w:lineRule="auto"/>
        <w:ind w:firstLine="703"/>
        <w:jc w:val="both"/>
        <w:textAlignment w:val="baseline"/>
        <w:rPr>
          <w:rFonts w:ascii="Verdana" w:eastAsia="Times New Roman" w:hAnsi="Verdana" w:cs="Segoe UI"/>
          <w:lang w:eastAsia="es-CO"/>
        </w:rPr>
      </w:pPr>
      <w:r w:rsidRPr="00F50E68">
        <w:rPr>
          <w:rFonts w:ascii="Verdana" w:eastAsia="Times New Roman" w:hAnsi="Verdana" w:cs="Arial"/>
          <w:lang w:val="es-ES" w:eastAsia="es-CO"/>
        </w:rPr>
        <w:lastRenderedPageBreak/>
        <w:t>Un interrogante surge de lo anterior: ¿cómo puede la entidad definir si debe o no incluir un bien, obra o servicio en el plan? Basta consultar el artículo 2.2.1.1.1.4.1. del Decreto 1082 de 2015, donde señala que “[…]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que no siendo menos importante es complementaria y descriptiva de la información esencialísima del plan, como se explicará a continuación. </w:t>
      </w:r>
      <w:r w:rsidRPr="00F50E68">
        <w:rPr>
          <w:rFonts w:ascii="Verdana" w:eastAsia="Times New Roman" w:hAnsi="Verdana" w:cs="Arial"/>
          <w:lang w:eastAsia="es-CO"/>
        </w:rPr>
        <w:t> </w:t>
      </w:r>
    </w:p>
    <w:p w14:paraId="7936AF77" w14:textId="77777777" w:rsidR="002171B7" w:rsidRPr="00F50E68" w:rsidRDefault="002171B7" w:rsidP="002171B7">
      <w:pPr>
        <w:spacing w:after="120" w:line="276" w:lineRule="auto"/>
        <w:ind w:firstLine="703"/>
        <w:jc w:val="both"/>
        <w:textAlignment w:val="baseline"/>
        <w:rPr>
          <w:rFonts w:ascii="Verdana" w:eastAsia="Times New Roman" w:hAnsi="Verdana" w:cs="Segoe UI"/>
          <w:lang w:eastAsia="es-CO"/>
        </w:rPr>
      </w:pPr>
      <w:r w:rsidRPr="00F50E68">
        <w:rPr>
          <w:rFonts w:ascii="Verdana" w:eastAsia="Times New Roman" w:hAnsi="Verdana" w:cs="Arial"/>
          <w:lang w:val="es-ES" w:eastAsia="es-CO"/>
        </w:rPr>
        <w:t>La norma citada en el párrafo precedente dispone que el PAA tiene un contenido esencial –la lista de bienes, obras y servicios que la entidad pretenda adquirir–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r w:rsidRPr="00F50E68">
        <w:rPr>
          <w:rFonts w:ascii="Verdana" w:eastAsia="Times New Roman" w:hAnsi="Verdana" w:cs="Arial"/>
          <w:lang w:eastAsia="es-CO"/>
        </w:rPr>
        <w:t> </w:t>
      </w:r>
    </w:p>
    <w:p w14:paraId="41F6667C" w14:textId="77777777" w:rsidR="002171B7" w:rsidRPr="00F50E68" w:rsidRDefault="002171B7" w:rsidP="002171B7">
      <w:pPr>
        <w:spacing w:after="120" w:line="276" w:lineRule="auto"/>
        <w:ind w:firstLine="703"/>
        <w:jc w:val="both"/>
        <w:rPr>
          <w:rFonts w:ascii="Verdana" w:eastAsia="Times New Roman" w:hAnsi="Verdana" w:cs="Arial"/>
          <w:lang w:val="es-ES" w:eastAsia="es-CO"/>
        </w:rPr>
      </w:pPr>
      <w:r w:rsidRPr="00F50E68">
        <w:rPr>
          <w:rFonts w:ascii="Verdana" w:eastAsia="Times New Roman" w:hAnsi="Verdana" w:cs="Arial"/>
          <w:lang w:val="es-ES" w:eastAsia="es-ES_tradnl"/>
        </w:rPr>
        <w:t>Del primer aparte de la norma, se observa que su finalidad es clara: todos los bienes, obras o servicios que la entidad tenga intención de adquirir deben incluirse en el plan. Es decir, la obligación de incluir un contenido específico en el plan, se fundamenta únicamente en que se trate de un bien, obra o servicio que la entidad pretenda adquirir</w:t>
      </w:r>
      <w:r w:rsidRPr="00F50E68">
        <w:rPr>
          <w:rFonts w:ascii="Verdana" w:eastAsia="Times New Roman" w:hAnsi="Verdana" w:cs="Arial"/>
          <w:i/>
          <w:iCs/>
          <w:lang w:val="es-ES" w:eastAsia="es-ES_tradnl"/>
        </w:rPr>
        <w:t>.</w:t>
      </w:r>
      <w:r w:rsidRPr="00F50E68">
        <w:rPr>
          <w:rFonts w:ascii="Verdana" w:eastAsia="Times New Roman" w:hAnsi="Verdana" w:cs="Arial"/>
          <w:lang w:val="es-ES" w:eastAsia="es-CO"/>
        </w:rPr>
        <w:t xml:space="preserve">  Adicionalmente, cuando el primer aparte señala que el plan “[…] deberá contener la lista de bienes, obras y servicios que pretenden adquirir durante un año”, es claro que adquirir es el elemento determinante para concluir que se debe enlistar un bien, obra o servicio en el plan. Esto, a pesar de que la misma disposición establezca otra información adicional que debe incluir este documento –modalidad, valor estimado–, pero que resulta ser complementaria o descriptiva a la señalada como información mínima o esencialísima del plan. </w:t>
      </w:r>
    </w:p>
    <w:p w14:paraId="24C67F6F" w14:textId="77777777" w:rsidR="002171B7" w:rsidRPr="00F50E68" w:rsidRDefault="002171B7" w:rsidP="002171B7">
      <w:pPr>
        <w:spacing w:before="120" w:after="0" w:line="276" w:lineRule="auto"/>
        <w:ind w:firstLine="709"/>
        <w:jc w:val="both"/>
        <w:rPr>
          <w:rFonts w:ascii="Verdana" w:eastAsia="Calibri" w:hAnsi="Verdana" w:cs="Arial"/>
          <w:lang w:val="es-ES"/>
        </w:rPr>
      </w:pPr>
      <w:r w:rsidRPr="00F50E68">
        <w:rPr>
          <w:rFonts w:ascii="Verdana" w:eastAsia="Calibri" w:hAnsi="Verdana" w:cs="Arial"/>
          <w:lang w:val="es-ES"/>
        </w:rPr>
        <w:lastRenderedPageBreak/>
        <w:t xml:space="preserve">Esta Agencia, con el fin de orientar a las Entidades Estatales en la elaboración y actualización del PAA, incorporó en la guía sobre el tema, el “Anexo 2 – Adquisiciones Planeadas” en el que de manera ilustrativa se relaciona la información mínima y obligatoria que debe contener dicho plan. Parte de este anexo se inserta a continuación: </w:t>
      </w:r>
    </w:p>
    <w:p w14:paraId="6E139DBD" w14:textId="77777777" w:rsidR="002171B7" w:rsidRPr="00F50E68" w:rsidRDefault="002171B7" w:rsidP="002171B7">
      <w:pPr>
        <w:spacing w:before="120" w:after="0" w:line="276" w:lineRule="auto"/>
        <w:ind w:firstLine="709"/>
        <w:jc w:val="both"/>
        <w:rPr>
          <w:rFonts w:ascii="Verdana" w:eastAsia="Calibri" w:hAnsi="Verdana" w:cs="Arial"/>
          <w:lang w:val="es-ES"/>
        </w:rPr>
      </w:pPr>
      <w:r w:rsidRPr="00F50E68">
        <w:rPr>
          <w:rFonts w:ascii="Verdana" w:eastAsia="Calibri" w:hAnsi="Verdana" w:cs="Arial"/>
          <w:noProof/>
          <w:lang w:val="es-ES"/>
        </w:rPr>
        <w:drawing>
          <wp:inline distT="0" distB="0" distL="0" distR="0" wp14:anchorId="3B689FF3" wp14:editId="37CD0864">
            <wp:extent cx="4782633" cy="1623974"/>
            <wp:effectExtent l="0" t="0" r="0" b="0"/>
            <wp:docPr id="3386663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666340" name=""/>
                    <pic:cNvPicPr/>
                  </pic:nvPicPr>
                  <pic:blipFill>
                    <a:blip r:embed="rId13"/>
                    <a:stretch>
                      <a:fillRect/>
                    </a:stretch>
                  </pic:blipFill>
                  <pic:spPr>
                    <a:xfrm>
                      <a:off x="0" y="0"/>
                      <a:ext cx="4796023" cy="1628521"/>
                    </a:xfrm>
                    <a:prstGeom prst="rect">
                      <a:avLst/>
                    </a:prstGeom>
                  </pic:spPr>
                </pic:pic>
              </a:graphicData>
            </a:graphic>
          </wp:inline>
        </w:drawing>
      </w:r>
    </w:p>
    <w:p w14:paraId="01974264" w14:textId="77777777" w:rsidR="002171B7" w:rsidRPr="00F50E68" w:rsidRDefault="002171B7" w:rsidP="002171B7">
      <w:pPr>
        <w:spacing w:after="0" w:line="276" w:lineRule="auto"/>
        <w:ind w:firstLine="703"/>
        <w:jc w:val="both"/>
        <w:rPr>
          <w:rFonts w:ascii="Verdana" w:eastAsia="Times New Roman" w:hAnsi="Verdana" w:cs="Segoe UI"/>
          <w:lang w:eastAsia="es-ES_tradnl"/>
        </w:rPr>
      </w:pPr>
    </w:p>
    <w:p w14:paraId="22DAAB01" w14:textId="77777777" w:rsidR="002171B7" w:rsidRPr="00F50E68" w:rsidRDefault="002171B7" w:rsidP="002171B7">
      <w:pPr>
        <w:spacing w:after="0" w:line="276" w:lineRule="auto"/>
        <w:ind w:firstLine="703"/>
        <w:jc w:val="both"/>
        <w:rPr>
          <w:rFonts w:ascii="Verdana" w:eastAsia="Calibri" w:hAnsi="Verdana" w:cs="Arial"/>
          <w:lang w:val="es-ES" w:eastAsia="es-ES_tradnl"/>
        </w:rPr>
      </w:pPr>
      <w:r w:rsidRPr="00F50E68">
        <w:rPr>
          <w:rFonts w:ascii="Verdana" w:eastAsia="Calibri" w:hAnsi="Verdana" w:cs="Arial"/>
          <w:lang w:eastAsia="es-ES_tradnl"/>
        </w:rPr>
        <w:t xml:space="preserve">Por otra parte, y al resultar relevante con el objeto de consulta, debe precisarse que el inciso primero (1) del artículo </w:t>
      </w:r>
      <w:r w:rsidRPr="00F50E68">
        <w:rPr>
          <w:rFonts w:ascii="Verdana" w:eastAsia="Calibri" w:hAnsi="Verdana" w:cs="Arial"/>
          <w:lang w:val="es-ES" w:eastAsia="es-ES_tradnl"/>
        </w:rPr>
        <w:t>2.2.1.1.1.4.4 del Decreto 1082 de 2015</w:t>
      </w:r>
      <w:r w:rsidRPr="00F50E68">
        <w:rPr>
          <w:rFonts w:ascii="Verdana" w:eastAsia="Calibri" w:hAnsi="Verdana" w:cs="Arial"/>
          <w:vertAlign w:val="superscript"/>
          <w:lang w:eastAsia="es-ES_tradnl"/>
        </w:rPr>
        <w:footnoteReference w:id="7"/>
      </w:r>
      <w:r w:rsidRPr="00F50E68">
        <w:rPr>
          <w:rFonts w:ascii="Verdana" w:eastAsia="Calibri" w:hAnsi="Verdana" w:cs="Arial"/>
          <w:lang w:val="es-ES" w:eastAsia="es-ES_tradnl"/>
        </w:rPr>
        <w:t xml:space="preserve">, fijó el alcance de la facultad otorgada a las Entidades Estatales para actualizar el PAA. Por ello es pertinente consultar el significado natural del verbo rector de la disposición y luego establecer los límites establecidos en la norma. </w:t>
      </w:r>
    </w:p>
    <w:p w14:paraId="39DF1371" w14:textId="77777777" w:rsidR="002171B7" w:rsidRPr="00F50E68" w:rsidRDefault="002171B7" w:rsidP="002171B7">
      <w:pPr>
        <w:spacing w:before="120" w:after="120" w:line="276" w:lineRule="auto"/>
        <w:ind w:firstLine="709"/>
        <w:jc w:val="both"/>
        <w:rPr>
          <w:rFonts w:ascii="Verdana" w:eastAsia="Calibri" w:hAnsi="Verdana" w:cs="Arial"/>
          <w:lang w:val="es-ES" w:eastAsia="es-ES_tradnl"/>
        </w:rPr>
      </w:pPr>
      <w:r w:rsidRPr="00F50E68">
        <w:rPr>
          <w:rFonts w:ascii="Verdana" w:eastAsia="Calibri" w:hAnsi="Verdana" w:cs="Arial"/>
          <w:lang w:val="es-ES" w:eastAsia="es-ES_tradnl"/>
        </w:rPr>
        <w:t>En ese sentido, se tiene que el Diccionario de la Lengua Española define “actualizar” como “hacer actual algo, darle actualidad” o “poner al día datos, normas, precios rentas, salarios”. Es decir, “actualizar” se puede asociar con la acción de traer al presente un dato establecido en el pasado. Aplicada esta definición a la norma citada, se tendría que el reglamento facultó a las Entidades Estatales para poner al día la información contenida en el documento del PAA.</w:t>
      </w:r>
    </w:p>
    <w:p w14:paraId="3DF99F5E" w14:textId="77777777" w:rsidR="002171B7" w:rsidRPr="00F50E68" w:rsidRDefault="002171B7" w:rsidP="002171B7">
      <w:pPr>
        <w:spacing w:after="120" w:line="276" w:lineRule="auto"/>
        <w:ind w:firstLine="709"/>
        <w:jc w:val="both"/>
        <w:rPr>
          <w:rFonts w:ascii="Verdana" w:eastAsia="Calibri" w:hAnsi="Verdana" w:cs="Arial"/>
          <w:lang w:val="es-ES" w:eastAsia="es-ES_tradnl"/>
        </w:rPr>
      </w:pPr>
      <w:r w:rsidRPr="00F50E68">
        <w:rPr>
          <w:rFonts w:ascii="Verdana" w:eastAsia="Calibri" w:hAnsi="Verdana" w:cs="Arial"/>
          <w:lang w:val="es-ES" w:eastAsia="es-ES_tradnl"/>
        </w:rPr>
        <w:t xml:space="preserve">Así pues, y con el deber de actualizar el PAA, una vez al año cuando menos, implícitamente se señala que el contenido inicial no es rígido ni </w:t>
      </w:r>
      <w:r w:rsidRPr="00F50E68">
        <w:rPr>
          <w:rFonts w:ascii="Verdana" w:eastAsia="Calibri" w:hAnsi="Verdana" w:cs="Arial"/>
          <w:lang w:val="es-ES" w:eastAsia="es-ES_tradnl"/>
        </w:rPr>
        <w:lastRenderedPageBreak/>
        <w:t xml:space="preserve">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14:paraId="2C63BC0E" w14:textId="77777777" w:rsidR="002171B7" w:rsidRPr="00F50E68" w:rsidRDefault="002171B7" w:rsidP="002171B7">
      <w:pPr>
        <w:spacing w:after="120" w:line="276" w:lineRule="auto"/>
        <w:ind w:firstLine="709"/>
        <w:jc w:val="both"/>
        <w:rPr>
          <w:rFonts w:ascii="Verdana" w:eastAsia="Calibri" w:hAnsi="Verdana" w:cs="Arial"/>
          <w:lang w:val="es-ES" w:eastAsia="es-ES_tradnl"/>
        </w:rPr>
      </w:pPr>
      <w:r w:rsidRPr="00F50E68">
        <w:rPr>
          <w:rFonts w:ascii="Verdana" w:eastAsia="Calibri" w:hAnsi="Verdana" w:cs="Arial"/>
          <w:lang w:val="es-ES" w:eastAsia="es-ES_tradnl"/>
        </w:rPr>
        <w:t xml:space="preserve">El inciso 2 del artículo citado estableció cuatro (4) eventos en los que es factible actualizar el PAA, estos son: i) ajustes en los cronogramas de adquisición, valores, modalidad de selección y origen de los recursos; </w:t>
      </w:r>
      <w:proofErr w:type="spellStart"/>
      <w:r w:rsidRPr="00F50E68">
        <w:rPr>
          <w:rFonts w:ascii="Verdana" w:eastAsia="Calibri" w:hAnsi="Verdana" w:cs="Arial"/>
          <w:lang w:val="es-ES" w:eastAsia="es-ES_tradnl"/>
        </w:rPr>
        <w:t>ii</w:t>
      </w:r>
      <w:proofErr w:type="spellEnd"/>
      <w:r w:rsidRPr="00F50E68">
        <w:rPr>
          <w:rFonts w:ascii="Verdana" w:eastAsia="Calibri" w:hAnsi="Verdana" w:cs="Arial"/>
          <w:lang w:val="es-ES" w:eastAsia="es-ES_tradnl"/>
        </w:rPr>
        <w:t xml:space="preserve">) para incluir nuevas obras, bienes o servicios; </w:t>
      </w:r>
      <w:proofErr w:type="spellStart"/>
      <w:r w:rsidRPr="00F50E68">
        <w:rPr>
          <w:rFonts w:ascii="Verdana" w:eastAsia="Calibri" w:hAnsi="Verdana" w:cs="Arial"/>
          <w:lang w:val="es-ES" w:eastAsia="es-ES_tradnl"/>
        </w:rPr>
        <w:t>iii</w:t>
      </w:r>
      <w:proofErr w:type="spellEnd"/>
      <w:r w:rsidRPr="00F50E68">
        <w:rPr>
          <w:rFonts w:ascii="Verdana" w:eastAsia="Calibri" w:hAnsi="Verdana" w:cs="Arial"/>
          <w:lang w:val="es-ES" w:eastAsia="es-ES_tradnl"/>
        </w:rPr>
        <w:t xml:space="preserve">) excluir obras, bienes o servicios y </w:t>
      </w:r>
      <w:proofErr w:type="spellStart"/>
      <w:r w:rsidRPr="00F50E68">
        <w:rPr>
          <w:rFonts w:ascii="Verdana" w:eastAsia="Calibri" w:hAnsi="Verdana" w:cs="Arial"/>
          <w:lang w:val="es-ES" w:eastAsia="es-ES_tradnl"/>
        </w:rPr>
        <w:t>iv</w:t>
      </w:r>
      <w:proofErr w:type="spellEnd"/>
      <w:r w:rsidRPr="00F50E68">
        <w:rPr>
          <w:rFonts w:ascii="Verdana" w:eastAsia="Calibri" w:hAnsi="Verdana" w:cs="Arial"/>
          <w:lang w:val="es-ES" w:eastAsia="es-ES_tradnl"/>
        </w:rPr>
        <w:t xml:space="preserve">) modificar el presupuesto anual de adquisiciones. El inciso de la referencia solo estableció los eventos en los que tiene que actualizarse, sin limitar la modificación a ciertos topes, como, por ejemplo, aumentar o disminuir valores. La norma no enfatizó en este punto, por lo cual, en principio, podrá modificarse. </w:t>
      </w:r>
    </w:p>
    <w:p w14:paraId="093235F0" w14:textId="77777777" w:rsidR="002171B7" w:rsidRPr="00F50E68" w:rsidRDefault="002171B7" w:rsidP="002171B7">
      <w:pPr>
        <w:spacing w:before="120" w:after="120" w:line="276" w:lineRule="auto"/>
        <w:jc w:val="both"/>
        <w:rPr>
          <w:rFonts w:ascii="Verdana" w:eastAsia="Calibri" w:hAnsi="Verdana" w:cs="Arial"/>
        </w:rPr>
      </w:pPr>
      <w:r w:rsidRPr="00F50E68">
        <w:rPr>
          <w:rFonts w:ascii="Verdana" w:eastAsia="Calibri" w:hAnsi="Verdana" w:cs="Arial"/>
        </w:rPr>
        <w:tab/>
        <w:t xml:space="preserve">En ese orden, se considera que el PAA es un instrumento de planificación y orientación de las Entidades Estatales,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664BEB49" w14:textId="77777777" w:rsidR="002171B7" w:rsidRPr="00F50E68" w:rsidRDefault="002171B7" w:rsidP="002171B7">
      <w:pPr>
        <w:spacing w:before="120" w:after="120" w:line="276" w:lineRule="auto"/>
        <w:ind w:firstLine="708"/>
        <w:jc w:val="both"/>
        <w:rPr>
          <w:rFonts w:ascii="Verdana" w:eastAsia="Calibri" w:hAnsi="Verdana" w:cs="Arial"/>
        </w:rPr>
      </w:pPr>
      <w:r w:rsidRPr="00F50E68">
        <w:rPr>
          <w:rFonts w:ascii="Verdana" w:eastAsia="Calibri" w:hAnsi="Verdana" w:cs="Arial"/>
        </w:rPr>
        <w:t>Lo anterior, explica por qué no tiene que existir necesariamente identidad entre el valor del contrato previsto en el plan y el de cada procedimiento de contratación, porque la norma señaló que el valor del contrato, señalado en el plan, es “estimado”. Al respecto, es preciso indicar que el Consejo de Estado, en el Concepto No. 1.920 del 2008, asimila el “valor inicial” del contrato, como aquel aproximado o estimado</w:t>
      </w:r>
      <w:r w:rsidRPr="00F50E68">
        <w:rPr>
          <w:rFonts w:ascii="Verdana" w:eastAsia="Calibri" w:hAnsi="Verdana" w:cs="Arial"/>
          <w:i/>
          <w:iCs/>
        </w:rPr>
        <w:t xml:space="preserve"> </w:t>
      </w:r>
      <w:r w:rsidRPr="00F50E68">
        <w:rPr>
          <w:rFonts w:ascii="Verdana" w:eastAsia="Calibri" w:hAnsi="Verdana" w:cs="Arial"/>
        </w:rPr>
        <w:t>por el que se firmó el contrato. Esto significa que el valor estimado debe entenderse como la estimación inicial de todos los compromisos económicos que puedan derivar del contrato, sin importar si es una entidad la que realiza el aporte o varias. En conclusión, el valor estimado del contrato que las entidades incluyen en el PAA, es el valor total del proceso contractual.</w:t>
      </w:r>
    </w:p>
    <w:p w14:paraId="098E4B14" w14:textId="77777777" w:rsidR="002171B7" w:rsidRPr="00F50E68" w:rsidRDefault="002171B7" w:rsidP="002171B7">
      <w:pPr>
        <w:spacing w:after="120" w:line="276" w:lineRule="auto"/>
        <w:ind w:firstLine="709"/>
        <w:jc w:val="both"/>
        <w:rPr>
          <w:rFonts w:ascii="Verdana" w:eastAsia="Calibri" w:hAnsi="Verdana" w:cs="Arial"/>
          <w:lang w:eastAsia="es-ES_tradnl"/>
        </w:rPr>
      </w:pPr>
      <w:r w:rsidRPr="00F50E68">
        <w:rPr>
          <w:rFonts w:ascii="Verdana" w:eastAsia="Times New Roman" w:hAnsi="Verdana" w:cs="Arial"/>
          <w:lang w:eastAsia="es-ES_tradnl"/>
        </w:rPr>
        <w:t xml:space="preserve">Adicionalmente, vale la pena aclarar que pese a que </w:t>
      </w:r>
      <w:r w:rsidRPr="00F50E68">
        <w:rPr>
          <w:rFonts w:ascii="Verdana" w:eastAsia="Calibri" w:hAnsi="Verdana" w:cs="Arial"/>
          <w:lang w:eastAsia="es-ES_tradnl"/>
        </w:rPr>
        <w:t xml:space="preserve">el PAA es un instrumento de planeación, no es el único documento a través del cual se materializa la planeación en un proceso de contratación, el cual también debe atender a los demás instrumentos generales de planeación que obligan a la entidad contratante –por ejemplo, planes de desarrollo nacionales, presupuestos </w:t>
      </w:r>
      <w:r w:rsidRPr="00F50E68">
        <w:rPr>
          <w:rFonts w:ascii="Verdana" w:eastAsia="Calibri" w:hAnsi="Verdana" w:cs="Arial"/>
          <w:lang w:eastAsia="es-ES_tradnl"/>
        </w:rPr>
        <w:lastRenderedPageBreak/>
        <w:t xml:space="preserve">plurianuales, planes territoriales, etc.–, además de requerir la expedición de los estudios técnicos, jurídicos y/o financieros necesarios, según el caso, para determinar la conveniencia y la legalidad de la contratación–art. 25 de la Ley 80 de 1993– , los estudios previos y el análisis del sector relativo a la contratación que se pretende adelantar –2.2.1.1.2.1.1 y 2.2.1.1.1.6.1 del Decreto 1082 de 2015–.  </w:t>
      </w:r>
    </w:p>
    <w:p w14:paraId="32E305E6" w14:textId="77777777" w:rsidR="002171B7" w:rsidRPr="00F50E68" w:rsidRDefault="002171B7" w:rsidP="002171B7">
      <w:pPr>
        <w:spacing w:after="120" w:line="276" w:lineRule="auto"/>
        <w:ind w:firstLine="708"/>
        <w:jc w:val="both"/>
        <w:rPr>
          <w:rFonts w:ascii="Verdana" w:eastAsia="Calibri" w:hAnsi="Verdana" w:cs="Arial"/>
        </w:rPr>
      </w:pPr>
      <w:r w:rsidRPr="00F50E68">
        <w:rPr>
          <w:rFonts w:ascii="Verdana" w:eastAsia="Calibri" w:hAnsi="Verdana" w:cs="Arial"/>
        </w:rPr>
        <w:t xml:space="preserve">Finalmente, debe advertirse que el análisis requerido para resolver problemas específicos en torno a la elaboración del PAA,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A6614E8" w14:textId="77777777" w:rsidR="002171B7" w:rsidRPr="00F50E68" w:rsidRDefault="002171B7" w:rsidP="002171B7">
      <w:pPr>
        <w:spacing w:after="120" w:line="276" w:lineRule="auto"/>
        <w:ind w:firstLine="708"/>
        <w:jc w:val="both"/>
        <w:rPr>
          <w:rFonts w:ascii="Verdana" w:eastAsia="Calibri" w:hAnsi="Verdana" w:cs="Arial"/>
        </w:rPr>
      </w:pPr>
      <w:r w:rsidRPr="00F50E68">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493CE5A4" w14:textId="77777777" w:rsidR="002171B7" w:rsidRPr="00F50E68" w:rsidRDefault="002171B7" w:rsidP="002171B7">
      <w:pPr>
        <w:widowControl w:val="0"/>
        <w:autoSpaceDE w:val="0"/>
        <w:autoSpaceDN w:val="0"/>
        <w:spacing w:after="0" w:line="276" w:lineRule="auto"/>
        <w:contextualSpacing/>
        <w:jc w:val="both"/>
        <w:rPr>
          <w:rFonts w:ascii="Verdana" w:hAnsi="Verdana" w:cs="Arial"/>
        </w:rPr>
      </w:pPr>
    </w:p>
    <w:p w14:paraId="4042AADB" w14:textId="77777777" w:rsidR="002171B7" w:rsidRPr="00F50E68" w:rsidRDefault="002171B7" w:rsidP="002171B7">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4. Referencias normativas, jurisprudenciales y otras fuentes:</w:t>
      </w:r>
    </w:p>
    <w:p w14:paraId="58A16B13" w14:textId="77777777" w:rsidR="002171B7" w:rsidRPr="00F50E68" w:rsidRDefault="002171B7" w:rsidP="002171B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171B7" w:rsidRPr="00F50E68" w14:paraId="74170A55" w14:textId="77777777" w:rsidTr="00EE3DD5">
        <w:trPr>
          <w:trHeight w:val="870"/>
        </w:trPr>
        <w:tc>
          <w:tcPr>
            <w:tcW w:w="8647" w:type="dxa"/>
          </w:tcPr>
          <w:p w14:paraId="439597BC" w14:textId="77777777" w:rsidR="002171B7" w:rsidRPr="00F50E68" w:rsidRDefault="002171B7" w:rsidP="002171B7">
            <w:pPr>
              <w:widowControl w:val="0"/>
              <w:numPr>
                <w:ilvl w:val="0"/>
                <w:numId w:val="1"/>
              </w:numPr>
              <w:autoSpaceDE w:val="0"/>
              <w:autoSpaceDN w:val="0"/>
              <w:spacing w:line="276" w:lineRule="auto"/>
              <w:contextualSpacing/>
              <w:jc w:val="both"/>
              <w:rPr>
                <w:rFonts w:ascii="Verdana" w:eastAsia="Aptos" w:hAnsi="Verdana" w:cs="Arial"/>
              </w:rPr>
            </w:pPr>
            <w:r w:rsidRPr="00F50E68">
              <w:rPr>
                <w:rFonts w:ascii="Verdana" w:eastAsia="Calibri" w:hAnsi="Verdana" w:cs="Arial"/>
                <w:lang w:val="es-ES"/>
              </w:rPr>
              <w:t xml:space="preserve">Decreto 1082 de 2015. Artículo </w:t>
            </w:r>
            <w:r w:rsidRPr="00F50E68">
              <w:rPr>
                <w:rFonts w:ascii="Verdana" w:eastAsia="Calibri" w:hAnsi="Verdana" w:cs="Arial"/>
                <w:kern w:val="2"/>
                <w14:ligatures w14:val="standardContextual"/>
              </w:rPr>
              <w:t xml:space="preserve">2.2.1.1.1.3.1, 2.2.1.1.1.4.1, </w:t>
            </w:r>
            <w:r w:rsidRPr="00F50E68">
              <w:rPr>
                <w:rFonts w:ascii="Verdana" w:eastAsia="Calibri" w:hAnsi="Verdana" w:cs="Arial"/>
                <w:noProof/>
                <w:lang w:val="es-ES_tradnl"/>
              </w:rPr>
              <w:t>2.2.1.1.1.4.3 y 2.2.1.1.1.4.4</w:t>
            </w:r>
          </w:p>
          <w:p w14:paraId="5CEAED59" w14:textId="77777777" w:rsidR="002171B7" w:rsidRPr="00F50E68" w:rsidRDefault="002171B7" w:rsidP="002171B7">
            <w:pPr>
              <w:widowControl w:val="0"/>
              <w:numPr>
                <w:ilvl w:val="0"/>
                <w:numId w:val="1"/>
              </w:numPr>
              <w:autoSpaceDE w:val="0"/>
              <w:autoSpaceDN w:val="0"/>
              <w:spacing w:line="276" w:lineRule="auto"/>
              <w:contextualSpacing/>
              <w:jc w:val="both"/>
              <w:rPr>
                <w:rFonts w:ascii="Verdana" w:eastAsia="Aptos" w:hAnsi="Verdana" w:cs="Arial"/>
              </w:rPr>
            </w:pPr>
            <w:r w:rsidRPr="00F50E68">
              <w:rPr>
                <w:rFonts w:ascii="Verdana" w:eastAsia="Calibri" w:hAnsi="Verdana" w:cs="Arial"/>
                <w:kern w:val="2"/>
                <w14:ligatures w14:val="standardContextual"/>
              </w:rPr>
              <w:t>Ley 1474 de 2011. Artículo 74</w:t>
            </w:r>
          </w:p>
          <w:p w14:paraId="3BA0584F" w14:textId="77777777" w:rsidR="002171B7" w:rsidRPr="00F50E68" w:rsidRDefault="002171B7" w:rsidP="002171B7">
            <w:pPr>
              <w:widowControl w:val="0"/>
              <w:numPr>
                <w:ilvl w:val="0"/>
                <w:numId w:val="1"/>
              </w:numPr>
              <w:autoSpaceDE w:val="0"/>
              <w:autoSpaceDN w:val="0"/>
              <w:spacing w:line="276" w:lineRule="auto"/>
              <w:contextualSpacing/>
              <w:jc w:val="both"/>
              <w:rPr>
                <w:rFonts w:ascii="Verdana" w:eastAsia="Aptos" w:hAnsi="Verdana" w:cs="Arial"/>
              </w:rPr>
            </w:pPr>
            <w:r w:rsidRPr="00F50E68">
              <w:rPr>
                <w:rFonts w:ascii="Verdana" w:eastAsia="Calibri" w:hAnsi="Verdana" w:cs="Arial"/>
                <w:kern w:val="2"/>
                <w14:ligatures w14:val="standardContextual"/>
              </w:rPr>
              <w:t>Decreto 1081 de 2015. Artículo 2.1.1.2.1.10</w:t>
            </w:r>
          </w:p>
          <w:p w14:paraId="11689489" w14:textId="77777777" w:rsidR="002171B7" w:rsidRPr="00F50E68" w:rsidRDefault="002171B7" w:rsidP="002171B7">
            <w:pPr>
              <w:widowControl w:val="0"/>
              <w:numPr>
                <w:ilvl w:val="0"/>
                <w:numId w:val="1"/>
              </w:numPr>
              <w:autoSpaceDE w:val="0"/>
              <w:autoSpaceDN w:val="0"/>
              <w:spacing w:after="120" w:line="276" w:lineRule="auto"/>
              <w:contextualSpacing/>
              <w:jc w:val="both"/>
              <w:rPr>
                <w:rFonts w:ascii="Verdana" w:eastAsia="Aptos" w:hAnsi="Verdana" w:cs="Arial"/>
              </w:rPr>
            </w:pPr>
            <w:r w:rsidRPr="00F50E68">
              <w:rPr>
                <w:rFonts w:ascii="Verdana" w:eastAsia="Calibri" w:hAnsi="Verdana" w:cs="Arial"/>
                <w:kern w:val="2"/>
                <w14:ligatures w14:val="standardContextual"/>
              </w:rPr>
              <w:t xml:space="preserve">Guía para Elaborar el Plan Anual de Adquisiciones. Disponible </w:t>
            </w:r>
            <w:hyperlink r:id="rId14" w:history="1">
              <w:r w:rsidRPr="00F50E68">
                <w:rPr>
                  <w:rFonts w:ascii="Verdana" w:eastAsia="Calibri" w:hAnsi="Verdana" w:cs="Arial"/>
                  <w:color w:val="467886"/>
                  <w:kern w:val="2"/>
                  <w:u w:val="single"/>
                  <w14:ligatures w14:val="standardContextual"/>
                </w:rPr>
                <w:t>aquí</w:t>
              </w:r>
            </w:hyperlink>
          </w:p>
        </w:tc>
      </w:tr>
    </w:tbl>
    <w:p w14:paraId="32F4526B" w14:textId="77777777" w:rsidR="002171B7" w:rsidRPr="00F50E68" w:rsidRDefault="002171B7" w:rsidP="002171B7">
      <w:pPr>
        <w:widowControl w:val="0"/>
        <w:autoSpaceDE w:val="0"/>
        <w:autoSpaceDN w:val="0"/>
        <w:spacing w:after="0" w:line="276" w:lineRule="auto"/>
        <w:jc w:val="both"/>
        <w:rPr>
          <w:rFonts w:ascii="Verdana" w:hAnsi="Verdana" w:cs="Arial"/>
        </w:rPr>
      </w:pPr>
    </w:p>
    <w:p w14:paraId="620AB04E" w14:textId="77777777" w:rsidR="002171B7" w:rsidRPr="00F50E68" w:rsidRDefault="002171B7" w:rsidP="002171B7">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5. Doctrina de la Agencia Nacional de Contratación Pública:</w:t>
      </w:r>
    </w:p>
    <w:p w14:paraId="4F1A8D95" w14:textId="77777777" w:rsidR="002171B7" w:rsidRPr="00F50E68" w:rsidRDefault="002171B7" w:rsidP="002171B7">
      <w:pPr>
        <w:widowControl w:val="0"/>
        <w:autoSpaceDE w:val="0"/>
        <w:autoSpaceDN w:val="0"/>
        <w:spacing w:after="0" w:line="276" w:lineRule="auto"/>
        <w:jc w:val="both"/>
        <w:rPr>
          <w:rFonts w:ascii="Verdana" w:hAnsi="Verdana" w:cs="Arial"/>
        </w:rPr>
      </w:pPr>
    </w:p>
    <w:p w14:paraId="48B66086" w14:textId="77777777" w:rsidR="002171B7" w:rsidRPr="00F50E68" w:rsidRDefault="002171B7" w:rsidP="002171B7">
      <w:pPr>
        <w:widowControl w:val="0"/>
        <w:autoSpaceDE w:val="0"/>
        <w:autoSpaceDN w:val="0"/>
        <w:spacing w:after="0" w:line="276" w:lineRule="auto"/>
        <w:jc w:val="both"/>
        <w:rPr>
          <w:rFonts w:ascii="Verdana" w:hAnsi="Verdana" w:cs="Arial"/>
          <w:shd w:val="clear" w:color="auto" w:fill="FFFFFF"/>
          <w:lang w:val="es-ES"/>
        </w:rPr>
      </w:pPr>
      <w:r w:rsidRPr="00F50E68">
        <w:rPr>
          <w:rFonts w:ascii="Verdana" w:eastAsia="Aptos" w:hAnsi="Verdana" w:cs="Arial"/>
          <w:shd w:val="clear" w:color="auto" w:fill="FFFFFF"/>
          <w:lang w:val="es-ES"/>
        </w:rPr>
        <w:t xml:space="preserve">Sobre el marco jurídico del PAA, esta Subdirección se ha referido en los </w:t>
      </w:r>
      <w:r w:rsidRPr="00F50E68">
        <w:rPr>
          <w:rFonts w:ascii="Verdana" w:eastAsia="Aptos" w:hAnsi="Verdana" w:cs="Arial"/>
          <w:shd w:val="clear" w:color="auto" w:fill="FFFFFF"/>
          <w:lang w:val="es-ES"/>
        </w:rPr>
        <w:lastRenderedPageBreak/>
        <w:t xml:space="preserve">Conceptos </w:t>
      </w:r>
      <w:r w:rsidRPr="00F50E68">
        <w:rPr>
          <w:rFonts w:ascii="Verdana" w:eastAsia="Calibri" w:hAnsi="Verdana" w:cs="Arial"/>
          <w:lang w:val="es-ES_tradnl" w:eastAsia="es-MX"/>
        </w:rPr>
        <w:t>C-257 de 3 de junio de 2021, C-258 de 3 de junio de 2021, C-345 de 13 de julio de 2021, C-376 de 26 de julio de 2021, C-489 de 13 de septiembre de 2021, C-637 del 7 de diciembre de 2021, C-733 del 13 de enero de 2022,  C-026 del 18 de febrero de 2022, C-027 del 25 de febrero de 2022, C-047 del 2 de marzo de 2022, C-087 del 17 de marzo de 2022, C-408 del 23 de junio de 2022, C-622 de 28 de septiembre de 2022, C-754 de 9 de noviembre de 2022 , C-763 de 15 de noviembre de 2022, C-889 de 26 de diciembre de 2022, C-062 del 18 de abril de 2023, C-142 de 30 de mayo de 2023, C-196 de 15 de junio de 2023, C-122 de 21 de junio de 2023, C-364 de 6 de septiembre de 2023, C-438 del 24 de octubre 2023</w:t>
      </w:r>
      <w:r w:rsidRPr="00F50E68">
        <w:rPr>
          <w:rFonts w:ascii="Verdana" w:eastAsia="Aptos" w:hAnsi="Verdana" w:cs="Arial"/>
          <w:shd w:val="clear" w:color="auto" w:fill="FFFFFF"/>
          <w:lang w:val="es-ES"/>
        </w:rPr>
        <w:t xml:space="preserve">, C-887 del 20 de diciembre de 2024, C-934 del 30 de diciembre de 2024, C-1015 del 30 de diciembre de 2024, C-023 del 29 de enero de 2025, entre otros. </w:t>
      </w:r>
      <w:r w:rsidRPr="00F50E68">
        <w:rPr>
          <w:rFonts w:ascii="Verdana" w:hAnsi="Verdana" w:cs="Arial"/>
          <w:shd w:val="clear" w:color="auto" w:fill="FFFFFF"/>
          <w:lang w:val="es-ES"/>
        </w:rPr>
        <w:t>Es</w:t>
      </w:r>
      <w:r w:rsidRPr="00F50E68">
        <w:rPr>
          <w:rFonts w:ascii="Verdana" w:hAnsi="Verdana"/>
        </w:rPr>
        <w:t>tos y otros conceptos se encuentran disponibles para consulta en el Sistema de relatoría de la Agencia, al cual se puede acceder a través del siguiente enlace:</w:t>
      </w:r>
      <w:r w:rsidRPr="00F50E68">
        <w:rPr>
          <w:rFonts w:ascii="Verdana" w:hAnsi="Verdana" w:cs="Arial"/>
          <w:shd w:val="clear" w:color="auto" w:fill="FFFFFF"/>
          <w:lang w:val="es-ES"/>
        </w:rPr>
        <w:t xml:space="preserve"> </w:t>
      </w:r>
      <w:hyperlink r:id="rId15" w:history="1">
        <w:r w:rsidRPr="00F50E68">
          <w:rPr>
            <w:rFonts w:ascii="Verdana" w:hAnsi="Verdana" w:cs="Arial"/>
            <w:color w:val="467886" w:themeColor="hyperlink"/>
            <w:u w:val="single"/>
            <w:shd w:val="clear" w:color="auto" w:fill="FFFFFF"/>
            <w:lang w:val="es-ES"/>
          </w:rPr>
          <w:t>https://relatoria.colombiacompra.gov.co/busqueda/conceptos</w:t>
        </w:r>
      </w:hyperlink>
      <w:r w:rsidRPr="00F50E68">
        <w:rPr>
          <w:rFonts w:ascii="Verdana" w:hAnsi="Verdana" w:cs="Arial"/>
          <w:color w:val="FF0000"/>
          <w:shd w:val="clear" w:color="auto" w:fill="FFFFFF"/>
          <w:lang w:val="es-ES"/>
        </w:rPr>
        <w:t>.</w:t>
      </w:r>
    </w:p>
    <w:p w14:paraId="17A1D4E4" w14:textId="77777777" w:rsidR="002171B7" w:rsidRPr="00F50E68" w:rsidRDefault="002171B7" w:rsidP="002171B7">
      <w:pPr>
        <w:spacing w:before="120" w:after="120"/>
        <w:ind w:firstLine="709"/>
        <w:jc w:val="both"/>
        <w:rPr>
          <w:rFonts w:ascii="Verdana" w:eastAsia="Aptos" w:hAnsi="Verdana" w:cs="Times New Roman"/>
        </w:rPr>
      </w:pPr>
      <w:r w:rsidRPr="00F50E68">
        <w:rPr>
          <w:rFonts w:ascii="Verdana" w:eastAsia="Aptos" w:hAnsi="Verdana" w:cs="Times New Roman"/>
        </w:rPr>
        <w:t xml:space="preserve">La sostenibilidad no es una opción, es una obligación. Por ello, la Agencia Nacional de Contratación Pública –Colombia Compra Eficiente– te invita a realizar el </w:t>
      </w:r>
      <w:r w:rsidRPr="00F50E68">
        <w:rPr>
          <w:rFonts w:ascii="Verdana" w:eastAsia="Aptos" w:hAnsi="Verdana" w:cs="Times New Roman"/>
          <w:b/>
          <w:bCs/>
        </w:rPr>
        <w:t>Curso de Contratación Pública Sostenible y Socialmente Responsable</w:t>
      </w:r>
      <w:r w:rsidRPr="00F50E68">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50E68">
        <w:rPr>
          <w:rFonts w:ascii="Verdana" w:eastAsia="Aptos" w:hAnsi="Verdana" w:cs="Times New Roman"/>
        </w:rPr>
        <w:br/>
      </w:r>
      <w:hyperlink r:id="rId16" w:tgtFrame="_new" w:history="1">
        <w:r w:rsidRPr="00F50E68">
          <w:rPr>
            <w:rFonts w:ascii="Verdana" w:eastAsia="Aptos" w:hAnsi="Verdana" w:cs="Times New Roman"/>
            <w:color w:val="0000FF"/>
            <w:u w:val="single"/>
          </w:rPr>
          <w:t>https://formacionvirtual.colombiacompra.gov.co/mod/page/view.php?id=3718</w:t>
        </w:r>
      </w:hyperlink>
    </w:p>
    <w:p w14:paraId="3670EAFF" w14:textId="77777777" w:rsidR="002171B7" w:rsidRPr="00F50E68" w:rsidRDefault="002171B7" w:rsidP="002171B7">
      <w:pPr>
        <w:ind w:firstLine="708"/>
        <w:jc w:val="both"/>
        <w:rPr>
          <w:rFonts w:ascii="Verdana" w:eastAsia="Aptos" w:hAnsi="Verdana" w:cs="Times New Roman"/>
        </w:rPr>
      </w:pPr>
      <w:r w:rsidRPr="00F50E68">
        <w:rPr>
          <w:rFonts w:ascii="Verdana" w:eastAsia="Aptos" w:hAnsi="Verdana" w:cs="Times New Roman"/>
        </w:rPr>
        <w:t xml:space="preserve">De otro lado, te contamos que esta Agencia ha da un paso decisivo en la estandarización y modernización del </w:t>
      </w:r>
      <w:r w:rsidRPr="00F50E68">
        <w:rPr>
          <w:rFonts w:ascii="Verdana" w:eastAsia="Aptos" w:hAnsi="Verdana" w:cs="Times New Roman"/>
          <w:b/>
          <w:bCs/>
        </w:rPr>
        <w:t>sector  social</w:t>
      </w:r>
      <w:r w:rsidRPr="00F50E68">
        <w:rPr>
          <w:rFonts w:ascii="Verdana" w:eastAsia="Aptos" w:hAnsi="Verdana" w:cs="Times New Roman"/>
        </w:rPr>
        <w:t xml:space="preserve"> con la expedición de las </w:t>
      </w:r>
      <w:r w:rsidRPr="00F50E68">
        <w:rPr>
          <w:rFonts w:ascii="Verdana" w:eastAsia="Aptos" w:hAnsi="Verdana" w:cs="Times New Roman"/>
          <w:b/>
          <w:bCs/>
        </w:rPr>
        <w:t>Resoluciones 539, 540, 541, 952 y 953 de 2025</w:t>
      </w:r>
      <w:r w:rsidRPr="00F50E68">
        <w:rPr>
          <w:rFonts w:ascii="Verdana" w:eastAsia="Aptos" w:hAnsi="Verdana" w:cs="Times New Roman"/>
        </w:rPr>
        <w:t xml:space="preserve">, </w:t>
      </w:r>
      <w:r w:rsidRPr="00F50E68">
        <w:rPr>
          <w:rFonts w:ascii="Verdana" w:eastAsia="Aptos" w:hAnsi="Verdana" w:cs="Times New Roman"/>
          <w:b/>
          <w:bCs/>
        </w:rPr>
        <w:t>mediante las cuales adoptó Documentos Tipo</w:t>
      </w:r>
      <w:r w:rsidRPr="00F50E68">
        <w:rPr>
          <w:rFonts w:ascii="Verdana" w:eastAsia="Aptos" w:hAnsi="Verdana" w:cs="Times New Roman"/>
        </w:rPr>
        <w:t xml:space="preserve"> para las modalidades de selección de</w:t>
      </w:r>
      <w:r w:rsidRPr="00F50E68">
        <w:rPr>
          <w:rFonts w:ascii="Verdana" w:eastAsia="Aptos" w:hAnsi="Verdana" w:cs="Times New Roman"/>
          <w:b/>
          <w:bCs/>
        </w:rPr>
        <w:t xml:space="preserve"> licitación pública (versión 2), selección abreviada de menor cuantía, mínima cuantía, consultoría e interventoría</w:t>
      </w:r>
      <w:r w:rsidRPr="00F50E68">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F50E68">
          <w:rPr>
            <w:rFonts w:ascii="Verdana" w:eastAsia="Aptos" w:hAnsi="Verdana" w:cs="Times New Roman"/>
            <w:color w:val="0000FF"/>
            <w:u w:val="single"/>
          </w:rPr>
          <w:t>https://www.colombiacompra.gov.co/normativa-y-relatoria/documentos-tipo</w:t>
        </w:r>
      </w:hyperlink>
    </w:p>
    <w:p w14:paraId="24F40D02" w14:textId="77777777" w:rsidR="002171B7" w:rsidRPr="00F50E68" w:rsidRDefault="002171B7" w:rsidP="002171B7">
      <w:pPr>
        <w:widowControl w:val="0"/>
        <w:autoSpaceDE w:val="0"/>
        <w:autoSpaceDN w:val="0"/>
        <w:spacing w:after="0" w:line="276" w:lineRule="auto"/>
        <w:ind w:firstLine="708"/>
        <w:jc w:val="both"/>
        <w:rPr>
          <w:rFonts w:ascii="Verdana" w:hAnsi="Verdana"/>
        </w:rPr>
      </w:pPr>
      <w:r w:rsidRPr="00F50E68">
        <w:rPr>
          <w:rFonts w:ascii="Verdana" w:eastAsia="Aptos" w:hAnsi="Verdana" w:cs="Times New Roman"/>
        </w:rPr>
        <w:t xml:space="preserve">Si quieres conocer más sobre la aplicación de Documentos Tipo puedes consultar la última versión de la </w:t>
      </w:r>
      <w:r w:rsidRPr="00F50E68">
        <w:rPr>
          <w:rFonts w:ascii="Verdana" w:eastAsia="Aptos" w:hAnsi="Verdana" w:cs="Times New Roman"/>
          <w:b/>
          <w:bCs/>
        </w:rPr>
        <w:t xml:space="preserve">Guía para la comprensión e implementación de los Documentos Tipo de obra pública de </w:t>
      </w:r>
      <w:r w:rsidRPr="00F50E68">
        <w:rPr>
          <w:rFonts w:ascii="Verdana" w:eastAsia="Aptos" w:hAnsi="Verdana" w:cs="Times New Roman"/>
          <w:b/>
          <w:bCs/>
        </w:rPr>
        <w:lastRenderedPageBreak/>
        <w:t>infraestructura de transporte</w:t>
      </w:r>
      <w:r w:rsidRPr="00F50E68">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50E68">
        <w:rPr>
          <w:rFonts w:ascii="Verdana" w:eastAsia="Aptos" w:hAnsi="Verdana" w:cs="Times New Roman"/>
        </w:rPr>
        <w:br/>
      </w:r>
      <w:hyperlink r:id="rId18" w:tgtFrame="_new" w:history="1">
        <w:r w:rsidRPr="00F50E68">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41A3CD6F" w14:textId="77777777" w:rsidR="002171B7" w:rsidRPr="00F50E68" w:rsidRDefault="002171B7" w:rsidP="002171B7">
      <w:pPr>
        <w:widowControl w:val="0"/>
        <w:autoSpaceDE w:val="0"/>
        <w:autoSpaceDN w:val="0"/>
        <w:spacing w:after="0" w:line="276" w:lineRule="auto"/>
        <w:jc w:val="both"/>
        <w:rPr>
          <w:rFonts w:ascii="Verdana" w:hAnsi="Verdana" w:cs="Arial"/>
          <w:shd w:val="clear" w:color="auto" w:fill="FFFFFF"/>
          <w:lang w:val="es-ES"/>
        </w:rPr>
      </w:pPr>
    </w:p>
    <w:p w14:paraId="440CEEA5" w14:textId="77777777" w:rsidR="002171B7" w:rsidRPr="00F50E68" w:rsidRDefault="002171B7" w:rsidP="002171B7">
      <w:pPr>
        <w:spacing w:after="0" w:line="240" w:lineRule="auto"/>
        <w:jc w:val="both"/>
        <w:rPr>
          <w:rFonts w:ascii="Verdana" w:hAnsi="Verdana"/>
        </w:rPr>
      </w:pPr>
      <w:r w:rsidRPr="00F50E68">
        <w:rPr>
          <w:rFonts w:ascii="Verdana" w:hAnsi="Verdana"/>
        </w:rPr>
        <w:t xml:space="preserve">Por último, lo invitamos a seguirnos en las redes sociales en las cuales se difunde información institucional: </w:t>
      </w:r>
    </w:p>
    <w:p w14:paraId="3F2C092E" w14:textId="77777777" w:rsidR="002171B7" w:rsidRPr="00F50E68" w:rsidRDefault="002171B7" w:rsidP="002171B7">
      <w:pPr>
        <w:spacing w:after="0" w:line="240" w:lineRule="auto"/>
        <w:jc w:val="both"/>
        <w:rPr>
          <w:rFonts w:ascii="Verdana" w:hAnsi="Verdana"/>
        </w:rPr>
      </w:pPr>
    </w:p>
    <w:p w14:paraId="1769105E" w14:textId="77777777" w:rsidR="002171B7" w:rsidRPr="00F50E68" w:rsidRDefault="002171B7" w:rsidP="002171B7">
      <w:pPr>
        <w:spacing w:after="0" w:line="240" w:lineRule="auto"/>
        <w:jc w:val="both"/>
        <w:rPr>
          <w:rFonts w:ascii="Verdana" w:hAnsi="Verdana"/>
        </w:rPr>
      </w:pPr>
      <w:r w:rsidRPr="00F50E68">
        <w:rPr>
          <w:rFonts w:ascii="Verdana" w:hAnsi="Verdana"/>
        </w:rPr>
        <w:t xml:space="preserve">Twitter: </w:t>
      </w:r>
      <w:r w:rsidRPr="00F50E68">
        <w:rPr>
          <w:rFonts w:ascii="Verdana" w:hAnsi="Verdana"/>
          <w:color w:val="156082" w:themeColor="accent1"/>
          <w:u w:val="single"/>
        </w:rPr>
        <w:t>@colombiacompra</w:t>
      </w:r>
      <w:r w:rsidRPr="00F50E68">
        <w:rPr>
          <w:rFonts w:ascii="Verdana" w:hAnsi="Verdana"/>
          <w:color w:val="156082" w:themeColor="accent1"/>
        </w:rPr>
        <w:t xml:space="preserve"> </w:t>
      </w:r>
    </w:p>
    <w:p w14:paraId="34A593C8" w14:textId="77777777" w:rsidR="002171B7" w:rsidRPr="00F50E68" w:rsidRDefault="002171B7" w:rsidP="002171B7">
      <w:pPr>
        <w:spacing w:after="0" w:line="240" w:lineRule="auto"/>
        <w:jc w:val="both"/>
        <w:rPr>
          <w:rFonts w:ascii="Verdana" w:hAnsi="Verdana"/>
        </w:rPr>
      </w:pPr>
      <w:r w:rsidRPr="00F50E68">
        <w:rPr>
          <w:rFonts w:ascii="Verdana" w:hAnsi="Verdana"/>
        </w:rPr>
        <w:t xml:space="preserve">Facebook: </w:t>
      </w:r>
      <w:proofErr w:type="spellStart"/>
      <w:r w:rsidRPr="00F50E68">
        <w:rPr>
          <w:rFonts w:ascii="Verdana" w:hAnsi="Verdana"/>
          <w:color w:val="156082" w:themeColor="accent1"/>
          <w:u w:val="single"/>
        </w:rPr>
        <w:t>ColombiaCompraEficiente</w:t>
      </w:r>
      <w:proofErr w:type="spellEnd"/>
    </w:p>
    <w:p w14:paraId="4F232AE2" w14:textId="77777777" w:rsidR="002171B7" w:rsidRPr="00F50E68" w:rsidRDefault="002171B7" w:rsidP="002171B7">
      <w:pPr>
        <w:spacing w:after="0" w:line="240" w:lineRule="auto"/>
        <w:jc w:val="both"/>
        <w:rPr>
          <w:rFonts w:ascii="Verdana" w:hAnsi="Verdana"/>
        </w:rPr>
      </w:pPr>
      <w:r w:rsidRPr="00F50E68">
        <w:rPr>
          <w:rFonts w:ascii="Verdana" w:hAnsi="Verdana"/>
        </w:rPr>
        <w:t xml:space="preserve">LinkedIn: </w:t>
      </w:r>
      <w:r w:rsidRPr="00F50E68">
        <w:rPr>
          <w:rFonts w:ascii="Verdana" w:hAnsi="Verdana"/>
          <w:color w:val="156082" w:themeColor="accent1"/>
          <w:u w:val="single"/>
        </w:rPr>
        <w:t>Agencia Nacional de Contratación Pública - Colombia Compra Eficiente</w:t>
      </w:r>
      <w:r w:rsidRPr="00F50E68">
        <w:rPr>
          <w:rFonts w:ascii="Verdana" w:hAnsi="Verdana"/>
          <w:color w:val="156082" w:themeColor="accent1"/>
        </w:rPr>
        <w:t xml:space="preserve"> </w:t>
      </w:r>
      <w:r w:rsidRPr="00F50E68">
        <w:rPr>
          <w:rFonts w:ascii="Verdana" w:hAnsi="Verdana"/>
        </w:rPr>
        <w:t xml:space="preserve">Instagram: </w:t>
      </w:r>
      <w:r w:rsidRPr="00F50E68">
        <w:rPr>
          <w:rFonts w:ascii="Verdana" w:hAnsi="Verdana"/>
          <w:color w:val="156082" w:themeColor="accent1"/>
          <w:u w:val="single"/>
        </w:rPr>
        <w:t>@colombiacompraeficiente_cce</w:t>
      </w:r>
    </w:p>
    <w:p w14:paraId="13310808" w14:textId="77777777" w:rsidR="002171B7" w:rsidRPr="00F50E68" w:rsidRDefault="002171B7" w:rsidP="002171B7">
      <w:pPr>
        <w:widowControl w:val="0"/>
        <w:autoSpaceDE w:val="0"/>
        <w:autoSpaceDN w:val="0"/>
        <w:spacing w:after="0" w:line="276" w:lineRule="auto"/>
        <w:jc w:val="both"/>
        <w:rPr>
          <w:rFonts w:ascii="Verdana" w:hAnsi="Verdana" w:cs="Arial"/>
        </w:rPr>
      </w:pPr>
    </w:p>
    <w:p w14:paraId="5B0DCBE8" w14:textId="77777777" w:rsidR="002171B7" w:rsidRPr="00F50E68" w:rsidRDefault="002171B7" w:rsidP="002171B7">
      <w:pPr>
        <w:widowControl w:val="0"/>
        <w:autoSpaceDE w:val="0"/>
        <w:autoSpaceDN w:val="0"/>
        <w:spacing w:after="0" w:line="276" w:lineRule="auto"/>
        <w:jc w:val="both"/>
        <w:rPr>
          <w:rFonts w:ascii="Verdana" w:hAnsi="Verdana" w:cs="Arial"/>
          <w:lang w:val="es-ES_tradnl"/>
        </w:rPr>
      </w:pPr>
      <w:r w:rsidRPr="00F50E68">
        <w:rPr>
          <w:rFonts w:ascii="Verdana" w:hAnsi="Verdana" w:cs="Arial"/>
        </w:rPr>
        <w:t xml:space="preserve">Este concepto tiene el alcance previsto en el artículo 28 del Código de Procedimiento Administrativo y de lo Contencioso Administrativo </w:t>
      </w:r>
      <w:r w:rsidRPr="00F50E68">
        <w:rPr>
          <w:rFonts w:ascii="Verdana" w:hAnsi="Verdana" w:cs="Arial"/>
          <w:lang w:val="es-ES_tradnl"/>
        </w:rPr>
        <w:t>y las expresiones aquí utilizadas con mayúscula inicial deben ser entendidas con el significado que les otorga el artículo 2.2.1.1.1.3.1. del Decreto 1082 de 2015.</w:t>
      </w:r>
    </w:p>
    <w:p w14:paraId="3B547B8B" w14:textId="77777777" w:rsidR="002171B7" w:rsidRPr="00F50E68" w:rsidRDefault="002171B7" w:rsidP="002171B7">
      <w:pPr>
        <w:widowControl w:val="0"/>
        <w:autoSpaceDE w:val="0"/>
        <w:autoSpaceDN w:val="0"/>
        <w:spacing w:after="0" w:line="276" w:lineRule="auto"/>
        <w:jc w:val="both"/>
        <w:rPr>
          <w:rFonts w:ascii="Verdana" w:hAnsi="Verdana" w:cs="Arial"/>
        </w:rPr>
      </w:pPr>
    </w:p>
    <w:p w14:paraId="33144B6E" w14:textId="77777777" w:rsidR="002171B7" w:rsidRPr="00F50E68" w:rsidRDefault="002171B7" w:rsidP="002171B7">
      <w:pPr>
        <w:spacing w:after="0" w:line="240" w:lineRule="auto"/>
        <w:rPr>
          <w:rFonts w:ascii="Verdana" w:hAnsi="Verdana" w:cs="Arial"/>
          <w:lang w:eastAsia="es-CO"/>
        </w:rPr>
      </w:pPr>
      <w:r w:rsidRPr="00F50E68">
        <w:rPr>
          <w:rFonts w:ascii="Verdana" w:eastAsia="Times New Roman" w:hAnsi="Verdana" w:cs="Arial"/>
          <w:lang w:eastAsia="es-CO"/>
        </w:rPr>
        <w:t>Atentamente,</w:t>
      </w:r>
      <w:r w:rsidRPr="00F50E68">
        <w:rPr>
          <w:rFonts w:ascii="Verdana" w:hAnsi="Verdana" w:cs="Arial"/>
          <w:lang w:eastAsia="es-CO"/>
        </w:rPr>
        <w:t xml:space="preserve"> </w:t>
      </w:r>
    </w:p>
    <w:p w14:paraId="2C9E7CD3" w14:textId="0604A902" w:rsidR="002171B7" w:rsidRPr="00F50E68" w:rsidRDefault="00A131B6" w:rsidP="002171B7">
      <w:pPr>
        <w:spacing w:line="276" w:lineRule="auto"/>
        <w:jc w:val="center"/>
        <w:rPr>
          <w:rFonts w:ascii="Verdana" w:hAnsi="Verdana" w:cs="Arial"/>
          <w:lang w:val="es-ES_tradnl" w:eastAsia="es-CO"/>
        </w:rPr>
      </w:pPr>
      <w:r>
        <w:rPr>
          <w:noProof/>
        </w:rPr>
        <w:drawing>
          <wp:inline distT="0" distB="0" distL="0" distR="0" wp14:anchorId="0A66C0D3" wp14:editId="15840D73">
            <wp:extent cx="3769995" cy="1405890"/>
            <wp:effectExtent l="0" t="0" r="1905" b="3810"/>
            <wp:docPr id="205163319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69995" cy="140589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2171B7" w:rsidRPr="00F50E68" w14:paraId="4ABD0EFB" w14:textId="77777777" w:rsidTr="00EE3DD5">
        <w:trPr>
          <w:trHeight w:val="286"/>
        </w:trPr>
        <w:tc>
          <w:tcPr>
            <w:tcW w:w="901" w:type="dxa"/>
            <w:vAlign w:val="center"/>
            <w:hideMark/>
          </w:tcPr>
          <w:p w14:paraId="57277787"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20215DD2"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Nasly Yeana Mosquera Rivas</w:t>
            </w:r>
          </w:p>
          <w:p w14:paraId="3B190AB8"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Analista T2–06 de la Subdirección de Gestión Contractual</w:t>
            </w:r>
          </w:p>
        </w:tc>
      </w:tr>
      <w:tr w:rsidR="002171B7" w:rsidRPr="00F50E68" w14:paraId="6579120B" w14:textId="77777777" w:rsidTr="00EE3DD5">
        <w:trPr>
          <w:trHeight w:val="299"/>
        </w:trPr>
        <w:tc>
          <w:tcPr>
            <w:tcW w:w="901" w:type="dxa"/>
            <w:vAlign w:val="center"/>
          </w:tcPr>
          <w:p w14:paraId="51F4A0BA"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30C6EED7" w14:textId="77777777" w:rsidR="002171B7" w:rsidRPr="00F50E68" w:rsidRDefault="002171B7" w:rsidP="00EE3DD5">
            <w:pPr>
              <w:rPr>
                <w:rFonts w:ascii="Verdana" w:hAnsi="Verdana" w:cs="Arial"/>
                <w:sz w:val="14"/>
                <w:szCs w:val="14"/>
                <w:lang w:eastAsia="es-ES"/>
              </w:rPr>
            </w:pPr>
            <w:r>
              <w:rPr>
                <w:rFonts w:ascii="Verdana" w:hAnsi="Verdana" w:cs="Arial"/>
                <w:sz w:val="14"/>
                <w:szCs w:val="14"/>
                <w:lang w:eastAsia="es-ES"/>
              </w:rPr>
              <w:t>Adriana Katerine López Rodríguez</w:t>
            </w:r>
          </w:p>
          <w:p w14:paraId="5AC57DD4"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Contratista de la Subdirección de Gestión Contractual</w:t>
            </w:r>
          </w:p>
        </w:tc>
      </w:tr>
      <w:tr w:rsidR="002171B7" w:rsidRPr="00F50E68" w14:paraId="20A21F8C" w14:textId="77777777" w:rsidTr="00EE3DD5">
        <w:trPr>
          <w:trHeight w:val="272"/>
        </w:trPr>
        <w:tc>
          <w:tcPr>
            <w:tcW w:w="901" w:type="dxa"/>
            <w:vAlign w:val="center"/>
            <w:hideMark/>
          </w:tcPr>
          <w:p w14:paraId="70B61CA4"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1575A7F5"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Carolina Quintero Gacharná</w:t>
            </w:r>
          </w:p>
          <w:p w14:paraId="5DB91687" w14:textId="77777777" w:rsidR="002171B7" w:rsidRPr="00F50E68" w:rsidRDefault="002171B7" w:rsidP="00EE3DD5">
            <w:pPr>
              <w:rPr>
                <w:rFonts w:ascii="Verdana" w:hAnsi="Verdana" w:cs="Arial"/>
                <w:sz w:val="14"/>
                <w:szCs w:val="14"/>
                <w:lang w:eastAsia="es-ES"/>
              </w:rPr>
            </w:pPr>
            <w:r w:rsidRPr="00F50E68">
              <w:rPr>
                <w:rFonts w:ascii="Verdana" w:hAnsi="Verdana" w:cs="Arial"/>
                <w:sz w:val="14"/>
                <w:szCs w:val="14"/>
                <w:lang w:eastAsia="es-ES"/>
              </w:rPr>
              <w:t>Subdirectora de Gestión Contractual ANCP – CCE</w:t>
            </w:r>
          </w:p>
        </w:tc>
      </w:tr>
    </w:tbl>
    <w:p w14:paraId="06A103EC" w14:textId="77777777" w:rsidR="002171B7" w:rsidRPr="00F50E68" w:rsidRDefault="002171B7" w:rsidP="002171B7">
      <w:pPr>
        <w:spacing w:after="0" w:line="240" w:lineRule="auto"/>
        <w:rPr>
          <w:rFonts w:ascii="Verdana" w:eastAsia="Times New Roman" w:hAnsi="Verdana" w:cs="Arial"/>
          <w:sz w:val="24"/>
          <w:szCs w:val="24"/>
          <w:lang w:eastAsia="es-ES"/>
        </w:rPr>
      </w:pPr>
    </w:p>
    <w:p w14:paraId="6A2021D7" w14:textId="77777777" w:rsidR="002171B7" w:rsidRPr="00F50E68" w:rsidRDefault="002171B7" w:rsidP="002171B7">
      <w:pPr>
        <w:rPr>
          <w:rFonts w:ascii="Verdana" w:hAnsi="Verdana"/>
        </w:rPr>
      </w:pPr>
    </w:p>
    <w:p w14:paraId="6DBF1C47" w14:textId="77777777" w:rsidR="002171B7" w:rsidRPr="00F50E68" w:rsidRDefault="002171B7" w:rsidP="002171B7">
      <w:pPr>
        <w:spacing w:after="0"/>
        <w:jc w:val="both"/>
        <w:rPr>
          <w:rFonts w:ascii="Verdana" w:hAnsi="Verdana"/>
        </w:rPr>
      </w:pPr>
    </w:p>
    <w:p w14:paraId="57ACD491" w14:textId="77777777" w:rsidR="002171B7" w:rsidRPr="000E2B93" w:rsidRDefault="002171B7" w:rsidP="002171B7">
      <w:pPr>
        <w:spacing w:after="0" w:line="240" w:lineRule="auto"/>
        <w:jc w:val="both"/>
        <w:textAlignment w:val="baseline"/>
        <w:rPr>
          <w:rFonts w:ascii="Verdana" w:eastAsia="Verdana" w:hAnsi="Verdana" w:cs="Verdana"/>
          <w:lang w:eastAsia="es-CO"/>
        </w:rPr>
      </w:pPr>
    </w:p>
    <w:p w14:paraId="1C63936C" w14:textId="374114F3" w:rsidR="002171B7" w:rsidRPr="000E2B93" w:rsidRDefault="002171B7" w:rsidP="002171B7">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lastRenderedPageBreak/>
        <w:t> </w:t>
      </w:r>
      <w:bookmarkEnd w:id="0"/>
    </w:p>
    <w:sectPr w:rsidR="002171B7" w:rsidRPr="000E2B93" w:rsidSect="002171B7">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C3DFA" w14:textId="77777777" w:rsidR="00210746" w:rsidRDefault="00210746" w:rsidP="002171B7">
      <w:pPr>
        <w:spacing w:after="0" w:line="240" w:lineRule="auto"/>
      </w:pPr>
      <w:r>
        <w:separator/>
      </w:r>
    </w:p>
  </w:endnote>
  <w:endnote w:type="continuationSeparator" w:id="0">
    <w:p w14:paraId="6E06E733" w14:textId="77777777" w:rsidR="00210746" w:rsidRDefault="00210746" w:rsidP="00217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DC520" w14:textId="77777777" w:rsidR="002171B7" w:rsidRDefault="002171B7">
    <w:pPr>
      <w:pStyle w:val="Piedepgina"/>
    </w:pPr>
  </w:p>
  <w:p w14:paraId="7A002CA5" w14:textId="77777777" w:rsidR="002171B7" w:rsidRPr="00174B77" w:rsidRDefault="002171B7"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3BDB5D7" w14:textId="77777777" w:rsidR="002171B7" w:rsidRDefault="002171B7"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FF5FBB4" w14:textId="77777777" w:rsidR="002171B7" w:rsidRPr="00E41027" w:rsidRDefault="002171B7"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AC6194F" w14:textId="77777777" w:rsidR="002171B7" w:rsidRDefault="002171B7"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C3395" w14:textId="77777777" w:rsidR="00210746" w:rsidRDefault="00210746" w:rsidP="002171B7">
      <w:pPr>
        <w:spacing w:after="0" w:line="240" w:lineRule="auto"/>
      </w:pPr>
      <w:r>
        <w:separator/>
      </w:r>
    </w:p>
  </w:footnote>
  <w:footnote w:type="continuationSeparator" w:id="0">
    <w:p w14:paraId="6AC979AF" w14:textId="77777777" w:rsidR="00210746" w:rsidRDefault="00210746" w:rsidP="002171B7">
      <w:pPr>
        <w:spacing w:after="0" w:line="240" w:lineRule="auto"/>
      </w:pPr>
      <w:r>
        <w:continuationSeparator/>
      </w:r>
    </w:p>
  </w:footnote>
  <w:footnote w:id="1">
    <w:p w14:paraId="5A940530" w14:textId="77777777" w:rsidR="002171B7" w:rsidRPr="00F50E68" w:rsidRDefault="002171B7" w:rsidP="002171B7">
      <w:pPr>
        <w:pStyle w:val="Textonotapie"/>
        <w:ind w:firstLine="708"/>
        <w:jc w:val="both"/>
        <w:rPr>
          <w:rFonts w:ascii="Verdana" w:hAnsi="Verdana"/>
          <w:sz w:val="18"/>
          <w:szCs w:val="18"/>
        </w:rPr>
      </w:pPr>
      <w:r w:rsidRPr="00F50E68">
        <w:rPr>
          <w:rStyle w:val="Refdenotaalpie"/>
          <w:rFonts w:ascii="Verdana" w:hAnsi="Verdana"/>
          <w:sz w:val="18"/>
          <w:szCs w:val="18"/>
        </w:rPr>
        <w:footnoteRef/>
      </w:r>
      <w:r w:rsidRPr="00F50E68">
        <w:rPr>
          <w:rFonts w:ascii="Verdana" w:hAnsi="Verdana"/>
          <w:sz w:val="18"/>
          <w:szCs w:val="18"/>
        </w:rPr>
        <w:t>Disponible en este enlace:</w:t>
      </w:r>
    </w:p>
    <w:p w14:paraId="7B97DCCC" w14:textId="77777777" w:rsidR="002171B7" w:rsidRPr="00F50E68" w:rsidRDefault="002171B7" w:rsidP="002171B7">
      <w:pPr>
        <w:pStyle w:val="Textonotapie"/>
        <w:ind w:firstLine="708"/>
        <w:jc w:val="both"/>
        <w:rPr>
          <w:rFonts w:ascii="Verdana" w:hAnsi="Verdana"/>
          <w:sz w:val="18"/>
          <w:szCs w:val="18"/>
          <w:lang w:val="es-CO"/>
        </w:rPr>
      </w:pPr>
      <w:hyperlink r:id="rId1" w:history="1">
        <w:r w:rsidRPr="00F50E68">
          <w:rPr>
            <w:rStyle w:val="Hipervnculo"/>
            <w:rFonts w:ascii="Verdana" w:hAnsi="Verdana"/>
            <w:sz w:val="18"/>
            <w:szCs w:val="18"/>
          </w:rPr>
          <w:t>https://www.colombiacompra.gov.co/sites/cce_public/files/cce_documents/guia_para_elaborar_el_plan_anual_de_adquisiciones_0.pdf</w:t>
        </w:r>
      </w:hyperlink>
      <w:r w:rsidRPr="00F50E68">
        <w:rPr>
          <w:rFonts w:ascii="Verdana" w:hAnsi="Verdana"/>
          <w:sz w:val="18"/>
          <w:szCs w:val="18"/>
        </w:rPr>
        <w:t xml:space="preserve"> </w:t>
      </w:r>
    </w:p>
  </w:footnote>
  <w:footnote w:id="2">
    <w:p w14:paraId="0BFE8090" w14:textId="77777777" w:rsidR="002171B7" w:rsidRPr="00F50E68" w:rsidRDefault="002171B7" w:rsidP="002171B7">
      <w:pPr>
        <w:pStyle w:val="Textonotapie"/>
        <w:ind w:firstLine="708"/>
        <w:jc w:val="both"/>
        <w:rPr>
          <w:rFonts w:ascii="Verdana" w:hAnsi="Verdana" w:cs="Arial"/>
          <w:sz w:val="18"/>
          <w:szCs w:val="18"/>
          <w:lang w:val="es-CO"/>
        </w:rPr>
      </w:pPr>
      <w:r w:rsidRPr="00F50E68">
        <w:rPr>
          <w:rStyle w:val="Refdenotaalpie"/>
          <w:rFonts w:ascii="Verdana" w:hAnsi="Verdana" w:cs="Arial"/>
          <w:sz w:val="18"/>
          <w:szCs w:val="18"/>
        </w:rPr>
        <w:footnoteRef/>
      </w:r>
      <w:r w:rsidRPr="00F50E68">
        <w:rPr>
          <w:rFonts w:ascii="Verdana" w:eastAsia="Calibri" w:hAnsi="Verdana" w:cs="Arial"/>
          <w:sz w:val="18"/>
          <w:szCs w:val="18"/>
        </w:rPr>
        <w:t xml:space="preserve"> Agencia Nacional de Contratación Pública </w:t>
      </w:r>
      <w:r w:rsidRPr="00F50E68">
        <w:rPr>
          <w:rFonts w:ascii="Verdana" w:eastAsia="Calibri" w:hAnsi="Verdana" w:cs="Arial"/>
          <w:bCs/>
          <w:sz w:val="18"/>
          <w:szCs w:val="18"/>
        </w:rPr>
        <w:t xml:space="preserve">– </w:t>
      </w:r>
      <w:r w:rsidRPr="00F50E68">
        <w:rPr>
          <w:rFonts w:ascii="Verdana" w:eastAsia="Calibri" w:hAnsi="Verdana" w:cs="Arial"/>
          <w:sz w:val="18"/>
          <w:szCs w:val="18"/>
        </w:rPr>
        <w:t>Colombia Compra Eficiente</w:t>
      </w:r>
      <w:r w:rsidRPr="00F50E68">
        <w:rPr>
          <w:rFonts w:ascii="Verdana" w:hAnsi="Verdana" w:cs="Arial"/>
          <w:sz w:val="18"/>
          <w:szCs w:val="18"/>
          <w:lang w:val="es-CO"/>
        </w:rPr>
        <w:t xml:space="preserve"> Guía para elaborar el Plan Anual de Adquisiciones. Página 4. </w:t>
      </w:r>
    </w:p>
  </w:footnote>
  <w:footnote w:id="3">
    <w:p w14:paraId="3D96D0EE" w14:textId="77777777" w:rsidR="002171B7" w:rsidRPr="00F50E68" w:rsidRDefault="002171B7" w:rsidP="002171B7">
      <w:pPr>
        <w:pStyle w:val="Textonotapie"/>
        <w:ind w:firstLine="708"/>
        <w:jc w:val="both"/>
        <w:rPr>
          <w:rFonts w:ascii="Verdana" w:hAnsi="Verdana" w:cs="Arial"/>
          <w:sz w:val="18"/>
          <w:szCs w:val="18"/>
        </w:rPr>
      </w:pPr>
    </w:p>
    <w:p w14:paraId="5DDA1247" w14:textId="77777777" w:rsidR="002171B7" w:rsidRPr="00F50E68" w:rsidRDefault="002171B7" w:rsidP="002171B7">
      <w:pPr>
        <w:pStyle w:val="Textonotapie"/>
        <w:ind w:firstLine="708"/>
        <w:jc w:val="both"/>
        <w:rPr>
          <w:rFonts w:ascii="Verdana" w:hAnsi="Verdana" w:cs="Arial"/>
          <w:sz w:val="18"/>
          <w:szCs w:val="18"/>
          <w:lang w:val="es-ES"/>
        </w:rPr>
      </w:pPr>
      <w:r w:rsidRPr="00F50E68">
        <w:rPr>
          <w:rStyle w:val="Refdenotaalpie"/>
          <w:rFonts w:ascii="Verdana" w:hAnsi="Verdana" w:cs="Arial"/>
          <w:sz w:val="18"/>
          <w:szCs w:val="18"/>
        </w:rPr>
        <w:footnoteRef/>
      </w:r>
      <w:r w:rsidRPr="00F50E68">
        <w:rPr>
          <w:rFonts w:ascii="Verdana" w:hAnsi="Verdana" w:cs="Arial"/>
          <w:sz w:val="18"/>
          <w:szCs w:val="18"/>
        </w:rPr>
        <w:t xml:space="preserve"> El artículo 74 de la Ley 1474 prescribe: “</w:t>
      </w:r>
      <w:r w:rsidRPr="00F50E68">
        <w:rPr>
          <w:rFonts w:ascii="Verdana" w:hAnsi="Verdana" w:cs="Arial"/>
          <w:sz w:val="18"/>
          <w:szCs w:val="18"/>
          <w:lang w:val="es-ES"/>
        </w:rPr>
        <w:t>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11FC0324" w14:textId="77777777" w:rsidR="002171B7" w:rsidRPr="00F50E68" w:rsidRDefault="002171B7" w:rsidP="002171B7">
      <w:pPr>
        <w:pStyle w:val="Textonotapie"/>
        <w:ind w:firstLine="708"/>
        <w:jc w:val="both"/>
        <w:rPr>
          <w:rFonts w:ascii="Verdana" w:hAnsi="Verdana" w:cs="Arial"/>
          <w:sz w:val="18"/>
          <w:szCs w:val="18"/>
          <w:lang w:val="es-ES"/>
        </w:rPr>
      </w:pPr>
      <w:r w:rsidRPr="00F50E68">
        <w:rPr>
          <w:rFonts w:ascii="Verdana" w:hAnsi="Verdana" w:cs="Arial"/>
          <w:sz w:val="18"/>
          <w:szCs w:val="18"/>
          <w:lang w:val="es-ES"/>
        </w:rPr>
        <w:t>A partir del año siguiente, el Plan de Acción deberá estar acompañado del informe de gestión del año inmediatamente anterior.</w:t>
      </w:r>
    </w:p>
    <w:p w14:paraId="0C112B49" w14:textId="77777777" w:rsidR="002171B7" w:rsidRPr="00F50E68" w:rsidRDefault="002171B7" w:rsidP="002171B7">
      <w:pPr>
        <w:pStyle w:val="Textonotapie"/>
        <w:ind w:firstLine="708"/>
        <w:jc w:val="both"/>
        <w:rPr>
          <w:rFonts w:ascii="Verdana" w:hAnsi="Verdana" w:cs="Arial"/>
          <w:sz w:val="18"/>
          <w:szCs w:val="18"/>
          <w:lang w:val="es-ES"/>
        </w:rPr>
      </w:pPr>
      <w:r w:rsidRPr="00F50E68">
        <w:rPr>
          <w:rFonts w:ascii="Verdana" w:hAnsi="Verdana" w:cs="Arial"/>
          <w:sz w:val="18"/>
          <w:szCs w:val="18"/>
          <w:lang w:val="es-ES"/>
        </w:rPr>
        <w:t>Igualmente publicarán por dicho medio su presupuesto debidamente desagregado, así como las modificaciones a este o a su desagregación.</w:t>
      </w:r>
      <w:r w:rsidRPr="00F50E68">
        <w:rPr>
          <w:rFonts w:ascii="Verdana" w:hAnsi="Verdana" w:cs="Arial"/>
          <w:sz w:val="18"/>
          <w:szCs w:val="18"/>
          <w:lang w:val="es-ES"/>
        </w:rPr>
        <w:tab/>
      </w:r>
    </w:p>
    <w:p w14:paraId="09B653A2" w14:textId="77777777" w:rsidR="002171B7" w:rsidRPr="00F50E68" w:rsidRDefault="002171B7" w:rsidP="002171B7">
      <w:pPr>
        <w:pStyle w:val="Textonotapie"/>
        <w:ind w:firstLine="708"/>
        <w:jc w:val="both"/>
        <w:rPr>
          <w:rFonts w:ascii="Verdana" w:hAnsi="Verdana" w:cs="Arial"/>
          <w:sz w:val="18"/>
          <w:szCs w:val="18"/>
          <w:lang w:val="es-ES"/>
        </w:rPr>
      </w:pPr>
      <w:r w:rsidRPr="00F50E68">
        <w:rPr>
          <w:rFonts w:ascii="Verdana" w:hAnsi="Verdana" w:cs="Arial"/>
          <w:sz w:val="18"/>
          <w:szCs w:val="18"/>
          <w:lang w:val="es-ES"/>
        </w:rPr>
        <w:t>Parágrafo. Las empresas industriales y comerciales del Estado y las Sociedades de Economía Mixta estarán exentas de publicar la información relacionada con sus proyectos de inversión”.</w:t>
      </w:r>
    </w:p>
    <w:p w14:paraId="32B32599" w14:textId="77777777" w:rsidR="002171B7" w:rsidRPr="00F50E68" w:rsidRDefault="002171B7" w:rsidP="002171B7">
      <w:pPr>
        <w:pStyle w:val="Textonotapie"/>
        <w:ind w:firstLine="708"/>
        <w:jc w:val="both"/>
        <w:rPr>
          <w:rFonts w:ascii="Verdana" w:hAnsi="Verdana" w:cs="Arial"/>
          <w:sz w:val="18"/>
          <w:szCs w:val="18"/>
          <w:lang w:val="es-ES"/>
        </w:rPr>
      </w:pPr>
      <w:r w:rsidRPr="00F50E68">
        <w:rPr>
          <w:rFonts w:ascii="Verdana" w:hAnsi="Verdana" w:cs="Arial"/>
          <w:sz w:val="18"/>
          <w:szCs w:val="18"/>
          <w:lang w:val="es-ES"/>
        </w:rPr>
        <w:t xml:space="preserve"> </w:t>
      </w:r>
    </w:p>
  </w:footnote>
  <w:footnote w:id="4">
    <w:p w14:paraId="1DB63DD1" w14:textId="77777777" w:rsidR="002171B7" w:rsidRPr="00F50E68" w:rsidRDefault="002171B7" w:rsidP="002171B7">
      <w:pPr>
        <w:pStyle w:val="Textonotapie"/>
        <w:ind w:firstLine="709"/>
        <w:jc w:val="both"/>
        <w:rPr>
          <w:rFonts w:ascii="Verdana" w:hAnsi="Verdana" w:cs="Arial"/>
          <w:color w:val="000000"/>
          <w:sz w:val="18"/>
          <w:szCs w:val="18"/>
          <w:shd w:val="clear" w:color="auto" w:fill="FFFFFF"/>
        </w:rPr>
      </w:pPr>
      <w:r w:rsidRPr="00F50E68">
        <w:rPr>
          <w:rStyle w:val="Refdenotaalpie"/>
          <w:rFonts w:ascii="Verdana" w:hAnsi="Verdana" w:cs="Arial"/>
          <w:color w:val="000000"/>
          <w:sz w:val="18"/>
          <w:szCs w:val="18"/>
        </w:rPr>
        <w:footnoteRef/>
      </w:r>
      <w:r w:rsidRPr="00F50E68">
        <w:rPr>
          <w:rFonts w:ascii="Verdana" w:hAnsi="Verdana" w:cs="Arial"/>
          <w:color w:val="000000"/>
          <w:sz w:val="18"/>
          <w:szCs w:val="18"/>
        </w:rPr>
        <w:t xml:space="preserve"> “</w:t>
      </w:r>
      <w:r w:rsidRPr="00F50E68">
        <w:rPr>
          <w:rStyle w:val="Fuerte"/>
          <w:rFonts w:ascii="Verdana" w:hAnsi="Verdana" w:cs="Arial"/>
          <w:color w:val="000000"/>
          <w:sz w:val="18"/>
          <w:szCs w:val="18"/>
          <w:shd w:val="clear" w:color="auto" w:fill="FFFFFF"/>
        </w:rPr>
        <w:t>Artículo 2.2.1.1.1.3.1. </w:t>
      </w:r>
      <w:r w:rsidRPr="00F50E68">
        <w:rPr>
          <w:rStyle w:val="nfasis"/>
          <w:rFonts w:ascii="Verdana" w:hAnsi="Verdana" w:cs="Arial"/>
          <w:color w:val="000000"/>
          <w:sz w:val="18"/>
          <w:szCs w:val="18"/>
          <w:shd w:val="clear" w:color="auto" w:fill="FFFFFF"/>
        </w:rPr>
        <w:t>Definiciones. </w:t>
      </w:r>
      <w:r w:rsidRPr="00F50E68">
        <w:rPr>
          <w:rFonts w:ascii="Verdana" w:hAnsi="Verdana" w:cs="Arial"/>
          <w:color w:val="000000"/>
          <w:sz w:val="18"/>
          <w:szCs w:val="18"/>
          <w:shd w:val="clear" w:color="auto" w:fill="FFFFFF"/>
        </w:rPr>
        <w:t>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736E4F98" w14:textId="77777777" w:rsidR="002171B7" w:rsidRPr="00F50E68" w:rsidRDefault="002171B7" w:rsidP="002171B7">
      <w:pPr>
        <w:pStyle w:val="Textonotapie"/>
        <w:ind w:firstLine="709"/>
        <w:jc w:val="both"/>
        <w:rPr>
          <w:rFonts w:ascii="Verdana" w:hAnsi="Verdana" w:cs="Arial"/>
          <w:color w:val="000000"/>
          <w:sz w:val="18"/>
          <w:szCs w:val="18"/>
          <w:shd w:val="clear" w:color="auto" w:fill="FFFFFF"/>
        </w:rPr>
      </w:pPr>
      <w:r w:rsidRPr="00F50E68">
        <w:rPr>
          <w:rFonts w:ascii="Verdana" w:hAnsi="Verdana" w:cs="Arial"/>
          <w:color w:val="000000"/>
          <w:sz w:val="18"/>
          <w:szCs w:val="18"/>
          <w:shd w:val="clear" w:color="auto" w:fill="FFFFFF"/>
        </w:rPr>
        <w:t>[…]</w:t>
      </w:r>
    </w:p>
    <w:p w14:paraId="69F05DCC" w14:textId="77777777" w:rsidR="002171B7" w:rsidRPr="00F50E68" w:rsidRDefault="002171B7" w:rsidP="002171B7">
      <w:pPr>
        <w:pStyle w:val="Textonotapie"/>
        <w:ind w:firstLine="709"/>
        <w:jc w:val="both"/>
        <w:rPr>
          <w:rFonts w:ascii="Verdana" w:hAnsi="Verdana" w:cs="Arial"/>
          <w:color w:val="000000"/>
          <w:sz w:val="18"/>
          <w:szCs w:val="18"/>
        </w:rPr>
      </w:pPr>
      <w:r w:rsidRPr="00F50E68">
        <w:rPr>
          <w:rStyle w:val="nfasis"/>
          <w:rFonts w:ascii="Verdana" w:hAnsi="Verdana" w:cs="Arial"/>
          <w:color w:val="000000"/>
          <w:sz w:val="18"/>
          <w:szCs w:val="18"/>
        </w:rPr>
        <w:t>Plan Anual de Adquisiciones: </w:t>
      </w:r>
      <w:r w:rsidRPr="00F50E68">
        <w:rPr>
          <w:rFonts w:ascii="Verdana" w:hAnsi="Verdana" w:cs="Arial"/>
          <w:color w:val="000000"/>
          <w:sz w:val="18"/>
          <w:szCs w:val="18"/>
        </w:rPr>
        <w:t>Plan general de compras al que se refiere el </w:t>
      </w:r>
      <w:hyperlink r:id="rId2" w:history="1">
        <w:r w:rsidRPr="00F50E68">
          <w:rPr>
            <w:rStyle w:val="Hipervnculo1"/>
            <w:rFonts w:ascii="Verdana" w:hAnsi="Verdana" w:cs="Arial"/>
            <w:color w:val="000000"/>
            <w:sz w:val="18"/>
            <w:szCs w:val="18"/>
          </w:rPr>
          <w:t>artículo 74 de la Ley 1474 de 2011</w:t>
        </w:r>
      </w:hyperlink>
      <w:r w:rsidRPr="00F50E68">
        <w:rPr>
          <w:rFonts w:ascii="Verdana" w:hAnsi="Verdana" w:cs="Arial"/>
          <w:color w:val="000000"/>
          <w:sz w:val="18"/>
          <w:szCs w:val="18"/>
        </w:rPr>
        <w:t> y el plan de compras al que se refiere la Ley Anual de Presupuesto. Es un instrumento de planeación contractual que las Entidades Estatales deben diligenciar, publicar y actualizar en los términos del presente título”.</w:t>
      </w:r>
    </w:p>
  </w:footnote>
  <w:footnote w:id="5">
    <w:p w14:paraId="454B4462" w14:textId="77777777" w:rsidR="002171B7" w:rsidRPr="00F50E68" w:rsidRDefault="002171B7" w:rsidP="002171B7">
      <w:pPr>
        <w:pStyle w:val="Textonotapie"/>
        <w:ind w:firstLine="708"/>
        <w:jc w:val="both"/>
        <w:rPr>
          <w:rFonts w:ascii="Verdana" w:hAnsi="Verdana" w:cs="Arial"/>
          <w:sz w:val="18"/>
          <w:szCs w:val="18"/>
        </w:rPr>
      </w:pPr>
      <w:r w:rsidRPr="00F50E68">
        <w:rPr>
          <w:rStyle w:val="Refdenotaalpie"/>
          <w:rFonts w:ascii="Verdana" w:hAnsi="Verdana" w:cs="Arial"/>
          <w:sz w:val="18"/>
          <w:szCs w:val="18"/>
        </w:rPr>
        <w:footnoteRef/>
      </w:r>
      <w:r w:rsidRPr="00F50E68">
        <w:rPr>
          <w:rFonts w:ascii="Verdana" w:hAnsi="Verdana" w:cs="Arial"/>
          <w:sz w:val="18"/>
          <w:szCs w:val="18"/>
        </w:rPr>
        <w:t xml:space="preserve"> Decreto 1082 de 2015: “Artículo 2.2.1.1.1.4.3. Publicación del Plan Anual de Adquisiciones.</w:t>
      </w:r>
      <w:r w:rsidRPr="00F50E68">
        <w:rPr>
          <w:rFonts w:ascii="Verdana" w:hAnsi="Verdana" w:cs="Arial"/>
          <w:i/>
          <w:sz w:val="18"/>
          <w:szCs w:val="18"/>
        </w:rPr>
        <w:t> </w:t>
      </w:r>
      <w:r w:rsidRPr="00F50E68">
        <w:rPr>
          <w:rFonts w:ascii="Verdana" w:hAnsi="Verdana" w:cs="Arial"/>
          <w:sz w:val="18"/>
          <w:szCs w:val="18"/>
        </w:rPr>
        <w:t>La Entidad Estatal debe publicar su Plan Anual de Adquisiciones y las actualizaciones del mismo en su página web y en el SECOP, en la forma que para el efecto disponga Colombia Compra Eficiente”.</w:t>
      </w:r>
    </w:p>
    <w:p w14:paraId="738B454E" w14:textId="77777777" w:rsidR="002171B7" w:rsidRPr="00F50E68" w:rsidRDefault="002171B7" w:rsidP="002171B7">
      <w:pPr>
        <w:pStyle w:val="Textonotapie"/>
        <w:ind w:firstLine="708"/>
        <w:jc w:val="both"/>
        <w:rPr>
          <w:rFonts w:ascii="Verdana" w:hAnsi="Verdana" w:cs="Arial"/>
          <w:sz w:val="18"/>
          <w:szCs w:val="18"/>
        </w:rPr>
      </w:pPr>
    </w:p>
  </w:footnote>
  <w:footnote w:id="6">
    <w:p w14:paraId="40EEBC25" w14:textId="77777777" w:rsidR="002171B7" w:rsidRPr="00F50E68" w:rsidRDefault="002171B7" w:rsidP="002171B7">
      <w:pPr>
        <w:pStyle w:val="Textonotapie"/>
        <w:ind w:firstLine="708"/>
        <w:jc w:val="both"/>
        <w:rPr>
          <w:rFonts w:ascii="Verdana" w:hAnsi="Verdana" w:cs="Arial"/>
          <w:sz w:val="18"/>
          <w:szCs w:val="18"/>
        </w:rPr>
      </w:pPr>
      <w:r w:rsidRPr="00F50E68">
        <w:rPr>
          <w:rStyle w:val="Refdenotaalpie"/>
          <w:rFonts w:ascii="Verdana" w:hAnsi="Verdana" w:cs="Arial"/>
          <w:sz w:val="18"/>
          <w:szCs w:val="18"/>
        </w:rPr>
        <w:footnoteRef/>
      </w:r>
      <w:r w:rsidRPr="00F50E68">
        <w:rPr>
          <w:rFonts w:ascii="Verdana" w:hAnsi="Verdana" w:cs="Arial"/>
          <w:sz w:val="18"/>
          <w:szCs w:val="18"/>
        </w:rPr>
        <w:t xml:space="preserve"> Decreto 1082 de 2015, modificado por artículo 2 del Decreto 142 de 2023: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p w14:paraId="21B4A631" w14:textId="77777777" w:rsidR="002171B7" w:rsidRPr="00F50E68" w:rsidRDefault="002171B7" w:rsidP="002171B7">
      <w:pPr>
        <w:pStyle w:val="Textonotapie"/>
        <w:ind w:firstLine="708"/>
        <w:jc w:val="both"/>
        <w:rPr>
          <w:rFonts w:ascii="Verdana" w:hAnsi="Verdana" w:cs="Arial"/>
          <w:sz w:val="18"/>
          <w:szCs w:val="18"/>
        </w:rPr>
      </w:pPr>
      <w:r w:rsidRPr="00F50E68">
        <w:rPr>
          <w:rFonts w:ascii="Verdana" w:hAnsi="Verdana" w:cs="Arial"/>
          <w:sz w:val="18"/>
          <w:szCs w:val="18"/>
        </w:rPr>
        <w:t>Las entidades estatales deberán planear su contratación de manera que se promueva la división de Procesos de Contratación en lotes o segmentos en los que se facilite la participación de las Mipymes.</w:t>
      </w:r>
    </w:p>
    <w:p w14:paraId="2A587BF8" w14:textId="77777777" w:rsidR="002171B7" w:rsidRPr="00F50E68" w:rsidRDefault="002171B7" w:rsidP="002171B7">
      <w:pPr>
        <w:pStyle w:val="Textonotapie"/>
        <w:ind w:firstLine="708"/>
        <w:jc w:val="both"/>
        <w:rPr>
          <w:rFonts w:ascii="Verdana" w:hAnsi="Verdana" w:cs="Arial"/>
          <w:sz w:val="18"/>
          <w:szCs w:val="18"/>
        </w:rPr>
      </w:pPr>
      <w:r w:rsidRPr="00F50E68">
        <w:rPr>
          <w:rFonts w:ascii="Verdana" w:hAnsi="Verdana" w:cs="Arial"/>
          <w:sz w:val="18"/>
          <w:szCs w:val="18"/>
        </w:rPr>
        <w:t xml:space="preserve">Dentro de estas Mipymes se encuentran entre otras, las cooperativas de acuerdo con los requisitos del artículo 23 de la Ley 2069 de 2020 o las que se constituyan como entidades de economía solidaria de acuerdo con los requisitos del artículo 6 de la Ley 454 de 1998 o la norma que las modifique o sustituya. </w:t>
      </w:r>
    </w:p>
    <w:p w14:paraId="1F98AE97" w14:textId="77777777" w:rsidR="002171B7" w:rsidRPr="00F50E68" w:rsidRDefault="002171B7" w:rsidP="002171B7">
      <w:pPr>
        <w:pStyle w:val="Textonotapie"/>
        <w:ind w:firstLine="708"/>
        <w:jc w:val="both"/>
        <w:rPr>
          <w:rFonts w:ascii="Verdana" w:hAnsi="Verdana" w:cs="Arial"/>
          <w:sz w:val="18"/>
          <w:szCs w:val="18"/>
        </w:rPr>
      </w:pPr>
      <w:r w:rsidRPr="00F50E68">
        <w:rPr>
          <w:rFonts w:ascii="Verdana" w:hAnsi="Verdana" w:cs="Arial"/>
          <w:sz w:val="18"/>
          <w:szCs w:val="18"/>
        </w:rPr>
        <w:t>Las asociaciones conformadas por sujetos de especial protección constitucional, asociaciones de pequeños productores locales y productores locales agropecuarios cuyos sistemas productivos pertenezcan a la Agricultura Campesina, Familiar y Comunitaria podrán ser clasificadas como Mipymes en los términos previstos en el artículo 23 de la Ley 2069 de 2020, el artículo 2 de la Ley 590 de 2000 y por el Decreto 957 de 2019 o las normas que los modifiquen”.</w:t>
      </w:r>
    </w:p>
  </w:footnote>
  <w:footnote w:id="7">
    <w:p w14:paraId="3F6E93FF" w14:textId="77777777" w:rsidR="002171B7" w:rsidRPr="00F50E68" w:rsidRDefault="002171B7" w:rsidP="002171B7">
      <w:pPr>
        <w:pStyle w:val="NormalWeb"/>
        <w:shd w:val="clear" w:color="auto" w:fill="FFFFFF"/>
        <w:spacing w:before="0" w:beforeAutospacing="0" w:after="0" w:afterAutospacing="0"/>
        <w:ind w:firstLine="708"/>
        <w:jc w:val="both"/>
        <w:rPr>
          <w:rFonts w:ascii="Verdana" w:eastAsiaTheme="minorHAnsi" w:hAnsi="Verdana" w:cs="Arial"/>
          <w:sz w:val="18"/>
          <w:szCs w:val="18"/>
          <w:lang w:val="es-MX" w:eastAsia="en-US"/>
        </w:rPr>
      </w:pPr>
      <w:r w:rsidRPr="00F50E68">
        <w:rPr>
          <w:rStyle w:val="Refdenotaalpie"/>
          <w:rFonts w:ascii="Verdana" w:eastAsiaTheme="majorEastAsia" w:hAnsi="Verdana" w:cs="Arial"/>
          <w:sz w:val="18"/>
          <w:szCs w:val="18"/>
        </w:rPr>
        <w:footnoteRef/>
      </w:r>
      <w:r w:rsidRPr="00F50E68">
        <w:rPr>
          <w:rFonts w:ascii="Verdana" w:hAnsi="Verdana" w:cs="Arial"/>
          <w:sz w:val="18"/>
          <w:szCs w:val="18"/>
        </w:rPr>
        <w:t xml:space="preserve"> Decreto 1082 de 2015:”</w:t>
      </w:r>
      <w:r w:rsidRPr="00F50E68">
        <w:rPr>
          <w:rFonts w:ascii="Verdana" w:eastAsiaTheme="minorHAnsi" w:hAnsi="Verdana" w:cs="Arial"/>
          <w:sz w:val="18"/>
          <w:szCs w:val="18"/>
          <w:lang w:val="es-MX" w:eastAsia="en-US"/>
        </w:rPr>
        <w:t xml:space="preserve"> Artículo 2.2.1.1.1.4.4. Actualización del Plan Anual de Adquisiciones. La Entidad Estatal debe actualizar el Plan Anual de Adquisiciones por lo menos una vez durante su vigencia, en la forma y la oportunidad que para el efecto disponga Colombia Compra Eficiente.</w:t>
      </w:r>
    </w:p>
    <w:p w14:paraId="10307FDF" w14:textId="77777777" w:rsidR="002171B7" w:rsidRPr="00F50E68" w:rsidRDefault="002171B7" w:rsidP="002171B7">
      <w:pPr>
        <w:pStyle w:val="NormalWeb"/>
        <w:shd w:val="clear" w:color="auto" w:fill="FFFFFF"/>
        <w:spacing w:before="0" w:beforeAutospacing="0" w:after="0" w:afterAutospacing="0"/>
        <w:ind w:firstLine="708"/>
        <w:jc w:val="both"/>
        <w:rPr>
          <w:rFonts w:ascii="Verdana" w:eastAsiaTheme="minorHAnsi" w:hAnsi="Verdana" w:cs="Arial"/>
          <w:sz w:val="18"/>
          <w:szCs w:val="18"/>
          <w:lang w:val="es-MX" w:eastAsia="en-US"/>
        </w:rPr>
      </w:pPr>
      <w:r w:rsidRPr="00F50E68">
        <w:rPr>
          <w:rFonts w:ascii="Verdana" w:eastAsiaTheme="minorHAnsi" w:hAnsi="Verdana" w:cs="Arial"/>
          <w:sz w:val="18"/>
          <w:szCs w:val="18"/>
          <w:lang w:val="es-MX" w:eastAsia="en-US"/>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p w14:paraId="2FA64682" w14:textId="77777777" w:rsidR="002171B7" w:rsidRPr="00F50E68" w:rsidRDefault="002171B7" w:rsidP="002171B7">
      <w:pPr>
        <w:pStyle w:val="NormalWeb"/>
        <w:shd w:val="clear" w:color="auto" w:fill="FFFFFF"/>
        <w:spacing w:before="0" w:beforeAutospacing="0" w:after="0" w:afterAutospacing="0"/>
        <w:ind w:firstLine="708"/>
        <w:jc w:val="both"/>
        <w:rPr>
          <w:rFonts w:ascii="Verdana" w:eastAsiaTheme="minorHAnsi" w:hAnsi="Verdana" w:cs="Arial"/>
          <w:sz w:val="18"/>
          <w:szCs w:val="18"/>
          <w:lang w:val="es-MX" w:eastAsia="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BC16B" w14:textId="77777777" w:rsidR="002171B7" w:rsidRDefault="002171B7"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74A0907D" wp14:editId="4ED40AB6">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37ABD956" wp14:editId="56BD7D5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767F7B2" w14:textId="77777777" w:rsidR="002171B7" w:rsidRDefault="002171B7">
    <w:pPr>
      <w:pStyle w:val="Encabezado"/>
    </w:pPr>
  </w:p>
  <w:p w14:paraId="5A9628A0" w14:textId="77777777" w:rsidR="002171B7" w:rsidRPr="004A305D" w:rsidRDefault="002171B7" w:rsidP="00B01B1A">
    <w:pPr>
      <w:spacing w:after="0" w:line="120" w:lineRule="auto"/>
      <w:rPr>
        <w:rFonts w:ascii="Century Gothic" w:eastAsia="Geo" w:hAnsi="Century Gothic" w:cs="Geo"/>
        <w:sz w:val="16"/>
        <w:szCs w:val="16"/>
        <w:lang w:eastAsia="es-CO"/>
      </w:rPr>
    </w:pPr>
  </w:p>
  <w:p w14:paraId="4DA16E79" w14:textId="77777777" w:rsidR="002171B7" w:rsidRDefault="002171B7" w:rsidP="00844AE9">
    <w:pPr>
      <w:spacing w:after="0" w:line="240" w:lineRule="auto"/>
      <w:rPr>
        <w:rFonts w:ascii="Verdana" w:hAnsi="Verdana"/>
        <w:sz w:val="24"/>
        <w:szCs w:val="24"/>
      </w:rPr>
    </w:pPr>
  </w:p>
  <w:p w14:paraId="4517E475" w14:textId="77777777" w:rsidR="002171B7" w:rsidRPr="00C925AC" w:rsidRDefault="002171B7" w:rsidP="00844AE9">
    <w:pPr>
      <w:spacing w:after="0" w:line="240" w:lineRule="auto"/>
      <w:rPr>
        <w:rFonts w:ascii="Verdana" w:hAnsi="Verdana"/>
        <w:sz w:val="24"/>
        <w:szCs w:val="24"/>
      </w:rPr>
    </w:pPr>
  </w:p>
  <w:p w14:paraId="40A447CD" w14:textId="77777777" w:rsidR="002171B7" w:rsidRPr="00C925AC" w:rsidRDefault="002171B7"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1B7"/>
    <w:rsid w:val="000417AF"/>
    <w:rsid w:val="00060AC6"/>
    <w:rsid w:val="00210746"/>
    <w:rsid w:val="002171B7"/>
    <w:rsid w:val="002817E8"/>
    <w:rsid w:val="0045228D"/>
    <w:rsid w:val="00540BA4"/>
    <w:rsid w:val="005727E1"/>
    <w:rsid w:val="005818E2"/>
    <w:rsid w:val="006A48DC"/>
    <w:rsid w:val="00783D66"/>
    <w:rsid w:val="008A5FAF"/>
    <w:rsid w:val="008E5C2E"/>
    <w:rsid w:val="009829FC"/>
    <w:rsid w:val="00A131B6"/>
    <w:rsid w:val="00A52E94"/>
    <w:rsid w:val="00B714C1"/>
    <w:rsid w:val="00C35256"/>
    <w:rsid w:val="00FA356F"/>
    <w:rsid w:val="00FE38A0"/>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371BB"/>
  <w15:chartTrackingRefBased/>
  <w15:docId w15:val="{39C87B7F-DFAE-47DF-997B-432CB59B0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1B7"/>
    <w:rPr>
      <w:kern w:val="0"/>
      <w14:ligatures w14:val="none"/>
    </w:rPr>
  </w:style>
  <w:style w:type="paragraph" w:styleId="Ttulo1">
    <w:name w:val="heading 1"/>
    <w:basedOn w:val="Normal"/>
    <w:next w:val="Normal"/>
    <w:link w:val="Ttulo1Car"/>
    <w:uiPriority w:val="9"/>
    <w:qFormat/>
    <w:rsid w:val="002171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171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171B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171B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171B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171B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171B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171B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171B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171B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171B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171B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171B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171B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171B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171B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171B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171B7"/>
    <w:rPr>
      <w:rFonts w:eastAsiaTheme="majorEastAsia" w:cstheme="majorBidi"/>
      <w:color w:val="272727" w:themeColor="text1" w:themeTint="D8"/>
    </w:rPr>
  </w:style>
  <w:style w:type="paragraph" w:styleId="Ttulo">
    <w:name w:val="Title"/>
    <w:basedOn w:val="Normal"/>
    <w:next w:val="Normal"/>
    <w:link w:val="TtuloCar"/>
    <w:uiPriority w:val="10"/>
    <w:qFormat/>
    <w:rsid w:val="002171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171B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171B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171B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171B7"/>
    <w:pPr>
      <w:spacing w:before="160"/>
      <w:jc w:val="center"/>
    </w:pPr>
    <w:rPr>
      <w:i/>
      <w:iCs/>
      <w:color w:val="404040" w:themeColor="text1" w:themeTint="BF"/>
    </w:rPr>
  </w:style>
  <w:style w:type="character" w:customStyle="1" w:styleId="CitaCar">
    <w:name w:val="Cita Car"/>
    <w:basedOn w:val="Fuentedeprrafopredeter"/>
    <w:link w:val="Cita"/>
    <w:uiPriority w:val="29"/>
    <w:rsid w:val="002171B7"/>
    <w:rPr>
      <w:i/>
      <w:iCs/>
      <w:color w:val="404040" w:themeColor="text1" w:themeTint="BF"/>
    </w:rPr>
  </w:style>
  <w:style w:type="paragraph" w:styleId="Prrafodelista">
    <w:name w:val="List Paragraph"/>
    <w:basedOn w:val="Normal"/>
    <w:uiPriority w:val="34"/>
    <w:qFormat/>
    <w:rsid w:val="002171B7"/>
    <w:pPr>
      <w:ind w:left="720"/>
      <w:contextualSpacing/>
    </w:pPr>
  </w:style>
  <w:style w:type="character" w:styleId="nfasisintenso">
    <w:name w:val="Intense Emphasis"/>
    <w:basedOn w:val="Fuentedeprrafopredeter"/>
    <w:uiPriority w:val="21"/>
    <w:qFormat/>
    <w:rsid w:val="002171B7"/>
    <w:rPr>
      <w:i/>
      <w:iCs/>
      <w:color w:val="0F4761" w:themeColor="accent1" w:themeShade="BF"/>
    </w:rPr>
  </w:style>
  <w:style w:type="paragraph" w:styleId="Citadestacada">
    <w:name w:val="Intense Quote"/>
    <w:basedOn w:val="Normal"/>
    <w:next w:val="Normal"/>
    <w:link w:val="CitadestacadaCar"/>
    <w:uiPriority w:val="30"/>
    <w:qFormat/>
    <w:rsid w:val="002171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171B7"/>
    <w:rPr>
      <w:i/>
      <w:iCs/>
      <w:color w:val="0F4761" w:themeColor="accent1" w:themeShade="BF"/>
    </w:rPr>
  </w:style>
  <w:style w:type="character" w:styleId="Referenciaintensa">
    <w:name w:val="Intense Reference"/>
    <w:basedOn w:val="Fuentedeprrafopredeter"/>
    <w:uiPriority w:val="32"/>
    <w:qFormat/>
    <w:rsid w:val="002171B7"/>
    <w:rPr>
      <w:b/>
      <w:bCs/>
      <w:smallCaps/>
      <w:color w:val="0F4761" w:themeColor="accent1" w:themeShade="BF"/>
      <w:spacing w:val="5"/>
    </w:rPr>
  </w:style>
  <w:style w:type="paragraph" w:styleId="Encabezado">
    <w:name w:val="header"/>
    <w:basedOn w:val="Normal"/>
    <w:link w:val="EncabezadoCar"/>
    <w:uiPriority w:val="99"/>
    <w:unhideWhenUsed/>
    <w:rsid w:val="002171B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171B7"/>
    <w:rPr>
      <w:kern w:val="0"/>
      <w14:ligatures w14:val="none"/>
    </w:rPr>
  </w:style>
  <w:style w:type="paragraph" w:styleId="Piedepgina">
    <w:name w:val="footer"/>
    <w:basedOn w:val="Normal"/>
    <w:link w:val="PiedepginaCar"/>
    <w:uiPriority w:val="99"/>
    <w:unhideWhenUsed/>
    <w:rsid w:val="002171B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171B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171B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171B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171B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171B7"/>
    <w:rPr>
      <w:vertAlign w:val="superscript"/>
    </w:rPr>
  </w:style>
  <w:style w:type="character" w:customStyle="1" w:styleId="normaltextrun">
    <w:name w:val="normaltextrun"/>
    <w:basedOn w:val="Fuentedeprrafopredeter"/>
    <w:rsid w:val="002171B7"/>
  </w:style>
  <w:style w:type="table" w:styleId="Tablaconcuadrcula">
    <w:name w:val="Table Grid"/>
    <w:basedOn w:val="Tablanormal"/>
    <w:uiPriority w:val="39"/>
    <w:qFormat/>
    <w:rsid w:val="002171B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171B7"/>
    <w:rPr>
      <w:color w:val="0000FF"/>
      <w:u w:val="single"/>
    </w:rPr>
  </w:style>
  <w:style w:type="paragraph" w:styleId="NormalWeb">
    <w:name w:val="Normal (Web)"/>
    <w:basedOn w:val="Normal"/>
    <w:link w:val="NormalWebCar"/>
    <w:uiPriority w:val="99"/>
    <w:unhideWhenUsed/>
    <w:rsid w:val="002171B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2171B7"/>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2171B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2171B7"/>
    <w:rPr>
      <w:b/>
      <w:bCs/>
    </w:rPr>
  </w:style>
  <w:style w:type="character" w:styleId="nfasis">
    <w:name w:val="Emphasis"/>
    <w:basedOn w:val="Fuentedeprrafopredeter"/>
    <w:uiPriority w:val="20"/>
    <w:qFormat/>
    <w:rsid w:val="002171B7"/>
    <w:rPr>
      <w:i/>
      <w:iCs/>
    </w:rPr>
  </w:style>
  <w:style w:type="character" w:customStyle="1" w:styleId="Hipervnculo1">
    <w:name w:val="Hipervínculo1"/>
    <w:basedOn w:val="Fuentedeprrafopredeter"/>
    <w:uiPriority w:val="99"/>
    <w:unhideWhenUsed/>
    <w:rsid w:val="002171B7"/>
    <w:rPr>
      <w:color w:val="F2F2F2"/>
      <w:u w:val="single"/>
    </w:rPr>
  </w:style>
  <w:style w:type="character" w:customStyle="1" w:styleId="NormalWebCar">
    <w:name w:val="Normal (Web) Car"/>
    <w:link w:val="NormalWeb"/>
    <w:uiPriority w:val="99"/>
    <w:rsid w:val="002171B7"/>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archivos/manual/plan-anual-de-adquisiciones-en-secop-ii-creacion-y-publicacion-del-paa"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ofiagalindo2003@hot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ites/cce_public/files/cce_documents/guia_para_elaborar_el_plan_anual_de_adquisiciones_0.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alcaldiabogota.gov.co/sisjur/normas/Norma1.jsp?i=43292" TargetMode="External"/><Relationship Id="rId1" Type="http://schemas.openxmlformats.org/officeDocument/2006/relationships/hyperlink" Target="https://www.colombiacompra.gov.co/sites/cce_public/files/cce_documents/guia_para_elaborar_el_plan_anual_de_adquisiciones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BF7A6F2-3C9B-4778-9EB1-772DD6CC7C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A8670A-69CE-4D7C-96F2-D4385C71D9F1}">
  <ds:schemaRefs>
    <ds:schemaRef ds:uri="http://schemas.microsoft.com/sharepoint/v3/contenttype/forms"/>
  </ds:schemaRefs>
</ds:datastoreItem>
</file>

<file path=customXml/itemProps3.xml><?xml version="1.0" encoding="utf-8"?>
<ds:datastoreItem xmlns:ds="http://schemas.openxmlformats.org/officeDocument/2006/customXml" ds:itemID="{3BC85EC0-9D55-4D75-8E66-7BCCAEA1090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4572</Words>
  <Characters>25146</Characters>
  <Application>Microsoft Office Word</Application>
  <DocSecurity>0</DocSecurity>
  <Lines>209</Lines>
  <Paragraphs>59</Paragraphs>
  <ScaleCrop>false</ScaleCrop>
  <Company/>
  <LinksUpToDate>false</LinksUpToDate>
  <CharactersWithSpaces>29659</CharactersWithSpaces>
  <SharedDoc>false</SharedDoc>
  <HLinks>
    <vt:vector size="54" baseType="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5505032</vt:i4>
      </vt:variant>
      <vt:variant>
        <vt:i4>6</vt:i4>
      </vt:variant>
      <vt:variant>
        <vt:i4>0</vt:i4>
      </vt:variant>
      <vt:variant>
        <vt:i4>5</vt:i4>
      </vt:variant>
      <vt:variant>
        <vt:lpwstr>https://www.colombiacompra.gov.co/sites/cce_public/files/cce_documents/guia_para_elaborar_el_plan_anual_de_adquisiciones_0.pdf</vt:lpwstr>
      </vt:variant>
      <vt:variant>
        <vt:lpwstr/>
      </vt:variant>
      <vt:variant>
        <vt:i4>786437</vt:i4>
      </vt:variant>
      <vt:variant>
        <vt:i4>3</vt:i4>
      </vt:variant>
      <vt:variant>
        <vt:i4>0</vt:i4>
      </vt:variant>
      <vt:variant>
        <vt:i4>5</vt:i4>
      </vt:variant>
      <vt:variant>
        <vt:lpwstr>https://www.colombiacompra.gov.co/archivos/manual/plan-anual-de-adquisiciones-en-secop-ii-creacion-y-publicacion-del-paa</vt:lpwstr>
      </vt:variant>
      <vt:variant>
        <vt:lpwstr/>
      </vt:variant>
      <vt:variant>
        <vt:i4>1179703</vt:i4>
      </vt:variant>
      <vt:variant>
        <vt:i4>0</vt:i4>
      </vt:variant>
      <vt:variant>
        <vt:i4>0</vt:i4>
      </vt:variant>
      <vt:variant>
        <vt:i4>5</vt:i4>
      </vt:variant>
      <vt:variant>
        <vt:lpwstr>mailto:sofiagalindo2003@hotmail.com</vt:lpwstr>
      </vt:variant>
      <vt:variant>
        <vt:lpwstr/>
      </vt:variant>
      <vt:variant>
        <vt:i4>6160385</vt:i4>
      </vt:variant>
      <vt:variant>
        <vt:i4>3</vt:i4>
      </vt:variant>
      <vt:variant>
        <vt:i4>0</vt:i4>
      </vt:variant>
      <vt:variant>
        <vt:i4>5</vt:i4>
      </vt:variant>
      <vt:variant>
        <vt:lpwstr>http://www.alcaldiabogota.gov.co/sisjur/normas/Norma1.jsp?i=43292</vt:lpwstr>
      </vt:variant>
      <vt:variant>
        <vt:lpwstr/>
      </vt:variant>
      <vt:variant>
        <vt:i4>5505032</vt:i4>
      </vt:variant>
      <vt:variant>
        <vt:i4>0</vt:i4>
      </vt:variant>
      <vt:variant>
        <vt:i4>0</vt:i4>
      </vt:variant>
      <vt:variant>
        <vt:i4>5</vt:i4>
      </vt:variant>
      <vt:variant>
        <vt:lpwstr>https://www.colombiacompra.gov.co/sites/cce_public/files/cce_documents/guia_para_elaborar_el_plan_anual_de_adquisiciones_0.pdf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2026-03-27T15:18:00Z</dcterms:created>
  <dcterms:modified xsi:type="dcterms:W3CDTF">2026-03-27T15:18:00Z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