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DF9B602" w14:textId="77777777" w:rsidR="00766E9C" w:rsidRPr="00C55BDE" w:rsidRDefault="00766E9C" w:rsidP="00766E9C">
      <w:pPr>
        <w:snapToGrid w:val="0"/>
        <w:contextualSpacing/>
        <w:jc w:val="both"/>
        <w:rPr>
          <w:rFonts w:ascii="Verdana" w:hAnsi="Verdana" w:cs="Arial"/>
          <w:b/>
          <w:bCs/>
          <w:lang w:val="es-ES" w:eastAsia="es-ES"/>
        </w:rPr>
      </w:pPr>
      <w:bookmarkStart w:id="0" w:name="_Hlk143780582"/>
      <w:r w:rsidRPr="00C55BDE">
        <w:rPr>
          <w:rFonts w:ascii="Verdana" w:hAnsi="Verdana" w:cs="Arial"/>
          <w:b/>
          <w:bCs/>
          <w:lang w:val="es-ES" w:eastAsia="es-ES"/>
        </w:rPr>
        <w:t>LEY DE GARANTÍAS ELECTORALES – Finalidad</w:t>
      </w:r>
    </w:p>
    <w:p w14:paraId="3FC834C2" w14:textId="77777777" w:rsidR="00766E9C" w:rsidRPr="00C55BDE" w:rsidRDefault="00766E9C" w:rsidP="00766E9C">
      <w:pPr>
        <w:snapToGrid w:val="0"/>
        <w:contextualSpacing/>
        <w:jc w:val="both"/>
        <w:rPr>
          <w:rFonts w:ascii="Verdana" w:hAnsi="Verdana" w:cs="Arial"/>
          <w:b/>
          <w:bCs/>
          <w:lang w:val="es-ES" w:eastAsia="es-ES"/>
        </w:rPr>
      </w:pPr>
    </w:p>
    <w:p w14:paraId="7E9CBBA2" w14:textId="77777777" w:rsidR="00766E9C" w:rsidRPr="00C55BDE" w:rsidRDefault="00766E9C" w:rsidP="00766E9C">
      <w:pPr>
        <w:tabs>
          <w:tab w:val="left" w:pos="426"/>
        </w:tabs>
        <w:snapToGrid w:val="0"/>
        <w:spacing w:after="0" w:line="240" w:lineRule="auto"/>
        <w:contextualSpacing/>
        <w:jc w:val="both"/>
        <w:rPr>
          <w:rFonts w:ascii="Verdana" w:hAnsi="Verdana" w:cs="Arial"/>
          <w:sz w:val="20"/>
          <w:szCs w:val="20"/>
          <w:lang w:val="es-ES"/>
        </w:rPr>
      </w:pPr>
      <w:r w:rsidRPr="00C55BDE">
        <w:rPr>
          <w:rFonts w:ascii="Verdana" w:eastAsia="Times New Roman" w:hAnsi="Verdana" w:cs="Arial"/>
          <w:sz w:val="20"/>
          <w:szCs w:val="20"/>
          <w:lang w:val="es-ES" w:eastAsia="es-CO"/>
        </w:rPr>
        <w:t>En el mismo sentido, la Ley 996 de 2005, conocida como “Ley de Garantías Electorales”, se suma al andamiaje constitucional y legal que busca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 En esta medida, introduce limitaciones para realizar nombramientos, postulaciones, contrataciones o cualquier otro tipo de actividad que implique destinación de recursos públicos bajo el devenir propio de las Entidades Estatales.</w:t>
      </w:r>
      <w:r w:rsidRPr="00C55BDE">
        <w:rPr>
          <w:rFonts w:ascii="Verdana" w:hAnsi="Verdana" w:cs="Arial"/>
          <w:sz w:val="20"/>
          <w:szCs w:val="20"/>
          <w:lang w:val="es-ES"/>
        </w:rPr>
        <w:t xml:space="preserve"> </w:t>
      </w:r>
    </w:p>
    <w:p w14:paraId="5DD728CA" w14:textId="77777777" w:rsidR="00766E9C" w:rsidRPr="00C55BDE" w:rsidRDefault="00766E9C" w:rsidP="00766E9C">
      <w:pPr>
        <w:snapToGrid w:val="0"/>
        <w:contextualSpacing/>
        <w:jc w:val="both"/>
        <w:rPr>
          <w:rFonts w:ascii="Verdana" w:hAnsi="Verdana" w:cs="Arial"/>
          <w:b/>
          <w:bCs/>
          <w:lang w:val="es-ES" w:eastAsia="es-ES"/>
        </w:rPr>
      </w:pPr>
    </w:p>
    <w:p w14:paraId="2244BFCD" w14:textId="77777777" w:rsidR="00766E9C" w:rsidRPr="00C55BDE" w:rsidRDefault="00766E9C" w:rsidP="00766E9C">
      <w:pPr>
        <w:snapToGrid w:val="0"/>
        <w:contextualSpacing/>
        <w:jc w:val="both"/>
        <w:rPr>
          <w:rFonts w:ascii="Verdana" w:hAnsi="Verdana" w:cs="Arial"/>
          <w:b/>
          <w:bCs/>
          <w:sz w:val="20"/>
          <w:szCs w:val="20"/>
          <w:lang w:val="es-ES" w:eastAsia="es-ES"/>
        </w:rPr>
      </w:pPr>
      <w:r w:rsidRPr="00C55BDE">
        <w:rPr>
          <w:rFonts w:ascii="Verdana" w:hAnsi="Verdana" w:cs="Arial"/>
          <w:b/>
          <w:bCs/>
          <w:lang w:val="es-ES" w:eastAsia="es-ES"/>
        </w:rPr>
        <w:t>LEY DE GARANTÍAS ELECTORALES ‒ Restricciones ‒ Contratación ‒ Tipos de elección</w:t>
      </w:r>
    </w:p>
    <w:p w14:paraId="427EDCF6" w14:textId="77777777" w:rsidR="00766E9C" w:rsidRPr="00C55BDE" w:rsidRDefault="00766E9C" w:rsidP="00766E9C">
      <w:pPr>
        <w:snapToGrid w:val="0"/>
        <w:spacing w:after="0" w:line="240" w:lineRule="auto"/>
        <w:contextualSpacing/>
        <w:jc w:val="both"/>
        <w:rPr>
          <w:rFonts w:ascii="Verdana" w:hAnsi="Verdana" w:cs="Arial"/>
          <w:sz w:val="20"/>
          <w:szCs w:val="20"/>
          <w:lang w:val="es-ES" w:eastAsia="es-ES"/>
        </w:rPr>
      </w:pPr>
    </w:p>
    <w:p w14:paraId="17EF99C5" w14:textId="77777777" w:rsidR="00766E9C" w:rsidRPr="00C55BDE" w:rsidRDefault="00766E9C" w:rsidP="00766E9C">
      <w:pPr>
        <w:snapToGrid w:val="0"/>
        <w:spacing w:after="0" w:line="240" w:lineRule="auto"/>
        <w:contextualSpacing/>
        <w:jc w:val="both"/>
        <w:rPr>
          <w:rFonts w:ascii="Verdana" w:hAnsi="Verdana" w:cs="Arial"/>
          <w:sz w:val="20"/>
          <w:szCs w:val="20"/>
          <w:lang w:val="es-ES"/>
        </w:rPr>
      </w:pPr>
      <w:r w:rsidRPr="00C55BDE">
        <w:rPr>
          <w:rFonts w:ascii="Verdana" w:hAnsi="Verdana" w:cs="Arial"/>
          <w:sz w:val="20"/>
          <w:szCs w:val="20"/>
          <w:lang w:val="es-ES"/>
        </w:rPr>
        <w:t xml:space="preserve">Por un lado, el </w:t>
      </w:r>
      <w:r w:rsidRPr="00C55BDE">
        <w:rPr>
          <w:rFonts w:ascii="Verdana" w:hAnsi="Verdana" w:cs="Arial"/>
          <w:i/>
          <w:iCs/>
          <w:sz w:val="20"/>
          <w:szCs w:val="20"/>
          <w:lang w:val="es-ES"/>
        </w:rPr>
        <w:t xml:space="preserve">artículo 33 </w:t>
      </w:r>
      <w:r w:rsidRPr="00C55BDE">
        <w:rPr>
          <w:rFonts w:ascii="Verdana" w:hAnsi="Verdana" w:cs="Arial"/>
          <w:sz w:val="20"/>
          <w:szCs w:val="20"/>
          <w:lang w:val="es-ES"/>
        </w:rPr>
        <w:t xml:space="preserve">de la Ley 996 de 2005 prohíbe “[…] la contratación directa por parte de </w:t>
      </w:r>
      <w:r w:rsidRPr="00C55BDE">
        <w:rPr>
          <w:rFonts w:ascii="Verdana" w:hAnsi="Verdana" w:cs="Arial"/>
          <w:i/>
          <w:iCs/>
          <w:sz w:val="20"/>
          <w:szCs w:val="20"/>
          <w:lang w:val="es-ES"/>
        </w:rPr>
        <w:t>todos los entes del Estado</w:t>
      </w:r>
      <w:r w:rsidRPr="00C55BDE">
        <w:rPr>
          <w:rFonts w:ascii="Verdana" w:hAnsi="Verdana" w:cs="Arial"/>
          <w:sz w:val="20"/>
          <w:szCs w:val="20"/>
          <w:lang w:val="es-ES"/>
        </w:rPr>
        <w:t xml:space="preserve">” durante los cuatro (4) meses anteriores a las </w:t>
      </w:r>
      <w:r w:rsidRPr="00C55BDE">
        <w:rPr>
          <w:rFonts w:ascii="Verdana" w:hAnsi="Verdana" w:cs="Arial"/>
          <w:i/>
          <w:iCs/>
          <w:sz w:val="20"/>
          <w:szCs w:val="20"/>
          <w:lang w:val="es-ES"/>
        </w:rPr>
        <w:t>elecciones presidenciales</w:t>
      </w:r>
      <w:r w:rsidRPr="00C55BDE">
        <w:rPr>
          <w:rFonts w:ascii="Verdana" w:hAnsi="Verdana" w:cs="Arial"/>
          <w:sz w:val="20"/>
          <w:szCs w:val="20"/>
          <w:lang w:val="es-ES"/>
        </w:rPr>
        <w:t>,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5DEACA38" w14:textId="77777777" w:rsidR="00766E9C" w:rsidRPr="00C55BDE" w:rsidRDefault="00766E9C" w:rsidP="00766E9C">
      <w:pPr>
        <w:snapToGrid w:val="0"/>
        <w:spacing w:after="0" w:line="240" w:lineRule="auto"/>
        <w:contextualSpacing/>
        <w:jc w:val="both"/>
        <w:rPr>
          <w:rFonts w:ascii="Verdana" w:hAnsi="Verdana" w:cs="Arial"/>
          <w:sz w:val="20"/>
          <w:szCs w:val="20"/>
          <w:lang w:val="es-ES"/>
        </w:rPr>
      </w:pPr>
    </w:p>
    <w:p w14:paraId="135CB444" w14:textId="77777777" w:rsidR="00766E9C" w:rsidRDefault="00766E9C" w:rsidP="00766E9C">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r w:rsidRPr="00C55BDE">
        <w:rPr>
          <w:rFonts w:ascii="Verdana" w:hAnsi="Verdana" w:cs="Arial"/>
          <w:sz w:val="20"/>
          <w:szCs w:val="20"/>
          <w:lang w:val="es-ES"/>
        </w:rPr>
        <w:t xml:space="preserve">Por otro lado, </w:t>
      </w:r>
      <w:r w:rsidRPr="00C55BDE">
        <w:rPr>
          <w:rFonts w:ascii="Verdana" w:hAnsi="Verdana" w:cs="Arial"/>
          <w:i/>
          <w:iCs/>
          <w:sz w:val="20"/>
          <w:szCs w:val="20"/>
          <w:lang w:val="es-ES"/>
        </w:rPr>
        <w:t xml:space="preserve">el parágrafo del artículo 38 </w:t>
      </w:r>
      <w:r w:rsidRPr="00C55BDE">
        <w:rPr>
          <w:rFonts w:ascii="Verdana" w:hAnsi="Verdana" w:cs="Arial"/>
          <w:sz w:val="20"/>
          <w:szCs w:val="20"/>
          <w:lang w:val="es-ES"/>
        </w:rPr>
        <w:t xml:space="preserve">de la Ley 996 de 2005 prevé una restricción, aplicable respecto de </w:t>
      </w:r>
      <w:r w:rsidRPr="00C55BDE">
        <w:rPr>
          <w:rFonts w:ascii="Verdana" w:hAnsi="Verdana" w:cs="Arial"/>
          <w:i/>
          <w:iCs/>
          <w:sz w:val="20"/>
          <w:szCs w:val="20"/>
          <w:lang w:val="es-ES"/>
        </w:rPr>
        <w:t>cualquier tipo de contienda electoral</w:t>
      </w:r>
      <w:r w:rsidRPr="00C55BDE">
        <w:rPr>
          <w:rFonts w:ascii="Verdana" w:hAnsi="Verdana" w:cs="Arial"/>
          <w:sz w:val="20"/>
          <w:szCs w:val="20"/>
          <w:lang w:val="es-ES"/>
        </w:rPr>
        <w:t>, que prohíbe a los gobernadores, alcaldes municipales o distritales, secretarios, gerentes y directores de entidades descentralizadas del orden municipal, departamental o distrital “[…]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55BDE">
        <w:rPr>
          <w:rFonts w:ascii="Verdana" w:eastAsia="Arial" w:hAnsi="Verdana" w:cs="Arial"/>
          <w:sz w:val="20"/>
          <w:szCs w:val="20"/>
          <w:lang w:val="es-ES" w:eastAsia="es-ES" w:bidi="es-ES"/>
        </w:rPr>
        <w:t xml:space="preserve"> </w:t>
      </w:r>
    </w:p>
    <w:p w14:paraId="667C5A16" w14:textId="77777777" w:rsidR="00766E9C" w:rsidRDefault="00766E9C" w:rsidP="00766E9C">
      <w:pPr>
        <w:widowControl w:val="0"/>
        <w:autoSpaceDE w:val="0"/>
        <w:autoSpaceDN w:val="0"/>
        <w:snapToGrid w:val="0"/>
        <w:spacing w:after="0" w:line="240" w:lineRule="auto"/>
        <w:ind w:right="113"/>
        <w:contextualSpacing/>
        <w:jc w:val="both"/>
        <w:rPr>
          <w:rFonts w:ascii="Verdana" w:eastAsia="Arial" w:hAnsi="Verdana" w:cs="Arial"/>
          <w:sz w:val="20"/>
          <w:szCs w:val="20"/>
          <w:lang w:val="es-ES" w:eastAsia="es-ES" w:bidi="es-ES"/>
        </w:rPr>
      </w:pPr>
    </w:p>
    <w:p w14:paraId="4B98DF79" w14:textId="77777777" w:rsidR="00766E9C" w:rsidRDefault="00766E9C" w:rsidP="00766E9C">
      <w:pPr>
        <w:widowControl w:val="0"/>
        <w:autoSpaceDE w:val="0"/>
        <w:autoSpaceDN w:val="0"/>
        <w:snapToGrid w:val="0"/>
        <w:spacing w:after="0" w:line="240" w:lineRule="auto"/>
        <w:ind w:right="113"/>
        <w:contextualSpacing/>
        <w:jc w:val="both"/>
        <w:rPr>
          <w:rFonts w:ascii="Verdana" w:eastAsia="Aptos" w:hAnsi="Verdana" w:cs="Arial"/>
          <w:b/>
          <w:bCs/>
          <w:color w:val="000000" w:themeColor="text1"/>
          <w:lang w:val="es-MX" w:eastAsia="es-ES"/>
        </w:rPr>
      </w:pPr>
      <w:r w:rsidRPr="000F2EFE">
        <w:rPr>
          <w:rFonts w:ascii="Verdana" w:hAnsi="Verdana" w:cs="Arial"/>
          <w:b/>
          <w:bCs/>
          <w:lang w:val="es-ES" w:eastAsia="es-ES"/>
        </w:rPr>
        <w:t>LEY DE GARANTÍAS ELECTORALES</w:t>
      </w:r>
      <w:r w:rsidRPr="000F2EFE">
        <w:rPr>
          <w:rFonts w:ascii="Verdana" w:eastAsia="Aptos" w:hAnsi="Verdana" w:cs="Arial"/>
          <w:b/>
          <w:bCs/>
          <w:color w:val="000000" w:themeColor="text1"/>
          <w:lang w:val="es-MX" w:eastAsia="es-ES"/>
        </w:rPr>
        <w:t xml:space="preserve"> </w:t>
      </w:r>
      <w:r w:rsidRPr="000F2EFE">
        <w:rPr>
          <w:rFonts w:ascii="Verdana" w:hAnsi="Verdana" w:cs="Arial"/>
          <w:b/>
          <w:bCs/>
          <w:lang w:val="es-ES" w:eastAsia="es-ES"/>
        </w:rPr>
        <w:t xml:space="preserve">‒ </w:t>
      </w:r>
      <w:r w:rsidRPr="000F2EFE">
        <w:rPr>
          <w:rFonts w:ascii="Verdana" w:eastAsia="Aptos" w:hAnsi="Verdana" w:cs="Arial"/>
          <w:b/>
          <w:bCs/>
          <w:color w:val="000000" w:themeColor="text1"/>
          <w:lang w:val="es-MX" w:eastAsia="es-ES"/>
        </w:rPr>
        <w:t>Artículo 33 – Contratación directa – Alcance</w:t>
      </w:r>
    </w:p>
    <w:p w14:paraId="42C20ADC" w14:textId="77777777" w:rsidR="00766E9C" w:rsidRDefault="00766E9C" w:rsidP="00766E9C">
      <w:pPr>
        <w:widowControl w:val="0"/>
        <w:autoSpaceDE w:val="0"/>
        <w:autoSpaceDN w:val="0"/>
        <w:snapToGrid w:val="0"/>
        <w:spacing w:after="0" w:line="240" w:lineRule="auto"/>
        <w:ind w:right="113"/>
        <w:contextualSpacing/>
        <w:jc w:val="both"/>
        <w:rPr>
          <w:rFonts w:ascii="Verdana" w:eastAsia="Aptos" w:hAnsi="Verdana" w:cs="Arial"/>
          <w:b/>
          <w:bCs/>
          <w:color w:val="000000" w:themeColor="text1"/>
          <w:lang w:val="es-MX" w:eastAsia="es-ES"/>
        </w:rPr>
      </w:pPr>
    </w:p>
    <w:p w14:paraId="292774F6" w14:textId="77777777" w:rsidR="00766E9C" w:rsidRPr="000F2EFE" w:rsidRDefault="00766E9C" w:rsidP="00766E9C">
      <w:pPr>
        <w:snapToGrid w:val="0"/>
        <w:spacing w:after="0" w:line="240" w:lineRule="auto"/>
        <w:contextualSpacing/>
        <w:jc w:val="both"/>
        <w:rPr>
          <w:rFonts w:ascii="Verdana" w:hAnsi="Verdana" w:cs="Arial"/>
          <w:sz w:val="20"/>
          <w:szCs w:val="20"/>
          <w:lang w:val="es-ES"/>
        </w:rPr>
      </w:pPr>
      <w:r w:rsidRPr="000F2EFE">
        <w:rPr>
          <w:rFonts w:ascii="Verdana" w:hAnsi="Verdana" w:cs="Arial"/>
          <w:sz w:val="20"/>
          <w:szCs w:val="20"/>
          <w:lang w:val="es-ES"/>
        </w:rPr>
        <w:t>Conforme a la interpretación general de las normas del sistema de compras públicas,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9BECF71" w14:textId="77777777" w:rsidR="00766E9C" w:rsidRDefault="00766E9C" w:rsidP="00766E9C">
      <w:pPr>
        <w:snapToGrid w:val="0"/>
        <w:spacing w:after="0" w:line="240" w:lineRule="auto"/>
        <w:contextualSpacing/>
        <w:jc w:val="both"/>
        <w:rPr>
          <w:rFonts w:ascii="Verdana" w:hAnsi="Verdana" w:cs="Arial"/>
          <w:sz w:val="20"/>
          <w:szCs w:val="20"/>
          <w:lang w:val="es-ES"/>
        </w:rPr>
      </w:pPr>
      <w:r w:rsidRPr="000F2EFE">
        <w:rPr>
          <w:rFonts w:ascii="Verdana" w:hAnsi="Verdana" w:cs="Arial"/>
          <w:sz w:val="20"/>
          <w:szCs w:val="20"/>
          <w:lang w:val="es-ES"/>
        </w:rPr>
        <w:lastRenderedPageBreak/>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426BA326" w14:textId="77777777" w:rsidR="0033781F" w:rsidRDefault="0033781F" w:rsidP="00766E9C">
      <w:pPr>
        <w:snapToGrid w:val="0"/>
        <w:spacing w:after="0" w:line="240" w:lineRule="auto"/>
        <w:contextualSpacing/>
        <w:jc w:val="both"/>
        <w:rPr>
          <w:rFonts w:ascii="Verdana" w:hAnsi="Verdana" w:cs="Arial"/>
          <w:sz w:val="20"/>
          <w:szCs w:val="20"/>
          <w:lang w:val="es-ES"/>
        </w:rPr>
      </w:pPr>
    </w:p>
    <w:p w14:paraId="767FFB15" w14:textId="26D05176" w:rsidR="0033781F" w:rsidRDefault="0033781F" w:rsidP="00766E9C">
      <w:pPr>
        <w:snapToGrid w:val="0"/>
        <w:spacing w:after="0" w:line="240" w:lineRule="auto"/>
        <w:contextualSpacing/>
        <w:jc w:val="both"/>
        <w:rPr>
          <w:rFonts w:ascii="Verdana" w:hAnsi="Verdana" w:cs="Arial"/>
          <w:b/>
          <w:bCs/>
          <w:lang w:val="es-MX" w:eastAsia="es-ES_tradnl"/>
        </w:rPr>
      </w:pPr>
      <w:r w:rsidRPr="0033781F">
        <w:rPr>
          <w:rFonts w:ascii="Verdana" w:hAnsi="Verdana" w:cs="Arial"/>
          <w:b/>
          <w:bCs/>
          <w:lang w:val="es-MX" w:eastAsia="es-ES_tradnl"/>
        </w:rPr>
        <w:t>CONVENIOS INTERADMINISTRATIVOS – Criterio orgánico</w:t>
      </w:r>
    </w:p>
    <w:p w14:paraId="2F988BC6" w14:textId="77777777" w:rsidR="0033781F" w:rsidRDefault="0033781F" w:rsidP="00766E9C">
      <w:pPr>
        <w:snapToGrid w:val="0"/>
        <w:spacing w:after="0" w:line="240" w:lineRule="auto"/>
        <w:contextualSpacing/>
        <w:jc w:val="both"/>
        <w:rPr>
          <w:rFonts w:ascii="Verdana" w:hAnsi="Verdana" w:cs="Arial"/>
          <w:b/>
          <w:bCs/>
          <w:lang w:val="es-MX" w:eastAsia="es-ES_tradnl"/>
        </w:rPr>
      </w:pPr>
    </w:p>
    <w:p w14:paraId="7BFE0864" w14:textId="5443B26F" w:rsidR="0033781F" w:rsidRPr="00A454F8" w:rsidRDefault="00A454F8" w:rsidP="00766E9C">
      <w:pPr>
        <w:snapToGrid w:val="0"/>
        <w:spacing w:after="0" w:line="240" w:lineRule="auto"/>
        <w:contextualSpacing/>
        <w:jc w:val="both"/>
        <w:rPr>
          <w:rFonts w:ascii="Verdana" w:hAnsi="Verdana" w:cs="Arial"/>
          <w:sz w:val="20"/>
          <w:szCs w:val="20"/>
          <w:lang w:val="es-ES"/>
        </w:rPr>
      </w:pPr>
      <w:r>
        <w:rPr>
          <w:rFonts w:ascii="Verdana" w:hAnsi="Verdana" w:cs="Arial"/>
          <w:sz w:val="20"/>
          <w:szCs w:val="20"/>
          <w:lang w:val="es-ES"/>
        </w:rPr>
        <w:t>D</w:t>
      </w:r>
      <w:r w:rsidRPr="00A454F8">
        <w:rPr>
          <w:rFonts w:ascii="Verdana" w:hAnsi="Verdana" w:cs="Arial"/>
          <w:sz w:val="20"/>
          <w:szCs w:val="20"/>
          <w:lang w:val="es-ES"/>
        </w:rPr>
        <w:t>ebe precisarse que los contratos o convenios interadministrativos están determinados por un criterio orgánico, pues es necesario que los extremos de la relación contractual sean entidades públicas, independientemente de las normas que regulan la relación contractual. En este sentido, los convenios interadministrativos solo pueden ser celebrados entre entidades públicas, pues a éstas corresponde la realización de los fines y tareas que el legislador les ha asignado.</w:t>
      </w:r>
    </w:p>
    <w:p w14:paraId="5829063B" w14:textId="77777777" w:rsidR="00766E9C" w:rsidRPr="00C55BDE" w:rsidRDefault="00766E9C" w:rsidP="00766E9C">
      <w:pPr>
        <w:spacing w:after="0" w:line="240" w:lineRule="auto"/>
        <w:jc w:val="both"/>
        <w:rPr>
          <w:rFonts w:ascii="Verdana" w:eastAsia="Calibri" w:hAnsi="Verdana" w:cs="Arial"/>
          <w:b/>
          <w:lang w:val="es-ES"/>
        </w:rPr>
      </w:pPr>
    </w:p>
    <w:p w14:paraId="38E0D9A7" w14:textId="77777777" w:rsidR="00766E9C" w:rsidRDefault="00766E9C" w:rsidP="00766E9C">
      <w:pPr>
        <w:spacing w:after="0"/>
        <w:jc w:val="both"/>
        <w:rPr>
          <w:rFonts w:ascii="Verdana" w:hAnsi="Verdana" w:cs="Arial"/>
          <w:b/>
          <w:bCs/>
          <w:lang w:val="es-MX" w:eastAsia="es-ES_tradnl"/>
        </w:rPr>
      </w:pPr>
      <w:r w:rsidRPr="00C55BDE">
        <w:rPr>
          <w:rFonts w:ascii="Verdana" w:hAnsi="Verdana" w:cs="Arial"/>
          <w:b/>
          <w:lang w:val="es-MX" w:eastAsia="es-ES_tradnl"/>
        </w:rPr>
        <w:t>CONTRATOS Y CONVENIOS INTERADMINISTRATIVOS –</w:t>
      </w:r>
      <w:r w:rsidRPr="000F2EFE">
        <w:rPr>
          <w:rFonts w:ascii="Verdana" w:hAnsi="Verdana" w:cs="Arial"/>
          <w:b/>
          <w:bCs/>
          <w:lang w:val="es-MX" w:eastAsia="es-ES_tradnl"/>
        </w:rPr>
        <w:t xml:space="preserve"> Autos de suspensión – Restricciones</w:t>
      </w:r>
    </w:p>
    <w:p w14:paraId="43F327E8" w14:textId="77777777" w:rsidR="007A7518" w:rsidRPr="00C55BDE" w:rsidRDefault="007A7518" w:rsidP="00766E9C">
      <w:pPr>
        <w:spacing w:after="0"/>
        <w:jc w:val="both"/>
        <w:rPr>
          <w:rFonts w:ascii="Verdana" w:hAnsi="Verdana"/>
          <w:b/>
        </w:rPr>
      </w:pPr>
    </w:p>
    <w:p w14:paraId="250ABBCE" w14:textId="77777777" w:rsidR="00766E9C" w:rsidRPr="00800864" w:rsidRDefault="00766E9C" w:rsidP="00766E9C">
      <w:pPr>
        <w:spacing w:after="0" w:line="240" w:lineRule="auto"/>
        <w:jc w:val="both"/>
        <w:rPr>
          <w:rFonts w:ascii="Verdana" w:hAnsi="Verdana"/>
          <w:sz w:val="18"/>
          <w:szCs w:val="20"/>
        </w:rPr>
      </w:pPr>
      <w:r w:rsidRPr="00C55BDE">
        <w:rPr>
          <w:rFonts w:ascii="Verdana" w:eastAsia="Arial" w:hAnsi="Verdana" w:cs="Arial"/>
          <w:sz w:val="20"/>
          <w:lang w:val="es-MX" w:eastAsia="es-ES" w:bidi="es-ES"/>
        </w:rPr>
        <w:t xml:space="preserve">De conformidad con los argumentos de dicha providencia, se parte de la distinción entre los conceptos </w:t>
      </w:r>
      <w:r w:rsidRPr="00C55BDE">
        <w:rPr>
          <w:rFonts w:ascii="Verdana" w:eastAsia="Arial" w:hAnsi="Verdana" w:cs="Arial"/>
          <w:sz w:val="20"/>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C55BDE">
        <w:rPr>
          <w:rFonts w:ascii="Verdana" w:eastAsia="Arial" w:hAnsi="Verdana" w:cs="Arial"/>
          <w:i/>
          <w:iCs/>
          <w:sz w:val="20"/>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55BDE">
        <w:rPr>
          <w:rFonts w:ascii="Verdana" w:eastAsia="Arial" w:hAnsi="Verdana" w:cs="Arial"/>
          <w:sz w:val="20"/>
          <w:lang w:eastAsia="es-ES" w:bidi="es-ES"/>
        </w:rPr>
        <w:t xml:space="preserve">Por tal motivo, para efectos de decretar la medida de suspensión provisional de los apartes señalados del numeral 16.2 de la Circular Externa Única, argumentó que </w:t>
      </w:r>
      <w:r w:rsidRPr="00C55BDE">
        <w:rPr>
          <w:rFonts w:ascii="Verdana" w:eastAsia="Arial" w:hAnsi="Verdana" w:cs="Arial"/>
          <w:i/>
          <w:iCs/>
          <w:sz w:val="20"/>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27D38309" w14:textId="77777777" w:rsidR="00766E9C" w:rsidRDefault="00766E9C" w:rsidP="00766E9C">
      <w:pPr>
        <w:spacing w:after="0" w:line="240" w:lineRule="auto"/>
        <w:rPr>
          <w:rFonts w:ascii="Verdana" w:eastAsia="Geomanist Light" w:hAnsi="Verdana" w:cs="Arial"/>
          <w:color w:val="000000" w:themeColor="text1"/>
          <w:lang w:val="es-ES_tradnl"/>
        </w:rPr>
      </w:pPr>
    </w:p>
    <w:p w14:paraId="7856C8C2" w14:textId="77777777" w:rsidR="00766E9C" w:rsidRDefault="00766E9C" w:rsidP="00766E9C">
      <w:pPr>
        <w:spacing w:after="0" w:line="240" w:lineRule="auto"/>
        <w:rPr>
          <w:rFonts w:ascii="Verdana" w:eastAsia="Arial" w:hAnsi="Verdana" w:cs="Arial"/>
          <w:sz w:val="20"/>
          <w:lang w:val="es-MX" w:eastAsia="es-ES" w:bidi="es-ES"/>
        </w:rPr>
      </w:pPr>
      <w:r w:rsidRPr="00C55BDE">
        <w:rPr>
          <w:rFonts w:ascii="Verdana" w:eastAsia="Arial" w:hAnsi="Verdana" w:cs="Arial"/>
          <w:sz w:val="20"/>
          <w:lang w:val="es-MX" w:eastAsia="es-ES" w:bidi="es-ES"/>
        </w:rPr>
        <w:t>[…]</w:t>
      </w:r>
    </w:p>
    <w:p w14:paraId="3460A82C" w14:textId="77777777" w:rsidR="00766E9C" w:rsidRPr="00C55BDE" w:rsidRDefault="00766E9C" w:rsidP="00766E9C">
      <w:pPr>
        <w:spacing w:after="0" w:line="240" w:lineRule="auto"/>
        <w:rPr>
          <w:rFonts w:ascii="Verdana" w:eastAsia="Geomanist Light" w:hAnsi="Verdana" w:cs="Arial"/>
          <w:color w:val="000000" w:themeColor="text1"/>
          <w:lang w:val="es-ES_tradnl"/>
        </w:rPr>
      </w:pPr>
    </w:p>
    <w:p w14:paraId="7B2076D3" w14:textId="15AA760E" w:rsidR="00766E9C" w:rsidRPr="00800864" w:rsidRDefault="00766E9C" w:rsidP="00766E9C">
      <w:pPr>
        <w:spacing w:after="0"/>
        <w:jc w:val="both"/>
        <w:rPr>
          <w:rFonts w:ascii="Verdana" w:eastAsia="Arial" w:hAnsi="Verdana" w:cs="Arial"/>
          <w:sz w:val="20"/>
          <w:lang w:eastAsia="es-ES" w:bidi="es-ES"/>
        </w:rPr>
      </w:pPr>
      <w:r w:rsidRPr="00800864">
        <w:rPr>
          <w:rFonts w:ascii="Verdana" w:eastAsia="Arial" w:hAnsi="Verdana" w:cs="Arial"/>
          <w:sz w:val="20"/>
          <w:lang w:eastAsia="es-ES" w:bidi="es-ES"/>
        </w:rPr>
        <w:t xml:space="preserve">No obstante, el análisis realizado en la sentencia se refiere únicamente al artículo 38, más no a la limitación contenida en el artículo 33, que prohíbe adelantar cualquier tipo de contratación bajo la modalidad de contratación directa. Es decir, lo resuelto en dicha sentencia no contempló la prohibición de celebrar contratos interadministrativos o </w:t>
      </w:r>
      <w:r w:rsidRPr="00800864">
        <w:rPr>
          <w:rFonts w:ascii="Verdana" w:eastAsia="Arial" w:hAnsi="Verdana" w:cs="Arial"/>
          <w:sz w:val="20"/>
          <w:lang w:eastAsia="es-ES" w:bidi="es-ES"/>
        </w:rPr>
        <w:lastRenderedPageBreak/>
        <w:t>convenios a título gratuito de forma directa, que están sujetos a la restricción del artículo 33 de la Ley 996 de 2005. En este sentido, todos los entes del Estado, independiente del régimen jurídico aplicable, están sujetos a la restricción del artículo 33 de la Ley 996 de 2005, es decir, no podrán adelantar ningún tipo contratación directa respecto de las elecciones presidenciales, dentro de los 4 meses anteriores a la celebración de dichos comicios, salvo las excepciones allí establecidas</w:t>
      </w:r>
      <w:r w:rsidR="008E66C6">
        <w:rPr>
          <w:rFonts w:ascii="Verdana" w:eastAsia="Arial" w:hAnsi="Verdana" w:cs="Arial"/>
          <w:sz w:val="20"/>
          <w:lang w:eastAsia="es-ES" w:bidi="es-ES"/>
        </w:rPr>
        <w:t>.</w:t>
      </w:r>
    </w:p>
    <w:p w14:paraId="277B6A80" w14:textId="77777777" w:rsidR="00766E9C" w:rsidRDefault="00766E9C" w:rsidP="00766E9C">
      <w:pPr>
        <w:spacing w:after="0"/>
        <w:jc w:val="both"/>
        <w:rPr>
          <w:rFonts w:ascii="Verdana" w:eastAsia="Arial" w:hAnsi="Verdana" w:cs="Arial"/>
          <w:i/>
          <w:iCs/>
          <w:sz w:val="20"/>
          <w:lang w:eastAsia="es-ES" w:bidi="es-ES"/>
        </w:rPr>
      </w:pPr>
    </w:p>
    <w:p w14:paraId="44B16F11" w14:textId="77777777" w:rsidR="00766E9C" w:rsidRDefault="00766E9C" w:rsidP="00766E9C">
      <w:pPr>
        <w:spacing w:after="0"/>
        <w:jc w:val="both"/>
        <w:rPr>
          <w:rFonts w:ascii="Verdana" w:eastAsia="Arial" w:hAnsi="Verdana" w:cs="Arial"/>
          <w:i/>
          <w:iCs/>
          <w:sz w:val="20"/>
          <w:lang w:eastAsia="es-ES" w:bidi="es-ES"/>
        </w:rPr>
      </w:pPr>
    </w:p>
    <w:p w14:paraId="65FEAC5A" w14:textId="77777777" w:rsidR="00766E9C" w:rsidRDefault="00766E9C" w:rsidP="00766E9C">
      <w:pPr>
        <w:spacing w:after="0"/>
        <w:jc w:val="both"/>
        <w:rPr>
          <w:rFonts w:ascii="Verdana" w:eastAsia="Arial" w:hAnsi="Verdana" w:cs="Arial"/>
          <w:i/>
          <w:iCs/>
          <w:sz w:val="20"/>
          <w:lang w:eastAsia="es-ES" w:bidi="es-ES"/>
        </w:rPr>
      </w:pPr>
    </w:p>
    <w:p w14:paraId="7626D5FA" w14:textId="77777777" w:rsidR="00766E9C" w:rsidRPr="000F2EFE" w:rsidRDefault="00766E9C" w:rsidP="00766E9C">
      <w:pPr>
        <w:spacing w:after="0"/>
        <w:jc w:val="both"/>
        <w:rPr>
          <w:rFonts w:ascii="Verdana" w:eastAsia="Arial" w:hAnsi="Verdana" w:cs="Arial"/>
          <w:i/>
          <w:iCs/>
          <w:sz w:val="20"/>
          <w:lang w:eastAsia="es-ES" w:bidi="es-ES"/>
        </w:rPr>
      </w:pPr>
    </w:p>
    <w:p w14:paraId="084154AC" w14:textId="77777777" w:rsidR="002A031B" w:rsidRDefault="002A031B" w:rsidP="00766E9C">
      <w:pPr>
        <w:spacing w:after="0" w:line="240" w:lineRule="auto"/>
        <w:rPr>
          <w:rFonts w:ascii="Verdana" w:hAnsi="Verdana"/>
        </w:rPr>
      </w:pPr>
    </w:p>
    <w:p w14:paraId="103CDA5F" w14:textId="77777777" w:rsidR="002A031B" w:rsidRDefault="002A031B" w:rsidP="00766E9C">
      <w:pPr>
        <w:spacing w:after="0" w:line="240" w:lineRule="auto"/>
        <w:rPr>
          <w:rFonts w:ascii="Verdana" w:hAnsi="Verdana"/>
        </w:rPr>
      </w:pPr>
    </w:p>
    <w:p w14:paraId="45BBBDC1" w14:textId="77777777" w:rsidR="002A031B" w:rsidRDefault="002A031B" w:rsidP="00766E9C">
      <w:pPr>
        <w:spacing w:after="0" w:line="240" w:lineRule="auto"/>
        <w:rPr>
          <w:rFonts w:ascii="Verdana" w:hAnsi="Verdana"/>
        </w:rPr>
      </w:pPr>
    </w:p>
    <w:p w14:paraId="0C30056F" w14:textId="77777777" w:rsidR="002A031B" w:rsidRDefault="002A031B" w:rsidP="00766E9C">
      <w:pPr>
        <w:spacing w:after="0" w:line="240" w:lineRule="auto"/>
        <w:rPr>
          <w:rFonts w:ascii="Verdana" w:hAnsi="Verdana"/>
        </w:rPr>
      </w:pPr>
    </w:p>
    <w:p w14:paraId="1196C3F9" w14:textId="77777777" w:rsidR="002A031B" w:rsidRDefault="002A031B" w:rsidP="00766E9C">
      <w:pPr>
        <w:spacing w:after="0" w:line="240" w:lineRule="auto"/>
        <w:rPr>
          <w:rFonts w:ascii="Verdana" w:hAnsi="Verdana"/>
        </w:rPr>
      </w:pPr>
    </w:p>
    <w:p w14:paraId="0477053D" w14:textId="77777777" w:rsidR="002A031B" w:rsidRDefault="002A031B" w:rsidP="00766E9C">
      <w:pPr>
        <w:spacing w:after="0" w:line="240" w:lineRule="auto"/>
        <w:rPr>
          <w:rFonts w:ascii="Verdana" w:hAnsi="Verdana"/>
        </w:rPr>
      </w:pPr>
    </w:p>
    <w:p w14:paraId="4CEE3232" w14:textId="77777777" w:rsidR="002A031B" w:rsidRDefault="002A031B" w:rsidP="00766E9C">
      <w:pPr>
        <w:spacing w:after="0" w:line="240" w:lineRule="auto"/>
        <w:rPr>
          <w:rFonts w:ascii="Verdana" w:hAnsi="Verdana"/>
        </w:rPr>
      </w:pPr>
    </w:p>
    <w:p w14:paraId="054AFF3B" w14:textId="77777777" w:rsidR="002A031B" w:rsidRDefault="002A031B" w:rsidP="00766E9C">
      <w:pPr>
        <w:spacing w:after="0" w:line="240" w:lineRule="auto"/>
        <w:rPr>
          <w:rFonts w:ascii="Verdana" w:hAnsi="Verdana"/>
        </w:rPr>
      </w:pPr>
    </w:p>
    <w:p w14:paraId="6B5398EF" w14:textId="77777777" w:rsidR="002A031B" w:rsidRDefault="002A031B" w:rsidP="00766E9C">
      <w:pPr>
        <w:spacing w:after="0" w:line="240" w:lineRule="auto"/>
        <w:rPr>
          <w:rFonts w:ascii="Verdana" w:hAnsi="Verdana"/>
        </w:rPr>
      </w:pPr>
    </w:p>
    <w:p w14:paraId="1EA4638D" w14:textId="77777777" w:rsidR="002A031B" w:rsidRDefault="002A031B" w:rsidP="00766E9C">
      <w:pPr>
        <w:spacing w:after="0" w:line="240" w:lineRule="auto"/>
        <w:rPr>
          <w:rFonts w:ascii="Verdana" w:hAnsi="Verdana"/>
        </w:rPr>
      </w:pPr>
    </w:p>
    <w:p w14:paraId="4748B5B9" w14:textId="77777777" w:rsidR="002A031B" w:rsidRDefault="002A031B" w:rsidP="00766E9C">
      <w:pPr>
        <w:spacing w:after="0" w:line="240" w:lineRule="auto"/>
        <w:rPr>
          <w:rFonts w:ascii="Verdana" w:hAnsi="Verdana"/>
        </w:rPr>
      </w:pPr>
    </w:p>
    <w:p w14:paraId="30874439" w14:textId="77777777" w:rsidR="002A031B" w:rsidRDefault="002A031B" w:rsidP="00766E9C">
      <w:pPr>
        <w:spacing w:after="0" w:line="240" w:lineRule="auto"/>
        <w:rPr>
          <w:rFonts w:ascii="Verdana" w:hAnsi="Verdana"/>
        </w:rPr>
      </w:pPr>
    </w:p>
    <w:p w14:paraId="4F08687C" w14:textId="77777777" w:rsidR="002A031B" w:rsidRDefault="002A031B" w:rsidP="00766E9C">
      <w:pPr>
        <w:spacing w:after="0" w:line="240" w:lineRule="auto"/>
        <w:rPr>
          <w:rFonts w:ascii="Verdana" w:hAnsi="Verdana"/>
        </w:rPr>
      </w:pPr>
    </w:p>
    <w:p w14:paraId="7974FDF6" w14:textId="77777777" w:rsidR="002A031B" w:rsidRDefault="002A031B" w:rsidP="00766E9C">
      <w:pPr>
        <w:spacing w:after="0" w:line="240" w:lineRule="auto"/>
        <w:rPr>
          <w:rFonts w:ascii="Verdana" w:hAnsi="Verdana"/>
        </w:rPr>
      </w:pPr>
    </w:p>
    <w:p w14:paraId="6291D6B2" w14:textId="77777777" w:rsidR="002A031B" w:rsidRDefault="002A031B" w:rsidP="00766E9C">
      <w:pPr>
        <w:spacing w:after="0" w:line="240" w:lineRule="auto"/>
        <w:rPr>
          <w:rFonts w:ascii="Verdana" w:hAnsi="Verdana"/>
        </w:rPr>
      </w:pPr>
    </w:p>
    <w:p w14:paraId="146B0629" w14:textId="77777777" w:rsidR="002A031B" w:rsidRDefault="002A031B" w:rsidP="00766E9C">
      <w:pPr>
        <w:spacing w:after="0" w:line="240" w:lineRule="auto"/>
        <w:rPr>
          <w:rFonts w:ascii="Verdana" w:hAnsi="Verdana"/>
        </w:rPr>
      </w:pPr>
    </w:p>
    <w:p w14:paraId="453F3C3D" w14:textId="77777777" w:rsidR="002A031B" w:rsidRDefault="002A031B" w:rsidP="00766E9C">
      <w:pPr>
        <w:spacing w:after="0" w:line="240" w:lineRule="auto"/>
        <w:rPr>
          <w:rFonts w:ascii="Verdana" w:hAnsi="Verdana"/>
        </w:rPr>
      </w:pPr>
    </w:p>
    <w:p w14:paraId="0A4DF58B" w14:textId="77777777" w:rsidR="002A031B" w:rsidRDefault="002A031B" w:rsidP="00766E9C">
      <w:pPr>
        <w:spacing w:after="0" w:line="240" w:lineRule="auto"/>
        <w:rPr>
          <w:rFonts w:ascii="Verdana" w:hAnsi="Verdana"/>
        </w:rPr>
      </w:pPr>
    </w:p>
    <w:p w14:paraId="60442CD8" w14:textId="77777777" w:rsidR="002A031B" w:rsidRDefault="002A031B" w:rsidP="00766E9C">
      <w:pPr>
        <w:spacing w:after="0" w:line="240" w:lineRule="auto"/>
        <w:rPr>
          <w:rFonts w:ascii="Verdana" w:hAnsi="Verdana"/>
        </w:rPr>
      </w:pPr>
    </w:p>
    <w:p w14:paraId="7042BC13" w14:textId="77777777" w:rsidR="002A031B" w:rsidRDefault="002A031B" w:rsidP="00766E9C">
      <w:pPr>
        <w:spacing w:after="0" w:line="240" w:lineRule="auto"/>
        <w:rPr>
          <w:rFonts w:ascii="Verdana" w:hAnsi="Verdana"/>
        </w:rPr>
      </w:pPr>
    </w:p>
    <w:p w14:paraId="741572C4" w14:textId="77777777" w:rsidR="002A031B" w:rsidRDefault="002A031B" w:rsidP="00766E9C">
      <w:pPr>
        <w:spacing w:after="0" w:line="240" w:lineRule="auto"/>
        <w:rPr>
          <w:rFonts w:ascii="Verdana" w:hAnsi="Verdana"/>
        </w:rPr>
      </w:pPr>
    </w:p>
    <w:p w14:paraId="4748BE65" w14:textId="77777777" w:rsidR="002A031B" w:rsidRDefault="002A031B" w:rsidP="00766E9C">
      <w:pPr>
        <w:spacing w:after="0" w:line="240" w:lineRule="auto"/>
        <w:rPr>
          <w:rFonts w:ascii="Verdana" w:hAnsi="Verdana"/>
        </w:rPr>
      </w:pPr>
    </w:p>
    <w:p w14:paraId="086D8039" w14:textId="77777777" w:rsidR="002A031B" w:rsidRDefault="002A031B" w:rsidP="00766E9C">
      <w:pPr>
        <w:spacing w:after="0" w:line="240" w:lineRule="auto"/>
        <w:rPr>
          <w:rFonts w:ascii="Verdana" w:hAnsi="Verdana"/>
        </w:rPr>
      </w:pPr>
    </w:p>
    <w:p w14:paraId="0DD22A40" w14:textId="77777777" w:rsidR="002A031B" w:rsidRDefault="002A031B" w:rsidP="00766E9C">
      <w:pPr>
        <w:spacing w:after="0" w:line="240" w:lineRule="auto"/>
        <w:rPr>
          <w:rFonts w:ascii="Verdana" w:hAnsi="Verdana"/>
        </w:rPr>
      </w:pPr>
    </w:p>
    <w:p w14:paraId="1B847EC3" w14:textId="77777777" w:rsidR="002A031B" w:rsidRDefault="002A031B" w:rsidP="00766E9C">
      <w:pPr>
        <w:spacing w:after="0" w:line="240" w:lineRule="auto"/>
        <w:rPr>
          <w:rFonts w:ascii="Verdana" w:hAnsi="Verdana"/>
        </w:rPr>
      </w:pPr>
    </w:p>
    <w:p w14:paraId="202961F2" w14:textId="77777777" w:rsidR="002A031B" w:rsidRDefault="002A031B" w:rsidP="00766E9C">
      <w:pPr>
        <w:spacing w:after="0" w:line="240" w:lineRule="auto"/>
        <w:rPr>
          <w:rFonts w:ascii="Verdana" w:hAnsi="Verdana"/>
        </w:rPr>
      </w:pPr>
    </w:p>
    <w:p w14:paraId="6EAF1AB8" w14:textId="77777777" w:rsidR="002A031B" w:rsidRDefault="002A031B" w:rsidP="00766E9C">
      <w:pPr>
        <w:spacing w:after="0" w:line="240" w:lineRule="auto"/>
        <w:rPr>
          <w:rFonts w:ascii="Verdana" w:hAnsi="Verdana"/>
        </w:rPr>
      </w:pPr>
    </w:p>
    <w:p w14:paraId="105185DF" w14:textId="77777777" w:rsidR="002A031B" w:rsidRDefault="002A031B" w:rsidP="00766E9C">
      <w:pPr>
        <w:spacing w:after="0" w:line="240" w:lineRule="auto"/>
        <w:rPr>
          <w:rFonts w:ascii="Verdana" w:hAnsi="Verdana"/>
        </w:rPr>
      </w:pPr>
    </w:p>
    <w:p w14:paraId="0DF6FB0B" w14:textId="77777777" w:rsidR="002A031B" w:rsidRDefault="002A031B" w:rsidP="00766E9C">
      <w:pPr>
        <w:spacing w:after="0" w:line="240" w:lineRule="auto"/>
        <w:rPr>
          <w:rFonts w:ascii="Verdana" w:hAnsi="Verdana"/>
        </w:rPr>
      </w:pPr>
    </w:p>
    <w:p w14:paraId="229D48F4" w14:textId="77777777" w:rsidR="002A031B" w:rsidRDefault="002A031B" w:rsidP="00766E9C">
      <w:pPr>
        <w:spacing w:after="0" w:line="240" w:lineRule="auto"/>
        <w:rPr>
          <w:rFonts w:ascii="Verdana" w:hAnsi="Verdana"/>
        </w:rPr>
      </w:pPr>
    </w:p>
    <w:p w14:paraId="50022914" w14:textId="77777777" w:rsidR="002A031B" w:rsidRDefault="002A031B" w:rsidP="00766E9C">
      <w:pPr>
        <w:spacing w:after="0" w:line="240" w:lineRule="auto"/>
        <w:rPr>
          <w:rFonts w:ascii="Verdana" w:hAnsi="Verdana"/>
        </w:rPr>
      </w:pPr>
    </w:p>
    <w:p w14:paraId="6C64C2D2" w14:textId="77777777" w:rsidR="002A031B" w:rsidRDefault="002A031B" w:rsidP="00766E9C">
      <w:pPr>
        <w:spacing w:after="0" w:line="240" w:lineRule="auto"/>
        <w:rPr>
          <w:rFonts w:ascii="Verdana" w:hAnsi="Verdana"/>
        </w:rPr>
      </w:pPr>
    </w:p>
    <w:p w14:paraId="4AEBDD7E" w14:textId="66D74AFD" w:rsidR="00766E9C" w:rsidRPr="00C15525" w:rsidRDefault="00766E9C" w:rsidP="00766E9C">
      <w:pPr>
        <w:spacing w:after="0" w:line="240" w:lineRule="auto"/>
        <w:rPr>
          <w:rFonts w:ascii="Verdana" w:eastAsia="Geomanist Light" w:hAnsi="Verdana" w:cs="Arial"/>
          <w:color w:val="201F1E"/>
        </w:rPr>
      </w:pPr>
      <w:r w:rsidRPr="00C15525">
        <w:rPr>
          <w:rFonts w:ascii="Verdana" w:hAnsi="Verdana"/>
        </w:rPr>
        <w:lastRenderedPageBreak/>
        <w:t xml:space="preserve">Bogotá D.C., </w:t>
      </w:r>
      <w:r w:rsidR="007A7518">
        <w:rPr>
          <w:rFonts w:ascii="Verdana" w:eastAsia="Geomanist Light" w:hAnsi="Verdana" w:cs="Arial"/>
          <w:color w:val="201F1E"/>
        </w:rPr>
        <w:t>13 de marzo de 2026</w:t>
      </w:r>
    </w:p>
    <w:p w14:paraId="559D0669" w14:textId="77777777" w:rsidR="00766E9C" w:rsidRPr="00C15525" w:rsidRDefault="00766E9C" w:rsidP="00766E9C">
      <w:pPr>
        <w:spacing w:after="0"/>
        <w:rPr>
          <w:rFonts w:ascii="Verdana" w:hAnsi="Verdana"/>
        </w:rPr>
      </w:pPr>
    </w:p>
    <w:p w14:paraId="040BC99B" w14:textId="5C376C45" w:rsidR="00766E9C" w:rsidRPr="00C15525" w:rsidRDefault="007A7518" w:rsidP="007A7518">
      <w:pPr>
        <w:spacing w:after="0"/>
        <w:jc w:val="right"/>
        <w:rPr>
          <w:rFonts w:ascii="Verdana" w:hAnsi="Verdana"/>
        </w:rPr>
      </w:pPr>
      <w:r w:rsidRPr="007A7518">
        <w:rPr>
          <w:rFonts w:ascii="Verdana" w:hAnsi="Verdana"/>
          <w:noProof/>
        </w:rPr>
        <w:drawing>
          <wp:anchor distT="0" distB="0" distL="114300" distR="114300" simplePos="0" relativeHeight="251658240" behindDoc="0" locked="0" layoutInCell="1" allowOverlap="1" wp14:anchorId="78D508C5" wp14:editId="2887C0CF">
            <wp:simplePos x="0" y="0"/>
            <wp:positionH relativeFrom="column">
              <wp:posOffset>3072765</wp:posOffset>
            </wp:positionH>
            <wp:positionV relativeFrom="paragraph">
              <wp:posOffset>-3175</wp:posOffset>
            </wp:positionV>
            <wp:extent cx="2537460" cy="952500"/>
            <wp:effectExtent l="0" t="0" r="0" b="0"/>
            <wp:wrapSquare wrapText="bothSides"/>
            <wp:docPr id="1839482186"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37460" cy="952500"/>
                    </a:xfrm>
                    <a:prstGeom prst="rect">
                      <a:avLst/>
                    </a:prstGeom>
                    <a:noFill/>
                    <a:ln>
                      <a:noFill/>
                    </a:ln>
                  </pic:spPr>
                </pic:pic>
              </a:graphicData>
            </a:graphic>
          </wp:anchor>
        </w:drawing>
      </w:r>
    </w:p>
    <w:p w14:paraId="53420285" w14:textId="77777777" w:rsidR="00766E9C" w:rsidRPr="00C15525" w:rsidRDefault="00766E9C" w:rsidP="00766E9C">
      <w:pPr>
        <w:spacing w:after="0"/>
        <w:rPr>
          <w:rFonts w:ascii="Verdana" w:eastAsia="Calibri" w:hAnsi="Verdana" w:cs="Arial"/>
          <w:color w:val="000000" w:themeColor="text1"/>
          <w:lang w:val="es-ES" w:eastAsia="es-ES"/>
        </w:rPr>
      </w:pPr>
      <w:r w:rsidRPr="00C15525">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26677F89" w14:textId="77777777" w:rsidR="00766E9C" w:rsidRPr="001F0BC9" w:rsidRDefault="00766E9C" w:rsidP="00766E9C">
      <w:pPr>
        <w:spacing w:after="0"/>
        <w:rPr>
          <w:rFonts w:ascii="Verdana" w:hAnsi="Verdana"/>
          <w:b/>
          <w:bCs/>
        </w:rPr>
      </w:pPr>
      <w:r w:rsidRPr="001F0BC9">
        <w:rPr>
          <w:rFonts w:ascii="Verdana" w:hAnsi="Verdana"/>
          <w:b/>
          <w:bCs/>
        </w:rPr>
        <w:t xml:space="preserve">Carolina Moyano Forero </w:t>
      </w:r>
    </w:p>
    <w:p w14:paraId="6B946EBA" w14:textId="77777777" w:rsidR="00766E9C" w:rsidRPr="001F0BC9" w:rsidRDefault="00766E9C" w:rsidP="00766E9C">
      <w:pPr>
        <w:spacing w:after="0"/>
        <w:rPr>
          <w:rFonts w:ascii="Verdana" w:hAnsi="Verdana"/>
          <w:b/>
          <w:bCs/>
        </w:rPr>
      </w:pPr>
      <w:r w:rsidRPr="001F0BC9">
        <w:rPr>
          <w:rFonts w:ascii="Verdana" w:hAnsi="Verdana"/>
          <w:b/>
          <w:bCs/>
        </w:rPr>
        <w:t xml:space="preserve">Directora (E) </w:t>
      </w:r>
      <w:r>
        <w:rPr>
          <w:rFonts w:ascii="Verdana" w:hAnsi="Verdana"/>
          <w:b/>
          <w:bCs/>
        </w:rPr>
        <w:t>d</w:t>
      </w:r>
      <w:r w:rsidRPr="001F0BC9">
        <w:rPr>
          <w:rFonts w:ascii="Verdana" w:hAnsi="Verdana"/>
          <w:b/>
          <w:bCs/>
        </w:rPr>
        <w:t xml:space="preserve">e </w:t>
      </w:r>
      <w:r>
        <w:rPr>
          <w:rFonts w:ascii="Verdana" w:hAnsi="Verdana"/>
          <w:b/>
          <w:bCs/>
        </w:rPr>
        <w:t>l</w:t>
      </w:r>
      <w:r w:rsidRPr="001F0BC9">
        <w:rPr>
          <w:rFonts w:ascii="Verdana" w:hAnsi="Verdana"/>
          <w:b/>
          <w:bCs/>
        </w:rPr>
        <w:t xml:space="preserve">a Dirección </w:t>
      </w:r>
      <w:r>
        <w:rPr>
          <w:rFonts w:ascii="Verdana" w:hAnsi="Verdana"/>
          <w:b/>
          <w:bCs/>
        </w:rPr>
        <w:t>d</w:t>
      </w:r>
      <w:r w:rsidRPr="001F0BC9">
        <w:rPr>
          <w:rFonts w:ascii="Verdana" w:hAnsi="Verdana"/>
          <w:b/>
          <w:bCs/>
        </w:rPr>
        <w:t>e Contratación Estatal</w:t>
      </w:r>
    </w:p>
    <w:p w14:paraId="3868CC1C" w14:textId="77777777" w:rsidR="00766E9C" w:rsidRDefault="00766E9C" w:rsidP="00766E9C">
      <w:pPr>
        <w:spacing w:after="0" w:line="240" w:lineRule="auto"/>
        <w:rPr>
          <w:rFonts w:ascii="Verdana" w:eastAsia="Calibri" w:hAnsi="Verdana" w:cs="Arial"/>
          <w:b/>
          <w:bCs/>
          <w:color w:val="000000" w:themeColor="text1"/>
          <w:lang w:val="es-ES" w:eastAsia="es-ES"/>
        </w:rPr>
      </w:pPr>
      <w:r>
        <w:rPr>
          <w:rFonts w:ascii="Verdana" w:eastAsia="Calibri" w:hAnsi="Verdana" w:cs="Arial"/>
          <w:b/>
          <w:bCs/>
          <w:color w:val="000000" w:themeColor="text1"/>
          <w:lang w:val="es-ES" w:eastAsia="es-ES"/>
        </w:rPr>
        <w:t>Ministerio de Defensa Nacional</w:t>
      </w:r>
    </w:p>
    <w:p w14:paraId="276B0F70" w14:textId="77777777" w:rsidR="00766E9C" w:rsidRPr="00695246" w:rsidRDefault="00766E9C" w:rsidP="00766E9C">
      <w:pPr>
        <w:spacing w:after="0" w:line="240" w:lineRule="auto"/>
        <w:rPr>
          <w:rFonts w:ascii="Verdana" w:eastAsia="Calibri" w:hAnsi="Verdana" w:cs="Arial"/>
          <w:b/>
          <w:bCs/>
          <w:color w:val="000000" w:themeColor="text1"/>
          <w:lang w:val="es-ES" w:eastAsia="es-ES"/>
        </w:rPr>
      </w:pPr>
      <w:hyperlink r:id="rId12" w:history="1">
        <w:r w:rsidRPr="00C86F87">
          <w:rPr>
            <w:rStyle w:val="Hipervnculo"/>
            <w:rFonts w:ascii="Verdana" w:hAnsi="Verdana"/>
          </w:rPr>
          <w:t>notificacionesdce@mindefensa.gov.co</w:t>
        </w:r>
      </w:hyperlink>
      <w:r>
        <w:rPr>
          <w:rFonts w:ascii="Verdana" w:hAnsi="Verdana"/>
        </w:rPr>
        <w:t xml:space="preserve"> </w:t>
      </w:r>
    </w:p>
    <w:p w14:paraId="513BF72E" w14:textId="77777777" w:rsidR="00766E9C" w:rsidRPr="00C15525" w:rsidRDefault="00766E9C" w:rsidP="00766E9C">
      <w:pPr>
        <w:spacing w:after="0" w:line="240" w:lineRule="auto"/>
        <w:rPr>
          <w:rFonts w:ascii="Verdana" w:eastAsia="Calibri" w:hAnsi="Verdana" w:cs="Arial"/>
          <w:b/>
          <w:bCs/>
          <w:color w:val="000000" w:themeColor="text1"/>
          <w:lang w:val="es-ES_tradnl" w:eastAsia="es-ES"/>
        </w:rPr>
      </w:pPr>
      <w:r w:rsidRPr="00C15525">
        <w:rPr>
          <w:rFonts w:ascii="Verdana" w:eastAsia="Calibri" w:hAnsi="Verdana" w:cs="Arial"/>
          <w:color w:val="000000" w:themeColor="text1"/>
          <w:lang w:val="es-ES" w:eastAsia="es-ES"/>
        </w:rPr>
        <w:t>Bogotá D.C</w:t>
      </w:r>
    </w:p>
    <w:p w14:paraId="04868219" w14:textId="77777777" w:rsidR="00766E9C" w:rsidRPr="00C15525" w:rsidRDefault="00766E9C" w:rsidP="00766E9C">
      <w:pPr>
        <w:spacing w:after="0" w:line="240" w:lineRule="auto"/>
        <w:rPr>
          <w:rFonts w:ascii="Verdana" w:eastAsia="Calibri" w:hAnsi="Verdana" w:cs="Arial"/>
          <w:b/>
          <w:bCs/>
          <w:color w:val="000000" w:themeColor="text1"/>
          <w:lang w:val="es-ES_tradnl" w:eastAsia="es-ES_tradnl"/>
        </w:rPr>
      </w:pPr>
    </w:p>
    <w:p w14:paraId="37399927" w14:textId="77777777" w:rsidR="00766E9C" w:rsidRPr="00C15525" w:rsidRDefault="00766E9C" w:rsidP="00766E9C">
      <w:pPr>
        <w:spacing w:after="0" w:line="240" w:lineRule="auto"/>
        <w:rPr>
          <w:rFonts w:ascii="Verdana" w:eastAsia="Calibri" w:hAnsi="Verdana" w:cs="Arial"/>
          <w:b/>
          <w:bCs/>
          <w:color w:val="000000" w:themeColor="text1"/>
          <w:lang w:val="es-ES_tradnl" w:eastAsia="es-ES_tradnl"/>
        </w:rPr>
      </w:pPr>
      <w:r w:rsidRPr="00C15525">
        <w:rPr>
          <w:rFonts w:ascii="Verdana" w:eastAsia="Calibri" w:hAnsi="Verdana" w:cs="Arial"/>
          <w:b/>
          <w:bCs/>
          <w:color w:val="000000" w:themeColor="text1"/>
          <w:lang w:val="es-ES_tradnl" w:eastAsia="es-ES_tradnl"/>
        </w:rPr>
        <w:t xml:space="preserve">                                   Concepto C-2</w:t>
      </w:r>
      <w:r>
        <w:rPr>
          <w:rFonts w:ascii="Verdana" w:eastAsia="Calibri" w:hAnsi="Verdana" w:cs="Arial"/>
          <w:b/>
          <w:bCs/>
          <w:color w:val="000000" w:themeColor="text1"/>
          <w:lang w:val="es-ES_tradnl" w:eastAsia="es-ES_tradnl"/>
        </w:rPr>
        <w:t>96</w:t>
      </w:r>
      <w:r w:rsidRPr="00C15525">
        <w:rPr>
          <w:rFonts w:ascii="Verdana" w:eastAsia="Calibri" w:hAnsi="Verdana" w:cs="Arial"/>
          <w:b/>
          <w:bCs/>
          <w:color w:val="000000" w:themeColor="text1"/>
          <w:lang w:val="es-ES_tradnl" w:eastAsia="es-ES_tradnl"/>
        </w:rPr>
        <w:t xml:space="preserve"> del 2026</w:t>
      </w:r>
    </w:p>
    <w:tbl>
      <w:tblPr>
        <w:tblStyle w:val="Tablaconcuadrcula"/>
        <w:tblW w:w="878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100"/>
      </w:tblGrid>
      <w:tr w:rsidR="00766E9C" w:rsidRPr="00C15525" w14:paraId="3EF67A78" w14:textId="77777777" w:rsidTr="00CD4E5D">
        <w:trPr>
          <w:gridAfter w:val="1"/>
          <w:wAfter w:w="6100" w:type="dxa"/>
          <w:trHeight w:val="133"/>
        </w:trPr>
        <w:tc>
          <w:tcPr>
            <w:tcW w:w="2689" w:type="dxa"/>
          </w:tcPr>
          <w:p w14:paraId="37B53D1E" w14:textId="77777777" w:rsidR="00766E9C" w:rsidRPr="00C15525" w:rsidRDefault="00766E9C" w:rsidP="00CD4E5D">
            <w:pPr>
              <w:jc w:val="both"/>
              <w:rPr>
                <w:rFonts w:ascii="Verdana" w:eastAsia="Calibri" w:hAnsi="Verdana" w:cs="Arial"/>
                <w:b/>
                <w:bCs/>
                <w:color w:val="000000" w:themeColor="text1"/>
                <w:highlight w:val="cyan"/>
                <w:lang w:val="es-ES_tradnl" w:eastAsia="es-ES_tradnl"/>
              </w:rPr>
            </w:pPr>
          </w:p>
        </w:tc>
      </w:tr>
      <w:tr w:rsidR="00766E9C" w:rsidRPr="00C15525" w14:paraId="00F5AA49" w14:textId="77777777" w:rsidTr="00CD4E5D">
        <w:trPr>
          <w:trHeight w:val="884"/>
        </w:trPr>
        <w:tc>
          <w:tcPr>
            <w:tcW w:w="2689" w:type="dxa"/>
          </w:tcPr>
          <w:p w14:paraId="10C52DE1" w14:textId="77777777" w:rsidR="00766E9C" w:rsidRPr="00C15525" w:rsidRDefault="00766E9C" w:rsidP="00CD4E5D">
            <w:pPr>
              <w:jc w:val="both"/>
              <w:rPr>
                <w:rFonts w:ascii="Verdana" w:eastAsia="Calibri" w:hAnsi="Verdana" w:cs="Arial"/>
                <w:color w:val="000000" w:themeColor="text1"/>
                <w:highlight w:val="cyan"/>
                <w:lang w:val="es-ES_tradnl" w:eastAsia="es-ES_tradnl"/>
              </w:rPr>
            </w:pPr>
            <w:r w:rsidRPr="00C15525">
              <w:rPr>
                <w:rFonts w:ascii="Verdana" w:eastAsia="Calibri" w:hAnsi="Verdana" w:cs="Arial"/>
                <w:b/>
                <w:color w:val="000000" w:themeColor="text1"/>
                <w:lang w:val="es-ES_tradnl" w:eastAsia="es-ES_tradnl"/>
              </w:rPr>
              <w:t>Temas:</w:t>
            </w:r>
            <w:r w:rsidRPr="00C15525">
              <w:rPr>
                <w:rFonts w:ascii="Verdana" w:eastAsia="Calibri" w:hAnsi="Verdana" w:cs="Arial"/>
                <w:color w:val="000000" w:themeColor="text1"/>
                <w:lang w:val="es-ES_tradnl" w:eastAsia="es-ES_tradnl"/>
              </w:rPr>
              <w:t xml:space="preserve">                   </w:t>
            </w:r>
          </w:p>
        </w:tc>
        <w:tc>
          <w:tcPr>
            <w:tcW w:w="6100" w:type="dxa"/>
          </w:tcPr>
          <w:p w14:paraId="777DD3DF" w14:textId="77777777" w:rsidR="00766E9C" w:rsidRPr="00C15525" w:rsidRDefault="00766E9C" w:rsidP="00CD4E5D">
            <w:pPr>
              <w:spacing w:line="276" w:lineRule="auto"/>
              <w:jc w:val="both"/>
              <w:rPr>
                <w:rFonts w:ascii="Verdana" w:hAnsi="Verdana" w:cs="Arial"/>
                <w:lang w:val="es-MX" w:eastAsia="es-ES_tradnl"/>
              </w:rPr>
            </w:pPr>
            <w:r w:rsidRPr="00C15525">
              <w:rPr>
                <w:rFonts w:ascii="Verdana" w:hAnsi="Verdana" w:cs="Arial"/>
                <w:lang w:val="es-ES" w:eastAsia="es-ES"/>
              </w:rPr>
              <w:t>LEY DE GARANTÍAS ELECTORALES – Finalidad / LEY DE GARANTÍAS ELECTORALES ‒ Restricciones ‒ Contratación ‒ Tipos de elección /</w:t>
            </w:r>
            <w:r>
              <w:rPr>
                <w:rFonts w:ascii="Verdana" w:eastAsia="Aptos" w:hAnsi="Verdana" w:cs="Arial"/>
                <w:color w:val="000000" w:themeColor="text1"/>
                <w:lang w:val="es-MX" w:eastAsia="es-ES"/>
              </w:rPr>
              <w:t xml:space="preserve"> </w:t>
            </w:r>
            <w:r w:rsidRPr="00C15525">
              <w:rPr>
                <w:rFonts w:ascii="Verdana" w:hAnsi="Verdana" w:cs="Arial"/>
                <w:lang w:val="es-ES" w:eastAsia="es-ES"/>
              </w:rPr>
              <w:t>LEY DE GARANTÍAS ELECTORALES</w:t>
            </w:r>
            <w:r>
              <w:rPr>
                <w:rFonts w:ascii="Verdana" w:eastAsia="Aptos" w:hAnsi="Verdana" w:cs="Arial"/>
                <w:color w:val="000000" w:themeColor="text1"/>
                <w:lang w:val="es-MX" w:eastAsia="es-ES"/>
              </w:rPr>
              <w:t xml:space="preserve"> </w:t>
            </w:r>
            <w:r w:rsidRPr="00C15525">
              <w:rPr>
                <w:rFonts w:ascii="Verdana" w:hAnsi="Verdana" w:cs="Arial"/>
                <w:lang w:val="es-ES" w:eastAsia="es-ES"/>
              </w:rPr>
              <w:t>‒</w:t>
            </w:r>
            <w:r>
              <w:rPr>
                <w:rFonts w:ascii="Verdana" w:hAnsi="Verdana" w:cs="Arial"/>
                <w:lang w:val="es-ES" w:eastAsia="es-ES"/>
              </w:rPr>
              <w:t xml:space="preserve"> </w:t>
            </w:r>
            <w:r>
              <w:rPr>
                <w:rFonts w:ascii="Verdana" w:eastAsia="Aptos" w:hAnsi="Verdana" w:cs="Arial"/>
                <w:color w:val="000000" w:themeColor="text1"/>
                <w:lang w:val="es-MX" w:eastAsia="es-ES"/>
              </w:rPr>
              <w:t xml:space="preserve">Artículo 33 – Contratación directa – Alcance / </w:t>
            </w:r>
            <w:r w:rsidRPr="00C15525">
              <w:rPr>
                <w:rFonts w:ascii="Verdana" w:hAnsi="Verdana" w:cs="Arial"/>
                <w:lang w:val="es-MX" w:eastAsia="es-ES_tradnl"/>
              </w:rPr>
              <w:t>CONVENIOS INTERADMINISTRATIVOS – Criterio orgánico /</w:t>
            </w:r>
            <w:r w:rsidRPr="00C15525">
              <w:rPr>
                <w:rFonts w:ascii="Verdana" w:hAnsi="Verdana"/>
              </w:rPr>
              <w:t xml:space="preserve"> </w:t>
            </w:r>
            <w:r w:rsidRPr="00C15525">
              <w:rPr>
                <w:rFonts w:ascii="Verdana" w:hAnsi="Verdana" w:cs="Arial"/>
                <w:lang w:val="es-MX" w:eastAsia="es-ES_tradnl"/>
              </w:rPr>
              <w:t>CONTRATOS Y CONVENIOS INTERADMINISTRATIVOS – Auto</w:t>
            </w:r>
            <w:r>
              <w:rPr>
                <w:rFonts w:ascii="Verdana" w:hAnsi="Verdana" w:cs="Arial"/>
                <w:lang w:val="es-MX" w:eastAsia="es-ES_tradnl"/>
              </w:rPr>
              <w:t>s</w:t>
            </w:r>
            <w:r w:rsidRPr="00C15525">
              <w:rPr>
                <w:rFonts w:ascii="Verdana" w:hAnsi="Verdana" w:cs="Arial"/>
                <w:lang w:val="es-MX" w:eastAsia="es-ES_tradnl"/>
              </w:rPr>
              <w:t xml:space="preserve"> de suspensión –</w:t>
            </w:r>
            <w:r>
              <w:rPr>
                <w:rFonts w:ascii="Verdana" w:hAnsi="Verdana" w:cs="Arial"/>
                <w:lang w:val="es-MX" w:eastAsia="es-ES_tradnl"/>
              </w:rPr>
              <w:t xml:space="preserve"> Restricciones </w:t>
            </w:r>
          </w:p>
          <w:p w14:paraId="313608A0" w14:textId="77777777" w:rsidR="00766E9C" w:rsidRPr="00C15525" w:rsidRDefault="00766E9C" w:rsidP="00CD4E5D">
            <w:pPr>
              <w:spacing w:line="276" w:lineRule="auto"/>
              <w:jc w:val="both"/>
              <w:rPr>
                <w:rFonts w:ascii="Verdana" w:hAnsi="Verdana" w:cs="Arial"/>
                <w:bCs/>
                <w:color w:val="000000" w:themeColor="text1"/>
                <w:highlight w:val="cyan"/>
              </w:rPr>
            </w:pPr>
          </w:p>
        </w:tc>
      </w:tr>
      <w:tr w:rsidR="00766E9C" w:rsidRPr="00C15525" w14:paraId="4F6A2539" w14:textId="77777777" w:rsidTr="00CD4E5D">
        <w:tc>
          <w:tcPr>
            <w:tcW w:w="2689" w:type="dxa"/>
          </w:tcPr>
          <w:p w14:paraId="6B9262EC" w14:textId="77777777" w:rsidR="00766E9C" w:rsidRPr="00C15525" w:rsidRDefault="00766E9C" w:rsidP="00CD4E5D">
            <w:pPr>
              <w:jc w:val="both"/>
              <w:rPr>
                <w:rFonts w:ascii="Verdana" w:eastAsia="Calibri" w:hAnsi="Verdana" w:cs="Arial"/>
                <w:b/>
                <w:color w:val="000000" w:themeColor="text1"/>
                <w:lang w:val="es-ES_tradnl" w:eastAsia="es-ES_tradnl"/>
              </w:rPr>
            </w:pPr>
            <w:r w:rsidRPr="00C15525">
              <w:rPr>
                <w:rFonts w:ascii="Verdana" w:eastAsia="Calibri" w:hAnsi="Verdana" w:cs="Arial"/>
                <w:b/>
                <w:color w:val="000000" w:themeColor="text1"/>
                <w:lang w:val="es-ES_tradnl" w:eastAsia="es-ES_tradnl"/>
              </w:rPr>
              <w:t>Radicación:</w:t>
            </w:r>
            <w:r w:rsidRPr="00C15525">
              <w:rPr>
                <w:rFonts w:ascii="Verdana" w:eastAsia="Calibri" w:hAnsi="Verdana" w:cs="Arial"/>
                <w:color w:val="000000" w:themeColor="text1"/>
                <w:lang w:val="es-ES_tradnl" w:eastAsia="es-ES_tradnl"/>
              </w:rPr>
              <w:t xml:space="preserve">               </w:t>
            </w:r>
          </w:p>
        </w:tc>
        <w:tc>
          <w:tcPr>
            <w:tcW w:w="6100" w:type="dxa"/>
          </w:tcPr>
          <w:p w14:paraId="69E9DE9C" w14:textId="77777777" w:rsidR="00766E9C" w:rsidRPr="00C15525" w:rsidRDefault="00766E9C" w:rsidP="00CD4E5D">
            <w:pPr>
              <w:jc w:val="both"/>
              <w:rPr>
                <w:rFonts w:ascii="Verdana" w:hAnsi="Verdana" w:cs="Arial"/>
              </w:rPr>
            </w:pPr>
            <w:r w:rsidRPr="00C15525">
              <w:rPr>
                <w:rFonts w:ascii="Verdana" w:eastAsia="Calibri" w:hAnsi="Verdana" w:cs="Arial"/>
                <w:color w:val="000000" w:themeColor="text1"/>
                <w:lang w:val="es-ES_tradnl" w:eastAsia="es-ES_tradnl"/>
              </w:rPr>
              <w:t>Respuesta a consulta con radicado No.</w:t>
            </w:r>
            <w:r w:rsidRPr="00C15525">
              <w:rPr>
                <w:rFonts w:ascii="Verdana" w:hAnsi="Verdana"/>
              </w:rPr>
              <w:t xml:space="preserve"> </w:t>
            </w:r>
            <w:r w:rsidRPr="00637691">
              <w:rPr>
                <w:rFonts w:ascii="Verdana" w:hAnsi="Verdana"/>
              </w:rPr>
              <w:t>1_2026_02_25_002609</w:t>
            </w:r>
          </w:p>
          <w:p w14:paraId="4C0DFB2F" w14:textId="77777777" w:rsidR="00766E9C" w:rsidRPr="00C15525" w:rsidRDefault="00766E9C" w:rsidP="00CD4E5D">
            <w:pPr>
              <w:jc w:val="both"/>
              <w:rPr>
                <w:rFonts w:ascii="Verdana" w:hAnsi="Verdana"/>
                <w:color w:val="000000"/>
              </w:rPr>
            </w:pPr>
          </w:p>
        </w:tc>
      </w:tr>
    </w:tbl>
    <w:p w14:paraId="3622CBCE" w14:textId="77777777" w:rsidR="00766E9C" w:rsidRPr="00C15525" w:rsidRDefault="00766E9C" w:rsidP="00766E9C">
      <w:pPr>
        <w:spacing w:after="0" w:line="276" w:lineRule="auto"/>
        <w:jc w:val="both"/>
        <w:rPr>
          <w:rFonts w:ascii="Verdana" w:eastAsia="Calibri" w:hAnsi="Verdana" w:cs="Arial"/>
          <w:color w:val="000000" w:themeColor="text1"/>
          <w:lang w:val="es-ES" w:eastAsia="es-ES"/>
        </w:rPr>
      </w:pPr>
      <w:r w:rsidRPr="00C15525">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C15525">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w:t>
      </w:r>
      <w:r w:rsidRPr="00C15525">
        <w:rPr>
          <w:rFonts w:ascii="Verdana" w:eastAsia="Calibri" w:hAnsi="Verdana" w:cs="Arial"/>
          <w:color w:val="000000" w:themeColor="text1"/>
          <w:lang w:val="es-ES" w:eastAsia="es-ES"/>
        </w:rPr>
        <w:t xml:space="preserve"> </w:t>
      </w:r>
      <w:r>
        <w:rPr>
          <w:rFonts w:ascii="Verdana" w:eastAsia="Calibri" w:hAnsi="Verdana" w:cs="Arial"/>
          <w:color w:val="000000" w:themeColor="text1"/>
          <w:lang w:val="es-ES" w:eastAsia="es-ES"/>
        </w:rPr>
        <w:t>Moyano</w:t>
      </w:r>
      <w:r w:rsidRPr="00C15525">
        <w:rPr>
          <w:rFonts w:ascii="Verdana" w:eastAsia="Calibri" w:hAnsi="Verdana" w:cs="Arial"/>
          <w:color w:val="000000" w:themeColor="text1"/>
          <w:lang w:val="es-ES" w:eastAsia="es-ES"/>
        </w:rPr>
        <w:t xml:space="preserve">: </w:t>
      </w:r>
    </w:p>
    <w:p w14:paraId="6FF17E57" w14:textId="77777777" w:rsidR="00766E9C" w:rsidRPr="00C15525" w:rsidRDefault="00766E9C" w:rsidP="00766E9C">
      <w:pPr>
        <w:spacing w:after="0"/>
        <w:rPr>
          <w:rFonts w:ascii="Verdana" w:eastAsia="Times New Roman" w:hAnsi="Verdana" w:cs="Segoe UI"/>
          <w:lang w:eastAsia="es-CO"/>
        </w:rPr>
      </w:pPr>
    </w:p>
    <w:p w14:paraId="1E88CE03" w14:textId="77777777" w:rsidR="00766E9C" w:rsidRPr="00C15525" w:rsidRDefault="00766E9C" w:rsidP="00766E9C">
      <w:pPr>
        <w:spacing w:after="0" w:line="276" w:lineRule="auto"/>
        <w:jc w:val="both"/>
        <w:rPr>
          <w:rFonts w:ascii="Verdana" w:hAnsi="Verdana" w:cs="Arial"/>
          <w:color w:val="000000" w:themeColor="text1"/>
        </w:rPr>
      </w:pPr>
      <w:r w:rsidRPr="00C15525">
        <w:rPr>
          <w:rFonts w:ascii="Verdana" w:eastAsia="Calibri" w:hAnsi="Verdana" w:cs="Arial"/>
          <w:color w:val="000000" w:themeColor="text1"/>
          <w:lang w:val="es-ES" w:eastAsia="es-ES"/>
        </w:rPr>
        <w:t>En ejercicio de la competencia otorgada por los artículos 3, numeral 5º, y 11, numeral 8º, del Decreto Ley 4170 de 2011,</w:t>
      </w:r>
      <w:r w:rsidRPr="00C15525">
        <w:rPr>
          <w:rFonts w:ascii="Verdana" w:eastAsia="Arial MT" w:hAnsi="Verdana" w:cs="Arial MT"/>
          <w:color w:val="000000" w:themeColor="text1"/>
          <w:lang w:val="es-ES" w:eastAsia="es-ES"/>
        </w:rPr>
        <w:t xml:space="preserve"> </w:t>
      </w:r>
      <w:r w:rsidRPr="00C15525">
        <w:rPr>
          <w:rFonts w:ascii="Verdana" w:hAnsi="Verdana" w:cs="Arial"/>
          <w:lang w:val="es-ES_tradnl"/>
        </w:rPr>
        <w:t>así como lo establecido en</w:t>
      </w:r>
      <w:r w:rsidRPr="00C15525">
        <w:rPr>
          <w:rFonts w:ascii="Verdana" w:hAnsi="Verdana" w:cs="Arial"/>
        </w:rPr>
        <w:t xml:space="preserve"> la Resolución 469 de 2025 expedida por esta Entidad</w:t>
      </w:r>
      <w:r w:rsidRPr="00C15525">
        <w:rPr>
          <w:rFonts w:ascii="Verdana" w:hAnsi="Verdana" w:cs="Arial"/>
          <w:color w:val="000000" w:themeColor="text1"/>
        </w:rPr>
        <w:t xml:space="preserve">, </w:t>
      </w:r>
      <w:r w:rsidRPr="00C15525">
        <w:rPr>
          <w:rFonts w:ascii="Verdana" w:eastAsia="Calibri" w:hAnsi="Verdana" w:cs="Arial"/>
          <w:color w:val="000000" w:themeColor="text1"/>
          <w:lang w:val="es-ES" w:eastAsia="es-ES"/>
        </w:rPr>
        <w:t xml:space="preserve">la Agencia Nacional de Contratación Pública – Colombia Compra Eficiente– responde su solicitud del </w:t>
      </w:r>
      <w:r>
        <w:rPr>
          <w:rFonts w:ascii="Verdana" w:eastAsia="Calibri" w:hAnsi="Verdana" w:cs="Arial"/>
          <w:color w:val="000000" w:themeColor="text1"/>
          <w:lang w:val="es-ES" w:eastAsia="es-ES"/>
        </w:rPr>
        <w:t>25</w:t>
      </w:r>
      <w:r w:rsidRPr="00C15525">
        <w:rPr>
          <w:rFonts w:ascii="Verdana" w:eastAsia="Calibri" w:hAnsi="Verdana" w:cs="Arial"/>
          <w:color w:val="000000" w:themeColor="text1"/>
          <w:lang w:val="es-ES" w:eastAsia="es-ES"/>
        </w:rPr>
        <w:t xml:space="preserve"> de febrero de 2026, en la cual manifiesta lo siguiente: </w:t>
      </w:r>
    </w:p>
    <w:p w14:paraId="01540D0E" w14:textId="77777777" w:rsidR="00766E9C" w:rsidRPr="00C15525" w:rsidRDefault="00766E9C" w:rsidP="00766E9C">
      <w:pPr>
        <w:spacing w:after="0" w:line="276" w:lineRule="auto"/>
        <w:jc w:val="both"/>
        <w:rPr>
          <w:rFonts w:ascii="Verdana" w:eastAsia="Calibri" w:hAnsi="Verdana" w:cs="Arial"/>
          <w:color w:val="000000" w:themeColor="text1"/>
          <w:lang w:val="es-ES" w:eastAsia="es-ES"/>
        </w:rPr>
      </w:pPr>
    </w:p>
    <w:p w14:paraId="10857BE6" w14:textId="77777777" w:rsidR="00766E9C" w:rsidRDefault="00766E9C" w:rsidP="00766E9C">
      <w:pPr>
        <w:spacing w:after="0" w:line="240" w:lineRule="auto"/>
        <w:ind w:left="709" w:right="709"/>
        <w:jc w:val="both"/>
        <w:rPr>
          <w:rFonts w:ascii="Verdana" w:eastAsia="Century Gothic" w:hAnsi="Verdana" w:cs="Century Gothic"/>
          <w:color w:val="000000" w:themeColor="text1"/>
          <w:sz w:val="20"/>
          <w:szCs w:val="20"/>
          <w:lang w:val="es-ES"/>
        </w:rPr>
      </w:pPr>
      <w:bookmarkStart w:id="1" w:name="_Hlk95313578"/>
      <w:r w:rsidRPr="004D5CCA">
        <w:rPr>
          <w:rFonts w:ascii="Verdana" w:eastAsia="Century Gothic" w:hAnsi="Verdana" w:cs="Century Gothic"/>
          <w:i/>
          <w:iCs/>
          <w:color w:val="000000" w:themeColor="text1"/>
          <w:sz w:val="20"/>
          <w:szCs w:val="20"/>
          <w:lang w:val="es-ES"/>
        </w:rPr>
        <w:t>“</w:t>
      </w:r>
      <w:bookmarkEnd w:id="1"/>
      <w:r w:rsidRPr="000C7E94">
        <w:rPr>
          <w:rFonts w:ascii="Verdana" w:eastAsia="Century Gothic" w:hAnsi="Verdana" w:cs="Century Gothic"/>
          <w:color w:val="000000" w:themeColor="text1"/>
          <w:sz w:val="20"/>
          <w:szCs w:val="20"/>
          <w:lang w:val="es-ES"/>
        </w:rPr>
        <w:t>(…)</w:t>
      </w:r>
    </w:p>
    <w:p w14:paraId="6BEEE7AB" w14:textId="77777777" w:rsidR="00766E9C" w:rsidRDefault="00766E9C" w:rsidP="00766E9C">
      <w:pPr>
        <w:spacing w:after="0" w:line="240" w:lineRule="auto"/>
        <w:ind w:left="709" w:right="709"/>
        <w:jc w:val="both"/>
        <w:rPr>
          <w:rFonts w:ascii="Verdana" w:eastAsia="Century Gothic" w:hAnsi="Verdana" w:cs="Century Gothic"/>
          <w:i/>
          <w:iCs/>
          <w:color w:val="000000" w:themeColor="text1"/>
          <w:sz w:val="20"/>
          <w:szCs w:val="20"/>
          <w:lang w:val="es-ES"/>
        </w:rPr>
      </w:pPr>
    </w:p>
    <w:p w14:paraId="473A6A8B" w14:textId="77777777" w:rsidR="00766E9C" w:rsidRDefault="00766E9C" w:rsidP="00766E9C">
      <w:pPr>
        <w:spacing w:after="0" w:line="240" w:lineRule="auto"/>
        <w:ind w:left="709" w:right="709"/>
        <w:jc w:val="both"/>
        <w:rPr>
          <w:rFonts w:ascii="Verdana" w:hAnsi="Verdana"/>
          <w:sz w:val="20"/>
          <w:szCs w:val="20"/>
        </w:rPr>
      </w:pPr>
      <w:r w:rsidRPr="004D5CCA">
        <w:rPr>
          <w:rFonts w:ascii="Verdana" w:hAnsi="Verdana"/>
          <w:sz w:val="20"/>
          <w:szCs w:val="20"/>
        </w:rPr>
        <w:t xml:space="preserve">Considerando que los convenios interadministrativos constituyen un mecanismo para materializar el principio constitucional de coordinación y colaboración armónica entre entidades estatales, resulta relevante determinar si, ante la falta de una prohibición expresa para las entidades </w:t>
      </w:r>
      <w:r w:rsidRPr="004D5CCA">
        <w:rPr>
          <w:rFonts w:ascii="Verdana" w:hAnsi="Verdana"/>
          <w:sz w:val="20"/>
          <w:szCs w:val="20"/>
        </w:rPr>
        <w:lastRenderedPageBreak/>
        <w:t xml:space="preserve">nacionales, puede aplicarse —por analogía o interpretación sistemática— la regla prevista para las entidades territoriales en el parágrafo del artículo 38. </w:t>
      </w:r>
    </w:p>
    <w:p w14:paraId="27162972" w14:textId="77777777" w:rsidR="00766E9C" w:rsidRDefault="00766E9C" w:rsidP="00766E9C">
      <w:pPr>
        <w:spacing w:after="0" w:line="240" w:lineRule="auto"/>
        <w:ind w:left="709" w:right="709"/>
        <w:jc w:val="both"/>
        <w:rPr>
          <w:rFonts w:ascii="Verdana" w:hAnsi="Verdana"/>
          <w:sz w:val="20"/>
          <w:szCs w:val="20"/>
        </w:rPr>
      </w:pPr>
    </w:p>
    <w:p w14:paraId="1840B0D1" w14:textId="77777777" w:rsidR="00766E9C" w:rsidRDefault="00766E9C" w:rsidP="00766E9C">
      <w:pPr>
        <w:spacing w:after="0" w:line="240" w:lineRule="auto"/>
        <w:ind w:left="709" w:right="709"/>
        <w:jc w:val="both"/>
        <w:rPr>
          <w:rFonts w:ascii="Verdana" w:hAnsi="Verdana"/>
          <w:sz w:val="20"/>
          <w:szCs w:val="20"/>
        </w:rPr>
      </w:pPr>
      <w:r w:rsidRPr="004D5CCA">
        <w:rPr>
          <w:rFonts w:ascii="Verdana" w:hAnsi="Verdana"/>
          <w:sz w:val="20"/>
          <w:szCs w:val="20"/>
        </w:rPr>
        <w:t xml:space="preserve">En ese sentido, de manera respetuosa solicitamos a esa Agencia pronunciarse sobre los siguientes aspectos: </w:t>
      </w:r>
    </w:p>
    <w:p w14:paraId="04CBF076" w14:textId="77777777" w:rsidR="00766E9C" w:rsidRDefault="00766E9C" w:rsidP="00766E9C">
      <w:pPr>
        <w:spacing w:after="0" w:line="240" w:lineRule="auto"/>
        <w:ind w:left="709" w:right="709"/>
        <w:jc w:val="both"/>
        <w:rPr>
          <w:rFonts w:ascii="Verdana" w:hAnsi="Verdana"/>
          <w:sz w:val="20"/>
          <w:szCs w:val="20"/>
        </w:rPr>
      </w:pPr>
    </w:p>
    <w:p w14:paraId="1ED48AA1" w14:textId="77777777" w:rsidR="00766E9C" w:rsidRDefault="00766E9C" w:rsidP="00766E9C">
      <w:pPr>
        <w:spacing w:after="0" w:line="240" w:lineRule="auto"/>
        <w:ind w:left="709" w:right="709"/>
        <w:jc w:val="both"/>
        <w:rPr>
          <w:rFonts w:ascii="Verdana" w:hAnsi="Verdana"/>
          <w:sz w:val="20"/>
          <w:szCs w:val="20"/>
        </w:rPr>
      </w:pPr>
      <w:r w:rsidRPr="004D5CCA">
        <w:rPr>
          <w:rFonts w:ascii="Verdana" w:hAnsi="Verdana"/>
          <w:sz w:val="20"/>
          <w:szCs w:val="20"/>
        </w:rPr>
        <w:t xml:space="preserve">1. La viabilidad jurídica de que las entidades del orden nacional suscriban convenios interadministrativos sin ejecución de recursos durante la vigencia de las restricciones previstas en la Ley 996 de 2005. </w:t>
      </w:r>
    </w:p>
    <w:p w14:paraId="5AD6F8F6" w14:textId="77777777" w:rsidR="00766E9C" w:rsidRDefault="00766E9C" w:rsidP="00766E9C">
      <w:pPr>
        <w:spacing w:after="0" w:line="240" w:lineRule="auto"/>
        <w:ind w:left="709" w:right="709"/>
        <w:jc w:val="both"/>
        <w:rPr>
          <w:rFonts w:ascii="Verdana" w:hAnsi="Verdana"/>
          <w:sz w:val="20"/>
          <w:szCs w:val="20"/>
        </w:rPr>
      </w:pPr>
    </w:p>
    <w:p w14:paraId="0419D13C" w14:textId="77777777" w:rsidR="00766E9C" w:rsidRDefault="00766E9C" w:rsidP="00766E9C">
      <w:pPr>
        <w:spacing w:after="0" w:line="240" w:lineRule="auto"/>
        <w:ind w:left="709" w:right="709"/>
        <w:jc w:val="both"/>
        <w:rPr>
          <w:rFonts w:ascii="Verdana" w:hAnsi="Verdana"/>
          <w:sz w:val="20"/>
          <w:szCs w:val="20"/>
        </w:rPr>
      </w:pPr>
      <w:r w:rsidRPr="004D5CCA">
        <w:rPr>
          <w:rFonts w:ascii="Verdana" w:hAnsi="Verdana"/>
          <w:sz w:val="20"/>
          <w:szCs w:val="20"/>
        </w:rPr>
        <w:t xml:space="preserve">2. La posibilidad de aplicar, por interpretación sistemática o analógica, la regla contenida en el parágrafo del artículo 38 para las entidades territoriales, a las entidades del orden nacional, dada la ausencia de regulación expresa en el artículo 33. </w:t>
      </w:r>
    </w:p>
    <w:p w14:paraId="6D7C926E" w14:textId="77777777" w:rsidR="00766E9C" w:rsidRDefault="00766E9C" w:rsidP="00766E9C">
      <w:pPr>
        <w:spacing w:after="0" w:line="240" w:lineRule="auto"/>
        <w:ind w:left="709" w:right="709"/>
        <w:jc w:val="both"/>
        <w:rPr>
          <w:rFonts w:ascii="Verdana" w:hAnsi="Verdana"/>
          <w:sz w:val="20"/>
          <w:szCs w:val="20"/>
        </w:rPr>
      </w:pPr>
    </w:p>
    <w:p w14:paraId="5F0A8989" w14:textId="77777777" w:rsidR="00766E9C" w:rsidRPr="004D5CCA" w:rsidRDefault="00766E9C" w:rsidP="00766E9C">
      <w:pPr>
        <w:spacing w:after="0" w:line="240" w:lineRule="auto"/>
        <w:ind w:left="709" w:right="709"/>
        <w:jc w:val="both"/>
        <w:rPr>
          <w:rFonts w:ascii="Verdana" w:eastAsia="Century Gothic" w:hAnsi="Verdana" w:cs="Century Gothic"/>
          <w:i/>
          <w:iCs/>
          <w:color w:val="000000" w:themeColor="text1"/>
          <w:sz w:val="20"/>
          <w:szCs w:val="20"/>
        </w:rPr>
      </w:pPr>
      <w:r w:rsidRPr="004D5CCA">
        <w:rPr>
          <w:rFonts w:ascii="Verdana" w:hAnsi="Verdana"/>
          <w:sz w:val="20"/>
          <w:szCs w:val="20"/>
        </w:rPr>
        <w:t>3. Los criterios o condiciones que, de considerarse procedente la suscripción de estos convenios, deberían observarse para garantizar los principios de transparencia, legalidad y neutralidad electoral. El concepto solicitado es fundamental para orientar adecuadamente la actuación administrativa y contractual de esta Entidad, y para prevenir eventuales riesgos jurídicos, disciplinarios o fiscales asociados a interpretaciones disímiles del régimen de garantías electorales.</w:t>
      </w:r>
      <w:r w:rsidRPr="004D5CCA">
        <w:rPr>
          <w:rFonts w:ascii="Verdana" w:eastAsia="Century Gothic" w:hAnsi="Verdana" w:cs="Century Gothic"/>
          <w:i/>
          <w:iCs/>
          <w:color w:val="000000" w:themeColor="text1"/>
          <w:sz w:val="20"/>
          <w:szCs w:val="20"/>
        </w:rPr>
        <w:t>”</w:t>
      </w:r>
    </w:p>
    <w:p w14:paraId="324B251C" w14:textId="77777777" w:rsidR="00766E9C" w:rsidRPr="00C15525" w:rsidRDefault="00766E9C" w:rsidP="00766E9C">
      <w:pPr>
        <w:spacing w:after="0" w:line="276" w:lineRule="auto"/>
        <w:ind w:left="709" w:right="709"/>
        <w:jc w:val="both"/>
        <w:rPr>
          <w:rFonts w:ascii="Verdana" w:eastAsia="Times New Roman" w:hAnsi="Verdana" w:cs="Arial"/>
          <w:i/>
          <w:iCs/>
          <w:sz w:val="20"/>
          <w:szCs w:val="20"/>
          <w:lang w:eastAsia="es-ES_tradnl"/>
        </w:rPr>
      </w:pPr>
    </w:p>
    <w:p w14:paraId="07DB82EF" w14:textId="77777777" w:rsidR="00766E9C" w:rsidRPr="00C15525" w:rsidRDefault="00766E9C" w:rsidP="00766E9C">
      <w:pPr>
        <w:spacing w:after="120" w:line="276" w:lineRule="auto"/>
        <w:ind w:firstLine="709"/>
        <w:jc w:val="both"/>
        <w:rPr>
          <w:rFonts w:ascii="Verdana" w:eastAsia="Calibri" w:hAnsi="Verdana" w:cs="Arial"/>
          <w:color w:val="000000" w:themeColor="text1"/>
          <w:szCs w:val="24"/>
          <w:lang w:val="es-ES_tradnl" w:eastAsia="es-ES_tradnl"/>
        </w:rPr>
      </w:pPr>
      <w:r w:rsidRPr="00C15525">
        <w:rPr>
          <w:rFonts w:ascii="Verdana" w:eastAsia="Calibri" w:hAnsi="Verdana" w:cs="Arial"/>
          <w:color w:val="000000" w:themeColor="text1"/>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15525">
        <w:rPr>
          <w:rFonts w:ascii="Verdana" w:eastAsia="Calibri" w:hAnsi="Verdana" w:cs="Arial"/>
          <w:color w:val="000000" w:themeColor="text1"/>
          <w:szCs w:val="24"/>
          <w:lang w:val="es-ES_tradnl" w:eastAsia="es-ES_tradnl"/>
        </w:rPr>
        <w:tab/>
      </w:r>
    </w:p>
    <w:p w14:paraId="0B3AC38C" w14:textId="77777777" w:rsidR="00766E9C" w:rsidRPr="00C15525" w:rsidRDefault="00766E9C" w:rsidP="00766E9C">
      <w:pPr>
        <w:spacing w:after="0" w:line="276" w:lineRule="auto"/>
        <w:ind w:firstLine="709"/>
        <w:jc w:val="both"/>
        <w:rPr>
          <w:rFonts w:ascii="Verdana" w:eastAsia="Calibri" w:hAnsi="Verdana" w:cs="Arial"/>
          <w:color w:val="000000" w:themeColor="text1"/>
          <w:lang w:val="es-ES" w:eastAsia="es-ES"/>
        </w:rPr>
      </w:pPr>
      <w:r w:rsidRPr="00C15525">
        <w:rPr>
          <w:rFonts w:ascii="Verdana" w:eastAsia="Calibri" w:hAnsi="Verdana" w:cs="Arial"/>
          <w:color w:val="000000" w:themeColor="text1"/>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 jurídico de su consulta. </w:t>
      </w:r>
    </w:p>
    <w:p w14:paraId="686C9897" w14:textId="77777777" w:rsidR="00766E9C" w:rsidRPr="00C15525" w:rsidRDefault="00766E9C" w:rsidP="00766E9C">
      <w:pPr>
        <w:spacing w:after="0" w:line="276" w:lineRule="auto"/>
        <w:jc w:val="both"/>
        <w:rPr>
          <w:rFonts w:ascii="Verdana" w:eastAsia="Calibri" w:hAnsi="Verdana" w:cs="Arial"/>
          <w:color w:val="000000" w:themeColor="text1"/>
          <w:lang w:val="es-ES" w:eastAsia="es-ES"/>
        </w:rPr>
      </w:pPr>
    </w:p>
    <w:p w14:paraId="2926C4AE" w14:textId="77777777" w:rsidR="00766E9C" w:rsidRPr="00C15525" w:rsidRDefault="00766E9C" w:rsidP="00766E9C">
      <w:pPr>
        <w:numPr>
          <w:ilvl w:val="0"/>
          <w:numId w:val="16"/>
        </w:numPr>
        <w:tabs>
          <w:tab w:val="left" w:pos="142"/>
          <w:tab w:val="left" w:pos="284"/>
        </w:tabs>
        <w:spacing w:after="0" w:line="276" w:lineRule="auto"/>
        <w:ind w:hanging="6601"/>
        <w:contextualSpacing/>
        <w:jc w:val="both"/>
        <w:rPr>
          <w:rFonts w:ascii="Verdana" w:eastAsia="Century Gothic" w:hAnsi="Verdana" w:cs="Century Gothic"/>
          <w:b/>
          <w:bCs/>
          <w:color w:val="000000" w:themeColor="text1"/>
          <w:lang w:val="es-ES"/>
        </w:rPr>
      </w:pPr>
      <w:r w:rsidRPr="00C15525">
        <w:rPr>
          <w:rFonts w:ascii="Verdana" w:eastAsia="Century Gothic" w:hAnsi="Verdana" w:cs="Century Gothic"/>
          <w:b/>
          <w:bCs/>
          <w:color w:val="000000" w:themeColor="text1"/>
          <w:lang w:val="es-ES"/>
        </w:rPr>
        <w:t>Problema planteado:</w:t>
      </w:r>
    </w:p>
    <w:p w14:paraId="4F54094C" w14:textId="77777777" w:rsidR="00766E9C" w:rsidRPr="00C15525" w:rsidRDefault="00766E9C" w:rsidP="00766E9C">
      <w:pPr>
        <w:tabs>
          <w:tab w:val="left" w:pos="426"/>
        </w:tabs>
        <w:spacing w:after="0" w:line="276" w:lineRule="auto"/>
        <w:jc w:val="both"/>
        <w:rPr>
          <w:rFonts w:ascii="Verdana" w:eastAsia="Century Gothic" w:hAnsi="Verdana" w:cs="Century Gothic"/>
          <w:color w:val="000000" w:themeColor="text1"/>
          <w:lang w:val="es-ES"/>
        </w:rPr>
      </w:pPr>
    </w:p>
    <w:p w14:paraId="65F58A64" w14:textId="77777777" w:rsidR="00766E9C" w:rsidRPr="00C15525" w:rsidRDefault="00766E9C" w:rsidP="00766E9C">
      <w:pPr>
        <w:spacing w:after="0" w:line="276" w:lineRule="auto"/>
        <w:jc w:val="both"/>
        <w:rPr>
          <w:rFonts w:ascii="Verdana" w:eastAsia="Century Gothic" w:hAnsi="Verdana" w:cs="Century Gothic"/>
          <w:color w:val="000000" w:themeColor="text1"/>
        </w:rPr>
      </w:pPr>
      <w:r w:rsidRPr="00C15525">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el</w:t>
      </w:r>
      <w:r w:rsidRPr="00C15525">
        <w:rPr>
          <w:rFonts w:ascii="Verdana" w:eastAsia="Century Gothic" w:hAnsi="Verdana" w:cs="Century Gothic"/>
          <w:color w:val="000000" w:themeColor="text1"/>
        </w:rPr>
        <w:t xml:space="preserve"> siguiente problema jurídico: ¿Las restricciones contempladas en </w:t>
      </w:r>
      <w:r w:rsidRPr="00C15525">
        <w:rPr>
          <w:rFonts w:ascii="Verdana" w:eastAsia="Times New Roman" w:hAnsi="Verdana" w:cs="Arial"/>
          <w:lang w:eastAsia="es-CO"/>
        </w:rPr>
        <w:t xml:space="preserve">los artículos 33 </w:t>
      </w:r>
      <w:r>
        <w:rPr>
          <w:rFonts w:ascii="Verdana" w:eastAsia="Times New Roman" w:hAnsi="Verdana" w:cs="Arial"/>
          <w:lang w:eastAsia="es-CO"/>
        </w:rPr>
        <w:t xml:space="preserve">de la Ley de Garantías Electorales </w:t>
      </w:r>
      <w:r w:rsidRPr="00C15525">
        <w:rPr>
          <w:rFonts w:ascii="Verdana" w:eastAsia="Times New Roman" w:hAnsi="Verdana" w:cs="Arial"/>
          <w:lang w:eastAsia="es-CO"/>
        </w:rPr>
        <w:t xml:space="preserve">aplica a los </w:t>
      </w:r>
      <w:r>
        <w:rPr>
          <w:rFonts w:ascii="Verdana" w:eastAsia="Times New Roman" w:hAnsi="Verdana" w:cs="Arial"/>
          <w:lang w:eastAsia="es-CO"/>
        </w:rPr>
        <w:t>convenios interadministrativos a título gratuito celebrado</w:t>
      </w:r>
      <w:r w:rsidRPr="00C15525">
        <w:rPr>
          <w:rFonts w:ascii="Verdana" w:eastAsia="Times New Roman" w:hAnsi="Verdana" w:cs="Arial"/>
          <w:lang w:eastAsia="es-CO"/>
        </w:rPr>
        <w:t xml:space="preserve"> entre las entidades estatales</w:t>
      </w:r>
      <w:r w:rsidRPr="00C15525">
        <w:rPr>
          <w:rFonts w:ascii="Verdana" w:hAnsi="Verdana"/>
          <w:iCs/>
        </w:rPr>
        <w:t>?</w:t>
      </w:r>
    </w:p>
    <w:p w14:paraId="17CAF9BE" w14:textId="77777777" w:rsidR="00766E9C" w:rsidRPr="00C15525" w:rsidRDefault="00766E9C" w:rsidP="00766E9C">
      <w:pPr>
        <w:spacing w:after="0" w:line="276" w:lineRule="auto"/>
        <w:jc w:val="both"/>
        <w:rPr>
          <w:rFonts w:ascii="Verdana" w:eastAsia="Century Gothic" w:hAnsi="Verdana" w:cs="Century Gothic"/>
          <w:color w:val="000000" w:themeColor="text1"/>
        </w:rPr>
      </w:pPr>
    </w:p>
    <w:p w14:paraId="60DBB893" w14:textId="77777777" w:rsidR="00766E9C" w:rsidRPr="00C15525" w:rsidRDefault="00766E9C" w:rsidP="00766E9C">
      <w:pPr>
        <w:numPr>
          <w:ilvl w:val="0"/>
          <w:numId w:val="16"/>
        </w:numPr>
        <w:tabs>
          <w:tab w:val="left" w:pos="142"/>
          <w:tab w:val="left" w:pos="284"/>
        </w:tabs>
        <w:spacing w:after="0" w:line="276" w:lineRule="auto"/>
        <w:ind w:hanging="6601"/>
        <w:jc w:val="both"/>
        <w:rPr>
          <w:rFonts w:ascii="Verdana" w:eastAsia="Century Gothic" w:hAnsi="Verdana" w:cs="Century Gothic"/>
          <w:b/>
          <w:bCs/>
          <w:color w:val="000000" w:themeColor="text1"/>
          <w:lang w:val="es-ES"/>
        </w:rPr>
      </w:pPr>
      <w:r w:rsidRPr="00C15525">
        <w:rPr>
          <w:rFonts w:ascii="Verdana" w:eastAsia="Century Gothic" w:hAnsi="Verdana" w:cs="Century Gothic"/>
          <w:b/>
          <w:bCs/>
          <w:color w:val="000000" w:themeColor="text1"/>
          <w:lang w:val="es-ES"/>
        </w:rPr>
        <w:t xml:space="preserve">Respuesta: </w:t>
      </w:r>
    </w:p>
    <w:p w14:paraId="6844D556" w14:textId="77777777" w:rsidR="00766E9C" w:rsidRPr="00C15525" w:rsidRDefault="00766E9C" w:rsidP="00766E9C">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766E9C" w:rsidRPr="00C15525" w14:paraId="287D0662" w14:textId="77777777" w:rsidTr="00CD4E5D">
        <w:tc>
          <w:tcPr>
            <w:tcW w:w="8828" w:type="dxa"/>
          </w:tcPr>
          <w:p w14:paraId="33B940B3" w14:textId="77777777" w:rsidR="00766E9C" w:rsidRPr="00C15525" w:rsidRDefault="00766E9C" w:rsidP="00CD4E5D">
            <w:pPr>
              <w:spacing w:after="120" w:line="276" w:lineRule="auto"/>
              <w:jc w:val="both"/>
              <w:rPr>
                <w:rFonts w:ascii="Verdana" w:eastAsia="Times New Roman" w:hAnsi="Verdana" w:cs="Arial"/>
                <w:lang w:eastAsia="es-CO"/>
              </w:rPr>
            </w:pPr>
            <w:r w:rsidRPr="00C15525">
              <w:rPr>
                <w:rFonts w:ascii="Verdana" w:eastAsia="Times New Roman" w:hAnsi="Verdana" w:cs="Arial"/>
                <w:lang w:eastAsia="es-CO"/>
              </w:rPr>
              <w:t>Conforme a la interpretación general de las normas del sistema de compras públicas,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64F3E18D" w14:textId="77777777" w:rsidR="00766E9C" w:rsidRPr="00C15525" w:rsidRDefault="00766E9C" w:rsidP="00CD4E5D">
            <w:pPr>
              <w:spacing w:after="120" w:line="276" w:lineRule="auto"/>
              <w:ind w:firstLine="743"/>
              <w:jc w:val="both"/>
              <w:rPr>
                <w:rFonts w:ascii="Verdana" w:eastAsia="Times New Roman" w:hAnsi="Verdana" w:cs="Arial"/>
                <w:lang w:eastAsia="es-CO"/>
              </w:rPr>
            </w:pPr>
            <w:r w:rsidRPr="00C15525">
              <w:rPr>
                <w:rFonts w:ascii="Verdana" w:eastAsia="Times New Roman" w:hAnsi="Verdana" w:cs="Arial"/>
                <w:lang w:eastAsia="es-CO"/>
              </w:rPr>
              <w:t>El artículo 33 de la Ley 996 de 2005 señala expresamente a los destinatarios de la prohibición, en el sentido de que son “todos los entes del Estado”, expresión que contempla a los diferentes organismos o entidades autorizadas por la ley para suscribir contratos. En efecto, tal como lo ha sostenido el Consejo de Estado, el vocablo “todos” utilizado por el legislador comprende 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w:t>
            </w:r>
          </w:p>
          <w:p w14:paraId="7B20C5D8" w14:textId="77777777" w:rsidR="00766E9C" w:rsidRDefault="00766E9C" w:rsidP="00CD4E5D">
            <w:pPr>
              <w:spacing w:after="120" w:line="276" w:lineRule="auto"/>
              <w:ind w:firstLine="709"/>
              <w:jc w:val="both"/>
              <w:rPr>
                <w:rFonts w:ascii="Verdana" w:eastAsia="Times New Roman" w:hAnsi="Verdana" w:cs="Arial"/>
                <w:lang w:eastAsia="es-CO"/>
              </w:rPr>
            </w:pPr>
            <w:r w:rsidRPr="00C15525">
              <w:rPr>
                <w:rFonts w:ascii="Verdana" w:eastAsia="Times New Roman" w:hAnsi="Verdana" w:cs="Arial"/>
                <w:lang w:eastAsia="es-CO"/>
              </w:rPr>
              <w:t xml:space="preserve">Por su parte, el parágrafo del artículo 38 de la Ley 996 de 2005 prohíbe a los </w:t>
            </w:r>
            <w:proofErr w:type="gramStart"/>
            <w:r w:rsidRPr="00C15525">
              <w:rPr>
                <w:rFonts w:ascii="Verdana" w:eastAsia="Times New Roman" w:hAnsi="Verdana" w:cs="Arial"/>
                <w:lang w:eastAsia="es-CO"/>
              </w:rPr>
              <w:t>Alcaldes</w:t>
            </w:r>
            <w:proofErr w:type="gramEnd"/>
            <w:r w:rsidRPr="00C15525">
              <w:rPr>
                <w:rFonts w:ascii="Verdana" w:eastAsia="Times New Roman" w:hAnsi="Verdana" w:cs="Arial"/>
                <w:lang w:eastAsia="es-CO"/>
              </w:rPr>
              <w:t xml:space="preserve">, Gobernadores, </w:t>
            </w:r>
            <w:proofErr w:type="gramStart"/>
            <w:r w:rsidRPr="00C15525">
              <w:rPr>
                <w:rFonts w:ascii="Verdana" w:eastAsia="Times New Roman" w:hAnsi="Verdana" w:cs="Arial"/>
                <w:lang w:eastAsia="es-CO"/>
              </w:rPr>
              <w:t>Secretarios</w:t>
            </w:r>
            <w:proofErr w:type="gramEnd"/>
            <w:r w:rsidRPr="00C15525">
              <w:rPr>
                <w:rFonts w:ascii="Verdana" w:eastAsia="Times New Roman" w:hAnsi="Verdana" w:cs="Arial"/>
                <w:lang w:eastAsia="es-CO"/>
              </w:rPr>
              <w:t xml:space="preserve">, Gerentes y </w:t>
            </w:r>
            <w:proofErr w:type="gramStart"/>
            <w:r w:rsidRPr="00C15525">
              <w:rPr>
                <w:rFonts w:ascii="Verdana" w:eastAsia="Times New Roman" w:hAnsi="Verdana" w:cs="Arial"/>
                <w:lang w:eastAsia="es-CO"/>
              </w:rPr>
              <w:t>Directores</w:t>
            </w:r>
            <w:proofErr w:type="gramEnd"/>
            <w:r w:rsidRPr="00C15525">
              <w:rPr>
                <w:rFonts w:ascii="Verdana" w:eastAsia="Times New Roman" w:hAnsi="Verdana" w:cs="Arial"/>
                <w:lang w:eastAsia="es-CO"/>
              </w:rPr>
              <w:t xml:space="preserve"> de las entidades del orden municipal, departamental o distrital </w:t>
            </w:r>
            <w:r w:rsidRPr="00C15525">
              <w:rPr>
                <w:rFonts w:ascii="Verdana" w:eastAsia="Times New Roman" w:hAnsi="Verdana" w:cs="Arial"/>
                <w:i/>
                <w:iCs/>
                <w:lang w:eastAsia="es-CO"/>
              </w:rPr>
              <w:t>celebrar convenios interadministrativos para la ejecución de recursos públicos</w:t>
            </w:r>
            <w:r w:rsidRPr="00C15525">
              <w:rPr>
                <w:rFonts w:ascii="Verdana" w:eastAsia="Times New Roman" w:hAnsi="Verdana" w:cs="Arial"/>
                <w:lang w:eastAsia="es-CO"/>
              </w:rPr>
              <w:t xml:space="preserve">. En este sentido, si una o ambas partes de la relación contractual es una entidad de aquellas </w:t>
            </w:r>
            <w:r w:rsidRPr="00C15525">
              <w:rPr>
                <w:rFonts w:ascii="Verdana" w:eastAsia="Times New Roman" w:hAnsi="Verdana" w:cs="Arial"/>
                <w:lang w:eastAsia="es-CO"/>
              </w:rPr>
              <w:lastRenderedPageBreak/>
              <w:t xml:space="preserve">descritas en el parágrafo ibidem, no podrá celebrar tales convenios durante la aplicación de la Ley de Garantías Electorales, toda vez que la citada disposición hace referencia a dicha tipología contractual sin que el legislador hubiere contemplado un efecto extensivo a otra tipología. </w:t>
            </w:r>
          </w:p>
          <w:p w14:paraId="3352F7B1" w14:textId="77777777" w:rsidR="00766E9C" w:rsidRDefault="00766E9C" w:rsidP="00CD4E5D">
            <w:pPr>
              <w:spacing w:after="120" w:line="276" w:lineRule="auto"/>
              <w:ind w:firstLine="708"/>
              <w:jc w:val="both"/>
              <w:rPr>
                <w:rFonts w:ascii="Verdana" w:eastAsia="Times New Roman" w:hAnsi="Verdana" w:cs="Arial"/>
                <w:lang w:eastAsia="es-CO"/>
              </w:rPr>
            </w:pPr>
            <w:r w:rsidRPr="00C15525">
              <w:rPr>
                <w:rFonts w:ascii="Verdana" w:eastAsia="Times New Roman" w:hAnsi="Verdana" w:cs="Arial"/>
                <w:lang w:val="es-MX" w:eastAsia="es-CO"/>
              </w:rPr>
              <w:t xml:space="preserve">Respecto del alcance de esta prohibición la Circular Externa No. 006 de 2025 expedida por la ANCP-CCE, en los literales </w:t>
            </w:r>
            <w:proofErr w:type="spellStart"/>
            <w:r w:rsidRPr="00C15525">
              <w:rPr>
                <w:rFonts w:ascii="Verdana" w:eastAsia="Times New Roman" w:hAnsi="Verdana" w:cs="Arial"/>
                <w:lang w:val="es-MX" w:eastAsia="es-CO"/>
              </w:rPr>
              <w:t>ii</w:t>
            </w:r>
            <w:proofErr w:type="spellEnd"/>
            <w:r w:rsidRPr="00C15525">
              <w:rPr>
                <w:rFonts w:ascii="Verdana" w:eastAsia="Times New Roman" w:hAnsi="Verdana" w:cs="Arial"/>
                <w:lang w:val="es-MX" w:eastAsia="es-CO"/>
              </w:rPr>
              <w:t xml:space="preserve">) y </w:t>
            </w:r>
            <w:proofErr w:type="spellStart"/>
            <w:r w:rsidRPr="00C15525">
              <w:rPr>
                <w:rFonts w:ascii="Verdana" w:eastAsia="Times New Roman" w:hAnsi="Verdana" w:cs="Arial"/>
                <w:lang w:val="es-MX" w:eastAsia="es-CO"/>
              </w:rPr>
              <w:t>iv</w:t>
            </w:r>
            <w:proofErr w:type="spellEnd"/>
            <w:r w:rsidRPr="00C15525">
              <w:rPr>
                <w:rFonts w:ascii="Verdana" w:eastAsia="Times New Roman" w:hAnsi="Verdana" w:cs="Arial"/>
                <w:lang w:val="es-MX" w:eastAsia="es-CO"/>
              </w:rPr>
              <w:t>) del numeral 2</w:t>
            </w:r>
            <w:r w:rsidRPr="00C15525">
              <w:rPr>
                <w:rFonts w:ascii="Verdana" w:eastAsia="Times New Roman" w:hAnsi="Verdana" w:cs="Arial"/>
                <w:lang w:eastAsia="es-CO"/>
              </w:rPr>
              <w:t>,</w:t>
            </w:r>
            <w:r w:rsidRPr="00C15525">
              <w:rPr>
                <w:rFonts w:ascii="Verdana" w:eastAsia="Times New Roman" w:hAnsi="Verdana" w:cs="Arial"/>
                <w:lang w:val="es-MX" w:eastAsia="es-CO"/>
              </w:rPr>
              <w:t xml:space="preserve"> indica que el </w:t>
            </w:r>
            <w:r w:rsidRPr="00C15525">
              <w:rPr>
                <w:rFonts w:ascii="Verdana" w:eastAsia="Times New Roman" w:hAnsi="Verdana" w:cs="Arial"/>
                <w:lang w:eastAsia="es-CO"/>
              </w:rPr>
              <w:t xml:space="preserve">parágrafo del artículo 38 de la Ley 996 de 2005 cobija expresamente a los </w:t>
            </w:r>
            <w:r w:rsidRPr="00C15525">
              <w:rPr>
                <w:rFonts w:ascii="Verdana" w:eastAsia="Times New Roman" w:hAnsi="Verdana" w:cs="Arial"/>
                <w:i/>
                <w:iCs/>
                <w:lang w:eastAsia="es-CO"/>
              </w:rPr>
              <w:t>convenios interadministrativos</w:t>
            </w:r>
            <w:r w:rsidRPr="00C15525">
              <w:rPr>
                <w:rFonts w:ascii="Verdana" w:eastAsia="Times New Roman" w:hAnsi="Verdana" w:cs="Arial"/>
                <w:lang w:eastAsia="es-CO"/>
              </w:rPr>
              <w:t xml:space="preserve"> en los que se contemple la ejecución de recursos públicos. </w:t>
            </w:r>
            <w:r>
              <w:rPr>
                <w:rFonts w:ascii="Verdana" w:eastAsia="Times New Roman" w:hAnsi="Verdana" w:cs="Arial"/>
                <w:lang w:eastAsia="es-CO"/>
              </w:rPr>
              <w:t>E</w:t>
            </w:r>
            <w:r w:rsidRPr="00BF6AB2">
              <w:rPr>
                <w:rFonts w:ascii="Verdana" w:eastAsia="Times New Roman" w:hAnsi="Verdana" w:cs="Arial"/>
                <w:lang w:eastAsia="es-CO"/>
              </w:rPr>
              <w:t xml:space="preserve">sto significa que la prohibición no resulta aplicable a convenios interadministrativos a título gratuito, los cuales pueden celebrarse válidamente durante la vigencia de la mencionada restricción. </w:t>
            </w:r>
          </w:p>
          <w:p w14:paraId="10F4FD79" w14:textId="77777777" w:rsidR="00766E9C" w:rsidRPr="00C15525" w:rsidRDefault="00766E9C" w:rsidP="00CD4E5D">
            <w:pPr>
              <w:spacing w:after="120" w:line="276" w:lineRule="auto"/>
              <w:ind w:firstLine="708"/>
              <w:jc w:val="both"/>
              <w:rPr>
                <w:rFonts w:ascii="Verdana" w:eastAsia="Times New Roman" w:hAnsi="Verdana" w:cs="Arial"/>
                <w:lang w:eastAsia="es-CO"/>
              </w:rPr>
            </w:pPr>
            <w:r>
              <w:rPr>
                <w:rFonts w:ascii="Verdana" w:eastAsia="Times New Roman" w:hAnsi="Verdana" w:cs="Arial"/>
                <w:lang w:eastAsia="es-CO"/>
              </w:rPr>
              <w:t xml:space="preserve">Además, conforme a </w:t>
            </w:r>
            <w:r w:rsidRPr="00C15525">
              <w:rPr>
                <w:rFonts w:ascii="Verdana" w:eastAsia="Times New Roman" w:hAnsi="Verdana" w:cs="Arial"/>
                <w:lang w:eastAsia="es-CO"/>
              </w:rPr>
              <w:t>la sentencia expedida por la Sección Tercera de la Sala de lo Contencioso Administrativo del 17 de octubre de 2025,</w:t>
            </w:r>
            <w:r>
              <w:rPr>
                <w:rFonts w:ascii="Verdana" w:eastAsia="Times New Roman" w:hAnsi="Verdana" w:cs="Arial"/>
                <w:lang w:eastAsia="es-CO"/>
              </w:rPr>
              <w:t xml:space="preserve"> y a</w:t>
            </w:r>
            <w:r w:rsidRPr="00C15525">
              <w:rPr>
                <w:rFonts w:ascii="Verdana" w:eastAsia="Times New Roman" w:hAnsi="Verdana" w:cs="Arial"/>
                <w:lang w:eastAsia="es-CO"/>
              </w:rPr>
              <w:t xml:space="preserve"> los autos del 4 de octubre de 2024 y 6 de noviembre de 2025, no resultaría aplicable la prohibición del parágrafo del artículo 38 de la Ley de Garantías Electorales a los </w:t>
            </w:r>
            <w:r w:rsidRPr="00C15525">
              <w:rPr>
                <w:rFonts w:ascii="Verdana" w:eastAsia="Times New Roman" w:hAnsi="Verdana" w:cs="Arial"/>
                <w:i/>
                <w:iCs/>
                <w:lang w:eastAsia="es-CO"/>
              </w:rPr>
              <w:t>contratos interadministrativos</w:t>
            </w:r>
            <w:r>
              <w:rPr>
                <w:rFonts w:ascii="Verdana" w:eastAsia="Times New Roman" w:hAnsi="Verdana" w:cs="Arial"/>
                <w:i/>
                <w:iCs/>
                <w:lang w:eastAsia="es-CO"/>
              </w:rPr>
              <w:t xml:space="preserve">. </w:t>
            </w:r>
          </w:p>
          <w:p w14:paraId="21ACB8F7" w14:textId="77777777" w:rsidR="00766E9C" w:rsidRDefault="00766E9C" w:rsidP="00CD4E5D">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 xml:space="preserve">No obstante, el análisis realizado en la sentencia se refiere únicamente al artículo 38, más no a la limitación contenida en el artículo 33, que prohíbe adelantar cualquier tipo de contratación bajo la modalidad de contratación directa. Es decir, lo resuelto en dicha sentencia no contempló la prohibición de celebrar contratos interadministrativos o convenios a título gratuito de forma directa, que están sujetos a la restricción del artículo 33 de la Ley 996 de 2005. En este sentido, todos los entes del Estado, independiente del régimen jurídico aplicable, están sujetos a la restricción del artículo 33 de la Ley 996 de 2005, es decir, no podrán adelantar ningún tipo contratación directa respecto de </w:t>
            </w:r>
            <w:r>
              <w:rPr>
                <w:rFonts w:ascii="Verdana" w:eastAsia="Times New Roman" w:hAnsi="Verdana" w:cs="Arial"/>
                <w:bCs/>
                <w:lang w:val="es-MX" w:eastAsia="x-none" w:bidi="es-ES"/>
              </w:rPr>
              <w:t xml:space="preserve">las elecciones presidenciales, dentro de los 4 meses anteriores a la celebración de dichos comicios, salvo las excepciones allí establecidas. </w:t>
            </w:r>
          </w:p>
          <w:p w14:paraId="7A40A36F" w14:textId="77777777" w:rsidR="00766E9C" w:rsidRDefault="00766E9C" w:rsidP="00CD4E5D">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bidi="es-ES"/>
              </w:rPr>
              <w:t xml:space="preserve">Al respecto, </w:t>
            </w:r>
            <w:r w:rsidRPr="00C15525">
              <w:rPr>
                <w:rFonts w:ascii="Verdana" w:eastAsia="Times New Roman" w:hAnsi="Verdana" w:cs="Arial"/>
                <w:lang w:val="es-MX" w:eastAsia="es-CO"/>
              </w:rPr>
              <w:t>la Circular Externa No. 006 de 2025 expedida por la ANCP-CCE,</w:t>
            </w:r>
            <w:r>
              <w:rPr>
                <w:rFonts w:ascii="Verdana" w:eastAsia="Times New Roman" w:hAnsi="Verdana" w:cs="Arial"/>
                <w:lang w:val="es-MX" w:eastAsia="es-CO"/>
              </w:rPr>
              <w:t xml:space="preserve"> </w:t>
            </w:r>
            <w:r>
              <w:rPr>
                <w:rFonts w:ascii="Verdana" w:eastAsia="Times New Roman" w:hAnsi="Verdana" w:cs="Arial"/>
                <w:lang w:eastAsia="es-CO"/>
              </w:rPr>
              <w:t xml:space="preserve">en el </w:t>
            </w:r>
            <w:r>
              <w:rPr>
                <w:rFonts w:ascii="Verdana" w:eastAsia="Times New Roman" w:hAnsi="Verdana" w:cs="Arial"/>
                <w:lang w:val="es-MX" w:eastAsia="es-CO"/>
              </w:rPr>
              <w:t xml:space="preserve">numeral 1 literal </w:t>
            </w:r>
            <w:proofErr w:type="spellStart"/>
            <w:r>
              <w:rPr>
                <w:rFonts w:ascii="Verdana" w:eastAsia="Times New Roman" w:hAnsi="Verdana" w:cs="Arial"/>
                <w:lang w:val="es-MX" w:eastAsia="es-CO"/>
              </w:rPr>
              <w:t>ii</w:t>
            </w:r>
            <w:proofErr w:type="spellEnd"/>
            <w:r>
              <w:rPr>
                <w:rFonts w:ascii="Verdana" w:eastAsia="Times New Roman" w:hAnsi="Verdana" w:cs="Arial"/>
                <w:lang w:val="es-MX" w:eastAsia="es-CO"/>
              </w:rPr>
              <w:t>) “ámbito material de aplicación” señaló que l</w:t>
            </w:r>
            <w:r w:rsidRPr="007C29D8">
              <w:rPr>
                <w:rFonts w:ascii="Verdana" w:eastAsia="Times New Roman" w:hAnsi="Verdana" w:cs="Arial"/>
                <w:lang w:eastAsia="es-CO"/>
              </w:rPr>
              <w:t>a restricción del artículo 33 no se encuentra condicionada por la ejecución de recursos en el marco de los respectivos contratos o el origen de estos, de manera que aplica independientemente de que el contrato implique o no la ejecución de recursos o si los recursos destinados son de naturaleza pública o privada.</w:t>
            </w:r>
          </w:p>
          <w:p w14:paraId="1CCAD303" w14:textId="77777777" w:rsidR="00766E9C" w:rsidRDefault="00766E9C" w:rsidP="00CD4E5D">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lastRenderedPageBreak/>
              <w:t xml:space="preserve">Vale la pena reiterar que </w:t>
            </w:r>
            <w:r w:rsidRPr="00A32F0A">
              <w:rPr>
                <w:rFonts w:ascii="Verdana" w:eastAsia="Times New Roman" w:hAnsi="Verdana" w:cs="Arial"/>
                <w:lang w:eastAsia="es-CO"/>
              </w:rPr>
              <w:t xml:space="preserve">las prohibiciones del artículo 33 y del parágrafo del artículo 38 no se excluyen, sino que se integran parcialmente, por lo que en periodo preelectoral para elección de </w:t>
            </w:r>
            <w:proofErr w:type="gramStart"/>
            <w:r w:rsidRPr="00A32F0A">
              <w:rPr>
                <w:rFonts w:ascii="Verdana" w:eastAsia="Times New Roman" w:hAnsi="Verdana" w:cs="Arial"/>
                <w:lang w:eastAsia="es-CO"/>
              </w:rPr>
              <w:t>Presidente</w:t>
            </w:r>
            <w:proofErr w:type="gramEnd"/>
            <w:r w:rsidRPr="00A32F0A">
              <w:rPr>
                <w:rFonts w:ascii="Verdana" w:eastAsia="Times New Roman" w:hAnsi="Verdana" w:cs="Arial"/>
                <w:lang w:eastAsia="es-CO"/>
              </w:rPr>
              <w:t xml:space="preserve"> de la República, a todos los entes del Estado, incluidos los territoriales, se aplican las restricciones del artículo 33 con sus excepciones, así como las del parágrafo del artículo 38</w:t>
            </w:r>
            <w:r>
              <w:rPr>
                <w:rFonts w:ascii="Verdana" w:eastAsia="Times New Roman" w:hAnsi="Verdana" w:cs="Arial"/>
                <w:lang w:eastAsia="es-CO"/>
              </w:rPr>
              <w:t xml:space="preserve">. En este sentido, esta integración parcial no comporta extender la viabilidad para celebrar de forma directa contratos interadministrativos o convenios a título gratuito durante la vigencia de la restricción del artículo 33, pues esta disposición es clara al indicar que queda prohibida la </w:t>
            </w:r>
            <w:r w:rsidRPr="00587343">
              <w:rPr>
                <w:rFonts w:ascii="Verdana" w:eastAsia="Times New Roman" w:hAnsi="Verdana" w:cs="Arial"/>
                <w:i/>
                <w:iCs/>
                <w:lang w:eastAsia="es-CO"/>
              </w:rPr>
              <w:t>contratación directa</w:t>
            </w:r>
            <w:r>
              <w:rPr>
                <w:rFonts w:ascii="Verdana" w:eastAsia="Times New Roman" w:hAnsi="Verdana" w:cs="Arial"/>
                <w:i/>
                <w:iCs/>
                <w:lang w:eastAsia="es-CO"/>
              </w:rPr>
              <w:t xml:space="preserve">, </w:t>
            </w:r>
            <w:r w:rsidRPr="00612214">
              <w:rPr>
                <w:rFonts w:ascii="Verdana" w:eastAsia="Times New Roman" w:hAnsi="Verdana" w:cs="Arial"/>
                <w:lang w:eastAsia="es-CO"/>
              </w:rPr>
              <w:t>cuyas excepciones se encuentran expresamente relacionadas en el inciso segund</w:t>
            </w:r>
            <w:r>
              <w:rPr>
                <w:rFonts w:ascii="Verdana" w:eastAsia="Times New Roman" w:hAnsi="Verdana" w:cs="Arial"/>
                <w:lang w:eastAsia="es-CO"/>
              </w:rPr>
              <w:t xml:space="preserve">o. </w:t>
            </w:r>
          </w:p>
          <w:p w14:paraId="2C0DCCF8" w14:textId="77777777" w:rsidR="00766E9C" w:rsidRPr="00D2533D" w:rsidRDefault="00766E9C" w:rsidP="00CD4E5D">
            <w:pPr>
              <w:spacing w:after="120" w:line="276" w:lineRule="auto"/>
              <w:ind w:firstLine="709"/>
              <w:jc w:val="both"/>
              <w:rPr>
                <w:rFonts w:ascii="Verdana" w:eastAsia="Times New Roman" w:hAnsi="Verdana" w:cs="Arial"/>
                <w:lang w:eastAsia="es-CO"/>
              </w:rPr>
            </w:pPr>
            <w:r>
              <w:rPr>
                <w:rFonts w:ascii="Verdana" w:eastAsia="Times New Roman" w:hAnsi="Verdana" w:cs="Arial"/>
                <w:bCs/>
                <w:lang w:eastAsia="x-none"/>
              </w:rPr>
              <w:t xml:space="preserve">Esto significa que antes del inicio de la restricción del artículo 33 de aplicación de la Ley de Garantías Electorales, esto es, hasta el 30 de enero de 2026, las entidades estatales estaban jurídicamente habilitados para suscribir contratos interadministrativos y convenios interadministrativos a título gratuito, incluso bajo modalidades de contratación directa, ya que la restricción del parágrafo del artículo 38 cobija únicamente a los convenios interadministrativos para la ejecución de recursos. No obstante, al haber entrado en vigor la restricción del artículo 33 el pasado 31 de enero de 2026, quedo restringida </w:t>
            </w:r>
            <w:r w:rsidRPr="00E0580F">
              <w:rPr>
                <w:rFonts w:ascii="Verdana" w:eastAsia="Times New Roman" w:hAnsi="Verdana" w:cs="Arial"/>
                <w:bCs/>
                <w:i/>
                <w:iCs/>
                <w:lang w:eastAsia="x-none"/>
              </w:rPr>
              <w:t>toda</w:t>
            </w:r>
            <w:r w:rsidRPr="00DD43DA">
              <w:rPr>
                <w:rFonts w:ascii="Verdana" w:eastAsia="Times New Roman" w:hAnsi="Verdana" w:cs="Arial"/>
                <w:bCs/>
                <w:i/>
                <w:iCs/>
                <w:lang w:eastAsia="x-none"/>
              </w:rPr>
              <w:t xml:space="preserve"> contratación directa</w:t>
            </w:r>
            <w:r>
              <w:rPr>
                <w:rFonts w:ascii="Verdana" w:eastAsia="Times New Roman" w:hAnsi="Verdana" w:cs="Arial"/>
                <w:bCs/>
                <w:lang w:eastAsia="x-none"/>
              </w:rPr>
              <w:t xml:space="preserve">, lo que incluye a los contratos y convenios interadministrativos que se celebren de forma directa con o sin ejecución de recursos. En tal sentido, hasta que no se desarrollen los comicios para escoger presidente de la República, las entidades estatales solo tienen la posibilidad de suscribir contratos y/o convenios interadministrativos: i) previo desarrollo de proceso competitivo; </w:t>
            </w:r>
            <w:proofErr w:type="spellStart"/>
            <w:r>
              <w:rPr>
                <w:rFonts w:ascii="Verdana" w:eastAsia="Times New Roman" w:hAnsi="Verdana" w:cs="Arial"/>
                <w:bCs/>
                <w:lang w:eastAsia="x-none"/>
              </w:rPr>
              <w:t>ii</w:t>
            </w:r>
            <w:proofErr w:type="spellEnd"/>
            <w:r>
              <w:rPr>
                <w:rFonts w:ascii="Verdana" w:eastAsia="Times New Roman" w:hAnsi="Verdana" w:cs="Arial"/>
                <w:bCs/>
                <w:lang w:eastAsia="x-none"/>
              </w:rPr>
              <w:t xml:space="preserve">) cuando se configure alguno de las excepciones contempladas en el inciso segundo del artículo 33 de la Ley 996 de 2005 o </w:t>
            </w:r>
            <w:proofErr w:type="spellStart"/>
            <w:r>
              <w:rPr>
                <w:rFonts w:ascii="Verdana" w:eastAsia="Times New Roman" w:hAnsi="Verdana" w:cs="Arial"/>
                <w:bCs/>
                <w:lang w:eastAsia="x-none"/>
              </w:rPr>
              <w:t>iii</w:t>
            </w:r>
            <w:proofErr w:type="spellEnd"/>
            <w:r>
              <w:rPr>
                <w:rFonts w:ascii="Verdana" w:eastAsia="Times New Roman" w:hAnsi="Verdana" w:cs="Arial"/>
                <w:bCs/>
                <w:lang w:eastAsia="x-none"/>
              </w:rPr>
              <w:t xml:space="preserve">) los que </w:t>
            </w:r>
            <w:r w:rsidRPr="00C15525">
              <w:rPr>
                <w:rFonts w:ascii="Verdana" w:eastAsia="Times New Roman" w:hAnsi="Verdana" w:cs="Arial"/>
                <w:lang w:eastAsia="es-CO" w:bidi="es-ES"/>
              </w:rPr>
              <w:t>deben celebrarse en virtud de un fallo judicial</w:t>
            </w:r>
            <w:r>
              <w:rPr>
                <w:rFonts w:ascii="Verdana" w:eastAsia="Times New Roman" w:hAnsi="Verdana" w:cs="Arial"/>
                <w:lang w:eastAsia="es-CO" w:bidi="es-ES"/>
              </w:rPr>
              <w:t xml:space="preserve"> o por mandato legal. </w:t>
            </w:r>
          </w:p>
        </w:tc>
      </w:tr>
    </w:tbl>
    <w:p w14:paraId="5F6AB198" w14:textId="77777777" w:rsidR="00766E9C" w:rsidRPr="00C15525" w:rsidRDefault="00766E9C" w:rsidP="00766E9C">
      <w:pPr>
        <w:tabs>
          <w:tab w:val="left" w:pos="142"/>
          <w:tab w:val="left" w:pos="284"/>
        </w:tabs>
        <w:spacing w:after="0" w:line="276" w:lineRule="auto"/>
        <w:jc w:val="both"/>
        <w:rPr>
          <w:rFonts w:ascii="Verdana" w:eastAsia="Century Gothic" w:hAnsi="Verdana" w:cs="Century Gothic"/>
          <w:b/>
          <w:bCs/>
          <w:color w:val="000000" w:themeColor="text1"/>
          <w:lang w:val="es-ES"/>
        </w:rPr>
      </w:pPr>
    </w:p>
    <w:p w14:paraId="1B2C05D0" w14:textId="77777777" w:rsidR="00766E9C" w:rsidRPr="00C15525" w:rsidRDefault="00766E9C" w:rsidP="00766E9C">
      <w:pPr>
        <w:numPr>
          <w:ilvl w:val="0"/>
          <w:numId w:val="16"/>
        </w:numPr>
        <w:tabs>
          <w:tab w:val="left" w:pos="142"/>
          <w:tab w:val="left" w:pos="284"/>
        </w:tabs>
        <w:spacing w:after="0" w:line="276" w:lineRule="auto"/>
        <w:ind w:hanging="6601"/>
        <w:jc w:val="both"/>
        <w:rPr>
          <w:rFonts w:ascii="Verdana" w:eastAsia="Century Gothic" w:hAnsi="Verdana" w:cs="Century Gothic"/>
          <w:b/>
          <w:bCs/>
          <w:color w:val="000000" w:themeColor="text1"/>
          <w:lang w:val="es-ES"/>
        </w:rPr>
      </w:pPr>
      <w:r w:rsidRPr="00C15525">
        <w:rPr>
          <w:rFonts w:ascii="Verdana" w:eastAsia="Century Gothic" w:hAnsi="Verdana" w:cs="Century Gothic"/>
          <w:b/>
          <w:bCs/>
          <w:color w:val="000000" w:themeColor="text1"/>
          <w:lang w:val="es-ES"/>
        </w:rPr>
        <w:t>Razones de la respuesta:</w:t>
      </w:r>
    </w:p>
    <w:p w14:paraId="02E7BE21" w14:textId="77777777" w:rsidR="00766E9C" w:rsidRPr="00C15525" w:rsidRDefault="00766E9C" w:rsidP="00766E9C">
      <w:pPr>
        <w:spacing w:after="0" w:line="276" w:lineRule="auto"/>
        <w:jc w:val="both"/>
        <w:rPr>
          <w:rFonts w:ascii="Verdana" w:eastAsia="Calibri" w:hAnsi="Verdana" w:cs="Arial"/>
          <w:color w:val="000000" w:themeColor="text1"/>
          <w:lang w:val="es-ES"/>
        </w:rPr>
      </w:pPr>
    </w:p>
    <w:p w14:paraId="0F75A8FF" w14:textId="77777777" w:rsidR="00766E9C" w:rsidRPr="00C15525" w:rsidRDefault="00766E9C" w:rsidP="00766E9C">
      <w:pPr>
        <w:spacing w:after="120" w:line="276" w:lineRule="auto"/>
        <w:jc w:val="both"/>
        <w:rPr>
          <w:rFonts w:ascii="Verdana" w:eastAsia="Calibri" w:hAnsi="Verdana" w:cs="Arial"/>
          <w:color w:val="000000" w:themeColor="text1"/>
          <w:lang w:val="es-ES"/>
        </w:rPr>
      </w:pPr>
      <w:r w:rsidRPr="00C15525">
        <w:rPr>
          <w:rFonts w:ascii="Verdana" w:eastAsia="Calibri" w:hAnsi="Verdana" w:cs="Arial"/>
          <w:color w:val="000000" w:themeColor="text1"/>
          <w:lang w:val="es-ES"/>
        </w:rPr>
        <w:t xml:space="preserve">Lo anterior se sustenta en las siguientes consideraciones: </w:t>
      </w:r>
    </w:p>
    <w:p w14:paraId="2FE0EA2C" w14:textId="77777777" w:rsidR="00766E9C" w:rsidRPr="00C15525" w:rsidRDefault="00766E9C" w:rsidP="00766E9C">
      <w:pPr>
        <w:tabs>
          <w:tab w:val="left" w:pos="426"/>
        </w:tabs>
        <w:spacing w:after="120" w:line="276" w:lineRule="auto"/>
        <w:jc w:val="both"/>
        <w:rPr>
          <w:rFonts w:ascii="Verdana" w:eastAsia="Times New Roman" w:hAnsi="Verdana" w:cs="Arial"/>
          <w:lang w:eastAsia="es-CO"/>
        </w:rPr>
      </w:pPr>
      <w:r w:rsidRPr="00C15525">
        <w:rPr>
          <w:rFonts w:ascii="Verdana" w:eastAsia="Calibri" w:hAnsi="Verdana" w:cs="Arial"/>
          <w:color w:val="000000" w:themeColor="text1"/>
        </w:rPr>
        <w:t xml:space="preserve">i. </w:t>
      </w:r>
      <w:r w:rsidRPr="00C15525">
        <w:rPr>
          <w:rFonts w:ascii="Verdana" w:eastAsia="Calibri" w:hAnsi="Verdana" w:cs="Arial"/>
        </w:rPr>
        <w:t>El ordenamiento jurídico colombiano contempla previsiones claras para evitar la obtención de beneficios personales en asuntos propios de la administración pública</w:t>
      </w:r>
      <w:r w:rsidRPr="00C15525">
        <w:rPr>
          <w:rFonts w:ascii="Verdana" w:eastAsia="Calibri" w:hAnsi="Verdana" w:cs="Arial"/>
          <w:i/>
        </w:rPr>
        <w:t xml:space="preserve">. </w:t>
      </w:r>
      <w:r w:rsidRPr="00C15525">
        <w:rPr>
          <w:rFonts w:ascii="Verdana" w:eastAsia="Calibri" w:hAnsi="Verdana" w:cs="Arial"/>
        </w:rPr>
        <w:t xml:space="preserve">Por ejemplo, el artículo 127 de la Constitución Política establece una </w:t>
      </w:r>
      <w:r w:rsidRPr="00C15525">
        <w:rPr>
          <w:rFonts w:ascii="Verdana" w:eastAsia="Calibri" w:hAnsi="Verdana" w:cs="Arial"/>
        </w:rPr>
        <w:lastRenderedPageBreak/>
        <w:t>prohibición contractual a los servidores públicos y en cuanto a aspectos políticos consagra restricciones a ciertos empleados del Estado, incluso en época no electoral</w:t>
      </w:r>
      <w:r w:rsidRPr="00C15525">
        <w:rPr>
          <w:rFonts w:ascii="Verdana" w:eastAsia="Calibri" w:hAnsi="Verdana" w:cs="Arial"/>
          <w:vertAlign w:val="superscript"/>
        </w:rPr>
        <w:footnoteReference w:id="1"/>
      </w:r>
      <w:r w:rsidRPr="00C15525">
        <w:rPr>
          <w:rFonts w:ascii="Verdana" w:eastAsia="Calibri" w:hAnsi="Verdana" w:cs="Arial"/>
        </w:rPr>
        <w:t xml:space="preserve">. </w:t>
      </w:r>
    </w:p>
    <w:p w14:paraId="628478EB" w14:textId="77777777" w:rsidR="00766E9C" w:rsidRPr="00C15525" w:rsidRDefault="00766E9C" w:rsidP="00766E9C">
      <w:pPr>
        <w:tabs>
          <w:tab w:val="left" w:pos="426"/>
        </w:tabs>
        <w:spacing w:after="0" w:line="276" w:lineRule="auto"/>
        <w:ind w:firstLine="709"/>
        <w:jc w:val="both"/>
        <w:rPr>
          <w:rFonts w:ascii="Verdana" w:eastAsia="Times New Roman" w:hAnsi="Verdana" w:cs="Arial"/>
          <w:lang w:val="es-MX" w:eastAsia="es-CO"/>
        </w:rPr>
      </w:pPr>
      <w:r w:rsidRPr="00C15525">
        <w:rPr>
          <w:rFonts w:ascii="Verdana" w:eastAsia="Times New Roman" w:hAnsi="Verdana" w:cs="Arial"/>
          <w:lang w:eastAsia="es-CO"/>
        </w:rPr>
        <w:t>En el mismo sentido</w:t>
      </w:r>
      <w:r w:rsidRPr="00C15525">
        <w:rPr>
          <w:rFonts w:ascii="Verdana" w:eastAsia="Times New Roman" w:hAnsi="Verdana" w:cs="Arial"/>
          <w:lang w:val="es-MX" w:eastAsia="es-CO"/>
        </w:rPr>
        <w:t xml:space="preserve">, </w:t>
      </w:r>
      <w:bookmarkStart w:id="2" w:name="_Hlk99576829"/>
      <w:r w:rsidRPr="00C15525">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C15525">
        <w:rPr>
          <w:rFonts w:ascii="Verdana" w:eastAsia="Times New Roman" w:hAnsi="Verdana" w:cs="Arial"/>
          <w:vertAlign w:val="superscript"/>
          <w:lang w:val="es-MX" w:eastAsia="es-CO"/>
        </w:rPr>
        <w:footnoteReference w:id="2"/>
      </w:r>
      <w:r w:rsidRPr="00C15525">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C15525">
        <w:rPr>
          <w:rFonts w:ascii="Verdana" w:eastAsia="Calibri" w:hAnsi="Verdana" w:cs="Arial"/>
          <w:lang w:val="es-ES_tradnl"/>
        </w:rPr>
        <w:t xml:space="preserve"> </w:t>
      </w:r>
      <w:bookmarkEnd w:id="2"/>
      <w:r w:rsidRPr="00C15525">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F1FAE89" w14:textId="77777777" w:rsidR="00766E9C" w:rsidRPr="00C15525" w:rsidRDefault="00766E9C" w:rsidP="00766E9C">
      <w:pPr>
        <w:spacing w:after="0" w:line="276" w:lineRule="auto"/>
        <w:ind w:right="709"/>
        <w:contextualSpacing/>
        <w:jc w:val="both"/>
        <w:rPr>
          <w:rFonts w:ascii="Verdana" w:eastAsia="Times New Roman" w:hAnsi="Verdana" w:cs="Arial"/>
          <w:sz w:val="21"/>
          <w:szCs w:val="21"/>
          <w:lang w:val="es-ES" w:eastAsia="es-CO"/>
        </w:rPr>
      </w:pPr>
    </w:p>
    <w:p w14:paraId="4D77651B" w14:textId="77777777" w:rsidR="00766E9C" w:rsidRPr="00C15525" w:rsidRDefault="00766E9C" w:rsidP="00766E9C">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ES" w:eastAsia="es-CO"/>
        </w:rPr>
        <w:t xml:space="preserve">“[…] </w:t>
      </w:r>
      <w:r w:rsidRPr="00C15525">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786EA482" w14:textId="77777777" w:rsidR="00766E9C" w:rsidRPr="00C15525" w:rsidRDefault="00766E9C" w:rsidP="00766E9C">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 xml:space="preserve">[…] </w:t>
      </w:r>
    </w:p>
    <w:p w14:paraId="47A9F80D" w14:textId="77777777" w:rsidR="00766E9C" w:rsidRPr="00C15525" w:rsidRDefault="00766E9C" w:rsidP="00766E9C">
      <w:pPr>
        <w:spacing w:after="0" w:line="240" w:lineRule="auto"/>
        <w:ind w:left="709" w:right="709"/>
        <w:contextualSpacing/>
        <w:jc w:val="both"/>
        <w:rPr>
          <w:rFonts w:ascii="Verdana" w:eastAsia="Times New Roman" w:hAnsi="Verdana" w:cs="Arial"/>
          <w:sz w:val="12"/>
          <w:szCs w:val="12"/>
          <w:lang w:val="es-MX" w:eastAsia="es-CO"/>
        </w:rPr>
      </w:pPr>
    </w:p>
    <w:p w14:paraId="5E9DE90E" w14:textId="77777777" w:rsidR="00766E9C" w:rsidRPr="00C15525" w:rsidRDefault="00766E9C" w:rsidP="00766E9C">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una ley de garantías debe permitir que, en el debate democrático, sean las ideas y las propuestas las que definan el ascenso al poder, y no el músculo económico de los que se lo disputan”</w:t>
      </w:r>
      <w:r w:rsidRPr="00C15525">
        <w:rPr>
          <w:rFonts w:ascii="Verdana" w:eastAsia="Calibri" w:hAnsi="Verdana" w:cs="Arial"/>
          <w:sz w:val="20"/>
          <w:szCs w:val="20"/>
          <w:vertAlign w:val="superscript"/>
          <w:lang w:val="es-MX"/>
        </w:rPr>
        <w:footnoteReference w:id="3"/>
      </w:r>
      <w:r w:rsidRPr="00C15525">
        <w:rPr>
          <w:rFonts w:ascii="Verdana" w:eastAsia="Times New Roman" w:hAnsi="Verdana" w:cs="Arial"/>
          <w:sz w:val="20"/>
          <w:szCs w:val="20"/>
          <w:lang w:val="es-MX" w:eastAsia="es-CO"/>
        </w:rPr>
        <w:t>.</w:t>
      </w:r>
    </w:p>
    <w:p w14:paraId="6B02B239" w14:textId="77777777" w:rsidR="00766E9C" w:rsidRPr="00C15525" w:rsidRDefault="00766E9C" w:rsidP="00766E9C">
      <w:pPr>
        <w:spacing w:after="0" w:line="276" w:lineRule="auto"/>
        <w:ind w:left="709" w:right="709"/>
        <w:contextualSpacing/>
        <w:jc w:val="both"/>
        <w:rPr>
          <w:rFonts w:ascii="Verdana" w:eastAsia="Times New Roman" w:hAnsi="Verdana" w:cs="Arial"/>
          <w:sz w:val="21"/>
          <w:szCs w:val="21"/>
          <w:lang w:val="es-MX" w:eastAsia="es-CO"/>
        </w:rPr>
      </w:pPr>
    </w:p>
    <w:p w14:paraId="617C2360" w14:textId="77777777" w:rsidR="00766E9C" w:rsidRPr="00C15525" w:rsidRDefault="00766E9C" w:rsidP="00766E9C">
      <w:pPr>
        <w:spacing w:after="0" w:line="276" w:lineRule="auto"/>
        <w:ind w:firstLine="709"/>
        <w:jc w:val="both"/>
        <w:rPr>
          <w:rFonts w:ascii="Verdana" w:eastAsia="Times New Roman" w:hAnsi="Verdana" w:cs="Arial"/>
          <w:lang w:val="es-MX" w:eastAsia="es-CO"/>
        </w:rPr>
      </w:pPr>
      <w:bookmarkStart w:id="3" w:name="_Hlk78818186"/>
      <w:r w:rsidRPr="00C15525">
        <w:rPr>
          <w:rFonts w:ascii="Verdana" w:eastAsia="Times New Roman" w:hAnsi="Verdana" w:cs="Arial"/>
          <w:lang w:val="es-MX" w:eastAsia="es-CO"/>
        </w:rPr>
        <w:lastRenderedPageBreak/>
        <w:t xml:space="preserve">De esta manera, la Ley de Garantías Electorales establece el marco jurídico para el desarrollo de las elecciones, procurando condiciones de igualdad y transparencia para los aspirantes y paralelamente se incluyen restricciones en el actuar de los servidores públicos, evitando interferencias en la contienda electoral, así como la posible desviación de recursos públicos en aspiraciones electorales. </w:t>
      </w:r>
      <w:bookmarkEnd w:id="3"/>
      <w:r w:rsidRPr="00C15525">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precisó lo siguiente:</w:t>
      </w:r>
    </w:p>
    <w:p w14:paraId="7265FEA7" w14:textId="77777777" w:rsidR="00766E9C" w:rsidRPr="00C15525" w:rsidRDefault="00766E9C" w:rsidP="00766E9C">
      <w:pPr>
        <w:spacing w:line="276" w:lineRule="auto"/>
        <w:ind w:firstLine="709"/>
        <w:contextualSpacing/>
        <w:jc w:val="both"/>
        <w:rPr>
          <w:rFonts w:ascii="Verdana" w:eastAsia="Times New Roman" w:hAnsi="Verdana" w:cs="Arial"/>
          <w:lang w:val="es-MX" w:eastAsia="es-CO"/>
        </w:rPr>
      </w:pPr>
    </w:p>
    <w:p w14:paraId="4DE73245" w14:textId="77777777" w:rsidR="00766E9C" w:rsidRPr="00C15525" w:rsidRDefault="00766E9C" w:rsidP="00766E9C">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C15525">
        <w:rPr>
          <w:rFonts w:ascii="Verdana" w:eastAsia="Times New Roman" w:hAnsi="Verdana" w:cs="Arial"/>
          <w:sz w:val="20"/>
          <w:szCs w:val="20"/>
          <w:lang w:val="es-MX" w:eastAsia="es-CO"/>
        </w:rPr>
        <w:t>legis</w:t>
      </w:r>
      <w:proofErr w:type="spellEnd"/>
      <w:r w:rsidRPr="00C15525">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9806698" w14:textId="77777777" w:rsidR="00766E9C" w:rsidRPr="00C15525" w:rsidRDefault="00766E9C" w:rsidP="00766E9C">
      <w:pPr>
        <w:spacing w:after="0" w:line="240" w:lineRule="auto"/>
        <w:ind w:right="709"/>
        <w:contextualSpacing/>
        <w:jc w:val="both"/>
        <w:rPr>
          <w:rFonts w:ascii="Verdana" w:eastAsia="Times New Roman" w:hAnsi="Verdana" w:cs="Arial"/>
          <w:sz w:val="12"/>
          <w:szCs w:val="12"/>
          <w:lang w:val="es-MX" w:eastAsia="es-CO"/>
        </w:rPr>
      </w:pPr>
    </w:p>
    <w:p w14:paraId="0DECB3C8" w14:textId="77777777" w:rsidR="00766E9C" w:rsidRPr="00C15525" w:rsidRDefault="00766E9C" w:rsidP="00766E9C">
      <w:pPr>
        <w:spacing w:after="0" w:line="240" w:lineRule="auto"/>
        <w:ind w:left="709" w:right="709"/>
        <w:contextualSpacing/>
        <w:jc w:val="both"/>
        <w:rPr>
          <w:rFonts w:ascii="Verdana" w:eastAsia="Times New Roman" w:hAnsi="Verdana" w:cs="Arial"/>
          <w:sz w:val="20"/>
          <w:szCs w:val="20"/>
          <w:lang w:val="es-MX" w:eastAsia="es-CO"/>
        </w:rPr>
      </w:pPr>
      <w:r w:rsidRPr="00C15525">
        <w:rPr>
          <w:rFonts w:ascii="Verdana" w:eastAsia="Times New Roman" w:hAnsi="Verdana" w:cs="Arial"/>
          <w:sz w:val="20"/>
          <w:szCs w:val="20"/>
          <w:lang w:val="es-MX" w:eastAsia="es-CO"/>
        </w:rPr>
        <w:t>La jurisprudencia de la Corte Constitucional</w:t>
      </w:r>
      <w:r w:rsidRPr="00C15525">
        <w:rPr>
          <w:rFonts w:ascii="Verdana" w:eastAsia="Times New Roman" w:hAnsi="Verdana" w:cs="Arial"/>
          <w:sz w:val="20"/>
          <w:szCs w:val="20"/>
          <w:vertAlign w:val="superscript"/>
          <w:lang w:val="es-MX" w:eastAsia="es-CO"/>
        </w:rPr>
        <w:footnoteReference w:id="4"/>
      </w:r>
      <w:r w:rsidRPr="00C15525">
        <w:rPr>
          <w:rFonts w:ascii="Verdana" w:eastAsia="Times New Roman" w:hAnsi="Verdana" w:cs="Arial"/>
          <w:sz w:val="20"/>
          <w:szCs w:val="20"/>
          <w:lang w:val="es-MX" w:eastAsia="es-CO"/>
        </w:rPr>
        <w:t> y del Consejo de Estado</w:t>
      </w:r>
      <w:r w:rsidRPr="00C15525">
        <w:rPr>
          <w:rFonts w:ascii="Verdana" w:eastAsia="Times New Roman" w:hAnsi="Verdana" w:cs="Arial"/>
          <w:sz w:val="20"/>
          <w:szCs w:val="20"/>
          <w:vertAlign w:val="superscript"/>
          <w:lang w:val="es-MX" w:eastAsia="es-CO"/>
        </w:rPr>
        <w:footnoteReference w:id="5"/>
      </w:r>
      <w:r w:rsidRPr="00C15525">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C15525">
        <w:rPr>
          <w:rFonts w:ascii="Verdana" w:eastAsia="Times New Roman" w:hAnsi="Verdana" w:cs="Arial"/>
          <w:sz w:val="20"/>
          <w:szCs w:val="20"/>
          <w:vertAlign w:val="superscript"/>
          <w:lang w:val="es-MX" w:eastAsia="es-CO"/>
        </w:rPr>
        <w:footnoteReference w:id="6"/>
      </w:r>
      <w:r w:rsidRPr="00C15525">
        <w:rPr>
          <w:rFonts w:ascii="Verdana" w:eastAsia="Times New Roman" w:hAnsi="Verdana" w:cs="Arial"/>
          <w:sz w:val="20"/>
          <w:szCs w:val="20"/>
          <w:lang w:val="es-MX" w:eastAsia="es-CO"/>
        </w:rPr>
        <w:t>.</w:t>
      </w:r>
    </w:p>
    <w:p w14:paraId="4CB9BBF9" w14:textId="77777777" w:rsidR="00766E9C" w:rsidRPr="00C15525" w:rsidRDefault="00766E9C" w:rsidP="00766E9C">
      <w:pPr>
        <w:spacing w:after="0" w:line="276" w:lineRule="auto"/>
        <w:ind w:right="709"/>
        <w:contextualSpacing/>
        <w:jc w:val="both"/>
        <w:rPr>
          <w:rFonts w:ascii="Verdana" w:eastAsia="Times New Roman" w:hAnsi="Verdana" w:cs="Arial"/>
          <w:sz w:val="21"/>
          <w:szCs w:val="21"/>
          <w:lang w:val="es-MX" w:eastAsia="es-CO"/>
        </w:rPr>
      </w:pPr>
    </w:p>
    <w:p w14:paraId="0C6D21C4" w14:textId="77777777" w:rsidR="00766E9C" w:rsidRPr="00C15525" w:rsidRDefault="00766E9C" w:rsidP="00766E9C">
      <w:pPr>
        <w:spacing w:after="120" w:line="276" w:lineRule="auto"/>
        <w:jc w:val="both"/>
        <w:rPr>
          <w:rFonts w:ascii="Verdana" w:eastAsia="Arial" w:hAnsi="Verdana" w:cs="Arial"/>
          <w:lang w:val="es-ES" w:eastAsia="es-ES" w:bidi="es-ES"/>
        </w:rPr>
      </w:pPr>
      <w:r w:rsidRPr="00C15525">
        <w:rPr>
          <w:rFonts w:ascii="Verdana" w:eastAsia="Times New Roman" w:hAnsi="Verdana" w:cs="Arial"/>
          <w:lang w:val="es-MX" w:eastAsia="es-CO"/>
        </w:rPr>
        <w:tab/>
        <w:t>De</w:t>
      </w:r>
      <w:r w:rsidRPr="00C15525">
        <w:rPr>
          <w:rFonts w:ascii="Verdana" w:eastAsia="Arial" w:hAnsi="Verdana" w:cs="Arial"/>
          <w:lang w:val="es-ES" w:eastAsia="es-ES" w:bidi="es-ES"/>
        </w:rPr>
        <w:t xml:space="preserve"> conformidad con lo anterior, </w:t>
      </w:r>
      <w:bookmarkStart w:id="4" w:name="_Hlk77236098"/>
      <w:bookmarkStart w:id="5" w:name="_Hlk100679383"/>
      <w:r w:rsidRPr="00C15525">
        <w:rPr>
          <w:rFonts w:ascii="Verdana" w:eastAsia="Arial" w:hAnsi="Verdana" w:cs="Arial"/>
          <w:lang w:val="es-ES" w:eastAsia="es-ES" w:bidi="es-ES"/>
        </w:rPr>
        <w:t xml:space="preserve">la Ley de Garantías Electorales fijó una serie de regulaciones y prohibiciones dirigidas a los servidores públicos. Con la </w:t>
      </w:r>
      <w:r w:rsidRPr="00C15525">
        <w:rPr>
          <w:rFonts w:ascii="Verdana" w:eastAsia="Arial" w:hAnsi="Verdana" w:cs="Arial"/>
          <w:lang w:val="es-ES" w:eastAsia="es-ES" w:bidi="es-ES"/>
        </w:rPr>
        <w:lastRenderedPageBreak/>
        <w:t>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Específicamente,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4"/>
    </w:p>
    <w:p w14:paraId="51B51BAB" w14:textId="77777777" w:rsidR="00766E9C" w:rsidRPr="00C15525" w:rsidRDefault="00766E9C" w:rsidP="00766E9C">
      <w:pPr>
        <w:spacing w:after="120" w:line="276" w:lineRule="auto"/>
        <w:ind w:firstLine="708"/>
        <w:jc w:val="both"/>
        <w:rPr>
          <w:rFonts w:ascii="Verdana" w:eastAsia="Calibri" w:hAnsi="Verdana" w:cs="Arial"/>
        </w:rPr>
      </w:pPr>
      <w:r w:rsidRPr="00C15525">
        <w:rPr>
          <w:rFonts w:ascii="Verdana" w:eastAsia="Calibri" w:hAnsi="Verdana" w:cs="Arial"/>
          <w:i/>
          <w:iCs/>
        </w:rPr>
        <w:t>Por un lado</w:t>
      </w:r>
      <w:r w:rsidRPr="00C15525">
        <w:rPr>
          <w:rFonts w:ascii="Verdana" w:eastAsia="Calibri" w:hAnsi="Verdana" w:cs="Arial"/>
        </w:rPr>
        <w:t>, el artículo 33 de la Ley 996 de 2005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15525">
        <w:rPr>
          <w:vertAlign w:val="superscript"/>
        </w:rPr>
        <w:footnoteReference w:id="7"/>
      </w:r>
      <w:r w:rsidRPr="00C15525">
        <w:rPr>
          <w:rFonts w:ascii="Verdana" w:eastAsia="Calibri" w:hAnsi="Verdana" w:cs="Arial"/>
        </w:rPr>
        <w:t>.</w:t>
      </w:r>
    </w:p>
    <w:p w14:paraId="2BF34331" w14:textId="77777777" w:rsidR="00766E9C" w:rsidRPr="00C15525" w:rsidRDefault="00766E9C" w:rsidP="00766E9C">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C15525">
        <w:rPr>
          <w:rFonts w:ascii="Verdana" w:eastAsia="Calibri" w:hAnsi="Verdana" w:cs="Arial"/>
          <w:i/>
          <w:iCs/>
        </w:rPr>
        <w:t>Por otro</w:t>
      </w:r>
      <w:r w:rsidRPr="00C15525">
        <w:rPr>
          <w:rFonts w:ascii="Verdana" w:eastAsia="Calibri" w:hAnsi="Verdana" w:cs="Arial"/>
        </w:rPr>
        <w:t xml:space="preserve">, el parágrafo del artículo 38 de la Ley 996 de 2005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C15525">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15525">
        <w:rPr>
          <w:rFonts w:ascii="Verdana" w:eastAsia="Calibri" w:hAnsi="Verdana" w:cs="Arial"/>
          <w:sz w:val="19"/>
          <w:szCs w:val="19"/>
        </w:rPr>
        <w:t>”</w:t>
      </w:r>
      <w:bookmarkEnd w:id="5"/>
      <w:r w:rsidRPr="00C15525">
        <w:rPr>
          <w:rFonts w:ascii="Verdana" w:eastAsia="Calibri" w:hAnsi="Verdana" w:cs="Arial"/>
          <w:sz w:val="19"/>
          <w:szCs w:val="19"/>
          <w:vertAlign w:val="superscript"/>
        </w:rPr>
        <w:footnoteReference w:id="8"/>
      </w:r>
      <w:r w:rsidRPr="00C15525">
        <w:rPr>
          <w:rFonts w:ascii="Verdana" w:eastAsia="Calibri" w:hAnsi="Verdana" w:cs="Arial"/>
          <w:lang w:val="es-MX"/>
        </w:rPr>
        <w:t>.</w:t>
      </w:r>
      <w:r w:rsidRPr="00C15525">
        <w:rPr>
          <w:rFonts w:ascii="Verdana" w:eastAsia="Arial" w:hAnsi="Verdana" w:cs="Arial"/>
          <w:lang w:val="es-ES" w:eastAsia="es-ES" w:bidi="es-ES"/>
        </w:rPr>
        <w:t xml:space="preserve"> La Sala de Consulta y Servicio Civil del Consejo de Estado ha </w:t>
      </w:r>
      <w:r w:rsidRPr="00C15525">
        <w:rPr>
          <w:rFonts w:ascii="Verdana" w:eastAsia="Arial" w:hAnsi="Verdana" w:cs="Arial"/>
          <w:lang w:val="es-ES" w:eastAsia="es-ES" w:bidi="es-ES"/>
        </w:rPr>
        <w:lastRenderedPageBreak/>
        <w:t>aclarado la distinción en la aplicación de las prohibiciones de la Ley 996 de 2005, dependiendo del tipo de elección que se trate. Al respecto, considera que:</w:t>
      </w:r>
    </w:p>
    <w:p w14:paraId="2E658100" w14:textId="77777777" w:rsidR="00766E9C" w:rsidRPr="00C15525" w:rsidRDefault="00766E9C" w:rsidP="00766E9C">
      <w:pPr>
        <w:widowControl w:val="0"/>
        <w:autoSpaceDE w:val="0"/>
        <w:autoSpaceDN w:val="0"/>
        <w:spacing w:after="0" w:line="276" w:lineRule="auto"/>
        <w:ind w:left="805" w:right="812"/>
        <w:contextualSpacing/>
        <w:jc w:val="both"/>
        <w:rPr>
          <w:rFonts w:ascii="Verdana" w:eastAsia="Arial" w:hAnsi="Verdana" w:cs="Arial"/>
          <w:lang w:val="es-ES" w:eastAsia="es-ES" w:bidi="es-ES"/>
        </w:rPr>
      </w:pPr>
    </w:p>
    <w:p w14:paraId="07129A72" w14:textId="77777777" w:rsidR="00766E9C" w:rsidRPr="00C15525" w:rsidRDefault="00766E9C" w:rsidP="00766E9C">
      <w:pPr>
        <w:widowControl w:val="0"/>
        <w:autoSpaceDE w:val="0"/>
        <w:autoSpaceDN w:val="0"/>
        <w:spacing w:after="0" w:line="240" w:lineRule="auto"/>
        <w:ind w:left="709" w:right="709"/>
        <w:contextualSpacing/>
        <w:jc w:val="both"/>
        <w:rPr>
          <w:rFonts w:ascii="Verdana" w:eastAsia="Arial" w:hAnsi="Verdana" w:cs="Arial"/>
          <w:sz w:val="20"/>
          <w:szCs w:val="20"/>
          <w:lang w:val="es-ES" w:eastAsia="es-ES" w:bidi="es-ES"/>
        </w:rPr>
      </w:pPr>
      <w:r w:rsidRPr="00C15525">
        <w:rPr>
          <w:rFonts w:ascii="Verdana" w:eastAsia="Arial" w:hAnsi="Verdana" w:cs="Arial"/>
          <w:sz w:val="20"/>
          <w:szCs w:val="20"/>
          <w:lang w:val="es-ES"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8" w:name="_Hlk76109421"/>
      <w:r w:rsidRPr="00C15525">
        <w:rPr>
          <w:rFonts w:ascii="Verdana" w:eastAsia="Arial" w:hAnsi="Verdana" w:cs="Arial"/>
          <w:sz w:val="20"/>
          <w:szCs w:val="20"/>
          <w:lang w:val="es-ES" w:eastAsia="es-ES" w:bidi="es-ES"/>
        </w:rPr>
        <w:t>se integran parcialmente</w:t>
      </w:r>
      <w:bookmarkEnd w:id="8"/>
      <w:r w:rsidRPr="00C15525">
        <w:rPr>
          <w:rFonts w:ascii="Verdana" w:eastAsia="Arial" w:hAnsi="Verdana" w:cs="Arial"/>
          <w:sz w:val="20"/>
          <w:szCs w:val="20"/>
          <w:lang w:val="es-ES"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C15525">
        <w:rPr>
          <w:rFonts w:ascii="Verdana" w:eastAsia="Arial" w:hAnsi="Verdana" w:cs="Arial"/>
          <w:sz w:val="20"/>
          <w:szCs w:val="20"/>
          <w:lang w:val="es-ES" w:eastAsia="es-ES" w:bidi="es-ES"/>
        </w:rPr>
        <w:t>Presidente</w:t>
      </w:r>
      <w:proofErr w:type="gramEnd"/>
      <w:r w:rsidRPr="00C15525">
        <w:rPr>
          <w:rFonts w:ascii="Verdana" w:eastAsia="Arial" w:hAnsi="Verdana" w:cs="Arial"/>
          <w:sz w:val="20"/>
          <w:szCs w:val="20"/>
          <w:lang w:val="es-ES" w:eastAsia="es-ES" w:bidi="es-ES"/>
        </w:rPr>
        <w:t xml:space="preserve"> de la República, a las autoridades territoriales allí mencionadas sólo se aplican las restricciones contenidas en el parágrafo del artículo 38”</w:t>
      </w:r>
      <w:r w:rsidRPr="00C15525">
        <w:rPr>
          <w:rFonts w:ascii="Verdana" w:eastAsia="Arial" w:hAnsi="Verdana" w:cs="Arial"/>
          <w:sz w:val="20"/>
          <w:szCs w:val="20"/>
          <w:vertAlign w:val="superscript"/>
          <w:lang w:val="es-ES" w:eastAsia="es-ES" w:bidi="es-ES"/>
        </w:rPr>
        <w:footnoteReference w:id="9"/>
      </w:r>
      <w:r w:rsidRPr="00C15525">
        <w:rPr>
          <w:rFonts w:ascii="Verdana" w:eastAsia="Arial" w:hAnsi="Verdana" w:cs="Arial"/>
          <w:sz w:val="20"/>
          <w:szCs w:val="20"/>
          <w:lang w:val="es-ES" w:eastAsia="es-ES" w:bidi="es-ES"/>
        </w:rPr>
        <w:t>.</w:t>
      </w:r>
    </w:p>
    <w:p w14:paraId="6FBBB8CA" w14:textId="77777777" w:rsidR="00766E9C" w:rsidRPr="00C15525" w:rsidRDefault="00766E9C" w:rsidP="00766E9C">
      <w:pPr>
        <w:widowControl w:val="0"/>
        <w:autoSpaceDE w:val="0"/>
        <w:autoSpaceDN w:val="0"/>
        <w:spacing w:line="276" w:lineRule="auto"/>
        <w:contextualSpacing/>
        <w:rPr>
          <w:rFonts w:ascii="Verdana" w:eastAsia="Arial" w:hAnsi="Verdana" w:cs="Arial"/>
          <w:lang w:val="es-ES" w:eastAsia="es-ES" w:bidi="es-ES"/>
        </w:rPr>
      </w:pPr>
    </w:p>
    <w:p w14:paraId="0FAD1220" w14:textId="77777777" w:rsidR="00766E9C" w:rsidRPr="00C15525" w:rsidRDefault="00766E9C" w:rsidP="00766E9C">
      <w:pPr>
        <w:spacing w:after="120" w:line="276" w:lineRule="auto"/>
        <w:ind w:firstLine="709"/>
        <w:jc w:val="both"/>
        <w:rPr>
          <w:rFonts w:ascii="Verdana" w:eastAsia="Arial" w:hAnsi="Verdana" w:cs="Arial"/>
          <w:lang w:val="es-ES" w:eastAsia="es-ES" w:bidi="es-ES"/>
        </w:rPr>
      </w:pPr>
      <w:r w:rsidRPr="00C15525">
        <w:rPr>
          <w:rFonts w:ascii="Verdana" w:eastAsia="Arial" w:hAnsi="Verdana" w:cs="Arial"/>
          <w:lang w:val="es-ES" w:eastAsia="es-ES" w:bidi="es-ES"/>
        </w:rPr>
        <w:t xml:space="preserve">De conformidad con lo anterior, </w:t>
      </w:r>
      <w:bookmarkStart w:id="9" w:name="_Hlk77236420"/>
      <w:bookmarkStart w:id="10" w:name="_Hlk78818435"/>
      <w:bookmarkStart w:id="11" w:name="_Hlk75780333"/>
      <w:r w:rsidRPr="00C15525">
        <w:rPr>
          <w:rFonts w:ascii="Verdana" w:eastAsia="Arial" w:hAnsi="Verdana" w:cs="Arial"/>
          <w:lang w:val="es-ES" w:eastAsia="es-ES" w:bidi="es-ES"/>
        </w:rPr>
        <w:t xml:space="preserve">la Ley 996 de 2005 establece dos (2) tipos de restricciones en materia de contratación, las cuales coinciden parcialmente. </w:t>
      </w:r>
      <w:r w:rsidRPr="00C15525">
        <w:rPr>
          <w:rFonts w:ascii="Verdana" w:eastAsia="Arial" w:hAnsi="Verdana" w:cs="Arial"/>
          <w:i/>
          <w:lang w:val="es-ES" w:eastAsia="es-ES" w:bidi="es-ES"/>
        </w:rPr>
        <w:t>En primer lugar</w:t>
      </w:r>
      <w:r w:rsidRPr="00C15525">
        <w:rPr>
          <w:rFonts w:ascii="Verdana" w:eastAsia="Arial" w:hAnsi="Verdana" w:cs="Arial"/>
          <w:lang w:val="es-ES" w:eastAsia="es-ES" w:bidi="es-ES"/>
        </w:rPr>
        <w:t xml:space="preserve">, la del artículo 33 que opera 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C15525">
        <w:rPr>
          <w:rFonts w:ascii="Verdana" w:eastAsia="Arial" w:hAnsi="Verdana" w:cs="Arial"/>
          <w:i/>
          <w:lang w:val="es-ES" w:eastAsia="es-ES" w:bidi="es-ES"/>
        </w:rPr>
        <w:t>En segundo lugar</w:t>
      </w:r>
      <w:r w:rsidRPr="00C15525">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convenios </w:t>
      </w:r>
      <w:r w:rsidRPr="00C15525">
        <w:rPr>
          <w:rFonts w:ascii="Verdana" w:eastAsia="Arial" w:hAnsi="Verdana" w:cs="Arial"/>
          <w:lang w:val="es-ES" w:eastAsia="es-ES" w:bidi="es-ES"/>
        </w:rPr>
        <w:lastRenderedPageBreak/>
        <w:t>interadministrativos que impliquen la ejecución de recursos públicos dentro de los cuatro (4) meses anteriores a la respectiva jornada de votaciones.</w:t>
      </w:r>
      <w:bookmarkEnd w:id="9"/>
    </w:p>
    <w:bookmarkEnd w:id="10"/>
    <w:p w14:paraId="7D9D0919" w14:textId="77777777" w:rsidR="00766E9C" w:rsidRPr="00C15525" w:rsidRDefault="00766E9C" w:rsidP="00766E9C">
      <w:pPr>
        <w:spacing w:after="120" w:line="276" w:lineRule="auto"/>
        <w:ind w:firstLine="709"/>
        <w:jc w:val="both"/>
        <w:rPr>
          <w:rFonts w:ascii="Verdana" w:eastAsia="Arial" w:hAnsi="Verdana" w:cs="Arial"/>
          <w:lang w:val="es-ES" w:eastAsia="es-ES" w:bidi="es-ES"/>
        </w:rPr>
      </w:pPr>
      <w:r w:rsidRPr="00C15525">
        <w:rPr>
          <w:rFonts w:ascii="Verdana" w:eastAsia="Arial" w:hAnsi="Verdana" w:cs="Arial"/>
          <w:lang w:val="es-ES" w:eastAsia="es-ES" w:bidi="es-ES"/>
        </w:rPr>
        <w:t xml:space="preserve">Ambas restricciones no son excluyentes, lo que permite concluir que en el período preelectoral para elección de </w:t>
      </w:r>
      <w:proofErr w:type="gramStart"/>
      <w:r w:rsidRPr="00C15525">
        <w:rPr>
          <w:rFonts w:ascii="Verdana" w:eastAsia="Arial" w:hAnsi="Verdana" w:cs="Arial"/>
          <w:lang w:val="es-ES" w:eastAsia="es-ES" w:bidi="es-ES"/>
        </w:rPr>
        <w:t>Presidente</w:t>
      </w:r>
      <w:proofErr w:type="gramEnd"/>
      <w:r w:rsidRPr="00C15525">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C15525">
        <w:rPr>
          <w:rFonts w:ascii="Verdana" w:eastAsia="Arial" w:hAnsi="Verdana" w:cs="Arial"/>
          <w:lang w:val="es-ES" w:eastAsia="es-ES" w:bidi="es-ES"/>
        </w:rPr>
        <w:t>Presidente</w:t>
      </w:r>
      <w:proofErr w:type="gramEnd"/>
      <w:r w:rsidRPr="00C15525">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1"/>
    <w:p w14:paraId="0C72FC1F" w14:textId="77777777" w:rsidR="00766E9C" w:rsidRPr="00C15525" w:rsidRDefault="00766E9C" w:rsidP="00766E9C">
      <w:pPr>
        <w:spacing w:after="0" w:line="276" w:lineRule="auto"/>
        <w:ind w:firstLine="708"/>
        <w:jc w:val="both"/>
        <w:rPr>
          <w:rFonts w:ascii="Verdana" w:eastAsia="Arial" w:hAnsi="Verdana" w:cs="Arial"/>
          <w:lang w:val="es-ES" w:eastAsia="es-ES" w:bidi="es-ES"/>
        </w:rPr>
      </w:pPr>
      <w:r w:rsidRPr="00C15525">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C15525">
        <w:rPr>
          <w:rFonts w:ascii="Verdana" w:eastAsia="Arial" w:hAnsi="Verdana" w:cs="Arial"/>
          <w:lang w:val="es-ES" w:eastAsia="es-ES" w:bidi="es-ES"/>
        </w:rPr>
        <w:t>Presidente</w:t>
      </w:r>
      <w:proofErr w:type="gramEnd"/>
      <w:r w:rsidRPr="00C15525">
        <w:rPr>
          <w:rFonts w:ascii="Verdana" w:eastAsia="Arial" w:hAnsi="Verdana" w:cs="Arial"/>
          <w:lang w:val="es-ES" w:eastAsia="es-ES" w:bidi="es-ES"/>
        </w:rPr>
        <w:t xml:space="preserve"> o el </w:t>
      </w:r>
      <w:proofErr w:type="gramStart"/>
      <w:r w:rsidRPr="00C15525">
        <w:rPr>
          <w:rFonts w:ascii="Verdana" w:eastAsia="Arial" w:hAnsi="Verdana" w:cs="Arial"/>
          <w:lang w:val="es-ES" w:eastAsia="es-ES" w:bidi="es-ES"/>
        </w:rPr>
        <w:t>Vicepresidente</w:t>
      </w:r>
      <w:proofErr w:type="gramEnd"/>
      <w:r w:rsidRPr="00C15525">
        <w:rPr>
          <w:rFonts w:ascii="Verdana" w:eastAsia="Arial" w:hAnsi="Verdana" w:cs="Arial"/>
          <w:lang w:val="es-ES" w:eastAsia="es-ES" w:bidi="es-ES"/>
        </w:rPr>
        <w:t xml:space="preserve"> desde que éstos –estando en ejercicio de su cargo– manifiesten el interés de ser candidato presidencial, lo cual debe ocurrir seis meses antes de la elección en primera vuelta, de acuerdo con el artículo 9 de la Ley 996 de 2005. Sin embargo, el condicionamiento impuesto por la Corte Constitucional, relacionado con el momento en que estas restricciones empiezan a regir para el Presidente y el Vicepresidente de la República, ha perdido vigencia ante la prohibición de la reelección presidencial, restablecida por el Acto Legislativo 2 de 2015, excepto para el Vicepresidente que no haya ejercido la presidencia o que la haya ejercido por un tiempo inferior a tres (3) meses durante el respectivo cuatrienio, en forma continua o discontinua, conforme al artículo 197 de la Constitución Política.</w:t>
      </w:r>
    </w:p>
    <w:p w14:paraId="323EE470" w14:textId="77777777" w:rsidR="00766E9C" w:rsidRPr="00C15525" w:rsidRDefault="00766E9C" w:rsidP="00766E9C">
      <w:pPr>
        <w:spacing w:after="0" w:line="276" w:lineRule="auto"/>
        <w:jc w:val="both"/>
        <w:rPr>
          <w:rFonts w:ascii="Verdana" w:eastAsia="Arial" w:hAnsi="Verdana" w:cs="Arial"/>
          <w:lang w:val="es-ES" w:eastAsia="es-ES" w:bidi="es-ES"/>
        </w:rPr>
      </w:pPr>
    </w:p>
    <w:p w14:paraId="31CE78DA" w14:textId="77777777" w:rsidR="00766E9C" w:rsidRPr="00C15525" w:rsidRDefault="00766E9C" w:rsidP="00766E9C">
      <w:pPr>
        <w:spacing w:after="0" w:line="276" w:lineRule="auto"/>
        <w:jc w:val="both"/>
        <w:rPr>
          <w:rFonts w:ascii="Verdana" w:hAnsi="Verdana" w:cs="Arial"/>
          <w:bCs/>
          <w:lang w:val="es-MX" w:eastAsia="es-CO"/>
        </w:rPr>
      </w:pPr>
      <w:proofErr w:type="spellStart"/>
      <w:r w:rsidRPr="00C15525">
        <w:rPr>
          <w:rFonts w:ascii="Verdana" w:eastAsia="Arial" w:hAnsi="Verdana" w:cs="Arial"/>
          <w:lang w:val="es-ES" w:eastAsia="es-ES" w:bidi="es-ES"/>
        </w:rPr>
        <w:t>ii</w:t>
      </w:r>
      <w:proofErr w:type="spellEnd"/>
      <w:r w:rsidRPr="00C15525">
        <w:rPr>
          <w:rFonts w:ascii="Verdana" w:eastAsia="Arial" w:hAnsi="Verdana" w:cs="Arial"/>
          <w:lang w:val="es-ES" w:eastAsia="es-ES" w:bidi="es-ES"/>
        </w:rPr>
        <w:t xml:space="preserve">. </w:t>
      </w:r>
      <w:r w:rsidRPr="00C15525">
        <w:rPr>
          <w:rFonts w:ascii="Verdana" w:hAnsi="Verdana" w:cs="Arial"/>
          <w:bCs/>
          <w:lang w:val="es-MX" w:eastAsia="x-none"/>
        </w:rPr>
        <w:t xml:space="preserve">El ámbito material de la prohibición contenida en el artículo 33 de la ley 996 de 2005 está delimitado por la expresión </w:t>
      </w:r>
      <w:r w:rsidRPr="00C15525">
        <w:rPr>
          <w:rFonts w:ascii="Verdana" w:eastAsia="Calibri" w:hAnsi="Verdana" w:cs="Arial"/>
          <w:bCs/>
          <w:sz w:val="20"/>
          <w:szCs w:val="20"/>
          <w:lang w:val="es-MX"/>
        </w:rPr>
        <w:t>“</w:t>
      </w:r>
      <w:r w:rsidRPr="00C15525">
        <w:rPr>
          <w:rFonts w:ascii="Verdana" w:hAnsi="Verdana" w:cs="Arial"/>
          <w:bCs/>
          <w:lang w:val="es-MX" w:eastAsia="x-none"/>
        </w:rPr>
        <w:t>queda prohibida la contratación directa</w:t>
      </w:r>
      <w:r w:rsidRPr="00C15525">
        <w:rPr>
          <w:rFonts w:ascii="Verdana" w:hAnsi="Verdana" w:cs="Arial"/>
          <w:sz w:val="20"/>
          <w:szCs w:val="20"/>
          <w:lang w:val="es-MX"/>
        </w:rPr>
        <w:t>”</w:t>
      </w:r>
      <w:r w:rsidRPr="00C15525">
        <w:rPr>
          <w:rFonts w:ascii="Verdana" w:hAnsi="Verdana" w:cs="Arial"/>
          <w:bCs/>
          <w:lang w:val="es-MX" w:eastAsia="x-none"/>
        </w:rPr>
        <w:t xml:space="preserve">. </w:t>
      </w:r>
      <w:r w:rsidRPr="00C15525">
        <w:rPr>
          <w:rFonts w:ascii="Verdana" w:hAnsi="Verdana" w:cs="Arial"/>
          <w:lang w:val="es-MX" w:eastAsia="es-CO"/>
        </w:rPr>
        <w:t xml:space="preserve"> A propósito de </w:t>
      </w:r>
      <w:r w:rsidRPr="00C15525">
        <w:rPr>
          <w:rFonts w:ascii="Verdana" w:hAnsi="Verdana" w:cs="Arial"/>
          <w:lang w:eastAsia="es-CO"/>
        </w:rPr>
        <w:t>esta restricción de la Ley de Garantías Electorales, la Sala de Consulta y Servicio Civil del Consejo de Estado ha considerado que:</w:t>
      </w:r>
    </w:p>
    <w:p w14:paraId="58FF06B4" w14:textId="77777777" w:rsidR="00766E9C" w:rsidRPr="00C15525" w:rsidRDefault="00766E9C" w:rsidP="00766E9C">
      <w:pPr>
        <w:spacing w:after="0" w:line="276" w:lineRule="auto"/>
        <w:ind w:left="708" w:right="709"/>
        <w:jc w:val="both"/>
        <w:rPr>
          <w:rFonts w:ascii="Verdana" w:hAnsi="Verdana" w:cs="Arial"/>
          <w:lang w:val="es-MX"/>
        </w:rPr>
      </w:pPr>
    </w:p>
    <w:p w14:paraId="4AB11A7B" w14:textId="77777777" w:rsidR="00766E9C" w:rsidRPr="00C15525" w:rsidRDefault="00766E9C" w:rsidP="00766E9C">
      <w:pPr>
        <w:spacing w:after="120"/>
        <w:ind w:left="709" w:right="709"/>
        <w:jc w:val="both"/>
        <w:rPr>
          <w:rFonts w:ascii="Verdana" w:hAnsi="Verdana" w:cs="Arial"/>
          <w:sz w:val="20"/>
          <w:szCs w:val="20"/>
          <w:lang w:val="es-MX"/>
        </w:rPr>
      </w:pPr>
      <w:r w:rsidRPr="00C15525">
        <w:rPr>
          <w:rFonts w:ascii="Verdana" w:hAnsi="Verdana" w:cs="Arial"/>
          <w:sz w:val="18"/>
          <w:szCs w:val="18"/>
          <w:lang w:val="es-MX"/>
        </w:rPr>
        <w:t>“</w:t>
      </w:r>
      <w:r w:rsidRPr="00C15525">
        <w:rPr>
          <w:rFonts w:ascii="Verdana" w:hAnsi="Verdana" w:cs="Arial"/>
          <w:sz w:val="20"/>
          <w:szCs w:val="20"/>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(numeral 4, artículo </w:t>
      </w:r>
      <w:r w:rsidRPr="00C15525">
        <w:rPr>
          <w:rFonts w:ascii="Verdana" w:hAnsi="Verdana" w:cs="Arial"/>
          <w:sz w:val="20"/>
          <w:szCs w:val="20"/>
          <w:lang w:val="es-MX"/>
        </w:rPr>
        <w:lastRenderedPageBreak/>
        <w:t>2, ley 1150 de 2007), y cumpliendo siempre los principios que rigen la contratación pública</w:t>
      </w:r>
      <w:r w:rsidRPr="00C15525">
        <w:rPr>
          <w:rFonts w:ascii="Verdana" w:hAnsi="Verdana" w:cs="Arial"/>
          <w:sz w:val="20"/>
          <w:szCs w:val="20"/>
          <w:vertAlign w:val="superscript"/>
          <w:lang w:eastAsia="es-CO"/>
        </w:rPr>
        <w:footnoteReference w:id="10"/>
      </w:r>
      <w:r w:rsidRPr="00C15525">
        <w:rPr>
          <w:rFonts w:ascii="Verdana" w:hAnsi="Verdana" w:cs="Arial"/>
          <w:sz w:val="20"/>
          <w:szCs w:val="20"/>
          <w:lang w:val="es-MX"/>
        </w:rPr>
        <w:t>.</w:t>
      </w:r>
    </w:p>
    <w:p w14:paraId="0751BA87" w14:textId="77777777" w:rsidR="00766E9C" w:rsidRPr="00C15525" w:rsidRDefault="00766E9C" w:rsidP="00766E9C">
      <w:pPr>
        <w:spacing w:after="0"/>
        <w:ind w:left="708" w:right="709"/>
        <w:jc w:val="both"/>
        <w:rPr>
          <w:rFonts w:ascii="Verdana" w:hAnsi="Verdana" w:cs="Arial"/>
          <w:sz w:val="20"/>
          <w:szCs w:val="20"/>
          <w:lang w:val="es-MX"/>
        </w:rPr>
      </w:pPr>
      <w:r w:rsidRPr="00C15525">
        <w:rPr>
          <w:rFonts w:ascii="Verdana" w:hAnsi="Verdana" w:cs="Arial"/>
          <w:sz w:val="20"/>
          <w:szCs w:val="20"/>
          <w:lang w:val="es-MX"/>
        </w:rPr>
        <w:t xml:space="preserve">Esta Sala ha entendido </w:t>
      </w:r>
      <w:proofErr w:type="gramStart"/>
      <w:r w:rsidRPr="00C15525">
        <w:rPr>
          <w:rFonts w:ascii="Verdana" w:hAnsi="Verdana" w:cs="Arial"/>
          <w:sz w:val="20"/>
          <w:szCs w:val="20"/>
          <w:lang w:val="es-MX"/>
        </w:rPr>
        <w:t>que</w:t>
      </w:r>
      <w:proofErr w:type="gramEnd"/>
      <w:r w:rsidRPr="00C15525">
        <w:rPr>
          <w:rFonts w:ascii="Verdana" w:hAnsi="Verdana" w:cs="Arial"/>
          <w:sz w:val="20"/>
          <w:szCs w:val="20"/>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C15525">
        <w:rPr>
          <w:rFonts w:ascii="Verdana" w:hAnsi="Verdana" w:cs="Arial"/>
          <w:sz w:val="20"/>
          <w:szCs w:val="20"/>
          <w:vertAlign w:val="superscript"/>
          <w:lang w:val="es-MX"/>
        </w:rPr>
        <w:footnoteReference w:id="11"/>
      </w:r>
      <w:r w:rsidRPr="00C15525">
        <w:rPr>
          <w:rFonts w:ascii="Verdana" w:hAnsi="Verdana" w:cs="Arial"/>
          <w:sz w:val="20"/>
          <w:szCs w:val="20"/>
          <w:vertAlign w:val="superscript"/>
          <w:lang w:val="es-MX"/>
        </w:rPr>
        <w:t>.</w:t>
      </w:r>
      <w:r w:rsidRPr="00C15525">
        <w:rPr>
          <w:rFonts w:ascii="Verdana" w:hAnsi="Verdana" w:cs="Arial"/>
          <w:sz w:val="20"/>
          <w:szCs w:val="20"/>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C15525">
        <w:rPr>
          <w:rFonts w:ascii="Verdana" w:hAnsi="Verdana" w:cs="Arial"/>
          <w:sz w:val="20"/>
          <w:szCs w:val="20"/>
          <w:vertAlign w:val="superscript"/>
          <w:lang w:eastAsia="es-CO"/>
        </w:rPr>
        <w:footnoteReference w:id="12"/>
      </w:r>
      <w:r w:rsidRPr="00C15525">
        <w:rPr>
          <w:rFonts w:ascii="Verdana" w:hAnsi="Verdana" w:cs="Arial"/>
          <w:sz w:val="20"/>
          <w:szCs w:val="20"/>
          <w:lang w:val="es-MX"/>
        </w:rPr>
        <w:t>.</w:t>
      </w:r>
    </w:p>
    <w:p w14:paraId="656D7859" w14:textId="77777777" w:rsidR="00766E9C" w:rsidRPr="00C15525" w:rsidRDefault="00766E9C" w:rsidP="00766E9C">
      <w:pPr>
        <w:shd w:val="clear" w:color="auto" w:fill="FFFFFF"/>
        <w:spacing w:after="0" w:line="276" w:lineRule="auto"/>
        <w:ind w:firstLine="709"/>
        <w:jc w:val="both"/>
        <w:rPr>
          <w:rFonts w:ascii="Verdana" w:hAnsi="Verdana" w:cs="Arial"/>
          <w:lang w:eastAsia="x-none"/>
        </w:rPr>
      </w:pPr>
    </w:p>
    <w:p w14:paraId="33AEEE16" w14:textId="77777777" w:rsidR="00766E9C" w:rsidRPr="00C15525" w:rsidRDefault="00766E9C" w:rsidP="00766E9C">
      <w:pPr>
        <w:spacing w:after="120" w:line="276" w:lineRule="auto"/>
        <w:ind w:firstLine="708"/>
        <w:jc w:val="both"/>
        <w:rPr>
          <w:rFonts w:ascii="Verdana" w:hAnsi="Verdana" w:cs="Arial"/>
          <w:bCs/>
          <w:lang w:eastAsia="x-none"/>
        </w:rPr>
      </w:pPr>
      <w:r w:rsidRPr="00C15525">
        <w:rPr>
          <w:rFonts w:ascii="Verdana" w:hAnsi="Verdana" w:cs="Arial"/>
          <w:lang w:eastAsia="x-none"/>
        </w:rPr>
        <w:t xml:space="preserve">De acuerdo con el citado concepto, la prohibición del artículo 33 de la Ley de Garantías Electorales se refiere a </w:t>
      </w:r>
      <w:r w:rsidRPr="00C15525">
        <w:rPr>
          <w:rFonts w:ascii="Verdana" w:hAnsi="Verdana" w:cs="Arial"/>
          <w:sz w:val="19"/>
          <w:szCs w:val="19"/>
          <w:lang w:eastAsia="en-GB"/>
        </w:rPr>
        <w:t>“</w:t>
      </w:r>
      <w:r w:rsidRPr="00C15525">
        <w:rPr>
          <w:rFonts w:ascii="Verdana" w:hAnsi="Verdana" w:cs="Arial"/>
          <w:lang w:eastAsia="x-none"/>
        </w:rPr>
        <w:t>cualquier sistema que no implique convocatoria pública y posibilidad de pluralidad de oferentes</w:t>
      </w:r>
      <w:r w:rsidRPr="00C15525">
        <w:rPr>
          <w:rFonts w:ascii="Verdana" w:hAnsi="Verdana" w:cs="Arial"/>
          <w:lang w:eastAsia="en-GB"/>
        </w:rPr>
        <w:t>”</w:t>
      </w:r>
      <w:r w:rsidRPr="00C15525">
        <w:rPr>
          <w:rFonts w:ascii="Verdana" w:hAnsi="Verdana" w:cs="Arial"/>
          <w:lang w:eastAsia="x-none"/>
        </w:rPr>
        <w:t>, por lo que excluye las demás modalidades de contratación previstas en la Ley 1150 de 2007, es decir, la licitación pública, la selección abreviada y el concurso de méritos u otros previstos en normas especiales. Esta posición es congruente con la expedición de la Ley 1150 de 2007 que, entre otras reformas, introdujo la selección abreviada, rediseñó el concurso de méritos</w:t>
      </w:r>
      <w:r w:rsidRPr="00C15525">
        <w:rPr>
          <w:rFonts w:ascii="Verdana" w:hAnsi="Verdana" w:cs="Arial"/>
          <w:vertAlign w:val="superscript"/>
          <w:lang w:val="en-GB" w:eastAsia="x-none"/>
        </w:rPr>
        <w:footnoteReference w:id="13"/>
      </w:r>
      <w:r w:rsidRPr="00C15525">
        <w:rPr>
          <w:rFonts w:ascii="Verdana" w:hAnsi="Verdana" w:cs="Arial"/>
          <w:lang w:eastAsia="x-none"/>
        </w:rPr>
        <w:t xml:space="preserve"> y sistematizó las causales de contratación directa</w:t>
      </w:r>
      <w:r w:rsidRPr="00C15525">
        <w:rPr>
          <w:rFonts w:ascii="Verdana" w:hAnsi="Verdana" w:cs="Arial"/>
          <w:vertAlign w:val="superscript"/>
          <w:lang w:val="en-GB" w:eastAsia="x-none"/>
        </w:rPr>
        <w:footnoteReference w:id="14"/>
      </w:r>
      <w:r w:rsidRPr="00C15525">
        <w:rPr>
          <w:rFonts w:ascii="Verdana" w:hAnsi="Verdana" w:cs="Arial"/>
          <w:lang w:eastAsia="x-none"/>
        </w:rPr>
        <w:t xml:space="preserve">. </w:t>
      </w:r>
    </w:p>
    <w:p w14:paraId="58F09037" w14:textId="77777777" w:rsidR="00766E9C" w:rsidRPr="00C15525" w:rsidRDefault="00766E9C" w:rsidP="00766E9C">
      <w:pPr>
        <w:spacing w:after="120" w:line="276" w:lineRule="auto"/>
        <w:ind w:firstLine="708"/>
        <w:jc w:val="both"/>
        <w:rPr>
          <w:rFonts w:ascii="Verdana" w:hAnsi="Verdana" w:cs="Arial"/>
          <w:lang w:val="es-MX" w:eastAsia="x-none"/>
        </w:rPr>
      </w:pPr>
      <w:r w:rsidRPr="00C15525">
        <w:rPr>
          <w:rFonts w:ascii="Verdana" w:hAnsi="Verdana" w:cs="Arial"/>
          <w:lang w:eastAsia="x-none"/>
        </w:rPr>
        <w:t xml:space="preserve">De esta forma, con fundamento en la evolución de la normativa sobre la contratación pública, se ha depurado la noción de </w:t>
      </w:r>
      <w:r w:rsidRPr="00C15525">
        <w:rPr>
          <w:rFonts w:ascii="Verdana" w:hAnsi="Verdana" w:cs="Arial"/>
          <w:sz w:val="19"/>
          <w:szCs w:val="19"/>
          <w:lang w:eastAsia="en-GB"/>
        </w:rPr>
        <w:t>“</w:t>
      </w:r>
      <w:r w:rsidRPr="00C15525">
        <w:rPr>
          <w:rFonts w:ascii="Verdana" w:hAnsi="Verdana" w:cs="Arial"/>
          <w:lang w:eastAsia="x-none"/>
        </w:rPr>
        <w:t>contratación directa</w:t>
      </w:r>
      <w:r w:rsidRPr="00C15525">
        <w:rPr>
          <w:rFonts w:ascii="Verdana" w:hAnsi="Verdana" w:cs="Arial"/>
          <w:lang w:eastAsia="en-GB"/>
        </w:rPr>
        <w:t>”</w:t>
      </w:r>
      <w:r w:rsidRPr="00C15525">
        <w:rPr>
          <w:rFonts w:ascii="Verdana" w:hAnsi="Verdana" w:cs="Arial"/>
          <w:lang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General de la Contratación de la Administración Pública, sino también en leyes </w:t>
      </w:r>
      <w:r w:rsidRPr="00C15525">
        <w:rPr>
          <w:rFonts w:ascii="Verdana" w:hAnsi="Verdana" w:cs="Arial"/>
          <w:lang w:eastAsia="x-none"/>
        </w:rPr>
        <w:lastRenderedPageBreak/>
        <w:t>especiales e, incluso, en el derecho privado</w:t>
      </w:r>
      <w:r w:rsidRPr="00C15525">
        <w:rPr>
          <w:rFonts w:ascii="Verdana" w:hAnsi="Verdana" w:cs="Arial"/>
          <w:vertAlign w:val="superscript"/>
          <w:lang w:val="en-GB" w:eastAsia="x-none"/>
        </w:rPr>
        <w:footnoteReference w:id="15"/>
      </w:r>
      <w:r w:rsidRPr="00C15525">
        <w:rPr>
          <w:rFonts w:ascii="Verdana" w:hAnsi="Verdana" w:cs="Arial"/>
          <w:lang w:eastAsia="x-none"/>
        </w:rPr>
        <w:t>, han establecido sistemas de contratación que implican convocatoria pública y participación de varios oferentes</w:t>
      </w:r>
      <w:r w:rsidRPr="00C15525">
        <w:rPr>
          <w:rFonts w:ascii="Verdana" w:hAnsi="Verdana" w:cs="Arial"/>
          <w:lang w:eastAsia="en-GB"/>
        </w:rPr>
        <w:t>”</w:t>
      </w:r>
      <w:r w:rsidRPr="00C15525">
        <w:rPr>
          <w:rFonts w:ascii="Verdana" w:hAnsi="Verdana" w:cs="Arial"/>
          <w:lang w:eastAsia="x-none"/>
        </w:rPr>
        <w:t xml:space="preserve">. </w:t>
      </w:r>
    </w:p>
    <w:p w14:paraId="1FD98019" w14:textId="77777777" w:rsidR="00766E9C" w:rsidRPr="00C15525" w:rsidRDefault="00766E9C" w:rsidP="00766E9C">
      <w:pPr>
        <w:spacing w:after="120" w:line="276" w:lineRule="auto"/>
        <w:ind w:firstLine="708"/>
        <w:jc w:val="both"/>
        <w:rPr>
          <w:rFonts w:ascii="Verdana" w:hAnsi="Verdana" w:cs="Arial"/>
          <w:bCs/>
          <w:lang w:val="es-MX" w:eastAsia="es-CO"/>
        </w:rPr>
      </w:pPr>
      <w:r w:rsidRPr="00C15525">
        <w:rPr>
          <w:rFonts w:ascii="Verdana" w:hAnsi="Verdana" w:cs="Arial"/>
          <w:bCs/>
          <w:lang w:val="es-MX" w:eastAsia="x-none"/>
        </w:rPr>
        <w:t>E</w:t>
      </w:r>
      <w:r w:rsidRPr="00C15525">
        <w:rPr>
          <w:rFonts w:ascii="Verdana"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C15525">
        <w:rPr>
          <w:rFonts w:ascii="Verdana" w:hAnsi="Verdana" w:cs="Arial"/>
          <w:vertAlign w:val="superscript"/>
          <w:lang w:eastAsia="x-none"/>
        </w:rPr>
        <w:footnoteReference w:id="16"/>
      </w:r>
      <w:r w:rsidRPr="00C15525">
        <w:rPr>
          <w:rFonts w:ascii="Verdana" w:hAnsi="Verdana" w:cs="Arial"/>
          <w:lang w:eastAsia="x-none"/>
        </w:rPr>
        <w:t xml:space="preserve">. </w:t>
      </w:r>
    </w:p>
    <w:p w14:paraId="76140B0E" w14:textId="77777777" w:rsidR="00766E9C" w:rsidRPr="00C15525" w:rsidRDefault="00766E9C" w:rsidP="00766E9C">
      <w:pPr>
        <w:spacing w:after="120" w:line="276" w:lineRule="auto"/>
        <w:ind w:firstLine="708"/>
        <w:jc w:val="both"/>
        <w:rPr>
          <w:rFonts w:ascii="Verdana" w:hAnsi="Verdana" w:cs="Arial"/>
          <w:bCs/>
          <w:lang w:val="es-MX" w:eastAsia="es-CO"/>
        </w:rPr>
      </w:pPr>
      <w:r w:rsidRPr="00C15525">
        <w:rPr>
          <w:rFonts w:ascii="Verdana"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79F91F54" w14:textId="77777777" w:rsidR="00766E9C" w:rsidRPr="00C15525" w:rsidRDefault="00766E9C" w:rsidP="00766E9C">
      <w:pPr>
        <w:spacing w:after="120" w:line="276" w:lineRule="auto"/>
        <w:ind w:firstLine="708"/>
        <w:jc w:val="both"/>
        <w:rPr>
          <w:rFonts w:ascii="Verdana" w:hAnsi="Verdana" w:cs="Arial"/>
          <w:bCs/>
          <w:lang w:val="es-MX" w:eastAsia="x-none"/>
        </w:rPr>
      </w:pPr>
      <w:r w:rsidRPr="00C15525">
        <w:rPr>
          <w:rFonts w:ascii="Verdana" w:hAnsi="Verdana" w:cs="Arial"/>
          <w:bCs/>
          <w:lang w:val="es-MX" w:eastAsia="x-none"/>
        </w:rPr>
        <w:t xml:space="preserve"> Así las cosas, ha de entenderse que, para los efectos de la Ley de Garantías Electorales y, en particular, para la prohibición o restricción temporal contenida en su artículo 33, “contratación directa” es cualquier sistema de selección o procedimiento de contratación utilizado por las entidades estatales que no incluya la convocatoria pública en alguna de sus etapas, ni permita la participación de una pluralidad de oferentes</w:t>
      </w:r>
      <w:r w:rsidRPr="00C15525">
        <w:rPr>
          <w:rFonts w:ascii="Verdana" w:hAnsi="Verdana" w:cs="Arial"/>
          <w:vertAlign w:val="superscript"/>
          <w:lang w:eastAsia="x-none"/>
        </w:rPr>
        <w:footnoteReference w:id="17"/>
      </w:r>
      <w:r w:rsidRPr="00C15525">
        <w:rPr>
          <w:rFonts w:ascii="Verdana" w:hAnsi="Verdana" w:cs="Arial"/>
          <w:bCs/>
          <w:lang w:val="es-MX" w:eastAsia="x-none"/>
        </w:rPr>
        <w:t>.</w:t>
      </w:r>
      <w:r w:rsidRPr="00C15525">
        <w:rPr>
          <w:rFonts w:ascii="Verdana" w:hAnsi="Verdana" w:cs="Arial"/>
          <w:vertAlign w:val="superscript"/>
          <w:lang w:val="es-MX" w:eastAsia="x-none"/>
        </w:rPr>
        <w:t xml:space="preserve"> </w:t>
      </w:r>
    </w:p>
    <w:p w14:paraId="6533D479" w14:textId="77777777" w:rsidR="00766E9C" w:rsidRPr="00C15525" w:rsidRDefault="00766E9C" w:rsidP="00766E9C">
      <w:pPr>
        <w:spacing w:after="120" w:line="276" w:lineRule="auto"/>
        <w:ind w:firstLine="708"/>
        <w:jc w:val="both"/>
        <w:rPr>
          <w:rFonts w:ascii="Verdana" w:hAnsi="Verdana" w:cs="Arial"/>
          <w:lang w:eastAsia="x-none"/>
        </w:rPr>
      </w:pPr>
      <w:r w:rsidRPr="00C15525">
        <w:rPr>
          <w:rFonts w:ascii="Verdana"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C15525">
        <w:rPr>
          <w:rFonts w:ascii="Verdana" w:hAnsi="Verdana" w:cs="Arial"/>
          <w:lang w:eastAsia="x-none"/>
        </w:rPr>
        <w:t xml:space="preserve"> Por tanto, no son materia de la prohibición las demás modalidades de selección previstas </w:t>
      </w:r>
      <w:r w:rsidRPr="00C15525">
        <w:rPr>
          <w:rFonts w:ascii="Verdana" w:hAnsi="Verdana" w:cs="Arial"/>
          <w:lang w:eastAsia="x-none"/>
        </w:rPr>
        <w:lastRenderedPageBreak/>
        <w:t>en la Ley 1150 de 2007, es decir, la licitación pública, el concurso de méritos y la selección abreviada, razón por la cual en ese período preelectoral de que trata la disposición pueden las entidades públicas seguir contratando bajo estos sistemas.</w:t>
      </w:r>
    </w:p>
    <w:p w14:paraId="106B02A6" w14:textId="77777777" w:rsidR="00766E9C" w:rsidRPr="00C15525" w:rsidRDefault="00766E9C" w:rsidP="00766E9C">
      <w:pPr>
        <w:spacing w:after="120" w:line="276" w:lineRule="auto"/>
        <w:ind w:firstLine="708"/>
        <w:jc w:val="both"/>
        <w:rPr>
          <w:rFonts w:ascii="Verdana" w:hAnsi="Verdana" w:cs="Arial"/>
          <w:bCs/>
          <w:lang w:val="es-MX" w:eastAsia="x-none"/>
        </w:rPr>
      </w:pPr>
      <w:bookmarkStart w:id="12" w:name="_Hlk77237094"/>
      <w:r w:rsidRPr="00C15525">
        <w:rPr>
          <w:rFonts w:ascii="Verdana" w:hAnsi="Verdana" w:cs="Arial"/>
          <w:bCs/>
          <w:lang w:val="es-MX" w:eastAsia="es-CO"/>
        </w:rPr>
        <w:t xml:space="preserve">Como en otras oportunidades lo ha manifestado esta Agencia, las prórrogas, modificaciones o adiciones de los contratos suscritos antes de la </w:t>
      </w:r>
      <w:proofErr w:type="gramStart"/>
      <w:r w:rsidRPr="00C15525">
        <w:rPr>
          <w:rFonts w:ascii="Verdana" w:hAnsi="Verdana" w:cs="Arial"/>
          <w:bCs/>
          <w:lang w:val="es-MX" w:eastAsia="es-CO"/>
        </w:rPr>
        <w:t>entrada en vigencia</w:t>
      </w:r>
      <w:proofErr w:type="gramEnd"/>
      <w:r w:rsidRPr="00C15525">
        <w:rPr>
          <w:rFonts w:ascii="Verdana" w:hAnsi="Verdana" w:cs="Arial"/>
          <w:bCs/>
          <w:lang w:val="es-MX" w:eastAsia="es-CO"/>
        </w:rPr>
        <w:t xml:space="preserve"> de las prohibiciones anotadas, así como la cesión de </w:t>
      </w:r>
      <w:proofErr w:type="gramStart"/>
      <w:r w:rsidRPr="00C15525">
        <w:rPr>
          <w:rFonts w:ascii="Verdana" w:hAnsi="Verdana" w:cs="Arial"/>
          <w:bCs/>
          <w:lang w:val="es-MX" w:eastAsia="es-CO"/>
        </w:rPr>
        <w:t>los mismos</w:t>
      </w:r>
      <w:proofErr w:type="gramEnd"/>
      <w:r w:rsidRPr="00C15525">
        <w:rPr>
          <w:rFonts w:ascii="Verdana" w:hAnsi="Verdana" w:cs="Arial"/>
          <w:bCs/>
          <w:lang w:val="es-MX" w:eastAsia="es-CO"/>
        </w:rPr>
        <w:t>, pueden tener lugar en el período de aplicación de la Ley de Garantías, sin que ello haga nugatoria la restricción de la contratación directa y siempre que cumplan los principios de planeación, transparencia y responsabilidad.</w:t>
      </w:r>
      <w:bookmarkEnd w:id="12"/>
    </w:p>
    <w:p w14:paraId="745141DD" w14:textId="77777777" w:rsidR="00766E9C" w:rsidRPr="00C15525" w:rsidRDefault="00766E9C" w:rsidP="00766E9C">
      <w:pPr>
        <w:spacing w:after="120" w:line="276" w:lineRule="auto"/>
        <w:ind w:firstLine="708"/>
        <w:jc w:val="both"/>
        <w:rPr>
          <w:rFonts w:ascii="Verdana" w:hAnsi="Verdana" w:cs="Arial"/>
          <w:bCs/>
          <w:lang w:val="es-MX" w:eastAsia="es-CO"/>
        </w:rPr>
      </w:pPr>
      <w:r w:rsidRPr="00C15525">
        <w:rPr>
          <w:rFonts w:ascii="Verdana"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de manera taxativa en el inciso final del citado artículo 33 de la Ley 996 de 2005 en lo referente a i) la defensa y seguridad del Estado; </w:t>
      </w:r>
      <w:proofErr w:type="spellStart"/>
      <w:r w:rsidRPr="00C15525">
        <w:rPr>
          <w:rFonts w:ascii="Verdana" w:hAnsi="Verdana" w:cs="Arial"/>
          <w:bCs/>
          <w:lang w:val="es-MX" w:eastAsia="x-none"/>
        </w:rPr>
        <w:t>ii</w:t>
      </w:r>
      <w:proofErr w:type="spellEnd"/>
      <w:r w:rsidRPr="00C15525">
        <w:rPr>
          <w:rFonts w:ascii="Verdana" w:hAnsi="Verdana" w:cs="Arial"/>
          <w:bCs/>
          <w:lang w:val="es-MX" w:eastAsia="x-none"/>
        </w:rPr>
        <w:t xml:space="preserve">) los contratos de crédito público; </w:t>
      </w:r>
      <w:proofErr w:type="spellStart"/>
      <w:r w:rsidRPr="00C15525">
        <w:rPr>
          <w:rFonts w:ascii="Verdana" w:hAnsi="Verdana" w:cs="Arial"/>
          <w:bCs/>
          <w:lang w:val="es-MX" w:eastAsia="x-none"/>
        </w:rPr>
        <w:t>iii</w:t>
      </w:r>
      <w:proofErr w:type="spellEnd"/>
      <w:r w:rsidRPr="00C15525">
        <w:rPr>
          <w:rFonts w:ascii="Verdana" w:hAnsi="Verdana" w:cs="Arial"/>
          <w:bCs/>
          <w:lang w:val="es-MX" w:eastAsia="x-none"/>
        </w:rPr>
        <w:t xml:space="preserve">) los requeridos para cubrir las emergencias educativas, sanitarias y desastres; </w:t>
      </w:r>
      <w:proofErr w:type="spellStart"/>
      <w:r w:rsidRPr="00C15525">
        <w:rPr>
          <w:rFonts w:ascii="Verdana" w:hAnsi="Verdana" w:cs="Arial"/>
          <w:bCs/>
          <w:lang w:val="es-MX" w:eastAsia="x-none"/>
        </w:rPr>
        <w:t>iv</w:t>
      </w:r>
      <w:proofErr w:type="spellEnd"/>
      <w:r w:rsidRPr="00C15525">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15525">
        <w:rPr>
          <w:rFonts w:ascii="Verdana"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6C58B7E3" w14:textId="77777777" w:rsidR="00766E9C" w:rsidRPr="00C15525" w:rsidRDefault="00766E9C" w:rsidP="00766E9C">
      <w:pPr>
        <w:spacing w:after="0" w:line="276" w:lineRule="auto"/>
        <w:ind w:firstLine="708"/>
        <w:jc w:val="both"/>
        <w:rPr>
          <w:rFonts w:ascii="Verdana" w:hAnsi="Verdana" w:cs="Arial"/>
          <w:bCs/>
          <w:lang w:val="es-MX" w:eastAsia="x-none"/>
        </w:rPr>
      </w:pPr>
      <w:r w:rsidRPr="00C15525">
        <w:rPr>
          <w:rFonts w:ascii="Verdana" w:hAnsi="Verdana" w:cs="Arial"/>
          <w:bCs/>
          <w:lang w:val="es-MX" w:eastAsia="x-none"/>
        </w:rPr>
        <w:t xml:space="preserve">En esta labor es importante tener en cuenta, como lo anotó la Corte Constitucional, en Sentencia C-1153 de noviembre 11 de 2005 </w:t>
      </w:r>
      <w:bookmarkStart w:id="13" w:name="_Hlk74309042"/>
      <w:r w:rsidRPr="00C15525">
        <w:rPr>
          <w:rFonts w:ascii="Verdana" w:hAnsi="Verdana" w:cs="Arial"/>
          <w:bCs/>
          <w:lang w:val="es-MX" w:eastAsia="x-none"/>
        </w:rPr>
        <w:t>que “</w:t>
      </w:r>
      <w:bookmarkEnd w:id="13"/>
      <w:r w:rsidRPr="00C15525">
        <w:rPr>
          <w:rFonts w:ascii="Verdana" w:hAnsi="Verdana" w:cs="Arial"/>
          <w:bCs/>
          <w:lang w:val="es-MX" w:eastAsia="x-none"/>
        </w:rPr>
        <w:t xml:space="preserve">si bien la limitación garantiza la igualdad de condiciones, también es necesario que tal limitación que pretende la igualdad </w:t>
      </w:r>
      <w:bookmarkStart w:id="14" w:name="_Hlk75768308"/>
      <w:r w:rsidRPr="00C15525">
        <w:rPr>
          <w:rFonts w:ascii="Verdana" w:hAnsi="Verdana" w:cs="Arial"/>
          <w:bCs/>
          <w:lang w:val="es-MX" w:eastAsia="x-none"/>
        </w:rPr>
        <w:t>no termine yendo en detrimento de intereses públicos, cuya garantía está en cabeza del ejecutivo, como son los inmersos en las excepciones para la prohibición de contratación”</w:t>
      </w:r>
      <w:r w:rsidRPr="00C15525">
        <w:rPr>
          <w:rFonts w:ascii="Verdana" w:hAnsi="Verdana" w:cs="Arial"/>
          <w:vertAlign w:val="superscript"/>
          <w:lang w:val="es-MX"/>
        </w:rPr>
        <w:footnoteReference w:id="18"/>
      </w:r>
      <w:r w:rsidRPr="00C15525">
        <w:rPr>
          <w:rFonts w:ascii="Verdana" w:hAnsi="Verdana" w:cs="Arial"/>
          <w:bCs/>
          <w:lang w:val="es-MX" w:eastAsia="x-none"/>
        </w:rPr>
        <w:t xml:space="preserve">. De ahí que la Corte haya señalado que las excepciones a la restricción protegen diversos tipos de </w:t>
      </w:r>
      <w:r w:rsidRPr="00C15525">
        <w:rPr>
          <w:rFonts w:ascii="Verdana" w:hAnsi="Verdana" w:cs="Arial"/>
          <w:bCs/>
          <w:lang w:val="es-MX" w:eastAsia="x-none"/>
        </w:rPr>
        <w:lastRenderedPageBreak/>
        <w:t>urgencias de defensa, salud, educación, infraestructura vial y de servicios públicos y ecológicas, que tienden a no limitar desproporcionadamente la acción del Estado en el cumplimiento de sus fines, en procura de la igualdad entre los candidatos como garantía electoral.</w:t>
      </w:r>
      <w:bookmarkEnd w:id="14"/>
    </w:p>
    <w:p w14:paraId="2293825E" w14:textId="77777777" w:rsidR="00766E9C" w:rsidRPr="00C15525" w:rsidRDefault="00766E9C" w:rsidP="00766E9C">
      <w:pPr>
        <w:tabs>
          <w:tab w:val="left" w:pos="426"/>
        </w:tabs>
        <w:spacing w:before="120" w:after="120" w:line="276" w:lineRule="auto"/>
        <w:ind w:firstLine="709"/>
        <w:jc w:val="both"/>
        <w:rPr>
          <w:rFonts w:ascii="Verdana" w:hAnsi="Verdana" w:cs="Arial"/>
          <w:color w:val="000000" w:themeColor="text1"/>
          <w:shd w:val="clear" w:color="auto" w:fill="FFFFFF"/>
          <w:lang w:val="es-ES"/>
        </w:rPr>
      </w:pPr>
      <w:r w:rsidRPr="00C15525">
        <w:rPr>
          <w:rFonts w:ascii="Verdana" w:hAnsi="Verdana" w:cs="Arial"/>
          <w:bCs/>
          <w:color w:val="000000" w:themeColor="text1"/>
          <w:lang w:val="es-ES"/>
        </w:rPr>
        <w:t>Por tanto, las excepciones a la prohibición contenida en el inciso segundo de artículo 33 de la ley de garantías electorales tienen por finalidad garantizar la realización ininterrumpida de ciertas actividades que, dada su importancia en el orden interno, se verían irrazonablemente afectadas por la restricción. De igual forma, la Sala de Consulta y Servicio Civil del Consejo de Estado, en concepto del 2 de septiembre de 2013</w:t>
      </w:r>
      <w:r w:rsidRPr="00C15525">
        <w:rPr>
          <w:rFonts w:ascii="Verdana" w:hAnsi="Verdana" w:cs="Arial"/>
          <w:color w:val="000000" w:themeColor="text1"/>
          <w:lang w:val="es-ES"/>
        </w:rPr>
        <w:t xml:space="preserve">, mencionó las excepciones a la prohibición del artículo 33 de la Ley de Garantías Electorales, resaltando su carácter taxativo, y señalando la independencia de los supuestos, así: “[…] </w:t>
      </w:r>
      <w:r w:rsidRPr="00C15525">
        <w:rPr>
          <w:rFonts w:ascii="Verdana" w:hAnsi="Verdana" w:cs="Arial"/>
          <w:i/>
          <w:color w:val="000000" w:themeColor="text1"/>
          <w:lang w:val="es-ES"/>
        </w:rPr>
        <w:t xml:space="preserve">Las excepciones aplicables a la restricción de contratación pública. </w:t>
      </w:r>
      <w:r w:rsidRPr="00C15525">
        <w:rPr>
          <w:rFonts w:ascii="Verdana" w:hAnsi="Verdana" w:cs="Arial"/>
          <w:color w:val="000000" w:themeColor="text1"/>
          <w:shd w:val="clear" w:color="auto" w:fill="FFFFFF"/>
          <w:lang w:val="es-ES"/>
        </w:rPr>
        <w:t>Ahora bien, las únicas excepciones a las disposiciones previstas en la Ley de Garantías se encuentran numeradas taxativamente en el último inciso del artículo 33 de la ley 996 de 2005 […]”</w:t>
      </w:r>
      <w:r w:rsidRPr="00C15525">
        <w:rPr>
          <w:rFonts w:ascii="Verdana" w:hAnsi="Verdana" w:cs="Arial"/>
          <w:color w:val="000000" w:themeColor="text1"/>
          <w:shd w:val="clear" w:color="auto" w:fill="FFFFFF"/>
          <w:vertAlign w:val="superscript"/>
          <w:lang w:val="es-ES"/>
        </w:rPr>
        <w:footnoteReference w:id="19"/>
      </w:r>
      <w:r w:rsidRPr="00C15525">
        <w:rPr>
          <w:rFonts w:ascii="Verdana" w:hAnsi="Verdana" w:cs="Arial"/>
          <w:color w:val="000000" w:themeColor="text1"/>
          <w:shd w:val="clear" w:color="auto" w:fill="FFFFFF"/>
          <w:lang w:val="es-ES"/>
        </w:rPr>
        <w:t>.</w:t>
      </w:r>
    </w:p>
    <w:p w14:paraId="0FFD1037" w14:textId="77777777" w:rsidR="00766E9C" w:rsidRPr="00C15525" w:rsidRDefault="00766E9C" w:rsidP="00766E9C">
      <w:pPr>
        <w:tabs>
          <w:tab w:val="left" w:pos="426"/>
        </w:tabs>
        <w:spacing w:after="0" w:line="276" w:lineRule="auto"/>
        <w:ind w:firstLine="709"/>
        <w:jc w:val="both"/>
        <w:rPr>
          <w:rFonts w:ascii="Verdana" w:hAnsi="Verdana" w:cs="Arial"/>
          <w:bCs/>
          <w:color w:val="000000" w:themeColor="text1"/>
          <w:lang w:val="es-ES"/>
        </w:rPr>
      </w:pPr>
      <w:r w:rsidRPr="00C15525">
        <w:rPr>
          <w:rFonts w:ascii="Verdana" w:hAnsi="Verdana" w:cs="Arial"/>
          <w:bCs/>
          <w:color w:val="000000" w:themeColor="text1"/>
          <w:lang w:val="es-ES"/>
        </w:rPr>
        <w:t xml:space="preserve">Lo anterior implica que las excepciones al artículo 33 en comento deben interpretarse y aplicarse de manera </w:t>
      </w:r>
      <w:r w:rsidRPr="00C15525">
        <w:rPr>
          <w:rFonts w:ascii="Verdana" w:hAnsi="Verdana" w:cs="Arial"/>
          <w:bCs/>
          <w:i/>
          <w:iCs/>
          <w:color w:val="000000" w:themeColor="text1"/>
          <w:lang w:val="es-ES"/>
        </w:rPr>
        <w:t>estricta</w:t>
      </w:r>
      <w:r w:rsidRPr="00C15525">
        <w:rPr>
          <w:rFonts w:ascii="Verdana" w:hAnsi="Verdana" w:cs="Arial"/>
          <w:bCs/>
          <w:color w:val="000000" w:themeColor="text1"/>
          <w:lang w:val="es-ES"/>
        </w:rPr>
        <w:t>. En otras palabras, no es factible hacer interpretaciones extensivas</w:t>
      </w:r>
      <w:r w:rsidRPr="00C15525">
        <w:rPr>
          <w:rFonts w:ascii="Verdana" w:hAnsi="Verdana" w:cs="Arial"/>
          <w:bCs/>
          <w:i/>
          <w:iCs/>
          <w:color w:val="000000" w:themeColor="text1"/>
          <w:lang w:val="es-ES"/>
        </w:rPr>
        <w:t xml:space="preserve"> </w:t>
      </w:r>
      <w:r w:rsidRPr="00C15525">
        <w:rPr>
          <w:rFonts w:ascii="Verdana" w:hAnsi="Verdana" w:cs="Arial"/>
          <w:bCs/>
          <w:color w:val="000000" w:themeColor="text1"/>
          <w:lang w:val="es-ES"/>
        </w:rPr>
        <w:t xml:space="preserve">para incluir otros supuestos de hecho similares a las circunstancias previstas en dicho artículo, pues el carácter taxativo implica que solo en los eventos consagrados expresamente en la norma permiten que ciertas entidades estatales se vean exceptuadas de la prohibición. </w:t>
      </w:r>
    </w:p>
    <w:p w14:paraId="7A63CD11" w14:textId="77777777" w:rsidR="00766E9C" w:rsidRPr="00C15525" w:rsidRDefault="00766E9C" w:rsidP="00766E9C">
      <w:pPr>
        <w:tabs>
          <w:tab w:val="left" w:pos="426"/>
        </w:tabs>
        <w:spacing w:after="0" w:line="276" w:lineRule="auto"/>
        <w:jc w:val="both"/>
        <w:rPr>
          <w:rFonts w:ascii="Verdana" w:eastAsia="Arial" w:hAnsi="Verdana" w:cs="Arial"/>
          <w:lang w:val="es-MX" w:eastAsia="es-ES" w:bidi="es-ES"/>
        </w:rPr>
      </w:pPr>
    </w:p>
    <w:p w14:paraId="61BF0321" w14:textId="77777777" w:rsidR="00766E9C" w:rsidRPr="00C15525" w:rsidRDefault="00766E9C" w:rsidP="00766E9C">
      <w:pPr>
        <w:tabs>
          <w:tab w:val="left" w:pos="426"/>
        </w:tabs>
        <w:spacing w:after="0" w:line="276" w:lineRule="auto"/>
        <w:jc w:val="both"/>
        <w:rPr>
          <w:rFonts w:ascii="Verdana" w:hAnsi="Verdana" w:cs="Arial"/>
          <w:bCs/>
          <w:color w:val="000000" w:themeColor="text1"/>
          <w:lang w:val="es-ES"/>
        </w:rPr>
      </w:pPr>
      <w:proofErr w:type="spellStart"/>
      <w:r w:rsidRPr="00C15525">
        <w:rPr>
          <w:rFonts w:ascii="Verdana" w:eastAsia="Arial" w:hAnsi="Verdana" w:cs="Arial"/>
          <w:lang w:val="es-MX" w:eastAsia="es-ES" w:bidi="es-ES"/>
        </w:rPr>
        <w:t>iii</w:t>
      </w:r>
      <w:proofErr w:type="spellEnd"/>
      <w:r w:rsidRPr="00C15525">
        <w:rPr>
          <w:rFonts w:ascii="Verdana" w:eastAsia="Arial" w:hAnsi="Verdana" w:cs="Arial"/>
          <w:lang w:val="es-MX" w:eastAsia="es-ES" w:bidi="es-ES"/>
        </w:rPr>
        <w:t xml:space="preserve">. </w:t>
      </w:r>
      <w:r w:rsidRPr="00C15525">
        <w:rPr>
          <w:rFonts w:ascii="Verdana" w:hAnsi="Verdana" w:cs="Arial"/>
          <w:bCs/>
          <w:lang w:val="es-MX" w:eastAsia="x-none"/>
        </w:rPr>
        <w:t>El artículo 33 de la Ley 996 de 2005 señala expresamente a los destinatarios de la prohibición, en el sentido de que son “todos los entes del Estado”, expresión que contempla a los diferentes organismos o entidades autorizadas por la ley para suscribir contratos.</w:t>
      </w:r>
      <w:r w:rsidRPr="00C15525">
        <w:rPr>
          <w:rFonts w:ascii="Verdana" w:hAnsi="Verdana" w:cs="Arial"/>
          <w:lang w:val="es-MX"/>
        </w:rPr>
        <w:t xml:space="preserve"> </w:t>
      </w:r>
      <w:r w:rsidRPr="00C15525">
        <w:rPr>
          <w:rFonts w:ascii="Verdana" w:hAnsi="Verdana" w:cs="Arial"/>
          <w:bCs/>
          <w:lang w:val="es-MX" w:eastAsia="x-none"/>
        </w:rPr>
        <w:t>En efecto, tal como lo ha sostenido el Consejo de Estado, el vocablo “todos” utilizado por el legislador comprende</w:t>
      </w:r>
      <w:r w:rsidRPr="00C15525">
        <w:rPr>
          <w:rFonts w:ascii="Verdana" w:hAnsi="Verdana" w:cs="Arial"/>
          <w:lang w:val="es-MX"/>
        </w:rPr>
        <w:t xml:space="preserve"> </w:t>
      </w:r>
      <w:r w:rsidRPr="00C15525">
        <w:rPr>
          <w:rFonts w:ascii="Verdana"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w:t>
      </w:r>
      <w:r w:rsidRPr="00C15525">
        <w:rPr>
          <w:rFonts w:ascii="Verdana" w:hAnsi="Verdana" w:cs="Arial"/>
          <w:bCs/>
          <w:lang w:val="es-MX" w:eastAsia="x-none"/>
        </w:rPr>
        <w:lastRenderedPageBreak/>
        <w:t xml:space="preserve">de la Administración Pública. El Consejo de Estado, en Concepto con radicado 1727 de fecha 20 de febrero de 2006, consideró que: </w:t>
      </w:r>
    </w:p>
    <w:p w14:paraId="77E7EFDD" w14:textId="77777777" w:rsidR="00766E9C" w:rsidRPr="00C15525" w:rsidRDefault="00766E9C" w:rsidP="00766E9C">
      <w:pPr>
        <w:spacing w:after="0" w:line="276" w:lineRule="auto"/>
        <w:ind w:firstLine="708"/>
        <w:jc w:val="both"/>
        <w:rPr>
          <w:rFonts w:ascii="Verdana" w:hAnsi="Verdana" w:cs="Arial"/>
          <w:bCs/>
          <w:lang w:val="es-MX" w:eastAsia="x-none"/>
        </w:rPr>
      </w:pPr>
    </w:p>
    <w:p w14:paraId="17E9DA30" w14:textId="77777777" w:rsidR="00766E9C" w:rsidRPr="00C15525" w:rsidRDefault="00766E9C" w:rsidP="00766E9C">
      <w:pPr>
        <w:spacing w:after="0" w:line="240" w:lineRule="auto"/>
        <w:ind w:left="708" w:right="709"/>
        <w:jc w:val="both"/>
        <w:rPr>
          <w:rFonts w:ascii="Verdana" w:hAnsi="Verdana" w:cs="Arial"/>
          <w:bCs/>
          <w:sz w:val="20"/>
          <w:szCs w:val="20"/>
          <w:lang w:val="es-MX" w:eastAsia="es-CO"/>
        </w:rPr>
      </w:pPr>
      <w:r w:rsidRPr="00C15525">
        <w:rPr>
          <w:rFonts w:ascii="Verdana" w:hAnsi="Verdana" w:cs="Arial"/>
          <w:bCs/>
          <w:sz w:val="20"/>
          <w:szCs w:val="20"/>
          <w:lang w:val="es-MX" w:eastAsia="x-none"/>
        </w:rPr>
        <w:t xml:space="preserve">“El artículo 33 de la ley 996 de 2005, </w:t>
      </w:r>
      <w:bookmarkStart w:id="15" w:name="_Hlk75787147"/>
      <w:r w:rsidRPr="00C15525">
        <w:rPr>
          <w:rFonts w:ascii="Verdana" w:hAnsi="Verdana" w:cs="Arial"/>
          <w:bCs/>
          <w:sz w:val="20"/>
          <w:szCs w:val="20"/>
          <w:lang w:val="es-MX" w:eastAsia="x-none"/>
        </w:rPr>
        <w:t>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C15525">
        <w:rPr>
          <w:rFonts w:ascii="Verdana" w:hAnsi="Verdana" w:cs="Arial"/>
          <w:bCs/>
          <w:sz w:val="20"/>
          <w:szCs w:val="20"/>
          <w:vertAlign w:val="superscript"/>
          <w:lang w:val="es-MX" w:eastAsia="x-none"/>
        </w:rPr>
        <w:footnoteReference w:id="20"/>
      </w:r>
      <w:r w:rsidRPr="00C15525">
        <w:rPr>
          <w:rFonts w:ascii="Verdana" w:hAnsi="Verdana" w:cs="Arial"/>
          <w:bCs/>
          <w:sz w:val="20"/>
          <w:szCs w:val="20"/>
          <w:lang w:val="es-MX" w:eastAsia="x-none"/>
        </w:rPr>
        <w:t>.</w:t>
      </w:r>
      <w:r w:rsidRPr="00C15525">
        <w:rPr>
          <w:rFonts w:ascii="Verdana" w:hAnsi="Verdana" w:cs="Arial"/>
          <w:bCs/>
          <w:sz w:val="20"/>
          <w:szCs w:val="20"/>
          <w:lang w:val="es-MX" w:eastAsia="es-CO"/>
        </w:rPr>
        <w:t xml:space="preserve"> </w:t>
      </w:r>
    </w:p>
    <w:p w14:paraId="0164224E" w14:textId="77777777" w:rsidR="00766E9C" w:rsidRPr="00C15525" w:rsidRDefault="00766E9C" w:rsidP="00766E9C">
      <w:pPr>
        <w:spacing w:after="0" w:line="276" w:lineRule="auto"/>
        <w:ind w:firstLine="708"/>
        <w:jc w:val="both"/>
        <w:rPr>
          <w:rFonts w:ascii="Verdana" w:hAnsi="Verdana" w:cs="Arial"/>
          <w:bCs/>
          <w:lang w:val="es-MX" w:eastAsia="es-CO"/>
        </w:rPr>
      </w:pPr>
    </w:p>
    <w:p w14:paraId="7984CD05" w14:textId="77777777" w:rsidR="00766E9C" w:rsidRPr="00C15525" w:rsidRDefault="00766E9C" w:rsidP="00766E9C">
      <w:pPr>
        <w:spacing w:after="0" w:line="276" w:lineRule="auto"/>
        <w:ind w:firstLine="708"/>
        <w:jc w:val="both"/>
        <w:rPr>
          <w:rFonts w:ascii="Verdana" w:hAnsi="Verdana" w:cs="Arial"/>
          <w:lang w:val="es-MX"/>
        </w:rPr>
      </w:pPr>
      <w:r w:rsidRPr="00C15525">
        <w:rPr>
          <w:rFonts w:ascii="Verdana" w:hAnsi="Verdana" w:cs="Arial"/>
          <w:bCs/>
          <w:lang w:val="es-MX" w:eastAsia="x-none"/>
        </w:rPr>
        <w:t>De igual forma, en Concepto con radicado 1738 de 6 de abril de 2006, esa misma Corporación manifestó que “Las restricciones de la Ley de Garantías en materia de contratación directa y celebración de convenios interadministrativos, se aplican a las empresas industriales y comerciales del Estado y a las Sociedades de Economía Mixta, salvo cuando la celebración de un convenio interadministrativo sea ordenada, para ambas partes, por el Legislador”</w:t>
      </w:r>
      <w:bookmarkStart w:id="16" w:name="_Hlk75758868"/>
      <w:bookmarkStart w:id="17" w:name="_Hlk75741220"/>
      <w:r w:rsidRPr="00C15525">
        <w:rPr>
          <w:rFonts w:ascii="Verdana" w:hAnsi="Verdana" w:cs="Arial"/>
          <w:vertAlign w:val="superscript"/>
          <w:lang w:val="es-MX"/>
        </w:rPr>
        <w:footnoteReference w:id="21"/>
      </w:r>
      <w:bookmarkEnd w:id="16"/>
      <w:bookmarkEnd w:id="17"/>
      <w:r w:rsidRPr="00C15525">
        <w:rPr>
          <w:rFonts w:ascii="Verdana" w:hAnsi="Verdana" w:cs="Arial"/>
          <w:bCs/>
          <w:lang w:val="es-MX" w:eastAsia="x-none"/>
        </w:rPr>
        <w:t>.</w:t>
      </w:r>
      <w:r w:rsidRPr="00C15525">
        <w:rPr>
          <w:rFonts w:ascii="Verdana" w:hAnsi="Verdana" w:cs="Arial"/>
          <w:lang w:val="es-MX"/>
        </w:rPr>
        <w:t xml:space="preserve"> Sin embargo, debe precisarse el siguiente aspecto que distinguió la Sala de Consulta y Servicio Civil:</w:t>
      </w:r>
    </w:p>
    <w:p w14:paraId="76BA2BFB" w14:textId="77777777" w:rsidR="00766E9C" w:rsidRPr="00C15525" w:rsidRDefault="00766E9C" w:rsidP="00766E9C">
      <w:pPr>
        <w:spacing w:after="0" w:line="276" w:lineRule="auto"/>
        <w:jc w:val="both"/>
        <w:rPr>
          <w:rFonts w:ascii="Verdana" w:hAnsi="Verdana" w:cs="Arial"/>
          <w:lang w:val="es-MX"/>
        </w:rPr>
      </w:pPr>
    </w:p>
    <w:p w14:paraId="5F36289A" w14:textId="77777777" w:rsidR="00766E9C" w:rsidRPr="00C15525" w:rsidRDefault="00766E9C" w:rsidP="00766E9C">
      <w:pPr>
        <w:spacing w:after="0" w:line="240" w:lineRule="auto"/>
        <w:ind w:left="708" w:right="709"/>
        <w:jc w:val="both"/>
        <w:rPr>
          <w:rFonts w:ascii="Verdana" w:hAnsi="Verdana" w:cs="Arial"/>
          <w:sz w:val="20"/>
          <w:szCs w:val="20"/>
          <w:lang w:val="es-MX"/>
        </w:rPr>
      </w:pPr>
      <w:bookmarkStart w:id="19" w:name="_Hlk75811446"/>
      <w:r w:rsidRPr="00C15525">
        <w:rPr>
          <w:rFonts w:ascii="Verdana" w:hAnsi="Verdana" w:cs="Arial"/>
          <w:sz w:val="20"/>
          <w:szCs w:val="20"/>
          <w:lang w:val="es-MX"/>
        </w:rPr>
        <w:t xml:space="preserve">“En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w:t>
      </w:r>
      <w:r w:rsidRPr="00C15525">
        <w:rPr>
          <w:rFonts w:ascii="Verdana" w:hAnsi="Verdana" w:cs="Arial"/>
          <w:sz w:val="20"/>
          <w:szCs w:val="20"/>
          <w:lang w:val="es-MX"/>
        </w:rPr>
        <w:lastRenderedPageBreak/>
        <w:t>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bookmarkEnd w:id="19"/>
      <w:r w:rsidRPr="00C15525">
        <w:rPr>
          <w:rFonts w:ascii="Verdana" w:hAnsi="Verdana" w:cs="Arial"/>
          <w:sz w:val="20"/>
          <w:szCs w:val="20"/>
          <w:lang w:val="es-MX"/>
        </w:rPr>
        <w:t>”</w:t>
      </w:r>
      <w:r w:rsidRPr="00C15525">
        <w:rPr>
          <w:vertAlign w:val="superscript"/>
        </w:rPr>
        <w:footnoteReference w:id="22"/>
      </w:r>
      <w:r w:rsidRPr="00C15525">
        <w:rPr>
          <w:rFonts w:ascii="Verdana" w:hAnsi="Verdana" w:cs="Arial"/>
          <w:bCs/>
          <w:sz w:val="20"/>
          <w:szCs w:val="20"/>
          <w:lang w:val="es-MX" w:eastAsia="x-none"/>
        </w:rPr>
        <w:t>.</w:t>
      </w:r>
    </w:p>
    <w:p w14:paraId="3BC095DB" w14:textId="77777777" w:rsidR="00766E9C" w:rsidRPr="00C15525" w:rsidRDefault="00766E9C" w:rsidP="00766E9C">
      <w:pPr>
        <w:spacing w:after="0" w:line="276" w:lineRule="auto"/>
        <w:jc w:val="both"/>
        <w:rPr>
          <w:rFonts w:ascii="Verdana" w:hAnsi="Verdana" w:cs="Arial"/>
          <w:lang w:val="es-MX"/>
        </w:rPr>
      </w:pPr>
    </w:p>
    <w:p w14:paraId="6641BA56" w14:textId="77777777" w:rsidR="00766E9C" w:rsidRPr="00C15525" w:rsidRDefault="00766E9C" w:rsidP="00766E9C">
      <w:pPr>
        <w:spacing w:after="120" w:line="276" w:lineRule="auto"/>
        <w:ind w:firstLine="709"/>
        <w:jc w:val="both"/>
        <w:rPr>
          <w:rFonts w:ascii="Verdana" w:hAnsi="Verdana" w:cs="Arial"/>
          <w:bCs/>
          <w:lang w:val="es-MX" w:eastAsia="x-none"/>
        </w:rPr>
      </w:pPr>
      <w:r w:rsidRPr="00C15525">
        <w:rPr>
          <w:rFonts w:ascii="Verdana" w:hAnsi="Verdana" w:cs="Arial"/>
          <w:lang w:val="es-MX"/>
        </w:rPr>
        <w:t>Aplicando este razonamiento,</w:t>
      </w:r>
      <w:bookmarkStart w:id="20" w:name="_Hlk75811096"/>
      <w:r w:rsidRPr="00C15525">
        <w:rPr>
          <w:rFonts w:ascii="Verdana" w:hAnsi="Verdana" w:cs="Arial"/>
          <w:lang w:val="es-MX"/>
        </w:rPr>
        <w:t xml:space="preserve"> se tiene que las empresas industriales y comerciales del estado y a las empresas de servicios públicos oficiales y mixtas no pueden adquirir los suministros de bienes y servicios necesarios para la realización de su actividad por contratación directa sino por mecanismos competitivos que impliquen convocatoria pública y la posibilidad de pluralidad de oferentes, pero, “es obvio que si una de estas entidades va a prestar un servicio a un particular, lo puede hacer, pues estos se ofrecen a toda la comunidad en condiciones de igualdad. Si se supusiera que está prohibida su contratación directa, significaría la parálisis de tal actividad de interés público, lo que de ninguna manera es lo querido por la ley 996 de 2005</w:t>
      </w:r>
      <w:bookmarkEnd w:id="20"/>
      <w:r w:rsidRPr="00C15525">
        <w:rPr>
          <w:rFonts w:ascii="Verdana" w:hAnsi="Verdana" w:cs="Arial"/>
          <w:lang w:val="es-MX"/>
        </w:rPr>
        <w:t>”</w:t>
      </w:r>
      <w:r w:rsidRPr="00C15525">
        <w:rPr>
          <w:rFonts w:ascii="Verdana" w:hAnsi="Verdana" w:cs="Arial"/>
          <w:vertAlign w:val="superscript"/>
          <w:lang w:val="es-MX"/>
        </w:rPr>
        <w:t xml:space="preserve"> </w:t>
      </w:r>
      <w:r w:rsidRPr="00280228">
        <w:rPr>
          <w:vertAlign w:val="superscript"/>
        </w:rPr>
        <w:footnoteReference w:id="23"/>
      </w:r>
      <w:r w:rsidRPr="00C15525">
        <w:rPr>
          <w:rFonts w:ascii="Verdana" w:hAnsi="Verdana" w:cs="Arial"/>
          <w:lang w:val="es-MX"/>
        </w:rPr>
        <w:t>.</w:t>
      </w:r>
    </w:p>
    <w:p w14:paraId="029675E6" w14:textId="77777777" w:rsidR="00766E9C" w:rsidRPr="00C15525" w:rsidRDefault="00766E9C" w:rsidP="00766E9C">
      <w:pPr>
        <w:spacing w:after="120" w:line="276" w:lineRule="auto"/>
        <w:ind w:firstLine="708"/>
        <w:jc w:val="both"/>
        <w:rPr>
          <w:rFonts w:ascii="Verdana" w:hAnsi="Verdana" w:cs="Arial"/>
          <w:bCs/>
          <w:lang w:val="es-MX" w:eastAsia="x-none"/>
        </w:rPr>
      </w:pPr>
      <w:bookmarkStart w:id="21" w:name="_Hlk77237229"/>
      <w:bookmarkEnd w:id="15"/>
      <w:r w:rsidRPr="00C15525">
        <w:rPr>
          <w:rFonts w:ascii="Verdana" w:hAnsi="Verdana" w:cs="Arial"/>
          <w:lang w:val="es-MX"/>
        </w:rPr>
        <w:t>Por lo tanto, la restricción prevista en la Ley 996 de 200</w:t>
      </w:r>
      <w:bookmarkStart w:id="22" w:name="_Hlk75741539"/>
      <w:r w:rsidRPr="00C15525">
        <w:rPr>
          <w:rFonts w:ascii="Verdana" w:hAnsi="Verdana" w:cs="Arial"/>
          <w:lang w:val="es-MX"/>
        </w:rPr>
        <w:t xml:space="preserve">5, </w:t>
      </w:r>
      <w:r w:rsidRPr="00C15525">
        <w:rPr>
          <w:rFonts w:ascii="Verdana" w:hAnsi="Verdana" w:cs="Arial"/>
          <w:bCs/>
          <w:lang w:val="es-MX" w:eastAsia="x-none"/>
        </w:rPr>
        <w:t>teniendo en cuenta la finalidad de la ley de garantías electorales, cobija a cualquier ente público que pueda a través de la contratación directa romper el equilibrio entre los candidatos en desarrollo de las elecciones presidenciales. Tampoco existe un supuesto de exoneración a la prohibición por tener un régimen especial de los actos o contratos, pues, la posibilidad de que los entes del Estado utilicen la contratación con fines políticos, esto es, con la intención de influir a los electores y alterar la voluntad popular en las contiendas electorales, se puede presentar tanto en la contratación regulada por la Ley 80 de 1993 como en la regida por el Derecho Privado.</w:t>
      </w:r>
    </w:p>
    <w:p w14:paraId="6135A74F" w14:textId="77777777" w:rsidR="00766E9C" w:rsidRPr="00C15525" w:rsidRDefault="00766E9C" w:rsidP="00766E9C">
      <w:pPr>
        <w:spacing w:after="0" w:line="276" w:lineRule="auto"/>
        <w:jc w:val="both"/>
        <w:rPr>
          <w:rFonts w:ascii="Verdana" w:hAnsi="Verdana" w:cs="Arial"/>
          <w:bCs/>
          <w:lang w:val="es-MX" w:eastAsia="x-none"/>
        </w:rPr>
      </w:pPr>
    </w:p>
    <w:p w14:paraId="626068BA" w14:textId="77777777" w:rsidR="00766E9C" w:rsidRPr="00C15525" w:rsidRDefault="00766E9C" w:rsidP="00766E9C">
      <w:pPr>
        <w:spacing w:after="120" w:line="276" w:lineRule="auto"/>
        <w:jc w:val="both"/>
        <w:rPr>
          <w:rFonts w:ascii="Verdana" w:hAnsi="Verdana" w:cs="Arial"/>
          <w:lang w:val="es-ES"/>
        </w:rPr>
      </w:pPr>
      <w:r w:rsidRPr="00C15525">
        <w:rPr>
          <w:rFonts w:ascii="Verdana" w:eastAsia="Calibri" w:hAnsi="Verdana" w:cs="Arial"/>
        </w:rPr>
        <w:t xml:space="preserve">v. </w:t>
      </w:r>
      <w:bookmarkEnd w:id="21"/>
      <w:bookmarkEnd w:id="22"/>
      <w:r>
        <w:rPr>
          <w:rFonts w:ascii="Verdana" w:hAnsi="Verdana" w:cs="Arial"/>
          <w:lang w:val="es-ES"/>
        </w:rPr>
        <w:t>R</w:t>
      </w:r>
      <w:r w:rsidRPr="00C15525">
        <w:rPr>
          <w:rFonts w:ascii="Verdana" w:hAnsi="Verdana" w:cs="Arial"/>
          <w:lang w:val="es-ES"/>
        </w:rPr>
        <w:t xml:space="preserve">especto del alcance del parágrafo </w:t>
      </w:r>
      <w:r w:rsidRPr="00C15525">
        <w:rPr>
          <w:rFonts w:ascii="Verdana" w:hAnsi="Verdana" w:cs="Arial"/>
        </w:rPr>
        <w:t xml:space="preserve">del artículo 38 de la Ley 996 de 2005, esta prohibición dispone que “Los Gobernadores, </w:t>
      </w:r>
      <w:proofErr w:type="gramStart"/>
      <w:r w:rsidRPr="00C15525">
        <w:rPr>
          <w:rFonts w:ascii="Verdana" w:hAnsi="Verdana" w:cs="Arial"/>
        </w:rPr>
        <w:t>Alcaldes</w:t>
      </w:r>
      <w:proofErr w:type="gramEnd"/>
      <w:r w:rsidRPr="00C15525">
        <w:rPr>
          <w:rFonts w:ascii="Verdana" w:hAnsi="Verdana" w:cs="Arial"/>
        </w:rPr>
        <w:t xml:space="preserve"> Municipales y/o Distritales, </w:t>
      </w:r>
      <w:proofErr w:type="gramStart"/>
      <w:r w:rsidRPr="00C15525">
        <w:rPr>
          <w:rFonts w:ascii="Verdana" w:hAnsi="Verdana" w:cs="Arial"/>
        </w:rPr>
        <w:t>Secretarios</w:t>
      </w:r>
      <w:proofErr w:type="gramEnd"/>
      <w:r w:rsidRPr="00C15525">
        <w:rPr>
          <w:rFonts w:ascii="Verdana" w:hAnsi="Verdana" w:cs="Arial"/>
        </w:rPr>
        <w:t xml:space="preserve">, Gerentes y directores de Entidades Descentralizadas del orden Municipal, Departamental o Distrital, dentro de los cuatro (4) meses anteriores </w:t>
      </w:r>
      <w:r w:rsidRPr="00C15525">
        <w:rPr>
          <w:rFonts w:ascii="Verdana" w:hAnsi="Verdana" w:cs="Arial"/>
        </w:rPr>
        <w:lastRenderedPageBreak/>
        <w:t>a las elecciones, no podrán celebrar convenios interadministrativos para la ejecución de recursos públicos”.</w:t>
      </w:r>
      <w:r w:rsidRPr="00C15525">
        <w:rPr>
          <w:rFonts w:ascii="Verdana" w:eastAsia="Times New Roman" w:hAnsi="Verdana" w:cs="Arial"/>
          <w:lang w:val="es-MX" w:eastAsia="x-none"/>
        </w:rPr>
        <w:t xml:space="preserve"> </w:t>
      </w:r>
    </w:p>
    <w:p w14:paraId="279E8F0C" w14:textId="77777777" w:rsidR="00766E9C" w:rsidRPr="00C15525" w:rsidRDefault="00766E9C" w:rsidP="00766E9C">
      <w:pPr>
        <w:spacing w:after="120" w:line="276" w:lineRule="auto"/>
        <w:ind w:firstLine="709"/>
        <w:jc w:val="both"/>
        <w:rPr>
          <w:rFonts w:ascii="Verdana" w:hAnsi="Verdana" w:cs="Arial"/>
          <w:lang w:eastAsia="es-ES"/>
        </w:rPr>
      </w:pPr>
      <w:r w:rsidRPr="00C15525">
        <w:rPr>
          <w:rFonts w:ascii="Verdana" w:eastAsia="Times New Roman" w:hAnsi="Verdana" w:cs="Arial"/>
          <w:lang w:val="es-ES" w:eastAsia="es-ES"/>
        </w:rPr>
        <w:t xml:space="preserve">Para tales efectos, debe precisarse que </w:t>
      </w:r>
      <w:r w:rsidRPr="00C15525">
        <w:rPr>
          <w:rFonts w:ascii="Verdana" w:eastAsia="Times New Roman" w:hAnsi="Verdana" w:cs="Arial"/>
          <w:color w:val="000000" w:themeColor="text1"/>
          <w:lang w:val="es-ES" w:eastAsia="es-CO"/>
        </w:rPr>
        <w:t xml:space="preserve">los contratos o convenios interadministrativos están determinados por un criterio orgánico, pues es necesario que los extremos de la relación contractual sean entidades públicas, </w:t>
      </w:r>
      <w:r w:rsidRPr="00C15525">
        <w:rPr>
          <w:rFonts w:ascii="Verdana" w:hAnsi="Verdana" w:cs="Arial"/>
          <w:lang w:eastAsia="es-ES"/>
        </w:rPr>
        <w:t>independientemente de las normas que regulan la relación contractual. En este sentido, los convenios interadministrativos solo pueden ser celebrados entre entidades públicas, pues a éstas corresponde la realización de los fines y tareas que el legislador les ha asignado</w:t>
      </w:r>
      <w:r w:rsidRPr="00C15525">
        <w:rPr>
          <w:rFonts w:ascii="Verdana" w:hAnsi="Verdana" w:cs="Arial"/>
          <w:vertAlign w:val="superscript"/>
          <w:lang w:eastAsia="es-ES"/>
        </w:rPr>
        <w:footnoteReference w:id="24"/>
      </w:r>
      <w:r w:rsidRPr="00C15525">
        <w:rPr>
          <w:rFonts w:ascii="Verdana" w:hAnsi="Verdana" w:cs="Arial"/>
          <w:lang w:eastAsia="es-ES"/>
        </w:rPr>
        <w:t>.</w:t>
      </w:r>
    </w:p>
    <w:p w14:paraId="08E29348" w14:textId="77777777" w:rsidR="00766E9C" w:rsidRPr="00C15525" w:rsidRDefault="00766E9C" w:rsidP="00766E9C">
      <w:pPr>
        <w:spacing w:before="120" w:after="0" w:line="276" w:lineRule="auto"/>
        <w:ind w:firstLine="708"/>
        <w:jc w:val="both"/>
        <w:rPr>
          <w:rFonts w:ascii="Verdana" w:eastAsia="Times New Roman" w:hAnsi="Verdana" w:cs="Arial"/>
          <w:lang w:val="es-MX" w:eastAsia="es-CO"/>
        </w:rPr>
      </w:pPr>
      <w:r w:rsidRPr="00C15525">
        <w:rPr>
          <w:rFonts w:ascii="Verdana" w:eastAsia="Arial" w:hAnsi="Verdana" w:cs="Arial"/>
          <w:lang w:val="es-MX" w:eastAsia="es-ES" w:bidi="es-ES"/>
        </w:rPr>
        <w:t>De esta manera, se</w:t>
      </w:r>
      <w:r w:rsidRPr="00C15525">
        <w:rPr>
          <w:rFonts w:ascii="Verdana" w:eastAsia="Times New Roman" w:hAnsi="Verdana" w:cs="Arial"/>
          <w:lang w:eastAsia="es-CO"/>
        </w:rPr>
        <w:t xml:space="preserve"> observa entonces que </w:t>
      </w:r>
      <w:r w:rsidRPr="00C15525">
        <w:rPr>
          <w:rFonts w:ascii="Verdana" w:eastAsia="Times New Roman" w:hAnsi="Verdana" w:cs="Arial"/>
          <w:lang w:val="es-MX" w:eastAsia="es-CO"/>
        </w:rPr>
        <w:t xml:space="preserve">el parágrafo del artículo 38 de la Ley 996 de 2005 prohíbe a los </w:t>
      </w:r>
      <w:proofErr w:type="gramStart"/>
      <w:r w:rsidRPr="00C15525">
        <w:rPr>
          <w:rFonts w:ascii="Verdana" w:eastAsia="Times New Roman" w:hAnsi="Verdana" w:cs="Arial"/>
          <w:lang w:val="es-MX" w:eastAsia="es-CO"/>
        </w:rPr>
        <w:t>Alcaldes</w:t>
      </w:r>
      <w:proofErr w:type="gramEnd"/>
      <w:r w:rsidRPr="00C15525">
        <w:rPr>
          <w:rFonts w:ascii="Verdana" w:eastAsia="Times New Roman" w:hAnsi="Verdana" w:cs="Arial"/>
          <w:lang w:val="es-MX" w:eastAsia="es-CO"/>
        </w:rPr>
        <w:t xml:space="preserve">, Gobernadores, </w:t>
      </w:r>
      <w:proofErr w:type="gramStart"/>
      <w:r w:rsidRPr="00C15525">
        <w:rPr>
          <w:rFonts w:ascii="Verdana" w:eastAsia="Times New Roman" w:hAnsi="Verdana" w:cs="Arial"/>
          <w:lang w:val="es-MX" w:eastAsia="es-CO"/>
        </w:rPr>
        <w:t>Secretarios</w:t>
      </w:r>
      <w:proofErr w:type="gramEnd"/>
      <w:r w:rsidRPr="00C15525">
        <w:rPr>
          <w:rFonts w:ascii="Verdana" w:eastAsia="Times New Roman" w:hAnsi="Verdana" w:cs="Arial"/>
          <w:lang w:val="es-MX" w:eastAsia="es-CO"/>
        </w:rPr>
        <w:t xml:space="preserve">, Gerentes y </w:t>
      </w:r>
      <w:proofErr w:type="gramStart"/>
      <w:r w:rsidRPr="00C15525">
        <w:rPr>
          <w:rFonts w:ascii="Verdana" w:eastAsia="Times New Roman" w:hAnsi="Verdana" w:cs="Arial"/>
          <w:lang w:val="es-MX" w:eastAsia="es-CO"/>
        </w:rPr>
        <w:t>Directores</w:t>
      </w:r>
      <w:proofErr w:type="gramEnd"/>
      <w:r w:rsidRPr="00C15525">
        <w:rPr>
          <w:rFonts w:ascii="Verdana" w:eastAsia="Times New Roman" w:hAnsi="Verdana" w:cs="Arial"/>
          <w:lang w:val="es-MX" w:eastAsia="es-CO"/>
        </w:rPr>
        <w:t xml:space="preserve"> de las entidades del orden municipal, departamental o distrital celebrar </w:t>
      </w:r>
      <w:r w:rsidRPr="00C15525">
        <w:rPr>
          <w:rFonts w:ascii="Verdana" w:eastAsia="Times New Roman" w:hAnsi="Verdana" w:cs="Arial"/>
          <w:i/>
          <w:iCs/>
          <w:lang w:val="es-MX" w:eastAsia="es-CO"/>
        </w:rPr>
        <w:t>convenios interadministrativos</w:t>
      </w:r>
      <w:r w:rsidRPr="00C15525">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C15525">
        <w:rPr>
          <w:rFonts w:ascii="Verdana" w:eastAsia="Times New Roman" w:hAnsi="Verdana" w:cs="Arial"/>
          <w:i/>
          <w:lang w:val="es-MX" w:eastAsia="es-CO"/>
        </w:rPr>
        <w:t>ibidem</w:t>
      </w:r>
      <w:r w:rsidRPr="00C15525">
        <w:rPr>
          <w:rFonts w:ascii="Verdana" w:eastAsia="Times New Roman" w:hAnsi="Verdana" w:cs="Arial"/>
          <w:lang w:val="es-MX" w:eastAsia="es-CO"/>
        </w:rPr>
        <w:t xml:space="preserve">, no podrá celebrar tales </w:t>
      </w:r>
      <w:r w:rsidRPr="00C15525">
        <w:rPr>
          <w:rFonts w:ascii="Verdana" w:eastAsia="Times New Roman" w:hAnsi="Verdana" w:cs="Arial"/>
          <w:i/>
          <w:iCs/>
          <w:lang w:val="es-MX" w:eastAsia="es-CO"/>
        </w:rPr>
        <w:t>convenios</w:t>
      </w:r>
      <w:r w:rsidRPr="00C15525">
        <w:rPr>
          <w:rFonts w:ascii="Verdana" w:eastAsia="Times New Roman" w:hAnsi="Verdana" w:cs="Arial"/>
          <w:lang w:val="es-MX" w:eastAsia="es-CO"/>
        </w:rPr>
        <w:t xml:space="preserve"> durante la aplicación de la Ley de Garantías Electorales, toda vez que la citada disposición hace referencia a dicha tipología contractual sin que el legislador hubiere contemplado un efecto extensivo a otra tipología. </w:t>
      </w:r>
    </w:p>
    <w:p w14:paraId="7738F56A" w14:textId="77777777" w:rsidR="00766E9C" w:rsidRPr="00C15525" w:rsidRDefault="00766E9C" w:rsidP="00766E9C">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val="es-MX" w:eastAsia="es-CO"/>
        </w:rPr>
        <w:t xml:space="preserve">Respecto del alcance de esta prohibición la Circular Externa No. 006 de 2025 expedida por la ANCP-CCE, en los literales </w:t>
      </w:r>
      <w:proofErr w:type="spellStart"/>
      <w:r w:rsidRPr="00C15525">
        <w:rPr>
          <w:rFonts w:ascii="Verdana" w:eastAsia="Times New Roman" w:hAnsi="Verdana" w:cs="Arial"/>
          <w:lang w:val="es-MX" w:eastAsia="es-CO"/>
        </w:rPr>
        <w:t>ii</w:t>
      </w:r>
      <w:proofErr w:type="spellEnd"/>
      <w:r w:rsidRPr="00C15525">
        <w:rPr>
          <w:rFonts w:ascii="Verdana" w:eastAsia="Times New Roman" w:hAnsi="Verdana" w:cs="Arial"/>
          <w:lang w:val="es-MX" w:eastAsia="es-CO"/>
        </w:rPr>
        <w:t xml:space="preserve">) y </w:t>
      </w:r>
      <w:proofErr w:type="spellStart"/>
      <w:r w:rsidRPr="00C15525">
        <w:rPr>
          <w:rFonts w:ascii="Verdana" w:eastAsia="Times New Roman" w:hAnsi="Verdana" w:cs="Arial"/>
          <w:lang w:val="es-MX" w:eastAsia="es-CO"/>
        </w:rPr>
        <w:t>iv</w:t>
      </w:r>
      <w:proofErr w:type="spellEnd"/>
      <w:r w:rsidRPr="00C15525">
        <w:rPr>
          <w:rFonts w:ascii="Verdana" w:eastAsia="Times New Roman" w:hAnsi="Verdana" w:cs="Arial"/>
          <w:lang w:val="es-MX" w:eastAsia="es-CO"/>
        </w:rPr>
        <w:t>) del numeral 2</w:t>
      </w:r>
      <w:r w:rsidRPr="00C15525">
        <w:rPr>
          <w:rFonts w:ascii="Verdana" w:eastAsia="Times New Roman" w:hAnsi="Verdana" w:cs="Arial"/>
          <w:lang w:eastAsia="es-CO"/>
        </w:rPr>
        <w:t>,</w:t>
      </w:r>
      <w:r w:rsidRPr="00C15525">
        <w:rPr>
          <w:rFonts w:ascii="Verdana" w:eastAsia="Times New Roman" w:hAnsi="Verdana" w:cs="Arial"/>
          <w:lang w:val="es-MX" w:eastAsia="es-CO"/>
        </w:rPr>
        <w:t xml:space="preserve"> indica que el </w:t>
      </w:r>
      <w:r w:rsidRPr="00C15525">
        <w:rPr>
          <w:rFonts w:ascii="Verdana" w:eastAsia="Times New Roman" w:hAnsi="Verdana" w:cs="Arial"/>
          <w:lang w:eastAsia="es-CO"/>
        </w:rPr>
        <w:t xml:space="preserve">parágrafo del artículo 38 de la Ley 996 de 2005 cobija expresamente a los </w:t>
      </w:r>
      <w:r w:rsidRPr="00C15525">
        <w:rPr>
          <w:rFonts w:ascii="Verdana" w:eastAsia="Times New Roman" w:hAnsi="Verdana" w:cs="Arial"/>
          <w:i/>
          <w:iCs/>
          <w:lang w:eastAsia="es-CO"/>
        </w:rPr>
        <w:t>convenios interadministrativos</w:t>
      </w:r>
      <w:r w:rsidRPr="00C15525">
        <w:rPr>
          <w:rFonts w:ascii="Verdana" w:eastAsia="Times New Roman" w:hAnsi="Verdana" w:cs="Arial"/>
          <w:lang w:eastAsia="es-CO"/>
        </w:rPr>
        <w:t xml:space="preserve"> en los que se contemple la ejecución de recursos públicos. </w:t>
      </w:r>
      <w:r>
        <w:rPr>
          <w:rFonts w:ascii="Verdana" w:eastAsia="Times New Roman" w:hAnsi="Verdana" w:cs="Arial"/>
          <w:lang w:eastAsia="es-CO"/>
        </w:rPr>
        <w:t>E</w:t>
      </w:r>
      <w:r w:rsidRPr="00BF6AB2">
        <w:rPr>
          <w:rFonts w:ascii="Verdana" w:eastAsia="Times New Roman" w:hAnsi="Verdana" w:cs="Arial"/>
          <w:lang w:eastAsia="es-CO"/>
        </w:rPr>
        <w:t xml:space="preserve">sto significa que la prohibición no resulta aplicable a convenios interadministrativos a título gratuito, los cuales pueden celebrarse válidamente durante la vigencia de la mencionada restricción. </w:t>
      </w:r>
      <w:r w:rsidRPr="00C15525">
        <w:rPr>
          <w:rFonts w:ascii="Verdana" w:eastAsia="Times New Roman" w:hAnsi="Verdana" w:cs="Arial"/>
          <w:lang w:eastAsia="es-CO"/>
        </w:rPr>
        <w:t xml:space="preserve">Además, precisa que el parágrafo referido no estableció ningún supuesto que exceptúe la aplicación de esta prohibición, por lo que la restricción referida a la celebración de convenios interadministrativos aplicará a los sujetos allí señalados, </w:t>
      </w:r>
      <w:r w:rsidRPr="00C15525">
        <w:rPr>
          <w:rFonts w:ascii="Verdana" w:eastAsia="Times New Roman" w:hAnsi="Verdana" w:cs="Arial"/>
          <w:i/>
          <w:iCs/>
          <w:lang w:eastAsia="es-CO"/>
        </w:rPr>
        <w:t>“aunque se configure alguno de los supuestos de excepción que señaló el inciso final del artículo 33</w:t>
      </w:r>
      <w:r w:rsidRPr="00C15525">
        <w:rPr>
          <w:rFonts w:ascii="Verdana" w:eastAsia="Times New Roman" w:hAnsi="Verdana" w:cs="Arial"/>
          <w:lang w:eastAsia="es-CO"/>
        </w:rPr>
        <w:t xml:space="preserve">”. </w:t>
      </w:r>
    </w:p>
    <w:p w14:paraId="5F2BCF8E" w14:textId="77777777" w:rsidR="00766E9C" w:rsidRPr="00C15525" w:rsidRDefault="00766E9C" w:rsidP="00766E9C">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eastAsia="es-CO"/>
        </w:rPr>
        <w:t xml:space="preserve">De esta manera, conforme a lo dispuesto en la Circular referida, si se suscriben </w:t>
      </w:r>
      <w:r w:rsidRPr="00C15525">
        <w:rPr>
          <w:rFonts w:ascii="Verdana" w:eastAsia="Times New Roman" w:hAnsi="Verdana" w:cs="Arial"/>
          <w:i/>
          <w:iCs/>
          <w:lang w:eastAsia="es-CO"/>
        </w:rPr>
        <w:t>convenios interadministrativos para la ejecución de recursos públicos</w:t>
      </w:r>
      <w:r w:rsidRPr="00C15525">
        <w:rPr>
          <w:rFonts w:ascii="Verdana" w:eastAsia="Times New Roman" w:hAnsi="Verdana" w:cs="Arial"/>
          <w:lang w:eastAsia="es-CO"/>
        </w:rPr>
        <w:t xml:space="preserve"> </w:t>
      </w:r>
      <w:r w:rsidRPr="00C15525">
        <w:rPr>
          <w:rFonts w:ascii="Verdana" w:eastAsia="Times New Roman" w:hAnsi="Verdana" w:cs="Arial"/>
          <w:lang w:eastAsia="es-CO"/>
        </w:rPr>
        <w:lastRenderedPageBreak/>
        <w:t xml:space="preserve">por los alcaldes, gobernadores, secretarios, gerentes y directores de las entidades del orden municipal, departamental o distrital, aplicará la prohibición del parágrafo del artículo 38 </w:t>
      </w:r>
      <w:r w:rsidRPr="00C15525">
        <w:rPr>
          <w:rFonts w:ascii="Verdana" w:eastAsia="Times New Roman" w:hAnsi="Verdana" w:cs="Arial"/>
          <w:i/>
          <w:iCs/>
          <w:lang w:eastAsia="es-CO"/>
        </w:rPr>
        <w:t>ibidem</w:t>
      </w:r>
      <w:r w:rsidRPr="00C15525">
        <w:rPr>
          <w:rFonts w:ascii="Verdana" w:eastAsia="Times New Roman" w:hAnsi="Verdana" w:cs="Arial"/>
          <w:lang w:eastAsia="es-CO"/>
        </w:rPr>
        <w:t>, independientemente de que se configure alguno de los supuestos de excepción que señaló el inciso final del artículo 33, es decir, que se trate de:</w:t>
      </w:r>
      <w:r w:rsidRPr="00C15525">
        <w:rPr>
          <w:rFonts w:ascii="Verdana" w:hAnsi="Verdana" w:cs="Arial"/>
          <w:bCs/>
          <w:lang w:val="es-MX" w:eastAsia="x-none"/>
        </w:rPr>
        <w:t xml:space="preserve"> i) la defensa y seguridad del Estado; </w:t>
      </w:r>
      <w:proofErr w:type="spellStart"/>
      <w:r w:rsidRPr="00C15525">
        <w:rPr>
          <w:rFonts w:ascii="Verdana" w:hAnsi="Verdana" w:cs="Arial"/>
          <w:bCs/>
          <w:lang w:val="es-MX" w:eastAsia="x-none"/>
        </w:rPr>
        <w:t>ii</w:t>
      </w:r>
      <w:proofErr w:type="spellEnd"/>
      <w:r w:rsidRPr="00C15525">
        <w:rPr>
          <w:rFonts w:ascii="Verdana" w:hAnsi="Verdana" w:cs="Arial"/>
          <w:bCs/>
          <w:lang w:val="es-MX" w:eastAsia="x-none"/>
        </w:rPr>
        <w:t xml:space="preserve">) los contratos de crédito público; </w:t>
      </w:r>
      <w:proofErr w:type="spellStart"/>
      <w:r w:rsidRPr="00C15525">
        <w:rPr>
          <w:rFonts w:ascii="Verdana" w:hAnsi="Verdana" w:cs="Arial"/>
          <w:bCs/>
          <w:lang w:val="es-MX" w:eastAsia="x-none"/>
        </w:rPr>
        <w:t>iii</w:t>
      </w:r>
      <w:proofErr w:type="spellEnd"/>
      <w:r w:rsidRPr="00C15525">
        <w:rPr>
          <w:rFonts w:ascii="Verdana" w:hAnsi="Verdana" w:cs="Arial"/>
          <w:bCs/>
          <w:lang w:val="es-MX" w:eastAsia="x-none"/>
        </w:rPr>
        <w:t xml:space="preserve">) los requeridos para cubrir las emergencias educativas, sanitarias y desastres; </w:t>
      </w:r>
      <w:proofErr w:type="spellStart"/>
      <w:r w:rsidRPr="00C15525">
        <w:rPr>
          <w:rFonts w:ascii="Verdana" w:hAnsi="Verdana" w:cs="Arial"/>
          <w:bCs/>
          <w:lang w:val="es-MX" w:eastAsia="x-none"/>
        </w:rPr>
        <w:t>iv</w:t>
      </w:r>
      <w:proofErr w:type="spellEnd"/>
      <w:r w:rsidRPr="00C15525">
        <w:rPr>
          <w:rFonts w:ascii="Verdana"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C15525">
        <w:rPr>
          <w:rFonts w:ascii="Verdana" w:hAnsi="Verdana" w:cs="Arial"/>
          <w:bCs/>
          <w:lang w:val="es-MX" w:eastAsia="es-CO"/>
        </w:rPr>
        <w:t xml:space="preserve"> </w:t>
      </w:r>
      <w:r w:rsidRPr="00C15525">
        <w:rPr>
          <w:rFonts w:ascii="Verdana" w:eastAsia="Times New Roman" w:hAnsi="Verdana" w:cs="Arial"/>
          <w:lang w:eastAsia="es-CO"/>
        </w:rPr>
        <w:t xml:space="preserve">  </w:t>
      </w:r>
    </w:p>
    <w:p w14:paraId="2EC651BB" w14:textId="77777777" w:rsidR="00766E9C" w:rsidRPr="00C15525" w:rsidRDefault="00766E9C" w:rsidP="00766E9C">
      <w:pPr>
        <w:spacing w:before="120" w:after="0" w:line="276" w:lineRule="auto"/>
        <w:ind w:firstLine="708"/>
        <w:jc w:val="both"/>
        <w:rPr>
          <w:rFonts w:ascii="Verdana" w:eastAsia="Times New Roman" w:hAnsi="Verdana" w:cs="Arial"/>
          <w:lang w:eastAsia="es-CO"/>
        </w:rPr>
      </w:pPr>
      <w:r w:rsidRPr="00C15525">
        <w:rPr>
          <w:rFonts w:ascii="Verdana" w:eastAsia="Times New Roman" w:hAnsi="Verdana" w:cs="Arial"/>
          <w:lang w:eastAsia="es-CO"/>
        </w:rPr>
        <w:t xml:space="preserve">En este punto, teniendo en cuenta lo señalado en el contenido de su petición, vale la pena destacar </w:t>
      </w:r>
      <w:proofErr w:type="gramStart"/>
      <w:r w:rsidRPr="00C15525">
        <w:rPr>
          <w:rFonts w:ascii="Verdana" w:eastAsia="Times New Roman" w:hAnsi="Verdana" w:cs="Arial"/>
          <w:lang w:eastAsia="es-CO"/>
        </w:rPr>
        <w:t>que</w:t>
      </w:r>
      <w:proofErr w:type="gramEnd"/>
      <w:r w:rsidRPr="00C15525">
        <w:rPr>
          <w:rFonts w:ascii="Verdana" w:eastAsia="Times New Roman" w:hAnsi="Verdana" w:cs="Arial"/>
          <w:lang w:eastAsia="es-CO"/>
        </w:rPr>
        <w:t xml:space="preserve"> </w:t>
      </w:r>
      <w:r w:rsidRPr="00C15525">
        <w:rPr>
          <w:rFonts w:ascii="Verdana" w:eastAsia="Arial" w:hAnsi="Verdana" w:cs="Arial"/>
          <w:lang w:val="es-MX" w:eastAsia="es-ES" w:bidi="es-ES"/>
        </w:rPr>
        <w:t xml:space="preserve">mediante auto de 4 de octubre del 2024, el Consejo de Estado, Subsección C de la Sección Tercera, decretó medida de suspensión provisional parcial del </w:t>
      </w:r>
      <w:r w:rsidRPr="00C15525">
        <w:rPr>
          <w:rFonts w:ascii="Verdana" w:hAnsi="Verdana" w:cs="Arial"/>
        </w:rPr>
        <w:t>numeral 16.2 de la Circular Externa Única de 2022 expedida por la Agencia Nacional de Contratación Pública – Colombia Compra Eficiente, concretamente, respecto de los siguientes apartes normativos</w:t>
      </w:r>
      <w:r w:rsidRPr="00C15525">
        <w:rPr>
          <w:rFonts w:ascii="Verdana" w:hAnsi="Verdana" w:cs="Arial"/>
          <w:vertAlign w:val="superscript"/>
        </w:rPr>
        <w:footnoteReference w:id="25"/>
      </w:r>
      <w:r w:rsidRPr="00C15525">
        <w:rPr>
          <w:rFonts w:ascii="Verdana" w:hAnsi="Verdana" w:cs="Arial"/>
        </w:rPr>
        <w:t xml:space="preserve">: </w:t>
      </w:r>
    </w:p>
    <w:p w14:paraId="093A2FEE" w14:textId="77777777" w:rsidR="00766E9C" w:rsidRPr="00C15525" w:rsidRDefault="00766E9C" w:rsidP="00766E9C">
      <w:pPr>
        <w:spacing w:after="0" w:line="276" w:lineRule="auto"/>
        <w:ind w:firstLine="709"/>
        <w:jc w:val="both"/>
        <w:rPr>
          <w:rFonts w:ascii="Verdana" w:hAnsi="Verdana" w:cs="Arial"/>
        </w:rPr>
      </w:pPr>
    </w:p>
    <w:p w14:paraId="184D6B65" w14:textId="77777777" w:rsidR="00766E9C" w:rsidRPr="00C15525" w:rsidRDefault="00766E9C" w:rsidP="00766E9C">
      <w:pPr>
        <w:spacing w:after="120" w:line="240" w:lineRule="auto"/>
        <w:ind w:left="709" w:right="709"/>
        <w:jc w:val="both"/>
        <w:rPr>
          <w:rFonts w:ascii="Verdana" w:hAnsi="Verdana" w:cs="Arial"/>
          <w:sz w:val="20"/>
          <w:szCs w:val="20"/>
        </w:rPr>
      </w:pPr>
      <w:r w:rsidRPr="00C15525">
        <w:rPr>
          <w:rFonts w:ascii="Verdana" w:hAnsi="Verdana" w:cs="Arial"/>
          <w:sz w:val="20"/>
          <w:szCs w:val="20"/>
          <w:lang w:val="es-MX"/>
        </w:rPr>
        <w:t>“i)</w:t>
      </w:r>
      <w:r w:rsidRPr="00C15525">
        <w:rPr>
          <w:rFonts w:ascii="Verdana"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D1DC26D" w14:textId="77777777" w:rsidR="00766E9C" w:rsidRPr="00C15525" w:rsidRDefault="00766E9C" w:rsidP="00766E9C">
      <w:pPr>
        <w:spacing w:after="0" w:line="240" w:lineRule="auto"/>
        <w:ind w:left="709" w:right="709"/>
        <w:jc w:val="both"/>
        <w:rPr>
          <w:rFonts w:ascii="Verdana" w:hAnsi="Verdana" w:cs="Arial"/>
          <w:sz w:val="20"/>
          <w:szCs w:val="20"/>
        </w:rPr>
      </w:pPr>
      <w:proofErr w:type="spellStart"/>
      <w:r w:rsidRPr="00C15525">
        <w:rPr>
          <w:rFonts w:ascii="Verdana" w:hAnsi="Verdana" w:cs="Arial"/>
          <w:sz w:val="20"/>
          <w:szCs w:val="20"/>
        </w:rPr>
        <w:t>ii</w:t>
      </w:r>
      <w:proofErr w:type="spellEnd"/>
      <w:r w:rsidRPr="00C15525">
        <w:rPr>
          <w:rFonts w:ascii="Verdana" w:hAnsi="Verdana" w:cs="Arial"/>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29B8CD67" w14:textId="77777777" w:rsidR="00766E9C" w:rsidRPr="00C15525" w:rsidRDefault="00766E9C" w:rsidP="00766E9C">
      <w:pPr>
        <w:spacing w:after="0" w:line="276" w:lineRule="auto"/>
        <w:ind w:left="709" w:right="709"/>
        <w:jc w:val="both"/>
        <w:rPr>
          <w:rFonts w:ascii="Verdana" w:hAnsi="Verdana" w:cs="Arial"/>
        </w:rPr>
      </w:pPr>
    </w:p>
    <w:p w14:paraId="31ACC15C" w14:textId="77777777" w:rsidR="00766E9C" w:rsidRPr="00C15525" w:rsidRDefault="00766E9C" w:rsidP="00766E9C">
      <w:pPr>
        <w:spacing w:after="120" w:line="276" w:lineRule="auto"/>
        <w:ind w:firstLine="709"/>
        <w:jc w:val="both"/>
        <w:rPr>
          <w:rFonts w:ascii="Verdana" w:eastAsia="Arial" w:hAnsi="Verdana" w:cs="Arial"/>
          <w:i/>
          <w:iCs/>
          <w:lang w:eastAsia="es-ES" w:bidi="es-ES"/>
        </w:rPr>
      </w:pPr>
      <w:r w:rsidRPr="00C15525">
        <w:rPr>
          <w:rFonts w:ascii="Verdana" w:eastAsia="Arial" w:hAnsi="Verdana" w:cs="Arial"/>
          <w:lang w:val="es-MX" w:eastAsia="es-ES" w:bidi="es-ES"/>
        </w:rPr>
        <w:lastRenderedPageBreak/>
        <w:t xml:space="preserve">De conformidad con los argumentos de dicha providencia, se parte de la distinción entre los conceptos </w:t>
      </w:r>
      <w:r w:rsidRPr="00C15525">
        <w:rPr>
          <w:rFonts w:ascii="Verdana" w:eastAsia="Arial" w:hAnsi="Verdana" w:cs="Arial"/>
          <w:lang w:eastAsia="es-ES" w:bidi="es-ES"/>
        </w:rPr>
        <w:t>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w:t>
      </w:r>
      <w:r w:rsidRPr="00C15525">
        <w:rPr>
          <w:rFonts w:ascii="Verdana" w:hAnsi="Verdana"/>
          <w:sz w:val="24"/>
          <w:szCs w:val="24"/>
          <w:lang w:eastAsia="es-CO"/>
        </w:rPr>
        <w:t xml:space="preserve"> </w:t>
      </w:r>
      <w:r w:rsidRPr="00C15525">
        <w:rPr>
          <w:rFonts w:ascii="Verdana" w:eastAsia="Arial" w:hAnsi="Verdana" w:cs="Arial"/>
          <w:lang w:eastAsia="es-ES" w:bidi="es-ES"/>
        </w:rPr>
        <w:t xml:space="preserve">En este sentido, en relación con el parágrafo del artículo 38 de la Ley 996 de 2005 concluyó que </w:t>
      </w:r>
      <w:r w:rsidRPr="00C15525">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C15525">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C15525">
        <w:rPr>
          <w:rFonts w:ascii="Verdana" w:eastAsia="Arial" w:hAnsi="Verdana" w:cs="Arial"/>
          <w:i/>
          <w:iCs/>
          <w:lang w:eastAsia="es-ES" w:bidi="es-ES"/>
        </w:rPr>
        <w:t>“con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w:t>
      </w:r>
      <w:r w:rsidRPr="00C15525">
        <w:rPr>
          <w:rFonts w:ascii="Verdana" w:eastAsia="Arial" w:hAnsi="Verdana" w:cs="Arial"/>
          <w:lang w:eastAsia="es-ES" w:bidi="es-ES"/>
        </w:rPr>
        <w:t>”</w:t>
      </w:r>
      <w:r w:rsidRPr="00C15525">
        <w:rPr>
          <w:rFonts w:ascii="Verdana" w:eastAsia="Arial" w:hAnsi="Verdana" w:cs="Arial"/>
          <w:i/>
          <w:iCs/>
          <w:lang w:eastAsia="es-ES" w:bidi="es-ES"/>
        </w:rPr>
        <w:t xml:space="preserve">. </w:t>
      </w:r>
    </w:p>
    <w:p w14:paraId="4B82B133" w14:textId="77777777" w:rsidR="00766E9C" w:rsidRPr="00C15525" w:rsidRDefault="00766E9C" w:rsidP="00766E9C">
      <w:pPr>
        <w:spacing w:after="120" w:line="276" w:lineRule="auto"/>
        <w:ind w:firstLine="709"/>
        <w:jc w:val="both"/>
        <w:rPr>
          <w:rFonts w:ascii="Verdana" w:eastAsia="Arial" w:hAnsi="Verdana" w:cs="Arial"/>
          <w:lang w:eastAsia="es-ES" w:bidi="es-ES"/>
        </w:rPr>
      </w:pPr>
      <w:r w:rsidRPr="00C15525">
        <w:rPr>
          <w:rFonts w:ascii="Verdana" w:eastAsia="Arial" w:hAnsi="Verdana" w:cs="Arial"/>
          <w:lang w:eastAsia="es-ES" w:bidi="es-ES"/>
        </w:rPr>
        <w:t>De igual manera, mediante auto del 6 de noviembre de 2025, el Consejo de Estado, Subsección A de la Sección Tercera, decretó</w:t>
      </w:r>
      <w:r w:rsidRPr="00C15525">
        <w:rPr>
          <w:rFonts w:ascii="Verdana" w:eastAsia="Arial" w:hAnsi="Verdana" w:cs="Arial"/>
          <w:b/>
          <w:bCs/>
          <w:lang w:eastAsia="es-ES" w:bidi="es-ES"/>
        </w:rPr>
        <w:t xml:space="preserve"> </w:t>
      </w:r>
      <w:r w:rsidRPr="00C15525">
        <w:rPr>
          <w:rFonts w:ascii="Verdana" w:eastAsia="Arial" w:hAnsi="Verdana" w:cs="Arial"/>
          <w:lang w:eastAsia="es-ES" w:bidi="es-ES"/>
        </w:rPr>
        <w:t>la suspensión provisional de los apartes cuestionados del inciso segundo y del inciso cuarto del numeral 16.2 de la Circular Externa Única, versión 3 del 27 de diciembre de 2023, expedida por la Agencia Nacional de Contratación Pública – Colombia Compra Eficiente relacionados con los contratos interadministrativos</w:t>
      </w:r>
      <w:r w:rsidRPr="00C15525">
        <w:rPr>
          <w:rFonts w:ascii="Verdana" w:eastAsia="Arial" w:hAnsi="Verdana" w:cs="Arial"/>
          <w:vertAlign w:val="superscript"/>
          <w:lang w:eastAsia="es-ES" w:bidi="es-ES"/>
        </w:rPr>
        <w:footnoteReference w:id="26"/>
      </w:r>
      <w:r w:rsidRPr="00C15525">
        <w:rPr>
          <w:rFonts w:ascii="Verdana" w:eastAsia="Arial" w:hAnsi="Verdana" w:cs="Arial"/>
          <w:lang w:eastAsia="es-ES" w:bidi="es-ES"/>
        </w:rPr>
        <w:t xml:space="preserve">. Para tales efectos, el alto tribunal resaltó la interpretación restrictiva de las normas que contienen prohibiciones, como la del parágrafo del artículo 38 de la Ley 996 de </w:t>
      </w:r>
      <w:r w:rsidRPr="00C15525">
        <w:rPr>
          <w:rFonts w:ascii="Verdana" w:eastAsia="Arial" w:hAnsi="Verdana" w:cs="Arial"/>
          <w:lang w:eastAsia="es-ES" w:bidi="es-ES"/>
        </w:rPr>
        <w:lastRenderedPageBreak/>
        <w:t xml:space="preserve">2005, por manera que se excluye la analogía </w:t>
      </w:r>
      <w:proofErr w:type="spellStart"/>
      <w:r w:rsidRPr="00C15525">
        <w:rPr>
          <w:rFonts w:ascii="Verdana" w:eastAsia="Arial" w:hAnsi="Verdana" w:cs="Arial"/>
          <w:lang w:eastAsia="es-ES" w:bidi="es-ES"/>
        </w:rPr>
        <w:t>legis</w:t>
      </w:r>
      <w:proofErr w:type="spellEnd"/>
      <w:r w:rsidRPr="00C15525">
        <w:rPr>
          <w:rFonts w:ascii="Verdana" w:eastAsia="Arial" w:hAnsi="Verdana" w:cs="Arial"/>
          <w:lang w:eastAsia="es-ES" w:bidi="es-ES"/>
        </w:rPr>
        <w:t xml:space="preserve"> o iuris y la interpretación extensiva y reiteró los argumentos sobre la diferencia entre contratos y convenios interadministrativos. </w:t>
      </w:r>
    </w:p>
    <w:p w14:paraId="6FD4D601" w14:textId="77777777" w:rsidR="00766E9C" w:rsidRPr="00C15525" w:rsidRDefault="00766E9C" w:rsidP="00766E9C">
      <w:pPr>
        <w:spacing w:after="120" w:line="276" w:lineRule="auto"/>
        <w:ind w:firstLine="709"/>
        <w:jc w:val="both"/>
        <w:rPr>
          <w:rFonts w:ascii="Verdana" w:eastAsia="Times New Roman" w:hAnsi="Verdana" w:cs="Times New Roman"/>
          <w:lang w:eastAsia="es-ES"/>
        </w:rPr>
      </w:pPr>
      <w:r w:rsidRPr="00C15525">
        <w:rPr>
          <w:rFonts w:ascii="Verdana" w:eastAsia="Arial" w:hAnsi="Verdana" w:cs="Arial"/>
          <w:lang w:eastAsia="es-ES" w:bidi="es-ES"/>
        </w:rPr>
        <w:t xml:space="preserve">Finalmente, mediante sentencia del 17 de octubre de 2025, emitida por la Sala de lo Contencioso Administrativo del Consejo de Estado, dentro del expediente </w:t>
      </w:r>
      <w:r w:rsidRPr="00C15525">
        <w:rPr>
          <w:rFonts w:ascii="Verdana" w:eastAsia="Times New Roman" w:hAnsi="Verdana" w:cs="Times New Roman"/>
          <w:lang w:eastAsia="es-ES"/>
        </w:rPr>
        <w:t xml:space="preserve">11001-03-26-000-2023-00139-00, se declaró la nulidad parcial del numeral 16.2 de la Circular Externa Única de 2022 expedida por la Agencia Nacional de Contratación Pública - Colombia Compra Eficiente que indicaba: “Esta restricción es aplicable tanto a los convenios como a los contratos interadministrativos…”. </w:t>
      </w:r>
    </w:p>
    <w:p w14:paraId="5322D475" w14:textId="77777777" w:rsidR="00766E9C" w:rsidRPr="00C15525" w:rsidRDefault="00766E9C" w:rsidP="00766E9C">
      <w:pPr>
        <w:spacing w:after="120" w:line="276" w:lineRule="auto"/>
        <w:ind w:firstLine="709"/>
        <w:jc w:val="both"/>
        <w:rPr>
          <w:rFonts w:ascii="Verdana" w:eastAsia="Times New Roman" w:hAnsi="Verdana" w:cs="Times New Roman"/>
          <w:lang w:eastAsia="es-ES"/>
        </w:rPr>
      </w:pPr>
      <w:r w:rsidRPr="00C15525">
        <w:rPr>
          <w:rFonts w:ascii="Verdana" w:eastAsia="Times New Roman" w:hAnsi="Verdana" w:cs="Times New Roman"/>
          <w:lang w:eastAsia="es-ES"/>
        </w:rPr>
        <w:t>La anterior decisión se adoptó al considerar que la Agencia excedió su competencia material al incluir contratos en una restricción que la Ley de Garantías Electorales solo previó para convenios, cuando no es posible aplicar por analogía o extensión una norma que establece prohibiciones</w:t>
      </w:r>
      <w:r w:rsidRPr="00C15525">
        <w:rPr>
          <w:rFonts w:ascii="Verdana" w:eastAsia="Times New Roman" w:hAnsi="Verdana" w:cs="Times New Roman"/>
          <w:vertAlign w:val="superscript"/>
          <w:lang w:eastAsia="es-ES"/>
        </w:rPr>
        <w:footnoteReference w:id="27"/>
      </w:r>
      <w:r w:rsidRPr="00C15525">
        <w:rPr>
          <w:rFonts w:ascii="Verdana" w:eastAsia="Times New Roman" w:hAnsi="Verdana" w:cs="Times New Roman"/>
          <w:lang w:eastAsia="es-ES"/>
        </w:rPr>
        <w:t xml:space="preserve">. Sobre el particular, la Sala concluyó que contratos y convenios interadministrativos son figuras distintas en naturaleza, objeto y efectos, pues mientras los contratos implican obligaciones patrimoniales y contraprestación, los convenios se basan en cooperación sin ánimo económico. Por ello, la restricción legal no podía aplicarse extensivamente a los contratos. </w:t>
      </w:r>
    </w:p>
    <w:p w14:paraId="7A3D5C26" w14:textId="77777777" w:rsidR="00766E9C" w:rsidRPr="00C15525" w:rsidRDefault="00766E9C" w:rsidP="00766E9C">
      <w:pPr>
        <w:spacing w:after="120" w:line="276" w:lineRule="auto"/>
        <w:ind w:firstLine="709"/>
        <w:jc w:val="both"/>
        <w:rPr>
          <w:rFonts w:ascii="Verdana" w:eastAsia="Times New Roman" w:hAnsi="Verdana" w:cs="Arial"/>
          <w:lang w:eastAsia="es-CO"/>
        </w:rPr>
      </w:pPr>
      <w:r w:rsidRPr="00C15525">
        <w:rPr>
          <w:rFonts w:ascii="Verdana" w:eastAsia="Times New Roman" w:hAnsi="Verdana" w:cs="Times New Roman"/>
          <w:lang w:eastAsia="es-ES"/>
        </w:rPr>
        <w:t xml:space="preserve">A juicio de la Sala, aunque el propósito de la Circular Externa era legítimo –evitar el uso indebido de recursos en época electoral–, el numeral 16.2. desconoció el alcance literal del artículo 38 de la Ley 996 de 2005 y los límites de la potestad reglamentaria, lo que configuró un vicio de contenido. </w:t>
      </w:r>
      <w:r w:rsidRPr="00C15525">
        <w:rPr>
          <w:rFonts w:ascii="Verdana" w:eastAsia="Times New Roman" w:hAnsi="Verdana" w:cs="Arial"/>
          <w:lang w:eastAsia="es-CO"/>
        </w:rPr>
        <w:t xml:space="preserve">Así las cosas, a la luz de lo expuesto por el Consejo de Estado, en la sentencia expedida por la Sección Tercera de la Sala de lo Contencioso Administrativo del 17 de </w:t>
      </w:r>
      <w:r w:rsidRPr="00C15525">
        <w:rPr>
          <w:rFonts w:ascii="Verdana" w:eastAsia="Times New Roman" w:hAnsi="Verdana" w:cs="Arial"/>
          <w:lang w:eastAsia="es-CO"/>
        </w:rPr>
        <w:lastRenderedPageBreak/>
        <w:t xml:space="preserve">octubre de 2025, en los autos del 4 de octubre de 2024 y 6 de noviembre de 2025, no resultaría aplicable la prohibición del parágrafo del artículo 38 de la Ley de Garantías Electorales a los </w:t>
      </w:r>
      <w:r w:rsidRPr="00C15525">
        <w:rPr>
          <w:rFonts w:ascii="Verdana" w:eastAsia="Times New Roman" w:hAnsi="Verdana" w:cs="Arial"/>
          <w:i/>
          <w:iCs/>
          <w:lang w:eastAsia="es-CO"/>
        </w:rPr>
        <w:t>contratos interadministrativos</w:t>
      </w:r>
      <w:r w:rsidRPr="00C15525">
        <w:rPr>
          <w:rFonts w:ascii="Verdana" w:eastAsia="Times New Roman" w:hAnsi="Verdana" w:cs="Arial"/>
          <w:lang w:eastAsia="es-CO"/>
        </w:rPr>
        <w:t>, esta prohibición solo aplicaría a los convenios interadministrativos que impliquen la ejecución de recursos públicos</w:t>
      </w:r>
      <w:r w:rsidRPr="00C15525">
        <w:rPr>
          <w:rFonts w:ascii="Verdana" w:eastAsia="Times New Roman" w:hAnsi="Verdana" w:cs="Arial"/>
          <w:vertAlign w:val="superscript"/>
          <w:lang w:eastAsia="es-CO"/>
        </w:rPr>
        <w:footnoteReference w:id="28"/>
      </w:r>
      <w:r w:rsidRPr="00C15525">
        <w:rPr>
          <w:rFonts w:ascii="Verdana" w:eastAsia="Times New Roman" w:hAnsi="Verdana" w:cs="Arial"/>
          <w:lang w:eastAsia="es-CO"/>
        </w:rPr>
        <w:t>.</w:t>
      </w:r>
    </w:p>
    <w:p w14:paraId="1F05213B" w14:textId="77777777" w:rsidR="00766E9C" w:rsidRDefault="00766E9C" w:rsidP="00766E9C">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val="es-MX" w:eastAsia="x-none"/>
        </w:rPr>
        <w:t>No obstante, el análisis realizado en la sentencia se refiere únicamente al artículo 38, más no a la limitación contenida en el artículo 33, que prohíbe adelantar cualquier tipo de contratación bajo la modalidad de contratación directa. Es decir, lo resuelto en dicha sentencia no contempló la prohibición de celebrar contratos interadministrativos</w:t>
      </w:r>
      <w:r w:rsidRPr="00432D54">
        <w:rPr>
          <w:rFonts w:ascii="Verdana" w:eastAsia="Times New Roman" w:hAnsi="Verdana" w:cs="Arial"/>
          <w:bCs/>
          <w:lang w:val="es-MX" w:eastAsia="x-none"/>
        </w:rPr>
        <w:t xml:space="preserve"> </w:t>
      </w:r>
      <w:r>
        <w:rPr>
          <w:rFonts w:ascii="Verdana" w:eastAsia="Times New Roman" w:hAnsi="Verdana" w:cs="Arial"/>
          <w:bCs/>
          <w:lang w:val="es-MX" w:eastAsia="x-none"/>
        </w:rPr>
        <w:t xml:space="preserve">o convenios a título gratuito de forma directa, que están sujetos a la restricción del artículo 33 de la Ley 996 de 2005. En este sentido, todos los entes del Estado, independiente del régimen jurídico aplicable, están sujetos a la restricción del artículo 33 de la Ley 996 de 2005, es decir, no podrán adelantar ningún tipo contratación directa respecto de </w:t>
      </w:r>
      <w:r>
        <w:rPr>
          <w:rFonts w:ascii="Verdana" w:eastAsia="Times New Roman" w:hAnsi="Verdana" w:cs="Arial"/>
          <w:bCs/>
          <w:lang w:val="es-MX" w:eastAsia="x-none" w:bidi="es-ES"/>
        </w:rPr>
        <w:t xml:space="preserve">las elecciones presidenciales, dentro de los 4 meses anteriores a la celebración de dichos comicios, salvo las excepciones allí establecidas. </w:t>
      </w:r>
    </w:p>
    <w:p w14:paraId="22D89EFD" w14:textId="77777777" w:rsidR="00766E9C" w:rsidRDefault="00766E9C" w:rsidP="00766E9C">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bidi="es-ES"/>
        </w:rPr>
        <w:t xml:space="preserve">Al respecto, </w:t>
      </w:r>
      <w:r w:rsidRPr="00C15525">
        <w:rPr>
          <w:rFonts w:ascii="Verdana" w:eastAsia="Times New Roman" w:hAnsi="Verdana" w:cs="Arial"/>
          <w:lang w:val="es-MX" w:eastAsia="es-CO"/>
        </w:rPr>
        <w:t>la Circular Externa No. 006 de 2025 expedida por la ANCP-CCE,</w:t>
      </w:r>
      <w:r>
        <w:rPr>
          <w:rFonts w:ascii="Verdana" w:eastAsia="Times New Roman" w:hAnsi="Verdana" w:cs="Arial"/>
          <w:lang w:val="es-MX" w:eastAsia="es-CO"/>
        </w:rPr>
        <w:t xml:space="preserve"> </w:t>
      </w:r>
      <w:r>
        <w:rPr>
          <w:rFonts w:ascii="Verdana" w:eastAsia="Times New Roman" w:hAnsi="Verdana" w:cs="Arial"/>
          <w:lang w:eastAsia="es-CO"/>
        </w:rPr>
        <w:t xml:space="preserve">en el </w:t>
      </w:r>
      <w:r>
        <w:rPr>
          <w:rFonts w:ascii="Verdana" w:eastAsia="Times New Roman" w:hAnsi="Verdana" w:cs="Arial"/>
          <w:lang w:val="es-MX" w:eastAsia="es-CO"/>
        </w:rPr>
        <w:t xml:space="preserve">numeral 1 literal </w:t>
      </w:r>
      <w:proofErr w:type="spellStart"/>
      <w:r>
        <w:rPr>
          <w:rFonts w:ascii="Verdana" w:eastAsia="Times New Roman" w:hAnsi="Verdana" w:cs="Arial"/>
          <w:lang w:val="es-MX" w:eastAsia="es-CO"/>
        </w:rPr>
        <w:t>ii</w:t>
      </w:r>
      <w:proofErr w:type="spellEnd"/>
      <w:r>
        <w:rPr>
          <w:rFonts w:ascii="Verdana" w:eastAsia="Times New Roman" w:hAnsi="Verdana" w:cs="Arial"/>
          <w:lang w:val="es-MX" w:eastAsia="es-CO"/>
        </w:rPr>
        <w:t>) “ámbito material de aplicación” señaló que l</w:t>
      </w:r>
      <w:r w:rsidRPr="007C29D8">
        <w:rPr>
          <w:rFonts w:ascii="Verdana" w:eastAsia="Times New Roman" w:hAnsi="Verdana" w:cs="Arial"/>
          <w:lang w:eastAsia="es-CO"/>
        </w:rPr>
        <w:t>a restricción del artículo 33 no se encuentra condicionada por la ejecución de recursos en el marco de los respectivos contratos o el origen de estos, de manera que aplica independientemente de que el contrato implique o no la ejecución de recursos o si los recursos destinados son de naturaleza pública o privada.</w:t>
      </w:r>
    </w:p>
    <w:p w14:paraId="6B581F7B" w14:textId="77777777" w:rsidR="00766E9C" w:rsidRDefault="00766E9C" w:rsidP="00766E9C">
      <w:pPr>
        <w:spacing w:after="120" w:line="276" w:lineRule="auto"/>
        <w:ind w:firstLine="709"/>
        <w:jc w:val="both"/>
        <w:rPr>
          <w:rFonts w:ascii="Verdana" w:eastAsia="Times New Roman" w:hAnsi="Verdana" w:cs="Arial"/>
          <w:lang w:eastAsia="es-CO"/>
        </w:rPr>
      </w:pPr>
      <w:r>
        <w:rPr>
          <w:rFonts w:ascii="Verdana" w:eastAsia="Times New Roman" w:hAnsi="Verdana" w:cs="Arial"/>
          <w:lang w:eastAsia="es-CO"/>
        </w:rPr>
        <w:t xml:space="preserve">Vale la pena reiterar que </w:t>
      </w:r>
      <w:r w:rsidRPr="00A32F0A">
        <w:rPr>
          <w:rFonts w:ascii="Verdana" w:eastAsia="Times New Roman" w:hAnsi="Verdana" w:cs="Arial"/>
          <w:lang w:eastAsia="es-CO"/>
        </w:rPr>
        <w:t xml:space="preserve">las prohibiciones del artículo 33 y del parágrafo del artículo 38 no se excluyen, sino que se integran parcialmente, por lo que en periodo preelectoral para elección de </w:t>
      </w:r>
      <w:proofErr w:type="gramStart"/>
      <w:r w:rsidRPr="00A32F0A">
        <w:rPr>
          <w:rFonts w:ascii="Verdana" w:eastAsia="Times New Roman" w:hAnsi="Verdana" w:cs="Arial"/>
          <w:lang w:eastAsia="es-CO"/>
        </w:rPr>
        <w:t>Presidente</w:t>
      </w:r>
      <w:proofErr w:type="gramEnd"/>
      <w:r w:rsidRPr="00A32F0A">
        <w:rPr>
          <w:rFonts w:ascii="Verdana" w:eastAsia="Times New Roman" w:hAnsi="Verdana" w:cs="Arial"/>
          <w:lang w:eastAsia="es-CO"/>
        </w:rPr>
        <w:t xml:space="preserve"> de la República, a todos los entes del Estado, incluidos los territoriales, se aplican las restricciones del artículo 33 con sus excepciones, así como las del parágrafo del artículo 38</w:t>
      </w:r>
      <w:r>
        <w:rPr>
          <w:rFonts w:ascii="Verdana" w:eastAsia="Times New Roman" w:hAnsi="Verdana" w:cs="Arial"/>
          <w:lang w:eastAsia="es-CO"/>
        </w:rPr>
        <w:t xml:space="preserve">. En este sentido, esta integración parcial no comporta extender la viabilidad para celebrar de forma directa contratos interadministrativos o convenios a título gratuito durante la vigencia de la restricción del artículo 33, pues esta disposición </w:t>
      </w:r>
      <w:r>
        <w:rPr>
          <w:rFonts w:ascii="Verdana" w:eastAsia="Times New Roman" w:hAnsi="Verdana" w:cs="Arial"/>
          <w:lang w:eastAsia="es-CO"/>
        </w:rPr>
        <w:lastRenderedPageBreak/>
        <w:t xml:space="preserve">es clara al indicar que queda prohibida la </w:t>
      </w:r>
      <w:r w:rsidRPr="00587343">
        <w:rPr>
          <w:rFonts w:ascii="Verdana" w:eastAsia="Times New Roman" w:hAnsi="Verdana" w:cs="Arial"/>
          <w:i/>
          <w:iCs/>
          <w:lang w:eastAsia="es-CO"/>
        </w:rPr>
        <w:t>contratación directa</w:t>
      </w:r>
      <w:r>
        <w:rPr>
          <w:rFonts w:ascii="Verdana" w:eastAsia="Times New Roman" w:hAnsi="Verdana" w:cs="Arial"/>
          <w:i/>
          <w:iCs/>
          <w:lang w:eastAsia="es-CO"/>
        </w:rPr>
        <w:t xml:space="preserve">, </w:t>
      </w:r>
      <w:r w:rsidRPr="00612214">
        <w:rPr>
          <w:rFonts w:ascii="Verdana" w:eastAsia="Times New Roman" w:hAnsi="Verdana" w:cs="Arial"/>
          <w:lang w:eastAsia="es-CO"/>
        </w:rPr>
        <w:t>cuyas excepciones se encuentran expresamente relacionadas en el inciso segundo.</w:t>
      </w:r>
      <w:r>
        <w:rPr>
          <w:rFonts w:ascii="Verdana" w:eastAsia="Times New Roman" w:hAnsi="Verdana" w:cs="Arial"/>
          <w:lang w:eastAsia="es-CO"/>
        </w:rPr>
        <w:t xml:space="preserve"> </w:t>
      </w:r>
    </w:p>
    <w:p w14:paraId="2EBCAE24" w14:textId="77777777" w:rsidR="00766E9C" w:rsidRDefault="00766E9C" w:rsidP="00766E9C">
      <w:pPr>
        <w:spacing w:after="120" w:line="276" w:lineRule="auto"/>
        <w:ind w:firstLine="709"/>
        <w:jc w:val="both"/>
        <w:rPr>
          <w:rFonts w:ascii="Verdana" w:eastAsia="Times New Roman" w:hAnsi="Verdana" w:cs="Arial"/>
          <w:lang w:eastAsia="es-CO"/>
        </w:rPr>
      </w:pPr>
      <w:r>
        <w:rPr>
          <w:rFonts w:ascii="Verdana" w:eastAsia="Times New Roman" w:hAnsi="Verdana" w:cs="Arial"/>
          <w:bCs/>
          <w:lang w:eastAsia="x-none"/>
        </w:rPr>
        <w:t xml:space="preserve">Esto significa que antes del inicio de la restricción del artículo 33 de aplicación de la Ley de Garantías Electorales, esto es, hasta el 30 de enero de 2026, las entidades estatales estaban jurídicamente habilitados para suscribir contratos interadministrativos y convenios interadministrativos a título gratuito, incluso bajo modalidades de contratación directa, ya que la restricción del parágrafo del artículo 38 cobija únicamente a los convenios interadministrativos para la ejecución de recursos. No obstante, al haber entrado en vigor la restricción del artículo 33 el pasado 31 de enero de 2026, quedo restringida </w:t>
      </w:r>
      <w:r w:rsidRPr="00DD43DA">
        <w:rPr>
          <w:rFonts w:ascii="Verdana" w:eastAsia="Times New Roman" w:hAnsi="Verdana" w:cs="Arial"/>
          <w:bCs/>
          <w:i/>
          <w:iCs/>
          <w:lang w:eastAsia="x-none"/>
        </w:rPr>
        <w:t>toda contratación directa</w:t>
      </w:r>
      <w:r>
        <w:rPr>
          <w:rFonts w:ascii="Verdana" w:eastAsia="Times New Roman" w:hAnsi="Verdana" w:cs="Arial"/>
          <w:bCs/>
          <w:lang w:eastAsia="x-none"/>
        </w:rPr>
        <w:t xml:space="preserve">, lo que incluye a los contratos y convenios interadministrativos que se celebren de forma directa con o sin ejecución de recursos. En tal sentido, hasta que no se desarrollen los comicios para escoger presidente de la República, las entidades estatales solo tienen la posibilidad de suscribir contratos y/o convenios interadministrativos: i) previo desarrollo de proceso competitivo; </w:t>
      </w:r>
      <w:proofErr w:type="spellStart"/>
      <w:r>
        <w:rPr>
          <w:rFonts w:ascii="Verdana" w:eastAsia="Times New Roman" w:hAnsi="Verdana" w:cs="Arial"/>
          <w:bCs/>
          <w:lang w:eastAsia="x-none"/>
        </w:rPr>
        <w:t>ii</w:t>
      </w:r>
      <w:proofErr w:type="spellEnd"/>
      <w:r>
        <w:rPr>
          <w:rFonts w:ascii="Verdana" w:eastAsia="Times New Roman" w:hAnsi="Verdana" w:cs="Arial"/>
          <w:bCs/>
          <w:lang w:eastAsia="x-none"/>
        </w:rPr>
        <w:t xml:space="preserve">) cuando se configure alguno de las excepciones contempladas en el inciso segundo del artículo 33 de la Ley 996 de 2005 o </w:t>
      </w:r>
      <w:proofErr w:type="spellStart"/>
      <w:r>
        <w:rPr>
          <w:rFonts w:ascii="Verdana" w:eastAsia="Times New Roman" w:hAnsi="Verdana" w:cs="Arial"/>
          <w:bCs/>
          <w:lang w:eastAsia="x-none"/>
        </w:rPr>
        <w:t>iii</w:t>
      </w:r>
      <w:proofErr w:type="spellEnd"/>
      <w:r>
        <w:rPr>
          <w:rFonts w:ascii="Verdana" w:eastAsia="Times New Roman" w:hAnsi="Verdana" w:cs="Arial"/>
          <w:bCs/>
          <w:lang w:eastAsia="x-none"/>
        </w:rPr>
        <w:t xml:space="preserve">) los que </w:t>
      </w:r>
      <w:r w:rsidRPr="00C15525">
        <w:rPr>
          <w:rFonts w:ascii="Verdana" w:eastAsia="Times New Roman" w:hAnsi="Verdana" w:cs="Arial"/>
          <w:lang w:eastAsia="es-CO" w:bidi="es-ES"/>
        </w:rPr>
        <w:t>deben celebrarse en virtud de un fallo judicial</w:t>
      </w:r>
      <w:r>
        <w:rPr>
          <w:rFonts w:ascii="Verdana" w:eastAsia="Times New Roman" w:hAnsi="Verdana" w:cs="Arial"/>
          <w:lang w:eastAsia="es-CO" w:bidi="es-ES"/>
        </w:rPr>
        <w:t xml:space="preserve"> o por mandato legal. </w:t>
      </w:r>
    </w:p>
    <w:p w14:paraId="177169AE" w14:textId="77777777" w:rsidR="00766E9C" w:rsidRPr="00D32830" w:rsidRDefault="00766E9C" w:rsidP="00766E9C">
      <w:pPr>
        <w:spacing w:after="120" w:line="276" w:lineRule="auto"/>
        <w:ind w:firstLine="709"/>
        <w:jc w:val="both"/>
        <w:rPr>
          <w:rFonts w:ascii="Verdana" w:eastAsia="Arial" w:hAnsi="Verdana" w:cs="Arial"/>
          <w:bCs/>
          <w:color w:val="000000" w:themeColor="text1"/>
        </w:rPr>
      </w:pPr>
      <w:r>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74F00070" w14:textId="77777777" w:rsidR="00766E9C" w:rsidRPr="00C15525" w:rsidRDefault="00766E9C" w:rsidP="00766E9C">
      <w:pPr>
        <w:spacing w:after="0" w:line="276" w:lineRule="auto"/>
        <w:ind w:firstLine="708"/>
        <w:jc w:val="both"/>
        <w:rPr>
          <w:rFonts w:ascii="Verdana" w:eastAsia="Calibri" w:hAnsi="Verdana" w:cs="Arial"/>
          <w:bCs/>
          <w:color w:val="000000" w:themeColor="text1"/>
        </w:rPr>
      </w:pPr>
      <w:r w:rsidRPr="00C15525">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w:t>
      </w:r>
      <w:r w:rsidRPr="00C15525">
        <w:rPr>
          <w:rFonts w:ascii="Verdana" w:eastAsia="Calibri" w:hAnsi="Verdana" w:cs="Arial"/>
          <w:bCs/>
          <w:color w:val="000000" w:themeColor="text1"/>
        </w:rPr>
        <w:lastRenderedPageBreak/>
        <w:t xml:space="preserve">gestión contractual, sin que sea atribución de Colombia Compra Eficiente validar sus actuaciones. </w:t>
      </w:r>
    </w:p>
    <w:p w14:paraId="364DCCC9" w14:textId="77777777" w:rsidR="00766E9C" w:rsidRPr="00C15525" w:rsidRDefault="00766E9C" w:rsidP="00766E9C">
      <w:pPr>
        <w:tabs>
          <w:tab w:val="left" w:pos="709"/>
        </w:tabs>
        <w:spacing w:after="0" w:line="276" w:lineRule="auto"/>
        <w:jc w:val="both"/>
        <w:rPr>
          <w:rFonts w:ascii="Verdana" w:eastAsia="Calibri" w:hAnsi="Verdana" w:cs="Arial"/>
          <w:color w:val="000000" w:themeColor="text1"/>
        </w:rPr>
      </w:pPr>
    </w:p>
    <w:p w14:paraId="61B61DD9" w14:textId="77777777" w:rsidR="00766E9C" w:rsidRPr="00C15525" w:rsidRDefault="00766E9C" w:rsidP="00766E9C">
      <w:pPr>
        <w:numPr>
          <w:ilvl w:val="0"/>
          <w:numId w:val="18"/>
        </w:numPr>
        <w:tabs>
          <w:tab w:val="left" w:pos="142"/>
          <w:tab w:val="left" w:pos="284"/>
        </w:tabs>
        <w:spacing w:after="0" w:line="276" w:lineRule="auto"/>
        <w:ind w:hanging="6601"/>
        <w:contextualSpacing/>
        <w:jc w:val="both"/>
        <w:rPr>
          <w:rFonts w:ascii="Verdana" w:eastAsia="Century Gothic" w:hAnsi="Verdana" w:cs="Century Gothic"/>
          <w:b/>
          <w:bCs/>
          <w:lang w:val="es-ES"/>
        </w:rPr>
      </w:pPr>
      <w:r w:rsidRPr="00C15525">
        <w:rPr>
          <w:rFonts w:ascii="Verdana" w:eastAsia="Century Gothic" w:hAnsi="Verdana" w:cs="Century Gothic"/>
          <w:b/>
          <w:bCs/>
          <w:lang w:val="es-ES"/>
        </w:rPr>
        <w:t>Referencias normativas</w:t>
      </w:r>
      <w:r>
        <w:rPr>
          <w:rFonts w:ascii="Verdana" w:eastAsia="Century Gothic" w:hAnsi="Verdana" w:cs="Century Gothic"/>
          <w:b/>
          <w:bCs/>
          <w:lang w:val="es-ES"/>
        </w:rPr>
        <w:t xml:space="preserve"> y jurisprudenciales</w:t>
      </w:r>
      <w:r w:rsidRPr="00C15525">
        <w:rPr>
          <w:rFonts w:ascii="Verdana" w:eastAsia="Century Gothic" w:hAnsi="Verdana" w:cs="Century Gothic"/>
          <w:b/>
          <w:bCs/>
          <w:lang w:val="es-ES"/>
        </w:rPr>
        <w:t>:</w:t>
      </w:r>
    </w:p>
    <w:p w14:paraId="22A3FE14" w14:textId="77777777" w:rsidR="00766E9C" w:rsidRPr="00C15525" w:rsidRDefault="00766E9C" w:rsidP="00766E9C">
      <w:pPr>
        <w:widowControl w:val="0"/>
        <w:autoSpaceDE w:val="0"/>
        <w:autoSpaceDN w:val="0"/>
        <w:spacing w:after="0" w:line="276" w:lineRule="auto"/>
        <w:jc w:val="both"/>
        <w:rPr>
          <w:rFonts w:ascii="Verdana" w:hAnsi="Verdana" w:cs="Arial"/>
        </w:rPr>
      </w:pPr>
    </w:p>
    <w:tbl>
      <w:tblPr>
        <w:tblStyle w:val="Tablaconcuadrcula"/>
        <w:tblW w:w="8640"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0"/>
      </w:tblGrid>
      <w:tr w:rsidR="00766E9C" w:rsidRPr="00C15525" w14:paraId="5C835D4B" w14:textId="77777777" w:rsidTr="00CD4E5D">
        <w:trPr>
          <w:trHeight w:val="870"/>
          <w:jc w:val="center"/>
        </w:trPr>
        <w:tc>
          <w:tcPr>
            <w:tcW w:w="8647" w:type="dxa"/>
            <w:tcBorders>
              <w:top w:val="dotted" w:sz="4" w:space="0" w:color="auto"/>
              <w:left w:val="dotted" w:sz="4" w:space="0" w:color="auto"/>
              <w:bottom w:val="dotted" w:sz="4" w:space="0" w:color="auto"/>
              <w:right w:val="dotted" w:sz="4" w:space="0" w:color="auto"/>
            </w:tcBorders>
            <w:hideMark/>
          </w:tcPr>
          <w:p w14:paraId="0856FC7E" w14:textId="77777777" w:rsidR="00766E9C" w:rsidRPr="00DF723D" w:rsidRDefault="00766E9C" w:rsidP="00766E9C">
            <w:pPr>
              <w:widowControl w:val="0"/>
              <w:numPr>
                <w:ilvl w:val="0"/>
                <w:numId w:val="19"/>
              </w:numPr>
              <w:autoSpaceDE w:val="0"/>
              <w:autoSpaceDN w:val="0"/>
              <w:spacing w:before="120" w:after="120" w:line="256" w:lineRule="auto"/>
              <w:jc w:val="both"/>
              <w:rPr>
                <w:rFonts w:ascii="Verdana" w:eastAsia="Arial MT" w:hAnsi="Verdana" w:cs="Arial"/>
                <w:lang w:eastAsia="es-ES" w:bidi="es-ES"/>
              </w:rPr>
            </w:pPr>
            <w:r w:rsidRPr="00DF723D">
              <w:rPr>
                <w:rFonts w:ascii="Verdana" w:eastAsia="Arial MT" w:hAnsi="Verdana" w:cs="Arial"/>
                <w:lang w:eastAsia="es-ES" w:bidi="es-ES"/>
              </w:rPr>
              <w:t xml:space="preserve">Constitución Política de Colombia, artículos 127 y 190 </w:t>
            </w:r>
          </w:p>
          <w:p w14:paraId="0C211C3C" w14:textId="77777777" w:rsidR="00766E9C" w:rsidRPr="00DF723D" w:rsidRDefault="00766E9C" w:rsidP="00766E9C">
            <w:pPr>
              <w:widowControl w:val="0"/>
              <w:numPr>
                <w:ilvl w:val="0"/>
                <w:numId w:val="19"/>
              </w:numPr>
              <w:autoSpaceDE w:val="0"/>
              <w:autoSpaceDN w:val="0"/>
              <w:spacing w:before="120" w:after="120" w:line="256" w:lineRule="auto"/>
              <w:jc w:val="both"/>
              <w:rPr>
                <w:rFonts w:ascii="Verdana" w:eastAsia="Arial MT" w:hAnsi="Verdana" w:cs="Arial"/>
                <w:lang w:eastAsia="es-ES" w:bidi="es-ES"/>
              </w:rPr>
            </w:pPr>
            <w:r w:rsidRPr="00DF723D">
              <w:rPr>
                <w:rFonts w:ascii="Verdana" w:eastAsia="Arial MT" w:hAnsi="Verdana" w:cs="Arial"/>
                <w:lang w:eastAsia="es-ES" w:bidi="es-ES"/>
              </w:rPr>
              <w:t>Ley 996 de 2005, artículos 33 y 38.</w:t>
            </w:r>
          </w:p>
          <w:p w14:paraId="6D44CE96" w14:textId="77777777" w:rsidR="00766E9C" w:rsidRDefault="00766E9C" w:rsidP="00766E9C">
            <w:pPr>
              <w:widowControl w:val="0"/>
              <w:numPr>
                <w:ilvl w:val="0"/>
                <w:numId w:val="19"/>
              </w:numPr>
              <w:autoSpaceDE w:val="0"/>
              <w:autoSpaceDN w:val="0"/>
              <w:spacing w:before="120" w:after="120" w:line="256" w:lineRule="auto"/>
              <w:jc w:val="both"/>
              <w:rPr>
                <w:rFonts w:ascii="Verdana" w:eastAsia="Arial MT" w:hAnsi="Verdana" w:cs="Arial"/>
                <w:lang w:eastAsia="es-ES" w:bidi="es-ES"/>
              </w:rPr>
            </w:pPr>
            <w:r>
              <w:rPr>
                <w:rFonts w:ascii="Verdana" w:eastAsia="Arial MT" w:hAnsi="Verdana" w:cs="Arial"/>
                <w:lang w:eastAsia="es-ES" w:bidi="es-ES"/>
              </w:rPr>
              <w:t>Consejo de Estado. Sala de Consulta y Servicio Civil. 24 de julio de 2013, radicado: 11001-03-06-000-2013-00407-00 (2166). C.P. Álvaro Namén Vargas. </w:t>
            </w:r>
          </w:p>
          <w:p w14:paraId="03B63174" w14:textId="77777777" w:rsidR="00766E9C" w:rsidRDefault="00766E9C" w:rsidP="00766E9C">
            <w:pPr>
              <w:widowControl w:val="0"/>
              <w:numPr>
                <w:ilvl w:val="0"/>
                <w:numId w:val="19"/>
              </w:numPr>
              <w:autoSpaceDE w:val="0"/>
              <w:autoSpaceDN w:val="0"/>
              <w:spacing w:before="120" w:after="120" w:line="256" w:lineRule="auto"/>
              <w:jc w:val="both"/>
              <w:rPr>
                <w:rFonts w:ascii="Verdana" w:eastAsia="Arial MT" w:hAnsi="Verdana" w:cs="Arial"/>
                <w:lang w:eastAsia="es-ES" w:bidi="es-ES"/>
              </w:rPr>
            </w:pPr>
            <w:r>
              <w:rPr>
                <w:rFonts w:ascii="Verdana" w:eastAsia="Arial MT" w:hAnsi="Verdana" w:cs="Arial"/>
                <w:lang w:eastAsia="es-ES" w:bidi="es-ES"/>
              </w:rPr>
              <w:t>Consejo de Estado. Sala de Consulta y Servicio Civil. Concepto del 17 de febrero de 2015. Radicado: 11001-03-06-000-2015-00164-00 (2269). C.P. William Zambrano Cetina. </w:t>
            </w:r>
          </w:p>
          <w:p w14:paraId="7F93E469" w14:textId="77777777" w:rsidR="00766E9C" w:rsidRDefault="00766E9C" w:rsidP="00766E9C">
            <w:pPr>
              <w:widowControl w:val="0"/>
              <w:numPr>
                <w:ilvl w:val="0"/>
                <w:numId w:val="19"/>
              </w:numPr>
              <w:autoSpaceDE w:val="0"/>
              <w:autoSpaceDN w:val="0"/>
              <w:spacing w:before="120" w:after="120" w:line="256" w:lineRule="auto"/>
              <w:jc w:val="both"/>
              <w:rPr>
                <w:rFonts w:ascii="Verdana" w:eastAsia="Arial MT" w:hAnsi="Verdana" w:cs="Arial"/>
                <w:lang w:eastAsia="es-ES" w:bidi="es-ES"/>
              </w:rPr>
            </w:pPr>
            <w:r>
              <w:rPr>
                <w:rFonts w:ascii="Verdana" w:eastAsia="Arial MT" w:hAnsi="Verdana" w:cs="Arial"/>
                <w:lang w:eastAsia="es-ES" w:bidi="es-ES"/>
              </w:rPr>
              <w:t>Consejo de Estado. Sala de lo Contencioso Administrativo. Sección Tercera. Subsección B. 06 de noviembre de 2025. Radicado: 11001-03-26-000-2025-00016-00 (72.424). C.P. Fernando Alexei Pardo Flórez.</w:t>
            </w:r>
          </w:p>
          <w:p w14:paraId="67AE95F7" w14:textId="77777777" w:rsidR="00766E9C" w:rsidRDefault="00766E9C" w:rsidP="00766E9C">
            <w:pPr>
              <w:numPr>
                <w:ilvl w:val="0"/>
                <w:numId w:val="19"/>
              </w:numPr>
              <w:spacing w:before="120" w:line="276" w:lineRule="auto"/>
              <w:jc w:val="both"/>
              <w:rPr>
                <w:rFonts w:ascii="Verdana" w:eastAsia="Times New Roman" w:hAnsi="Verdana" w:cs="Arial"/>
                <w:color w:val="000000"/>
                <w:lang w:eastAsia="es-CO"/>
              </w:rPr>
            </w:pPr>
            <w:r>
              <w:rPr>
                <w:rFonts w:ascii="Verdana" w:eastAsia="Times New Roman" w:hAnsi="Verdana" w:cs="Arial"/>
                <w:color w:val="000000"/>
                <w:lang w:eastAsia="es-CO"/>
              </w:rPr>
              <w:t>Corte Constitucional. Sentencia C-1153 de 2005 de 11 de noviembre de 2005. M.P: Marco Gerardo Monroy Cabra.</w:t>
            </w:r>
          </w:p>
          <w:p w14:paraId="2FBC0E75" w14:textId="77777777" w:rsidR="00766E9C" w:rsidRPr="00645F22" w:rsidRDefault="00766E9C" w:rsidP="00766E9C">
            <w:pPr>
              <w:numPr>
                <w:ilvl w:val="0"/>
                <w:numId w:val="19"/>
              </w:numPr>
              <w:spacing w:before="120" w:line="276" w:lineRule="auto"/>
              <w:jc w:val="both"/>
              <w:rPr>
                <w:rFonts w:ascii="Verdana" w:eastAsia="Times New Roman" w:hAnsi="Verdana" w:cs="Arial"/>
                <w:color w:val="000000"/>
                <w:lang w:eastAsia="es-CO"/>
              </w:rPr>
            </w:pPr>
            <w:r w:rsidRPr="00645F22">
              <w:rPr>
                <w:rFonts w:ascii="Verdana" w:eastAsia="Times New Roman" w:hAnsi="Verdana" w:cs="Arial"/>
                <w:color w:val="000000"/>
                <w:lang w:eastAsia="es-CO"/>
              </w:rPr>
              <w:t>Consejo de Estado. Sala de Consulta y Servicio Civil. Concepto de 6 de abril de 2006. Radicación Número: 11001-03-06-000-2006-00038-00(1738). Consejero Ponente: Enrique José Arboleda Perdomo</w:t>
            </w:r>
          </w:p>
        </w:tc>
      </w:tr>
    </w:tbl>
    <w:p w14:paraId="369EE854" w14:textId="77777777" w:rsidR="00766E9C" w:rsidRPr="00C15525" w:rsidRDefault="00766E9C" w:rsidP="00766E9C">
      <w:pPr>
        <w:widowControl w:val="0"/>
        <w:autoSpaceDE w:val="0"/>
        <w:autoSpaceDN w:val="0"/>
        <w:spacing w:after="0" w:line="276" w:lineRule="auto"/>
        <w:jc w:val="both"/>
        <w:rPr>
          <w:rFonts w:ascii="Verdana" w:hAnsi="Verdana" w:cs="Arial"/>
        </w:rPr>
      </w:pPr>
    </w:p>
    <w:p w14:paraId="0943AF71" w14:textId="77777777" w:rsidR="00766E9C" w:rsidRPr="00C15525" w:rsidRDefault="00766E9C" w:rsidP="00766E9C">
      <w:pPr>
        <w:numPr>
          <w:ilvl w:val="0"/>
          <w:numId w:val="18"/>
        </w:numPr>
        <w:tabs>
          <w:tab w:val="left" w:pos="142"/>
          <w:tab w:val="left" w:pos="284"/>
        </w:tabs>
        <w:spacing w:after="0" w:line="276" w:lineRule="auto"/>
        <w:ind w:hanging="6601"/>
        <w:contextualSpacing/>
        <w:jc w:val="both"/>
        <w:rPr>
          <w:rFonts w:ascii="Verdana" w:eastAsia="Century Gothic" w:hAnsi="Verdana" w:cs="Century Gothic"/>
          <w:b/>
          <w:bCs/>
          <w:lang w:val="es-ES"/>
        </w:rPr>
      </w:pPr>
      <w:r w:rsidRPr="00C15525">
        <w:rPr>
          <w:rFonts w:ascii="Verdana" w:eastAsia="Century Gothic" w:hAnsi="Verdana" w:cs="Century Gothic"/>
          <w:b/>
          <w:bCs/>
          <w:lang w:val="es-ES"/>
        </w:rPr>
        <w:t>Doctrina de la Agencia Nacional de Contratación Pública:</w:t>
      </w:r>
    </w:p>
    <w:p w14:paraId="04AE3C20" w14:textId="77777777" w:rsidR="00766E9C" w:rsidRPr="00C15525" w:rsidRDefault="00766E9C" w:rsidP="00766E9C">
      <w:pPr>
        <w:widowControl w:val="0"/>
        <w:autoSpaceDE w:val="0"/>
        <w:autoSpaceDN w:val="0"/>
        <w:spacing w:after="0" w:line="276" w:lineRule="auto"/>
        <w:jc w:val="both"/>
        <w:rPr>
          <w:rFonts w:ascii="Verdana" w:hAnsi="Verdana" w:cs="Arial"/>
        </w:rPr>
      </w:pPr>
    </w:p>
    <w:p w14:paraId="2B454256" w14:textId="77777777" w:rsidR="00766E9C" w:rsidRPr="00C15525" w:rsidRDefault="00766E9C" w:rsidP="00766E9C">
      <w:pPr>
        <w:widowControl w:val="0"/>
        <w:autoSpaceDE w:val="0"/>
        <w:autoSpaceDN w:val="0"/>
        <w:spacing w:after="0" w:line="276" w:lineRule="auto"/>
        <w:jc w:val="both"/>
        <w:rPr>
          <w:shd w:val="clear" w:color="auto" w:fill="FFFFFF"/>
        </w:rPr>
      </w:pPr>
      <w:r w:rsidRPr="00C15525">
        <w:rPr>
          <w:rFonts w:ascii="Verdana" w:hAnsi="Verdana" w:cs="Arial"/>
          <w:shd w:val="clear" w:color="auto" w:fill="FFFFFF"/>
        </w:rPr>
        <w:t xml:space="preserve">Esta Subdirección se ha pronunciado sobre la finalidad y propósito de la Ley de Garantías Electorales en los Conceptos C-227 del 24 de mayo de 2021, C-396 del 13 de agosto de 2021, C-439 del 27 de agosto de 2021, C-481 del 9 de septiembre de 2021, C-528 del 27 de septiembre de 2021, C-550 del 5 de octubre de 2021, C-523 del 10 de octubre de 2021, C-606 del 28 de octubre de 2021, C-614 del 2 de noviembre de 2021, C-634 del 11 de noviembre de 2021, C-636 del 16 de noviembre de 2021, C-681 del 7 de diciembre de 2021, C-686 del 21 de diciembre de 2021, C-054 del 22 de marzo de 2022, C-179 del 8 de abril de 2022, C-161 del 17 de mayo de 2022, C- 180 del 21 de marzo de 2025, </w:t>
      </w:r>
      <w:r w:rsidRPr="00C15525">
        <w:rPr>
          <w:rFonts w:ascii="Verdana" w:hAnsi="Verdana" w:cs="Arial"/>
          <w:shd w:val="clear" w:color="auto" w:fill="FFFFFF"/>
        </w:rPr>
        <w:lastRenderedPageBreak/>
        <w:t>C-696 del 11 de julio de 2025, C-708 del 15 de julio de 2025, C-1186 del 17 de septiembre de 2025</w:t>
      </w:r>
      <w:r>
        <w:rPr>
          <w:rFonts w:ascii="Verdana" w:hAnsi="Verdana" w:cs="Arial"/>
          <w:shd w:val="clear" w:color="auto" w:fill="FFFFFF"/>
        </w:rPr>
        <w:t xml:space="preserve">, </w:t>
      </w:r>
      <w:r w:rsidRPr="00C15525">
        <w:rPr>
          <w:rFonts w:ascii="Verdana" w:hAnsi="Verdana" w:cs="Arial"/>
          <w:shd w:val="clear" w:color="auto" w:fill="FFFFFF"/>
        </w:rPr>
        <w:t>C-1350 del 1˚ de octubre de 2025</w:t>
      </w:r>
      <w:r>
        <w:rPr>
          <w:rFonts w:ascii="Verdana" w:hAnsi="Verdana" w:cs="Arial"/>
          <w:shd w:val="clear" w:color="auto" w:fill="FFFFFF"/>
        </w:rPr>
        <w:t>, C-247 del 10 de marzo de 2026</w:t>
      </w:r>
      <w:r w:rsidRPr="00C15525">
        <w:rPr>
          <w:rFonts w:ascii="Verdana" w:hAnsi="Verdana"/>
        </w:rPr>
        <w:t>.</w:t>
      </w:r>
      <w:r w:rsidRPr="00C15525">
        <w:rPr>
          <w:rFonts w:ascii="Verdana" w:hAnsi="Verdana" w:cs="Arial"/>
          <w:shd w:val="clear" w:color="auto" w:fill="FFFFFF"/>
        </w:rPr>
        <w:t xml:space="preserve"> Estos y otros se encuentran disponibles para consulta en el Sistema de relatoría de la Agencia, al cual puede accederse a través del siguiente enlace: </w:t>
      </w:r>
      <w:hyperlink r:id="rId13" w:history="1">
        <w:r w:rsidRPr="00C15525">
          <w:rPr>
            <w:rFonts w:ascii="Verdana" w:hAnsi="Verdana" w:cs="Arial"/>
            <w:color w:val="0000FF"/>
            <w:u w:val="single"/>
            <w:shd w:val="clear" w:color="auto" w:fill="FFFFFF"/>
          </w:rPr>
          <w:t>https://relatoria.colombiacompra.gov.co/busqueda/conceptos</w:t>
        </w:r>
      </w:hyperlink>
      <w:r w:rsidRPr="00C15525">
        <w:rPr>
          <w:rFonts w:ascii="Verdana" w:hAnsi="Verdana" w:cs="Arial"/>
          <w:shd w:val="clear" w:color="auto" w:fill="FFFFFF"/>
        </w:rPr>
        <w:t xml:space="preserve">. </w:t>
      </w:r>
      <w:r w:rsidRPr="00C15525">
        <w:rPr>
          <w:rFonts w:ascii="Verdana" w:hAnsi="Verdana" w:cs="Arial"/>
          <w:color w:val="FF0000"/>
          <w:shd w:val="clear" w:color="auto" w:fill="FFFFFF"/>
          <w:lang w:val="es-ES"/>
        </w:rPr>
        <w:t xml:space="preserve"> </w:t>
      </w:r>
    </w:p>
    <w:p w14:paraId="1B0EA540" w14:textId="77777777" w:rsidR="00766E9C" w:rsidRPr="00C15525" w:rsidRDefault="00766E9C" w:rsidP="00766E9C">
      <w:pPr>
        <w:widowControl w:val="0"/>
        <w:autoSpaceDE w:val="0"/>
        <w:autoSpaceDN w:val="0"/>
        <w:spacing w:after="0" w:line="276" w:lineRule="auto"/>
        <w:jc w:val="both"/>
        <w:rPr>
          <w:color w:val="000000" w:themeColor="text1"/>
        </w:rPr>
      </w:pPr>
    </w:p>
    <w:p w14:paraId="1BE65115" w14:textId="77777777" w:rsidR="00766E9C" w:rsidRPr="00C15525" w:rsidRDefault="00766E9C" w:rsidP="00766E9C">
      <w:pPr>
        <w:jc w:val="both"/>
        <w:rPr>
          <w:rFonts w:ascii="Verdana" w:hAnsi="Verdana"/>
        </w:rPr>
      </w:pPr>
      <w:r w:rsidRPr="00C15525">
        <w:rPr>
          <w:rFonts w:ascii="Verdana" w:hAnsi="Verdana"/>
        </w:rPr>
        <w:t xml:space="preserve">La sostenibilidad no es una opción, es una obligación. Por ello, la Agencia Nacional de Contratación Pública –Colombia Compra Eficiente– te invita a realizar el </w:t>
      </w:r>
      <w:r w:rsidRPr="00C15525">
        <w:rPr>
          <w:rFonts w:ascii="Verdana" w:hAnsi="Verdana"/>
          <w:b/>
          <w:bCs/>
        </w:rPr>
        <w:t>Curso de Contratación Pública Sostenible y Socialmente Responsable</w:t>
      </w:r>
      <w:r w:rsidRPr="00C15525">
        <w:rPr>
          <w:rFonts w:ascii="Verdana" w:hAnsi="Verdana"/>
        </w:rPr>
        <w:t>, una herramienta clave para fortalecer las capacidades de todos los compradores públicos, proveedores, servidores públicos v para generar mayor valor público. Accede al curso y aprende como implementar criterios sociales y ambientales en las diferentes etapas del proceso de contratación:</w:t>
      </w:r>
      <w:r w:rsidRPr="00C15525">
        <w:rPr>
          <w:rFonts w:ascii="Verdana" w:hAnsi="Verdana"/>
        </w:rPr>
        <w:br/>
      </w:r>
      <w:hyperlink r:id="rId14" w:tgtFrame="_new" w:history="1">
        <w:r w:rsidRPr="00C15525">
          <w:rPr>
            <w:rFonts w:ascii="Verdana" w:hAnsi="Verdana"/>
            <w:color w:val="0000FF"/>
            <w:u w:val="single"/>
          </w:rPr>
          <w:t>https://formacionvirtual.colombiacompra.gov.co/mod/page/view.php?id=3718</w:t>
        </w:r>
      </w:hyperlink>
    </w:p>
    <w:p w14:paraId="6DC15B62" w14:textId="77777777" w:rsidR="00766E9C" w:rsidRPr="00C15525" w:rsidRDefault="00766E9C" w:rsidP="00766E9C">
      <w:pPr>
        <w:jc w:val="both"/>
        <w:rPr>
          <w:rFonts w:ascii="Verdana" w:hAnsi="Verdana"/>
        </w:rPr>
      </w:pPr>
      <w:r w:rsidRPr="00C15525">
        <w:rPr>
          <w:rFonts w:ascii="Verdana" w:hAnsi="Verdana"/>
        </w:rPr>
        <w:t xml:space="preserve">De otro lado, te contamos que esta Agencia ha da un paso decisivo en la estandarización y modernización del </w:t>
      </w:r>
      <w:r w:rsidRPr="00C15525">
        <w:rPr>
          <w:rFonts w:ascii="Verdana" w:hAnsi="Verdana"/>
          <w:b/>
          <w:bCs/>
        </w:rPr>
        <w:t>sector  social</w:t>
      </w:r>
      <w:r w:rsidRPr="00C15525">
        <w:rPr>
          <w:rFonts w:ascii="Verdana" w:hAnsi="Verdana"/>
        </w:rPr>
        <w:t xml:space="preserve"> con la expedición de las </w:t>
      </w:r>
      <w:r w:rsidRPr="00C15525">
        <w:rPr>
          <w:rFonts w:ascii="Verdana" w:hAnsi="Verdana"/>
          <w:b/>
          <w:bCs/>
        </w:rPr>
        <w:t>Resoluciones 539, 540, 541, 952 y 953 de 2025</w:t>
      </w:r>
      <w:r w:rsidRPr="00C15525">
        <w:rPr>
          <w:rFonts w:ascii="Verdana" w:hAnsi="Verdana"/>
        </w:rPr>
        <w:t xml:space="preserve">, </w:t>
      </w:r>
      <w:r w:rsidRPr="00C15525">
        <w:rPr>
          <w:rFonts w:ascii="Verdana" w:hAnsi="Verdana"/>
          <w:b/>
          <w:bCs/>
        </w:rPr>
        <w:t>mediante las cuales adoptó Documentos Tipo</w:t>
      </w:r>
      <w:r w:rsidRPr="00C15525">
        <w:rPr>
          <w:rFonts w:ascii="Verdana" w:hAnsi="Verdana"/>
        </w:rPr>
        <w:t xml:space="preserve"> para las modalidades de selección de</w:t>
      </w:r>
      <w:r w:rsidRPr="00C15525">
        <w:rPr>
          <w:rFonts w:ascii="Verdana" w:hAnsi="Verdana"/>
          <w:b/>
          <w:bCs/>
        </w:rPr>
        <w:t xml:space="preserve"> licitación pública (versión 2), selección abreviada de menor cuantía, mínima cuantía, consultoría e interventoría</w:t>
      </w:r>
      <w:r w:rsidRPr="00C15525">
        <w:rPr>
          <w:rFonts w:ascii="Verdana" w:hAnsi="Verdana"/>
        </w:rPr>
        <w:t xml:space="preserve">, promoviendo procesos más transparentes, eficientes  competitivos y sostenibles en sectores estratégicos como educación, salud, cultura, recreación, deporte, institucional y vivienda. Consulta y descarga los documentos aquí: </w:t>
      </w:r>
      <w:hyperlink r:id="rId15" w:tgtFrame="_new" w:history="1">
        <w:r w:rsidRPr="00C15525">
          <w:rPr>
            <w:rFonts w:ascii="Verdana" w:hAnsi="Verdana"/>
            <w:color w:val="0000FF"/>
            <w:u w:val="single"/>
          </w:rPr>
          <w:t>https://www.colombiacompra.gov.co/normativa-y-relatoria/documentos-tipo</w:t>
        </w:r>
      </w:hyperlink>
    </w:p>
    <w:p w14:paraId="2DDBA6C1" w14:textId="77777777" w:rsidR="00766E9C" w:rsidRPr="00C15525" w:rsidRDefault="00766E9C" w:rsidP="00766E9C">
      <w:pPr>
        <w:jc w:val="both"/>
        <w:rPr>
          <w:rFonts w:ascii="Verdana" w:hAnsi="Verdana"/>
          <w:color w:val="000000"/>
          <w:lang w:val="es-ES_tradnl"/>
        </w:rPr>
      </w:pPr>
      <w:r w:rsidRPr="00C15525">
        <w:rPr>
          <w:rFonts w:ascii="Verdana" w:hAnsi="Verdana"/>
        </w:rPr>
        <w:t xml:space="preserve">Si quieres conocer más sobre la aplicación de Documentos Tipo puedes consultar la última versión de la </w:t>
      </w:r>
      <w:r w:rsidRPr="00C15525">
        <w:rPr>
          <w:rFonts w:ascii="Verdana" w:hAnsi="Verdana"/>
          <w:b/>
          <w:bCs/>
        </w:rPr>
        <w:t>Guía para la comprensión e implementación de los Documentos Tipo de obra pública de infraestructura de transporte</w:t>
      </w:r>
      <w:r w:rsidRPr="00C15525">
        <w:rPr>
          <w:rFonts w:ascii="Verdana" w:hAnsi="Verdana"/>
        </w:rPr>
        <w:t>. En esta actualización se incorporaron orientaciones prácticas dirigidas a entidades públicas, proveedores, organismos de control y demás interesados, con el propósito de facilitar la adecuada implementación de estos instrumentos en los procesos contractuales. Además se incluyeron lineamientos que orientan la implementación de los criterios ambientales y sociales incluidos en los documentos tipo: Consulta la guía aquí:</w:t>
      </w:r>
      <w:r w:rsidRPr="00C15525">
        <w:rPr>
          <w:rFonts w:ascii="Verdana" w:hAnsi="Verdana"/>
        </w:rPr>
        <w:br/>
      </w:r>
      <w:hyperlink r:id="rId16" w:tgtFrame="_new" w:history="1">
        <w:r w:rsidRPr="00C15525">
          <w:rPr>
            <w:rFonts w:ascii="Verdana" w:hAnsi="Verdana"/>
            <w:color w:val="0000FF"/>
            <w:u w:val="single"/>
          </w:rPr>
          <w:t>https://www.colombiacompra.gov.co/archivos/manual/guia-para-la-comprension-e-implementacion-de-los-documentos-tipo-de-obra-publica-de-infraestructura-de-transporte-bajo-las-diferentes-modalidades-de-contratacion-vigentes</w:t>
        </w:r>
      </w:hyperlink>
    </w:p>
    <w:p w14:paraId="5E99002B" w14:textId="77777777" w:rsidR="00766E9C" w:rsidRPr="00C15525" w:rsidRDefault="00766E9C" w:rsidP="00766E9C">
      <w:pPr>
        <w:spacing w:after="0"/>
        <w:jc w:val="both"/>
        <w:rPr>
          <w:rFonts w:ascii="Verdana" w:hAnsi="Verdana"/>
        </w:rPr>
      </w:pPr>
      <w:r w:rsidRPr="00C15525">
        <w:rPr>
          <w:rFonts w:ascii="Verdana" w:hAnsi="Verdana"/>
        </w:rPr>
        <w:lastRenderedPageBreak/>
        <w:t xml:space="preserve">Aprovechamos la oportunidad de manifestar la entera disposición de la Agencia Nacional de Contratación Pública –Colombia Compra Eficiente– para atender las peticiones o solicitudes, así como para brindar el apoyo que se requiera en el marco de nuestras funciones a través de nuestros diferentes canales de atención: </w:t>
      </w:r>
    </w:p>
    <w:p w14:paraId="2EA86B75" w14:textId="77777777" w:rsidR="00766E9C" w:rsidRPr="00C15525" w:rsidRDefault="00766E9C" w:rsidP="00766E9C">
      <w:pPr>
        <w:spacing w:after="0"/>
        <w:jc w:val="both"/>
        <w:rPr>
          <w:rFonts w:ascii="Verdana" w:hAnsi="Verdana"/>
        </w:rPr>
      </w:pPr>
    </w:p>
    <w:p w14:paraId="0E2F2852" w14:textId="77777777" w:rsidR="00766E9C" w:rsidRPr="00C15525" w:rsidRDefault="00766E9C" w:rsidP="00766E9C">
      <w:pPr>
        <w:numPr>
          <w:ilvl w:val="0"/>
          <w:numId w:val="15"/>
        </w:numPr>
        <w:spacing w:after="0" w:line="240" w:lineRule="auto"/>
        <w:contextualSpacing/>
        <w:jc w:val="both"/>
        <w:rPr>
          <w:rFonts w:ascii="Verdana" w:eastAsia="Verdana" w:hAnsi="Verdana" w:cs="Verdana"/>
          <w:color w:val="4472C4" w:themeColor="accent1"/>
          <w:u w:val="single"/>
          <w:lang w:val="es-MX"/>
        </w:rPr>
      </w:pPr>
      <w:r w:rsidRPr="00C15525">
        <w:rPr>
          <w:rFonts w:ascii="Verdana" w:eastAsia="Verdana" w:hAnsi="Verdana" w:cs="Verdana"/>
          <w:lang w:val="es-MX"/>
        </w:rPr>
        <w:t xml:space="preserve">Línea nacional gratuita o servicio a la ciudadanía (Mesa de servicio): </w:t>
      </w:r>
      <w:r w:rsidRPr="00C15525">
        <w:rPr>
          <w:rFonts w:ascii="Verdana" w:hAnsi="Verdana"/>
          <w:color w:val="0000FF"/>
          <w:u w:val="single"/>
          <w:lang w:val="es-ES"/>
        </w:rPr>
        <w:t>01800 0520808</w:t>
      </w:r>
    </w:p>
    <w:p w14:paraId="422A89D6" w14:textId="77777777" w:rsidR="00766E9C" w:rsidRPr="00C15525" w:rsidRDefault="00766E9C" w:rsidP="00766E9C">
      <w:pPr>
        <w:numPr>
          <w:ilvl w:val="0"/>
          <w:numId w:val="15"/>
        </w:numPr>
        <w:spacing w:after="0" w:line="256" w:lineRule="auto"/>
        <w:contextualSpacing/>
        <w:rPr>
          <w:rFonts w:ascii="Verdana" w:eastAsia="Verdana" w:hAnsi="Verdana" w:cs="Verdana"/>
          <w:color w:val="4472C4" w:themeColor="accent1"/>
          <w:u w:val="single"/>
          <w:lang w:val="es-MX"/>
        </w:rPr>
      </w:pPr>
      <w:r w:rsidRPr="00C15525">
        <w:rPr>
          <w:rFonts w:ascii="Verdana" w:eastAsia="Verdana" w:hAnsi="Verdana" w:cs="Verdana"/>
          <w:lang w:val="es-MX"/>
        </w:rPr>
        <w:t>Línea en Bogotá (Mesa de servicio</w:t>
      </w:r>
      <w:proofErr w:type="gramStart"/>
      <w:r w:rsidRPr="00C15525">
        <w:rPr>
          <w:rFonts w:ascii="Verdana" w:eastAsia="Verdana" w:hAnsi="Verdana" w:cs="Verdana"/>
          <w:lang w:val="es-MX"/>
        </w:rPr>
        <w:t>):</w:t>
      </w:r>
      <w:r w:rsidRPr="00C15525">
        <w:rPr>
          <w:rFonts w:ascii="Verdana" w:hAnsi="Verdana"/>
          <w:color w:val="0000FF"/>
          <w:u w:val="single"/>
          <w:lang w:val="es-ES"/>
        </w:rPr>
        <w:t>+</w:t>
      </w:r>
      <w:proofErr w:type="gramEnd"/>
      <w:r w:rsidRPr="00C15525">
        <w:rPr>
          <w:rFonts w:ascii="Verdana" w:hAnsi="Verdana"/>
          <w:color w:val="0000FF"/>
          <w:u w:val="single"/>
          <w:lang w:val="es-ES"/>
        </w:rPr>
        <w:t>57 601 7456788</w:t>
      </w:r>
    </w:p>
    <w:p w14:paraId="74F6AB7C" w14:textId="77777777" w:rsidR="00766E9C" w:rsidRPr="00C15525" w:rsidRDefault="00766E9C" w:rsidP="00766E9C">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MX"/>
        </w:rPr>
        <w:t xml:space="preserve">Correo de radicación de correspondencia: </w:t>
      </w:r>
      <w:hyperlink r:id="rId17" w:history="1">
        <w:r w:rsidRPr="00C15525">
          <w:rPr>
            <w:rFonts w:ascii="Verdana" w:eastAsia="Verdana" w:hAnsi="Verdana" w:cs="Verdana"/>
            <w:color w:val="0000FF"/>
            <w:u w:val="single"/>
            <w:lang w:val="es-MX"/>
          </w:rPr>
          <w:t>ventanilladeradicacion@colombiacompra.gov.co</w:t>
        </w:r>
      </w:hyperlink>
    </w:p>
    <w:p w14:paraId="361D9E99" w14:textId="77777777" w:rsidR="00766E9C" w:rsidRPr="00C15525" w:rsidRDefault="00766E9C" w:rsidP="00766E9C">
      <w:pPr>
        <w:numPr>
          <w:ilvl w:val="0"/>
          <w:numId w:val="15"/>
        </w:numPr>
        <w:spacing w:after="0" w:line="256" w:lineRule="auto"/>
        <w:contextualSpacing/>
        <w:rPr>
          <w:rFonts w:ascii="Verdana" w:eastAsia="Verdana" w:hAnsi="Verdana" w:cs="Verdana"/>
          <w:color w:val="0000FF"/>
          <w:u w:val="single"/>
          <w:lang w:val="es-MX"/>
        </w:rPr>
      </w:pPr>
      <w:r w:rsidRPr="00C15525">
        <w:rPr>
          <w:rFonts w:ascii="Verdana" w:eastAsia="Verdana" w:hAnsi="Verdana" w:cs="Verdana"/>
          <w:lang w:val="es-ES"/>
        </w:rPr>
        <w:t xml:space="preserve">Formulario web para PQRSD: </w:t>
      </w:r>
      <w:hyperlink r:id="rId18" w:history="1">
        <w:r w:rsidRPr="00C15525">
          <w:rPr>
            <w:rFonts w:ascii="Verdana" w:eastAsia="Verdana" w:hAnsi="Verdana" w:cs="Verdana"/>
            <w:color w:val="0000FF"/>
            <w:u w:val="single"/>
            <w:lang w:val="es-MX"/>
          </w:rPr>
          <w:t>https://www.colombiacompra.gov.co/pqrsd/informacion-importante-antes-de-formular-una-pqrsd</w:t>
        </w:r>
      </w:hyperlink>
    </w:p>
    <w:p w14:paraId="295A1273" w14:textId="77777777" w:rsidR="00766E9C" w:rsidRPr="00C15525" w:rsidRDefault="00766E9C" w:rsidP="00766E9C">
      <w:pPr>
        <w:spacing w:after="0" w:line="240" w:lineRule="auto"/>
        <w:ind w:left="720"/>
        <w:jc w:val="both"/>
        <w:rPr>
          <w:rFonts w:ascii="Verdana" w:hAnsi="Verdana"/>
        </w:rPr>
      </w:pPr>
    </w:p>
    <w:p w14:paraId="7F828876" w14:textId="77777777" w:rsidR="00766E9C" w:rsidRPr="00C15525" w:rsidRDefault="00766E9C" w:rsidP="00766E9C">
      <w:pPr>
        <w:spacing w:after="0" w:line="240" w:lineRule="auto"/>
        <w:rPr>
          <w:rFonts w:ascii="Verdana" w:hAnsi="Verdana"/>
        </w:rPr>
      </w:pPr>
      <w:r w:rsidRPr="00C15525">
        <w:rPr>
          <w:rFonts w:ascii="Verdana" w:hAnsi="Verdana"/>
        </w:rPr>
        <w:t xml:space="preserve">Evalúa el servicio que ofrece la Agencia por el canal de atención de PQRSD en el siguiente </w:t>
      </w:r>
      <w:proofErr w:type="gramStart"/>
      <w:r w:rsidRPr="00C15525">
        <w:rPr>
          <w:rFonts w:ascii="Verdana" w:hAnsi="Verdana"/>
        </w:rPr>
        <w:t>enlace :</w:t>
      </w:r>
      <w:proofErr w:type="gramEnd"/>
      <w:hyperlink r:id="rId19" w:tgtFrame="_blank" w:tooltip="https://forms.office.com/r/pphywvs2sz" w:history="1">
        <w:r w:rsidRPr="00C15525">
          <w:rPr>
            <w:rFonts w:ascii="Verdana" w:hAnsi="Verdana"/>
            <w:color w:val="0000FF"/>
            <w:u w:val="single"/>
          </w:rPr>
          <w:t>https://forms.office.com/r/pPHyWVs2SZ</w:t>
        </w:r>
      </w:hyperlink>
      <w:r w:rsidRPr="00C15525">
        <w:rPr>
          <w:rFonts w:ascii="Verdana" w:hAnsi="Verdana"/>
        </w:rPr>
        <w:t xml:space="preserve"> .¡Ayúdanos a mejorar porque el compromiso es de todos!</w:t>
      </w:r>
    </w:p>
    <w:p w14:paraId="4DBA0A08" w14:textId="77777777" w:rsidR="00766E9C" w:rsidRPr="00C15525" w:rsidRDefault="00766E9C" w:rsidP="00766E9C">
      <w:pPr>
        <w:spacing w:after="0" w:line="240" w:lineRule="auto"/>
        <w:rPr>
          <w:rFonts w:ascii="Verdana" w:hAnsi="Verdana"/>
        </w:rPr>
      </w:pPr>
    </w:p>
    <w:p w14:paraId="751FB5C9" w14:textId="77777777" w:rsidR="00766E9C" w:rsidRPr="00C15525" w:rsidRDefault="00766E9C" w:rsidP="00766E9C">
      <w:pPr>
        <w:spacing w:after="0" w:line="240" w:lineRule="auto"/>
        <w:jc w:val="both"/>
        <w:rPr>
          <w:rFonts w:ascii="Verdana" w:hAnsi="Verdana"/>
        </w:rPr>
      </w:pPr>
      <w:r w:rsidRPr="00C15525">
        <w:rPr>
          <w:rFonts w:ascii="Verdana" w:hAnsi="Verdana"/>
        </w:rPr>
        <w:t xml:space="preserve">Por último, lo invitamos a seguirnos en las redes sociales en las cuales se difunde información institucional: </w:t>
      </w:r>
    </w:p>
    <w:p w14:paraId="5C8DDAE7" w14:textId="77777777" w:rsidR="00766E9C" w:rsidRPr="00C15525" w:rsidRDefault="00766E9C" w:rsidP="00766E9C">
      <w:pPr>
        <w:spacing w:after="0" w:line="240" w:lineRule="auto"/>
        <w:jc w:val="both"/>
        <w:rPr>
          <w:rFonts w:ascii="Verdana" w:hAnsi="Verdana"/>
        </w:rPr>
      </w:pPr>
    </w:p>
    <w:p w14:paraId="4913A590" w14:textId="77777777" w:rsidR="00766E9C" w:rsidRPr="00C15525" w:rsidRDefault="00766E9C" w:rsidP="00766E9C">
      <w:pPr>
        <w:spacing w:after="0" w:line="240" w:lineRule="auto"/>
        <w:jc w:val="both"/>
        <w:rPr>
          <w:rFonts w:ascii="Verdana" w:hAnsi="Verdana"/>
        </w:rPr>
      </w:pPr>
      <w:r w:rsidRPr="00C15525">
        <w:rPr>
          <w:rFonts w:ascii="Verdana" w:hAnsi="Verdana"/>
        </w:rPr>
        <w:t xml:space="preserve">Twitter: </w:t>
      </w:r>
      <w:r w:rsidRPr="00C15525">
        <w:rPr>
          <w:rFonts w:ascii="Verdana" w:hAnsi="Verdana"/>
          <w:color w:val="0000FF"/>
          <w:u w:val="single"/>
        </w:rPr>
        <w:t>@colombiacompra</w:t>
      </w:r>
      <w:r w:rsidRPr="00C15525">
        <w:rPr>
          <w:rFonts w:ascii="Verdana" w:hAnsi="Verdana"/>
        </w:rPr>
        <w:t xml:space="preserve"> </w:t>
      </w:r>
    </w:p>
    <w:p w14:paraId="11C35065" w14:textId="77777777" w:rsidR="00766E9C" w:rsidRPr="00C15525" w:rsidRDefault="00766E9C" w:rsidP="00766E9C">
      <w:pPr>
        <w:spacing w:after="0" w:line="240" w:lineRule="auto"/>
        <w:jc w:val="both"/>
        <w:rPr>
          <w:rFonts w:ascii="Verdana" w:hAnsi="Verdana"/>
        </w:rPr>
      </w:pPr>
      <w:r w:rsidRPr="00C15525">
        <w:rPr>
          <w:rFonts w:ascii="Verdana" w:hAnsi="Verdana"/>
        </w:rPr>
        <w:t xml:space="preserve">Facebook: </w:t>
      </w:r>
      <w:proofErr w:type="spellStart"/>
      <w:r w:rsidRPr="00C15525">
        <w:rPr>
          <w:rFonts w:ascii="Verdana" w:hAnsi="Verdana"/>
          <w:color w:val="0000FF"/>
          <w:u w:val="single"/>
        </w:rPr>
        <w:t>ColombiaCompraEficiente</w:t>
      </w:r>
      <w:proofErr w:type="spellEnd"/>
    </w:p>
    <w:p w14:paraId="0CEFE652" w14:textId="77777777" w:rsidR="00766E9C" w:rsidRPr="00C15525" w:rsidRDefault="00766E9C" w:rsidP="00766E9C">
      <w:pPr>
        <w:spacing w:after="0" w:line="240" w:lineRule="auto"/>
        <w:jc w:val="both"/>
        <w:rPr>
          <w:rFonts w:ascii="Verdana" w:hAnsi="Verdana"/>
        </w:rPr>
      </w:pPr>
      <w:r w:rsidRPr="00C15525">
        <w:rPr>
          <w:rFonts w:ascii="Verdana" w:hAnsi="Verdana"/>
        </w:rPr>
        <w:t xml:space="preserve">LinkedIn: </w:t>
      </w:r>
      <w:r w:rsidRPr="00C15525">
        <w:rPr>
          <w:rFonts w:ascii="Verdana" w:hAnsi="Verdana"/>
          <w:color w:val="0000FF"/>
          <w:u w:val="single"/>
        </w:rPr>
        <w:t>Agencia Nacional de Contratación Pública - Colombia Compra Eficiente</w:t>
      </w:r>
      <w:r w:rsidRPr="00C15525">
        <w:rPr>
          <w:rFonts w:ascii="Verdana" w:hAnsi="Verdana"/>
        </w:rPr>
        <w:t xml:space="preserve"> Instagram: </w:t>
      </w:r>
      <w:r w:rsidRPr="00C15525">
        <w:rPr>
          <w:rFonts w:ascii="Verdana" w:hAnsi="Verdana"/>
          <w:color w:val="0000FF"/>
          <w:u w:val="single"/>
        </w:rPr>
        <w:t>@colombiacompraeficiente_cce</w:t>
      </w:r>
    </w:p>
    <w:p w14:paraId="6A639108" w14:textId="77777777" w:rsidR="00766E9C" w:rsidRPr="00C15525" w:rsidRDefault="00766E9C" w:rsidP="00766E9C">
      <w:pPr>
        <w:widowControl w:val="0"/>
        <w:autoSpaceDE w:val="0"/>
        <w:autoSpaceDN w:val="0"/>
        <w:spacing w:after="120" w:line="276" w:lineRule="auto"/>
        <w:jc w:val="both"/>
        <w:rPr>
          <w:rFonts w:ascii="Verdana" w:hAnsi="Verdana" w:cs="Arial"/>
          <w:color w:val="FF0000"/>
          <w:shd w:val="clear" w:color="auto" w:fill="FFFFFF"/>
          <w:lang w:val="es-ES_tradnl"/>
        </w:rPr>
      </w:pPr>
      <w:r w:rsidRPr="00C15525">
        <w:rPr>
          <w:rFonts w:ascii="Verdana" w:hAnsi="Verdana" w:cs="Arial"/>
          <w:color w:val="FF0000"/>
          <w:shd w:val="clear" w:color="auto" w:fill="FFFFFF"/>
          <w:lang w:val="es-ES_tradnl"/>
        </w:rPr>
        <w:t xml:space="preserve">        </w:t>
      </w:r>
    </w:p>
    <w:p w14:paraId="08BFD76C" w14:textId="77777777" w:rsidR="00766E9C" w:rsidRPr="00C15525" w:rsidRDefault="00766E9C" w:rsidP="00766E9C">
      <w:pPr>
        <w:widowControl w:val="0"/>
        <w:autoSpaceDE w:val="0"/>
        <w:autoSpaceDN w:val="0"/>
        <w:spacing w:after="0" w:line="276" w:lineRule="auto"/>
        <w:jc w:val="both"/>
        <w:rPr>
          <w:rFonts w:ascii="Verdana" w:hAnsi="Verdana" w:cs="Arial"/>
          <w:lang w:val="es-ES_tradnl"/>
        </w:rPr>
      </w:pPr>
      <w:r w:rsidRPr="00C15525">
        <w:rPr>
          <w:rFonts w:ascii="Verdana" w:hAnsi="Verdana" w:cs="Arial"/>
        </w:rPr>
        <w:t xml:space="preserve">Este concepto tiene el alcance previsto en el artículo 28 del Código de Procedimiento Administrativo y de lo Contencioso Administrativo </w:t>
      </w:r>
      <w:r w:rsidRPr="00C15525">
        <w:rPr>
          <w:rFonts w:ascii="Verdana" w:hAnsi="Verdana" w:cs="Arial"/>
          <w:lang w:val="es-ES_tradnl"/>
        </w:rPr>
        <w:t>y las expresiones aquí utilizadas con mayúscula inicial deben ser entendidas con el significado que les otorga el artículo 2.2.1.1.1.3.1. del Decreto 1082 de 2015.</w:t>
      </w:r>
    </w:p>
    <w:p w14:paraId="42B7F2D8" w14:textId="77777777" w:rsidR="00766E9C" w:rsidRPr="00C15525" w:rsidRDefault="00766E9C" w:rsidP="00766E9C">
      <w:pPr>
        <w:widowControl w:val="0"/>
        <w:autoSpaceDE w:val="0"/>
        <w:autoSpaceDN w:val="0"/>
        <w:spacing w:after="0" w:line="276" w:lineRule="auto"/>
        <w:jc w:val="both"/>
        <w:rPr>
          <w:rFonts w:ascii="Verdana" w:hAnsi="Verdana" w:cs="Arial"/>
          <w:lang w:val="es-ES_tradnl"/>
        </w:rPr>
      </w:pPr>
    </w:p>
    <w:p w14:paraId="25EC338B" w14:textId="77777777" w:rsidR="00766E9C" w:rsidRPr="00C15525" w:rsidRDefault="00766E9C" w:rsidP="00766E9C">
      <w:pPr>
        <w:widowControl w:val="0"/>
        <w:autoSpaceDE w:val="0"/>
        <w:autoSpaceDN w:val="0"/>
        <w:spacing w:after="0" w:line="276" w:lineRule="auto"/>
        <w:jc w:val="both"/>
        <w:rPr>
          <w:rFonts w:ascii="Verdana" w:hAnsi="Verdana" w:cs="Arial"/>
          <w:lang w:val="es-ES_tradnl"/>
        </w:rPr>
      </w:pPr>
      <w:r w:rsidRPr="00C15525">
        <w:rPr>
          <w:rFonts w:ascii="Verdana" w:hAnsi="Verdana" w:cs="Arial"/>
          <w:lang w:val="es-ES_tradnl"/>
        </w:rPr>
        <w:t xml:space="preserve">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 </w:t>
      </w:r>
    </w:p>
    <w:p w14:paraId="718224A0" w14:textId="77777777" w:rsidR="00766E9C" w:rsidRPr="00C15525" w:rsidRDefault="00766E9C" w:rsidP="00766E9C">
      <w:pPr>
        <w:widowControl w:val="0"/>
        <w:autoSpaceDE w:val="0"/>
        <w:autoSpaceDN w:val="0"/>
        <w:spacing w:after="0" w:line="276" w:lineRule="auto"/>
        <w:jc w:val="both"/>
        <w:rPr>
          <w:rFonts w:ascii="Verdana" w:hAnsi="Verdana" w:cs="Arial"/>
          <w:lang w:val="es-ES_tradnl"/>
        </w:rPr>
      </w:pPr>
    </w:p>
    <w:p w14:paraId="28C3F2C1" w14:textId="77777777" w:rsidR="00766E9C" w:rsidRPr="00C15525" w:rsidRDefault="00766E9C" w:rsidP="00766E9C">
      <w:pPr>
        <w:spacing w:after="0" w:line="240" w:lineRule="auto"/>
        <w:rPr>
          <w:rFonts w:ascii="Verdana" w:hAnsi="Verdana" w:cs="Arial"/>
          <w:lang w:val="es-ES_tradnl" w:eastAsia="es-CO"/>
        </w:rPr>
      </w:pPr>
      <w:r w:rsidRPr="00C15525">
        <w:rPr>
          <w:rFonts w:ascii="Verdana" w:eastAsia="Times New Roman" w:hAnsi="Verdana" w:cs="Arial"/>
          <w:lang w:val="es-ES" w:eastAsia="es-CO"/>
        </w:rPr>
        <w:t>Atentamente,</w:t>
      </w:r>
      <w:r w:rsidRPr="00C15525">
        <w:rPr>
          <w:rFonts w:ascii="Verdana" w:hAnsi="Verdana" w:cs="Arial"/>
          <w:lang w:val="es-ES" w:eastAsia="es-CO"/>
        </w:rPr>
        <w:t xml:space="preserve"> </w:t>
      </w:r>
    </w:p>
    <w:p w14:paraId="0044ADDC" w14:textId="3A371A0D" w:rsidR="00766E9C" w:rsidRPr="00C15525" w:rsidRDefault="00D63BF0" w:rsidP="00766E9C">
      <w:pPr>
        <w:spacing w:line="276" w:lineRule="auto"/>
        <w:jc w:val="center"/>
        <w:rPr>
          <w:rFonts w:ascii="Verdana" w:eastAsia="Calibri" w:hAnsi="Verdana" w:cs="Arial"/>
          <w:color w:val="000000"/>
          <w:lang w:val="es-ES_tradnl" w:eastAsia="es-CO"/>
        </w:rPr>
      </w:pPr>
      <w:r w:rsidRPr="00F21F0B">
        <w:rPr>
          <w:rFonts w:ascii="Century Gothic" w:hAnsi="Century Gothic"/>
          <w:noProof/>
        </w:rPr>
        <w:lastRenderedPageBreak/>
        <w:drawing>
          <wp:inline distT="0" distB="0" distL="0" distR="0" wp14:anchorId="6EEF4A19" wp14:editId="6CFA9811">
            <wp:extent cx="3771900" cy="1402080"/>
            <wp:effectExtent l="0" t="0" r="0" b="7620"/>
            <wp:docPr id="246173048"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descr="Texto&#10;&#10;Descripción generada automáticamente"/>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771900" cy="1402080"/>
                    </a:xfrm>
                    <a:prstGeom prst="rect">
                      <a:avLst/>
                    </a:prstGeom>
                    <a:noFill/>
                    <a:ln>
                      <a:noFill/>
                    </a:ln>
                  </pic:spPr>
                </pic:pic>
              </a:graphicData>
            </a:graphic>
          </wp:inline>
        </w:drawing>
      </w:r>
    </w:p>
    <w:tbl>
      <w:tblPr>
        <w:tblStyle w:val="Tablaconcuadrcula11"/>
        <w:tblW w:w="6521" w:type="dxa"/>
        <w:tblLook w:val="04A0" w:firstRow="1" w:lastRow="0" w:firstColumn="1" w:lastColumn="0" w:noHBand="0" w:noVBand="1"/>
      </w:tblPr>
      <w:tblGrid>
        <w:gridCol w:w="893"/>
        <w:gridCol w:w="5628"/>
      </w:tblGrid>
      <w:tr w:rsidR="00766E9C" w:rsidRPr="00C15525" w14:paraId="1C4379BE" w14:textId="77777777" w:rsidTr="00CD4E5D">
        <w:trPr>
          <w:trHeight w:val="315"/>
        </w:trPr>
        <w:tc>
          <w:tcPr>
            <w:tcW w:w="893" w:type="dxa"/>
            <w:vAlign w:val="center"/>
            <w:hideMark/>
          </w:tcPr>
          <w:p w14:paraId="65CE78EE" w14:textId="77777777" w:rsidR="00766E9C" w:rsidRPr="00C15525" w:rsidRDefault="00766E9C" w:rsidP="00CD4E5D">
            <w:pPr>
              <w:spacing w:after="255" w:line="254" w:lineRule="auto"/>
              <w:contextualSpacing/>
              <w:rPr>
                <w:rFonts w:ascii="Verdana" w:eastAsia="Calibri" w:hAnsi="Verdana"/>
                <w:sz w:val="16"/>
                <w:szCs w:val="16"/>
                <w:lang w:eastAsia="es-ES"/>
              </w:rPr>
            </w:pPr>
            <w:r w:rsidRPr="00C15525">
              <w:rPr>
                <w:rFonts w:ascii="Verdana" w:eastAsia="Calibri" w:hAnsi="Verdana"/>
                <w:sz w:val="16"/>
                <w:szCs w:val="16"/>
                <w:lang w:eastAsia="es-ES"/>
              </w:rPr>
              <w:t>Elaboró:</w:t>
            </w:r>
          </w:p>
        </w:tc>
        <w:tc>
          <w:tcPr>
            <w:tcW w:w="5628" w:type="dxa"/>
            <w:tcBorders>
              <w:top w:val="nil"/>
              <w:left w:val="nil"/>
              <w:bottom w:val="dotted" w:sz="4" w:space="0" w:color="7F7F7F" w:themeColor="text1" w:themeTint="80"/>
              <w:right w:val="nil"/>
            </w:tcBorders>
            <w:vAlign w:val="center"/>
            <w:hideMark/>
          </w:tcPr>
          <w:p w14:paraId="3D024284" w14:textId="77777777" w:rsidR="00766E9C" w:rsidRPr="00C15525" w:rsidRDefault="00766E9C" w:rsidP="00CD4E5D">
            <w:pPr>
              <w:spacing w:after="255" w:line="254" w:lineRule="auto"/>
              <w:contextualSpacing/>
              <w:rPr>
                <w:rFonts w:ascii="Verdana" w:eastAsia="Calibri" w:hAnsi="Verdana" w:cs="Times New Roman"/>
                <w:sz w:val="16"/>
                <w:szCs w:val="16"/>
              </w:rPr>
            </w:pPr>
            <w:r w:rsidRPr="00C15525">
              <w:rPr>
                <w:rFonts w:ascii="Verdana" w:eastAsia="Calibri" w:hAnsi="Verdana" w:cs="Times New Roman"/>
                <w:sz w:val="16"/>
                <w:szCs w:val="16"/>
              </w:rPr>
              <w:t>Tatiana Baquero Iguarán</w:t>
            </w:r>
          </w:p>
          <w:p w14:paraId="1ABE9414" w14:textId="77777777" w:rsidR="00766E9C" w:rsidRPr="00C15525" w:rsidRDefault="00766E9C" w:rsidP="00CD4E5D">
            <w:pPr>
              <w:spacing w:after="255" w:line="254" w:lineRule="auto"/>
              <w:contextualSpacing/>
              <w:rPr>
                <w:rFonts w:ascii="Verdana" w:hAnsi="Verdana"/>
                <w:sz w:val="16"/>
                <w:szCs w:val="16"/>
              </w:rPr>
            </w:pPr>
            <w:r w:rsidRPr="00C15525">
              <w:rPr>
                <w:rFonts w:ascii="Verdana" w:eastAsia="Calibri" w:hAnsi="Verdana" w:cs="Times New Roman"/>
                <w:sz w:val="16"/>
                <w:szCs w:val="16"/>
              </w:rPr>
              <w:t>Contratista de la Subdirección de Gestión Contractual</w:t>
            </w:r>
          </w:p>
        </w:tc>
      </w:tr>
      <w:tr w:rsidR="00766E9C" w:rsidRPr="00C15525" w14:paraId="68105893" w14:textId="77777777" w:rsidTr="00CD4E5D">
        <w:trPr>
          <w:trHeight w:val="330"/>
        </w:trPr>
        <w:tc>
          <w:tcPr>
            <w:tcW w:w="893" w:type="dxa"/>
            <w:vAlign w:val="center"/>
            <w:hideMark/>
          </w:tcPr>
          <w:p w14:paraId="63A22385" w14:textId="77777777" w:rsidR="00766E9C" w:rsidRPr="00C15525" w:rsidRDefault="00766E9C" w:rsidP="00CD4E5D">
            <w:pPr>
              <w:spacing w:after="255" w:line="254" w:lineRule="auto"/>
              <w:contextualSpacing/>
              <w:rPr>
                <w:rFonts w:ascii="Verdana" w:eastAsia="Calibri" w:hAnsi="Verdana"/>
                <w:sz w:val="16"/>
                <w:szCs w:val="16"/>
                <w:lang w:eastAsia="es-ES"/>
              </w:rPr>
            </w:pPr>
            <w:r w:rsidRPr="00C15525">
              <w:rPr>
                <w:rFonts w:ascii="Verdana" w:eastAsia="Calibri" w:hAnsi="Verdana"/>
                <w:sz w:val="16"/>
                <w:szCs w:val="16"/>
                <w:lang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5E3999AE" w14:textId="77777777" w:rsidR="00766E9C" w:rsidRPr="00C15525" w:rsidRDefault="00766E9C" w:rsidP="00CD4E5D">
            <w:pPr>
              <w:spacing w:before="100" w:beforeAutospacing="1" w:after="100" w:afterAutospacing="1" w:line="254" w:lineRule="auto"/>
              <w:contextualSpacing/>
              <w:textAlignment w:val="baseline"/>
              <w:rPr>
                <w:rFonts w:ascii="Verdana" w:eastAsia="Times New Roman" w:hAnsi="Verdana"/>
                <w:sz w:val="16"/>
                <w:szCs w:val="16"/>
                <w:lang w:eastAsia="es-ES_tradnl"/>
              </w:rPr>
            </w:pPr>
            <w:r w:rsidRPr="00C15525">
              <w:rPr>
                <w:rFonts w:ascii="Verdana" w:eastAsia="Times New Roman" w:hAnsi="Verdana"/>
                <w:sz w:val="16"/>
                <w:szCs w:val="16"/>
                <w:lang w:eastAsia="es-ES_tradnl"/>
              </w:rPr>
              <w:t>Alejandro Sarmiento Cantillo</w:t>
            </w:r>
          </w:p>
          <w:p w14:paraId="62C9856C" w14:textId="77777777" w:rsidR="00766E9C" w:rsidRPr="00C15525" w:rsidRDefault="00766E9C" w:rsidP="00CD4E5D">
            <w:pPr>
              <w:spacing w:after="255" w:line="254" w:lineRule="auto"/>
              <w:contextualSpacing/>
              <w:textAlignment w:val="baseline"/>
              <w:rPr>
                <w:rFonts w:ascii="Verdana" w:eastAsia="Times New Roman" w:hAnsi="Verdana" w:cs="Segoe UI"/>
                <w:sz w:val="16"/>
                <w:szCs w:val="16"/>
                <w:lang w:eastAsia="es-ES_tradnl"/>
              </w:rPr>
            </w:pPr>
            <w:r w:rsidRPr="00C15525">
              <w:rPr>
                <w:rFonts w:ascii="Verdana" w:eastAsia="Times New Roman" w:hAnsi="Verdana"/>
                <w:sz w:val="16"/>
                <w:szCs w:val="16"/>
                <w:lang w:eastAsia="es-ES_tradnl"/>
              </w:rPr>
              <w:t>Gestor T1 ‒ 15 de la Subdirección de Gestión Contractual </w:t>
            </w:r>
          </w:p>
        </w:tc>
      </w:tr>
      <w:tr w:rsidR="00766E9C" w:rsidRPr="00C15525" w14:paraId="393AA9D5" w14:textId="77777777" w:rsidTr="00CD4E5D">
        <w:trPr>
          <w:trHeight w:val="300"/>
        </w:trPr>
        <w:tc>
          <w:tcPr>
            <w:tcW w:w="893" w:type="dxa"/>
            <w:vAlign w:val="center"/>
            <w:hideMark/>
          </w:tcPr>
          <w:p w14:paraId="5622DF29" w14:textId="77777777" w:rsidR="00766E9C" w:rsidRPr="00C15525" w:rsidRDefault="00766E9C" w:rsidP="00CD4E5D">
            <w:pPr>
              <w:spacing w:after="255" w:line="254" w:lineRule="auto"/>
              <w:contextualSpacing/>
              <w:rPr>
                <w:rFonts w:ascii="Verdana" w:eastAsia="Calibri" w:hAnsi="Verdana"/>
                <w:sz w:val="16"/>
                <w:szCs w:val="16"/>
                <w:lang w:eastAsia="es-ES"/>
              </w:rPr>
            </w:pPr>
            <w:r w:rsidRPr="00C15525">
              <w:rPr>
                <w:rFonts w:ascii="Verdana" w:eastAsia="Calibri" w:hAnsi="Verdana"/>
                <w:sz w:val="16"/>
                <w:szCs w:val="16"/>
                <w:lang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12D806FB" w14:textId="77777777" w:rsidR="00766E9C" w:rsidRPr="00C15525" w:rsidRDefault="00766E9C" w:rsidP="00CD4E5D">
            <w:pPr>
              <w:spacing w:after="255" w:line="254" w:lineRule="auto"/>
              <w:contextualSpacing/>
              <w:rPr>
                <w:rFonts w:ascii="Verdana" w:eastAsia="Calibri" w:hAnsi="Verdana"/>
                <w:sz w:val="16"/>
                <w:szCs w:val="16"/>
                <w:lang w:val="pt-BR" w:eastAsia="es-ES"/>
              </w:rPr>
            </w:pPr>
            <w:r w:rsidRPr="00C15525">
              <w:rPr>
                <w:rFonts w:ascii="Verdana" w:eastAsia="Calibri" w:hAnsi="Verdana"/>
                <w:sz w:val="16"/>
                <w:szCs w:val="16"/>
                <w:lang w:val="pt-BR" w:eastAsia="es-ES"/>
              </w:rPr>
              <w:t xml:space="preserve">Carolina Quintero </w:t>
            </w:r>
            <w:proofErr w:type="spellStart"/>
            <w:r w:rsidRPr="00C15525">
              <w:rPr>
                <w:rFonts w:ascii="Verdana" w:eastAsia="Calibri" w:hAnsi="Verdana"/>
                <w:sz w:val="16"/>
                <w:szCs w:val="16"/>
                <w:lang w:val="pt-BR" w:eastAsia="es-ES"/>
              </w:rPr>
              <w:t>Gacharná</w:t>
            </w:r>
            <w:proofErr w:type="spellEnd"/>
          </w:p>
          <w:p w14:paraId="049091EB" w14:textId="77777777" w:rsidR="00766E9C" w:rsidRPr="00C15525" w:rsidRDefault="00766E9C" w:rsidP="00CD4E5D">
            <w:pPr>
              <w:spacing w:after="255" w:line="254" w:lineRule="auto"/>
              <w:contextualSpacing/>
              <w:rPr>
                <w:rFonts w:ascii="Verdana" w:eastAsia="Calibri" w:hAnsi="Verdana"/>
                <w:sz w:val="16"/>
                <w:szCs w:val="16"/>
                <w:lang w:val="pt-BR" w:eastAsia="es-ES"/>
              </w:rPr>
            </w:pPr>
            <w:r w:rsidRPr="00C15525">
              <w:rPr>
                <w:rFonts w:ascii="Verdana" w:eastAsia="Calibri" w:hAnsi="Verdana"/>
                <w:sz w:val="16"/>
                <w:szCs w:val="16"/>
                <w:lang w:eastAsia="es-ES"/>
              </w:rPr>
              <w:t>Subdirectora</w:t>
            </w:r>
            <w:r w:rsidRPr="00C15525">
              <w:rPr>
                <w:rFonts w:ascii="Verdana" w:eastAsia="Calibri" w:hAnsi="Verdana"/>
                <w:sz w:val="16"/>
                <w:szCs w:val="16"/>
                <w:lang w:val="pt-BR" w:eastAsia="es-ES"/>
              </w:rPr>
              <w:t xml:space="preserve"> de Gestión Contratual ANCP – CCE</w:t>
            </w:r>
          </w:p>
        </w:tc>
      </w:tr>
    </w:tbl>
    <w:p w14:paraId="1A921278" w14:textId="77777777" w:rsidR="00766E9C" w:rsidRDefault="00766E9C" w:rsidP="00766E9C">
      <w:pPr>
        <w:spacing w:after="0" w:line="240" w:lineRule="auto"/>
        <w:jc w:val="both"/>
        <w:textAlignment w:val="baseline"/>
        <w:rPr>
          <w:rFonts w:ascii="Verdana" w:eastAsia="Verdana" w:hAnsi="Verdana" w:cs="Verdana"/>
          <w:lang w:eastAsia="es-CO"/>
        </w:rPr>
      </w:pPr>
    </w:p>
    <w:p w14:paraId="70DB4102" w14:textId="77777777" w:rsidR="00766E9C" w:rsidRPr="00E02524" w:rsidRDefault="00766E9C" w:rsidP="00766E9C">
      <w:pPr>
        <w:spacing w:after="0" w:line="240" w:lineRule="auto"/>
        <w:jc w:val="both"/>
        <w:rPr>
          <w:rFonts w:ascii="Verdana" w:eastAsia="Verdana" w:hAnsi="Verdana" w:cs="Verdana"/>
          <w:b/>
          <w:bCs/>
          <w:lang w:val="es-MX"/>
        </w:rPr>
      </w:pPr>
    </w:p>
    <w:p w14:paraId="2659EB81" w14:textId="77777777" w:rsidR="00766E9C" w:rsidRPr="000E2B93" w:rsidRDefault="00766E9C" w:rsidP="00766E9C">
      <w:pPr>
        <w:spacing w:after="0" w:line="240" w:lineRule="auto"/>
        <w:jc w:val="both"/>
        <w:textAlignment w:val="baseline"/>
        <w:rPr>
          <w:rFonts w:ascii="Verdana" w:eastAsia="Verdana" w:hAnsi="Verdana" w:cs="Verdana"/>
          <w:lang w:eastAsia="es-CO"/>
        </w:rPr>
      </w:pPr>
    </w:p>
    <w:p w14:paraId="62AC7E6A" w14:textId="7C21970B" w:rsidR="00766E9C" w:rsidRPr="000E2B93" w:rsidRDefault="00766E9C" w:rsidP="00766E9C">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p w14:paraId="4EF83851" w14:textId="77777777" w:rsidR="0013570C" w:rsidRPr="00056BD5" w:rsidRDefault="0013570C" w:rsidP="00056BD5"/>
    <w:sectPr w:rsidR="0013570C" w:rsidRPr="00056BD5" w:rsidSect="007C0C0F">
      <w:headerReference w:type="default" r:id="rId21"/>
      <w:footerReference w:type="default" r:id="rId22"/>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6C5A1B" w14:textId="77777777" w:rsidR="00B473A0" w:rsidRDefault="00B473A0" w:rsidP="004A1847">
      <w:pPr>
        <w:spacing w:after="0" w:line="240" w:lineRule="auto"/>
      </w:pPr>
      <w:r>
        <w:separator/>
      </w:r>
    </w:p>
  </w:endnote>
  <w:endnote w:type="continuationSeparator" w:id="0">
    <w:p w14:paraId="4D133E3C" w14:textId="77777777" w:rsidR="00B473A0" w:rsidRDefault="00B473A0"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22B9E88F" w:rsidR="006219F8" w:rsidRDefault="356CEDFD" w:rsidP="356CEDFD">
    <w:pPr>
      <w:pBdr>
        <w:top w:val="nil"/>
        <w:left w:val="nil"/>
        <w:bottom w:val="nil"/>
        <w:right w:val="nil"/>
        <w:between w:val="nil"/>
      </w:pBdr>
      <w:tabs>
        <w:tab w:val="center" w:pos="4419"/>
        <w:tab w:val="right" w:pos="8838"/>
        <w:tab w:val="center" w:pos="5400"/>
      </w:tabs>
      <w:spacing w:after="0"/>
      <w:jc w:val="right"/>
    </w:pPr>
    <w:r w:rsidRPr="356CEDFD">
      <w:rPr>
        <w:rFonts w:ascii="Century Gothic" w:eastAsia="Geo" w:hAnsi="Century Gothic" w:cs="Geo"/>
        <w:b/>
        <w:bCs/>
        <w:color w:val="000000" w:themeColor="text1"/>
        <w:sz w:val="16"/>
        <w:szCs w:val="16"/>
        <w:lang w:eastAsia="es-CO"/>
      </w:rPr>
      <w:t xml:space="preserve">Código: </w:t>
    </w:r>
    <w:r w:rsidRPr="356CEDFD">
      <w:rPr>
        <w:rFonts w:ascii="Century Gothic" w:eastAsia="Geo" w:hAnsi="Century Gothic" w:cs="Geo"/>
        <w:color w:val="000000" w:themeColor="text1"/>
        <w:sz w:val="16"/>
        <w:szCs w:val="16"/>
        <w:lang w:eastAsia="es-CO"/>
      </w:rPr>
      <w:t xml:space="preserve">CCE-REC-FM-17 </w:t>
    </w:r>
    <w:r w:rsidRPr="356CEDFD">
      <w:rPr>
        <w:rFonts w:ascii="Century Gothic" w:eastAsia="Geo" w:hAnsi="Century Gothic" w:cs="Geo"/>
        <w:b/>
        <w:bCs/>
        <w:color w:val="000000" w:themeColor="text1"/>
        <w:sz w:val="16"/>
        <w:szCs w:val="16"/>
        <w:lang w:eastAsia="es-CO"/>
      </w:rPr>
      <w:t>V</w:t>
    </w:r>
    <w:r w:rsidRPr="356CEDFD">
      <w:rPr>
        <w:rFonts w:ascii="Century Gothic" w:eastAsia="Arial Nova" w:hAnsi="Century Gothic" w:cs="Arial Nova"/>
        <w:b/>
        <w:bCs/>
        <w:color w:val="000000" w:themeColor="text1"/>
        <w:sz w:val="16"/>
        <w:szCs w:val="16"/>
        <w:lang w:eastAsia="es-CO"/>
      </w:rPr>
      <w:t xml:space="preserve">: </w:t>
    </w:r>
    <w:r w:rsidRPr="356CEDFD">
      <w:rPr>
        <w:rFonts w:ascii="Century Gothic" w:eastAsia="Geo" w:hAnsi="Century Gothic" w:cs="Geo"/>
        <w:sz w:val="16"/>
        <w:szCs w:val="16"/>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8586D2" w14:textId="77777777" w:rsidR="00B473A0" w:rsidRDefault="00B473A0" w:rsidP="004A1847">
      <w:pPr>
        <w:spacing w:after="0" w:line="240" w:lineRule="auto"/>
      </w:pPr>
      <w:r>
        <w:separator/>
      </w:r>
    </w:p>
  </w:footnote>
  <w:footnote w:type="continuationSeparator" w:id="0">
    <w:p w14:paraId="488C0A20" w14:textId="77777777" w:rsidR="00B473A0" w:rsidRDefault="00B473A0" w:rsidP="004A1847">
      <w:pPr>
        <w:spacing w:after="0" w:line="240" w:lineRule="auto"/>
      </w:pPr>
      <w:r>
        <w:continuationSeparator/>
      </w:r>
    </w:p>
  </w:footnote>
  <w:footnote w:id="1">
    <w:p w14:paraId="420603BB" w14:textId="77777777" w:rsidR="00766E9C" w:rsidRPr="00C70B85" w:rsidRDefault="00766E9C" w:rsidP="00766E9C">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7BC9FF50" w14:textId="77777777" w:rsidR="00766E9C" w:rsidRPr="00C70B85" w:rsidRDefault="00766E9C" w:rsidP="00766E9C">
      <w:pPr>
        <w:pStyle w:val="Textonotapie"/>
        <w:ind w:firstLine="709"/>
        <w:jc w:val="both"/>
        <w:rPr>
          <w:rFonts w:ascii="Verdana" w:hAnsi="Verdana" w:cs="Arial"/>
          <w:sz w:val="16"/>
          <w:szCs w:val="16"/>
        </w:rPr>
      </w:pPr>
      <w:r w:rsidRPr="00C70B85">
        <w:rPr>
          <w:rFonts w:ascii="Verdana" w:hAnsi="Verdana" w:cs="Arial"/>
          <w:sz w:val="16"/>
          <w:szCs w:val="16"/>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2">
    <w:p w14:paraId="0F548CDD" w14:textId="77777777" w:rsidR="00766E9C" w:rsidRPr="00C70B85" w:rsidRDefault="00766E9C" w:rsidP="00766E9C">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Gaceta del Congreso de la República No. 71 del 2005.</w:t>
      </w:r>
    </w:p>
  </w:footnote>
  <w:footnote w:id="3">
    <w:p w14:paraId="39ACA3DF" w14:textId="77777777" w:rsidR="00766E9C" w:rsidRPr="00AC1EB4" w:rsidRDefault="00766E9C" w:rsidP="00766E9C">
      <w:pPr>
        <w:pStyle w:val="Textonotapie"/>
        <w:ind w:firstLine="709"/>
        <w:jc w:val="both"/>
        <w:rPr>
          <w:rFonts w:ascii="Verdana" w:hAnsi="Verdana" w:cs="Arial"/>
          <w:sz w:val="16"/>
          <w:szCs w:val="16"/>
          <w:lang w:val="pt-BR"/>
        </w:rPr>
      </w:pPr>
      <w:r w:rsidRPr="00C70B85">
        <w:rPr>
          <w:rStyle w:val="Refdenotaalpie"/>
          <w:rFonts w:ascii="Verdana" w:hAnsi="Verdana" w:cs="Arial"/>
          <w:sz w:val="16"/>
          <w:szCs w:val="16"/>
        </w:rPr>
        <w:footnoteRef/>
      </w:r>
      <w:r w:rsidRPr="00AC1EB4">
        <w:rPr>
          <w:rFonts w:ascii="Verdana" w:hAnsi="Verdana" w:cs="Arial"/>
          <w:sz w:val="16"/>
          <w:szCs w:val="16"/>
          <w:lang w:val="pt-BR"/>
        </w:rPr>
        <w:t xml:space="preserve"> Corte Constitucional, Sentencia C- 1153 de 2005, M.P. Marco Gerardo Monroy Cabra.</w:t>
      </w:r>
    </w:p>
  </w:footnote>
  <w:footnote w:id="4">
    <w:p w14:paraId="2F177496" w14:textId="77777777" w:rsidR="00766E9C" w:rsidRPr="00AC1EB4" w:rsidRDefault="00766E9C" w:rsidP="00766E9C">
      <w:pPr>
        <w:pStyle w:val="Textonotapie"/>
        <w:ind w:firstLine="709"/>
        <w:jc w:val="both"/>
        <w:rPr>
          <w:rFonts w:ascii="Verdana" w:hAnsi="Verdana" w:cs="Arial"/>
          <w:sz w:val="16"/>
          <w:szCs w:val="16"/>
          <w:lang w:val="pt-BR"/>
        </w:rPr>
      </w:pPr>
      <w:r w:rsidRPr="00C70B85">
        <w:rPr>
          <w:rStyle w:val="Refdenotaalpie"/>
          <w:rFonts w:ascii="Verdana" w:hAnsi="Verdana" w:cs="Arial"/>
          <w:sz w:val="16"/>
          <w:szCs w:val="16"/>
        </w:rPr>
        <w:footnoteRef/>
      </w:r>
      <w:r w:rsidRPr="00AC1EB4">
        <w:rPr>
          <w:rFonts w:ascii="Verdana" w:hAnsi="Verdana" w:cs="Arial"/>
          <w:sz w:val="16"/>
          <w:szCs w:val="16"/>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5">
    <w:p w14:paraId="31E0586A" w14:textId="77777777" w:rsidR="00766E9C" w:rsidRPr="00C70B85" w:rsidRDefault="00766E9C" w:rsidP="00766E9C">
      <w:pPr>
        <w:pStyle w:val="Textonotapie"/>
        <w:ind w:firstLine="709"/>
        <w:jc w:val="both"/>
        <w:rPr>
          <w:rFonts w:ascii="Verdana" w:hAnsi="Verdana" w:cs="Arial"/>
          <w:sz w:val="16"/>
          <w:szCs w:val="16"/>
          <w:lang w:val="es-CO"/>
        </w:rPr>
      </w:pPr>
      <w:r w:rsidRPr="00C70B85">
        <w:rPr>
          <w:rStyle w:val="Refdenotaalpie"/>
          <w:rFonts w:ascii="Verdana" w:hAnsi="Verdana" w:cs="Arial"/>
          <w:sz w:val="16"/>
          <w:szCs w:val="16"/>
        </w:rPr>
        <w:footnoteRef/>
      </w:r>
      <w:r w:rsidRPr="00C70B85">
        <w:rPr>
          <w:rFonts w:ascii="Verdana" w:hAnsi="Verdana" w:cs="Arial"/>
          <w:sz w:val="16"/>
          <w:szCs w:val="16"/>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6">
    <w:p w14:paraId="06AC9DA6" w14:textId="77777777" w:rsidR="00766E9C" w:rsidRPr="00C70B85" w:rsidRDefault="00766E9C" w:rsidP="00766E9C">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de fecha 24 de julio de 2013, radicado 2166, Consejero Ponente: Álvaro Namén Vargas.  </w:t>
      </w:r>
    </w:p>
  </w:footnote>
  <w:footnote w:id="7">
    <w:p w14:paraId="27289331" w14:textId="77777777" w:rsidR="00766E9C" w:rsidRPr="00C70B85" w:rsidRDefault="00766E9C" w:rsidP="00766E9C">
      <w:pPr>
        <w:spacing w:line="240" w:lineRule="auto"/>
        <w:ind w:firstLine="709"/>
        <w:contextualSpacing/>
        <w:jc w:val="both"/>
        <w:rPr>
          <w:rFonts w:ascii="Verdana" w:eastAsia="Times New Roman"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eastAsia="Calibri" w:hAnsi="Verdana" w:cs="Arial"/>
          <w:color w:val="000000"/>
          <w:sz w:val="16"/>
          <w:szCs w:val="16"/>
        </w:rPr>
        <w:t>“</w:t>
      </w:r>
      <w:bookmarkStart w:id="6" w:name="33"/>
      <w:r w:rsidRPr="00C70B85">
        <w:rPr>
          <w:rFonts w:ascii="Verdana" w:eastAsia="Times New Roman" w:hAnsi="Verdana" w:cs="Arial"/>
          <w:sz w:val="16"/>
          <w:szCs w:val="16"/>
        </w:rPr>
        <w:t>Artículo 33. Restricciones a la contratación pública.</w:t>
      </w:r>
      <w:bookmarkEnd w:id="6"/>
      <w:r w:rsidRPr="00C70B85">
        <w:rPr>
          <w:rFonts w:ascii="Verdana" w:eastAsia="Times New Roman" w:hAnsi="Verdana" w:cs="Arial"/>
          <w:sz w:val="16"/>
          <w:szCs w:val="16"/>
        </w:rPr>
        <w:t> Durante los cuatro (4) meses anteriores a la elección presidencial y hasta la realización de la elección en la segunda vuelta, si fuere el caso, queda prohibida la contratación directa por parte de todos los entes del Estado.</w:t>
      </w:r>
    </w:p>
    <w:p w14:paraId="5AA386E1" w14:textId="77777777" w:rsidR="00766E9C" w:rsidRPr="00C70B85" w:rsidRDefault="00766E9C" w:rsidP="00766E9C">
      <w:pPr>
        <w:spacing w:line="240" w:lineRule="auto"/>
        <w:ind w:firstLine="709"/>
        <w:contextualSpacing/>
        <w:jc w:val="both"/>
        <w:rPr>
          <w:rFonts w:ascii="Verdana" w:eastAsia="Times New Roman" w:hAnsi="Verdana" w:cs="Arial"/>
          <w:sz w:val="16"/>
          <w:szCs w:val="16"/>
        </w:rPr>
      </w:pPr>
      <w:r w:rsidRPr="00C70B85">
        <w:rPr>
          <w:rFonts w:ascii="Verdana" w:eastAsia="Times New Roman" w:hAnsi="Verdana" w:cs="Arial"/>
          <w:sz w:val="16"/>
          <w:szCs w:val="16"/>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C70B85">
        <w:rPr>
          <w:rFonts w:ascii="Verdana" w:eastAsia="Calibri" w:hAnsi="Verdana" w:cs="Arial"/>
          <w:color w:val="000000"/>
          <w:sz w:val="16"/>
          <w:szCs w:val="16"/>
        </w:rPr>
        <w:t>”</w:t>
      </w:r>
      <w:r w:rsidRPr="00C70B85">
        <w:rPr>
          <w:rFonts w:ascii="Verdana" w:eastAsia="Times New Roman" w:hAnsi="Verdana" w:cs="Arial"/>
          <w:sz w:val="16"/>
          <w:szCs w:val="16"/>
        </w:rPr>
        <w:t>.</w:t>
      </w:r>
    </w:p>
  </w:footnote>
  <w:footnote w:id="8">
    <w:p w14:paraId="4E7A5BE6" w14:textId="77777777" w:rsidR="00766E9C" w:rsidRPr="00C70B85" w:rsidRDefault="00766E9C" w:rsidP="00766E9C">
      <w:pPr>
        <w:pStyle w:val="NormalWeb"/>
        <w:spacing w:before="0" w:beforeAutospacing="0" w:after="0" w:afterAutospacing="0"/>
        <w:ind w:firstLine="709"/>
        <w:contextualSpacing/>
        <w:jc w:val="both"/>
        <w:rPr>
          <w:rFonts w:ascii="Verdana" w:hAnsi="Verdana" w:cs="Arial"/>
          <w:sz w:val="16"/>
          <w:szCs w:val="16"/>
          <w:lang w:val="es-MX"/>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eastAsia="Calibri" w:hAnsi="Verdana" w:cs="Arial"/>
          <w:color w:val="000000"/>
          <w:sz w:val="16"/>
          <w:szCs w:val="16"/>
        </w:rPr>
        <w:t>“</w:t>
      </w:r>
      <w:bookmarkStart w:id="7" w:name="38"/>
      <w:r w:rsidRPr="00C70B85">
        <w:rPr>
          <w:rFonts w:ascii="Verdana" w:hAnsi="Verdana" w:cs="Arial"/>
          <w:sz w:val="16"/>
          <w:szCs w:val="16"/>
          <w:lang w:val="es-MX"/>
        </w:rPr>
        <w:t>Artículo 38. Prohibiciones para los servidores públicos. A los empleados del Estado les está prohibido:</w:t>
      </w:r>
      <w:bookmarkEnd w:id="7"/>
    </w:p>
    <w:p w14:paraId="4724718D" w14:textId="77777777" w:rsidR="00766E9C" w:rsidRPr="00C70B85" w:rsidRDefault="00766E9C" w:rsidP="00766E9C">
      <w:pPr>
        <w:pStyle w:val="NormalWeb"/>
        <w:spacing w:before="0" w:beforeAutospacing="0" w:after="0" w:afterAutospacing="0"/>
        <w:ind w:firstLine="709"/>
        <w:contextualSpacing/>
        <w:jc w:val="both"/>
        <w:rPr>
          <w:rFonts w:ascii="Verdana" w:hAnsi="Verdana" w:cs="Arial"/>
          <w:sz w:val="16"/>
          <w:szCs w:val="16"/>
          <w:lang w:val="es-MX"/>
        </w:rPr>
      </w:pPr>
      <w:r w:rsidRPr="00C70B85">
        <w:rPr>
          <w:rFonts w:ascii="Verdana" w:hAnsi="Verdana" w:cs="Arial"/>
          <w:sz w:val="16"/>
          <w:szCs w:val="16"/>
          <w:lang w:val="es-MX"/>
        </w:rPr>
        <w:t>[…]</w:t>
      </w:r>
    </w:p>
    <w:p w14:paraId="5C2516BF" w14:textId="77777777" w:rsidR="00766E9C" w:rsidRPr="00C70B85" w:rsidRDefault="00766E9C" w:rsidP="00766E9C">
      <w:pPr>
        <w:pStyle w:val="NormalWeb"/>
        <w:spacing w:before="0" w:beforeAutospacing="0" w:after="0" w:afterAutospacing="0"/>
        <w:ind w:firstLine="709"/>
        <w:contextualSpacing/>
        <w:jc w:val="both"/>
        <w:rPr>
          <w:rFonts w:ascii="Verdana" w:hAnsi="Verdana" w:cs="Arial"/>
          <w:sz w:val="16"/>
          <w:szCs w:val="16"/>
          <w:lang w:val="es-MX"/>
        </w:rPr>
      </w:pPr>
      <w:r w:rsidRPr="00C70B85">
        <w:rPr>
          <w:rStyle w:val="baj"/>
          <w:rFonts w:ascii="Verdana" w:eastAsiaTheme="minorEastAsia" w:hAnsi="Verdana" w:cs="Arial"/>
          <w:sz w:val="16"/>
          <w:szCs w:val="16"/>
          <w:lang w:val="es-MX"/>
        </w:rPr>
        <w:t>Parágrafo.</w:t>
      </w:r>
      <w:r w:rsidRPr="00C70B85">
        <w:rPr>
          <w:rFonts w:ascii="Verdana" w:hAnsi="Verdana" w:cs="Arial"/>
          <w:sz w:val="16"/>
          <w:szCs w:val="16"/>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C70B85">
        <w:rPr>
          <w:rFonts w:ascii="Verdana" w:eastAsia="Calibri" w:hAnsi="Verdana" w:cs="Arial"/>
          <w:color w:val="000000"/>
          <w:sz w:val="16"/>
          <w:szCs w:val="16"/>
        </w:rPr>
        <w:t>”</w:t>
      </w:r>
      <w:r w:rsidRPr="00C70B85">
        <w:rPr>
          <w:rFonts w:ascii="Verdana" w:hAnsi="Verdana" w:cs="Arial"/>
          <w:sz w:val="16"/>
          <w:szCs w:val="16"/>
          <w:lang w:val="es-MX"/>
        </w:rPr>
        <w:t>.</w:t>
      </w:r>
    </w:p>
  </w:footnote>
  <w:footnote w:id="9">
    <w:p w14:paraId="15E68624" w14:textId="77777777" w:rsidR="00766E9C" w:rsidRPr="00C70B85" w:rsidRDefault="00766E9C" w:rsidP="00766E9C">
      <w:pPr>
        <w:spacing w:after="0" w:line="240" w:lineRule="auto"/>
        <w:ind w:left="100" w:right="244" w:firstLine="709"/>
        <w:contextualSpacing/>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17 de febrero de 2015. C.P. William Zambrano Cetina. Radicación No. 11001-03-06-000-2015-00164-00(2269).</w:t>
      </w:r>
    </w:p>
  </w:footnote>
  <w:footnote w:id="10">
    <w:p w14:paraId="47B4C402" w14:textId="77777777" w:rsidR="00766E9C" w:rsidRPr="00C70B85" w:rsidRDefault="00766E9C" w:rsidP="00766E9C">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sz w:val="16"/>
          <w:szCs w:val="16"/>
          <w:lang w:val="es-ES"/>
        </w:rPr>
        <w:t xml:space="preserve">[25] </w:t>
      </w:r>
      <w:r w:rsidRPr="00C70B85">
        <w:rPr>
          <w:rFonts w:ascii="Verdana" w:hAnsi="Verdana" w:cs="Arial"/>
          <w:sz w:val="16"/>
          <w:szCs w:val="16"/>
        </w:rPr>
        <w:t>Cfr. Consejo de Estado. Sección Tercera. Sentencia de 3 de diciembre de 2007. Radicados: 24.715, 25.206, 25.409, 24.524, 27.834, 25.410, 26.105, 28.244, 31.447 -acumulados-”.</w:t>
      </w:r>
    </w:p>
  </w:footnote>
  <w:footnote w:id="11">
    <w:p w14:paraId="7CD04BA7" w14:textId="77777777" w:rsidR="00766E9C" w:rsidRPr="00C70B85" w:rsidRDefault="00766E9C" w:rsidP="00766E9C">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sz w:val="16"/>
          <w:szCs w:val="16"/>
          <w:lang w:val="es-ES"/>
        </w:rPr>
        <w:t xml:space="preserve">[26] </w:t>
      </w:r>
      <w:r w:rsidRPr="00C70B85">
        <w:rPr>
          <w:rFonts w:ascii="Verdana" w:hAnsi="Verdana" w:cs="Arial"/>
          <w:sz w:val="16"/>
          <w:szCs w:val="16"/>
        </w:rPr>
        <w:t>Al respecto ver el concepto 1712 de 2 de febrero de 2006. Consejo de Estado Sala de Consulta y Servicio Civil”.</w:t>
      </w:r>
    </w:p>
  </w:footnote>
  <w:footnote w:id="12">
    <w:p w14:paraId="5DF33815" w14:textId="77777777" w:rsidR="00766E9C" w:rsidRPr="00C70B85" w:rsidRDefault="00766E9C" w:rsidP="00766E9C">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2 de septiembre de 2013. Radicación número: 11001-03-06-000-2013-00412-00 (2168). Consejero Ponente: Álvaro Namén Vargas.</w:t>
      </w:r>
    </w:p>
  </w:footnote>
  <w:footnote w:id="13">
    <w:p w14:paraId="56BB658E" w14:textId="77777777" w:rsidR="00766E9C" w:rsidRPr="00C70B85" w:rsidRDefault="00766E9C" w:rsidP="00766E9C">
      <w:pPr>
        <w:pStyle w:val="Textonotapie"/>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sz w:val="16"/>
          <w:szCs w:val="16"/>
          <w:lang w:val="es-ES"/>
        </w:rPr>
        <w:t xml:space="preserve">Artículo 2. </w:t>
      </w:r>
    </w:p>
  </w:footnote>
  <w:footnote w:id="14">
    <w:p w14:paraId="6E33CFF3" w14:textId="77777777" w:rsidR="00766E9C" w:rsidRPr="00C70B85" w:rsidRDefault="00766E9C" w:rsidP="00766E9C">
      <w:pPr>
        <w:pStyle w:val="Textonotapie"/>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Fonts w:ascii="Verdana" w:hAnsi="Verdana" w:cs="Arial"/>
          <w:sz w:val="16"/>
          <w:szCs w:val="16"/>
        </w:rPr>
        <w:t xml:space="preserve"> </w:t>
      </w:r>
      <w:r w:rsidRPr="00C70B85">
        <w:rPr>
          <w:rFonts w:ascii="Verdana" w:hAnsi="Verdana" w:cs="Arial"/>
          <w:i/>
          <w:sz w:val="16"/>
          <w:szCs w:val="16"/>
          <w:lang w:val="es-ES"/>
        </w:rPr>
        <w:t>Ibidem</w:t>
      </w:r>
      <w:r w:rsidRPr="00C70B85">
        <w:rPr>
          <w:rFonts w:ascii="Verdana" w:hAnsi="Verdana" w:cs="Arial"/>
          <w:sz w:val="16"/>
          <w:szCs w:val="16"/>
          <w:lang w:val="es-ES"/>
        </w:rPr>
        <w:t>.</w:t>
      </w:r>
    </w:p>
  </w:footnote>
  <w:footnote w:id="15">
    <w:p w14:paraId="54BD9589" w14:textId="77777777" w:rsidR="00766E9C" w:rsidRPr="00C70B85" w:rsidRDefault="00766E9C" w:rsidP="00766E9C">
      <w:pPr>
        <w:pStyle w:val="Textonotapie"/>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Style w:val="Refdenotaalpie"/>
          <w:rFonts w:ascii="Verdana" w:hAnsi="Verdana" w:cs="Arial"/>
          <w:sz w:val="16"/>
          <w:szCs w:val="16"/>
        </w:rPr>
        <w:t xml:space="preserve"> </w:t>
      </w:r>
      <w:r w:rsidRPr="00C70B85">
        <w:rPr>
          <w:rFonts w:ascii="Verdana" w:hAnsi="Verdana" w:cs="Arial"/>
          <w:sz w:val="16"/>
          <w:szCs w:val="16"/>
          <w:lang w:val="es-ES"/>
        </w:rPr>
        <w:t xml:space="preserve">“[…] A este respecto, cabe recordar que el artículo 860 del Código de Comercio regula la licitación en el derecho privado”. </w:t>
      </w:r>
    </w:p>
  </w:footnote>
  <w:footnote w:id="16">
    <w:p w14:paraId="081E9725" w14:textId="77777777" w:rsidR="00766E9C" w:rsidRPr="00C70B85" w:rsidRDefault="00766E9C" w:rsidP="00766E9C">
      <w:pPr>
        <w:shd w:val="clear" w:color="auto" w:fill="FFFFFF"/>
        <w:spacing w:after="0"/>
        <w:ind w:firstLine="709"/>
        <w:jc w:val="both"/>
        <w:rPr>
          <w:rFonts w:ascii="Verdana" w:hAnsi="Verdana" w:cs="Arial"/>
          <w:sz w:val="16"/>
          <w:szCs w:val="16"/>
          <w:lang w:val="es-ES"/>
        </w:rPr>
      </w:pPr>
      <w:r w:rsidRPr="00C70B85">
        <w:rPr>
          <w:rStyle w:val="Refdenotaalpie"/>
          <w:rFonts w:ascii="Verdana" w:hAnsi="Verdana" w:cs="Arial"/>
          <w:sz w:val="16"/>
          <w:szCs w:val="16"/>
        </w:rPr>
        <w:footnoteRef/>
      </w:r>
      <w:r w:rsidRPr="00C70B85">
        <w:rPr>
          <w:rStyle w:val="Refdenotaalpie"/>
          <w:rFonts w:ascii="Verdana" w:hAnsi="Verdana" w:cs="Arial"/>
          <w:sz w:val="16"/>
          <w:szCs w:val="16"/>
        </w:rPr>
        <w:t xml:space="preserve"> </w:t>
      </w:r>
      <w:r w:rsidRPr="00C70B85">
        <w:rPr>
          <w:rFonts w:ascii="Verdana" w:hAnsi="Verdana" w:cs="Arial"/>
          <w:sz w:val="16"/>
          <w:szCs w:val="16"/>
          <w:lang w:val="es-ES"/>
        </w:rPr>
        <w:t>Consejo de Estado. Sala de Consulta y Servicio Civil, Concepto de 8 de mayo de 2018. Radicación Número: 11001-03-06-000-2018-00095-00(2382). Consejero Ponente: Álvaro Namén Vargas.</w:t>
      </w:r>
    </w:p>
  </w:footnote>
  <w:footnote w:id="17">
    <w:p w14:paraId="189908E9" w14:textId="77777777" w:rsidR="00766E9C" w:rsidRPr="00C70B85" w:rsidRDefault="00766E9C" w:rsidP="00766E9C">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del 08 de mayo de 2018. Exp. 2.382. C.P. Álvaro Namén Vargas.</w:t>
      </w:r>
    </w:p>
  </w:footnote>
  <w:footnote w:id="18">
    <w:p w14:paraId="41F79B66" w14:textId="77777777" w:rsidR="00766E9C" w:rsidRPr="00C70B85" w:rsidRDefault="00766E9C" w:rsidP="00766E9C">
      <w:pPr>
        <w:pStyle w:val="Textonotapie"/>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19">
    <w:p w14:paraId="53118034" w14:textId="77777777" w:rsidR="00766E9C" w:rsidRPr="00C70B85" w:rsidRDefault="00766E9C" w:rsidP="00766E9C">
      <w:pPr>
        <w:pStyle w:val="Textonotapie"/>
        <w:ind w:firstLine="708"/>
        <w:contextualSpacing/>
        <w:jc w:val="both"/>
        <w:rPr>
          <w:rFonts w:ascii="Verdana" w:hAnsi="Verdana" w:cs="Arial"/>
          <w:color w:val="000000" w:themeColor="text1"/>
          <w:sz w:val="16"/>
          <w:szCs w:val="16"/>
        </w:rPr>
      </w:pPr>
      <w:r w:rsidRPr="00C70B85">
        <w:rPr>
          <w:rStyle w:val="Refdenotaalpie"/>
          <w:rFonts w:ascii="Verdana" w:hAnsi="Verdana" w:cs="Arial"/>
          <w:color w:val="000000" w:themeColor="text1"/>
          <w:sz w:val="16"/>
          <w:szCs w:val="16"/>
        </w:rPr>
        <w:footnoteRef/>
      </w:r>
      <w:r w:rsidRPr="00C70B85">
        <w:rPr>
          <w:rFonts w:ascii="Verdana" w:hAnsi="Verdana" w:cs="Arial"/>
          <w:color w:val="000000" w:themeColor="text1"/>
          <w:sz w:val="16"/>
          <w:szCs w:val="16"/>
        </w:rPr>
        <w:t xml:space="preserve"> Consejo de Estado. Sala de Consulta y Servicio Civil. Concepto del 02 de septiembre de 2013. Rad. 11001-03-06-000-2013-00412-00 (2168). C.P. Álvaro Namén Vargas.</w:t>
      </w:r>
    </w:p>
  </w:footnote>
  <w:footnote w:id="20">
    <w:p w14:paraId="61703729" w14:textId="77777777" w:rsidR="00766E9C" w:rsidRPr="00C70B85" w:rsidRDefault="00766E9C" w:rsidP="00766E9C">
      <w:pPr>
        <w:spacing w:after="0"/>
        <w:ind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 20 de febrero de 2006. Radicación Número: 11001-03-06-000-2006-00026-00(1727). Consejero Ponente: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1">
    <w:p w14:paraId="29010BCB" w14:textId="77777777" w:rsidR="00766E9C" w:rsidRPr="00C70B85" w:rsidRDefault="00766E9C" w:rsidP="00766E9C">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w:t>
      </w:r>
      <w:bookmarkStart w:id="18" w:name="_Hlk75633115"/>
      <w:r w:rsidRPr="00C70B85">
        <w:rPr>
          <w:rFonts w:ascii="Verdana" w:hAnsi="Verdana" w:cs="Arial"/>
          <w:sz w:val="16"/>
          <w:szCs w:val="16"/>
        </w:rPr>
        <w:t xml:space="preserve">Consejo de Estado. Sala de Consulta y Servicio Civil. Concepto </w:t>
      </w:r>
      <w:bookmarkEnd w:id="18"/>
      <w:r w:rsidRPr="00C70B85">
        <w:rPr>
          <w:rFonts w:ascii="Verdana" w:hAnsi="Verdana" w:cs="Arial"/>
          <w:sz w:val="16"/>
          <w:szCs w:val="16"/>
        </w:rPr>
        <w:t>de 6 de abril de 2006. Radicación Número: 11001-03-06-000-2006-00038-00(1738). Consejero Ponente: Enrique José Arboleda Perdomo:</w:t>
      </w:r>
      <w:r w:rsidRPr="00C70B85">
        <w:rPr>
          <w:rFonts w:ascii="Verdana" w:eastAsia="Times New Roman" w:hAnsi="Verdana" w:cs="Arial"/>
          <w:bCs/>
          <w:sz w:val="16"/>
          <w:szCs w:val="16"/>
          <w:lang w:eastAsia="x-none"/>
        </w:rPr>
        <w:t xml:space="preserve"> “</w:t>
      </w:r>
      <w:r w:rsidRPr="00C70B85">
        <w:rPr>
          <w:rFonts w:ascii="Verdana" w:hAnsi="Verdana" w:cs="Arial"/>
          <w:sz w:val="16"/>
          <w:szCs w:val="16"/>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C70B85">
        <w:rPr>
          <w:rFonts w:ascii="Verdana" w:eastAsia="Times New Roman" w:hAnsi="Verdana" w:cs="Arial"/>
          <w:bCs/>
          <w:sz w:val="16"/>
          <w:szCs w:val="16"/>
          <w:lang w:eastAsia="x-none"/>
        </w:rPr>
        <w:t>”.</w:t>
      </w:r>
    </w:p>
  </w:footnote>
  <w:footnote w:id="22">
    <w:p w14:paraId="282E33CE" w14:textId="77777777" w:rsidR="00766E9C" w:rsidRPr="00C70B85" w:rsidRDefault="00766E9C" w:rsidP="00766E9C">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Concepto de 6 de abril de 2006. Radicación Número: 11001-03-06-000-2006-00038-00(1738). Consejero Ponente: Enrique José Arboleda Perdomo.</w:t>
      </w:r>
    </w:p>
  </w:footnote>
  <w:footnote w:id="23">
    <w:p w14:paraId="0F861D23" w14:textId="77777777" w:rsidR="00766E9C" w:rsidRPr="00C70B85" w:rsidRDefault="00766E9C" w:rsidP="00766E9C">
      <w:pPr>
        <w:pStyle w:val="Textonotapie"/>
        <w:ind w:right="51" w:firstLine="709"/>
        <w:jc w:val="both"/>
        <w:rPr>
          <w:rFonts w:ascii="Verdana" w:hAnsi="Verdana" w:cs="Arial"/>
          <w:sz w:val="16"/>
          <w:szCs w:val="16"/>
        </w:rPr>
      </w:pPr>
      <w:r w:rsidRPr="00C70B85">
        <w:rPr>
          <w:rStyle w:val="Refdenotaalpie"/>
          <w:rFonts w:ascii="Verdana" w:hAnsi="Verdana" w:cs="Arial"/>
          <w:sz w:val="16"/>
          <w:szCs w:val="16"/>
        </w:rPr>
        <w:footnoteRef/>
      </w:r>
      <w:r w:rsidRPr="00C70B85">
        <w:rPr>
          <w:rFonts w:ascii="Verdana" w:hAnsi="Verdana" w:cs="Arial"/>
          <w:sz w:val="16"/>
          <w:szCs w:val="16"/>
        </w:rPr>
        <w:t xml:space="preserve"> Consejo de Estado. Sala de Consulta y Servicio Civil, </w:t>
      </w:r>
      <w:r w:rsidRPr="00C70B85">
        <w:rPr>
          <w:rFonts w:ascii="Verdana" w:hAnsi="Verdana" w:cs="Arial"/>
          <w:i/>
          <w:iCs/>
          <w:sz w:val="16"/>
          <w:szCs w:val="16"/>
        </w:rPr>
        <w:t>ibidem</w:t>
      </w:r>
      <w:r w:rsidRPr="00C70B85">
        <w:rPr>
          <w:rFonts w:ascii="Verdana" w:hAnsi="Verdana" w:cs="Arial"/>
          <w:sz w:val="16"/>
          <w:szCs w:val="16"/>
        </w:rPr>
        <w:t>.</w:t>
      </w:r>
    </w:p>
  </w:footnote>
  <w:footnote w:id="24">
    <w:p w14:paraId="27187D24" w14:textId="77777777" w:rsidR="00766E9C" w:rsidRPr="00C70B85" w:rsidRDefault="00766E9C" w:rsidP="00766E9C">
      <w:pPr>
        <w:pStyle w:val="Textonotapie"/>
        <w:ind w:firstLine="709"/>
        <w:jc w:val="both"/>
        <w:rPr>
          <w:rFonts w:ascii="Verdana" w:hAnsi="Verdana" w:cs="Arial"/>
          <w:sz w:val="16"/>
          <w:szCs w:val="16"/>
        </w:rPr>
      </w:pPr>
      <w:r w:rsidRPr="00C70B85">
        <w:rPr>
          <w:rStyle w:val="Refdenotaalpie"/>
          <w:rFonts w:ascii="Verdana" w:hAnsi="Verdana"/>
          <w:sz w:val="16"/>
          <w:szCs w:val="16"/>
        </w:rPr>
        <w:footnoteRef/>
      </w:r>
      <w:r w:rsidRPr="00C70B85">
        <w:rPr>
          <w:rFonts w:ascii="Verdana" w:hAnsi="Verdana"/>
          <w:sz w:val="16"/>
          <w:szCs w:val="16"/>
        </w:rPr>
        <w:t xml:space="preserve"> </w:t>
      </w:r>
      <w:r w:rsidRPr="00C70B85">
        <w:rPr>
          <w:rFonts w:ascii="Verdana" w:hAnsi="Verdana" w:cs="Arial"/>
          <w:sz w:val="16"/>
          <w:szCs w:val="16"/>
        </w:rPr>
        <w:t>Consejo de Estado -Sección Tercera-. Sentencia del 21 de febrero de 2025. Radicación Número: 68.280. CP: José Roberto Sáchica Méndez.</w:t>
      </w:r>
    </w:p>
  </w:footnote>
  <w:footnote w:id="25">
    <w:p w14:paraId="7185951C" w14:textId="77777777" w:rsidR="00766E9C" w:rsidRPr="00C70B85" w:rsidRDefault="00766E9C" w:rsidP="00766E9C">
      <w:pPr>
        <w:pStyle w:val="Textonotapie"/>
        <w:ind w:firstLine="709"/>
        <w:jc w:val="both"/>
        <w:rPr>
          <w:rFonts w:ascii="Verdana" w:hAnsi="Verdana"/>
          <w:sz w:val="16"/>
          <w:szCs w:val="16"/>
          <w:lang w:val="es-CO"/>
        </w:rPr>
      </w:pPr>
      <w:r w:rsidRPr="00C70B85">
        <w:rPr>
          <w:rStyle w:val="Refdenotaalpie"/>
          <w:rFonts w:ascii="Verdana" w:hAnsi="Verdana"/>
          <w:sz w:val="16"/>
          <w:szCs w:val="16"/>
        </w:rPr>
        <w:footnoteRef/>
      </w:r>
      <w:r w:rsidRPr="00C70B85">
        <w:rPr>
          <w:rFonts w:ascii="Verdana" w:hAnsi="Verdana"/>
          <w:sz w:val="16"/>
          <w:szCs w:val="16"/>
          <w:lang w:val="es-CO"/>
        </w:rPr>
        <w:t xml:space="preserve"> Consejo de Estado, Sección Tercera. Auto del 4 de octubre de 2024. Exp. 70.313. C.P: Fredy Ibarra Martínez.</w:t>
      </w:r>
    </w:p>
  </w:footnote>
  <w:footnote w:id="26">
    <w:p w14:paraId="2CB63481" w14:textId="77777777" w:rsidR="00766E9C" w:rsidRPr="00C70B85" w:rsidRDefault="00766E9C" w:rsidP="00766E9C">
      <w:pPr>
        <w:pStyle w:val="Textonotapie"/>
        <w:ind w:firstLine="709"/>
        <w:jc w:val="both"/>
        <w:rPr>
          <w:rFonts w:ascii="Verdana" w:hAnsi="Verdana"/>
          <w:sz w:val="16"/>
          <w:szCs w:val="16"/>
          <w:lang w:val="es-CO"/>
        </w:rPr>
      </w:pPr>
      <w:r w:rsidRPr="00C70B85">
        <w:rPr>
          <w:rStyle w:val="Refdenotaalpie"/>
          <w:rFonts w:ascii="Verdana" w:hAnsi="Verdana"/>
          <w:sz w:val="16"/>
          <w:szCs w:val="16"/>
        </w:rPr>
        <w:footnoteRef/>
      </w:r>
      <w:r w:rsidRPr="00C70B85">
        <w:rPr>
          <w:rFonts w:ascii="Verdana" w:hAnsi="Verdana"/>
          <w:sz w:val="16"/>
          <w:szCs w:val="16"/>
        </w:rPr>
        <w:t xml:space="preserve"> La parte resolutiva del auto dispone lo siguiente; “</w:t>
      </w:r>
      <w:r w:rsidRPr="00C70B85">
        <w:rPr>
          <w:rFonts w:ascii="Verdana" w:hAnsi="Verdana"/>
          <w:b/>
          <w:sz w:val="16"/>
          <w:szCs w:val="16"/>
          <w:lang w:val="es-CO"/>
        </w:rPr>
        <w:t xml:space="preserve">PRIMERO: DECRETAR </w:t>
      </w:r>
      <w:r w:rsidRPr="00C70B85">
        <w:rPr>
          <w:rFonts w:ascii="Verdana" w:hAnsi="Verdana"/>
          <w:sz w:val="16"/>
          <w:szCs w:val="16"/>
          <w:lang w:val="es-CO"/>
        </w:rPr>
        <w:t xml:space="preserve">la suspensión provisional de los apartes cuestionados del inciso segundo del numeral 16.2 de la Circular Externa única, versión 3 del 27 de diciembre de 2023, expedida por la Agencia Nacional de Contratación Pública – Colombia Compra Eficiente, según el cual </w:t>
      </w:r>
      <w:r w:rsidRPr="00C70B85">
        <w:rPr>
          <w:rFonts w:ascii="Verdana" w:hAnsi="Verdana"/>
          <w:i/>
          <w:sz w:val="16"/>
          <w:szCs w:val="16"/>
          <w:lang w:val="es-CO"/>
        </w:rPr>
        <w:t>“[e]sta restricción es aplicable (…)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r w:rsidRPr="00C70B85">
        <w:rPr>
          <w:rFonts w:ascii="Verdana" w:hAnsi="Verdana"/>
          <w:sz w:val="16"/>
          <w:szCs w:val="16"/>
          <w:lang w:val="es-CO"/>
        </w:rPr>
        <w:t xml:space="preserve">, por las razones expuestas en precedencia. </w:t>
      </w:r>
    </w:p>
    <w:p w14:paraId="650910E7" w14:textId="77777777" w:rsidR="00766E9C" w:rsidRPr="00C70B85" w:rsidRDefault="00766E9C" w:rsidP="00766E9C">
      <w:pPr>
        <w:pStyle w:val="Textonotapie"/>
        <w:ind w:firstLine="709"/>
        <w:jc w:val="both"/>
        <w:rPr>
          <w:rFonts w:ascii="Verdana" w:hAnsi="Verdana"/>
          <w:sz w:val="16"/>
          <w:szCs w:val="16"/>
          <w:lang w:val="es-CO"/>
        </w:rPr>
      </w:pPr>
      <w:r w:rsidRPr="00C70B85">
        <w:rPr>
          <w:rFonts w:ascii="Verdana" w:hAnsi="Verdana"/>
          <w:b/>
          <w:sz w:val="16"/>
          <w:szCs w:val="16"/>
          <w:lang w:val="es-CO"/>
        </w:rPr>
        <w:t xml:space="preserve">SEGUNDO: DECRETAR </w:t>
      </w:r>
      <w:r w:rsidRPr="00C70B85">
        <w:rPr>
          <w:rFonts w:ascii="Verdana" w:hAnsi="Verdana"/>
          <w:sz w:val="16"/>
          <w:szCs w:val="16"/>
          <w:lang w:val="es-CO"/>
        </w:rPr>
        <w:t>la suspensión provisional de la expresión “</w:t>
      </w:r>
      <w:r w:rsidRPr="00C70B85">
        <w:rPr>
          <w:rFonts w:ascii="Verdana" w:hAnsi="Verdana"/>
          <w:i/>
          <w:sz w:val="16"/>
          <w:szCs w:val="16"/>
          <w:lang w:val="es-CO"/>
        </w:rPr>
        <w:t>contratos</w:t>
      </w:r>
      <w:r w:rsidRPr="00C70B85">
        <w:rPr>
          <w:rFonts w:ascii="Verdana" w:hAnsi="Verdana"/>
          <w:sz w:val="16"/>
          <w:szCs w:val="16"/>
          <w:lang w:val="es-CO"/>
        </w:rPr>
        <w:t xml:space="preserve">” y del párrafo </w:t>
      </w:r>
      <w:r w:rsidRPr="00C70B85">
        <w:rPr>
          <w:rFonts w:ascii="Verdana" w:hAnsi="Verdana"/>
          <w:i/>
          <w:sz w:val="16"/>
          <w:szCs w:val="16"/>
          <w:lang w:val="es-CO"/>
        </w:rPr>
        <w:t>“[e]n este sentido, la prohibición que establece el parágrafo del artículo 38 de la Ley de Garantías consiste en evitar que los recursos del Estado se ejecuten para lograr apoyos indebidos mediante la suscripción de contratos (…) que, para efectos de la Ley de Garantías, tienen la misma connotación y propósito</w:t>
      </w:r>
      <w:r w:rsidRPr="00C70B85">
        <w:rPr>
          <w:rFonts w:ascii="Verdana" w:hAnsi="Verdana"/>
          <w:sz w:val="16"/>
          <w:szCs w:val="16"/>
          <w:lang w:val="es-CO"/>
        </w:rPr>
        <w:t xml:space="preserve">”, contenidos en el inciso cuarto del numeral 16.2 de la Circular Externa única, versión 3 del 27 de diciembre de 2023, expedida por la Agencia Nacional de Contratación Pública – Colombia Compra Eficiente, por las razones expuestas de manera precedente”. Consejo de Estado, Sección Tercera. Auto del 6 de noviembre de 2025. Exp. 72.424. C.P: Fernando Alexei Pardo Flórez. </w:t>
      </w:r>
    </w:p>
  </w:footnote>
  <w:footnote w:id="27">
    <w:p w14:paraId="27DA582B" w14:textId="77777777" w:rsidR="00766E9C" w:rsidRPr="00C70B85" w:rsidRDefault="00766E9C" w:rsidP="00766E9C">
      <w:pPr>
        <w:spacing w:line="240" w:lineRule="auto"/>
        <w:ind w:firstLine="709"/>
        <w:contextualSpacing/>
        <w:jc w:val="both"/>
        <w:rPr>
          <w:rFonts w:ascii="Verdana" w:eastAsia="Times New Roman" w:hAnsi="Verdana" w:cs="Times New Roman"/>
          <w:sz w:val="16"/>
          <w:szCs w:val="16"/>
          <w:lang w:eastAsia="es-ES"/>
        </w:rPr>
      </w:pPr>
      <w:r w:rsidRPr="00C70B85">
        <w:rPr>
          <w:rStyle w:val="Refdenotaalpie"/>
          <w:rFonts w:ascii="Verdana" w:hAnsi="Verdana"/>
          <w:sz w:val="16"/>
          <w:szCs w:val="16"/>
        </w:rPr>
        <w:footnoteRef/>
      </w:r>
      <w:r w:rsidRPr="00C70B85">
        <w:rPr>
          <w:rFonts w:ascii="Verdana" w:hAnsi="Verdana"/>
          <w:sz w:val="16"/>
          <w:szCs w:val="16"/>
        </w:rPr>
        <w:t xml:space="preserve"> </w:t>
      </w:r>
      <w:r w:rsidRPr="00C70B85">
        <w:rPr>
          <w:rFonts w:ascii="Verdana" w:eastAsia="Times New Roman" w:hAnsi="Verdana" w:cs="Times New Roman"/>
          <w:sz w:val="16"/>
          <w:szCs w:val="16"/>
          <w:lang w:eastAsia="es-ES"/>
        </w:rPr>
        <w:t xml:space="preserve">Consejo de Estado. Sala de lo Contencioso Administrativo. Sección Tercera. Subsección B. 17 de octubre de 2025. Magistrado Ponente: Fredy Ibarra Martínez.  </w:t>
      </w:r>
      <w:r w:rsidRPr="00C70B85">
        <w:rPr>
          <w:rFonts w:ascii="Verdana" w:hAnsi="Verdana"/>
          <w:sz w:val="16"/>
          <w:szCs w:val="16"/>
        </w:rPr>
        <w:t xml:space="preserve">La parte de la providencia señala: </w:t>
      </w:r>
      <w:r w:rsidRPr="00C70B85">
        <w:rPr>
          <w:rFonts w:ascii="Verdana" w:eastAsia="Times New Roman" w:hAnsi="Verdana" w:cs="Times New Roman"/>
          <w:sz w:val="16"/>
          <w:szCs w:val="16"/>
          <w:lang w:eastAsia="es-ES"/>
        </w:rPr>
        <w:t>Declárase la nulidad parcial del numeral 16.2 de la Circular Externa Única de 2022 expedida por la Agencia Nacional de Contratación Pública -Colombia Compra Eficiente-, concretamente, de los siguientes apartes normativos: i) el inciso tercero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ii) la expresión y el siguiente párrafo contenidos en el inciso quinto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footnote>
  <w:footnote w:id="28">
    <w:p w14:paraId="7E7532D3" w14:textId="77777777" w:rsidR="00766E9C" w:rsidRPr="00C70B85" w:rsidRDefault="00766E9C" w:rsidP="00766E9C">
      <w:pPr>
        <w:pStyle w:val="Textonotapie"/>
        <w:ind w:firstLine="709"/>
        <w:jc w:val="both"/>
        <w:rPr>
          <w:rFonts w:ascii="Verdana" w:hAnsi="Verdana"/>
          <w:sz w:val="16"/>
          <w:szCs w:val="16"/>
          <w:lang w:val="es-CO"/>
        </w:rPr>
      </w:pPr>
      <w:r w:rsidRPr="00C70B85">
        <w:rPr>
          <w:rStyle w:val="Refdenotaalpie"/>
          <w:rFonts w:ascii="Verdana" w:hAnsi="Verdana"/>
          <w:sz w:val="16"/>
          <w:szCs w:val="16"/>
        </w:rPr>
        <w:footnoteRef/>
      </w:r>
      <w:r w:rsidRPr="00C70B85">
        <w:rPr>
          <w:rFonts w:ascii="Verdana" w:hAnsi="Verdana"/>
          <w:sz w:val="16"/>
          <w:szCs w:val="16"/>
        </w:rPr>
        <w:t xml:space="preserve"> No obstante lo anterior, es importante mencionar que aún se encuentra por definir la demanda de nulidad simple, identificada con el Radicado número 11001-03-26-000-2025-00016-00, en la cual se cuestiona parcialmente el numeral 16.2 de la Circular Externa Única CCE-EICP-MA-06, Versión 03 del 27 de diciembre de 2023.</w:t>
      </w:r>
      <w:r>
        <w:rPr>
          <w:rFonts w:ascii="Verdana" w:hAnsi="Verdana"/>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341274352">
    <w:abstractNumId w:val="0"/>
  </w:num>
  <w:num w:numId="17" w16cid:durableId="679089576">
    <w:abstractNumId w:val="9"/>
  </w:num>
  <w:num w:numId="18" w16cid:durableId="784693449">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64786412">
    <w:abstractNumId w:val="9"/>
  </w:num>
  <w:num w:numId="20" w16cid:durableId="1210992671">
    <w:abstractNumId w:val="10"/>
  </w:num>
  <w:num w:numId="21" w16cid:durableId="871770591">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0908"/>
    <w:rsid w:val="000054C3"/>
    <w:rsid w:val="00016F78"/>
    <w:rsid w:val="0002029B"/>
    <w:rsid w:val="00031855"/>
    <w:rsid w:val="00035438"/>
    <w:rsid w:val="00036631"/>
    <w:rsid w:val="00040801"/>
    <w:rsid w:val="000466BD"/>
    <w:rsid w:val="00046945"/>
    <w:rsid w:val="0005195F"/>
    <w:rsid w:val="00052B57"/>
    <w:rsid w:val="000547F7"/>
    <w:rsid w:val="00056187"/>
    <w:rsid w:val="00056BD5"/>
    <w:rsid w:val="0006012A"/>
    <w:rsid w:val="00061547"/>
    <w:rsid w:val="00061B2A"/>
    <w:rsid w:val="000673BA"/>
    <w:rsid w:val="00071189"/>
    <w:rsid w:val="00071D46"/>
    <w:rsid w:val="000724AB"/>
    <w:rsid w:val="00074B6F"/>
    <w:rsid w:val="00074CDA"/>
    <w:rsid w:val="0008045E"/>
    <w:rsid w:val="00081D8C"/>
    <w:rsid w:val="00082362"/>
    <w:rsid w:val="000838BA"/>
    <w:rsid w:val="00085921"/>
    <w:rsid w:val="00092DCC"/>
    <w:rsid w:val="000A009F"/>
    <w:rsid w:val="000A3C3C"/>
    <w:rsid w:val="000A5F9F"/>
    <w:rsid w:val="000A683E"/>
    <w:rsid w:val="000A6D90"/>
    <w:rsid w:val="000B19B9"/>
    <w:rsid w:val="000C2662"/>
    <w:rsid w:val="000C7E94"/>
    <w:rsid w:val="000D0334"/>
    <w:rsid w:val="000D15E3"/>
    <w:rsid w:val="000D4E65"/>
    <w:rsid w:val="000D591D"/>
    <w:rsid w:val="000D5DA7"/>
    <w:rsid w:val="000E3C0C"/>
    <w:rsid w:val="000E73EF"/>
    <w:rsid w:val="000E7E50"/>
    <w:rsid w:val="000F2EFE"/>
    <w:rsid w:val="000F6486"/>
    <w:rsid w:val="000F649C"/>
    <w:rsid w:val="00100FCA"/>
    <w:rsid w:val="001131F7"/>
    <w:rsid w:val="00116940"/>
    <w:rsid w:val="00125105"/>
    <w:rsid w:val="00127233"/>
    <w:rsid w:val="0013570C"/>
    <w:rsid w:val="00137038"/>
    <w:rsid w:val="0013704A"/>
    <w:rsid w:val="0013793B"/>
    <w:rsid w:val="0015683D"/>
    <w:rsid w:val="0015699B"/>
    <w:rsid w:val="00160992"/>
    <w:rsid w:val="00161946"/>
    <w:rsid w:val="0016386A"/>
    <w:rsid w:val="001823E3"/>
    <w:rsid w:val="00185243"/>
    <w:rsid w:val="001853E0"/>
    <w:rsid w:val="00186559"/>
    <w:rsid w:val="00192440"/>
    <w:rsid w:val="00192A34"/>
    <w:rsid w:val="001946BE"/>
    <w:rsid w:val="001A0022"/>
    <w:rsid w:val="001A2045"/>
    <w:rsid w:val="001A33BF"/>
    <w:rsid w:val="001B04E1"/>
    <w:rsid w:val="001B14E1"/>
    <w:rsid w:val="001B29E5"/>
    <w:rsid w:val="001B40D7"/>
    <w:rsid w:val="001C02BF"/>
    <w:rsid w:val="001C6D47"/>
    <w:rsid w:val="001C7A3B"/>
    <w:rsid w:val="001C7BA8"/>
    <w:rsid w:val="001D28D5"/>
    <w:rsid w:val="001D4A8E"/>
    <w:rsid w:val="001E4177"/>
    <w:rsid w:val="001F0B24"/>
    <w:rsid w:val="001F0BC9"/>
    <w:rsid w:val="001F7DC6"/>
    <w:rsid w:val="00207BAC"/>
    <w:rsid w:val="0021326C"/>
    <w:rsid w:val="002133AC"/>
    <w:rsid w:val="002160CE"/>
    <w:rsid w:val="00220E51"/>
    <w:rsid w:val="00222E29"/>
    <w:rsid w:val="0022400B"/>
    <w:rsid w:val="00225635"/>
    <w:rsid w:val="0022674B"/>
    <w:rsid w:val="00231751"/>
    <w:rsid w:val="002421BB"/>
    <w:rsid w:val="002439E8"/>
    <w:rsid w:val="00253074"/>
    <w:rsid w:val="00255762"/>
    <w:rsid w:val="00257777"/>
    <w:rsid w:val="0025796E"/>
    <w:rsid w:val="0026347A"/>
    <w:rsid w:val="00266506"/>
    <w:rsid w:val="002707A2"/>
    <w:rsid w:val="00270FBC"/>
    <w:rsid w:val="0027500F"/>
    <w:rsid w:val="00275223"/>
    <w:rsid w:val="00285515"/>
    <w:rsid w:val="002951A0"/>
    <w:rsid w:val="002962BC"/>
    <w:rsid w:val="002A031B"/>
    <w:rsid w:val="002A093D"/>
    <w:rsid w:val="002A0DD0"/>
    <w:rsid w:val="002A2D74"/>
    <w:rsid w:val="002A49AC"/>
    <w:rsid w:val="002A64FD"/>
    <w:rsid w:val="002B5132"/>
    <w:rsid w:val="002B72D5"/>
    <w:rsid w:val="002B7FDB"/>
    <w:rsid w:val="002C0389"/>
    <w:rsid w:val="002C1DC7"/>
    <w:rsid w:val="002C7024"/>
    <w:rsid w:val="002C7A84"/>
    <w:rsid w:val="002D082D"/>
    <w:rsid w:val="002E2BF8"/>
    <w:rsid w:val="002E32AB"/>
    <w:rsid w:val="002E4FD9"/>
    <w:rsid w:val="002E61CB"/>
    <w:rsid w:val="002F0013"/>
    <w:rsid w:val="002F6308"/>
    <w:rsid w:val="002F7B54"/>
    <w:rsid w:val="00301509"/>
    <w:rsid w:val="00302E2E"/>
    <w:rsid w:val="00305642"/>
    <w:rsid w:val="0030657A"/>
    <w:rsid w:val="00317857"/>
    <w:rsid w:val="00322A85"/>
    <w:rsid w:val="00322EC5"/>
    <w:rsid w:val="00324168"/>
    <w:rsid w:val="00330834"/>
    <w:rsid w:val="0033781F"/>
    <w:rsid w:val="0034107F"/>
    <w:rsid w:val="003448F4"/>
    <w:rsid w:val="00364792"/>
    <w:rsid w:val="0037001B"/>
    <w:rsid w:val="00371077"/>
    <w:rsid w:val="00371C74"/>
    <w:rsid w:val="003729C8"/>
    <w:rsid w:val="00372C6B"/>
    <w:rsid w:val="00374F5E"/>
    <w:rsid w:val="0037544F"/>
    <w:rsid w:val="00377E3E"/>
    <w:rsid w:val="003820DF"/>
    <w:rsid w:val="003953F1"/>
    <w:rsid w:val="00397A22"/>
    <w:rsid w:val="003A779E"/>
    <w:rsid w:val="003C3BBD"/>
    <w:rsid w:val="003C6845"/>
    <w:rsid w:val="003D09B0"/>
    <w:rsid w:val="003D0F4D"/>
    <w:rsid w:val="003D1B64"/>
    <w:rsid w:val="003D378B"/>
    <w:rsid w:val="003D5B0D"/>
    <w:rsid w:val="003E0499"/>
    <w:rsid w:val="003E4F80"/>
    <w:rsid w:val="003E6439"/>
    <w:rsid w:val="003E735B"/>
    <w:rsid w:val="003F3941"/>
    <w:rsid w:val="003F614D"/>
    <w:rsid w:val="00401FFE"/>
    <w:rsid w:val="00405C6B"/>
    <w:rsid w:val="004061FD"/>
    <w:rsid w:val="00406575"/>
    <w:rsid w:val="00407776"/>
    <w:rsid w:val="00410798"/>
    <w:rsid w:val="00411BDC"/>
    <w:rsid w:val="00414C74"/>
    <w:rsid w:val="004226EA"/>
    <w:rsid w:val="00425903"/>
    <w:rsid w:val="0042722E"/>
    <w:rsid w:val="00432D54"/>
    <w:rsid w:val="00436878"/>
    <w:rsid w:val="004369D2"/>
    <w:rsid w:val="004417F1"/>
    <w:rsid w:val="00441CBA"/>
    <w:rsid w:val="0044391D"/>
    <w:rsid w:val="0044528D"/>
    <w:rsid w:val="00447D68"/>
    <w:rsid w:val="00453D7B"/>
    <w:rsid w:val="00454929"/>
    <w:rsid w:val="00466E39"/>
    <w:rsid w:val="004826B6"/>
    <w:rsid w:val="0049672E"/>
    <w:rsid w:val="004A1847"/>
    <w:rsid w:val="004A305D"/>
    <w:rsid w:val="004A6106"/>
    <w:rsid w:val="004D5CCA"/>
    <w:rsid w:val="004E6083"/>
    <w:rsid w:val="004E615E"/>
    <w:rsid w:val="004F21C4"/>
    <w:rsid w:val="004F685F"/>
    <w:rsid w:val="005006E6"/>
    <w:rsid w:val="00500CF5"/>
    <w:rsid w:val="005020C4"/>
    <w:rsid w:val="00502502"/>
    <w:rsid w:val="00506013"/>
    <w:rsid w:val="00510272"/>
    <w:rsid w:val="00511259"/>
    <w:rsid w:val="00512E74"/>
    <w:rsid w:val="0051328D"/>
    <w:rsid w:val="005169CA"/>
    <w:rsid w:val="005173C4"/>
    <w:rsid w:val="00521226"/>
    <w:rsid w:val="00521F6D"/>
    <w:rsid w:val="005254E6"/>
    <w:rsid w:val="0053094D"/>
    <w:rsid w:val="00536175"/>
    <w:rsid w:val="00555728"/>
    <w:rsid w:val="005566E8"/>
    <w:rsid w:val="005675BF"/>
    <w:rsid w:val="00574867"/>
    <w:rsid w:val="00574C2C"/>
    <w:rsid w:val="00576A8A"/>
    <w:rsid w:val="00576B1A"/>
    <w:rsid w:val="00585A50"/>
    <w:rsid w:val="00587343"/>
    <w:rsid w:val="005906E4"/>
    <w:rsid w:val="00591460"/>
    <w:rsid w:val="00596CB8"/>
    <w:rsid w:val="005A24E6"/>
    <w:rsid w:val="005A2F05"/>
    <w:rsid w:val="005A65E0"/>
    <w:rsid w:val="005B28DF"/>
    <w:rsid w:val="005B6132"/>
    <w:rsid w:val="005B6198"/>
    <w:rsid w:val="005C3777"/>
    <w:rsid w:val="005C4363"/>
    <w:rsid w:val="005C5CDC"/>
    <w:rsid w:val="005D2630"/>
    <w:rsid w:val="005D476C"/>
    <w:rsid w:val="0060458E"/>
    <w:rsid w:val="00612214"/>
    <w:rsid w:val="00612C39"/>
    <w:rsid w:val="00613744"/>
    <w:rsid w:val="006200BF"/>
    <w:rsid w:val="006204DF"/>
    <w:rsid w:val="006219F8"/>
    <w:rsid w:val="0062761E"/>
    <w:rsid w:val="006302F7"/>
    <w:rsid w:val="00631711"/>
    <w:rsid w:val="0063741F"/>
    <w:rsid w:val="00637691"/>
    <w:rsid w:val="00645F22"/>
    <w:rsid w:val="00646B9F"/>
    <w:rsid w:val="00654670"/>
    <w:rsid w:val="006638D4"/>
    <w:rsid w:val="00665D70"/>
    <w:rsid w:val="00682A44"/>
    <w:rsid w:val="006832B7"/>
    <w:rsid w:val="00684307"/>
    <w:rsid w:val="006900D9"/>
    <w:rsid w:val="006918E2"/>
    <w:rsid w:val="006932A0"/>
    <w:rsid w:val="00694F2A"/>
    <w:rsid w:val="00695246"/>
    <w:rsid w:val="00696B6C"/>
    <w:rsid w:val="006A7E97"/>
    <w:rsid w:val="006B517C"/>
    <w:rsid w:val="006B7114"/>
    <w:rsid w:val="006C6994"/>
    <w:rsid w:val="006E092D"/>
    <w:rsid w:val="006E7646"/>
    <w:rsid w:val="006F73F6"/>
    <w:rsid w:val="00700FC1"/>
    <w:rsid w:val="00703AE4"/>
    <w:rsid w:val="00706C16"/>
    <w:rsid w:val="0071039A"/>
    <w:rsid w:val="00720881"/>
    <w:rsid w:val="00721038"/>
    <w:rsid w:val="00725A85"/>
    <w:rsid w:val="00726A2F"/>
    <w:rsid w:val="007340C3"/>
    <w:rsid w:val="00741367"/>
    <w:rsid w:val="00744948"/>
    <w:rsid w:val="00746BE7"/>
    <w:rsid w:val="0075235A"/>
    <w:rsid w:val="00755D4F"/>
    <w:rsid w:val="00756841"/>
    <w:rsid w:val="007617C4"/>
    <w:rsid w:val="007649AB"/>
    <w:rsid w:val="00766E9C"/>
    <w:rsid w:val="00770EDB"/>
    <w:rsid w:val="00771CCA"/>
    <w:rsid w:val="00771D0C"/>
    <w:rsid w:val="00782142"/>
    <w:rsid w:val="007833AC"/>
    <w:rsid w:val="0079352A"/>
    <w:rsid w:val="00793A66"/>
    <w:rsid w:val="0079605D"/>
    <w:rsid w:val="007A620A"/>
    <w:rsid w:val="007A7518"/>
    <w:rsid w:val="007B268C"/>
    <w:rsid w:val="007B7171"/>
    <w:rsid w:val="007B7C67"/>
    <w:rsid w:val="007C0C0F"/>
    <w:rsid w:val="007C29D8"/>
    <w:rsid w:val="007C3DC2"/>
    <w:rsid w:val="007C6CA3"/>
    <w:rsid w:val="007D4B2E"/>
    <w:rsid w:val="007D57F7"/>
    <w:rsid w:val="007E5497"/>
    <w:rsid w:val="007F431E"/>
    <w:rsid w:val="007F494F"/>
    <w:rsid w:val="008024C4"/>
    <w:rsid w:val="008036B4"/>
    <w:rsid w:val="0080371F"/>
    <w:rsid w:val="00806F5F"/>
    <w:rsid w:val="0081175D"/>
    <w:rsid w:val="00816000"/>
    <w:rsid w:val="00820278"/>
    <w:rsid w:val="008258C9"/>
    <w:rsid w:val="00832214"/>
    <w:rsid w:val="00834510"/>
    <w:rsid w:val="00834C77"/>
    <w:rsid w:val="00836666"/>
    <w:rsid w:val="0084286B"/>
    <w:rsid w:val="00844AE9"/>
    <w:rsid w:val="00844E1A"/>
    <w:rsid w:val="008451ED"/>
    <w:rsid w:val="00846D07"/>
    <w:rsid w:val="008566C2"/>
    <w:rsid w:val="00860150"/>
    <w:rsid w:val="00861E32"/>
    <w:rsid w:val="00865796"/>
    <w:rsid w:val="00867F95"/>
    <w:rsid w:val="008717DA"/>
    <w:rsid w:val="0087320F"/>
    <w:rsid w:val="008769B8"/>
    <w:rsid w:val="008843B6"/>
    <w:rsid w:val="00887563"/>
    <w:rsid w:val="00891928"/>
    <w:rsid w:val="00893ADA"/>
    <w:rsid w:val="008971C6"/>
    <w:rsid w:val="008A2FF1"/>
    <w:rsid w:val="008A446D"/>
    <w:rsid w:val="008B0077"/>
    <w:rsid w:val="008B25F1"/>
    <w:rsid w:val="008C17CB"/>
    <w:rsid w:val="008C241A"/>
    <w:rsid w:val="008C4A55"/>
    <w:rsid w:val="008D180B"/>
    <w:rsid w:val="008D288C"/>
    <w:rsid w:val="008E12F2"/>
    <w:rsid w:val="008E1A94"/>
    <w:rsid w:val="008E21A9"/>
    <w:rsid w:val="008E38E5"/>
    <w:rsid w:val="008E492D"/>
    <w:rsid w:val="008E55E5"/>
    <w:rsid w:val="008E66C6"/>
    <w:rsid w:val="008F00C3"/>
    <w:rsid w:val="008F0EA7"/>
    <w:rsid w:val="008F5DBA"/>
    <w:rsid w:val="00901DC1"/>
    <w:rsid w:val="00911906"/>
    <w:rsid w:val="00923C52"/>
    <w:rsid w:val="00923EEF"/>
    <w:rsid w:val="00926E3D"/>
    <w:rsid w:val="0093137C"/>
    <w:rsid w:val="009349AF"/>
    <w:rsid w:val="00934F4F"/>
    <w:rsid w:val="009419F9"/>
    <w:rsid w:val="009424BD"/>
    <w:rsid w:val="009433C7"/>
    <w:rsid w:val="0095685E"/>
    <w:rsid w:val="00957615"/>
    <w:rsid w:val="00961B09"/>
    <w:rsid w:val="00965334"/>
    <w:rsid w:val="00965799"/>
    <w:rsid w:val="0096697F"/>
    <w:rsid w:val="00970096"/>
    <w:rsid w:val="0097093E"/>
    <w:rsid w:val="00970FE4"/>
    <w:rsid w:val="00975C49"/>
    <w:rsid w:val="00975EE4"/>
    <w:rsid w:val="009948A2"/>
    <w:rsid w:val="0099559C"/>
    <w:rsid w:val="00997B6F"/>
    <w:rsid w:val="009A0DFA"/>
    <w:rsid w:val="009A1C6F"/>
    <w:rsid w:val="009B0E84"/>
    <w:rsid w:val="009B1FCA"/>
    <w:rsid w:val="009B2D26"/>
    <w:rsid w:val="009B604C"/>
    <w:rsid w:val="009C1F94"/>
    <w:rsid w:val="009C71FA"/>
    <w:rsid w:val="009C72E7"/>
    <w:rsid w:val="009C7F7E"/>
    <w:rsid w:val="009D3058"/>
    <w:rsid w:val="009D6304"/>
    <w:rsid w:val="009D7769"/>
    <w:rsid w:val="009E34FE"/>
    <w:rsid w:val="009E4268"/>
    <w:rsid w:val="009E6675"/>
    <w:rsid w:val="009F3A13"/>
    <w:rsid w:val="009F68FA"/>
    <w:rsid w:val="00A122D3"/>
    <w:rsid w:val="00A14468"/>
    <w:rsid w:val="00A17F13"/>
    <w:rsid w:val="00A20739"/>
    <w:rsid w:val="00A23AF9"/>
    <w:rsid w:val="00A32BE2"/>
    <w:rsid w:val="00A32F0A"/>
    <w:rsid w:val="00A332C8"/>
    <w:rsid w:val="00A33C78"/>
    <w:rsid w:val="00A3402F"/>
    <w:rsid w:val="00A35925"/>
    <w:rsid w:val="00A43116"/>
    <w:rsid w:val="00A43159"/>
    <w:rsid w:val="00A44ED0"/>
    <w:rsid w:val="00A454F8"/>
    <w:rsid w:val="00A47767"/>
    <w:rsid w:val="00A53532"/>
    <w:rsid w:val="00A575FE"/>
    <w:rsid w:val="00A66915"/>
    <w:rsid w:val="00A8729E"/>
    <w:rsid w:val="00A874B5"/>
    <w:rsid w:val="00A92EC3"/>
    <w:rsid w:val="00A960E5"/>
    <w:rsid w:val="00AA017C"/>
    <w:rsid w:val="00AA5B5E"/>
    <w:rsid w:val="00AA63B5"/>
    <w:rsid w:val="00AB0ADB"/>
    <w:rsid w:val="00AB12A2"/>
    <w:rsid w:val="00AB24ED"/>
    <w:rsid w:val="00AB619D"/>
    <w:rsid w:val="00AD6C81"/>
    <w:rsid w:val="00AD6FEE"/>
    <w:rsid w:val="00AE0408"/>
    <w:rsid w:val="00AF0821"/>
    <w:rsid w:val="00AF1BE5"/>
    <w:rsid w:val="00AF33D7"/>
    <w:rsid w:val="00AF6215"/>
    <w:rsid w:val="00B00C0E"/>
    <w:rsid w:val="00B01B1A"/>
    <w:rsid w:val="00B0381D"/>
    <w:rsid w:val="00B060A3"/>
    <w:rsid w:val="00B07E3B"/>
    <w:rsid w:val="00B13601"/>
    <w:rsid w:val="00B13E84"/>
    <w:rsid w:val="00B25893"/>
    <w:rsid w:val="00B33128"/>
    <w:rsid w:val="00B345F1"/>
    <w:rsid w:val="00B37969"/>
    <w:rsid w:val="00B4192A"/>
    <w:rsid w:val="00B41B4E"/>
    <w:rsid w:val="00B44A47"/>
    <w:rsid w:val="00B45858"/>
    <w:rsid w:val="00B473A0"/>
    <w:rsid w:val="00B714B0"/>
    <w:rsid w:val="00B72CD3"/>
    <w:rsid w:val="00B72FFF"/>
    <w:rsid w:val="00B745F8"/>
    <w:rsid w:val="00B81AE2"/>
    <w:rsid w:val="00B85A64"/>
    <w:rsid w:val="00B8779A"/>
    <w:rsid w:val="00BA1D42"/>
    <w:rsid w:val="00BC3D36"/>
    <w:rsid w:val="00BC4172"/>
    <w:rsid w:val="00BC6EBA"/>
    <w:rsid w:val="00BD4350"/>
    <w:rsid w:val="00BD54A6"/>
    <w:rsid w:val="00BD5C87"/>
    <w:rsid w:val="00BD7F72"/>
    <w:rsid w:val="00BF1C44"/>
    <w:rsid w:val="00BF2144"/>
    <w:rsid w:val="00BF518D"/>
    <w:rsid w:val="00BF6AB2"/>
    <w:rsid w:val="00BF7425"/>
    <w:rsid w:val="00C04FB3"/>
    <w:rsid w:val="00C0783E"/>
    <w:rsid w:val="00C07DC6"/>
    <w:rsid w:val="00C11D8B"/>
    <w:rsid w:val="00C14143"/>
    <w:rsid w:val="00C15139"/>
    <w:rsid w:val="00C16A37"/>
    <w:rsid w:val="00C32BE1"/>
    <w:rsid w:val="00C330EB"/>
    <w:rsid w:val="00C33BF5"/>
    <w:rsid w:val="00C413E9"/>
    <w:rsid w:val="00C41DE8"/>
    <w:rsid w:val="00C43CB0"/>
    <w:rsid w:val="00C50D69"/>
    <w:rsid w:val="00C5151D"/>
    <w:rsid w:val="00C5365C"/>
    <w:rsid w:val="00C54178"/>
    <w:rsid w:val="00C541CA"/>
    <w:rsid w:val="00C546CC"/>
    <w:rsid w:val="00C55BDE"/>
    <w:rsid w:val="00C708C9"/>
    <w:rsid w:val="00C70B85"/>
    <w:rsid w:val="00C747E1"/>
    <w:rsid w:val="00C754BE"/>
    <w:rsid w:val="00C76353"/>
    <w:rsid w:val="00C76B1C"/>
    <w:rsid w:val="00C82EF0"/>
    <w:rsid w:val="00C851C7"/>
    <w:rsid w:val="00C85A5B"/>
    <w:rsid w:val="00C925AC"/>
    <w:rsid w:val="00C926CC"/>
    <w:rsid w:val="00C9629D"/>
    <w:rsid w:val="00CA20D3"/>
    <w:rsid w:val="00CA644A"/>
    <w:rsid w:val="00CA76C5"/>
    <w:rsid w:val="00CA7C8E"/>
    <w:rsid w:val="00CB1D05"/>
    <w:rsid w:val="00CB2A06"/>
    <w:rsid w:val="00CB6357"/>
    <w:rsid w:val="00CC1104"/>
    <w:rsid w:val="00CC1B26"/>
    <w:rsid w:val="00CC2813"/>
    <w:rsid w:val="00CC29B1"/>
    <w:rsid w:val="00CC2FD7"/>
    <w:rsid w:val="00CC4FD7"/>
    <w:rsid w:val="00CD4EEF"/>
    <w:rsid w:val="00CE79B4"/>
    <w:rsid w:val="00CF29BA"/>
    <w:rsid w:val="00CF4966"/>
    <w:rsid w:val="00D177E6"/>
    <w:rsid w:val="00D201E9"/>
    <w:rsid w:val="00D20B61"/>
    <w:rsid w:val="00D2533D"/>
    <w:rsid w:val="00D25E73"/>
    <w:rsid w:val="00D26CF3"/>
    <w:rsid w:val="00D302D9"/>
    <w:rsid w:val="00D32830"/>
    <w:rsid w:val="00D361FD"/>
    <w:rsid w:val="00D412E4"/>
    <w:rsid w:val="00D414FE"/>
    <w:rsid w:val="00D42065"/>
    <w:rsid w:val="00D423A2"/>
    <w:rsid w:val="00D44E26"/>
    <w:rsid w:val="00D4592E"/>
    <w:rsid w:val="00D460D0"/>
    <w:rsid w:val="00D471A1"/>
    <w:rsid w:val="00D520D8"/>
    <w:rsid w:val="00D529D5"/>
    <w:rsid w:val="00D565B2"/>
    <w:rsid w:val="00D61047"/>
    <w:rsid w:val="00D63AC2"/>
    <w:rsid w:val="00D63BF0"/>
    <w:rsid w:val="00D64656"/>
    <w:rsid w:val="00D6787C"/>
    <w:rsid w:val="00D7383B"/>
    <w:rsid w:val="00D748CB"/>
    <w:rsid w:val="00D74EA8"/>
    <w:rsid w:val="00D7788A"/>
    <w:rsid w:val="00D8035E"/>
    <w:rsid w:val="00D82C96"/>
    <w:rsid w:val="00D8319F"/>
    <w:rsid w:val="00D8415F"/>
    <w:rsid w:val="00D85074"/>
    <w:rsid w:val="00D86621"/>
    <w:rsid w:val="00D92BFA"/>
    <w:rsid w:val="00DA02A1"/>
    <w:rsid w:val="00DA1FBF"/>
    <w:rsid w:val="00DA231B"/>
    <w:rsid w:val="00DB2058"/>
    <w:rsid w:val="00DB2E63"/>
    <w:rsid w:val="00DC2676"/>
    <w:rsid w:val="00DC38B2"/>
    <w:rsid w:val="00DC39FC"/>
    <w:rsid w:val="00DC4CC9"/>
    <w:rsid w:val="00DD43DA"/>
    <w:rsid w:val="00DE440E"/>
    <w:rsid w:val="00DE4943"/>
    <w:rsid w:val="00DE79ED"/>
    <w:rsid w:val="00DF5254"/>
    <w:rsid w:val="00DF723D"/>
    <w:rsid w:val="00E02524"/>
    <w:rsid w:val="00E0580F"/>
    <w:rsid w:val="00E07A6B"/>
    <w:rsid w:val="00E1209B"/>
    <w:rsid w:val="00E13BCD"/>
    <w:rsid w:val="00E15C40"/>
    <w:rsid w:val="00E16408"/>
    <w:rsid w:val="00E20894"/>
    <w:rsid w:val="00E218A1"/>
    <w:rsid w:val="00E24580"/>
    <w:rsid w:val="00E245AB"/>
    <w:rsid w:val="00E27291"/>
    <w:rsid w:val="00E2764C"/>
    <w:rsid w:val="00E27F2E"/>
    <w:rsid w:val="00E30A9C"/>
    <w:rsid w:val="00E34E49"/>
    <w:rsid w:val="00E36176"/>
    <w:rsid w:val="00E41C92"/>
    <w:rsid w:val="00E50AFE"/>
    <w:rsid w:val="00E51371"/>
    <w:rsid w:val="00E56521"/>
    <w:rsid w:val="00E618DB"/>
    <w:rsid w:val="00E70211"/>
    <w:rsid w:val="00E75C92"/>
    <w:rsid w:val="00E771DC"/>
    <w:rsid w:val="00E826C6"/>
    <w:rsid w:val="00E83CBD"/>
    <w:rsid w:val="00E84EEF"/>
    <w:rsid w:val="00E86265"/>
    <w:rsid w:val="00E8772A"/>
    <w:rsid w:val="00E90F6B"/>
    <w:rsid w:val="00E92C27"/>
    <w:rsid w:val="00E93496"/>
    <w:rsid w:val="00EA0E3D"/>
    <w:rsid w:val="00EA4365"/>
    <w:rsid w:val="00EA4C73"/>
    <w:rsid w:val="00EA4DE1"/>
    <w:rsid w:val="00EA7360"/>
    <w:rsid w:val="00EB4972"/>
    <w:rsid w:val="00EB5A8E"/>
    <w:rsid w:val="00EB67A5"/>
    <w:rsid w:val="00EC214E"/>
    <w:rsid w:val="00EC38A7"/>
    <w:rsid w:val="00ED5F50"/>
    <w:rsid w:val="00EE0419"/>
    <w:rsid w:val="00EE04B9"/>
    <w:rsid w:val="00EE1AA8"/>
    <w:rsid w:val="00EE306E"/>
    <w:rsid w:val="00EF2E3F"/>
    <w:rsid w:val="00EF5BD7"/>
    <w:rsid w:val="00EF5C44"/>
    <w:rsid w:val="00F01EE6"/>
    <w:rsid w:val="00F0627B"/>
    <w:rsid w:val="00F07CE6"/>
    <w:rsid w:val="00F07F01"/>
    <w:rsid w:val="00F10689"/>
    <w:rsid w:val="00F21DF1"/>
    <w:rsid w:val="00F23FEA"/>
    <w:rsid w:val="00F302DC"/>
    <w:rsid w:val="00F31EDC"/>
    <w:rsid w:val="00F32232"/>
    <w:rsid w:val="00F34198"/>
    <w:rsid w:val="00F462B3"/>
    <w:rsid w:val="00F50E08"/>
    <w:rsid w:val="00F5664F"/>
    <w:rsid w:val="00F60C80"/>
    <w:rsid w:val="00F63C15"/>
    <w:rsid w:val="00F666C4"/>
    <w:rsid w:val="00F76AFC"/>
    <w:rsid w:val="00F775C8"/>
    <w:rsid w:val="00F80590"/>
    <w:rsid w:val="00F83702"/>
    <w:rsid w:val="00F91EB0"/>
    <w:rsid w:val="00FA286F"/>
    <w:rsid w:val="00FA47C0"/>
    <w:rsid w:val="00FB2627"/>
    <w:rsid w:val="00FB5DD1"/>
    <w:rsid w:val="00FC0547"/>
    <w:rsid w:val="00FC2B5D"/>
    <w:rsid w:val="00FC2D95"/>
    <w:rsid w:val="00FC6A76"/>
    <w:rsid w:val="00FC6BC9"/>
    <w:rsid w:val="00FD113E"/>
    <w:rsid w:val="00FD4506"/>
    <w:rsid w:val="00FD6717"/>
    <w:rsid w:val="00FD6EF9"/>
    <w:rsid w:val="00FE1621"/>
    <w:rsid w:val="00FE31CD"/>
    <w:rsid w:val="00FF1449"/>
    <w:rsid w:val="00FF2FEE"/>
    <w:rsid w:val="00FF7963"/>
    <w:rsid w:val="071B8F93"/>
    <w:rsid w:val="09908A09"/>
    <w:rsid w:val="0FF4CCA8"/>
    <w:rsid w:val="13CFC91B"/>
    <w:rsid w:val="19A2EC2C"/>
    <w:rsid w:val="2859CA1B"/>
    <w:rsid w:val="32A4F9CF"/>
    <w:rsid w:val="356CEDFD"/>
    <w:rsid w:val="69614A15"/>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Foot,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957615"/>
    <w:rPr>
      <w:rFonts w:ascii="Geomanist Light" w:hAnsi="Geomanist Light"/>
      <w:lang w:val="es-ES"/>
    </w:rPr>
  </w:style>
  <w:style w:type="paragraph" w:customStyle="1" w:styleId="Appelnotedebasde">
    <w:name w:val="Appel note de bas de..."/>
    <w:basedOn w:val="Normal"/>
    <w:link w:val="Refdenotaalpie"/>
    <w:rsid w:val="00EF2E3F"/>
    <w:pPr>
      <w:spacing w:line="240" w:lineRule="exact"/>
    </w:pPr>
    <w:rPr>
      <w:vertAlign w:val="superscript"/>
    </w:rPr>
  </w:style>
  <w:style w:type="character" w:customStyle="1" w:styleId="NormalWebCar">
    <w:name w:val="Normal (Web) Car"/>
    <w:link w:val="NormalWeb"/>
    <w:uiPriority w:val="99"/>
    <w:rsid w:val="00EF2E3F"/>
    <w:rPr>
      <w:rFonts w:ascii="Times New Roman" w:eastAsia="Times New Roman" w:hAnsi="Times New Roman" w:cs="Times New Roman"/>
      <w:sz w:val="24"/>
      <w:szCs w:val="24"/>
      <w:lang w:eastAsia="es-CO"/>
    </w:rPr>
  </w:style>
  <w:style w:type="character" w:customStyle="1" w:styleId="baj">
    <w:name w:val="b_aj"/>
    <w:basedOn w:val="Fuentedeprrafopredeter"/>
    <w:rsid w:val="00092DCC"/>
  </w:style>
  <w:style w:type="table" w:customStyle="1" w:styleId="Tablaconcuadrcula1">
    <w:name w:val="Tabla con cuadrícula1"/>
    <w:basedOn w:val="Tablanormal"/>
    <w:next w:val="Tablaconcuadrcula"/>
    <w:uiPriority w:val="39"/>
    <w:qFormat/>
    <w:rsid w:val="006638D4"/>
    <w:pPr>
      <w:spacing w:after="0" w:line="240" w:lineRule="auto"/>
    </w:pPr>
    <w:tblPr/>
  </w:style>
  <w:style w:type="table" w:customStyle="1" w:styleId="Tablaconcuadrcula11">
    <w:name w:val="Tabla con cuadrícula11"/>
    <w:basedOn w:val="Tablanormal"/>
    <w:next w:val="Tablaconcuadrcula"/>
    <w:uiPriority w:val="39"/>
    <w:qFormat/>
    <w:rsid w:val="00782142"/>
    <w:pPr>
      <w:spacing w:after="0" w:line="240" w:lineRule="auto"/>
    </w:pPr>
    <w:tblPr/>
  </w:style>
  <w:style w:type="paragraph" w:styleId="Textoindependiente">
    <w:name w:val="Body Text"/>
    <w:basedOn w:val="Normal"/>
    <w:link w:val="TextoindependienteCar"/>
    <w:uiPriority w:val="1"/>
    <w:qFormat/>
    <w:rsid w:val="00C14143"/>
    <w:pPr>
      <w:widowControl w:val="0"/>
      <w:autoSpaceDE w:val="0"/>
      <w:autoSpaceDN w:val="0"/>
      <w:spacing w:after="200" w:line="276" w:lineRule="auto"/>
      <w:jc w:val="both"/>
    </w:pPr>
    <w:rPr>
      <w:rFonts w:ascii="Arial" w:eastAsia="Arial" w:hAnsi="Arial" w:cs="Arial"/>
      <w:lang w:val="es-ES" w:eastAsia="es-ES" w:bidi="es-ES"/>
    </w:rPr>
  </w:style>
  <w:style w:type="character" w:customStyle="1" w:styleId="TextoindependienteCar">
    <w:name w:val="Texto independiente Car"/>
    <w:basedOn w:val="Fuentedeprrafopredeter"/>
    <w:link w:val="Textoindependiente"/>
    <w:uiPriority w:val="1"/>
    <w:rsid w:val="00C14143"/>
    <w:rPr>
      <w:rFonts w:ascii="Arial" w:eastAsia="Arial" w:hAnsi="Arial" w:cs="Arial"/>
      <w:lang w:val="es-ES" w:eastAsia="es-ES" w:bidi="es-ES"/>
    </w:rPr>
  </w:style>
  <w:style w:type="character" w:customStyle="1" w:styleId="s15">
    <w:name w:val="s15"/>
    <w:basedOn w:val="Fuentedeprrafopredeter"/>
    <w:rsid w:val="00BF518D"/>
  </w:style>
  <w:style w:type="paragraph" w:customStyle="1" w:styleId="s16">
    <w:name w:val="s16"/>
    <w:basedOn w:val="Normal"/>
    <w:rsid w:val="00BF518D"/>
    <w:pPr>
      <w:spacing w:before="100" w:beforeAutospacing="1" w:after="100" w:afterAutospacing="1" w:line="240" w:lineRule="auto"/>
    </w:pPr>
    <w:rPr>
      <w:rFonts w:ascii="Times New Roman" w:eastAsia="Times New Roman" w:hAnsi="Times New Roman" w:cs="Times New Roman"/>
      <w:sz w:val="24"/>
      <w:szCs w:val="24"/>
      <w:lang w:eastAsia="es-MX"/>
    </w:rPr>
  </w:style>
  <w:style w:type="paragraph" w:customStyle="1" w:styleId="s17">
    <w:name w:val="s17"/>
    <w:basedOn w:val="Normal"/>
    <w:rsid w:val="00BF518D"/>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s18">
    <w:name w:val="s18"/>
    <w:basedOn w:val="Fuentedeprrafopredeter"/>
    <w:rsid w:val="00BF518D"/>
  </w:style>
  <w:style w:type="table" w:customStyle="1" w:styleId="Tablaconcuadrcula111">
    <w:name w:val="Tabla con cuadrícula111"/>
    <w:basedOn w:val="Tablanormal"/>
    <w:next w:val="Tablaconcuadrcula"/>
    <w:uiPriority w:val="39"/>
    <w:qFormat/>
    <w:rsid w:val="00BF518D"/>
    <w:pPr>
      <w:spacing w:after="0" w:line="240" w:lineRule="auto"/>
    </w:pP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hyperlink" Target="https://www.colombiacompra.gov.co/pqrsd/informacion-importante-antes-de-formular-una-pqrsd" TargetMode="External"/><Relationship Id="rId3" Type="http://schemas.openxmlformats.org/officeDocument/2006/relationships/customXml" Target="../customXml/item3.xml"/><Relationship Id="rId21"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hyperlink" Target="mailto:notificacionesdce@mindefensa.gov.co" TargetMode="External"/><Relationship Id="rId17" Type="http://schemas.openxmlformats.org/officeDocument/2006/relationships/hyperlink" Target="mailto:ventanilladeradicacion@colombiacompra.gov.co" TargetMode="External"/><Relationship Id="rId2" Type="http://schemas.openxmlformats.org/officeDocument/2006/relationships/customXml" Target="../customXml/item2.xml"/><Relationship Id="rId16"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20"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www.colombiacompra.gov.co/normativa-y-relatoria/documentos-tipo"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s://forms.office.com/r/pPHyWVs2SZ"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formacionvirtual.colombiacompra.gov.co/mod/page/view.php?id=3718"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_Flow_SignoffStatus xmlns="9d85dbaf-23eb-4e57-a637-93dcacc8b1a1"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6D03173-9E34-4A08-BC2F-30708C43E48C}">
  <ds:schemaRefs>
    <ds:schemaRef ds:uri="http://schemas.openxmlformats.org/officeDocument/2006/bibliography"/>
  </ds:schemaRefs>
</ds:datastoreItem>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3.xml><?xml version="1.0" encoding="utf-8"?>
<ds:datastoreItem xmlns:ds="http://schemas.openxmlformats.org/officeDocument/2006/customXml" ds:itemID="{7163A917-5A54-45B2-922C-FD30921F9C6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19B0637E-D058-473B-8FE7-AA861F69C797}">
  <ds:schemaRefs>
    <ds:schemaRef ds:uri="http://schemas.microsoft.com/sharepoint/v3/contenttype/form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13</TotalTime>
  <Pages>29</Pages>
  <Words>9461</Words>
  <Characters>52040</Characters>
  <Application>Microsoft Office Word</Application>
  <DocSecurity>0</DocSecurity>
  <Lines>433</Lines>
  <Paragraphs>122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61379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11</cp:revision>
  <cp:lastPrinted>2023-01-10T21:18:00Z</cp:lastPrinted>
  <dcterms:created xsi:type="dcterms:W3CDTF">2026-03-16T14:02:00Z</dcterms:created>
  <dcterms:modified xsi:type="dcterms:W3CDTF">2026-03-17T15:04:00Z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