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099BB" w14:textId="77777777" w:rsidR="00CB25BD" w:rsidRPr="00DB7533" w:rsidRDefault="00CB25BD">
      <w:pPr>
        <w:rPr>
          <w:rFonts w:ascii="Verdana" w:eastAsia="Aptos" w:hAnsi="Verdana" w:cs="Arial"/>
          <w:b/>
          <w:bCs/>
          <w:lang w:val="es-MX" w:eastAsia="es-ES"/>
        </w:rPr>
      </w:pPr>
      <w:bookmarkStart w:id="0" w:name="_Hlk143780582"/>
      <w:r w:rsidRPr="00DB7533">
        <w:rPr>
          <w:rFonts w:ascii="Verdana" w:eastAsia="Aptos" w:hAnsi="Verdana" w:cs="Arial"/>
          <w:b/>
          <w:bCs/>
          <w:lang w:val="es-MX" w:eastAsia="es-ES"/>
        </w:rPr>
        <w:t xml:space="preserve">LEY DE GARANTÍAS ELECTORALES ‒ Finalidad </w:t>
      </w:r>
    </w:p>
    <w:p w14:paraId="4B77E103" w14:textId="77777777" w:rsidR="00CB25BD" w:rsidRDefault="00CB25BD">
      <w:pPr>
        <w:rPr>
          <w:rFonts w:ascii="Verdana" w:eastAsia="Aptos" w:hAnsi="Verdana" w:cs="Arial"/>
          <w:lang w:val="es-MX" w:eastAsia="es-ES"/>
        </w:rPr>
      </w:pPr>
    </w:p>
    <w:p w14:paraId="0C2D42BF" w14:textId="4C587872" w:rsidR="00CB25BD" w:rsidRDefault="00410D8E" w:rsidP="00410D8E">
      <w:pPr>
        <w:jc w:val="both"/>
        <w:rPr>
          <w:rFonts w:ascii="Verdana" w:eastAsia="Calibri" w:hAnsi="Verdana" w:cs="Arial"/>
          <w:sz w:val="20"/>
          <w:szCs w:val="20"/>
        </w:rPr>
      </w:pPr>
      <w:r w:rsidRPr="00410D8E">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410D8E">
        <w:rPr>
          <w:rFonts w:ascii="Verdana" w:eastAsia="Calibri" w:hAnsi="Verdana" w:cs="Arial"/>
          <w:i/>
          <w:sz w:val="20"/>
          <w:szCs w:val="20"/>
        </w:rPr>
        <w:t xml:space="preserve">. </w:t>
      </w:r>
      <w:r w:rsidRPr="00410D8E">
        <w:rPr>
          <w:rFonts w:ascii="Verdana" w:eastAsia="Calibri" w:hAnsi="Verdana" w:cs="Arial"/>
          <w:sz w:val="20"/>
          <w:szCs w:val="20"/>
        </w:rPr>
        <w:t>Por ejemplo, el artículo 127 de la Constitución Política establece una prohibición contractual a los servidores públicos y, en cuanto a aspectos políticos, establece restricciones a ciertos empleados del Estado, incluso en época no electoral</w:t>
      </w:r>
    </w:p>
    <w:p w14:paraId="68A91AAA" w14:textId="77777777" w:rsidR="00410D8E" w:rsidRDefault="00410D8E" w:rsidP="00410D8E">
      <w:pPr>
        <w:jc w:val="both"/>
        <w:rPr>
          <w:rFonts w:ascii="Verdana" w:eastAsia="Calibri" w:hAnsi="Verdana" w:cs="Arial"/>
          <w:sz w:val="20"/>
          <w:szCs w:val="20"/>
        </w:rPr>
      </w:pPr>
    </w:p>
    <w:p w14:paraId="159276A6" w14:textId="66BDBD7C" w:rsidR="00410D8E" w:rsidRDefault="00410D8E" w:rsidP="00410D8E">
      <w:pPr>
        <w:jc w:val="both"/>
        <w:rPr>
          <w:rFonts w:ascii="Verdana" w:eastAsia="Aptos" w:hAnsi="Verdana" w:cs="Arial"/>
          <w:b/>
          <w:bCs/>
          <w:lang w:val="es-MX" w:eastAsia="es-ES"/>
        </w:rPr>
      </w:pPr>
      <w:r w:rsidRPr="00410D8E">
        <w:rPr>
          <w:rFonts w:ascii="Verdana" w:eastAsia="Aptos" w:hAnsi="Verdana" w:cs="Arial"/>
          <w:b/>
          <w:bCs/>
          <w:lang w:val="es-MX" w:eastAsia="es-ES"/>
        </w:rPr>
        <w:t xml:space="preserve">LEY DE GARANTÍAS ELECTORALES ‒ Tipos de restricciones ‒ Ámbito temporal – Celebración </w:t>
      </w:r>
      <w:r>
        <w:rPr>
          <w:rFonts w:ascii="Verdana" w:eastAsia="Aptos" w:hAnsi="Verdana" w:cs="Arial"/>
          <w:b/>
          <w:bCs/>
          <w:lang w:val="es-MX" w:eastAsia="es-ES"/>
        </w:rPr>
        <w:t>–</w:t>
      </w:r>
      <w:r w:rsidRPr="00410D8E">
        <w:rPr>
          <w:rFonts w:ascii="Verdana" w:eastAsia="Aptos" w:hAnsi="Verdana" w:cs="Arial"/>
          <w:b/>
          <w:bCs/>
          <w:lang w:val="es-MX" w:eastAsia="es-ES"/>
        </w:rPr>
        <w:t xml:space="preserve"> Límite</w:t>
      </w:r>
    </w:p>
    <w:p w14:paraId="1B4D2E3F" w14:textId="77777777" w:rsidR="00E93D58" w:rsidRPr="00E93D58" w:rsidRDefault="00E93D58" w:rsidP="00E93D58">
      <w:pPr>
        <w:spacing w:after="0" w:line="240" w:lineRule="auto"/>
        <w:jc w:val="both"/>
        <w:rPr>
          <w:rFonts w:ascii="Verdana" w:eastAsia="Times New Roman" w:hAnsi="Verdana" w:cs="Arial"/>
          <w:sz w:val="20"/>
          <w:szCs w:val="20"/>
          <w:lang w:val="es-MX" w:eastAsia="es-CO"/>
        </w:rPr>
      </w:pPr>
      <w:r w:rsidRPr="00E93D58">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7AF3DC28" w14:textId="77777777" w:rsidR="00E93D58" w:rsidRPr="00E93D58" w:rsidRDefault="00E93D58" w:rsidP="00E93D58">
      <w:pPr>
        <w:spacing w:after="0" w:line="240" w:lineRule="auto"/>
        <w:jc w:val="both"/>
        <w:rPr>
          <w:rFonts w:ascii="Verdana" w:eastAsia="Times New Roman" w:hAnsi="Verdana" w:cs="Arial"/>
          <w:sz w:val="20"/>
          <w:szCs w:val="20"/>
          <w:lang w:val="es-MX" w:eastAsia="es-CO"/>
        </w:rPr>
      </w:pPr>
    </w:p>
    <w:p w14:paraId="7851F05A" w14:textId="77777777" w:rsidR="00E93D58" w:rsidRDefault="00E93D58" w:rsidP="00E93D58">
      <w:pPr>
        <w:spacing w:after="0" w:line="240" w:lineRule="auto"/>
        <w:contextualSpacing/>
        <w:jc w:val="both"/>
        <w:rPr>
          <w:rFonts w:ascii="Verdana" w:eastAsia="Times New Roman" w:hAnsi="Verdana" w:cs="Arial"/>
          <w:sz w:val="20"/>
          <w:szCs w:val="20"/>
          <w:lang w:val="es-MX" w:eastAsia="es-CO"/>
        </w:rPr>
      </w:pPr>
      <w:r w:rsidRPr="00E93D58">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5C0EAC3" w14:textId="77777777" w:rsidR="00653699" w:rsidRDefault="00653699" w:rsidP="00E93D58">
      <w:pPr>
        <w:spacing w:after="0" w:line="240" w:lineRule="auto"/>
        <w:contextualSpacing/>
        <w:jc w:val="both"/>
        <w:rPr>
          <w:rFonts w:ascii="Verdana" w:eastAsia="Times New Roman" w:hAnsi="Verdana" w:cs="Arial"/>
          <w:sz w:val="20"/>
          <w:szCs w:val="20"/>
          <w:lang w:val="es-MX" w:eastAsia="es-CO"/>
        </w:rPr>
      </w:pPr>
    </w:p>
    <w:p w14:paraId="6F88E68D" w14:textId="77777777" w:rsidR="00653699" w:rsidRPr="00E93D58" w:rsidRDefault="00653699" w:rsidP="00E93D58">
      <w:pPr>
        <w:spacing w:after="0" w:line="240" w:lineRule="auto"/>
        <w:contextualSpacing/>
        <w:jc w:val="both"/>
        <w:rPr>
          <w:rFonts w:ascii="Verdana" w:eastAsia="Times New Roman" w:hAnsi="Verdana" w:cs="Arial"/>
          <w:sz w:val="20"/>
          <w:szCs w:val="20"/>
          <w:lang w:val="es-MX" w:eastAsia="es-CO"/>
        </w:rPr>
      </w:pPr>
    </w:p>
    <w:p w14:paraId="7A7E966A" w14:textId="77777777" w:rsidR="00E93D58" w:rsidRPr="00E93D58" w:rsidRDefault="00E93D58" w:rsidP="00E93D58">
      <w:pPr>
        <w:spacing w:after="0" w:line="240" w:lineRule="auto"/>
        <w:contextualSpacing/>
        <w:jc w:val="both"/>
        <w:rPr>
          <w:rFonts w:ascii="Verdana" w:eastAsia="Times New Roman" w:hAnsi="Verdana" w:cs="Arial"/>
          <w:sz w:val="20"/>
          <w:szCs w:val="20"/>
          <w:lang w:val="es-MX" w:eastAsia="es-CO"/>
        </w:rPr>
      </w:pPr>
    </w:p>
    <w:p w14:paraId="4C08E435" w14:textId="2A29BF53" w:rsidR="00E93D58" w:rsidRDefault="00653699" w:rsidP="00E93D58">
      <w:pPr>
        <w:spacing w:after="0" w:line="276" w:lineRule="auto"/>
        <w:jc w:val="both"/>
        <w:rPr>
          <w:rFonts w:ascii="Verdana" w:eastAsia="Aptos" w:hAnsi="Verdana" w:cs="Arial"/>
          <w:b/>
          <w:bCs/>
          <w:lang w:val="es-MX" w:eastAsia="es-ES"/>
        </w:rPr>
      </w:pPr>
      <w:r w:rsidRPr="00653699">
        <w:rPr>
          <w:rFonts w:ascii="Verdana" w:eastAsia="Aptos" w:hAnsi="Verdana" w:cs="Arial"/>
          <w:b/>
          <w:bCs/>
          <w:lang w:val="es-MX" w:eastAsia="es-ES"/>
        </w:rPr>
        <w:t>LEY DE GARANTÍAS ELECTORALES – Prohibición – Artículo 33 – Contratación directa – Alcance</w:t>
      </w:r>
    </w:p>
    <w:p w14:paraId="21222809" w14:textId="77777777" w:rsidR="00653699" w:rsidRDefault="00653699" w:rsidP="00E93D58">
      <w:pPr>
        <w:spacing w:after="0" w:line="276" w:lineRule="auto"/>
        <w:jc w:val="both"/>
        <w:rPr>
          <w:rFonts w:ascii="Verdana" w:eastAsia="Aptos" w:hAnsi="Verdana" w:cs="Arial"/>
          <w:b/>
          <w:bCs/>
          <w:lang w:val="es-MX" w:eastAsia="es-ES"/>
        </w:rPr>
      </w:pPr>
    </w:p>
    <w:p w14:paraId="5BC89B5B" w14:textId="77777777" w:rsidR="00B27122" w:rsidRPr="00B27122" w:rsidRDefault="00B27122" w:rsidP="00B27122">
      <w:pPr>
        <w:spacing w:after="120" w:line="276" w:lineRule="auto"/>
        <w:jc w:val="both"/>
        <w:rPr>
          <w:rFonts w:ascii="Verdana" w:eastAsia="Arial" w:hAnsi="Verdana" w:cs="Arial"/>
          <w:sz w:val="20"/>
          <w:szCs w:val="20"/>
          <w:lang w:val="es-ES" w:eastAsia="es-ES" w:bidi="es-ES"/>
        </w:rPr>
      </w:pPr>
      <w:r w:rsidRPr="00B27122">
        <w:rPr>
          <w:rFonts w:ascii="Verdana" w:eastAsia="Times New Roman" w:hAnsi="Verdana" w:cs="Arial"/>
          <w:sz w:val="20"/>
          <w:szCs w:val="20"/>
          <w:lang w:val="es-MX" w:eastAsia="es-CO"/>
        </w:rPr>
        <w:t>De</w:t>
      </w:r>
      <w:r w:rsidRPr="00B27122">
        <w:rPr>
          <w:rFonts w:ascii="Verdana" w:eastAsia="Arial" w:hAnsi="Verdana" w:cs="Arial"/>
          <w:sz w:val="20"/>
          <w:szCs w:val="20"/>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A819CBF" w14:textId="77777777" w:rsidR="00653699" w:rsidRPr="00B27122" w:rsidRDefault="00653699" w:rsidP="00E93D58">
      <w:pPr>
        <w:spacing w:after="0" w:line="276" w:lineRule="auto"/>
        <w:jc w:val="both"/>
        <w:rPr>
          <w:rFonts w:ascii="Verdana" w:eastAsia="Calibri" w:hAnsi="Verdana" w:cs="Arial"/>
          <w:b/>
          <w:bCs/>
          <w:lang w:val="es-ES"/>
        </w:rPr>
      </w:pPr>
    </w:p>
    <w:p w14:paraId="47EC42C5" w14:textId="442920F9" w:rsidR="00410D8E" w:rsidRDefault="00B27122" w:rsidP="00410D8E">
      <w:pPr>
        <w:jc w:val="both"/>
        <w:rPr>
          <w:rFonts w:ascii="Verdana" w:eastAsia="Aptos" w:hAnsi="Verdana" w:cs="Arial"/>
          <w:b/>
          <w:bCs/>
          <w:lang w:val="es-MX" w:eastAsia="es-ES"/>
        </w:rPr>
      </w:pPr>
      <w:r w:rsidRPr="00B27122">
        <w:rPr>
          <w:rFonts w:ascii="Verdana" w:eastAsia="Aptos" w:hAnsi="Verdana" w:cs="Arial"/>
          <w:b/>
          <w:bCs/>
          <w:lang w:val="es-MX" w:eastAsia="es-ES"/>
        </w:rPr>
        <w:lastRenderedPageBreak/>
        <w:t>LEY DE GARANTÍAS ELECTORALES – Excepciones</w:t>
      </w:r>
    </w:p>
    <w:p w14:paraId="2ED0DEC9" w14:textId="77777777" w:rsidR="00B27122" w:rsidRDefault="00B27122" w:rsidP="00410D8E">
      <w:pPr>
        <w:jc w:val="both"/>
        <w:rPr>
          <w:rFonts w:ascii="Verdana" w:eastAsia="Aptos" w:hAnsi="Verdana" w:cs="Arial"/>
          <w:b/>
          <w:bCs/>
          <w:lang w:val="es-MX" w:eastAsia="es-ES"/>
        </w:rPr>
      </w:pPr>
    </w:p>
    <w:p w14:paraId="6E006352" w14:textId="7B35270C" w:rsidR="00B27122" w:rsidRPr="005B4248" w:rsidRDefault="005B4248" w:rsidP="00410D8E">
      <w:pPr>
        <w:jc w:val="both"/>
        <w:rPr>
          <w:rFonts w:ascii="Verdana" w:eastAsia="Aptos" w:hAnsi="Verdana" w:cs="Arial"/>
          <w:b/>
          <w:bCs/>
          <w:sz w:val="20"/>
          <w:szCs w:val="20"/>
          <w:lang w:val="es-ES_tradnl" w:eastAsia="es-ES"/>
        </w:rPr>
      </w:pPr>
      <w:r w:rsidRPr="005B4248">
        <w:rPr>
          <w:rFonts w:ascii="Verdana" w:eastAsia="Times New Roman" w:hAnsi="Verdana" w:cs="Arial"/>
          <w:sz w:val="20"/>
          <w:szCs w:val="20"/>
          <w:lang w:val="es-MX"/>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w:t>
      </w:r>
      <w:proofErr w:type="spellStart"/>
      <w:r w:rsidRPr="005B4248">
        <w:rPr>
          <w:rFonts w:ascii="Verdana" w:eastAsia="Times New Roman" w:hAnsi="Verdana" w:cs="Arial"/>
          <w:sz w:val="20"/>
          <w:szCs w:val="20"/>
          <w:lang w:val="es-MX"/>
        </w:rPr>
        <w:t>iv</w:t>
      </w:r>
      <w:proofErr w:type="spellEnd"/>
      <w:r w:rsidRPr="005B4248">
        <w:rPr>
          <w:rFonts w:ascii="Verdana" w:eastAsia="Times New Roman" w:hAnsi="Verdana" w:cs="Arial"/>
          <w:sz w:val="20"/>
          <w:szCs w:val="20"/>
          <w:lang w:val="es-MX"/>
        </w:rPr>
        <w:t xml:space="preserve">) los utilizados para la reconstrucción de vías, puentes, carreteras, infraestructura energética y de comunicaciones, en caso de que hayan sido objeto de atentados, acciones terroristas, desastres naturales o casos de fuerza mayor; y, v) </w:t>
      </w:r>
      <w:r w:rsidRPr="005B4248">
        <w:rPr>
          <w:rFonts w:ascii="Verdana" w:eastAsia="Times New Roman" w:hAnsi="Verdana" w:cs="Arial"/>
          <w:i/>
          <w:sz w:val="20"/>
          <w:szCs w:val="20"/>
          <w:lang w:val="es-MX"/>
        </w:rPr>
        <w:t>los que deban realizar las entidades sanitarias y hospitalarias</w:t>
      </w:r>
    </w:p>
    <w:p w14:paraId="674FB902" w14:textId="77777777" w:rsidR="00410D8E" w:rsidRPr="00410D8E" w:rsidRDefault="00410D8E" w:rsidP="00410D8E">
      <w:pPr>
        <w:jc w:val="both"/>
        <w:rPr>
          <w:rFonts w:ascii="Verdana" w:eastAsia="Aptos" w:hAnsi="Verdana" w:cs="Arial"/>
          <w:b/>
          <w:bCs/>
          <w:sz w:val="20"/>
          <w:szCs w:val="20"/>
          <w:lang w:val="es-MX" w:eastAsia="es-ES"/>
        </w:rPr>
      </w:pPr>
    </w:p>
    <w:p w14:paraId="29AD8DFE" w14:textId="3424711E" w:rsidR="00A91D7F" w:rsidRPr="006B018C" w:rsidRDefault="00771823">
      <w:pPr>
        <w:rPr>
          <w:rFonts w:ascii="Verdana" w:eastAsia="Times New Roman" w:hAnsi="Verdana" w:cs="Arial"/>
          <w:b/>
          <w:bCs/>
          <w:color w:val="000000"/>
          <w:lang w:val="es-ES"/>
        </w:rPr>
      </w:pPr>
      <w:r w:rsidRPr="006B018C">
        <w:rPr>
          <w:rFonts w:ascii="Verdana" w:eastAsia="Times New Roman" w:hAnsi="Verdana" w:cs="Arial"/>
          <w:b/>
          <w:bCs/>
          <w:color w:val="000000"/>
          <w:lang w:val="es-ES"/>
        </w:rPr>
        <w:t>LEY DE GARANTÍAS ELECTORALES – Excepciones – Destinatarios - Entidades sanitarias y hospitalarias</w:t>
      </w:r>
    </w:p>
    <w:p w14:paraId="286ACE09" w14:textId="77777777" w:rsidR="00771823" w:rsidRDefault="00771823">
      <w:pPr>
        <w:rPr>
          <w:rFonts w:ascii="Verdana" w:eastAsia="Times New Roman" w:hAnsi="Verdana" w:cs="Arial"/>
          <w:color w:val="000000"/>
          <w:lang w:val="es-ES"/>
        </w:rPr>
      </w:pPr>
    </w:p>
    <w:p w14:paraId="24E18BBE" w14:textId="77777777" w:rsidR="006B018C" w:rsidRDefault="006B018C" w:rsidP="006B018C">
      <w:pPr>
        <w:tabs>
          <w:tab w:val="left" w:pos="426"/>
        </w:tabs>
        <w:spacing w:after="120" w:line="276" w:lineRule="auto"/>
        <w:jc w:val="both"/>
        <w:rPr>
          <w:rFonts w:ascii="Verdana" w:eastAsia="Aptos" w:hAnsi="Verdana" w:cs="Arial"/>
          <w:color w:val="000000"/>
          <w:sz w:val="20"/>
          <w:szCs w:val="20"/>
          <w:lang w:val="es-ES"/>
        </w:rPr>
      </w:pPr>
      <w:r w:rsidRPr="006B018C">
        <w:rPr>
          <w:rFonts w:ascii="Verdana" w:eastAsia="Aptos" w:hAnsi="Verdana" w:cs="Arial"/>
          <w:color w:val="000000"/>
          <w:sz w:val="20"/>
          <w:szCs w:val="20"/>
          <w:lang w:val="es-ES"/>
        </w:rPr>
        <w:t>En este punto, es pertinente analizar el quinto evento</w:t>
      </w:r>
      <w:r w:rsidRPr="006B018C">
        <w:rPr>
          <w:rFonts w:ascii="Verdana" w:eastAsia="Aptos" w:hAnsi="Verdana" w:cs="Arial"/>
          <w:i/>
          <w:iCs/>
          <w:color w:val="000000"/>
          <w:sz w:val="20"/>
          <w:szCs w:val="20"/>
          <w:lang w:val="es-ES"/>
        </w:rPr>
        <w:t xml:space="preserve"> </w:t>
      </w:r>
      <w:r w:rsidRPr="006B018C">
        <w:rPr>
          <w:rFonts w:ascii="Verdana" w:eastAsia="Aptos" w:hAnsi="Verdana" w:cs="Arial"/>
          <w:color w:val="000000"/>
          <w:sz w:val="20"/>
          <w:szCs w:val="20"/>
          <w:lang w:val="es-ES"/>
        </w:rPr>
        <w:t xml:space="preserve">exceptuado de la prohibición, relacionado con la contratación por parte de las entidades sanitarias y hospitalarias, </w:t>
      </w:r>
      <w:r w:rsidRPr="006B018C">
        <w:rPr>
          <w:rFonts w:ascii="Verdana" w:eastAsia="Aptos" w:hAnsi="Verdana" w:cs="Arial"/>
          <w:color w:val="000000"/>
          <w:sz w:val="20"/>
          <w:szCs w:val="20"/>
        </w:rPr>
        <w:t>a efectos de determinar si la excepción referida es aplicable a los contratos suscritos por las Empresas Sociales del Estado –ESE-</w:t>
      </w:r>
      <w:r w:rsidRPr="006B018C">
        <w:rPr>
          <w:rFonts w:ascii="Verdana" w:eastAsia="Aptos" w:hAnsi="Verdana" w:cs="Arial"/>
          <w:color w:val="000000"/>
          <w:sz w:val="20"/>
          <w:szCs w:val="20"/>
          <w:lang w:val="es-ES"/>
        </w:rPr>
        <w:t xml:space="preserve">. Para ello, debe tenerse en cuenta el artículo 94 de la Ley 100 de 1993, que dispone </w:t>
      </w:r>
      <w:r w:rsidRPr="006B018C">
        <w:rPr>
          <w:rFonts w:ascii="Verdana" w:eastAsia="Aptos" w:hAnsi="Verdana" w:cs="Arial"/>
          <w:color w:val="000000"/>
          <w:sz w:val="20"/>
          <w:szCs w:val="20"/>
          <w:lang w:val="es-ES" w:eastAsia="es-CO"/>
        </w:rPr>
        <w:t>“</w:t>
      </w:r>
      <w:r w:rsidRPr="006B018C">
        <w:rPr>
          <w:rFonts w:ascii="Verdana" w:eastAsia="Aptos" w:hAnsi="Verdana" w:cs="Arial"/>
          <w:color w:val="000000"/>
          <w:sz w:val="20"/>
          <w:szCs w:val="20"/>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260012D9" w14:textId="77777777" w:rsidR="00910E23" w:rsidRPr="006B018C" w:rsidRDefault="00910E23" w:rsidP="006B018C">
      <w:pPr>
        <w:tabs>
          <w:tab w:val="left" w:pos="426"/>
        </w:tabs>
        <w:spacing w:after="120" w:line="276" w:lineRule="auto"/>
        <w:jc w:val="both"/>
        <w:rPr>
          <w:rFonts w:ascii="Verdana" w:eastAsia="Aptos" w:hAnsi="Verdana" w:cs="Arial"/>
          <w:color w:val="000000"/>
          <w:sz w:val="20"/>
          <w:szCs w:val="20"/>
          <w:lang w:val="es-ES"/>
        </w:rPr>
      </w:pPr>
    </w:p>
    <w:p w14:paraId="5E6B560C" w14:textId="3EBF4E7A" w:rsidR="00771823" w:rsidRDefault="003A39AF">
      <w:pPr>
        <w:rPr>
          <w:rFonts w:ascii="Verdana" w:eastAsia="Aptos" w:hAnsi="Verdana" w:cs="Arial"/>
          <w:b/>
          <w:bCs/>
          <w:lang w:val="es-MX" w:eastAsia="es-ES_tradnl"/>
        </w:rPr>
      </w:pPr>
      <w:r w:rsidRPr="003A39AF">
        <w:rPr>
          <w:rFonts w:ascii="Verdana" w:eastAsia="Aptos" w:hAnsi="Verdana" w:cs="Arial"/>
          <w:b/>
          <w:bCs/>
          <w:lang w:val="es-MX" w:eastAsia="es-ES_tradnl"/>
        </w:rPr>
        <w:t>CONVENIOS INTERADMINISTRATIVOS – Criterio orgánico</w:t>
      </w:r>
    </w:p>
    <w:p w14:paraId="4405DD36" w14:textId="77777777" w:rsidR="003A39AF" w:rsidRDefault="003A39AF">
      <w:pPr>
        <w:rPr>
          <w:rFonts w:ascii="Verdana" w:eastAsia="Aptos" w:hAnsi="Verdana" w:cs="Arial"/>
          <w:b/>
          <w:bCs/>
          <w:lang w:val="es-MX" w:eastAsia="es-ES_tradnl"/>
        </w:rPr>
      </w:pPr>
    </w:p>
    <w:p w14:paraId="4097BC3B" w14:textId="77777777" w:rsidR="00890BF4" w:rsidRPr="00890BF4" w:rsidRDefault="00890BF4" w:rsidP="00890BF4">
      <w:pPr>
        <w:spacing w:after="0" w:line="240" w:lineRule="auto"/>
        <w:jc w:val="both"/>
        <w:rPr>
          <w:rFonts w:ascii="Verdana" w:eastAsia="Times New Roman" w:hAnsi="Verdana" w:cs="Arial"/>
          <w:sz w:val="20"/>
          <w:szCs w:val="20"/>
          <w:lang w:eastAsia="es-CO"/>
        </w:rPr>
      </w:pPr>
      <w:r w:rsidRPr="00890BF4">
        <w:rPr>
          <w:rFonts w:ascii="Verdana" w:eastAsia="Times New Roman" w:hAnsi="Verdana" w:cs="Arial"/>
          <w:sz w:val="20"/>
          <w:szCs w:val="20"/>
          <w:lang w:eastAsia="es-CO"/>
        </w:rPr>
        <w:t xml:space="preserve">De esta manera, conforme a lo dispuesto en la Circular referida, si se suscriben </w:t>
      </w:r>
      <w:r w:rsidRPr="00890BF4">
        <w:rPr>
          <w:rFonts w:ascii="Verdana" w:eastAsia="Times New Roman" w:hAnsi="Verdana" w:cs="Arial"/>
          <w:i/>
          <w:iCs/>
          <w:sz w:val="20"/>
          <w:szCs w:val="20"/>
          <w:lang w:eastAsia="es-CO"/>
        </w:rPr>
        <w:t>convenios interadministrativos para la ejecución de recursos públicos</w:t>
      </w:r>
      <w:r w:rsidRPr="00890BF4">
        <w:rPr>
          <w:rFonts w:ascii="Verdana" w:eastAsia="Times New Roman" w:hAnsi="Verdana" w:cs="Arial"/>
          <w:sz w:val="20"/>
          <w:szCs w:val="20"/>
          <w:lang w:eastAsia="es-CO"/>
        </w:rPr>
        <w:t xml:space="preserve"> por los alcaldes, gobernadores, secretarios, gerentes y directores de las entidades del orden municipal, departamental o distrital, aplicará la prohibición del parágrafo del artículo 38 </w:t>
      </w:r>
      <w:r w:rsidRPr="00890BF4">
        <w:rPr>
          <w:rFonts w:ascii="Verdana" w:eastAsia="Times New Roman" w:hAnsi="Verdana" w:cs="Arial"/>
          <w:i/>
          <w:iCs/>
          <w:sz w:val="20"/>
          <w:szCs w:val="20"/>
          <w:lang w:eastAsia="es-CO"/>
        </w:rPr>
        <w:t>ibidem</w:t>
      </w:r>
      <w:r w:rsidRPr="00890BF4">
        <w:rPr>
          <w:rFonts w:ascii="Verdana" w:eastAsia="Times New Roman" w:hAnsi="Verdana" w:cs="Arial"/>
          <w:sz w:val="20"/>
          <w:szCs w:val="20"/>
          <w:lang w:eastAsia="es-CO"/>
        </w:rPr>
        <w:t>, independientemente de que se configure alguno de los supuestos de excepción que señaló el inciso final del artículo 33, es decir, que se trate de:</w:t>
      </w:r>
      <w:r w:rsidRPr="00890BF4">
        <w:rPr>
          <w:rFonts w:ascii="Verdana" w:eastAsia="Aptos" w:hAnsi="Verdana" w:cs="Arial"/>
          <w:bCs/>
          <w:sz w:val="20"/>
          <w:szCs w:val="20"/>
          <w:lang w:val="es-MX" w:eastAsia="x-none"/>
        </w:rPr>
        <w:t xml:space="preserve"> i) la defensa y seguridad del Estado; ii) los contratos de crédito público; iii) los requeridos para cubrir las emergencias educativas, sanitarias y desastres; </w:t>
      </w:r>
      <w:proofErr w:type="spellStart"/>
      <w:r w:rsidRPr="00890BF4">
        <w:rPr>
          <w:rFonts w:ascii="Verdana" w:eastAsia="Aptos" w:hAnsi="Verdana" w:cs="Arial"/>
          <w:bCs/>
          <w:sz w:val="20"/>
          <w:szCs w:val="20"/>
          <w:lang w:val="es-MX" w:eastAsia="x-none"/>
        </w:rPr>
        <w:t>iv</w:t>
      </w:r>
      <w:proofErr w:type="spellEnd"/>
      <w:r w:rsidRPr="00890BF4">
        <w:rPr>
          <w:rFonts w:ascii="Verdana" w:eastAsia="Aptos" w:hAnsi="Verdana" w:cs="Arial"/>
          <w:bCs/>
          <w:sz w:val="20"/>
          <w:szCs w:val="20"/>
          <w:lang w:val="es-MX" w:eastAsia="x-none"/>
        </w:rPr>
        <w:t xml:space="preserve">) los utilizados para la reconstrucción </w:t>
      </w:r>
      <w:r w:rsidRPr="00890BF4">
        <w:rPr>
          <w:rFonts w:ascii="Verdana" w:eastAsia="Aptos" w:hAnsi="Verdana" w:cs="Arial"/>
          <w:bCs/>
          <w:sz w:val="20"/>
          <w:szCs w:val="20"/>
          <w:lang w:val="es-MX" w:eastAsia="x-none"/>
        </w:rPr>
        <w:lastRenderedPageBreak/>
        <w:t>de vías, puentes, carreteras, infraestructura energética y de comunicaciones, en caso de que hayan sido objeto de atentados, acciones terroristas, desastres naturales o casos de fuerza mayor; y, v) los que deban realizar las entidades sanitarias y hospitalarias.</w:t>
      </w:r>
      <w:r w:rsidRPr="00890BF4">
        <w:rPr>
          <w:rFonts w:ascii="Verdana" w:eastAsia="Aptos" w:hAnsi="Verdana" w:cs="Arial"/>
          <w:bCs/>
          <w:sz w:val="20"/>
          <w:szCs w:val="20"/>
          <w:lang w:val="es-MX" w:eastAsia="es-CO"/>
        </w:rPr>
        <w:t xml:space="preserve"> </w:t>
      </w:r>
      <w:r w:rsidRPr="00890BF4">
        <w:rPr>
          <w:rFonts w:ascii="Verdana" w:eastAsia="Times New Roman" w:hAnsi="Verdana" w:cs="Arial"/>
          <w:sz w:val="20"/>
          <w:szCs w:val="20"/>
          <w:lang w:eastAsia="es-CO"/>
        </w:rPr>
        <w:t xml:space="preserve">  </w:t>
      </w:r>
    </w:p>
    <w:p w14:paraId="2ECA5A97" w14:textId="77777777" w:rsidR="003A39AF" w:rsidRPr="00890BF4" w:rsidRDefault="003A39AF" w:rsidP="00890BF4">
      <w:pPr>
        <w:spacing w:after="0" w:line="240" w:lineRule="auto"/>
        <w:rPr>
          <w:rFonts w:ascii="Verdana" w:eastAsia="Times New Roman" w:hAnsi="Verdana" w:cs="Arial"/>
          <w:b/>
          <w:bCs/>
          <w:color w:val="000000"/>
          <w:sz w:val="20"/>
          <w:szCs w:val="20"/>
        </w:rPr>
      </w:pPr>
    </w:p>
    <w:p w14:paraId="2B361781" w14:textId="77777777" w:rsidR="00771823" w:rsidRDefault="00771823" w:rsidP="00890BF4">
      <w:pPr>
        <w:spacing w:after="0" w:line="240" w:lineRule="auto"/>
        <w:rPr>
          <w:rFonts w:ascii="Verdana" w:eastAsia="Times New Roman" w:hAnsi="Verdana" w:cs="Arial"/>
          <w:color w:val="000000"/>
          <w:sz w:val="20"/>
          <w:szCs w:val="20"/>
          <w:lang w:val="es-ES"/>
        </w:rPr>
      </w:pPr>
    </w:p>
    <w:p w14:paraId="5906C8F3" w14:textId="77777777" w:rsidR="00890BF4" w:rsidRDefault="00890BF4" w:rsidP="00890BF4">
      <w:pPr>
        <w:jc w:val="both"/>
        <w:rPr>
          <w:rFonts w:ascii="Verdana" w:eastAsia="Aptos" w:hAnsi="Verdana" w:cs="Arial"/>
          <w:b/>
          <w:bCs/>
          <w:lang w:val="es-MX" w:eastAsia="es-ES_tradnl"/>
        </w:rPr>
      </w:pPr>
      <w:r w:rsidRPr="00890BF4">
        <w:rPr>
          <w:rFonts w:ascii="Verdana" w:eastAsia="Aptos" w:hAnsi="Verdana" w:cs="Arial"/>
          <w:b/>
          <w:bCs/>
          <w:lang w:val="es-MX" w:eastAsia="es-ES_tradnl"/>
        </w:rPr>
        <w:t>CONVENIOS INTERADMINISTRATIVOS – Circular Externa Única – Auto de suspensión</w:t>
      </w:r>
    </w:p>
    <w:p w14:paraId="1BC62328" w14:textId="77777777" w:rsidR="005F4412" w:rsidRDefault="005F4412" w:rsidP="00890BF4">
      <w:pPr>
        <w:jc w:val="both"/>
        <w:rPr>
          <w:rFonts w:ascii="Verdana" w:eastAsia="Aptos" w:hAnsi="Verdana" w:cs="Arial"/>
          <w:b/>
          <w:bCs/>
          <w:lang w:val="es-MX" w:eastAsia="es-ES_tradnl"/>
        </w:rPr>
      </w:pPr>
    </w:p>
    <w:p w14:paraId="4F6784FD" w14:textId="3CFCB700" w:rsidR="005F4412" w:rsidRPr="00343E12" w:rsidRDefault="005F4412" w:rsidP="005F4412">
      <w:pPr>
        <w:spacing w:after="120" w:line="276" w:lineRule="auto"/>
        <w:jc w:val="both"/>
        <w:rPr>
          <w:rFonts w:ascii="Verdana" w:eastAsia="Arial" w:hAnsi="Verdana" w:cs="Arial"/>
          <w:lang w:eastAsia="es-ES" w:bidi="es-ES"/>
        </w:rPr>
      </w:pPr>
      <w:r w:rsidRPr="005F4412">
        <w:rPr>
          <w:rFonts w:ascii="Verdana" w:eastAsia="Arial" w:hAnsi="Verdana" w:cs="Arial"/>
          <w:sz w:val="20"/>
          <w:szCs w:val="20"/>
          <w:lang w:eastAsia="es-ES" w:bidi="es-ES"/>
        </w:rPr>
        <w:t>De igual manera, mediante auto del 6 de noviembre de 2025, el Consejo de Estado, Subsección A de la Sección Tercera, decretó</w:t>
      </w:r>
      <w:r w:rsidRPr="005F4412">
        <w:rPr>
          <w:rFonts w:ascii="Verdana" w:eastAsia="Arial" w:hAnsi="Verdana" w:cs="Arial"/>
          <w:b/>
          <w:bCs/>
          <w:sz w:val="20"/>
          <w:szCs w:val="20"/>
          <w:lang w:eastAsia="es-ES" w:bidi="es-ES"/>
        </w:rPr>
        <w:t xml:space="preserve"> </w:t>
      </w:r>
      <w:r w:rsidRPr="005F4412">
        <w:rPr>
          <w:rFonts w:ascii="Verdana" w:eastAsia="Arial" w:hAnsi="Verdana" w:cs="Arial"/>
          <w:sz w:val="20"/>
          <w:szCs w:val="20"/>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00EF1CB4">
        <w:rPr>
          <w:rFonts w:ascii="Verdana" w:eastAsia="Arial" w:hAnsi="Verdana" w:cs="Arial"/>
          <w:sz w:val="20"/>
          <w:szCs w:val="20"/>
          <w:lang w:eastAsia="es-ES" w:bidi="es-ES"/>
        </w:rPr>
        <w:t>.</w:t>
      </w:r>
      <w:r w:rsidRPr="005F4412">
        <w:rPr>
          <w:rFonts w:ascii="Verdana" w:eastAsia="Arial" w:hAnsi="Verdana" w:cs="Arial"/>
          <w:sz w:val="20"/>
          <w:szCs w:val="20"/>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w:t>
      </w:r>
      <w:r w:rsidRPr="00343E12">
        <w:rPr>
          <w:rFonts w:ascii="Verdana" w:eastAsia="Arial" w:hAnsi="Verdana" w:cs="Arial"/>
          <w:lang w:eastAsia="es-ES" w:bidi="es-ES"/>
        </w:rPr>
        <w:t xml:space="preserve">. </w:t>
      </w:r>
    </w:p>
    <w:p w14:paraId="6ED3D38C" w14:textId="77777777" w:rsidR="005F4412" w:rsidRPr="005F4412" w:rsidRDefault="005F4412" w:rsidP="00890BF4">
      <w:pPr>
        <w:jc w:val="both"/>
        <w:rPr>
          <w:rFonts w:ascii="Verdana" w:eastAsia="Times New Roman" w:hAnsi="Verdana" w:cs="Arial"/>
          <w:b/>
          <w:bCs/>
          <w:color w:val="000000"/>
        </w:rPr>
      </w:pPr>
    </w:p>
    <w:p w14:paraId="0B550E00" w14:textId="77777777" w:rsidR="00890BF4" w:rsidRPr="00890BF4" w:rsidRDefault="00890BF4" w:rsidP="00890BF4">
      <w:pPr>
        <w:spacing w:after="0" w:line="240" w:lineRule="auto"/>
        <w:rPr>
          <w:rFonts w:ascii="Verdana" w:eastAsia="Times New Roman" w:hAnsi="Verdana" w:cs="Arial"/>
          <w:color w:val="000000"/>
          <w:sz w:val="20"/>
          <w:szCs w:val="20"/>
          <w:lang w:val="es-ES"/>
        </w:rPr>
      </w:pPr>
    </w:p>
    <w:p w14:paraId="416D5815" w14:textId="77777777" w:rsidR="00771823" w:rsidRPr="00890BF4" w:rsidRDefault="00771823" w:rsidP="00890BF4">
      <w:pPr>
        <w:spacing w:after="0" w:line="240" w:lineRule="auto"/>
        <w:rPr>
          <w:rFonts w:ascii="Verdana" w:eastAsia="Times New Roman" w:hAnsi="Verdana" w:cs="Arial"/>
          <w:color w:val="000000"/>
          <w:sz w:val="20"/>
          <w:szCs w:val="20"/>
          <w:lang w:val="es-ES"/>
        </w:rPr>
      </w:pPr>
    </w:p>
    <w:p w14:paraId="0E951F8C" w14:textId="77777777" w:rsidR="00771823" w:rsidRDefault="00771823">
      <w:pPr>
        <w:rPr>
          <w:rFonts w:ascii="Verdana" w:eastAsia="Times New Roman" w:hAnsi="Verdana" w:cs="Arial"/>
          <w:color w:val="000000"/>
          <w:lang w:val="es-ES"/>
        </w:rPr>
      </w:pPr>
    </w:p>
    <w:p w14:paraId="6E8BD08C" w14:textId="77777777" w:rsidR="000F0C88" w:rsidRDefault="000F0C88" w:rsidP="30821638">
      <w:pPr>
        <w:spacing w:after="0"/>
        <w:rPr>
          <w:rFonts w:ascii="Verdana" w:eastAsia="Times New Roman" w:hAnsi="Verdana" w:cs="Arial"/>
          <w:color w:val="000000"/>
          <w:lang w:val="es-ES"/>
        </w:rPr>
      </w:pPr>
    </w:p>
    <w:p w14:paraId="32DADAC6" w14:textId="77777777" w:rsidR="000F0C88" w:rsidRDefault="000F0C88" w:rsidP="30821638">
      <w:pPr>
        <w:spacing w:after="0"/>
        <w:rPr>
          <w:rFonts w:ascii="Verdana" w:eastAsia="Times New Roman" w:hAnsi="Verdana" w:cs="Arial"/>
          <w:color w:val="000000"/>
          <w:lang w:val="es-ES"/>
        </w:rPr>
      </w:pPr>
    </w:p>
    <w:p w14:paraId="6BCF2407" w14:textId="77777777" w:rsidR="000F0C88" w:rsidRDefault="000F0C88" w:rsidP="30821638">
      <w:pPr>
        <w:spacing w:after="0"/>
        <w:rPr>
          <w:rFonts w:ascii="Verdana" w:eastAsia="Times New Roman" w:hAnsi="Verdana" w:cs="Arial"/>
          <w:color w:val="000000"/>
          <w:lang w:val="es-ES"/>
        </w:rPr>
      </w:pPr>
    </w:p>
    <w:p w14:paraId="70801C61" w14:textId="77777777" w:rsidR="000F0C88" w:rsidRDefault="000F0C88" w:rsidP="30821638">
      <w:pPr>
        <w:spacing w:after="0"/>
        <w:rPr>
          <w:rFonts w:ascii="Verdana" w:eastAsia="Times New Roman" w:hAnsi="Verdana" w:cs="Arial"/>
          <w:color w:val="000000"/>
          <w:lang w:val="es-ES"/>
        </w:rPr>
      </w:pPr>
    </w:p>
    <w:p w14:paraId="5791238D" w14:textId="77777777" w:rsidR="000F0C88" w:rsidRDefault="000F0C88" w:rsidP="30821638">
      <w:pPr>
        <w:spacing w:after="0"/>
        <w:rPr>
          <w:rFonts w:ascii="Verdana" w:eastAsia="Times New Roman" w:hAnsi="Verdana" w:cs="Arial"/>
          <w:color w:val="000000"/>
          <w:lang w:val="es-ES"/>
        </w:rPr>
      </w:pPr>
    </w:p>
    <w:p w14:paraId="0AC4AFD4" w14:textId="77777777" w:rsidR="000F0C88" w:rsidRDefault="000F0C88" w:rsidP="30821638">
      <w:pPr>
        <w:spacing w:after="0"/>
        <w:rPr>
          <w:rFonts w:ascii="Verdana" w:eastAsia="Times New Roman" w:hAnsi="Verdana" w:cs="Arial"/>
          <w:color w:val="000000"/>
          <w:lang w:val="es-ES"/>
        </w:rPr>
      </w:pPr>
    </w:p>
    <w:p w14:paraId="4D3C4384" w14:textId="77777777" w:rsidR="000F0C88" w:rsidRDefault="000F0C88" w:rsidP="30821638">
      <w:pPr>
        <w:spacing w:after="0"/>
        <w:rPr>
          <w:rFonts w:ascii="Verdana" w:eastAsia="Times New Roman" w:hAnsi="Verdana" w:cs="Arial"/>
          <w:color w:val="000000"/>
          <w:lang w:val="es-ES"/>
        </w:rPr>
      </w:pPr>
    </w:p>
    <w:p w14:paraId="6DAA8A4B" w14:textId="77777777" w:rsidR="000F0C88" w:rsidRDefault="000F0C88" w:rsidP="30821638">
      <w:pPr>
        <w:spacing w:after="0"/>
        <w:rPr>
          <w:rFonts w:ascii="Verdana" w:eastAsia="Times New Roman" w:hAnsi="Verdana" w:cs="Arial"/>
          <w:color w:val="000000"/>
          <w:lang w:val="es-ES"/>
        </w:rPr>
      </w:pPr>
    </w:p>
    <w:p w14:paraId="0352A115" w14:textId="77777777" w:rsidR="000F0C88" w:rsidRDefault="000F0C88" w:rsidP="30821638">
      <w:pPr>
        <w:spacing w:after="0"/>
        <w:rPr>
          <w:rFonts w:ascii="Verdana" w:eastAsia="Times New Roman" w:hAnsi="Verdana" w:cs="Arial"/>
          <w:color w:val="000000"/>
          <w:lang w:val="es-ES"/>
        </w:rPr>
      </w:pPr>
    </w:p>
    <w:p w14:paraId="055040CA" w14:textId="77777777" w:rsidR="000F0C88" w:rsidRDefault="000F0C88" w:rsidP="30821638">
      <w:pPr>
        <w:spacing w:after="0"/>
        <w:rPr>
          <w:rFonts w:ascii="Verdana" w:eastAsia="Times New Roman" w:hAnsi="Verdana" w:cs="Arial"/>
          <w:color w:val="000000"/>
          <w:lang w:val="es-ES"/>
        </w:rPr>
      </w:pPr>
    </w:p>
    <w:p w14:paraId="05D0A21D" w14:textId="77777777" w:rsidR="000F0C88" w:rsidRDefault="000F0C88" w:rsidP="30821638">
      <w:pPr>
        <w:spacing w:after="0"/>
        <w:rPr>
          <w:rFonts w:ascii="Verdana" w:eastAsia="Times New Roman" w:hAnsi="Verdana" w:cs="Arial"/>
          <w:color w:val="000000"/>
          <w:lang w:val="es-ES"/>
        </w:rPr>
      </w:pPr>
    </w:p>
    <w:p w14:paraId="70DCB6D3" w14:textId="77777777" w:rsidR="000F0C88" w:rsidRDefault="000F0C88" w:rsidP="30821638">
      <w:pPr>
        <w:spacing w:after="0"/>
        <w:rPr>
          <w:rFonts w:ascii="Verdana" w:eastAsia="Times New Roman" w:hAnsi="Verdana" w:cs="Arial"/>
          <w:color w:val="000000"/>
          <w:lang w:val="es-ES"/>
        </w:rPr>
      </w:pPr>
    </w:p>
    <w:p w14:paraId="38743D83" w14:textId="77777777" w:rsidR="00E3116D" w:rsidRDefault="00E3116D" w:rsidP="30821638">
      <w:pPr>
        <w:spacing w:after="0"/>
        <w:rPr>
          <w:rFonts w:ascii="Verdana" w:eastAsia="Times New Roman" w:hAnsi="Verdana" w:cs="Arial"/>
          <w:color w:val="000000"/>
          <w:lang w:val="es-ES"/>
        </w:rPr>
      </w:pPr>
    </w:p>
    <w:p w14:paraId="70BAD325" w14:textId="77777777" w:rsidR="00E3116D" w:rsidRDefault="00E3116D" w:rsidP="30821638">
      <w:pPr>
        <w:spacing w:after="0"/>
        <w:rPr>
          <w:rFonts w:ascii="Verdana" w:eastAsia="Times New Roman" w:hAnsi="Verdana" w:cs="Arial"/>
          <w:color w:val="000000"/>
          <w:lang w:val="es-ES"/>
        </w:rPr>
      </w:pPr>
    </w:p>
    <w:p w14:paraId="7243BD87" w14:textId="77777777" w:rsidR="000F0C88" w:rsidRDefault="000F0C88" w:rsidP="30821638">
      <w:pPr>
        <w:spacing w:after="0"/>
        <w:rPr>
          <w:rFonts w:ascii="Verdana" w:eastAsia="Times New Roman" w:hAnsi="Verdana" w:cs="Arial"/>
          <w:color w:val="000000"/>
          <w:lang w:val="es-ES"/>
        </w:rPr>
      </w:pPr>
    </w:p>
    <w:p w14:paraId="218EF777" w14:textId="77777777" w:rsidR="000F0C88" w:rsidRDefault="000F0C88" w:rsidP="30821638">
      <w:pPr>
        <w:spacing w:after="0"/>
        <w:rPr>
          <w:rFonts w:ascii="Verdana" w:eastAsia="Times New Roman" w:hAnsi="Verdana" w:cs="Arial"/>
          <w:color w:val="000000"/>
          <w:lang w:val="es-ES"/>
        </w:rPr>
      </w:pPr>
    </w:p>
    <w:p w14:paraId="1DAA89C7" w14:textId="681151F8" w:rsidR="00870C28" w:rsidRDefault="00C15139" w:rsidP="30821638">
      <w:pPr>
        <w:spacing w:after="0"/>
        <w:rPr>
          <w:rFonts w:ascii="Verdana" w:eastAsia="Verdana" w:hAnsi="Verdana" w:cs="Verdana"/>
        </w:rPr>
      </w:pPr>
      <w:r w:rsidRPr="30821638">
        <w:rPr>
          <w:rFonts w:ascii="Verdana" w:eastAsia="Verdana" w:hAnsi="Verdana" w:cs="Verdana"/>
        </w:rPr>
        <w:lastRenderedPageBreak/>
        <w:t xml:space="preserve">Bogotá D.C., </w:t>
      </w:r>
      <w:r w:rsidR="00E3116D">
        <w:rPr>
          <w:rFonts w:ascii="Verdana" w:eastAsia="Verdana" w:hAnsi="Verdana" w:cs="Verdana"/>
        </w:rPr>
        <w:t>25 marzo 2026</w:t>
      </w:r>
    </w:p>
    <w:p w14:paraId="35FA2FFC" w14:textId="266D6EA9" w:rsidR="00870C28" w:rsidRDefault="00E3116D" w:rsidP="30821638">
      <w:pPr>
        <w:spacing w:after="0"/>
        <w:rPr>
          <w:rFonts w:ascii="Verdana" w:eastAsia="Verdana" w:hAnsi="Verdana" w:cs="Verdana"/>
        </w:rPr>
      </w:pPr>
      <w:r w:rsidRPr="00E3116D">
        <w:rPr>
          <w:noProof/>
        </w:rPr>
        <w:drawing>
          <wp:anchor distT="0" distB="0" distL="114300" distR="114300" simplePos="0" relativeHeight="251659264" behindDoc="1" locked="0" layoutInCell="1" allowOverlap="1" wp14:anchorId="292AFDA0" wp14:editId="787F357C">
            <wp:simplePos x="0" y="0"/>
            <wp:positionH relativeFrom="column">
              <wp:posOffset>3568065</wp:posOffset>
            </wp:positionH>
            <wp:positionV relativeFrom="paragraph">
              <wp:posOffset>61595</wp:posOffset>
            </wp:positionV>
            <wp:extent cx="2540000" cy="844550"/>
            <wp:effectExtent l="0" t="0" r="0" b="0"/>
            <wp:wrapTight wrapText="bothSides">
              <wp:wrapPolygon edited="0">
                <wp:start x="0" y="0"/>
                <wp:lineTo x="0" y="20950"/>
                <wp:lineTo x="21384" y="20950"/>
                <wp:lineTo x="21384" y="0"/>
                <wp:lineTo x="0" y="0"/>
              </wp:wrapPolygon>
            </wp:wrapTight>
            <wp:docPr id="80926021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40000" cy="844550"/>
                    </a:xfrm>
                    <a:prstGeom prst="rect">
                      <a:avLst/>
                    </a:prstGeom>
                    <a:noFill/>
                    <a:ln>
                      <a:noFill/>
                    </a:ln>
                  </pic:spPr>
                </pic:pic>
              </a:graphicData>
            </a:graphic>
            <wp14:sizeRelH relativeFrom="margin">
              <wp14:pctWidth>0</wp14:pctWidth>
            </wp14:sizeRelH>
          </wp:anchor>
        </w:drawing>
      </w:r>
    </w:p>
    <w:p w14:paraId="5A3EE4E7" w14:textId="61677D82" w:rsidR="00870C28" w:rsidRDefault="00870C28" w:rsidP="30821638">
      <w:pPr>
        <w:spacing w:after="0"/>
        <w:rPr>
          <w:rFonts w:ascii="Verdana" w:eastAsia="Verdana" w:hAnsi="Verdana" w:cs="Verdana"/>
        </w:rPr>
      </w:pPr>
      <w:r>
        <w:rPr>
          <w:rFonts w:ascii="Verdana" w:eastAsia="Verdana" w:hAnsi="Verdana" w:cs="Verdana"/>
        </w:rPr>
        <w:t xml:space="preserve">Señores </w:t>
      </w:r>
    </w:p>
    <w:p w14:paraId="03C7208F" w14:textId="77777777" w:rsidR="009D6388" w:rsidRDefault="0034770A" w:rsidP="30821638">
      <w:pPr>
        <w:spacing w:after="0"/>
        <w:rPr>
          <w:b/>
          <w:bCs/>
        </w:rPr>
      </w:pPr>
      <w:r w:rsidRPr="009D6388">
        <w:rPr>
          <w:rFonts w:ascii="Verdana" w:eastAsia="Verdana" w:hAnsi="Verdana" w:cs="Verdana"/>
          <w:b/>
          <w:bCs/>
        </w:rPr>
        <w:t>Hospital Arsenio Repizo Vanegas E.S.E</w:t>
      </w:r>
      <w:r w:rsidR="009D6388" w:rsidRPr="009D6388">
        <w:rPr>
          <w:rFonts w:ascii="Verdana" w:eastAsia="Verdana" w:hAnsi="Verdana" w:cs="Verdana"/>
          <w:b/>
          <w:bCs/>
        </w:rPr>
        <w:t>.</w:t>
      </w:r>
      <w:r w:rsidR="00C15139" w:rsidRPr="009D6388">
        <w:rPr>
          <w:b/>
          <w:bCs/>
        </w:rPr>
        <w:tab/>
      </w:r>
    </w:p>
    <w:p w14:paraId="7150B671" w14:textId="647F4C8B" w:rsidR="00E3116D" w:rsidRPr="00E3116D" w:rsidRDefault="00D54139" w:rsidP="00E3116D">
      <w:pPr>
        <w:spacing w:after="0"/>
      </w:pPr>
      <w:hyperlink r:id="rId11" w:history="1">
        <w:r w:rsidRPr="00BF51C6">
          <w:rPr>
            <w:rStyle w:val="Hipervnculo"/>
            <w:rFonts w:ascii="Verdana" w:hAnsi="Verdana"/>
          </w:rPr>
          <w:t>gerencia@eseharv-sanagustin-huila.gov.co</w:t>
        </w:r>
      </w:hyperlink>
      <w:r w:rsidR="00E3116D" w:rsidRPr="00E3116D">
        <w:rPr>
          <w:rFonts w:ascii="Times New Roman" w:eastAsia="Times New Roman" w:hAnsi="Times New Roman" w:cs="Times New Roman"/>
          <w:sz w:val="24"/>
          <w:szCs w:val="24"/>
          <w:lang w:eastAsia="es-CO"/>
        </w:rPr>
        <w:t xml:space="preserve"> </w:t>
      </w:r>
    </w:p>
    <w:p w14:paraId="4781802F" w14:textId="40740CA7" w:rsidR="00D54139" w:rsidRPr="00BF51C6" w:rsidRDefault="00D54139" w:rsidP="30821638">
      <w:pPr>
        <w:spacing w:after="0"/>
        <w:rPr>
          <w:rFonts w:ascii="Verdana" w:hAnsi="Verdana"/>
        </w:rPr>
      </w:pPr>
    </w:p>
    <w:p w14:paraId="4225467A" w14:textId="77777777" w:rsidR="00BF51C6" w:rsidRDefault="00BF51C6" w:rsidP="30821638">
      <w:pPr>
        <w:spacing w:after="0"/>
        <w:rPr>
          <w:rFonts w:ascii="Verdana" w:hAnsi="Verdana"/>
        </w:rPr>
      </w:pPr>
      <w:r>
        <w:rPr>
          <w:rFonts w:ascii="Verdana" w:hAnsi="Verdana"/>
        </w:rPr>
        <w:t>San Agustin, Huila</w:t>
      </w:r>
    </w:p>
    <w:p w14:paraId="4251E737" w14:textId="77777777" w:rsidR="00BF51C6" w:rsidRDefault="00BF51C6" w:rsidP="30821638">
      <w:pPr>
        <w:spacing w:after="0"/>
        <w:rPr>
          <w:rFonts w:ascii="Verdana" w:hAnsi="Verdana"/>
        </w:rPr>
      </w:pPr>
    </w:p>
    <w:p w14:paraId="413949F5" w14:textId="4009AD68" w:rsidR="00AB4929" w:rsidRDefault="00AB4929" w:rsidP="30821638">
      <w:pPr>
        <w:spacing w:after="0"/>
        <w:rPr>
          <w:rFonts w:ascii="Verdana" w:hAnsi="Verdana"/>
        </w:rPr>
      </w:pPr>
    </w:p>
    <w:p w14:paraId="35F90058" w14:textId="77777777" w:rsidR="00764C3E" w:rsidRPr="00343E12" w:rsidRDefault="00764C3E" w:rsidP="00764C3E">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64C3E" w:rsidRPr="00343E12" w14:paraId="607AB67C" w14:textId="77777777" w:rsidTr="00B63E6C">
        <w:trPr>
          <w:trHeight w:val="162"/>
        </w:trPr>
        <w:tc>
          <w:tcPr>
            <w:tcW w:w="3119" w:type="dxa"/>
          </w:tcPr>
          <w:p w14:paraId="2C8F1067" w14:textId="77777777" w:rsidR="00764C3E" w:rsidRPr="00343E12" w:rsidRDefault="00764C3E" w:rsidP="00B63E6C">
            <w:pPr>
              <w:jc w:val="both"/>
              <w:rPr>
                <w:rFonts w:ascii="Verdana" w:eastAsia="Calibri" w:hAnsi="Verdana" w:cs="Arial"/>
                <w:b/>
                <w:bCs/>
                <w:color w:val="7030A0"/>
                <w:lang w:val="it-CH" w:eastAsia="es-ES_tradnl"/>
              </w:rPr>
            </w:pPr>
          </w:p>
        </w:tc>
        <w:tc>
          <w:tcPr>
            <w:tcW w:w="5670" w:type="dxa"/>
          </w:tcPr>
          <w:p w14:paraId="0775107F" w14:textId="1F233A4C" w:rsidR="00764C3E" w:rsidRPr="00343E12" w:rsidRDefault="00764C3E" w:rsidP="00B63E6C">
            <w:pPr>
              <w:jc w:val="both"/>
              <w:rPr>
                <w:rFonts w:ascii="Verdana" w:eastAsia="Calibri" w:hAnsi="Verdana" w:cs="Arial"/>
                <w:b/>
                <w:bCs/>
                <w:lang w:eastAsia="es-ES"/>
              </w:rPr>
            </w:pPr>
            <w:r w:rsidRPr="00343E12">
              <w:rPr>
                <w:rFonts w:ascii="Verdana" w:eastAsia="Calibri" w:hAnsi="Verdana" w:cs="Arial"/>
                <w:b/>
                <w:bCs/>
                <w:lang w:eastAsia="es-ES"/>
              </w:rPr>
              <w:t xml:space="preserve">Concepto C- </w:t>
            </w:r>
            <w:r w:rsidR="005C30BE">
              <w:rPr>
                <w:rFonts w:ascii="Verdana" w:eastAsia="Calibri" w:hAnsi="Verdana" w:cs="Arial"/>
                <w:b/>
                <w:bCs/>
                <w:lang w:eastAsia="es-ES"/>
              </w:rPr>
              <w:t>303 de 2026</w:t>
            </w:r>
          </w:p>
          <w:p w14:paraId="310679C8" w14:textId="77777777" w:rsidR="00764C3E" w:rsidRPr="00343E12" w:rsidRDefault="00764C3E" w:rsidP="00B63E6C">
            <w:pPr>
              <w:jc w:val="both"/>
              <w:rPr>
                <w:rFonts w:ascii="Verdana" w:eastAsia="Calibri" w:hAnsi="Verdana" w:cs="Arial"/>
                <w:b/>
                <w:bCs/>
                <w:color w:val="7030A0"/>
                <w:lang w:eastAsia="es-ES"/>
              </w:rPr>
            </w:pPr>
          </w:p>
        </w:tc>
      </w:tr>
      <w:tr w:rsidR="00764C3E" w:rsidRPr="00343E12" w14:paraId="01964DA0" w14:textId="77777777" w:rsidTr="00B63E6C">
        <w:trPr>
          <w:trHeight w:val="884"/>
        </w:trPr>
        <w:tc>
          <w:tcPr>
            <w:tcW w:w="3119" w:type="dxa"/>
          </w:tcPr>
          <w:p w14:paraId="5EB7A22A" w14:textId="77777777" w:rsidR="00764C3E" w:rsidRPr="00343E12" w:rsidRDefault="00764C3E" w:rsidP="00B63E6C">
            <w:pPr>
              <w:jc w:val="both"/>
              <w:rPr>
                <w:rFonts w:ascii="Verdana" w:eastAsia="Calibri" w:hAnsi="Verdana" w:cs="Arial"/>
                <w:color w:val="000000"/>
                <w:lang w:eastAsia="es-ES_tradnl"/>
              </w:rPr>
            </w:pPr>
            <w:r w:rsidRPr="00343E12">
              <w:rPr>
                <w:rFonts w:ascii="Verdana" w:eastAsia="Calibri" w:hAnsi="Verdana" w:cs="Arial"/>
                <w:b/>
                <w:color w:val="000000"/>
                <w:lang w:eastAsia="es-ES_tradnl"/>
              </w:rPr>
              <w:t>Temas:</w:t>
            </w:r>
            <w:r w:rsidRPr="00343E12">
              <w:rPr>
                <w:rFonts w:ascii="Verdana" w:eastAsia="Calibri" w:hAnsi="Verdana" w:cs="Arial"/>
                <w:color w:val="000000"/>
                <w:lang w:eastAsia="es-ES_tradnl"/>
              </w:rPr>
              <w:t xml:space="preserve">                   </w:t>
            </w:r>
          </w:p>
        </w:tc>
        <w:tc>
          <w:tcPr>
            <w:tcW w:w="5670" w:type="dxa"/>
          </w:tcPr>
          <w:p w14:paraId="45D50D68" w14:textId="77777777" w:rsidR="00764C3E" w:rsidRPr="00343E12" w:rsidRDefault="00764C3E" w:rsidP="00B63E6C">
            <w:pPr>
              <w:jc w:val="both"/>
              <w:rPr>
                <w:rFonts w:ascii="Verdana" w:eastAsia="Times New Roman" w:hAnsi="Verdana" w:cs="Arial"/>
                <w:color w:val="000000"/>
                <w:lang w:val="es-ES"/>
              </w:rPr>
            </w:pPr>
            <w:r w:rsidRPr="00343E12">
              <w:rPr>
                <w:rFonts w:ascii="Verdana" w:eastAsia="Aptos" w:hAnsi="Verdana" w:cs="Arial"/>
                <w:lang w:val="es-MX" w:eastAsia="es-ES"/>
              </w:rPr>
              <w:t xml:space="preserve">LEY DE GARANTÍAS ELECTORALES ‒ Finalidad / LEY DE GARANTÍAS ELECTORALES ‒ Tipos de restricciones ‒ Ámbito temporal – Celebración - Límite / LEY DE GARANTÍAS ELECTORALES – Prohibición – Artículo 33 – Contratación directa – Alcance / LEY DE GARANTÍAS ELECTORALES – Excepciones / </w:t>
            </w:r>
            <w:r w:rsidRPr="00343E12">
              <w:rPr>
                <w:rFonts w:ascii="Verdana" w:eastAsia="Times New Roman" w:hAnsi="Verdana" w:cs="Arial"/>
                <w:color w:val="000000"/>
                <w:lang w:val="es-ES"/>
              </w:rPr>
              <w:t xml:space="preserve">LEY DE GARANTÍAS ELECTORALES – Excepciones – Destinatarios - Entidades sanitarias y hospitalarias / </w:t>
            </w:r>
            <w:r w:rsidRPr="00343E12">
              <w:rPr>
                <w:rFonts w:ascii="Verdana" w:eastAsia="Aptos" w:hAnsi="Verdana" w:cs="Arial"/>
                <w:lang w:val="es-MX" w:eastAsia="es-ES_tradnl"/>
              </w:rPr>
              <w:t>CONVENIOS INTERADMINISTRATIVOS – Criterio orgánico / CONTRATOS Y CONVENIOS INTERADMINISTRATIVOS – Circular Externa Única – Auto de suspensión</w:t>
            </w:r>
          </w:p>
          <w:p w14:paraId="19703B0E" w14:textId="77777777" w:rsidR="00764C3E" w:rsidRPr="00343E12" w:rsidRDefault="00764C3E" w:rsidP="00B63E6C">
            <w:pPr>
              <w:jc w:val="both"/>
              <w:rPr>
                <w:rFonts w:ascii="Verdana" w:eastAsia="Calibri" w:hAnsi="Verdana" w:cs="Arial"/>
                <w:lang w:val="es-ES_tradnl" w:eastAsia="es-ES"/>
              </w:rPr>
            </w:pPr>
          </w:p>
        </w:tc>
      </w:tr>
      <w:tr w:rsidR="00764C3E" w:rsidRPr="00343E12" w14:paraId="2F2C71D2" w14:textId="77777777" w:rsidTr="00B63E6C">
        <w:tc>
          <w:tcPr>
            <w:tcW w:w="3119" w:type="dxa"/>
          </w:tcPr>
          <w:p w14:paraId="7E2C95D0" w14:textId="77777777" w:rsidR="00764C3E" w:rsidRPr="00343E12" w:rsidRDefault="00764C3E" w:rsidP="00B63E6C">
            <w:pPr>
              <w:jc w:val="both"/>
              <w:rPr>
                <w:rFonts w:ascii="Verdana" w:eastAsia="Calibri" w:hAnsi="Verdana" w:cs="Arial"/>
                <w:b/>
                <w:lang w:eastAsia="es-ES_tradnl"/>
              </w:rPr>
            </w:pPr>
            <w:r w:rsidRPr="00343E12">
              <w:rPr>
                <w:rFonts w:ascii="Verdana" w:eastAsia="Calibri" w:hAnsi="Verdana" w:cs="Arial"/>
                <w:b/>
                <w:lang w:eastAsia="es-ES_tradnl"/>
              </w:rPr>
              <w:t>Radicación:</w:t>
            </w:r>
            <w:r w:rsidRPr="00343E12">
              <w:rPr>
                <w:rFonts w:ascii="Verdana" w:eastAsia="Calibri" w:hAnsi="Verdana" w:cs="Arial"/>
                <w:lang w:eastAsia="es-ES_tradnl"/>
              </w:rPr>
              <w:t xml:space="preserve">               </w:t>
            </w:r>
          </w:p>
        </w:tc>
        <w:tc>
          <w:tcPr>
            <w:tcW w:w="5670" w:type="dxa"/>
          </w:tcPr>
          <w:p w14:paraId="0F7C5097" w14:textId="3E8EBBC0" w:rsidR="00764C3E" w:rsidRPr="00343E12" w:rsidRDefault="00764C3E" w:rsidP="00B63E6C">
            <w:pPr>
              <w:jc w:val="both"/>
              <w:rPr>
                <w:rFonts w:ascii="Verdana" w:eastAsia="Calibri" w:hAnsi="Verdana" w:cs="Arial"/>
                <w:lang w:eastAsia="es-ES_tradnl"/>
              </w:rPr>
            </w:pPr>
            <w:r w:rsidRPr="00343E12">
              <w:rPr>
                <w:rFonts w:ascii="Verdana" w:eastAsia="Calibri" w:hAnsi="Verdana" w:cs="Arial"/>
                <w:lang w:eastAsia="es-ES_tradnl"/>
              </w:rPr>
              <w:t>Respuesta a consulta con radicado</w:t>
            </w:r>
            <w:r w:rsidR="005C30BE">
              <w:rPr>
                <w:rFonts w:ascii="Verdana" w:eastAsia="Calibri" w:hAnsi="Verdana" w:cs="Arial"/>
                <w:lang w:eastAsia="es-ES_tradnl"/>
              </w:rPr>
              <w:t xml:space="preserve"> </w:t>
            </w:r>
            <w:r w:rsidR="004C6548" w:rsidRPr="004C6548">
              <w:rPr>
                <w:rFonts w:ascii="Verdana" w:eastAsia="Calibri" w:hAnsi="Verdana" w:cs="Arial"/>
                <w:lang w:eastAsia="es-ES_tradnl"/>
              </w:rPr>
              <w:t>1_2026_02_25_002646</w:t>
            </w:r>
            <w:r w:rsidRPr="00343E12">
              <w:rPr>
                <w:rFonts w:ascii="Verdana" w:eastAsia="Calibri" w:hAnsi="Verdana" w:cs="Arial"/>
                <w:lang w:eastAsia="es-ES_tradnl"/>
              </w:rPr>
              <w:t xml:space="preserve"> </w:t>
            </w:r>
          </w:p>
        </w:tc>
      </w:tr>
    </w:tbl>
    <w:p w14:paraId="57174B45" w14:textId="77777777" w:rsidR="00764C3E" w:rsidRPr="00343E12" w:rsidRDefault="00764C3E" w:rsidP="00764C3E">
      <w:pPr>
        <w:spacing w:after="0" w:line="276" w:lineRule="auto"/>
        <w:jc w:val="both"/>
        <w:rPr>
          <w:rFonts w:ascii="Verdana" w:eastAsia="Calibri" w:hAnsi="Verdana" w:cs="Arial"/>
          <w:lang w:eastAsia="es-ES_tradnl"/>
        </w:rPr>
      </w:pPr>
    </w:p>
    <w:p w14:paraId="33AF88EF" w14:textId="77777777" w:rsidR="00764C3E" w:rsidRPr="00343E12" w:rsidRDefault="00764C3E" w:rsidP="00764C3E">
      <w:pPr>
        <w:spacing w:after="0" w:line="276" w:lineRule="auto"/>
        <w:jc w:val="both"/>
        <w:rPr>
          <w:rFonts w:ascii="Verdana" w:eastAsia="Calibri" w:hAnsi="Verdana" w:cs="Arial"/>
          <w:lang w:eastAsia="es-ES_tradnl"/>
        </w:rPr>
      </w:pPr>
    </w:p>
    <w:p w14:paraId="7024FDC1" w14:textId="0FC54838" w:rsidR="00764C3E" w:rsidRPr="00343E12" w:rsidRDefault="005C30BE" w:rsidP="00764C3E">
      <w:pPr>
        <w:spacing w:after="0" w:line="276" w:lineRule="auto"/>
        <w:jc w:val="both"/>
        <w:rPr>
          <w:rFonts w:ascii="Verdana" w:eastAsia="Calibri" w:hAnsi="Verdana" w:cs="Arial"/>
          <w:lang w:eastAsia="es-ES"/>
        </w:rPr>
      </w:pPr>
      <w:r>
        <w:rPr>
          <w:rFonts w:ascii="Verdana" w:eastAsia="Calibri" w:hAnsi="Verdana" w:cs="Arial"/>
          <w:lang w:eastAsia="es-ES"/>
        </w:rPr>
        <w:t>Respetados señores</w:t>
      </w:r>
      <w:r w:rsidR="00764C3E" w:rsidRPr="00343E12">
        <w:rPr>
          <w:rFonts w:ascii="Verdana" w:eastAsia="Calibri" w:hAnsi="Verdana" w:cs="Arial"/>
          <w:lang w:eastAsia="es-ES"/>
        </w:rPr>
        <w:t xml:space="preserve">: </w:t>
      </w:r>
    </w:p>
    <w:p w14:paraId="5627D983" w14:textId="77777777" w:rsidR="00764C3E" w:rsidRPr="00343E12" w:rsidRDefault="00764C3E" w:rsidP="00764C3E">
      <w:pPr>
        <w:tabs>
          <w:tab w:val="left" w:pos="3768"/>
        </w:tabs>
        <w:spacing w:after="0" w:line="240" w:lineRule="auto"/>
        <w:jc w:val="both"/>
        <w:rPr>
          <w:rFonts w:ascii="Verdana" w:eastAsia="Calibri" w:hAnsi="Verdana" w:cs="Arial"/>
          <w:lang w:eastAsia="es-ES"/>
        </w:rPr>
      </w:pPr>
    </w:p>
    <w:p w14:paraId="51D04EEE" w14:textId="49716539" w:rsidR="00764C3E" w:rsidRPr="00343E12" w:rsidRDefault="00764C3E" w:rsidP="00764C3E">
      <w:pPr>
        <w:tabs>
          <w:tab w:val="left" w:pos="3768"/>
        </w:tabs>
        <w:spacing w:after="0" w:line="276" w:lineRule="auto"/>
        <w:jc w:val="both"/>
        <w:rPr>
          <w:rFonts w:ascii="Verdana" w:eastAsia="Calibri" w:hAnsi="Verdana" w:cs="Arial"/>
          <w:lang w:eastAsia="es-ES"/>
        </w:rPr>
      </w:pPr>
      <w:r w:rsidRPr="00343E12">
        <w:rPr>
          <w:rFonts w:ascii="Verdana" w:eastAsia="Calibri" w:hAnsi="Verdana" w:cs="Arial"/>
          <w:color w:val="000000"/>
          <w:lang w:eastAsia="es-ES"/>
        </w:rPr>
        <w:t>En ejercicio de la competencia otorgada por los artículos 3, numeral 5º, y 11, numeral 8º, del Decreto Ley 4170 de 2011,</w:t>
      </w:r>
      <w:r w:rsidRPr="00343E12">
        <w:rPr>
          <w:rFonts w:ascii="Verdana" w:eastAsia="Arial MT" w:hAnsi="Verdana" w:cs="Arial MT"/>
          <w:lang w:eastAsia="es-ES"/>
        </w:rPr>
        <w:t xml:space="preserve"> </w:t>
      </w:r>
      <w:r w:rsidRPr="00343E12">
        <w:rPr>
          <w:rFonts w:ascii="Verdana" w:eastAsia="Aptos" w:hAnsi="Verdana" w:cs="Arial"/>
        </w:rPr>
        <w:t xml:space="preserve">así como lo establecido en el artículo 4 de la Resolución 1707 de 2018 expedida por esta Entidad, </w:t>
      </w:r>
      <w:r w:rsidRPr="00343E12">
        <w:rPr>
          <w:rFonts w:ascii="Verdana" w:eastAsia="Calibri" w:hAnsi="Verdana" w:cs="Arial"/>
          <w:color w:val="000000"/>
          <w:lang w:eastAsia="es-ES"/>
        </w:rPr>
        <w:t xml:space="preserve">la Agencia Nacional de Contratación </w:t>
      </w:r>
      <w:r w:rsidRPr="00343E12">
        <w:rPr>
          <w:rFonts w:ascii="Verdana" w:eastAsia="Calibri" w:hAnsi="Verdana" w:cs="Arial"/>
          <w:lang w:eastAsia="es-ES"/>
        </w:rPr>
        <w:t>Pública – Colombia Compra Eficiente– responde su solicitud de consulta de fecha 30 de octubre de 2025, previamente trasladado por el Departamento Administrativo de la Función Pública mediante radicado 20256000526441 del 2</w:t>
      </w:r>
      <w:r w:rsidR="004C6548">
        <w:rPr>
          <w:rFonts w:ascii="Verdana" w:eastAsia="Calibri" w:hAnsi="Verdana" w:cs="Arial"/>
          <w:lang w:eastAsia="es-ES"/>
        </w:rPr>
        <w:t>5</w:t>
      </w:r>
      <w:r w:rsidRPr="00343E12">
        <w:rPr>
          <w:rFonts w:ascii="Verdana" w:eastAsia="Calibri" w:hAnsi="Verdana" w:cs="Arial"/>
          <w:lang w:eastAsia="es-ES"/>
        </w:rPr>
        <w:t xml:space="preserve"> de </w:t>
      </w:r>
      <w:r w:rsidR="004C6548">
        <w:rPr>
          <w:rFonts w:ascii="Verdana" w:eastAsia="Calibri" w:hAnsi="Verdana" w:cs="Arial"/>
          <w:lang w:eastAsia="es-ES"/>
        </w:rPr>
        <w:t>febrero</w:t>
      </w:r>
      <w:r w:rsidRPr="00343E12">
        <w:rPr>
          <w:rFonts w:ascii="Verdana" w:eastAsia="Calibri" w:hAnsi="Verdana" w:cs="Arial"/>
          <w:lang w:eastAsia="es-ES"/>
        </w:rPr>
        <w:t xml:space="preserve"> de 202</w:t>
      </w:r>
      <w:r w:rsidR="004C6548">
        <w:rPr>
          <w:rFonts w:ascii="Verdana" w:eastAsia="Calibri" w:hAnsi="Verdana" w:cs="Arial"/>
          <w:lang w:eastAsia="es-ES"/>
        </w:rPr>
        <w:t>6</w:t>
      </w:r>
      <w:r w:rsidRPr="00343E12">
        <w:rPr>
          <w:rFonts w:ascii="Verdana" w:eastAsia="Calibri" w:hAnsi="Verdana" w:cs="Arial"/>
          <w:lang w:eastAsia="es-ES"/>
        </w:rPr>
        <w:t xml:space="preserve">, en la cual manifiesta lo siguiente: </w:t>
      </w:r>
    </w:p>
    <w:p w14:paraId="3F70E038" w14:textId="77777777" w:rsidR="00764C3E" w:rsidRPr="00343E12" w:rsidRDefault="00764C3E" w:rsidP="00764C3E">
      <w:pPr>
        <w:tabs>
          <w:tab w:val="left" w:pos="142"/>
          <w:tab w:val="left" w:pos="284"/>
        </w:tabs>
        <w:spacing w:after="0" w:line="276" w:lineRule="auto"/>
        <w:ind w:left="142"/>
        <w:jc w:val="both"/>
        <w:rPr>
          <w:rFonts w:ascii="Verdana" w:eastAsia="Century Gothic" w:hAnsi="Verdana" w:cs="Century Gothic"/>
          <w:b/>
          <w:bCs/>
          <w:i/>
          <w:iCs/>
          <w:sz w:val="20"/>
          <w:szCs w:val="20"/>
        </w:rPr>
      </w:pPr>
    </w:p>
    <w:p w14:paraId="20EB6497" w14:textId="74E692B0" w:rsidR="00AE62F4" w:rsidRPr="007A5F27" w:rsidRDefault="00764C3E" w:rsidP="007A5F27">
      <w:pPr>
        <w:spacing w:after="0" w:line="240" w:lineRule="auto"/>
        <w:ind w:left="709" w:right="709"/>
        <w:jc w:val="both"/>
        <w:rPr>
          <w:rFonts w:ascii="Verdana" w:eastAsia="Century Gothic" w:hAnsi="Verdana" w:cs="Century Gothic"/>
          <w:sz w:val="21"/>
          <w:szCs w:val="21"/>
        </w:rPr>
      </w:pPr>
      <w:bookmarkStart w:id="1" w:name="_Hlk192699624"/>
      <w:bookmarkStart w:id="2" w:name="_Hlk199394899"/>
      <w:r w:rsidRPr="007A5F27">
        <w:rPr>
          <w:rFonts w:ascii="Verdana" w:eastAsia="Century Gothic" w:hAnsi="Verdana" w:cs="Century Gothic"/>
          <w:sz w:val="21"/>
          <w:szCs w:val="21"/>
        </w:rPr>
        <w:lastRenderedPageBreak/>
        <w:t>“</w:t>
      </w:r>
      <w:bookmarkEnd w:id="1"/>
      <w:bookmarkEnd w:id="2"/>
      <w:r w:rsidR="00AE62F4" w:rsidRPr="007A5F27">
        <w:rPr>
          <w:rFonts w:ascii="Verdana" w:eastAsia="Century Gothic" w:hAnsi="Verdana" w:cs="Century Gothic"/>
          <w:sz w:val="21"/>
          <w:szCs w:val="21"/>
        </w:rPr>
        <w:t xml:space="preserve">[…] ¿Es jurídicamente viable que una </w:t>
      </w:r>
      <w:r w:rsidR="00EB5C1E" w:rsidRPr="007A5F27">
        <w:rPr>
          <w:rFonts w:ascii="Verdana" w:eastAsia="Century Gothic" w:hAnsi="Verdana" w:cs="Century Gothic"/>
          <w:sz w:val="21"/>
          <w:szCs w:val="21"/>
        </w:rPr>
        <w:t>Empresa Social del Estado suscriba un convenio interadministrativo con otra entidad pública para concurrir en recursos financieros destinados a la terminación de infraestructura hospitalaria, cuando dicha infraestructura es necesaria para garantizar la operación y prestación efectiva de servicios de salu</w:t>
      </w:r>
      <w:r w:rsidR="00DB18D3" w:rsidRPr="007A5F27">
        <w:rPr>
          <w:rFonts w:ascii="Verdana" w:eastAsia="Century Gothic" w:hAnsi="Verdana" w:cs="Century Gothic"/>
          <w:sz w:val="21"/>
          <w:szCs w:val="21"/>
        </w:rPr>
        <w:t>d?</w:t>
      </w:r>
    </w:p>
    <w:p w14:paraId="40CC0053" w14:textId="77777777" w:rsidR="00DB18D3" w:rsidRPr="007A5F27" w:rsidRDefault="00DB18D3" w:rsidP="007A5F27">
      <w:pPr>
        <w:spacing w:after="0" w:line="240" w:lineRule="auto"/>
        <w:ind w:left="709" w:right="709"/>
        <w:jc w:val="both"/>
        <w:rPr>
          <w:rFonts w:ascii="Verdana" w:eastAsia="Century Gothic" w:hAnsi="Verdana" w:cs="Century Gothic"/>
          <w:sz w:val="21"/>
          <w:szCs w:val="21"/>
        </w:rPr>
      </w:pPr>
    </w:p>
    <w:p w14:paraId="2C7C124B" w14:textId="22A921C3" w:rsidR="008F18B3" w:rsidRPr="007A5F27" w:rsidRDefault="00DB18D3" w:rsidP="007A5F27">
      <w:pPr>
        <w:spacing w:after="0" w:line="240" w:lineRule="auto"/>
        <w:ind w:left="709" w:right="709"/>
        <w:jc w:val="both"/>
        <w:rPr>
          <w:rFonts w:ascii="Verdana" w:eastAsia="Century Gothic" w:hAnsi="Verdana" w:cs="Century Gothic"/>
          <w:sz w:val="21"/>
          <w:szCs w:val="21"/>
        </w:rPr>
      </w:pPr>
      <w:proofErr w:type="gramStart"/>
      <w:r w:rsidRPr="007A5F27">
        <w:rPr>
          <w:rFonts w:ascii="Verdana" w:eastAsia="Century Gothic" w:hAnsi="Verdana" w:cs="Century Gothic"/>
          <w:sz w:val="21"/>
          <w:szCs w:val="21"/>
        </w:rPr>
        <w:t>¿Es jurídicamente viable que la E.</w:t>
      </w:r>
      <w:proofErr w:type="gramEnd"/>
      <w:r w:rsidRPr="007A5F27">
        <w:rPr>
          <w:rFonts w:ascii="Verdana" w:eastAsia="Century Gothic" w:hAnsi="Verdana" w:cs="Century Gothic"/>
          <w:sz w:val="21"/>
          <w:szCs w:val="21"/>
        </w:rPr>
        <w:t>S.</w:t>
      </w:r>
      <w:proofErr w:type="gramStart"/>
      <w:r w:rsidRPr="007A5F27">
        <w:rPr>
          <w:rFonts w:ascii="Verdana" w:eastAsia="Century Gothic" w:hAnsi="Verdana" w:cs="Century Gothic"/>
          <w:sz w:val="21"/>
          <w:szCs w:val="21"/>
        </w:rPr>
        <w:t>E</w:t>
      </w:r>
      <w:r w:rsidR="001B4B23" w:rsidRPr="007A5F27">
        <w:rPr>
          <w:rFonts w:ascii="Verdana" w:eastAsia="Century Gothic" w:hAnsi="Verdana" w:cs="Century Gothic"/>
          <w:sz w:val="21"/>
          <w:szCs w:val="21"/>
        </w:rPr>
        <w:t xml:space="preserve"> en ejercicio de su régimen especial de contratación y en cumplimiento de su objeto misional, suscriba un convenio interadministrativo de concurrencia de recursos con entidades territoriales para la culminación de infraestructura hospitalaria durante el periodo de restricciones previsto en la Ley </w:t>
      </w:r>
      <w:r w:rsidR="00C902C6" w:rsidRPr="007A5F27">
        <w:rPr>
          <w:rFonts w:ascii="Verdana" w:eastAsia="Century Gothic" w:hAnsi="Verdana" w:cs="Century Gothic"/>
          <w:sz w:val="21"/>
          <w:szCs w:val="21"/>
        </w:rPr>
        <w:t>996 de 2005, cuando dicha actuación resulta necesaria para garant</w:t>
      </w:r>
      <w:r w:rsidR="008F18B3" w:rsidRPr="007A5F27">
        <w:rPr>
          <w:rFonts w:ascii="Verdana" w:eastAsia="Century Gothic" w:hAnsi="Verdana" w:cs="Century Gothic"/>
          <w:sz w:val="21"/>
          <w:szCs w:val="21"/>
        </w:rPr>
        <w:t>izar la continuidad del servicio público esencial de salud?</w:t>
      </w:r>
      <w:proofErr w:type="gramEnd"/>
      <w:r w:rsidR="008150DE" w:rsidRPr="007A5F27">
        <w:rPr>
          <w:rFonts w:ascii="Verdana" w:eastAsia="Century Gothic" w:hAnsi="Verdana" w:cs="Century Gothic"/>
          <w:sz w:val="21"/>
          <w:szCs w:val="21"/>
        </w:rPr>
        <w:t xml:space="preserve"> </w:t>
      </w:r>
    </w:p>
    <w:p w14:paraId="2B32BE01" w14:textId="77777777" w:rsidR="008150DE" w:rsidRPr="007A5F27" w:rsidRDefault="008150DE" w:rsidP="007A5F27">
      <w:pPr>
        <w:spacing w:after="0" w:line="240" w:lineRule="auto"/>
        <w:ind w:left="709" w:right="709"/>
        <w:jc w:val="both"/>
        <w:rPr>
          <w:rFonts w:ascii="Verdana" w:eastAsia="Century Gothic" w:hAnsi="Verdana" w:cs="Century Gothic"/>
          <w:sz w:val="21"/>
          <w:szCs w:val="21"/>
        </w:rPr>
      </w:pPr>
    </w:p>
    <w:p w14:paraId="6AD8FCAA" w14:textId="6C62378D" w:rsidR="008150DE" w:rsidRPr="007A5F27" w:rsidRDefault="008150DE" w:rsidP="007A5F27">
      <w:pPr>
        <w:spacing w:after="0" w:line="240" w:lineRule="auto"/>
        <w:ind w:left="709" w:right="709"/>
        <w:jc w:val="both"/>
        <w:rPr>
          <w:rFonts w:ascii="Verdana" w:eastAsia="Century Gothic" w:hAnsi="Verdana" w:cs="Century Gothic"/>
          <w:sz w:val="21"/>
          <w:szCs w:val="21"/>
        </w:rPr>
      </w:pPr>
      <w:r w:rsidRPr="007A5F27">
        <w:rPr>
          <w:rFonts w:ascii="Verdana" w:eastAsia="Century Gothic" w:hAnsi="Verdana" w:cs="Century Gothic"/>
          <w:sz w:val="21"/>
          <w:szCs w:val="21"/>
        </w:rPr>
        <w:t>[…]”.</w:t>
      </w:r>
    </w:p>
    <w:p w14:paraId="3B7FA638" w14:textId="77777777" w:rsidR="00FD63A9" w:rsidRDefault="00FD63A9" w:rsidP="00E3445D">
      <w:pPr>
        <w:spacing w:before="120" w:after="0" w:line="276" w:lineRule="auto"/>
        <w:ind w:firstLine="708"/>
        <w:jc w:val="both"/>
        <w:rPr>
          <w:rFonts w:ascii="Verdana" w:eastAsia="Aptos" w:hAnsi="Verdana" w:cs="Times New Roman"/>
          <w:sz w:val="20"/>
          <w:szCs w:val="20"/>
        </w:rPr>
      </w:pPr>
    </w:p>
    <w:p w14:paraId="55D3D24E" w14:textId="09EF46E6" w:rsidR="007A5F27" w:rsidRPr="00343E12" w:rsidRDefault="007A5F27" w:rsidP="00E3445D">
      <w:pPr>
        <w:spacing w:before="120" w:after="0" w:line="276" w:lineRule="auto"/>
        <w:ind w:firstLine="708"/>
        <w:jc w:val="both"/>
        <w:rPr>
          <w:rFonts w:ascii="Verdana" w:eastAsia="Calibri" w:hAnsi="Verdana" w:cs="Arial"/>
          <w:color w:val="000000"/>
          <w:szCs w:val="24"/>
          <w:lang w:eastAsia="es-ES_tradnl"/>
        </w:rPr>
      </w:pPr>
      <w:r w:rsidRPr="00343E1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A37D599" w14:textId="77777777" w:rsidR="007A5F27" w:rsidRPr="00343E12" w:rsidRDefault="007A5F27" w:rsidP="007A5F27">
      <w:pPr>
        <w:spacing w:before="120" w:after="0" w:line="276" w:lineRule="auto"/>
        <w:ind w:firstLine="709"/>
        <w:jc w:val="both"/>
        <w:rPr>
          <w:rFonts w:ascii="Verdana" w:eastAsia="Calibri" w:hAnsi="Verdana" w:cs="Arial"/>
          <w:color w:val="000000"/>
          <w:szCs w:val="24"/>
          <w:lang w:eastAsia="es-ES_tradnl"/>
        </w:rPr>
      </w:pPr>
      <w:r w:rsidRPr="00343E1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0B0A3191" w14:textId="77777777" w:rsidR="007A5F27" w:rsidRPr="00343E12" w:rsidRDefault="007A5F27" w:rsidP="007A5F27">
      <w:pPr>
        <w:spacing w:after="0"/>
        <w:ind w:firstLine="709"/>
        <w:jc w:val="both"/>
        <w:rPr>
          <w:rFonts w:ascii="Verdana" w:eastAsia="Calibri" w:hAnsi="Verdana" w:cs="Arial"/>
          <w:color w:val="000000"/>
          <w:lang w:eastAsia="es-ES"/>
        </w:rPr>
      </w:pPr>
    </w:p>
    <w:p w14:paraId="211C3921" w14:textId="77777777" w:rsidR="007A5F27" w:rsidRPr="00343E12" w:rsidRDefault="007A5F27" w:rsidP="007A5F27">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343E12">
        <w:rPr>
          <w:rFonts w:ascii="Verdana" w:eastAsia="Century Gothic" w:hAnsi="Verdana" w:cs="Century Gothic"/>
          <w:b/>
          <w:bCs/>
        </w:rPr>
        <w:t>Problema planteado:</w:t>
      </w:r>
    </w:p>
    <w:p w14:paraId="1220D9AE" w14:textId="77777777" w:rsidR="00E3445D" w:rsidRDefault="00E3445D" w:rsidP="007A5F27">
      <w:pPr>
        <w:spacing w:after="0" w:line="276" w:lineRule="auto"/>
        <w:jc w:val="both"/>
        <w:rPr>
          <w:rFonts w:ascii="Verdana" w:eastAsia="Calibri" w:hAnsi="Verdana" w:cs="Arial"/>
          <w:color w:val="000000"/>
          <w:lang w:eastAsia="es-ES"/>
        </w:rPr>
      </w:pPr>
    </w:p>
    <w:p w14:paraId="06CAEAD8" w14:textId="0F3594E8" w:rsidR="00FC7760" w:rsidRDefault="007A5F27" w:rsidP="00FC7760">
      <w:pPr>
        <w:spacing w:after="0" w:line="276" w:lineRule="auto"/>
        <w:jc w:val="both"/>
        <w:rPr>
          <w:rFonts w:ascii="Verdana" w:eastAsia="Calibri" w:hAnsi="Verdana" w:cs="Arial"/>
          <w:color w:val="000000"/>
          <w:lang w:eastAsia="es-ES"/>
        </w:rPr>
      </w:pPr>
      <w:r w:rsidRPr="00343E12">
        <w:rPr>
          <w:rFonts w:ascii="Verdana" w:eastAsia="Calibri" w:hAnsi="Verdana" w:cs="Arial"/>
          <w:color w:val="000000"/>
          <w:lang w:eastAsia="es-ES"/>
        </w:rPr>
        <w:t>De acuerdo con el contenido de su solicitud, esta Agencia resolverá el siguiente problema jurídico</w:t>
      </w:r>
      <w:r w:rsidR="001A6C80">
        <w:rPr>
          <w:rFonts w:ascii="Verdana" w:eastAsia="Calibri" w:hAnsi="Verdana" w:cs="Arial"/>
          <w:color w:val="000000"/>
          <w:lang w:eastAsia="es-ES"/>
        </w:rPr>
        <w:t xml:space="preserve">: </w:t>
      </w:r>
      <w:r w:rsidR="001A6C80" w:rsidRPr="001A6C80">
        <w:rPr>
          <w:rFonts w:ascii="Verdana" w:eastAsia="Calibri" w:hAnsi="Verdana" w:cs="Arial"/>
          <w:color w:val="000000"/>
          <w:lang w:eastAsia="es-ES"/>
        </w:rPr>
        <w:t xml:space="preserve">¿Es jurídicamente viable que una Empresa Social del Estado </w:t>
      </w:r>
      <w:r w:rsidR="001A6C80" w:rsidRPr="001A6C80">
        <w:rPr>
          <w:rFonts w:ascii="Verdana" w:eastAsia="Calibri" w:hAnsi="Verdana" w:cs="Arial"/>
          <w:color w:val="000000"/>
          <w:lang w:eastAsia="es-ES"/>
        </w:rPr>
        <w:lastRenderedPageBreak/>
        <w:t xml:space="preserve">suscriba un convenio interadministrativo durante las restricciones de la </w:t>
      </w:r>
      <w:r w:rsidR="000B5799">
        <w:rPr>
          <w:rFonts w:ascii="Verdana" w:eastAsia="Calibri" w:hAnsi="Verdana" w:cs="Arial"/>
          <w:color w:val="000000"/>
          <w:lang w:eastAsia="es-ES"/>
        </w:rPr>
        <w:t>Ley de Garantí</w:t>
      </w:r>
      <w:r w:rsidR="00F63270">
        <w:rPr>
          <w:rFonts w:ascii="Verdana" w:eastAsia="Calibri" w:hAnsi="Verdana" w:cs="Arial"/>
          <w:color w:val="000000"/>
          <w:lang w:eastAsia="es-ES"/>
        </w:rPr>
        <w:t xml:space="preserve">as Electorales </w:t>
      </w:r>
      <w:r w:rsidR="001A6C80" w:rsidRPr="001A6C80">
        <w:rPr>
          <w:rFonts w:ascii="Verdana" w:eastAsia="Calibri" w:hAnsi="Verdana" w:cs="Arial"/>
          <w:color w:val="000000"/>
          <w:lang w:eastAsia="es-ES"/>
        </w:rPr>
        <w:t>para culminar infraestructura hospitalaria necesaria para la prestación del servicio de salud?</w:t>
      </w:r>
    </w:p>
    <w:p w14:paraId="2FBD4817" w14:textId="77777777" w:rsidR="00682603" w:rsidRDefault="00682603" w:rsidP="00FC7760">
      <w:pPr>
        <w:spacing w:after="0" w:line="276" w:lineRule="auto"/>
        <w:jc w:val="both"/>
        <w:rPr>
          <w:rFonts w:ascii="Verdana" w:eastAsia="Calibri" w:hAnsi="Verdana" w:cs="Arial"/>
          <w:color w:val="000000"/>
          <w:lang w:eastAsia="es-ES"/>
        </w:rPr>
      </w:pPr>
    </w:p>
    <w:p w14:paraId="48E303D1" w14:textId="7A5D9F50" w:rsidR="00682603" w:rsidRDefault="00682603" w:rsidP="00FC7760">
      <w:pPr>
        <w:spacing w:after="0" w:line="276" w:lineRule="auto"/>
        <w:jc w:val="both"/>
        <w:rPr>
          <w:rFonts w:ascii="Verdana" w:eastAsia="Calibri" w:hAnsi="Verdana" w:cs="Arial"/>
          <w:b/>
          <w:bCs/>
          <w:color w:val="000000"/>
          <w:lang w:eastAsia="es-ES"/>
        </w:rPr>
      </w:pPr>
      <w:r w:rsidRPr="008C04EB">
        <w:rPr>
          <w:rFonts w:ascii="Verdana" w:eastAsia="Calibri" w:hAnsi="Verdana" w:cs="Arial"/>
          <w:b/>
          <w:bCs/>
          <w:color w:val="000000"/>
          <w:lang w:eastAsia="es-ES"/>
        </w:rPr>
        <w:t xml:space="preserve">2. Respuesta: </w:t>
      </w:r>
    </w:p>
    <w:p w14:paraId="3E4FEF2B" w14:textId="77777777" w:rsidR="008C04EB" w:rsidRDefault="008C04EB" w:rsidP="00FC7760">
      <w:pPr>
        <w:spacing w:after="0" w:line="276" w:lineRule="auto"/>
        <w:jc w:val="both"/>
        <w:rPr>
          <w:rFonts w:ascii="Verdana" w:eastAsia="Calibri" w:hAnsi="Verdana" w:cs="Arial"/>
          <w:b/>
          <w:bCs/>
          <w:color w:val="000000"/>
          <w:lang w:eastAsia="es-ES"/>
        </w:rPr>
      </w:pPr>
    </w:p>
    <w:p w14:paraId="6AF49847" w14:textId="76D21121" w:rsidR="007E1DAA" w:rsidRDefault="007E1DAA" w:rsidP="007E1DAA">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Times New Roman" w:hAnsi="Verdana" w:cs="Arial"/>
        </w:rPr>
      </w:pPr>
      <w:r>
        <w:rPr>
          <w:rFonts w:ascii="Verdana" w:eastAsia="Calibri" w:hAnsi="Verdana" w:cs="Arial"/>
          <w:lang w:eastAsia="es-ES" w:bidi="es-ES"/>
        </w:rPr>
        <w:t>De acuerdo con el problema jurídico planteado, e</w:t>
      </w:r>
      <w:r w:rsidRPr="00FF007A">
        <w:rPr>
          <w:rFonts w:ascii="Verdana" w:eastAsia="Calibri" w:hAnsi="Verdana" w:cs="Arial"/>
          <w:lang w:eastAsia="es-ES" w:bidi="es-ES"/>
        </w:rPr>
        <w:t xml:space="preserv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artículo 33 de la Ley 996 de 2005.</w:t>
      </w:r>
      <w:r>
        <w:rPr>
          <w:rFonts w:ascii="Verdana" w:eastAsia="Times New Roman" w:hAnsi="Verdana" w:cs="Arial"/>
        </w:rPr>
        <w:t xml:space="preserve"> Esta restricción </w:t>
      </w:r>
      <w:r w:rsidRPr="00FF007A">
        <w:rPr>
          <w:rFonts w:ascii="Verdana" w:eastAsia="Times New Roman" w:hAnsi="Verdana" w:cs="Arial"/>
          <w:bCs/>
          <w:lang w:eastAsia="es-CO"/>
        </w:rPr>
        <w:t>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rPr>
        <w:t>.</w:t>
      </w:r>
    </w:p>
    <w:p w14:paraId="4482CEF5" w14:textId="77777777" w:rsidR="007E1DAA" w:rsidRDefault="007E1DAA" w:rsidP="007E1DAA">
      <w:pPr>
        <w:pBdr>
          <w:top w:val="single" w:sz="4" w:space="1" w:color="auto"/>
          <w:left w:val="single" w:sz="4" w:space="4" w:color="auto"/>
          <w:bottom w:val="single" w:sz="4" w:space="1" w:color="auto"/>
          <w:right w:val="single" w:sz="4" w:space="4" w:color="auto"/>
        </w:pBdr>
        <w:tabs>
          <w:tab w:val="left" w:pos="426"/>
        </w:tabs>
        <w:spacing w:before="120" w:line="276" w:lineRule="auto"/>
        <w:ind w:firstLine="709"/>
        <w:jc w:val="both"/>
        <w:rPr>
          <w:rFonts w:ascii="Verdana" w:hAnsi="Verdana" w:cs="Arial"/>
          <w:bCs/>
          <w:color w:val="000000" w:themeColor="text1"/>
        </w:rPr>
      </w:pPr>
      <w:r>
        <w:rPr>
          <w:rFonts w:ascii="Verdana" w:hAnsi="Verdana" w:cs="Arial"/>
          <w:bCs/>
          <w:color w:val="000000" w:themeColor="text1"/>
        </w:rPr>
        <w:t xml:space="preserve">En ese sentido,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694A6DE2" w14:textId="77777777" w:rsidR="007E1DAA" w:rsidRDefault="007E1DAA" w:rsidP="007E1DAA">
      <w:pPr>
        <w:pBdr>
          <w:top w:val="single" w:sz="4" w:space="1" w:color="auto"/>
          <w:left w:val="single" w:sz="4" w:space="4" w:color="auto"/>
          <w:bottom w:val="single" w:sz="4" w:space="1" w:color="auto"/>
          <w:right w:val="single" w:sz="4" w:space="4" w:color="auto"/>
        </w:pBd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Fonts w:ascii="Verdana" w:hAnsi="Verdana" w:cs="Arial"/>
          <w:color w:val="000000" w:themeColor="text1"/>
        </w:rPr>
        <w:t>.</w:t>
      </w:r>
    </w:p>
    <w:p w14:paraId="676671FB" w14:textId="77777777" w:rsidR="007E1DAA" w:rsidRDefault="007E1DAA" w:rsidP="007E1DAA">
      <w:pPr>
        <w:pBdr>
          <w:top w:val="single" w:sz="4" w:space="1" w:color="auto"/>
          <w:left w:val="single" w:sz="4" w:space="4" w:color="auto"/>
          <w:bottom w:val="single" w:sz="4" w:space="1" w:color="auto"/>
          <w:right w:val="single" w:sz="4" w:space="4" w:color="auto"/>
        </w:pBd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w:t>
      </w:r>
      <w:r w:rsidRPr="00FF007A">
        <w:rPr>
          <w:rFonts w:ascii="Verdana" w:eastAsia="Arial" w:hAnsi="Verdana" w:cs="Arial"/>
          <w:bCs/>
          <w:color w:val="000000" w:themeColor="text1"/>
        </w:rPr>
        <w:lastRenderedPageBreak/>
        <w:t xml:space="preserve">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602FA630" w14:textId="77777777" w:rsidR="007E1DAA" w:rsidRDefault="007E1DAA" w:rsidP="007E1DAA">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w:t>
      </w:r>
      <w:r w:rsidRPr="4D902665">
        <w:rPr>
          <w:rFonts w:ascii="Verdana" w:eastAsia="Arial" w:hAnsi="Verdana" w:cs="Arial"/>
          <w:color w:val="000000" w:themeColor="text1"/>
        </w:rPr>
        <w:t>y verificar si</w:t>
      </w:r>
      <w:r w:rsidRPr="00FF007A">
        <w:rPr>
          <w:rFonts w:ascii="Verdana" w:eastAsia="Arial" w:hAnsi="Verdana" w:cs="Arial"/>
          <w:bCs/>
          <w:color w:val="000000" w:themeColor="text1"/>
        </w:rPr>
        <w:t xml:space="preserve">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se realiza con ocasión a una “emergencia 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7B8241B9" w14:textId="77777777" w:rsidR="007E1DAA" w:rsidRDefault="007E1DAA" w:rsidP="007E1DAA">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alibri" w:hAnsi="Verdana" w:cs="Arial"/>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0D7E7D4E" w14:textId="47D01344" w:rsidR="008C04EB" w:rsidRPr="008C04EB" w:rsidRDefault="007E1DAA" w:rsidP="007E1DAA">
      <w:pPr>
        <w:pBdr>
          <w:top w:val="single" w:sz="4" w:space="1" w:color="auto"/>
          <w:left w:val="single" w:sz="4" w:space="4" w:color="auto"/>
          <w:bottom w:val="single" w:sz="4" w:space="1" w:color="auto"/>
          <w:right w:val="single" w:sz="4" w:space="4" w:color="auto"/>
        </w:pBdr>
        <w:spacing w:after="0" w:line="276" w:lineRule="auto"/>
        <w:jc w:val="both"/>
        <w:rPr>
          <w:rFonts w:ascii="Verdana" w:eastAsia="Calibri" w:hAnsi="Verdana" w:cs="Arial"/>
          <w:b/>
          <w:bCs/>
          <w:color w:val="000000"/>
          <w:lang w:eastAsia="es-ES"/>
        </w:rPr>
      </w:pPr>
      <w:r w:rsidRPr="00667CD6">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w:t>
      </w:r>
      <w:r>
        <w:rPr>
          <w:rFonts w:ascii="Verdana" w:eastAsia="Arial" w:hAnsi="Verdana" w:cs="Arial"/>
          <w:bCs/>
          <w:color w:val="000000" w:themeColor="text1"/>
        </w:rPr>
        <w:t xml:space="preserve"> </w:t>
      </w:r>
      <w:r w:rsidRPr="00667CD6">
        <w:rPr>
          <w:rFonts w:ascii="Verdana" w:eastAsia="Arial" w:hAnsi="Verdana" w:cs="Arial"/>
          <w:bCs/>
          <w:color w:val="000000" w:themeColor="text1"/>
        </w:rPr>
        <w:t xml:space="preserve">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7C3EF3B3" w14:textId="77777777" w:rsidR="00682603" w:rsidRDefault="00682603" w:rsidP="00FC7760">
      <w:pPr>
        <w:spacing w:after="0" w:line="276" w:lineRule="auto"/>
        <w:jc w:val="both"/>
        <w:rPr>
          <w:rFonts w:ascii="Verdana" w:eastAsia="Calibri" w:hAnsi="Verdana" w:cs="Arial"/>
          <w:color w:val="000000"/>
          <w:lang w:eastAsia="es-ES"/>
        </w:rPr>
      </w:pPr>
    </w:p>
    <w:p w14:paraId="15D1981B" w14:textId="77777777" w:rsidR="001A6C80" w:rsidRDefault="001A6C80" w:rsidP="00FC7760">
      <w:pPr>
        <w:spacing w:after="0" w:line="276" w:lineRule="auto"/>
        <w:jc w:val="both"/>
        <w:rPr>
          <w:rFonts w:ascii="Verdana" w:eastAsia="Calibri" w:hAnsi="Verdana" w:cs="Arial"/>
          <w:color w:val="000000"/>
          <w:lang w:eastAsia="es-ES"/>
        </w:rPr>
      </w:pPr>
    </w:p>
    <w:p w14:paraId="7FEC52B6" w14:textId="12EF70E6" w:rsidR="00167243" w:rsidRDefault="00167243" w:rsidP="00FC7760">
      <w:pPr>
        <w:spacing w:after="0" w:line="276" w:lineRule="auto"/>
        <w:jc w:val="both"/>
        <w:rPr>
          <w:rFonts w:ascii="Verdana" w:eastAsia="Century Gothic" w:hAnsi="Verdana" w:cs="Century Gothic"/>
          <w:b/>
          <w:bCs/>
        </w:rPr>
      </w:pPr>
      <w:r w:rsidRPr="4F9965BF">
        <w:rPr>
          <w:rFonts w:ascii="Verdana" w:eastAsia="Century Gothic" w:hAnsi="Verdana" w:cs="Century Gothic"/>
          <w:b/>
          <w:bCs/>
        </w:rPr>
        <w:lastRenderedPageBreak/>
        <w:t>3. Razones de la respuesta:</w:t>
      </w:r>
    </w:p>
    <w:p w14:paraId="327DA6A2" w14:textId="77777777" w:rsidR="001A6C80" w:rsidRDefault="001A6C80" w:rsidP="00FC7760">
      <w:pPr>
        <w:spacing w:after="0" w:line="276" w:lineRule="auto"/>
        <w:jc w:val="both"/>
        <w:rPr>
          <w:rFonts w:ascii="Verdana" w:eastAsia="Century Gothic" w:hAnsi="Verdana" w:cs="Century Gothic"/>
          <w:b/>
          <w:bCs/>
        </w:rPr>
      </w:pPr>
    </w:p>
    <w:p w14:paraId="3B9F3939" w14:textId="77777777" w:rsidR="001A6C80" w:rsidRPr="00FC7760" w:rsidRDefault="001A6C80" w:rsidP="00FC7760">
      <w:pPr>
        <w:spacing w:after="0" w:line="276" w:lineRule="auto"/>
        <w:jc w:val="both"/>
        <w:rPr>
          <w:rFonts w:ascii="Verdana" w:eastAsia="Calibri" w:hAnsi="Verdana" w:cs="Arial"/>
          <w:color w:val="000000"/>
          <w:lang w:eastAsia="es-ES"/>
        </w:rPr>
      </w:pPr>
    </w:p>
    <w:p w14:paraId="282DFD24" w14:textId="77777777" w:rsidR="00167243" w:rsidRPr="00343E12" w:rsidRDefault="00167243" w:rsidP="00167243">
      <w:pPr>
        <w:tabs>
          <w:tab w:val="left" w:pos="142"/>
          <w:tab w:val="left" w:pos="284"/>
        </w:tabs>
        <w:spacing w:after="0" w:line="276" w:lineRule="auto"/>
        <w:jc w:val="both"/>
        <w:rPr>
          <w:rFonts w:ascii="Verdana" w:eastAsia="Calibri" w:hAnsi="Verdana" w:cs="Arial"/>
        </w:rPr>
      </w:pPr>
    </w:p>
    <w:p w14:paraId="07550CA6" w14:textId="77777777" w:rsidR="00167243" w:rsidRPr="00343E12" w:rsidRDefault="00167243" w:rsidP="00167243">
      <w:pPr>
        <w:tabs>
          <w:tab w:val="left" w:pos="142"/>
          <w:tab w:val="left" w:pos="284"/>
        </w:tabs>
        <w:spacing w:after="0" w:line="276" w:lineRule="auto"/>
        <w:jc w:val="both"/>
        <w:rPr>
          <w:rFonts w:ascii="Verdana" w:eastAsia="Calibri" w:hAnsi="Verdana" w:cs="Arial"/>
        </w:rPr>
      </w:pPr>
      <w:r w:rsidRPr="00343E12">
        <w:rPr>
          <w:rFonts w:ascii="Verdana" w:eastAsia="Calibri" w:hAnsi="Verdana" w:cs="Arial"/>
        </w:rPr>
        <w:t xml:space="preserve">Lo anterior se sustenta en las siguientes consideraciones: </w:t>
      </w:r>
    </w:p>
    <w:p w14:paraId="64D2E31E" w14:textId="77777777" w:rsidR="00167243" w:rsidRPr="00343E12" w:rsidRDefault="00167243" w:rsidP="00167243">
      <w:pPr>
        <w:tabs>
          <w:tab w:val="left" w:pos="142"/>
          <w:tab w:val="left" w:pos="284"/>
        </w:tabs>
        <w:spacing w:after="0" w:line="240" w:lineRule="auto"/>
        <w:jc w:val="both"/>
        <w:rPr>
          <w:rFonts w:ascii="Verdana" w:eastAsia="Calibri" w:hAnsi="Verdana" w:cs="Arial"/>
        </w:rPr>
      </w:pPr>
    </w:p>
    <w:p w14:paraId="095FD330" w14:textId="77777777" w:rsidR="00167243" w:rsidRPr="00343E12" w:rsidRDefault="00167243" w:rsidP="00661481">
      <w:pPr>
        <w:tabs>
          <w:tab w:val="left" w:pos="142"/>
          <w:tab w:val="left" w:pos="284"/>
        </w:tabs>
        <w:spacing w:after="120" w:line="276" w:lineRule="auto"/>
        <w:ind w:firstLine="709"/>
        <w:jc w:val="both"/>
        <w:rPr>
          <w:rFonts w:ascii="Verdana" w:eastAsia="Calibri" w:hAnsi="Verdana" w:cs="Arial"/>
        </w:rPr>
      </w:pPr>
      <w:r>
        <w:rPr>
          <w:rFonts w:ascii="Verdana" w:eastAsia="Calibri" w:hAnsi="Verdana" w:cs="Arial"/>
        </w:rPr>
        <w:t>i)</w:t>
      </w:r>
      <w:r w:rsidRPr="00343E12">
        <w:rPr>
          <w:rFonts w:ascii="Verdana" w:eastAsia="Calibri" w:hAnsi="Verdana" w:cs="Arial"/>
        </w:rPr>
        <w:t>El ordenamiento jurídico colombiano contempla previsiones claras para evitar la obtención de beneficios personales en asuntos propios de la administración pública</w:t>
      </w:r>
      <w:r w:rsidRPr="00343E12">
        <w:rPr>
          <w:rFonts w:ascii="Verdana" w:eastAsia="Calibri" w:hAnsi="Verdana" w:cs="Arial"/>
          <w:i/>
        </w:rPr>
        <w:t xml:space="preserve">. </w:t>
      </w:r>
      <w:r w:rsidRPr="00343E12">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343E12">
        <w:rPr>
          <w:rFonts w:ascii="Verdana" w:eastAsia="Aptos" w:hAnsi="Verdana" w:cs="Times New Roman"/>
          <w:vertAlign w:val="superscript"/>
        </w:rPr>
        <w:footnoteReference w:id="1"/>
      </w:r>
      <w:r w:rsidRPr="00343E12">
        <w:rPr>
          <w:rFonts w:ascii="Verdana" w:eastAsia="Calibri" w:hAnsi="Verdana" w:cs="Arial"/>
        </w:rPr>
        <w:t>.</w:t>
      </w:r>
    </w:p>
    <w:p w14:paraId="3C359162" w14:textId="14DFF2AF" w:rsidR="00167243" w:rsidRPr="00343E12" w:rsidRDefault="00167243" w:rsidP="00661481">
      <w:pPr>
        <w:tabs>
          <w:tab w:val="left" w:pos="142"/>
          <w:tab w:val="left" w:pos="284"/>
        </w:tabs>
        <w:spacing w:after="120" w:line="276" w:lineRule="auto"/>
        <w:ind w:firstLine="709"/>
        <w:jc w:val="both"/>
        <w:rPr>
          <w:rFonts w:ascii="Verdana" w:eastAsia="Calibri" w:hAnsi="Verdana" w:cs="Arial"/>
        </w:rPr>
      </w:pPr>
      <w:r w:rsidRPr="00343E12">
        <w:rPr>
          <w:rFonts w:ascii="Verdana" w:eastAsia="Calibri" w:hAnsi="Verdana" w:cs="Arial"/>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43E12">
        <w:rPr>
          <w:rFonts w:ascii="Verdana" w:eastAsia="Calibri" w:hAnsi="Verdana" w:cs="Arial"/>
          <w:vertAlign w:val="superscript"/>
        </w:rPr>
        <w:footnoteReference w:id="2"/>
      </w:r>
      <w:r w:rsidRPr="00343E12">
        <w:rPr>
          <w:rFonts w:ascii="Verdana" w:eastAsia="Calibri" w:hAnsi="Verdana" w:cs="Arial"/>
        </w:rPr>
        <w:t>. En esta medida, introduce limitaciones para realizar nombramientos, postulaciones, contrataciones o cualquier otro tipo de actividad que implique destinación de recursos públicos bajo el devenir propio de las entidades estatales.</w:t>
      </w:r>
    </w:p>
    <w:p w14:paraId="6E17383D" w14:textId="77777777" w:rsidR="00167243" w:rsidRPr="00343E12" w:rsidRDefault="00167243" w:rsidP="00661481">
      <w:pPr>
        <w:tabs>
          <w:tab w:val="left" w:pos="142"/>
          <w:tab w:val="left" w:pos="284"/>
        </w:tabs>
        <w:spacing w:after="120" w:line="276" w:lineRule="auto"/>
        <w:ind w:firstLine="709"/>
        <w:jc w:val="both"/>
        <w:rPr>
          <w:rFonts w:ascii="Verdana" w:eastAsia="Calibri" w:hAnsi="Verdana" w:cs="Arial"/>
        </w:rPr>
      </w:pPr>
      <w:r w:rsidRPr="00343E12">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BD55B9F" w14:textId="77777777" w:rsidR="00167243" w:rsidRPr="00F53072" w:rsidRDefault="00167243" w:rsidP="00167243">
      <w:pPr>
        <w:spacing w:after="0" w:line="240" w:lineRule="auto"/>
        <w:ind w:left="709" w:right="709"/>
        <w:contextualSpacing/>
        <w:jc w:val="both"/>
        <w:rPr>
          <w:rFonts w:ascii="Verdana" w:eastAsia="Times New Roman" w:hAnsi="Verdana" w:cs="Arial"/>
          <w:sz w:val="21"/>
          <w:szCs w:val="21"/>
          <w:lang w:val="es-MX" w:eastAsia="es-CO"/>
        </w:rPr>
      </w:pPr>
      <w:r w:rsidRPr="00F53072">
        <w:rPr>
          <w:rFonts w:ascii="Verdana" w:eastAsia="Times New Roman" w:hAnsi="Verdana" w:cs="Arial"/>
          <w:sz w:val="21"/>
          <w:szCs w:val="21"/>
          <w:lang w:val="es-ES" w:eastAsia="es-CO"/>
        </w:rPr>
        <w:t xml:space="preserve">“[…] </w:t>
      </w:r>
      <w:r w:rsidRPr="00F53072">
        <w:rPr>
          <w:rFonts w:ascii="Verdana" w:eastAsia="Times New Roman" w:hAnsi="Verdana" w:cs="Arial"/>
          <w:sz w:val="21"/>
          <w:szCs w:val="21"/>
          <w:lang w:val="es-MX" w:eastAsia="es-CO"/>
        </w:rPr>
        <w:t>la definición de reglas claras que permitan acceder a los canales de expresión democrática de manera efectiva e igualitaria. El objetivo de una ley de garantías es definir esas reglas.</w:t>
      </w:r>
    </w:p>
    <w:p w14:paraId="1328A620" w14:textId="77777777" w:rsidR="00167243" w:rsidRPr="00F53072" w:rsidRDefault="00167243" w:rsidP="00167243">
      <w:pPr>
        <w:spacing w:after="0" w:line="240" w:lineRule="auto"/>
        <w:ind w:left="709" w:right="709"/>
        <w:contextualSpacing/>
        <w:jc w:val="both"/>
        <w:rPr>
          <w:rFonts w:ascii="Verdana" w:eastAsia="Times New Roman" w:hAnsi="Verdana" w:cs="Arial"/>
          <w:sz w:val="21"/>
          <w:szCs w:val="21"/>
          <w:lang w:val="es-MX" w:eastAsia="es-CO"/>
        </w:rPr>
      </w:pPr>
    </w:p>
    <w:p w14:paraId="1979D86B" w14:textId="77777777" w:rsidR="00167243" w:rsidRPr="00F53072" w:rsidRDefault="00167243" w:rsidP="00167243">
      <w:pPr>
        <w:spacing w:after="0" w:line="240" w:lineRule="auto"/>
        <w:ind w:left="709" w:right="709"/>
        <w:contextualSpacing/>
        <w:jc w:val="both"/>
        <w:rPr>
          <w:rFonts w:ascii="Verdana" w:eastAsia="Times New Roman" w:hAnsi="Verdana" w:cs="Arial"/>
          <w:sz w:val="21"/>
          <w:szCs w:val="21"/>
          <w:lang w:val="es-MX" w:eastAsia="es-CO"/>
        </w:rPr>
      </w:pPr>
      <w:r w:rsidRPr="00F53072">
        <w:rPr>
          <w:rFonts w:ascii="Verdana" w:eastAsia="Times New Roman" w:hAnsi="Verdana" w:cs="Arial"/>
          <w:sz w:val="21"/>
          <w:szCs w:val="21"/>
          <w:lang w:val="es-MX" w:eastAsia="es-CO"/>
        </w:rPr>
        <w:t xml:space="preserve">[…] </w:t>
      </w:r>
    </w:p>
    <w:p w14:paraId="72703C96" w14:textId="77777777" w:rsidR="00167243" w:rsidRPr="00F53072" w:rsidRDefault="00167243" w:rsidP="00167243">
      <w:pPr>
        <w:spacing w:after="0" w:line="240" w:lineRule="auto"/>
        <w:ind w:left="709" w:right="709"/>
        <w:contextualSpacing/>
        <w:jc w:val="both"/>
        <w:rPr>
          <w:rFonts w:ascii="Verdana" w:eastAsia="Times New Roman" w:hAnsi="Verdana" w:cs="Arial"/>
          <w:sz w:val="21"/>
          <w:szCs w:val="21"/>
          <w:lang w:val="es-MX" w:eastAsia="es-CO"/>
        </w:rPr>
      </w:pPr>
    </w:p>
    <w:p w14:paraId="56D13DC7" w14:textId="77777777" w:rsidR="00167243" w:rsidRPr="00F53072" w:rsidRDefault="00167243" w:rsidP="00167243">
      <w:pPr>
        <w:spacing w:after="0" w:line="240" w:lineRule="auto"/>
        <w:ind w:left="709" w:right="709"/>
        <w:contextualSpacing/>
        <w:jc w:val="both"/>
        <w:rPr>
          <w:rFonts w:ascii="Verdana" w:eastAsia="Times New Roman" w:hAnsi="Verdana" w:cs="Arial"/>
          <w:sz w:val="21"/>
          <w:szCs w:val="21"/>
          <w:lang w:val="es-MX" w:eastAsia="es-CO"/>
        </w:rPr>
      </w:pPr>
      <w:r w:rsidRPr="00F53072">
        <w:rPr>
          <w:rFonts w:ascii="Verdana" w:eastAsia="Times New Roman" w:hAnsi="Verdana" w:cs="Arial"/>
          <w:sz w:val="21"/>
          <w:szCs w:val="21"/>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53072">
        <w:rPr>
          <w:rFonts w:ascii="Verdana" w:eastAsia="Calibri" w:hAnsi="Verdana" w:cs="Arial"/>
          <w:sz w:val="21"/>
          <w:szCs w:val="21"/>
          <w:vertAlign w:val="superscript"/>
          <w:lang w:val="es-MX"/>
        </w:rPr>
        <w:footnoteReference w:id="3"/>
      </w:r>
      <w:r w:rsidRPr="00F53072">
        <w:rPr>
          <w:rFonts w:ascii="Verdana" w:eastAsia="Times New Roman" w:hAnsi="Verdana" w:cs="Arial"/>
          <w:sz w:val="21"/>
          <w:szCs w:val="21"/>
          <w:lang w:val="es-MX" w:eastAsia="es-CO"/>
        </w:rPr>
        <w:t>.</w:t>
      </w:r>
    </w:p>
    <w:p w14:paraId="343BDBBA" w14:textId="77777777" w:rsidR="00167243" w:rsidRPr="00343E12" w:rsidRDefault="00167243" w:rsidP="00167243">
      <w:pPr>
        <w:spacing w:after="0" w:line="240" w:lineRule="auto"/>
        <w:ind w:firstLine="709"/>
        <w:jc w:val="both"/>
        <w:rPr>
          <w:rFonts w:ascii="Verdana" w:eastAsia="Times New Roman" w:hAnsi="Verdana" w:cs="Arial"/>
          <w:lang w:val="es-MX" w:eastAsia="es-CO"/>
        </w:rPr>
      </w:pPr>
    </w:p>
    <w:p w14:paraId="77693FA4" w14:textId="77777777" w:rsidR="00167243" w:rsidRDefault="00167243" w:rsidP="00661481">
      <w:pPr>
        <w:spacing w:after="120" w:line="276" w:lineRule="auto"/>
        <w:ind w:firstLine="709"/>
        <w:jc w:val="both"/>
        <w:rPr>
          <w:rFonts w:ascii="Verdana" w:eastAsia="Times New Roman" w:hAnsi="Verdana" w:cs="Arial"/>
          <w:lang w:val="es-MX" w:eastAsia="es-CO"/>
        </w:rPr>
      </w:pPr>
      <w:r w:rsidRPr="00F53072">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59C65D26" w14:textId="77777777" w:rsidR="00F53072" w:rsidRPr="00F53072" w:rsidRDefault="00F53072" w:rsidP="00306861">
      <w:pPr>
        <w:spacing w:after="0" w:line="276" w:lineRule="auto"/>
        <w:ind w:firstLine="709"/>
        <w:jc w:val="both"/>
        <w:rPr>
          <w:rFonts w:ascii="Verdana" w:eastAsia="Times New Roman" w:hAnsi="Verdana" w:cs="Arial"/>
          <w:lang w:val="es-MX" w:eastAsia="es-CO"/>
        </w:rPr>
      </w:pPr>
    </w:p>
    <w:p w14:paraId="1BBB64F3" w14:textId="77777777" w:rsidR="00167243" w:rsidRPr="00F53072" w:rsidRDefault="00167243" w:rsidP="00167243">
      <w:pPr>
        <w:spacing w:after="0" w:line="240" w:lineRule="auto"/>
        <w:ind w:left="709" w:right="709"/>
        <w:contextualSpacing/>
        <w:jc w:val="both"/>
        <w:rPr>
          <w:rFonts w:ascii="Verdana" w:eastAsia="Times New Roman" w:hAnsi="Verdana" w:cs="Arial"/>
          <w:sz w:val="21"/>
          <w:szCs w:val="21"/>
          <w:lang w:val="es-MX" w:eastAsia="es-CO"/>
        </w:rPr>
      </w:pPr>
      <w:r w:rsidRPr="00F53072">
        <w:rPr>
          <w:rFonts w:ascii="Verdana" w:eastAsia="Times New Roman" w:hAnsi="Verdana" w:cs="Arial"/>
          <w:sz w:val="21"/>
          <w:szCs w:val="21"/>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F1C872E" w14:textId="77777777" w:rsidR="00167243" w:rsidRPr="00F53072" w:rsidRDefault="00167243" w:rsidP="00167243">
      <w:pPr>
        <w:spacing w:after="0" w:line="240" w:lineRule="auto"/>
        <w:ind w:right="709"/>
        <w:contextualSpacing/>
        <w:jc w:val="both"/>
        <w:rPr>
          <w:rFonts w:ascii="Verdana" w:eastAsia="Times New Roman" w:hAnsi="Verdana" w:cs="Arial"/>
          <w:sz w:val="21"/>
          <w:szCs w:val="21"/>
          <w:lang w:val="es-MX" w:eastAsia="es-CO"/>
        </w:rPr>
      </w:pPr>
    </w:p>
    <w:p w14:paraId="047AE5CD" w14:textId="77777777" w:rsidR="00167243" w:rsidRPr="00F53072" w:rsidRDefault="00167243" w:rsidP="00167243">
      <w:pPr>
        <w:spacing w:after="0" w:line="240" w:lineRule="auto"/>
        <w:ind w:left="709" w:right="709"/>
        <w:contextualSpacing/>
        <w:jc w:val="both"/>
        <w:rPr>
          <w:rFonts w:ascii="Verdana" w:eastAsia="Times New Roman" w:hAnsi="Verdana" w:cs="Arial"/>
          <w:sz w:val="21"/>
          <w:szCs w:val="21"/>
          <w:lang w:val="es-MX" w:eastAsia="es-CO"/>
        </w:rPr>
      </w:pPr>
      <w:r w:rsidRPr="00F53072">
        <w:rPr>
          <w:rFonts w:ascii="Verdana" w:eastAsia="Times New Roman" w:hAnsi="Verdana" w:cs="Arial"/>
          <w:sz w:val="21"/>
          <w:szCs w:val="21"/>
          <w:lang w:val="es-MX" w:eastAsia="es-CO"/>
        </w:rPr>
        <w:t>La jurisprudencia de la Corte Constitucional</w:t>
      </w:r>
      <w:r w:rsidRPr="00F53072">
        <w:rPr>
          <w:rFonts w:ascii="Verdana" w:eastAsia="Times New Roman" w:hAnsi="Verdana" w:cs="Arial"/>
          <w:sz w:val="21"/>
          <w:szCs w:val="21"/>
          <w:vertAlign w:val="superscript"/>
          <w:lang w:val="es-MX" w:eastAsia="es-CO"/>
        </w:rPr>
        <w:footnoteReference w:id="4"/>
      </w:r>
      <w:r w:rsidRPr="00F53072">
        <w:rPr>
          <w:rFonts w:ascii="Verdana" w:eastAsia="Times New Roman" w:hAnsi="Verdana" w:cs="Arial"/>
          <w:sz w:val="21"/>
          <w:szCs w:val="21"/>
          <w:lang w:val="es-MX" w:eastAsia="es-CO"/>
        </w:rPr>
        <w:t> y del Consejo de Estado</w:t>
      </w:r>
      <w:r w:rsidRPr="00F53072">
        <w:rPr>
          <w:rFonts w:ascii="Verdana" w:eastAsia="Times New Roman" w:hAnsi="Verdana" w:cs="Arial"/>
          <w:sz w:val="21"/>
          <w:szCs w:val="21"/>
          <w:vertAlign w:val="superscript"/>
          <w:lang w:val="es-MX" w:eastAsia="es-CO"/>
        </w:rPr>
        <w:footnoteReference w:id="5"/>
      </w:r>
      <w:r w:rsidRPr="00F53072">
        <w:rPr>
          <w:rFonts w:ascii="Verdana" w:eastAsia="Times New Roman" w:hAnsi="Verdana" w:cs="Arial"/>
          <w:sz w:val="21"/>
          <w:szCs w:val="21"/>
          <w:lang w:val="es-MX" w:eastAsia="es-CO"/>
        </w:rPr>
        <w:t xml:space="preserve">, coinciden en que las normas que establecen prohibiciones deben estar </w:t>
      </w:r>
      <w:r w:rsidRPr="00F53072">
        <w:rPr>
          <w:rFonts w:ascii="Verdana" w:eastAsia="Times New Roman" w:hAnsi="Verdana" w:cs="Arial"/>
          <w:sz w:val="21"/>
          <w:szCs w:val="21"/>
          <w:lang w:val="es-MX" w:eastAsia="es-CO"/>
        </w:rPr>
        <w:lastRenderedPageBreak/>
        <w:t>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53072">
        <w:rPr>
          <w:rFonts w:ascii="Verdana" w:eastAsia="Times New Roman" w:hAnsi="Verdana" w:cs="Arial"/>
          <w:sz w:val="21"/>
          <w:szCs w:val="21"/>
          <w:vertAlign w:val="superscript"/>
          <w:lang w:val="es-MX" w:eastAsia="es-CO"/>
        </w:rPr>
        <w:footnoteReference w:id="6"/>
      </w:r>
      <w:r w:rsidRPr="00F53072">
        <w:rPr>
          <w:rFonts w:ascii="Verdana" w:eastAsia="Times New Roman" w:hAnsi="Verdana" w:cs="Arial"/>
          <w:sz w:val="21"/>
          <w:szCs w:val="21"/>
          <w:lang w:val="es-MX" w:eastAsia="es-CO"/>
        </w:rPr>
        <w:t>.</w:t>
      </w:r>
    </w:p>
    <w:p w14:paraId="79CEA723" w14:textId="77777777" w:rsidR="00167243" w:rsidRPr="00343E12" w:rsidRDefault="00167243" w:rsidP="00167243">
      <w:pPr>
        <w:spacing w:after="0" w:line="276" w:lineRule="auto"/>
        <w:jc w:val="both"/>
        <w:rPr>
          <w:rFonts w:ascii="Verdana" w:eastAsia="Calibri" w:hAnsi="Verdana" w:cs="Arial"/>
          <w:bCs/>
          <w:lang w:val="es-ES_tradnl"/>
        </w:rPr>
      </w:pPr>
    </w:p>
    <w:p w14:paraId="2D5EBB9A" w14:textId="77777777" w:rsidR="00F3517D" w:rsidRDefault="00167243" w:rsidP="00661481">
      <w:pPr>
        <w:spacing w:after="120" w:line="276" w:lineRule="auto"/>
        <w:ind w:firstLine="709"/>
        <w:jc w:val="both"/>
        <w:rPr>
          <w:rFonts w:ascii="Verdana" w:eastAsia="Arial" w:hAnsi="Verdana" w:cs="Arial"/>
          <w:lang w:val="es-ES" w:eastAsia="es-ES" w:bidi="es-ES"/>
        </w:rPr>
      </w:pPr>
      <w:r w:rsidRPr="00343E12">
        <w:rPr>
          <w:rFonts w:ascii="Verdana" w:eastAsia="Times New Roman" w:hAnsi="Verdana" w:cs="Arial"/>
          <w:lang w:val="es-MX" w:eastAsia="es-CO"/>
        </w:rPr>
        <w:t>De</w:t>
      </w:r>
      <w:r w:rsidRPr="00343E12">
        <w:rPr>
          <w:rFonts w:ascii="Verdana" w:eastAsia="Arial" w:hAnsi="Verdana" w:cs="Arial"/>
          <w:lang w:val="es-ES" w:eastAsia="es-ES" w:bidi="es-ES"/>
        </w:rPr>
        <w:t xml:space="preserve"> conformidad con lo anterior, </w:t>
      </w:r>
      <w:bookmarkStart w:id="3" w:name="_Hlk77236098"/>
      <w:bookmarkStart w:id="4" w:name="_Hlk100679383"/>
      <w:r w:rsidRPr="00343E12">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31C75C6" w14:textId="77777777" w:rsidR="00F3517D" w:rsidRDefault="00167243" w:rsidP="00661481">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6C408579" w14:textId="77777777" w:rsidR="00F3517D" w:rsidRDefault="00167243" w:rsidP="00661481">
      <w:pPr>
        <w:spacing w:after="120" w:line="276" w:lineRule="auto"/>
        <w:ind w:firstLine="709"/>
        <w:jc w:val="both"/>
        <w:rPr>
          <w:rFonts w:ascii="Verdana" w:eastAsia="Arial" w:hAnsi="Verdana" w:cs="Arial"/>
          <w:lang w:val="es-ES" w:eastAsia="es-ES" w:bidi="es-ES"/>
        </w:rPr>
      </w:pPr>
      <w:r w:rsidRPr="00343E12">
        <w:rPr>
          <w:rFonts w:ascii="Verdana" w:eastAsia="Calibri" w:hAnsi="Verdana" w:cs="Arial"/>
        </w:rPr>
        <w:t xml:space="preserve">Por un lado, el </w:t>
      </w:r>
      <w:r w:rsidRPr="00343E12">
        <w:rPr>
          <w:rFonts w:ascii="Verdana" w:eastAsia="Calibri" w:hAnsi="Verdana" w:cs="Arial"/>
          <w:i/>
          <w:iCs/>
        </w:rPr>
        <w:t>artículo 33 de la Ley 996 de 2005</w:t>
      </w:r>
      <w:r w:rsidRPr="00343E12">
        <w:rPr>
          <w:rFonts w:ascii="Verdana" w:eastAsia="Calibri" w:hAnsi="Verdana" w:cs="Arial"/>
        </w:rPr>
        <w:t xml:space="preserve"> prohíbe “(…) la contratación directa por parte de todos los entes del Estado (…)”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r w:rsidRPr="00343E12">
        <w:rPr>
          <w:rFonts w:ascii="Verdana" w:eastAsia="Calibri" w:hAnsi="Verdana" w:cs="Arial"/>
          <w:vertAlign w:val="superscript"/>
        </w:rPr>
        <w:footnoteReference w:id="7"/>
      </w:r>
      <w:r w:rsidRPr="00343E12">
        <w:rPr>
          <w:rFonts w:ascii="Verdana" w:eastAsia="Calibri" w:hAnsi="Verdana" w:cs="Arial"/>
        </w:rPr>
        <w:t>.</w:t>
      </w:r>
    </w:p>
    <w:p w14:paraId="3A01A165" w14:textId="305C9EB0" w:rsidR="00167243" w:rsidRPr="00343E12" w:rsidRDefault="00167243" w:rsidP="00661481">
      <w:pPr>
        <w:spacing w:after="120" w:line="276" w:lineRule="auto"/>
        <w:ind w:firstLine="709"/>
        <w:jc w:val="both"/>
        <w:rPr>
          <w:rFonts w:ascii="Verdana" w:eastAsia="Arial" w:hAnsi="Verdana" w:cs="Arial"/>
          <w:lang w:val="es-ES" w:eastAsia="es-ES" w:bidi="es-ES"/>
        </w:rPr>
      </w:pPr>
      <w:r w:rsidRPr="00343E12">
        <w:rPr>
          <w:rFonts w:ascii="Verdana" w:eastAsia="Calibri" w:hAnsi="Verdana" w:cs="Arial"/>
        </w:rPr>
        <w:lastRenderedPageBreak/>
        <w:t xml:space="preserve">Por otro lado, </w:t>
      </w:r>
      <w:r w:rsidRPr="00343E12">
        <w:rPr>
          <w:rFonts w:ascii="Verdana" w:eastAsia="Calibri" w:hAnsi="Verdana" w:cs="Arial"/>
          <w:i/>
          <w:iCs/>
        </w:rPr>
        <w:t>el parágrafo del artículo 38 de la Ley 996 de 2005</w:t>
      </w:r>
      <w:r w:rsidRPr="00343E12">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343E12">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r w:rsidRPr="00343E12">
        <w:rPr>
          <w:rFonts w:ascii="Verdana" w:eastAsia="Calibri" w:hAnsi="Verdana" w:cs="Arial"/>
        </w:rPr>
        <w:t>”</w:t>
      </w:r>
      <w:bookmarkEnd w:id="4"/>
      <w:r w:rsidRPr="00343E12">
        <w:rPr>
          <w:rFonts w:ascii="Verdana" w:eastAsia="Calibri" w:hAnsi="Verdana" w:cs="Arial"/>
          <w:vertAlign w:val="superscript"/>
        </w:rPr>
        <w:footnoteReference w:id="8"/>
      </w:r>
      <w:r w:rsidRPr="00343E12">
        <w:rPr>
          <w:rFonts w:ascii="Verdana" w:eastAsia="Calibri" w:hAnsi="Verdana" w:cs="Arial"/>
          <w:lang w:val="es-MX"/>
        </w:rPr>
        <w:t>.</w:t>
      </w:r>
      <w:r w:rsidRPr="00343E12">
        <w:rPr>
          <w:rFonts w:ascii="Verdana" w:eastAsia="Arial" w:hAnsi="Verdana" w:cs="Arial"/>
          <w:lang w:val="es-ES" w:eastAsia="es-ES" w:bidi="es-ES"/>
        </w:rPr>
        <w:t xml:space="preserve"> </w:t>
      </w:r>
    </w:p>
    <w:p w14:paraId="6B9963A6" w14:textId="77777777" w:rsidR="00167243" w:rsidRPr="00343E12" w:rsidRDefault="00167243" w:rsidP="00661481">
      <w:pPr>
        <w:widowControl w:val="0"/>
        <w:autoSpaceDE w:val="0"/>
        <w:autoSpaceDN w:val="0"/>
        <w:spacing w:after="120" w:line="276" w:lineRule="auto"/>
        <w:ind w:firstLine="709"/>
        <w:contextualSpacing/>
        <w:jc w:val="both"/>
        <w:rPr>
          <w:rFonts w:ascii="Verdana" w:eastAsia="Arial" w:hAnsi="Verdana" w:cs="Arial"/>
          <w:lang w:val="es-ES" w:eastAsia="es-ES" w:bidi="es-ES"/>
        </w:rPr>
      </w:pPr>
      <w:r w:rsidRPr="00343E1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7690CDD7" w14:textId="77777777" w:rsidR="00167243" w:rsidRPr="00343E12" w:rsidRDefault="00167243" w:rsidP="0016724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C3598BC" w14:textId="77777777" w:rsidR="00167243" w:rsidRPr="00F53072" w:rsidRDefault="00167243" w:rsidP="00F53072">
      <w:pPr>
        <w:widowControl w:val="0"/>
        <w:autoSpaceDE w:val="0"/>
        <w:autoSpaceDN w:val="0"/>
        <w:spacing w:after="0" w:line="240" w:lineRule="auto"/>
        <w:ind w:left="709" w:right="709"/>
        <w:jc w:val="both"/>
        <w:rPr>
          <w:rFonts w:ascii="Verdana" w:eastAsia="Arial" w:hAnsi="Verdana" w:cs="Arial"/>
          <w:sz w:val="21"/>
          <w:szCs w:val="21"/>
          <w:lang w:eastAsia="es-ES" w:bidi="es-ES"/>
        </w:rPr>
      </w:pPr>
      <w:r w:rsidRPr="00F53072">
        <w:rPr>
          <w:rFonts w:ascii="Verdana" w:eastAsia="Arial" w:hAnsi="Verdana" w:cs="Arial"/>
          <w:sz w:val="21"/>
          <w:szCs w:val="21"/>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53072">
        <w:rPr>
          <w:rFonts w:ascii="Verdana" w:eastAsia="Arial" w:hAnsi="Verdana" w:cs="Arial"/>
          <w:sz w:val="21"/>
          <w:szCs w:val="21"/>
          <w:lang w:eastAsia="es-ES" w:bidi="es-ES"/>
        </w:rPr>
        <w:t>Presidente</w:t>
      </w:r>
      <w:proofErr w:type="gramEnd"/>
      <w:r w:rsidRPr="00F53072">
        <w:rPr>
          <w:rFonts w:ascii="Verdana" w:eastAsia="Arial" w:hAnsi="Verdana" w:cs="Arial"/>
          <w:sz w:val="21"/>
          <w:szCs w:val="21"/>
          <w:lang w:eastAsia="es-ES" w:bidi="es-ES"/>
        </w:rPr>
        <w:t xml:space="preserve"> de la República, a las autoridades territoriales allí mencionadas sólo se aplican las restricciones contenidas en el parágrafo del artículo 38”</w:t>
      </w:r>
      <w:r w:rsidRPr="00F53072">
        <w:rPr>
          <w:rFonts w:ascii="Verdana" w:eastAsia="Arial" w:hAnsi="Verdana" w:cs="Arial"/>
          <w:sz w:val="21"/>
          <w:szCs w:val="21"/>
          <w:vertAlign w:val="superscript"/>
          <w:lang w:eastAsia="es-ES" w:bidi="es-ES"/>
        </w:rPr>
        <w:footnoteReference w:id="9"/>
      </w:r>
      <w:r w:rsidRPr="00F53072">
        <w:rPr>
          <w:rFonts w:ascii="Verdana" w:eastAsia="Arial" w:hAnsi="Verdana" w:cs="Arial"/>
          <w:sz w:val="21"/>
          <w:szCs w:val="21"/>
          <w:lang w:eastAsia="es-ES" w:bidi="es-ES"/>
        </w:rPr>
        <w:t>.</w:t>
      </w:r>
    </w:p>
    <w:p w14:paraId="1F311FDE" w14:textId="77777777" w:rsidR="00167243" w:rsidRPr="00343E12" w:rsidRDefault="00167243" w:rsidP="00167243">
      <w:pPr>
        <w:widowControl w:val="0"/>
        <w:autoSpaceDE w:val="0"/>
        <w:autoSpaceDN w:val="0"/>
        <w:spacing w:after="0" w:line="240" w:lineRule="auto"/>
        <w:contextualSpacing/>
        <w:rPr>
          <w:rFonts w:ascii="Verdana" w:eastAsia="Arial" w:hAnsi="Verdana" w:cs="Arial"/>
          <w:lang w:val="es-ES" w:eastAsia="es-ES" w:bidi="es-ES"/>
        </w:rPr>
      </w:pPr>
    </w:p>
    <w:p w14:paraId="3AA04AA3" w14:textId="77777777" w:rsidR="00167243" w:rsidRPr="00343E12" w:rsidRDefault="00167243" w:rsidP="00661481">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lastRenderedPageBreak/>
        <w:t xml:space="preserve">De conformidad con lo anterior, la Ley 996 de 2005 establece dos (2) tipos de restricciones en materia de contratación, las cuales coinciden parcialmente. </w:t>
      </w:r>
      <w:r w:rsidRPr="00343E12">
        <w:rPr>
          <w:rFonts w:ascii="Verdana" w:eastAsia="Arial" w:hAnsi="Verdana" w:cs="Arial"/>
          <w:i/>
          <w:iCs/>
          <w:lang w:val="es-ES" w:eastAsia="es-ES" w:bidi="es-ES"/>
        </w:rPr>
        <w:t>En primer lugar</w:t>
      </w:r>
      <w:r w:rsidRPr="00343E12">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3F5747CB" w14:textId="77777777" w:rsidR="00F3517D" w:rsidRDefault="00167243" w:rsidP="00661481">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i/>
          <w:iCs/>
          <w:lang w:val="es-ES" w:eastAsia="es-ES" w:bidi="es-ES"/>
        </w:rPr>
        <w:t>En segundo lugar</w:t>
      </w:r>
      <w:r w:rsidRPr="00343E1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119385F" w14:textId="3E3982AF" w:rsidR="00167243" w:rsidRPr="00343E12" w:rsidRDefault="00167243" w:rsidP="00661481">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0F943D33" w14:textId="77777777" w:rsidR="00167243" w:rsidRPr="00343E12" w:rsidRDefault="00167243" w:rsidP="008F0091">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o el </w:t>
      </w:r>
      <w:proofErr w:type="gramStart"/>
      <w:r w:rsidRPr="00343E12">
        <w:rPr>
          <w:rFonts w:ascii="Verdana" w:eastAsia="Arial" w:hAnsi="Verdana" w:cs="Arial"/>
          <w:lang w:val="es-ES" w:eastAsia="es-ES" w:bidi="es-ES"/>
        </w:rPr>
        <w:t>Vicepresidente</w:t>
      </w:r>
      <w:proofErr w:type="gramEnd"/>
      <w:r w:rsidRPr="00343E12">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y el </w:t>
      </w:r>
      <w:proofErr w:type="gramStart"/>
      <w:r w:rsidRPr="00343E12">
        <w:rPr>
          <w:rFonts w:ascii="Verdana" w:eastAsia="Arial" w:hAnsi="Verdana" w:cs="Arial"/>
          <w:lang w:val="es-ES" w:eastAsia="es-ES" w:bidi="es-ES"/>
        </w:rPr>
        <w:t>Vicepresidente</w:t>
      </w:r>
      <w:proofErr w:type="gramEnd"/>
      <w:r w:rsidRPr="00343E12">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343E12">
        <w:rPr>
          <w:rFonts w:ascii="Verdana" w:eastAsia="Arial" w:hAnsi="Verdana" w:cs="Arial"/>
          <w:lang w:val="es-ES" w:eastAsia="es-ES" w:bidi="es-ES"/>
        </w:rPr>
        <w:t>Vicepresidente</w:t>
      </w:r>
      <w:proofErr w:type="gramEnd"/>
      <w:r w:rsidRPr="00343E12">
        <w:rPr>
          <w:rFonts w:ascii="Verdana" w:eastAsia="Arial" w:hAnsi="Verdana" w:cs="Arial"/>
          <w:lang w:val="es-ES" w:eastAsia="es-ES" w:bidi="es-ES"/>
        </w:rPr>
        <w:t xml:space="preserve"> que no haya ejercido la presidencia o que la haya ejercido por un tiempo inferior a tres (3) meses durante el respectivo cuatrienio, </w:t>
      </w:r>
      <w:r w:rsidRPr="00343E12">
        <w:rPr>
          <w:rFonts w:ascii="Verdana" w:eastAsia="Arial" w:hAnsi="Verdana" w:cs="Arial"/>
          <w:lang w:val="es-ES" w:eastAsia="es-ES" w:bidi="es-ES"/>
        </w:rPr>
        <w:lastRenderedPageBreak/>
        <w:t xml:space="preserve">en forma continua o discontinua, conforme al artículo 197 de la Constitución Política. </w:t>
      </w:r>
    </w:p>
    <w:p w14:paraId="44FC9934" w14:textId="77777777" w:rsidR="00167243" w:rsidRPr="00343E12" w:rsidRDefault="00167243" w:rsidP="008F0091">
      <w:pPr>
        <w:widowControl w:val="0"/>
        <w:spacing w:after="120" w:line="276" w:lineRule="auto"/>
        <w:ind w:right="113" w:firstLine="709"/>
        <w:jc w:val="both"/>
        <w:rPr>
          <w:rFonts w:ascii="Verdana" w:eastAsia="Times New Roman" w:hAnsi="Verdana" w:cs="Arial"/>
          <w:bCs/>
          <w:lang w:eastAsia="es-CO"/>
        </w:rPr>
      </w:pPr>
      <w:r w:rsidRPr="00343E12">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343E12">
        <w:rPr>
          <w:rFonts w:ascii="Verdana" w:eastAsia="Times New Roman" w:hAnsi="Verdana" w:cs="Arial"/>
          <w:bCs/>
          <w:lang w:eastAsia="es-CO"/>
        </w:rPr>
        <w:t>1. </w:t>
      </w:r>
      <w:r w:rsidRPr="00343E12">
        <w:rPr>
          <w:rFonts w:ascii="Verdana" w:eastAsia="Times New Roman" w:hAnsi="Verdana" w:cs="Arial"/>
          <w:bCs/>
          <w:i/>
          <w:iCs/>
          <w:lang w:eastAsia="es-CO"/>
        </w:rPr>
        <w:t>Gral.</w:t>
      </w:r>
      <w:r w:rsidRPr="00343E12">
        <w:rPr>
          <w:rFonts w:ascii="Verdana" w:eastAsia="Times New Roman" w:hAnsi="Verdana" w:cs="Arial"/>
          <w:bCs/>
          <w:lang w:eastAsia="es-CO"/>
        </w:rPr>
        <w:t xml:space="preserve"> Otorgar o firmar un contrato. 2. </w:t>
      </w:r>
      <w:proofErr w:type="spellStart"/>
      <w:r w:rsidRPr="00343E12">
        <w:rPr>
          <w:rFonts w:ascii="Verdana" w:eastAsia="Times New Roman" w:hAnsi="Verdana" w:cs="Arial"/>
          <w:bCs/>
          <w:i/>
          <w:iCs/>
          <w:lang w:eastAsia="es-CO"/>
        </w:rPr>
        <w:t>Proc</w:t>
      </w:r>
      <w:proofErr w:type="spellEnd"/>
      <w:r w:rsidRPr="00343E12">
        <w:rPr>
          <w:rFonts w:ascii="Verdana" w:eastAsia="Times New Roman" w:hAnsi="Verdana" w:cs="Arial"/>
          <w:bCs/>
          <w:i/>
          <w:iCs/>
          <w:lang w:eastAsia="es-CO"/>
        </w:rPr>
        <w:t>.</w:t>
      </w:r>
      <w:r w:rsidRPr="00343E12">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298E4B44" w14:textId="77777777" w:rsidR="00167243" w:rsidRPr="00343E12" w:rsidRDefault="00167243" w:rsidP="008F0091">
      <w:pPr>
        <w:spacing w:after="120" w:line="276" w:lineRule="auto"/>
        <w:ind w:firstLine="709"/>
        <w:jc w:val="both"/>
        <w:rPr>
          <w:rFonts w:ascii="Verdana" w:eastAsia="Times New Roman" w:hAnsi="Verdana" w:cs="Arial"/>
          <w:bCs/>
          <w:lang w:val="es-ES" w:eastAsia="es-CO"/>
        </w:rPr>
      </w:pPr>
      <w:r w:rsidRPr="00343E12">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343E12">
        <w:rPr>
          <w:rFonts w:ascii="Verdana" w:eastAsia="Times New Roman" w:hAnsi="Verdana" w:cs="Arial"/>
          <w:bCs/>
          <w:lang w:val="es-ES" w:eastAsia="es-CO"/>
        </w:rPr>
        <w:t xml:space="preserve">la existencia de los contratos estatales, es decir, la producción de efectos jurídicos en los términos del artículo 1501 </w:t>
      </w:r>
      <w:r w:rsidRPr="00343E12">
        <w:rPr>
          <w:rFonts w:ascii="Verdana" w:eastAsia="Times New Roman" w:hAnsi="Verdana" w:cs="Arial"/>
          <w:bCs/>
          <w:i/>
          <w:lang w:val="es-ES" w:eastAsia="es-CO"/>
        </w:rPr>
        <w:t>ibídem</w:t>
      </w:r>
      <w:r w:rsidRPr="00343E12">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2EA2E58" w14:textId="77777777" w:rsidR="00167243" w:rsidRPr="00343E12" w:rsidRDefault="00167243" w:rsidP="008F0091">
      <w:pPr>
        <w:spacing w:after="120" w:line="276" w:lineRule="auto"/>
        <w:ind w:firstLine="709"/>
        <w:jc w:val="both"/>
        <w:rPr>
          <w:rFonts w:ascii="Verdana" w:eastAsia="Times New Roman" w:hAnsi="Verdana" w:cs="Arial"/>
          <w:bCs/>
          <w:lang w:val="es-ES" w:eastAsia="es-CO"/>
        </w:rPr>
      </w:pPr>
      <w:r w:rsidRPr="00343E12">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9364F92" w14:textId="77777777" w:rsidR="008F0091" w:rsidRDefault="00167243" w:rsidP="00661481">
      <w:pPr>
        <w:spacing w:after="120" w:line="276" w:lineRule="auto"/>
        <w:ind w:firstLine="709"/>
        <w:jc w:val="both"/>
        <w:rPr>
          <w:rFonts w:ascii="Verdana" w:eastAsia="Times New Roman" w:hAnsi="Verdana" w:cs="Arial"/>
          <w:bCs/>
          <w:lang w:val="es-MX" w:eastAsia="es-CO"/>
        </w:rPr>
      </w:pPr>
      <w:r w:rsidRPr="00343E12">
        <w:rPr>
          <w:rFonts w:ascii="Verdana" w:eastAsia="Times New Roman" w:hAnsi="Verdana" w:cs="Arial"/>
          <w:bCs/>
          <w:lang w:val="es-ES" w:eastAsia="es-CO"/>
        </w:rPr>
        <w:t xml:space="preserve">Así mismo, </w:t>
      </w:r>
      <w:r w:rsidRPr="00343E12">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343E12">
        <w:rPr>
          <w:rFonts w:ascii="Verdana" w:eastAsia="Times New Roman" w:hAnsi="Verdana" w:cs="Arial"/>
          <w:bCs/>
          <w:lang w:val="es-MX" w:eastAsia="es-CO"/>
        </w:rPr>
        <w:t>entrada en vigencia</w:t>
      </w:r>
      <w:proofErr w:type="gramEnd"/>
      <w:r w:rsidRPr="00343E12">
        <w:rPr>
          <w:rFonts w:ascii="Verdana" w:eastAsia="Times New Roman" w:hAnsi="Verdana" w:cs="Arial"/>
          <w:bCs/>
          <w:lang w:val="es-MX" w:eastAsia="es-CO"/>
        </w:rPr>
        <w:t xml:space="preserve"> de las prohibiciones anotadas, así como la cesión de </w:t>
      </w:r>
      <w:proofErr w:type="gramStart"/>
      <w:r w:rsidRPr="00343E12">
        <w:rPr>
          <w:rFonts w:ascii="Verdana" w:eastAsia="Times New Roman" w:hAnsi="Verdana" w:cs="Arial"/>
          <w:bCs/>
          <w:lang w:val="es-MX" w:eastAsia="es-CO"/>
        </w:rPr>
        <w:t>los mismos</w:t>
      </w:r>
      <w:proofErr w:type="gramEnd"/>
      <w:r w:rsidRPr="00343E12">
        <w:rPr>
          <w:rFonts w:ascii="Verdana" w:eastAsia="Times New Roman" w:hAnsi="Verdana" w:cs="Arial"/>
          <w:bCs/>
          <w:lang w:val="es-MX" w:eastAsia="es-CO"/>
        </w:rPr>
        <w:t xml:space="preserve">, pueden tener lugar en el período de aplicación de la Ley de Garantías, </w:t>
      </w:r>
      <w:r w:rsidRPr="00343E12">
        <w:rPr>
          <w:rFonts w:ascii="Verdana" w:eastAsia="Times New Roman" w:hAnsi="Verdana" w:cs="Arial"/>
          <w:bCs/>
          <w:lang w:val="es-MX" w:eastAsia="es-CO"/>
        </w:rPr>
        <w:lastRenderedPageBreak/>
        <w:t>sin que ello haga nugatoria la restricción de la contratación directa y siempre que cumplan los principios de planeación, transparencia y responsabilidad</w:t>
      </w:r>
      <w:r w:rsidRPr="00343E12">
        <w:rPr>
          <w:rFonts w:ascii="Verdana" w:eastAsia="Times New Roman" w:hAnsi="Verdana" w:cs="Arial"/>
          <w:bCs/>
          <w:vertAlign w:val="superscript"/>
          <w:lang w:val="es-MX" w:eastAsia="es-CO"/>
        </w:rPr>
        <w:footnoteReference w:id="10"/>
      </w:r>
      <w:r w:rsidRPr="00343E12">
        <w:rPr>
          <w:rFonts w:ascii="Verdana" w:eastAsia="Times New Roman" w:hAnsi="Verdana" w:cs="Arial"/>
          <w:bCs/>
          <w:lang w:val="es-MX" w:eastAsia="es-CO"/>
        </w:rPr>
        <w:t xml:space="preserve">. </w:t>
      </w:r>
    </w:p>
    <w:p w14:paraId="729089DC" w14:textId="0479A186" w:rsidR="00167243" w:rsidRPr="008F0091" w:rsidRDefault="00167243" w:rsidP="00661481">
      <w:pPr>
        <w:spacing w:after="120" w:line="276" w:lineRule="auto"/>
        <w:ind w:firstLine="709"/>
        <w:jc w:val="both"/>
        <w:rPr>
          <w:rFonts w:ascii="Verdana" w:eastAsia="Times New Roman" w:hAnsi="Verdana" w:cs="Arial"/>
          <w:bCs/>
          <w:lang w:val="es-ES" w:eastAsia="es-CO"/>
        </w:rPr>
      </w:pPr>
      <w:r w:rsidRPr="00343E12">
        <w:rPr>
          <w:rFonts w:ascii="Verdana" w:eastAsia="Arial" w:hAnsi="Verdana" w:cs="Arial"/>
          <w:lang w:val="es-ES" w:eastAsia="es-ES" w:bidi="es-ES"/>
        </w:rPr>
        <w:t xml:space="preserve">Ahora bien, </w:t>
      </w:r>
      <w:r w:rsidRPr="00343E12">
        <w:rPr>
          <w:rFonts w:ascii="Verdana" w:eastAsia="Calibri" w:hAnsi="Verdana" w:cs="Arial"/>
          <w:lang w:eastAsia="es-ES" w:bidi="es-ES"/>
        </w:rPr>
        <w:t xml:space="preserve">para responder al problema jurídico planteado resulta necesario precisar el alcance de la prohibición </w:t>
      </w:r>
      <w:r w:rsidRPr="00343E12">
        <w:rPr>
          <w:rFonts w:ascii="Verdana" w:eastAsia="Arial" w:hAnsi="Verdana" w:cs="Arial"/>
          <w:lang w:val="es-ES" w:eastAsia="es-ES" w:bidi="es-ES"/>
        </w:rPr>
        <w:t>establecida en e</w:t>
      </w:r>
      <w:r w:rsidRPr="00343E12">
        <w:rPr>
          <w:rFonts w:ascii="Verdana" w:eastAsia="Calibri" w:hAnsi="Verdana" w:cs="Arial"/>
        </w:rPr>
        <w:t xml:space="preserve">l </w:t>
      </w:r>
      <w:r w:rsidRPr="00343E12">
        <w:rPr>
          <w:rFonts w:ascii="Verdana" w:eastAsia="Times New Roman" w:hAnsi="Verdana" w:cs="Arial"/>
          <w:lang w:val="es-MX"/>
        </w:rPr>
        <w:t xml:space="preserve">artículo 33 de la Ley 996 de 2005. El ámbito material de la prohibición contenida en esta disposición está delimitado por la expresión </w:t>
      </w:r>
      <w:r w:rsidRPr="00343E12">
        <w:rPr>
          <w:rFonts w:ascii="Verdana" w:eastAsia="Calibri" w:hAnsi="Verdana" w:cs="Arial"/>
          <w:lang w:val="es-MX"/>
        </w:rPr>
        <w:t>“</w:t>
      </w:r>
      <w:r w:rsidRPr="00343E12">
        <w:rPr>
          <w:rFonts w:ascii="Verdana" w:eastAsia="Times New Roman" w:hAnsi="Verdana" w:cs="Arial"/>
          <w:lang w:val="es-MX"/>
        </w:rPr>
        <w:t>queda prohibida la contratación directa</w:t>
      </w:r>
      <w:r w:rsidRPr="00343E12">
        <w:rPr>
          <w:rFonts w:ascii="Verdana" w:eastAsia="Calibri" w:hAnsi="Verdana" w:cs="Arial"/>
          <w:lang w:val="es-MX"/>
        </w:rPr>
        <w:t>”</w:t>
      </w:r>
      <w:r w:rsidRPr="00343E12">
        <w:rPr>
          <w:rFonts w:ascii="Verdana" w:eastAsia="Times New Roman" w:hAnsi="Verdana" w:cs="Arial"/>
          <w:lang w:val="es-MX"/>
        </w:rPr>
        <w:t xml:space="preserve">. </w:t>
      </w:r>
      <w:r w:rsidRPr="00343E12">
        <w:rPr>
          <w:rFonts w:ascii="Verdana" w:eastAsia="Times New Roman" w:hAnsi="Verdana" w:cs="Arial"/>
          <w:lang w:val="es-MX" w:eastAsia="es-CO"/>
        </w:rPr>
        <w:t xml:space="preserve">A propósito de </w:t>
      </w:r>
      <w:r w:rsidRPr="00343E12">
        <w:rPr>
          <w:rFonts w:ascii="Verdana" w:eastAsia="Times New Roman" w:hAnsi="Verdana" w:cs="Arial"/>
          <w:lang w:eastAsia="es-CO"/>
        </w:rPr>
        <w:t>esta restricción de la Ley de Garantías Electorales, la Sala de Consulta y Servicio Civil del Consejo de Estado ha considerado que:</w:t>
      </w:r>
    </w:p>
    <w:p w14:paraId="2E05A2FA" w14:textId="77777777" w:rsidR="00167243" w:rsidRPr="00343E12" w:rsidRDefault="00167243" w:rsidP="00167243">
      <w:pPr>
        <w:spacing w:after="0" w:line="276" w:lineRule="auto"/>
        <w:ind w:left="708" w:right="709"/>
        <w:jc w:val="both"/>
        <w:rPr>
          <w:rFonts w:ascii="Verdana" w:eastAsia="Calibri" w:hAnsi="Verdana" w:cs="Arial"/>
          <w:lang w:val="es-MX"/>
        </w:rPr>
      </w:pPr>
    </w:p>
    <w:p w14:paraId="294A1395" w14:textId="77777777" w:rsidR="00167243" w:rsidRPr="008F0091" w:rsidRDefault="00167243" w:rsidP="00E25E93">
      <w:pPr>
        <w:spacing w:after="0" w:line="240" w:lineRule="auto"/>
        <w:ind w:left="709" w:right="709"/>
        <w:jc w:val="both"/>
        <w:rPr>
          <w:rFonts w:ascii="Verdana" w:eastAsia="Calibri" w:hAnsi="Verdana" w:cs="Arial"/>
          <w:sz w:val="21"/>
          <w:szCs w:val="21"/>
          <w:lang w:val="es-MX"/>
        </w:rPr>
      </w:pPr>
      <w:r w:rsidRPr="008F0091">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F0091">
        <w:rPr>
          <w:rFonts w:ascii="Verdana" w:eastAsia="Times New Roman" w:hAnsi="Verdana" w:cs="Arial"/>
          <w:sz w:val="21"/>
          <w:szCs w:val="21"/>
          <w:vertAlign w:val="superscript"/>
          <w:lang w:eastAsia="es-CO"/>
        </w:rPr>
        <w:footnoteReference w:id="11"/>
      </w:r>
      <w:r w:rsidRPr="008F0091">
        <w:rPr>
          <w:rFonts w:ascii="Verdana" w:eastAsia="Calibri" w:hAnsi="Verdana" w:cs="Arial"/>
          <w:sz w:val="21"/>
          <w:szCs w:val="21"/>
          <w:lang w:val="es-MX"/>
        </w:rPr>
        <w:t>.</w:t>
      </w:r>
    </w:p>
    <w:p w14:paraId="19DE0EE7" w14:textId="77777777" w:rsidR="00167243" w:rsidRPr="00343E12" w:rsidRDefault="00167243" w:rsidP="00E25E93">
      <w:pPr>
        <w:spacing w:after="0" w:line="240" w:lineRule="auto"/>
        <w:ind w:left="709" w:right="709"/>
        <w:jc w:val="both"/>
        <w:rPr>
          <w:rFonts w:ascii="Verdana" w:eastAsia="Calibri" w:hAnsi="Verdana" w:cs="Arial"/>
          <w:sz w:val="20"/>
          <w:szCs w:val="20"/>
          <w:lang w:val="es-MX"/>
        </w:rPr>
      </w:pPr>
    </w:p>
    <w:p w14:paraId="267504FA" w14:textId="74C50A44" w:rsidR="00BF51C6" w:rsidRPr="008F0091" w:rsidRDefault="00167243" w:rsidP="00E25E93">
      <w:pPr>
        <w:spacing w:after="0" w:line="240" w:lineRule="auto"/>
        <w:ind w:left="709" w:right="709"/>
        <w:jc w:val="both"/>
        <w:rPr>
          <w:rFonts w:ascii="Verdana" w:hAnsi="Verdana"/>
          <w:sz w:val="21"/>
          <w:szCs w:val="21"/>
        </w:rPr>
      </w:pPr>
      <w:r w:rsidRPr="008F0091">
        <w:rPr>
          <w:rFonts w:ascii="Verdana" w:eastAsia="Calibri" w:hAnsi="Verdana" w:cs="Arial"/>
          <w:sz w:val="21"/>
          <w:szCs w:val="21"/>
          <w:lang w:val="es-MX"/>
        </w:rPr>
        <w:t xml:space="preserve">Esta Sala ha entendido </w:t>
      </w:r>
      <w:proofErr w:type="gramStart"/>
      <w:r w:rsidRPr="008F0091">
        <w:rPr>
          <w:rFonts w:ascii="Verdana" w:eastAsia="Calibri" w:hAnsi="Verdana" w:cs="Arial"/>
          <w:sz w:val="21"/>
          <w:szCs w:val="21"/>
          <w:lang w:val="es-MX"/>
        </w:rPr>
        <w:t>que</w:t>
      </w:r>
      <w:proofErr w:type="gramEnd"/>
      <w:r w:rsidRPr="008F0091">
        <w:rPr>
          <w:rFonts w:ascii="Verdana" w:eastAsia="Calibri" w:hAnsi="Verdana" w:cs="Arial"/>
          <w:sz w:val="21"/>
          <w:szCs w:val="21"/>
          <w:lang w:val="es-MX"/>
        </w:rPr>
        <w:t xml:space="preserve"> para los efectos de la ley de garantías, y dada su finalidad, el enunciado ´contratación directa´ es sinónimo de cualquier sistema que no implique convocatoria pública</w:t>
      </w:r>
      <w:r w:rsidR="008D0527" w:rsidRPr="008F0091">
        <w:rPr>
          <w:rFonts w:ascii="Verdana" w:eastAsia="Calibri" w:hAnsi="Verdana" w:cs="Arial"/>
          <w:sz w:val="21"/>
          <w:szCs w:val="21"/>
          <w:lang w:val="es-MX"/>
        </w:rPr>
        <w:t xml:space="preserve"> y posibilidad de pluralidad de oferentes, y que, además, no necesariamente hace referencia al procedimiento especial regulado por la ley de contratación estatal, sino a cualquier otro que prescinda de un proceso de licitación pública o concurso</w:t>
      </w:r>
      <w:r w:rsidR="008D0527" w:rsidRPr="008F0091">
        <w:rPr>
          <w:rFonts w:ascii="Verdana" w:eastAsia="Times New Roman" w:hAnsi="Verdana" w:cs="Arial"/>
          <w:sz w:val="21"/>
          <w:szCs w:val="21"/>
          <w:vertAlign w:val="superscript"/>
          <w:lang w:val="es-MX"/>
        </w:rPr>
        <w:footnoteReference w:id="12"/>
      </w:r>
      <w:r w:rsidR="008D0527" w:rsidRPr="008F0091">
        <w:rPr>
          <w:rFonts w:ascii="Verdana" w:eastAsia="Times New Roman" w:hAnsi="Verdana" w:cs="Arial"/>
          <w:sz w:val="21"/>
          <w:szCs w:val="21"/>
          <w:vertAlign w:val="superscript"/>
          <w:lang w:val="es-MX"/>
        </w:rPr>
        <w:t>.</w:t>
      </w:r>
      <w:r w:rsidR="008D0527" w:rsidRPr="008F0091">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8D0527" w:rsidRPr="008F0091">
        <w:rPr>
          <w:rFonts w:ascii="Verdana" w:eastAsia="Times New Roman" w:hAnsi="Verdana" w:cs="Arial"/>
          <w:sz w:val="21"/>
          <w:szCs w:val="21"/>
          <w:vertAlign w:val="superscript"/>
          <w:lang w:eastAsia="es-CO"/>
        </w:rPr>
        <w:footnoteReference w:id="13"/>
      </w:r>
    </w:p>
    <w:p w14:paraId="02B1C0A5" w14:textId="77777777" w:rsidR="00BF51C6" w:rsidRPr="00E25E93" w:rsidRDefault="00BF51C6" w:rsidP="00E25E93">
      <w:pPr>
        <w:spacing w:after="120" w:line="276" w:lineRule="auto"/>
        <w:ind w:firstLine="709"/>
        <w:jc w:val="both"/>
        <w:rPr>
          <w:rFonts w:ascii="Verdana" w:hAnsi="Verdana"/>
        </w:rPr>
      </w:pPr>
    </w:p>
    <w:p w14:paraId="5D88280B" w14:textId="77777777" w:rsidR="0077156A" w:rsidRPr="00E25E93" w:rsidRDefault="0077156A" w:rsidP="00E25E93">
      <w:pPr>
        <w:spacing w:after="120" w:line="276" w:lineRule="auto"/>
        <w:ind w:firstLine="709"/>
        <w:jc w:val="both"/>
        <w:rPr>
          <w:rFonts w:ascii="Verdana" w:eastAsia="Times New Roman" w:hAnsi="Verdana" w:cs="Arial"/>
          <w:bCs/>
          <w:lang w:eastAsia="x-none"/>
        </w:rPr>
      </w:pPr>
      <w:r w:rsidRPr="00E25E93">
        <w:rPr>
          <w:rFonts w:ascii="Verdana" w:eastAsia="Times New Roman" w:hAnsi="Verdana" w:cs="Arial"/>
          <w:lang w:eastAsia="x-none"/>
        </w:rPr>
        <w:t xml:space="preserve">De acuerdo con el citado concepto, la prohibición del artículo 33 de la Ley de Garantías Electorales se refiere a </w:t>
      </w:r>
      <w:r w:rsidRPr="00E25E93">
        <w:rPr>
          <w:rFonts w:ascii="Verdana" w:eastAsia="Times New Roman" w:hAnsi="Verdana" w:cs="Arial"/>
          <w:lang w:eastAsia="en-GB"/>
        </w:rPr>
        <w:t>“</w:t>
      </w:r>
      <w:r w:rsidRPr="00E25E93">
        <w:rPr>
          <w:rFonts w:ascii="Verdana" w:eastAsia="Times New Roman" w:hAnsi="Verdana" w:cs="Arial"/>
          <w:lang w:eastAsia="x-none"/>
        </w:rPr>
        <w:t xml:space="preserve">cualquier sistema que no implique </w:t>
      </w:r>
      <w:r w:rsidRPr="00E25E93">
        <w:rPr>
          <w:rFonts w:ascii="Verdana" w:eastAsia="Times New Roman" w:hAnsi="Verdana" w:cs="Arial"/>
          <w:lang w:eastAsia="x-none"/>
        </w:rPr>
        <w:lastRenderedPageBreak/>
        <w:t>convocatoria pública y posibilidad de pluralidad de oferentes</w:t>
      </w:r>
      <w:r w:rsidRPr="00E25E93">
        <w:rPr>
          <w:rFonts w:ascii="Verdana" w:eastAsia="Times New Roman" w:hAnsi="Verdana" w:cs="Arial"/>
          <w:lang w:eastAsia="en-GB"/>
        </w:rPr>
        <w:t>”</w:t>
      </w:r>
      <w:r w:rsidRPr="00E25E93">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E25E93">
        <w:rPr>
          <w:rFonts w:ascii="Verdana" w:eastAsia="Times New Roman" w:hAnsi="Verdana" w:cs="Arial"/>
          <w:lang w:val="es-ES_tradnl" w:eastAsia="x-none"/>
        </w:rPr>
        <w:t>y la mínima cuantía</w:t>
      </w:r>
      <w:r w:rsidRPr="00E25E93" w:rsidDel="00A85D9F">
        <w:rPr>
          <w:rFonts w:ascii="Verdana" w:eastAsia="Times New Roman" w:hAnsi="Verdana" w:cs="Arial"/>
          <w:lang w:eastAsia="x-none"/>
        </w:rPr>
        <w:t xml:space="preserve"> </w:t>
      </w:r>
      <w:r w:rsidRPr="00E25E93">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E25E93">
        <w:rPr>
          <w:rFonts w:ascii="Verdana" w:eastAsia="Times New Roman" w:hAnsi="Verdana" w:cs="Arial"/>
          <w:vertAlign w:val="superscript"/>
          <w:lang w:val="en-GB" w:eastAsia="x-none"/>
        </w:rPr>
        <w:footnoteReference w:id="14"/>
      </w:r>
      <w:r w:rsidRPr="00E25E93">
        <w:rPr>
          <w:rFonts w:ascii="Verdana" w:eastAsia="Times New Roman" w:hAnsi="Verdana" w:cs="Arial"/>
          <w:lang w:eastAsia="x-none"/>
        </w:rPr>
        <w:t xml:space="preserve"> y sistematizó las causales de contratación directa</w:t>
      </w:r>
      <w:r w:rsidRPr="00E25E93">
        <w:rPr>
          <w:rFonts w:ascii="Verdana" w:eastAsia="Times New Roman" w:hAnsi="Verdana" w:cs="Arial"/>
          <w:vertAlign w:val="superscript"/>
          <w:lang w:val="en-GB" w:eastAsia="x-none"/>
        </w:rPr>
        <w:footnoteReference w:id="15"/>
      </w:r>
      <w:r w:rsidRPr="00E25E93">
        <w:rPr>
          <w:rFonts w:ascii="Verdana" w:eastAsia="Times New Roman" w:hAnsi="Verdana" w:cs="Arial"/>
          <w:lang w:eastAsia="x-none"/>
        </w:rPr>
        <w:t xml:space="preserve">, </w:t>
      </w:r>
      <w:r w:rsidRPr="00E25E93">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4B751685" w14:textId="77777777" w:rsidR="0077156A" w:rsidRPr="00E25E93" w:rsidRDefault="0077156A" w:rsidP="00E25E93">
      <w:pPr>
        <w:spacing w:after="120" w:line="276" w:lineRule="auto"/>
        <w:ind w:firstLine="709"/>
        <w:jc w:val="both"/>
        <w:rPr>
          <w:rFonts w:ascii="Verdana" w:eastAsia="Times New Roman" w:hAnsi="Verdana" w:cs="Arial"/>
          <w:lang w:val="es-MX"/>
        </w:rPr>
      </w:pPr>
      <w:r w:rsidRPr="00E25E93">
        <w:rPr>
          <w:rFonts w:ascii="Verdana" w:eastAsia="Times New Roman" w:hAnsi="Verdana" w:cs="Arial"/>
          <w:lang w:eastAsia="x-none"/>
        </w:rPr>
        <w:t xml:space="preserve">De esta forma, con fundamento en la evolución de la normativa sobre la contratación pública, se ha depurado la noción de </w:t>
      </w:r>
      <w:r w:rsidRPr="00E25E93">
        <w:rPr>
          <w:rFonts w:ascii="Verdana" w:eastAsia="Times New Roman" w:hAnsi="Verdana" w:cs="Arial"/>
          <w:lang w:eastAsia="en-GB"/>
        </w:rPr>
        <w:t>“</w:t>
      </w:r>
      <w:r w:rsidRPr="00E25E93">
        <w:rPr>
          <w:rFonts w:ascii="Verdana" w:eastAsia="Times New Roman" w:hAnsi="Verdana" w:cs="Arial"/>
          <w:lang w:eastAsia="x-none"/>
        </w:rPr>
        <w:t>contratación directa</w:t>
      </w:r>
      <w:r w:rsidRPr="00E25E93">
        <w:rPr>
          <w:rFonts w:ascii="Verdana" w:eastAsia="Times New Roman" w:hAnsi="Verdana" w:cs="Arial"/>
          <w:lang w:eastAsia="en-GB"/>
        </w:rPr>
        <w:t>”</w:t>
      </w:r>
      <w:r w:rsidRPr="00E25E93">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E25E93">
        <w:rPr>
          <w:rFonts w:ascii="Verdana" w:eastAsia="Times New Roman" w:hAnsi="Verdana" w:cs="Arial"/>
          <w:vertAlign w:val="superscript"/>
          <w:lang w:val="en-GB"/>
        </w:rPr>
        <w:footnoteReference w:id="16"/>
      </w:r>
      <w:r w:rsidRPr="00E25E93">
        <w:rPr>
          <w:rFonts w:ascii="Verdana" w:eastAsia="Times New Roman" w:hAnsi="Verdana" w:cs="Arial"/>
          <w:lang w:eastAsia="x-none"/>
        </w:rPr>
        <w:t>, han establecido sistemas de contratación que implican convocatoria pública y participación de varios oferentes</w:t>
      </w:r>
      <w:r w:rsidRPr="00E25E93">
        <w:rPr>
          <w:rFonts w:ascii="Verdana" w:eastAsia="Times New Roman" w:hAnsi="Verdana" w:cs="Arial"/>
          <w:lang w:eastAsia="en-GB"/>
        </w:rPr>
        <w:t>”</w:t>
      </w:r>
      <w:r w:rsidRPr="00E25E93">
        <w:rPr>
          <w:rFonts w:ascii="Verdana" w:eastAsia="Times New Roman" w:hAnsi="Verdana" w:cs="Arial"/>
          <w:lang w:eastAsia="x-none"/>
        </w:rPr>
        <w:t xml:space="preserve">. </w:t>
      </w:r>
    </w:p>
    <w:p w14:paraId="65EDD510" w14:textId="77777777" w:rsidR="0077156A" w:rsidRPr="00E25E93" w:rsidRDefault="0077156A" w:rsidP="00E25E93">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lang w:val="es-MX"/>
        </w:rPr>
        <w:t>E</w:t>
      </w:r>
      <w:r w:rsidRPr="00E25E93">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sidRPr="00E25E93">
        <w:rPr>
          <w:rFonts w:ascii="Verdana" w:eastAsia="Times New Roman" w:hAnsi="Verdana" w:cs="Arial"/>
          <w:lang w:eastAsia="x-none"/>
        </w:rPr>
        <w:lastRenderedPageBreak/>
        <w:t>inscribirse en forma previa se haga de manera pública, y que se permita la participación de una pluralidad de oferentes</w:t>
      </w:r>
      <w:r w:rsidRPr="00E25E93">
        <w:rPr>
          <w:rFonts w:ascii="Verdana" w:eastAsia="Times New Roman" w:hAnsi="Verdana" w:cs="Arial"/>
          <w:vertAlign w:val="superscript"/>
          <w:lang w:eastAsia="x-none"/>
        </w:rPr>
        <w:footnoteReference w:id="17"/>
      </w:r>
      <w:r w:rsidRPr="00E25E93">
        <w:rPr>
          <w:rFonts w:ascii="Verdana" w:eastAsia="Times New Roman" w:hAnsi="Verdana" w:cs="Arial"/>
          <w:lang w:eastAsia="x-none"/>
        </w:rPr>
        <w:t xml:space="preserve">. </w:t>
      </w:r>
    </w:p>
    <w:p w14:paraId="7013C477" w14:textId="77777777" w:rsidR="0077156A" w:rsidRPr="00E25E93" w:rsidRDefault="0077156A" w:rsidP="00E25E93">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Pr="00E25E93">
        <w:rPr>
          <w:rFonts w:ascii="Verdana" w:eastAsia="Times New Roman" w:hAnsi="Verdana" w:cs="Arial"/>
          <w:lang w:val="es-MX" w:eastAsia="es-CO"/>
        </w:rPr>
        <w:t xml:space="preserve"> Electorales</w:t>
      </w:r>
      <w:r w:rsidRPr="00E25E93">
        <w:rPr>
          <w:rFonts w:ascii="Verdana" w:eastAsia="Times New Roman" w:hAnsi="Verdana" w:cs="Arial"/>
          <w:bCs/>
          <w:lang w:val="es-MX"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E25E93">
        <w:rPr>
          <w:rFonts w:ascii="Verdana" w:eastAsia="Times New Roman" w:hAnsi="Verdana" w:cs="Arial"/>
          <w:lang w:val="es-MX" w:eastAsia="es-CO"/>
        </w:rPr>
        <w:t>“</w:t>
      </w:r>
      <w:r w:rsidRPr="00E25E93">
        <w:rPr>
          <w:rFonts w:ascii="Verdana" w:eastAsia="Times New Roman" w:hAnsi="Verdana" w:cs="Arial"/>
          <w:bCs/>
          <w:lang w:val="es-MX" w:eastAsia="es-CO"/>
        </w:rPr>
        <w:t>contratación directa</w:t>
      </w:r>
      <w:r w:rsidRPr="00E25E93">
        <w:rPr>
          <w:rFonts w:ascii="Verdana" w:eastAsia="Times New Roman" w:hAnsi="Verdana" w:cs="Arial"/>
          <w:lang w:val="es-MX" w:eastAsia="es-CO"/>
        </w:rPr>
        <w:t>”.</w:t>
      </w:r>
    </w:p>
    <w:p w14:paraId="4164FA86" w14:textId="77777777" w:rsidR="0077156A" w:rsidRPr="00E25E93" w:rsidRDefault="0077156A" w:rsidP="00E25E93">
      <w:pPr>
        <w:spacing w:after="120" w:line="276" w:lineRule="auto"/>
        <w:ind w:firstLine="709"/>
        <w:jc w:val="both"/>
        <w:rPr>
          <w:rFonts w:ascii="Verdana" w:eastAsia="Times New Roman" w:hAnsi="Verdana" w:cs="Arial"/>
          <w:bCs/>
          <w:lang w:val="es-MX" w:eastAsia="x-none"/>
        </w:rPr>
      </w:pPr>
      <w:r w:rsidRPr="00E25E93">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E25E93">
        <w:rPr>
          <w:rFonts w:ascii="Verdana" w:eastAsia="Times New Roman" w:hAnsi="Verdana" w:cs="Arial"/>
          <w:vertAlign w:val="superscript"/>
          <w:lang w:eastAsia="x-none"/>
        </w:rPr>
        <w:footnoteReference w:id="18"/>
      </w:r>
      <w:r w:rsidRPr="00E25E93">
        <w:rPr>
          <w:rFonts w:ascii="Verdana" w:eastAsia="Times New Roman" w:hAnsi="Verdana" w:cs="Arial"/>
          <w:bCs/>
          <w:lang w:val="es-MX" w:eastAsia="x-none"/>
        </w:rPr>
        <w:t>.</w:t>
      </w:r>
      <w:r w:rsidRPr="00E25E93">
        <w:rPr>
          <w:rFonts w:ascii="Verdana" w:eastAsia="Times New Roman" w:hAnsi="Verdana" w:cs="Arial"/>
          <w:vertAlign w:val="superscript"/>
          <w:lang w:eastAsia="x-none"/>
        </w:rPr>
        <w:t xml:space="preserve"> </w:t>
      </w:r>
    </w:p>
    <w:p w14:paraId="59EBB2BB" w14:textId="77777777" w:rsidR="0077156A" w:rsidRPr="00E25E93" w:rsidRDefault="0077156A" w:rsidP="00E25E93">
      <w:pPr>
        <w:spacing w:after="120" w:line="276" w:lineRule="auto"/>
        <w:ind w:firstLine="709"/>
        <w:jc w:val="both"/>
        <w:rPr>
          <w:rFonts w:ascii="Verdana" w:eastAsia="Times New Roman" w:hAnsi="Verdana" w:cs="Arial"/>
          <w:lang w:eastAsia="x-none"/>
        </w:rPr>
      </w:pPr>
      <w:r w:rsidRPr="00E25E93">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E25E93">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23497C9" w14:textId="77777777" w:rsidR="0077156A" w:rsidRPr="00E25E93" w:rsidRDefault="0077156A" w:rsidP="00E25E93">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E25E93">
        <w:rPr>
          <w:rFonts w:ascii="Verdana" w:eastAsia="Times New Roman" w:hAnsi="Verdana" w:cs="Arial"/>
          <w:bCs/>
          <w:lang w:val="es-MX" w:eastAsia="es-CO"/>
        </w:rPr>
        <w:t>entrada en vigencia</w:t>
      </w:r>
      <w:proofErr w:type="gramEnd"/>
      <w:r w:rsidRPr="00E25E93">
        <w:rPr>
          <w:rFonts w:ascii="Verdana" w:eastAsia="Times New Roman" w:hAnsi="Verdana" w:cs="Arial"/>
          <w:bCs/>
          <w:lang w:val="es-MX" w:eastAsia="es-CO"/>
        </w:rPr>
        <w:t xml:space="preserve"> de las prohibiciones anotadas, así como la cesión de </w:t>
      </w:r>
      <w:proofErr w:type="gramStart"/>
      <w:r w:rsidRPr="00E25E93">
        <w:rPr>
          <w:rFonts w:ascii="Verdana" w:eastAsia="Times New Roman" w:hAnsi="Verdana" w:cs="Arial"/>
          <w:bCs/>
          <w:lang w:val="es-MX" w:eastAsia="es-CO"/>
        </w:rPr>
        <w:t>los mismos</w:t>
      </w:r>
      <w:proofErr w:type="gramEnd"/>
      <w:r w:rsidRPr="00E25E93">
        <w:rPr>
          <w:rFonts w:ascii="Verdana" w:eastAsia="Times New Roman" w:hAnsi="Verdana" w:cs="Arial"/>
          <w:bCs/>
          <w:lang w:val="es-MX" w:eastAsia="es-CO"/>
        </w:rPr>
        <w:t>, pueden tener lugar en el período de aplicación de la Ley de Garantías</w:t>
      </w:r>
      <w:r w:rsidRPr="00E25E93">
        <w:rPr>
          <w:rFonts w:ascii="Verdana" w:eastAsia="Times New Roman" w:hAnsi="Verdana" w:cs="Arial"/>
          <w:lang w:val="es-MX" w:eastAsia="es-CO"/>
        </w:rPr>
        <w:t xml:space="preserve"> Electorales</w:t>
      </w:r>
      <w:r w:rsidRPr="00E25E93">
        <w:rPr>
          <w:rFonts w:ascii="Verdana" w:eastAsia="Times New Roman" w:hAnsi="Verdana" w:cs="Arial"/>
          <w:bCs/>
          <w:lang w:val="es-MX" w:eastAsia="es-CO"/>
        </w:rPr>
        <w:t xml:space="preserve">, sin que ello haga nugatoria la restricción de la contratación directa y siempre que cumplan los principios de planeación, transparencia y </w:t>
      </w:r>
      <w:r w:rsidRPr="00E25E93">
        <w:rPr>
          <w:rFonts w:ascii="Verdana" w:eastAsia="Times New Roman" w:hAnsi="Verdana" w:cs="Arial"/>
          <w:bCs/>
          <w:lang w:val="es-MX" w:eastAsia="es-CO"/>
        </w:rPr>
        <w:lastRenderedPageBreak/>
        <w:t>responsabilidad</w:t>
      </w:r>
      <w:r w:rsidRPr="00E25E93">
        <w:rPr>
          <w:rFonts w:ascii="Verdana" w:eastAsia="Times New Roman" w:hAnsi="Verdana" w:cs="Arial"/>
          <w:bCs/>
          <w:vertAlign w:val="superscript"/>
          <w:lang w:val="es-MX" w:eastAsia="es-CO"/>
        </w:rPr>
        <w:footnoteReference w:id="19"/>
      </w:r>
      <w:r w:rsidRPr="00E25E93">
        <w:rPr>
          <w:rFonts w:ascii="Verdana" w:eastAsia="Times New Roman" w:hAnsi="Verdana" w:cs="Arial"/>
          <w:bCs/>
          <w:lang w:val="es-MX" w:eastAsia="es-CO"/>
        </w:rPr>
        <w:t xml:space="preserve">. Además, también es posible que contratos celebrados previamente se continúen ejecutando con normalidad. </w:t>
      </w:r>
    </w:p>
    <w:p w14:paraId="76AFCA6A" w14:textId="77777777" w:rsidR="0077156A" w:rsidRPr="00E25E93" w:rsidRDefault="0077156A" w:rsidP="00E25E93">
      <w:pPr>
        <w:spacing w:after="120" w:line="276" w:lineRule="auto"/>
        <w:ind w:firstLine="709"/>
        <w:jc w:val="both"/>
        <w:rPr>
          <w:rFonts w:ascii="Verdana" w:eastAsia="Times New Roman" w:hAnsi="Verdana" w:cs="Arial"/>
          <w:lang w:val="es-MX" w:eastAsia="es-CO"/>
        </w:rPr>
      </w:pPr>
      <w:r w:rsidRPr="00E25E93">
        <w:rPr>
          <w:rFonts w:ascii="Verdana" w:eastAsia="Times New Roman" w:hAnsi="Verdana" w:cs="Arial"/>
          <w:lang w:val="es-MX"/>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w:t>
      </w:r>
      <w:proofErr w:type="spellStart"/>
      <w:r w:rsidRPr="00E25E93">
        <w:rPr>
          <w:rFonts w:ascii="Verdana" w:eastAsia="Times New Roman" w:hAnsi="Verdana" w:cs="Arial"/>
          <w:lang w:val="es-MX"/>
        </w:rPr>
        <w:t>iv</w:t>
      </w:r>
      <w:proofErr w:type="spellEnd"/>
      <w:r w:rsidRPr="00E25E93">
        <w:rPr>
          <w:rFonts w:ascii="Verdana" w:eastAsia="Times New Roman" w:hAnsi="Verdana" w:cs="Arial"/>
          <w:lang w:val="es-MX"/>
        </w:rPr>
        <w:t xml:space="preserve">) los utilizados para la reconstrucción de vías, puentes, carreteras, infraestructura energética y de comunicaciones, en caso de que hayan sido objeto de atentados, acciones terroristas, desastres naturales o casos de fuerza mayor; y, v) </w:t>
      </w:r>
      <w:r w:rsidRPr="00E25E93">
        <w:rPr>
          <w:rFonts w:ascii="Verdana" w:eastAsia="Times New Roman" w:hAnsi="Verdana" w:cs="Arial"/>
          <w:i/>
          <w:lang w:val="es-MX"/>
        </w:rPr>
        <w:t>los que deban realizar las entidades sanitarias y hospitalarias.</w:t>
      </w:r>
      <w:r w:rsidRPr="00E25E93">
        <w:rPr>
          <w:rFonts w:ascii="Verdana" w:eastAsia="Times New Roman" w:hAnsi="Verdana" w:cs="Arial"/>
          <w:bCs/>
          <w:lang w:val="es-MX" w:eastAsia="es-CO"/>
        </w:rPr>
        <w:t xml:space="preserve"> </w:t>
      </w:r>
    </w:p>
    <w:p w14:paraId="50F540E3" w14:textId="77777777" w:rsidR="0077156A" w:rsidRPr="00E25E93" w:rsidRDefault="0077156A" w:rsidP="00E25E93">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lang w:val="es-MX" w:eastAsia="es-CO"/>
        </w:rPr>
        <w:t>Conforme a las anteriores excepciones, es</w:t>
      </w:r>
      <w:r w:rsidRPr="00E25E93">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BC73262" w14:textId="77777777" w:rsidR="0077156A" w:rsidRPr="00E25E93" w:rsidRDefault="0077156A" w:rsidP="00E25E93">
      <w:pPr>
        <w:spacing w:after="120" w:line="276" w:lineRule="auto"/>
        <w:ind w:firstLine="709"/>
        <w:jc w:val="both"/>
        <w:rPr>
          <w:rFonts w:ascii="Verdana" w:eastAsia="Times New Roman" w:hAnsi="Verdana" w:cs="Arial"/>
          <w:lang w:val="es-MX"/>
        </w:rPr>
      </w:pPr>
      <w:r w:rsidRPr="00E25E93">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E25E93">
        <w:rPr>
          <w:rFonts w:ascii="Verdana" w:eastAsia="Calibri" w:hAnsi="Verdana" w:cs="Arial"/>
          <w:vertAlign w:val="superscript"/>
          <w:lang w:val="es-MX"/>
        </w:rPr>
        <w:footnoteReference w:id="20"/>
      </w:r>
      <w:r w:rsidRPr="00E25E93">
        <w:rPr>
          <w:rFonts w:ascii="Verdana" w:eastAsia="Times New Roman" w:hAnsi="Verdana" w:cs="Arial"/>
          <w:lang w:val="es-MX"/>
        </w:rPr>
        <w:t xml:space="preserve">. De ahí que la Corte haya señalado que las excepciones a la restricción protegen diversos tipos de urgencias de defensa, salud, educación, infraestructura vial y de servicios públicos y ecológicas, que tienden a no limitar desproporcionadamente la acción </w:t>
      </w:r>
      <w:r w:rsidRPr="00E25E93">
        <w:rPr>
          <w:rFonts w:ascii="Verdana" w:eastAsia="Times New Roman" w:hAnsi="Verdana" w:cs="Arial"/>
          <w:lang w:val="es-MX"/>
        </w:rPr>
        <w:lastRenderedPageBreak/>
        <w:t>del Estado en el cumplimiento de sus fines, en procura de la igualdad entre los candidatos como garantía electoral.</w:t>
      </w:r>
    </w:p>
    <w:p w14:paraId="53E4C559" w14:textId="77777777" w:rsidR="0077156A" w:rsidRPr="00E25E93" w:rsidRDefault="0077156A" w:rsidP="00E25E93">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En este punto, es pertinente analizar el quinto evento</w:t>
      </w:r>
      <w:r w:rsidRPr="00E25E93">
        <w:rPr>
          <w:rFonts w:ascii="Verdana" w:eastAsia="Aptos" w:hAnsi="Verdana" w:cs="Arial"/>
          <w:i/>
          <w:iCs/>
          <w:color w:val="000000"/>
          <w:lang w:val="es-ES"/>
        </w:rPr>
        <w:t xml:space="preserve"> </w:t>
      </w:r>
      <w:r w:rsidRPr="00E25E93">
        <w:rPr>
          <w:rFonts w:ascii="Verdana" w:eastAsia="Aptos" w:hAnsi="Verdana" w:cs="Arial"/>
          <w:color w:val="000000"/>
          <w:lang w:val="es-ES"/>
        </w:rPr>
        <w:t xml:space="preserve">exceptuado de la prohibición, relacionado con la contratación por parte de las entidades sanitarias y hospitalarias, </w:t>
      </w:r>
      <w:r w:rsidRPr="00E25E93">
        <w:rPr>
          <w:rFonts w:ascii="Verdana" w:eastAsia="Aptos" w:hAnsi="Verdana" w:cs="Arial"/>
          <w:color w:val="000000"/>
        </w:rPr>
        <w:t>a efectos de determinar si la excepción referida es aplicable a los contratos suscritos por las Empresas Sociales del Estado –ESE-</w:t>
      </w:r>
      <w:r w:rsidRPr="00E25E93">
        <w:rPr>
          <w:rFonts w:ascii="Verdana" w:eastAsia="Aptos" w:hAnsi="Verdana" w:cs="Arial"/>
          <w:color w:val="000000"/>
          <w:lang w:val="es-ES"/>
        </w:rPr>
        <w:t xml:space="preserve">. Para ello, debe tenerse en cuenta el artículo 94 de la Ley 100 de 1993, que dispone </w:t>
      </w:r>
      <w:r w:rsidRPr="00E25E93">
        <w:rPr>
          <w:rFonts w:ascii="Verdana" w:eastAsia="Aptos" w:hAnsi="Verdana" w:cs="Arial"/>
          <w:color w:val="000000"/>
          <w:lang w:val="es-ES" w:eastAsia="es-CO"/>
        </w:rPr>
        <w:t>“</w:t>
      </w:r>
      <w:r w:rsidRPr="00E25E93">
        <w:rPr>
          <w:rFonts w:ascii="Verdana" w:eastAsia="Aptos" w:hAnsi="Verdana" w:cs="Arial"/>
          <w:color w:val="000000"/>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0A73C8F8" w14:textId="77777777" w:rsidR="0077156A" w:rsidRPr="00E25E93" w:rsidRDefault="0077156A" w:rsidP="00E25E93">
      <w:pPr>
        <w:tabs>
          <w:tab w:val="left" w:pos="426"/>
        </w:tabs>
        <w:spacing w:after="120" w:line="276" w:lineRule="auto"/>
        <w:ind w:firstLine="709"/>
        <w:jc w:val="both"/>
        <w:rPr>
          <w:rFonts w:ascii="Verdana" w:eastAsia="Aptos" w:hAnsi="Verdana" w:cs="Arial"/>
          <w:color w:val="000000"/>
        </w:rPr>
      </w:pPr>
      <w:r w:rsidRPr="00E25E93">
        <w:rPr>
          <w:rFonts w:ascii="Verdana" w:eastAsia="Aptos" w:hAnsi="Verdana" w:cs="Arial"/>
          <w:color w:val="000000"/>
          <w:lang w:val="es-ES"/>
        </w:rPr>
        <w:t xml:space="preserve">Es decir que, a partir de la </w:t>
      </w:r>
      <w:proofErr w:type="gramStart"/>
      <w:r w:rsidRPr="00E25E93">
        <w:rPr>
          <w:rFonts w:ascii="Verdana" w:eastAsia="Aptos" w:hAnsi="Verdana" w:cs="Arial"/>
          <w:color w:val="000000"/>
          <w:lang w:val="es-ES"/>
        </w:rPr>
        <w:t>entrada en vigencia</w:t>
      </w:r>
      <w:proofErr w:type="gramEnd"/>
      <w:r w:rsidRPr="00E25E93">
        <w:rPr>
          <w:rFonts w:ascii="Verdana" w:eastAsia="Aptos" w:hAnsi="Verdana" w:cs="Arial"/>
          <w:color w:val="000000"/>
          <w:lang w:val="es-ES"/>
        </w:rPr>
        <w:t xml:space="preserve"> de la Ley 100 de 1993, las Empresas Sociales del Estado son las entidades públicas que tienen a su cargo la prestación de servicios de salud de manera directa. Igualmente, el artículo 197 de la misma disposición</w:t>
      </w:r>
      <w:r w:rsidRPr="00E25E93">
        <w:rPr>
          <w:rFonts w:ascii="Verdana" w:eastAsia="Aptos" w:hAnsi="Verdana" w:cs="Arial"/>
          <w:color w:val="000000"/>
          <w:vertAlign w:val="superscript"/>
          <w:lang w:val="es-ES_tradnl"/>
        </w:rPr>
        <w:footnoteReference w:id="21"/>
      </w:r>
      <w:r w:rsidRPr="00E25E93">
        <w:rPr>
          <w:rFonts w:ascii="Verdana" w:eastAsia="Aptos" w:hAnsi="Verdana" w:cs="Arial"/>
          <w:color w:val="000000"/>
          <w:lang w:val="es-ES"/>
        </w:rPr>
        <w:t xml:space="preserve"> otorgó un término de seis (6) meses a las entidades territoriales prestadoras del servicio de salud para restructurarlas en Empresas Sociales del Estado. </w:t>
      </w:r>
    </w:p>
    <w:p w14:paraId="16F17936" w14:textId="77777777" w:rsidR="0077156A" w:rsidRPr="00E25E93" w:rsidRDefault="0077156A" w:rsidP="00E25E93">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48C3B90D" w14:textId="77777777" w:rsidR="0077156A" w:rsidRPr="00E25E93" w:rsidRDefault="0077156A" w:rsidP="00E25E93">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 </w:t>
      </w:r>
    </w:p>
    <w:p w14:paraId="179EF68D" w14:textId="77777777" w:rsidR="0077156A" w:rsidRPr="00E25E93" w:rsidRDefault="0077156A" w:rsidP="00E25E93">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lastRenderedPageBreak/>
        <w:t xml:space="preserve">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486535FF" w14:textId="77777777" w:rsidR="0077156A" w:rsidRPr="00E25E93" w:rsidRDefault="0077156A" w:rsidP="00E25E93">
      <w:pPr>
        <w:tabs>
          <w:tab w:val="left" w:pos="426"/>
        </w:tabs>
        <w:spacing w:after="0" w:line="240" w:lineRule="auto"/>
        <w:ind w:left="709" w:right="709"/>
        <w:jc w:val="both"/>
        <w:rPr>
          <w:rFonts w:ascii="Verdana" w:eastAsia="Aptos" w:hAnsi="Verdana" w:cs="Arial"/>
          <w:color w:val="000000"/>
          <w:sz w:val="21"/>
          <w:szCs w:val="21"/>
          <w:shd w:val="clear" w:color="auto" w:fill="FFFFFF"/>
          <w:lang w:val="es-ES"/>
        </w:rPr>
      </w:pPr>
      <w:r w:rsidRPr="00E25E93">
        <w:rPr>
          <w:rFonts w:ascii="Verdana" w:eastAsia="Aptos" w:hAnsi="Verdana" w:cs="Arial"/>
          <w:color w:val="000000"/>
          <w:sz w:val="21"/>
          <w:szCs w:val="21"/>
          <w:shd w:val="clear" w:color="auto" w:fill="FFFFFF"/>
          <w:lang w:val="es-ES"/>
        </w:rPr>
        <w:t xml:space="preserve">“(…) se encuentran cubiertos por la excepción contemplada en el inciso 2 del artículo 33 de la Ley de Garantías Electorales, las entidades hospitalarias que a la luz de las normas vigentes </w:t>
      </w:r>
      <w:r w:rsidRPr="00E25E93">
        <w:rPr>
          <w:rFonts w:ascii="Verdana" w:eastAsia="Aptos" w:hAnsi="Verdana" w:cs="Arial"/>
          <w:i/>
          <w:iCs/>
          <w:color w:val="000000"/>
          <w:sz w:val="21"/>
          <w:szCs w:val="21"/>
          <w:shd w:val="clear" w:color="auto" w:fill="FFFFFF"/>
          <w:lang w:val="es-ES"/>
        </w:rPr>
        <w:t xml:space="preserve">no son otras distintas que las Empresas Sociales del estado y todas aquellas instituciones públicas </w:t>
      </w:r>
      <w:proofErr w:type="gramStart"/>
      <w:r w:rsidRPr="00E25E93">
        <w:rPr>
          <w:rFonts w:ascii="Verdana" w:eastAsia="Aptos" w:hAnsi="Verdana" w:cs="Arial"/>
          <w:i/>
          <w:iCs/>
          <w:color w:val="000000"/>
          <w:sz w:val="21"/>
          <w:szCs w:val="21"/>
          <w:shd w:val="clear" w:color="auto" w:fill="FFFFFF"/>
          <w:lang w:val="es-ES"/>
        </w:rPr>
        <w:t>que</w:t>
      </w:r>
      <w:proofErr w:type="gramEnd"/>
      <w:r w:rsidRPr="00E25E93">
        <w:rPr>
          <w:rFonts w:ascii="Verdana" w:eastAsia="Aptos" w:hAnsi="Verdana" w:cs="Arial"/>
          <w:i/>
          <w:iCs/>
          <w:color w:val="000000"/>
          <w:sz w:val="21"/>
          <w:szCs w:val="21"/>
          <w:shd w:val="clear" w:color="auto" w:fill="FFFFFF"/>
          <w:lang w:val="es-ES"/>
        </w:rPr>
        <w:t xml:space="preserve"> a pesar de no haberse transformado en Empresas Sociales del Estado, prestan un servicio de salud directo sobre el usuario en su carácter general de entidad hospitalaria</w:t>
      </w:r>
      <w:r w:rsidRPr="00E25E93">
        <w:rPr>
          <w:rFonts w:ascii="Verdana" w:eastAsia="Aptos" w:hAnsi="Verdana" w:cs="Arial"/>
          <w:color w:val="000000"/>
          <w:sz w:val="21"/>
          <w:szCs w:val="21"/>
          <w:shd w:val="clear" w:color="auto" w:fill="FFFFFF"/>
          <w:lang w:val="es-ES"/>
        </w:rPr>
        <w:t xml:space="preserve"> (…)”.  </w:t>
      </w:r>
    </w:p>
    <w:p w14:paraId="6DD54902" w14:textId="77777777" w:rsidR="0077156A" w:rsidRPr="00343E12" w:rsidRDefault="0077156A" w:rsidP="0077156A">
      <w:pPr>
        <w:tabs>
          <w:tab w:val="left" w:pos="426"/>
        </w:tabs>
        <w:spacing w:after="0" w:line="276" w:lineRule="auto"/>
        <w:ind w:left="709" w:right="709"/>
        <w:jc w:val="both"/>
        <w:rPr>
          <w:rFonts w:ascii="Verdana" w:eastAsia="Aptos" w:hAnsi="Verdana" w:cs="Arial"/>
          <w:color w:val="000000"/>
          <w:lang w:val="es-ES"/>
        </w:rPr>
      </w:pPr>
    </w:p>
    <w:p w14:paraId="2A5EB59C" w14:textId="77777777" w:rsidR="0077156A" w:rsidRPr="00343E12" w:rsidRDefault="0077156A" w:rsidP="00E25E93">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0E69DA19" w14:textId="77777777" w:rsidR="0077156A" w:rsidRPr="00343E12" w:rsidRDefault="0077156A" w:rsidP="00E25E93">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0DE09BF2" w14:textId="77777777" w:rsidR="0077156A" w:rsidRPr="00343E12" w:rsidRDefault="0077156A" w:rsidP="00E25E93">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343E12">
        <w:rPr>
          <w:rFonts w:ascii="Verdana" w:eastAsia="Times New Roman" w:hAnsi="Verdana" w:cs="Arial"/>
          <w:lang w:val="es-MX" w:eastAsia="es-CO"/>
        </w:rPr>
        <w:t>ii</w:t>
      </w:r>
      <w:proofErr w:type="spellEnd"/>
      <w:r w:rsidRPr="00343E12">
        <w:rPr>
          <w:rFonts w:ascii="Verdana" w:eastAsia="Times New Roman" w:hAnsi="Verdana" w:cs="Arial"/>
          <w:lang w:val="es-MX" w:eastAsia="es-CO"/>
        </w:rPr>
        <w:t xml:space="preserve">) y </w:t>
      </w:r>
      <w:proofErr w:type="spellStart"/>
      <w:r w:rsidRPr="00343E12">
        <w:rPr>
          <w:rFonts w:ascii="Verdana" w:eastAsia="Times New Roman" w:hAnsi="Verdana" w:cs="Arial"/>
          <w:lang w:val="es-MX" w:eastAsia="es-CO"/>
        </w:rPr>
        <w:t>iv</w:t>
      </w:r>
      <w:proofErr w:type="spellEnd"/>
      <w:r w:rsidRPr="00343E12">
        <w:rPr>
          <w:rFonts w:ascii="Verdana" w:eastAsia="Times New Roman" w:hAnsi="Verdana" w:cs="Arial"/>
          <w:lang w:val="es-MX" w:eastAsia="es-CO"/>
        </w:rPr>
        <w:t>) del numeral 2</w:t>
      </w:r>
      <w:r w:rsidRPr="00343E12">
        <w:rPr>
          <w:rFonts w:ascii="Verdana" w:eastAsia="Times New Roman" w:hAnsi="Verdana" w:cs="Arial"/>
          <w:lang w:eastAsia="es-CO"/>
        </w:rPr>
        <w:t>,</w:t>
      </w:r>
      <w:r w:rsidRPr="00343E12">
        <w:rPr>
          <w:rFonts w:ascii="Verdana" w:eastAsia="Times New Roman" w:hAnsi="Verdana" w:cs="Arial"/>
          <w:lang w:val="es-MX" w:eastAsia="es-CO"/>
        </w:rPr>
        <w:t xml:space="preserve"> indica que el </w:t>
      </w:r>
      <w:r w:rsidRPr="00343E12">
        <w:rPr>
          <w:rFonts w:ascii="Verdana" w:eastAsia="Times New Roman" w:hAnsi="Verdana" w:cs="Arial"/>
          <w:lang w:eastAsia="es-CO"/>
        </w:rPr>
        <w:t xml:space="preserve">parágrafo del artículo 38 de la Ley 996 de 2005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w:t>
      </w:r>
      <w:r w:rsidRPr="00343E12">
        <w:rPr>
          <w:rFonts w:ascii="Verdana" w:eastAsia="Times New Roman" w:hAnsi="Verdana" w:cs="Arial"/>
          <w:lang w:eastAsia="es-CO"/>
        </w:rPr>
        <w:lastRenderedPageBreak/>
        <w:t xml:space="preserve">ningún supuesto que exceptúe la aplicación de esta prohibición, por lo que la 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7CCB427D" w14:textId="77777777" w:rsidR="0077156A" w:rsidRPr="00343E12" w:rsidRDefault="0077156A" w:rsidP="00E25E93">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1CC2C2BA" w14:textId="77777777" w:rsidR="0077156A" w:rsidRPr="00343E12" w:rsidRDefault="0077156A" w:rsidP="00E25E93">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ii) los contratos de crédito público; iii) los requeridos para cubrir las emergencias educativas, sanitarias y desastres; </w:t>
      </w:r>
      <w:proofErr w:type="spellStart"/>
      <w:r w:rsidRPr="00343E12">
        <w:rPr>
          <w:rFonts w:ascii="Verdana" w:eastAsia="Aptos" w:hAnsi="Verdana" w:cs="Arial"/>
          <w:bCs/>
          <w:lang w:val="es-MX" w:eastAsia="x-none"/>
        </w:rPr>
        <w:t>iv</w:t>
      </w:r>
      <w:proofErr w:type="spellEnd"/>
      <w:r w:rsidRPr="00343E12">
        <w:rPr>
          <w:rFonts w:ascii="Verdana" w:eastAsia="Aptos"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76B52339" w14:textId="77777777" w:rsidR="0077156A" w:rsidRPr="00343E12" w:rsidRDefault="0077156A" w:rsidP="00E25E93">
      <w:pPr>
        <w:spacing w:after="120" w:line="276" w:lineRule="auto"/>
        <w:ind w:firstLine="709"/>
        <w:jc w:val="both"/>
        <w:rPr>
          <w:rFonts w:ascii="Verdana" w:eastAsia="Times New Roman" w:hAnsi="Verdana" w:cs="Arial"/>
          <w:lang w:eastAsia="es-CO"/>
        </w:rPr>
      </w:pPr>
      <w:bookmarkStart w:id="7" w:name="_Hlk215234154"/>
      <w:r w:rsidRPr="00343E12">
        <w:rPr>
          <w:rFonts w:ascii="Verdana" w:eastAsia="Times New Roman" w:hAnsi="Verdana" w:cs="Arial"/>
          <w:lang w:eastAsia="es-CO"/>
        </w:rPr>
        <w:t xml:space="preserve">En este punto, teniendo en cuenta lo señalado en el contenido de su petición, vale la pena destacar </w:t>
      </w:r>
      <w:proofErr w:type="gramStart"/>
      <w:r w:rsidRPr="00343E12">
        <w:rPr>
          <w:rFonts w:ascii="Verdana" w:eastAsia="Times New Roman" w:hAnsi="Verdana" w:cs="Arial"/>
          <w:lang w:eastAsia="es-CO"/>
        </w:rPr>
        <w:t>que</w:t>
      </w:r>
      <w:proofErr w:type="gramEnd"/>
      <w:r w:rsidRPr="00343E12">
        <w:rPr>
          <w:rFonts w:ascii="Verdana" w:eastAsia="Times New Roman" w:hAnsi="Verdana" w:cs="Arial"/>
          <w:lang w:eastAsia="es-CO"/>
        </w:rPr>
        <w:t xml:space="preserv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22"/>
      </w:r>
      <w:r w:rsidRPr="00343E12">
        <w:rPr>
          <w:rFonts w:ascii="Verdana" w:eastAsia="Aptos" w:hAnsi="Verdana" w:cs="Arial"/>
        </w:rPr>
        <w:t xml:space="preserve">: </w:t>
      </w:r>
    </w:p>
    <w:p w14:paraId="1E1530C1" w14:textId="77777777" w:rsidR="0077156A" w:rsidRPr="00343E12" w:rsidRDefault="0077156A" w:rsidP="0077156A">
      <w:pPr>
        <w:spacing w:after="0" w:line="276" w:lineRule="auto"/>
        <w:ind w:firstLine="709"/>
        <w:jc w:val="both"/>
        <w:rPr>
          <w:rFonts w:ascii="Verdana" w:eastAsia="Aptos" w:hAnsi="Verdana" w:cs="Arial"/>
        </w:rPr>
      </w:pPr>
    </w:p>
    <w:p w14:paraId="2DFC1715" w14:textId="77777777" w:rsidR="0077156A" w:rsidRPr="00E25E93" w:rsidRDefault="0077156A" w:rsidP="00E25E93">
      <w:pPr>
        <w:spacing w:after="0" w:line="240" w:lineRule="auto"/>
        <w:ind w:left="709" w:right="709"/>
        <w:jc w:val="both"/>
        <w:rPr>
          <w:rFonts w:ascii="Verdana" w:eastAsia="Aptos" w:hAnsi="Verdana" w:cs="Arial"/>
          <w:sz w:val="21"/>
          <w:szCs w:val="21"/>
        </w:rPr>
      </w:pPr>
      <w:r w:rsidRPr="00E25E93">
        <w:rPr>
          <w:rFonts w:ascii="Verdana" w:eastAsia="Aptos" w:hAnsi="Verdana" w:cs="Arial"/>
          <w:sz w:val="21"/>
          <w:szCs w:val="21"/>
          <w:lang w:val="es-MX"/>
        </w:rPr>
        <w:t>i)</w:t>
      </w:r>
      <w:r w:rsidRPr="00E25E93">
        <w:rPr>
          <w:rFonts w:ascii="Verdana" w:eastAsia="Aptos" w:hAnsi="Verdana" w:cs="Arial"/>
          <w:sz w:val="21"/>
          <w:szCs w:val="21"/>
        </w:rPr>
        <w:t xml:space="preserve"> el inciso segundo 2 que dispone: “Esta restricción es aplicable tanto a los convenios como a los contratos interadministrativos, toda vez que, al no existir definición legal que diferencie el concepto de convenio </w:t>
      </w:r>
      <w:r w:rsidRPr="00E25E93">
        <w:rPr>
          <w:rFonts w:ascii="Verdana" w:eastAsia="Aptos" w:hAnsi="Verdana" w:cs="Arial"/>
          <w:sz w:val="21"/>
          <w:szCs w:val="21"/>
        </w:rPr>
        <w:lastRenderedPageBreak/>
        <w:t xml:space="preserve">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B0E5898" w14:textId="77777777" w:rsidR="0077156A" w:rsidRPr="00E25E93" w:rsidRDefault="0077156A" w:rsidP="00E25E93">
      <w:pPr>
        <w:spacing w:after="0" w:line="240" w:lineRule="auto"/>
        <w:ind w:left="709" w:right="709"/>
        <w:jc w:val="both"/>
        <w:rPr>
          <w:rFonts w:ascii="Verdana" w:eastAsia="Aptos" w:hAnsi="Verdana" w:cs="Arial"/>
          <w:sz w:val="21"/>
          <w:szCs w:val="21"/>
        </w:rPr>
      </w:pPr>
    </w:p>
    <w:p w14:paraId="3069A280" w14:textId="77777777" w:rsidR="0077156A" w:rsidRPr="00E25E93" w:rsidRDefault="0077156A" w:rsidP="00E25E93">
      <w:pPr>
        <w:spacing w:after="0" w:line="240" w:lineRule="auto"/>
        <w:ind w:left="709" w:right="709"/>
        <w:jc w:val="both"/>
        <w:rPr>
          <w:rFonts w:ascii="Verdana" w:eastAsia="Aptos" w:hAnsi="Verdana" w:cs="Arial"/>
          <w:sz w:val="21"/>
          <w:szCs w:val="21"/>
        </w:rPr>
      </w:pPr>
      <w:r w:rsidRPr="00E25E93">
        <w:rPr>
          <w:rFonts w:ascii="Verdana" w:eastAsia="Aptos" w:hAnsi="Verdana" w:cs="Arial"/>
          <w:sz w:val="21"/>
          <w:szCs w:val="21"/>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F8BD5D3" w14:textId="77777777" w:rsidR="0077156A" w:rsidRPr="00343E12" w:rsidRDefault="0077156A" w:rsidP="00E25E93">
      <w:pPr>
        <w:spacing w:after="120" w:line="276" w:lineRule="auto"/>
        <w:ind w:firstLine="709"/>
        <w:jc w:val="both"/>
        <w:rPr>
          <w:rFonts w:ascii="Verdana" w:eastAsia="Aptos" w:hAnsi="Verdana" w:cs="Arial"/>
        </w:rPr>
      </w:pPr>
    </w:p>
    <w:p w14:paraId="1296EAE1" w14:textId="77777777" w:rsidR="0077156A" w:rsidRPr="00343E12" w:rsidRDefault="0077156A" w:rsidP="00E25E93">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2BD6A71" w14:textId="77777777" w:rsidR="0077156A" w:rsidRPr="00343E12" w:rsidRDefault="0077156A" w:rsidP="00E25E93">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343E12">
        <w:rPr>
          <w:rFonts w:ascii="Verdana" w:eastAsia="Arial" w:hAnsi="Verdana" w:cs="Arial"/>
          <w:vertAlign w:val="superscript"/>
          <w:lang w:eastAsia="es-ES" w:bidi="es-ES"/>
        </w:rPr>
        <w:footnoteReference w:id="23"/>
      </w:r>
      <w:r w:rsidRPr="00343E12">
        <w:rPr>
          <w:rFonts w:ascii="Verdana" w:eastAsia="Arial" w:hAnsi="Verdana" w:cs="Arial"/>
          <w:lang w:eastAsia="es-ES" w:bidi="es-ES"/>
        </w:rPr>
        <w:t xml:space="preserve">. Para tales </w:t>
      </w:r>
      <w:r w:rsidRPr="00343E12">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77A94D6F" w14:textId="77777777" w:rsidR="0077156A" w:rsidRPr="00343E12" w:rsidRDefault="0077156A" w:rsidP="00E25E93">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50C9A1B" w14:textId="77777777" w:rsidR="0077156A" w:rsidRPr="00343E12" w:rsidRDefault="0077156A" w:rsidP="00E25E93">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4"/>
      </w:r>
      <w:r w:rsidRPr="00343E12">
        <w:rPr>
          <w:rFonts w:ascii="Verdana" w:eastAsia="Times New Roman" w:hAnsi="Verdana" w:cs="Times New Roman"/>
          <w:lang w:eastAsia="es-ES"/>
        </w:rPr>
        <w:t xml:space="preserve">. Sobre el particular, la Sala concluyó que contratos y convenios interadministrativos son </w:t>
      </w:r>
      <w:r w:rsidRPr="00343E12">
        <w:rPr>
          <w:rFonts w:ascii="Verdana" w:eastAsia="Times New Roman" w:hAnsi="Verdana" w:cs="Times New Roman"/>
          <w:lang w:eastAsia="es-ES"/>
        </w:rPr>
        <w:lastRenderedPageBreak/>
        <w:t xml:space="preserve">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F80BE2C" w14:textId="77777777" w:rsidR="0077156A" w:rsidRPr="00343E12" w:rsidRDefault="0077156A" w:rsidP="00E25E93">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490C78F2" w14:textId="77777777" w:rsidR="0077156A" w:rsidRPr="00343E12" w:rsidRDefault="0077156A" w:rsidP="00E25E93">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43E12">
        <w:rPr>
          <w:rFonts w:ascii="Verdana" w:eastAsia="Times New Roman" w:hAnsi="Verdana" w:cs="Arial"/>
          <w:i/>
          <w:iCs/>
          <w:lang w:eastAsia="es-CO"/>
        </w:rPr>
        <w:t>contratos interadministrativos</w:t>
      </w:r>
      <w:r w:rsidRPr="00343E12">
        <w:rPr>
          <w:rFonts w:ascii="Verdana" w:eastAsia="Times New Roman" w:hAnsi="Verdana" w:cs="Arial"/>
          <w:lang w:eastAsia="es-CO"/>
        </w:rPr>
        <w:t>, esta prohibición solo aplicaría a los convenios interadministrativos que impliquen la ejecución de recursos públicos</w:t>
      </w:r>
      <w:r w:rsidRPr="00343E12">
        <w:rPr>
          <w:rFonts w:ascii="Verdana" w:eastAsia="Times New Roman" w:hAnsi="Verdana" w:cs="Arial"/>
          <w:vertAlign w:val="superscript"/>
          <w:lang w:eastAsia="es-CO"/>
        </w:rPr>
        <w:footnoteReference w:id="25"/>
      </w:r>
      <w:r w:rsidRPr="00343E12">
        <w:rPr>
          <w:rFonts w:ascii="Verdana" w:eastAsia="Times New Roman" w:hAnsi="Verdana" w:cs="Arial"/>
          <w:lang w:eastAsia="es-CO"/>
        </w:rPr>
        <w:t>.</w:t>
      </w:r>
    </w:p>
    <w:p w14:paraId="7E88C961" w14:textId="77777777" w:rsidR="0077156A" w:rsidRPr="00343E12" w:rsidRDefault="0077156A" w:rsidP="00E25E93">
      <w:pPr>
        <w:spacing w:after="120" w:line="276" w:lineRule="auto"/>
        <w:ind w:firstLine="709"/>
        <w:jc w:val="both"/>
        <w:rPr>
          <w:rFonts w:ascii="Verdana" w:eastAsia="Times New Roman" w:hAnsi="Verdana" w:cs="Arial"/>
          <w:lang w:eastAsia="es-CO"/>
        </w:rPr>
      </w:pPr>
      <w:r w:rsidRPr="00343E12">
        <w:rPr>
          <w:rFonts w:ascii="Verdana" w:eastAsia="Aptos" w:hAnsi="Verdana" w:cs="Arial"/>
          <w:bCs/>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0A29CE6" w14:textId="77777777" w:rsidR="0077156A" w:rsidRPr="00343E12" w:rsidRDefault="0077156A" w:rsidP="00E25E93">
      <w:pPr>
        <w:spacing w:after="120" w:line="276" w:lineRule="auto"/>
        <w:ind w:firstLine="709"/>
        <w:jc w:val="both"/>
        <w:rPr>
          <w:rFonts w:ascii="Verdana" w:eastAsia="Aptos" w:hAnsi="Verdana" w:cs="Arial"/>
          <w:bCs/>
          <w:color w:val="000000"/>
        </w:rPr>
      </w:pPr>
      <w:r w:rsidRPr="00343E12">
        <w:rPr>
          <w:rFonts w:ascii="Verdana" w:eastAsia="Aptos"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343E12">
        <w:rPr>
          <w:rFonts w:ascii="Verdana" w:eastAsia="Aptos" w:hAnsi="Verdana" w:cs="Arial"/>
          <w:bCs/>
          <w:color w:val="000000"/>
        </w:rPr>
        <w:lastRenderedPageBreak/>
        <w:t xml:space="preserve">gestión contractual, sin que sea atribución de Colombia Compra Eficiente validar sus actuaciones. </w:t>
      </w:r>
      <w:bookmarkEnd w:id="7"/>
      <w:r w:rsidRPr="00343E12">
        <w:rPr>
          <w:rFonts w:ascii="Verdana" w:eastAsia="Aptos" w:hAnsi="Verdana" w:cs="Arial"/>
          <w:bCs/>
          <w:color w:val="000000"/>
        </w:rPr>
        <w:t xml:space="preserve"> </w:t>
      </w:r>
    </w:p>
    <w:p w14:paraId="1BF18043" w14:textId="77777777" w:rsidR="00BF51C6" w:rsidRPr="00FD15C2" w:rsidRDefault="00BF51C6" w:rsidP="30821638">
      <w:pPr>
        <w:spacing w:after="0"/>
        <w:rPr>
          <w:rFonts w:ascii="Verdana" w:hAnsi="Verdana"/>
          <w:b/>
          <w:bCs/>
        </w:rPr>
      </w:pPr>
    </w:p>
    <w:p w14:paraId="0F804241" w14:textId="0B214CA3" w:rsidR="00BF51C6" w:rsidRPr="00FD15C2" w:rsidRDefault="0094349B" w:rsidP="30821638">
      <w:pPr>
        <w:spacing w:after="0"/>
        <w:rPr>
          <w:rFonts w:ascii="Verdana" w:hAnsi="Verdana"/>
          <w:b/>
          <w:bCs/>
        </w:rPr>
      </w:pPr>
      <w:r w:rsidRPr="00FD15C2">
        <w:rPr>
          <w:rFonts w:ascii="Verdana" w:hAnsi="Verdana"/>
          <w:b/>
          <w:bCs/>
        </w:rPr>
        <w:t xml:space="preserve">4. Referencias normativas, jurisprudenciales y otras fuentes: </w:t>
      </w:r>
    </w:p>
    <w:p w14:paraId="7F5FD295" w14:textId="77777777" w:rsidR="0094349B" w:rsidRDefault="0094349B" w:rsidP="30821638">
      <w:pPr>
        <w:spacing w:after="0"/>
        <w:rPr>
          <w:rFonts w:ascii="Verdana" w:hAnsi="Verdana"/>
        </w:rPr>
      </w:pPr>
    </w:p>
    <w:p w14:paraId="0934BCA3"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Constitución Política de Colombia. Artículos: 127 y 197.</w:t>
      </w:r>
    </w:p>
    <w:p w14:paraId="47356BF1"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Ley 80 de 1993. Artículos: 39 y 41.</w:t>
      </w:r>
    </w:p>
    <w:p w14:paraId="677AD544"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1150 de 2007. Artículo 2. </w:t>
      </w:r>
    </w:p>
    <w:p w14:paraId="6E546DF0"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996 de 2025. Artículos: 9, 33 y 38. </w:t>
      </w:r>
    </w:p>
    <w:p w14:paraId="380A8108"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100 de 1993. Artículos: 100 y 197. </w:t>
      </w:r>
    </w:p>
    <w:p w14:paraId="0604D8AA"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Consejo de Estado. Sala de lo Contencioso Administrativo. Sección Primera. Sentencia de 3 de marzo de 2005. Radicado: 25001-23-15-000-2004-00823-01(PI). C.P: Camilo Arciniegas Andrade. </w:t>
      </w:r>
    </w:p>
    <w:p w14:paraId="02F8B38D"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24 de julio de 2013, radicado: 11001-03-06-000-2013-00407-00 (2166). C.P. Álvaro Namén Vargas.</w:t>
      </w:r>
    </w:p>
    <w:p w14:paraId="1A0CC7C5"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del 17 de febrero de 2015. Radicado: 11001-03-06-000-2015-00164-00 (2269). C.P. William Zambrano Cetina.</w:t>
      </w:r>
    </w:p>
    <w:p w14:paraId="77589619"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del 2 de septiembre de 2013. Radicación: 11001-03-06-000-2013-00412-00 (2168). Consejero Ponente: Álvaro Namén Vargas.</w:t>
      </w:r>
    </w:p>
    <w:p w14:paraId="1C834382"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 8 de mayo de 2018. Radicación: 11001-03-06-000-2018-00095-00 (2382). Consejero Ponente: Álvaro Namén Vargas.</w:t>
      </w:r>
    </w:p>
    <w:p w14:paraId="72C1809B"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C- 1153 de 2005. M.P. Marco Gerardo Monroy Cabra.</w:t>
      </w:r>
    </w:p>
    <w:p w14:paraId="046FA4DC"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C-233 de 4 de abril de 2002. M.P: Álvaro Tafur Galvis.</w:t>
      </w:r>
    </w:p>
    <w:p w14:paraId="4A144AC9"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lastRenderedPageBreak/>
        <w:t>Corte Constitucional. Sentencia C-551 de 9 de julio de 2003. M.P: Eduardo Montealegre Lynnet.</w:t>
      </w:r>
    </w:p>
    <w:p w14:paraId="0785EA13"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Corte Constitucional. Sentencia C-353 de 20 de mayo de 2009. M.P: Jorge Iván Palacio </w:t>
      </w:r>
      <w:proofErr w:type="spellStart"/>
      <w:r w:rsidRPr="00343E12">
        <w:rPr>
          <w:rFonts w:ascii="Verdana" w:eastAsia="Times New Roman" w:hAnsi="Verdana" w:cs="Arial"/>
          <w:color w:val="000000"/>
          <w:lang w:eastAsia="es-CO"/>
        </w:rPr>
        <w:t>Palacio</w:t>
      </w:r>
      <w:proofErr w:type="spellEnd"/>
      <w:r w:rsidRPr="00343E12">
        <w:rPr>
          <w:rFonts w:ascii="Verdana" w:eastAsia="Times New Roman" w:hAnsi="Verdana" w:cs="Arial"/>
          <w:color w:val="000000"/>
          <w:lang w:eastAsia="es-CO"/>
        </w:rPr>
        <w:t>.</w:t>
      </w:r>
    </w:p>
    <w:p w14:paraId="37718157" w14:textId="77777777" w:rsidR="00B25AB5" w:rsidRPr="00343E1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C-541 de 30 de junio de 2010. M.P: Gabriel Eduardo Mendoza Martelo.</w:t>
      </w:r>
    </w:p>
    <w:p w14:paraId="6DB7FC27" w14:textId="77777777" w:rsidR="00FD15C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C-1153 de 2005 de 11 de noviembre de 2005. M.P: Marco Gerardo Monroy Cabra.</w:t>
      </w:r>
    </w:p>
    <w:p w14:paraId="2467CC26" w14:textId="4D771D9D" w:rsidR="0094349B" w:rsidRPr="00FD15C2" w:rsidRDefault="00B25AB5" w:rsidP="00FD15C2">
      <w:pPr>
        <w:numPr>
          <w:ilvl w:val="0"/>
          <w:numId w:val="17"/>
        </w:numPr>
        <w:pBdr>
          <w:top w:val="single" w:sz="4" w:space="1" w:color="auto"/>
          <w:left w:val="single" w:sz="4" w:space="4" w:color="auto"/>
          <w:bottom w:val="single" w:sz="4" w:space="1" w:color="auto"/>
          <w:right w:val="single" w:sz="4" w:space="4" w:color="auto"/>
        </w:pBdr>
        <w:spacing w:before="120" w:line="276" w:lineRule="auto"/>
        <w:jc w:val="both"/>
        <w:rPr>
          <w:rFonts w:ascii="Verdana" w:eastAsia="Times New Roman" w:hAnsi="Verdana" w:cs="Arial"/>
          <w:color w:val="000000"/>
          <w:lang w:eastAsia="es-CO"/>
        </w:rPr>
      </w:pPr>
      <w:r w:rsidRPr="00FD15C2">
        <w:rPr>
          <w:rFonts w:ascii="Verdana" w:eastAsia="Times New Roman" w:hAnsi="Verdana" w:cs="Arial"/>
          <w:color w:val="000000"/>
          <w:lang w:eastAsia="es-CO"/>
        </w:rPr>
        <w:t xml:space="preserve">Circular única Externa. En </w:t>
      </w:r>
      <w:hyperlink r:id="rId12" w:history="1">
        <w:r w:rsidRPr="00FD15C2">
          <w:rPr>
            <w:rFonts w:ascii="Verdana" w:eastAsia="Times New Roman" w:hAnsi="Verdana" w:cs="Arial"/>
            <w:color w:val="0000FF"/>
            <w:u w:val="single"/>
            <w:lang w:eastAsia="es-CO"/>
          </w:rPr>
          <w:t>circular_externa_unica_version_3_vf49.pdf</w:t>
        </w:r>
      </w:hyperlink>
    </w:p>
    <w:p w14:paraId="63AFC8E7" w14:textId="77777777" w:rsidR="00BF51C6" w:rsidRDefault="00BF51C6" w:rsidP="30821638">
      <w:pPr>
        <w:spacing w:after="0"/>
        <w:rPr>
          <w:rFonts w:ascii="Verdana" w:hAnsi="Verdana"/>
        </w:rPr>
      </w:pPr>
    </w:p>
    <w:p w14:paraId="013ADE0B" w14:textId="77777777" w:rsidR="00B41749" w:rsidRPr="00343E12" w:rsidRDefault="00B41749" w:rsidP="00B41749">
      <w:pPr>
        <w:tabs>
          <w:tab w:val="left" w:pos="142"/>
          <w:tab w:val="left" w:pos="284"/>
        </w:tabs>
        <w:spacing w:after="0" w:line="276" w:lineRule="auto"/>
        <w:jc w:val="both"/>
        <w:rPr>
          <w:rFonts w:ascii="Verdana" w:eastAsia="Century Gothic" w:hAnsi="Verdana" w:cs="Century Gothic"/>
          <w:b/>
          <w:bCs/>
        </w:rPr>
      </w:pPr>
      <w:r w:rsidRPr="00343E12">
        <w:rPr>
          <w:rFonts w:ascii="Verdana" w:eastAsia="Century Gothic" w:hAnsi="Verdana" w:cs="Century Gothic"/>
          <w:b/>
          <w:bCs/>
        </w:rPr>
        <w:t>5. Doctrina de la Agencia Nacional de Contratación Pública:</w:t>
      </w:r>
    </w:p>
    <w:p w14:paraId="4A650B4F" w14:textId="77777777" w:rsidR="00B41749" w:rsidRPr="00343E12" w:rsidRDefault="00B41749" w:rsidP="00B41749">
      <w:pPr>
        <w:widowControl w:val="0"/>
        <w:autoSpaceDE w:val="0"/>
        <w:autoSpaceDN w:val="0"/>
        <w:spacing w:after="0" w:line="240" w:lineRule="auto"/>
        <w:jc w:val="both"/>
        <w:rPr>
          <w:rFonts w:ascii="Verdana" w:eastAsia="Aptos" w:hAnsi="Verdana" w:cs="Arial"/>
          <w:highlight w:val="yellow"/>
          <w:shd w:val="clear" w:color="auto" w:fill="FFFFFF"/>
          <w:lang w:val="es-ES"/>
        </w:rPr>
      </w:pPr>
    </w:p>
    <w:p w14:paraId="216FC233" w14:textId="77777777" w:rsidR="00B41749" w:rsidRDefault="00B41749" w:rsidP="00B41749">
      <w:pPr>
        <w:widowControl w:val="0"/>
        <w:autoSpaceDE w:val="0"/>
        <w:autoSpaceDN w:val="0"/>
        <w:spacing w:after="0" w:line="276" w:lineRule="auto"/>
        <w:jc w:val="both"/>
        <w:rPr>
          <w:rFonts w:ascii="Verdana" w:eastAsia="Aptos" w:hAnsi="Verdana" w:cs="Arial"/>
          <w:color w:val="FF0000"/>
          <w:shd w:val="clear" w:color="auto" w:fill="FFFFFF"/>
          <w:lang w:val="es-ES_tradnl"/>
        </w:rPr>
      </w:pPr>
      <w:r w:rsidRPr="00B41749">
        <w:rPr>
          <w:rFonts w:ascii="Verdana" w:eastAsia="Aptos"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y C-1492 de 21 de noviembre de 2025. </w:t>
      </w:r>
      <w:r w:rsidRPr="00B41749">
        <w:rPr>
          <w:rFonts w:ascii="Verdana" w:eastAsia="Aptos"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B41749">
          <w:rPr>
            <w:rFonts w:ascii="Verdana" w:eastAsia="Aptos" w:hAnsi="Verdana" w:cs="Arial"/>
            <w:color w:val="0000FF"/>
            <w:u w:val="single"/>
            <w:shd w:val="clear" w:color="auto" w:fill="FFFFFF"/>
            <w:lang w:val="es-ES_tradnl"/>
          </w:rPr>
          <w:t>https://relatoria.colombiacompra.gov.co/busqueda/conceptos</w:t>
        </w:r>
      </w:hyperlink>
      <w:r w:rsidRPr="00B41749">
        <w:rPr>
          <w:rFonts w:ascii="Verdana" w:eastAsia="Aptos" w:hAnsi="Verdana" w:cs="Arial"/>
          <w:shd w:val="clear" w:color="auto" w:fill="FFFFFF"/>
          <w:lang w:val="es-ES_tradnl"/>
        </w:rPr>
        <w:t xml:space="preserve">. </w:t>
      </w:r>
      <w:r w:rsidRPr="00B41749">
        <w:rPr>
          <w:rFonts w:ascii="Verdana" w:eastAsia="Aptos" w:hAnsi="Verdana" w:cs="Arial"/>
          <w:color w:val="FF0000"/>
          <w:shd w:val="clear" w:color="auto" w:fill="FFFFFF"/>
          <w:lang w:val="es-ES_tradnl"/>
        </w:rPr>
        <w:t xml:space="preserve"> </w:t>
      </w:r>
    </w:p>
    <w:p w14:paraId="15DC3979" w14:textId="77777777" w:rsidR="002C3F00" w:rsidRDefault="002C3F00" w:rsidP="00B41749">
      <w:pPr>
        <w:widowControl w:val="0"/>
        <w:autoSpaceDE w:val="0"/>
        <w:autoSpaceDN w:val="0"/>
        <w:spacing w:after="0" w:line="276" w:lineRule="auto"/>
        <w:jc w:val="both"/>
        <w:rPr>
          <w:rFonts w:ascii="Verdana" w:eastAsia="Aptos" w:hAnsi="Verdana" w:cs="Arial"/>
          <w:color w:val="FF0000"/>
          <w:shd w:val="clear" w:color="auto" w:fill="FFFFFF"/>
          <w:lang w:val="es-ES_tradnl"/>
        </w:rPr>
      </w:pPr>
    </w:p>
    <w:p w14:paraId="642F2861" w14:textId="77777777" w:rsidR="003E6EA4" w:rsidRPr="009A385A" w:rsidRDefault="003E6EA4" w:rsidP="003E6EA4">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w:t>
      </w:r>
      <w:r>
        <w:rPr>
          <w:rFonts w:ascii="Verdana" w:hAnsi="Verdana"/>
        </w:rPr>
        <w:lastRenderedPageBreak/>
        <w:t>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002CEC0E" w14:textId="77777777" w:rsidR="003E6EA4" w:rsidRDefault="003E6EA4" w:rsidP="003E6EA4">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56688E41" w14:textId="77777777" w:rsidR="003E6EA4" w:rsidRPr="00C25CDD" w:rsidRDefault="003E6EA4" w:rsidP="003E6EA4">
      <w:pPr>
        <w:spacing w:after="0" w:line="276" w:lineRule="auto"/>
        <w:jc w:val="both"/>
        <w:rPr>
          <w:rFonts w:ascii="Verdana" w:hAnsi="Verdana"/>
        </w:rPr>
      </w:pPr>
    </w:p>
    <w:p w14:paraId="04264429" w14:textId="77777777" w:rsidR="003E6EA4" w:rsidRDefault="003E6EA4" w:rsidP="003E6EA4">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0FAC9D7" w14:textId="77777777" w:rsidR="002C3F00" w:rsidRPr="00B41749" w:rsidRDefault="002C3F00" w:rsidP="00B41749">
      <w:pPr>
        <w:widowControl w:val="0"/>
        <w:autoSpaceDE w:val="0"/>
        <w:autoSpaceDN w:val="0"/>
        <w:spacing w:after="0" w:line="276" w:lineRule="auto"/>
        <w:jc w:val="both"/>
        <w:rPr>
          <w:rFonts w:ascii="Verdana" w:eastAsia="Aptos" w:hAnsi="Verdana" w:cs="Arial"/>
          <w:shd w:val="clear" w:color="auto" w:fill="FFFFFF"/>
        </w:rPr>
      </w:pPr>
    </w:p>
    <w:p w14:paraId="7E689C3E" w14:textId="7D5CD42D" w:rsidR="002A0DD0" w:rsidRPr="00116940" w:rsidRDefault="00C76B1C" w:rsidP="003E6EA4">
      <w:pPr>
        <w:spacing w:after="0"/>
        <w:rPr>
          <w:rFonts w:ascii="Verdana" w:eastAsia="Verdana" w:hAnsi="Verdana" w:cs="Verdana"/>
        </w:rPr>
      </w:pPr>
      <w:r w:rsidRPr="30821638">
        <w:rPr>
          <w:rFonts w:ascii="Verdana" w:eastAsia="Verdana" w:hAnsi="Verdana" w:cs="Verdana"/>
        </w:rPr>
        <w:t>Por último, a</w:t>
      </w:r>
      <w:r w:rsidR="00DA231B" w:rsidRPr="30821638">
        <w:rPr>
          <w:rFonts w:ascii="Verdana" w:eastAsia="Verdana" w:hAnsi="Verdana" w:cs="Verdana"/>
        </w:rPr>
        <w:t xml:space="preserve">provechamos la oportunidad </w:t>
      </w:r>
      <w:r w:rsidR="002707A2" w:rsidRPr="30821638">
        <w:rPr>
          <w:rFonts w:ascii="Verdana" w:eastAsia="Verdana" w:hAnsi="Verdana" w:cs="Verdana"/>
        </w:rPr>
        <w:t xml:space="preserve">de </w:t>
      </w:r>
      <w:r w:rsidR="00DA231B" w:rsidRPr="30821638">
        <w:rPr>
          <w:rFonts w:ascii="Verdana" w:eastAsia="Verdana" w:hAnsi="Verdana" w:cs="Verdana"/>
        </w:rPr>
        <w:t>manifestar la entera disposición de la Agencia Nacional de Contratación Pública –Colombia Compra Eficiente– para atender l</w:t>
      </w:r>
      <w:r w:rsidR="00322A85" w:rsidRPr="30821638">
        <w:rPr>
          <w:rFonts w:ascii="Verdana" w:eastAsia="Verdana" w:hAnsi="Verdana" w:cs="Verdana"/>
        </w:rPr>
        <w:t>as peticiones</w:t>
      </w:r>
      <w:r w:rsidR="00771D0C" w:rsidRPr="30821638">
        <w:rPr>
          <w:rFonts w:ascii="Verdana" w:eastAsia="Verdana" w:hAnsi="Verdana" w:cs="Verdana"/>
        </w:rPr>
        <w:t xml:space="preserve"> o solicitudes</w:t>
      </w:r>
      <w:r w:rsidR="00DA231B" w:rsidRPr="30821638">
        <w:rPr>
          <w:rFonts w:ascii="Verdana" w:eastAsia="Verdana" w:hAnsi="Verdana" w:cs="Verdana"/>
        </w:rPr>
        <w:t>, así como para brindar el apoyo que se requiera en el marco de nuestras funciones</w:t>
      </w:r>
      <w:r w:rsidR="002A0DD0" w:rsidRPr="30821638">
        <w:rPr>
          <w:rFonts w:ascii="Verdana" w:eastAsia="Verdana" w:hAnsi="Verdana" w:cs="Verdana"/>
        </w:rPr>
        <w:t xml:space="preserve"> a través de </w:t>
      </w:r>
      <w:r w:rsidR="002707A2" w:rsidRPr="30821638">
        <w:rPr>
          <w:rFonts w:ascii="Verdana" w:eastAsia="Verdana" w:hAnsi="Verdana" w:cs="Verdana"/>
        </w:rPr>
        <w:t>nuestros diferentes canales de</w:t>
      </w:r>
      <w:r w:rsidR="002A0DD0" w:rsidRPr="30821638">
        <w:rPr>
          <w:rFonts w:ascii="Verdana" w:eastAsia="Verdana" w:hAnsi="Verdana" w:cs="Verdana"/>
        </w:rPr>
        <w:t xml:space="preserve"> atención: </w:t>
      </w:r>
    </w:p>
    <w:p w14:paraId="069DC861" w14:textId="4F32C71A" w:rsidR="7BB183BC" w:rsidRPr="00116940" w:rsidRDefault="7BB183BC" w:rsidP="30821638">
      <w:pPr>
        <w:spacing w:after="0"/>
        <w:jc w:val="both"/>
        <w:rPr>
          <w:rFonts w:ascii="Verdana" w:eastAsia="Verdana" w:hAnsi="Verdana" w:cs="Verdana"/>
        </w:rPr>
      </w:pPr>
    </w:p>
    <w:p w14:paraId="6517DADA" w14:textId="25D0771C" w:rsidR="2859CA1B" w:rsidRPr="00116940" w:rsidRDefault="2859CA1B" w:rsidP="30821638">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30821638">
        <w:rPr>
          <w:rFonts w:ascii="Verdana" w:eastAsia="Verdana" w:hAnsi="Verdana" w:cs="Verdana"/>
          <w:lang w:val="es-MX"/>
        </w:rPr>
        <w:t xml:space="preserve">Línea nacional gratuita o servicio a la ciudadanía (Mesa de servicio): </w:t>
      </w:r>
      <w:r w:rsidRPr="30821638">
        <w:rPr>
          <w:rStyle w:val="Hipervnculo"/>
          <w:rFonts w:ascii="Verdana" w:eastAsia="Verdana" w:hAnsi="Verdana" w:cs="Verdana"/>
        </w:rPr>
        <w:t>01800 0520808</w:t>
      </w:r>
    </w:p>
    <w:p w14:paraId="07E438E0" w14:textId="0F16C806" w:rsidR="2859CA1B" w:rsidRPr="00116940" w:rsidRDefault="2859CA1B" w:rsidP="30821638">
      <w:pPr>
        <w:pStyle w:val="Prrafodelista"/>
        <w:numPr>
          <w:ilvl w:val="0"/>
          <w:numId w:val="15"/>
        </w:numPr>
        <w:spacing w:after="0"/>
        <w:rPr>
          <w:rFonts w:ascii="Verdana" w:eastAsia="Verdana" w:hAnsi="Verdana" w:cs="Verdana"/>
          <w:color w:val="4472C4" w:themeColor="accent1"/>
          <w:u w:val="single"/>
          <w:lang w:val="es-MX"/>
        </w:rPr>
      </w:pPr>
      <w:r w:rsidRPr="30821638">
        <w:rPr>
          <w:rFonts w:ascii="Verdana" w:eastAsia="Verdana" w:hAnsi="Verdana" w:cs="Verdana"/>
          <w:lang w:val="es-MX"/>
        </w:rPr>
        <w:t>Línea en Bogotá (Mesa de servicio</w:t>
      </w:r>
      <w:proofErr w:type="gramStart"/>
      <w:r w:rsidRPr="30821638">
        <w:rPr>
          <w:rFonts w:ascii="Verdana" w:eastAsia="Verdana" w:hAnsi="Verdana" w:cs="Verdana"/>
          <w:lang w:val="es-MX"/>
        </w:rPr>
        <w:t>):</w:t>
      </w:r>
      <w:r w:rsidRPr="30821638">
        <w:rPr>
          <w:rStyle w:val="Hipervnculo"/>
          <w:rFonts w:ascii="Verdana" w:eastAsia="Verdana" w:hAnsi="Verdana" w:cs="Verdana"/>
        </w:rPr>
        <w:t>+</w:t>
      </w:r>
      <w:proofErr w:type="gramEnd"/>
      <w:r w:rsidRPr="30821638">
        <w:rPr>
          <w:rStyle w:val="Hipervnculo"/>
          <w:rFonts w:ascii="Verdana" w:eastAsia="Verdana" w:hAnsi="Verdana" w:cs="Verdana"/>
        </w:rPr>
        <w:t>57 601 7456788</w:t>
      </w:r>
    </w:p>
    <w:p w14:paraId="7945A7C5" w14:textId="26D6647F" w:rsidR="2859CA1B" w:rsidRPr="00116940" w:rsidRDefault="2859CA1B" w:rsidP="30821638">
      <w:pPr>
        <w:pStyle w:val="Prrafodelista"/>
        <w:numPr>
          <w:ilvl w:val="0"/>
          <w:numId w:val="15"/>
        </w:numPr>
        <w:spacing w:after="0"/>
        <w:rPr>
          <w:rFonts w:ascii="Verdana" w:eastAsia="Verdana" w:hAnsi="Verdana" w:cs="Verdana"/>
          <w:color w:val="0000FF"/>
          <w:u w:val="single"/>
          <w:lang w:val="es-MX"/>
        </w:rPr>
      </w:pPr>
      <w:r w:rsidRPr="30821638">
        <w:rPr>
          <w:rFonts w:ascii="Verdana" w:eastAsia="Verdana" w:hAnsi="Verdana" w:cs="Verdana"/>
          <w:lang w:val="es-MX"/>
        </w:rPr>
        <w:t xml:space="preserve">Correo de radicación de correspondencia: </w:t>
      </w:r>
      <w:hyperlink r:id="rId17">
        <w:r w:rsidRPr="30821638">
          <w:rPr>
            <w:rStyle w:val="Hipervnculo"/>
            <w:rFonts w:ascii="Verdana" w:eastAsia="Verdana" w:hAnsi="Verdana" w:cs="Verdana"/>
            <w:lang w:val="es-MX"/>
          </w:rPr>
          <w:t>ventanilladeradicacion@colombiacompra.gov.co</w:t>
        </w:r>
      </w:hyperlink>
    </w:p>
    <w:p w14:paraId="25415399" w14:textId="47FE78B8" w:rsidR="2859CA1B" w:rsidRPr="00116940" w:rsidRDefault="2859CA1B" w:rsidP="30821638">
      <w:pPr>
        <w:pStyle w:val="Prrafodelista"/>
        <w:numPr>
          <w:ilvl w:val="0"/>
          <w:numId w:val="15"/>
        </w:numPr>
        <w:spacing w:after="0"/>
        <w:rPr>
          <w:rFonts w:ascii="Verdana" w:eastAsia="Verdana" w:hAnsi="Verdana" w:cs="Verdana"/>
          <w:color w:val="0000FF"/>
          <w:u w:val="single"/>
          <w:lang w:val="es-MX"/>
        </w:rPr>
      </w:pPr>
      <w:r w:rsidRPr="30821638">
        <w:rPr>
          <w:rFonts w:ascii="Verdana" w:eastAsia="Verdana" w:hAnsi="Verdana" w:cs="Verdana"/>
        </w:rPr>
        <w:lastRenderedPageBreak/>
        <w:t>Formulario web para</w:t>
      </w:r>
      <w:r w:rsidRPr="30821638">
        <w:rPr>
          <w:rFonts w:ascii="Verdana" w:eastAsia="Verdana" w:hAnsi="Verdana" w:cs="Verdana"/>
          <w:lang w:val="es"/>
        </w:rPr>
        <w:t xml:space="preserve"> PQRSD: </w:t>
      </w:r>
      <w:hyperlink r:id="rId18">
        <w:r w:rsidRPr="30821638">
          <w:rPr>
            <w:rStyle w:val="Hipervnculo"/>
            <w:rFonts w:ascii="Verdana" w:eastAsia="Verdana" w:hAnsi="Verdana" w:cs="Verdana"/>
            <w:lang w:val="es-MX"/>
          </w:rPr>
          <w:t>https://www.colombiacompra.gov.co/pqrsd/informacion-importante-antes-de-formular-una-pqrsd</w:t>
        </w:r>
      </w:hyperlink>
    </w:p>
    <w:p w14:paraId="2D232D95" w14:textId="1D08DC67" w:rsidR="7BB183BC" w:rsidRPr="00116940" w:rsidRDefault="7BB183BC" w:rsidP="30821638">
      <w:pPr>
        <w:spacing w:after="0" w:line="240" w:lineRule="auto"/>
        <w:ind w:left="720"/>
        <w:jc w:val="both"/>
        <w:rPr>
          <w:rFonts w:ascii="Verdana" w:eastAsia="Verdana" w:hAnsi="Verdana" w:cs="Verdana"/>
        </w:rPr>
      </w:pPr>
    </w:p>
    <w:p w14:paraId="5242CF58" w14:textId="63C6ABFE" w:rsidR="00330834" w:rsidRPr="00116940" w:rsidRDefault="002E2BF8" w:rsidP="30821638">
      <w:pPr>
        <w:spacing w:after="0" w:line="240" w:lineRule="auto"/>
        <w:rPr>
          <w:rFonts w:ascii="Verdana" w:eastAsia="Verdana" w:hAnsi="Verdana" w:cs="Verdana"/>
        </w:rPr>
      </w:pPr>
      <w:r w:rsidRPr="30821638">
        <w:rPr>
          <w:rFonts w:ascii="Verdana" w:eastAsia="Verdana" w:hAnsi="Verdana" w:cs="Verdana"/>
        </w:rPr>
        <w:t xml:space="preserve">Evalúa el servicio que ofrece la Agencia por el canal de atención de PQRSD en el siguiente </w:t>
      </w:r>
      <w:proofErr w:type="gramStart"/>
      <w:r w:rsidRPr="30821638">
        <w:rPr>
          <w:rFonts w:ascii="Verdana" w:eastAsia="Verdana" w:hAnsi="Verdana" w:cs="Verdana"/>
        </w:rPr>
        <w:t>enlace :</w:t>
      </w:r>
      <w:proofErr w:type="gramEnd"/>
      <w:hyperlink r:id="rId19">
        <w:r w:rsidRPr="30821638">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56C7873D" w14:textId="77777777" w:rsidR="002E2BF8" w:rsidRPr="00116940" w:rsidRDefault="002E2BF8" w:rsidP="30821638">
      <w:pPr>
        <w:spacing w:after="0" w:line="240" w:lineRule="auto"/>
        <w:rPr>
          <w:rFonts w:ascii="Verdana" w:eastAsia="Verdana" w:hAnsi="Verdana" w:cs="Verdana"/>
        </w:rPr>
      </w:pPr>
    </w:p>
    <w:p w14:paraId="2DFF8948" w14:textId="091BC035" w:rsidR="002A0DD0" w:rsidRPr="00116940" w:rsidRDefault="002707A2" w:rsidP="30821638">
      <w:pPr>
        <w:spacing w:after="0" w:line="240" w:lineRule="auto"/>
        <w:jc w:val="both"/>
        <w:rPr>
          <w:rFonts w:ascii="Verdana" w:eastAsia="Verdana" w:hAnsi="Verdana" w:cs="Verdana"/>
        </w:rPr>
      </w:pPr>
      <w:r w:rsidRPr="30821638">
        <w:rPr>
          <w:rFonts w:ascii="Verdana" w:eastAsia="Verdana" w:hAnsi="Verdana" w:cs="Verdana"/>
        </w:rPr>
        <w:t xml:space="preserve">Por último, lo invitamos a seguirnos en las </w:t>
      </w:r>
      <w:r w:rsidR="002A0DD0" w:rsidRPr="30821638">
        <w:rPr>
          <w:rFonts w:ascii="Verdana" w:eastAsia="Verdana" w:hAnsi="Verdana" w:cs="Verdana"/>
        </w:rPr>
        <w:t xml:space="preserve">redes sociales en las cuales se </w:t>
      </w:r>
      <w:r w:rsidRPr="30821638">
        <w:rPr>
          <w:rFonts w:ascii="Verdana" w:eastAsia="Verdana" w:hAnsi="Verdana" w:cs="Verdana"/>
        </w:rPr>
        <w:t xml:space="preserve">difunde </w:t>
      </w:r>
      <w:r w:rsidR="002A0DD0" w:rsidRPr="30821638">
        <w:rPr>
          <w:rFonts w:ascii="Verdana" w:eastAsia="Verdana" w:hAnsi="Verdana" w:cs="Verdana"/>
        </w:rPr>
        <w:t>información institucional</w:t>
      </w:r>
      <w:r w:rsidRPr="30821638">
        <w:rPr>
          <w:rFonts w:ascii="Verdana" w:eastAsia="Verdana" w:hAnsi="Verdana" w:cs="Verdana"/>
        </w:rPr>
        <w:t xml:space="preserve">: </w:t>
      </w:r>
    </w:p>
    <w:p w14:paraId="3F42646D" w14:textId="77777777" w:rsidR="002A0DD0" w:rsidRPr="00116940" w:rsidRDefault="002A0DD0" w:rsidP="30821638">
      <w:pPr>
        <w:spacing w:after="0" w:line="240" w:lineRule="auto"/>
        <w:jc w:val="both"/>
        <w:rPr>
          <w:rFonts w:ascii="Verdana" w:eastAsia="Verdana" w:hAnsi="Verdana" w:cs="Verdana"/>
        </w:rPr>
      </w:pPr>
    </w:p>
    <w:p w14:paraId="71137832" w14:textId="77777777" w:rsidR="002A0DD0" w:rsidRPr="00116940" w:rsidRDefault="002A0DD0" w:rsidP="30821638">
      <w:pPr>
        <w:spacing w:after="0" w:line="240" w:lineRule="auto"/>
        <w:jc w:val="both"/>
        <w:rPr>
          <w:rFonts w:ascii="Verdana" w:eastAsia="Verdana" w:hAnsi="Verdana" w:cs="Verdana"/>
        </w:rPr>
      </w:pPr>
      <w:r w:rsidRPr="30821638">
        <w:rPr>
          <w:rFonts w:ascii="Verdana" w:eastAsia="Verdana" w:hAnsi="Verdana" w:cs="Verdana"/>
        </w:rPr>
        <w:t xml:space="preserve">Twitter: </w:t>
      </w:r>
      <w:r w:rsidRPr="30821638">
        <w:rPr>
          <w:rStyle w:val="Hipervnculo"/>
          <w:rFonts w:ascii="Verdana" w:eastAsia="Verdana" w:hAnsi="Verdana" w:cs="Verdana"/>
        </w:rPr>
        <w:t>@colombiacompra</w:t>
      </w:r>
      <w:r w:rsidRPr="30821638">
        <w:rPr>
          <w:rFonts w:ascii="Verdana" w:eastAsia="Verdana" w:hAnsi="Verdana" w:cs="Verdana"/>
        </w:rPr>
        <w:t xml:space="preserve"> </w:t>
      </w:r>
    </w:p>
    <w:p w14:paraId="12F704C3" w14:textId="77777777" w:rsidR="002A0DD0" w:rsidRPr="00116940" w:rsidRDefault="002A0DD0" w:rsidP="30821638">
      <w:pPr>
        <w:spacing w:after="0" w:line="240" w:lineRule="auto"/>
        <w:jc w:val="both"/>
        <w:rPr>
          <w:rFonts w:ascii="Verdana" w:eastAsia="Verdana" w:hAnsi="Verdana" w:cs="Verdana"/>
        </w:rPr>
      </w:pPr>
      <w:r w:rsidRPr="30821638">
        <w:rPr>
          <w:rFonts w:ascii="Verdana" w:eastAsia="Verdana" w:hAnsi="Verdana" w:cs="Verdana"/>
        </w:rPr>
        <w:t xml:space="preserve">Facebook: </w:t>
      </w:r>
      <w:proofErr w:type="spellStart"/>
      <w:r w:rsidRPr="30821638">
        <w:rPr>
          <w:rStyle w:val="Hipervnculo"/>
          <w:rFonts w:ascii="Verdana" w:eastAsia="Verdana" w:hAnsi="Verdana" w:cs="Verdana"/>
        </w:rPr>
        <w:t>ColombiaCompraEficiente</w:t>
      </w:r>
      <w:proofErr w:type="spellEnd"/>
    </w:p>
    <w:p w14:paraId="297E6437" w14:textId="77777777" w:rsidR="002A0DD0" w:rsidRPr="00116940" w:rsidRDefault="002A0DD0" w:rsidP="30821638">
      <w:pPr>
        <w:spacing w:after="0" w:line="240" w:lineRule="auto"/>
        <w:jc w:val="both"/>
        <w:rPr>
          <w:rFonts w:ascii="Verdana" w:eastAsia="Verdana" w:hAnsi="Verdana" w:cs="Verdana"/>
        </w:rPr>
      </w:pPr>
      <w:r w:rsidRPr="30821638">
        <w:rPr>
          <w:rFonts w:ascii="Verdana" w:eastAsia="Verdana" w:hAnsi="Verdana" w:cs="Verdana"/>
        </w:rPr>
        <w:t xml:space="preserve">LinkedIn: </w:t>
      </w:r>
      <w:r w:rsidRPr="30821638">
        <w:rPr>
          <w:rStyle w:val="Hipervnculo"/>
          <w:rFonts w:ascii="Verdana" w:eastAsia="Verdana" w:hAnsi="Verdana" w:cs="Verdana"/>
        </w:rPr>
        <w:t>Agencia Nacional de Contratación Pública - Colombia Compra Eficiente</w:t>
      </w:r>
      <w:r w:rsidRPr="30821638">
        <w:rPr>
          <w:rFonts w:ascii="Verdana" w:eastAsia="Verdana" w:hAnsi="Verdana" w:cs="Verdana"/>
        </w:rPr>
        <w:t xml:space="preserve"> Instagram: </w:t>
      </w:r>
      <w:r w:rsidRPr="30821638">
        <w:rPr>
          <w:rStyle w:val="Hipervnculo"/>
          <w:rFonts w:ascii="Verdana" w:eastAsia="Verdana" w:hAnsi="Verdana" w:cs="Verdana"/>
        </w:rPr>
        <w:t>@colombiacompraeficiente_cce</w:t>
      </w:r>
    </w:p>
    <w:p w14:paraId="70D74E5F" w14:textId="77777777" w:rsidR="002A0DD0" w:rsidRPr="00116940" w:rsidRDefault="002A0DD0" w:rsidP="30821638">
      <w:pPr>
        <w:spacing w:after="0" w:line="240" w:lineRule="auto"/>
        <w:jc w:val="both"/>
        <w:rPr>
          <w:rFonts w:ascii="Verdana" w:eastAsia="Verdana" w:hAnsi="Verdana" w:cs="Verdana"/>
        </w:rPr>
      </w:pPr>
    </w:p>
    <w:p w14:paraId="67A44998" w14:textId="77777777" w:rsidR="001A33BF" w:rsidRDefault="001A33BF" w:rsidP="30821638">
      <w:pPr>
        <w:spacing w:after="0" w:line="240" w:lineRule="auto"/>
        <w:jc w:val="both"/>
        <w:rPr>
          <w:rFonts w:ascii="Verdana" w:eastAsia="Verdana" w:hAnsi="Verdana" w:cs="Verdana"/>
          <w:lang w:val="es-MX"/>
        </w:rPr>
      </w:pPr>
    </w:p>
    <w:p w14:paraId="64A8BE03" w14:textId="6B3C1A07" w:rsidR="001A33BF" w:rsidRDefault="001A33BF" w:rsidP="30821638">
      <w:pPr>
        <w:spacing w:after="0" w:line="240" w:lineRule="auto"/>
        <w:jc w:val="both"/>
        <w:rPr>
          <w:rFonts w:ascii="Verdana" w:eastAsia="Verdana" w:hAnsi="Verdana" w:cs="Verdana"/>
          <w:lang w:val="es-MX"/>
        </w:rPr>
      </w:pPr>
    </w:p>
    <w:p w14:paraId="0EE67BCA" w14:textId="47F0480D" w:rsidR="002A0DD0" w:rsidRDefault="00E3116D" w:rsidP="30821638">
      <w:pPr>
        <w:spacing w:after="0" w:line="240" w:lineRule="auto"/>
        <w:jc w:val="both"/>
        <w:rPr>
          <w:rFonts w:ascii="Verdana" w:eastAsia="Verdana" w:hAnsi="Verdana" w:cs="Verdana"/>
          <w:lang w:val="es-MX"/>
        </w:rPr>
      </w:pPr>
      <w:r>
        <w:rPr>
          <w:noProof/>
        </w:rPr>
        <w:drawing>
          <wp:anchor distT="0" distB="0" distL="114300" distR="114300" simplePos="0" relativeHeight="251660288" behindDoc="1" locked="0" layoutInCell="1" allowOverlap="1" wp14:anchorId="0E78A3D5" wp14:editId="2D58AFC5">
            <wp:simplePos x="0" y="0"/>
            <wp:positionH relativeFrom="column">
              <wp:posOffset>1447165</wp:posOffset>
            </wp:positionH>
            <wp:positionV relativeFrom="paragraph">
              <wp:posOffset>37465</wp:posOffset>
            </wp:positionV>
            <wp:extent cx="3768725" cy="1399540"/>
            <wp:effectExtent l="0" t="0" r="3175" b="0"/>
            <wp:wrapTight wrapText="bothSides">
              <wp:wrapPolygon edited="0">
                <wp:start x="0" y="0"/>
                <wp:lineTo x="0" y="21169"/>
                <wp:lineTo x="21509" y="21169"/>
                <wp:lineTo x="21509" y="0"/>
                <wp:lineTo x="0" y="0"/>
              </wp:wrapPolygon>
            </wp:wrapTight>
            <wp:docPr id="2" name="Imagen 2"/>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anchor>
        </w:drawing>
      </w:r>
      <w:r w:rsidR="002A0DD0" w:rsidRPr="30821638">
        <w:rPr>
          <w:rFonts w:ascii="Verdana" w:eastAsia="Verdana" w:hAnsi="Verdana" w:cs="Verdana"/>
          <w:lang w:val="es-MX"/>
        </w:rPr>
        <w:t>Cordialmente,</w:t>
      </w:r>
    </w:p>
    <w:p w14:paraId="0B8283AC" w14:textId="4FC80839" w:rsidR="00024A44" w:rsidRPr="00E02524" w:rsidRDefault="00024A44" w:rsidP="30821638">
      <w:pPr>
        <w:spacing w:after="0" w:line="240" w:lineRule="auto"/>
        <w:jc w:val="both"/>
        <w:rPr>
          <w:rFonts w:ascii="Verdana" w:eastAsia="Verdana" w:hAnsi="Verdana" w:cs="Verdana"/>
          <w:lang w:val="es-MX"/>
        </w:rPr>
      </w:pP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Default="00C15139" w:rsidP="30821638">
      <w:pPr>
        <w:spacing w:after="0" w:line="240" w:lineRule="auto"/>
        <w:jc w:val="both"/>
        <w:textAlignment w:val="baseline"/>
        <w:rPr>
          <w:rFonts w:ascii="Verdana" w:eastAsia="Verdana" w:hAnsi="Verdana" w:cs="Verdana"/>
          <w:lang w:eastAsia="es-CO"/>
        </w:rPr>
      </w:pPr>
    </w:p>
    <w:p w14:paraId="3FCF6A3E" w14:textId="77777777" w:rsidR="00024A44" w:rsidRDefault="00024A44" w:rsidP="30821638">
      <w:pPr>
        <w:spacing w:after="0" w:line="240" w:lineRule="auto"/>
        <w:jc w:val="both"/>
        <w:textAlignment w:val="baseline"/>
        <w:rPr>
          <w:rFonts w:ascii="Verdana" w:eastAsia="Verdana" w:hAnsi="Verdana" w:cs="Verdana"/>
          <w:lang w:eastAsia="es-CO"/>
        </w:rPr>
      </w:pPr>
    </w:p>
    <w:p w14:paraId="2A02E85D" w14:textId="77777777" w:rsidR="00024A44" w:rsidRDefault="00024A44" w:rsidP="30821638">
      <w:pPr>
        <w:spacing w:after="0" w:line="240" w:lineRule="auto"/>
        <w:jc w:val="both"/>
        <w:textAlignment w:val="baseline"/>
        <w:rPr>
          <w:rFonts w:ascii="Verdana" w:eastAsia="Verdana" w:hAnsi="Verdana" w:cs="Verdana"/>
          <w:lang w:eastAsia="es-CO"/>
        </w:rPr>
      </w:pPr>
    </w:p>
    <w:p w14:paraId="24E1B458" w14:textId="77777777" w:rsidR="00024A44" w:rsidRDefault="00024A44" w:rsidP="30821638">
      <w:pPr>
        <w:spacing w:after="0" w:line="240" w:lineRule="auto"/>
        <w:jc w:val="both"/>
        <w:textAlignment w:val="baseline"/>
        <w:rPr>
          <w:rFonts w:ascii="Verdana" w:eastAsia="Verdana" w:hAnsi="Verdana" w:cs="Verdana"/>
          <w:lang w:eastAsia="es-CO"/>
        </w:rPr>
      </w:pPr>
    </w:p>
    <w:p w14:paraId="7DB356C5" w14:textId="77777777" w:rsidR="00DB581F" w:rsidRDefault="00DB581F" w:rsidP="00DB581F">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DB581F" w:rsidRPr="004C0111" w14:paraId="0D863BF4" w14:textId="77777777" w:rsidTr="00B63E6C">
        <w:trPr>
          <w:trHeight w:val="622"/>
        </w:trPr>
        <w:tc>
          <w:tcPr>
            <w:tcW w:w="893" w:type="dxa"/>
            <w:vAlign w:val="center"/>
            <w:hideMark/>
          </w:tcPr>
          <w:p w14:paraId="6414BD53" w14:textId="77777777" w:rsidR="00DB581F" w:rsidRPr="004C0111" w:rsidRDefault="00DB581F" w:rsidP="00B63E6C">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DB581F" w:rsidRPr="004C0111" w14:paraId="6D896EE6" w14:textId="77777777" w:rsidTr="00B63E6C">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0AAFF970" w14:textId="77777777" w:rsidR="00DB581F" w:rsidRPr="004C0111" w:rsidRDefault="00DB581F" w:rsidP="00B63E6C">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1C0100D3" w14:textId="77777777" w:rsidR="00DB581F" w:rsidRPr="004C0111" w:rsidRDefault="00DB581F" w:rsidP="00B63E6C">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4C705C00" w14:textId="77777777" w:rsidR="00DB581F" w:rsidRPr="004C0111" w:rsidRDefault="00DB581F" w:rsidP="00B63E6C">
            <w:pPr>
              <w:rPr>
                <w:rFonts w:ascii="Verdana" w:eastAsia="Calibri" w:hAnsi="Verdana" w:cs="Arial"/>
                <w:sz w:val="16"/>
                <w:szCs w:val="16"/>
                <w:lang w:val="es-MX"/>
              </w:rPr>
            </w:pPr>
          </w:p>
        </w:tc>
      </w:tr>
      <w:tr w:rsidR="00DB581F" w:rsidRPr="004C0111" w14:paraId="1480A764" w14:textId="77777777" w:rsidTr="00B63E6C">
        <w:trPr>
          <w:trHeight w:val="330"/>
        </w:trPr>
        <w:tc>
          <w:tcPr>
            <w:tcW w:w="893" w:type="dxa"/>
            <w:vAlign w:val="center"/>
            <w:hideMark/>
          </w:tcPr>
          <w:p w14:paraId="71B6ABD8" w14:textId="77777777" w:rsidR="00DB581F" w:rsidRPr="004C0111" w:rsidRDefault="00DB581F" w:rsidP="00B63E6C">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07EB841E" w14:textId="52A8B437" w:rsidR="00DB581F" w:rsidRPr="004C0111" w:rsidRDefault="00DB581F" w:rsidP="00B63E6C">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 xml:space="preserve">Adriana López Rodríguez </w:t>
            </w:r>
          </w:p>
          <w:p w14:paraId="7138361B" w14:textId="77777777" w:rsidR="00DB581F" w:rsidRPr="004C0111" w:rsidRDefault="00DB581F" w:rsidP="00B63E6C">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DB581F" w:rsidRPr="004C0111" w14:paraId="43A8DE3B" w14:textId="77777777" w:rsidTr="00B63E6C">
        <w:trPr>
          <w:trHeight w:val="77"/>
        </w:trPr>
        <w:tc>
          <w:tcPr>
            <w:tcW w:w="893" w:type="dxa"/>
            <w:vAlign w:val="center"/>
          </w:tcPr>
          <w:p w14:paraId="26A26B4A" w14:textId="77777777" w:rsidR="00DB581F" w:rsidRPr="004C0111" w:rsidRDefault="00DB581F" w:rsidP="00B63E6C">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3FFAC60E" w14:textId="77777777" w:rsidR="00DB581F" w:rsidRPr="002F2853" w:rsidRDefault="00DB581F" w:rsidP="00B63E6C">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128CEE91" w14:textId="77777777" w:rsidR="00DB581F" w:rsidRPr="004C0111" w:rsidRDefault="00DB581F" w:rsidP="00B63E6C">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3350D889" w14:textId="77777777" w:rsidR="00024A44" w:rsidRDefault="00024A44" w:rsidP="30821638">
      <w:pPr>
        <w:spacing w:after="0" w:line="240" w:lineRule="auto"/>
        <w:jc w:val="both"/>
        <w:textAlignment w:val="baseline"/>
        <w:rPr>
          <w:rFonts w:ascii="Verdana" w:eastAsia="Verdana" w:hAnsi="Verdana" w:cs="Verdana"/>
          <w:lang w:eastAsia="es-CO"/>
        </w:rPr>
      </w:pPr>
    </w:p>
    <w:p w14:paraId="0DAD3210" w14:textId="77777777" w:rsidR="00024A44" w:rsidRDefault="00024A44" w:rsidP="30821638">
      <w:pPr>
        <w:spacing w:after="0" w:line="240" w:lineRule="auto"/>
        <w:jc w:val="both"/>
        <w:textAlignment w:val="baseline"/>
        <w:rPr>
          <w:rFonts w:ascii="Verdana" w:eastAsia="Verdana" w:hAnsi="Verdana" w:cs="Verdana"/>
          <w:lang w:eastAsia="es-CO"/>
        </w:rPr>
      </w:pPr>
    </w:p>
    <w:p w14:paraId="19551B59" w14:textId="77777777" w:rsidR="00024A44" w:rsidRPr="000E2B93" w:rsidRDefault="00024A44" w:rsidP="30821638">
      <w:pPr>
        <w:spacing w:after="0" w:line="240" w:lineRule="auto"/>
        <w:jc w:val="both"/>
        <w:textAlignment w:val="baseline"/>
        <w:rPr>
          <w:rFonts w:ascii="Verdana" w:eastAsia="Verdana" w:hAnsi="Verdana" w:cs="Verdana"/>
          <w:lang w:eastAsia="es-CO"/>
        </w:rPr>
      </w:pPr>
    </w:p>
    <w:p w14:paraId="69BC4D14" w14:textId="4333D580"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493E8921" w14:textId="77777777" w:rsidR="002E2BF8" w:rsidRPr="00E02524" w:rsidRDefault="002E2BF8" w:rsidP="30821638">
      <w:pPr>
        <w:spacing w:after="0"/>
        <w:jc w:val="both"/>
        <w:rPr>
          <w:rFonts w:ascii="Verdana" w:eastAsia="Verdana" w:hAnsi="Verdana" w:cs="Verdana"/>
          <w:lang w:val="es-ES"/>
        </w:rPr>
      </w:pPr>
    </w:p>
    <w:p w14:paraId="7AB8EA08" w14:textId="77777777" w:rsidR="002E2BF8" w:rsidRPr="00E02524" w:rsidRDefault="002E2BF8" w:rsidP="30821638">
      <w:pPr>
        <w:spacing w:after="0"/>
        <w:jc w:val="both"/>
        <w:rPr>
          <w:rFonts w:ascii="Verdana" w:eastAsia="Verdana" w:hAnsi="Verdana" w:cs="Verdana"/>
          <w:lang w:val="es-ES"/>
        </w:rPr>
      </w:pPr>
    </w:p>
    <w:bookmarkEnd w:id="0"/>
    <w:p w14:paraId="0F293BF4" w14:textId="6BDEECA8" w:rsidR="00127233" w:rsidRPr="0015699B" w:rsidRDefault="00127233" w:rsidP="00870C28">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B9BB8" w14:textId="77777777" w:rsidR="00D830E9" w:rsidRDefault="00D830E9" w:rsidP="004A1847">
      <w:pPr>
        <w:spacing w:after="0" w:line="240" w:lineRule="auto"/>
      </w:pPr>
      <w:r>
        <w:separator/>
      </w:r>
    </w:p>
  </w:endnote>
  <w:endnote w:type="continuationSeparator" w:id="0">
    <w:p w14:paraId="02D94E1C" w14:textId="77777777" w:rsidR="00D830E9" w:rsidRDefault="00D830E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9AAF0" w14:textId="77777777" w:rsidR="00D830E9" w:rsidRDefault="00D830E9" w:rsidP="004A1847">
      <w:pPr>
        <w:spacing w:after="0" w:line="240" w:lineRule="auto"/>
      </w:pPr>
      <w:r>
        <w:separator/>
      </w:r>
    </w:p>
  </w:footnote>
  <w:footnote w:type="continuationSeparator" w:id="0">
    <w:p w14:paraId="7597529B" w14:textId="77777777" w:rsidR="00D830E9" w:rsidRDefault="00D830E9" w:rsidP="004A1847">
      <w:pPr>
        <w:spacing w:after="0" w:line="240" w:lineRule="auto"/>
      </w:pPr>
      <w:r>
        <w:continuationSeparator/>
      </w:r>
    </w:p>
  </w:footnote>
  <w:footnote w:id="1">
    <w:p w14:paraId="336E9A73" w14:textId="77777777" w:rsidR="00167243" w:rsidRPr="00F3517D" w:rsidRDefault="00167243" w:rsidP="00167243">
      <w:pPr>
        <w:pStyle w:val="Textonotapie"/>
        <w:ind w:firstLine="709"/>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5280405" w14:textId="77777777" w:rsidR="00167243" w:rsidRPr="00F3517D" w:rsidRDefault="00167243" w:rsidP="00167243">
      <w:pPr>
        <w:pStyle w:val="Textonotapie"/>
        <w:ind w:firstLine="709"/>
        <w:jc w:val="both"/>
        <w:rPr>
          <w:rFonts w:ascii="Verdana" w:hAnsi="Verdana" w:cs="Arial"/>
          <w:sz w:val="16"/>
          <w:szCs w:val="16"/>
        </w:rPr>
      </w:pPr>
      <w:r w:rsidRPr="00F3517D">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5B2F1047" w14:textId="77777777" w:rsidR="00167243" w:rsidRPr="00F3517D" w:rsidRDefault="00167243" w:rsidP="00167243">
      <w:pPr>
        <w:pStyle w:val="Textonotapie"/>
        <w:ind w:firstLine="709"/>
        <w:jc w:val="both"/>
        <w:rPr>
          <w:rFonts w:ascii="Verdana" w:hAnsi="Verdana" w:cs="Arial"/>
          <w:sz w:val="16"/>
          <w:szCs w:val="16"/>
        </w:rPr>
      </w:pPr>
    </w:p>
  </w:footnote>
  <w:footnote w:id="2">
    <w:p w14:paraId="3790532D" w14:textId="77777777" w:rsidR="00167243" w:rsidRPr="00F3517D" w:rsidRDefault="00167243" w:rsidP="00167243">
      <w:pPr>
        <w:pStyle w:val="Textonotapie"/>
        <w:ind w:firstLine="709"/>
        <w:jc w:val="both"/>
        <w:rPr>
          <w:rFonts w:ascii="Verdana" w:hAnsi="Verdana" w:cs="Arial"/>
          <w:sz w:val="16"/>
          <w:szCs w:val="16"/>
        </w:rPr>
      </w:pPr>
      <w:r w:rsidRPr="00F3517D">
        <w:rPr>
          <w:rStyle w:val="Refdenotaalpie"/>
          <w:rFonts w:ascii="Verdana" w:hAnsi="Verdana"/>
          <w:sz w:val="16"/>
          <w:szCs w:val="16"/>
        </w:rPr>
        <w:footnoteRef/>
      </w:r>
      <w:r w:rsidRPr="00F3517D">
        <w:rPr>
          <w:rFonts w:ascii="Verdana" w:hAnsi="Verdana"/>
          <w:sz w:val="16"/>
          <w:szCs w:val="16"/>
        </w:rPr>
        <w:t xml:space="preserve"> </w:t>
      </w:r>
      <w:r w:rsidRPr="00F3517D">
        <w:rPr>
          <w:rFonts w:ascii="Verdana" w:hAnsi="Verdana" w:cs="Arial"/>
          <w:sz w:val="16"/>
          <w:szCs w:val="16"/>
        </w:rPr>
        <w:t>Gaceta del Congreso de la República No. 71 del 2005.</w:t>
      </w:r>
    </w:p>
    <w:p w14:paraId="36D3C7F4" w14:textId="77777777" w:rsidR="00167243" w:rsidRPr="006A36BB" w:rsidRDefault="00167243" w:rsidP="00167243">
      <w:pPr>
        <w:pStyle w:val="Textonotapie"/>
        <w:jc w:val="both"/>
        <w:rPr>
          <w:rFonts w:ascii="Verdana" w:hAnsi="Verdana"/>
          <w:sz w:val="14"/>
          <w:szCs w:val="14"/>
        </w:rPr>
      </w:pPr>
    </w:p>
  </w:footnote>
  <w:footnote w:id="3">
    <w:p w14:paraId="75AAB6FA" w14:textId="77777777" w:rsidR="00167243" w:rsidRPr="00F3517D" w:rsidRDefault="00167243" w:rsidP="00167243">
      <w:pPr>
        <w:pStyle w:val="Textonotapie"/>
        <w:ind w:firstLine="709"/>
        <w:jc w:val="both"/>
        <w:rPr>
          <w:rFonts w:ascii="Verdana" w:hAnsi="Verdana" w:cs="Arial"/>
          <w:sz w:val="16"/>
          <w:szCs w:val="16"/>
          <w:lang w:val="pt-BR"/>
        </w:rPr>
      </w:pPr>
      <w:r w:rsidRPr="00F3517D">
        <w:rPr>
          <w:rStyle w:val="Refdenotaalpie"/>
          <w:rFonts w:ascii="Verdana" w:hAnsi="Verdana" w:cs="Arial"/>
          <w:sz w:val="16"/>
          <w:szCs w:val="16"/>
        </w:rPr>
        <w:footnoteRef/>
      </w:r>
      <w:r w:rsidRPr="00F3517D">
        <w:rPr>
          <w:rFonts w:ascii="Verdana" w:hAnsi="Verdana" w:cs="Arial"/>
          <w:sz w:val="16"/>
          <w:szCs w:val="16"/>
          <w:lang w:val="pt-BR"/>
        </w:rPr>
        <w:t xml:space="preserve"> Corte Constitucional, Sentencia C- 1153 de 2005, M.P. Marco Gerardo Monroy Cabra.</w:t>
      </w:r>
    </w:p>
  </w:footnote>
  <w:footnote w:id="4">
    <w:p w14:paraId="313A7EC5" w14:textId="77777777" w:rsidR="00167243" w:rsidRPr="00F3517D" w:rsidRDefault="00167243" w:rsidP="00167243">
      <w:pPr>
        <w:pStyle w:val="Textonotapie"/>
        <w:ind w:firstLine="709"/>
        <w:jc w:val="both"/>
        <w:rPr>
          <w:rFonts w:ascii="Verdana" w:hAnsi="Verdana" w:cs="Arial"/>
          <w:sz w:val="16"/>
          <w:szCs w:val="16"/>
          <w:lang w:val="es-CO"/>
        </w:rPr>
      </w:pPr>
      <w:r w:rsidRPr="00F3517D">
        <w:rPr>
          <w:rStyle w:val="Refdenotaalpie"/>
          <w:rFonts w:ascii="Verdana" w:hAnsi="Verdana" w:cs="Arial"/>
          <w:sz w:val="16"/>
          <w:szCs w:val="16"/>
        </w:rPr>
        <w:footnoteRef/>
      </w:r>
      <w:r w:rsidRPr="00F3517D">
        <w:rPr>
          <w:rFonts w:ascii="Verdana" w:hAnsi="Verdana" w:cs="Arial"/>
          <w:sz w:val="16"/>
          <w:szCs w:val="16"/>
          <w:lang w:val="pt-BR"/>
        </w:rPr>
        <w:t xml:space="preserve"> </w:t>
      </w:r>
      <w:r w:rsidRPr="00F3517D">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C1E1F6A" w14:textId="77777777" w:rsidR="00167243" w:rsidRPr="00F3517D" w:rsidRDefault="00167243" w:rsidP="00167243">
      <w:pPr>
        <w:pStyle w:val="Textonotapie"/>
        <w:ind w:firstLine="709"/>
        <w:jc w:val="both"/>
        <w:rPr>
          <w:rFonts w:ascii="Verdana" w:hAnsi="Verdana" w:cs="Arial"/>
          <w:sz w:val="16"/>
          <w:szCs w:val="16"/>
          <w:lang w:val="pt-BR"/>
        </w:rPr>
      </w:pPr>
    </w:p>
  </w:footnote>
  <w:footnote w:id="5">
    <w:p w14:paraId="1AA7E2CD" w14:textId="77777777" w:rsidR="00167243" w:rsidRPr="00F3517D" w:rsidRDefault="00167243" w:rsidP="00167243">
      <w:pPr>
        <w:pStyle w:val="Textonotapie"/>
        <w:ind w:firstLine="709"/>
        <w:jc w:val="both"/>
        <w:rPr>
          <w:rFonts w:ascii="Verdana" w:hAnsi="Verdana" w:cs="Arial"/>
          <w:sz w:val="16"/>
          <w:szCs w:val="16"/>
          <w:lang w:val="es-ES"/>
        </w:rPr>
      </w:pPr>
      <w:r w:rsidRPr="00F3517D">
        <w:rPr>
          <w:rStyle w:val="Refdenotaalpie"/>
          <w:rFonts w:ascii="Verdana" w:hAnsi="Verdana" w:cs="Arial"/>
          <w:sz w:val="16"/>
          <w:szCs w:val="16"/>
        </w:rPr>
        <w:footnoteRef/>
      </w:r>
      <w:r w:rsidRPr="00F3517D">
        <w:rPr>
          <w:rFonts w:ascii="Verdana" w:hAnsi="Verdana" w:cs="Arial"/>
          <w:sz w:val="16"/>
          <w:szCs w:val="16"/>
          <w:lang w:val="es-CO"/>
        </w:rPr>
        <w:t xml:space="preserve"> Consejo de Estado. Sala de lo Contencioso Administrativo. Sección Primera. Sentencia de 3 de marzo de 2005. Radicado: </w:t>
      </w:r>
      <w:r w:rsidRPr="00F3517D">
        <w:rPr>
          <w:rFonts w:ascii="Verdana" w:hAnsi="Verdana" w:cs="Arial"/>
          <w:sz w:val="16"/>
          <w:szCs w:val="16"/>
          <w:lang w:val="es-ES"/>
        </w:rPr>
        <w:t xml:space="preserve">25001-23-15-000-2004-00823-01 (PI). </w:t>
      </w:r>
      <w:r w:rsidRPr="00F3517D">
        <w:rPr>
          <w:rFonts w:ascii="Verdana" w:hAnsi="Verdana" w:cs="Arial"/>
          <w:sz w:val="16"/>
          <w:szCs w:val="16"/>
          <w:lang w:val="es-CO"/>
        </w:rPr>
        <w:t xml:space="preserve">C.P: Camilo Arciniegas Andrade. Ver también, de la Sección Tercera. </w:t>
      </w:r>
    </w:p>
    <w:p w14:paraId="35B49C47" w14:textId="77777777" w:rsidR="00167243" w:rsidRPr="00F3517D" w:rsidRDefault="00167243" w:rsidP="00167243">
      <w:pPr>
        <w:pStyle w:val="Textonotapie"/>
        <w:ind w:firstLine="709"/>
        <w:jc w:val="both"/>
        <w:rPr>
          <w:rFonts w:ascii="Verdana" w:hAnsi="Verdana" w:cs="Arial"/>
          <w:sz w:val="16"/>
          <w:szCs w:val="16"/>
          <w:lang w:val="es-CO"/>
        </w:rPr>
      </w:pPr>
    </w:p>
  </w:footnote>
  <w:footnote w:id="6">
    <w:p w14:paraId="6CDC2668" w14:textId="77777777" w:rsidR="00167243" w:rsidRPr="00F3517D" w:rsidRDefault="00167243" w:rsidP="00167243">
      <w:pPr>
        <w:pStyle w:val="Textonotapie"/>
        <w:ind w:firstLine="709"/>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Consejo de Estado, Sala de Consulta y Servicio Civil. 24 de julio de 2013. Radicado: </w:t>
      </w:r>
      <w:r w:rsidRPr="00F3517D">
        <w:rPr>
          <w:rFonts w:ascii="Verdana" w:hAnsi="Verdana" w:cs="Arial"/>
          <w:sz w:val="16"/>
          <w:szCs w:val="16"/>
          <w:lang w:val="es-CO"/>
        </w:rPr>
        <w:t xml:space="preserve">11001-03-06-000-2013-00407-00 </w:t>
      </w:r>
      <w:r w:rsidRPr="00F3517D">
        <w:rPr>
          <w:rFonts w:ascii="Verdana" w:hAnsi="Verdana" w:cs="Arial"/>
          <w:sz w:val="16"/>
          <w:szCs w:val="16"/>
        </w:rPr>
        <w:t xml:space="preserve">(2166). C.P. Álvaro Namén Vargas.  </w:t>
      </w:r>
    </w:p>
  </w:footnote>
  <w:footnote w:id="7">
    <w:p w14:paraId="54BA6315" w14:textId="77777777" w:rsidR="00167243" w:rsidRPr="00F3517D" w:rsidRDefault="00167243" w:rsidP="00167243">
      <w:pPr>
        <w:spacing w:after="0" w:line="240" w:lineRule="auto"/>
        <w:ind w:firstLine="709"/>
        <w:jc w:val="both"/>
        <w:rPr>
          <w:rFonts w:ascii="Verdana" w:eastAsia="Times New Roman"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w:t>
      </w:r>
      <w:bookmarkStart w:id="5" w:name="33"/>
      <w:r w:rsidRPr="00F3517D">
        <w:rPr>
          <w:rFonts w:ascii="Verdana" w:eastAsia="Calibri" w:hAnsi="Verdana" w:cs="Arial"/>
          <w:color w:val="000000"/>
          <w:sz w:val="16"/>
          <w:szCs w:val="16"/>
        </w:rPr>
        <w:t>“</w:t>
      </w:r>
      <w:r w:rsidRPr="00F3517D">
        <w:rPr>
          <w:rFonts w:ascii="Verdana" w:eastAsia="Times New Roman" w:hAnsi="Verdana" w:cs="Arial"/>
          <w:sz w:val="16"/>
          <w:szCs w:val="16"/>
        </w:rPr>
        <w:t>Artículo 33. Restricciones a la contratación pública.</w:t>
      </w:r>
      <w:bookmarkEnd w:id="5"/>
      <w:r w:rsidRPr="00F3517D">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D780DD9" w14:textId="77777777" w:rsidR="00167243" w:rsidRPr="00F3517D" w:rsidRDefault="00167243" w:rsidP="00167243">
      <w:pPr>
        <w:spacing w:after="0" w:line="240" w:lineRule="auto"/>
        <w:ind w:firstLine="709"/>
        <w:jc w:val="both"/>
        <w:rPr>
          <w:rFonts w:ascii="Verdana" w:eastAsia="Times New Roman" w:hAnsi="Verdana" w:cs="Arial"/>
          <w:sz w:val="16"/>
          <w:szCs w:val="16"/>
        </w:rPr>
      </w:pPr>
      <w:r w:rsidRPr="00F3517D">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3517D">
        <w:rPr>
          <w:rFonts w:ascii="Verdana" w:eastAsia="Calibri" w:hAnsi="Verdana" w:cs="Arial"/>
          <w:color w:val="000000"/>
          <w:sz w:val="16"/>
          <w:szCs w:val="16"/>
        </w:rPr>
        <w:t>”</w:t>
      </w:r>
      <w:r w:rsidRPr="00F3517D">
        <w:rPr>
          <w:rFonts w:ascii="Verdana" w:eastAsia="Times New Roman" w:hAnsi="Verdana" w:cs="Arial"/>
          <w:sz w:val="16"/>
          <w:szCs w:val="16"/>
        </w:rPr>
        <w:t>.</w:t>
      </w:r>
    </w:p>
    <w:p w14:paraId="51B802EA" w14:textId="77777777" w:rsidR="00167243" w:rsidRPr="00F3517D" w:rsidRDefault="00167243" w:rsidP="00167243">
      <w:pPr>
        <w:spacing w:after="0" w:line="240" w:lineRule="auto"/>
        <w:ind w:firstLine="709"/>
        <w:jc w:val="both"/>
        <w:rPr>
          <w:rFonts w:ascii="Verdana" w:eastAsia="Times New Roman" w:hAnsi="Verdana" w:cs="Arial"/>
          <w:sz w:val="16"/>
          <w:szCs w:val="16"/>
        </w:rPr>
      </w:pPr>
    </w:p>
  </w:footnote>
  <w:footnote w:id="8">
    <w:p w14:paraId="1B54B6FB" w14:textId="77777777" w:rsidR="00167243" w:rsidRPr="00F3517D" w:rsidRDefault="00167243" w:rsidP="00167243">
      <w:pPr>
        <w:pStyle w:val="NormalWeb"/>
        <w:spacing w:before="0" w:beforeAutospacing="0" w:after="0" w:afterAutospacing="0"/>
        <w:ind w:firstLine="709"/>
        <w:jc w:val="both"/>
        <w:rPr>
          <w:rFonts w:ascii="Verdana" w:hAnsi="Verdana" w:cs="Arial"/>
          <w:sz w:val="16"/>
          <w:szCs w:val="16"/>
          <w:lang w:val="es-MX"/>
        </w:rPr>
      </w:pPr>
      <w:r w:rsidRPr="00F3517D">
        <w:rPr>
          <w:rStyle w:val="Refdenotaalpie"/>
          <w:rFonts w:ascii="Verdana" w:eastAsiaTheme="majorEastAsia" w:hAnsi="Verdana" w:cs="Arial"/>
          <w:sz w:val="16"/>
          <w:szCs w:val="16"/>
        </w:rPr>
        <w:footnoteRef/>
      </w:r>
      <w:r w:rsidRPr="00F3517D">
        <w:rPr>
          <w:rFonts w:ascii="Verdana" w:hAnsi="Verdana" w:cs="Arial"/>
          <w:sz w:val="16"/>
          <w:szCs w:val="16"/>
        </w:rPr>
        <w:t xml:space="preserve"> </w:t>
      </w:r>
      <w:bookmarkStart w:id="6" w:name="38"/>
      <w:r w:rsidRPr="00F3517D">
        <w:rPr>
          <w:rFonts w:ascii="Verdana" w:eastAsia="Calibri" w:hAnsi="Verdana" w:cs="Arial"/>
          <w:color w:val="000000"/>
          <w:sz w:val="16"/>
          <w:szCs w:val="16"/>
        </w:rPr>
        <w:t>“</w:t>
      </w:r>
      <w:r w:rsidRPr="00F3517D">
        <w:rPr>
          <w:rFonts w:ascii="Verdana" w:hAnsi="Verdana" w:cs="Arial"/>
          <w:sz w:val="16"/>
          <w:szCs w:val="16"/>
          <w:lang w:val="es-MX"/>
        </w:rPr>
        <w:t>Artículo 38. Prohibiciones para los servidores públicos. A los empleados del Estado les está prohibido:</w:t>
      </w:r>
      <w:bookmarkEnd w:id="6"/>
      <w:r w:rsidRPr="00F3517D">
        <w:rPr>
          <w:rFonts w:ascii="Verdana" w:hAnsi="Verdana" w:cs="Arial"/>
          <w:sz w:val="16"/>
          <w:szCs w:val="16"/>
          <w:lang w:val="es-MX"/>
        </w:rPr>
        <w:t xml:space="preserve"> (…)</w:t>
      </w:r>
    </w:p>
    <w:p w14:paraId="1BFC8B36" w14:textId="77777777" w:rsidR="00167243" w:rsidRPr="00F3517D" w:rsidRDefault="00167243" w:rsidP="00167243">
      <w:pPr>
        <w:pStyle w:val="NormalWeb"/>
        <w:spacing w:before="0" w:beforeAutospacing="0" w:after="0" w:afterAutospacing="0"/>
        <w:ind w:firstLine="709"/>
        <w:jc w:val="both"/>
        <w:rPr>
          <w:rFonts w:ascii="Verdana" w:hAnsi="Verdana" w:cs="Arial"/>
          <w:sz w:val="16"/>
          <w:szCs w:val="16"/>
          <w:lang w:val="es-MX"/>
        </w:rPr>
      </w:pPr>
      <w:r w:rsidRPr="00F3517D">
        <w:rPr>
          <w:rStyle w:val="baj"/>
          <w:rFonts w:ascii="Verdana" w:hAnsi="Verdana" w:cs="Arial"/>
          <w:sz w:val="16"/>
          <w:szCs w:val="16"/>
          <w:lang w:val="es-MX"/>
        </w:rPr>
        <w:t>Parágrafo.</w:t>
      </w:r>
      <w:r w:rsidRPr="00F3517D">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3517D">
        <w:rPr>
          <w:rFonts w:ascii="Verdana" w:eastAsia="Calibri" w:hAnsi="Verdana" w:cs="Arial"/>
          <w:color w:val="000000"/>
          <w:sz w:val="16"/>
          <w:szCs w:val="16"/>
        </w:rPr>
        <w:t>”</w:t>
      </w:r>
      <w:r w:rsidRPr="00F3517D">
        <w:rPr>
          <w:rFonts w:ascii="Verdana" w:hAnsi="Verdana" w:cs="Arial"/>
          <w:sz w:val="16"/>
          <w:szCs w:val="16"/>
          <w:lang w:val="es-MX"/>
        </w:rPr>
        <w:t>.</w:t>
      </w:r>
    </w:p>
  </w:footnote>
  <w:footnote w:id="9">
    <w:p w14:paraId="427549CB" w14:textId="77777777" w:rsidR="00167243" w:rsidRPr="00F3517D" w:rsidRDefault="00167243" w:rsidP="00167243">
      <w:pPr>
        <w:spacing w:after="0" w:line="240" w:lineRule="auto"/>
        <w:ind w:left="100" w:right="244" w:firstLine="709"/>
        <w:jc w:val="both"/>
        <w:rPr>
          <w:rFonts w:ascii="Verdana" w:hAnsi="Verdana" w:cs="Arial"/>
          <w:sz w:val="16"/>
          <w:szCs w:val="16"/>
          <w:lang w:val="es-ES"/>
        </w:rPr>
      </w:pPr>
      <w:r w:rsidRPr="00F3517D">
        <w:rPr>
          <w:rStyle w:val="Refdenotaalpie"/>
          <w:rFonts w:ascii="Verdana" w:hAnsi="Verdana" w:cs="Arial"/>
          <w:sz w:val="16"/>
          <w:szCs w:val="16"/>
        </w:rPr>
        <w:footnoteRef/>
      </w:r>
      <w:r w:rsidRPr="00F3517D">
        <w:rPr>
          <w:rFonts w:ascii="Verdana" w:hAnsi="Verdana" w:cs="Arial"/>
          <w:sz w:val="16"/>
          <w:szCs w:val="16"/>
        </w:rPr>
        <w:t xml:space="preserve"> Consejo de Estado. Sala de Consulta y Servicio Civil. Concepto del 17 de febrero de 2015. Radicado: 11001-03-06-000-2015-00164-00 (2269). C.P. William Zambrano Cetina.</w:t>
      </w:r>
    </w:p>
  </w:footnote>
  <w:footnote w:id="10">
    <w:p w14:paraId="289CCCE9" w14:textId="77777777" w:rsidR="00167243" w:rsidRPr="00F3517D" w:rsidRDefault="00167243" w:rsidP="00167243">
      <w:pPr>
        <w:pStyle w:val="Textonotapie"/>
        <w:ind w:firstLine="708"/>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Colombia Compra Eficiente. Circular Externa Única. Numeral 16.5. </w:t>
      </w:r>
    </w:p>
    <w:p w14:paraId="226DCA28" w14:textId="77777777" w:rsidR="00167243" w:rsidRPr="00F3517D" w:rsidRDefault="00167243" w:rsidP="00167243">
      <w:pPr>
        <w:pStyle w:val="Textonotapie"/>
        <w:ind w:firstLine="708"/>
        <w:jc w:val="both"/>
        <w:rPr>
          <w:rFonts w:ascii="Verdana" w:hAnsi="Verdana" w:cs="Arial"/>
          <w:sz w:val="16"/>
          <w:szCs w:val="16"/>
        </w:rPr>
      </w:pPr>
    </w:p>
  </w:footnote>
  <w:footnote w:id="11">
    <w:p w14:paraId="68F12D41" w14:textId="7AA7B26B" w:rsidR="00167243" w:rsidRPr="00F3517D" w:rsidRDefault="00167243" w:rsidP="00167243">
      <w:pPr>
        <w:pStyle w:val="Textonotapie"/>
        <w:ind w:right="51" w:firstLine="709"/>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w:t>
      </w:r>
      <w:r w:rsidRPr="00F3517D">
        <w:rPr>
          <w:rFonts w:ascii="Verdana" w:hAnsi="Verdana" w:cs="Arial"/>
          <w:sz w:val="16"/>
          <w:szCs w:val="16"/>
          <w:lang w:val="es-ES"/>
        </w:rPr>
        <w:t xml:space="preserve">[25] </w:t>
      </w:r>
      <w:r w:rsidRPr="00F3517D">
        <w:rPr>
          <w:rFonts w:ascii="Verdana" w:hAnsi="Verdana" w:cs="Arial"/>
          <w:sz w:val="16"/>
          <w:szCs w:val="16"/>
        </w:rPr>
        <w:t>Cfr. Consejo de Estado. Sección Tercera. Sentencia de 3 de diciembre de 2007. Radicados: 24.715, 25.206, 25.409, 24.524, 27.834, 25.410, 26.105, 28.244, 31.447 -acumulados</w:t>
      </w:r>
      <w:r w:rsidR="00F3517D" w:rsidRPr="00F3517D">
        <w:rPr>
          <w:rFonts w:ascii="Verdana" w:hAnsi="Verdana" w:cs="Arial"/>
          <w:sz w:val="16"/>
          <w:szCs w:val="16"/>
        </w:rPr>
        <w:t>- “</w:t>
      </w:r>
      <w:r w:rsidRPr="00F3517D">
        <w:rPr>
          <w:rFonts w:ascii="Verdana" w:hAnsi="Verdana" w:cs="Arial"/>
          <w:sz w:val="16"/>
          <w:szCs w:val="16"/>
        </w:rPr>
        <w:t>.</w:t>
      </w:r>
    </w:p>
    <w:p w14:paraId="076216D2" w14:textId="77777777" w:rsidR="00167243" w:rsidRPr="00F3517D" w:rsidRDefault="00167243" w:rsidP="00167243">
      <w:pPr>
        <w:pStyle w:val="Textonotapie"/>
        <w:ind w:right="51" w:firstLine="709"/>
        <w:jc w:val="both"/>
        <w:rPr>
          <w:rFonts w:ascii="Verdana" w:hAnsi="Verdana" w:cs="Arial"/>
          <w:sz w:val="16"/>
          <w:szCs w:val="16"/>
        </w:rPr>
      </w:pPr>
    </w:p>
  </w:footnote>
  <w:footnote w:id="12">
    <w:p w14:paraId="4627C891" w14:textId="77777777" w:rsidR="008D0527" w:rsidRPr="00661481" w:rsidRDefault="008D0527" w:rsidP="008D0527">
      <w:pPr>
        <w:pStyle w:val="Textonotapie"/>
        <w:ind w:right="51"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w:t>
      </w:r>
      <w:r w:rsidRPr="00661481">
        <w:rPr>
          <w:rFonts w:ascii="Verdana" w:hAnsi="Verdana" w:cs="Arial"/>
          <w:sz w:val="16"/>
          <w:szCs w:val="16"/>
          <w:lang w:val="es-ES"/>
        </w:rPr>
        <w:t xml:space="preserve">[26] </w:t>
      </w:r>
      <w:r w:rsidRPr="00661481">
        <w:rPr>
          <w:rFonts w:ascii="Verdana" w:hAnsi="Verdana" w:cs="Arial"/>
          <w:sz w:val="16"/>
          <w:szCs w:val="16"/>
        </w:rPr>
        <w:t>Al respecto ver el concepto 1712 de 2 de febrero de 2006. Consejo de Estado Sala de Consulta y Servicio Civil”.</w:t>
      </w:r>
    </w:p>
  </w:footnote>
  <w:footnote w:id="13">
    <w:p w14:paraId="7F4631DF" w14:textId="77777777" w:rsidR="008D0527" w:rsidRPr="00661481" w:rsidRDefault="008D0527" w:rsidP="008D0527">
      <w:pPr>
        <w:pStyle w:val="Textonotapie"/>
        <w:ind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Consejo de Estado. Sala de Consulta y Servicio Civil. Concepto del 2 de septiembre de 2013. Radicación: 11001-03-06-000-2013-00412-00 (2168). Consejero Ponente: Álvaro Namén Vargas.</w:t>
      </w:r>
    </w:p>
    <w:p w14:paraId="42F437FD" w14:textId="77777777" w:rsidR="008D0527" w:rsidRPr="00661481" w:rsidRDefault="008D0527" w:rsidP="008D0527">
      <w:pPr>
        <w:pStyle w:val="Textonotapie"/>
        <w:ind w:firstLine="709"/>
        <w:jc w:val="both"/>
        <w:rPr>
          <w:rFonts w:ascii="Verdana" w:hAnsi="Verdana" w:cs="Arial"/>
          <w:sz w:val="16"/>
          <w:szCs w:val="16"/>
        </w:rPr>
      </w:pPr>
    </w:p>
  </w:footnote>
  <w:footnote w:id="14">
    <w:p w14:paraId="596A1DC3" w14:textId="77777777" w:rsidR="0077156A" w:rsidRPr="00661481" w:rsidRDefault="0077156A" w:rsidP="0077156A">
      <w:pPr>
        <w:pStyle w:val="Textonotapie"/>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Fonts w:ascii="Verdana" w:hAnsi="Verdana" w:cs="Arial"/>
          <w:sz w:val="16"/>
          <w:szCs w:val="16"/>
        </w:rPr>
        <w:t xml:space="preserve"> </w:t>
      </w:r>
      <w:r w:rsidRPr="00661481">
        <w:rPr>
          <w:rFonts w:ascii="Verdana" w:hAnsi="Verdana" w:cs="Arial"/>
          <w:sz w:val="16"/>
          <w:szCs w:val="16"/>
          <w:lang w:val="es-ES"/>
        </w:rPr>
        <w:t xml:space="preserve">Artículo 2. </w:t>
      </w:r>
    </w:p>
    <w:p w14:paraId="5704A57E" w14:textId="77777777" w:rsidR="0077156A" w:rsidRPr="00661481" w:rsidRDefault="0077156A" w:rsidP="0077156A">
      <w:pPr>
        <w:pStyle w:val="Textonotapie"/>
        <w:ind w:firstLine="709"/>
        <w:jc w:val="both"/>
        <w:rPr>
          <w:rFonts w:ascii="Verdana" w:hAnsi="Verdana" w:cs="Arial"/>
          <w:sz w:val="16"/>
          <w:szCs w:val="16"/>
          <w:lang w:val="es-ES"/>
        </w:rPr>
      </w:pPr>
    </w:p>
  </w:footnote>
  <w:footnote w:id="15">
    <w:p w14:paraId="684DC2F0" w14:textId="77777777" w:rsidR="0077156A" w:rsidRPr="00661481" w:rsidRDefault="0077156A" w:rsidP="0077156A">
      <w:pPr>
        <w:pStyle w:val="Textonotapie"/>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Fonts w:ascii="Verdana" w:hAnsi="Verdana" w:cs="Arial"/>
          <w:sz w:val="16"/>
          <w:szCs w:val="16"/>
        </w:rPr>
        <w:t xml:space="preserve"> </w:t>
      </w:r>
      <w:r w:rsidRPr="00661481">
        <w:rPr>
          <w:rFonts w:ascii="Verdana" w:hAnsi="Verdana" w:cs="Arial"/>
          <w:i/>
          <w:sz w:val="16"/>
          <w:szCs w:val="16"/>
          <w:lang w:val="es-ES"/>
        </w:rPr>
        <w:t>Ídem</w:t>
      </w:r>
      <w:r w:rsidRPr="00661481">
        <w:rPr>
          <w:rFonts w:ascii="Verdana" w:hAnsi="Verdana" w:cs="Arial"/>
          <w:sz w:val="16"/>
          <w:szCs w:val="16"/>
          <w:lang w:val="es-ES"/>
        </w:rPr>
        <w:t>.</w:t>
      </w:r>
    </w:p>
    <w:p w14:paraId="0A3C6E2C" w14:textId="77777777" w:rsidR="0077156A" w:rsidRPr="00661481" w:rsidRDefault="0077156A" w:rsidP="0077156A">
      <w:pPr>
        <w:pStyle w:val="Textonotapie"/>
        <w:ind w:firstLine="709"/>
        <w:jc w:val="both"/>
        <w:rPr>
          <w:rFonts w:ascii="Verdana" w:hAnsi="Verdana" w:cs="Arial"/>
          <w:sz w:val="16"/>
          <w:szCs w:val="16"/>
          <w:lang w:val="es-ES"/>
        </w:rPr>
      </w:pPr>
    </w:p>
  </w:footnote>
  <w:footnote w:id="16">
    <w:p w14:paraId="4B5B4090" w14:textId="77777777" w:rsidR="0077156A" w:rsidRPr="00661481" w:rsidRDefault="0077156A" w:rsidP="0077156A">
      <w:pPr>
        <w:pStyle w:val="Textonotapie"/>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Style w:val="Refdenotaalpie"/>
          <w:rFonts w:ascii="Verdana" w:hAnsi="Verdana" w:cs="Arial"/>
          <w:sz w:val="16"/>
          <w:szCs w:val="16"/>
        </w:rPr>
        <w:t xml:space="preserve"> </w:t>
      </w:r>
      <w:r w:rsidRPr="00661481">
        <w:rPr>
          <w:rFonts w:ascii="Verdana" w:hAnsi="Verdana" w:cs="Arial"/>
          <w:sz w:val="16"/>
          <w:szCs w:val="16"/>
          <w:lang w:val="es-ES"/>
        </w:rPr>
        <w:t xml:space="preserve">“[…] A este respecto, cabe recordar que el artículo 860 del Código de Comercio regula la licitación en el derecho privado”. </w:t>
      </w:r>
    </w:p>
    <w:p w14:paraId="06C89F18" w14:textId="77777777" w:rsidR="0077156A" w:rsidRPr="00661481" w:rsidRDefault="0077156A" w:rsidP="0077156A">
      <w:pPr>
        <w:pStyle w:val="Textonotapie"/>
        <w:ind w:firstLine="709"/>
        <w:jc w:val="both"/>
        <w:rPr>
          <w:rFonts w:ascii="Verdana" w:hAnsi="Verdana" w:cs="Arial"/>
          <w:sz w:val="16"/>
          <w:szCs w:val="16"/>
          <w:lang w:val="es-ES"/>
        </w:rPr>
      </w:pPr>
    </w:p>
  </w:footnote>
  <w:footnote w:id="17">
    <w:p w14:paraId="598C19D5" w14:textId="77777777" w:rsidR="0077156A" w:rsidRPr="00661481" w:rsidRDefault="0077156A" w:rsidP="0077156A">
      <w:pPr>
        <w:shd w:val="clear" w:color="auto" w:fill="FFFFFF"/>
        <w:spacing w:after="0" w:line="240" w:lineRule="auto"/>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Style w:val="Refdenotaalpie"/>
          <w:rFonts w:ascii="Verdana" w:hAnsi="Verdana" w:cs="Arial"/>
          <w:sz w:val="16"/>
          <w:szCs w:val="16"/>
        </w:rPr>
        <w:t xml:space="preserve"> </w:t>
      </w:r>
      <w:r w:rsidRPr="00661481">
        <w:rPr>
          <w:rFonts w:ascii="Verdana" w:hAnsi="Verdana" w:cs="Arial"/>
          <w:sz w:val="16"/>
          <w:szCs w:val="16"/>
          <w:lang w:val="es-ES"/>
        </w:rPr>
        <w:t>Consejo de Estado. Sala de Consulta y Servicio Civil. Concepto de 8 de mayo de 2018. Radicación: 11001-03-06-000-2018-00095-00 (2382). Consejero Ponente: Álvaro Namén Vargas.</w:t>
      </w:r>
    </w:p>
    <w:p w14:paraId="6EC7F078" w14:textId="77777777" w:rsidR="0077156A" w:rsidRPr="00661481" w:rsidRDefault="0077156A" w:rsidP="0077156A">
      <w:pPr>
        <w:shd w:val="clear" w:color="auto" w:fill="FFFFFF"/>
        <w:spacing w:after="0" w:line="240" w:lineRule="auto"/>
        <w:ind w:firstLine="709"/>
        <w:jc w:val="both"/>
        <w:rPr>
          <w:rFonts w:ascii="Verdana" w:hAnsi="Verdana" w:cs="Arial"/>
          <w:sz w:val="16"/>
          <w:szCs w:val="16"/>
          <w:lang w:val="es-ES"/>
        </w:rPr>
      </w:pPr>
    </w:p>
  </w:footnote>
  <w:footnote w:id="18">
    <w:p w14:paraId="0761219C" w14:textId="77777777" w:rsidR="0077156A" w:rsidRPr="00661481" w:rsidRDefault="0077156A" w:rsidP="0077156A">
      <w:pPr>
        <w:pStyle w:val="Textonotapie"/>
        <w:ind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Ibídem.</w:t>
      </w:r>
    </w:p>
  </w:footnote>
  <w:footnote w:id="19">
    <w:p w14:paraId="34531472" w14:textId="77777777" w:rsidR="0077156A" w:rsidRPr="00661481" w:rsidRDefault="0077156A" w:rsidP="0077156A">
      <w:pPr>
        <w:pStyle w:val="Textonotapie"/>
        <w:ind w:firstLine="708"/>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Colombia Compra Eficiente. Circular Única Externa.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 En </w:t>
      </w:r>
      <w:hyperlink r:id="rId1" w:history="1">
        <w:r w:rsidRPr="00661481">
          <w:rPr>
            <w:rStyle w:val="Hipervnculo"/>
            <w:rFonts w:ascii="Verdana" w:hAnsi="Verdana" w:cs="Arial"/>
            <w:sz w:val="16"/>
            <w:szCs w:val="16"/>
            <w:lang w:val="es-CO"/>
          </w:rPr>
          <w:t>circular_externa_unica_version_3_vf49.pdf</w:t>
        </w:r>
      </w:hyperlink>
    </w:p>
    <w:p w14:paraId="72442AC9" w14:textId="77777777" w:rsidR="0077156A" w:rsidRPr="00661481" w:rsidRDefault="0077156A" w:rsidP="0077156A">
      <w:pPr>
        <w:pStyle w:val="Textonotapie"/>
        <w:ind w:firstLine="708"/>
        <w:jc w:val="both"/>
        <w:rPr>
          <w:rFonts w:ascii="Verdana" w:hAnsi="Verdana" w:cs="Arial"/>
          <w:sz w:val="16"/>
          <w:szCs w:val="16"/>
        </w:rPr>
      </w:pPr>
    </w:p>
  </w:footnote>
  <w:footnote w:id="20">
    <w:p w14:paraId="3C2A44E6" w14:textId="77777777" w:rsidR="0077156A" w:rsidRPr="00661481" w:rsidRDefault="0077156A" w:rsidP="0077156A">
      <w:pPr>
        <w:pStyle w:val="Textonotapie"/>
        <w:ind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3CA20A57" w14:textId="77777777" w:rsidR="0077156A" w:rsidRPr="00661481" w:rsidRDefault="0077156A" w:rsidP="0077156A">
      <w:pPr>
        <w:pStyle w:val="Textonotapie"/>
        <w:ind w:firstLine="709"/>
        <w:jc w:val="both"/>
        <w:rPr>
          <w:rFonts w:ascii="Verdana" w:hAnsi="Verdana" w:cs="Arial"/>
          <w:sz w:val="16"/>
          <w:szCs w:val="16"/>
        </w:rPr>
      </w:pPr>
    </w:p>
  </w:footnote>
  <w:footnote w:id="21">
    <w:p w14:paraId="2F737CD4" w14:textId="77777777" w:rsidR="0077156A" w:rsidRPr="00661481" w:rsidRDefault="0077156A" w:rsidP="0077156A">
      <w:pPr>
        <w:pStyle w:val="Textonotapie"/>
        <w:ind w:firstLine="708"/>
        <w:jc w:val="both"/>
        <w:rPr>
          <w:rFonts w:ascii="Verdana" w:hAnsi="Verdana" w:cs="Arial"/>
          <w:color w:val="000000"/>
          <w:sz w:val="16"/>
          <w:szCs w:val="16"/>
          <w:lang w:val="es-ES"/>
        </w:rPr>
      </w:pPr>
      <w:r w:rsidRPr="00661481">
        <w:rPr>
          <w:rStyle w:val="Refdenotaalpie"/>
          <w:rFonts w:ascii="Verdana" w:hAnsi="Verdana" w:cs="Arial"/>
          <w:color w:val="000000"/>
          <w:sz w:val="16"/>
          <w:szCs w:val="16"/>
        </w:rPr>
        <w:footnoteRef/>
      </w:r>
      <w:r w:rsidRPr="00661481">
        <w:rPr>
          <w:rFonts w:ascii="Verdana" w:hAnsi="Verdana" w:cs="Arial"/>
          <w:color w:val="000000"/>
          <w:sz w:val="16"/>
          <w:szCs w:val="16"/>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2">
    <w:p w14:paraId="7C88A6F4" w14:textId="77777777" w:rsidR="0077156A" w:rsidRPr="00661481" w:rsidRDefault="0077156A" w:rsidP="0077156A">
      <w:pPr>
        <w:pStyle w:val="Textonotapie"/>
        <w:ind w:firstLine="709"/>
        <w:contextualSpacing/>
        <w:jc w:val="both"/>
        <w:rPr>
          <w:rFonts w:ascii="Verdana" w:hAnsi="Verdana"/>
          <w:sz w:val="16"/>
          <w:szCs w:val="16"/>
          <w:lang w:val="es-CO"/>
        </w:rPr>
      </w:pPr>
      <w:r w:rsidRPr="00661481">
        <w:rPr>
          <w:rStyle w:val="Refdenotaalpie"/>
          <w:rFonts w:ascii="Verdana" w:hAnsi="Verdana"/>
          <w:sz w:val="16"/>
          <w:szCs w:val="16"/>
        </w:rPr>
        <w:footnoteRef/>
      </w:r>
      <w:r w:rsidRPr="00661481">
        <w:rPr>
          <w:rFonts w:ascii="Verdana" w:hAnsi="Verdana"/>
          <w:sz w:val="16"/>
          <w:szCs w:val="16"/>
          <w:lang w:val="es-CO"/>
        </w:rPr>
        <w:t xml:space="preserve"> Consejo de Estado, Sección Tercera. Auto del 4 de octubre de 2024. Exp. 70.313. C.P: Fredy Ibarra Martínez.</w:t>
      </w:r>
    </w:p>
  </w:footnote>
  <w:footnote w:id="23">
    <w:p w14:paraId="2179EBF5" w14:textId="77777777" w:rsidR="0077156A" w:rsidRPr="00661481" w:rsidRDefault="0077156A" w:rsidP="0077156A">
      <w:pPr>
        <w:pStyle w:val="Textonotapie"/>
        <w:ind w:firstLine="709"/>
        <w:contextualSpacing/>
        <w:jc w:val="both"/>
        <w:rPr>
          <w:rFonts w:ascii="Verdana" w:hAnsi="Verdana"/>
          <w:sz w:val="16"/>
          <w:szCs w:val="16"/>
          <w:lang w:val="es-CO"/>
        </w:rPr>
      </w:pPr>
      <w:r w:rsidRPr="00661481">
        <w:rPr>
          <w:rStyle w:val="Refdenotaalpie"/>
          <w:rFonts w:ascii="Verdana" w:hAnsi="Verdana"/>
          <w:sz w:val="16"/>
          <w:szCs w:val="16"/>
        </w:rPr>
        <w:footnoteRef/>
      </w:r>
      <w:r w:rsidRPr="00661481">
        <w:rPr>
          <w:rFonts w:ascii="Verdana" w:hAnsi="Verdana"/>
          <w:sz w:val="16"/>
          <w:szCs w:val="16"/>
        </w:rPr>
        <w:t xml:space="preserve"> La parte resolutiva del auto dispone lo siguiente; “</w:t>
      </w:r>
      <w:r w:rsidRPr="00661481">
        <w:rPr>
          <w:rFonts w:ascii="Verdana" w:hAnsi="Verdana"/>
          <w:b/>
          <w:sz w:val="16"/>
          <w:szCs w:val="16"/>
          <w:lang w:val="es-CO"/>
        </w:rPr>
        <w:t xml:space="preserve">PRIMERO: DECRETAR </w:t>
      </w:r>
      <w:r w:rsidRPr="00661481">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661481">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661481">
        <w:rPr>
          <w:rFonts w:ascii="Verdana" w:hAnsi="Verdana"/>
          <w:sz w:val="16"/>
          <w:szCs w:val="16"/>
          <w:lang w:val="es-CO"/>
        </w:rPr>
        <w:t xml:space="preserve">, por las razones expuestas en precedencia. </w:t>
      </w:r>
    </w:p>
    <w:p w14:paraId="5D5DDFA8" w14:textId="77777777" w:rsidR="0077156A" w:rsidRPr="00661481" w:rsidRDefault="0077156A" w:rsidP="0077156A">
      <w:pPr>
        <w:pStyle w:val="Textonotapie"/>
        <w:ind w:firstLine="709"/>
        <w:contextualSpacing/>
        <w:jc w:val="both"/>
        <w:rPr>
          <w:rFonts w:ascii="Verdana" w:hAnsi="Verdana"/>
          <w:sz w:val="16"/>
          <w:szCs w:val="16"/>
          <w:lang w:val="es-CO"/>
        </w:rPr>
      </w:pPr>
      <w:r w:rsidRPr="00661481">
        <w:rPr>
          <w:rFonts w:ascii="Verdana" w:hAnsi="Verdana"/>
          <w:b/>
          <w:sz w:val="16"/>
          <w:szCs w:val="16"/>
          <w:lang w:val="es-CO"/>
        </w:rPr>
        <w:t xml:space="preserve">SEGUNDO: DECRETAR </w:t>
      </w:r>
      <w:r w:rsidRPr="00661481">
        <w:rPr>
          <w:rFonts w:ascii="Verdana" w:hAnsi="Verdana"/>
          <w:sz w:val="16"/>
          <w:szCs w:val="16"/>
          <w:lang w:val="es-CO"/>
        </w:rPr>
        <w:t>la suspensión provisional de la expresión “</w:t>
      </w:r>
      <w:r w:rsidRPr="00661481">
        <w:rPr>
          <w:rFonts w:ascii="Verdana" w:hAnsi="Verdana"/>
          <w:i/>
          <w:sz w:val="16"/>
          <w:szCs w:val="16"/>
          <w:lang w:val="es-CO"/>
        </w:rPr>
        <w:t>contratos</w:t>
      </w:r>
      <w:r w:rsidRPr="00661481">
        <w:rPr>
          <w:rFonts w:ascii="Verdana" w:hAnsi="Verdana"/>
          <w:sz w:val="16"/>
          <w:szCs w:val="16"/>
          <w:lang w:val="es-CO"/>
        </w:rPr>
        <w:t xml:space="preserve">” y del párrafo </w:t>
      </w:r>
      <w:r w:rsidRPr="00661481">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661481">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4">
    <w:p w14:paraId="755A1F12" w14:textId="77777777" w:rsidR="0077156A" w:rsidRPr="00661481" w:rsidRDefault="0077156A" w:rsidP="0077156A">
      <w:pPr>
        <w:spacing w:after="0" w:line="240" w:lineRule="auto"/>
        <w:ind w:firstLine="709"/>
        <w:contextualSpacing/>
        <w:jc w:val="both"/>
        <w:rPr>
          <w:rFonts w:ascii="Verdana" w:eastAsia="Times New Roman" w:hAnsi="Verdana" w:cs="Times New Roman"/>
          <w:sz w:val="16"/>
          <w:szCs w:val="16"/>
          <w:lang w:eastAsia="es-ES"/>
        </w:rPr>
      </w:pPr>
      <w:r w:rsidRPr="00661481">
        <w:rPr>
          <w:rStyle w:val="Refdenotaalpie"/>
          <w:rFonts w:ascii="Verdana" w:hAnsi="Verdana"/>
          <w:sz w:val="16"/>
          <w:szCs w:val="16"/>
        </w:rPr>
        <w:footnoteRef/>
      </w:r>
      <w:r w:rsidRPr="00661481">
        <w:rPr>
          <w:rFonts w:ascii="Verdana" w:hAnsi="Verdana"/>
          <w:sz w:val="16"/>
          <w:szCs w:val="16"/>
        </w:rPr>
        <w:t xml:space="preserve"> </w:t>
      </w:r>
      <w:r w:rsidRPr="00661481">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661481">
        <w:rPr>
          <w:rFonts w:ascii="Verdana" w:hAnsi="Verdana"/>
          <w:sz w:val="16"/>
          <w:szCs w:val="16"/>
        </w:rPr>
        <w:t xml:space="preserve">La parte de la providencia señala: </w:t>
      </w:r>
      <w:r w:rsidRPr="00661481">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5">
    <w:p w14:paraId="1D66FD16" w14:textId="77777777" w:rsidR="0077156A" w:rsidRPr="0094349B" w:rsidRDefault="0077156A" w:rsidP="0077156A">
      <w:pPr>
        <w:pStyle w:val="Textonotapie"/>
        <w:ind w:firstLine="709"/>
        <w:rPr>
          <w:rFonts w:ascii="Verdana" w:hAnsi="Verdana"/>
          <w:sz w:val="16"/>
          <w:szCs w:val="16"/>
          <w:lang w:val="es-CO"/>
        </w:rPr>
      </w:pPr>
      <w:r w:rsidRPr="0094349B">
        <w:rPr>
          <w:rStyle w:val="Refdenotaalpie"/>
          <w:rFonts w:ascii="Verdana" w:hAnsi="Verdana"/>
          <w:sz w:val="16"/>
          <w:szCs w:val="16"/>
        </w:rPr>
        <w:footnoteRef/>
      </w:r>
      <w:r w:rsidRPr="0094349B">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265D2DEC"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4AF"/>
    <w:rsid w:val="00016F78"/>
    <w:rsid w:val="00024A44"/>
    <w:rsid w:val="00046945"/>
    <w:rsid w:val="000526DC"/>
    <w:rsid w:val="00056738"/>
    <w:rsid w:val="00061B2A"/>
    <w:rsid w:val="00082362"/>
    <w:rsid w:val="000A683E"/>
    <w:rsid w:val="000B19B9"/>
    <w:rsid w:val="000B5799"/>
    <w:rsid w:val="000D0334"/>
    <w:rsid w:val="000D5DA7"/>
    <w:rsid w:val="000F0C88"/>
    <w:rsid w:val="000F6486"/>
    <w:rsid w:val="00116940"/>
    <w:rsid w:val="0012344F"/>
    <w:rsid w:val="00125105"/>
    <w:rsid w:val="00127233"/>
    <w:rsid w:val="0015699B"/>
    <w:rsid w:val="00167243"/>
    <w:rsid w:val="001A33BF"/>
    <w:rsid w:val="001A6C80"/>
    <w:rsid w:val="001B4B23"/>
    <w:rsid w:val="001E4177"/>
    <w:rsid w:val="001F0B24"/>
    <w:rsid w:val="001F7DC6"/>
    <w:rsid w:val="00200D04"/>
    <w:rsid w:val="0022400B"/>
    <w:rsid w:val="00225121"/>
    <w:rsid w:val="002421BB"/>
    <w:rsid w:val="0025796E"/>
    <w:rsid w:val="00266113"/>
    <w:rsid w:val="0026677C"/>
    <w:rsid w:val="002707A2"/>
    <w:rsid w:val="00280C9D"/>
    <w:rsid w:val="002951A0"/>
    <w:rsid w:val="002962BC"/>
    <w:rsid w:val="002A093D"/>
    <w:rsid w:val="002A0DD0"/>
    <w:rsid w:val="002A49AC"/>
    <w:rsid w:val="002A64FD"/>
    <w:rsid w:val="002C3F00"/>
    <w:rsid w:val="002C7A84"/>
    <w:rsid w:val="002E2BF8"/>
    <w:rsid w:val="002E4FD9"/>
    <w:rsid w:val="0030657A"/>
    <w:rsid w:val="00306861"/>
    <w:rsid w:val="00320504"/>
    <w:rsid w:val="00322242"/>
    <w:rsid w:val="00322A85"/>
    <w:rsid w:val="00324168"/>
    <w:rsid w:val="00330834"/>
    <w:rsid w:val="003448F4"/>
    <w:rsid w:val="0034770A"/>
    <w:rsid w:val="00374F5E"/>
    <w:rsid w:val="00377E3E"/>
    <w:rsid w:val="003A39AF"/>
    <w:rsid w:val="003A779E"/>
    <w:rsid w:val="003D0F4D"/>
    <w:rsid w:val="003D5B0D"/>
    <w:rsid w:val="003E0499"/>
    <w:rsid w:val="003E4F80"/>
    <w:rsid w:val="003E6439"/>
    <w:rsid w:val="003E6EA4"/>
    <w:rsid w:val="003F3941"/>
    <w:rsid w:val="00406575"/>
    <w:rsid w:val="00410D8E"/>
    <w:rsid w:val="00414C74"/>
    <w:rsid w:val="0042722E"/>
    <w:rsid w:val="0044528D"/>
    <w:rsid w:val="00466E39"/>
    <w:rsid w:val="00473B1C"/>
    <w:rsid w:val="0047470C"/>
    <w:rsid w:val="004805E8"/>
    <w:rsid w:val="004A1847"/>
    <w:rsid w:val="004A305D"/>
    <w:rsid w:val="004C6548"/>
    <w:rsid w:val="004C665D"/>
    <w:rsid w:val="004F21C4"/>
    <w:rsid w:val="004F685F"/>
    <w:rsid w:val="005566E8"/>
    <w:rsid w:val="00574867"/>
    <w:rsid w:val="00591460"/>
    <w:rsid w:val="005A65E0"/>
    <w:rsid w:val="005B4248"/>
    <w:rsid w:val="005C30BE"/>
    <w:rsid w:val="005C3777"/>
    <w:rsid w:val="005C5CDC"/>
    <w:rsid w:val="005D476C"/>
    <w:rsid w:val="005E18E6"/>
    <w:rsid w:val="005F4412"/>
    <w:rsid w:val="006200BF"/>
    <w:rsid w:val="006219F8"/>
    <w:rsid w:val="006302F7"/>
    <w:rsid w:val="00646B9F"/>
    <w:rsid w:val="00652F96"/>
    <w:rsid w:val="00653699"/>
    <w:rsid w:val="00661481"/>
    <w:rsid w:val="00665D70"/>
    <w:rsid w:val="00677349"/>
    <w:rsid w:val="00682603"/>
    <w:rsid w:val="006900D9"/>
    <w:rsid w:val="0069575D"/>
    <w:rsid w:val="006B018C"/>
    <w:rsid w:val="006C1A16"/>
    <w:rsid w:val="00706C16"/>
    <w:rsid w:val="007340C3"/>
    <w:rsid w:val="0075235A"/>
    <w:rsid w:val="00756841"/>
    <w:rsid w:val="007649AB"/>
    <w:rsid w:val="00764C3E"/>
    <w:rsid w:val="0077156A"/>
    <w:rsid w:val="00771823"/>
    <w:rsid w:val="00771D0C"/>
    <w:rsid w:val="007833AC"/>
    <w:rsid w:val="007A5F27"/>
    <w:rsid w:val="007B268C"/>
    <w:rsid w:val="007B7171"/>
    <w:rsid w:val="007C0C0F"/>
    <w:rsid w:val="007C3DC2"/>
    <w:rsid w:val="007E1DAA"/>
    <w:rsid w:val="007E5497"/>
    <w:rsid w:val="00806F5F"/>
    <w:rsid w:val="008150DE"/>
    <w:rsid w:val="00820278"/>
    <w:rsid w:val="008258C9"/>
    <w:rsid w:val="00844AE9"/>
    <w:rsid w:val="00867F95"/>
    <w:rsid w:val="00870C28"/>
    <w:rsid w:val="008843B6"/>
    <w:rsid w:val="00890BF4"/>
    <w:rsid w:val="00891928"/>
    <w:rsid w:val="008A446D"/>
    <w:rsid w:val="008B25F1"/>
    <w:rsid w:val="008C04EB"/>
    <w:rsid w:val="008D0527"/>
    <w:rsid w:val="008D180B"/>
    <w:rsid w:val="008F0091"/>
    <w:rsid w:val="008F0EA7"/>
    <w:rsid w:val="008F18B3"/>
    <w:rsid w:val="00910E23"/>
    <w:rsid w:val="00923EEF"/>
    <w:rsid w:val="009419F9"/>
    <w:rsid w:val="0094349B"/>
    <w:rsid w:val="0095685E"/>
    <w:rsid w:val="00961B09"/>
    <w:rsid w:val="00965334"/>
    <w:rsid w:val="0097093E"/>
    <w:rsid w:val="009A0DFA"/>
    <w:rsid w:val="009A1C6F"/>
    <w:rsid w:val="009B2D26"/>
    <w:rsid w:val="009C71FA"/>
    <w:rsid w:val="009C72E7"/>
    <w:rsid w:val="009C7F7E"/>
    <w:rsid w:val="009D3058"/>
    <w:rsid w:val="009D6388"/>
    <w:rsid w:val="009F3A13"/>
    <w:rsid w:val="00A122D3"/>
    <w:rsid w:val="00A14468"/>
    <w:rsid w:val="00A17F13"/>
    <w:rsid w:val="00A20739"/>
    <w:rsid w:val="00A23AF9"/>
    <w:rsid w:val="00A33C78"/>
    <w:rsid w:val="00A91D7F"/>
    <w:rsid w:val="00AB0ADB"/>
    <w:rsid w:val="00AB4929"/>
    <w:rsid w:val="00AE62F4"/>
    <w:rsid w:val="00B00C0E"/>
    <w:rsid w:val="00B01B1A"/>
    <w:rsid w:val="00B0381D"/>
    <w:rsid w:val="00B23393"/>
    <w:rsid w:val="00B25AB5"/>
    <w:rsid w:val="00B27122"/>
    <w:rsid w:val="00B41749"/>
    <w:rsid w:val="00B44A47"/>
    <w:rsid w:val="00B72CD3"/>
    <w:rsid w:val="00B72FFF"/>
    <w:rsid w:val="00BC3D36"/>
    <w:rsid w:val="00BD54A6"/>
    <w:rsid w:val="00BD7F72"/>
    <w:rsid w:val="00BF51C6"/>
    <w:rsid w:val="00BF7425"/>
    <w:rsid w:val="00C04FB3"/>
    <w:rsid w:val="00C11D8B"/>
    <w:rsid w:val="00C15139"/>
    <w:rsid w:val="00C3249D"/>
    <w:rsid w:val="00C330EB"/>
    <w:rsid w:val="00C50D69"/>
    <w:rsid w:val="00C5365C"/>
    <w:rsid w:val="00C754BE"/>
    <w:rsid w:val="00C76B1C"/>
    <w:rsid w:val="00C902C6"/>
    <w:rsid w:val="00C925AC"/>
    <w:rsid w:val="00CB25BD"/>
    <w:rsid w:val="00CB6357"/>
    <w:rsid w:val="00CC1B26"/>
    <w:rsid w:val="00D11D0C"/>
    <w:rsid w:val="00D35787"/>
    <w:rsid w:val="00D361FD"/>
    <w:rsid w:val="00D423A2"/>
    <w:rsid w:val="00D44E26"/>
    <w:rsid w:val="00D520D8"/>
    <w:rsid w:val="00D54139"/>
    <w:rsid w:val="00D63AC2"/>
    <w:rsid w:val="00D7383B"/>
    <w:rsid w:val="00D7788A"/>
    <w:rsid w:val="00D830E9"/>
    <w:rsid w:val="00DA231B"/>
    <w:rsid w:val="00DB18D3"/>
    <w:rsid w:val="00DB581F"/>
    <w:rsid w:val="00DB7533"/>
    <w:rsid w:val="00DC39FC"/>
    <w:rsid w:val="00DF5254"/>
    <w:rsid w:val="00E01386"/>
    <w:rsid w:val="00E02524"/>
    <w:rsid w:val="00E16408"/>
    <w:rsid w:val="00E20894"/>
    <w:rsid w:val="00E245AB"/>
    <w:rsid w:val="00E25E93"/>
    <w:rsid w:val="00E2764C"/>
    <w:rsid w:val="00E27F2E"/>
    <w:rsid w:val="00E3116D"/>
    <w:rsid w:val="00E3445D"/>
    <w:rsid w:val="00E50AFE"/>
    <w:rsid w:val="00E75C92"/>
    <w:rsid w:val="00E771DC"/>
    <w:rsid w:val="00E8772A"/>
    <w:rsid w:val="00E90F6B"/>
    <w:rsid w:val="00E92C27"/>
    <w:rsid w:val="00E93D58"/>
    <w:rsid w:val="00EA0E3D"/>
    <w:rsid w:val="00EB5C1E"/>
    <w:rsid w:val="00EC38A7"/>
    <w:rsid w:val="00EE1AA8"/>
    <w:rsid w:val="00EF1CB4"/>
    <w:rsid w:val="00F23FEA"/>
    <w:rsid w:val="00F31EDC"/>
    <w:rsid w:val="00F3517D"/>
    <w:rsid w:val="00F462B3"/>
    <w:rsid w:val="00F53072"/>
    <w:rsid w:val="00F5664F"/>
    <w:rsid w:val="00F63270"/>
    <w:rsid w:val="00F666C4"/>
    <w:rsid w:val="00F76AFC"/>
    <w:rsid w:val="00F8096B"/>
    <w:rsid w:val="00F81342"/>
    <w:rsid w:val="00FA47C0"/>
    <w:rsid w:val="00FB5DD1"/>
    <w:rsid w:val="00FB60BD"/>
    <w:rsid w:val="00FC2B5D"/>
    <w:rsid w:val="00FC7760"/>
    <w:rsid w:val="00FD15C2"/>
    <w:rsid w:val="00FD63A9"/>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67243"/>
    <w:pPr>
      <w:spacing w:line="240" w:lineRule="exact"/>
    </w:pPr>
    <w:rPr>
      <w:vertAlign w:val="superscript"/>
    </w:rPr>
  </w:style>
  <w:style w:type="character" w:customStyle="1" w:styleId="NormalWebCar">
    <w:name w:val="Normal (Web) Car"/>
    <w:link w:val="NormalWeb"/>
    <w:uiPriority w:val="99"/>
    <w:locked/>
    <w:rsid w:val="00167243"/>
    <w:rPr>
      <w:rFonts w:ascii="Times New Roman" w:eastAsia="Times New Roman" w:hAnsi="Times New Roman" w:cs="Times New Roman"/>
      <w:sz w:val="24"/>
      <w:szCs w:val="24"/>
      <w:lang w:eastAsia="es-CO"/>
    </w:rPr>
  </w:style>
  <w:style w:type="character" w:customStyle="1" w:styleId="baj">
    <w:name w:val="b_aj"/>
    <w:basedOn w:val="Fuentedeprrafopredeter"/>
    <w:rsid w:val="001672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operaciones.colombiacompra.gov.co/sites/cce_public/files/cce_circulares/circular_externa_unica_version_3_vf49.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eseharv-sanagustin-huila.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AFEB464-6BDE-4241-9FCE-74B05E5409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27</Pages>
  <Words>8654</Words>
  <Characters>48032</Characters>
  <Application>Microsoft Office Word</Application>
  <DocSecurity>0</DocSecurity>
  <Lines>941</Lines>
  <Paragraphs>174</Paragraphs>
  <ScaleCrop>false</ScaleCrop>
  <Company/>
  <LinksUpToDate>false</LinksUpToDate>
  <CharactersWithSpaces>56512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2026-03-25T16:45:00Z</dcterms:created>
  <dcterms:modified xsi:type="dcterms:W3CDTF">2026-03-26T19:39:00Z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