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8DC1F5" w14:textId="77777777" w:rsidR="00315CDD" w:rsidRPr="004F3256" w:rsidRDefault="00315CDD" w:rsidP="00315CDD">
      <w:pPr>
        <w:spacing w:after="0" w:line="240" w:lineRule="auto"/>
        <w:jc w:val="both"/>
        <w:rPr>
          <w:rFonts w:ascii="Verdana" w:eastAsia="Calibri" w:hAnsi="Verdana" w:cs="Arial"/>
          <w:b/>
          <w:bCs/>
          <w:lang w:val="es-ES" w:eastAsia="es-ES"/>
        </w:rPr>
      </w:pPr>
      <w:bookmarkStart w:id="0" w:name="_Hlk186494164"/>
      <w:bookmarkStart w:id="1" w:name="_Hlk143780582"/>
      <w:r w:rsidRPr="004F3256">
        <w:rPr>
          <w:rFonts w:ascii="Verdana" w:eastAsia="Calibri" w:hAnsi="Verdana" w:cs="Arial"/>
          <w:b/>
          <w:bCs/>
          <w:lang w:val="es-ES" w:eastAsia="es-ES"/>
        </w:rPr>
        <w:t xml:space="preserve">PRECIO – Estructuración del precio </w:t>
      </w:r>
    </w:p>
    <w:p w14:paraId="7256C212" w14:textId="77777777" w:rsidR="00315CDD" w:rsidRPr="004F3256" w:rsidRDefault="00315CDD" w:rsidP="00315CDD">
      <w:pPr>
        <w:spacing w:after="0" w:line="240" w:lineRule="auto"/>
        <w:jc w:val="both"/>
        <w:rPr>
          <w:rFonts w:ascii="Verdana" w:eastAsia="Calibri" w:hAnsi="Verdana" w:cs="Arial"/>
          <w:b/>
          <w:bCs/>
          <w:lang w:val="es-ES" w:eastAsia="es-ES"/>
        </w:rPr>
      </w:pPr>
    </w:p>
    <w:p w14:paraId="0560264D" w14:textId="77777777" w:rsidR="00315CDD" w:rsidRPr="004F3256" w:rsidRDefault="00315CDD" w:rsidP="00315CDD">
      <w:pPr>
        <w:spacing w:after="0" w:line="240" w:lineRule="auto"/>
        <w:jc w:val="both"/>
        <w:rPr>
          <w:rFonts w:ascii="Verdana" w:eastAsia="Calibri" w:hAnsi="Verdana" w:cs="Arial"/>
          <w:bCs/>
          <w:color w:val="000000" w:themeColor="text1"/>
          <w:sz w:val="20"/>
          <w:szCs w:val="20"/>
          <w:lang w:val="es-ES" w:eastAsia="es-ES_tradnl"/>
        </w:rPr>
      </w:pPr>
      <w:r w:rsidRPr="004F3256">
        <w:rPr>
          <w:rFonts w:ascii="Verdana" w:eastAsia="Calibri" w:hAnsi="Verdana" w:cs="Arial"/>
          <w:bCs/>
          <w:color w:val="000000" w:themeColor="text1"/>
          <w:sz w:val="20"/>
          <w:szCs w:val="20"/>
          <w:lang w:val="es-ES" w:eastAsia="es-ES_tradnl"/>
        </w:rPr>
        <w:t>Uno de los elementos más comunes en los contratos estatales es el precio,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p>
    <w:p w14:paraId="54AA11E4" w14:textId="77777777" w:rsidR="00315CDD" w:rsidRPr="004F3256" w:rsidRDefault="00315CDD" w:rsidP="00315CDD">
      <w:pPr>
        <w:spacing w:after="0" w:line="240" w:lineRule="auto"/>
        <w:jc w:val="both"/>
        <w:rPr>
          <w:rFonts w:ascii="Verdana" w:eastAsia="Calibri" w:hAnsi="Verdana" w:cs="Arial"/>
          <w:bCs/>
          <w:color w:val="000000" w:themeColor="text1"/>
          <w:sz w:val="20"/>
          <w:szCs w:val="20"/>
          <w:lang w:val="es-ES" w:eastAsia="es-ES_tradnl"/>
        </w:rPr>
      </w:pPr>
    </w:p>
    <w:p w14:paraId="1B7D4154" w14:textId="77777777" w:rsidR="00315CDD" w:rsidRPr="004F3256" w:rsidRDefault="00315CDD" w:rsidP="00315CDD">
      <w:pPr>
        <w:spacing w:after="0" w:line="240" w:lineRule="auto"/>
        <w:jc w:val="both"/>
        <w:rPr>
          <w:rFonts w:ascii="Verdana" w:eastAsia="Calibri" w:hAnsi="Verdana" w:cs="Arial"/>
          <w:bCs/>
          <w:color w:val="000000" w:themeColor="text1"/>
          <w:sz w:val="20"/>
          <w:szCs w:val="20"/>
          <w:lang w:val="es-ES" w:eastAsia="es-ES_tradnl"/>
        </w:rPr>
      </w:pPr>
      <w:r w:rsidRPr="004F3256">
        <w:rPr>
          <w:rFonts w:ascii="Verdana" w:eastAsia="Calibri" w:hAnsi="Verdana" w:cs="Arial"/>
          <w:bCs/>
          <w:color w:val="000000" w:themeColor="text1"/>
          <w:sz w:val="20"/>
          <w:szCs w:val="20"/>
          <w:lang w:val="es-ES" w:eastAsia="es-ES_tradnl"/>
        </w:rPr>
        <w:t xml:space="preserve">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 </w:t>
      </w:r>
    </w:p>
    <w:p w14:paraId="2F4003C4" w14:textId="77777777" w:rsidR="00315CDD" w:rsidRPr="004F3256" w:rsidRDefault="00315CDD" w:rsidP="00315CDD">
      <w:pPr>
        <w:spacing w:after="0" w:line="240" w:lineRule="auto"/>
        <w:jc w:val="both"/>
        <w:rPr>
          <w:rFonts w:ascii="Verdana" w:eastAsia="Calibri" w:hAnsi="Verdana" w:cs="Arial"/>
          <w:lang w:val="es-ES" w:eastAsia="es-ES"/>
        </w:rPr>
      </w:pPr>
    </w:p>
    <w:p w14:paraId="45DD3E49" w14:textId="77777777" w:rsidR="00315CDD" w:rsidRPr="004F3256" w:rsidRDefault="00315CDD" w:rsidP="00315CDD">
      <w:pPr>
        <w:spacing w:after="0" w:line="240" w:lineRule="auto"/>
        <w:jc w:val="both"/>
        <w:rPr>
          <w:rFonts w:ascii="Verdana" w:eastAsia="Calibri" w:hAnsi="Verdana" w:cs="Arial"/>
          <w:b/>
          <w:bCs/>
          <w:lang w:val="es-ES" w:eastAsia="es-ES"/>
        </w:rPr>
      </w:pPr>
      <w:r w:rsidRPr="004F3256">
        <w:rPr>
          <w:rFonts w:ascii="Verdana" w:eastAsia="Calibri" w:hAnsi="Verdana" w:cs="Arial"/>
          <w:b/>
          <w:bCs/>
          <w:lang w:val="es-ES" w:eastAsia="es-ES"/>
        </w:rPr>
        <w:t xml:space="preserve">COSTOS DIRECTOS E INDIRECTOS – Finalidad – Ejecución del contrato </w:t>
      </w:r>
    </w:p>
    <w:p w14:paraId="53AB4651" w14:textId="77777777" w:rsidR="00315CDD" w:rsidRPr="004F3256" w:rsidRDefault="00315CDD" w:rsidP="00315CDD">
      <w:pPr>
        <w:spacing w:after="0" w:line="240" w:lineRule="auto"/>
        <w:jc w:val="both"/>
        <w:rPr>
          <w:rFonts w:ascii="Verdana" w:eastAsia="Calibri" w:hAnsi="Verdana" w:cs="Arial"/>
          <w:b/>
          <w:bCs/>
          <w:lang w:val="es-ES" w:eastAsia="es-ES"/>
        </w:rPr>
      </w:pPr>
    </w:p>
    <w:p w14:paraId="6CB57C6C" w14:textId="77777777" w:rsidR="00315CDD" w:rsidRPr="004F3256" w:rsidRDefault="00315CDD" w:rsidP="00315CDD">
      <w:pPr>
        <w:spacing w:after="0" w:line="240" w:lineRule="auto"/>
        <w:jc w:val="both"/>
        <w:rPr>
          <w:rFonts w:ascii="Verdana" w:eastAsia="Calibri" w:hAnsi="Verdana" w:cs="Arial"/>
          <w:color w:val="000000" w:themeColor="text1"/>
          <w:sz w:val="20"/>
          <w:szCs w:val="20"/>
          <w:lang w:val="es-ES_tradnl"/>
        </w:rPr>
      </w:pPr>
      <w:r w:rsidRPr="004F3256">
        <w:rPr>
          <w:rFonts w:ascii="Verdana" w:eastAsia="Calibri" w:hAnsi="Verdana" w:cs="Arial"/>
          <w:bCs/>
          <w:color w:val="000000" w:themeColor="text1"/>
          <w:sz w:val="20"/>
          <w:szCs w:val="20"/>
          <w:lang w:val="es-ES" w:eastAsia="es-ES_tradnl"/>
        </w:rPr>
        <w:t xml:space="preserve">[…] en los contratos cuyo precio se estructura a partir del sistema de precios unitarios, ha hecho parte de la práctica de los negocios que el contratante le solicite al potencial contratista que separe en su propuesta los </w:t>
      </w:r>
      <w:r w:rsidRPr="004F3256">
        <w:rPr>
          <w:rFonts w:ascii="Verdana" w:eastAsia="Calibri" w:hAnsi="Verdana" w:cs="Arial"/>
          <w:bCs/>
          <w:i/>
          <w:iCs/>
          <w:color w:val="000000" w:themeColor="text1"/>
          <w:sz w:val="20"/>
          <w:szCs w:val="20"/>
          <w:lang w:val="es-ES" w:eastAsia="es-ES_tradnl"/>
        </w:rPr>
        <w:t>costos directos</w:t>
      </w:r>
      <w:r w:rsidRPr="004F3256">
        <w:rPr>
          <w:rFonts w:ascii="Verdana" w:eastAsia="Calibri" w:hAnsi="Verdana" w:cs="Arial"/>
          <w:bCs/>
          <w:color w:val="000000" w:themeColor="text1"/>
          <w:sz w:val="20"/>
          <w:szCs w:val="20"/>
          <w:lang w:val="es-ES" w:eastAsia="es-ES_tradnl"/>
        </w:rPr>
        <w:t xml:space="preserve"> –es decir, los que están directamente implicados en la ejecución del objeto–, de los </w:t>
      </w:r>
      <w:r w:rsidRPr="004F3256">
        <w:rPr>
          <w:rFonts w:ascii="Verdana" w:eastAsia="Calibri" w:hAnsi="Verdana" w:cs="Arial"/>
          <w:bCs/>
          <w:i/>
          <w:iCs/>
          <w:color w:val="000000" w:themeColor="text1"/>
          <w:sz w:val="20"/>
          <w:szCs w:val="20"/>
          <w:lang w:val="es-ES" w:eastAsia="es-ES_tradnl"/>
        </w:rPr>
        <w:t>costos indirectos</w:t>
      </w:r>
      <w:r w:rsidRPr="004F3256">
        <w:rPr>
          <w:rFonts w:ascii="Verdana" w:eastAsia="Calibri" w:hAnsi="Verdana" w:cs="Arial"/>
          <w:bCs/>
          <w:color w:val="000000" w:themeColor="text1"/>
          <w:sz w:val="20"/>
          <w:szCs w:val="20"/>
          <w:lang w:val="es-ES" w:eastAsia="es-ES_tradnl"/>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4F3256">
        <w:rPr>
          <w:rFonts w:ascii="Verdana" w:eastAsia="Calibri" w:hAnsi="Verdana" w:cs="Arial"/>
          <w:bCs/>
          <w:i/>
          <w:iCs/>
          <w:color w:val="000000" w:themeColor="text1"/>
          <w:sz w:val="20"/>
          <w:szCs w:val="20"/>
          <w:lang w:val="es-ES" w:eastAsia="es-ES_tradnl"/>
        </w:rPr>
        <w:t>costos directos</w:t>
      </w:r>
      <w:r w:rsidRPr="004F3256">
        <w:rPr>
          <w:rFonts w:ascii="Verdana" w:eastAsia="Calibri" w:hAnsi="Verdana" w:cs="Arial"/>
          <w:bCs/>
          <w:color w:val="000000" w:themeColor="text1"/>
          <w:sz w:val="20"/>
          <w:szCs w:val="20"/>
          <w:lang w:val="es-ES" w:eastAsia="es-ES_tradnl"/>
        </w:rPr>
        <w:t xml:space="preserve"> se evidencian en el análisis de precios unitarios –APU–, como la sumatoria de los valores de los </w:t>
      </w:r>
      <w:r w:rsidRPr="004F3256">
        <w:rPr>
          <w:rFonts w:ascii="Verdana" w:eastAsia="Calibri" w:hAnsi="Verdana" w:cs="Arial"/>
          <w:bCs/>
          <w:i/>
          <w:iCs/>
          <w:color w:val="000000" w:themeColor="text1"/>
          <w:sz w:val="20"/>
          <w:szCs w:val="20"/>
          <w:lang w:val="es-ES" w:eastAsia="es-ES_tradnl"/>
        </w:rPr>
        <w:t>ítems</w:t>
      </w:r>
      <w:r w:rsidRPr="004F3256">
        <w:rPr>
          <w:rFonts w:ascii="Verdana" w:eastAsia="Calibri" w:hAnsi="Verdana" w:cs="Arial"/>
          <w:bCs/>
          <w:color w:val="000000" w:themeColor="text1"/>
          <w:sz w:val="20"/>
          <w:szCs w:val="20"/>
          <w:lang w:val="es-ES" w:eastAsia="es-ES_tradnl"/>
        </w:rPr>
        <w:t xml:space="preserve"> según su unidad de medida, los </w:t>
      </w:r>
      <w:r w:rsidRPr="004F3256">
        <w:rPr>
          <w:rFonts w:ascii="Verdana" w:eastAsia="Calibri" w:hAnsi="Verdana" w:cs="Arial"/>
          <w:bCs/>
          <w:i/>
          <w:iCs/>
          <w:color w:val="000000" w:themeColor="text1"/>
          <w:sz w:val="20"/>
          <w:szCs w:val="20"/>
          <w:lang w:val="es-ES" w:eastAsia="es-ES_tradnl"/>
        </w:rPr>
        <w:t>costos indirectos</w:t>
      </w:r>
      <w:r w:rsidRPr="004F3256">
        <w:rPr>
          <w:rFonts w:ascii="Verdana" w:eastAsia="Calibri" w:hAnsi="Verdana" w:cs="Arial"/>
          <w:bCs/>
          <w:color w:val="000000" w:themeColor="text1"/>
          <w:sz w:val="20"/>
          <w:szCs w:val="20"/>
          <w:lang w:val="es-ES" w:eastAsia="es-ES_tradnl"/>
        </w:rPr>
        <w:t xml:space="preserve"> se suelen abreviar en las variables que integran el acrónimo AIU –Administración, Imprevistos y Utilidad–</w:t>
      </w:r>
      <w:r w:rsidRPr="004F3256">
        <w:rPr>
          <w:rFonts w:ascii="Verdana" w:eastAsia="Calibri" w:hAnsi="Verdana" w:cs="Arial"/>
          <w:color w:val="000000" w:themeColor="text1"/>
          <w:sz w:val="20"/>
          <w:szCs w:val="20"/>
          <w:lang w:val="es-ES_tradnl"/>
        </w:rPr>
        <w:t>.</w:t>
      </w:r>
    </w:p>
    <w:p w14:paraId="097323C3" w14:textId="77777777" w:rsidR="00315CDD" w:rsidRPr="004F3256" w:rsidRDefault="00315CDD" w:rsidP="00315CDD">
      <w:pPr>
        <w:spacing w:after="0" w:line="240" w:lineRule="auto"/>
        <w:jc w:val="both"/>
        <w:rPr>
          <w:rFonts w:ascii="Verdana" w:eastAsia="Calibri" w:hAnsi="Verdana" w:cs="Arial"/>
          <w:color w:val="000000" w:themeColor="text1"/>
          <w:sz w:val="20"/>
          <w:szCs w:val="20"/>
          <w:lang w:val="es-ES_tradnl"/>
        </w:rPr>
      </w:pPr>
    </w:p>
    <w:p w14:paraId="212FB24E" w14:textId="77777777" w:rsidR="00315CDD" w:rsidRPr="004F3256" w:rsidRDefault="00315CDD" w:rsidP="00315CDD">
      <w:pPr>
        <w:spacing w:after="0" w:line="240" w:lineRule="auto"/>
        <w:jc w:val="both"/>
        <w:rPr>
          <w:rFonts w:ascii="Verdana" w:eastAsia="Calibri" w:hAnsi="Verdana" w:cs="Arial"/>
          <w:bCs/>
          <w:color w:val="000000" w:themeColor="text1"/>
          <w:sz w:val="20"/>
          <w:szCs w:val="20"/>
          <w:lang w:val="es-ES" w:eastAsia="es-ES_tradnl"/>
        </w:rPr>
      </w:pPr>
      <w:r w:rsidRPr="004F3256">
        <w:rPr>
          <w:rFonts w:ascii="Verdana" w:eastAsia="Calibri" w:hAnsi="Verdana" w:cs="Arial"/>
          <w:bCs/>
          <w:color w:val="000000" w:themeColor="text1"/>
          <w:sz w:val="20"/>
          <w:szCs w:val="20"/>
          <w:lang w:val="es-ES" w:eastAsia="es-ES_tradnl"/>
        </w:rPr>
        <w:t xml:space="preserve">La jurisprudencia ha señalado que “[…] en la conformación de dichos precios unitarios, se tienen en cuenta todos los gastos que se requieren para realizar la unidad de medida respectiva –el metro lineal, el metro cúbico, el metro cuadrado, etc.-. Y lo que comúnmente se denomina análisis de precios unitarios, corresponde a la descomposición de los mismos para determinar los costos que los conforman: la maquinaria que se utilizará, calculando el valor por el tiempo que se requiera; la mano de obra, teniendo en cuenta el costo hora-hombre, y cuántas personas se requieren para la ejecución de esa unidad de medida; la cantidad de los materiales necesarios, etc.”. En concordancia, la doctrina explica que en la estructuración de los precios unitarios se tendrán en cuenta </w:t>
      </w:r>
      <w:r w:rsidRPr="004F3256">
        <w:rPr>
          <w:rFonts w:ascii="Verdana" w:eastAsia="Calibri" w:hAnsi="Verdana" w:cs="Arial"/>
          <w:bCs/>
          <w:color w:val="000000" w:themeColor="text1"/>
          <w:sz w:val="20"/>
          <w:szCs w:val="20"/>
          <w:lang w:val="es-ES" w:eastAsia="es-ES_tradnl"/>
        </w:rPr>
        <w:lastRenderedPageBreak/>
        <w:t>todos los costos directos necesarios para la ejecución del objeto contractual que se multiplicará por al AIU, lo que determina el valor unitario</w:t>
      </w:r>
    </w:p>
    <w:p w14:paraId="3DD8123C" w14:textId="77777777" w:rsidR="00315CDD" w:rsidRPr="004F3256" w:rsidRDefault="00315CDD" w:rsidP="00315CDD">
      <w:pPr>
        <w:spacing w:after="0" w:line="240" w:lineRule="auto"/>
        <w:rPr>
          <w:rFonts w:ascii="Verdana" w:eastAsia="Geomanist Light" w:hAnsi="Verdana" w:cs="Arial"/>
          <w:color w:val="000000" w:themeColor="text1"/>
          <w:sz w:val="20"/>
          <w:szCs w:val="20"/>
          <w:lang w:val="es-ES_tradnl"/>
        </w:rPr>
      </w:pPr>
    </w:p>
    <w:p w14:paraId="25404E9B" w14:textId="77777777" w:rsidR="00315CDD" w:rsidRPr="004F3256" w:rsidRDefault="00315CDD" w:rsidP="00315CDD">
      <w:pPr>
        <w:spacing w:after="0" w:line="240" w:lineRule="auto"/>
        <w:jc w:val="both"/>
        <w:rPr>
          <w:rFonts w:ascii="Verdana" w:eastAsia="Calibri" w:hAnsi="Verdana" w:cs="Arial"/>
          <w:b/>
          <w:bCs/>
          <w:lang w:val="es-ES" w:eastAsia="es-ES"/>
        </w:rPr>
      </w:pPr>
      <w:r w:rsidRPr="004F3256">
        <w:rPr>
          <w:rFonts w:ascii="Verdana" w:eastAsia="Calibri" w:hAnsi="Verdana" w:cs="Arial"/>
          <w:b/>
          <w:bCs/>
          <w:lang w:val="es-ES" w:eastAsia="es-ES"/>
        </w:rPr>
        <w:t xml:space="preserve">AIU – Componentes – Discrecionalidad – Límites </w:t>
      </w:r>
    </w:p>
    <w:p w14:paraId="2F145CBD" w14:textId="77777777" w:rsidR="00315CDD" w:rsidRPr="004F3256" w:rsidRDefault="00315CDD" w:rsidP="00315CDD">
      <w:pPr>
        <w:spacing w:after="0" w:line="240" w:lineRule="auto"/>
        <w:jc w:val="both"/>
        <w:rPr>
          <w:rFonts w:ascii="Verdana" w:hAnsi="Verdana" w:cs="Arial"/>
          <w:bCs/>
          <w:sz w:val="20"/>
          <w:szCs w:val="20"/>
          <w:lang w:eastAsia="es-CO"/>
        </w:rPr>
      </w:pPr>
    </w:p>
    <w:p w14:paraId="3B367CA0" w14:textId="77777777" w:rsidR="00315CDD" w:rsidRPr="004F3256" w:rsidRDefault="00315CDD" w:rsidP="00315CDD">
      <w:pPr>
        <w:spacing w:after="0" w:line="240" w:lineRule="auto"/>
        <w:jc w:val="both"/>
        <w:rPr>
          <w:rFonts w:ascii="Verdana" w:hAnsi="Verdana" w:cs="Arial"/>
          <w:sz w:val="20"/>
          <w:szCs w:val="20"/>
          <w:lang w:val="es-ES" w:eastAsia="es-ES"/>
        </w:rPr>
      </w:pPr>
      <w:r w:rsidRPr="004F3256">
        <w:rPr>
          <w:rFonts w:ascii="Verdana" w:hAnsi="Verdana" w:cs="Arial"/>
          <w:sz w:val="20"/>
          <w:szCs w:val="20"/>
          <w:lang w:val="es-ES" w:eastAsia="es-ES"/>
        </w:rPr>
        <w:t>De esta manera, usualmente en los contratos cuyo valor se estructura bajo el sistema de precios unitarios y con el desglose del AIU, el precio se paga con base en el valor de los costos directos incrementados por el porcentaje del AIU, forma de pago que pueden incluir las entidades estatales en virtud de la autonomía de la voluntad a que remiten los artículos 13, 32 y 40 del EGCAP. Ahora bien, nada obstaría para que las partes le dieran otros efectos particulares a la forma en que pagan el precio estructurado con AIU. Por ejemplo, podrían incluir cláusulas o reglas bajo las cuales se estableciera que el valor de alguno o de todos los componentes de la Administración o los Imprevistos sólo se pagan si el contratista demuestra que incurrió en algunas situaciones específicas y bajo el monto que este logre demostrar.</w:t>
      </w:r>
    </w:p>
    <w:p w14:paraId="3457E848" w14:textId="77777777" w:rsidR="00315CDD" w:rsidRPr="004F3256" w:rsidRDefault="00315CDD" w:rsidP="00315CDD">
      <w:pPr>
        <w:spacing w:after="0" w:line="240" w:lineRule="auto"/>
        <w:jc w:val="both"/>
        <w:rPr>
          <w:rFonts w:ascii="Verdana" w:hAnsi="Verdana" w:cs="Arial"/>
          <w:sz w:val="20"/>
          <w:szCs w:val="20"/>
          <w:lang w:val="es-ES" w:eastAsia="es-ES"/>
        </w:rPr>
      </w:pPr>
    </w:p>
    <w:p w14:paraId="2B76EA0C" w14:textId="77777777" w:rsidR="00315CDD" w:rsidRPr="004F3256" w:rsidRDefault="00315CDD" w:rsidP="00315CDD">
      <w:pPr>
        <w:spacing w:after="0" w:line="240" w:lineRule="auto"/>
        <w:jc w:val="both"/>
        <w:rPr>
          <w:rFonts w:ascii="Verdana" w:hAnsi="Verdana" w:cs="Arial"/>
          <w:sz w:val="20"/>
          <w:szCs w:val="20"/>
          <w:lang w:val="es-ES" w:eastAsia="es-ES"/>
        </w:rPr>
      </w:pPr>
      <w:r w:rsidRPr="004F3256">
        <w:rPr>
          <w:rFonts w:ascii="Verdana" w:hAnsi="Verdana" w:cs="Arial"/>
          <w:sz w:val="20"/>
          <w:szCs w:val="20"/>
          <w:lang w:val="es-ES" w:eastAsia="es-ES"/>
        </w:rPr>
        <w:t xml:space="preserve">Sin embargo, una regulación como la anterior no es la que suele emplearse en los contratos estatales. Lo usual, que se advierte en la práctica de las Entidades Estatales, es que acuden al AIU con la finalidad de establecer un precio más estable, de manera que el valor del contrato consistirá en lo que resulte de afectar los costos directos por el porcentaje, en principio, invariable del AIU, de manera que al valor de los costos directos se le sume el AIU. </w:t>
      </w:r>
    </w:p>
    <w:p w14:paraId="0BFDAAAD" w14:textId="77777777" w:rsidR="00315CDD" w:rsidRPr="004F3256" w:rsidRDefault="00315CDD" w:rsidP="00315CDD">
      <w:pPr>
        <w:spacing w:after="0" w:line="240" w:lineRule="auto"/>
        <w:jc w:val="both"/>
        <w:rPr>
          <w:rFonts w:ascii="Verdana" w:hAnsi="Verdana" w:cs="Arial"/>
          <w:sz w:val="20"/>
          <w:szCs w:val="20"/>
          <w:lang w:val="es-ES" w:eastAsia="es-ES"/>
        </w:rPr>
      </w:pPr>
    </w:p>
    <w:p w14:paraId="1D8959EF" w14:textId="77777777" w:rsidR="00315CDD" w:rsidRPr="004F3256" w:rsidRDefault="00315CDD" w:rsidP="00315CDD">
      <w:pPr>
        <w:spacing w:after="0" w:line="240" w:lineRule="auto"/>
        <w:jc w:val="both"/>
        <w:rPr>
          <w:rFonts w:ascii="Verdana" w:hAnsi="Verdana" w:cs="Arial"/>
          <w:sz w:val="20"/>
          <w:szCs w:val="20"/>
          <w:lang w:val="es-ES" w:eastAsia="es-ES"/>
        </w:rPr>
      </w:pPr>
      <w:r w:rsidRPr="004F3256">
        <w:rPr>
          <w:rFonts w:ascii="Verdana" w:hAnsi="Verdana" w:cs="Arial"/>
          <w:sz w:val="20"/>
          <w:szCs w:val="20"/>
          <w:lang w:val="es-ES" w:eastAsia="es-ES"/>
        </w:rPr>
        <w:t xml:space="preserve">En este sentido, cuando las Entidades Estatales incluyen esta forma de desglosar el precio, en los últimos términos indicados, al realizar el estudio de mercado elaboran un presupuesto estimado del valor de la ejecución del contrato. Dicho presupuesto estimado incluye los costos genéricos indirectos en que incurren los contratistas, entre ellos, los de la Administración y los Imprevistos, para efectos de definir el porcentaje con el que calculan el presupuesto, pese a que el monto de estos componentes varía ostensiblemente de un proponente a otro, pues su valor real depende de circunstancias particulares de los oferentes. </w:t>
      </w:r>
    </w:p>
    <w:p w14:paraId="394BEA4F" w14:textId="77777777" w:rsidR="00315CDD" w:rsidRPr="004F3256" w:rsidRDefault="00315CDD" w:rsidP="00315CDD">
      <w:pPr>
        <w:spacing w:after="0" w:line="240" w:lineRule="auto"/>
        <w:jc w:val="both"/>
        <w:rPr>
          <w:rFonts w:ascii="Verdana" w:hAnsi="Verdana" w:cs="Arial"/>
          <w:sz w:val="20"/>
          <w:szCs w:val="20"/>
          <w:lang w:val="es-ES" w:eastAsia="es-ES"/>
        </w:rPr>
      </w:pPr>
    </w:p>
    <w:p w14:paraId="3068B34A" w14:textId="77777777" w:rsidR="00315CDD" w:rsidRPr="004F3256" w:rsidRDefault="00315CDD" w:rsidP="00315CDD">
      <w:pPr>
        <w:spacing w:after="0" w:line="240" w:lineRule="auto"/>
        <w:jc w:val="both"/>
        <w:rPr>
          <w:rFonts w:ascii="Verdana" w:eastAsia="Geomanist Light" w:hAnsi="Verdana" w:cs="Arial"/>
          <w:b/>
          <w:bCs/>
          <w:color w:val="000000" w:themeColor="text1"/>
          <w:sz w:val="20"/>
          <w:szCs w:val="20"/>
          <w:lang w:val="es-MX"/>
        </w:rPr>
      </w:pPr>
      <w:r w:rsidRPr="004F3256">
        <w:rPr>
          <w:rFonts w:ascii="Verdana" w:eastAsia="Times New Roman" w:hAnsi="Verdana"/>
          <w:b/>
          <w:bCs/>
          <w:lang w:val="es-ES_tradnl" w:eastAsia="es-ES_tradnl"/>
        </w:rPr>
        <w:t>CONVENIOS Y CONTRATOS INTERADMINISTRATIVOS –</w:t>
      </w:r>
      <w:r w:rsidRPr="004F3256">
        <w:rPr>
          <w:rFonts w:ascii="Verdana" w:eastAsia="Times New Roman" w:hAnsi="Verdana"/>
          <w:b/>
          <w:bCs/>
          <w:lang w:eastAsia="es-ES_tradnl"/>
        </w:rPr>
        <w:t xml:space="preserve"> Noción y Características – Diferencias</w:t>
      </w:r>
      <w:r w:rsidRPr="004F3256">
        <w:rPr>
          <w:rFonts w:ascii="Verdana" w:eastAsia="Calibri" w:hAnsi="Verdana" w:cs="Arial"/>
          <w:b/>
          <w:bCs/>
          <w:lang w:eastAsia="es-ES"/>
        </w:rPr>
        <w:t xml:space="preserve"> – Costos administrativos</w:t>
      </w:r>
    </w:p>
    <w:p w14:paraId="3BB2E883" w14:textId="77777777" w:rsidR="00315CDD" w:rsidRPr="004F3256" w:rsidRDefault="00315CDD" w:rsidP="00315CDD">
      <w:pPr>
        <w:spacing w:after="0" w:line="240" w:lineRule="auto"/>
        <w:rPr>
          <w:rFonts w:ascii="Verdana" w:eastAsia="Geomanist Light" w:hAnsi="Verdana" w:cs="Arial"/>
          <w:color w:val="000000" w:themeColor="text1"/>
          <w:lang w:val="es-MX"/>
        </w:rPr>
      </w:pPr>
    </w:p>
    <w:p w14:paraId="598EC021" w14:textId="77777777" w:rsidR="00315CDD" w:rsidRPr="004F3256" w:rsidRDefault="00315CDD" w:rsidP="00315CDD">
      <w:pPr>
        <w:snapToGrid w:val="0"/>
        <w:jc w:val="both"/>
        <w:rPr>
          <w:rFonts w:ascii="Verdana" w:eastAsia="Calibri" w:hAnsi="Verdana" w:cs="Arial"/>
          <w:bCs/>
          <w:color w:val="000000" w:themeColor="text1"/>
          <w:sz w:val="20"/>
          <w:szCs w:val="20"/>
          <w:lang w:eastAsia="es-ES_tradnl" w:bidi="es-ES"/>
        </w:rPr>
      </w:pPr>
      <w:r w:rsidRPr="004F3256">
        <w:rPr>
          <w:rFonts w:ascii="Verdana" w:eastAsia="Calibri" w:hAnsi="Verdana" w:cs="Arial"/>
          <w:bCs/>
          <w:color w:val="000000" w:themeColor="text1"/>
          <w:sz w:val="20"/>
          <w:szCs w:val="20"/>
          <w:lang w:eastAsia="es-ES_tradnl" w:bidi="es-ES"/>
        </w:rPr>
        <w:t xml:space="preserve">Mientras que en el contrato interadministrativo las finalidades de las partes divergen, en el convenio convergen y cooperan en función del cumplimiento eficiente de un propósito estatal común superior. En esa línea, una interpretación sistemática de las leyes 80 de 1993, 1150 de 2007 y 1474 de 2011 invitaría a considerar el contrato interadministrativo como una relación jurídica patrimonial, onerosa y conmutativa, en la que existen unas </w:t>
      </w:r>
      <w:r w:rsidRPr="004F3256">
        <w:rPr>
          <w:rFonts w:ascii="Verdana" w:eastAsia="Calibri" w:hAnsi="Verdana" w:cs="Arial"/>
          <w:bCs/>
          <w:color w:val="000000" w:themeColor="text1"/>
          <w:sz w:val="20"/>
          <w:szCs w:val="20"/>
          <w:lang w:eastAsia="es-ES_tradnl" w:bidi="es-ES"/>
        </w:rPr>
        <w:lastRenderedPageBreak/>
        <w:t>exigencias y restricciones normativas adicionales, de manera que, en efecto, dista de la naturaleza y esencia del convenio interadministrativo.</w:t>
      </w:r>
    </w:p>
    <w:p w14:paraId="546DAA52" w14:textId="77777777" w:rsidR="00315CDD" w:rsidRPr="004F3256" w:rsidRDefault="00315CDD" w:rsidP="00315CDD">
      <w:pPr>
        <w:snapToGrid w:val="0"/>
        <w:spacing w:after="0" w:line="240" w:lineRule="auto"/>
        <w:jc w:val="both"/>
        <w:rPr>
          <w:rFonts w:ascii="Verdana" w:eastAsia="Times New Roman" w:hAnsi="Verdana" w:cs="Arial"/>
          <w:iCs/>
          <w:sz w:val="20"/>
          <w:szCs w:val="20"/>
          <w:lang w:eastAsia="es-ES_tradnl"/>
        </w:rPr>
      </w:pPr>
      <w:r w:rsidRPr="004F3256">
        <w:rPr>
          <w:rFonts w:ascii="Verdana" w:eastAsia="Calibri" w:hAnsi="Verdana" w:cs="Arial"/>
          <w:bCs/>
          <w:color w:val="000000" w:themeColor="text1"/>
          <w:sz w:val="20"/>
          <w:szCs w:val="20"/>
          <w:lang w:eastAsia="es-ES_tradnl" w:bidi="es-ES"/>
        </w:rPr>
        <w:t xml:space="preserve">En este contexto, </w:t>
      </w:r>
      <w:r w:rsidRPr="004F3256">
        <w:rPr>
          <w:rFonts w:ascii="Verdana" w:eastAsia="Times New Roman" w:hAnsi="Verdana" w:cs="Arial"/>
          <w:iCs/>
          <w:sz w:val="20"/>
          <w:szCs w:val="20"/>
          <w:lang w:eastAsia="es-ES_tradnl"/>
        </w:rPr>
        <w:t>tanto en los contratos como en los convenios interadministrativos es posible incluir costos y gastos administrativos. No obstante, debido a la naturaleza jurídica de cada figura, estos rubros tienen una finalidad y alcance diferente. En el marco de un convenio interadministrativo, las entidades públicas pueden incorporar los costos o gastos administrativos asociados a sus respectivos aportes técnicos, administrativos, financieros o económicos, siempre que estén orientados a contribuir, en el ámbito de sus competencias, al cumplimiento de los compromisos comunes y a garantizar la viabilidad operativa del convenio. En contraste, en los contratos interadministrativos, debido a su naturaleza onerosa y conmutativa, estos rubros hacen parte de la contraprestación pactada a favor de la entidad ejecutora, es decir, forman parte del precio o retribución económica a una de las partes por los bienes o servicios que presta.</w:t>
      </w:r>
    </w:p>
    <w:p w14:paraId="0E2C010E" w14:textId="77777777" w:rsidR="00315CDD" w:rsidRPr="004F3256" w:rsidRDefault="00315CDD" w:rsidP="00315CDD">
      <w:pPr>
        <w:spacing w:after="0" w:line="240" w:lineRule="auto"/>
        <w:jc w:val="both"/>
        <w:rPr>
          <w:rFonts w:ascii="Verdana" w:eastAsia="Times New Roman" w:hAnsi="Verdana" w:cs="Arial"/>
          <w:iCs/>
          <w:sz w:val="20"/>
          <w:szCs w:val="20"/>
          <w:lang w:eastAsia="es-ES_tradnl"/>
        </w:rPr>
      </w:pPr>
    </w:p>
    <w:p w14:paraId="493133D4" w14:textId="77777777" w:rsidR="00315CDD" w:rsidRPr="004F3256" w:rsidRDefault="00315CDD" w:rsidP="00315CDD">
      <w:pPr>
        <w:spacing w:after="0" w:line="240" w:lineRule="auto"/>
        <w:jc w:val="both"/>
        <w:rPr>
          <w:rFonts w:ascii="Verdana" w:eastAsia="Geomanist Light" w:hAnsi="Verdana" w:cs="Arial"/>
          <w:color w:val="000000" w:themeColor="text1"/>
          <w:sz w:val="20"/>
          <w:szCs w:val="20"/>
          <w:lang w:val="es-MX"/>
        </w:rPr>
      </w:pPr>
      <w:r w:rsidRPr="004F3256">
        <w:rPr>
          <w:rFonts w:ascii="Verdana" w:eastAsia="Times New Roman" w:hAnsi="Verdana" w:cs="Arial"/>
          <w:iCs/>
          <w:sz w:val="20"/>
          <w:szCs w:val="20"/>
          <w:lang w:eastAsia="es-ES_tradnl"/>
        </w:rPr>
        <w:t>En conclusión, si la noción de costos indirectos –overhead-, tal y como se explicó, es una noción asociada al cálculo del precio que se pagará al contratista por parte de la Entidad Estatal contratante, es decir una contraprestación, este concepto resulta inaplicable tratándose de convenios interadministrativos, en los cuales, los compromisos de contenido patrimonial se deben dirigir a cubrir los costos que genera la ejecución de las actividades asociadas al mismo, pero no a pagar a una de las entidades por la realización de sus respectivos compromisos o una utilidad a favor de ellas.</w:t>
      </w:r>
    </w:p>
    <w:p w14:paraId="7F9E1943" w14:textId="77777777" w:rsidR="00315CDD" w:rsidRPr="004F3256" w:rsidRDefault="00315CDD" w:rsidP="00315CDD">
      <w:pPr>
        <w:spacing w:after="0" w:line="240" w:lineRule="auto"/>
        <w:rPr>
          <w:rFonts w:ascii="Verdana" w:eastAsia="Geomanist Light" w:hAnsi="Verdana" w:cs="Arial"/>
          <w:color w:val="000000" w:themeColor="text1"/>
          <w:lang w:val="es-MX"/>
        </w:rPr>
      </w:pPr>
    </w:p>
    <w:p w14:paraId="6F3C29F4" w14:textId="77777777" w:rsidR="00315CDD" w:rsidRPr="004F3256" w:rsidRDefault="00315CDD" w:rsidP="00315CDD">
      <w:pPr>
        <w:spacing w:after="0" w:line="240" w:lineRule="auto"/>
        <w:rPr>
          <w:rFonts w:ascii="Verdana" w:eastAsia="Geomanist Light" w:hAnsi="Verdana" w:cs="Arial"/>
          <w:color w:val="000000" w:themeColor="text1"/>
          <w:lang w:val="es-MX"/>
        </w:rPr>
      </w:pPr>
    </w:p>
    <w:p w14:paraId="72227757" w14:textId="77777777" w:rsidR="00315CDD" w:rsidRPr="004F3256" w:rsidRDefault="00315CDD" w:rsidP="00315CDD">
      <w:pPr>
        <w:spacing w:after="0" w:line="240" w:lineRule="auto"/>
        <w:rPr>
          <w:rFonts w:ascii="Verdana" w:eastAsia="Geomanist Light" w:hAnsi="Verdana" w:cs="Arial"/>
          <w:color w:val="000000" w:themeColor="text1"/>
          <w:lang w:val="es-MX"/>
        </w:rPr>
      </w:pPr>
    </w:p>
    <w:p w14:paraId="2F492EA1" w14:textId="77777777" w:rsidR="00315CDD" w:rsidRPr="004F3256" w:rsidRDefault="00315CDD" w:rsidP="00315CDD">
      <w:pPr>
        <w:spacing w:after="0" w:line="240" w:lineRule="auto"/>
        <w:rPr>
          <w:rFonts w:ascii="Verdana" w:eastAsia="Geomanist Light" w:hAnsi="Verdana" w:cs="Arial"/>
          <w:color w:val="000000" w:themeColor="text1"/>
          <w:lang w:val="es-MX"/>
        </w:rPr>
      </w:pPr>
    </w:p>
    <w:p w14:paraId="258EB13A" w14:textId="77777777" w:rsidR="00315CDD" w:rsidRPr="004F3256" w:rsidRDefault="00315CDD" w:rsidP="00315CDD">
      <w:pPr>
        <w:spacing w:after="0" w:line="240" w:lineRule="auto"/>
        <w:rPr>
          <w:rFonts w:ascii="Verdana" w:eastAsia="Geomanist Light" w:hAnsi="Verdana" w:cs="Arial"/>
          <w:color w:val="000000" w:themeColor="text1"/>
          <w:lang w:val="es-MX"/>
        </w:rPr>
      </w:pPr>
    </w:p>
    <w:p w14:paraId="6E31D6A2" w14:textId="77777777" w:rsidR="00315CDD" w:rsidRPr="004F3256" w:rsidRDefault="00315CDD" w:rsidP="00315CDD">
      <w:pPr>
        <w:spacing w:after="0" w:line="240" w:lineRule="auto"/>
        <w:rPr>
          <w:rFonts w:ascii="Verdana" w:eastAsia="Geomanist Light" w:hAnsi="Verdana" w:cs="Arial"/>
          <w:color w:val="000000" w:themeColor="text1"/>
          <w:lang w:val="es-MX"/>
        </w:rPr>
      </w:pPr>
    </w:p>
    <w:p w14:paraId="0903F985" w14:textId="77777777" w:rsidR="00315CDD" w:rsidRPr="004F3256" w:rsidRDefault="00315CDD" w:rsidP="00315CDD">
      <w:pPr>
        <w:spacing w:after="0" w:line="240" w:lineRule="auto"/>
        <w:rPr>
          <w:rFonts w:ascii="Verdana" w:eastAsia="Geomanist Light" w:hAnsi="Verdana" w:cs="Arial"/>
          <w:color w:val="000000" w:themeColor="text1"/>
          <w:lang w:val="es-MX"/>
        </w:rPr>
      </w:pPr>
    </w:p>
    <w:p w14:paraId="78880FBF" w14:textId="77777777" w:rsidR="00315CDD" w:rsidRPr="004F3256" w:rsidRDefault="00315CDD" w:rsidP="00315CDD">
      <w:pPr>
        <w:spacing w:after="0" w:line="240" w:lineRule="auto"/>
        <w:rPr>
          <w:rFonts w:ascii="Verdana" w:eastAsia="Geomanist Light" w:hAnsi="Verdana" w:cs="Arial"/>
          <w:color w:val="000000" w:themeColor="text1"/>
          <w:lang w:val="es-MX"/>
        </w:rPr>
      </w:pPr>
    </w:p>
    <w:p w14:paraId="16D10794" w14:textId="77777777" w:rsidR="00315CDD" w:rsidRPr="004F3256" w:rsidRDefault="00315CDD" w:rsidP="00315CDD">
      <w:pPr>
        <w:spacing w:after="0" w:line="240" w:lineRule="auto"/>
        <w:rPr>
          <w:rFonts w:ascii="Verdana" w:eastAsia="Geomanist Light" w:hAnsi="Verdana" w:cs="Arial"/>
          <w:color w:val="000000" w:themeColor="text1"/>
          <w:lang w:val="es-MX"/>
        </w:rPr>
      </w:pPr>
    </w:p>
    <w:p w14:paraId="6C1C6F89" w14:textId="77777777" w:rsidR="00315CDD" w:rsidRPr="004F3256" w:rsidRDefault="00315CDD" w:rsidP="00315CDD">
      <w:pPr>
        <w:spacing w:after="0" w:line="240" w:lineRule="auto"/>
        <w:rPr>
          <w:rFonts w:ascii="Verdana" w:eastAsia="Geomanist Light" w:hAnsi="Verdana" w:cs="Arial"/>
          <w:color w:val="000000" w:themeColor="text1"/>
          <w:lang w:val="es-MX"/>
        </w:rPr>
      </w:pPr>
    </w:p>
    <w:p w14:paraId="19EFD282" w14:textId="77777777" w:rsidR="00315CDD" w:rsidRPr="004F3256" w:rsidRDefault="00315CDD" w:rsidP="00315CDD">
      <w:pPr>
        <w:spacing w:after="0" w:line="240" w:lineRule="auto"/>
        <w:rPr>
          <w:rFonts w:ascii="Verdana" w:eastAsia="Geomanist Light" w:hAnsi="Verdana" w:cs="Arial"/>
          <w:color w:val="000000" w:themeColor="text1"/>
          <w:lang w:val="es-MX"/>
        </w:rPr>
      </w:pPr>
    </w:p>
    <w:p w14:paraId="206B82E5" w14:textId="77777777" w:rsidR="00315CDD" w:rsidRPr="004F3256" w:rsidRDefault="00315CDD" w:rsidP="00315CDD">
      <w:pPr>
        <w:spacing w:after="0" w:line="240" w:lineRule="auto"/>
        <w:rPr>
          <w:rFonts w:ascii="Verdana" w:eastAsia="Geomanist Light" w:hAnsi="Verdana" w:cs="Arial"/>
          <w:color w:val="000000" w:themeColor="text1"/>
          <w:lang w:val="es-MX"/>
        </w:rPr>
      </w:pPr>
    </w:p>
    <w:p w14:paraId="57895179" w14:textId="77777777" w:rsidR="00315CDD" w:rsidRPr="004F3256" w:rsidRDefault="00315CDD" w:rsidP="00315CDD">
      <w:pPr>
        <w:spacing w:after="0" w:line="240" w:lineRule="auto"/>
        <w:rPr>
          <w:rFonts w:ascii="Verdana" w:eastAsia="Geomanist Light" w:hAnsi="Verdana" w:cs="Arial"/>
          <w:color w:val="000000" w:themeColor="text1"/>
          <w:lang w:val="es-MX"/>
        </w:rPr>
      </w:pPr>
    </w:p>
    <w:p w14:paraId="4A077755" w14:textId="77777777" w:rsidR="00315CDD" w:rsidRPr="004F3256" w:rsidRDefault="00315CDD" w:rsidP="00315CDD">
      <w:pPr>
        <w:spacing w:after="0" w:line="240" w:lineRule="auto"/>
        <w:rPr>
          <w:rFonts w:ascii="Verdana" w:eastAsia="Geomanist Light" w:hAnsi="Verdana" w:cs="Arial"/>
          <w:color w:val="000000" w:themeColor="text1"/>
          <w:lang w:val="es-MX"/>
        </w:rPr>
      </w:pPr>
    </w:p>
    <w:p w14:paraId="1B79D2B2" w14:textId="77777777" w:rsidR="00315CDD" w:rsidRPr="004F3256" w:rsidRDefault="00315CDD" w:rsidP="00315CDD">
      <w:pPr>
        <w:spacing w:after="0" w:line="240" w:lineRule="auto"/>
        <w:rPr>
          <w:rFonts w:ascii="Verdana" w:eastAsia="Geomanist Light" w:hAnsi="Verdana" w:cs="Arial"/>
          <w:color w:val="000000" w:themeColor="text1"/>
          <w:lang w:val="es-MX"/>
        </w:rPr>
      </w:pPr>
    </w:p>
    <w:p w14:paraId="2B94AFD6" w14:textId="77777777" w:rsidR="00315CDD" w:rsidRPr="004F3256" w:rsidRDefault="00315CDD" w:rsidP="00315CDD">
      <w:pPr>
        <w:spacing w:after="0" w:line="240" w:lineRule="auto"/>
        <w:rPr>
          <w:rFonts w:ascii="Verdana" w:eastAsia="Geomanist Light" w:hAnsi="Verdana" w:cs="Arial"/>
          <w:color w:val="000000" w:themeColor="text1"/>
          <w:lang w:val="es-MX"/>
        </w:rPr>
      </w:pPr>
    </w:p>
    <w:p w14:paraId="022A6EED" w14:textId="77777777" w:rsidR="00315CDD" w:rsidRDefault="00315CDD" w:rsidP="00315CDD">
      <w:pPr>
        <w:spacing w:after="0" w:line="240" w:lineRule="auto"/>
        <w:rPr>
          <w:rFonts w:ascii="Verdana" w:eastAsia="Geomanist Light" w:hAnsi="Verdana" w:cs="Arial"/>
          <w:color w:val="000000" w:themeColor="text1"/>
          <w:lang w:val="es-MX"/>
        </w:rPr>
      </w:pPr>
    </w:p>
    <w:p w14:paraId="423D66F6" w14:textId="77777777" w:rsidR="004179AD" w:rsidRDefault="004179AD" w:rsidP="00315CDD">
      <w:pPr>
        <w:spacing w:after="0" w:line="240" w:lineRule="auto"/>
        <w:rPr>
          <w:rFonts w:ascii="Verdana" w:eastAsia="Geomanist Light" w:hAnsi="Verdana" w:cs="Arial"/>
          <w:color w:val="000000" w:themeColor="text1"/>
          <w:lang w:val="es-MX"/>
        </w:rPr>
      </w:pPr>
    </w:p>
    <w:p w14:paraId="0550BFC0" w14:textId="77452F90" w:rsidR="00315CDD" w:rsidRDefault="00315CDD" w:rsidP="00315CDD">
      <w:pPr>
        <w:spacing w:after="0" w:line="240" w:lineRule="auto"/>
        <w:rPr>
          <w:rFonts w:ascii="Verdana" w:eastAsia="Geomanist Light" w:hAnsi="Verdana" w:cs="Arial"/>
          <w:color w:val="201F1E"/>
        </w:rPr>
      </w:pPr>
      <w:r w:rsidRPr="004F3256">
        <w:rPr>
          <w:rFonts w:ascii="Verdana" w:eastAsia="Geomanist Light" w:hAnsi="Verdana" w:cs="Arial"/>
          <w:color w:val="000000" w:themeColor="text1"/>
        </w:rPr>
        <w:lastRenderedPageBreak/>
        <w:t>Bogotá D.C., </w:t>
      </w:r>
      <w:r w:rsidR="004179AD">
        <w:rPr>
          <w:rFonts w:ascii="Verdana" w:eastAsia="Geomanist Light" w:hAnsi="Verdana" w:cs="Arial"/>
          <w:color w:val="201F1E"/>
        </w:rPr>
        <w:t>17 de marzo de 2026</w:t>
      </w:r>
    </w:p>
    <w:p w14:paraId="5EFB3DDF" w14:textId="77777777" w:rsidR="004179AD" w:rsidRPr="004F3256" w:rsidRDefault="004179AD" w:rsidP="00315CDD">
      <w:pPr>
        <w:spacing w:after="0" w:line="240" w:lineRule="auto"/>
        <w:rPr>
          <w:rFonts w:ascii="Verdana" w:eastAsia="Geomanist Light" w:hAnsi="Verdana" w:cs="Arial"/>
          <w:color w:val="201F1E"/>
        </w:rPr>
      </w:pPr>
    </w:p>
    <w:p w14:paraId="05D8D902" w14:textId="1D6CEDAE" w:rsidR="00315CDD" w:rsidRPr="004F3256" w:rsidRDefault="004179AD" w:rsidP="004179AD">
      <w:pPr>
        <w:spacing w:after="0" w:line="240" w:lineRule="auto"/>
        <w:jc w:val="right"/>
        <w:rPr>
          <w:rFonts w:ascii="Verdana" w:eastAsia="Calibri" w:hAnsi="Verdana" w:cs="Arial"/>
          <w:color w:val="000000"/>
        </w:rPr>
      </w:pPr>
      <w:r w:rsidRPr="004179AD">
        <w:rPr>
          <w:rFonts w:ascii="Verdana" w:eastAsia="Calibri" w:hAnsi="Verdana" w:cs="Arial"/>
          <w:noProof/>
          <w:color w:val="000000"/>
        </w:rPr>
        <w:drawing>
          <wp:anchor distT="0" distB="0" distL="114300" distR="114300" simplePos="0" relativeHeight="251658240" behindDoc="0" locked="0" layoutInCell="1" allowOverlap="1" wp14:anchorId="2DEC3DE2" wp14:editId="2653DB3B">
            <wp:simplePos x="0" y="0"/>
            <wp:positionH relativeFrom="column">
              <wp:posOffset>3240405</wp:posOffset>
            </wp:positionH>
            <wp:positionV relativeFrom="paragraph">
              <wp:posOffset>-3810</wp:posOffset>
            </wp:positionV>
            <wp:extent cx="2369820" cy="982980"/>
            <wp:effectExtent l="0" t="0" r="0" b="7620"/>
            <wp:wrapSquare wrapText="bothSides"/>
            <wp:docPr id="48834145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69820" cy="982980"/>
                    </a:xfrm>
                    <a:prstGeom prst="rect">
                      <a:avLst/>
                    </a:prstGeom>
                    <a:noFill/>
                    <a:ln>
                      <a:noFill/>
                    </a:ln>
                  </pic:spPr>
                </pic:pic>
              </a:graphicData>
            </a:graphic>
          </wp:anchor>
        </w:drawing>
      </w:r>
    </w:p>
    <w:p w14:paraId="6B09D44D" w14:textId="77777777" w:rsidR="00315CDD" w:rsidRPr="004F3256" w:rsidRDefault="00315CDD" w:rsidP="00315CDD">
      <w:pPr>
        <w:spacing w:after="0" w:line="240" w:lineRule="auto"/>
        <w:jc w:val="both"/>
        <w:rPr>
          <w:rFonts w:ascii="Verdana" w:eastAsia="Calibri" w:hAnsi="Verdana" w:cs="Arial"/>
          <w:color w:val="000000"/>
        </w:rPr>
      </w:pPr>
    </w:p>
    <w:p w14:paraId="73227F1D" w14:textId="77777777" w:rsidR="00315CDD" w:rsidRPr="00ED2339" w:rsidRDefault="00315CDD" w:rsidP="00315CDD">
      <w:pPr>
        <w:spacing w:after="0" w:line="240" w:lineRule="auto"/>
        <w:jc w:val="both"/>
        <w:rPr>
          <w:rFonts w:ascii="Verdana" w:eastAsia="Calibri" w:hAnsi="Verdana" w:cs="Arial"/>
          <w:lang w:val="it-CH" w:eastAsia="es-ES"/>
        </w:rPr>
      </w:pPr>
      <w:r w:rsidRPr="00ED2339">
        <w:rPr>
          <w:rFonts w:ascii="Verdana" w:eastAsia="Calibri" w:hAnsi="Verdana" w:cs="Arial"/>
          <w:lang w:val="it-CH" w:eastAsia="es-ES"/>
        </w:rPr>
        <w:t>Señora</w:t>
      </w:r>
    </w:p>
    <w:p w14:paraId="0D73602B" w14:textId="77777777" w:rsidR="00315CDD" w:rsidRPr="00ED2339" w:rsidRDefault="00315CDD" w:rsidP="00315CDD">
      <w:pPr>
        <w:spacing w:after="0" w:line="240" w:lineRule="auto"/>
        <w:jc w:val="both"/>
        <w:rPr>
          <w:rFonts w:ascii="Verdana" w:hAnsi="Verdana"/>
          <w:color w:val="0563C1" w:themeColor="hyperlink"/>
          <w:u w:val="single"/>
          <w:lang w:val="it-CH"/>
        </w:rPr>
      </w:pPr>
      <w:r w:rsidRPr="00ED2339">
        <w:rPr>
          <w:rFonts w:ascii="Verdana" w:eastAsia="Calibri" w:hAnsi="Verdana" w:cs="Arial"/>
          <w:b/>
          <w:lang w:val="it-CH" w:eastAsia="es-ES"/>
        </w:rPr>
        <w:t xml:space="preserve">Claudia Johanna Galvis Galindo </w:t>
      </w:r>
    </w:p>
    <w:p w14:paraId="1E3D0300" w14:textId="77777777" w:rsidR="00315CDD" w:rsidRPr="00ED2339" w:rsidRDefault="00315CDD" w:rsidP="00315CDD">
      <w:pPr>
        <w:spacing w:after="0" w:line="240" w:lineRule="auto"/>
        <w:jc w:val="both"/>
        <w:rPr>
          <w:rFonts w:ascii="Verdana" w:eastAsia="Calibri" w:hAnsi="Verdana" w:cs="Arial"/>
          <w:lang w:val="it-CH" w:eastAsia="es-ES"/>
        </w:rPr>
      </w:pPr>
      <w:hyperlink r:id="rId12" w:history="1">
        <w:r w:rsidRPr="00ED2339">
          <w:rPr>
            <w:rFonts w:ascii="Verdana" w:eastAsia="Calibri" w:hAnsi="Verdana" w:cs="Arial"/>
            <w:color w:val="0563C1" w:themeColor="hyperlink"/>
            <w:u w:val="single"/>
            <w:lang w:val="it-CH" w:eastAsia="es-ES"/>
          </w:rPr>
          <w:t>jgalvisg@yahoo.com</w:t>
        </w:r>
      </w:hyperlink>
      <w:r w:rsidRPr="00ED2339">
        <w:rPr>
          <w:rFonts w:ascii="Verdana" w:eastAsia="Calibri" w:hAnsi="Verdana" w:cs="Arial"/>
          <w:lang w:val="it-CH" w:eastAsia="es-ES"/>
        </w:rPr>
        <w:t xml:space="preserve">   </w:t>
      </w:r>
    </w:p>
    <w:p w14:paraId="25A8E560" w14:textId="77777777" w:rsidR="00315CDD" w:rsidRPr="004F3256" w:rsidRDefault="00315CDD" w:rsidP="00315CDD">
      <w:pPr>
        <w:spacing w:after="0" w:line="240" w:lineRule="auto"/>
        <w:rPr>
          <w:rFonts w:ascii="Verdana" w:hAnsi="Verdana"/>
        </w:rPr>
      </w:pPr>
      <w:r w:rsidRPr="004F3256">
        <w:rPr>
          <w:rFonts w:ascii="Verdana" w:hAnsi="Verdana"/>
        </w:rPr>
        <w:t>Bogotá D.C</w:t>
      </w:r>
    </w:p>
    <w:p w14:paraId="5B746D90" w14:textId="77777777" w:rsidR="00315CDD" w:rsidRPr="004F3256" w:rsidRDefault="00315CDD" w:rsidP="00315CDD">
      <w:pPr>
        <w:spacing w:after="0" w:line="240" w:lineRule="auto"/>
        <w:rPr>
          <w:rFonts w:ascii="Verdana" w:eastAsia="Calibri" w:hAnsi="Verdana" w:cs="Arial"/>
          <w:lang w:eastAsia="es-ES"/>
        </w:rPr>
      </w:pPr>
    </w:p>
    <w:p w14:paraId="1C9C176A" w14:textId="77777777" w:rsidR="00315CDD" w:rsidRPr="004F3256" w:rsidRDefault="00315CDD" w:rsidP="00315CDD">
      <w:pPr>
        <w:spacing w:after="0" w:line="240" w:lineRule="auto"/>
        <w:rPr>
          <w:rFonts w:ascii="Verdana" w:eastAsia="Calibri" w:hAnsi="Verdana" w:cs="Arial"/>
          <w:b/>
          <w:bCs/>
          <w:color w:val="000000"/>
          <w:lang w:eastAsia="es-ES_tradnl"/>
        </w:rPr>
      </w:pPr>
    </w:p>
    <w:p w14:paraId="2B3AF8C7" w14:textId="77777777" w:rsidR="00315CDD" w:rsidRPr="004F3256" w:rsidRDefault="00315CDD" w:rsidP="00315CDD">
      <w:pPr>
        <w:spacing w:after="0" w:line="240" w:lineRule="auto"/>
        <w:jc w:val="center"/>
        <w:rPr>
          <w:rFonts w:ascii="Verdana" w:eastAsia="Calibri" w:hAnsi="Verdana" w:cs="Arial"/>
          <w:b/>
          <w:bCs/>
          <w:lang w:eastAsia="es-ES"/>
        </w:rPr>
      </w:pPr>
      <w:r w:rsidRPr="004F3256">
        <w:rPr>
          <w:rFonts w:ascii="Verdana" w:eastAsia="Calibri" w:hAnsi="Verdana" w:cs="Arial"/>
          <w:b/>
          <w:bCs/>
          <w:lang w:eastAsia="es-ES"/>
        </w:rPr>
        <w:t>Concepto C – 311 de 2026</w:t>
      </w:r>
    </w:p>
    <w:p w14:paraId="1066B7C6" w14:textId="77777777" w:rsidR="00315CDD" w:rsidRPr="004F3256" w:rsidRDefault="00315CDD" w:rsidP="00315CDD">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15CDD" w:rsidRPr="004F3256" w14:paraId="5CB94C92" w14:textId="77777777" w:rsidTr="003F6B09">
        <w:trPr>
          <w:trHeight w:val="884"/>
        </w:trPr>
        <w:tc>
          <w:tcPr>
            <w:tcW w:w="2689" w:type="dxa"/>
          </w:tcPr>
          <w:p w14:paraId="4FA4D35D" w14:textId="77777777" w:rsidR="00315CDD" w:rsidRPr="004F3256" w:rsidRDefault="00315CDD" w:rsidP="003F6B09">
            <w:pPr>
              <w:jc w:val="both"/>
              <w:rPr>
                <w:rFonts w:ascii="Verdana" w:eastAsia="Calibri" w:hAnsi="Verdana" w:cs="Arial"/>
                <w:color w:val="000000"/>
                <w:lang w:eastAsia="es-ES_tradnl"/>
              </w:rPr>
            </w:pPr>
            <w:r w:rsidRPr="004F3256">
              <w:rPr>
                <w:rFonts w:ascii="Verdana" w:eastAsia="Calibri" w:hAnsi="Verdana" w:cs="Arial"/>
                <w:b/>
                <w:color w:val="000000"/>
                <w:lang w:eastAsia="es-ES_tradnl"/>
              </w:rPr>
              <w:t>Temas:</w:t>
            </w:r>
            <w:r w:rsidRPr="004F3256">
              <w:rPr>
                <w:rFonts w:ascii="Verdana" w:eastAsia="Calibri" w:hAnsi="Verdana" w:cs="Arial"/>
                <w:color w:val="000000"/>
                <w:lang w:eastAsia="es-ES_tradnl"/>
              </w:rPr>
              <w:t xml:space="preserve">                   </w:t>
            </w:r>
          </w:p>
        </w:tc>
        <w:tc>
          <w:tcPr>
            <w:tcW w:w="6100" w:type="dxa"/>
          </w:tcPr>
          <w:p w14:paraId="014D659D" w14:textId="77777777" w:rsidR="00315CDD" w:rsidRPr="004F3256" w:rsidRDefault="00315CDD" w:rsidP="003F6B09">
            <w:pPr>
              <w:spacing w:line="276" w:lineRule="auto"/>
              <w:jc w:val="both"/>
              <w:rPr>
                <w:rFonts w:ascii="Verdana" w:eastAsia="Calibri" w:hAnsi="Verdana" w:cs="Arial"/>
                <w:lang w:eastAsia="es-ES"/>
              </w:rPr>
            </w:pPr>
            <w:r w:rsidRPr="004F3256">
              <w:rPr>
                <w:rFonts w:ascii="Verdana" w:eastAsia="Calibri" w:hAnsi="Verdana" w:cs="Arial"/>
                <w:lang w:val="es-ES" w:eastAsia="es-ES"/>
              </w:rPr>
              <w:t xml:space="preserve">PRECIO – Estructuración del precio / COSTOS DIRECTOS E INDIRECTOS – Finalidad – Ejecución del contrato / AIU – Componentes – Discrecionalidad – Límites / </w:t>
            </w:r>
            <w:r w:rsidRPr="004F3256">
              <w:rPr>
                <w:rFonts w:ascii="Verdana" w:eastAsia="Times New Roman" w:hAnsi="Verdana"/>
                <w:lang w:val="es-ES_tradnl" w:eastAsia="es-ES_tradnl"/>
              </w:rPr>
              <w:t>CONVENIOS Y CONTRATOS INTERADMINISTRATIVOS –</w:t>
            </w:r>
            <w:r w:rsidRPr="004F3256">
              <w:rPr>
                <w:rFonts w:ascii="Verdana" w:eastAsia="Times New Roman" w:hAnsi="Verdana"/>
                <w:lang w:eastAsia="es-ES_tradnl"/>
              </w:rPr>
              <w:t xml:space="preserve"> Noción y Características – Diferencias</w:t>
            </w:r>
            <w:r w:rsidRPr="004F3256">
              <w:rPr>
                <w:rFonts w:ascii="Verdana" w:eastAsia="Calibri" w:hAnsi="Verdana" w:cs="Arial"/>
                <w:lang w:eastAsia="es-ES"/>
              </w:rPr>
              <w:t xml:space="preserve"> – Costos administrativos </w:t>
            </w:r>
          </w:p>
          <w:p w14:paraId="113FEED0" w14:textId="77777777" w:rsidR="00315CDD" w:rsidRPr="004F3256" w:rsidRDefault="00315CDD" w:rsidP="003F6B09">
            <w:pPr>
              <w:spacing w:line="276" w:lineRule="auto"/>
              <w:contextualSpacing/>
              <w:jc w:val="both"/>
              <w:rPr>
                <w:rFonts w:ascii="Verdana" w:eastAsia="Calibri" w:hAnsi="Verdana" w:cs="Arial"/>
                <w:lang w:eastAsia="es-ES"/>
              </w:rPr>
            </w:pPr>
          </w:p>
        </w:tc>
      </w:tr>
      <w:tr w:rsidR="00315CDD" w:rsidRPr="004F3256" w14:paraId="2A043C09" w14:textId="77777777" w:rsidTr="003F6B09">
        <w:tc>
          <w:tcPr>
            <w:tcW w:w="2689" w:type="dxa"/>
          </w:tcPr>
          <w:p w14:paraId="4BBB6C6B" w14:textId="77777777" w:rsidR="00315CDD" w:rsidRPr="004F3256" w:rsidRDefault="00315CDD" w:rsidP="003F6B09">
            <w:pPr>
              <w:jc w:val="both"/>
              <w:rPr>
                <w:rFonts w:ascii="Verdana" w:eastAsia="Calibri" w:hAnsi="Verdana" w:cs="Arial"/>
                <w:b/>
                <w:lang w:eastAsia="es-ES_tradnl"/>
              </w:rPr>
            </w:pPr>
            <w:r w:rsidRPr="004F3256">
              <w:rPr>
                <w:rFonts w:ascii="Verdana" w:eastAsia="Calibri" w:hAnsi="Verdana" w:cs="Arial"/>
                <w:b/>
                <w:lang w:eastAsia="es-ES_tradnl"/>
              </w:rPr>
              <w:t>Radicación:</w:t>
            </w:r>
            <w:r w:rsidRPr="004F3256">
              <w:rPr>
                <w:rFonts w:ascii="Verdana" w:eastAsia="Calibri" w:hAnsi="Verdana" w:cs="Arial"/>
                <w:lang w:eastAsia="es-ES_tradnl"/>
              </w:rPr>
              <w:t xml:space="preserve">               </w:t>
            </w:r>
          </w:p>
        </w:tc>
        <w:tc>
          <w:tcPr>
            <w:tcW w:w="6100" w:type="dxa"/>
          </w:tcPr>
          <w:p w14:paraId="703B3244" w14:textId="77777777" w:rsidR="00315CDD" w:rsidRPr="004F3256" w:rsidRDefault="00315CDD" w:rsidP="003F6B09">
            <w:pPr>
              <w:jc w:val="both"/>
              <w:rPr>
                <w:rFonts w:ascii="Verdana" w:eastAsia="Calibri" w:hAnsi="Verdana" w:cs="Arial"/>
                <w:lang w:eastAsia="es-ES_tradnl"/>
              </w:rPr>
            </w:pPr>
            <w:r w:rsidRPr="004F3256">
              <w:rPr>
                <w:rFonts w:ascii="Verdana" w:eastAsia="Calibri" w:hAnsi="Verdana" w:cs="Arial"/>
                <w:lang w:eastAsia="es-ES_tradnl"/>
              </w:rPr>
              <w:t>Respuesta a las consultas con radicado Nos. 1_2026_02_26_002701 y 1_2026_02_26_002702</w:t>
            </w:r>
          </w:p>
        </w:tc>
      </w:tr>
    </w:tbl>
    <w:p w14:paraId="7F7FFD4F" w14:textId="77777777" w:rsidR="00315CDD" w:rsidRPr="004F3256" w:rsidRDefault="00315CDD" w:rsidP="00315CDD">
      <w:pPr>
        <w:spacing w:after="0" w:line="240" w:lineRule="auto"/>
        <w:jc w:val="both"/>
        <w:rPr>
          <w:rFonts w:ascii="Verdana" w:eastAsia="Calibri" w:hAnsi="Verdana" w:cs="Arial"/>
          <w:color w:val="000000"/>
          <w:lang w:eastAsia="es-ES_tradnl"/>
        </w:rPr>
      </w:pPr>
    </w:p>
    <w:p w14:paraId="6C25A9F2" w14:textId="77777777" w:rsidR="00315CDD" w:rsidRPr="004F3256" w:rsidRDefault="00315CDD" w:rsidP="00315CDD">
      <w:pPr>
        <w:spacing w:after="0" w:line="240" w:lineRule="auto"/>
        <w:jc w:val="both"/>
        <w:rPr>
          <w:rFonts w:ascii="Verdana" w:eastAsia="Calibri" w:hAnsi="Verdana" w:cs="Arial"/>
          <w:color w:val="000000"/>
          <w:lang w:eastAsia="es-ES_tradnl"/>
        </w:rPr>
      </w:pPr>
    </w:p>
    <w:p w14:paraId="7BF598A1" w14:textId="77777777" w:rsidR="00315CDD" w:rsidRPr="004F3256" w:rsidRDefault="00315CDD" w:rsidP="00315CDD">
      <w:pPr>
        <w:spacing w:after="0" w:line="276" w:lineRule="auto"/>
        <w:jc w:val="both"/>
        <w:rPr>
          <w:rFonts w:ascii="Verdana" w:eastAsia="Calibri" w:hAnsi="Verdana" w:cs="Arial"/>
          <w:lang w:eastAsia="es-ES"/>
        </w:rPr>
      </w:pPr>
      <w:r w:rsidRPr="004F3256">
        <w:rPr>
          <w:rFonts w:ascii="Verdana" w:eastAsia="Calibri" w:hAnsi="Verdana" w:cs="Arial"/>
          <w:lang w:eastAsia="es-ES"/>
        </w:rPr>
        <w:t xml:space="preserve">Estimada señora Galvis: </w:t>
      </w:r>
    </w:p>
    <w:p w14:paraId="17ED521A" w14:textId="77777777" w:rsidR="00315CDD" w:rsidRPr="004F3256" w:rsidRDefault="00315CDD" w:rsidP="00315CDD">
      <w:pPr>
        <w:tabs>
          <w:tab w:val="left" w:pos="3768"/>
        </w:tabs>
        <w:spacing w:after="0" w:line="276" w:lineRule="auto"/>
        <w:jc w:val="both"/>
        <w:rPr>
          <w:rFonts w:ascii="Verdana" w:eastAsia="Calibri" w:hAnsi="Verdana" w:cs="Arial"/>
          <w:color w:val="000000" w:themeColor="text1"/>
          <w:lang w:eastAsia="es-ES"/>
        </w:rPr>
      </w:pPr>
      <w:r w:rsidRPr="004F3256">
        <w:rPr>
          <w:rFonts w:ascii="Verdana" w:eastAsia="Calibri" w:hAnsi="Verdana" w:cs="Arial"/>
          <w:color w:val="000000" w:themeColor="text1"/>
          <w:lang w:eastAsia="es-ES"/>
        </w:rPr>
        <w:tab/>
      </w:r>
    </w:p>
    <w:p w14:paraId="06735B6F" w14:textId="77777777" w:rsidR="00315CDD" w:rsidRPr="004F3256" w:rsidRDefault="00315CDD" w:rsidP="00315CDD">
      <w:pPr>
        <w:spacing w:after="0" w:line="276" w:lineRule="auto"/>
        <w:jc w:val="both"/>
        <w:rPr>
          <w:rFonts w:ascii="Verdana" w:eastAsia="Calibri" w:hAnsi="Verdana" w:cs="Arial"/>
          <w:i/>
          <w:iCs/>
          <w:lang w:eastAsia="es-ES"/>
        </w:rPr>
      </w:pPr>
      <w:r w:rsidRPr="004F3256">
        <w:rPr>
          <w:rFonts w:ascii="Verdana" w:eastAsia="Calibri" w:hAnsi="Verdana" w:cs="Arial"/>
          <w:color w:val="000000" w:themeColor="text1"/>
          <w:lang w:eastAsia="es-ES"/>
        </w:rPr>
        <w:t>En ejercicio de la competencia otorgada por los artículos 3, numeral 5º, y 11, numeral 8º, del Decreto Ley 4170 de 2011,</w:t>
      </w:r>
      <w:r w:rsidRPr="004F3256">
        <w:rPr>
          <w:rFonts w:ascii="Verdana" w:eastAsia="Arial MT" w:hAnsi="Verdana" w:cs="Arial MT"/>
          <w:lang w:eastAsia="es-ES"/>
        </w:rPr>
        <w:t xml:space="preserve"> </w:t>
      </w:r>
      <w:r w:rsidRPr="004F3256">
        <w:rPr>
          <w:rFonts w:ascii="Verdana" w:hAnsi="Verdana" w:cs="Arial"/>
          <w:color w:val="000000" w:themeColor="text1"/>
        </w:rPr>
        <w:t>así como lo establecido</w:t>
      </w:r>
      <w:r w:rsidRPr="004F3256">
        <w:rPr>
          <w:rFonts w:ascii="Verdana" w:hAnsi="Verdana" w:cs="Arial"/>
        </w:rPr>
        <w:t xml:space="preserve"> por la </w:t>
      </w:r>
      <w:r w:rsidRPr="004F3256">
        <w:rPr>
          <w:rFonts w:ascii="Verdana" w:eastAsia="Calibri" w:hAnsi="Verdana" w:cs="Times New Roman"/>
          <w:bCs/>
        </w:rPr>
        <w:t xml:space="preserve">Resolución 469 de 2025 </w:t>
      </w:r>
      <w:r w:rsidRPr="004F3256">
        <w:rPr>
          <w:rFonts w:ascii="Verdana" w:hAnsi="Verdana" w:cs="Arial"/>
          <w:color w:val="000000" w:themeColor="text1"/>
        </w:rPr>
        <w:t>expedida por esta Entidad</w:t>
      </w:r>
      <w:r w:rsidRPr="004F3256">
        <w:rPr>
          <w:rFonts w:ascii="Verdana" w:hAnsi="Verdana" w:cs="Arial"/>
        </w:rPr>
        <w:t xml:space="preserve">, </w:t>
      </w:r>
      <w:r w:rsidRPr="004F3256">
        <w:rPr>
          <w:rFonts w:ascii="Verdana" w:eastAsia="Calibri" w:hAnsi="Verdana" w:cs="Arial"/>
          <w:color w:val="000000" w:themeColor="text1"/>
          <w:lang w:eastAsia="es-ES"/>
        </w:rPr>
        <w:t>la Agencia Nacional de Contratación Pública – Colombia Compra Eficiente responde su solicitud de concepto remitida por competencia por el Departamento Administrativo de Planeación el 26 de febrero de 2026</w:t>
      </w:r>
      <w:r w:rsidRPr="004F3256">
        <w:rPr>
          <w:rFonts w:ascii="Verdana" w:eastAsia="Calibri" w:hAnsi="Verdana" w:cs="Arial"/>
          <w:lang w:eastAsia="es-ES"/>
        </w:rPr>
        <w:t xml:space="preserve"> e</w:t>
      </w:r>
      <w:r w:rsidRPr="004F3256">
        <w:rPr>
          <w:rFonts w:ascii="Verdana" w:eastAsia="Calibri" w:hAnsi="Verdana" w:cs="Arial"/>
          <w:lang w:val="es-ES" w:eastAsia="es-ES"/>
        </w:rPr>
        <w:t>n la cual pregunta lo siguiente</w:t>
      </w:r>
      <w:r w:rsidRPr="004F3256">
        <w:rPr>
          <w:rFonts w:ascii="Verdana" w:eastAsia="Calibri" w:hAnsi="Verdana" w:cs="Arial"/>
          <w:lang w:eastAsia="es-ES"/>
        </w:rPr>
        <w:t>:</w:t>
      </w:r>
      <w:r w:rsidRPr="004F3256">
        <w:rPr>
          <w:rFonts w:ascii="Verdana" w:eastAsia="Calibri" w:hAnsi="Verdana" w:cs="Arial"/>
          <w:i/>
          <w:iCs/>
          <w:lang w:eastAsia="es-ES"/>
        </w:rPr>
        <w:t xml:space="preserve"> </w:t>
      </w:r>
      <w:bookmarkStart w:id="2" w:name="_Hlk95313578"/>
    </w:p>
    <w:p w14:paraId="12875658" w14:textId="77777777" w:rsidR="00315CDD" w:rsidRPr="004F3256" w:rsidRDefault="00315CDD" w:rsidP="00315CDD">
      <w:pPr>
        <w:spacing w:after="0" w:line="276" w:lineRule="auto"/>
        <w:jc w:val="both"/>
        <w:rPr>
          <w:rFonts w:ascii="Verdana" w:eastAsia="Calibri" w:hAnsi="Verdana" w:cs="Arial"/>
          <w:i/>
          <w:iCs/>
          <w:lang w:eastAsia="es-ES"/>
        </w:rPr>
      </w:pPr>
    </w:p>
    <w:p w14:paraId="6D08171A" w14:textId="77777777" w:rsidR="00315CDD" w:rsidRPr="004F3256" w:rsidRDefault="00315CDD" w:rsidP="00315CDD">
      <w:pPr>
        <w:spacing w:after="0" w:line="240" w:lineRule="auto"/>
        <w:ind w:left="709" w:right="618"/>
        <w:jc w:val="both"/>
        <w:rPr>
          <w:rFonts w:ascii="Verdana" w:hAnsi="Verdana" w:cs="Arial"/>
          <w:sz w:val="20"/>
          <w:szCs w:val="20"/>
        </w:rPr>
      </w:pPr>
      <w:r w:rsidRPr="004F3256">
        <w:rPr>
          <w:rFonts w:ascii="Verdana" w:eastAsia="Arial" w:hAnsi="Verdana" w:cs="Arial"/>
          <w:i/>
          <w:color w:val="000000"/>
          <w:sz w:val="20"/>
          <w:szCs w:val="20"/>
        </w:rPr>
        <w:t>“</w:t>
      </w:r>
      <w:bookmarkEnd w:id="2"/>
      <w:r w:rsidRPr="004F3256">
        <w:rPr>
          <w:rFonts w:ascii="Verdana" w:hAnsi="Verdana" w:cs="Arial"/>
          <w:sz w:val="20"/>
          <w:szCs w:val="20"/>
        </w:rPr>
        <w:t xml:space="preserve">1. Objeto de la petición </w:t>
      </w:r>
    </w:p>
    <w:p w14:paraId="6A6B35EE" w14:textId="77777777" w:rsidR="00315CDD" w:rsidRPr="004F3256" w:rsidRDefault="00315CDD" w:rsidP="00315CDD">
      <w:pPr>
        <w:spacing w:after="0" w:line="240" w:lineRule="auto"/>
        <w:ind w:left="709" w:right="618"/>
        <w:jc w:val="both"/>
        <w:rPr>
          <w:rFonts w:ascii="Verdana" w:hAnsi="Verdana" w:cs="Arial"/>
          <w:sz w:val="20"/>
          <w:szCs w:val="20"/>
        </w:rPr>
      </w:pPr>
    </w:p>
    <w:p w14:paraId="2E00E479" w14:textId="77777777" w:rsidR="00315CDD" w:rsidRPr="004F3256" w:rsidRDefault="00315CDD" w:rsidP="00315CDD">
      <w:pPr>
        <w:spacing w:after="0" w:line="240" w:lineRule="auto"/>
        <w:ind w:left="709" w:right="618"/>
        <w:jc w:val="both"/>
        <w:rPr>
          <w:rFonts w:ascii="Verdana" w:hAnsi="Verdana" w:cs="Arial"/>
          <w:sz w:val="20"/>
          <w:szCs w:val="20"/>
        </w:rPr>
      </w:pPr>
      <w:r w:rsidRPr="004F3256">
        <w:rPr>
          <w:rFonts w:ascii="Verdana" w:hAnsi="Verdana" w:cs="Arial"/>
          <w:sz w:val="20"/>
          <w:szCs w:val="20"/>
        </w:rPr>
        <w:t xml:space="preserve">Solicito de manera concreta información respecto de la viabilidad jurídica para que las entidades públicas, en el marco de la celebración de acuerdos </w:t>
      </w:r>
      <w:r w:rsidRPr="004F3256">
        <w:rPr>
          <w:rFonts w:ascii="Verdana" w:hAnsi="Verdana" w:cs="Arial"/>
          <w:sz w:val="20"/>
          <w:szCs w:val="20"/>
        </w:rPr>
        <w:lastRenderedPageBreak/>
        <w:t xml:space="preserve">de voluntades (sean contratos, convenios o de cualquier otro tipo), y ejecución de proyectos con terceros (sean estos personas naturales, jurídicas privadas o públicas), reconozcan y a su vez, paguen los denominados costos administrativos, costos indirectos y/o overhead que sean identificados por las contrapartes dentro de los precios de los servicios negociados. </w:t>
      </w:r>
    </w:p>
    <w:p w14:paraId="7349B6D8" w14:textId="77777777" w:rsidR="00315CDD" w:rsidRPr="004F3256" w:rsidRDefault="00315CDD" w:rsidP="00315CDD">
      <w:pPr>
        <w:spacing w:after="0" w:line="240" w:lineRule="auto"/>
        <w:ind w:left="709" w:right="618"/>
        <w:jc w:val="both"/>
        <w:rPr>
          <w:rFonts w:ascii="Verdana" w:hAnsi="Verdana" w:cs="Arial"/>
          <w:sz w:val="20"/>
          <w:szCs w:val="20"/>
        </w:rPr>
      </w:pPr>
    </w:p>
    <w:p w14:paraId="6DF861D8" w14:textId="77777777" w:rsidR="00315CDD" w:rsidRPr="004F3256" w:rsidRDefault="00315CDD" w:rsidP="00315CDD">
      <w:pPr>
        <w:spacing w:after="0" w:line="240" w:lineRule="auto"/>
        <w:ind w:left="709" w:right="618"/>
        <w:jc w:val="both"/>
        <w:rPr>
          <w:rFonts w:ascii="Verdana" w:hAnsi="Verdana" w:cs="Arial"/>
          <w:sz w:val="20"/>
          <w:szCs w:val="20"/>
        </w:rPr>
      </w:pPr>
      <w:r w:rsidRPr="004F3256">
        <w:rPr>
          <w:rFonts w:ascii="Verdana" w:hAnsi="Verdana" w:cs="Arial"/>
          <w:sz w:val="20"/>
          <w:szCs w:val="20"/>
        </w:rPr>
        <w:t xml:space="preserve">2. Preguntas puntuales </w:t>
      </w:r>
    </w:p>
    <w:p w14:paraId="6CCE9287" w14:textId="77777777" w:rsidR="00315CDD" w:rsidRPr="004F3256" w:rsidRDefault="00315CDD" w:rsidP="00315CDD">
      <w:pPr>
        <w:spacing w:after="0" w:line="240" w:lineRule="auto"/>
        <w:ind w:left="709" w:right="618"/>
        <w:jc w:val="both"/>
        <w:rPr>
          <w:rFonts w:ascii="Verdana" w:hAnsi="Verdana" w:cs="Arial"/>
          <w:sz w:val="20"/>
          <w:szCs w:val="20"/>
        </w:rPr>
      </w:pPr>
    </w:p>
    <w:p w14:paraId="4BD83702" w14:textId="77777777" w:rsidR="00315CDD" w:rsidRPr="004F3256" w:rsidRDefault="00315CDD" w:rsidP="00315CDD">
      <w:pPr>
        <w:spacing w:after="0" w:line="240" w:lineRule="auto"/>
        <w:ind w:left="709" w:right="618"/>
        <w:jc w:val="both"/>
        <w:rPr>
          <w:rFonts w:ascii="Verdana" w:hAnsi="Verdana" w:cs="Arial"/>
          <w:sz w:val="20"/>
          <w:szCs w:val="20"/>
        </w:rPr>
      </w:pPr>
      <w:r w:rsidRPr="004F3256">
        <w:rPr>
          <w:rFonts w:ascii="Verdana" w:hAnsi="Verdana" w:cs="Arial"/>
          <w:sz w:val="20"/>
          <w:szCs w:val="20"/>
        </w:rPr>
        <w:t>1. ¿Es viable jurídicamente que una entidad pública reconozca y pague costos administrativos/costos indirectos/overhead en el marco de la celebración de acuerdos de voluntades (sean contratos, convenios o de cualquier otro tipo), y ejecución de proyectos con terceros (sean estos personas naturales, jurídicas privadas o públicas)?</w:t>
      </w:r>
    </w:p>
    <w:p w14:paraId="40C32C35" w14:textId="77777777" w:rsidR="00315CDD" w:rsidRPr="004F3256" w:rsidRDefault="00315CDD" w:rsidP="00315CDD">
      <w:pPr>
        <w:spacing w:after="0" w:line="240" w:lineRule="auto"/>
        <w:ind w:left="709" w:right="618"/>
        <w:jc w:val="both"/>
        <w:rPr>
          <w:rFonts w:ascii="Verdana" w:hAnsi="Verdana" w:cs="Arial"/>
          <w:sz w:val="20"/>
          <w:szCs w:val="20"/>
        </w:rPr>
      </w:pPr>
    </w:p>
    <w:p w14:paraId="1A83B6FC" w14:textId="77777777" w:rsidR="00315CDD" w:rsidRPr="004F3256" w:rsidRDefault="00315CDD" w:rsidP="00315CDD">
      <w:pPr>
        <w:spacing w:after="0" w:line="240" w:lineRule="auto"/>
        <w:ind w:left="709" w:right="618"/>
        <w:jc w:val="both"/>
        <w:rPr>
          <w:rFonts w:ascii="Verdana" w:hAnsi="Verdana" w:cs="Arial"/>
          <w:sz w:val="20"/>
          <w:szCs w:val="20"/>
        </w:rPr>
      </w:pPr>
      <w:r w:rsidRPr="004F3256">
        <w:rPr>
          <w:rFonts w:ascii="Verdana" w:hAnsi="Verdana" w:cs="Arial"/>
          <w:sz w:val="20"/>
          <w:szCs w:val="20"/>
        </w:rPr>
        <w:t xml:space="preserve">2. ¿Existe alguna norma, disposición, lineamiento o prohibición expresa dentro del ordenamiento jurídico colombiano que impida a las entidades públicas reconocer y pagar dichos costos indirectos/overhead? En caso afirmativo, favor indicar cuál es la norma exacta (nombre, número, artículo y literal) que contiene dicha prohibición. </w:t>
      </w:r>
    </w:p>
    <w:p w14:paraId="4A0FB132" w14:textId="77777777" w:rsidR="00315CDD" w:rsidRPr="004F3256" w:rsidRDefault="00315CDD" w:rsidP="00315CDD">
      <w:pPr>
        <w:spacing w:after="0" w:line="240" w:lineRule="auto"/>
        <w:ind w:left="709" w:right="618"/>
        <w:jc w:val="both"/>
        <w:rPr>
          <w:rFonts w:ascii="Verdana" w:hAnsi="Verdana" w:cs="Arial"/>
          <w:sz w:val="20"/>
          <w:szCs w:val="20"/>
        </w:rPr>
      </w:pPr>
    </w:p>
    <w:p w14:paraId="570DA839" w14:textId="77777777" w:rsidR="00315CDD" w:rsidRPr="004F3256" w:rsidRDefault="00315CDD" w:rsidP="00315CDD">
      <w:pPr>
        <w:spacing w:after="0" w:line="240" w:lineRule="auto"/>
        <w:ind w:left="709" w:right="618"/>
        <w:jc w:val="both"/>
        <w:rPr>
          <w:rFonts w:ascii="Verdana" w:hAnsi="Verdana" w:cs="Arial"/>
          <w:sz w:val="20"/>
          <w:szCs w:val="20"/>
        </w:rPr>
      </w:pPr>
      <w:r w:rsidRPr="004F3256">
        <w:rPr>
          <w:rFonts w:ascii="Verdana" w:hAnsi="Verdana" w:cs="Arial"/>
          <w:sz w:val="20"/>
          <w:szCs w:val="20"/>
        </w:rPr>
        <w:t>De no existir una prohibición expresa, por favor indicar cuál es la interpretación que deben observar las entidades públicas respecto del tratamiento de estos costos en el marco de la celebración de acuerdos de voluntades (sean contratos, convenios o de cualquier otro tipo), y ejecución de proyectos con terceros (sean estos personas naturales, jurídicas privadas o públicas).”</w:t>
      </w:r>
    </w:p>
    <w:p w14:paraId="41FB8379" w14:textId="77777777" w:rsidR="00315CDD" w:rsidRPr="004F3256" w:rsidRDefault="00315CDD" w:rsidP="00315CDD">
      <w:pPr>
        <w:spacing w:after="0" w:line="240" w:lineRule="auto"/>
        <w:ind w:left="709" w:right="709"/>
        <w:jc w:val="both"/>
      </w:pPr>
    </w:p>
    <w:p w14:paraId="68EFA0F5" w14:textId="77777777" w:rsidR="00315CDD" w:rsidRPr="004F3256" w:rsidRDefault="00315CDD" w:rsidP="00315CDD">
      <w:pPr>
        <w:spacing w:after="120" w:line="276" w:lineRule="auto"/>
        <w:ind w:firstLine="709"/>
        <w:jc w:val="both"/>
        <w:rPr>
          <w:rFonts w:ascii="Verdana" w:eastAsia="Calibri" w:hAnsi="Verdana" w:cs="Arial"/>
          <w:color w:val="000000"/>
          <w:lang w:eastAsia="es-ES"/>
        </w:rPr>
      </w:pPr>
      <w:r w:rsidRPr="004F325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4F3256">
        <w:rPr>
          <w:rFonts w:ascii="Verdana" w:eastAsia="Calibri" w:hAnsi="Verdana" w:cs="Arial"/>
          <w:color w:val="000000"/>
          <w:lang w:eastAsia="es-ES"/>
        </w:rPr>
        <w:lastRenderedPageBreak/>
        <w:t xml:space="preserve">interpretación de normas generales, por definición, no puede extenderse a la resolución de controversias ni a brindar asesorías sobre casos puntuales. </w:t>
      </w:r>
      <w:r w:rsidRPr="004F3256">
        <w:rPr>
          <w:rFonts w:ascii="Verdana" w:eastAsia="Calibri" w:hAnsi="Verdana" w:cs="Arial"/>
          <w:color w:val="000000"/>
          <w:szCs w:val="24"/>
          <w:lang w:eastAsia="es-ES_tradnl"/>
        </w:rPr>
        <w:tab/>
      </w:r>
    </w:p>
    <w:p w14:paraId="4BFEB557" w14:textId="77777777" w:rsidR="00315CDD" w:rsidRPr="004F3256" w:rsidRDefault="00315CDD" w:rsidP="00315CDD">
      <w:pPr>
        <w:spacing w:after="120" w:line="276" w:lineRule="auto"/>
        <w:ind w:firstLine="709"/>
        <w:jc w:val="both"/>
        <w:rPr>
          <w:rFonts w:ascii="Verdana" w:eastAsia="Calibri" w:hAnsi="Verdana" w:cs="Arial"/>
          <w:color w:val="000000"/>
          <w:lang w:eastAsia="es-ES"/>
        </w:rPr>
      </w:pPr>
      <w:r w:rsidRPr="004F3256">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4F3256">
        <w:rPr>
          <w:rFonts w:ascii="Verdana" w:eastAsia="Calibri" w:hAnsi="Verdana" w:cs="Arial"/>
          <w:color w:val="7030A0"/>
          <w:lang w:eastAsia="es-ES"/>
        </w:rPr>
        <w:t xml:space="preserve"> </w:t>
      </w:r>
      <w:r w:rsidRPr="004F3256">
        <w:rPr>
          <w:rFonts w:ascii="Verdana" w:eastAsia="Calibri" w:hAnsi="Verdana" w:cs="Arial"/>
          <w:color w:val="000000"/>
          <w:lang w:eastAsia="es-ES"/>
        </w:rPr>
        <w:t>problemas</w:t>
      </w:r>
      <w:r w:rsidRPr="004F3256">
        <w:rPr>
          <w:rFonts w:ascii="Verdana" w:eastAsia="Calibri" w:hAnsi="Verdana" w:cs="Arial"/>
          <w:color w:val="7030A0"/>
          <w:lang w:eastAsia="es-ES"/>
        </w:rPr>
        <w:t xml:space="preserve"> </w:t>
      </w:r>
      <w:r w:rsidRPr="004F3256">
        <w:rPr>
          <w:rFonts w:ascii="Verdana" w:eastAsia="Calibri" w:hAnsi="Verdana" w:cs="Arial"/>
          <w:color w:val="000000"/>
          <w:lang w:eastAsia="es-ES"/>
        </w:rPr>
        <w:t>jurídicos</w:t>
      </w:r>
      <w:r w:rsidRPr="004F3256">
        <w:rPr>
          <w:rFonts w:ascii="Verdana" w:eastAsia="Calibri" w:hAnsi="Verdana" w:cs="Arial"/>
          <w:color w:val="7030A0"/>
          <w:lang w:eastAsia="es-ES"/>
        </w:rPr>
        <w:t xml:space="preserve"> </w:t>
      </w:r>
      <w:r w:rsidRPr="004F3256">
        <w:rPr>
          <w:rFonts w:ascii="Verdana" w:eastAsia="Calibri" w:hAnsi="Verdana" w:cs="Arial"/>
          <w:color w:val="000000"/>
          <w:lang w:eastAsia="es-ES"/>
        </w:rPr>
        <w:t xml:space="preserve">de su consulta.  </w:t>
      </w:r>
    </w:p>
    <w:p w14:paraId="057F9863" w14:textId="77777777" w:rsidR="00315CDD" w:rsidRPr="004F3256" w:rsidRDefault="00315CDD" w:rsidP="00315CDD">
      <w:pPr>
        <w:spacing w:after="0" w:line="276" w:lineRule="auto"/>
        <w:jc w:val="both"/>
        <w:rPr>
          <w:rFonts w:ascii="Verdana" w:eastAsia="Calibri" w:hAnsi="Verdana" w:cs="Arial"/>
          <w:color w:val="000000"/>
          <w:lang w:eastAsia="es-ES"/>
        </w:rPr>
      </w:pPr>
    </w:p>
    <w:p w14:paraId="0B05AFE9" w14:textId="77777777" w:rsidR="00315CDD" w:rsidRPr="004F3256" w:rsidRDefault="00315CDD" w:rsidP="00315CDD">
      <w:pPr>
        <w:numPr>
          <w:ilvl w:val="0"/>
          <w:numId w:val="1"/>
        </w:numPr>
        <w:tabs>
          <w:tab w:val="left" w:pos="142"/>
          <w:tab w:val="left" w:pos="284"/>
        </w:tabs>
        <w:spacing w:after="0" w:line="276" w:lineRule="auto"/>
        <w:jc w:val="both"/>
        <w:rPr>
          <w:rFonts w:ascii="Verdana" w:eastAsia="Century Gothic" w:hAnsi="Verdana" w:cs="Century Gothic"/>
          <w:b/>
          <w:bCs/>
        </w:rPr>
      </w:pPr>
      <w:r w:rsidRPr="004F3256">
        <w:rPr>
          <w:rFonts w:ascii="Verdana" w:eastAsia="Century Gothic" w:hAnsi="Verdana" w:cs="Century Gothic"/>
          <w:b/>
          <w:bCs/>
        </w:rPr>
        <w:t>Problemas planteados:</w:t>
      </w:r>
    </w:p>
    <w:p w14:paraId="743A3BFB" w14:textId="77777777" w:rsidR="00315CDD" w:rsidRPr="004F3256" w:rsidRDefault="00315CDD" w:rsidP="00315CDD">
      <w:pPr>
        <w:tabs>
          <w:tab w:val="left" w:pos="426"/>
        </w:tabs>
        <w:spacing w:after="0" w:line="276" w:lineRule="auto"/>
        <w:jc w:val="both"/>
        <w:rPr>
          <w:rFonts w:ascii="Verdana" w:eastAsia="Century Gothic" w:hAnsi="Verdana" w:cs="Century Gothic"/>
        </w:rPr>
      </w:pPr>
    </w:p>
    <w:p w14:paraId="791C112E" w14:textId="017D9A71" w:rsidR="00315CDD" w:rsidRPr="004F3256" w:rsidRDefault="00315CDD" w:rsidP="00315CDD">
      <w:pPr>
        <w:spacing w:after="0" w:line="276" w:lineRule="auto"/>
        <w:jc w:val="both"/>
        <w:rPr>
          <w:rFonts w:ascii="Verdana" w:eastAsia="Century Gothic" w:hAnsi="Verdana" w:cs="Century Gothic"/>
        </w:rPr>
      </w:pPr>
      <w:r w:rsidRPr="004F3256">
        <w:rPr>
          <w:rFonts w:ascii="Verdana" w:eastAsia="Century Gothic" w:hAnsi="Verdana" w:cs="Century Gothic"/>
        </w:rPr>
        <w:t>De acuerdo con el contenido de su solicitud, esta Agencia resolverá los siguientes problemas jurídicos: i) ¿Es posible incluir y pagar costos indirectos en los contratos que celebren las entidades estatales con los particulares? y ii) ¿Es viable establecer y pagar costos administrativos en los convenios y contratos interadministrativos celebrado entre entidades públicas?</w:t>
      </w:r>
    </w:p>
    <w:p w14:paraId="44CBFB6F" w14:textId="77777777" w:rsidR="00315CDD" w:rsidRPr="004F3256" w:rsidRDefault="00315CDD" w:rsidP="00315CDD">
      <w:pPr>
        <w:spacing w:after="0" w:line="276" w:lineRule="auto"/>
        <w:jc w:val="both"/>
        <w:rPr>
          <w:rFonts w:ascii="Verdana" w:eastAsia="Century Gothic" w:hAnsi="Verdana" w:cs="Century Gothic"/>
        </w:rPr>
      </w:pPr>
    </w:p>
    <w:p w14:paraId="6079B68D" w14:textId="77777777" w:rsidR="00315CDD" w:rsidRPr="004F3256" w:rsidRDefault="00315CDD" w:rsidP="00315CDD">
      <w:pPr>
        <w:numPr>
          <w:ilvl w:val="0"/>
          <w:numId w:val="1"/>
        </w:numPr>
        <w:tabs>
          <w:tab w:val="left" w:pos="142"/>
          <w:tab w:val="left" w:pos="284"/>
        </w:tabs>
        <w:spacing w:after="0" w:line="276" w:lineRule="auto"/>
        <w:jc w:val="both"/>
        <w:rPr>
          <w:rFonts w:ascii="Verdana" w:eastAsia="Century Gothic" w:hAnsi="Verdana" w:cs="Century Gothic"/>
          <w:b/>
          <w:bCs/>
        </w:rPr>
      </w:pPr>
      <w:r w:rsidRPr="004F3256">
        <w:rPr>
          <w:rFonts w:ascii="Verdana" w:eastAsia="Century Gothic" w:hAnsi="Verdana" w:cs="Century Gothic"/>
          <w:b/>
          <w:bCs/>
        </w:rPr>
        <w:t>Respuestas:</w:t>
      </w:r>
    </w:p>
    <w:p w14:paraId="385D2846" w14:textId="77777777" w:rsidR="00315CDD" w:rsidRPr="004F3256" w:rsidRDefault="00315CDD" w:rsidP="00315CDD">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15CDD" w:rsidRPr="004F3256" w14:paraId="2C3D037F" w14:textId="77777777" w:rsidTr="003F6B09">
        <w:trPr>
          <w:trHeight w:val="977"/>
          <w:jc w:val="center"/>
        </w:trPr>
        <w:tc>
          <w:tcPr>
            <w:tcW w:w="8828" w:type="dxa"/>
          </w:tcPr>
          <w:p w14:paraId="68DED23B" w14:textId="77777777" w:rsidR="00315CDD" w:rsidRPr="004F3256" w:rsidRDefault="00315CDD" w:rsidP="003F6B09">
            <w:pPr>
              <w:spacing w:after="120" w:line="276" w:lineRule="auto"/>
              <w:jc w:val="both"/>
              <w:rPr>
                <w:rFonts w:ascii="Verdana" w:hAnsi="Verdana" w:cs="Arial"/>
                <w:bCs/>
                <w:szCs w:val="24"/>
                <w:lang w:val="es-ES_tradnl" w:eastAsia="es-ES_tradnl"/>
              </w:rPr>
            </w:pPr>
            <w:bookmarkStart w:id="3" w:name="_Hlk171694685"/>
            <w:r w:rsidRPr="004F3256">
              <w:rPr>
                <w:rFonts w:ascii="Verdana" w:eastAsia="Times New Roman" w:hAnsi="Verdana" w:cs="Arial"/>
                <w:color w:val="000000" w:themeColor="text1"/>
                <w:lang w:val="es-ES" w:eastAsia="es-ES"/>
              </w:rPr>
              <w:t>i.</w:t>
            </w:r>
            <w:r w:rsidRPr="004F3256">
              <w:rPr>
                <w:rFonts w:ascii="Verdana" w:hAnsi="Verdana" w:cs="Arial"/>
                <w:bCs/>
                <w:szCs w:val="24"/>
                <w:lang w:val="es-ES_tradnl" w:eastAsia="es-ES_tradnl"/>
              </w:rPr>
              <w:t xml:space="preserve"> Uno de los elementos más comunes en los contratos estatales es el precio,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p>
          <w:p w14:paraId="4734023E" w14:textId="77777777" w:rsidR="00315CDD" w:rsidRPr="004F3256" w:rsidRDefault="00315CDD" w:rsidP="003F6B09">
            <w:pPr>
              <w:spacing w:after="120" w:line="276" w:lineRule="auto"/>
              <w:ind w:firstLine="709"/>
              <w:jc w:val="both"/>
              <w:rPr>
                <w:rFonts w:ascii="Verdana" w:hAnsi="Verdana" w:cs="Arial"/>
                <w:lang w:val="es-ES" w:eastAsia="es-ES"/>
              </w:rPr>
            </w:pPr>
            <w:r w:rsidRPr="004F3256">
              <w:rPr>
                <w:rFonts w:ascii="Verdana" w:hAnsi="Verdana" w:cs="Arial"/>
                <w:lang w:val="es-ES" w:eastAsia="es-ES"/>
              </w:rPr>
              <w:t xml:space="preserve">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w:t>
            </w:r>
            <w:r w:rsidRPr="004F3256">
              <w:rPr>
                <w:rFonts w:ascii="Verdana" w:hAnsi="Verdana" w:cs="Arial"/>
                <w:lang w:val="es-ES" w:eastAsia="es-ES"/>
              </w:rPr>
              <w:lastRenderedPageBreak/>
              <w:t xml:space="preserve">depende del tipo de contrato, pues hay algunas modalidades más comunes en los de obra pública; otras más utilizadas en los de prestación de servicios y otras más indicadas para los de concesión, por mencionar algunos ejemplos. </w:t>
            </w:r>
          </w:p>
          <w:p w14:paraId="3146D213" w14:textId="77777777" w:rsidR="00315CDD" w:rsidRPr="004F3256" w:rsidRDefault="00315CDD" w:rsidP="003F6B09">
            <w:pPr>
              <w:spacing w:after="120" w:line="276" w:lineRule="auto"/>
              <w:ind w:firstLine="709"/>
              <w:jc w:val="both"/>
              <w:rPr>
                <w:rFonts w:ascii="Verdana" w:hAnsi="Verdana" w:cs="Arial"/>
                <w:lang w:val="es-ES" w:eastAsia="es-ES"/>
              </w:rPr>
            </w:pPr>
            <w:r w:rsidRPr="004F3256">
              <w:rPr>
                <w:rFonts w:ascii="Verdana" w:hAnsi="Verdana" w:cs="Arial"/>
                <w:lang w:val="es-ES" w:eastAsia="es-ES"/>
              </w:rPr>
              <w:t>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ii) el precio global –que equivale al monto total, sin discriminar unidades–, y iii) la administración delegada de recursos –en la que se distinguen los costos de inversión de los honorarios del administrador–.</w:t>
            </w:r>
          </w:p>
          <w:p w14:paraId="04F5FCAC" w14:textId="77777777" w:rsidR="00315CDD" w:rsidRPr="004F3256" w:rsidRDefault="00315CDD" w:rsidP="003F6B09">
            <w:pPr>
              <w:spacing w:after="120" w:line="276" w:lineRule="auto"/>
              <w:ind w:firstLine="709"/>
              <w:jc w:val="both"/>
              <w:rPr>
                <w:rFonts w:ascii="Verdana" w:hAnsi="Verdana" w:cs="Arial"/>
                <w:lang w:val="es-ES" w:eastAsia="es-ES"/>
              </w:rPr>
            </w:pPr>
            <w:r w:rsidRPr="004F3256">
              <w:rPr>
                <w:rFonts w:ascii="Verdana" w:eastAsia="Times New Roman" w:hAnsi="Verdana" w:cs="Arial"/>
                <w:color w:val="000000" w:themeColor="text1"/>
                <w:lang w:val="es-ES" w:eastAsia="es-ES"/>
              </w:rPr>
              <w:t>E</w:t>
            </w:r>
            <w:r w:rsidRPr="004F3256">
              <w:rPr>
                <w:rFonts w:ascii="Verdana" w:hAnsi="Verdana" w:cs="Arial"/>
                <w:lang w:val="es-ES" w:eastAsia="es-ES"/>
              </w:rPr>
              <w:t xml:space="preserve">n los contratos cuyo precio se estructura a partir del sistema de precios unitarios, ha hecho parte de la práctica de los negocios que el contratante le solicite al potencial contratista que separe en su propuesta los </w:t>
            </w:r>
            <w:r w:rsidRPr="004F3256">
              <w:rPr>
                <w:rFonts w:ascii="Verdana" w:hAnsi="Verdana" w:cs="Arial"/>
                <w:i/>
                <w:iCs/>
                <w:lang w:val="es-ES" w:eastAsia="es-ES"/>
              </w:rPr>
              <w:t>costos directos</w:t>
            </w:r>
            <w:r w:rsidRPr="004F3256">
              <w:rPr>
                <w:rFonts w:ascii="Verdana" w:hAnsi="Verdana" w:cs="Arial"/>
                <w:lang w:val="es-ES" w:eastAsia="es-ES"/>
              </w:rPr>
              <w:t xml:space="preserve"> –es decir, los que están directamente implicados en la ejecución del objeto–, de los </w:t>
            </w:r>
            <w:r w:rsidRPr="004F3256">
              <w:rPr>
                <w:rFonts w:ascii="Verdana" w:hAnsi="Verdana" w:cs="Arial"/>
                <w:i/>
                <w:iCs/>
                <w:lang w:val="es-ES" w:eastAsia="es-ES"/>
              </w:rPr>
              <w:t>costos indirectos</w:t>
            </w:r>
            <w:r w:rsidRPr="004F3256">
              <w:rPr>
                <w:rFonts w:ascii="Verdana"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4F3256">
              <w:rPr>
                <w:rFonts w:ascii="Verdana" w:hAnsi="Verdana" w:cs="Arial"/>
                <w:i/>
                <w:iCs/>
                <w:lang w:val="es-ES" w:eastAsia="es-ES"/>
              </w:rPr>
              <w:t>costos directos</w:t>
            </w:r>
            <w:r w:rsidRPr="004F3256">
              <w:rPr>
                <w:rFonts w:ascii="Verdana" w:hAnsi="Verdana" w:cs="Arial"/>
                <w:lang w:val="es-ES" w:eastAsia="es-ES"/>
              </w:rPr>
              <w:t xml:space="preserve"> se evidencian en el análisis de precios unitarios –APU–, como la sumatoria de los valores de los </w:t>
            </w:r>
            <w:r w:rsidRPr="004F3256">
              <w:rPr>
                <w:rFonts w:ascii="Verdana" w:hAnsi="Verdana" w:cs="Arial"/>
                <w:i/>
                <w:iCs/>
                <w:lang w:val="es-ES" w:eastAsia="es-ES"/>
              </w:rPr>
              <w:t>ítems</w:t>
            </w:r>
            <w:r w:rsidRPr="004F3256">
              <w:rPr>
                <w:rFonts w:ascii="Verdana" w:hAnsi="Verdana" w:cs="Arial"/>
                <w:lang w:val="es-ES" w:eastAsia="es-ES"/>
              </w:rPr>
              <w:t xml:space="preserve"> según su unidad de medida, los </w:t>
            </w:r>
            <w:r w:rsidRPr="004F3256">
              <w:rPr>
                <w:rFonts w:ascii="Verdana" w:hAnsi="Verdana" w:cs="Arial"/>
                <w:i/>
                <w:iCs/>
                <w:lang w:val="es-ES" w:eastAsia="es-ES"/>
              </w:rPr>
              <w:t>costos indirectos</w:t>
            </w:r>
            <w:r w:rsidRPr="004F3256">
              <w:rPr>
                <w:rFonts w:ascii="Verdana" w:hAnsi="Verdana" w:cs="Arial"/>
                <w:lang w:val="es-ES" w:eastAsia="es-ES"/>
              </w:rPr>
              <w:t xml:space="preserve"> se suelen abreviar en las variables que integran el acrónimo AIU –Administración, Imprevistos y Utilidad. </w:t>
            </w:r>
          </w:p>
          <w:p w14:paraId="6BEAF6D2" w14:textId="77777777" w:rsidR="00315CDD" w:rsidRPr="004F3256" w:rsidRDefault="00315CDD" w:rsidP="003F6B09">
            <w:pPr>
              <w:spacing w:after="120" w:line="276" w:lineRule="auto"/>
              <w:ind w:firstLine="743"/>
              <w:jc w:val="both"/>
              <w:rPr>
                <w:rFonts w:ascii="Verdana" w:hAnsi="Verdana" w:cs="Arial"/>
                <w:lang w:eastAsia="es-ES"/>
              </w:rPr>
            </w:pPr>
            <w:r w:rsidRPr="004F3256">
              <w:rPr>
                <w:rFonts w:ascii="Verdana" w:hAnsi="Verdana" w:cs="Arial"/>
                <w:lang w:eastAsia="es-ES"/>
              </w:rPr>
              <w:t xml:space="preserve">Así pues, ni el sistema de precios unitarios –como metodología de estipulación del valor contractual–, ni el concepto de costos directos e indirectos, ni mucho menos la forma de calcularlo –es decir, su porcentaje–, son aspectos regulados en el conjunto de las disposiciones legales y reglamentarias que integran la normativa contractual del Estado: “La justificación de esta manera de cotizar el precio procede, incluso, de la formación universitaria que reciben los ingenieros, a quienes les enseñan esta </w:t>
            </w:r>
            <w:r w:rsidRPr="004F3256">
              <w:rPr>
                <w:rFonts w:ascii="Verdana" w:hAnsi="Verdana" w:cs="Arial"/>
                <w:lang w:eastAsia="es-ES"/>
              </w:rPr>
              <w:lastRenderedPageBreak/>
              <w:t>metodología para elaborar las ofertas. En fin, lo que se quiere indicar con estos comentarios es que la necesidad de presentar una propuesta desglosando en forma intensa su precio no procede de la ley, ni del reglamento, sino de la costumbre, […]”. De otro lado, quien define el valor de cada letra –AIU– es el proponente, pues goza de libertad empresarial para hacerlo en la elaboración de su oferta.</w:t>
            </w:r>
          </w:p>
          <w:p w14:paraId="300BDA2A" w14:textId="77777777" w:rsidR="00315CDD" w:rsidRPr="004F3256" w:rsidRDefault="00315CDD" w:rsidP="003F6B09">
            <w:pPr>
              <w:spacing w:after="120" w:line="276" w:lineRule="auto"/>
              <w:ind w:firstLine="743"/>
              <w:jc w:val="both"/>
              <w:rPr>
                <w:rFonts w:ascii="Verdana" w:eastAsia="Calibri" w:hAnsi="Verdana" w:cs="Arial"/>
                <w:iCs/>
                <w:lang w:eastAsia="es-ES"/>
              </w:rPr>
            </w:pPr>
            <w:r w:rsidRPr="004F3256">
              <w:rPr>
                <w:rFonts w:ascii="Verdana" w:eastAsia="Calibri" w:hAnsi="Verdana" w:cs="Arial"/>
                <w:iCs/>
                <w:lang w:eastAsia="es-ES"/>
              </w:rPr>
              <w:t>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que más se ajuste el objeto a contratar.</w:t>
            </w:r>
          </w:p>
          <w:p w14:paraId="51BD4B1C" w14:textId="77777777" w:rsidR="00315CDD" w:rsidRPr="004F3256" w:rsidRDefault="00315CDD" w:rsidP="003F6B09">
            <w:pPr>
              <w:spacing w:after="120" w:line="276" w:lineRule="auto"/>
              <w:ind w:firstLine="743"/>
              <w:jc w:val="both"/>
              <w:rPr>
                <w:rFonts w:ascii="Verdana" w:hAnsi="Verdana" w:cs="Arial"/>
                <w:lang w:eastAsia="es-ES"/>
              </w:rPr>
            </w:pPr>
            <w:r w:rsidRPr="004F3256">
              <w:rPr>
                <w:rFonts w:ascii="Verdana" w:eastAsia="Calibri" w:hAnsi="Verdana" w:cs="Arial"/>
                <w:iCs/>
              </w:rPr>
              <w:t xml:space="preserve">Conforme a lo expuesto, las entidades estatales pueden incluir en el valor de sus contratos los costos directos e indirectos- </w:t>
            </w:r>
            <w:r w:rsidRPr="004F3256">
              <w:rPr>
                <w:rFonts w:ascii="Verdana" w:eastAsia="Calibri" w:hAnsi="Verdana" w:cs="Arial"/>
                <w:i/>
                <w:iCs/>
              </w:rPr>
              <w:t>overhead-,</w:t>
            </w:r>
            <w:r w:rsidRPr="004F3256">
              <w:rPr>
                <w:rFonts w:ascii="Verdana" w:eastAsia="Calibri" w:hAnsi="Verdana" w:cs="Arial"/>
                <w:iCs/>
              </w:rPr>
              <w:t xml:space="preserve"> asociados al precio de la ejecución del contrato, lo que indica que se trata de un elemento vinculado al cálculo de la remuneración o pago en favor de los contratistas del estado, que se incluye, como ya se expresó, con la finalidad de generar estabilidad en dicho precio, tanto favor del contratista, como de la entidad contratante. Cuando los costos indirectos -</w:t>
            </w:r>
            <w:r w:rsidRPr="004F3256">
              <w:rPr>
                <w:rFonts w:ascii="Verdana" w:eastAsia="Calibri" w:hAnsi="Verdana" w:cs="Arial"/>
                <w:i/>
              </w:rPr>
              <w:t xml:space="preserve">overhead- </w:t>
            </w:r>
            <w:r w:rsidRPr="004F3256">
              <w:rPr>
                <w:rFonts w:ascii="Verdana" w:eastAsia="Calibri" w:hAnsi="Verdana" w:cs="Arial"/>
                <w:iCs/>
              </w:rPr>
              <w:t>han sido expresamente contemplados dentro de la estructura económica del contrato, ya sea en los estudios previos, en la propuesta del contratista o en las cláusulas contractuales, estos resultan obligatorios y su reconocimiento y pago debe efectuarse en los términos y condiciones pactados. En tal medida, la entidad contratante no puede desconocer o excluir unilateralmente dichos costos una vez incorporados al precio, salvo que exista una modificación válida del contrato o una causa legal que justifique su ajuste.</w:t>
            </w:r>
          </w:p>
          <w:p w14:paraId="65F74072" w14:textId="77777777" w:rsidR="00315CDD" w:rsidRPr="004F3256" w:rsidRDefault="00315CDD" w:rsidP="003F6B09">
            <w:pPr>
              <w:snapToGrid w:val="0"/>
              <w:spacing w:after="120" w:line="276" w:lineRule="auto"/>
              <w:jc w:val="both"/>
              <w:rPr>
                <w:rFonts w:ascii="Verdana" w:hAnsi="Verdana" w:cs="Arial"/>
                <w:bCs/>
                <w:color w:val="000000" w:themeColor="text1"/>
                <w:szCs w:val="24"/>
                <w:lang w:eastAsia="es-ES_tradnl" w:bidi="es-ES"/>
              </w:rPr>
            </w:pPr>
            <w:r w:rsidRPr="004F3256">
              <w:rPr>
                <w:rFonts w:ascii="Verdana" w:hAnsi="Verdana" w:cs="Arial"/>
                <w:lang w:eastAsia="es-ES"/>
              </w:rPr>
              <w:t xml:space="preserve">ii. </w:t>
            </w:r>
            <w:r w:rsidRPr="004F3256">
              <w:rPr>
                <w:rFonts w:ascii="Verdana" w:eastAsia="Calibri" w:hAnsi="Verdana" w:cs="Arial"/>
                <w:bCs/>
                <w:color w:val="000000" w:themeColor="text1"/>
                <w:lang w:eastAsia="es-ES_tradnl" w:bidi="es-ES"/>
              </w:rPr>
              <w:t>Si bien el Estatuto General de Contratación de la Administración Pública hace referencia de manera expresa al contrato interadministrativo o, en términos generales, a los interadministrativos y no al convenio,</w:t>
            </w:r>
            <w:r w:rsidRPr="004F3256">
              <w:rPr>
                <w:rFonts w:ascii="Verdana" w:eastAsia="Calibri" w:hAnsi="Verdana" w:cs="Arial"/>
                <w:color w:val="000000" w:themeColor="text1"/>
                <w:lang w:val="es-ES_tradnl"/>
              </w:rPr>
              <w:t xml:space="preserve"> tanto </w:t>
            </w:r>
            <w:r w:rsidRPr="004F3256">
              <w:rPr>
                <w:rFonts w:ascii="Verdana" w:eastAsia="Calibri" w:hAnsi="Verdana" w:cs="Arial"/>
                <w:color w:val="000000" w:themeColor="text1"/>
                <w:lang w:val="es-ES_tradnl"/>
              </w:rPr>
              <w:lastRenderedPageBreak/>
              <w:t xml:space="preserve">jurisprudencial como doctrinariamente, se han hecho diferenciaciones conceptuales entre </w:t>
            </w:r>
            <w:r w:rsidRPr="004F3256">
              <w:rPr>
                <w:rFonts w:ascii="Verdana" w:hAnsi="Verdana" w:cs="Arial"/>
                <w:bCs/>
                <w:color w:val="000000" w:themeColor="text1"/>
                <w:szCs w:val="24"/>
                <w:lang w:eastAsia="es-ES_tradnl" w:bidi="es-ES"/>
              </w:rPr>
              <w:t xml:space="preserve">los contratos interadministrativos y los convenios interadministrativos de que trata el artículo 95 de la Ley 489 de 1998, que para efectos de la consulta planteada resultan determinantes. </w:t>
            </w:r>
          </w:p>
          <w:p w14:paraId="597035FF" w14:textId="77777777" w:rsidR="00315CDD" w:rsidRPr="004F3256" w:rsidRDefault="00315CDD" w:rsidP="003F6B09">
            <w:pPr>
              <w:snapToGrid w:val="0"/>
              <w:spacing w:after="120" w:line="276" w:lineRule="auto"/>
              <w:ind w:firstLine="601"/>
              <w:jc w:val="both"/>
              <w:rPr>
                <w:rFonts w:ascii="Verdana" w:eastAsia="Calibri" w:hAnsi="Verdana" w:cs="Arial"/>
                <w:bCs/>
                <w:color w:val="000000" w:themeColor="text1"/>
                <w:lang w:eastAsia="es-ES_tradnl" w:bidi="es-ES"/>
              </w:rPr>
            </w:pPr>
            <w:r w:rsidRPr="004F3256">
              <w:rPr>
                <w:rFonts w:ascii="Verdana" w:hAnsi="Verdana" w:cs="Arial"/>
                <w:bCs/>
                <w:color w:val="000000" w:themeColor="text1"/>
                <w:szCs w:val="24"/>
                <w:lang w:eastAsia="es-ES_tradnl" w:bidi="es-ES"/>
              </w:rPr>
              <w:t xml:space="preserve">En este sentido, la jurisprudencia del Consejo de Estado ha resaltado que aunque </w:t>
            </w:r>
            <w:r w:rsidRPr="004F3256">
              <w:rPr>
                <w:rFonts w:ascii="Verdana" w:eastAsia="Calibri" w:hAnsi="Verdana" w:cs="Arial"/>
                <w:bCs/>
                <w:color w:val="000000" w:themeColor="text1"/>
                <w:lang w:eastAsia="es-ES_tradnl" w:bidi="es-ES"/>
              </w:rPr>
              <w:t xml:space="preserve">estas tienen un tronco común, se diferencian en su naturaleza y finalidad en la medida en que los contratos estatales –en general– comportan obligaciones de contenido patrimonial que se traducen en intereses contrapuestos entre las partes pues implican un gravamen a cambio de un beneficio en una relación de carácter conmutativo, mientras que los convenios interadministrativos involucran la ejecución de actividades en función de un interés común para las partes; en esencia se pretende el cumplimiento de fines coincidentes entre quienes lo ejecutan. </w:t>
            </w:r>
          </w:p>
          <w:p w14:paraId="40D456A5" w14:textId="77777777" w:rsidR="00315CDD" w:rsidRPr="004F3256" w:rsidRDefault="00315CDD" w:rsidP="003F6B09">
            <w:pPr>
              <w:snapToGrid w:val="0"/>
              <w:spacing w:after="120" w:line="276" w:lineRule="auto"/>
              <w:ind w:firstLine="709"/>
              <w:jc w:val="both"/>
              <w:rPr>
                <w:rFonts w:ascii="Verdana" w:eastAsia="Calibri" w:hAnsi="Verdana" w:cs="Arial"/>
                <w:bCs/>
                <w:color w:val="000000" w:themeColor="text1"/>
                <w:lang w:eastAsia="es-ES_tradnl" w:bidi="es-ES"/>
              </w:rPr>
            </w:pPr>
            <w:r w:rsidRPr="004F3256">
              <w:rPr>
                <w:rFonts w:ascii="Verdana" w:eastAsia="Calibri" w:hAnsi="Verdana" w:cs="Arial"/>
                <w:bCs/>
                <w:color w:val="000000" w:themeColor="text1"/>
                <w:lang w:eastAsia="es-ES_tradnl" w:bidi="es-ES"/>
              </w:rPr>
              <w:t>Mientras que en el contrato interadministrativo las finalidades de las partes divergen, en el convenio convergen y cooperan en función del cumplimiento eficiente de un propósito estatal común superior. En esa línea, una interpretación sistemática de las leyes 80 de 1993, 1150 de 2007 y 1474 de 2011 invitaría a considerar el contrato interadministrativo como una relación jurídica patrimonial, onerosa y conmutativa, en la que existen unas exigencias y restricciones normativas adicionales, de manera que, en efecto, dista de la naturaleza y esencia del convenio interadministrativo.</w:t>
            </w:r>
          </w:p>
          <w:p w14:paraId="2D0CDE12" w14:textId="77777777" w:rsidR="00315CDD" w:rsidRPr="004F3256" w:rsidRDefault="00315CDD" w:rsidP="003F6B09">
            <w:pPr>
              <w:snapToGrid w:val="0"/>
              <w:spacing w:after="120" w:line="276" w:lineRule="auto"/>
              <w:ind w:firstLine="709"/>
              <w:jc w:val="both"/>
              <w:rPr>
                <w:rFonts w:ascii="Verdana" w:eastAsia="Times New Roman" w:hAnsi="Verdana" w:cs="Arial"/>
                <w:lang w:eastAsia="es-ES_tradnl"/>
              </w:rPr>
            </w:pPr>
            <w:r w:rsidRPr="004F3256">
              <w:rPr>
                <w:rFonts w:ascii="Verdana" w:eastAsia="Times New Roman" w:hAnsi="Verdana" w:cs="Arial"/>
                <w:szCs w:val="24"/>
                <w:lang w:eastAsia="es-ES_tradnl"/>
              </w:rPr>
              <w:t xml:space="preserve">En la práctica, en los convenios interadministrativos que las entidades celebran no suele pactarse un precio o remuneración, lo que no significa que, para la ejecución de sus compromisos, no puedan </w:t>
            </w:r>
            <w:r w:rsidRPr="004F3256">
              <w:rPr>
                <w:rFonts w:ascii="Verdana" w:eastAsia="Times New Roman" w:hAnsi="Verdana" w:cs="Arial"/>
                <w:lang w:eastAsia="es-ES_tradnl"/>
              </w:rPr>
              <w:t>afectar sus respectivos presupuestos y ejecutar recursos públicos.</w:t>
            </w:r>
          </w:p>
          <w:p w14:paraId="61B0221E" w14:textId="77777777" w:rsidR="00315CDD" w:rsidRPr="004F3256" w:rsidRDefault="00315CDD" w:rsidP="003F6B09">
            <w:pPr>
              <w:snapToGrid w:val="0"/>
              <w:spacing w:after="120" w:line="276" w:lineRule="auto"/>
              <w:ind w:firstLine="709"/>
              <w:jc w:val="both"/>
              <w:rPr>
                <w:rFonts w:ascii="Verdana" w:eastAsia="Times New Roman" w:hAnsi="Verdana" w:cs="Arial"/>
                <w:b/>
                <w:bCs/>
                <w:iCs/>
                <w:lang w:eastAsia="es-ES_tradnl"/>
              </w:rPr>
            </w:pPr>
            <w:r w:rsidRPr="004F3256">
              <w:rPr>
                <w:rFonts w:ascii="Verdana" w:eastAsia="Calibri" w:hAnsi="Verdana" w:cs="Arial"/>
                <w:bCs/>
                <w:color w:val="000000" w:themeColor="text1"/>
                <w:lang w:eastAsia="es-ES_tradnl" w:bidi="es-ES"/>
              </w:rPr>
              <w:t xml:space="preserve">En este contexto, </w:t>
            </w:r>
            <w:r w:rsidRPr="004F3256">
              <w:rPr>
                <w:rFonts w:ascii="Verdana" w:eastAsia="Times New Roman" w:hAnsi="Verdana" w:cs="Arial"/>
                <w:iCs/>
                <w:lang w:eastAsia="es-ES_tradnl"/>
              </w:rPr>
              <w:t xml:space="preserve">tanto en los contratos como en los convenios interadministrativos es posible incluir costos y gastos administrativos. No obstante, debido a la naturaleza jurídica de cada figura, estos rubros tienen una finalidad y alcance diferente. En el marco de un convenio interadministrativo, las entidades públicas pueden incorporar los costos o gastos administrativos asociados a sus respectivos aportes técnicos, </w:t>
            </w:r>
            <w:r w:rsidRPr="004F3256">
              <w:rPr>
                <w:rFonts w:ascii="Verdana" w:eastAsia="Times New Roman" w:hAnsi="Verdana" w:cs="Arial"/>
                <w:iCs/>
                <w:lang w:eastAsia="es-ES_tradnl"/>
              </w:rPr>
              <w:lastRenderedPageBreak/>
              <w:t xml:space="preserve">administrativos, financieros o económicos, siempre que estén orientados a contribuir, en el ámbito de sus competencias, al cumplimiento de los compromisos comunes y a garantizar la viabilidad operativa del convenio. En contraste, en los contratos interadministrativos, debido a su naturaleza onerosa y conmutativa, estos rubros hacen parte de la contraprestación pactada a favor de la entidad ejecutora, es decir, forman parte del precio o retribución económica a una de las partes por los bienes o servicios que presta. </w:t>
            </w:r>
          </w:p>
          <w:p w14:paraId="3D19C0F9" w14:textId="77777777" w:rsidR="00315CDD" w:rsidRPr="004F3256" w:rsidRDefault="00315CDD" w:rsidP="003F6B09">
            <w:pPr>
              <w:spacing w:after="120" w:line="276" w:lineRule="auto"/>
              <w:ind w:firstLine="743"/>
              <w:jc w:val="both"/>
              <w:rPr>
                <w:rFonts w:ascii="Verdana" w:eastAsia="Times New Roman" w:hAnsi="Verdana" w:cs="Arial"/>
                <w:lang w:eastAsia="es-ES_tradnl"/>
              </w:rPr>
            </w:pPr>
            <w:r w:rsidRPr="004F3256">
              <w:rPr>
                <w:rFonts w:ascii="Verdana" w:eastAsia="Times New Roman" w:hAnsi="Verdana" w:cs="Arial"/>
                <w:lang w:eastAsia="es-ES_tradnl"/>
              </w:rPr>
              <w:t>Se aclara que la determinación de estos costos o gastos administrativos en los convenios no pueden ocultar una remuneración verdadera o una utilidad en favor de alguna de las entidades que concurre a su suscripción, así como tampoco pueden emplearse para aspectos distintos del cumplimiento de los compromisos asumidos, pues en tal evento no se trataría de un convenio sino que su connotación transmutaría a un contrato interadministrativo.</w:t>
            </w:r>
          </w:p>
          <w:p w14:paraId="200CF5C3" w14:textId="77777777" w:rsidR="00315CDD" w:rsidRPr="004F3256" w:rsidRDefault="00315CDD" w:rsidP="003F6B09">
            <w:pPr>
              <w:spacing w:after="120" w:line="276" w:lineRule="auto"/>
              <w:ind w:firstLine="743"/>
              <w:jc w:val="both"/>
              <w:rPr>
                <w:rFonts w:ascii="Verdana" w:hAnsi="Verdana" w:cs="Arial"/>
                <w:lang w:eastAsia="es-ES"/>
              </w:rPr>
            </w:pPr>
            <w:r w:rsidRPr="004F3256">
              <w:rPr>
                <w:rFonts w:ascii="Verdana" w:eastAsia="Times New Roman" w:hAnsi="Verdana" w:cs="Arial"/>
                <w:iCs/>
                <w:lang w:eastAsia="es-ES_tradnl"/>
              </w:rPr>
              <w:t>En conclusión, si la noción de costos indirectos –overhead-, tal y como se explicó, es una noción asociada al cálculo del precio que se pagará al contratista por parte de la Entidad Estatal contratante, es decir una contraprestación, este concepto resulta inaplicable tratándose de convenios interadministrativos, en los cuales, los compromisos de contenido patrimonial se deben dirigir a cubrir los costos que genera la ejecución de las actividades asociadas al mismo, pero no a pagar a una de las entidades por la realización de sus respectivos compromisos o una utilidad a favor de ellas.</w:t>
            </w:r>
          </w:p>
        </w:tc>
      </w:tr>
    </w:tbl>
    <w:p w14:paraId="3BBBE7D1" w14:textId="77777777" w:rsidR="00315CDD" w:rsidRPr="004F3256" w:rsidRDefault="00315CDD" w:rsidP="00315CDD">
      <w:pPr>
        <w:tabs>
          <w:tab w:val="left" w:pos="142"/>
          <w:tab w:val="left" w:pos="284"/>
        </w:tabs>
        <w:spacing w:after="0" w:line="276" w:lineRule="auto"/>
        <w:jc w:val="both"/>
        <w:rPr>
          <w:rFonts w:ascii="Verdana" w:eastAsia="Century Gothic" w:hAnsi="Verdana" w:cs="Century Gothic"/>
          <w:b/>
          <w:bCs/>
        </w:rPr>
      </w:pPr>
    </w:p>
    <w:bookmarkEnd w:id="3"/>
    <w:p w14:paraId="32B91E1C" w14:textId="77777777" w:rsidR="00315CDD" w:rsidRPr="004F3256" w:rsidRDefault="00315CDD" w:rsidP="00315CDD">
      <w:pPr>
        <w:numPr>
          <w:ilvl w:val="0"/>
          <w:numId w:val="1"/>
        </w:numPr>
        <w:tabs>
          <w:tab w:val="left" w:pos="142"/>
          <w:tab w:val="left" w:pos="284"/>
        </w:tabs>
        <w:spacing w:after="0" w:line="276" w:lineRule="auto"/>
        <w:jc w:val="both"/>
        <w:rPr>
          <w:rFonts w:ascii="Verdana" w:eastAsia="Century Gothic" w:hAnsi="Verdana" w:cs="Century Gothic"/>
          <w:b/>
          <w:bCs/>
        </w:rPr>
      </w:pPr>
      <w:r w:rsidRPr="004F3256">
        <w:rPr>
          <w:rFonts w:ascii="Verdana" w:eastAsia="Century Gothic" w:hAnsi="Verdana" w:cs="Century Gothic"/>
          <w:b/>
          <w:bCs/>
        </w:rPr>
        <w:t>Razones de las respuestas:</w:t>
      </w:r>
    </w:p>
    <w:p w14:paraId="02C4E235" w14:textId="77777777" w:rsidR="00315CDD" w:rsidRPr="004F3256" w:rsidRDefault="00315CDD" w:rsidP="00315CDD">
      <w:pPr>
        <w:spacing w:after="0" w:line="276" w:lineRule="auto"/>
        <w:jc w:val="both"/>
        <w:rPr>
          <w:rFonts w:ascii="Verdana" w:eastAsia="Calibri" w:hAnsi="Verdana" w:cs="Arial"/>
          <w:color w:val="7030A0"/>
        </w:rPr>
      </w:pPr>
    </w:p>
    <w:p w14:paraId="5626AA0C" w14:textId="77777777" w:rsidR="00315CDD" w:rsidRPr="004F3256" w:rsidRDefault="00315CDD" w:rsidP="00315CDD">
      <w:pPr>
        <w:spacing w:after="0" w:line="276" w:lineRule="auto"/>
        <w:jc w:val="both"/>
        <w:rPr>
          <w:rFonts w:ascii="Verdana" w:eastAsia="Calibri" w:hAnsi="Verdana" w:cs="Arial"/>
        </w:rPr>
      </w:pPr>
      <w:r w:rsidRPr="004F3256">
        <w:rPr>
          <w:rFonts w:ascii="Verdana" w:eastAsia="Calibri" w:hAnsi="Verdana" w:cs="Arial"/>
        </w:rPr>
        <w:t>Lo anterior se sustenta en las siguientes consideraciones:</w:t>
      </w:r>
    </w:p>
    <w:p w14:paraId="2456814E" w14:textId="77777777" w:rsidR="00315CDD" w:rsidRPr="004F3256" w:rsidRDefault="00315CDD" w:rsidP="00315CDD">
      <w:pPr>
        <w:spacing w:after="0" w:line="276" w:lineRule="auto"/>
        <w:jc w:val="both"/>
        <w:rPr>
          <w:rFonts w:ascii="Verdana" w:eastAsia="Calibri" w:hAnsi="Verdana" w:cs="Arial"/>
        </w:rPr>
      </w:pPr>
    </w:p>
    <w:p w14:paraId="25AB49E1" w14:textId="77777777" w:rsidR="00315CDD" w:rsidRPr="004F3256" w:rsidRDefault="00315CDD" w:rsidP="00315CDD">
      <w:pPr>
        <w:spacing w:after="0" w:line="276" w:lineRule="auto"/>
        <w:jc w:val="both"/>
        <w:rPr>
          <w:rFonts w:ascii="Verdana" w:hAnsi="Verdana" w:cs="Arial"/>
          <w:bCs/>
          <w:szCs w:val="24"/>
          <w:lang w:val="es-ES_tradnl" w:eastAsia="es-ES_tradnl"/>
        </w:rPr>
      </w:pPr>
      <w:r w:rsidRPr="004F3256">
        <w:rPr>
          <w:rFonts w:ascii="Verdana" w:hAnsi="Verdana" w:cs="Arial"/>
          <w:bCs/>
          <w:szCs w:val="24"/>
          <w:lang w:val="es-ES_tradnl" w:eastAsia="es-ES_tradnl"/>
        </w:rPr>
        <w:t xml:space="preserve">i. Como es sabido, uno de los elementos más comunes en los contratos estatales es el precio,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w:t>
      </w:r>
      <w:r w:rsidRPr="004F3256">
        <w:rPr>
          <w:rFonts w:ascii="Verdana" w:hAnsi="Verdana" w:cs="Arial"/>
          <w:bCs/>
          <w:szCs w:val="24"/>
          <w:lang w:val="es-ES_tradnl" w:eastAsia="es-ES_tradnl"/>
        </w:rPr>
        <w:lastRenderedPageBreak/>
        <w:t>para el contratista, porque equivale a la remuneración que la entidad contratante le pagará por la ejecución del objeto contractual.</w:t>
      </w:r>
    </w:p>
    <w:p w14:paraId="373E0D96" w14:textId="77777777" w:rsidR="00315CDD" w:rsidRPr="004F3256" w:rsidRDefault="00315CDD" w:rsidP="00315CDD">
      <w:pPr>
        <w:spacing w:before="120" w:after="0" w:line="276" w:lineRule="auto"/>
        <w:ind w:firstLine="709"/>
        <w:jc w:val="both"/>
        <w:rPr>
          <w:rFonts w:ascii="Verdana" w:hAnsi="Verdana" w:cs="Arial"/>
          <w:lang w:val="es-ES" w:eastAsia="es-ES"/>
        </w:rPr>
      </w:pPr>
      <w:r w:rsidRPr="004F3256">
        <w:rPr>
          <w:rFonts w:ascii="Verdana" w:hAnsi="Verdana" w:cs="Arial"/>
          <w:lang w:val="es-ES" w:eastAsia="es-ES"/>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4F3256">
        <w:rPr>
          <w:rFonts w:ascii="Verdana" w:hAnsi="Verdana" w:cs="Arial"/>
          <w:vertAlign w:val="superscript"/>
          <w:lang w:val="es-ES" w:eastAsia="es-ES"/>
        </w:rPr>
        <w:footnoteReference w:id="2"/>
      </w:r>
      <w:r w:rsidRPr="004F3256">
        <w:rPr>
          <w:rFonts w:ascii="Verdana" w:hAnsi="Verdana" w:cs="Arial"/>
          <w:lang w:val="es-ES" w:eastAsia="es-ES"/>
        </w:rPr>
        <w:t>.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ii) el precio global –que equivale al monto total, sin discriminar unidades–, y iii) la administración delegada de recursos –en la que se distinguen los costos de inversión de los honorarios del administrador–.</w:t>
      </w:r>
    </w:p>
    <w:p w14:paraId="629C0CF4" w14:textId="77777777" w:rsidR="00315CDD" w:rsidRPr="004F3256" w:rsidRDefault="00315CDD" w:rsidP="00315CDD">
      <w:pPr>
        <w:spacing w:before="120" w:after="0" w:line="276" w:lineRule="auto"/>
        <w:ind w:firstLine="709"/>
        <w:jc w:val="both"/>
        <w:rPr>
          <w:rFonts w:ascii="Verdana" w:hAnsi="Verdana" w:cs="Arial"/>
          <w:lang w:val="es-ES" w:eastAsia="es-ES"/>
        </w:rPr>
      </w:pPr>
      <w:r w:rsidRPr="004F3256">
        <w:rPr>
          <w:rFonts w:ascii="Verdana" w:hAnsi="Verdana" w:cs="Arial"/>
          <w:lang w:val="es-ES" w:eastAsia="es-ES"/>
        </w:rPr>
        <w:lastRenderedPageBreak/>
        <w:t xml:space="preserve">Pues bien, en los contratos cuyo precio se estructura a partir del sistema de precios unitarios, ha hecho parte de la práctica de los negocios que el contratante le solicite al potencial contratista que separe en su propuesta los </w:t>
      </w:r>
      <w:r w:rsidRPr="004F3256">
        <w:rPr>
          <w:rFonts w:ascii="Verdana" w:hAnsi="Verdana" w:cs="Arial"/>
          <w:i/>
          <w:iCs/>
          <w:lang w:val="es-ES" w:eastAsia="es-ES"/>
        </w:rPr>
        <w:t>costos directos</w:t>
      </w:r>
      <w:r w:rsidRPr="004F3256">
        <w:rPr>
          <w:rFonts w:ascii="Verdana" w:hAnsi="Verdana" w:cs="Arial"/>
          <w:lang w:val="es-ES" w:eastAsia="es-ES"/>
        </w:rPr>
        <w:t xml:space="preserve"> –es decir, los que están directamente implicados en la ejecución del objeto–, de los </w:t>
      </w:r>
      <w:r w:rsidRPr="004F3256">
        <w:rPr>
          <w:rFonts w:ascii="Verdana" w:hAnsi="Verdana" w:cs="Arial"/>
          <w:i/>
          <w:iCs/>
          <w:lang w:val="es-ES" w:eastAsia="es-ES"/>
        </w:rPr>
        <w:t>costos indirectos</w:t>
      </w:r>
      <w:r w:rsidRPr="004F3256">
        <w:rPr>
          <w:rFonts w:ascii="Verdana"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4F3256">
        <w:rPr>
          <w:rFonts w:ascii="Verdana" w:hAnsi="Verdana" w:cs="Arial"/>
          <w:i/>
          <w:iCs/>
          <w:lang w:val="es-ES" w:eastAsia="es-ES"/>
        </w:rPr>
        <w:t>costos directos</w:t>
      </w:r>
      <w:r w:rsidRPr="004F3256">
        <w:rPr>
          <w:rFonts w:ascii="Verdana" w:hAnsi="Verdana" w:cs="Arial"/>
          <w:lang w:val="es-ES" w:eastAsia="es-ES"/>
        </w:rPr>
        <w:t xml:space="preserve"> se evidencian en el análisis de precios unitarios –APU–, como la sumatoria de los valores de los </w:t>
      </w:r>
      <w:r w:rsidRPr="004F3256">
        <w:rPr>
          <w:rFonts w:ascii="Verdana" w:hAnsi="Verdana" w:cs="Arial"/>
          <w:i/>
          <w:iCs/>
          <w:lang w:val="es-ES" w:eastAsia="es-ES"/>
        </w:rPr>
        <w:t>ítems</w:t>
      </w:r>
      <w:r w:rsidRPr="004F3256">
        <w:rPr>
          <w:rFonts w:ascii="Verdana" w:hAnsi="Verdana" w:cs="Arial"/>
          <w:lang w:val="es-ES" w:eastAsia="es-ES"/>
        </w:rPr>
        <w:t xml:space="preserve"> según su unidad de medida, los </w:t>
      </w:r>
      <w:r w:rsidRPr="004F3256">
        <w:rPr>
          <w:rFonts w:ascii="Verdana" w:hAnsi="Verdana" w:cs="Arial"/>
          <w:i/>
          <w:iCs/>
          <w:lang w:val="es-ES" w:eastAsia="es-ES"/>
        </w:rPr>
        <w:t>costos indirectos</w:t>
      </w:r>
      <w:r w:rsidRPr="004F3256">
        <w:rPr>
          <w:rFonts w:ascii="Verdana" w:hAnsi="Verdana" w:cs="Arial"/>
          <w:lang w:val="es-ES" w:eastAsia="es-ES"/>
        </w:rPr>
        <w:t xml:space="preserve"> se suelen abreviar en las variables que integran el acrónimo AIU –Administración, Imprevistos y Utilidad–. </w:t>
      </w:r>
    </w:p>
    <w:p w14:paraId="17A9E833" w14:textId="77777777" w:rsidR="00315CDD" w:rsidRPr="004F3256" w:rsidRDefault="00315CDD" w:rsidP="00315CDD">
      <w:pPr>
        <w:spacing w:before="120" w:after="0" w:line="276" w:lineRule="auto"/>
        <w:ind w:firstLine="709"/>
        <w:jc w:val="both"/>
        <w:rPr>
          <w:rFonts w:ascii="Verdana" w:hAnsi="Verdana" w:cs="Arial"/>
          <w:bCs/>
          <w:szCs w:val="24"/>
          <w:lang w:eastAsia="es-ES_tradnl"/>
        </w:rPr>
      </w:pPr>
      <w:r w:rsidRPr="004F3256">
        <w:rPr>
          <w:rFonts w:ascii="Verdana" w:hAnsi="Verdana" w:cs="Arial"/>
          <w:bCs/>
          <w:szCs w:val="24"/>
          <w:lang w:val="es-ES" w:eastAsia="es-ES_tradnl"/>
        </w:rPr>
        <w:t>L</w:t>
      </w:r>
      <w:r w:rsidRPr="004F3256">
        <w:rPr>
          <w:rFonts w:ascii="Verdana" w:hAnsi="Verdana" w:cs="Arial"/>
          <w:bCs/>
          <w:szCs w:val="24"/>
          <w:lang w:val="es-ES_tradnl" w:eastAsia="es-ES_tradnl"/>
        </w:rPr>
        <w:t xml:space="preserve">a jurisprudencia ha señalado que “[…] </w:t>
      </w:r>
      <w:r w:rsidRPr="004F3256">
        <w:rPr>
          <w:rFonts w:ascii="Verdana" w:hAnsi="Verdana" w:cs="Arial"/>
          <w:bCs/>
          <w:szCs w:val="24"/>
          <w:lang w:eastAsia="es-ES_tradnl"/>
        </w:rPr>
        <w:t>en la conformación de dichos precios unitarios, se tienen en cuenta todos los gastos que se requieren para realizar la unidad de medida respectiva –el metro lineal, el metro cúbico, el metro cuadrado, etc.-. Y lo que comúnmente se denomina análisis de precios unitarios, corresponde a la descomposición de los mismos para determinar los costos que los conforman: la maquinaria que se utilizará, calculando el valor por el tiempo que se requiera; la mano de obra, teniendo en cuenta el costo hora-hombre, y cuántas personas se requieren para la ejecución de esa unidad de medida; la cantidad de los materiales necesarios, etc.</w:t>
      </w:r>
      <w:r w:rsidRPr="004F3256">
        <w:rPr>
          <w:rFonts w:ascii="Verdana" w:hAnsi="Verdana" w:cs="Arial"/>
          <w:bCs/>
          <w:szCs w:val="24"/>
          <w:lang w:val="es-ES_tradnl" w:eastAsia="es-ES_tradnl"/>
        </w:rPr>
        <w:t>”</w:t>
      </w:r>
      <w:r w:rsidRPr="004F3256">
        <w:rPr>
          <w:rFonts w:ascii="Verdana" w:hAnsi="Verdana" w:cs="Arial"/>
          <w:bCs/>
          <w:szCs w:val="24"/>
          <w:vertAlign w:val="superscript"/>
          <w:lang w:val="es-ES_tradnl" w:eastAsia="es-ES_tradnl"/>
        </w:rPr>
        <w:footnoteReference w:id="3"/>
      </w:r>
      <w:r w:rsidRPr="004F3256">
        <w:rPr>
          <w:rFonts w:ascii="Verdana" w:hAnsi="Verdana" w:cs="Arial"/>
          <w:bCs/>
          <w:szCs w:val="24"/>
          <w:lang w:eastAsia="es-ES_tradnl"/>
        </w:rPr>
        <w:t>. En concordancia, la doctrina explica que en la estructuración de los precios unitarios se tendrán en cuenta todos los costos directos necesarios para la ejecución del objeto contractual que se multiplicará por al AIU, lo que determina el valor unitario:</w:t>
      </w:r>
    </w:p>
    <w:p w14:paraId="6C3DB428" w14:textId="77777777" w:rsidR="00315CDD" w:rsidRPr="004F3256" w:rsidRDefault="00315CDD" w:rsidP="00315CDD">
      <w:pPr>
        <w:spacing w:after="0" w:line="276" w:lineRule="auto"/>
        <w:ind w:firstLine="709"/>
        <w:jc w:val="both"/>
        <w:rPr>
          <w:rFonts w:ascii="Verdana" w:hAnsi="Verdana" w:cs="Arial"/>
          <w:bCs/>
          <w:sz w:val="20"/>
          <w:szCs w:val="20"/>
          <w:lang w:eastAsia="es-ES_tradnl"/>
        </w:rPr>
      </w:pPr>
    </w:p>
    <w:p w14:paraId="16355540" w14:textId="77777777" w:rsidR="00315CDD" w:rsidRPr="004F3256" w:rsidRDefault="00315CDD" w:rsidP="00315CDD">
      <w:pPr>
        <w:tabs>
          <w:tab w:val="left" w:pos="709"/>
        </w:tabs>
        <w:spacing w:after="120" w:line="240" w:lineRule="auto"/>
        <w:ind w:left="709" w:right="709"/>
        <w:jc w:val="both"/>
        <w:rPr>
          <w:rFonts w:ascii="Verdana" w:hAnsi="Verdana" w:cs="Arial"/>
          <w:sz w:val="20"/>
          <w:szCs w:val="20"/>
          <w:lang w:val="es-ES" w:eastAsia="es-ES"/>
        </w:rPr>
      </w:pPr>
      <w:r w:rsidRPr="004F3256">
        <w:rPr>
          <w:rFonts w:ascii="Verdana" w:hAnsi="Verdana" w:cs="Arial"/>
          <w:sz w:val="20"/>
          <w:szCs w:val="20"/>
          <w:lang w:val="es-ES" w:eastAsia="es-ES"/>
        </w:rPr>
        <w:t xml:space="preserve">“Cada uno de los valores unitarios resultan de un análisis de los componentes requeridos para su elaboración, estudio que se denomina comúnmente ‘análisis de precios unitarios’. Así, se examinará, por ejemplo, que para la construcción de un metro cuadrado de muro se requieren 50 ladrillos, que tienen un valor de $50.000; 15 kilos de cemento, que tienen un valor de $5.000; 30 kilos de arena, que tienen un </w:t>
      </w:r>
      <w:r w:rsidRPr="004F3256">
        <w:rPr>
          <w:rFonts w:ascii="Verdana" w:hAnsi="Verdana" w:cs="Arial"/>
          <w:sz w:val="20"/>
          <w:szCs w:val="20"/>
          <w:lang w:val="es-ES" w:eastAsia="es-ES"/>
        </w:rPr>
        <w:lastRenderedPageBreak/>
        <w:t>valor de $500; 5 litros de agua, que tienen un valor de 100, y la mano de obra que tiene un valor de $5.000. La sumatoria de cada uno de estos insumos básicos arroja el costo directo que debe cancelar el contratista para la construcción de un metro de muro.</w:t>
      </w:r>
    </w:p>
    <w:p w14:paraId="17142F53" w14:textId="77777777" w:rsidR="00315CDD" w:rsidRPr="004F3256" w:rsidRDefault="00315CDD" w:rsidP="00315CDD">
      <w:pPr>
        <w:tabs>
          <w:tab w:val="left" w:pos="709"/>
        </w:tabs>
        <w:spacing w:after="0" w:line="240" w:lineRule="auto"/>
        <w:ind w:left="709" w:right="709"/>
        <w:jc w:val="both"/>
        <w:rPr>
          <w:rFonts w:ascii="Verdana" w:hAnsi="Verdana" w:cs="Arial"/>
          <w:sz w:val="20"/>
          <w:szCs w:val="20"/>
          <w:lang w:val="es-ES_tradnl" w:eastAsia="es-ES_tradnl"/>
        </w:rPr>
      </w:pPr>
      <w:r w:rsidRPr="004F3256">
        <w:rPr>
          <w:rFonts w:ascii="Verdana" w:hAnsi="Verdana" w:cs="Arial"/>
          <w:sz w:val="20"/>
          <w:szCs w:val="20"/>
          <w:lang w:val="es-ES_tradnl" w:eastAsia="es-ES_tradnl"/>
        </w:rPr>
        <w:t>El costo directo se multiplica por el AIU, es decir, por los gastos de administración, que incluye los gastos de personal que dirige la obra; los gastos de imprevistos, que pretende cubrir imprevistos y la utilidad. El resultado de la multiplicación anterior determina el valor unitario que deberá cancelar la entidad estatal. Dentro del valor unitario, entonces, están incorporados la totalidad de los gastos en los que incurre el contratista y la utilidad que espera recibir”</w:t>
      </w:r>
      <w:r w:rsidRPr="004F3256">
        <w:rPr>
          <w:rFonts w:ascii="Verdana" w:hAnsi="Verdana" w:cs="Arial"/>
          <w:sz w:val="20"/>
          <w:szCs w:val="20"/>
          <w:vertAlign w:val="superscript"/>
          <w:lang w:val="es-ES_tradnl" w:eastAsia="es-ES_tradnl"/>
        </w:rPr>
        <w:footnoteReference w:id="4"/>
      </w:r>
      <w:r w:rsidRPr="004F3256">
        <w:rPr>
          <w:rFonts w:ascii="Verdana" w:hAnsi="Verdana" w:cs="Arial"/>
          <w:sz w:val="20"/>
          <w:szCs w:val="20"/>
          <w:lang w:val="es-ES_tradnl" w:eastAsia="es-ES_tradnl"/>
        </w:rPr>
        <w:t xml:space="preserve">. </w:t>
      </w:r>
    </w:p>
    <w:p w14:paraId="7C684A08" w14:textId="77777777" w:rsidR="00315CDD" w:rsidRPr="004F3256" w:rsidRDefault="00315CDD" w:rsidP="00315CDD">
      <w:pPr>
        <w:tabs>
          <w:tab w:val="left" w:pos="709"/>
        </w:tabs>
        <w:spacing w:after="0" w:line="276" w:lineRule="auto"/>
        <w:ind w:left="709" w:right="760"/>
        <w:jc w:val="both"/>
        <w:rPr>
          <w:rFonts w:ascii="Verdana" w:hAnsi="Verdana" w:cs="Arial"/>
          <w:szCs w:val="24"/>
          <w:lang w:val="es-ES_tradnl" w:eastAsia="es-ES_tradnl"/>
        </w:rPr>
      </w:pPr>
    </w:p>
    <w:p w14:paraId="47ED0EAA" w14:textId="77777777" w:rsidR="00315CDD" w:rsidRPr="004F3256" w:rsidRDefault="00315CDD" w:rsidP="00315CDD">
      <w:pPr>
        <w:spacing w:after="0" w:line="276" w:lineRule="auto"/>
        <w:ind w:firstLine="709"/>
        <w:jc w:val="both"/>
        <w:rPr>
          <w:rFonts w:ascii="Verdana" w:hAnsi="Verdana" w:cs="Arial"/>
          <w:szCs w:val="24"/>
          <w:lang w:val="es-ES_tradnl" w:eastAsia="es-ES_tradnl"/>
        </w:rPr>
      </w:pPr>
      <w:r w:rsidRPr="004F3256">
        <w:rPr>
          <w:rFonts w:ascii="Verdana" w:hAnsi="Verdana" w:cs="Arial"/>
          <w:szCs w:val="24"/>
          <w:lang w:val="es-ES_tradnl" w:eastAsia="es-ES_tradnl"/>
        </w:rPr>
        <w:t xml:space="preserve">Por su parte, de acuerdo con la Sección Tercera del Consejo de Estado, el AIU, concepto de común utilización en los contratos de tracto sucesivo –entre ellos, los contratos de obra– no cuenta con una definición normativa, pero hay elementos que permiten precisar su alcance, así: </w:t>
      </w:r>
    </w:p>
    <w:p w14:paraId="6C58700A" w14:textId="77777777" w:rsidR="00315CDD" w:rsidRPr="004F3256" w:rsidRDefault="00315CDD" w:rsidP="00315CDD">
      <w:pPr>
        <w:spacing w:after="0" w:line="276" w:lineRule="auto"/>
        <w:ind w:firstLine="709"/>
        <w:jc w:val="both"/>
        <w:rPr>
          <w:rFonts w:ascii="Verdana" w:hAnsi="Verdana" w:cs="Arial"/>
          <w:szCs w:val="24"/>
          <w:lang w:val="es-ES_tradnl" w:eastAsia="es-ES_tradnl"/>
        </w:rPr>
      </w:pPr>
    </w:p>
    <w:p w14:paraId="17CF1922" w14:textId="77777777" w:rsidR="00315CDD" w:rsidRPr="004F3256" w:rsidRDefault="00315CDD" w:rsidP="00315CDD">
      <w:pPr>
        <w:tabs>
          <w:tab w:val="left" w:pos="709"/>
        </w:tabs>
        <w:spacing w:after="120" w:line="240" w:lineRule="auto"/>
        <w:ind w:left="709" w:right="709"/>
        <w:jc w:val="both"/>
        <w:rPr>
          <w:rFonts w:ascii="Verdana" w:hAnsi="Verdana" w:cs="Arial"/>
          <w:sz w:val="20"/>
          <w:szCs w:val="20"/>
          <w:lang w:val="es-ES_tradnl" w:eastAsia="es-ES_tradnl"/>
        </w:rPr>
      </w:pPr>
      <w:r w:rsidRPr="004F3256">
        <w:rPr>
          <w:rFonts w:ascii="Verdana" w:hAnsi="Verdana" w:cs="Arial"/>
          <w:sz w:val="20"/>
          <w:szCs w:val="20"/>
          <w:lang w:val="es-ES_tradnl" w:eastAsia="es-ES_tradnl"/>
        </w:rPr>
        <w:t xml:space="preserve">“[…] el AIU propuesto para el contrato, corresponde a: </w:t>
      </w:r>
    </w:p>
    <w:p w14:paraId="7F03FD99" w14:textId="77777777" w:rsidR="00315CDD" w:rsidRPr="004F3256" w:rsidRDefault="00315CDD" w:rsidP="00315CDD">
      <w:pPr>
        <w:tabs>
          <w:tab w:val="left" w:pos="709"/>
        </w:tabs>
        <w:spacing w:after="120" w:line="240" w:lineRule="auto"/>
        <w:ind w:left="709" w:right="709"/>
        <w:jc w:val="both"/>
        <w:rPr>
          <w:rFonts w:ascii="Verdana" w:hAnsi="Verdana" w:cs="Arial"/>
          <w:sz w:val="20"/>
          <w:szCs w:val="20"/>
          <w:lang w:val="es-ES_tradnl" w:eastAsia="es-ES_tradnl"/>
        </w:rPr>
      </w:pPr>
      <w:r w:rsidRPr="004F3256">
        <w:rPr>
          <w:rFonts w:ascii="Verdana" w:hAnsi="Verdana" w:cs="Arial"/>
          <w:sz w:val="20"/>
          <w:szCs w:val="20"/>
          <w:lang w:val="es-ES_tradnl" w:eastAsia="es-ES_tradnl"/>
        </w:rPr>
        <w:t xml:space="preserve">i) los costos de administración o costos indirectos para la operación del contrato, tales como los gastos de disponibilidad de la organización del contratista, esto es: A; </w:t>
      </w:r>
    </w:p>
    <w:p w14:paraId="5724C506" w14:textId="77777777" w:rsidR="00315CDD" w:rsidRPr="004F3256" w:rsidRDefault="00315CDD" w:rsidP="00315CDD">
      <w:pPr>
        <w:tabs>
          <w:tab w:val="left" w:pos="709"/>
        </w:tabs>
        <w:spacing w:after="120" w:line="240" w:lineRule="auto"/>
        <w:ind w:left="709" w:right="709"/>
        <w:jc w:val="both"/>
        <w:rPr>
          <w:rFonts w:ascii="Verdana" w:hAnsi="Verdana" w:cs="Arial"/>
          <w:sz w:val="20"/>
          <w:szCs w:val="20"/>
          <w:lang w:val="es-ES" w:eastAsia="es-ES"/>
        </w:rPr>
      </w:pPr>
      <w:r w:rsidRPr="004F3256">
        <w:rPr>
          <w:rFonts w:ascii="Verdana" w:hAnsi="Verdana" w:cs="Arial"/>
          <w:sz w:val="20"/>
          <w:szCs w:val="20"/>
          <w:lang w:val="es-ES" w:eastAsia="es-ES"/>
        </w:rPr>
        <w:t xml:space="preserve">ii) los imprevistos, que es el porcentaje destinado a cubrir los gastos con los que no se contaba y que se presenten durante la ejecución del contrato, esto es, el álea normal del contrato: I; </w:t>
      </w:r>
    </w:p>
    <w:p w14:paraId="38A76D7E" w14:textId="77777777" w:rsidR="00315CDD" w:rsidRPr="004F3256" w:rsidRDefault="00315CDD" w:rsidP="00315CDD">
      <w:pPr>
        <w:tabs>
          <w:tab w:val="left" w:pos="709"/>
        </w:tabs>
        <w:spacing w:after="120" w:line="240" w:lineRule="auto"/>
        <w:ind w:left="709" w:right="709"/>
        <w:jc w:val="both"/>
        <w:rPr>
          <w:rFonts w:ascii="Verdana" w:hAnsi="Verdana" w:cs="Arial"/>
          <w:sz w:val="20"/>
          <w:szCs w:val="20"/>
          <w:lang w:val="es-ES" w:eastAsia="es-ES"/>
        </w:rPr>
      </w:pPr>
      <w:r w:rsidRPr="004F3256">
        <w:rPr>
          <w:rFonts w:ascii="Verdana" w:hAnsi="Verdana" w:cs="Arial"/>
          <w:sz w:val="20"/>
          <w:szCs w:val="20"/>
          <w:lang w:val="es-ES" w:eastAsia="es-ES"/>
        </w:rPr>
        <w:t xml:space="preserve">iii) la utilidad o el beneficio económico que pretende percibir el contratista por la ejecución del contrato, esto es: U. </w:t>
      </w:r>
    </w:p>
    <w:p w14:paraId="0A204D59" w14:textId="77777777" w:rsidR="00315CDD" w:rsidRPr="004F3256" w:rsidRDefault="00315CDD" w:rsidP="00315CDD">
      <w:pPr>
        <w:tabs>
          <w:tab w:val="left" w:pos="709"/>
        </w:tabs>
        <w:spacing w:after="0" w:line="240" w:lineRule="auto"/>
        <w:ind w:left="709" w:right="709"/>
        <w:jc w:val="both"/>
        <w:rPr>
          <w:rFonts w:ascii="Verdana" w:hAnsi="Verdana" w:cs="Arial"/>
          <w:sz w:val="20"/>
          <w:szCs w:val="20"/>
          <w:lang w:val="es-ES_tradnl" w:eastAsia="es-ES_tradnl"/>
        </w:rPr>
      </w:pPr>
      <w:r w:rsidRPr="004F3256">
        <w:rPr>
          <w:rFonts w:ascii="Verdana" w:hAnsi="Verdana" w:cs="Arial"/>
          <w:sz w:val="20"/>
          <w:szCs w:val="20"/>
          <w:lang w:val="es-ES_tradnl" w:eastAsia="es-ES_tradnl"/>
        </w:rPr>
        <w:t>Ahora, teniendo en cuenta que no existe ninguna reglamentación que establezca porcentajes mínimos o máximos para determinar el A.I.U., cada empresa o comerciante de acuerdo con su infraestructura, experiencia, las condiciones del mercado, la naturaleza del contrato a celebrar, entre otros factores, establece su estructura de costos conforme a la cual se compromete a ejecutar cabalmente un contrato en el caso de que le sea adjudicado”</w:t>
      </w:r>
      <w:r w:rsidRPr="004F3256">
        <w:rPr>
          <w:rFonts w:ascii="Verdana" w:hAnsi="Verdana" w:cs="Arial"/>
          <w:sz w:val="20"/>
          <w:szCs w:val="20"/>
          <w:vertAlign w:val="superscript"/>
          <w:lang w:val="es-ES_tradnl" w:eastAsia="es-ES_tradnl"/>
        </w:rPr>
        <w:footnoteReference w:id="5"/>
      </w:r>
      <w:r w:rsidRPr="004F3256">
        <w:rPr>
          <w:rFonts w:ascii="Verdana" w:hAnsi="Verdana" w:cs="Arial"/>
          <w:sz w:val="20"/>
          <w:szCs w:val="20"/>
          <w:lang w:val="es-ES_tradnl" w:eastAsia="es-ES_tradnl"/>
        </w:rPr>
        <w:t>.</w:t>
      </w:r>
    </w:p>
    <w:p w14:paraId="14440941" w14:textId="77777777" w:rsidR="00315CDD" w:rsidRPr="004F3256" w:rsidRDefault="00315CDD" w:rsidP="00315CDD">
      <w:pPr>
        <w:tabs>
          <w:tab w:val="left" w:pos="709"/>
        </w:tabs>
        <w:spacing w:after="0" w:line="276" w:lineRule="auto"/>
        <w:ind w:left="709" w:right="760"/>
        <w:jc w:val="both"/>
        <w:rPr>
          <w:rFonts w:ascii="Verdana" w:hAnsi="Verdana" w:cs="Arial"/>
          <w:szCs w:val="24"/>
          <w:lang w:val="es-ES_tradnl" w:eastAsia="es-ES_tradnl"/>
        </w:rPr>
      </w:pPr>
    </w:p>
    <w:p w14:paraId="1123C5C1" w14:textId="77777777" w:rsidR="00315CDD" w:rsidRPr="004F3256" w:rsidRDefault="00315CDD" w:rsidP="00315CDD">
      <w:pPr>
        <w:spacing w:after="120" w:line="276" w:lineRule="auto"/>
        <w:ind w:firstLine="709"/>
        <w:jc w:val="both"/>
        <w:rPr>
          <w:rFonts w:ascii="Verdana" w:hAnsi="Verdana" w:cs="Arial"/>
          <w:lang w:val="es-ES" w:eastAsia="es-ES"/>
        </w:rPr>
      </w:pPr>
      <w:r w:rsidRPr="004F3256">
        <w:rPr>
          <w:rFonts w:ascii="Verdana" w:hAnsi="Verdana" w:cs="Arial"/>
          <w:lang w:val="es-ES" w:eastAsia="es-ES"/>
        </w:rPr>
        <w:t>A su turno, la Sala de Consulta y Servicio Civil del Consejo de Estado sostuvo en concepto del 5 de septiembre de 2018</w:t>
      </w:r>
      <w:r w:rsidRPr="004F3256">
        <w:rPr>
          <w:rFonts w:ascii="Verdana" w:hAnsi="Verdana" w:cs="Arial"/>
          <w:vertAlign w:val="superscript"/>
          <w:lang w:val="es-ES" w:eastAsia="es-ES"/>
        </w:rPr>
        <w:footnoteReference w:id="6"/>
      </w:r>
      <w:r w:rsidRPr="004F3256">
        <w:rPr>
          <w:rFonts w:ascii="Verdana" w:hAnsi="Verdana" w:cs="Arial"/>
          <w:lang w:val="es-ES" w:eastAsia="es-ES"/>
        </w:rPr>
        <w:t xml:space="preserve"> que “el concepto del A.I.U. comprende la Administración (costos indirectos), imprevistos y utilidades, y en algunos contratos este valor aparece cuantificado en forma independiente al valor de la obra y como un porcentaje de la misma, sin perjuicio que en otros contratos este valor no aparezca discriminado y se incorpore en el valor de los precios unitarios”</w:t>
      </w:r>
      <w:r w:rsidRPr="004F3256">
        <w:rPr>
          <w:rFonts w:ascii="Verdana" w:hAnsi="Verdana" w:cs="Arial"/>
          <w:vertAlign w:val="superscript"/>
          <w:lang w:val="es-ES" w:eastAsia="es-ES"/>
        </w:rPr>
        <w:footnoteReference w:id="7"/>
      </w:r>
      <w:r w:rsidRPr="004F3256">
        <w:rPr>
          <w:rFonts w:ascii="Verdana" w:hAnsi="Verdana" w:cs="Arial"/>
          <w:lang w:val="es-ES" w:eastAsia="es-ES"/>
        </w:rPr>
        <w:t xml:space="preserve">. </w:t>
      </w:r>
    </w:p>
    <w:p w14:paraId="24662700" w14:textId="77777777" w:rsidR="00315CDD" w:rsidRPr="004F3256" w:rsidRDefault="00315CDD" w:rsidP="00315CDD">
      <w:pPr>
        <w:spacing w:after="120" w:line="276" w:lineRule="auto"/>
        <w:ind w:firstLine="709"/>
        <w:jc w:val="both"/>
        <w:rPr>
          <w:rFonts w:ascii="Verdana" w:hAnsi="Verdana" w:cs="Arial"/>
          <w:bCs/>
          <w:szCs w:val="24"/>
          <w:lang w:val="es-ES_tradnl" w:eastAsia="es-ES_tradnl"/>
        </w:rPr>
      </w:pPr>
      <w:r w:rsidRPr="004F3256">
        <w:rPr>
          <w:rFonts w:ascii="Verdana" w:hAnsi="Verdana" w:cs="Arial"/>
          <w:bCs/>
          <w:szCs w:val="24"/>
          <w:lang w:val="es-ES_tradnl" w:eastAsia="es-ES_tradnl"/>
        </w:rPr>
        <w:t xml:space="preserve">Así pues, ni el sistema de precios unitarios –como metodología de estipulación del valor contractual–, </w:t>
      </w:r>
      <w:r w:rsidRPr="004F3256">
        <w:rPr>
          <w:rFonts w:ascii="Verdana" w:hAnsi="Verdana" w:cs="Arial"/>
          <w:lang w:eastAsia="es-ES"/>
        </w:rPr>
        <w:t>ni el concepto de costos directos e indirectos</w:t>
      </w:r>
      <w:r w:rsidRPr="004F3256">
        <w:rPr>
          <w:rFonts w:ascii="Verdana" w:hAnsi="Verdana" w:cs="Arial"/>
          <w:bCs/>
          <w:szCs w:val="24"/>
          <w:lang w:val="es-ES_tradnl" w:eastAsia="es-ES_tradnl"/>
        </w:rPr>
        <w:t>, ni mucho menos la forma de calcularlo –es decir, su porcentaje–, son aspectos regulados en el conjunto de las disposiciones legales y reglamentarias que integran la normativa contractual del Estado: “La justificación de esta manera de cotizar el precio procede, incluso, de la formación universitaria que reciben los ingenieros, a quienes les enseñan esta metodología para elaborar las ofertas. En fin, lo que se quiere indicar con estos comentarios es que la necesidad de presentar una propuesta desglosando en forma intensa su precio no procede de la ley, ni del reglamento, sino de la costumbre, […]”</w:t>
      </w:r>
      <w:r w:rsidRPr="004F3256">
        <w:rPr>
          <w:rFonts w:ascii="Verdana" w:hAnsi="Verdana" w:cs="Arial"/>
          <w:bCs/>
          <w:szCs w:val="24"/>
          <w:vertAlign w:val="superscript"/>
          <w:lang w:val="es-ES_tradnl" w:eastAsia="es-ES_tradnl"/>
        </w:rPr>
        <w:footnoteReference w:id="8"/>
      </w:r>
      <w:r w:rsidRPr="004F3256">
        <w:rPr>
          <w:rFonts w:ascii="Verdana" w:hAnsi="Verdana" w:cs="Arial"/>
          <w:bCs/>
          <w:szCs w:val="24"/>
          <w:lang w:val="es-ES_tradnl" w:eastAsia="es-ES_tradnl"/>
        </w:rPr>
        <w:t xml:space="preserve">. De otro lado, quien define el valor de cada </w:t>
      </w:r>
      <w:r w:rsidRPr="004F3256">
        <w:rPr>
          <w:rFonts w:ascii="Verdana" w:hAnsi="Verdana" w:cs="Arial"/>
          <w:bCs/>
          <w:i/>
          <w:iCs/>
          <w:szCs w:val="24"/>
          <w:lang w:val="es-ES_tradnl" w:eastAsia="es-ES_tradnl"/>
        </w:rPr>
        <w:t>letra</w:t>
      </w:r>
      <w:r w:rsidRPr="004F3256">
        <w:rPr>
          <w:rFonts w:ascii="Verdana" w:hAnsi="Verdana" w:cs="Arial"/>
          <w:bCs/>
          <w:szCs w:val="24"/>
          <w:lang w:val="es-ES_tradnl" w:eastAsia="es-ES_tradnl"/>
        </w:rPr>
        <w:t xml:space="preserve"> –AIU– es el proponente, pues goza de libertad empresarial para hacerlo en la elaboración de su oferta</w:t>
      </w:r>
      <w:r w:rsidRPr="004F3256">
        <w:rPr>
          <w:rFonts w:ascii="Verdana" w:hAnsi="Verdana" w:cs="Arial"/>
          <w:bCs/>
          <w:szCs w:val="24"/>
          <w:vertAlign w:val="superscript"/>
          <w:lang w:val="es-ES_tradnl" w:eastAsia="es-ES_tradnl"/>
        </w:rPr>
        <w:footnoteReference w:id="9"/>
      </w:r>
      <w:r w:rsidRPr="004F3256">
        <w:rPr>
          <w:rFonts w:ascii="Verdana" w:hAnsi="Verdana" w:cs="Arial"/>
          <w:bCs/>
          <w:szCs w:val="24"/>
          <w:lang w:val="es-ES_tradnl" w:eastAsia="es-ES_tradnl"/>
        </w:rPr>
        <w:t>.</w:t>
      </w:r>
    </w:p>
    <w:p w14:paraId="7DF2F314" w14:textId="77777777" w:rsidR="00315CDD" w:rsidRPr="004F3256" w:rsidRDefault="00315CDD" w:rsidP="00315CDD">
      <w:pPr>
        <w:snapToGrid w:val="0"/>
        <w:spacing w:after="120" w:line="276" w:lineRule="auto"/>
        <w:ind w:firstLine="743"/>
        <w:jc w:val="both"/>
        <w:rPr>
          <w:rFonts w:ascii="Verdana" w:hAnsi="Verdana" w:cs="Arial"/>
          <w:bCs/>
          <w:szCs w:val="24"/>
          <w:lang w:val="es-ES_tradnl" w:eastAsia="es-ES_tradnl"/>
        </w:rPr>
      </w:pPr>
      <w:r w:rsidRPr="004F3256">
        <w:rPr>
          <w:rFonts w:ascii="Verdana" w:hAnsi="Verdana" w:cs="Arial"/>
          <w:lang w:val="es-ES" w:eastAsia="es-ES"/>
        </w:rPr>
        <w:t xml:space="preserve">De esta manera, usualmente en los contratos cuyo valor se estructura bajo el sistema de precios unitarios y con el desglose del AIU, el precio se paga con base en el valor de los costos directos incrementados por el porcentaje del AIU, forma de pago que pueden incluir las entidades estatales en virtud de la autonomía de la voluntad a que remiten los artículos 13, 32 y 40 del EGCAP. </w:t>
      </w:r>
      <w:r w:rsidRPr="004F3256">
        <w:rPr>
          <w:rFonts w:ascii="Verdana" w:hAnsi="Verdana" w:cs="Arial"/>
          <w:lang w:val="es-ES" w:eastAsia="es-ES"/>
        </w:rPr>
        <w:lastRenderedPageBreak/>
        <w:t xml:space="preserve">Ahora bien, nada </w:t>
      </w:r>
      <w:r w:rsidRPr="004F3256">
        <w:rPr>
          <w:rFonts w:ascii="Verdana" w:hAnsi="Verdana" w:cs="Arial"/>
          <w:bCs/>
          <w:szCs w:val="24"/>
          <w:lang w:val="es-ES_tradnl" w:eastAsia="es-ES_tradnl"/>
        </w:rPr>
        <w:t xml:space="preserve">obstaría para que las partes le dieran otros efectos particulares a la forma en que pagan el precio estructurado con AIU. Por ejemplo, podrían incluir cláusulas o reglas bajo las cuales se estableciera que el valor de alguno o de todos los componentes de la </w:t>
      </w:r>
      <w:r w:rsidRPr="004F3256">
        <w:rPr>
          <w:rFonts w:ascii="Verdana" w:hAnsi="Verdana" w:cs="Arial"/>
          <w:bCs/>
          <w:i/>
          <w:iCs/>
          <w:szCs w:val="24"/>
          <w:lang w:val="es-ES_tradnl" w:eastAsia="es-ES_tradnl"/>
        </w:rPr>
        <w:t>Administración</w:t>
      </w:r>
      <w:r w:rsidRPr="004F3256">
        <w:rPr>
          <w:rFonts w:ascii="Verdana" w:hAnsi="Verdana" w:cs="Arial"/>
          <w:bCs/>
          <w:szCs w:val="24"/>
          <w:lang w:val="es-ES_tradnl" w:eastAsia="es-ES_tradnl"/>
        </w:rPr>
        <w:t xml:space="preserve"> o los </w:t>
      </w:r>
      <w:r w:rsidRPr="004F3256">
        <w:rPr>
          <w:rFonts w:ascii="Verdana" w:hAnsi="Verdana" w:cs="Arial"/>
          <w:bCs/>
          <w:i/>
          <w:iCs/>
          <w:szCs w:val="24"/>
          <w:lang w:val="es-ES_tradnl" w:eastAsia="es-ES_tradnl"/>
        </w:rPr>
        <w:t>Imprevistos</w:t>
      </w:r>
      <w:r w:rsidRPr="004F3256">
        <w:rPr>
          <w:rFonts w:ascii="Verdana" w:hAnsi="Verdana" w:cs="Arial"/>
          <w:bCs/>
          <w:szCs w:val="24"/>
          <w:lang w:val="es-ES_tradnl" w:eastAsia="es-ES_tradnl"/>
        </w:rPr>
        <w:t xml:space="preserve"> sólo se pagan si el contratista demuestra que incurrió en algunas situaciones específicas y bajo el monto que este logre demostrar.</w:t>
      </w:r>
    </w:p>
    <w:p w14:paraId="6C643C6D" w14:textId="77777777" w:rsidR="00315CDD" w:rsidRPr="004F3256" w:rsidRDefault="00315CDD" w:rsidP="00315CDD">
      <w:pPr>
        <w:snapToGrid w:val="0"/>
        <w:spacing w:after="120" w:line="276" w:lineRule="auto"/>
        <w:ind w:firstLine="601"/>
        <w:jc w:val="both"/>
        <w:rPr>
          <w:rFonts w:ascii="Verdana" w:hAnsi="Verdana" w:cs="Arial"/>
          <w:lang w:val="es-ES" w:eastAsia="es-ES"/>
        </w:rPr>
      </w:pPr>
      <w:r w:rsidRPr="004F3256">
        <w:rPr>
          <w:rFonts w:ascii="Verdana" w:hAnsi="Verdana" w:cs="Arial"/>
          <w:lang w:eastAsia="es-ES"/>
        </w:rPr>
        <w:t xml:space="preserve">Sin embargo, </w:t>
      </w:r>
      <w:r w:rsidRPr="004F3256">
        <w:rPr>
          <w:rFonts w:ascii="Verdana" w:hAnsi="Verdana" w:cs="Arial"/>
          <w:lang w:val="es-ES" w:eastAsia="es-ES"/>
        </w:rPr>
        <w:t xml:space="preserve">una regulación como la anterior no es la que suele emplearse en los contratos estatales. Lo usual, que se advierte en la práctica de las Entidades Estatales, es que acuden al AIU con la finalidad de establecer un precio más estable, de manera que el valor del contrato consistirá en lo que resulte de afectar los costos directos por el porcentaje, en principio, invariable del AIU, de manera que al valor de los costos directos se le sume el AIU. </w:t>
      </w:r>
    </w:p>
    <w:p w14:paraId="5C6F0CAB" w14:textId="77777777" w:rsidR="00315CDD" w:rsidRPr="004F3256" w:rsidRDefault="00315CDD" w:rsidP="00315CDD">
      <w:pPr>
        <w:snapToGrid w:val="0"/>
        <w:spacing w:after="120" w:line="276" w:lineRule="auto"/>
        <w:ind w:firstLine="601"/>
        <w:jc w:val="both"/>
        <w:rPr>
          <w:rFonts w:ascii="Verdana" w:eastAsia="Calibri" w:hAnsi="Verdana" w:cs="Arial"/>
          <w:bCs/>
          <w:szCs w:val="24"/>
          <w:lang w:val="es-ES_tradnl" w:eastAsia="es-ES_tradnl"/>
        </w:rPr>
      </w:pPr>
      <w:r w:rsidRPr="004F3256">
        <w:rPr>
          <w:rFonts w:ascii="Verdana" w:eastAsia="Calibri" w:hAnsi="Verdana" w:cs="Arial"/>
          <w:bCs/>
          <w:szCs w:val="24"/>
          <w:lang w:val="es-ES_tradnl" w:eastAsia="es-ES_tradnl"/>
        </w:rPr>
        <w:t xml:space="preserve">En este sentido, cuando las Entidades Estatales incluyen esta forma de desglosar el precio, en los últimos términos indicados, al realizar el estudio de mercado elaboran un presupuesto estimado del valor de la ejecución del contrato. Dicho presupuesto estimado incluye los costos genéricos </w:t>
      </w:r>
      <w:r w:rsidRPr="004F3256">
        <w:rPr>
          <w:rFonts w:ascii="Verdana" w:eastAsia="Calibri" w:hAnsi="Verdana" w:cs="Arial"/>
          <w:bCs/>
          <w:i/>
          <w:iCs/>
          <w:szCs w:val="24"/>
          <w:lang w:val="es-ES_tradnl" w:eastAsia="es-ES_tradnl"/>
        </w:rPr>
        <w:t xml:space="preserve">indirectos </w:t>
      </w:r>
      <w:r w:rsidRPr="004F3256">
        <w:rPr>
          <w:rFonts w:ascii="Verdana" w:eastAsia="Calibri" w:hAnsi="Verdana" w:cs="Arial"/>
          <w:bCs/>
          <w:szCs w:val="24"/>
          <w:lang w:val="es-ES_tradnl" w:eastAsia="es-ES_tradnl"/>
        </w:rPr>
        <w:t xml:space="preserve">en que incurren los contratistas, entre ellos, los de la </w:t>
      </w:r>
      <w:r w:rsidRPr="004F3256">
        <w:rPr>
          <w:rFonts w:ascii="Verdana" w:eastAsia="Calibri" w:hAnsi="Verdana" w:cs="Arial"/>
          <w:bCs/>
          <w:i/>
          <w:iCs/>
          <w:szCs w:val="24"/>
          <w:lang w:val="es-ES_tradnl" w:eastAsia="es-ES_tradnl"/>
        </w:rPr>
        <w:t xml:space="preserve">Administración </w:t>
      </w:r>
      <w:r w:rsidRPr="004F3256">
        <w:rPr>
          <w:rFonts w:ascii="Verdana" w:eastAsia="Calibri" w:hAnsi="Verdana" w:cs="Arial"/>
          <w:lang w:val="es-ES_tradnl" w:eastAsia="es-ES"/>
        </w:rPr>
        <w:t>y</w:t>
      </w:r>
      <w:r w:rsidRPr="004F3256">
        <w:rPr>
          <w:rFonts w:ascii="Verdana" w:eastAsia="Calibri" w:hAnsi="Verdana" w:cs="Arial"/>
          <w:lang w:val="es-ES" w:eastAsia="es-ES"/>
        </w:rPr>
        <w:t xml:space="preserve"> lo</w:t>
      </w:r>
      <w:r w:rsidRPr="004F3256">
        <w:rPr>
          <w:rFonts w:ascii="Verdana" w:eastAsia="Calibri" w:hAnsi="Verdana" w:cs="Arial"/>
          <w:i/>
          <w:iCs/>
          <w:lang w:val="es-ES" w:eastAsia="es-ES"/>
        </w:rPr>
        <w:t>s Imprevistos</w:t>
      </w:r>
      <w:r w:rsidRPr="004F3256">
        <w:rPr>
          <w:rFonts w:ascii="Verdana" w:eastAsia="Calibri" w:hAnsi="Verdana" w:cs="Arial"/>
          <w:bCs/>
          <w:szCs w:val="24"/>
          <w:lang w:val="es-ES_tradnl" w:eastAsia="es-ES_tradnl"/>
        </w:rPr>
        <w:t>, para efectos de definir el porcentaje con el que calculan el presupuesto, pese a que el monto de estos componentes varía ostensiblemente de un proponente a otro, pues su valor real depende de circunstancias particulares de los oferentes</w:t>
      </w:r>
      <w:r w:rsidRPr="004F3256">
        <w:rPr>
          <w:rFonts w:ascii="Verdana" w:eastAsia="Calibri" w:hAnsi="Verdana" w:cs="Times New Roman"/>
          <w:vertAlign w:val="superscript"/>
          <w:lang w:val="es-ES" w:eastAsia="es-ES_tradnl"/>
        </w:rPr>
        <w:footnoteReference w:id="10"/>
      </w:r>
      <w:r w:rsidRPr="004F3256">
        <w:rPr>
          <w:rFonts w:ascii="Verdana" w:eastAsia="Calibri" w:hAnsi="Verdana" w:cs="Arial"/>
          <w:bCs/>
          <w:szCs w:val="24"/>
          <w:lang w:val="es-ES_tradnl" w:eastAsia="es-ES_tradnl"/>
        </w:rPr>
        <w:t xml:space="preserve">. </w:t>
      </w:r>
    </w:p>
    <w:p w14:paraId="2B45EBB1" w14:textId="77777777" w:rsidR="00315CDD" w:rsidRPr="004F3256" w:rsidRDefault="00315CDD" w:rsidP="00315CDD">
      <w:pPr>
        <w:snapToGrid w:val="0"/>
        <w:spacing w:after="120" w:line="276" w:lineRule="auto"/>
        <w:ind w:firstLine="601"/>
        <w:jc w:val="both"/>
        <w:rPr>
          <w:rFonts w:ascii="Verdana" w:eastAsia="Calibri" w:hAnsi="Verdana" w:cs="Arial"/>
          <w:bCs/>
          <w:szCs w:val="24"/>
          <w:lang w:val="es-ES_tradnl" w:eastAsia="es-ES_tradnl"/>
        </w:rPr>
      </w:pPr>
      <w:r w:rsidRPr="004F3256">
        <w:rPr>
          <w:rFonts w:ascii="Verdana" w:eastAsia="Calibri" w:hAnsi="Verdana" w:cs="Arial"/>
          <w:lang w:eastAsia="es-ES"/>
        </w:rPr>
        <w:t xml:space="preserve">Así las cosas, las partes asumen los riesgos inherentes a esta forma de pactar el precio, entendiendo aceptados los aleas normales que se presenten en la ejecución del contrato, de manera que, aunque el contratista incurra en mayores costos de los ítems incluidos en la </w:t>
      </w:r>
      <w:r w:rsidRPr="004F3256">
        <w:rPr>
          <w:rFonts w:ascii="Verdana" w:eastAsia="Calibri" w:hAnsi="Verdana" w:cs="Arial"/>
          <w:i/>
          <w:iCs/>
          <w:lang w:eastAsia="es-ES"/>
        </w:rPr>
        <w:t>Administración</w:t>
      </w:r>
      <w:r w:rsidRPr="004F3256">
        <w:rPr>
          <w:rFonts w:ascii="Verdana" w:eastAsia="Calibri" w:hAnsi="Verdana" w:cs="Arial"/>
          <w:lang w:eastAsia="es-ES"/>
        </w:rPr>
        <w:t xml:space="preserve"> o en más gastos de </w:t>
      </w:r>
      <w:r w:rsidRPr="004F3256">
        <w:rPr>
          <w:rFonts w:ascii="Verdana" w:eastAsia="Calibri" w:hAnsi="Verdana" w:cs="Arial"/>
          <w:i/>
          <w:iCs/>
          <w:lang w:eastAsia="es-ES"/>
        </w:rPr>
        <w:lastRenderedPageBreak/>
        <w:t>Imprevistos</w:t>
      </w:r>
      <w:r w:rsidRPr="004F3256">
        <w:rPr>
          <w:rFonts w:ascii="Verdana" w:eastAsia="Calibri" w:hAnsi="Verdana" w:cs="Arial"/>
          <w:lang w:eastAsia="es-ES"/>
        </w:rPr>
        <w:t xml:space="preserve"> al presentar su oferta, o que estos disminuyan, aparezcan algunos nuevos o desaparezcan algunos de ellos, el valor se mantenga invariable.</w:t>
      </w:r>
    </w:p>
    <w:p w14:paraId="346FAA89" w14:textId="77777777" w:rsidR="00315CDD" w:rsidRPr="004F3256" w:rsidRDefault="00315CDD" w:rsidP="00315CDD">
      <w:pPr>
        <w:snapToGrid w:val="0"/>
        <w:spacing w:after="120" w:line="276" w:lineRule="auto"/>
        <w:ind w:firstLine="601"/>
        <w:jc w:val="both"/>
        <w:rPr>
          <w:rFonts w:ascii="Verdana" w:eastAsia="Calibri" w:hAnsi="Verdana" w:cs="Arial"/>
          <w:lang w:val="es-ES" w:eastAsia="es-ES"/>
        </w:rPr>
      </w:pPr>
      <w:r w:rsidRPr="004F3256">
        <w:rPr>
          <w:rFonts w:ascii="Verdana" w:eastAsia="Calibri" w:hAnsi="Verdana" w:cs="Arial"/>
          <w:lang w:val="es-ES" w:eastAsia="es-ES"/>
        </w:rPr>
        <w:t xml:space="preserve">De manera que las entidades calculan un valor estimado que, a su vez, sirve de guía para que los proponentes formulen sus ofertas, pero bajo la premisa de que pagarán un porcentaje fijo incluido por los interesados en sus propuestas, dado lo variable que resulta este valor, y lo complejo y gravoso de realizar un seguimiento minucioso a los costos en que incurren los contratistas por este componente en particular. Además, que estos podrían ser mayores a los inicialmente pactados con el contratista, de manera que la fijación de un porcentaje fijo y estable también puede resultar favorable a la entidad estatal, pues su contraparte no le podrá exigir un monto superior, bajo el argumento de que incurrió en costos o gastos adicionales asociados al componente </w:t>
      </w:r>
      <w:r w:rsidRPr="004F3256">
        <w:rPr>
          <w:rFonts w:ascii="Verdana" w:eastAsia="Calibri" w:hAnsi="Verdana" w:cs="Arial"/>
          <w:i/>
          <w:iCs/>
          <w:lang w:val="es-ES" w:eastAsia="es-ES"/>
        </w:rPr>
        <w:t>Administración</w:t>
      </w:r>
      <w:r w:rsidRPr="004F3256">
        <w:rPr>
          <w:rFonts w:ascii="Verdana" w:eastAsia="Calibri" w:hAnsi="Verdana" w:cs="Arial"/>
          <w:lang w:val="es-ES" w:eastAsia="es-ES"/>
        </w:rPr>
        <w:t xml:space="preserve"> o de </w:t>
      </w:r>
      <w:r w:rsidRPr="004F3256">
        <w:rPr>
          <w:rFonts w:ascii="Verdana" w:eastAsia="Calibri" w:hAnsi="Verdana" w:cs="Arial"/>
          <w:i/>
          <w:iCs/>
          <w:lang w:val="es-ES" w:eastAsia="es-ES"/>
        </w:rPr>
        <w:t>Imprevistos</w:t>
      </w:r>
      <w:r w:rsidRPr="004F3256">
        <w:rPr>
          <w:rFonts w:ascii="Verdana" w:eastAsia="Calibri" w:hAnsi="Verdana" w:cs="Times New Roman"/>
          <w:vertAlign w:val="superscript"/>
          <w:lang w:val="es-ES" w:eastAsia="es-ES"/>
        </w:rPr>
        <w:footnoteReference w:id="11"/>
      </w:r>
      <w:r w:rsidRPr="004F3256">
        <w:rPr>
          <w:rFonts w:ascii="Verdana" w:eastAsia="Calibri" w:hAnsi="Verdana" w:cs="Arial"/>
          <w:lang w:val="es-ES" w:eastAsia="es-ES"/>
        </w:rPr>
        <w:t>.</w:t>
      </w:r>
    </w:p>
    <w:p w14:paraId="3AEE1D51" w14:textId="77777777" w:rsidR="00315CDD" w:rsidRPr="004F3256" w:rsidRDefault="00315CDD" w:rsidP="00315CDD">
      <w:pPr>
        <w:spacing w:before="120" w:after="0" w:line="276" w:lineRule="auto"/>
        <w:ind w:firstLine="709"/>
        <w:jc w:val="both"/>
        <w:rPr>
          <w:rFonts w:ascii="Verdana" w:hAnsi="Verdana" w:cs="Arial"/>
          <w:lang w:val="es-ES" w:eastAsia="es-ES"/>
        </w:rPr>
      </w:pPr>
      <w:r w:rsidRPr="004F3256">
        <w:rPr>
          <w:rFonts w:ascii="Verdana" w:hAnsi="Verdana" w:cs="Arial"/>
          <w:lang w:val="es-ES" w:eastAsia="es-ES"/>
        </w:rPr>
        <w:t>Frente a los costos que suelen incluirse en la Administración –A–, la jurisprudencia, a partir de la práctica de las entidades estatales, ha señalado que: “Los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w:t>
      </w:r>
      <w:r w:rsidRPr="004F3256">
        <w:rPr>
          <w:rFonts w:ascii="Verdana" w:hAnsi="Verdana" w:cs="Arial"/>
          <w:vertAlign w:val="superscript"/>
          <w:lang w:val="es-ES" w:eastAsia="es-ES"/>
        </w:rPr>
        <w:footnoteReference w:id="12"/>
      </w:r>
      <w:r w:rsidRPr="004F3256">
        <w:rPr>
          <w:rFonts w:ascii="Verdana" w:hAnsi="Verdana" w:cs="Arial"/>
          <w:lang w:val="es-ES" w:eastAsia="es-ES"/>
        </w:rPr>
        <w:t xml:space="preserve">”. En términos similares, pero más precisos, la doctrina, recogiendo la casuística de los contratos estatales, señala de forma más pormenorizada los gastos que se asocian a la –A–, donde se incluyen importantes costos indirectos en que se incurre en la ejecución: </w:t>
      </w:r>
    </w:p>
    <w:p w14:paraId="5BE77435" w14:textId="77777777" w:rsidR="00315CDD" w:rsidRPr="004F3256" w:rsidRDefault="00315CDD" w:rsidP="00315CDD">
      <w:pPr>
        <w:spacing w:after="0" w:line="276" w:lineRule="auto"/>
        <w:jc w:val="both"/>
        <w:rPr>
          <w:rFonts w:ascii="Verdana" w:hAnsi="Verdana" w:cs="Arial"/>
          <w:bCs/>
          <w:szCs w:val="24"/>
          <w:lang w:val="es-ES_tradnl" w:eastAsia="es-ES_tradnl"/>
        </w:rPr>
      </w:pPr>
    </w:p>
    <w:p w14:paraId="5961EF8B" w14:textId="77777777" w:rsidR="00315CDD" w:rsidRPr="004F3256" w:rsidRDefault="00315CDD" w:rsidP="00315CDD">
      <w:pPr>
        <w:spacing w:after="0" w:line="240" w:lineRule="auto"/>
        <w:ind w:left="709" w:right="709"/>
        <w:jc w:val="both"/>
        <w:rPr>
          <w:rFonts w:ascii="Verdana" w:hAnsi="Verdana" w:cs="Arial"/>
          <w:sz w:val="20"/>
          <w:szCs w:val="20"/>
          <w:lang w:val="es-ES" w:eastAsia="es-ES"/>
        </w:rPr>
      </w:pPr>
      <w:r w:rsidRPr="004F3256">
        <w:rPr>
          <w:rFonts w:ascii="Verdana" w:hAnsi="Verdana" w:cs="Arial"/>
          <w:sz w:val="20"/>
          <w:szCs w:val="20"/>
          <w:lang w:val="es-ES" w:eastAsia="es-ES"/>
        </w:rPr>
        <w:t xml:space="preserve">Para entender mejor el tema conviene especificar que si los gastos que hacen parte de la A se encuentran: i) el pago de salarios y prestaciones </w:t>
      </w:r>
      <w:r w:rsidRPr="004F3256">
        <w:rPr>
          <w:rFonts w:ascii="Verdana" w:hAnsi="Verdana" w:cs="Arial"/>
          <w:sz w:val="20"/>
          <w:szCs w:val="20"/>
          <w:lang w:val="es-ES" w:eastAsia="es-ES"/>
        </w:rPr>
        <w:lastRenderedPageBreak/>
        <w:t xml:space="preserve">sociales del personal profesional y especializado necesario para ejecutar la obra –es el caso del Director de obra, los arquitectos, ingenieros y contadores, eventualmente abogados u otros; pero no se incluyen los obreros–, ii) pago de salarios y prestaciones sociales del personal logístico y de apoyo no dedicado directamente con la ejecución del contrato –por ejemplo: las secretarias de la empresa, el servicio de cafetería en mensajero, la vigilancia, los seguros, etc.– sin los que la empresa no puede funcionar; iii) pago de arrendamiento de las instalaciones necesarias para el funcionamiento de la empresa –oficinas </w:t>
      </w:r>
      <w:r w:rsidRPr="004F3256">
        <w:rPr>
          <w:rFonts w:ascii="Verdana" w:hAnsi="Verdana" w:cs="Arial"/>
          <w:i/>
          <w:sz w:val="20"/>
          <w:szCs w:val="20"/>
          <w:lang w:val="es-ES" w:eastAsia="es-ES"/>
        </w:rPr>
        <w:t xml:space="preserve">y campamento de la obra–; </w:t>
      </w:r>
      <w:r w:rsidRPr="004F3256">
        <w:rPr>
          <w:rFonts w:ascii="Verdana" w:hAnsi="Verdana" w:cs="Arial"/>
          <w:sz w:val="20"/>
          <w:szCs w:val="20"/>
          <w:lang w:val="es-ES" w:eastAsia="es-ES"/>
        </w:rPr>
        <w:t xml:space="preserve">iv) </w:t>
      </w:r>
      <w:r w:rsidRPr="004F3256">
        <w:rPr>
          <w:rFonts w:ascii="Verdana" w:hAnsi="Verdana" w:cs="Arial"/>
          <w:i/>
          <w:sz w:val="20"/>
          <w:szCs w:val="20"/>
          <w:lang w:val="es-ES" w:eastAsia="es-ES"/>
        </w:rPr>
        <w:t>pago de impuestos y gravámenes en general que afectan la actividad o el contrato</w:t>
      </w:r>
      <w:r w:rsidRPr="004F3256">
        <w:rPr>
          <w:rFonts w:ascii="Verdana" w:hAnsi="Verdana" w:cs="Arial"/>
          <w:sz w:val="20"/>
          <w:szCs w:val="20"/>
          <w:lang w:val="es-ES" w:eastAsia="es-ES"/>
        </w:rPr>
        <w:t>; v) valor de las fotocopias, papelería en general y equipos de oficina, vi) transporte terrestre, tiquetes aéreos y arrendamiento de vehículos –distintos de la maquinaria que se emplea en la obra–, vii) pólizas del contrato, viii) pago de servicios públicos y otras comunicaciones –como el servicio celular– y ix) gastos en que se incurra para realizar ensayos de laboratorio</w:t>
      </w:r>
      <w:r w:rsidRPr="004F3256">
        <w:rPr>
          <w:rFonts w:ascii="Verdana" w:hAnsi="Verdana" w:cs="Arial"/>
          <w:sz w:val="20"/>
          <w:szCs w:val="20"/>
          <w:vertAlign w:val="superscript"/>
          <w:lang w:val="es-ES" w:eastAsia="es-ES"/>
        </w:rPr>
        <w:footnoteReference w:id="13"/>
      </w:r>
      <w:r w:rsidRPr="004F3256">
        <w:rPr>
          <w:rFonts w:ascii="Verdana" w:hAnsi="Verdana" w:cs="Arial"/>
          <w:sz w:val="20"/>
          <w:szCs w:val="20"/>
          <w:lang w:val="es-ES" w:eastAsia="es-ES"/>
        </w:rPr>
        <w:t xml:space="preserve"> (Énfasis por fuera de texto)</w:t>
      </w:r>
    </w:p>
    <w:p w14:paraId="1D2F7C9E" w14:textId="77777777" w:rsidR="00315CDD" w:rsidRPr="004F3256" w:rsidRDefault="00315CDD" w:rsidP="00315CDD">
      <w:pPr>
        <w:spacing w:after="0" w:line="240" w:lineRule="auto"/>
        <w:ind w:left="709" w:right="709"/>
        <w:jc w:val="both"/>
        <w:rPr>
          <w:rFonts w:ascii="Verdana" w:hAnsi="Verdana" w:cs="Arial"/>
          <w:bCs/>
          <w:lang w:val="es-ES_tradnl" w:eastAsia="es-ES_tradnl"/>
        </w:rPr>
      </w:pPr>
    </w:p>
    <w:p w14:paraId="41CC7A10" w14:textId="77777777" w:rsidR="00315CDD" w:rsidRPr="004F3256" w:rsidRDefault="00315CDD" w:rsidP="00315CDD">
      <w:pPr>
        <w:spacing w:line="276" w:lineRule="auto"/>
        <w:jc w:val="both"/>
        <w:rPr>
          <w:rFonts w:ascii="Verdana" w:hAnsi="Verdana" w:cs="Arial"/>
          <w:lang w:val="es-ES_tradnl"/>
        </w:rPr>
      </w:pPr>
      <w:r w:rsidRPr="004F3256">
        <w:rPr>
          <w:rFonts w:ascii="Verdana" w:hAnsi="Verdana" w:cs="Arial"/>
          <w:lang w:val="es-ES_tradnl"/>
        </w:rPr>
        <w:tab/>
      </w:r>
      <w:r w:rsidRPr="004F3256">
        <w:rPr>
          <w:rFonts w:ascii="Verdana" w:hAnsi="Verdana" w:cs="Arial"/>
          <w:bCs/>
          <w:lang w:val="es-ES_tradnl"/>
        </w:rPr>
        <w:t xml:space="preserve">Asimismo, frente al porcentaje que se determina en el componente A, la doctrina expresa: </w:t>
      </w:r>
      <w:r w:rsidRPr="004F3256">
        <w:rPr>
          <w:rFonts w:ascii="Verdana" w:hAnsi="Verdana" w:cs="Arial"/>
          <w:lang w:val="es-ES_tradnl"/>
        </w:rPr>
        <w:t xml:space="preserve"> </w:t>
      </w:r>
    </w:p>
    <w:p w14:paraId="5C738849" w14:textId="77777777" w:rsidR="00315CDD" w:rsidRPr="004F3256" w:rsidRDefault="00315CDD" w:rsidP="00315CDD">
      <w:pPr>
        <w:spacing w:after="0" w:line="240" w:lineRule="auto"/>
        <w:ind w:left="709" w:right="709"/>
        <w:jc w:val="both"/>
        <w:rPr>
          <w:rFonts w:ascii="Verdana" w:hAnsi="Verdana" w:cs="Arial"/>
          <w:sz w:val="20"/>
          <w:szCs w:val="20"/>
          <w:lang w:val="es-ES"/>
        </w:rPr>
      </w:pPr>
      <w:r w:rsidRPr="004F3256">
        <w:rPr>
          <w:rFonts w:ascii="Verdana" w:hAnsi="Verdana" w:cs="Arial"/>
          <w:sz w:val="20"/>
          <w:szCs w:val="20"/>
          <w:lang w:val="es-ES"/>
        </w:rPr>
        <w:t xml:space="preserve">Este porcentaje del valor del contrato también lo determina cada oferente–contratista con libertad, pues a él incumbe establecer cuánto ascienden sus gastos de administración, y si al final resultan superiores no puede exigir de la entidad, por esa sola circunstancia, un reembolso, porque para ella se trataba de un dato indicativo sobre la manera como se halla el valor total de la obra, de ninguna manera determinante de la forma como se paga cada actividad. A la inversa sucede lo mismo, si el gasto es inferior al presupuestado la entidad no puede pagar menos de lo pactado, sino los precios unitarios acordados por la </w:t>
      </w:r>
      <w:r w:rsidRPr="004F3256">
        <w:rPr>
          <w:rFonts w:ascii="Verdana" w:hAnsi="Verdana" w:cs="Arial"/>
          <w:i/>
          <w:sz w:val="20"/>
          <w:szCs w:val="20"/>
          <w:lang w:val="es-ES"/>
        </w:rPr>
        <w:t>A</w:t>
      </w:r>
      <w:r w:rsidRPr="004F3256">
        <w:rPr>
          <w:rFonts w:ascii="Verdana" w:hAnsi="Verdana" w:cs="Arial"/>
          <w:sz w:val="20"/>
          <w:szCs w:val="20"/>
          <w:lang w:val="es-ES"/>
        </w:rPr>
        <w:t xml:space="preserve"> –y dicho sea de paso, también por la </w:t>
      </w:r>
      <w:r w:rsidRPr="004F3256">
        <w:rPr>
          <w:rFonts w:ascii="Verdana" w:hAnsi="Verdana" w:cs="Arial"/>
          <w:i/>
          <w:sz w:val="20"/>
          <w:szCs w:val="20"/>
          <w:lang w:val="es-ES"/>
        </w:rPr>
        <w:t>I</w:t>
      </w:r>
      <w:r w:rsidRPr="004F3256">
        <w:rPr>
          <w:rFonts w:ascii="Verdana" w:hAnsi="Verdana" w:cs="Arial"/>
          <w:sz w:val="20"/>
          <w:szCs w:val="20"/>
          <w:lang w:val="es-ES"/>
        </w:rPr>
        <w:t xml:space="preserve"> y la </w:t>
      </w:r>
      <w:r w:rsidRPr="004F3256">
        <w:rPr>
          <w:rFonts w:ascii="Verdana" w:hAnsi="Verdana" w:cs="Arial"/>
          <w:i/>
          <w:sz w:val="20"/>
          <w:szCs w:val="20"/>
          <w:lang w:val="es-ES"/>
        </w:rPr>
        <w:t>U</w:t>
      </w:r>
      <w:r w:rsidRPr="004F3256">
        <w:rPr>
          <w:rFonts w:ascii="Verdana" w:hAnsi="Verdana" w:cs="Arial"/>
          <w:sz w:val="20"/>
          <w:szCs w:val="20"/>
          <w:lang w:val="es-ES"/>
        </w:rPr>
        <w:t>–</w:t>
      </w:r>
      <w:r w:rsidRPr="004F3256">
        <w:rPr>
          <w:rFonts w:ascii="Verdana" w:hAnsi="Verdana" w:cs="Arial"/>
          <w:sz w:val="20"/>
          <w:szCs w:val="20"/>
          <w:vertAlign w:val="superscript"/>
          <w:lang w:val="es-ES"/>
        </w:rPr>
        <w:footnoteReference w:id="14"/>
      </w:r>
      <w:r w:rsidRPr="004F3256">
        <w:rPr>
          <w:rFonts w:ascii="Verdana" w:hAnsi="Verdana" w:cs="Arial"/>
          <w:sz w:val="20"/>
          <w:szCs w:val="20"/>
          <w:lang w:val="es-ES"/>
        </w:rPr>
        <w:t xml:space="preserve">. </w:t>
      </w:r>
    </w:p>
    <w:p w14:paraId="57403581" w14:textId="77777777" w:rsidR="00315CDD" w:rsidRPr="004F3256" w:rsidRDefault="00315CDD" w:rsidP="00315CDD">
      <w:pPr>
        <w:spacing w:after="0" w:line="276" w:lineRule="auto"/>
        <w:ind w:left="709" w:right="709"/>
        <w:jc w:val="both"/>
        <w:rPr>
          <w:rFonts w:ascii="Verdana" w:hAnsi="Verdana" w:cs="Arial"/>
          <w:sz w:val="20"/>
          <w:szCs w:val="20"/>
          <w:lang w:val="es-ES_tradnl"/>
        </w:rPr>
      </w:pPr>
    </w:p>
    <w:p w14:paraId="55517FA9" w14:textId="77777777" w:rsidR="00315CDD" w:rsidRPr="004F3256" w:rsidRDefault="00315CDD" w:rsidP="00315CDD">
      <w:pPr>
        <w:spacing w:after="120" w:line="276" w:lineRule="auto"/>
        <w:ind w:firstLine="709"/>
        <w:jc w:val="both"/>
        <w:rPr>
          <w:rFonts w:ascii="Verdana" w:hAnsi="Verdana" w:cs="Arial"/>
          <w:lang w:val="es-ES"/>
        </w:rPr>
      </w:pPr>
      <w:r w:rsidRPr="004F3256">
        <w:rPr>
          <w:rFonts w:ascii="Verdana" w:hAnsi="Verdana" w:cs="Arial"/>
          <w:lang w:val="es-ES"/>
        </w:rPr>
        <w:t xml:space="preserve">Tal es la forma usual como se pacta el precio en los contratos estatales cuyo valor se define con base en la metodología del AIU. Lo anterior, sin perjuicio de que las partes en el contrato establezcan las cláusulas que a bien tengan, pues se trata de un aspecto en que la autonomía de la voluntad de que gozan </w:t>
      </w:r>
      <w:r w:rsidRPr="004F3256">
        <w:rPr>
          <w:rFonts w:ascii="Verdana" w:hAnsi="Verdana" w:cs="Arial"/>
          <w:lang w:val="es-ES"/>
        </w:rPr>
        <w:lastRenderedPageBreak/>
        <w:t>las entidades estatales –y sus contratistas– despliega importantes efectos, por tratarse de un aspecto que no regula de forma específica el EGCAP.</w:t>
      </w:r>
    </w:p>
    <w:p w14:paraId="329B6284" w14:textId="77777777" w:rsidR="00315CDD" w:rsidRPr="004F3256" w:rsidRDefault="00315CDD" w:rsidP="00315CDD">
      <w:pPr>
        <w:spacing w:after="120" w:line="276" w:lineRule="auto"/>
        <w:ind w:firstLine="743"/>
        <w:jc w:val="both"/>
        <w:rPr>
          <w:rFonts w:ascii="Verdana" w:eastAsia="Calibri" w:hAnsi="Verdana" w:cs="Arial"/>
          <w:iCs/>
          <w:lang w:eastAsia="es-ES"/>
        </w:rPr>
      </w:pPr>
      <w:r w:rsidRPr="004F3256">
        <w:rPr>
          <w:rFonts w:ascii="Verdana" w:eastAsia="Calibri" w:hAnsi="Verdana" w:cs="Arial"/>
          <w:iCs/>
          <w:lang w:eastAsia="es-ES"/>
        </w:rPr>
        <w:t xml:space="preserve">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que más se ajuste el objeto a contratar </w:t>
      </w:r>
    </w:p>
    <w:p w14:paraId="0E1F3FEB" w14:textId="77777777" w:rsidR="00315CDD" w:rsidRPr="004F3256" w:rsidRDefault="00315CDD" w:rsidP="00315CDD">
      <w:pPr>
        <w:spacing w:after="120" w:line="276" w:lineRule="auto"/>
        <w:ind w:firstLine="743"/>
        <w:jc w:val="both"/>
        <w:rPr>
          <w:rFonts w:ascii="Verdana" w:hAnsi="Verdana" w:cs="Arial"/>
          <w:lang w:eastAsia="es-ES"/>
        </w:rPr>
      </w:pPr>
      <w:r w:rsidRPr="004F3256">
        <w:rPr>
          <w:rFonts w:ascii="Verdana" w:eastAsia="Calibri" w:hAnsi="Verdana" w:cs="Arial"/>
          <w:iCs/>
        </w:rPr>
        <w:t xml:space="preserve">Conforme a lo expuesto, las entidades estatales pueden incluir en el valor de sus contratos los costos directos e indirectos- </w:t>
      </w:r>
      <w:r w:rsidRPr="004F3256">
        <w:rPr>
          <w:rFonts w:ascii="Verdana" w:eastAsia="Calibri" w:hAnsi="Verdana" w:cs="Arial"/>
          <w:i/>
          <w:iCs/>
        </w:rPr>
        <w:t>overhead-,</w:t>
      </w:r>
      <w:r w:rsidRPr="004F3256">
        <w:rPr>
          <w:rFonts w:ascii="Verdana" w:eastAsia="Calibri" w:hAnsi="Verdana" w:cs="Arial"/>
          <w:iCs/>
        </w:rPr>
        <w:t xml:space="preserve"> asociados al precio de la ejecución del contrato, lo que indica que se trata de un elemento vinculado al cálculo de la remuneración o pago en favor de los contratistas del estado, que se incluye, como ya se expresó, con la finalidad de generar estabilidad en dicho precio, tanto favor del contratista, como de la entidad contratante. Cuando los costos indirectos -</w:t>
      </w:r>
      <w:r w:rsidRPr="004F3256">
        <w:rPr>
          <w:rFonts w:ascii="Verdana" w:eastAsia="Calibri" w:hAnsi="Verdana" w:cs="Arial"/>
          <w:i/>
        </w:rPr>
        <w:t>overhead-</w:t>
      </w:r>
      <w:r w:rsidRPr="004F3256">
        <w:rPr>
          <w:rFonts w:ascii="Verdana" w:eastAsia="Calibri" w:hAnsi="Verdana" w:cs="Arial"/>
          <w:iCs/>
        </w:rPr>
        <w:t xml:space="preserve"> han sido expresamente contemplados dentro de la estructura económica del contrato, ya sea en los estudios previos, en la propuesta del contratista o en las cláusulas contractuales, estos resultan obligatorios y su reconocimiento y pago debe efectuarse en los términos y condiciones pactados. En tal medida, la entidad contratante no puede desconocer o excluir unilateralmente dichos costos una vez incorporados al precio, salvo que exista una modificación válida del contrato o una causa legal que justifique su ajuste.</w:t>
      </w:r>
    </w:p>
    <w:p w14:paraId="5FE3C54E" w14:textId="77777777" w:rsidR="00315CDD" w:rsidRPr="004F3256" w:rsidRDefault="00315CDD" w:rsidP="00315CDD">
      <w:pPr>
        <w:spacing w:after="120" w:line="276" w:lineRule="auto"/>
        <w:jc w:val="both"/>
        <w:rPr>
          <w:rFonts w:ascii="Verdana" w:eastAsia="Calibri" w:hAnsi="Verdana" w:cs="Arial"/>
          <w:color w:val="000000" w:themeColor="text1"/>
          <w:lang w:val="es-ES"/>
        </w:rPr>
      </w:pPr>
      <w:r w:rsidRPr="004F3256">
        <w:rPr>
          <w:rFonts w:ascii="Verdana" w:hAnsi="Verdana" w:cs="Arial"/>
          <w:bCs/>
          <w:szCs w:val="24"/>
          <w:lang w:val="es-ES_tradnl" w:eastAsia="es-ES_tradnl"/>
        </w:rPr>
        <w:t>ii. Ahora bien, para efectos de dar respuesta al segundo problema jurídico es fundamental distinguir entre los convenios y los contratos interadministrativos, puesto que su naturaleza tiene unas implicaciones distintas frente a la viabilidad de asumir costos y gastos administrativos. E</w:t>
      </w:r>
      <w:r w:rsidRPr="004F3256">
        <w:rPr>
          <w:rFonts w:ascii="Verdana" w:eastAsia="Calibri" w:hAnsi="Verdana" w:cs="Arial"/>
          <w:lang w:val="es-ES" w:eastAsia="es-ES"/>
        </w:rPr>
        <w:t xml:space="preserve">n efecto, </w:t>
      </w:r>
      <w:r w:rsidRPr="004F3256">
        <w:rPr>
          <w:rFonts w:ascii="Verdana" w:eastAsia="Calibri" w:hAnsi="Verdana" w:cs="Arial"/>
          <w:color w:val="000000" w:themeColor="text1"/>
          <w:lang w:val="es-ES"/>
        </w:rPr>
        <w:t xml:space="preserve">existen algunos supuestos bajo las cuales las diferencias entre las características propias de los contratos y convenios interadministrativos resultan definitorias de la aplicación o inaplicación de ciertas normas, ante lo cual, entonces, no podrán ser equiparables sino que deben ser vistos como instituciones negociales disímiles </w:t>
      </w:r>
      <w:r w:rsidRPr="004F3256">
        <w:rPr>
          <w:rFonts w:ascii="Verdana" w:eastAsia="Calibri" w:hAnsi="Verdana" w:cs="Arial"/>
          <w:color w:val="000000" w:themeColor="text1"/>
          <w:lang w:val="es-ES"/>
        </w:rPr>
        <w:lastRenderedPageBreak/>
        <w:t xml:space="preserve">aunque, indudablemente, con algunos atributos comunes. En otras palabras, diferenciar entre los conceptos de convenio y contrato interadministrativos, así como establecer con precisión las características y elementos esenciales de cada uno, resulta necesario de cara a definir la aplicación de ciertas figuras contractuales y normativas a cada uno de ellos, como las que se plantean en esta consulta. </w:t>
      </w:r>
    </w:p>
    <w:p w14:paraId="40151E3F" w14:textId="77777777" w:rsidR="00315CDD" w:rsidRPr="004F3256" w:rsidRDefault="00315CDD" w:rsidP="00315CDD">
      <w:pPr>
        <w:spacing w:after="120" w:line="276" w:lineRule="auto"/>
        <w:ind w:firstLine="708"/>
        <w:jc w:val="both"/>
        <w:rPr>
          <w:rFonts w:ascii="Verdana" w:eastAsia="Calibri" w:hAnsi="Verdana" w:cs="Arial"/>
        </w:rPr>
      </w:pPr>
      <w:r w:rsidRPr="004F3256">
        <w:rPr>
          <w:rFonts w:ascii="Verdana" w:eastAsia="Times New Roman" w:hAnsi="Verdana" w:cs="Arial"/>
          <w:lang w:val="es-ES" w:eastAsia="es-ES_tradnl"/>
        </w:rPr>
        <w:t>P</w:t>
      </w:r>
      <w:r w:rsidRPr="004F3256">
        <w:rPr>
          <w:rFonts w:ascii="Verdana" w:eastAsia="Times New Roman" w:hAnsi="Verdana" w:cs="Arial"/>
          <w:lang w:val="es-ES_tradnl" w:eastAsia="es-ES_tradnl"/>
        </w:rPr>
        <w:t xml:space="preserve">ara precisar </w:t>
      </w:r>
      <w:r w:rsidRPr="004F3256">
        <w:rPr>
          <w:rFonts w:ascii="Verdana" w:eastAsia="Times New Roman" w:hAnsi="Verdana" w:cs="Arial"/>
          <w:lang w:val="es-ES" w:eastAsia="es-ES_tradnl"/>
        </w:rPr>
        <w:t>el alcance que tiene cada una de estas figuras, resulta pertinente resaltar que, en consonancia con el artículo 209 de la Constitución Política</w:t>
      </w:r>
      <w:r w:rsidRPr="004F3256">
        <w:rPr>
          <w:rFonts w:ascii="Verdana" w:eastAsia="Times New Roman" w:hAnsi="Verdana" w:cs="Arial"/>
          <w:vertAlign w:val="superscript"/>
          <w:lang w:val="es-ES" w:eastAsia="es-ES_tradnl"/>
        </w:rPr>
        <w:footnoteReference w:id="15"/>
      </w:r>
      <w:r w:rsidRPr="004F3256">
        <w:rPr>
          <w:rFonts w:ascii="Verdana" w:eastAsia="Times New Roman" w:hAnsi="Verdana" w:cs="Arial"/>
          <w:lang w:val="es-ES" w:eastAsia="es-ES_tradnl"/>
        </w:rPr>
        <w:t>, del que se desprenden los deberes de coordinación y colaboración a cargo de todas las autoridades administrativas,</w:t>
      </w:r>
      <w:r w:rsidRPr="004F3256">
        <w:rPr>
          <w:rFonts w:ascii="Verdana" w:eastAsia="Calibri" w:hAnsi="Verdana" w:cs="Arial"/>
        </w:rPr>
        <w:t xml:space="preserve"> el artículo 95 de la Ley 489 de 1998</w:t>
      </w:r>
      <w:r w:rsidRPr="004F3256">
        <w:rPr>
          <w:rFonts w:ascii="Verdana" w:eastAsia="Calibri" w:hAnsi="Verdana" w:cs="Arial"/>
          <w:vertAlign w:val="superscript"/>
        </w:rPr>
        <w:footnoteReference w:id="16"/>
      </w:r>
      <w:r w:rsidRPr="004F3256">
        <w:rPr>
          <w:rFonts w:ascii="Verdana" w:eastAsia="Calibri" w:hAnsi="Verdana" w:cs="Arial"/>
        </w:rPr>
        <w:t xml:space="preserve"> dispone que “las entidades públicas podrán asociarse con el fin de cooperar en el cumplimiento de funciones administrativas o de prestar conjuntamente servicios que se hallen a su cargo mediante la celebración de convenios interadministrativos (…)”</w:t>
      </w:r>
      <w:r w:rsidRPr="004F3256">
        <w:rPr>
          <w:rFonts w:ascii="Verdana" w:eastAsia="Calibri" w:hAnsi="Verdana" w:cs="Arial"/>
          <w:vertAlign w:val="superscript"/>
        </w:rPr>
        <w:footnoteReference w:id="17"/>
      </w:r>
      <w:r w:rsidRPr="004F3256">
        <w:rPr>
          <w:rFonts w:ascii="Verdana" w:eastAsia="Calibri" w:hAnsi="Verdana" w:cs="Arial"/>
        </w:rPr>
        <w:t>. De tal suerte que, si bien la Ley 80 de 1993 faculta a las entidades estatales para celebrar cualquier acto jurídico generador de obligaciones, la norma en cita regula en forma particular la figura del convenio interadministrativo y define los elementos que caracterizan a este tipo de negocio jurídico.</w:t>
      </w:r>
    </w:p>
    <w:p w14:paraId="053639B9" w14:textId="77777777" w:rsidR="00315CDD" w:rsidRPr="004F3256" w:rsidRDefault="00315CDD" w:rsidP="00315CDD">
      <w:pPr>
        <w:spacing w:after="120" w:line="276" w:lineRule="auto"/>
        <w:ind w:firstLine="708"/>
        <w:jc w:val="both"/>
        <w:rPr>
          <w:rFonts w:ascii="Verdana" w:eastAsia="Calibri" w:hAnsi="Verdana" w:cs="Arial"/>
        </w:rPr>
      </w:pPr>
      <w:r w:rsidRPr="004F3256">
        <w:rPr>
          <w:rFonts w:ascii="Verdana" w:eastAsia="Calibri" w:hAnsi="Verdana" w:cs="Arial"/>
        </w:rPr>
        <w:t>Sobre el alcance de los convenios interadministrativos, el Consejo de Estado ha dejado en claro lo siguiente:</w:t>
      </w:r>
    </w:p>
    <w:p w14:paraId="0C5111BA" w14:textId="77777777" w:rsidR="00315CDD" w:rsidRPr="004F3256" w:rsidRDefault="00315CDD" w:rsidP="00315CDD">
      <w:pPr>
        <w:spacing w:after="0" w:line="240" w:lineRule="auto"/>
        <w:ind w:left="709" w:right="714"/>
        <w:jc w:val="both"/>
        <w:rPr>
          <w:rFonts w:ascii="Verdana" w:eastAsia="Calibri" w:hAnsi="Verdana" w:cs="Arial"/>
          <w:bCs/>
          <w:sz w:val="20"/>
          <w:szCs w:val="20"/>
          <w:lang w:val="es-ES_tradnl"/>
        </w:rPr>
      </w:pPr>
      <w:r w:rsidRPr="004F3256">
        <w:rPr>
          <w:rFonts w:ascii="Verdana" w:eastAsia="Calibri" w:hAnsi="Verdana" w:cs="Arial"/>
          <w:bCs/>
          <w:sz w:val="20"/>
          <w:szCs w:val="20"/>
          <w:lang w:eastAsia="es-ES_tradnl"/>
        </w:rPr>
        <w:t xml:space="preserve">“(…) </w:t>
      </w:r>
      <w:r w:rsidRPr="004F3256">
        <w:rPr>
          <w:rFonts w:ascii="Verdana" w:eastAsia="Calibri" w:hAnsi="Verdana" w:cs="Arial"/>
          <w:bCs/>
          <w:sz w:val="20"/>
          <w:szCs w:val="20"/>
          <w:lang w:val="es-ES_tradnl"/>
        </w:rPr>
        <w:t xml:space="preserve">i) Constituyen verdaderos contratos en los términos del Código de Comercio cuando su objeto lo constituyen obligaciones patrimoniales. ii) Tienen como fuente la autonomía contractual. iii) Son contratos nominados, puesto que están mencionados por la ley. iv) Son contratos atípicos desde la perspectiva legal, dado que se advierte la ausencia de unas normas que de manera detallada los disciplinen, expliquen y </w:t>
      </w:r>
      <w:r w:rsidRPr="004F3256">
        <w:rPr>
          <w:rFonts w:ascii="Verdana" w:eastAsia="Calibri" w:hAnsi="Verdana" w:cs="Arial"/>
          <w:bCs/>
          <w:sz w:val="20"/>
          <w:szCs w:val="20"/>
          <w:lang w:val="es-ES_tradnl"/>
        </w:rPr>
        <w:lastRenderedPageBreak/>
        <w:t>desarrollen, como sí las tienen los contratos típicos, por ejemplo, compraventa, arrendamiento, mandato, etc. v) La normativa a la cual se encuentran sujetos en principio es la del Estatuto General de Contratación, en atención a que las partes que los celebran son entidades estatales y, por consiguiente, también se obligan a las disposiciones que resulten pertinentes del Código Civil y el Código de Comercio. vi) Dan lugar a la creación de obligaciones jurídicamente exigibles. vii) Persiguen una finalidad común a través de la realización de intereses compartidos entre las entidades vinculadas. viii) La acción mediante la cual se deben ventilar las diferencias que sobre el particular surjan es la de controversias contractuales”</w:t>
      </w:r>
      <w:r w:rsidRPr="004F3256">
        <w:rPr>
          <w:rFonts w:ascii="Verdana" w:eastAsia="Times New Roman" w:hAnsi="Verdana" w:cs="Arial"/>
          <w:sz w:val="20"/>
          <w:szCs w:val="20"/>
          <w:vertAlign w:val="superscript"/>
          <w:lang w:val="es-ES" w:eastAsia="es-ES_tradnl"/>
        </w:rPr>
        <w:footnoteReference w:id="18"/>
      </w:r>
      <w:r w:rsidRPr="004F3256">
        <w:rPr>
          <w:rFonts w:ascii="Verdana" w:eastAsia="Calibri" w:hAnsi="Verdana" w:cs="Arial"/>
          <w:bCs/>
          <w:sz w:val="20"/>
          <w:szCs w:val="20"/>
          <w:lang w:val="es-ES_tradnl"/>
        </w:rPr>
        <w:t>.</w:t>
      </w:r>
    </w:p>
    <w:p w14:paraId="1D21C3CB" w14:textId="77777777" w:rsidR="00315CDD" w:rsidRPr="004F3256" w:rsidRDefault="00315CDD" w:rsidP="00315CDD">
      <w:pPr>
        <w:spacing w:after="0" w:line="276" w:lineRule="auto"/>
        <w:ind w:right="713"/>
        <w:jc w:val="both"/>
        <w:rPr>
          <w:rFonts w:ascii="Verdana" w:eastAsia="Times New Roman" w:hAnsi="Verdana" w:cs="Arial"/>
          <w:lang w:val="es-ES" w:eastAsia="es-ES_tradnl"/>
        </w:rPr>
      </w:pPr>
    </w:p>
    <w:p w14:paraId="33611791" w14:textId="77777777" w:rsidR="00315CDD" w:rsidRPr="004F3256" w:rsidRDefault="00315CDD" w:rsidP="00315CDD">
      <w:pPr>
        <w:spacing w:after="120" w:line="276" w:lineRule="auto"/>
        <w:ind w:firstLine="708"/>
        <w:jc w:val="both"/>
        <w:rPr>
          <w:rFonts w:ascii="Verdana" w:eastAsia="Times New Roman" w:hAnsi="Verdana" w:cs="Arial"/>
          <w:lang w:val="es-ES" w:eastAsia="es-ES_tradnl"/>
        </w:rPr>
      </w:pPr>
      <w:r w:rsidRPr="004F3256">
        <w:rPr>
          <w:rFonts w:ascii="Verdana" w:eastAsia="Times New Roman" w:hAnsi="Verdana" w:cs="Arial"/>
          <w:lang w:val="es-ES" w:eastAsia="es-ES_tradnl"/>
        </w:rPr>
        <w:t>A su turno, la doctrina especializada en la materia, a partir de la aplicación de un criterio material que envuelve la causa tenida en cuenta para contratar, ha dejado entrever que los convenios interadministrativos son una figura autónoma e independiente de la de los contratos interadministrativos</w:t>
      </w:r>
      <w:r w:rsidRPr="004F3256">
        <w:rPr>
          <w:rFonts w:ascii="Verdana" w:eastAsia="Times New Roman" w:hAnsi="Verdana" w:cs="Arial"/>
          <w:vertAlign w:val="superscript"/>
          <w:lang w:val="es-ES" w:eastAsia="es-ES_tradnl"/>
        </w:rPr>
        <w:footnoteReference w:id="19"/>
      </w:r>
      <w:r w:rsidRPr="004F3256">
        <w:rPr>
          <w:rFonts w:ascii="Verdana" w:eastAsia="Times New Roman" w:hAnsi="Verdana" w:cs="Arial"/>
          <w:lang w:val="es-ES" w:eastAsia="es-ES_tradnl"/>
        </w:rPr>
        <w:t>. Así “(…) es posible afirmar que el contrato es en efecto un acuerdo de voluntades que modifica las situaciones jurídicas subjetivas de las partes intervinientes, pero no se trata de cualquier clase de voluntades, sino únicamente de aquellas manifestadas por sujetos de derecho que tienen pretensiones o interés disímiles que se pueden ver como opuestos. En otras palabras, el contrato es un acuerdo de voluntades, en el cual cada uno de los participantes tiene finalidades opuestas”</w:t>
      </w:r>
      <w:r w:rsidRPr="004F3256">
        <w:rPr>
          <w:rFonts w:ascii="Verdana" w:eastAsia="Times New Roman" w:hAnsi="Verdana" w:cs="Arial"/>
          <w:vertAlign w:val="superscript"/>
          <w:lang w:val="es-ES" w:eastAsia="es-ES_tradnl"/>
        </w:rPr>
        <w:footnoteReference w:id="20"/>
      </w:r>
      <w:r w:rsidRPr="004F3256">
        <w:rPr>
          <w:rFonts w:ascii="Verdana" w:eastAsia="Times New Roman" w:hAnsi="Verdana" w:cs="Arial"/>
          <w:lang w:val="es-ES" w:eastAsia="es-ES_tradnl"/>
        </w:rPr>
        <w:t xml:space="preserve">. </w:t>
      </w:r>
    </w:p>
    <w:p w14:paraId="2ED1E0D5" w14:textId="77777777" w:rsidR="00315CDD" w:rsidRPr="004F3256" w:rsidRDefault="00315CDD" w:rsidP="00315CDD">
      <w:pPr>
        <w:spacing w:after="120" w:line="276" w:lineRule="auto"/>
        <w:ind w:firstLine="708"/>
        <w:jc w:val="both"/>
        <w:rPr>
          <w:rFonts w:ascii="Verdana" w:eastAsia="Times New Roman" w:hAnsi="Verdana" w:cs="Arial"/>
          <w:lang w:val="es-ES" w:eastAsia="es-ES_tradnl"/>
        </w:rPr>
      </w:pPr>
      <w:r w:rsidRPr="004F3256">
        <w:rPr>
          <w:rFonts w:ascii="Verdana" w:eastAsia="Times New Roman" w:hAnsi="Verdana" w:cs="Arial"/>
          <w:lang w:val="es-ES" w:eastAsia="es-ES_tradnl"/>
        </w:rPr>
        <w:t xml:space="preserve">Con todo, según se advierte, “(…) basta agregar un ingrediente subjetivo para poder deducir la existencia del contrato de la administración, cual es la necesaria e imprescindible presencia de un sujeto especial de derecho llamado administración pública, lo cual implica que el contrato de la administración es un acuerdo de voluntades en el cual cada uno de los participantes pretende </w:t>
      </w:r>
      <w:r w:rsidRPr="004F3256">
        <w:rPr>
          <w:rFonts w:ascii="Verdana" w:eastAsia="Times New Roman" w:hAnsi="Verdana" w:cs="Arial"/>
          <w:lang w:val="es-ES" w:eastAsia="es-ES_tradnl"/>
        </w:rPr>
        <w:lastRenderedPageBreak/>
        <w:t>satisfacer necesidades o finalidades opuestas, donde necesariamente una de las partes tiene que ser una administración pública”</w:t>
      </w:r>
      <w:r w:rsidRPr="004F3256">
        <w:rPr>
          <w:rFonts w:ascii="Verdana" w:eastAsia="Times New Roman" w:hAnsi="Verdana" w:cs="Arial"/>
          <w:vertAlign w:val="superscript"/>
          <w:lang w:val="es-ES" w:eastAsia="es-ES_tradnl"/>
        </w:rPr>
        <w:footnoteReference w:id="21"/>
      </w:r>
      <w:r w:rsidRPr="004F3256">
        <w:rPr>
          <w:rFonts w:ascii="Verdana" w:eastAsia="Times New Roman" w:hAnsi="Verdana" w:cs="Arial"/>
          <w:lang w:val="es-ES" w:eastAsia="es-ES_tradnl"/>
        </w:rPr>
        <w:t>.</w:t>
      </w:r>
    </w:p>
    <w:p w14:paraId="44AB05F9" w14:textId="77777777" w:rsidR="00315CDD" w:rsidRPr="004F3256" w:rsidRDefault="00315CDD" w:rsidP="00315CDD">
      <w:pPr>
        <w:spacing w:before="120" w:after="0" w:line="276" w:lineRule="auto"/>
        <w:ind w:firstLine="709"/>
        <w:jc w:val="both"/>
        <w:rPr>
          <w:rFonts w:ascii="Verdana" w:eastAsia="Calibri" w:hAnsi="Verdana" w:cs="Arial"/>
          <w:color w:val="000000" w:themeColor="text1"/>
          <w:lang w:val="es-ES_tradnl"/>
        </w:rPr>
      </w:pPr>
      <w:r w:rsidRPr="004F3256">
        <w:rPr>
          <w:rFonts w:ascii="Verdana" w:eastAsia="Calibri" w:hAnsi="Verdana" w:cs="Arial"/>
          <w:bCs/>
          <w:color w:val="000000" w:themeColor="text1"/>
          <w:lang w:eastAsia="es-ES_tradnl" w:bidi="es-ES"/>
        </w:rPr>
        <w:t xml:space="preserve">En relación con las diferencias entre los contratos interadministrativos y los convenios interadministrativos de que trata el artículo 95 de la Ley 489 de 1998, la Sala de Consulta y Servicio Civil del Consejo de Estado expresó lo siguiente: </w:t>
      </w:r>
    </w:p>
    <w:p w14:paraId="7010FCF1" w14:textId="77777777" w:rsidR="00315CDD" w:rsidRPr="004F3256" w:rsidRDefault="00315CDD" w:rsidP="00315CDD">
      <w:pPr>
        <w:spacing w:beforeLines="120" w:before="288" w:afterLines="120" w:after="288" w:line="276" w:lineRule="auto"/>
        <w:ind w:firstLine="709"/>
        <w:contextualSpacing/>
        <w:jc w:val="both"/>
        <w:rPr>
          <w:rFonts w:ascii="Verdana" w:eastAsia="Calibri" w:hAnsi="Verdana" w:cs="Arial"/>
          <w:bCs/>
          <w:color w:val="000000" w:themeColor="text1"/>
          <w:sz w:val="20"/>
          <w:szCs w:val="20"/>
          <w:lang w:eastAsia="es-ES_tradnl" w:bidi="es-ES"/>
        </w:rPr>
      </w:pPr>
    </w:p>
    <w:p w14:paraId="56C4A16F" w14:textId="77777777" w:rsidR="00315CDD" w:rsidRPr="004F3256" w:rsidRDefault="00315CDD" w:rsidP="00315CDD">
      <w:pPr>
        <w:spacing w:after="0" w:line="240" w:lineRule="auto"/>
        <w:ind w:left="709" w:right="709"/>
        <w:contextualSpacing/>
        <w:jc w:val="both"/>
        <w:rPr>
          <w:rFonts w:ascii="Verdana" w:eastAsia="Calibri" w:hAnsi="Verdana" w:cs="Arial"/>
          <w:bCs/>
          <w:color w:val="000000" w:themeColor="text1"/>
          <w:sz w:val="20"/>
          <w:szCs w:val="20"/>
          <w:lang w:eastAsia="es-ES_tradnl" w:bidi="es-ES"/>
        </w:rPr>
      </w:pPr>
      <w:r w:rsidRPr="004F3256">
        <w:rPr>
          <w:rFonts w:ascii="Verdana" w:eastAsia="Calibri" w:hAnsi="Verdana" w:cs="Arial"/>
          <w:bCs/>
          <w:color w:val="000000" w:themeColor="text1"/>
          <w:sz w:val="20"/>
          <w:szCs w:val="20"/>
          <w:lang w:eastAsia="es-ES_tradnl" w:bidi="es-ES"/>
        </w:rPr>
        <w:t>“La noción convenio interadministrativo es diferente a la de contrato interadministrativo. Los contratos interadministrativos se distinguen de los convenios interadministrativos en que en los primeros existe entre las entidades estatales partes intereses opuestos y se persigue una contraprestación o precio por la adquisición de bienes o la prestación de servicios o la realización de una obra, mientras que en los segundos las entidades partes se encuentran en pie de igualdad, tienen intereses comunes para lograr una finalidad estatal impuesta por la Constitución o la ley a las mismas, sin que tengan un interés puramente económico (es decir, destinados a obtener una ganancia)”.</w:t>
      </w:r>
      <w:r w:rsidRPr="004F3256">
        <w:rPr>
          <w:rFonts w:ascii="Verdana" w:eastAsia="Calibri" w:hAnsi="Verdana" w:cs="Arial"/>
          <w:bCs/>
          <w:color w:val="000000" w:themeColor="text1"/>
          <w:sz w:val="20"/>
          <w:szCs w:val="20"/>
          <w:vertAlign w:val="superscript"/>
          <w:lang w:val="es-ES_tradnl" w:eastAsia="es-ES_tradnl" w:bidi="es-ES"/>
        </w:rPr>
        <w:t xml:space="preserve"> </w:t>
      </w:r>
      <w:r w:rsidRPr="004F3256">
        <w:rPr>
          <w:rFonts w:ascii="Verdana" w:eastAsia="Calibri" w:hAnsi="Verdana" w:cs="Arial"/>
          <w:bCs/>
          <w:color w:val="000000" w:themeColor="text1"/>
          <w:sz w:val="20"/>
          <w:szCs w:val="20"/>
          <w:vertAlign w:val="superscript"/>
          <w:lang w:val="es-ES_tradnl" w:eastAsia="es-ES_tradnl" w:bidi="es-ES"/>
        </w:rPr>
        <w:footnoteReference w:id="22"/>
      </w:r>
    </w:p>
    <w:p w14:paraId="50721124" w14:textId="77777777" w:rsidR="00315CDD" w:rsidRPr="004F3256" w:rsidRDefault="00315CDD" w:rsidP="00315CDD">
      <w:pPr>
        <w:spacing w:beforeLines="120" w:before="288" w:afterLines="120" w:after="288" w:line="276" w:lineRule="auto"/>
        <w:ind w:firstLine="708"/>
        <w:contextualSpacing/>
        <w:jc w:val="both"/>
        <w:rPr>
          <w:rFonts w:ascii="Verdana" w:eastAsia="Calibri" w:hAnsi="Verdana" w:cs="Arial"/>
          <w:bCs/>
          <w:color w:val="000000" w:themeColor="text1"/>
          <w:sz w:val="20"/>
          <w:szCs w:val="20"/>
          <w:lang w:eastAsia="es-ES_tradnl" w:bidi="es-ES"/>
        </w:rPr>
      </w:pPr>
    </w:p>
    <w:p w14:paraId="4308688C" w14:textId="77777777" w:rsidR="00315CDD" w:rsidRPr="004F3256" w:rsidRDefault="00315CDD" w:rsidP="00315CDD">
      <w:pPr>
        <w:spacing w:line="276" w:lineRule="auto"/>
        <w:ind w:firstLine="709"/>
        <w:contextualSpacing/>
        <w:jc w:val="both"/>
        <w:rPr>
          <w:rFonts w:ascii="Verdana" w:eastAsia="Calibri" w:hAnsi="Verdana" w:cs="Arial"/>
          <w:bCs/>
          <w:color w:val="000000" w:themeColor="text1"/>
          <w:lang w:eastAsia="es-ES_tradnl" w:bidi="es-ES"/>
        </w:rPr>
      </w:pPr>
      <w:r w:rsidRPr="004F3256">
        <w:rPr>
          <w:rFonts w:ascii="Verdana" w:eastAsia="Calibri" w:hAnsi="Verdana" w:cs="Arial"/>
          <w:bCs/>
          <w:color w:val="000000" w:themeColor="text1"/>
          <w:lang w:eastAsia="es-ES_tradnl" w:bidi="es-ES"/>
        </w:rPr>
        <w:t>En línea con lo anterior, la Sala Contenciosa Administrativa del Consejo de Estado en sentencia del 14 de junio de 2019 también señaló:</w:t>
      </w:r>
    </w:p>
    <w:p w14:paraId="349F8DDD" w14:textId="77777777" w:rsidR="00315CDD" w:rsidRPr="004F3256" w:rsidRDefault="00315CDD" w:rsidP="00315CDD">
      <w:pPr>
        <w:spacing w:beforeLines="120" w:before="288" w:afterLines="120" w:after="288" w:line="276" w:lineRule="auto"/>
        <w:contextualSpacing/>
        <w:rPr>
          <w:rFonts w:ascii="Verdana" w:eastAsia="Calibri" w:hAnsi="Verdana" w:cs="Arial"/>
          <w:bCs/>
          <w:color w:val="000000" w:themeColor="text1"/>
          <w:lang w:eastAsia="es-ES_tradnl" w:bidi="es-ES"/>
        </w:rPr>
      </w:pPr>
    </w:p>
    <w:p w14:paraId="68122A4E" w14:textId="77777777" w:rsidR="00315CDD" w:rsidRPr="004F3256" w:rsidRDefault="00315CDD" w:rsidP="00315CDD">
      <w:pPr>
        <w:spacing w:after="0" w:line="240" w:lineRule="auto"/>
        <w:ind w:left="709" w:right="709"/>
        <w:contextualSpacing/>
        <w:jc w:val="both"/>
        <w:rPr>
          <w:rFonts w:ascii="Verdana" w:eastAsia="Calibri" w:hAnsi="Verdana" w:cs="Arial"/>
          <w:bCs/>
          <w:color w:val="000000" w:themeColor="text1"/>
          <w:sz w:val="20"/>
          <w:szCs w:val="20"/>
          <w:lang w:val="es-ES_tradnl" w:eastAsia="es-ES_tradnl" w:bidi="es-ES"/>
        </w:rPr>
      </w:pPr>
      <w:r w:rsidRPr="004F3256">
        <w:rPr>
          <w:rFonts w:ascii="Verdana" w:eastAsia="Calibri" w:hAnsi="Verdana" w:cs="Arial"/>
          <w:bCs/>
          <w:color w:val="000000" w:themeColor="text1"/>
          <w:sz w:val="20"/>
          <w:szCs w:val="20"/>
          <w:lang w:val="es-ES_tradnl" w:eastAsia="es-ES_tradnl" w:bidi="es-ES"/>
        </w:rPr>
        <w:t>“La Sala de Consulta y Servicio Civil</w:t>
      </w:r>
      <w:r w:rsidRPr="004F3256">
        <w:rPr>
          <w:rFonts w:ascii="Verdana" w:eastAsia="Calibri" w:hAnsi="Verdana" w:cs="Arial"/>
          <w:bCs/>
          <w:color w:val="000000" w:themeColor="text1"/>
          <w:sz w:val="20"/>
          <w:szCs w:val="20"/>
          <w:vertAlign w:val="superscript"/>
          <w:lang w:val="es-ES_tradnl" w:eastAsia="es-ES_tradnl" w:bidi="es-ES"/>
        </w:rPr>
        <w:footnoteReference w:id="23"/>
      </w:r>
      <w:r w:rsidRPr="004F3256">
        <w:rPr>
          <w:rFonts w:ascii="Verdana" w:eastAsia="Calibri" w:hAnsi="Verdana" w:cs="Arial"/>
          <w:bCs/>
          <w:color w:val="000000" w:themeColor="text1"/>
          <w:sz w:val="20"/>
          <w:szCs w:val="20"/>
          <w:lang w:val="es-ES_tradnl" w:eastAsia="es-ES_tradnl" w:bidi="es-ES"/>
        </w:rPr>
        <w:t xml:space="preserve"> de esta Corporación se ha referido a los </w:t>
      </w:r>
      <w:r w:rsidRPr="004F3256">
        <w:rPr>
          <w:rFonts w:ascii="Verdana" w:eastAsia="Calibri" w:hAnsi="Verdana" w:cs="Arial"/>
          <w:bCs/>
          <w:i/>
          <w:color w:val="000000" w:themeColor="text1"/>
          <w:sz w:val="20"/>
          <w:szCs w:val="20"/>
          <w:lang w:val="es-ES_tradnl" w:eastAsia="es-ES_tradnl" w:bidi="es-ES"/>
        </w:rPr>
        <w:t>“convenios interadministrativos”</w:t>
      </w:r>
      <w:r w:rsidRPr="004F3256">
        <w:rPr>
          <w:rFonts w:ascii="Verdana" w:eastAsia="Calibri" w:hAnsi="Verdana" w:cs="Arial"/>
          <w:bCs/>
          <w:color w:val="000000" w:themeColor="text1"/>
          <w:sz w:val="20"/>
          <w:szCs w:val="20"/>
          <w:lang w:val="es-ES_tradnl" w:eastAsia="es-ES_tradnl" w:bidi="es-ES"/>
        </w:rPr>
        <w:t xml:space="preserve"> a los cuales alude el artículo 95 de la Ley 489 de 1998, calificándolos de </w:t>
      </w:r>
      <w:r w:rsidRPr="004F3256">
        <w:rPr>
          <w:rFonts w:ascii="Verdana" w:eastAsia="Calibri" w:hAnsi="Verdana" w:cs="Arial"/>
          <w:bCs/>
          <w:i/>
          <w:color w:val="000000" w:themeColor="text1"/>
          <w:sz w:val="20"/>
          <w:szCs w:val="20"/>
          <w:lang w:val="es-ES_tradnl" w:eastAsia="es-ES_tradnl" w:bidi="es-ES"/>
        </w:rPr>
        <w:t xml:space="preserve">“puros” </w:t>
      </w:r>
      <w:r w:rsidRPr="004F3256">
        <w:rPr>
          <w:rFonts w:ascii="Verdana" w:eastAsia="Calibri" w:hAnsi="Verdana" w:cs="Arial"/>
          <w:bCs/>
          <w:color w:val="000000" w:themeColor="text1"/>
          <w:sz w:val="20"/>
          <w:szCs w:val="20"/>
          <w:lang w:val="es-ES_tradnl" w:eastAsia="es-ES_tradnl" w:bidi="es-ES"/>
        </w:rPr>
        <w:t xml:space="preserve">y entendiendo que estos, además de perseguir la finalidad de cooperación antes indicada, no implican intereses contrapuestos ni tampoco se circunscriben a un </w:t>
      </w:r>
      <w:r w:rsidRPr="004F3256">
        <w:rPr>
          <w:rFonts w:ascii="Verdana" w:eastAsia="Calibri" w:hAnsi="Verdana" w:cs="Arial"/>
          <w:bCs/>
          <w:i/>
          <w:color w:val="000000" w:themeColor="text1"/>
          <w:sz w:val="20"/>
          <w:szCs w:val="20"/>
          <w:lang w:val="es-ES_tradnl" w:eastAsia="es-ES_tradnl" w:bidi="es-ES"/>
        </w:rPr>
        <w:t>“intercambio patrimonial”</w:t>
      </w:r>
      <w:r w:rsidRPr="004F3256">
        <w:rPr>
          <w:rFonts w:ascii="Verdana" w:eastAsia="Calibri" w:hAnsi="Verdana" w:cs="Arial"/>
          <w:bCs/>
          <w:color w:val="000000" w:themeColor="text1"/>
          <w:sz w:val="20"/>
          <w:szCs w:val="20"/>
          <w:lang w:val="es-ES_tradnl" w:eastAsia="es-ES_tradnl" w:bidi="es-ES"/>
        </w:rPr>
        <w:t>. Sin perjuicio de lo anterior, en otra oportunidad, la misma Sala</w:t>
      </w:r>
      <w:r w:rsidRPr="004F3256">
        <w:rPr>
          <w:rFonts w:ascii="Verdana" w:eastAsia="Calibri" w:hAnsi="Verdana" w:cs="Arial"/>
          <w:bCs/>
          <w:color w:val="000000" w:themeColor="text1"/>
          <w:sz w:val="20"/>
          <w:szCs w:val="20"/>
          <w:vertAlign w:val="superscript"/>
          <w:lang w:val="es-ES_tradnl" w:eastAsia="es-ES_tradnl" w:bidi="es-ES"/>
        </w:rPr>
        <w:footnoteReference w:id="24"/>
      </w:r>
      <w:r w:rsidRPr="004F3256">
        <w:rPr>
          <w:rFonts w:ascii="Verdana" w:eastAsia="Calibri" w:hAnsi="Verdana" w:cs="Arial"/>
          <w:bCs/>
          <w:color w:val="000000" w:themeColor="text1"/>
          <w:sz w:val="20"/>
          <w:szCs w:val="20"/>
          <w:lang w:val="es-ES_tradnl" w:eastAsia="es-ES_tradnl" w:bidi="es-ES"/>
        </w:rPr>
        <w:t xml:space="preserve"> había indicado que, si bien en dichos </w:t>
      </w:r>
      <w:r w:rsidRPr="004F3256">
        <w:rPr>
          <w:rFonts w:ascii="Verdana" w:eastAsia="Calibri" w:hAnsi="Verdana" w:cs="Arial"/>
          <w:bCs/>
          <w:color w:val="000000" w:themeColor="text1"/>
          <w:sz w:val="20"/>
          <w:szCs w:val="20"/>
          <w:lang w:val="es-ES_tradnl" w:eastAsia="es-ES_tradnl" w:bidi="es-ES"/>
        </w:rPr>
        <w:lastRenderedPageBreak/>
        <w:t xml:space="preserve">convenios no se daba un </w:t>
      </w:r>
      <w:r w:rsidRPr="004F3256">
        <w:rPr>
          <w:rFonts w:ascii="Verdana" w:eastAsia="Calibri" w:hAnsi="Verdana" w:cs="Arial"/>
          <w:bCs/>
          <w:i/>
          <w:color w:val="000000" w:themeColor="text1"/>
          <w:sz w:val="20"/>
          <w:szCs w:val="20"/>
          <w:lang w:val="es-ES_tradnl" w:eastAsia="es-ES_tradnl" w:bidi="es-ES"/>
        </w:rPr>
        <w:t>“verdadero intercambio de bienes o servicios (contrato conmutativo)”</w:t>
      </w:r>
      <w:r w:rsidRPr="004F3256">
        <w:rPr>
          <w:rFonts w:ascii="Verdana" w:eastAsia="Calibri" w:hAnsi="Verdana" w:cs="Arial"/>
          <w:bCs/>
          <w:color w:val="000000" w:themeColor="text1"/>
          <w:sz w:val="20"/>
          <w:szCs w:val="20"/>
          <w:lang w:val="es-ES_tradnl" w:eastAsia="es-ES_tradnl" w:bidi="es-ES"/>
        </w:rPr>
        <w:t>, ello no impedía que se conviniera una remuneración a cargo de alguna(s) entidad(es).</w:t>
      </w:r>
    </w:p>
    <w:p w14:paraId="1BEDD611" w14:textId="77777777" w:rsidR="00315CDD" w:rsidRPr="004F3256" w:rsidRDefault="00315CDD" w:rsidP="00315CDD">
      <w:pPr>
        <w:spacing w:beforeLines="120" w:before="288" w:afterLines="120" w:after="288" w:line="276" w:lineRule="auto"/>
        <w:ind w:left="708" w:right="709" w:firstLine="708"/>
        <w:contextualSpacing/>
        <w:jc w:val="both"/>
        <w:rPr>
          <w:rFonts w:ascii="Verdana" w:eastAsia="Calibri" w:hAnsi="Verdana" w:cs="Arial"/>
          <w:bCs/>
          <w:color w:val="000000" w:themeColor="text1"/>
          <w:sz w:val="20"/>
          <w:szCs w:val="20"/>
          <w:lang w:val="es-ES_tradnl" w:eastAsia="es-ES_tradnl" w:bidi="es-ES"/>
        </w:rPr>
      </w:pPr>
    </w:p>
    <w:p w14:paraId="0E3A1AF4" w14:textId="77777777" w:rsidR="00315CDD" w:rsidRPr="004F3256" w:rsidRDefault="00315CDD" w:rsidP="00315CDD">
      <w:pPr>
        <w:spacing w:beforeLines="120" w:before="288" w:afterLines="120" w:after="288" w:line="240" w:lineRule="auto"/>
        <w:ind w:left="708" w:right="709"/>
        <w:contextualSpacing/>
        <w:jc w:val="both"/>
        <w:rPr>
          <w:rFonts w:ascii="Verdana" w:eastAsia="Calibri" w:hAnsi="Verdana" w:cs="Arial"/>
          <w:bCs/>
          <w:color w:val="000000" w:themeColor="text1"/>
          <w:sz w:val="20"/>
          <w:szCs w:val="20"/>
          <w:lang w:eastAsia="es-ES_tradnl" w:bidi="es-ES"/>
        </w:rPr>
      </w:pPr>
      <w:r w:rsidRPr="004F3256">
        <w:rPr>
          <w:rFonts w:ascii="Verdana" w:eastAsia="Calibri" w:hAnsi="Verdana" w:cs="Arial"/>
          <w:bCs/>
          <w:color w:val="000000" w:themeColor="text1"/>
          <w:sz w:val="20"/>
          <w:szCs w:val="20"/>
          <w:lang w:val="es-ES_tradnl" w:eastAsia="es-ES_tradnl" w:bidi="es-ES"/>
        </w:rPr>
        <w:t xml:space="preserve">Lo expuesto evidencia que, en general, las interpretaciones en torno a los </w:t>
      </w:r>
      <w:r w:rsidRPr="004F3256">
        <w:rPr>
          <w:rFonts w:ascii="Verdana" w:eastAsia="Calibri" w:hAnsi="Verdana" w:cs="Arial"/>
          <w:bCs/>
          <w:i/>
          <w:color w:val="000000" w:themeColor="text1"/>
          <w:sz w:val="20"/>
          <w:szCs w:val="20"/>
          <w:lang w:val="es-ES_tradnl" w:eastAsia="es-ES_tradnl" w:bidi="es-ES"/>
        </w:rPr>
        <w:t>“convenios interadministrativos”</w:t>
      </w:r>
      <w:r w:rsidRPr="004F3256">
        <w:rPr>
          <w:rFonts w:ascii="Verdana" w:eastAsia="Calibri" w:hAnsi="Verdana" w:cs="Arial"/>
          <w:bCs/>
          <w:color w:val="000000" w:themeColor="text1"/>
          <w:sz w:val="20"/>
          <w:szCs w:val="20"/>
          <w:lang w:val="es-ES_tradnl" w:eastAsia="es-ES_tradnl" w:bidi="es-ES"/>
        </w:rPr>
        <w:t xml:space="preserve"> previstos en el artículo 95 de la Ley 489 de 1998, en el propósito de encasillarlos dentro de una categoría normativa delimitada en su estructura, elementos y régimen jurídico, han sido dubitativas al vincular o no las obligaciones propias de dichos convenios con las de los contratos estatales sometidos al EGCAP, las cuales tienen por objeto prestaciones patrimoniales”</w:t>
      </w:r>
      <w:r w:rsidRPr="004F3256">
        <w:rPr>
          <w:rFonts w:ascii="Verdana" w:eastAsia="Calibri" w:hAnsi="Verdana" w:cs="Arial"/>
          <w:bCs/>
          <w:color w:val="000000" w:themeColor="text1"/>
          <w:sz w:val="20"/>
          <w:szCs w:val="20"/>
          <w:vertAlign w:val="superscript"/>
          <w:lang w:val="es-ES_tradnl" w:eastAsia="es-ES_tradnl" w:bidi="es-ES"/>
        </w:rPr>
        <w:footnoteReference w:id="25"/>
      </w:r>
      <w:r w:rsidRPr="004F3256">
        <w:rPr>
          <w:rFonts w:ascii="Verdana" w:eastAsia="Calibri" w:hAnsi="Verdana" w:cs="Arial"/>
          <w:bCs/>
          <w:color w:val="000000" w:themeColor="text1"/>
          <w:sz w:val="20"/>
          <w:szCs w:val="20"/>
          <w:lang w:val="es-ES_tradnl" w:eastAsia="es-ES_tradnl" w:bidi="es-ES"/>
        </w:rPr>
        <w:t>.</w:t>
      </w:r>
      <w:r w:rsidRPr="004F3256">
        <w:rPr>
          <w:rFonts w:ascii="Verdana" w:eastAsia="Calibri" w:hAnsi="Verdana" w:cs="Arial"/>
          <w:bCs/>
          <w:color w:val="000000" w:themeColor="text1"/>
          <w:sz w:val="20"/>
          <w:szCs w:val="20"/>
          <w:vertAlign w:val="superscript"/>
          <w:lang w:eastAsia="es-ES_tradnl" w:bidi="es-ES"/>
        </w:rPr>
        <w:footnoteReference w:id="26"/>
      </w:r>
      <w:r w:rsidRPr="004F3256">
        <w:rPr>
          <w:rFonts w:ascii="Verdana" w:eastAsia="Calibri" w:hAnsi="Verdana" w:cs="Arial"/>
          <w:bCs/>
          <w:color w:val="000000" w:themeColor="text1"/>
          <w:sz w:val="20"/>
          <w:szCs w:val="20"/>
          <w:lang w:val="es-ES_tradnl" w:eastAsia="es-ES_tradnl" w:bidi="es-ES"/>
        </w:rPr>
        <w:t xml:space="preserve"> </w:t>
      </w:r>
    </w:p>
    <w:p w14:paraId="6628AEC5" w14:textId="77777777" w:rsidR="00315CDD" w:rsidRPr="004F3256" w:rsidRDefault="00315CDD" w:rsidP="00315CDD">
      <w:pPr>
        <w:snapToGrid w:val="0"/>
        <w:spacing w:after="0" w:line="276" w:lineRule="auto"/>
        <w:ind w:firstLine="709"/>
        <w:jc w:val="both"/>
        <w:rPr>
          <w:rFonts w:ascii="Verdana" w:eastAsia="Calibri" w:hAnsi="Verdana" w:cs="Arial"/>
          <w:bCs/>
          <w:color w:val="000000" w:themeColor="text1"/>
          <w:lang w:eastAsia="es-ES_tradnl" w:bidi="es-ES"/>
        </w:rPr>
      </w:pPr>
    </w:p>
    <w:p w14:paraId="41C5BB3F" w14:textId="77777777" w:rsidR="00315CDD" w:rsidRPr="004F3256" w:rsidRDefault="00315CDD" w:rsidP="00315CDD">
      <w:pPr>
        <w:snapToGrid w:val="0"/>
        <w:spacing w:after="120" w:line="276" w:lineRule="auto"/>
        <w:ind w:firstLine="709"/>
        <w:jc w:val="both"/>
        <w:rPr>
          <w:rFonts w:ascii="Verdana" w:eastAsia="Calibri" w:hAnsi="Verdana" w:cs="Arial"/>
          <w:bCs/>
          <w:color w:val="000000" w:themeColor="text1"/>
          <w:lang w:eastAsia="es-ES_tradnl" w:bidi="es-ES"/>
        </w:rPr>
      </w:pPr>
      <w:r w:rsidRPr="004F3256">
        <w:rPr>
          <w:rFonts w:ascii="Verdana" w:eastAsia="Calibri" w:hAnsi="Verdana" w:cs="Arial"/>
          <w:bCs/>
          <w:color w:val="000000" w:themeColor="text1"/>
          <w:lang w:eastAsia="es-ES_tradnl" w:bidi="es-ES"/>
        </w:rPr>
        <w:t xml:space="preserve">En esta ocasión la referida corporación judicial resaltó la finalidad del acuerdo de voluntades como un factor de diferenciación entre las dos figuras. Si bien estas tienen un tronco común, se diferencian en su naturaleza y finalidad en la medida en que los contratos estatales –en general– comportan obligaciones de contenido patrimonial que se traducen en intereses contrapuestos entre las partes pues implican un gravamen a cambio de un beneficio en una relación de carácter conmutativo, mientras que los convenios interadministrativos involucran la ejecución de actividades en función de un interés común para las partes; en esencia se pretende el cumplimiento de fines coincidentes entre quienes lo ejecutan. </w:t>
      </w:r>
    </w:p>
    <w:p w14:paraId="59AD2724" w14:textId="77777777" w:rsidR="00315CDD" w:rsidRPr="004F3256" w:rsidRDefault="00315CDD" w:rsidP="00315CDD">
      <w:pPr>
        <w:snapToGrid w:val="0"/>
        <w:spacing w:after="120" w:line="276" w:lineRule="auto"/>
        <w:ind w:firstLine="709"/>
        <w:jc w:val="both"/>
        <w:rPr>
          <w:rFonts w:ascii="Verdana" w:eastAsia="Calibri" w:hAnsi="Verdana" w:cs="Arial"/>
          <w:bCs/>
          <w:color w:val="000000" w:themeColor="text1"/>
          <w:lang w:eastAsia="es-ES_tradnl" w:bidi="es-ES"/>
        </w:rPr>
      </w:pPr>
      <w:r w:rsidRPr="004F3256">
        <w:rPr>
          <w:rFonts w:ascii="Verdana" w:eastAsia="Calibri" w:hAnsi="Verdana" w:cs="Arial"/>
          <w:bCs/>
          <w:color w:val="000000" w:themeColor="text1"/>
          <w:lang w:eastAsia="es-ES_tradnl" w:bidi="es-ES"/>
        </w:rPr>
        <w:t xml:space="preserve">Mientras que en el contrato interadministrativo las finalidades de las partes divergen, en el convenio convergen y cooperan en función del cumplimiento eficiente de un propósito estatal común superior. En esa línea, una </w:t>
      </w:r>
      <w:r w:rsidRPr="004F3256">
        <w:rPr>
          <w:rFonts w:ascii="Verdana" w:eastAsia="Calibri" w:hAnsi="Verdana" w:cs="Arial"/>
          <w:bCs/>
          <w:color w:val="000000" w:themeColor="text1"/>
          <w:lang w:eastAsia="es-ES_tradnl" w:bidi="es-ES"/>
        </w:rPr>
        <w:lastRenderedPageBreak/>
        <w:t>interpretación sistemática de las leyes 80 de 1993, 1150 de 2007 y 1474 de 2011 invitaría a considerar el contrato interadministrativo como una relación jurídica patrimonial, onerosa y conmutativa, en la que existen unas exigencias y restricciones normativas adicionales, de manera que, en efecto, dista de la naturaleza y esencia del convenio interadministrativo.</w:t>
      </w:r>
    </w:p>
    <w:p w14:paraId="62C38650" w14:textId="77777777" w:rsidR="00315CDD" w:rsidRPr="004F3256" w:rsidRDefault="00315CDD" w:rsidP="00315CDD">
      <w:pPr>
        <w:snapToGrid w:val="0"/>
        <w:spacing w:after="120" w:line="276" w:lineRule="auto"/>
        <w:ind w:firstLine="709"/>
        <w:jc w:val="both"/>
        <w:rPr>
          <w:rFonts w:ascii="Verdana" w:eastAsia="Calibri" w:hAnsi="Verdana" w:cs="Arial"/>
          <w:bCs/>
          <w:color w:val="000000" w:themeColor="text1"/>
          <w:lang w:eastAsia="es-ES_tradnl" w:bidi="es-ES"/>
        </w:rPr>
      </w:pPr>
      <w:r w:rsidRPr="004F3256">
        <w:rPr>
          <w:rFonts w:ascii="Verdana" w:eastAsia="Times New Roman" w:hAnsi="Verdana" w:cs="Arial"/>
          <w:lang w:val="es-ES" w:eastAsia="es-ES_tradnl"/>
        </w:rPr>
        <w:t xml:space="preserve">Visto lo anterior, de conformidad con lo previsto en el artículo 95 de la Ley 489 de 1998 y el alcance que la jurisprudencia y conceptos del Consejo de Estado  y la doctrina le han conferido al tema de la regulación de los contratos y convenios interadministrativos, esta última tipología presenta las siguientes características: </w:t>
      </w:r>
      <w:r w:rsidRPr="004F3256">
        <w:rPr>
          <w:rFonts w:ascii="Verdana" w:eastAsia="Times New Roman" w:hAnsi="Verdana" w:cs="Arial"/>
          <w:i/>
          <w:iCs/>
          <w:lang w:val="es-ES" w:eastAsia="es-ES_tradnl"/>
        </w:rPr>
        <w:t>(i)</w:t>
      </w:r>
      <w:r w:rsidRPr="004F3256">
        <w:rPr>
          <w:rFonts w:ascii="Verdana" w:eastAsia="Times New Roman" w:hAnsi="Verdana" w:cs="Arial"/>
          <w:lang w:val="es-ES" w:eastAsia="es-ES_tradnl"/>
        </w:rPr>
        <w:t xml:space="preserve"> se celebra entre dos entidades públicas que se encuentran en pie de igualdad con el objeto de cumplir competencias de ambas entidades dirigidas a un propósito común; </w:t>
      </w:r>
      <w:r w:rsidRPr="004F3256">
        <w:rPr>
          <w:rFonts w:ascii="Verdana" w:eastAsia="Times New Roman" w:hAnsi="Verdana" w:cs="Arial"/>
          <w:i/>
          <w:iCs/>
          <w:lang w:val="es-ES" w:eastAsia="es-ES_tradnl"/>
        </w:rPr>
        <w:t>(ii)</w:t>
      </w:r>
      <w:r w:rsidRPr="004F3256">
        <w:rPr>
          <w:rFonts w:ascii="Verdana" w:eastAsia="Times New Roman" w:hAnsi="Verdana" w:cs="Arial"/>
          <w:lang w:val="es-ES" w:eastAsia="es-ES_tradnl"/>
        </w:rPr>
        <w:t xml:space="preserve"> la modalidad para su celebración es la contratación directa; </w:t>
      </w:r>
      <w:r w:rsidRPr="004F3256">
        <w:rPr>
          <w:rFonts w:ascii="Verdana" w:eastAsia="Times New Roman" w:hAnsi="Verdana" w:cs="Arial"/>
          <w:i/>
          <w:iCs/>
          <w:lang w:val="es-ES" w:eastAsia="es-ES_tradnl"/>
        </w:rPr>
        <w:t>(iii)</w:t>
      </w:r>
      <w:r w:rsidRPr="004F3256">
        <w:rPr>
          <w:rFonts w:ascii="Verdana" w:eastAsia="Times New Roman" w:hAnsi="Verdana" w:cs="Arial"/>
          <w:lang w:val="es-ES" w:eastAsia="es-ES_tradnl"/>
        </w:rPr>
        <w:t xml:space="preserve"> los convenios interadministrativos pueden suponer el compromiso de recursos públicos y, por consiguiente, la realización de aportes financieros. Ello, sin embargo, no supone la posibilidad de que en este tipo de relaciones jurídicas exista una remuneración en favor de uno de los co-contratantes y a cargo de otro u otros.</w:t>
      </w:r>
    </w:p>
    <w:p w14:paraId="02049D08" w14:textId="77777777" w:rsidR="00315CDD" w:rsidRPr="004F3256" w:rsidRDefault="00315CDD" w:rsidP="00315CDD">
      <w:pPr>
        <w:snapToGrid w:val="0"/>
        <w:spacing w:after="120" w:line="276" w:lineRule="auto"/>
        <w:ind w:firstLine="709"/>
        <w:jc w:val="both"/>
        <w:rPr>
          <w:rFonts w:ascii="Verdana" w:eastAsia="Calibri" w:hAnsi="Verdana" w:cs="Arial"/>
          <w:bCs/>
          <w:color w:val="000000" w:themeColor="text1"/>
          <w:lang w:eastAsia="es-ES_tradnl" w:bidi="es-ES"/>
        </w:rPr>
      </w:pPr>
      <w:r w:rsidRPr="004F3256">
        <w:rPr>
          <w:rFonts w:ascii="Verdana" w:eastAsia="Calibri" w:hAnsi="Verdana" w:cs="Arial"/>
          <w:bCs/>
          <w:color w:val="000000" w:themeColor="text1"/>
          <w:lang w:eastAsia="es-ES_tradnl" w:bidi="es-ES"/>
        </w:rPr>
        <w:t xml:space="preserve">En suma, el convenio interadministrativo es un negocio jurídico en el cual están presentes dos entidades públicas y cuyo objeto es coordinar, cooperar, colaborar o distribuir competencias en la realización de funciones administrativas de interés común y, por tanto, tienen intereses convergentes o coincidentes, sin que se reciba por alguna de ellas el pago de un precio o contraprestación; en tanto que el contrato interadministrativo, aunque es celebrado también entre dos  entidades públicas, es un negocio jurídico generador de obligaciones al cual acuden estas con diversidad de intereses y en ellos existe una contraprestación directa a favor de la entidad contratista que ha entregado el bien o prestado el servicio o realizado la obra a favor de la entidad contratante. </w:t>
      </w:r>
    </w:p>
    <w:p w14:paraId="0608F9F3" w14:textId="77777777" w:rsidR="00315CDD" w:rsidRPr="004F3256" w:rsidRDefault="00315CDD" w:rsidP="00315CDD">
      <w:pPr>
        <w:snapToGrid w:val="0"/>
        <w:spacing w:after="120" w:line="276" w:lineRule="auto"/>
        <w:ind w:firstLine="709"/>
        <w:jc w:val="both"/>
        <w:rPr>
          <w:rFonts w:ascii="Verdana" w:eastAsia="Calibri" w:hAnsi="Verdana" w:cs="Arial"/>
          <w:bCs/>
          <w:color w:val="000000" w:themeColor="text1"/>
          <w:lang w:eastAsia="es-ES_tradnl" w:bidi="es-ES"/>
        </w:rPr>
      </w:pPr>
      <w:r w:rsidRPr="004F3256">
        <w:rPr>
          <w:rFonts w:ascii="Verdana" w:eastAsia="Calibri" w:hAnsi="Verdana" w:cs="Arial"/>
          <w:bCs/>
          <w:color w:val="000000" w:themeColor="text1"/>
          <w:lang w:eastAsia="es-ES_tradnl" w:bidi="es-ES"/>
        </w:rPr>
        <w:t xml:space="preserve">Bajo estas consideraciones, </w:t>
      </w:r>
      <w:r w:rsidRPr="004F3256">
        <w:rPr>
          <w:rFonts w:ascii="Verdana" w:eastAsia="Calibri" w:hAnsi="Verdana" w:cs="Arial"/>
          <w:color w:val="000000" w:themeColor="text1"/>
          <w:lang w:val="es-ES"/>
        </w:rPr>
        <w:t>puede afirmarse</w:t>
      </w:r>
      <w:r w:rsidRPr="004F3256">
        <w:rPr>
          <w:rFonts w:ascii="Verdana" w:eastAsia="Calibri" w:hAnsi="Verdana" w:cs="Arial"/>
          <w:bCs/>
          <w:color w:val="000000" w:themeColor="text1"/>
          <w:lang w:eastAsia="es-ES_tradnl" w:bidi="es-ES"/>
        </w:rPr>
        <w:t xml:space="preserve"> </w:t>
      </w:r>
      <w:r w:rsidRPr="004F3256">
        <w:rPr>
          <w:rFonts w:ascii="Verdana" w:eastAsia="Times New Roman" w:hAnsi="Verdana" w:cs="Arial"/>
          <w:lang w:val="es-ES" w:eastAsia="es-ES_tradnl"/>
        </w:rPr>
        <w:t xml:space="preserve">que los convenios interadministrativos no pueden ser sinalagmáticos, debido a que en ellos no se involucran intereses contrapuestos, sino un interés común. Esto implica que, en los eventos en que su celebración comporte el compromiso y la ejecución de recursos públicos, el valor de estos no puede destinarse al pago o remuneración </w:t>
      </w:r>
      <w:r w:rsidRPr="004F3256">
        <w:rPr>
          <w:rFonts w:ascii="Verdana" w:eastAsia="Times New Roman" w:hAnsi="Verdana" w:cs="Arial"/>
          <w:lang w:val="es-ES" w:eastAsia="es-ES_tradnl"/>
        </w:rPr>
        <w:lastRenderedPageBreak/>
        <w:t xml:space="preserve">de ninguna de las partes, sino que debe corresponder necesariamente a la asunción de costos y gastos para cumplir las funciones de la respectiva entidad, así como para atender los compromisos adquiridos para con la otra, pues las entidades cooperan entre sí, no se prestan servicios ni se ofrecen bienes a cambio de una remuneración y, por esa razón, los recursos comprometidos a través de los convenios interadministrativos no constituyen un pago, sino un aporte para lograr el cometido común. </w:t>
      </w:r>
    </w:p>
    <w:p w14:paraId="2169A20B" w14:textId="77777777" w:rsidR="00315CDD" w:rsidRPr="004F3256" w:rsidRDefault="00315CDD" w:rsidP="00315CDD">
      <w:pPr>
        <w:spacing w:after="120" w:line="276" w:lineRule="auto"/>
        <w:ind w:firstLine="709"/>
        <w:jc w:val="both"/>
        <w:rPr>
          <w:rFonts w:ascii="Verdana" w:eastAsia="Times New Roman" w:hAnsi="Verdana" w:cs="Arial"/>
          <w:szCs w:val="24"/>
          <w:lang w:eastAsia="es-ES_tradnl"/>
        </w:rPr>
      </w:pPr>
      <w:r w:rsidRPr="004F3256">
        <w:rPr>
          <w:rFonts w:ascii="Verdana" w:eastAsia="Times New Roman" w:hAnsi="Verdana" w:cs="Arial"/>
          <w:szCs w:val="24"/>
          <w:lang w:eastAsia="es-ES_tradnl"/>
        </w:rPr>
        <w:t>Así, tal y como se ha expuesto en líneas anteriores, en atención a su naturaleza particular, a los convenios interadministrativos no les subyace un interés puramente económico, en tanto no se celebran para obtener una ganancia, sino con el propósito de ejecutar actividades que contribuyen directamente al fin común de los sujetos vinculados al convenio. De hecho, las partes presentan intereses convergentes, coincidentes o comunes y cooperan en procura de alcanzar en forma eficaz el cometido estatal previsto en la Constitución o en la ley, sin que por esto se reciba por ninguna de ellas el pago de un precio o contraprestación.</w:t>
      </w:r>
      <w:r w:rsidRPr="004F3256">
        <w:rPr>
          <w:rFonts w:ascii="Verdana" w:eastAsia="Times New Roman" w:hAnsi="Verdana" w:cs="Arial"/>
          <w:lang w:val="es-ES" w:eastAsia="es-ES_tradnl"/>
        </w:rPr>
        <w:t xml:space="preserve"> </w:t>
      </w:r>
    </w:p>
    <w:p w14:paraId="6C7A4465" w14:textId="77777777" w:rsidR="00315CDD" w:rsidRPr="004F3256" w:rsidRDefault="00315CDD" w:rsidP="00315CDD">
      <w:pPr>
        <w:spacing w:after="120" w:line="276" w:lineRule="auto"/>
        <w:ind w:firstLine="709"/>
        <w:jc w:val="both"/>
        <w:rPr>
          <w:rFonts w:ascii="Verdana" w:eastAsia="Times New Roman" w:hAnsi="Verdana" w:cs="Arial"/>
          <w:lang w:eastAsia="es-ES_tradnl"/>
        </w:rPr>
      </w:pPr>
      <w:r w:rsidRPr="004F3256">
        <w:rPr>
          <w:rFonts w:ascii="Verdana" w:eastAsia="Times New Roman" w:hAnsi="Verdana" w:cs="Arial"/>
          <w:szCs w:val="24"/>
          <w:lang w:eastAsia="es-ES_tradnl"/>
        </w:rPr>
        <w:t xml:space="preserve">En la práctica, en los convenios interadministrativos que las entidades celebran no suele pactarse un precio o remuneración, lo que no significa que, para la ejecución de sus compromisos, no puedan </w:t>
      </w:r>
      <w:r w:rsidRPr="004F3256">
        <w:rPr>
          <w:rFonts w:ascii="Verdana" w:eastAsia="Times New Roman" w:hAnsi="Verdana" w:cs="Arial"/>
          <w:lang w:eastAsia="es-ES_tradnl"/>
        </w:rPr>
        <w:t>afectar sus respectivos presupuestos y ejecutar recursos públicos. Recuérdese que ese contenido económico, incluso, puede estar presente de forma implícita en el caso de las obligaciones de hacer</w:t>
      </w:r>
      <w:r w:rsidRPr="004F3256">
        <w:rPr>
          <w:rFonts w:ascii="Verdana" w:eastAsia="Calibri" w:hAnsi="Verdana" w:cs="Arial"/>
          <w:vertAlign w:val="superscript"/>
          <w:lang w:val="es-ES_tradnl"/>
        </w:rPr>
        <w:footnoteReference w:id="27"/>
      </w:r>
      <w:r w:rsidRPr="004F3256">
        <w:rPr>
          <w:rFonts w:ascii="Verdana" w:eastAsia="Times New Roman" w:hAnsi="Verdana" w:cs="Arial"/>
          <w:lang w:eastAsia="es-ES_tradnl"/>
        </w:rPr>
        <w:t xml:space="preserve">. </w:t>
      </w:r>
    </w:p>
    <w:p w14:paraId="299EC16E" w14:textId="77777777" w:rsidR="00315CDD" w:rsidRPr="004F3256" w:rsidRDefault="00315CDD" w:rsidP="00315CDD">
      <w:pPr>
        <w:spacing w:after="120" w:line="276" w:lineRule="auto"/>
        <w:ind w:firstLine="709"/>
        <w:jc w:val="both"/>
        <w:rPr>
          <w:rFonts w:ascii="Verdana" w:eastAsia="Times New Roman" w:hAnsi="Verdana" w:cs="Arial"/>
          <w:lang w:eastAsia="es-ES_tradnl"/>
        </w:rPr>
      </w:pPr>
      <w:r w:rsidRPr="004F3256">
        <w:rPr>
          <w:rFonts w:ascii="Verdana" w:eastAsia="Times New Roman" w:hAnsi="Verdana" w:cs="Arial"/>
          <w:lang w:eastAsia="es-ES_tradnl"/>
        </w:rPr>
        <w:t xml:space="preserve">Sobre este aspecto, la Sala de Consulta y Servicio Civil del Consejo de Estado, resaltó la posibilidad de asunción de aportes económicos en el marco de un convenio interadministrativo, en el cual se pueden determinar costos y gastos para el cumplimiento de sus objetivos: </w:t>
      </w:r>
    </w:p>
    <w:p w14:paraId="4A6F5607" w14:textId="77777777" w:rsidR="00315CDD" w:rsidRPr="004F3256" w:rsidRDefault="00315CDD" w:rsidP="00315CDD">
      <w:pPr>
        <w:spacing w:after="0" w:line="276" w:lineRule="auto"/>
        <w:ind w:firstLine="709"/>
        <w:jc w:val="both"/>
        <w:rPr>
          <w:rFonts w:ascii="Verdana" w:eastAsia="Times New Roman" w:hAnsi="Verdana" w:cs="Arial"/>
          <w:lang w:eastAsia="es-ES_tradnl"/>
        </w:rPr>
      </w:pPr>
    </w:p>
    <w:p w14:paraId="2C4425CF" w14:textId="77777777" w:rsidR="00315CDD" w:rsidRPr="004F3256" w:rsidRDefault="00315CDD" w:rsidP="00315CDD">
      <w:pPr>
        <w:spacing w:after="0" w:line="240" w:lineRule="auto"/>
        <w:ind w:left="709" w:right="714"/>
        <w:jc w:val="both"/>
        <w:rPr>
          <w:rFonts w:ascii="Verdana" w:eastAsia="Calibri" w:hAnsi="Verdana" w:cs="Arial"/>
          <w:bCs/>
          <w:iCs/>
          <w:sz w:val="20"/>
          <w:szCs w:val="20"/>
        </w:rPr>
      </w:pPr>
      <w:r w:rsidRPr="004F3256">
        <w:rPr>
          <w:rFonts w:ascii="Verdana" w:eastAsia="Calibri" w:hAnsi="Verdana" w:cs="Arial"/>
          <w:iCs/>
          <w:sz w:val="20"/>
          <w:szCs w:val="20"/>
        </w:rPr>
        <w:t>“</w:t>
      </w:r>
      <w:r w:rsidRPr="004F3256">
        <w:rPr>
          <w:rFonts w:ascii="Verdana" w:eastAsia="Calibri" w:hAnsi="Verdana" w:cs="Arial"/>
          <w:i/>
          <w:sz w:val="20"/>
          <w:szCs w:val="20"/>
        </w:rPr>
        <w:t>Lógicamente,</w:t>
      </w:r>
      <w:r w:rsidRPr="004F3256">
        <w:rPr>
          <w:rFonts w:ascii="Verdana" w:eastAsia="Calibri" w:hAnsi="Verdana" w:cs="Arial"/>
          <w:b/>
          <w:i/>
          <w:sz w:val="20"/>
          <w:szCs w:val="20"/>
        </w:rPr>
        <w:t xml:space="preserve"> </w:t>
      </w:r>
      <w:r w:rsidRPr="004F3256">
        <w:rPr>
          <w:rFonts w:ascii="Verdana" w:eastAsia="Calibri" w:hAnsi="Verdana" w:cs="Arial"/>
          <w:bCs/>
          <w:i/>
          <w:sz w:val="20"/>
          <w:szCs w:val="20"/>
        </w:rPr>
        <w:t>en los convenios interadministrativos propiamente dichos, es posible,</w:t>
      </w:r>
      <w:r w:rsidRPr="004F3256">
        <w:rPr>
          <w:rFonts w:ascii="Verdana" w:eastAsia="Calibri" w:hAnsi="Verdana" w:cs="Arial"/>
          <w:bCs/>
          <w:iCs/>
          <w:sz w:val="20"/>
          <w:szCs w:val="20"/>
        </w:rPr>
        <w:t xml:space="preserve"> </w:t>
      </w:r>
      <w:r w:rsidRPr="004F3256">
        <w:rPr>
          <w:rFonts w:ascii="Verdana" w:eastAsia="Calibri" w:hAnsi="Verdana" w:cs="Arial"/>
          <w:bCs/>
          <w:i/>
          <w:sz w:val="20"/>
          <w:szCs w:val="20"/>
        </w:rPr>
        <w:t xml:space="preserve">que cada entidad incurra en costos y gastos y en ejecución de su propio presupuesto para cumplir sus funciones y los compromisos </w:t>
      </w:r>
      <w:r w:rsidRPr="004F3256">
        <w:rPr>
          <w:rFonts w:ascii="Verdana" w:eastAsia="Calibri" w:hAnsi="Verdana" w:cs="Arial"/>
          <w:bCs/>
          <w:i/>
          <w:sz w:val="20"/>
          <w:szCs w:val="20"/>
        </w:rPr>
        <w:lastRenderedPageBreak/>
        <w:t>adquiridos para con la otra</w:t>
      </w:r>
      <w:r w:rsidRPr="004F3256">
        <w:rPr>
          <w:rFonts w:ascii="Verdana" w:eastAsia="Calibri" w:hAnsi="Verdana" w:cs="Arial"/>
          <w:bCs/>
          <w:iCs/>
          <w:sz w:val="20"/>
          <w:szCs w:val="20"/>
        </w:rPr>
        <w:t>, razón por la cual bien pueden comprender la asunción de aportes económicos o financieros, pero sin que su objeto esencial lo constituyan prestaciones propias de los contratos interadministrativos, o el pago de un precio o una remuneración por un servicio prestado o por un bien adquirido o por una obra realizada por una a favor de la otra, pues en tales eventos se estará en presencia de verdaderos contratos”</w:t>
      </w:r>
      <w:r w:rsidRPr="004F3256">
        <w:rPr>
          <w:rFonts w:ascii="Verdana" w:eastAsia="Calibri" w:hAnsi="Verdana" w:cs="Arial"/>
          <w:bCs/>
          <w:iCs/>
          <w:sz w:val="20"/>
          <w:szCs w:val="20"/>
          <w:vertAlign w:val="superscript"/>
        </w:rPr>
        <w:footnoteReference w:id="28"/>
      </w:r>
      <w:r w:rsidRPr="004F3256">
        <w:rPr>
          <w:rFonts w:ascii="Verdana" w:eastAsia="Calibri" w:hAnsi="Verdana" w:cs="Arial"/>
          <w:bCs/>
          <w:iCs/>
          <w:sz w:val="20"/>
          <w:szCs w:val="20"/>
        </w:rPr>
        <w:t>. [Énfasis por fuera de texto]</w:t>
      </w:r>
    </w:p>
    <w:p w14:paraId="4D6B32D1" w14:textId="77777777" w:rsidR="00315CDD" w:rsidRPr="004F3256" w:rsidRDefault="00315CDD" w:rsidP="00315CDD">
      <w:pPr>
        <w:spacing w:after="0" w:line="240" w:lineRule="auto"/>
        <w:ind w:left="709" w:right="714"/>
        <w:jc w:val="both"/>
        <w:rPr>
          <w:rFonts w:ascii="Verdana" w:eastAsia="Calibri" w:hAnsi="Verdana" w:cs="Arial"/>
          <w:iCs/>
          <w:sz w:val="18"/>
          <w:szCs w:val="18"/>
        </w:rPr>
      </w:pPr>
    </w:p>
    <w:p w14:paraId="248953BE" w14:textId="77777777" w:rsidR="00315CDD" w:rsidRPr="004F3256" w:rsidRDefault="00315CDD" w:rsidP="00315CDD">
      <w:pPr>
        <w:spacing w:after="120" w:line="276" w:lineRule="auto"/>
        <w:ind w:firstLine="709"/>
        <w:jc w:val="both"/>
        <w:rPr>
          <w:rFonts w:ascii="Verdana" w:eastAsia="Times New Roman" w:hAnsi="Verdana" w:cs="Arial"/>
          <w:lang w:eastAsia="es-ES_tradnl"/>
        </w:rPr>
      </w:pPr>
      <w:r w:rsidRPr="004F3256">
        <w:rPr>
          <w:rFonts w:ascii="Verdana" w:eastAsia="Times New Roman" w:hAnsi="Verdana" w:cs="Arial"/>
          <w:lang w:eastAsia="es-ES_tradnl"/>
        </w:rPr>
        <w:t xml:space="preserve">En reciente pronunciamiento, la Sala de lo Contencioso Administrativo, Sección Tercera del Consejo de Estado reiteró que si bien en el marco de los convenios interadministrativos no se generar relaciones conmutativas sinalagmáticas en la medida que no se obligan a dar o a hacer algo a cambio de una prestación equivalente o remuneración, no significa que no se pueden realizar aportes de naturaleza técnica, administrativa, financiera o económica para ejecutar el objetivo común: </w:t>
      </w:r>
    </w:p>
    <w:p w14:paraId="435E755E" w14:textId="77777777" w:rsidR="00315CDD" w:rsidRPr="004F3256" w:rsidRDefault="00315CDD" w:rsidP="00315CDD">
      <w:pPr>
        <w:spacing w:after="0" w:line="276" w:lineRule="auto"/>
        <w:ind w:firstLine="709"/>
        <w:jc w:val="both"/>
        <w:rPr>
          <w:rFonts w:ascii="Verdana" w:eastAsia="Times New Roman" w:hAnsi="Verdana" w:cs="Arial"/>
          <w:lang w:eastAsia="es-ES_tradnl"/>
        </w:rPr>
      </w:pPr>
    </w:p>
    <w:p w14:paraId="19C96CB8" w14:textId="77777777" w:rsidR="00315CDD" w:rsidRPr="004F3256" w:rsidRDefault="00315CDD" w:rsidP="00315CDD">
      <w:pPr>
        <w:spacing w:after="0" w:line="240" w:lineRule="auto"/>
        <w:ind w:left="709" w:right="714"/>
        <w:jc w:val="both"/>
        <w:rPr>
          <w:rFonts w:ascii="Verdana" w:eastAsia="Calibri" w:hAnsi="Verdana" w:cs="Arial"/>
          <w:bCs/>
          <w:iCs/>
          <w:sz w:val="20"/>
          <w:szCs w:val="20"/>
        </w:rPr>
      </w:pPr>
      <w:r w:rsidRPr="004F3256">
        <w:rPr>
          <w:rFonts w:ascii="Verdana" w:eastAsia="Calibri" w:hAnsi="Verdana" w:cs="Arial"/>
          <w:iCs/>
          <w:sz w:val="20"/>
          <w:szCs w:val="20"/>
        </w:rPr>
        <w:t xml:space="preserve">“Lo anterior no significa que en el marco de los convenios </w:t>
      </w:r>
      <w:r w:rsidRPr="004F3256">
        <w:rPr>
          <w:rFonts w:ascii="Verdana" w:eastAsia="Calibri" w:hAnsi="Verdana" w:cs="Arial"/>
          <w:i/>
          <w:sz w:val="20"/>
          <w:szCs w:val="20"/>
        </w:rPr>
        <w:t>interadministrativos las partes no puedan asumir obligaciones de tipo económico, en tanto, desde el ámbito que corresponde a sus competencias, pueden contribuir a la realización del objetivo común a través de aportes de naturaleza técnica, administrativa, financiera o económica</w:t>
      </w:r>
      <w:r w:rsidRPr="004F3256">
        <w:rPr>
          <w:rFonts w:ascii="Verdana" w:eastAsia="Calibri" w:hAnsi="Verdana" w:cs="Arial"/>
          <w:iCs/>
          <w:sz w:val="20"/>
          <w:szCs w:val="20"/>
        </w:rPr>
        <w:t>. Es por esto que un aporte económico no puede entenderse ni aplicarse a la relación negocial como una retribución por contraprestación de la otra parte, o por el desempeño de las funciones administrativas o técnicas que otro contrayente, en el ámbito de sus competencias, se obliga a ejecutar, pues de ser ello así, se desnaturalizaría la principal y más esencial característica de este tipo de negocios, la cual está dada por la conjunción de esfuerzos para el logro de una finalidad común a todos los intervinientes”</w:t>
      </w:r>
      <w:r w:rsidRPr="004F3256">
        <w:rPr>
          <w:rFonts w:ascii="Verdana" w:eastAsia="Calibri" w:hAnsi="Verdana" w:cs="Arial"/>
          <w:iCs/>
          <w:sz w:val="20"/>
          <w:szCs w:val="20"/>
          <w:vertAlign w:val="superscript"/>
        </w:rPr>
        <w:footnoteReference w:id="29"/>
      </w:r>
      <w:r w:rsidRPr="004F3256">
        <w:rPr>
          <w:rFonts w:ascii="Verdana" w:eastAsia="Calibri" w:hAnsi="Verdana" w:cs="Arial"/>
          <w:iCs/>
          <w:sz w:val="20"/>
          <w:szCs w:val="20"/>
        </w:rPr>
        <w:t>.</w:t>
      </w:r>
      <w:r w:rsidRPr="004F3256">
        <w:rPr>
          <w:rFonts w:ascii="Verdana" w:eastAsia="Geomanist Light" w:hAnsi="Verdana" w:cs="Arial"/>
          <w:color w:val="201F1E"/>
        </w:rPr>
        <w:t xml:space="preserve"> </w:t>
      </w:r>
      <w:r w:rsidRPr="004F3256">
        <w:rPr>
          <w:rFonts w:ascii="Verdana" w:eastAsia="Calibri" w:hAnsi="Verdana" w:cs="Arial"/>
          <w:bCs/>
          <w:iCs/>
          <w:sz w:val="20"/>
          <w:szCs w:val="20"/>
        </w:rPr>
        <w:t>[Énfasis por fuera de texto]</w:t>
      </w:r>
    </w:p>
    <w:p w14:paraId="5F5C92F4" w14:textId="77777777" w:rsidR="00315CDD" w:rsidRPr="004F3256" w:rsidRDefault="00315CDD" w:rsidP="00315CDD">
      <w:pPr>
        <w:spacing w:after="0" w:line="276" w:lineRule="auto"/>
        <w:ind w:right="714"/>
        <w:jc w:val="both"/>
        <w:rPr>
          <w:rFonts w:ascii="Verdana" w:eastAsia="Calibri" w:hAnsi="Verdana" w:cs="Arial"/>
          <w:iCs/>
          <w:sz w:val="20"/>
          <w:szCs w:val="20"/>
        </w:rPr>
      </w:pPr>
    </w:p>
    <w:p w14:paraId="7D7E78BF" w14:textId="77777777" w:rsidR="00315CDD" w:rsidRPr="004F3256" w:rsidRDefault="00315CDD" w:rsidP="00315CDD">
      <w:pPr>
        <w:spacing w:after="120" w:line="276" w:lineRule="auto"/>
        <w:ind w:firstLine="709"/>
        <w:jc w:val="both"/>
        <w:rPr>
          <w:rFonts w:ascii="Verdana" w:eastAsia="Times New Roman" w:hAnsi="Verdana" w:cs="Arial"/>
          <w:lang w:eastAsia="es-ES_tradnl"/>
        </w:rPr>
      </w:pPr>
      <w:r w:rsidRPr="004F3256">
        <w:rPr>
          <w:rFonts w:ascii="Verdana" w:eastAsia="Times New Roman" w:hAnsi="Verdana" w:cs="Arial"/>
          <w:lang w:eastAsia="es-ES_tradnl"/>
        </w:rPr>
        <w:t xml:space="preserve">De esta manera, </w:t>
      </w:r>
      <w:r w:rsidRPr="004F3256">
        <w:rPr>
          <w:rFonts w:ascii="Verdana" w:eastAsia="Calibri" w:hAnsi="Verdana" w:cs="Arial"/>
          <w:bCs/>
          <w:iCs/>
        </w:rPr>
        <w:t xml:space="preserve">es posible y lógico que para efectos de la ejecución del convenio interadministrativo las entidades públicas incurran en costos y gastos administrativos lo que se puede reflejar en los respectivos </w:t>
      </w:r>
      <w:r w:rsidRPr="004F3256">
        <w:rPr>
          <w:rFonts w:ascii="Verdana" w:eastAsia="Times New Roman" w:hAnsi="Verdana" w:cs="Arial"/>
          <w:lang w:eastAsia="es-ES_tradnl"/>
        </w:rPr>
        <w:t xml:space="preserve">aportes de naturaleza técnica, administrativa, financiera o económica, sin que ello signifique el pago </w:t>
      </w:r>
      <w:r w:rsidRPr="004F3256">
        <w:rPr>
          <w:rFonts w:ascii="Verdana" w:eastAsia="Times New Roman" w:hAnsi="Verdana" w:cs="Arial"/>
          <w:lang w:eastAsia="es-ES_tradnl"/>
        </w:rPr>
        <w:lastRenderedPageBreak/>
        <w:t>de un precio o una remuneración por servicio prestado o bien adquirido. Estos costos o gastos de administración pueden incluirse válidamente</w:t>
      </w:r>
      <w:r w:rsidRPr="004F3256">
        <w:rPr>
          <w:rFonts w:ascii="Verdana" w:eastAsia="Times New Roman" w:hAnsi="Verdana" w:cs="Arial"/>
          <w:b/>
          <w:bCs/>
          <w:lang w:eastAsia="es-ES_tradnl"/>
        </w:rPr>
        <w:t xml:space="preserve"> </w:t>
      </w:r>
      <w:r w:rsidRPr="004F3256">
        <w:rPr>
          <w:rFonts w:ascii="Verdana" w:eastAsia="Times New Roman" w:hAnsi="Verdana" w:cs="Arial"/>
          <w:lang w:eastAsia="es-ES_tradnl"/>
        </w:rPr>
        <w:t xml:space="preserve">siempre que se justifique técnica y financieramente que son necesarios y razonables para el desarrollo del objeto convenido y que se trate de aspectos operativos, logísticos o de administración </w:t>
      </w:r>
      <w:r w:rsidRPr="004F3256">
        <w:rPr>
          <w:rFonts w:ascii="Verdana" w:eastAsia="Calibri" w:hAnsi="Verdana" w:cs="Arial"/>
          <w:bCs/>
          <w:iCs/>
        </w:rPr>
        <w:t>que permitan cumplir los compromisos adquiridos en el marco del convenio</w:t>
      </w:r>
      <w:r w:rsidRPr="004F3256">
        <w:rPr>
          <w:rFonts w:ascii="Verdana" w:eastAsia="Times New Roman" w:hAnsi="Verdana" w:cs="Arial"/>
          <w:lang w:eastAsia="es-ES_tradnl"/>
        </w:rPr>
        <w:t xml:space="preserve"> y que, por tanto, no representan una utilidad o una contraprestación en favor de una de las partes. </w:t>
      </w:r>
    </w:p>
    <w:p w14:paraId="77EB3CFB" w14:textId="77777777" w:rsidR="00315CDD" w:rsidRPr="004F3256" w:rsidRDefault="00315CDD" w:rsidP="00315CDD">
      <w:pPr>
        <w:spacing w:after="120" w:line="276" w:lineRule="auto"/>
        <w:ind w:firstLine="708"/>
        <w:jc w:val="both"/>
        <w:rPr>
          <w:rFonts w:ascii="Verdana" w:eastAsia="Times New Roman" w:hAnsi="Verdana" w:cs="Arial"/>
          <w:lang w:eastAsia="es-ES_tradnl"/>
        </w:rPr>
      </w:pPr>
      <w:r w:rsidRPr="004F3256">
        <w:rPr>
          <w:rFonts w:ascii="Verdana" w:eastAsia="Times New Roman" w:hAnsi="Verdana" w:cs="Arial"/>
          <w:lang w:eastAsia="es-ES_tradnl"/>
        </w:rPr>
        <w:t xml:space="preserve">En este sentido, se precisa que la posibilidad de que un convenio interadministrativo incluya compromisos con contenido económico no puede ir en contravía de su naturaleza y finalidad, ni mucho menos desconocer los elementos esenciales de este tipo negocial que se desprenden del artículo 95 de la Ley 489 de 1998. Por ende, la determinación de estos costos o gastos administrativos no pueden ocultar una remuneración verdadera o una utilidad en favor de alguna de las entidades que concurre a su suscripción, así como tampoco pueden emplearse para aspectos distintos del cumplimiento de los compromisos asumidos, pues no se trataría de un convenio sino que su connotación transmutaría a un contrato interadministrativo. </w:t>
      </w:r>
    </w:p>
    <w:p w14:paraId="168F644B" w14:textId="77777777" w:rsidR="00315CDD" w:rsidRPr="004F3256" w:rsidRDefault="00315CDD" w:rsidP="00315CDD">
      <w:pPr>
        <w:spacing w:after="120" w:line="276" w:lineRule="auto"/>
        <w:ind w:firstLine="708"/>
        <w:jc w:val="both"/>
        <w:rPr>
          <w:rFonts w:ascii="Verdana" w:eastAsia="Times New Roman" w:hAnsi="Verdana" w:cs="Arial"/>
          <w:iCs/>
          <w:lang w:eastAsia="es-ES_tradnl"/>
        </w:rPr>
      </w:pPr>
      <w:r w:rsidRPr="004F3256">
        <w:rPr>
          <w:rFonts w:ascii="Verdana" w:eastAsia="Times New Roman" w:hAnsi="Verdana" w:cs="Arial"/>
          <w:iCs/>
          <w:lang w:eastAsia="es-ES_tradnl"/>
        </w:rPr>
        <w:t>Esta claridad resulta importante para efectos de la consulta planteada ya que, tanto en los contratos como en los convenios interadministrativos es posible incluir costos y gastos administrativos. No obstante, debido a la naturaleza jurídica de cada figura, estos rubros tienen una finalidad y alcance diferente. En el marco de un convenio interadministrativo, las entidades públicas pueden incorporar los costos o gastos administrativos asociados a sus respectivos aportes técnicos, administrativos, financieros o económicos, siempre que estén orientados a contribuir, en el ámbito de sus competencias, al cumplimiento de los compromisos comunes y a garantizar la viabilidad operativa del convenio. En contraste, en los contratos interadministrativos, debido a su naturaleza onerosa y conmutativa, estos rubros hacen parte de la contraprestación pactada a favor de la entidad ejecutora, es decir, forman parte del precio o retribución económica a una de las partes por los bienes o servicios que presta.</w:t>
      </w:r>
    </w:p>
    <w:p w14:paraId="16075582" w14:textId="77777777" w:rsidR="00315CDD" w:rsidRPr="004F3256" w:rsidRDefault="00315CDD" w:rsidP="00315CDD">
      <w:pPr>
        <w:spacing w:after="120" w:line="276" w:lineRule="auto"/>
        <w:ind w:firstLine="708"/>
        <w:jc w:val="both"/>
        <w:rPr>
          <w:rFonts w:ascii="Verdana" w:eastAsia="Times New Roman" w:hAnsi="Verdana" w:cs="Arial"/>
          <w:iCs/>
          <w:lang w:eastAsia="es-ES_tradnl"/>
        </w:rPr>
      </w:pPr>
      <w:r w:rsidRPr="004F3256">
        <w:rPr>
          <w:rFonts w:ascii="Verdana" w:eastAsia="Times New Roman" w:hAnsi="Verdana" w:cs="Arial"/>
          <w:iCs/>
          <w:lang w:eastAsia="es-ES_tradnl"/>
        </w:rPr>
        <w:t xml:space="preserve">Lo anterior reviste especial importancia, ya que, como se explicó, la naturaleza del negocio jurídico determina el régimen jurídico aplicable, así como </w:t>
      </w:r>
      <w:r w:rsidRPr="004F3256">
        <w:rPr>
          <w:rFonts w:ascii="Verdana" w:eastAsia="Times New Roman" w:hAnsi="Verdana" w:cs="Arial"/>
          <w:iCs/>
          <w:lang w:eastAsia="es-ES_tradnl"/>
        </w:rPr>
        <w:lastRenderedPageBreak/>
        <w:t>la procedencia y el alcance de determinadas figuras contractuales. En este sentido, la determinación de los costos o gastos administrativos en uno u otro negocio jurídico debe corresponden con la naturaleza, finalidad y alcance de cada uno de ellos. En todo caso, debe recordarse que la aplicación o el alcance de estas y otras instituciones debe evaluarse con base en el contenido específico de cada convenio interadministrativo celebrado, por lo que no es posible establecer conclusiones de manera automática o anticipada con la simple denominación que las partes le asignen.</w:t>
      </w:r>
    </w:p>
    <w:p w14:paraId="326821E9" w14:textId="77777777" w:rsidR="00315CDD" w:rsidRPr="004F3256" w:rsidRDefault="00315CDD" w:rsidP="00315CDD">
      <w:pPr>
        <w:spacing w:after="120" w:line="276" w:lineRule="auto"/>
        <w:ind w:firstLine="708"/>
        <w:jc w:val="both"/>
        <w:rPr>
          <w:rFonts w:ascii="Verdana" w:eastAsia="Times New Roman" w:hAnsi="Verdana" w:cs="Arial"/>
          <w:iCs/>
          <w:lang w:eastAsia="es-ES_tradnl"/>
        </w:rPr>
      </w:pPr>
      <w:r w:rsidRPr="004F3256">
        <w:rPr>
          <w:rFonts w:ascii="Verdana" w:eastAsia="Times New Roman" w:hAnsi="Verdana" w:cs="Arial"/>
          <w:iCs/>
          <w:lang w:eastAsia="es-ES_tradnl"/>
        </w:rPr>
        <w:t>En conclusión, si la noción de costos indirectos –overhead-, tal y como se explicó, es una noción asociada al cálculo del precio que se pagará al contratista por parte de la Entidad Estatal contratante, es decir una contraprestación, este concepto resulta inaplicable tratándose de convenios interadministrativos, en los cuales, los compromisos de contenido patrimonial se deben dirigir a cubrir los costos que genera la ejecución de las actividades asociadas al mismo, pero no a pagar a una de las entidades por la realización de sus respectivos compromisos o una utilidad a favor de ellas.</w:t>
      </w:r>
    </w:p>
    <w:p w14:paraId="5FE9BEA2" w14:textId="77777777" w:rsidR="00315CDD" w:rsidRPr="004F3256" w:rsidRDefault="00315CDD" w:rsidP="00315CDD">
      <w:pPr>
        <w:spacing w:after="120" w:line="276" w:lineRule="auto"/>
        <w:ind w:firstLine="709"/>
        <w:jc w:val="both"/>
        <w:rPr>
          <w:rFonts w:ascii="Verdana" w:hAnsi="Verdana" w:cs="Arial"/>
          <w:lang w:eastAsia="es-ES"/>
        </w:rPr>
      </w:pPr>
      <w:r w:rsidRPr="004F3256">
        <w:rPr>
          <w:rFonts w:ascii="Verdana" w:hAnsi="Verdana" w:cs="Arial"/>
          <w:lang w:eastAsia="es-ES"/>
        </w:rPr>
        <w:t>Al margen de la explicación precedente debe advertirse que el análisis requerido para resolver problemas específicos en torno al AIU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54348A3" w14:textId="77777777" w:rsidR="00315CDD" w:rsidRPr="004F3256" w:rsidRDefault="00315CDD" w:rsidP="00315CDD">
      <w:pPr>
        <w:widowControl w:val="0"/>
        <w:autoSpaceDE w:val="0"/>
        <w:autoSpaceDN w:val="0"/>
        <w:spacing w:after="0" w:line="276" w:lineRule="auto"/>
        <w:jc w:val="both"/>
        <w:rPr>
          <w:rFonts w:ascii="Verdana" w:eastAsia="Arial" w:hAnsi="Verdana" w:cs="Arial"/>
          <w:lang w:val="es-ES"/>
        </w:rPr>
      </w:pPr>
    </w:p>
    <w:p w14:paraId="21464B64" w14:textId="77777777" w:rsidR="00315CDD" w:rsidRPr="004F3256" w:rsidRDefault="00315CDD" w:rsidP="00315CDD">
      <w:pPr>
        <w:numPr>
          <w:ilvl w:val="0"/>
          <w:numId w:val="1"/>
        </w:numPr>
        <w:tabs>
          <w:tab w:val="left" w:pos="142"/>
          <w:tab w:val="left" w:pos="284"/>
        </w:tabs>
        <w:spacing w:after="0" w:line="276" w:lineRule="auto"/>
        <w:jc w:val="both"/>
        <w:rPr>
          <w:rFonts w:ascii="Verdana" w:eastAsia="Century Gothic" w:hAnsi="Verdana" w:cs="Century Gothic"/>
          <w:b/>
          <w:bCs/>
        </w:rPr>
      </w:pPr>
      <w:r w:rsidRPr="004F3256">
        <w:rPr>
          <w:rFonts w:ascii="Verdana" w:eastAsia="Century Gothic" w:hAnsi="Verdana" w:cs="Century Gothic"/>
          <w:b/>
          <w:bCs/>
        </w:rPr>
        <w:t>Referencias normativas y jurisprudenciales:</w:t>
      </w:r>
    </w:p>
    <w:p w14:paraId="20C6FB52" w14:textId="77777777" w:rsidR="00315CDD" w:rsidRPr="004F3256" w:rsidRDefault="00315CDD" w:rsidP="00315CDD">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15CDD" w:rsidRPr="004F3256" w14:paraId="41B7D75B" w14:textId="77777777" w:rsidTr="003F6B09">
        <w:trPr>
          <w:trHeight w:val="410"/>
          <w:jc w:val="center"/>
        </w:trPr>
        <w:tc>
          <w:tcPr>
            <w:tcW w:w="8647" w:type="dxa"/>
          </w:tcPr>
          <w:p w14:paraId="0CA430EA" w14:textId="77777777" w:rsidR="00315CDD" w:rsidRPr="004F3256" w:rsidRDefault="00315CDD" w:rsidP="00315CDD">
            <w:pPr>
              <w:numPr>
                <w:ilvl w:val="0"/>
                <w:numId w:val="3"/>
              </w:numPr>
              <w:ind w:left="318" w:hanging="284"/>
              <w:contextualSpacing/>
              <w:jc w:val="both"/>
              <w:rPr>
                <w:rFonts w:ascii="Verdana" w:hAnsi="Verdana" w:cs="Arial"/>
                <w:lang w:val="es-MX"/>
              </w:rPr>
            </w:pPr>
            <w:r w:rsidRPr="004F3256">
              <w:rPr>
                <w:rFonts w:ascii="Verdana" w:hAnsi="Verdana" w:cs="Arial"/>
                <w:lang w:val="es-MX"/>
              </w:rPr>
              <w:t>Ley 80 de 1993, artículos 13, 32 y 40.</w:t>
            </w:r>
          </w:p>
          <w:p w14:paraId="11F5365C" w14:textId="77777777" w:rsidR="00315CDD" w:rsidRPr="004F3256" w:rsidRDefault="00315CDD" w:rsidP="003F6B09">
            <w:pPr>
              <w:ind w:left="318"/>
              <w:contextualSpacing/>
              <w:jc w:val="both"/>
              <w:rPr>
                <w:rFonts w:ascii="Verdana" w:hAnsi="Verdana" w:cs="Arial"/>
                <w:lang w:val="es-MX"/>
              </w:rPr>
            </w:pPr>
          </w:p>
          <w:p w14:paraId="0733277D" w14:textId="77777777" w:rsidR="00315CDD" w:rsidRPr="004F3256" w:rsidRDefault="00315CDD" w:rsidP="00315CDD">
            <w:pPr>
              <w:numPr>
                <w:ilvl w:val="0"/>
                <w:numId w:val="3"/>
              </w:numPr>
              <w:ind w:left="318" w:hanging="284"/>
              <w:contextualSpacing/>
              <w:jc w:val="both"/>
              <w:rPr>
                <w:rFonts w:ascii="Verdana" w:hAnsi="Verdana" w:cs="Arial"/>
                <w:lang w:val="es-ES"/>
              </w:rPr>
            </w:pPr>
            <w:r w:rsidRPr="004F3256">
              <w:rPr>
                <w:rFonts w:ascii="Verdana" w:hAnsi="Verdana" w:cs="Arial"/>
                <w:lang w:val="es-ES"/>
              </w:rPr>
              <w:t>Consejo de Estado. Sección Tercera. Subsección B. Sentencia del 29 de febrero de 2012. Exp. 16371, C.P. Danilo Rojas Betancourth.</w:t>
            </w:r>
          </w:p>
          <w:p w14:paraId="507EA580" w14:textId="77777777" w:rsidR="00315CDD" w:rsidRPr="004F3256" w:rsidRDefault="00315CDD" w:rsidP="003F6B09">
            <w:pPr>
              <w:contextualSpacing/>
              <w:jc w:val="both"/>
              <w:rPr>
                <w:rFonts w:ascii="Verdana" w:hAnsi="Verdana" w:cs="Arial"/>
                <w:lang w:val="es-ES"/>
              </w:rPr>
            </w:pPr>
          </w:p>
          <w:p w14:paraId="259FF718" w14:textId="77777777" w:rsidR="00315CDD" w:rsidRPr="004F3256" w:rsidRDefault="00315CDD" w:rsidP="00315CDD">
            <w:pPr>
              <w:numPr>
                <w:ilvl w:val="0"/>
                <w:numId w:val="3"/>
              </w:numPr>
              <w:ind w:left="318" w:hanging="284"/>
              <w:contextualSpacing/>
              <w:jc w:val="both"/>
              <w:rPr>
                <w:rFonts w:ascii="Verdana" w:hAnsi="Verdana" w:cs="Arial"/>
                <w:lang w:val="es-ES"/>
              </w:rPr>
            </w:pPr>
            <w:r w:rsidRPr="004F3256">
              <w:rPr>
                <w:rFonts w:ascii="Verdana" w:hAnsi="Verdana" w:cs="Arial"/>
                <w:lang w:val="es-ES"/>
              </w:rPr>
              <w:t>Consejo de Estado. Sección Tercera. Subsección B. Sentencia del 14 de octubre de 2011. Exp. 20811, C.P. Ruth Stella Correa Palacio.</w:t>
            </w:r>
          </w:p>
          <w:p w14:paraId="04D71429" w14:textId="77777777" w:rsidR="00315CDD" w:rsidRPr="004F3256" w:rsidRDefault="00315CDD" w:rsidP="003F6B09">
            <w:pPr>
              <w:contextualSpacing/>
              <w:jc w:val="both"/>
              <w:rPr>
                <w:rFonts w:ascii="Verdana" w:hAnsi="Verdana" w:cs="Arial"/>
                <w:lang w:val="es-ES"/>
              </w:rPr>
            </w:pPr>
          </w:p>
          <w:p w14:paraId="4A2D2476" w14:textId="77777777" w:rsidR="00315CDD" w:rsidRPr="004F3256" w:rsidRDefault="00315CDD" w:rsidP="00315CDD">
            <w:pPr>
              <w:numPr>
                <w:ilvl w:val="0"/>
                <w:numId w:val="3"/>
              </w:numPr>
              <w:ind w:left="318" w:hanging="284"/>
              <w:contextualSpacing/>
              <w:jc w:val="both"/>
              <w:rPr>
                <w:rFonts w:ascii="Verdana" w:hAnsi="Verdana" w:cs="Arial"/>
                <w:lang w:val="es-MX"/>
              </w:rPr>
            </w:pPr>
            <w:r w:rsidRPr="004F3256">
              <w:rPr>
                <w:rFonts w:ascii="Verdana" w:hAnsi="Verdana" w:cs="Arial"/>
                <w:lang w:val="es-ES_tradnl"/>
              </w:rPr>
              <w:t>Consejo de Estado. Sala de Consulta y Servicio Civil. Concepto del 5 de septiembre de 2018, radicado No. 11001-03-06-000-2018-00124-00, C.P. Édgar González López</w:t>
            </w:r>
          </w:p>
          <w:p w14:paraId="40DCAC37" w14:textId="77777777" w:rsidR="00315CDD" w:rsidRPr="004F3256" w:rsidRDefault="00315CDD" w:rsidP="003F6B09">
            <w:pPr>
              <w:ind w:left="720"/>
              <w:contextualSpacing/>
              <w:rPr>
                <w:rFonts w:ascii="Verdana" w:hAnsi="Verdana" w:cs="Arial"/>
                <w:lang w:val="es-MX"/>
              </w:rPr>
            </w:pPr>
          </w:p>
          <w:p w14:paraId="6CC7A2A7" w14:textId="77777777" w:rsidR="00315CDD" w:rsidRPr="004F3256" w:rsidRDefault="00315CDD" w:rsidP="00315CDD">
            <w:pPr>
              <w:numPr>
                <w:ilvl w:val="0"/>
                <w:numId w:val="3"/>
              </w:numPr>
              <w:ind w:left="318" w:hanging="284"/>
              <w:contextualSpacing/>
              <w:jc w:val="both"/>
              <w:rPr>
                <w:rFonts w:ascii="Verdana" w:hAnsi="Verdana" w:cs="Arial"/>
                <w:lang w:val="es-MX"/>
              </w:rPr>
            </w:pPr>
            <w:r w:rsidRPr="004F3256">
              <w:rPr>
                <w:rFonts w:ascii="Verdana" w:eastAsia="Calibri" w:hAnsi="Verdana" w:cs="Arial"/>
                <w:lang w:val="es-ES_tradnl" w:eastAsia="es-ES_tradnl"/>
              </w:rPr>
              <w:t>Consejo de Estado. Sección Tercera. Consejero Ponente: Ramiro Saavedra Becerra. Sentencia del 28 de agosto de 2003. Radicado: 17.554</w:t>
            </w:r>
          </w:p>
        </w:tc>
      </w:tr>
    </w:tbl>
    <w:p w14:paraId="44CD8D1C" w14:textId="77777777" w:rsidR="00315CDD" w:rsidRPr="004F3256" w:rsidRDefault="00315CDD" w:rsidP="00315CDD">
      <w:pPr>
        <w:widowControl w:val="0"/>
        <w:autoSpaceDE w:val="0"/>
        <w:autoSpaceDN w:val="0"/>
        <w:spacing w:after="0" w:line="276" w:lineRule="auto"/>
        <w:jc w:val="both"/>
        <w:rPr>
          <w:rFonts w:ascii="Verdana" w:hAnsi="Verdana" w:cs="Arial"/>
        </w:rPr>
      </w:pPr>
    </w:p>
    <w:p w14:paraId="1CAB36DA" w14:textId="77777777" w:rsidR="00315CDD" w:rsidRPr="004F3256" w:rsidRDefault="00315CDD" w:rsidP="00315CDD">
      <w:pPr>
        <w:numPr>
          <w:ilvl w:val="0"/>
          <w:numId w:val="1"/>
        </w:numPr>
        <w:tabs>
          <w:tab w:val="left" w:pos="142"/>
          <w:tab w:val="left" w:pos="284"/>
        </w:tabs>
        <w:spacing w:after="0" w:line="276" w:lineRule="auto"/>
        <w:jc w:val="both"/>
        <w:rPr>
          <w:rFonts w:ascii="Verdana" w:eastAsia="Century Gothic" w:hAnsi="Verdana" w:cs="Century Gothic"/>
          <w:b/>
          <w:bCs/>
        </w:rPr>
      </w:pPr>
      <w:r w:rsidRPr="004F3256">
        <w:rPr>
          <w:rFonts w:ascii="Verdana" w:eastAsia="Century Gothic" w:hAnsi="Verdana" w:cs="Century Gothic"/>
          <w:b/>
          <w:bCs/>
        </w:rPr>
        <w:t>Doctrina de la Agencia Nacional de Contratación Pública:</w:t>
      </w:r>
    </w:p>
    <w:p w14:paraId="6F640E34" w14:textId="77777777" w:rsidR="00315CDD" w:rsidRPr="004F3256" w:rsidRDefault="00315CDD" w:rsidP="00315CDD">
      <w:pPr>
        <w:widowControl w:val="0"/>
        <w:autoSpaceDE w:val="0"/>
        <w:autoSpaceDN w:val="0"/>
        <w:spacing w:after="0" w:line="276" w:lineRule="auto"/>
        <w:jc w:val="both"/>
        <w:rPr>
          <w:rFonts w:ascii="Verdana" w:hAnsi="Verdana" w:cs="Arial"/>
        </w:rPr>
      </w:pPr>
    </w:p>
    <w:p w14:paraId="6C81C5E4" w14:textId="77777777" w:rsidR="00315CDD" w:rsidRPr="004F3256" w:rsidRDefault="00315CDD" w:rsidP="00315CDD">
      <w:pPr>
        <w:widowControl w:val="0"/>
        <w:autoSpaceDE w:val="0"/>
        <w:autoSpaceDN w:val="0"/>
        <w:spacing w:after="120" w:line="276" w:lineRule="auto"/>
        <w:jc w:val="both"/>
        <w:rPr>
          <w:rFonts w:ascii="Verdana" w:eastAsia="Calibri" w:hAnsi="Verdana" w:cs="Arial"/>
          <w:color w:val="000000" w:themeColor="text1"/>
          <w:lang w:val="es-ES_tradnl" w:eastAsia="es-ES_tradnl"/>
        </w:rPr>
      </w:pPr>
      <w:r w:rsidRPr="004F3256">
        <w:rPr>
          <w:rFonts w:ascii="Verdana" w:hAnsi="Verdana" w:cs="Arial"/>
          <w:shd w:val="clear" w:color="auto" w:fill="FFFFFF"/>
        </w:rPr>
        <w:t>La Agencia Nacional de Contratación Pública – Colombia Compra Eficiente se ha pronunciado en varias ocasiones sobre el AIU en los Conceptos 4201714000005136 del 14 de noviembre de 2017; 4201714000006401 del 23 de noviembre de 2017; 4201813000004155 del 9 de mayo de 2018; 4201814000008069 del 27 de septiembre de 2018; 4201814000007383 del 18 de octubre de 2018; 4201814000008069 del 13 de noviembre de 2018; 4201912000004214 del 26 de junio de 2019; 4201912000006455 y 4201912000006463 del 19 de septiembre de 2019; 4201912000007375 del 28 de octubre de 2019; 4201912000007092 del 29 de noviembre de 2019; 4202012000000093, C–037 del 28 de enero de 2020, 4202012000000664 del 30 de enero de 2020, C-191 del 16 de marzo de 2020, C-211 del 8 de abril de 2020, C-714 del 9 de diciembre de 2020, C-059 del 10 de marzo de 2021, C-613 del 6 de octubre de 2022, C-716 de 15 de noviembre de 2022, C-802 de 23 de noviembre de 2022, C-854 del 9 de diciembre de 2022, C-914 del 27 de diciembre de 2022, C-361 de septiembre de 2023, C-401 del 27 de septiembre de 2023, C-455 del 18 de septiembre de 2024, C-065 del 27 de febrero de 2025 y C-248 del 3 de abril de 2025</w:t>
      </w:r>
      <w:r w:rsidRPr="004F3256">
        <w:rPr>
          <w:rFonts w:ascii="Verdana" w:eastAsia="Calibri" w:hAnsi="Verdana" w:cs="Arial"/>
          <w:color w:val="000000" w:themeColor="text1"/>
          <w:lang w:val="es-ES_tradnl" w:eastAsia="es-ES_tradnl"/>
        </w:rPr>
        <w:t xml:space="preserve">. </w:t>
      </w:r>
      <w:r w:rsidRPr="004F3256">
        <w:rPr>
          <w:rFonts w:ascii="Verdana" w:hAnsi="Verdana" w:cs="Arial"/>
          <w:shd w:val="clear" w:color="auto" w:fill="FFFFFF"/>
        </w:rPr>
        <w:t>Es</w:t>
      </w:r>
      <w:r w:rsidRPr="004F3256">
        <w:rPr>
          <w:rFonts w:ascii="Verdana" w:hAnsi="Verdana"/>
        </w:rPr>
        <w:t>tos conceptos se encuentran disponibles para consulta en el Sistema de relatoría de la Agencia, al cual se puede acceder a través del siguiente enlace:</w:t>
      </w:r>
      <w:r w:rsidRPr="004F3256">
        <w:rPr>
          <w:rFonts w:ascii="Verdana" w:hAnsi="Verdana" w:cs="Arial"/>
          <w:shd w:val="clear" w:color="auto" w:fill="FFFFFF"/>
        </w:rPr>
        <w:t xml:space="preserve"> </w:t>
      </w:r>
      <w:hyperlink r:id="rId13" w:history="1">
        <w:r w:rsidRPr="004F3256">
          <w:rPr>
            <w:rFonts w:ascii="Verdana" w:hAnsi="Verdana" w:cs="Arial"/>
            <w:color w:val="0563C1" w:themeColor="hyperlink"/>
            <w:u w:val="single"/>
            <w:shd w:val="clear" w:color="auto" w:fill="FFFFFF"/>
          </w:rPr>
          <w:t>https://relatoria.colombiacompra.gov.co/busqueda/conceptos</w:t>
        </w:r>
      </w:hyperlink>
      <w:r w:rsidRPr="004F3256">
        <w:rPr>
          <w:rFonts w:ascii="Verdana" w:hAnsi="Verdana" w:cs="Arial"/>
          <w:shd w:val="clear" w:color="auto" w:fill="FFFFFF"/>
        </w:rPr>
        <w:t>.</w:t>
      </w:r>
      <w:r w:rsidRPr="004F3256">
        <w:rPr>
          <w:rFonts w:ascii="Verdana" w:hAnsi="Verdana" w:cs="Arial"/>
          <w:color w:val="FF0000"/>
          <w:shd w:val="clear" w:color="auto" w:fill="FFFFFF"/>
        </w:rPr>
        <w:t xml:space="preserve"> </w:t>
      </w:r>
      <w:r w:rsidRPr="004F3256">
        <w:rPr>
          <w:rFonts w:ascii="Verdana" w:hAnsi="Verdana" w:cs="Arial"/>
          <w:color w:val="000000" w:themeColor="text1"/>
          <w:shd w:val="clear" w:color="auto" w:fill="FFFFFF"/>
        </w:rPr>
        <w:t>  </w:t>
      </w:r>
    </w:p>
    <w:p w14:paraId="4991B656" w14:textId="77777777" w:rsidR="00315CDD" w:rsidRPr="004F3256" w:rsidRDefault="00315CDD" w:rsidP="00315CDD">
      <w:pPr>
        <w:jc w:val="both"/>
        <w:rPr>
          <w:rFonts w:ascii="Verdana" w:hAnsi="Verdana"/>
        </w:rPr>
      </w:pPr>
      <w:r w:rsidRPr="004F3256">
        <w:rPr>
          <w:rFonts w:ascii="Verdana" w:hAnsi="Verdana"/>
        </w:rPr>
        <w:lastRenderedPageBreak/>
        <w:t xml:space="preserve">La sostenibilidad no es una opción, es una obligación. Por ello, la Agencia Nacional de Contratación Pública –Colombia Compra Eficiente– te invita a realizar el </w:t>
      </w:r>
      <w:r w:rsidRPr="004F3256">
        <w:rPr>
          <w:rFonts w:ascii="Verdana" w:hAnsi="Verdana"/>
          <w:b/>
          <w:bCs/>
        </w:rPr>
        <w:t>Curso de Contratación Pública Sostenible y Socialmente Responsable</w:t>
      </w:r>
      <w:r w:rsidRPr="004F3256">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4F3256">
        <w:rPr>
          <w:rFonts w:ascii="Verdana" w:hAnsi="Verdana"/>
        </w:rPr>
        <w:br/>
      </w:r>
      <w:hyperlink r:id="rId14" w:tgtFrame="_new" w:history="1">
        <w:r w:rsidRPr="004F3256">
          <w:rPr>
            <w:rFonts w:ascii="Verdana" w:hAnsi="Verdana"/>
            <w:color w:val="0000FF"/>
            <w:u w:val="single"/>
          </w:rPr>
          <w:t>https://formacionvirtual.colombiacompra.gov.co/mod/page/view.php?id=3718</w:t>
        </w:r>
      </w:hyperlink>
    </w:p>
    <w:p w14:paraId="760CDA7B" w14:textId="77777777" w:rsidR="00315CDD" w:rsidRPr="004F3256" w:rsidRDefault="00315CDD" w:rsidP="00315CDD">
      <w:pPr>
        <w:jc w:val="both"/>
        <w:rPr>
          <w:rFonts w:ascii="Verdana" w:hAnsi="Verdana"/>
        </w:rPr>
      </w:pPr>
      <w:r w:rsidRPr="004F3256">
        <w:rPr>
          <w:rFonts w:ascii="Verdana" w:hAnsi="Verdana"/>
        </w:rPr>
        <w:t xml:space="preserve">De otro lado, te contamos que esta Agencia ha da un paso decisivo en la estandarización y modernización del </w:t>
      </w:r>
      <w:r w:rsidRPr="004F3256">
        <w:rPr>
          <w:rFonts w:ascii="Verdana" w:hAnsi="Verdana"/>
          <w:b/>
          <w:bCs/>
        </w:rPr>
        <w:t>sector  social</w:t>
      </w:r>
      <w:r w:rsidRPr="004F3256">
        <w:rPr>
          <w:rFonts w:ascii="Verdana" w:hAnsi="Verdana"/>
        </w:rPr>
        <w:t xml:space="preserve"> con la expedición de las </w:t>
      </w:r>
      <w:r w:rsidRPr="004F3256">
        <w:rPr>
          <w:rFonts w:ascii="Verdana" w:hAnsi="Verdana"/>
          <w:b/>
          <w:bCs/>
        </w:rPr>
        <w:t>Resoluciones 539, 540, 541, 952 y 953 de 2025</w:t>
      </w:r>
      <w:r w:rsidRPr="004F3256">
        <w:rPr>
          <w:rFonts w:ascii="Verdana" w:hAnsi="Verdana"/>
        </w:rPr>
        <w:t xml:space="preserve">, </w:t>
      </w:r>
      <w:r w:rsidRPr="004F3256">
        <w:rPr>
          <w:rFonts w:ascii="Verdana" w:hAnsi="Verdana"/>
          <w:b/>
          <w:bCs/>
        </w:rPr>
        <w:t>mediante las cuales adoptó Documentos Tipo</w:t>
      </w:r>
      <w:r w:rsidRPr="004F3256">
        <w:rPr>
          <w:rFonts w:ascii="Verdana" w:hAnsi="Verdana"/>
        </w:rPr>
        <w:t xml:space="preserve"> para las modalidades de selección de</w:t>
      </w:r>
      <w:r w:rsidRPr="004F3256">
        <w:rPr>
          <w:rFonts w:ascii="Verdana" w:hAnsi="Verdana"/>
          <w:b/>
          <w:bCs/>
        </w:rPr>
        <w:t xml:space="preserve"> licitación pública (versión 2), selección abreviada de menor cuantía, mínima cuantía, consultoría e interventoría</w:t>
      </w:r>
      <w:r w:rsidRPr="004F3256">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4F3256">
          <w:rPr>
            <w:rFonts w:ascii="Verdana" w:hAnsi="Verdana"/>
            <w:color w:val="0000FF"/>
            <w:u w:val="single"/>
          </w:rPr>
          <w:t>https://www.colombiacompra.gov.co/normativa-y-relatoria/documentos-tipo</w:t>
        </w:r>
      </w:hyperlink>
    </w:p>
    <w:p w14:paraId="66268755" w14:textId="77777777" w:rsidR="00315CDD" w:rsidRPr="004F3256" w:rsidRDefault="00315CDD" w:rsidP="00315CDD">
      <w:pPr>
        <w:jc w:val="both"/>
        <w:rPr>
          <w:rFonts w:ascii="Verdana" w:hAnsi="Verdana"/>
          <w:color w:val="000000"/>
          <w:lang w:val="es-ES_tradnl"/>
        </w:rPr>
      </w:pPr>
      <w:r w:rsidRPr="004F3256">
        <w:rPr>
          <w:rFonts w:ascii="Verdana" w:hAnsi="Verdana"/>
        </w:rPr>
        <w:t xml:space="preserve">Si quieres conocer más sobre la aplicación de Documentos Tipo puedes consultar la última versión de la </w:t>
      </w:r>
      <w:r w:rsidRPr="004F3256">
        <w:rPr>
          <w:rFonts w:ascii="Verdana" w:hAnsi="Verdana"/>
          <w:b/>
          <w:bCs/>
        </w:rPr>
        <w:t>Guía para la comprensión e implementación de los Documentos Tipo de obra pública de infraestructura de transporte</w:t>
      </w:r>
      <w:r w:rsidRPr="004F3256">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4F3256">
        <w:rPr>
          <w:rFonts w:ascii="Verdana" w:hAnsi="Verdana"/>
        </w:rPr>
        <w:br/>
      </w:r>
      <w:hyperlink r:id="rId16" w:tgtFrame="_new" w:history="1">
        <w:r w:rsidRPr="004F3256">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6F22C262" w14:textId="77777777" w:rsidR="00315CDD" w:rsidRPr="004F3256" w:rsidRDefault="00315CDD" w:rsidP="00315CDD">
      <w:pPr>
        <w:spacing w:after="0"/>
        <w:jc w:val="both"/>
        <w:rPr>
          <w:rFonts w:ascii="Verdana" w:hAnsi="Verdana"/>
        </w:rPr>
      </w:pPr>
      <w:r w:rsidRPr="004F3256">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w:t>
      </w:r>
      <w:r w:rsidRPr="004F3256">
        <w:rPr>
          <w:rFonts w:ascii="Verdana" w:hAnsi="Verdana"/>
        </w:rPr>
        <w:lastRenderedPageBreak/>
        <w:t xml:space="preserve">marco de nuestras funciones a través de nuestros diferentes canales de atención: </w:t>
      </w:r>
    </w:p>
    <w:p w14:paraId="23882922" w14:textId="77777777" w:rsidR="00315CDD" w:rsidRPr="004F3256" w:rsidRDefault="00315CDD" w:rsidP="00315CDD">
      <w:pPr>
        <w:spacing w:after="0"/>
        <w:jc w:val="both"/>
        <w:rPr>
          <w:rFonts w:ascii="Verdana" w:hAnsi="Verdana"/>
        </w:rPr>
      </w:pPr>
    </w:p>
    <w:p w14:paraId="399EB6D3" w14:textId="77777777" w:rsidR="00315CDD" w:rsidRPr="004F3256" w:rsidRDefault="00315CDD" w:rsidP="00315CDD">
      <w:pPr>
        <w:numPr>
          <w:ilvl w:val="0"/>
          <w:numId w:val="34"/>
        </w:numPr>
        <w:spacing w:after="0" w:line="240" w:lineRule="auto"/>
        <w:contextualSpacing/>
        <w:jc w:val="both"/>
        <w:rPr>
          <w:rFonts w:ascii="Verdana" w:eastAsia="Verdana" w:hAnsi="Verdana" w:cs="Verdana"/>
          <w:color w:val="4472C4" w:themeColor="accent1"/>
          <w:u w:val="single"/>
          <w:lang w:val="es-MX"/>
        </w:rPr>
      </w:pPr>
      <w:r w:rsidRPr="004F3256">
        <w:rPr>
          <w:rFonts w:ascii="Verdana" w:eastAsia="Verdana" w:hAnsi="Verdana" w:cs="Verdana"/>
          <w:lang w:val="es-MX"/>
        </w:rPr>
        <w:t xml:space="preserve">Línea nacional gratuita o servicio a la ciudadanía (Mesa de servicio): </w:t>
      </w:r>
      <w:r w:rsidRPr="004F3256">
        <w:rPr>
          <w:rFonts w:ascii="Verdana" w:hAnsi="Verdana"/>
          <w:color w:val="0000FF"/>
          <w:u w:val="single"/>
          <w:lang w:val="es-ES"/>
        </w:rPr>
        <w:t>01800 0520808</w:t>
      </w:r>
    </w:p>
    <w:p w14:paraId="18D87C58" w14:textId="77777777" w:rsidR="00315CDD" w:rsidRPr="004F3256" w:rsidRDefault="00315CDD" w:rsidP="00315CDD">
      <w:pPr>
        <w:numPr>
          <w:ilvl w:val="0"/>
          <w:numId w:val="34"/>
        </w:numPr>
        <w:spacing w:after="0" w:line="256" w:lineRule="auto"/>
        <w:contextualSpacing/>
        <w:rPr>
          <w:rFonts w:ascii="Verdana" w:eastAsia="Verdana" w:hAnsi="Verdana" w:cs="Verdana"/>
          <w:color w:val="4472C4" w:themeColor="accent1"/>
          <w:u w:val="single"/>
          <w:lang w:val="es-MX"/>
        </w:rPr>
      </w:pPr>
      <w:r w:rsidRPr="004F3256">
        <w:rPr>
          <w:rFonts w:ascii="Verdana" w:eastAsia="Verdana" w:hAnsi="Verdana" w:cs="Verdana"/>
          <w:lang w:val="es-MX"/>
        </w:rPr>
        <w:t>Línea en Bogotá (Mesa de servicio):</w:t>
      </w:r>
      <w:r w:rsidRPr="004F3256">
        <w:rPr>
          <w:rFonts w:ascii="Verdana" w:hAnsi="Verdana"/>
          <w:color w:val="0000FF"/>
          <w:u w:val="single"/>
          <w:lang w:val="es-ES"/>
        </w:rPr>
        <w:t>+57 601 7456788</w:t>
      </w:r>
    </w:p>
    <w:p w14:paraId="4426FE94" w14:textId="77777777" w:rsidR="00315CDD" w:rsidRPr="004F3256" w:rsidRDefault="00315CDD" w:rsidP="00315CDD">
      <w:pPr>
        <w:numPr>
          <w:ilvl w:val="0"/>
          <w:numId w:val="34"/>
        </w:numPr>
        <w:spacing w:after="0" w:line="256" w:lineRule="auto"/>
        <w:contextualSpacing/>
        <w:rPr>
          <w:rFonts w:ascii="Verdana" w:eastAsia="Verdana" w:hAnsi="Verdana" w:cs="Verdana"/>
          <w:color w:val="0000FF"/>
          <w:u w:val="single"/>
          <w:lang w:val="es-MX"/>
        </w:rPr>
      </w:pPr>
      <w:r w:rsidRPr="004F3256">
        <w:rPr>
          <w:rFonts w:ascii="Verdana" w:eastAsia="Verdana" w:hAnsi="Verdana" w:cs="Verdana"/>
          <w:lang w:val="es-MX"/>
        </w:rPr>
        <w:t xml:space="preserve">Correo de radicación de correspondencia: </w:t>
      </w:r>
      <w:hyperlink r:id="rId17" w:history="1">
        <w:r w:rsidRPr="004F3256">
          <w:rPr>
            <w:rFonts w:ascii="Verdana" w:eastAsia="Verdana" w:hAnsi="Verdana" w:cs="Verdana"/>
            <w:color w:val="0000FF"/>
            <w:u w:val="single"/>
            <w:lang w:val="es-MX"/>
          </w:rPr>
          <w:t>ventanilladeradicacion@colombiacompra.gov.co</w:t>
        </w:r>
      </w:hyperlink>
    </w:p>
    <w:p w14:paraId="27015FF7" w14:textId="77777777" w:rsidR="00315CDD" w:rsidRPr="004F3256" w:rsidRDefault="00315CDD" w:rsidP="00315CDD">
      <w:pPr>
        <w:numPr>
          <w:ilvl w:val="0"/>
          <w:numId w:val="34"/>
        </w:numPr>
        <w:spacing w:after="0" w:line="256" w:lineRule="auto"/>
        <w:contextualSpacing/>
        <w:rPr>
          <w:rFonts w:ascii="Verdana" w:eastAsia="Verdana" w:hAnsi="Verdana" w:cs="Verdana"/>
          <w:color w:val="0000FF"/>
          <w:u w:val="single"/>
          <w:lang w:val="es-MX"/>
        </w:rPr>
      </w:pPr>
      <w:r w:rsidRPr="004F3256">
        <w:rPr>
          <w:rFonts w:ascii="Verdana" w:eastAsia="Verdana" w:hAnsi="Verdana" w:cs="Verdana"/>
          <w:lang w:val="es-ES"/>
        </w:rPr>
        <w:t xml:space="preserve">Formulario web para PQRSD: </w:t>
      </w:r>
      <w:hyperlink r:id="rId18" w:history="1">
        <w:r w:rsidRPr="004F3256">
          <w:rPr>
            <w:rFonts w:ascii="Verdana" w:eastAsia="Verdana" w:hAnsi="Verdana" w:cs="Verdana"/>
            <w:color w:val="0000FF"/>
            <w:u w:val="single"/>
            <w:lang w:val="es-MX"/>
          </w:rPr>
          <w:t>https://www.colombiacompra.gov.co/pqrsd/informacion-importante-antes-de-formular-una-pqrsd</w:t>
        </w:r>
      </w:hyperlink>
    </w:p>
    <w:p w14:paraId="7ACB454B" w14:textId="77777777" w:rsidR="00315CDD" w:rsidRPr="004F3256" w:rsidRDefault="00315CDD" w:rsidP="00315CDD">
      <w:pPr>
        <w:spacing w:after="0" w:line="240" w:lineRule="auto"/>
        <w:ind w:left="720"/>
        <w:jc w:val="both"/>
        <w:rPr>
          <w:rFonts w:ascii="Verdana" w:hAnsi="Verdana"/>
        </w:rPr>
      </w:pPr>
    </w:p>
    <w:p w14:paraId="632E41C9" w14:textId="77777777" w:rsidR="00315CDD" w:rsidRPr="004F3256" w:rsidRDefault="00315CDD" w:rsidP="00315CDD">
      <w:pPr>
        <w:spacing w:after="0" w:line="240" w:lineRule="auto"/>
        <w:rPr>
          <w:rFonts w:ascii="Verdana" w:hAnsi="Verdana"/>
        </w:rPr>
      </w:pPr>
      <w:r w:rsidRPr="004F3256">
        <w:rPr>
          <w:rFonts w:ascii="Verdana" w:hAnsi="Verdana"/>
        </w:rPr>
        <w:t>Evalúa el servicio que ofrece la Agencia por el canal de atención de PQRSD en el siguiente enlace :</w:t>
      </w:r>
      <w:hyperlink r:id="rId19" w:tgtFrame="_blank" w:tooltip="https://forms.office.com/r/pphywvs2sz" w:history="1">
        <w:r w:rsidRPr="004F3256">
          <w:rPr>
            <w:rFonts w:ascii="Verdana" w:hAnsi="Verdana"/>
            <w:color w:val="0000FF"/>
            <w:u w:val="single"/>
          </w:rPr>
          <w:t>https://forms.office.com/r/pPHyWVs2SZ</w:t>
        </w:r>
      </w:hyperlink>
      <w:r w:rsidRPr="004F3256">
        <w:rPr>
          <w:rFonts w:ascii="Verdana" w:hAnsi="Verdana"/>
        </w:rPr>
        <w:t xml:space="preserve"> .¡Ayúdanos a mejorar porque el compromiso es de todos!</w:t>
      </w:r>
    </w:p>
    <w:p w14:paraId="009E9976" w14:textId="77777777" w:rsidR="00315CDD" w:rsidRPr="004F3256" w:rsidRDefault="00315CDD" w:rsidP="00315CDD">
      <w:pPr>
        <w:spacing w:after="0" w:line="240" w:lineRule="auto"/>
        <w:rPr>
          <w:rFonts w:ascii="Verdana" w:hAnsi="Verdana"/>
        </w:rPr>
      </w:pPr>
    </w:p>
    <w:p w14:paraId="5F71E462" w14:textId="77777777" w:rsidR="00315CDD" w:rsidRPr="004F3256" w:rsidRDefault="00315CDD" w:rsidP="00315CDD">
      <w:pPr>
        <w:spacing w:after="0" w:line="240" w:lineRule="auto"/>
        <w:jc w:val="both"/>
        <w:rPr>
          <w:rFonts w:ascii="Verdana" w:hAnsi="Verdana"/>
        </w:rPr>
      </w:pPr>
      <w:r w:rsidRPr="004F3256">
        <w:rPr>
          <w:rFonts w:ascii="Verdana" w:hAnsi="Verdana"/>
        </w:rPr>
        <w:t xml:space="preserve">Por último, lo invitamos a seguirnos en las redes sociales en las cuales se difunde información institucional: </w:t>
      </w:r>
    </w:p>
    <w:p w14:paraId="2F537D5D" w14:textId="77777777" w:rsidR="00315CDD" w:rsidRPr="004F3256" w:rsidRDefault="00315CDD" w:rsidP="00315CDD">
      <w:pPr>
        <w:spacing w:after="0" w:line="240" w:lineRule="auto"/>
        <w:jc w:val="both"/>
        <w:rPr>
          <w:rFonts w:ascii="Verdana" w:hAnsi="Verdana"/>
        </w:rPr>
      </w:pPr>
    </w:p>
    <w:p w14:paraId="30FD1E18" w14:textId="77777777" w:rsidR="00315CDD" w:rsidRPr="004F3256" w:rsidRDefault="00315CDD" w:rsidP="00315CDD">
      <w:pPr>
        <w:spacing w:after="0" w:line="240" w:lineRule="auto"/>
        <w:jc w:val="both"/>
        <w:rPr>
          <w:rFonts w:ascii="Verdana" w:hAnsi="Verdana"/>
        </w:rPr>
      </w:pPr>
      <w:r w:rsidRPr="004F3256">
        <w:rPr>
          <w:rFonts w:ascii="Verdana" w:hAnsi="Verdana"/>
        </w:rPr>
        <w:t xml:space="preserve">Twitter: </w:t>
      </w:r>
      <w:r w:rsidRPr="004F3256">
        <w:rPr>
          <w:rFonts w:ascii="Verdana" w:hAnsi="Verdana"/>
          <w:color w:val="0000FF"/>
          <w:u w:val="single"/>
        </w:rPr>
        <w:t>@colombiacompra</w:t>
      </w:r>
      <w:r w:rsidRPr="004F3256">
        <w:rPr>
          <w:rFonts w:ascii="Verdana" w:hAnsi="Verdana"/>
        </w:rPr>
        <w:t xml:space="preserve"> </w:t>
      </w:r>
    </w:p>
    <w:p w14:paraId="7978593B" w14:textId="77777777" w:rsidR="00315CDD" w:rsidRPr="004F3256" w:rsidRDefault="00315CDD" w:rsidP="00315CDD">
      <w:pPr>
        <w:spacing w:after="0" w:line="240" w:lineRule="auto"/>
        <w:jc w:val="both"/>
        <w:rPr>
          <w:rFonts w:ascii="Verdana" w:hAnsi="Verdana"/>
        </w:rPr>
      </w:pPr>
      <w:r w:rsidRPr="004F3256">
        <w:rPr>
          <w:rFonts w:ascii="Verdana" w:hAnsi="Verdana"/>
        </w:rPr>
        <w:t xml:space="preserve">Facebook: </w:t>
      </w:r>
      <w:r w:rsidRPr="004F3256">
        <w:rPr>
          <w:rFonts w:ascii="Verdana" w:hAnsi="Verdana"/>
          <w:color w:val="0000FF"/>
          <w:u w:val="single"/>
        </w:rPr>
        <w:t>ColombiaCompraEficiente</w:t>
      </w:r>
    </w:p>
    <w:p w14:paraId="19041676" w14:textId="77777777" w:rsidR="00315CDD" w:rsidRPr="004F3256" w:rsidRDefault="00315CDD" w:rsidP="00315CDD">
      <w:pPr>
        <w:spacing w:after="0" w:line="240" w:lineRule="auto"/>
        <w:jc w:val="both"/>
        <w:rPr>
          <w:rFonts w:ascii="Verdana" w:hAnsi="Verdana"/>
        </w:rPr>
      </w:pPr>
      <w:r w:rsidRPr="004F3256">
        <w:rPr>
          <w:rFonts w:ascii="Verdana" w:hAnsi="Verdana"/>
        </w:rPr>
        <w:t xml:space="preserve">LinkedIn: </w:t>
      </w:r>
      <w:r w:rsidRPr="004F3256">
        <w:rPr>
          <w:rFonts w:ascii="Verdana" w:hAnsi="Verdana"/>
          <w:color w:val="0000FF"/>
          <w:u w:val="single"/>
        </w:rPr>
        <w:t>Agencia Nacional de Contratación Pública - Colombia Compra Eficiente</w:t>
      </w:r>
      <w:r w:rsidRPr="004F3256">
        <w:rPr>
          <w:rFonts w:ascii="Verdana" w:hAnsi="Verdana"/>
        </w:rPr>
        <w:t xml:space="preserve"> Instagram: </w:t>
      </w:r>
      <w:r w:rsidRPr="004F3256">
        <w:rPr>
          <w:rFonts w:ascii="Verdana" w:hAnsi="Verdana"/>
          <w:color w:val="0000FF"/>
          <w:u w:val="single"/>
        </w:rPr>
        <w:t>@colombiacompraeficiente_cce</w:t>
      </w:r>
    </w:p>
    <w:p w14:paraId="4CDE613E" w14:textId="77777777" w:rsidR="00315CDD" w:rsidRPr="004F3256" w:rsidRDefault="00315CDD" w:rsidP="00315CDD">
      <w:pPr>
        <w:widowControl w:val="0"/>
        <w:autoSpaceDE w:val="0"/>
        <w:autoSpaceDN w:val="0"/>
        <w:spacing w:after="0" w:line="276" w:lineRule="auto"/>
        <w:jc w:val="both"/>
        <w:rPr>
          <w:rFonts w:ascii="Verdana" w:hAnsi="Verdana" w:cs="Arial"/>
        </w:rPr>
      </w:pPr>
    </w:p>
    <w:p w14:paraId="0A456018" w14:textId="77777777" w:rsidR="00315CDD" w:rsidRPr="004F3256" w:rsidRDefault="00315CDD" w:rsidP="00315CDD">
      <w:pPr>
        <w:widowControl w:val="0"/>
        <w:autoSpaceDE w:val="0"/>
        <w:autoSpaceDN w:val="0"/>
        <w:spacing w:after="0" w:line="276" w:lineRule="auto"/>
        <w:jc w:val="both"/>
        <w:rPr>
          <w:rFonts w:ascii="Verdana" w:hAnsi="Verdana" w:cs="Arial"/>
        </w:rPr>
      </w:pPr>
      <w:r w:rsidRPr="004F3256">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28420A8" w14:textId="77777777" w:rsidR="00315CDD" w:rsidRPr="004F3256" w:rsidRDefault="00315CDD" w:rsidP="00315CDD">
      <w:pPr>
        <w:widowControl w:val="0"/>
        <w:autoSpaceDE w:val="0"/>
        <w:autoSpaceDN w:val="0"/>
        <w:spacing w:after="0" w:line="276" w:lineRule="auto"/>
        <w:jc w:val="both"/>
        <w:rPr>
          <w:rFonts w:ascii="Verdana" w:hAnsi="Verdana" w:cs="Arial"/>
        </w:rPr>
      </w:pPr>
    </w:p>
    <w:p w14:paraId="41E59FC1" w14:textId="77777777" w:rsidR="00315CDD" w:rsidRPr="004F3256" w:rsidRDefault="00315CDD" w:rsidP="00315CDD">
      <w:pPr>
        <w:spacing w:after="0" w:line="276" w:lineRule="auto"/>
        <w:rPr>
          <w:rFonts w:ascii="Verdana" w:hAnsi="Verdana" w:cs="Arial"/>
          <w:lang w:eastAsia="es-CO"/>
        </w:rPr>
      </w:pPr>
      <w:r w:rsidRPr="004F3256">
        <w:rPr>
          <w:rFonts w:ascii="Verdana" w:eastAsia="Times New Roman" w:hAnsi="Verdana" w:cs="Arial"/>
          <w:lang w:eastAsia="es-CO"/>
        </w:rPr>
        <w:t>Atentamente,</w:t>
      </w:r>
      <w:r w:rsidRPr="004F3256">
        <w:rPr>
          <w:rFonts w:ascii="Verdana" w:hAnsi="Verdana" w:cs="Arial"/>
          <w:lang w:eastAsia="es-CO"/>
        </w:rPr>
        <w:t xml:space="preserve"> </w:t>
      </w:r>
    </w:p>
    <w:p w14:paraId="212E76F9" w14:textId="7EAC6FBE" w:rsidR="00315CDD" w:rsidRPr="004F3256" w:rsidRDefault="00F655AB" w:rsidP="00315CDD">
      <w:pPr>
        <w:spacing w:line="276" w:lineRule="auto"/>
        <w:jc w:val="center"/>
        <w:rPr>
          <w:rFonts w:ascii="Verdana" w:hAnsi="Verdana" w:cs="Arial"/>
          <w:color w:val="000000"/>
          <w:lang w:eastAsia="es-CO"/>
        </w:rPr>
      </w:pPr>
      <w:r w:rsidRPr="00F21F0B">
        <w:rPr>
          <w:rFonts w:ascii="Century Gothic" w:hAnsi="Century Gothic"/>
          <w:noProof/>
        </w:rPr>
        <w:lastRenderedPageBreak/>
        <w:drawing>
          <wp:inline distT="0" distB="0" distL="0" distR="0" wp14:anchorId="3847D0C7" wp14:editId="36213EFB">
            <wp:extent cx="3771900" cy="1402080"/>
            <wp:effectExtent l="0" t="0" r="0" b="7620"/>
            <wp:docPr id="2461730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771900" cy="140208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15CDD" w:rsidRPr="004F3256" w14:paraId="32226158" w14:textId="77777777" w:rsidTr="003F6B09">
        <w:trPr>
          <w:trHeight w:val="315"/>
        </w:trPr>
        <w:tc>
          <w:tcPr>
            <w:tcW w:w="893" w:type="dxa"/>
            <w:vAlign w:val="center"/>
            <w:hideMark/>
          </w:tcPr>
          <w:p w14:paraId="0E96E95B" w14:textId="77777777" w:rsidR="00315CDD" w:rsidRPr="004F3256" w:rsidRDefault="00315CDD" w:rsidP="003F6B09">
            <w:pPr>
              <w:contextualSpacing/>
              <w:rPr>
                <w:rFonts w:ascii="Verdana" w:hAnsi="Verdana" w:cs="Arial"/>
                <w:sz w:val="16"/>
                <w:szCs w:val="16"/>
                <w:lang w:eastAsia="es-ES"/>
              </w:rPr>
            </w:pPr>
            <w:r w:rsidRPr="004F3256">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4E82F2B1" w14:textId="77777777" w:rsidR="00315CDD" w:rsidRPr="004F3256" w:rsidRDefault="00315CDD" w:rsidP="003F6B09">
            <w:pPr>
              <w:contextualSpacing/>
              <w:rPr>
                <w:rFonts w:ascii="Verdana" w:hAnsi="Verdana"/>
                <w:sz w:val="16"/>
                <w:szCs w:val="16"/>
              </w:rPr>
            </w:pPr>
            <w:r w:rsidRPr="004F3256">
              <w:rPr>
                <w:rFonts w:ascii="Verdana" w:hAnsi="Verdana"/>
                <w:sz w:val="16"/>
                <w:szCs w:val="16"/>
              </w:rPr>
              <w:t>Tatiana Baquero Iguarán</w:t>
            </w:r>
          </w:p>
          <w:p w14:paraId="10A557B4" w14:textId="77777777" w:rsidR="00315CDD" w:rsidRPr="004F3256" w:rsidRDefault="00315CDD" w:rsidP="003F6B09">
            <w:pPr>
              <w:contextualSpacing/>
              <w:rPr>
                <w:rFonts w:ascii="Verdana" w:eastAsia="Arial" w:hAnsi="Verdana" w:cs="Arial"/>
                <w:sz w:val="16"/>
                <w:szCs w:val="16"/>
              </w:rPr>
            </w:pPr>
            <w:r w:rsidRPr="004F3256">
              <w:rPr>
                <w:rFonts w:ascii="Verdana" w:hAnsi="Verdana"/>
                <w:sz w:val="16"/>
                <w:szCs w:val="16"/>
              </w:rPr>
              <w:t>Contratista de la Subdirección de Gestión Contractual</w:t>
            </w:r>
          </w:p>
        </w:tc>
      </w:tr>
      <w:tr w:rsidR="00315CDD" w:rsidRPr="004F3256" w14:paraId="619C3658" w14:textId="77777777" w:rsidTr="003F6B09">
        <w:trPr>
          <w:trHeight w:val="330"/>
        </w:trPr>
        <w:tc>
          <w:tcPr>
            <w:tcW w:w="893" w:type="dxa"/>
            <w:vAlign w:val="center"/>
            <w:hideMark/>
          </w:tcPr>
          <w:p w14:paraId="6BFD3559" w14:textId="77777777" w:rsidR="00315CDD" w:rsidRPr="004F3256" w:rsidRDefault="00315CDD" w:rsidP="003F6B09">
            <w:pPr>
              <w:contextualSpacing/>
              <w:rPr>
                <w:rFonts w:ascii="Verdana" w:hAnsi="Verdana" w:cs="Arial"/>
                <w:sz w:val="16"/>
                <w:szCs w:val="16"/>
                <w:lang w:eastAsia="es-ES"/>
              </w:rPr>
            </w:pPr>
            <w:r w:rsidRPr="004F3256">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BF48300" w14:textId="77777777" w:rsidR="00315CDD" w:rsidRPr="004F3256" w:rsidRDefault="00315CDD" w:rsidP="003F6B09">
            <w:pPr>
              <w:textAlignment w:val="baseline"/>
              <w:rPr>
                <w:rFonts w:ascii="Verdana" w:eastAsia="Times New Roman" w:hAnsi="Verdana" w:cs="Arial"/>
                <w:sz w:val="16"/>
                <w:szCs w:val="16"/>
                <w:lang w:val="es-MX" w:eastAsia="es-CO"/>
              </w:rPr>
            </w:pPr>
            <w:r w:rsidRPr="004F3256">
              <w:rPr>
                <w:rFonts w:ascii="Verdana" w:eastAsia="Times New Roman" w:hAnsi="Verdana" w:cs="Arial"/>
                <w:sz w:val="16"/>
                <w:szCs w:val="16"/>
                <w:lang w:val="es-MX" w:eastAsia="es-CO"/>
              </w:rPr>
              <w:t>Alejandro Raúl Sarmiento Cantillo</w:t>
            </w:r>
          </w:p>
          <w:p w14:paraId="1E5297F4" w14:textId="77777777" w:rsidR="00315CDD" w:rsidRPr="004F3256" w:rsidRDefault="00315CDD" w:rsidP="003F6B09">
            <w:pPr>
              <w:spacing w:before="100" w:beforeAutospacing="1" w:after="100" w:afterAutospacing="1"/>
              <w:contextualSpacing/>
              <w:textAlignment w:val="baseline"/>
              <w:rPr>
                <w:rFonts w:ascii="Verdana" w:eastAsia="Times New Roman" w:hAnsi="Verdana" w:cs="Segoe UI"/>
                <w:sz w:val="16"/>
                <w:szCs w:val="16"/>
                <w:lang w:eastAsia="es-ES_tradnl"/>
              </w:rPr>
            </w:pPr>
            <w:r w:rsidRPr="004F3256">
              <w:rPr>
                <w:rFonts w:ascii="Verdana" w:eastAsia="Times New Roman" w:hAnsi="Verdana" w:cs="Arial"/>
                <w:sz w:val="16"/>
                <w:szCs w:val="16"/>
                <w:lang w:val="es-MX" w:eastAsia="es-CO"/>
              </w:rPr>
              <w:t>Gestor T1-15 de la Subdirección de Gestión Contractual</w:t>
            </w:r>
          </w:p>
        </w:tc>
      </w:tr>
      <w:tr w:rsidR="00315CDD" w:rsidRPr="004F3256" w14:paraId="6AD39494" w14:textId="77777777" w:rsidTr="003F6B09">
        <w:trPr>
          <w:trHeight w:val="300"/>
        </w:trPr>
        <w:tc>
          <w:tcPr>
            <w:tcW w:w="893" w:type="dxa"/>
            <w:vAlign w:val="center"/>
          </w:tcPr>
          <w:p w14:paraId="40DDAB7B" w14:textId="77777777" w:rsidR="00315CDD" w:rsidRPr="004F3256" w:rsidRDefault="00315CDD" w:rsidP="003F6B09">
            <w:pPr>
              <w:contextualSpacing/>
              <w:rPr>
                <w:rFonts w:ascii="Verdana" w:hAnsi="Verdana" w:cs="Arial"/>
                <w:sz w:val="16"/>
                <w:szCs w:val="16"/>
                <w:lang w:eastAsia="es-ES"/>
              </w:rPr>
            </w:pPr>
            <w:r w:rsidRPr="004F3256">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3085B8A" w14:textId="77777777" w:rsidR="00315CDD" w:rsidRPr="004F3256" w:rsidRDefault="00315CDD" w:rsidP="003F6B09">
            <w:pPr>
              <w:contextualSpacing/>
              <w:rPr>
                <w:rFonts w:ascii="Verdana" w:eastAsia="Calibri" w:hAnsi="Verdana" w:cs="Arial"/>
                <w:sz w:val="16"/>
                <w:szCs w:val="16"/>
                <w:lang w:eastAsia="es-ES"/>
              </w:rPr>
            </w:pPr>
            <w:r w:rsidRPr="004F3256">
              <w:rPr>
                <w:rFonts w:ascii="Verdana" w:eastAsia="Calibri" w:hAnsi="Verdana" w:cs="Arial"/>
                <w:sz w:val="16"/>
                <w:szCs w:val="16"/>
                <w:lang w:eastAsia="es-ES"/>
              </w:rPr>
              <w:t>Carolina Quintero Gacharná</w:t>
            </w:r>
          </w:p>
          <w:p w14:paraId="42AC660B" w14:textId="77777777" w:rsidR="00315CDD" w:rsidRPr="004F3256" w:rsidRDefault="00315CDD" w:rsidP="003F6B09">
            <w:pPr>
              <w:contextualSpacing/>
              <w:rPr>
                <w:rFonts w:ascii="Verdana" w:eastAsia="Calibri" w:hAnsi="Verdana" w:cs="Arial"/>
                <w:sz w:val="16"/>
                <w:szCs w:val="16"/>
                <w:lang w:eastAsia="es-ES"/>
              </w:rPr>
            </w:pPr>
            <w:r w:rsidRPr="004F3256">
              <w:rPr>
                <w:rFonts w:ascii="Verdana" w:eastAsia="Calibri" w:hAnsi="Verdana" w:cs="Arial"/>
                <w:sz w:val="16"/>
                <w:szCs w:val="16"/>
                <w:lang w:eastAsia="es-ES"/>
              </w:rPr>
              <w:t>Subdirectora de Gestión Contractual ANCP – CCE</w:t>
            </w:r>
          </w:p>
        </w:tc>
      </w:tr>
      <w:bookmarkEnd w:id="0"/>
    </w:tbl>
    <w:p w14:paraId="51F7D0C6" w14:textId="77777777" w:rsidR="00315CDD" w:rsidRPr="000E2B93" w:rsidRDefault="00315CDD" w:rsidP="00315CDD">
      <w:pPr>
        <w:spacing w:after="0" w:line="240" w:lineRule="auto"/>
        <w:jc w:val="both"/>
        <w:textAlignment w:val="baseline"/>
        <w:rPr>
          <w:rFonts w:ascii="Verdana" w:eastAsia="Verdana" w:hAnsi="Verdana" w:cs="Verdana"/>
          <w:lang w:eastAsia="es-CO"/>
        </w:rPr>
      </w:pPr>
    </w:p>
    <w:p w14:paraId="2B11220F" w14:textId="0EC79A7C" w:rsidR="00315CDD" w:rsidRPr="000E2B93" w:rsidRDefault="00315CDD" w:rsidP="00315CDD">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1"/>
    </w:p>
    <w:p w14:paraId="2A81EB88" w14:textId="77777777" w:rsidR="00EB703A" w:rsidRPr="00315CDD" w:rsidRDefault="00EB703A" w:rsidP="00315CDD"/>
    <w:sectPr w:rsidR="00EB703A" w:rsidRPr="00315CDD" w:rsidSect="00C44B4C">
      <w:headerReference w:type="default" r:id="rId21"/>
      <w:footerReference w:type="default" r:id="rId22"/>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B422F5" w14:textId="77777777" w:rsidR="003818F7" w:rsidRPr="009B7987" w:rsidRDefault="003818F7" w:rsidP="00B30448">
      <w:pPr>
        <w:spacing w:after="0" w:line="240" w:lineRule="auto"/>
      </w:pPr>
      <w:r w:rsidRPr="009B7987">
        <w:separator/>
      </w:r>
    </w:p>
  </w:endnote>
  <w:endnote w:type="continuationSeparator" w:id="0">
    <w:p w14:paraId="0D55ECC5" w14:textId="77777777" w:rsidR="003818F7" w:rsidRPr="009B7987" w:rsidRDefault="003818F7" w:rsidP="00B30448">
      <w:pPr>
        <w:spacing w:after="0" w:line="240" w:lineRule="auto"/>
      </w:pPr>
      <w:r w:rsidRPr="009B7987">
        <w:continuationSeparator/>
      </w:r>
    </w:p>
  </w:endnote>
  <w:endnote w:type="continuationNotice" w:id="1">
    <w:p w14:paraId="393CFC4A" w14:textId="77777777" w:rsidR="003818F7" w:rsidRPr="009B7987" w:rsidRDefault="003818F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9B7987" w:rsidRDefault="00A81E50" w:rsidP="00A81E50">
    <w:pPr>
      <w:pBdr>
        <w:top w:val="single" w:sz="4" w:space="1" w:color="auto"/>
      </w:pBdr>
      <w:spacing w:after="0"/>
      <w:rPr>
        <w:rFonts w:ascii="Verdana" w:hAnsi="Verdana"/>
        <w:b/>
        <w:bCs/>
        <w:sz w:val="20"/>
        <w:szCs w:val="20"/>
      </w:rPr>
    </w:pPr>
    <w:r w:rsidRPr="009B7987">
      <w:rPr>
        <w:rFonts w:ascii="Verdana" w:hAnsi="Verdana"/>
        <w:b/>
        <w:bCs/>
        <w:sz w:val="20"/>
        <w:szCs w:val="20"/>
      </w:rPr>
      <w:t xml:space="preserve">Agencia Nacional de Contratación Pública                                              </w:t>
    </w:r>
    <w:r w:rsidRPr="009B7987">
      <w:rPr>
        <w:rFonts w:ascii="Verdana" w:eastAsiaTheme="majorEastAsia" w:hAnsi="Verdana" w:cstheme="majorBidi"/>
        <w:b/>
        <w:bCs/>
        <w:sz w:val="16"/>
        <w:szCs w:val="16"/>
      </w:rPr>
      <w:t xml:space="preserve">pág. </w:t>
    </w:r>
    <w:r w:rsidRPr="009B7987">
      <w:rPr>
        <w:rFonts w:ascii="Verdana" w:eastAsiaTheme="minorEastAsia" w:hAnsi="Verdana"/>
        <w:b/>
        <w:bCs/>
        <w:sz w:val="16"/>
        <w:szCs w:val="16"/>
      </w:rPr>
      <w:fldChar w:fldCharType="begin"/>
    </w:r>
    <w:r w:rsidRPr="009B7987">
      <w:rPr>
        <w:rFonts w:ascii="Verdana" w:hAnsi="Verdana"/>
        <w:b/>
        <w:bCs/>
        <w:sz w:val="16"/>
        <w:szCs w:val="16"/>
      </w:rPr>
      <w:instrText>PAGE    \* MERGEFORMAT</w:instrText>
    </w:r>
    <w:r w:rsidRPr="009B7987">
      <w:rPr>
        <w:rFonts w:ascii="Verdana" w:eastAsiaTheme="minorEastAsia" w:hAnsi="Verdana"/>
        <w:b/>
        <w:bCs/>
        <w:sz w:val="16"/>
        <w:szCs w:val="16"/>
      </w:rPr>
      <w:fldChar w:fldCharType="separate"/>
    </w:r>
    <w:r w:rsidRPr="009B7987">
      <w:rPr>
        <w:rFonts w:ascii="Verdana" w:eastAsiaTheme="minorEastAsia" w:hAnsi="Verdana"/>
        <w:b/>
        <w:bCs/>
        <w:sz w:val="16"/>
        <w:szCs w:val="16"/>
      </w:rPr>
      <w:t>1</w:t>
    </w:r>
    <w:r w:rsidRPr="009B7987">
      <w:rPr>
        <w:rFonts w:ascii="Verdana" w:eastAsiaTheme="majorEastAsia" w:hAnsi="Verdana" w:cstheme="majorBidi"/>
        <w:b/>
        <w:bCs/>
        <w:sz w:val="16"/>
        <w:szCs w:val="16"/>
      </w:rPr>
      <w:fldChar w:fldCharType="end"/>
    </w:r>
    <w:r w:rsidRPr="009B7987">
      <w:rPr>
        <w:rFonts w:ascii="Verdana" w:hAnsi="Verdana"/>
        <w:b/>
        <w:bCs/>
        <w:sz w:val="20"/>
        <w:szCs w:val="20"/>
      </w:rPr>
      <w:t xml:space="preserve">              Colombia Compra Eficiente                                                            </w:t>
    </w:r>
  </w:p>
  <w:p w14:paraId="4FC9CAA9"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Dirección: Carrera 7 # 26 – 20 - Bogotá, Colombia</w:t>
    </w:r>
  </w:p>
  <w:p w14:paraId="0B709B73"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Mesa de servicio: (+57) 601 7456788</w:t>
    </w:r>
  </w:p>
  <w:p w14:paraId="224AB27F" w14:textId="77777777" w:rsidR="00DD7A2C" w:rsidRPr="009B7987"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9B7987">
      <w:rPr>
        <w:rFonts w:ascii="Verdana" w:hAnsi="Verdana"/>
        <w:sz w:val="18"/>
        <w:szCs w:val="18"/>
      </w:rPr>
      <w:t>Atención al ciudadano: (+57) 601 7956600</w:t>
    </w:r>
    <w:r w:rsidRPr="009B7987">
      <w:rPr>
        <w:rFonts w:ascii="Verdana" w:hAnsi="Verdana"/>
        <w:sz w:val="20"/>
        <w:szCs w:val="20"/>
      </w:rPr>
      <w:t xml:space="preserve">         </w:t>
    </w:r>
  </w:p>
  <w:p w14:paraId="2B8DBB2A" w14:textId="26AE77D2" w:rsidR="00A81E50" w:rsidRPr="009B7987" w:rsidRDefault="00A81E50" w:rsidP="00DD7A2C">
    <w:pPr>
      <w:pBdr>
        <w:top w:val="nil"/>
        <w:left w:val="nil"/>
        <w:bottom w:val="nil"/>
        <w:right w:val="nil"/>
        <w:between w:val="nil"/>
      </w:pBdr>
      <w:tabs>
        <w:tab w:val="center" w:pos="4419"/>
        <w:tab w:val="right" w:pos="8838"/>
        <w:tab w:val="center" w:pos="5400"/>
      </w:tabs>
      <w:spacing w:after="0"/>
      <w:jc w:val="right"/>
    </w:pPr>
    <w:r w:rsidRPr="009B7987">
      <w:rPr>
        <w:rFonts w:ascii="Verdana" w:hAnsi="Verdana"/>
        <w:sz w:val="20"/>
        <w:szCs w:val="20"/>
      </w:rPr>
      <w:t xml:space="preserve"> </w:t>
    </w:r>
    <w:r w:rsidRPr="009B7987">
      <w:rPr>
        <w:rFonts w:ascii="Verdana" w:eastAsia="Geo" w:hAnsi="Verdana" w:cs="Geo"/>
        <w:bCs/>
        <w:color w:val="000000"/>
        <w:sz w:val="16"/>
        <w:szCs w:val="16"/>
        <w:lang w:eastAsia="es-CO"/>
      </w:rPr>
      <w:t>Código: CCE-REC-FM-13 Versión</w:t>
    </w:r>
    <w:r w:rsidRPr="009B7987">
      <w:rPr>
        <w:rFonts w:ascii="Verdana" w:eastAsia="Arial Nova" w:hAnsi="Verdana" w:cs="Arial Nova"/>
        <w:bCs/>
        <w:color w:val="000000"/>
        <w:sz w:val="16"/>
        <w:szCs w:val="16"/>
        <w:lang w:eastAsia="es-CO"/>
      </w:rPr>
      <w:t>:</w:t>
    </w:r>
    <w:r w:rsidRPr="009B7987">
      <w:rPr>
        <w:rFonts w:ascii="Verdana" w:eastAsia="Arial Nova" w:hAnsi="Verdana" w:cs="Arial Nova"/>
        <w:b/>
        <w:color w:val="000000"/>
        <w:sz w:val="16"/>
        <w:szCs w:val="16"/>
        <w:lang w:eastAsia="es-CO"/>
      </w:rPr>
      <w:t xml:space="preserve"> </w:t>
    </w:r>
    <w:r w:rsidRPr="009B7987">
      <w:rPr>
        <w:rFonts w:ascii="Verdana" w:eastAsia="Geo" w:hAnsi="Verdana" w:cs="Geo"/>
        <w:sz w:val="16"/>
        <w:szCs w:val="16"/>
        <w:lang w:eastAsia="es-CO"/>
      </w:rPr>
      <w:t>01 Fecha:15-06-2023</w:t>
    </w:r>
  </w:p>
  <w:p w14:paraId="3574F586" w14:textId="77777777" w:rsidR="00D134BD" w:rsidRDefault="00D134BD"/>
  <w:p w14:paraId="3369C2CC" w14:textId="77777777" w:rsidR="00D134BD" w:rsidRDefault="00D134B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F73FED" w14:textId="77777777" w:rsidR="003818F7" w:rsidRPr="009B7987" w:rsidRDefault="003818F7" w:rsidP="00B30448">
      <w:pPr>
        <w:spacing w:after="0" w:line="240" w:lineRule="auto"/>
      </w:pPr>
      <w:r w:rsidRPr="009B7987">
        <w:separator/>
      </w:r>
    </w:p>
  </w:footnote>
  <w:footnote w:type="continuationSeparator" w:id="0">
    <w:p w14:paraId="7CE2B2ED" w14:textId="77777777" w:rsidR="003818F7" w:rsidRPr="009B7987" w:rsidRDefault="003818F7" w:rsidP="00B30448">
      <w:pPr>
        <w:spacing w:after="0" w:line="240" w:lineRule="auto"/>
      </w:pPr>
      <w:r w:rsidRPr="009B7987">
        <w:continuationSeparator/>
      </w:r>
    </w:p>
  </w:footnote>
  <w:footnote w:type="continuationNotice" w:id="1">
    <w:p w14:paraId="69D4A4FD" w14:textId="77777777" w:rsidR="003818F7" w:rsidRPr="009B7987" w:rsidRDefault="003818F7">
      <w:pPr>
        <w:spacing w:after="0" w:line="240" w:lineRule="auto"/>
      </w:pPr>
    </w:p>
  </w:footnote>
  <w:footnote w:id="2">
    <w:p w14:paraId="7A92A509" w14:textId="77777777" w:rsidR="00315CDD" w:rsidRPr="00045A51" w:rsidRDefault="00315CDD" w:rsidP="00315CDD">
      <w:pPr>
        <w:pStyle w:val="Textonotapie"/>
        <w:ind w:firstLine="709"/>
        <w:jc w:val="both"/>
        <w:rPr>
          <w:rFonts w:ascii="Verdana" w:eastAsia="Calibri" w:hAnsi="Verdana" w:cs="Arial"/>
          <w:sz w:val="16"/>
          <w:szCs w:val="16"/>
          <w:lang w:val="es-ES_tradnl" w:eastAsia="es-ES_tradnl"/>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66D251F6" w14:textId="77777777" w:rsidR="00315CDD" w:rsidRPr="00045A51" w:rsidRDefault="00315CDD" w:rsidP="00315CDD">
      <w:pPr>
        <w:pStyle w:val="Textonotapie"/>
        <w:ind w:firstLine="709"/>
        <w:jc w:val="both"/>
        <w:rPr>
          <w:rFonts w:ascii="Verdana" w:hAnsi="Verdana" w:cs="Arial"/>
          <w:sz w:val="16"/>
          <w:szCs w:val="16"/>
          <w:lang w:val="es-ES"/>
        </w:rPr>
      </w:pPr>
      <w:r w:rsidRPr="00045A51">
        <w:rPr>
          <w:rFonts w:ascii="Verdana" w:eastAsia="Calibri" w:hAnsi="Verdana" w:cs="Arial"/>
          <w:sz w:val="16"/>
          <w:szCs w:val="16"/>
          <w:lang w:val="es-ES_tradnl" w:eastAsia="es-ES_tradnl"/>
        </w:rPr>
        <w:t>Sin embargo, en otros negocios, como la obra pública, la concesión y la consultoría, el Estado está acostumbrado a que se desglosen intensamente los costos, exigiendo no sólo el precio total sino una distinción entre los costos directos y los costos indirectos.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ítems que componen el contrato–. Los costos indirectos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3">
    <w:p w14:paraId="2D9F48C6" w14:textId="77777777" w:rsidR="00315CDD" w:rsidRPr="00045A51" w:rsidRDefault="00315CDD" w:rsidP="00315CDD">
      <w:pPr>
        <w:pStyle w:val="Textonotapie"/>
        <w:ind w:firstLine="708"/>
        <w:jc w:val="both"/>
        <w:rPr>
          <w:rFonts w:ascii="Verdana" w:hAnsi="Verdana" w:cs="Arial"/>
          <w:sz w:val="16"/>
          <w:szCs w:val="16"/>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CONSEJO DE ESTADO. Sección Tercera. Subsección B. Sentencia del 29 de febrero de 2012. Exp. 16371, C.P. Danilo Rojas Betancourth.</w:t>
      </w:r>
    </w:p>
  </w:footnote>
  <w:footnote w:id="4">
    <w:p w14:paraId="52B797D0" w14:textId="77777777" w:rsidR="00315CDD" w:rsidRPr="00045A51" w:rsidRDefault="00315CDD" w:rsidP="00315CDD">
      <w:pPr>
        <w:pStyle w:val="Textonotapie"/>
        <w:ind w:firstLine="709"/>
        <w:jc w:val="both"/>
        <w:rPr>
          <w:rFonts w:ascii="Verdana" w:hAnsi="Verdana" w:cs="Arial"/>
          <w:sz w:val="16"/>
          <w:szCs w:val="16"/>
          <w:lang w:val="es-CO"/>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PINO RICCI, Jorge. El régimen jurídico de los contratos estatales. Universidad Externado de Colombia. Bogotá, 2005. pp. 416.</w:t>
      </w:r>
    </w:p>
  </w:footnote>
  <w:footnote w:id="5">
    <w:p w14:paraId="6847F621" w14:textId="77777777" w:rsidR="00315CDD" w:rsidRPr="00045A51" w:rsidRDefault="00315CDD" w:rsidP="00315CDD">
      <w:pPr>
        <w:pStyle w:val="Textonotapie"/>
        <w:ind w:firstLine="708"/>
        <w:jc w:val="both"/>
        <w:rPr>
          <w:rFonts w:ascii="Verdana" w:hAnsi="Verdana" w:cs="Arial"/>
          <w:sz w:val="16"/>
          <w:szCs w:val="16"/>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CONSEJO DE ESTADO. Sección Tercera. Subsección B. Sentencia del 14 de octubre de 2011. Exp. 20811, C.P. Ruth Stella Correa Palacio.</w:t>
      </w:r>
    </w:p>
  </w:footnote>
  <w:footnote w:id="6">
    <w:p w14:paraId="2BBA3B96" w14:textId="77777777" w:rsidR="00315CDD" w:rsidRPr="00045A51" w:rsidRDefault="00315CDD" w:rsidP="00315CDD">
      <w:pPr>
        <w:pStyle w:val="Textonotapie"/>
        <w:ind w:firstLine="708"/>
        <w:jc w:val="both"/>
        <w:rPr>
          <w:rFonts w:ascii="Verdana" w:hAnsi="Verdana" w:cs="Arial"/>
          <w:sz w:val="16"/>
          <w:szCs w:val="16"/>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CONSEJO DE ESTADO. Sala de Consulta y Servicio Civil. Concepto del 5 de septiembre de 2018, radicado No. 11001-03-06-000-2018-00124-00 C.P. Édgar González López.</w:t>
      </w:r>
    </w:p>
  </w:footnote>
  <w:footnote w:id="7">
    <w:p w14:paraId="228CBD0A" w14:textId="77777777" w:rsidR="00315CDD" w:rsidRPr="00045A51" w:rsidRDefault="00315CDD" w:rsidP="00315CDD">
      <w:pPr>
        <w:pStyle w:val="Textonotapie"/>
        <w:ind w:firstLine="708"/>
        <w:jc w:val="both"/>
        <w:rPr>
          <w:rFonts w:ascii="Verdana" w:hAnsi="Verdana" w:cs="Arial"/>
          <w:sz w:val="16"/>
          <w:szCs w:val="16"/>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 la utilidad es el beneficio económico que pretende percibir el contratista por la ejecución del contrato y por costos de administración se han tenido como tales los que constituyen costos indirectos para la operación del contrato, tales como los gastos de disponibilidad de la organización del contratista; el porcentaje para imprevistos, como su nombre lo indica, está destinado a cubrir los gastos con los que no se contaba y que se presenten durante la ejecución del contrato” (Consejo de Estado. Sección Tercera. Consejero Ponente: Ramiro Saavedra Becerra. Sentencia del 28 de agosto de 2003. Radicado: 17.554).</w:t>
      </w:r>
      <w:r w:rsidRPr="00045A51">
        <w:rPr>
          <w:rFonts w:ascii="Verdana" w:hAnsi="Verdana" w:cs="Arial"/>
          <w:sz w:val="16"/>
          <w:szCs w:val="16"/>
        </w:rPr>
        <w:t xml:space="preserve"> </w:t>
      </w:r>
    </w:p>
  </w:footnote>
  <w:footnote w:id="8">
    <w:p w14:paraId="0C3CF06B" w14:textId="77777777" w:rsidR="00315CDD" w:rsidRPr="00045A51" w:rsidRDefault="00315CDD" w:rsidP="00315CDD">
      <w:pPr>
        <w:pStyle w:val="Textonotapie"/>
        <w:ind w:firstLine="709"/>
        <w:jc w:val="both"/>
        <w:rPr>
          <w:rFonts w:ascii="Verdana" w:eastAsia="Calibri" w:hAnsi="Verdana" w:cs="Arial"/>
          <w:sz w:val="16"/>
          <w:szCs w:val="16"/>
          <w:lang w:val="es-ES_tradnl" w:eastAsia="es-ES_tradnl"/>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MARÍN, Op. Cit., pp. 64-65.</w:t>
      </w:r>
    </w:p>
  </w:footnote>
  <w:footnote w:id="9">
    <w:p w14:paraId="18DFECCD" w14:textId="77777777" w:rsidR="00315CDD" w:rsidRPr="00045A51" w:rsidRDefault="00315CDD" w:rsidP="00315CDD">
      <w:pPr>
        <w:pStyle w:val="Textonotapie"/>
        <w:ind w:firstLine="709"/>
        <w:jc w:val="both"/>
        <w:rPr>
          <w:rFonts w:ascii="Verdana" w:hAnsi="Verdana" w:cs="Arial"/>
          <w:sz w:val="16"/>
          <w:szCs w:val="16"/>
          <w:lang w:val="es-ES"/>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Ibíd., p. 66.</w:t>
      </w:r>
    </w:p>
  </w:footnote>
  <w:footnote w:id="10">
    <w:p w14:paraId="618C233A" w14:textId="77777777" w:rsidR="00315CDD" w:rsidRPr="00045A51" w:rsidRDefault="00315CDD" w:rsidP="00315CDD">
      <w:pPr>
        <w:pStyle w:val="Textonotapie"/>
        <w:ind w:firstLine="708"/>
        <w:jc w:val="both"/>
        <w:rPr>
          <w:rFonts w:ascii="Verdana" w:eastAsia="Calibri" w:hAnsi="Verdana" w:cs="Arial"/>
          <w:sz w:val="16"/>
          <w:szCs w:val="16"/>
          <w:lang w:val="es-ES_tradnl" w:eastAsia="es-ES_tradnl"/>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“Que el porcentaje sea superior o inferior, o que para una empresa sea mayor o menor que para otra, depende de muchas razones, por ejemplo: del personal que se requiera en la obra –unas empresas emplean más o menos que otras–; de la magnitud del trabajo; de las cargas administrativas que cada empresa tienen –pensionados, convenciones colectivas y otros; del tamaño de la misma –mientras más grande es la A tiende a ser mayor; del costo de los campamentos; del transporte del personal; del sitio de las obras –si la empresa tiene un domicilio en el lugar del trabajo su A tiende a ser menor, y si se encuentra en otra ciudad tiende a subir, por ejemplo porque el salario de los ingenieros se incrementa por los viáticos–”. (Ibíd, p. 76)</w:t>
      </w:r>
    </w:p>
  </w:footnote>
  <w:footnote w:id="11">
    <w:p w14:paraId="58304F18" w14:textId="77777777" w:rsidR="00315CDD" w:rsidRPr="00045A51" w:rsidRDefault="00315CDD" w:rsidP="00315CDD">
      <w:pPr>
        <w:pStyle w:val="Textonotapie"/>
        <w:ind w:firstLine="708"/>
        <w:jc w:val="both"/>
        <w:rPr>
          <w:rFonts w:ascii="Verdana" w:hAnsi="Verdana" w:cs="Arial"/>
          <w:sz w:val="16"/>
          <w:szCs w:val="16"/>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Lo anterior, sin perjuicio de las fórmulas de reajuste que se establezcan en el contrato y lo establecido en el artículo 27 de la Ley 80 de 1993. En tal sentido, en los casos de desequilibrio económico, porque los costos indirectos en los que incurre el contratista exceden el alea normal, es decir, le causan una afectación grave de su economía, podría exigirle a la entidad que le pague más de lo que se estipuló en la A o en la I, siendo esta una circunstancia extraordinaria.</w:t>
      </w:r>
    </w:p>
  </w:footnote>
  <w:footnote w:id="12">
    <w:p w14:paraId="5057428E" w14:textId="77777777" w:rsidR="00315CDD" w:rsidRPr="00045A51" w:rsidRDefault="00315CDD" w:rsidP="00315CDD">
      <w:pPr>
        <w:pStyle w:val="Textonotapie"/>
        <w:ind w:firstLine="709"/>
        <w:jc w:val="both"/>
        <w:rPr>
          <w:lang w:val="es-CO"/>
        </w:rPr>
      </w:pPr>
      <w:r>
        <w:rPr>
          <w:rStyle w:val="Refdenotaalpie"/>
        </w:rPr>
        <w:footnoteRef/>
      </w:r>
      <w:r>
        <w:t xml:space="preserve"> </w:t>
      </w:r>
      <w:r w:rsidRPr="00045A51">
        <w:rPr>
          <w:rFonts w:ascii="Verdana" w:hAnsi="Verdana" w:cs="Arial"/>
          <w:sz w:val="16"/>
          <w:szCs w:val="16"/>
          <w:lang w:val="es-ES_tradnl"/>
        </w:rPr>
        <w:t>Consejo de Estado. Sala de Consulta y Servicio Civil. Concepto del 5 de septiembre de 2018, radicado No. 11001-03-06-000-2018-00124-00, C.P. Édgar González López</w:t>
      </w:r>
    </w:p>
  </w:footnote>
  <w:footnote w:id="13">
    <w:p w14:paraId="3EA11E93" w14:textId="77777777" w:rsidR="00315CDD" w:rsidRPr="00045A51" w:rsidRDefault="00315CDD" w:rsidP="00315CDD">
      <w:pPr>
        <w:pStyle w:val="Textonotapie"/>
        <w:ind w:firstLine="708"/>
        <w:jc w:val="both"/>
        <w:rPr>
          <w:rFonts w:ascii="Verdana" w:hAnsi="Verdana" w:cs="Arial"/>
          <w:sz w:val="16"/>
          <w:szCs w:val="16"/>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Ibíd, p. 77.</w:t>
      </w:r>
      <w:r w:rsidRPr="00045A51">
        <w:rPr>
          <w:rFonts w:ascii="Verdana" w:hAnsi="Verdana" w:cs="Arial"/>
          <w:sz w:val="16"/>
          <w:szCs w:val="16"/>
        </w:rPr>
        <w:t xml:space="preserve"> </w:t>
      </w:r>
    </w:p>
    <w:p w14:paraId="461EB0D6" w14:textId="77777777" w:rsidR="00315CDD" w:rsidRPr="00045A51" w:rsidRDefault="00315CDD" w:rsidP="00315CDD">
      <w:pPr>
        <w:pStyle w:val="Textonotapie"/>
        <w:ind w:firstLine="708"/>
        <w:jc w:val="both"/>
        <w:rPr>
          <w:rFonts w:ascii="Verdana" w:hAnsi="Verdana" w:cs="Arial"/>
          <w:sz w:val="16"/>
          <w:szCs w:val="16"/>
          <w:lang w:val="es-CO"/>
        </w:rPr>
      </w:pPr>
    </w:p>
  </w:footnote>
  <w:footnote w:id="14">
    <w:p w14:paraId="2272EDDE" w14:textId="77777777" w:rsidR="00315CDD" w:rsidRPr="00143AF3" w:rsidRDefault="00315CDD" w:rsidP="00315CDD">
      <w:pPr>
        <w:pStyle w:val="Textonotapie"/>
        <w:ind w:firstLine="709"/>
        <w:rPr>
          <w:lang w:val="es-CO"/>
        </w:rPr>
      </w:pPr>
      <w:r>
        <w:rPr>
          <w:rStyle w:val="Refdenotaalpie"/>
        </w:rPr>
        <w:footnoteRef/>
      </w:r>
      <w:r>
        <w:t xml:space="preserve"> </w:t>
      </w:r>
      <w:r w:rsidRPr="00045A51">
        <w:rPr>
          <w:rFonts w:ascii="Verdana" w:eastAsia="Calibri" w:hAnsi="Verdana" w:cs="Arial"/>
          <w:sz w:val="16"/>
          <w:szCs w:val="16"/>
          <w:lang w:val="es-ES_tradnl" w:eastAsia="es-ES_tradnl"/>
        </w:rPr>
        <w:t>Ibíd, p. 77.</w:t>
      </w:r>
    </w:p>
  </w:footnote>
  <w:footnote w:id="15">
    <w:p w14:paraId="2E1C153F" w14:textId="77777777" w:rsidR="00315CDD" w:rsidRPr="00B95CFD" w:rsidRDefault="00315CDD" w:rsidP="00315CDD">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w:t>
      </w:r>
      <w:r w:rsidRPr="00B95CFD">
        <w:rPr>
          <w:rFonts w:ascii="Verdana" w:hAnsi="Verdana" w:cs="Arial"/>
          <w:i/>
          <w:iCs/>
          <w:sz w:val="16"/>
          <w:szCs w:val="16"/>
          <w:lang w:val="es-ES"/>
        </w:rPr>
        <w:t>“</w:t>
      </w:r>
      <w:r w:rsidRPr="00B95CFD">
        <w:rPr>
          <w:rFonts w:ascii="Verdana" w:hAnsi="Verdana" w:cs="Arial"/>
          <w:bCs/>
          <w:i/>
          <w:iCs/>
          <w:sz w:val="16"/>
          <w:szCs w:val="16"/>
          <w:lang w:val="es-ES_tradnl"/>
        </w:rPr>
        <w:t>La función administrativa está al servicio de los intereses generales y se desarrolla con fundamento en los principios de igualdad, moralidad, eficacia, economía, celeridad, imparcialidad y publicidad, mediante la descentralización, la delegación y la desconcentración de funciones. Las autoridades administrativas deben coordinar sus actuaciones para el adecuado cumplimiento de los fines del estado. La administración pública, en todos sus órdenes, tendrá un control interno que se ejercerá en los términos que señale la Ley”.</w:t>
      </w:r>
    </w:p>
  </w:footnote>
  <w:footnote w:id="16">
    <w:p w14:paraId="0667E330" w14:textId="77777777" w:rsidR="00315CDD" w:rsidRPr="00B95CFD" w:rsidRDefault="00315CDD" w:rsidP="00315CDD">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w:t>
      </w:r>
      <w:r w:rsidRPr="00B95CFD">
        <w:rPr>
          <w:rFonts w:ascii="Verdana" w:hAnsi="Verdana" w:cs="Arial"/>
          <w:color w:val="000000" w:themeColor="text1"/>
          <w:sz w:val="16"/>
          <w:szCs w:val="16"/>
        </w:rPr>
        <w:t>“</w:t>
      </w:r>
      <w:r w:rsidRPr="00B95CFD">
        <w:rPr>
          <w:rStyle w:val="nfasis"/>
          <w:rFonts w:ascii="Verdana" w:hAnsi="Verdana" w:cs="Arial"/>
          <w:color w:val="000000" w:themeColor="text1"/>
          <w:sz w:val="16"/>
          <w:szCs w:val="16"/>
          <w:shd w:val="clear" w:color="auto" w:fill="FFFFFF"/>
        </w:rPr>
        <w:t>Por la cual se dictan normas sobre la organización y funcionamiento de las entidades del orden nacional, se expiden las disposiciones, principios y reglas generales para el ejercicio de las atribuciones previstas en los numerales 15 y 16 del artículo 189 de la Constitución Política y se dictan otras disposiciones”.</w:t>
      </w:r>
    </w:p>
  </w:footnote>
  <w:footnote w:id="17">
    <w:p w14:paraId="5A835EFC" w14:textId="77777777" w:rsidR="00315CDD" w:rsidRPr="00B95CFD" w:rsidRDefault="00315CDD" w:rsidP="00315CDD">
      <w:pPr>
        <w:pStyle w:val="Textonotapie"/>
        <w:ind w:firstLine="709"/>
        <w:jc w:val="both"/>
        <w:rPr>
          <w:rFonts w:ascii="Verdana" w:hAnsi="Verdana"/>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Este artículo fue declarado exequible por la Corte Constitucional mediante la Sentencia C-671 de 1999, M.P. Alfredo Beltrán Sierra.</w:t>
      </w:r>
    </w:p>
  </w:footnote>
  <w:footnote w:id="18">
    <w:p w14:paraId="7CDFCC60" w14:textId="77777777" w:rsidR="00315CDD" w:rsidRPr="00B95CFD" w:rsidRDefault="00315CDD" w:rsidP="00315CDD">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w:t>
      </w:r>
      <w:r>
        <w:rPr>
          <w:rFonts w:ascii="Verdana" w:hAnsi="Verdana" w:cs="Arial"/>
          <w:sz w:val="16"/>
          <w:szCs w:val="16"/>
        </w:rPr>
        <w:t>Consejo de Estado</w:t>
      </w:r>
      <w:r w:rsidRPr="00B95CFD">
        <w:rPr>
          <w:rFonts w:ascii="Verdana" w:hAnsi="Verdana" w:cs="Arial"/>
          <w:sz w:val="16"/>
          <w:szCs w:val="16"/>
        </w:rPr>
        <w:t>, Sala de lo Contencioso Administrativo, Sección Tercera, sentencia de 23 de junio de 2010, exp.17860.</w:t>
      </w:r>
    </w:p>
  </w:footnote>
  <w:footnote w:id="19">
    <w:p w14:paraId="30B06F1E" w14:textId="77777777" w:rsidR="00315CDD" w:rsidRPr="00B95CFD" w:rsidRDefault="00315CDD" w:rsidP="00315CDD">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Santos Rodríguez, Jorge Enrique. </w:t>
      </w:r>
      <w:r w:rsidRPr="00B95CFD">
        <w:rPr>
          <w:rFonts w:ascii="Verdana" w:hAnsi="Verdana" w:cs="Arial"/>
          <w:i/>
          <w:iCs/>
          <w:sz w:val="16"/>
          <w:szCs w:val="16"/>
        </w:rPr>
        <w:t>“Consideraciones sobre los convenios y contratos interadministrativos”</w:t>
      </w:r>
      <w:r w:rsidRPr="00B95CFD">
        <w:rPr>
          <w:rFonts w:ascii="Verdana" w:hAnsi="Verdana" w:cs="Arial"/>
          <w:sz w:val="16"/>
          <w:szCs w:val="16"/>
        </w:rPr>
        <w:t>. Universidad Externado de Colombia, Revista Digital de Derecho Administrativo, Bogotá 2009.</w:t>
      </w:r>
    </w:p>
  </w:footnote>
  <w:footnote w:id="20">
    <w:p w14:paraId="7BA3AFA1" w14:textId="77777777" w:rsidR="00315CDD" w:rsidRPr="00B95CFD" w:rsidRDefault="00315CDD" w:rsidP="00315CDD">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Sobre el concepto causalista de contrato y sus efectos respecto de la actividad negocial de la administración, cfr. Augusto Ramón Chávez Marín Los convenios de la administración: entre la gestión pública y la actividad negocial, Bogotá, Universidad del Rosario, 2008, pp. 41 y ss.</w:t>
      </w:r>
    </w:p>
  </w:footnote>
  <w:footnote w:id="21">
    <w:p w14:paraId="5195BC9B" w14:textId="77777777" w:rsidR="00315CDD" w:rsidRPr="00B95CFD" w:rsidRDefault="00315CDD" w:rsidP="00315CDD">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Expósito Vélez, Juan Carlos. </w:t>
      </w:r>
      <w:r w:rsidRPr="00B95CFD">
        <w:rPr>
          <w:rFonts w:ascii="Verdana" w:hAnsi="Verdana" w:cs="Arial"/>
          <w:i/>
          <w:iCs/>
          <w:sz w:val="16"/>
          <w:szCs w:val="16"/>
        </w:rPr>
        <w:t>“La configuración del contrato de la administración pública en derecho colombiano y español”</w:t>
      </w:r>
      <w:r w:rsidRPr="00B95CFD">
        <w:rPr>
          <w:rFonts w:ascii="Verdana" w:hAnsi="Verdana" w:cs="Arial"/>
          <w:sz w:val="16"/>
          <w:szCs w:val="16"/>
        </w:rPr>
        <w:t>. Bogotá, universidad Externado de Colombia, 2003, p. 25.</w:t>
      </w:r>
    </w:p>
  </w:footnote>
  <w:footnote w:id="22">
    <w:p w14:paraId="78716FBB" w14:textId="77777777" w:rsidR="00315CDD" w:rsidRPr="00B95CFD" w:rsidRDefault="00315CDD" w:rsidP="00315CDD">
      <w:pPr>
        <w:ind w:firstLine="708"/>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w:t>
      </w:r>
      <w:r>
        <w:rPr>
          <w:rFonts w:ascii="Verdana" w:hAnsi="Verdana" w:cs="Arial"/>
          <w:sz w:val="16"/>
          <w:szCs w:val="16"/>
        </w:rPr>
        <w:t>Consejo de Estado</w:t>
      </w:r>
      <w:r w:rsidRPr="00B95CFD">
        <w:rPr>
          <w:rFonts w:ascii="Verdana" w:hAnsi="Verdana" w:cs="Arial"/>
          <w:sz w:val="16"/>
          <w:szCs w:val="16"/>
        </w:rPr>
        <w:t>. Sala de Consulta y Servicio Civil. Concepto 26 de julio de 2016. Exp. 2.257. C.P. Álvaro Namén Vargas.</w:t>
      </w:r>
    </w:p>
  </w:footnote>
  <w:footnote w:id="23">
    <w:p w14:paraId="32D84894" w14:textId="77777777" w:rsidR="00315CDD" w:rsidRPr="00B95CFD" w:rsidRDefault="00315CDD" w:rsidP="00315CDD">
      <w:pPr>
        <w:ind w:firstLine="708"/>
        <w:contextualSpacing/>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[Referencia propia de la cita] «CE. SCSC. Concepto de 1 de noviembre de 2016 [Rad. 11001-03-06-000-2016-00125-00(2305)]. MP. Germán Alberto Bula Escobar».</w:t>
      </w:r>
    </w:p>
  </w:footnote>
  <w:footnote w:id="24">
    <w:p w14:paraId="2E65221E" w14:textId="77777777" w:rsidR="00315CDD" w:rsidRPr="00B95CFD" w:rsidRDefault="00315CDD" w:rsidP="00315CDD">
      <w:pPr>
        <w:ind w:firstLine="708"/>
        <w:contextualSpacing/>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[Referencia propia de la cita] «CE. SCSC. Concepto de 30 de abril de 2008 [Rad. 11001-03-06-000-2008-00013-00(1881)]. MP. Enrique José Arboleda Perdomo. En esta oportunidad, la Sala indicó que el contenido </w:t>
      </w:r>
      <w:r w:rsidRPr="00B95CFD">
        <w:rPr>
          <w:rFonts w:ascii="Verdana" w:hAnsi="Verdana" w:cs="Arial"/>
          <w:i/>
          <w:sz w:val="16"/>
          <w:szCs w:val="16"/>
        </w:rPr>
        <w:t>“obligacional”</w:t>
      </w:r>
      <w:r w:rsidRPr="00B95CFD">
        <w:rPr>
          <w:rFonts w:ascii="Verdana" w:hAnsi="Verdana" w:cs="Arial"/>
          <w:sz w:val="16"/>
          <w:szCs w:val="16"/>
        </w:rPr>
        <w:t xml:space="preserve"> de los convenios se estructura definiendo el resultado querido por las partes y los medios que cada entidad despliega para la obtención del respectivo objeto».</w:t>
      </w:r>
    </w:p>
  </w:footnote>
  <w:footnote w:id="25">
    <w:p w14:paraId="78DAB642" w14:textId="77777777" w:rsidR="00315CDD" w:rsidRPr="00B95CFD" w:rsidRDefault="00315CDD" w:rsidP="00315CDD">
      <w:pPr>
        <w:spacing w:line="240" w:lineRule="auto"/>
        <w:ind w:firstLine="709"/>
        <w:contextualSpacing/>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[Referencia propia de la cita] «La normativa vigente del EGCAP </w:t>
      </w:r>
      <w:r w:rsidRPr="00B95CFD">
        <w:rPr>
          <w:rFonts w:ascii="Verdana" w:hAnsi="Verdana" w:cs="Arial"/>
          <w:i/>
          <w:sz w:val="16"/>
          <w:szCs w:val="16"/>
        </w:rPr>
        <w:t>[literal c) del numeral 4. del artículo 2 de la Ley 1150/07]</w:t>
      </w:r>
      <w:r w:rsidRPr="00B95CFD">
        <w:rPr>
          <w:rFonts w:ascii="Verdana" w:hAnsi="Verdana" w:cs="Arial"/>
          <w:sz w:val="16"/>
          <w:szCs w:val="16"/>
        </w:rPr>
        <w:t xml:space="preserve"> se refiere a </w:t>
      </w:r>
      <w:r w:rsidRPr="00B95CFD">
        <w:rPr>
          <w:rFonts w:ascii="Verdana" w:hAnsi="Verdana" w:cs="Arial"/>
          <w:i/>
          <w:sz w:val="16"/>
          <w:szCs w:val="16"/>
        </w:rPr>
        <w:t>“contratos interadministrativos”</w:t>
      </w:r>
      <w:r w:rsidRPr="00B95CFD">
        <w:rPr>
          <w:rFonts w:ascii="Verdana" w:hAnsi="Verdana" w:cs="Arial"/>
          <w:sz w:val="16"/>
          <w:szCs w:val="16"/>
        </w:rPr>
        <w:t xml:space="preserve"> en los que sí existe dicha contraposición de intereses, lo cual obedece a que las relaciones obligatorias que estos plantean, a diferencia de los regulados por el artículo 95 de la Ley 489/98, carecen de la finalidad asociativa, en la medida en que persiguen preponderantemente la satisfacción de necesidades contractuales de las entidades estatales, sin perjuicio de los fines que motivan la contratación en los términos del artículo 3 de la Ley 80/93».</w:t>
      </w:r>
    </w:p>
  </w:footnote>
  <w:footnote w:id="26">
    <w:p w14:paraId="798EE840" w14:textId="77777777" w:rsidR="00315CDD" w:rsidRPr="00B95CFD" w:rsidRDefault="00315CDD" w:rsidP="00315CDD">
      <w:pPr>
        <w:pStyle w:val="Textonotapie"/>
        <w:ind w:firstLine="709"/>
        <w:jc w:val="both"/>
        <w:rPr>
          <w:rFonts w:ascii="Verdana" w:hAnsi="Verdana" w:cs="Arial"/>
          <w:sz w:val="16"/>
          <w:szCs w:val="16"/>
          <w:lang w:val="es-ES"/>
        </w:rPr>
      </w:pPr>
      <w:r w:rsidRPr="00B95CFD">
        <w:rPr>
          <w:rStyle w:val="Refdenotaalpie"/>
          <w:rFonts w:ascii="Verdana" w:hAnsi="Verdana" w:cs="Arial"/>
          <w:sz w:val="16"/>
          <w:szCs w:val="16"/>
        </w:rPr>
        <w:footnoteRef/>
      </w:r>
      <w:r w:rsidRPr="00B95CFD">
        <w:rPr>
          <w:rFonts w:ascii="Verdana" w:hAnsi="Verdana" w:cs="Arial"/>
          <w:sz w:val="16"/>
          <w:szCs w:val="16"/>
        </w:rPr>
        <w:t xml:space="preserve"> En sentido similar </w:t>
      </w:r>
      <w:r w:rsidRPr="00B95CFD">
        <w:rPr>
          <w:rFonts w:ascii="Verdana" w:hAnsi="Verdana" w:cs="Arial"/>
          <w:sz w:val="16"/>
          <w:szCs w:val="16"/>
          <w:lang w:val="es-ES"/>
        </w:rPr>
        <w:t xml:space="preserve">ver, entre otras, al </w:t>
      </w:r>
      <w:r>
        <w:rPr>
          <w:rFonts w:ascii="Verdana" w:hAnsi="Verdana" w:cs="Arial"/>
          <w:sz w:val="16"/>
          <w:szCs w:val="16"/>
          <w:lang w:val="es-ES"/>
        </w:rPr>
        <w:t>Consejo de Estado</w:t>
      </w:r>
      <w:r w:rsidRPr="00B95CFD">
        <w:rPr>
          <w:rFonts w:ascii="Verdana" w:hAnsi="Verdana" w:cs="Arial"/>
          <w:sz w:val="16"/>
          <w:szCs w:val="16"/>
          <w:lang w:val="es-ES"/>
        </w:rPr>
        <w:t xml:space="preserve">, Sala de lo Contencioso Administrativo, Sección Tercera, sentencia del 22 de octubre de 2021, Rad. 65978, M.P. Martha Nubia Velásquez; </w:t>
      </w:r>
      <w:r>
        <w:rPr>
          <w:rFonts w:ascii="Verdana" w:hAnsi="Verdana" w:cs="Arial"/>
          <w:sz w:val="16"/>
          <w:szCs w:val="16"/>
          <w:lang w:val="es-ES"/>
        </w:rPr>
        <w:t>Consejo de Estado</w:t>
      </w:r>
      <w:r w:rsidRPr="00B95CFD">
        <w:rPr>
          <w:rFonts w:ascii="Verdana" w:hAnsi="Verdana" w:cs="Arial"/>
          <w:sz w:val="16"/>
          <w:szCs w:val="16"/>
          <w:lang w:val="es-ES"/>
        </w:rPr>
        <w:t xml:space="preserve">, Sala de lo Contencioso Administrativo, Sección Tercera, Subsección A, Sentencia del 23 de abril de 2021, Rad. 49148, M.P. María Adriana Marín; </w:t>
      </w:r>
      <w:r>
        <w:rPr>
          <w:rFonts w:ascii="Verdana" w:hAnsi="Verdana" w:cs="Arial"/>
          <w:sz w:val="16"/>
          <w:szCs w:val="16"/>
          <w:lang w:val="es-ES"/>
        </w:rPr>
        <w:t>Consejo de Estado</w:t>
      </w:r>
      <w:r w:rsidRPr="00B95CFD">
        <w:rPr>
          <w:rFonts w:ascii="Verdana" w:hAnsi="Verdana" w:cs="Arial"/>
          <w:sz w:val="16"/>
          <w:szCs w:val="16"/>
          <w:lang w:val="es-ES"/>
        </w:rPr>
        <w:t xml:space="preserve">, Sala de lo Contencioso Administrativo, Sección Tercera, Subsección A, Sentencia del 21 de mayo de 2021, Rad. 66756, M.P. José Roberto Sáchica Méndez; </w:t>
      </w:r>
      <w:r>
        <w:rPr>
          <w:rFonts w:ascii="Verdana" w:hAnsi="Verdana" w:cs="Arial"/>
          <w:sz w:val="16"/>
          <w:szCs w:val="16"/>
          <w:lang w:val="es-ES"/>
        </w:rPr>
        <w:t>Consejo de Estado</w:t>
      </w:r>
      <w:r w:rsidRPr="00B95CFD">
        <w:rPr>
          <w:rFonts w:ascii="Verdana" w:hAnsi="Verdana" w:cs="Arial"/>
          <w:sz w:val="16"/>
          <w:szCs w:val="16"/>
          <w:lang w:val="es-ES"/>
        </w:rPr>
        <w:t xml:space="preserve">, Sala de lo Contencioso Administrativo, Sección Tercera, Subsección C, Auto del 30 de septiembre de 2020, Rad. 65358, M.P. Guillermo Sánchez Luque. </w:t>
      </w:r>
    </w:p>
    <w:p w14:paraId="7A70DD34" w14:textId="77777777" w:rsidR="00315CDD" w:rsidRPr="00B95CFD" w:rsidRDefault="00315CDD" w:rsidP="00315CDD">
      <w:pPr>
        <w:pStyle w:val="Textonotapie"/>
        <w:ind w:firstLine="709"/>
        <w:jc w:val="both"/>
        <w:rPr>
          <w:rFonts w:ascii="Verdana" w:hAnsi="Verdana" w:cs="Arial"/>
          <w:sz w:val="16"/>
          <w:szCs w:val="16"/>
          <w:lang w:val="es-ES"/>
        </w:rPr>
      </w:pPr>
    </w:p>
  </w:footnote>
  <w:footnote w:id="27">
    <w:p w14:paraId="56E2FAC4" w14:textId="77777777" w:rsidR="00315CDD" w:rsidRPr="00B95CFD" w:rsidRDefault="00315CDD" w:rsidP="00315CDD">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Consejo de Estado -Sección Tercera-. Sentencia del </w:t>
      </w:r>
      <w:r w:rsidRPr="00B95CFD">
        <w:rPr>
          <w:rFonts w:ascii="Verdana" w:hAnsi="Verdana" w:cs="Arial"/>
          <w:bCs/>
          <w:iCs/>
          <w:sz w:val="16"/>
          <w:szCs w:val="16"/>
        </w:rPr>
        <w:t>14 de junio del 2019, Radicación Número: 25000-23-37-000-2010-02552-01(AP).</w:t>
      </w:r>
    </w:p>
  </w:footnote>
  <w:footnote w:id="28">
    <w:p w14:paraId="5CBB1A2D" w14:textId="77777777" w:rsidR="00315CDD" w:rsidRPr="00B95CFD" w:rsidRDefault="00315CDD" w:rsidP="00315CDD">
      <w:pPr>
        <w:pStyle w:val="Textonotapie"/>
        <w:ind w:firstLine="709"/>
        <w:rPr>
          <w:rFonts w:ascii="Verdana" w:hAnsi="Verdana"/>
          <w:sz w:val="16"/>
          <w:szCs w:val="16"/>
          <w:lang w:val="es-CO"/>
        </w:rPr>
      </w:pPr>
      <w:r w:rsidRPr="00B95CFD">
        <w:rPr>
          <w:rStyle w:val="Refdenotaalpie"/>
          <w:rFonts w:ascii="Verdana" w:hAnsi="Verdana"/>
          <w:sz w:val="16"/>
          <w:szCs w:val="16"/>
        </w:rPr>
        <w:footnoteRef/>
      </w:r>
      <w:r w:rsidRPr="00B95CFD">
        <w:rPr>
          <w:rFonts w:ascii="Verdana" w:hAnsi="Verdana"/>
          <w:sz w:val="16"/>
          <w:szCs w:val="16"/>
        </w:rPr>
        <w:t xml:space="preserve"> </w:t>
      </w:r>
      <w:r w:rsidRPr="00B95CFD">
        <w:rPr>
          <w:rFonts w:ascii="Verdana" w:hAnsi="Verdana" w:cs="Arial"/>
          <w:sz w:val="16"/>
          <w:szCs w:val="16"/>
        </w:rPr>
        <w:t>C</w:t>
      </w:r>
      <w:r>
        <w:rPr>
          <w:rFonts w:ascii="Verdana" w:hAnsi="Verdana" w:cs="Arial"/>
          <w:sz w:val="16"/>
          <w:szCs w:val="16"/>
        </w:rPr>
        <w:t>onsejo de Estado</w:t>
      </w:r>
      <w:r w:rsidRPr="00B95CFD">
        <w:rPr>
          <w:rFonts w:ascii="Verdana" w:hAnsi="Verdana" w:cs="Arial"/>
          <w:sz w:val="16"/>
          <w:szCs w:val="16"/>
        </w:rPr>
        <w:t>. Sala de Consulta y Servicio Civil. Concepto 26 de julio de 2016. Exp. 2.257. C.P. Álvaro Namén Vargas.</w:t>
      </w:r>
    </w:p>
  </w:footnote>
  <w:footnote w:id="29">
    <w:p w14:paraId="10E81C8C" w14:textId="77777777" w:rsidR="00315CDD" w:rsidRPr="00B95CFD" w:rsidRDefault="00315CDD" w:rsidP="00315CDD">
      <w:pPr>
        <w:pStyle w:val="Textonotapie"/>
        <w:ind w:firstLine="709"/>
        <w:rPr>
          <w:rFonts w:ascii="Verdana" w:hAnsi="Verdana"/>
          <w:sz w:val="16"/>
          <w:szCs w:val="16"/>
          <w:lang w:val="es-CO"/>
        </w:rPr>
      </w:pPr>
      <w:r w:rsidRPr="00B95CFD">
        <w:rPr>
          <w:rStyle w:val="Refdenotaalpie"/>
          <w:rFonts w:ascii="Verdana" w:hAnsi="Verdana"/>
          <w:sz w:val="16"/>
          <w:szCs w:val="16"/>
        </w:rPr>
        <w:footnoteRef/>
      </w:r>
      <w:r w:rsidRPr="00B95CFD">
        <w:rPr>
          <w:rFonts w:ascii="Verdana" w:hAnsi="Verdana"/>
          <w:sz w:val="16"/>
          <w:szCs w:val="16"/>
        </w:rPr>
        <w:t xml:space="preserve"> </w:t>
      </w:r>
      <w:r w:rsidRPr="00B95CFD">
        <w:rPr>
          <w:rFonts w:ascii="Verdana" w:hAnsi="Verdana" w:cs="Arial"/>
          <w:sz w:val="16"/>
          <w:szCs w:val="16"/>
        </w:rPr>
        <w:t xml:space="preserve">Consejo de Estado -Sección Tercera-. Sentencia del </w:t>
      </w:r>
      <w:r w:rsidRPr="00B95CFD">
        <w:rPr>
          <w:rFonts w:ascii="Verdana" w:hAnsi="Verdana" w:cs="Arial"/>
          <w:bCs/>
          <w:iCs/>
          <w:sz w:val="16"/>
          <w:szCs w:val="16"/>
        </w:rPr>
        <w:t xml:space="preserve">21 de febrero de 2025. Radicación Número: 68.280. CP: José Roberto Sáchica Méndez.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Pr="009B7987" w:rsidRDefault="00006F59" w:rsidP="00006F59">
    <w:pPr>
      <w:pStyle w:val="Encabezado"/>
    </w:pPr>
    <w:r w:rsidRPr="009B7987">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Pr="009B7987">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Pr="009B7987" w:rsidRDefault="00006F59" w:rsidP="00006F59">
    <w:pPr>
      <w:pStyle w:val="Encabezado"/>
      <w:jc w:val="center"/>
    </w:pPr>
  </w:p>
  <w:p w14:paraId="1665FD71" w14:textId="77777777" w:rsidR="00006F59" w:rsidRPr="009B7987" w:rsidRDefault="00006F59" w:rsidP="00006F59">
    <w:pPr>
      <w:pStyle w:val="Encabezado"/>
    </w:pPr>
  </w:p>
  <w:p w14:paraId="61B882FC" w14:textId="77777777" w:rsidR="00006F59" w:rsidRPr="009B7987" w:rsidRDefault="00006F59" w:rsidP="00006F59">
    <w:pPr>
      <w:spacing w:after="0"/>
      <w:rPr>
        <w:rFonts w:ascii="Verdana" w:hAnsi="Verdana"/>
        <w:b/>
        <w:bCs/>
        <w:sz w:val="24"/>
        <w:szCs w:val="24"/>
      </w:rPr>
    </w:pPr>
  </w:p>
  <w:p w14:paraId="701A9D55" w14:textId="29EB49FC" w:rsidR="00006F59" w:rsidRDefault="00006F59" w:rsidP="001918F1">
    <w:pPr>
      <w:tabs>
        <w:tab w:val="left" w:pos="6217"/>
      </w:tabs>
      <w:spacing w:after="0"/>
      <w:rPr>
        <w:rFonts w:ascii="Verdana" w:hAnsi="Verdana"/>
        <w:b/>
        <w:bCs/>
        <w:sz w:val="24"/>
        <w:szCs w:val="24"/>
      </w:rPr>
    </w:pPr>
    <w:r w:rsidRPr="009B7987">
      <w:rPr>
        <w:rFonts w:ascii="Verdana" w:hAnsi="Verdana"/>
        <w:b/>
        <w:bCs/>
        <w:sz w:val="24"/>
        <w:szCs w:val="24"/>
      </w:rPr>
      <w:t>FORMATO PQRSD</w:t>
    </w:r>
  </w:p>
  <w:p w14:paraId="6EB4A4DF" w14:textId="77777777" w:rsidR="001C5662" w:rsidRPr="009B7987" w:rsidRDefault="001C5662" w:rsidP="001918F1">
    <w:pPr>
      <w:tabs>
        <w:tab w:val="left" w:pos="6217"/>
      </w:tabs>
      <w:spacing w:after="0"/>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05E83FFA"/>
    <w:multiLevelType w:val="hybridMultilevel"/>
    <w:tmpl w:val="8EF612C4"/>
    <w:lvl w:ilvl="0" w:tplc="DCA0A69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0801457A"/>
    <w:multiLevelType w:val="hybridMultilevel"/>
    <w:tmpl w:val="38A2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764EF3"/>
    <w:multiLevelType w:val="hybridMultilevel"/>
    <w:tmpl w:val="1F80E5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F555BB5"/>
    <w:multiLevelType w:val="multilevel"/>
    <w:tmpl w:val="5868EEA8"/>
    <w:lvl w:ilvl="0">
      <w:start w:val="1"/>
      <w:numFmt w:val="decimal"/>
      <w:lvlText w:val="%1."/>
      <w:lvlJc w:val="left"/>
      <w:pPr>
        <w:ind w:left="46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820" w:hanging="720"/>
      </w:pPr>
      <w:rPr>
        <w:rFonts w:ascii="Arial" w:eastAsia="Arial" w:hAnsi="Arial" w:cs="Arial" w:hint="default"/>
        <w:b/>
        <w:bCs/>
        <w:color w:val="4E4D4D"/>
        <w:spacing w:val="-4"/>
        <w:w w:val="100"/>
        <w:sz w:val="22"/>
        <w:szCs w:val="22"/>
        <w:lang w:val="es-ES" w:eastAsia="en-US" w:bidi="ar-SA"/>
      </w:rPr>
    </w:lvl>
    <w:lvl w:ilvl="2">
      <w:start w:val="1"/>
      <w:numFmt w:val="decimal"/>
      <w:lvlText w:val="%3."/>
      <w:lvlJc w:val="left"/>
      <w:pPr>
        <w:ind w:left="1192" w:hanging="243"/>
      </w:pPr>
      <w:rPr>
        <w:rFonts w:ascii="Verdana" w:eastAsia="Arial" w:hAnsi="Verdana" w:cs="Arial" w:hint="default"/>
        <w:color w:val="auto"/>
        <w:spacing w:val="-1"/>
        <w:w w:val="100"/>
        <w:sz w:val="20"/>
        <w:szCs w:val="20"/>
        <w:lang w:val="es-ES" w:eastAsia="en-US" w:bidi="ar-SA"/>
      </w:rPr>
    </w:lvl>
    <w:lvl w:ilvl="3">
      <w:numFmt w:val="bullet"/>
      <w:lvlText w:val="•"/>
      <w:lvlJc w:val="left"/>
      <w:pPr>
        <w:ind w:left="2192" w:hanging="243"/>
      </w:pPr>
      <w:rPr>
        <w:rFonts w:hint="default"/>
        <w:lang w:val="es-ES" w:eastAsia="en-US" w:bidi="ar-SA"/>
      </w:rPr>
    </w:lvl>
    <w:lvl w:ilvl="4">
      <w:numFmt w:val="bullet"/>
      <w:lvlText w:val="•"/>
      <w:lvlJc w:val="left"/>
      <w:pPr>
        <w:ind w:left="3185" w:hanging="243"/>
      </w:pPr>
      <w:rPr>
        <w:rFonts w:hint="default"/>
        <w:lang w:val="es-ES" w:eastAsia="en-US" w:bidi="ar-SA"/>
      </w:rPr>
    </w:lvl>
    <w:lvl w:ilvl="5">
      <w:numFmt w:val="bullet"/>
      <w:lvlText w:val="•"/>
      <w:lvlJc w:val="left"/>
      <w:pPr>
        <w:ind w:left="4177" w:hanging="243"/>
      </w:pPr>
      <w:rPr>
        <w:rFonts w:hint="default"/>
        <w:lang w:val="es-ES" w:eastAsia="en-US" w:bidi="ar-SA"/>
      </w:rPr>
    </w:lvl>
    <w:lvl w:ilvl="6">
      <w:numFmt w:val="bullet"/>
      <w:lvlText w:val="•"/>
      <w:lvlJc w:val="left"/>
      <w:pPr>
        <w:ind w:left="5170" w:hanging="243"/>
      </w:pPr>
      <w:rPr>
        <w:rFonts w:hint="default"/>
        <w:lang w:val="es-ES" w:eastAsia="en-US" w:bidi="ar-SA"/>
      </w:rPr>
    </w:lvl>
    <w:lvl w:ilvl="7">
      <w:numFmt w:val="bullet"/>
      <w:lvlText w:val="•"/>
      <w:lvlJc w:val="left"/>
      <w:pPr>
        <w:ind w:left="6162" w:hanging="243"/>
      </w:pPr>
      <w:rPr>
        <w:rFonts w:hint="default"/>
        <w:lang w:val="es-ES" w:eastAsia="en-US" w:bidi="ar-SA"/>
      </w:rPr>
    </w:lvl>
    <w:lvl w:ilvl="8">
      <w:numFmt w:val="bullet"/>
      <w:lvlText w:val="•"/>
      <w:lvlJc w:val="left"/>
      <w:pPr>
        <w:ind w:left="7155" w:hanging="243"/>
      </w:pPr>
      <w:rPr>
        <w:rFonts w:hint="default"/>
        <w:lang w:val="es-ES" w:eastAsia="en-US" w:bidi="ar-SA"/>
      </w:rPr>
    </w:lvl>
  </w:abstractNum>
  <w:abstractNum w:abstractNumId="6" w15:restartNumberingAfterBreak="0">
    <w:nsid w:val="17AF3BD1"/>
    <w:multiLevelType w:val="hybridMultilevel"/>
    <w:tmpl w:val="13F4E4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C23291E"/>
    <w:multiLevelType w:val="hybridMultilevel"/>
    <w:tmpl w:val="352C3E0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8"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9" w15:restartNumberingAfterBreak="0">
    <w:nsid w:val="2F2143A1"/>
    <w:multiLevelType w:val="hybridMultilevel"/>
    <w:tmpl w:val="4EB84EEC"/>
    <w:lvl w:ilvl="0" w:tplc="5E185100">
      <w:start w:val="1"/>
      <w:numFmt w:val="lowerRoman"/>
      <w:lvlText w:val="%1)"/>
      <w:lvlJc w:val="left"/>
      <w:pPr>
        <w:ind w:left="2136" w:hanging="72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10" w15:restartNumberingAfterBreak="0">
    <w:nsid w:val="2F2F4AAF"/>
    <w:multiLevelType w:val="hybridMultilevel"/>
    <w:tmpl w:val="8780C6F4"/>
    <w:lvl w:ilvl="0" w:tplc="5594678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3835108C"/>
    <w:multiLevelType w:val="hybridMultilevel"/>
    <w:tmpl w:val="46D6164A"/>
    <w:lvl w:ilvl="0" w:tplc="9ADA039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4" w15:restartNumberingAfterBreak="0">
    <w:nsid w:val="388E5AE1"/>
    <w:multiLevelType w:val="hybridMultilevel"/>
    <w:tmpl w:val="1B62FAF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D5D596E"/>
    <w:multiLevelType w:val="hybridMultilevel"/>
    <w:tmpl w:val="88DE2ABC"/>
    <w:lvl w:ilvl="0" w:tplc="ECF04718">
      <w:start w:val="1"/>
      <w:numFmt w:val="lowerRoman"/>
      <w:lvlText w:val="%1)"/>
      <w:lvlJc w:val="left"/>
      <w:pPr>
        <w:ind w:left="1429" w:hanging="720"/>
      </w:pPr>
      <w:rPr>
        <w:rFonts w:ascii="Verdana" w:eastAsia="Calibri" w:hAnsi="Verdana" w:cs="Arial"/>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8"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9"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4D0E478B"/>
    <w:multiLevelType w:val="hybridMultilevel"/>
    <w:tmpl w:val="869EF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2"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03F1D1B"/>
    <w:multiLevelType w:val="hybridMultilevel"/>
    <w:tmpl w:val="D012F2B4"/>
    <w:lvl w:ilvl="0" w:tplc="88466D3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620101A4"/>
    <w:multiLevelType w:val="hybridMultilevel"/>
    <w:tmpl w:val="717C38BE"/>
    <w:lvl w:ilvl="0" w:tplc="FFFFFFFF">
      <w:start w:val="1"/>
      <w:numFmt w:val="lowerRoman"/>
      <w:lvlText w:val="%1)"/>
      <w:lvlJc w:val="left"/>
      <w:pPr>
        <w:ind w:left="1429" w:hanging="720"/>
      </w:pPr>
      <w:rPr>
        <w:rFonts w:ascii="Verdana" w:eastAsia="Calibri" w:hAnsi="Verdana" w:cs="Arial"/>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26"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7" w15:restartNumberingAfterBreak="0">
    <w:nsid w:val="661C105F"/>
    <w:multiLevelType w:val="hybridMultilevel"/>
    <w:tmpl w:val="FF7611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700542C4"/>
    <w:multiLevelType w:val="hybridMultilevel"/>
    <w:tmpl w:val="232828B0"/>
    <w:lvl w:ilvl="0" w:tplc="FFFFFFFF">
      <w:start w:val="1"/>
      <w:numFmt w:val="decimal"/>
      <w:lvlText w:val="%1."/>
      <w:lvlJc w:val="left"/>
      <w:pPr>
        <w:ind w:left="2061"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9" w15:restartNumberingAfterBreak="0">
    <w:nsid w:val="70D60AF4"/>
    <w:multiLevelType w:val="hybridMultilevel"/>
    <w:tmpl w:val="623869D6"/>
    <w:lvl w:ilvl="0" w:tplc="1E18C33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7B7F0FB5"/>
    <w:multiLevelType w:val="hybridMultilevel"/>
    <w:tmpl w:val="3586D1F0"/>
    <w:lvl w:ilvl="0" w:tplc="15C0C8A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7C190BA4"/>
    <w:multiLevelType w:val="hybridMultilevel"/>
    <w:tmpl w:val="D1FEAF26"/>
    <w:lvl w:ilvl="0" w:tplc="D5B89D1A">
      <w:start w:val="1"/>
      <w:numFmt w:val="decimal"/>
      <w:lvlText w:val="%1."/>
      <w:lvlJc w:val="left"/>
      <w:pPr>
        <w:ind w:left="1028" w:hanging="221"/>
      </w:pPr>
      <w:rPr>
        <w:rFonts w:ascii="Arial" w:eastAsia="Arial" w:hAnsi="Arial" w:cs="Arial" w:hint="default"/>
        <w:color w:val="auto"/>
        <w:spacing w:val="-2"/>
        <w:w w:val="100"/>
        <w:sz w:val="20"/>
        <w:szCs w:val="20"/>
        <w:lang w:val="es-ES" w:eastAsia="es-ES" w:bidi="es-ES"/>
      </w:rPr>
    </w:lvl>
    <w:lvl w:ilvl="1" w:tplc="053E5822">
      <w:numFmt w:val="bullet"/>
      <w:lvlText w:val="•"/>
      <w:lvlJc w:val="left"/>
      <w:pPr>
        <w:ind w:left="1846" w:hanging="221"/>
      </w:pPr>
      <w:rPr>
        <w:rFonts w:hint="default"/>
        <w:lang w:val="es-ES" w:eastAsia="es-ES" w:bidi="es-ES"/>
      </w:rPr>
    </w:lvl>
    <w:lvl w:ilvl="2" w:tplc="90242A8E">
      <w:numFmt w:val="bullet"/>
      <w:lvlText w:val="•"/>
      <w:lvlJc w:val="left"/>
      <w:pPr>
        <w:ind w:left="2672" w:hanging="221"/>
      </w:pPr>
      <w:rPr>
        <w:rFonts w:hint="default"/>
        <w:lang w:val="es-ES" w:eastAsia="es-ES" w:bidi="es-ES"/>
      </w:rPr>
    </w:lvl>
    <w:lvl w:ilvl="3" w:tplc="E160CF42">
      <w:numFmt w:val="bullet"/>
      <w:lvlText w:val="•"/>
      <w:lvlJc w:val="left"/>
      <w:pPr>
        <w:ind w:left="3498" w:hanging="221"/>
      </w:pPr>
      <w:rPr>
        <w:rFonts w:hint="default"/>
        <w:lang w:val="es-ES" w:eastAsia="es-ES" w:bidi="es-ES"/>
      </w:rPr>
    </w:lvl>
    <w:lvl w:ilvl="4" w:tplc="9B26973A">
      <w:numFmt w:val="bullet"/>
      <w:lvlText w:val="•"/>
      <w:lvlJc w:val="left"/>
      <w:pPr>
        <w:ind w:left="4324" w:hanging="221"/>
      </w:pPr>
      <w:rPr>
        <w:rFonts w:hint="default"/>
        <w:lang w:val="es-ES" w:eastAsia="es-ES" w:bidi="es-ES"/>
      </w:rPr>
    </w:lvl>
    <w:lvl w:ilvl="5" w:tplc="017409CE">
      <w:numFmt w:val="bullet"/>
      <w:lvlText w:val="•"/>
      <w:lvlJc w:val="left"/>
      <w:pPr>
        <w:ind w:left="5150" w:hanging="221"/>
      </w:pPr>
      <w:rPr>
        <w:rFonts w:hint="default"/>
        <w:lang w:val="es-ES" w:eastAsia="es-ES" w:bidi="es-ES"/>
      </w:rPr>
    </w:lvl>
    <w:lvl w:ilvl="6" w:tplc="870EC5D4">
      <w:numFmt w:val="bullet"/>
      <w:lvlText w:val="•"/>
      <w:lvlJc w:val="left"/>
      <w:pPr>
        <w:ind w:left="5976" w:hanging="221"/>
      </w:pPr>
      <w:rPr>
        <w:rFonts w:hint="default"/>
        <w:lang w:val="es-ES" w:eastAsia="es-ES" w:bidi="es-ES"/>
      </w:rPr>
    </w:lvl>
    <w:lvl w:ilvl="7" w:tplc="F4B4208E">
      <w:numFmt w:val="bullet"/>
      <w:lvlText w:val="•"/>
      <w:lvlJc w:val="left"/>
      <w:pPr>
        <w:ind w:left="6802" w:hanging="221"/>
      </w:pPr>
      <w:rPr>
        <w:rFonts w:hint="default"/>
        <w:lang w:val="es-ES" w:eastAsia="es-ES" w:bidi="es-ES"/>
      </w:rPr>
    </w:lvl>
    <w:lvl w:ilvl="8" w:tplc="55B09E2E">
      <w:numFmt w:val="bullet"/>
      <w:lvlText w:val="•"/>
      <w:lvlJc w:val="left"/>
      <w:pPr>
        <w:ind w:left="7628" w:hanging="221"/>
      </w:pPr>
      <w:rPr>
        <w:rFonts w:hint="default"/>
        <w:lang w:val="es-ES" w:eastAsia="es-ES" w:bidi="es-ES"/>
      </w:rPr>
    </w:lvl>
  </w:abstractNum>
  <w:abstractNum w:abstractNumId="33"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12"/>
  </w:num>
  <w:num w:numId="3" w16cid:durableId="679089576">
    <w:abstractNumId w:val="16"/>
  </w:num>
  <w:num w:numId="4" w16cid:durableId="893472101">
    <w:abstractNumId w:val="8"/>
  </w:num>
  <w:num w:numId="5" w16cid:durableId="1982299905">
    <w:abstractNumId w:val="33"/>
  </w:num>
  <w:num w:numId="6" w16cid:durableId="130758360">
    <w:abstractNumId w:val="19"/>
  </w:num>
  <w:num w:numId="7" w16cid:durableId="262541512">
    <w:abstractNumId w:val="30"/>
  </w:num>
  <w:num w:numId="8" w16cid:durableId="1947226218">
    <w:abstractNumId w:val="15"/>
  </w:num>
  <w:num w:numId="9" w16cid:durableId="1180706126">
    <w:abstractNumId w:val="18"/>
  </w:num>
  <w:num w:numId="10" w16cid:durableId="2097506960">
    <w:abstractNumId w:val="24"/>
  </w:num>
  <w:num w:numId="11" w16cid:durableId="1977490869">
    <w:abstractNumId w:val="22"/>
  </w:num>
  <w:num w:numId="12" w16cid:durableId="158663248">
    <w:abstractNumId w:val="21"/>
  </w:num>
  <w:num w:numId="13" w16cid:durableId="2024085788">
    <w:abstractNumId w:val="2"/>
  </w:num>
  <w:num w:numId="14" w16cid:durableId="1885099950">
    <w:abstractNumId w:val="14"/>
  </w:num>
  <w:num w:numId="15" w16cid:durableId="32047459">
    <w:abstractNumId w:val="9"/>
  </w:num>
  <w:num w:numId="16" w16cid:durableId="1192261824">
    <w:abstractNumId w:val="10"/>
  </w:num>
  <w:num w:numId="17" w16cid:durableId="375933272">
    <w:abstractNumId w:val="17"/>
  </w:num>
  <w:num w:numId="18" w16cid:durableId="610939998">
    <w:abstractNumId w:val="25"/>
  </w:num>
  <w:num w:numId="19" w16cid:durableId="1910656144">
    <w:abstractNumId w:val="3"/>
  </w:num>
  <w:num w:numId="20" w16cid:durableId="947545103">
    <w:abstractNumId w:val="13"/>
  </w:num>
  <w:num w:numId="21" w16cid:durableId="1851335222">
    <w:abstractNumId w:val="32"/>
  </w:num>
  <w:num w:numId="22" w16cid:durableId="578707994">
    <w:abstractNumId w:val="5"/>
  </w:num>
  <w:num w:numId="23" w16cid:durableId="876742304">
    <w:abstractNumId w:val="11"/>
  </w:num>
  <w:num w:numId="24" w16cid:durableId="1994095851">
    <w:abstractNumId w:val="6"/>
  </w:num>
  <w:num w:numId="25" w16cid:durableId="1567109325">
    <w:abstractNumId w:val="27"/>
  </w:num>
  <w:num w:numId="26" w16cid:durableId="1116487847">
    <w:abstractNumId w:val="20"/>
  </w:num>
  <w:num w:numId="27" w16cid:durableId="611326471">
    <w:abstractNumId w:val="28"/>
    <w:lvlOverride w:ilvl="0">
      <w:startOverride w:val="1"/>
    </w:lvlOverride>
    <w:lvlOverride w:ilvl="1"/>
    <w:lvlOverride w:ilvl="2"/>
    <w:lvlOverride w:ilvl="3"/>
    <w:lvlOverride w:ilvl="4"/>
    <w:lvlOverride w:ilvl="5"/>
    <w:lvlOverride w:ilvl="6"/>
    <w:lvlOverride w:ilvl="7"/>
    <w:lvlOverride w:ilvl="8"/>
  </w:num>
  <w:num w:numId="28" w16cid:durableId="883785195">
    <w:abstractNumId w:val="1"/>
  </w:num>
  <w:num w:numId="29" w16cid:durableId="2116288898">
    <w:abstractNumId w:val="31"/>
  </w:num>
  <w:num w:numId="30" w16cid:durableId="363991975">
    <w:abstractNumId w:val="29"/>
  </w:num>
  <w:num w:numId="31" w16cid:durableId="1509440290">
    <w:abstractNumId w:val="23"/>
  </w:num>
  <w:num w:numId="32" w16cid:durableId="1601723362">
    <w:abstractNumId w:val="7"/>
  </w:num>
  <w:num w:numId="33" w16cid:durableId="1484539021">
    <w:abstractNumId w:val="4"/>
  </w:num>
  <w:num w:numId="34" w16cid:durableId="39034980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B12"/>
    <w:rsid w:val="00001B99"/>
    <w:rsid w:val="00001E39"/>
    <w:rsid w:val="00002920"/>
    <w:rsid w:val="00002D55"/>
    <w:rsid w:val="0000399A"/>
    <w:rsid w:val="00005225"/>
    <w:rsid w:val="000054DB"/>
    <w:rsid w:val="0000587D"/>
    <w:rsid w:val="000059AE"/>
    <w:rsid w:val="00005BB0"/>
    <w:rsid w:val="00006F59"/>
    <w:rsid w:val="00007086"/>
    <w:rsid w:val="00007382"/>
    <w:rsid w:val="00007576"/>
    <w:rsid w:val="0001025F"/>
    <w:rsid w:val="0001155E"/>
    <w:rsid w:val="00011613"/>
    <w:rsid w:val="00011CD3"/>
    <w:rsid w:val="00011D3C"/>
    <w:rsid w:val="0001222D"/>
    <w:rsid w:val="00012679"/>
    <w:rsid w:val="00012EDA"/>
    <w:rsid w:val="00013B3F"/>
    <w:rsid w:val="00014981"/>
    <w:rsid w:val="00014B0D"/>
    <w:rsid w:val="00014E7B"/>
    <w:rsid w:val="00016280"/>
    <w:rsid w:val="0001672C"/>
    <w:rsid w:val="00016F04"/>
    <w:rsid w:val="00017870"/>
    <w:rsid w:val="00021068"/>
    <w:rsid w:val="00021595"/>
    <w:rsid w:val="000219D1"/>
    <w:rsid w:val="00021C3A"/>
    <w:rsid w:val="0002202D"/>
    <w:rsid w:val="00022C23"/>
    <w:rsid w:val="00023DF7"/>
    <w:rsid w:val="0002525D"/>
    <w:rsid w:val="000267DD"/>
    <w:rsid w:val="000273EA"/>
    <w:rsid w:val="00027B63"/>
    <w:rsid w:val="00027CA9"/>
    <w:rsid w:val="00030B3D"/>
    <w:rsid w:val="00030BC5"/>
    <w:rsid w:val="00030BFB"/>
    <w:rsid w:val="00031DA1"/>
    <w:rsid w:val="00031EAF"/>
    <w:rsid w:val="00033390"/>
    <w:rsid w:val="0003430D"/>
    <w:rsid w:val="000361EA"/>
    <w:rsid w:val="0003699E"/>
    <w:rsid w:val="000369C0"/>
    <w:rsid w:val="0003731A"/>
    <w:rsid w:val="00037367"/>
    <w:rsid w:val="00037A8B"/>
    <w:rsid w:val="00040372"/>
    <w:rsid w:val="000408AD"/>
    <w:rsid w:val="00041469"/>
    <w:rsid w:val="0004180C"/>
    <w:rsid w:val="000419D7"/>
    <w:rsid w:val="00042DD7"/>
    <w:rsid w:val="00043EE5"/>
    <w:rsid w:val="000442CC"/>
    <w:rsid w:val="000442DE"/>
    <w:rsid w:val="00044B24"/>
    <w:rsid w:val="0004508D"/>
    <w:rsid w:val="0004526E"/>
    <w:rsid w:val="00045A51"/>
    <w:rsid w:val="00045B37"/>
    <w:rsid w:val="0004709D"/>
    <w:rsid w:val="000504AA"/>
    <w:rsid w:val="0005086B"/>
    <w:rsid w:val="0005098A"/>
    <w:rsid w:val="00050C95"/>
    <w:rsid w:val="00050CAD"/>
    <w:rsid w:val="00050EB7"/>
    <w:rsid w:val="0005142D"/>
    <w:rsid w:val="00051A3C"/>
    <w:rsid w:val="00051BE4"/>
    <w:rsid w:val="00051E96"/>
    <w:rsid w:val="000526A8"/>
    <w:rsid w:val="00052EF1"/>
    <w:rsid w:val="0005420B"/>
    <w:rsid w:val="00054E53"/>
    <w:rsid w:val="000551CB"/>
    <w:rsid w:val="0005620B"/>
    <w:rsid w:val="00057392"/>
    <w:rsid w:val="000577A2"/>
    <w:rsid w:val="000577D3"/>
    <w:rsid w:val="00057963"/>
    <w:rsid w:val="000579AB"/>
    <w:rsid w:val="00060AE4"/>
    <w:rsid w:val="000622B9"/>
    <w:rsid w:val="000631E9"/>
    <w:rsid w:val="00063B4B"/>
    <w:rsid w:val="00064721"/>
    <w:rsid w:val="00064D60"/>
    <w:rsid w:val="00065973"/>
    <w:rsid w:val="00065C6D"/>
    <w:rsid w:val="000665D3"/>
    <w:rsid w:val="00066646"/>
    <w:rsid w:val="00066C7A"/>
    <w:rsid w:val="00066CF1"/>
    <w:rsid w:val="00067F4A"/>
    <w:rsid w:val="0007144A"/>
    <w:rsid w:val="000716AB"/>
    <w:rsid w:val="00071AB8"/>
    <w:rsid w:val="0007243A"/>
    <w:rsid w:val="000734CB"/>
    <w:rsid w:val="00073ED1"/>
    <w:rsid w:val="000762C0"/>
    <w:rsid w:val="00076737"/>
    <w:rsid w:val="00076C2B"/>
    <w:rsid w:val="00076C73"/>
    <w:rsid w:val="00076F81"/>
    <w:rsid w:val="00077106"/>
    <w:rsid w:val="000772B1"/>
    <w:rsid w:val="000779DE"/>
    <w:rsid w:val="000800B6"/>
    <w:rsid w:val="00080D15"/>
    <w:rsid w:val="0008132D"/>
    <w:rsid w:val="00081B03"/>
    <w:rsid w:val="000847A0"/>
    <w:rsid w:val="00084B6A"/>
    <w:rsid w:val="00084BFD"/>
    <w:rsid w:val="00087073"/>
    <w:rsid w:val="0008739A"/>
    <w:rsid w:val="000875BD"/>
    <w:rsid w:val="000878E7"/>
    <w:rsid w:val="00087A3B"/>
    <w:rsid w:val="00087C01"/>
    <w:rsid w:val="000903E4"/>
    <w:rsid w:val="000906E3"/>
    <w:rsid w:val="00091D73"/>
    <w:rsid w:val="000933B5"/>
    <w:rsid w:val="000933BC"/>
    <w:rsid w:val="00093544"/>
    <w:rsid w:val="00093D95"/>
    <w:rsid w:val="00094663"/>
    <w:rsid w:val="00094C5E"/>
    <w:rsid w:val="00094FA6"/>
    <w:rsid w:val="00095410"/>
    <w:rsid w:val="00095E48"/>
    <w:rsid w:val="00096637"/>
    <w:rsid w:val="0009726B"/>
    <w:rsid w:val="00097285"/>
    <w:rsid w:val="000975EA"/>
    <w:rsid w:val="000A021A"/>
    <w:rsid w:val="000A08FD"/>
    <w:rsid w:val="000A1828"/>
    <w:rsid w:val="000A1C31"/>
    <w:rsid w:val="000A1D06"/>
    <w:rsid w:val="000A1F38"/>
    <w:rsid w:val="000A2030"/>
    <w:rsid w:val="000A37F5"/>
    <w:rsid w:val="000A413A"/>
    <w:rsid w:val="000A4F1E"/>
    <w:rsid w:val="000A5881"/>
    <w:rsid w:val="000A66A1"/>
    <w:rsid w:val="000A69FB"/>
    <w:rsid w:val="000B1087"/>
    <w:rsid w:val="000B199A"/>
    <w:rsid w:val="000B1FF7"/>
    <w:rsid w:val="000B2529"/>
    <w:rsid w:val="000B2B7C"/>
    <w:rsid w:val="000B377E"/>
    <w:rsid w:val="000B381D"/>
    <w:rsid w:val="000B3DD4"/>
    <w:rsid w:val="000B4024"/>
    <w:rsid w:val="000B44BA"/>
    <w:rsid w:val="000B4C9C"/>
    <w:rsid w:val="000B5311"/>
    <w:rsid w:val="000B5313"/>
    <w:rsid w:val="000B5C05"/>
    <w:rsid w:val="000B5C65"/>
    <w:rsid w:val="000B5F1D"/>
    <w:rsid w:val="000B6BE9"/>
    <w:rsid w:val="000C02AD"/>
    <w:rsid w:val="000C060A"/>
    <w:rsid w:val="000C07B0"/>
    <w:rsid w:val="000C09DF"/>
    <w:rsid w:val="000C0AA8"/>
    <w:rsid w:val="000C18BD"/>
    <w:rsid w:val="000C1FC8"/>
    <w:rsid w:val="000C36E1"/>
    <w:rsid w:val="000C42A9"/>
    <w:rsid w:val="000C42C6"/>
    <w:rsid w:val="000C50D6"/>
    <w:rsid w:val="000C557B"/>
    <w:rsid w:val="000C5A85"/>
    <w:rsid w:val="000C5F29"/>
    <w:rsid w:val="000C5F48"/>
    <w:rsid w:val="000C66BF"/>
    <w:rsid w:val="000C6FC1"/>
    <w:rsid w:val="000C7FF8"/>
    <w:rsid w:val="000D0372"/>
    <w:rsid w:val="000D0ADE"/>
    <w:rsid w:val="000D1A8F"/>
    <w:rsid w:val="000D2914"/>
    <w:rsid w:val="000D2E60"/>
    <w:rsid w:val="000D2F50"/>
    <w:rsid w:val="000D3275"/>
    <w:rsid w:val="000D3A1B"/>
    <w:rsid w:val="000D3B86"/>
    <w:rsid w:val="000D470B"/>
    <w:rsid w:val="000D4E64"/>
    <w:rsid w:val="000D5008"/>
    <w:rsid w:val="000D570C"/>
    <w:rsid w:val="000D5A0F"/>
    <w:rsid w:val="000D5B1E"/>
    <w:rsid w:val="000D5D9B"/>
    <w:rsid w:val="000D5E3F"/>
    <w:rsid w:val="000D6532"/>
    <w:rsid w:val="000D6E33"/>
    <w:rsid w:val="000E0622"/>
    <w:rsid w:val="000E07AA"/>
    <w:rsid w:val="000E1D6F"/>
    <w:rsid w:val="000E2D0D"/>
    <w:rsid w:val="000E3381"/>
    <w:rsid w:val="000E3744"/>
    <w:rsid w:val="000E3CD9"/>
    <w:rsid w:val="000E481D"/>
    <w:rsid w:val="000E4DBF"/>
    <w:rsid w:val="000E4DF2"/>
    <w:rsid w:val="000E5844"/>
    <w:rsid w:val="000E7349"/>
    <w:rsid w:val="000E73EF"/>
    <w:rsid w:val="000E762D"/>
    <w:rsid w:val="000E77CC"/>
    <w:rsid w:val="000F0144"/>
    <w:rsid w:val="000F0783"/>
    <w:rsid w:val="000F0807"/>
    <w:rsid w:val="000F080D"/>
    <w:rsid w:val="000F0B3C"/>
    <w:rsid w:val="000F13D5"/>
    <w:rsid w:val="000F175F"/>
    <w:rsid w:val="000F1AD8"/>
    <w:rsid w:val="000F2F4C"/>
    <w:rsid w:val="000F38D9"/>
    <w:rsid w:val="000F3933"/>
    <w:rsid w:val="000F3CED"/>
    <w:rsid w:val="000F414C"/>
    <w:rsid w:val="000F5192"/>
    <w:rsid w:val="000F6320"/>
    <w:rsid w:val="000F64FC"/>
    <w:rsid w:val="000F696E"/>
    <w:rsid w:val="000F6C10"/>
    <w:rsid w:val="000F718E"/>
    <w:rsid w:val="001001F2"/>
    <w:rsid w:val="00100207"/>
    <w:rsid w:val="001003C6"/>
    <w:rsid w:val="00100682"/>
    <w:rsid w:val="001010D3"/>
    <w:rsid w:val="0010144A"/>
    <w:rsid w:val="00101C11"/>
    <w:rsid w:val="00102F4F"/>
    <w:rsid w:val="001034DD"/>
    <w:rsid w:val="00103C58"/>
    <w:rsid w:val="00104425"/>
    <w:rsid w:val="00104B4C"/>
    <w:rsid w:val="00105135"/>
    <w:rsid w:val="001055A2"/>
    <w:rsid w:val="00105DC2"/>
    <w:rsid w:val="0010682A"/>
    <w:rsid w:val="00106C4C"/>
    <w:rsid w:val="00107DEF"/>
    <w:rsid w:val="0011037E"/>
    <w:rsid w:val="00110404"/>
    <w:rsid w:val="001109E8"/>
    <w:rsid w:val="00110F73"/>
    <w:rsid w:val="00111557"/>
    <w:rsid w:val="00111E35"/>
    <w:rsid w:val="001128B4"/>
    <w:rsid w:val="00112EBD"/>
    <w:rsid w:val="001132C2"/>
    <w:rsid w:val="0011382D"/>
    <w:rsid w:val="00113958"/>
    <w:rsid w:val="00113AF2"/>
    <w:rsid w:val="00113C17"/>
    <w:rsid w:val="00113FDD"/>
    <w:rsid w:val="00114051"/>
    <w:rsid w:val="00114973"/>
    <w:rsid w:val="00114CFF"/>
    <w:rsid w:val="00114FDF"/>
    <w:rsid w:val="0011650B"/>
    <w:rsid w:val="00116616"/>
    <w:rsid w:val="00116FC5"/>
    <w:rsid w:val="00117163"/>
    <w:rsid w:val="00117BBD"/>
    <w:rsid w:val="001202DF"/>
    <w:rsid w:val="00120F1B"/>
    <w:rsid w:val="001213E7"/>
    <w:rsid w:val="001224BA"/>
    <w:rsid w:val="001238BC"/>
    <w:rsid w:val="00124288"/>
    <w:rsid w:val="00124518"/>
    <w:rsid w:val="001248AB"/>
    <w:rsid w:val="00124981"/>
    <w:rsid w:val="00124B2E"/>
    <w:rsid w:val="001256A1"/>
    <w:rsid w:val="00125D81"/>
    <w:rsid w:val="00126301"/>
    <w:rsid w:val="0012661F"/>
    <w:rsid w:val="00126966"/>
    <w:rsid w:val="001269B0"/>
    <w:rsid w:val="00126B24"/>
    <w:rsid w:val="00127234"/>
    <w:rsid w:val="001276C4"/>
    <w:rsid w:val="00127C68"/>
    <w:rsid w:val="00127D5B"/>
    <w:rsid w:val="00131373"/>
    <w:rsid w:val="001314A0"/>
    <w:rsid w:val="00131A1F"/>
    <w:rsid w:val="00131A66"/>
    <w:rsid w:val="00131F9C"/>
    <w:rsid w:val="00132336"/>
    <w:rsid w:val="00132425"/>
    <w:rsid w:val="0013280A"/>
    <w:rsid w:val="00132875"/>
    <w:rsid w:val="001332B3"/>
    <w:rsid w:val="0013343F"/>
    <w:rsid w:val="001344F9"/>
    <w:rsid w:val="00134F37"/>
    <w:rsid w:val="00135F76"/>
    <w:rsid w:val="001360E9"/>
    <w:rsid w:val="001360F4"/>
    <w:rsid w:val="001363C7"/>
    <w:rsid w:val="00136E87"/>
    <w:rsid w:val="00137B44"/>
    <w:rsid w:val="00140793"/>
    <w:rsid w:val="00140951"/>
    <w:rsid w:val="0014203B"/>
    <w:rsid w:val="001422BD"/>
    <w:rsid w:val="0014286D"/>
    <w:rsid w:val="00143AF3"/>
    <w:rsid w:val="00143B8E"/>
    <w:rsid w:val="00143F21"/>
    <w:rsid w:val="0014420C"/>
    <w:rsid w:val="001446C3"/>
    <w:rsid w:val="001453DB"/>
    <w:rsid w:val="00145EA8"/>
    <w:rsid w:val="001461A7"/>
    <w:rsid w:val="00146946"/>
    <w:rsid w:val="00146E7C"/>
    <w:rsid w:val="00147F8C"/>
    <w:rsid w:val="00150492"/>
    <w:rsid w:val="001511EB"/>
    <w:rsid w:val="00151200"/>
    <w:rsid w:val="001513CE"/>
    <w:rsid w:val="00151465"/>
    <w:rsid w:val="00151AD8"/>
    <w:rsid w:val="00151E77"/>
    <w:rsid w:val="00153287"/>
    <w:rsid w:val="001533E6"/>
    <w:rsid w:val="001538BE"/>
    <w:rsid w:val="00153C33"/>
    <w:rsid w:val="00155198"/>
    <w:rsid w:val="00155A26"/>
    <w:rsid w:val="00155EF1"/>
    <w:rsid w:val="00156192"/>
    <w:rsid w:val="00156E57"/>
    <w:rsid w:val="0015710D"/>
    <w:rsid w:val="00157338"/>
    <w:rsid w:val="0015784F"/>
    <w:rsid w:val="00157CE5"/>
    <w:rsid w:val="00157DEB"/>
    <w:rsid w:val="00157FE2"/>
    <w:rsid w:val="001610BC"/>
    <w:rsid w:val="00161847"/>
    <w:rsid w:val="00161E13"/>
    <w:rsid w:val="001629D8"/>
    <w:rsid w:val="00162B2A"/>
    <w:rsid w:val="00162B8D"/>
    <w:rsid w:val="00162F9F"/>
    <w:rsid w:val="00163D14"/>
    <w:rsid w:val="00163EB1"/>
    <w:rsid w:val="00164803"/>
    <w:rsid w:val="00164AE0"/>
    <w:rsid w:val="00165BF5"/>
    <w:rsid w:val="00165F2E"/>
    <w:rsid w:val="0016646A"/>
    <w:rsid w:val="0016793B"/>
    <w:rsid w:val="00167C43"/>
    <w:rsid w:val="001706C9"/>
    <w:rsid w:val="0017120C"/>
    <w:rsid w:val="0017150D"/>
    <w:rsid w:val="00171570"/>
    <w:rsid w:val="00171D3A"/>
    <w:rsid w:val="001721E2"/>
    <w:rsid w:val="001727D7"/>
    <w:rsid w:val="00172C96"/>
    <w:rsid w:val="00172DDC"/>
    <w:rsid w:val="00172F3A"/>
    <w:rsid w:val="00173477"/>
    <w:rsid w:val="00173B4B"/>
    <w:rsid w:val="0017414F"/>
    <w:rsid w:val="0017432C"/>
    <w:rsid w:val="00174636"/>
    <w:rsid w:val="00174735"/>
    <w:rsid w:val="0017481D"/>
    <w:rsid w:val="00174B1B"/>
    <w:rsid w:val="00174BD8"/>
    <w:rsid w:val="00174D51"/>
    <w:rsid w:val="001750BC"/>
    <w:rsid w:val="001757B3"/>
    <w:rsid w:val="001765BB"/>
    <w:rsid w:val="0017667E"/>
    <w:rsid w:val="001766D3"/>
    <w:rsid w:val="00176AE8"/>
    <w:rsid w:val="00176E76"/>
    <w:rsid w:val="00177570"/>
    <w:rsid w:val="00177E95"/>
    <w:rsid w:val="0018007F"/>
    <w:rsid w:val="001811FC"/>
    <w:rsid w:val="00182338"/>
    <w:rsid w:val="00182348"/>
    <w:rsid w:val="00183F50"/>
    <w:rsid w:val="00184BD9"/>
    <w:rsid w:val="00184ED6"/>
    <w:rsid w:val="00184F13"/>
    <w:rsid w:val="00184FD9"/>
    <w:rsid w:val="00185361"/>
    <w:rsid w:val="00186037"/>
    <w:rsid w:val="00186AE4"/>
    <w:rsid w:val="00186D14"/>
    <w:rsid w:val="001876D8"/>
    <w:rsid w:val="00187F6A"/>
    <w:rsid w:val="00190325"/>
    <w:rsid w:val="00190391"/>
    <w:rsid w:val="0019151E"/>
    <w:rsid w:val="00191593"/>
    <w:rsid w:val="001918F1"/>
    <w:rsid w:val="0019196E"/>
    <w:rsid w:val="00191FF5"/>
    <w:rsid w:val="001926D7"/>
    <w:rsid w:val="00192CCE"/>
    <w:rsid w:val="0019385B"/>
    <w:rsid w:val="00193F1C"/>
    <w:rsid w:val="001948F5"/>
    <w:rsid w:val="00194958"/>
    <w:rsid w:val="00196359"/>
    <w:rsid w:val="00197205"/>
    <w:rsid w:val="00197632"/>
    <w:rsid w:val="0019793F"/>
    <w:rsid w:val="00197A9D"/>
    <w:rsid w:val="001A08E7"/>
    <w:rsid w:val="001A17D7"/>
    <w:rsid w:val="001A1A67"/>
    <w:rsid w:val="001A1FDD"/>
    <w:rsid w:val="001A2D8F"/>
    <w:rsid w:val="001A3D89"/>
    <w:rsid w:val="001A3E0A"/>
    <w:rsid w:val="001A5458"/>
    <w:rsid w:val="001A545B"/>
    <w:rsid w:val="001A54DA"/>
    <w:rsid w:val="001A5E69"/>
    <w:rsid w:val="001A6861"/>
    <w:rsid w:val="001A6FEC"/>
    <w:rsid w:val="001A78AA"/>
    <w:rsid w:val="001B08B5"/>
    <w:rsid w:val="001B143B"/>
    <w:rsid w:val="001B1532"/>
    <w:rsid w:val="001B1777"/>
    <w:rsid w:val="001B19C5"/>
    <w:rsid w:val="001B1B6D"/>
    <w:rsid w:val="001B1C93"/>
    <w:rsid w:val="001B21CA"/>
    <w:rsid w:val="001B28D5"/>
    <w:rsid w:val="001B28E4"/>
    <w:rsid w:val="001B35D4"/>
    <w:rsid w:val="001B4446"/>
    <w:rsid w:val="001B53DD"/>
    <w:rsid w:val="001B5A00"/>
    <w:rsid w:val="001B5F59"/>
    <w:rsid w:val="001B63A7"/>
    <w:rsid w:val="001B6810"/>
    <w:rsid w:val="001B6E89"/>
    <w:rsid w:val="001B791C"/>
    <w:rsid w:val="001B7D70"/>
    <w:rsid w:val="001C0125"/>
    <w:rsid w:val="001C1074"/>
    <w:rsid w:val="001C21C8"/>
    <w:rsid w:val="001C25F5"/>
    <w:rsid w:val="001C265A"/>
    <w:rsid w:val="001C2DFD"/>
    <w:rsid w:val="001C34D0"/>
    <w:rsid w:val="001C36BB"/>
    <w:rsid w:val="001C4249"/>
    <w:rsid w:val="001C46E3"/>
    <w:rsid w:val="001C4F27"/>
    <w:rsid w:val="001C51FE"/>
    <w:rsid w:val="001C5662"/>
    <w:rsid w:val="001C6573"/>
    <w:rsid w:val="001C6D50"/>
    <w:rsid w:val="001C7D03"/>
    <w:rsid w:val="001D00BE"/>
    <w:rsid w:val="001D079B"/>
    <w:rsid w:val="001D0C1F"/>
    <w:rsid w:val="001D0D32"/>
    <w:rsid w:val="001D17C9"/>
    <w:rsid w:val="001D1AB9"/>
    <w:rsid w:val="001D1EEB"/>
    <w:rsid w:val="001D1F20"/>
    <w:rsid w:val="001D3795"/>
    <w:rsid w:val="001D386C"/>
    <w:rsid w:val="001D4006"/>
    <w:rsid w:val="001D54BD"/>
    <w:rsid w:val="001D5C72"/>
    <w:rsid w:val="001D626E"/>
    <w:rsid w:val="001D733B"/>
    <w:rsid w:val="001D73CF"/>
    <w:rsid w:val="001D7E8C"/>
    <w:rsid w:val="001E0902"/>
    <w:rsid w:val="001E1801"/>
    <w:rsid w:val="001E1C73"/>
    <w:rsid w:val="001E1E05"/>
    <w:rsid w:val="001E2254"/>
    <w:rsid w:val="001E22D2"/>
    <w:rsid w:val="001E2343"/>
    <w:rsid w:val="001E3A17"/>
    <w:rsid w:val="001E3FCB"/>
    <w:rsid w:val="001E52DF"/>
    <w:rsid w:val="001E5500"/>
    <w:rsid w:val="001E6BCB"/>
    <w:rsid w:val="001E783B"/>
    <w:rsid w:val="001E7FBC"/>
    <w:rsid w:val="001F0822"/>
    <w:rsid w:val="001F08CB"/>
    <w:rsid w:val="001F105B"/>
    <w:rsid w:val="001F15F6"/>
    <w:rsid w:val="001F179C"/>
    <w:rsid w:val="001F24B7"/>
    <w:rsid w:val="001F2649"/>
    <w:rsid w:val="001F3496"/>
    <w:rsid w:val="001F41CA"/>
    <w:rsid w:val="001F4355"/>
    <w:rsid w:val="001F4819"/>
    <w:rsid w:val="001F48BD"/>
    <w:rsid w:val="001F4FAB"/>
    <w:rsid w:val="001F5034"/>
    <w:rsid w:val="001F61DE"/>
    <w:rsid w:val="001F63AA"/>
    <w:rsid w:val="001F69C8"/>
    <w:rsid w:val="001F7054"/>
    <w:rsid w:val="001F77E5"/>
    <w:rsid w:val="001F7DB7"/>
    <w:rsid w:val="002000AA"/>
    <w:rsid w:val="00201502"/>
    <w:rsid w:val="0020212E"/>
    <w:rsid w:val="0020302A"/>
    <w:rsid w:val="002032A0"/>
    <w:rsid w:val="00203532"/>
    <w:rsid w:val="002038C6"/>
    <w:rsid w:val="00203AE0"/>
    <w:rsid w:val="00204106"/>
    <w:rsid w:val="00204109"/>
    <w:rsid w:val="0020503A"/>
    <w:rsid w:val="00205041"/>
    <w:rsid w:val="0020524C"/>
    <w:rsid w:val="002059E3"/>
    <w:rsid w:val="00207438"/>
    <w:rsid w:val="002100FF"/>
    <w:rsid w:val="00210543"/>
    <w:rsid w:val="00210B9B"/>
    <w:rsid w:val="0021102F"/>
    <w:rsid w:val="002118D1"/>
    <w:rsid w:val="00211DCE"/>
    <w:rsid w:val="0021229D"/>
    <w:rsid w:val="00212390"/>
    <w:rsid w:val="00212897"/>
    <w:rsid w:val="0021386A"/>
    <w:rsid w:val="00213C44"/>
    <w:rsid w:val="002147EE"/>
    <w:rsid w:val="00215516"/>
    <w:rsid w:val="002158DC"/>
    <w:rsid w:val="002159D5"/>
    <w:rsid w:val="00215B64"/>
    <w:rsid w:val="00215C05"/>
    <w:rsid w:val="002161E3"/>
    <w:rsid w:val="00216DF5"/>
    <w:rsid w:val="00216EFA"/>
    <w:rsid w:val="0021798E"/>
    <w:rsid w:val="00217CA1"/>
    <w:rsid w:val="00217DEE"/>
    <w:rsid w:val="00217E2B"/>
    <w:rsid w:val="002203BF"/>
    <w:rsid w:val="00220C4C"/>
    <w:rsid w:val="00220E95"/>
    <w:rsid w:val="002217FE"/>
    <w:rsid w:val="0022180C"/>
    <w:rsid w:val="00221935"/>
    <w:rsid w:val="00221C72"/>
    <w:rsid w:val="002223E1"/>
    <w:rsid w:val="002225AB"/>
    <w:rsid w:val="00222955"/>
    <w:rsid w:val="002231B0"/>
    <w:rsid w:val="002250D1"/>
    <w:rsid w:val="002267D2"/>
    <w:rsid w:val="00230077"/>
    <w:rsid w:val="00230839"/>
    <w:rsid w:val="00230EE8"/>
    <w:rsid w:val="00231ADB"/>
    <w:rsid w:val="00232178"/>
    <w:rsid w:val="00232248"/>
    <w:rsid w:val="00232D12"/>
    <w:rsid w:val="00233616"/>
    <w:rsid w:val="00233975"/>
    <w:rsid w:val="00233B8C"/>
    <w:rsid w:val="002353E3"/>
    <w:rsid w:val="00235CC0"/>
    <w:rsid w:val="00235F30"/>
    <w:rsid w:val="00236287"/>
    <w:rsid w:val="002363FF"/>
    <w:rsid w:val="00236D10"/>
    <w:rsid w:val="002376D4"/>
    <w:rsid w:val="00237FB3"/>
    <w:rsid w:val="002407CE"/>
    <w:rsid w:val="00242325"/>
    <w:rsid w:val="00243A38"/>
    <w:rsid w:val="0024474F"/>
    <w:rsid w:val="00244761"/>
    <w:rsid w:val="002450F2"/>
    <w:rsid w:val="00245B7F"/>
    <w:rsid w:val="00246383"/>
    <w:rsid w:val="002466FA"/>
    <w:rsid w:val="002469C2"/>
    <w:rsid w:val="00247BDE"/>
    <w:rsid w:val="00247DE2"/>
    <w:rsid w:val="002505DE"/>
    <w:rsid w:val="002514FA"/>
    <w:rsid w:val="00251DAF"/>
    <w:rsid w:val="00252503"/>
    <w:rsid w:val="0025265C"/>
    <w:rsid w:val="00252ED7"/>
    <w:rsid w:val="0025393C"/>
    <w:rsid w:val="002549E7"/>
    <w:rsid w:val="00254A7A"/>
    <w:rsid w:val="00254EA4"/>
    <w:rsid w:val="0025509C"/>
    <w:rsid w:val="002552F8"/>
    <w:rsid w:val="0025575F"/>
    <w:rsid w:val="002571E3"/>
    <w:rsid w:val="002573DA"/>
    <w:rsid w:val="00260496"/>
    <w:rsid w:val="00260542"/>
    <w:rsid w:val="00260BAD"/>
    <w:rsid w:val="0026224C"/>
    <w:rsid w:val="00264C7C"/>
    <w:rsid w:val="0026650F"/>
    <w:rsid w:val="00266DC3"/>
    <w:rsid w:val="0027029D"/>
    <w:rsid w:val="00270443"/>
    <w:rsid w:val="00270EE2"/>
    <w:rsid w:val="0027138C"/>
    <w:rsid w:val="0027165A"/>
    <w:rsid w:val="00272787"/>
    <w:rsid w:val="00272826"/>
    <w:rsid w:val="00272A7B"/>
    <w:rsid w:val="00272C44"/>
    <w:rsid w:val="00272F05"/>
    <w:rsid w:val="00273527"/>
    <w:rsid w:val="00273F6B"/>
    <w:rsid w:val="002747EF"/>
    <w:rsid w:val="00274B06"/>
    <w:rsid w:val="002751D6"/>
    <w:rsid w:val="002754D3"/>
    <w:rsid w:val="00276261"/>
    <w:rsid w:val="00276944"/>
    <w:rsid w:val="00276964"/>
    <w:rsid w:val="002769AE"/>
    <w:rsid w:val="00276CA7"/>
    <w:rsid w:val="002816DD"/>
    <w:rsid w:val="002817A6"/>
    <w:rsid w:val="002821E8"/>
    <w:rsid w:val="00282F1D"/>
    <w:rsid w:val="00283215"/>
    <w:rsid w:val="002833F3"/>
    <w:rsid w:val="00284203"/>
    <w:rsid w:val="00285237"/>
    <w:rsid w:val="00285E3F"/>
    <w:rsid w:val="0028610D"/>
    <w:rsid w:val="002862CC"/>
    <w:rsid w:val="00286BFE"/>
    <w:rsid w:val="00286C81"/>
    <w:rsid w:val="0028703E"/>
    <w:rsid w:val="0028709F"/>
    <w:rsid w:val="0028717B"/>
    <w:rsid w:val="00287524"/>
    <w:rsid w:val="00290119"/>
    <w:rsid w:val="0029040D"/>
    <w:rsid w:val="002908F8"/>
    <w:rsid w:val="00290A53"/>
    <w:rsid w:val="00290B64"/>
    <w:rsid w:val="00291CB7"/>
    <w:rsid w:val="00292E91"/>
    <w:rsid w:val="002930AD"/>
    <w:rsid w:val="00293254"/>
    <w:rsid w:val="00295002"/>
    <w:rsid w:val="0029568E"/>
    <w:rsid w:val="00295E8C"/>
    <w:rsid w:val="002970F1"/>
    <w:rsid w:val="002971C7"/>
    <w:rsid w:val="002971F2"/>
    <w:rsid w:val="00297785"/>
    <w:rsid w:val="00297E05"/>
    <w:rsid w:val="002A0444"/>
    <w:rsid w:val="002A0F8D"/>
    <w:rsid w:val="002A1311"/>
    <w:rsid w:val="002A1377"/>
    <w:rsid w:val="002A1F89"/>
    <w:rsid w:val="002A211A"/>
    <w:rsid w:val="002A264B"/>
    <w:rsid w:val="002A3E38"/>
    <w:rsid w:val="002A4A82"/>
    <w:rsid w:val="002A4B33"/>
    <w:rsid w:val="002A4C00"/>
    <w:rsid w:val="002A5311"/>
    <w:rsid w:val="002A548D"/>
    <w:rsid w:val="002A5863"/>
    <w:rsid w:val="002A6E9B"/>
    <w:rsid w:val="002A6FBB"/>
    <w:rsid w:val="002B05D1"/>
    <w:rsid w:val="002B09F5"/>
    <w:rsid w:val="002B1933"/>
    <w:rsid w:val="002B20BD"/>
    <w:rsid w:val="002B22DB"/>
    <w:rsid w:val="002B2611"/>
    <w:rsid w:val="002B27D8"/>
    <w:rsid w:val="002B35B9"/>
    <w:rsid w:val="002B38D2"/>
    <w:rsid w:val="002B3A46"/>
    <w:rsid w:val="002B3F1C"/>
    <w:rsid w:val="002B3F60"/>
    <w:rsid w:val="002B401B"/>
    <w:rsid w:val="002B48C5"/>
    <w:rsid w:val="002B4ED9"/>
    <w:rsid w:val="002B4EF4"/>
    <w:rsid w:val="002B51BB"/>
    <w:rsid w:val="002B58C5"/>
    <w:rsid w:val="002B6CA2"/>
    <w:rsid w:val="002B6E44"/>
    <w:rsid w:val="002B6E8A"/>
    <w:rsid w:val="002B726F"/>
    <w:rsid w:val="002B744E"/>
    <w:rsid w:val="002B7909"/>
    <w:rsid w:val="002C000B"/>
    <w:rsid w:val="002C016F"/>
    <w:rsid w:val="002C09A8"/>
    <w:rsid w:val="002C103C"/>
    <w:rsid w:val="002C1109"/>
    <w:rsid w:val="002C12C7"/>
    <w:rsid w:val="002C185E"/>
    <w:rsid w:val="002C1E93"/>
    <w:rsid w:val="002C29EB"/>
    <w:rsid w:val="002C30F0"/>
    <w:rsid w:val="002C401A"/>
    <w:rsid w:val="002C479B"/>
    <w:rsid w:val="002C4EC8"/>
    <w:rsid w:val="002C532B"/>
    <w:rsid w:val="002C6AF5"/>
    <w:rsid w:val="002C6D15"/>
    <w:rsid w:val="002C72F4"/>
    <w:rsid w:val="002C7E5B"/>
    <w:rsid w:val="002D0907"/>
    <w:rsid w:val="002D0E9E"/>
    <w:rsid w:val="002D1381"/>
    <w:rsid w:val="002D2D68"/>
    <w:rsid w:val="002D2F69"/>
    <w:rsid w:val="002D3016"/>
    <w:rsid w:val="002D3067"/>
    <w:rsid w:val="002D38D9"/>
    <w:rsid w:val="002D3CE3"/>
    <w:rsid w:val="002D4298"/>
    <w:rsid w:val="002D47E8"/>
    <w:rsid w:val="002D4FCC"/>
    <w:rsid w:val="002D5FD5"/>
    <w:rsid w:val="002D68F4"/>
    <w:rsid w:val="002D7395"/>
    <w:rsid w:val="002D7417"/>
    <w:rsid w:val="002D782B"/>
    <w:rsid w:val="002E0D9C"/>
    <w:rsid w:val="002E1247"/>
    <w:rsid w:val="002E26E8"/>
    <w:rsid w:val="002E2A64"/>
    <w:rsid w:val="002E3DD8"/>
    <w:rsid w:val="002E3ED8"/>
    <w:rsid w:val="002E5A01"/>
    <w:rsid w:val="002E5AF4"/>
    <w:rsid w:val="002E5EA3"/>
    <w:rsid w:val="002E717C"/>
    <w:rsid w:val="002E7533"/>
    <w:rsid w:val="002E7A61"/>
    <w:rsid w:val="002F00B8"/>
    <w:rsid w:val="002F0106"/>
    <w:rsid w:val="002F02C2"/>
    <w:rsid w:val="002F03C8"/>
    <w:rsid w:val="002F188D"/>
    <w:rsid w:val="002F18A5"/>
    <w:rsid w:val="002F26F3"/>
    <w:rsid w:val="002F317F"/>
    <w:rsid w:val="002F51A2"/>
    <w:rsid w:val="002F5BA8"/>
    <w:rsid w:val="002F5E95"/>
    <w:rsid w:val="002F5F68"/>
    <w:rsid w:val="002F63CA"/>
    <w:rsid w:val="002F67B4"/>
    <w:rsid w:val="002F6F73"/>
    <w:rsid w:val="002F7AA9"/>
    <w:rsid w:val="003004E3"/>
    <w:rsid w:val="00300FF1"/>
    <w:rsid w:val="00301C0D"/>
    <w:rsid w:val="00301D7B"/>
    <w:rsid w:val="00301E19"/>
    <w:rsid w:val="003023DE"/>
    <w:rsid w:val="00302998"/>
    <w:rsid w:val="00303DC4"/>
    <w:rsid w:val="00304676"/>
    <w:rsid w:val="00306BE7"/>
    <w:rsid w:val="00306D4A"/>
    <w:rsid w:val="003110A2"/>
    <w:rsid w:val="00311655"/>
    <w:rsid w:val="00311B66"/>
    <w:rsid w:val="00311F29"/>
    <w:rsid w:val="00312518"/>
    <w:rsid w:val="00314036"/>
    <w:rsid w:val="00314347"/>
    <w:rsid w:val="00314C4F"/>
    <w:rsid w:val="00314FAF"/>
    <w:rsid w:val="00315CDD"/>
    <w:rsid w:val="003162A5"/>
    <w:rsid w:val="00316591"/>
    <w:rsid w:val="00320553"/>
    <w:rsid w:val="00320C6D"/>
    <w:rsid w:val="00321242"/>
    <w:rsid w:val="003213A8"/>
    <w:rsid w:val="00321CC6"/>
    <w:rsid w:val="00321FA8"/>
    <w:rsid w:val="00321FFD"/>
    <w:rsid w:val="003225AD"/>
    <w:rsid w:val="00322E18"/>
    <w:rsid w:val="00323C3D"/>
    <w:rsid w:val="00323D1D"/>
    <w:rsid w:val="00323F8A"/>
    <w:rsid w:val="00324752"/>
    <w:rsid w:val="00324D73"/>
    <w:rsid w:val="00326011"/>
    <w:rsid w:val="0032643D"/>
    <w:rsid w:val="00326D02"/>
    <w:rsid w:val="00327069"/>
    <w:rsid w:val="00327812"/>
    <w:rsid w:val="00327AFB"/>
    <w:rsid w:val="00327BAF"/>
    <w:rsid w:val="00327D10"/>
    <w:rsid w:val="00331894"/>
    <w:rsid w:val="00332CB8"/>
    <w:rsid w:val="00333427"/>
    <w:rsid w:val="00333428"/>
    <w:rsid w:val="00334784"/>
    <w:rsid w:val="003350B6"/>
    <w:rsid w:val="0033595E"/>
    <w:rsid w:val="0033601B"/>
    <w:rsid w:val="003364B6"/>
    <w:rsid w:val="0033764C"/>
    <w:rsid w:val="00337DF3"/>
    <w:rsid w:val="00337F8E"/>
    <w:rsid w:val="00340039"/>
    <w:rsid w:val="003400D3"/>
    <w:rsid w:val="0034024F"/>
    <w:rsid w:val="00340A77"/>
    <w:rsid w:val="00340D39"/>
    <w:rsid w:val="00340DFB"/>
    <w:rsid w:val="00341941"/>
    <w:rsid w:val="0034207A"/>
    <w:rsid w:val="0034278F"/>
    <w:rsid w:val="0034281F"/>
    <w:rsid w:val="003438CB"/>
    <w:rsid w:val="00343B47"/>
    <w:rsid w:val="0034404F"/>
    <w:rsid w:val="00344ACC"/>
    <w:rsid w:val="00345F01"/>
    <w:rsid w:val="0034654F"/>
    <w:rsid w:val="00346B28"/>
    <w:rsid w:val="003475E1"/>
    <w:rsid w:val="00347685"/>
    <w:rsid w:val="003509A5"/>
    <w:rsid w:val="003515FD"/>
    <w:rsid w:val="003518A4"/>
    <w:rsid w:val="00351E21"/>
    <w:rsid w:val="00352327"/>
    <w:rsid w:val="003526A9"/>
    <w:rsid w:val="00352D0F"/>
    <w:rsid w:val="00354062"/>
    <w:rsid w:val="00354405"/>
    <w:rsid w:val="00355A76"/>
    <w:rsid w:val="00355DEC"/>
    <w:rsid w:val="0035635F"/>
    <w:rsid w:val="00356E0F"/>
    <w:rsid w:val="0035700C"/>
    <w:rsid w:val="003607EE"/>
    <w:rsid w:val="00360BC8"/>
    <w:rsid w:val="00360CC2"/>
    <w:rsid w:val="00360E35"/>
    <w:rsid w:val="00361106"/>
    <w:rsid w:val="003617AE"/>
    <w:rsid w:val="00361F64"/>
    <w:rsid w:val="0036215C"/>
    <w:rsid w:val="00362500"/>
    <w:rsid w:val="003630F7"/>
    <w:rsid w:val="0036332B"/>
    <w:rsid w:val="00363589"/>
    <w:rsid w:val="00363636"/>
    <w:rsid w:val="003651AC"/>
    <w:rsid w:val="003653AA"/>
    <w:rsid w:val="00366120"/>
    <w:rsid w:val="003661FF"/>
    <w:rsid w:val="003665A5"/>
    <w:rsid w:val="00366A0C"/>
    <w:rsid w:val="00367238"/>
    <w:rsid w:val="00367462"/>
    <w:rsid w:val="003677D5"/>
    <w:rsid w:val="0037034B"/>
    <w:rsid w:val="00370507"/>
    <w:rsid w:val="00370682"/>
    <w:rsid w:val="00370F0B"/>
    <w:rsid w:val="003718D8"/>
    <w:rsid w:val="00372A01"/>
    <w:rsid w:val="00372CFC"/>
    <w:rsid w:val="003733DF"/>
    <w:rsid w:val="00373865"/>
    <w:rsid w:val="003739DA"/>
    <w:rsid w:val="00373CE8"/>
    <w:rsid w:val="00374DB0"/>
    <w:rsid w:val="003751C7"/>
    <w:rsid w:val="00375C84"/>
    <w:rsid w:val="00376524"/>
    <w:rsid w:val="00376E3B"/>
    <w:rsid w:val="003776FE"/>
    <w:rsid w:val="00380424"/>
    <w:rsid w:val="00380868"/>
    <w:rsid w:val="00380B9B"/>
    <w:rsid w:val="003818B3"/>
    <w:rsid w:val="003818F7"/>
    <w:rsid w:val="003819F5"/>
    <w:rsid w:val="00381A52"/>
    <w:rsid w:val="00381B57"/>
    <w:rsid w:val="00381D47"/>
    <w:rsid w:val="003821CC"/>
    <w:rsid w:val="003835F0"/>
    <w:rsid w:val="003842F5"/>
    <w:rsid w:val="003853B1"/>
    <w:rsid w:val="003853ED"/>
    <w:rsid w:val="0038628F"/>
    <w:rsid w:val="00386421"/>
    <w:rsid w:val="0038704C"/>
    <w:rsid w:val="00387AA1"/>
    <w:rsid w:val="0039082A"/>
    <w:rsid w:val="0039101F"/>
    <w:rsid w:val="003915B4"/>
    <w:rsid w:val="00392EDB"/>
    <w:rsid w:val="00392FAE"/>
    <w:rsid w:val="003931AA"/>
    <w:rsid w:val="00393EEE"/>
    <w:rsid w:val="003941C0"/>
    <w:rsid w:val="00394D45"/>
    <w:rsid w:val="00395132"/>
    <w:rsid w:val="00395D99"/>
    <w:rsid w:val="00396682"/>
    <w:rsid w:val="003968DF"/>
    <w:rsid w:val="003976C3"/>
    <w:rsid w:val="00397A03"/>
    <w:rsid w:val="00397A64"/>
    <w:rsid w:val="003A083B"/>
    <w:rsid w:val="003A099A"/>
    <w:rsid w:val="003A1372"/>
    <w:rsid w:val="003A15DE"/>
    <w:rsid w:val="003A1D46"/>
    <w:rsid w:val="003A2447"/>
    <w:rsid w:val="003A2B82"/>
    <w:rsid w:val="003A36D3"/>
    <w:rsid w:val="003A3927"/>
    <w:rsid w:val="003A3D2E"/>
    <w:rsid w:val="003A3FF7"/>
    <w:rsid w:val="003A43D1"/>
    <w:rsid w:val="003A44D9"/>
    <w:rsid w:val="003A48A4"/>
    <w:rsid w:val="003A6A51"/>
    <w:rsid w:val="003A6E29"/>
    <w:rsid w:val="003A7BDB"/>
    <w:rsid w:val="003A7FEA"/>
    <w:rsid w:val="003B0464"/>
    <w:rsid w:val="003B0BDB"/>
    <w:rsid w:val="003B0E88"/>
    <w:rsid w:val="003B106E"/>
    <w:rsid w:val="003B153F"/>
    <w:rsid w:val="003B16AF"/>
    <w:rsid w:val="003B17B0"/>
    <w:rsid w:val="003B1844"/>
    <w:rsid w:val="003B1A5C"/>
    <w:rsid w:val="003B211E"/>
    <w:rsid w:val="003B24EA"/>
    <w:rsid w:val="003B2DA7"/>
    <w:rsid w:val="003B3AB7"/>
    <w:rsid w:val="003B3ABC"/>
    <w:rsid w:val="003B3CDD"/>
    <w:rsid w:val="003B3D8E"/>
    <w:rsid w:val="003B3FED"/>
    <w:rsid w:val="003B3FF1"/>
    <w:rsid w:val="003B4217"/>
    <w:rsid w:val="003B59A1"/>
    <w:rsid w:val="003B6D11"/>
    <w:rsid w:val="003B74F1"/>
    <w:rsid w:val="003B7541"/>
    <w:rsid w:val="003B7966"/>
    <w:rsid w:val="003B7F07"/>
    <w:rsid w:val="003B7FCE"/>
    <w:rsid w:val="003C0F87"/>
    <w:rsid w:val="003C141E"/>
    <w:rsid w:val="003C1B83"/>
    <w:rsid w:val="003C210E"/>
    <w:rsid w:val="003C21B3"/>
    <w:rsid w:val="003C30AD"/>
    <w:rsid w:val="003C3503"/>
    <w:rsid w:val="003C40DE"/>
    <w:rsid w:val="003C4851"/>
    <w:rsid w:val="003C4C96"/>
    <w:rsid w:val="003C55E0"/>
    <w:rsid w:val="003C5E39"/>
    <w:rsid w:val="003C683A"/>
    <w:rsid w:val="003D0079"/>
    <w:rsid w:val="003D017D"/>
    <w:rsid w:val="003D04D6"/>
    <w:rsid w:val="003D10EC"/>
    <w:rsid w:val="003D28DE"/>
    <w:rsid w:val="003D29B9"/>
    <w:rsid w:val="003D3500"/>
    <w:rsid w:val="003D37B6"/>
    <w:rsid w:val="003D3C68"/>
    <w:rsid w:val="003D450D"/>
    <w:rsid w:val="003D4BA9"/>
    <w:rsid w:val="003D4F8F"/>
    <w:rsid w:val="003D503A"/>
    <w:rsid w:val="003D6505"/>
    <w:rsid w:val="003D71A6"/>
    <w:rsid w:val="003D7709"/>
    <w:rsid w:val="003E004C"/>
    <w:rsid w:val="003E0BAF"/>
    <w:rsid w:val="003E0E25"/>
    <w:rsid w:val="003E1409"/>
    <w:rsid w:val="003E16F2"/>
    <w:rsid w:val="003E2195"/>
    <w:rsid w:val="003E36A5"/>
    <w:rsid w:val="003E42BC"/>
    <w:rsid w:val="003E4A52"/>
    <w:rsid w:val="003E5CBA"/>
    <w:rsid w:val="003E78A9"/>
    <w:rsid w:val="003E7912"/>
    <w:rsid w:val="003F04A3"/>
    <w:rsid w:val="003F04E6"/>
    <w:rsid w:val="003F2CDD"/>
    <w:rsid w:val="003F3FB3"/>
    <w:rsid w:val="003F45D7"/>
    <w:rsid w:val="003F4C1B"/>
    <w:rsid w:val="003F5660"/>
    <w:rsid w:val="003F5717"/>
    <w:rsid w:val="003F5A39"/>
    <w:rsid w:val="003F5B56"/>
    <w:rsid w:val="003F5B9F"/>
    <w:rsid w:val="003F5C1A"/>
    <w:rsid w:val="003F6A6A"/>
    <w:rsid w:val="003F738D"/>
    <w:rsid w:val="003F7554"/>
    <w:rsid w:val="003F7845"/>
    <w:rsid w:val="003F7FA1"/>
    <w:rsid w:val="003F7FA4"/>
    <w:rsid w:val="004006EA"/>
    <w:rsid w:val="004008DE"/>
    <w:rsid w:val="00400B4E"/>
    <w:rsid w:val="0040130D"/>
    <w:rsid w:val="00402E56"/>
    <w:rsid w:val="00403634"/>
    <w:rsid w:val="00403A99"/>
    <w:rsid w:val="00404289"/>
    <w:rsid w:val="00404592"/>
    <w:rsid w:val="0040496E"/>
    <w:rsid w:val="00404B58"/>
    <w:rsid w:val="0040544F"/>
    <w:rsid w:val="00405537"/>
    <w:rsid w:val="00405AD2"/>
    <w:rsid w:val="0040625C"/>
    <w:rsid w:val="00406275"/>
    <w:rsid w:val="004069D2"/>
    <w:rsid w:val="00406E29"/>
    <w:rsid w:val="004076FF"/>
    <w:rsid w:val="00411B17"/>
    <w:rsid w:val="00411FFF"/>
    <w:rsid w:val="0041222D"/>
    <w:rsid w:val="004124F2"/>
    <w:rsid w:val="00412C2A"/>
    <w:rsid w:val="00412E6F"/>
    <w:rsid w:val="00413C5C"/>
    <w:rsid w:val="0041413F"/>
    <w:rsid w:val="0041567A"/>
    <w:rsid w:val="00415BAB"/>
    <w:rsid w:val="00415BCF"/>
    <w:rsid w:val="00416297"/>
    <w:rsid w:val="00417083"/>
    <w:rsid w:val="004179AD"/>
    <w:rsid w:val="00417E36"/>
    <w:rsid w:val="0042057C"/>
    <w:rsid w:val="00420BDF"/>
    <w:rsid w:val="00421608"/>
    <w:rsid w:val="00421849"/>
    <w:rsid w:val="00421C23"/>
    <w:rsid w:val="0042261E"/>
    <w:rsid w:val="00422749"/>
    <w:rsid w:val="004228F2"/>
    <w:rsid w:val="004233DC"/>
    <w:rsid w:val="00424888"/>
    <w:rsid w:val="004255D9"/>
    <w:rsid w:val="00425763"/>
    <w:rsid w:val="00425C3C"/>
    <w:rsid w:val="00426F8D"/>
    <w:rsid w:val="00427D1B"/>
    <w:rsid w:val="00427E40"/>
    <w:rsid w:val="004306AB"/>
    <w:rsid w:val="0043159D"/>
    <w:rsid w:val="0043171D"/>
    <w:rsid w:val="00432F78"/>
    <w:rsid w:val="004334A2"/>
    <w:rsid w:val="004335BC"/>
    <w:rsid w:val="00433972"/>
    <w:rsid w:val="004339E6"/>
    <w:rsid w:val="00434723"/>
    <w:rsid w:val="00434729"/>
    <w:rsid w:val="0043617B"/>
    <w:rsid w:val="00437D17"/>
    <w:rsid w:val="00437D2F"/>
    <w:rsid w:val="0044046D"/>
    <w:rsid w:val="004410D3"/>
    <w:rsid w:val="00441A5B"/>
    <w:rsid w:val="00441DAF"/>
    <w:rsid w:val="0044270D"/>
    <w:rsid w:val="00442E8C"/>
    <w:rsid w:val="0044312A"/>
    <w:rsid w:val="00443310"/>
    <w:rsid w:val="004435D5"/>
    <w:rsid w:val="00443A34"/>
    <w:rsid w:val="00443D38"/>
    <w:rsid w:val="00444140"/>
    <w:rsid w:val="00444BF5"/>
    <w:rsid w:val="00444F43"/>
    <w:rsid w:val="00447213"/>
    <w:rsid w:val="00447C23"/>
    <w:rsid w:val="00450744"/>
    <w:rsid w:val="00450BE7"/>
    <w:rsid w:val="00450F9E"/>
    <w:rsid w:val="00450FE8"/>
    <w:rsid w:val="004518D0"/>
    <w:rsid w:val="0045213A"/>
    <w:rsid w:val="0045227C"/>
    <w:rsid w:val="0045230E"/>
    <w:rsid w:val="004528FA"/>
    <w:rsid w:val="00452D67"/>
    <w:rsid w:val="00452E53"/>
    <w:rsid w:val="0045418C"/>
    <w:rsid w:val="004542C6"/>
    <w:rsid w:val="00454EDC"/>
    <w:rsid w:val="00455B00"/>
    <w:rsid w:val="00455B97"/>
    <w:rsid w:val="00456635"/>
    <w:rsid w:val="00456BFD"/>
    <w:rsid w:val="004575D5"/>
    <w:rsid w:val="00457657"/>
    <w:rsid w:val="004600BF"/>
    <w:rsid w:val="004607D0"/>
    <w:rsid w:val="00460CE3"/>
    <w:rsid w:val="00460F25"/>
    <w:rsid w:val="0046116D"/>
    <w:rsid w:val="004612A4"/>
    <w:rsid w:val="0046153C"/>
    <w:rsid w:val="004615F5"/>
    <w:rsid w:val="004624D2"/>
    <w:rsid w:val="004625C8"/>
    <w:rsid w:val="00462DCE"/>
    <w:rsid w:val="0046442A"/>
    <w:rsid w:val="00464BF1"/>
    <w:rsid w:val="004657C5"/>
    <w:rsid w:val="00465D73"/>
    <w:rsid w:val="00466078"/>
    <w:rsid w:val="0046626B"/>
    <w:rsid w:val="004676E4"/>
    <w:rsid w:val="00467AFF"/>
    <w:rsid w:val="00470183"/>
    <w:rsid w:val="004708C9"/>
    <w:rsid w:val="00470C48"/>
    <w:rsid w:val="0047139F"/>
    <w:rsid w:val="00471429"/>
    <w:rsid w:val="004722B1"/>
    <w:rsid w:val="004734A1"/>
    <w:rsid w:val="004739D2"/>
    <w:rsid w:val="00473A47"/>
    <w:rsid w:val="00473A4F"/>
    <w:rsid w:val="00473C0A"/>
    <w:rsid w:val="00473EEF"/>
    <w:rsid w:val="00474415"/>
    <w:rsid w:val="00474BC1"/>
    <w:rsid w:val="004760A7"/>
    <w:rsid w:val="004763EC"/>
    <w:rsid w:val="0047722F"/>
    <w:rsid w:val="00477459"/>
    <w:rsid w:val="00477CC9"/>
    <w:rsid w:val="0048012F"/>
    <w:rsid w:val="0048026E"/>
    <w:rsid w:val="00480303"/>
    <w:rsid w:val="004807A9"/>
    <w:rsid w:val="00480A8A"/>
    <w:rsid w:val="00480F76"/>
    <w:rsid w:val="004810A5"/>
    <w:rsid w:val="004810E0"/>
    <w:rsid w:val="00481318"/>
    <w:rsid w:val="00481363"/>
    <w:rsid w:val="004813EE"/>
    <w:rsid w:val="00481835"/>
    <w:rsid w:val="00482CDC"/>
    <w:rsid w:val="00482FB0"/>
    <w:rsid w:val="00483B03"/>
    <w:rsid w:val="0048444C"/>
    <w:rsid w:val="00485058"/>
    <w:rsid w:val="00485702"/>
    <w:rsid w:val="00485C2D"/>
    <w:rsid w:val="004867EC"/>
    <w:rsid w:val="00486A37"/>
    <w:rsid w:val="00487662"/>
    <w:rsid w:val="004876C6"/>
    <w:rsid w:val="00487D7B"/>
    <w:rsid w:val="00490F7A"/>
    <w:rsid w:val="00490FD5"/>
    <w:rsid w:val="00491241"/>
    <w:rsid w:val="00491813"/>
    <w:rsid w:val="0049194F"/>
    <w:rsid w:val="00493278"/>
    <w:rsid w:val="00493855"/>
    <w:rsid w:val="004951D8"/>
    <w:rsid w:val="004952C1"/>
    <w:rsid w:val="00497575"/>
    <w:rsid w:val="004A078B"/>
    <w:rsid w:val="004A12C0"/>
    <w:rsid w:val="004A169A"/>
    <w:rsid w:val="004A18C9"/>
    <w:rsid w:val="004A191A"/>
    <w:rsid w:val="004A1A70"/>
    <w:rsid w:val="004A2D5A"/>
    <w:rsid w:val="004A3988"/>
    <w:rsid w:val="004A4027"/>
    <w:rsid w:val="004A419E"/>
    <w:rsid w:val="004A4688"/>
    <w:rsid w:val="004A6463"/>
    <w:rsid w:val="004A6B58"/>
    <w:rsid w:val="004A6BA2"/>
    <w:rsid w:val="004B06C3"/>
    <w:rsid w:val="004B0917"/>
    <w:rsid w:val="004B0B09"/>
    <w:rsid w:val="004B0FFB"/>
    <w:rsid w:val="004B140F"/>
    <w:rsid w:val="004B14EB"/>
    <w:rsid w:val="004B21CF"/>
    <w:rsid w:val="004B2DE3"/>
    <w:rsid w:val="004B34DF"/>
    <w:rsid w:val="004B3FEA"/>
    <w:rsid w:val="004B47F7"/>
    <w:rsid w:val="004B4E68"/>
    <w:rsid w:val="004B53F1"/>
    <w:rsid w:val="004B5D6E"/>
    <w:rsid w:val="004B60BA"/>
    <w:rsid w:val="004B6946"/>
    <w:rsid w:val="004B6D89"/>
    <w:rsid w:val="004B6E81"/>
    <w:rsid w:val="004C0FFE"/>
    <w:rsid w:val="004C136D"/>
    <w:rsid w:val="004C1619"/>
    <w:rsid w:val="004C177F"/>
    <w:rsid w:val="004C19E4"/>
    <w:rsid w:val="004C1B59"/>
    <w:rsid w:val="004C3C25"/>
    <w:rsid w:val="004C3CFC"/>
    <w:rsid w:val="004C3EEA"/>
    <w:rsid w:val="004C4EA2"/>
    <w:rsid w:val="004C596B"/>
    <w:rsid w:val="004C5E41"/>
    <w:rsid w:val="004C60E7"/>
    <w:rsid w:val="004C664D"/>
    <w:rsid w:val="004C7BDE"/>
    <w:rsid w:val="004C7EEB"/>
    <w:rsid w:val="004D0090"/>
    <w:rsid w:val="004D020F"/>
    <w:rsid w:val="004D03D1"/>
    <w:rsid w:val="004D07A1"/>
    <w:rsid w:val="004D10B0"/>
    <w:rsid w:val="004D11AF"/>
    <w:rsid w:val="004D2E58"/>
    <w:rsid w:val="004D37D9"/>
    <w:rsid w:val="004D41A2"/>
    <w:rsid w:val="004D502C"/>
    <w:rsid w:val="004D5FB2"/>
    <w:rsid w:val="004D60A3"/>
    <w:rsid w:val="004D6DC3"/>
    <w:rsid w:val="004D71CA"/>
    <w:rsid w:val="004E016A"/>
    <w:rsid w:val="004E0461"/>
    <w:rsid w:val="004E1CC8"/>
    <w:rsid w:val="004E2052"/>
    <w:rsid w:val="004E29B1"/>
    <w:rsid w:val="004E3F87"/>
    <w:rsid w:val="004E461B"/>
    <w:rsid w:val="004E4653"/>
    <w:rsid w:val="004E477D"/>
    <w:rsid w:val="004E5890"/>
    <w:rsid w:val="004E79EF"/>
    <w:rsid w:val="004E7B33"/>
    <w:rsid w:val="004F0368"/>
    <w:rsid w:val="004F0D19"/>
    <w:rsid w:val="004F121B"/>
    <w:rsid w:val="004F140F"/>
    <w:rsid w:val="004F185F"/>
    <w:rsid w:val="004F2811"/>
    <w:rsid w:val="004F3326"/>
    <w:rsid w:val="004F4D22"/>
    <w:rsid w:val="004F590E"/>
    <w:rsid w:val="004F5966"/>
    <w:rsid w:val="004F6026"/>
    <w:rsid w:val="004F60F4"/>
    <w:rsid w:val="004F62E8"/>
    <w:rsid w:val="004F67C3"/>
    <w:rsid w:val="004F6C17"/>
    <w:rsid w:val="004F7390"/>
    <w:rsid w:val="004F78F8"/>
    <w:rsid w:val="004F7C02"/>
    <w:rsid w:val="005001A5"/>
    <w:rsid w:val="00500CCD"/>
    <w:rsid w:val="005019AA"/>
    <w:rsid w:val="00502008"/>
    <w:rsid w:val="005032E9"/>
    <w:rsid w:val="00503C3B"/>
    <w:rsid w:val="00503CE7"/>
    <w:rsid w:val="005040C9"/>
    <w:rsid w:val="005042DB"/>
    <w:rsid w:val="0050458E"/>
    <w:rsid w:val="00505928"/>
    <w:rsid w:val="00505CD6"/>
    <w:rsid w:val="005069B2"/>
    <w:rsid w:val="0050741A"/>
    <w:rsid w:val="00510452"/>
    <w:rsid w:val="005107BD"/>
    <w:rsid w:val="005108EC"/>
    <w:rsid w:val="00511F8F"/>
    <w:rsid w:val="00512A7E"/>
    <w:rsid w:val="00513291"/>
    <w:rsid w:val="00513EA4"/>
    <w:rsid w:val="005147DA"/>
    <w:rsid w:val="00514C3C"/>
    <w:rsid w:val="00514FBF"/>
    <w:rsid w:val="00514FCB"/>
    <w:rsid w:val="005153AC"/>
    <w:rsid w:val="005153C3"/>
    <w:rsid w:val="00515745"/>
    <w:rsid w:val="00515862"/>
    <w:rsid w:val="005165FE"/>
    <w:rsid w:val="0051690E"/>
    <w:rsid w:val="00516942"/>
    <w:rsid w:val="00516DC0"/>
    <w:rsid w:val="00516DC5"/>
    <w:rsid w:val="00517667"/>
    <w:rsid w:val="005179CB"/>
    <w:rsid w:val="00520BBA"/>
    <w:rsid w:val="00521092"/>
    <w:rsid w:val="005225AC"/>
    <w:rsid w:val="0052268F"/>
    <w:rsid w:val="005226FA"/>
    <w:rsid w:val="005233F3"/>
    <w:rsid w:val="0052365C"/>
    <w:rsid w:val="00524250"/>
    <w:rsid w:val="005245D2"/>
    <w:rsid w:val="0052488B"/>
    <w:rsid w:val="00524C98"/>
    <w:rsid w:val="00524C9C"/>
    <w:rsid w:val="00524EDD"/>
    <w:rsid w:val="00524FEB"/>
    <w:rsid w:val="00525B59"/>
    <w:rsid w:val="005269C4"/>
    <w:rsid w:val="00526A20"/>
    <w:rsid w:val="00531966"/>
    <w:rsid w:val="00532472"/>
    <w:rsid w:val="005325C9"/>
    <w:rsid w:val="005329DA"/>
    <w:rsid w:val="0053322F"/>
    <w:rsid w:val="00533BC1"/>
    <w:rsid w:val="00533DBF"/>
    <w:rsid w:val="00534940"/>
    <w:rsid w:val="00535673"/>
    <w:rsid w:val="00535784"/>
    <w:rsid w:val="00535D6B"/>
    <w:rsid w:val="00536442"/>
    <w:rsid w:val="005374FE"/>
    <w:rsid w:val="0054053D"/>
    <w:rsid w:val="0054126C"/>
    <w:rsid w:val="00541368"/>
    <w:rsid w:val="005415DD"/>
    <w:rsid w:val="00541D12"/>
    <w:rsid w:val="005423F3"/>
    <w:rsid w:val="005426DB"/>
    <w:rsid w:val="005442F1"/>
    <w:rsid w:val="00544A24"/>
    <w:rsid w:val="0054583C"/>
    <w:rsid w:val="00546227"/>
    <w:rsid w:val="005468E2"/>
    <w:rsid w:val="00546D83"/>
    <w:rsid w:val="00550113"/>
    <w:rsid w:val="0055019B"/>
    <w:rsid w:val="005504BE"/>
    <w:rsid w:val="0055082B"/>
    <w:rsid w:val="0055093A"/>
    <w:rsid w:val="00550F00"/>
    <w:rsid w:val="00551964"/>
    <w:rsid w:val="00551BDF"/>
    <w:rsid w:val="00551ED7"/>
    <w:rsid w:val="0055211C"/>
    <w:rsid w:val="0055263A"/>
    <w:rsid w:val="005526EE"/>
    <w:rsid w:val="00552B57"/>
    <w:rsid w:val="00552E53"/>
    <w:rsid w:val="00553C1B"/>
    <w:rsid w:val="00553E34"/>
    <w:rsid w:val="00553EEF"/>
    <w:rsid w:val="005547B7"/>
    <w:rsid w:val="005551E9"/>
    <w:rsid w:val="0055680D"/>
    <w:rsid w:val="00557670"/>
    <w:rsid w:val="00557C2D"/>
    <w:rsid w:val="00557D40"/>
    <w:rsid w:val="00560094"/>
    <w:rsid w:val="00560C62"/>
    <w:rsid w:val="00562A61"/>
    <w:rsid w:val="00562E78"/>
    <w:rsid w:val="005638A2"/>
    <w:rsid w:val="00564E45"/>
    <w:rsid w:val="005652D5"/>
    <w:rsid w:val="00565E52"/>
    <w:rsid w:val="00567227"/>
    <w:rsid w:val="00567CD0"/>
    <w:rsid w:val="00570C7B"/>
    <w:rsid w:val="00571C77"/>
    <w:rsid w:val="00572D5B"/>
    <w:rsid w:val="00574268"/>
    <w:rsid w:val="00574614"/>
    <w:rsid w:val="00574A70"/>
    <w:rsid w:val="00574D35"/>
    <w:rsid w:val="00575C75"/>
    <w:rsid w:val="00575CEA"/>
    <w:rsid w:val="005762CA"/>
    <w:rsid w:val="005770CF"/>
    <w:rsid w:val="00577904"/>
    <w:rsid w:val="00577922"/>
    <w:rsid w:val="00577AC3"/>
    <w:rsid w:val="00580577"/>
    <w:rsid w:val="005815A8"/>
    <w:rsid w:val="00581915"/>
    <w:rsid w:val="0058284A"/>
    <w:rsid w:val="00583431"/>
    <w:rsid w:val="005835B0"/>
    <w:rsid w:val="005846C0"/>
    <w:rsid w:val="00584D04"/>
    <w:rsid w:val="005853F5"/>
    <w:rsid w:val="0058567E"/>
    <w:rsid w:val="00585DE1"/>
    <w:rsid w:val="0058659E"/>
    <w:rsid w:val="005869EE"/>
    <w:rsid w:val="005872DD"/>
    <w:rsid w:val="00587CF2"/>
    <w:rsid w:val="00587D3A"/>
    <w:rsid w:val="00590346"/>
    <w:rsid w:val="00590BA2"/>
    <w:rsid w:val="00590CA7"/>
    <w:rsid w:val="00590E93"/>
    <w:rsid w:val="005915E1"/>
    <w:rsid w:val="00591C75"/>
    <w:rsid w:val="00592BE2"/>
    <w:rsid w:val="00592D10"/>
    <w:rsid w:val="0059388B"/>
    <w:rsid w:val="00593A5F"/>
    <w:rsid w:val="0059404E"/>
    <w:rsid w:val="00594269"/>
    <w:rsid w:val="00595539"/>
    <w:rsid w:val="005959A7"/>
    <w:rsid w:val="00597108"/>
    <w:rsid w:val="005976DB"/>
    <w:rsid w:val="005A1346"/>
    <w:rsid w:val="005A1A84"/>
    <w:rsid w:val="005A3E82"/>
    <w:rsid w:val="005A4287"/>
    <w:rsid w:val="005A482E"/>
    <w:rsid w:val="005A4DB0"/>
    <w:rsid w:val="005A5095"/>
    <w:rsid w:val="005A5597"/>
    <w:rsid w:val="005A57BF"/>
    <w:rsid w:val="005A6AC2"/>
    <w:rsid w:val="005A7A65"/>
    <w:rsid w:val="005A7B26"/>
    <w:rsid w:val="005A7B8E"/>
    <w:rsid w:val="005B012B"/>
    <w:rsid w:val="005B095C"/>
    <w:rsid w:val="005B0C87"/>
    <w:rsid w:val="005B0FE9"/>
    <w:rsid w:val="005B1B82"/>
    <w:rsid w:val="005B2195"/>
    <w:rsid w:val="005B26C7"/>
    <w:rsid w:val="005B2D65"/>
    <w:rsid w:val="005B3877"/>
    <w:rsid w:val="005B3AC8"/>
    <w:rsid w:val="005B3CC1"/>
    <w:rsid w:val="005B4002"/>
    <w:rsid w:val="005B45AB"/>
    <w:rsid w:val="005B4D8F"/>
    <w:rsid w:val="005B526C"/>
    <w:rsid w:val="005B541E"/>
    <w:rsid w:val="005B6551"/>
    <w:rsid w:val="005B71A8"/>
    <w:rsid w:val="005B744B"/>
    <w:rsid w:val="005B7A81"/>
    <w:rsid w:val="005C0A6F"/>
    <w:rsid w:val="005C0FA7"/>
    <w:rsid w:val="005C155F"/>
    <w:rsid w:val="005C1C0E"/>
    <w:rsid w:val="005C1FF5"/>
    <w:rsid w:val="005C36E2"/>
    <w:rsid w:val="005C3E9E"/>
    <w:rsid w:val="005C400C"/>
    <w:rsid w:val="005C410C"/>
    <w:rsid w:val="005C4BF1"/>
    <w:rsid w:val="005C4BF2"/>
    <w:rsid w:val="005C52D4"/>
    <w:rsid w:val="005C5BED"/>
    <w:rsid w:val="005C5D86"/>
    <w:rsid w:val="005C6167"/>
    <w:rsid w:val="005C6ADB"/>
    <w:rsid w:val="005C6EE2"/>
    <w:rsid w:val="005C7A07"/>
    <w:rsid w:val="005C7DDC"/>
    <w:rsid w:val="005C7EEC"/>
    <w:rsid w:val="005C7F7C"/>
    <w:rsid w:val="005D0BAD"/>
    <w:rsid w:val="005D0C0A"/>
    <w:rsid w:val="005D107D"/>
    <w:rsid w:val="005D123A"/>
    <w:rsid w:val="005D2506"/>
    <w:rsid w:val="005D2BB5"/>
    <w:rsid w:val="005D2DBD"/>
    <w:rsid w:val="005D3677"/>
    <w:rsid w:val="005D4781"/>
    <w:rsid w:val="005D4E4C"/>
    <w:rsid w:val="005D5B5E"/>
    <w:rsid w:val="005D5C85"/>
    <w:rsid w:val="005D5CA0"/>
    <w:rsid w:val="005D69AB"/>
    <w:rsid w:val="005D72FC"/>
    <w:rsid w:val="005D7DFC"/>
    <w:rsid w:val="005E035A"/>
    <w:rsid w:val="005E0464"/>
    <w:rsid w:val="005E0681"/>
    <w:rsid w:val="005E1218"/>
    <w:rsid w:val="005E18EC"/>
    <w:rsid w:val="005E1A55"/>
    <w:rsid w:val="005E1B6B"/>
    <w:rsid w:val="005E1F61"/>
    <w:rsid w:val="005E2127"/>
    <w:rsid w:val="005E2281"/>
    <w:rsid w:val="005E236C"/>
    <w:rsid w:val="005E2FAE"/>
    <w:rsid w:val="005E32C9"/>
    <w:rsid w:val="005E351B"/>
    <w:rsid w:val="005E38A8"/>
    <w:rsid w:val="005E39F9"/>
    <w:rsid w:val="005E3A00"/>
    <w:rsid w:val="005E3D9B"/>
    <w:rsid w:val="005E44B6"/>
    <w:rsid w:val="005E4828"/>
    <w:rsid w:val="005E4887"/>
    <w:rsid w:val="005E5016"/>
    <w:rsid w:val="005E5231"/>
    <w:rsid w:val="005E55BB"/>
    <w:rsid w:val="005E5B65"/>
    <w:rsid w:val="005E5D11"/>
    <w:rsid w:val="005E667C"/>
    <w:rsid w:val="005E6A1D"/>
    <w:rsid w:val="005E6F12"/>
    <w:rsid w:val="005E733E"/>
    <w:rsid w:val="005E7428"/>
    <w:rsid w:val="005F00C0"/>
    <w:rsid w:val="005F0694"/>
    <w:rsid w:val="005F06E1"/>
    <w:rsid w:val="005F077C"/>
    <w:rsid w:val="005F0B88"/>
    <w:rsid w:val="005F1735"/>
    <w:rsid w:val="005F187E"/>
    <w:rsid w:val="005F252A"/>
    <w:rsid w:val="005F3CE8"/>
    <w:rsid w:val="005F4F41"/>
    <w:rsid w:val="005F4F70"/>
    <w:rsid w:val="005F566D"/>
    <w:rsid w:val="005F648F"/>
    <w:rsid w:val="005F65E9"/>
    <w:rsid w:val="005F68C3"/>
    <w:rsid w:val="005F7D87"/>
    <w:rsid w:val="00601794"/>
    <w:rsid w:val="00601A7D"/>
    <w:rsid w:val="00601E94"/>
    <w:rsid w:val="006021B1"/>
    <w:rsid w:val="006029A7"/>
    <w:rsid w:val="00602F40"/>
    <w:rsid w:val="006037C5"/>
    <w:rsid w:val="006040CE"/>
    <w:rsid w:val="0060467D"/>
    <w:rsid w:val="00604DF3"/>
    <w:rsid w:val="0060585E"/>
    <w:rsid w:val="00605B4D"/>
    <w:rsid w:val="00605B9D"/>
    <w:rsid w:val="00606213"/>
    <w:rsid w:val="00606B57"/>
    <w:rsid w:val="00606B85"/>
    <w:rsid w:val="00607390"/>
    <w:rsid w:val="006076D8"/>
    <w:rsid w:val="00607D7A"/>
    <w:rsid w:val="00607E6D"/>
    <w:rsid w:val="0061061D"/>
    <w:rsid w:val="00611816"/>
    <w:rsid w:val="00611A3B"/>
    <w:rsid w:val="006120CA"/>
    <w:rsid w:val="00612389"/>
    <w:rsid w:val="00612570"/>
    <w:rsid w:val="006127BD"/>
    <w:rsid w:val="00612871"/>
    <w:rsid w:val="00612929"/>
    <w:rsid w:val="00612A44"/>
    <w:rsid w:val="00612A8E"/>
    <w:rsid w:val="00613098"/>
    <w:rsid w:val="006134D9"/>
    <w:rsid w:val="006135DA"/>
    <w:rsid w:val="00613BDC"/>
    <w:rsid w:val="00614921"/>
    <w:rsid w:val="00615564"/>
    <w:rsid w:val="006155E2"/>
    <w:rsid w:val="00615ECA"/>
    <w:rsid w:val="00615F26"/>
    <w:rsid w:val="00616CCC"/>
    <w:rsid w:val="00617A81"/>
    <w:rsid w:val="00617C11"/>
    <w:rsid w:val="00617DEC"/>
    <w:rsid w:val="00620573"/>
    <w:rsid w:val="00620579"/>
    <w:rsid w:val="006208AA"/>
    <w:rsid w:val="0062128D"/>
    <w:rsid w:val="006213A7"/>
    <w:rsid w:val="00621C96"/>
    <w:rsid w:val="00622161"/>
    <w:rsid w:val="0062228D"/>
    <w:rsid w:val="006224D1"/>
    <w:rsid w:val="0062258F"/>
    <w:rsid w:val="00622732"/>
    <w:rsid w:val="00622E6D"/>
    <w:rsid w:val="00623BC7"/>
    <w:rsid w:val="00623E70"/>
    <w:rsid w:val="006241D0"/>
    <w:rsid w:val="00624425"/>
    <w:rsid w:val="00624665"/>
    <w:rsid w:val="00625434"/>
    <w:rsid w:val="0062576B"/>
    <w:rsid w:val="00625C5F"/>
    <w:rsid w:val="00625E4C"/>
    <w:rsid w:val="00625FF2"/>
    <w:rsid w:val="00626032"/>
    <w:rsid w:val="00627643"/>
    <w:rsid w:val="00627788"/>
    <w:rsid w:val="006300CD"/>
    <w:rsid w:val="0063017E"/>
    <w:rsid w:val="00630723"/>
    <w:rsid w:val="00630EAE"/>
    <w:rsid w:val="006312D0"/>
    <w:rsid w:val="00631866"/>
    <w:rsid w:val="006318A4"/>
    <w:rsid w:val="00631A11"/>
    <w:rsid w:val="00631D4F"/>
    <w:rsid w:val="006321B6"/>
    <w:rsid w:val="006327C6"/>
    <w:rsid w:val="00633496"/>
    <w:rsid w:val="006338D2"/>
    <w:rsid w:val="00633F92"/>
    <w:rsid w:val="0063435E"/>
    <w:rsid w:val="00634CB2"/>
    <w:rsid w:val="006357E2"/>
    <w:rsid w:val="00635FD8"/>
    <w:rsid w:val="00636651"/>
    <w:rsid w:val="006368E4"/>
    <w:rsid w:val="00636F7B"/>
    <w:rsid w:val="00640140"/>
    <w:rsid w:val="0064019C"/>
    <w:rsid w:val="00640288"/>
    <w:rsid w:val="006405AC"/>
    <w:rsid w:val="0064099D"/>
    <w:rsid w:val="00640E9A"/>
    <w:rsid w:val="006412CD"/>
    <w:rsid w:val="006413D8"/>
    <w:rsid w:val="00641610"/>
    <w:rsid w:val="0064198D"/>
    <w:rsid w:val="00641B7B"/>
    <w:rsid w:val="00641C55"/>
    <w:rsid w:val="00642405"/>
    <w:rsid w:val="00642645"/>
    <w:rsid w:val="006437E8"/>
    <w:rsid w:val="006438E0"/>
    <w:rsid w:val="00644BED"/>
    <w:rsid w:val="006455CB"/>
    <w:rsid w:val="00646FD5"/>
    <w:rsid w:val="006472F8"/>
    <w:rsid w:val="00647680"/>
    <w:rsid w:val="00647743"/>
    <w:rsid w:val="006510C0"/>
    <w:rsid w:val="00651DC7"/>
    <w:rsid w:val="00652092"/>
    <w:rsid w:val="00652472"/>
    <w:rsid w:val="00652F31"/>
    <w:rsid w:val="006535E5"/>
    <w:rsid w:val="0065394E"/>
    <w:rsid w:val="00653B2B"/>
    <w:rsid w:val="00653B38"/>
    <w:rsid w:val="00654D37"/>
    <w:rsid w:val="00654F06"/>
    <w:rsid w:val="00656385"/>
    <w:rsid w:val="00656F19"/>
    <w:rsid w:val="00657B4C"/>
    <w:rsid w:val="00657BB7"/>
    <w:rsid w:val="00660299"/>
    <w:rsid w:val="00660552"/>
    <w:rsid w:val="00660DBE"/>
    <w:rsid w:val="00660F58"/>
    <w:rsid w:val="00661113"/>
    <w:rsid w:val="0066127D"/>
    <w:rsid w:val="00661AB0"/>
    <w:rsid w:val="006621E9"/>
    <w:rsid w:val="006623A4"/>
    <w:rsid w:val="006627B5"/>
    <w:rsid w:val="0066351C"/>
    <w:rsid w:val="0066354C"/>
    <w:rsid w:val="006635BF"/>
    <w:rsid w:val="00663CBA"/>
    <w:rsid w:val="00664498"/>
    <w:rsid w:val="00664693"/>
    <w:rsid w:val="00664DC0"/>
    <w:rsid w:val="006651CC"/>
    <w:rsid w:val="0066582B"/>
    <w:rsid w:val="006658DA"/>
    <w:rsid w:val="00665B9B"/>
    <w:rsid w:val="00665CA1"/>
    <w:rsid w:val="00666F2F"/>
    <w:rsid w:val="00667421"/>
    <w:rsid w:val="0066780E"/>
    <w:rsid w:val="00667A31"/>
    <w:rsid w:val="00670702"/>
    <w:rsid w:val="006708EB"/>
    <w:rsid w:val="0067147C"/>
    <w:rsid w:val="006718EA"/>
    <w:rsid w:val="00672140"/>
    <w:rsid w:val="00672895"/>
    <w:rsid w:val="00672A8A"/>
    <w:rsid w:val="00673524"/>
    <w:rsid w:val="00673F50"/>
    <w:rsid w:val="00674EEA"/>
    <w:rsid w:val="0067549D"/>
    <w:rsid w:val="006759B0"/>
    <w:rsid w:val="00677012"/>
    <w:rsid w:val="006771EA"/>
    <w:rsid w:val="00680D0E"/>
    <w:rsid w:val="00680F00"/>
    <w:rsid w:val="006825A6"/>
    <w:rsid w:val="006825B4"/>
    <w:rsid w:val="006829BA"/>
    <w:rsid w:val="00682AF2"/>
    <w:rsid w:val="00682C1D"/>
    <w:rsid w:val="00682E8A"/>
    <w:rsid w:val="00682FB7"/>
    <w:rsid w:val="006837DE"/>
    <w:rsid w:val="00683CE0"/>
    <w:rsid w:val="00684FA5"/>
    <w:rsid w:val="0068537F"/>
    <w:rsid w:val="00686104"/>
    <w:rsid w:val="00686334"/>
    <w:rsid w:val="00686C3A"/>
    <w:rsid w:val="00686EEB"/>
    <w:rsid w:val="00687628"/>
    <w:rsid w:val="00687CFE"/>
    <w:rsid w:val="0069035A"/>
    <w:rsid w:val="00690EB8"/>
    <w:rsid w:val="0069109D"/>
    <w:rsid w:val="006915E5"/>
    <w:rsid w:val="00692401"/>
    <w:rsid w:val="00693B7A"/>
    <w:rsid w:val="006941CC"/>
    <w:rsid w:val="006942BA"/>
    <w:rsid w:val="006945D4"/>
    <w:rsid w:val="0069496B"/>
    <w:rsid w:val="00694EC0"/>
    <w:rsid w:val="00695852"/>
    <w:rsid w:val="00695F56"/>
    <w:rsid w:val="0069758B"/>
    <w:rsid w:val="00697F88"/>
    <w:rsid w:val="006A050B"/>
    <w:rsid w:val="006A07FF"/>
    <w:rsid w:val="006A0A70"/>
    <w:rsid w:val="006A0B6C"/>
    <w:rsid w:val="006A165F"/>
    <w:rsid w:val="006A1692"/>
    <w:rsid w:val="006A16E1"/>
    <w:rsid w:val="006A179F"/>
    <w:rsid w:val="006A188D"/>
    <w:rsid w:val="006A3293"/>
    <w:rsid w:val="006A36DF"/>
    <w:rsid w:val="006A3C8A"/>
    <w:rsid w:val="006A3E61"/>
    <w:rsid w:val="006A5213"/>
    <w:rsid w:val="006A6003"/>
    <w:rsid w:val="006A6737"/>
    <w:rsid w:val="006B0AE6"/>
    <w:rsid w:val="006B1CFA"/>
    <w:rsid w:val="006B1E08"/>
    <w:rsid w:val="006B2099"/>
    <w:rsid w:val="006B26B1"/>
    <w:rsid w:val="006B2E45"/>
    <w:rsid w:val="006B341B"/>
    <w:rsid w:val="006B3875"/>
    <w:rsid w:val="006B425B"/>
    <w:rsid w:val="006B4AD5"/>
    <w:rsid w:val="006B545C"/>
    <w:rsid w:val="006B5AC8"/>
    <w:rsid w:val="006B5D32"/>
    <w:rsid w:val="006B758B"/>
    <w:rsid w:val="006B7BF8"/>
    <w:rsid w:val="006C0E54"/>
    <w:rsid w:val="006C0F11"/>
    <w:rsid w:val="006C23E1"/>
    <w:rsid w:val="006C25D5"/>
    <w:rsid w:val="006C25F9"/>
    <w:rsid w:val="006C262B"/>
    <w:rsid w:val="006C2866"/>
    <w:rsid w:val="006C28DB"/>
    <w:rsid w:val="006C28E7"/>
    <w:rsid w:val="006C2DC9"/>
    <w:rsid w:val="006C31C6"/>
    <w:rsid w:val="006C32BE"/>
    <w:rsid w:val="006C3A2D"/>
    <w:rsid w:val="006C44FC"/>
    <w:rsid w:val="006C4666"/>
    <w:rsid w:val="006C49BF"/>
    <w:rsid w:val="006C5FC5"/>
    <w:rsid w:val="006C63D7"/>
    <w:rsid w:val="006C6894"/>
    <w:rsid w:val="006C69D9"/>
    <w:rsid w:val="006C7535"/>
    <w:rsid w:val="006C76A6"/>
    <w:rsid w:val="006C796D"/>
    <w:rsid w:val="006D0525"/>
    <w:rsid w:val="006D08DC"/>
    <w:rsid w:val="006D09D1"/>
    <w:rsid w:val="006D23FF"/>
    <w:rsid w:val="006D2F09"/>
    <w:rsid w:val="006D2FD2"/>
    <w:rsid w:val="006D33E6"/>
    <w:rsid w:val="006D3783"/>
    <w:rsid w:val="006D3DC0"/>
    <w:rsid w:val="006D40C4"/>
    <w:rsid w:val="006D4162"/>
    <w:rsid w:val="006D4307"/>
    <w:rsid w:val="006D453E"/>
    <w:rsid w:val="006D5303"/>
    <w:rsid w:val="006D5C32"/>
    <w:rsid w:val="006D5E84"/>
    <w:rsid w:val="006D7A4C"/>
    <w:rsid w:val="006D7C99"/>
    <w:rsid w:val="006E0443"/>
    <w:rsid w:val="006E0C50"/>
    <w:rsid w:val="006E0DCF"/>
    <w:rsid w:val="006E14D6"/>
    <w:rsid w:val="006E1647"/>
    <w:rsid w:val="006E1BA2"/>
    <w:rsid w:val="006E2298"/>
    <w:rsid w:val="006E2C5A"/>
    <w:rsid w:val="006E2F3A"/>
    <w:rsid w:val="006E310A"/>
    <w:rsid w:val="006E3C3E"/>
    <w:rsid w:val="006E3FBD"/>
    <w:rsid w:val="006E40C7"/>
    <w:rsid w:val="006E429F"/>
    <w:rsid w:val="006E47E0"/>
    <w:rsid w:val="006E50E4"/>
    <w:rsid w:val="006E5148"/>
    <w:rsid w:val="006E6F30"/>
    <w:rsid w:val="006E6FE9"/>
    <w:rsid w:val="006E7082"/>
    <w:rsid w:val="006E709F"/>
    <w:rsid w:val="006E7F73"/>
    <w:rsid w:val="006F030F"/>
    <w:rsid w:val="006F193C"/>
    <w:rsid w:val="006F1B58"/>
    <w:rsid w:val="006F27DC"/>
    <w:rsid w:val="006F2B89"/>
    <w:rsid w:val="006F36F1"/>
    <w:rsid w:val="006F3B81"/>
    <w:rsid w:val="006F4860"/>
    <w:rsid w:val="006F4D59"/>
    <w:rsid w:val="006F4F79"/>
    <w:rsid w:val="006F4F80"/>
    <w:rsid w:val="006F5532"/>
    <w:rsid w:val="006F5ADA"/>
    <w:rsid w:val="006F62CC"/>
    <w:rsid w:val="006F644B"/>
    <w:rsid w:val="006F66C1"/>
    <w:rsid w:val="006F681D"/>
    <w:rsid w:val="006F731E"/>
    <w:rsid w:val="006F78E9"/>
    <w:rsid w:val="0070235F"/>
    <w:rsid w:val="00702BC3"/>
    <w:rsid w:val="00702FF3"/>
    <w:rsid w:val="007032AC"/>
    <w:rsid w:val="00703496"/>
    <w:rsid w:val="007036FE"/>
    <w:rsid w:val="00703AB1"/>
    <w:rsid w:val="0070404E"/>
    <w:rsid w:val="00704614"/>
    <w:rsid w:val="00704C5F"/>
    <w:rsid w:val="00704DEB"/>
    <w:rsid w:val="00705623"/>
    <w:rsid w:val="00705B37"/>
    <w:rsid w:val="0070658A"/>
    <w:rsid w:val="00706B65"/>
    <w:rsid w:val="007071AF"/>
    <w:rsid w:val="00707C1A"/>
    <w:rsid w:val="00710023"/>
    <w:rsid w:val="00710207"/>
    <w:rsid w:val="0071023D"/>
    <w:rsid w:val="007103CD"/>
    <w:rsid w:val="007104CB"/>
    <w:rsid w:val="00710530"/>
    <w:rsid w:val="007107BD"/>
    <w:rsid w:val="00711E77"/>
    <w:rsid w:val="00712912"/>
    <w:rsid w:val="00713AAC"/>
    <w:rsid w:val="007141DC"/>
    <w:rsid w:val="00714B04"/>
    <w:rsid w:val="00714F75"/>
    <w:rsid w:val="007155CE"/>
    <w:rsid w:val="007168A0"/>
    <w:rsid w:val="00716BC6"/>
    <w:rsid w:val="00716C95"/>
    <w:rsid w:val="00717762"/>
    <w:rsid w:val="00717F1A"/>
    <w:rsid w:val="007204DA"/>
    <w:rsid w:val="0072143F"/>
    <w:rsid w:val="00721A63"/>
    <w:rsid w:val="00721DED"/>
    <w:rsid w:val="00721FF9"/>
    <w:rsid w:val="0072229E"/>
    <w:rsid w:val="00722F53"/>
    <w:rsid w:val="0072337E"/>
    <w:rsid w:val="00723696"/>
    <w:rsid w:val="0072442F"/>
    <w:rsid w:val="00725189"/>
    <w:rsid w:val="0072541E"/>
    <w:rsid w:val="00725735"/>
    <w:rsid w:val="00725BB8"/>
    <w:rsid w:val="007260A3"/>
    <w:rsid w:val="0072630D"/>
    <w:rsid w:val="00726A2A"/>
    <w:rsid w:val="007271E9"/>
    <w:rsid w:val="007273BC"/>
    <w:rsid w:val="007275FD"/>
    <w:rsid w:val="007276E5"/>
    <w:rsid w:val="00730943"/>
    <w:rsid w:val="007310EF"/>
    <w:rsid w:val="00731D5E"/>
    <w:rsid w:val="00732492"/>
    <w:rsid w:val="00733E5A"/>
    <w:rsid w:val="00733F25"/>
    <w:rsid w:val="00736395"/>
    <w:rsid w:val="00736459"/>
    <w:rsid w:val="0073685F"/>
    <w:rsid w:val="00737821"/>
    <w:rsid w:val="0074058F"/>
    <w:rsid w:val="00740E86"/>
    <w:rsid w:val="00741175"/>
    <w:rsid w:val="007419FB"/>
    <w:rsid w:val="00742606"/>
    <w:rsid w:val="00742608"/>
    <w:rsid w:val="007441FF"/>
    <w:rsid w:val="007448A7"/>
    <w:rsid w:val="00744EE8"/>
    <w:rsid w:val="00744F42"/>
    <w:rsid w:val="007459F5"/>
    <w:rsid w:val="00746713"/>
    <w:rsid w:val="007467E4"/>
    <w:rsid w:val="00746B08"/>
    <w:rsid w:val="00747569"/>
    <w:rsid w:val="00750238"/>
    <w:rsid w:val="0075023C"/>
    <w:rsid w:val="007518E3"/>
    <w:rsid w:val="007518E9"/>
    <w:rsid w:val="00752247"/>
    <w:rsid w:val="007523E7"/>
    <w:rsid w:val="007524C4"/>
    <w:rsid w:val="00752AE5"/>
    <w:rsid w:val="007531CA"/>
    <w:rsid w:val="00754252"/>
    <w:rsid w:val="00756AEC"/>
    <w:rsid w:val="0075709F"/>
    <w:rsid w:val="007577B1"/>
    <w:rsid w:val="00757CB3"/>
    <w:rsid w:val="00757D87"/>
    <w:rsid w:val="00757E79"/>
    <w:rsid w:val="00760EED"/>
    <w:rsid w:val="0076109F"/>
    <w:rsid w:val="00761399"/>
    <w:rsid w:val="00761615"/>
    <w:rsid w:val="007616DA"/>
    <w:rsid w:val="007619CE"/>
    <w:rsid w:val="00761F4F"/>
    <w:rsid w:val="007620DC"/>
    <w:rsid w:val="00762102"/>
    <w:rsid w:val="0076255D"/>
    <w:rsid w:val="007625F6"/>
    <w:rsid w:val="00762B8B"/>
    <w:rsid w:val="0076325B"/>
    <w:rsid w:val="00764AF9"/>
    <w:rsid w:val="007650AD"/>
    <w:rsid w:val="00765D18"/>
    <w:rsid w:val="0076640B"/>
    <w:rsid w:val="007673DE"/>
    <w:rsid w:val="00770C54"/>
    <w:rsid w:val="00771344"/>
    <w:rsid w:val="0077213A"/>
    <w:rsid w:val="00772613"/>
    <w:rsid w:val="00772B41"/>
    <w:rsid w:val="00772CED"/>
    <w:rsid w:val="00773EA1"/>
    <w:rsid w:val="00775215"/>
    <w:rsid w:val="00775748"/>
    <w:rsid w:val="00776ACC"/>
    <w:rsid w:val="00777AE2"/>
    <w:rsid w:val="00777C71"/>
    <w:rsid w:val="00777D6B"/>
    <w:rsid w:val="00777F20"/>
    <w:rsid w:val="0078080B"/>
    <w:rsid w:val="00781148"/>
    <w:rsid w:val="0078120F"/>
    <w:rsid w:val="00781F98"/>
    <w:rsid w:val="0078265B"/>
    <w:rsid w:val="00782999"/>
    <w:rsid w:val="00782AFE"/>
    <w:rsid w:val="00782CCE"/>
    <w:rsid w:val="00782E10"/>
    <w:rsid w:val="00784926"/>
    <w:rsid w:val="00784DB8"/>
    <w:rsid w:val="00784FDD"/>
    <w:rsid w:val="0078508F"/>
    <w:rsid w:val="0078619F"/>
    <w:rsid w:val="00786448"/>
    <w:rsid w:val="007875D7"/>
    <w:rsid w:val="007906B2"/>
    <w:rsid w:val="0079134E"/>
    <w:rsid w:val="007925F0"/>
    <w:rsid w:val="0079278E"/>
    <w:rsid w:val="00792DCA"/>
    <w:rsid w:val="00792E3C"/>
    <w:rsid w:val="00793040"/>
    <w:rsid w:val="007930C1"/>
    <w:rsid w:val="0079315D"/>
    <w:rsid w:val="00793B45"/>
    <w:rsid w:val="0079477A"/>
    <w:rsid w:val="007956CD"/>
    <w:rsid w:val="00795706"/>
    <w:rsid w:val="007960E3"/>
    <w:rsid w:val="00796F7C"/>
    <w:rsid w:val="00797131"/>
    <w:rsid w:val="00797254"/>
    <w:rsid w:val="00797430"/>
    <w:rsid w:val="00797AF4"/>
    <w:rsid w:val="007A0F8D"/>
    <w:rsid w:val="007A1078"/>
    <w:rsid w:val="007A180A"/>
    <w:rsid w:val="007A2304"/>
    <w:rsid w:val="007A257D"/>
    <w:rsid w:val="007A2CB0"/>
    <w:rsid w:val="007A343D"/>
    <w:rsid w:val="007A38CE"/>
    <w:rsid w:val="007A3F1C"/>
    <w:rsid w:val="007A46E6"/>
    <w:rsid w:val="007A48D8"/>
    <w:rsid w:val="007A5ACE"/>
    <w:rsid w:val="007A5C5C"/>
    <w:rsid w:val="007A6528"/>
    <w:rsid w:val="007A7B48"/>
    <w:rsid w:val="007A7FD7"/>
    <w:rsid w:val="007B18C6"/>
    <w:rsid w:val="007B20C2"/>
    <w:rsid w:val="007B25D5"/>
    <w:rsid w:val="007B27E4"/>
    <w:rsid w:val="007B2910"/>
    <w:rsid w:val="007B301D"/>
    <w:rsid w:val="007B3264"/>
    <w:rsid w:val="007B34D8"/>
    <w:rsid w:val="007B35F6"/>
    <w:rsid w:val="007B3F87"/>
    <w:rsid w:val="007B404F"/>
    <w:rsid w:val="007B44A6"/>
    <w:rsid w:val="007B494E"/>
    <w:rsid w:val="007B4C5E"/>
    <w:rsid w:val="007B7462"/>
    <w:rsid w:val="007B7B52"/>
    <w:rsid w:val="007C02A3"/>
    <w:rsid w:val="007C0C55"/>
    <w:rsid w:val="007C1507"/>
    <w:rsid w:val="007C1857"/>
    <w:rsid w:val="007C2F60"/>
    <w:rsid w:val="007C3639"/>
    <w:rsid w:val="007C3757"/>
    <w:rsid w:val="007C4D8D"/>
    <w:rsid w:val="007C5144"/>
    <w:rsid w:val="007C5613"/>
    <w:rsid w:val="007C6138"/>
    <w:rsid w:val="007C6153"/>
    <w:rsid w:val="007C6849"/>
    <w:rsid w:val="007C6BC6"/>
    <w:rsid w:val="007C6C12"/>
    <w:rsid w:val="007C73B2"/>
    <w:rsid w:val="007C7F93"/>
    <w:rsid w:val="007D0435"/>
    <w:rsid w:val="007D0D3E"/>
    <w:rsid w:val="007D116E"/>
    <w:rsid w:val="007D16D8"/>
    <w:rsid w:val="007D1B24"/>
    <w:rsid w:val="007D1C08"/>
    <w:rsid w:val="007D267F"/>
    <w:rsid w:val="007D3341"/>
    <w:rsid w:val="007D3A3E"/>
    <w:rsid w:val="007D400A"/>
    <w:rsid w:val="007D4B0E"/>
    <w:rsid w:val="007D4DD2"/>
    <w:rsid w:val="007D5D0F"/>
    <w:rsid w:val="007D6C43"/>
    <w:rsid w:val="007D6EA8"/>
    <w:rsid w:val="007D7B3C"/>
    <w:rsid w:val="007E042B"/>
    <w:rsid w:val="007E05DB"/>
    <w:rsid w:val="007E0CEA"/>
    <w:rsid w:val="007E1247"/>
    <w:rsid w:val="007E1A44"/>
    <w:rsid w:val="007E2419"/>
    <w:rsid w:val="007E3FF5"/>
    <w:rsid w:val="007E4219"/>
    <w:rsid w:val="007E577E"/>
    <w:rsid w:val="007E635E"/>
    <w:rsid w:val="007E6A9C"/>
    <w:rsid w:val="007E6C0C"/>
    <w:rsid w:val="007E7300"/>
    <w:rsid w:val="007E767B"/>
    <w:rsid w:val="007E7B54"/>
    <w:rsid w:val="007F038C"/>
    <w:rsid w:val="007F0428"/>
    <w:rsid w:val="007F0F24"/>
    <w:rsid w:val="007F1755"/>
    <w:rsid w:val="007F222B"/>
    <w:rsid w:val="007F2CBC"/>
    <w:rsid w:val="007F3092"/>
    <w:rsid w:val="007F30F9"/>
    <w:rsid w:val="007F39B8"/>
    <w:rsid w:val="007F3C03"/>
    <w:rsid w:val="007F3E3F"/>
    <w:rsid w:val="007F45DF"/>
    <w:rsid w:val="007F4A6F"/>
    <w:rsid w:val="007F4FBC"/>
    <w:rsid w:val="007F5975"/>
    <w:rsid w:val="007F5AB9"/>
    <w:rsid w:val="007F6497"/>
    <w:rsid w:val="007F6836"/>
    <w:rsid w:val="007F7DF2"/>
    <w:rsid w:val="008005E6"/>
    <w:rsid w:val="00800A35"/>
    <w:rsid w:val="00800D91"/>
    <w:rsid w:val="008015F2"/>
    <w:rsid w:val="00801A0E"/>
    <w:rsid w:val="00803362"/>
    <w:rsid w:val="00803C65"/>
    <w:rsid w:val="00804BC0"/>
    <w:rsid w:val="00804E3C"/>
    <w:rsid w:val="00804E4C"/>
    <w:rsid w:val="00805774"/>
    <w:rsid w:val="0080662C"/>
    <w:rsid w:val="008070B2"/>
    <w:rsid w:val="008074CE"/>
    <w:rsid w:val="00807D79"/>
    <w:rsid w:val="00810102"/>
    <w:rsid w:val="008102BC"/>
    <w:rsid w:val="008116F3"/>
    <w:rsid w:val="008117C4"/>
    <w:rsid w:val="0081222E"/>
    <w:rsid w:val="00812461"/>
    <w:rsid w:val="008127E0"/>
    <w:rsid w:val="00812810"/>
    <w:rsid w:val="0081398E"/>
    <w:rsid w:val="00813F02"/>
    <w:rsid w:val="008149D8"/>
    <w:rsid w:val="00815714"/>
    <w:rsid w:val="00815A2A"/>
    <w:rsid w:val="0081724D"/>
    <w:rsid w:val="0081788A"/>
    <w:rsid w:val="00817927"/>
    <w:rsid w:val="00817CFC"/>
    <w:rsid w:val="00817E16"/>
    <w:rsid w:val="00817E82"/>
    <w:rsid w:val="00820A3F"/>
    <w:rsid w:val="00821D81"/>
    <w:rsid w:val="00822A13"/>
    <w:rsid w:val="00822A52"/>
    <w:rsid w:val="00822F31"/>
    <w:rsid w:val="00823654"/>
    <w:rsid w:val="0082374A"/>
    <w:rsid w:val="008237F3"/>
    <w:rsid w:val="00823A90"/>
    <w:rsid w:val="00825C68"/>
    <w:rsid w:val="0082757E"/>
    <w:rsid w:val="0082769C"/>
    <w:rsid w:val="00827B6C"/>
    <w:rsid w:val="00827D77"/>
    <w:rsid w:val="00830259"/>
    <w:rsid w:val="00830561"/>
    <w:rsid w:val="00831115"/>
    <w:rsid w:val="0083249C"/>
    <w:rsid w:val="00832D42"/>
    <w:rsid w:val="008333A9"/>
    <w:rsid w:val="00833419"/>
    <w:rsid w:val="008341D7"/>
    <w:rsid w:val="008342A5"/>
    <w:rsid w:val="00834B7C"/>
    <w:rsid w:val="00834BE2"/>
    <w:rsid w:val="00834EA4"/>
    <w:rsid w:val="00835049"/>
    <w:rsid w:val="008354B9"/>
    <w:rsid w:val="00835DCB"/>
    <w:rsid w:val="00836090"/>
    <w:rsid w:val="00836921"/>
    <w:rsid w:val="00837237"/>
    <w:rsid w:val="008376C0"/>
    <w:rsid w:val="008377CC"/>
    <w:rsid w:val="00837C13"/>
    <w:rsid w:val="0084035D"/>
    <w:rsid w:val="008405F9"/>
    <w:rsid w:val="0084060B"/>
    <w:rsid w:val="0084139B"/>
    <w:rsid w:val="0084143B"/>
    <w:rsid w:val="008417D4"/>
    <w:rsid w:val="00842547"/>
    <w:rsid w:val="008427D3"/>
    <w:rsid w:val="008429CF"/>
    <w:rsid w:val="0084324C"/>
    <w:rsid w:val="00843910"/>
    <w:rsid w:val="00843B9B"/>
    <w:rsid w:val="008451F8"/>
    <w:rsid w:val="008457D2"/>
    <w:rsid w:val="00846212"/>
    <w:rsid w:val="008468E0"/>
    <w:rsid w:val="0084767E"/>
    <w:rsid w:val="0084790F"/>
    <w:rsid w:val="00847BE7"/>
    <w:rsid w:val="00850EAB"/>
    <w:rsid w:val="00851C80"/>
    <w:rsid w:val="00851D70"/>
    <w:rsid w:val="00852760"/>
    <w:rsid w:val="008529B3"/>
    <w:rsid w:val="00852ADD"/>
    <w:rsid w:val="008535FA"/>
    <w:rsid w:val="00853883"/>
    <w:rsid w:val="00853EB9"/>
    <w:rsid w:val="0085421C"/>
    <w:rsid w:val="00854CF7"/>
    <w:rsid w:val="00854DA7"/>
    <w:rsid w:val="008557A0"/>
    <w:rsid w:val="008557AE"/>
    <w:rsid w:val="00856607"/>
    <w:rsid w:val="00857696"/>
    <w:rsid w:val="0086037C"/>
    <w:rsid w:val="008604A8"/>
    <w:rsid w:val="00860ADD"/>
    <w:rsid w:val="008616A2"/>
    <w:rsid w:val="00861C6C"/>
    <w:rsid w:val="008636AC"/>
    <w:rsid w:val="00863862"/>
    <w:rsid w:val="00863AAD"/>
    <w:rsid w:val="00864644"/>
    <w:rsid w:val="00864F4D"/>
    <w:rsid w:val="008658DE"/>
    <w:rsid w:val="00866296"/>
    <w:rsid w:val="008665C7"/>
    <w:rsid w:val="008665EC"/>
    <w:rsid w:val="00866DC1"/>
    <w:rsid w:val="008707A3"/>
    <w:rsid w:val="00870A36"/>
    <w:rsid w:val="00870E52"/>
    <w:rsid w:val="008711AE"/>
    <w:rsid w:val="0087143E"/>
    <w:rsid w:val="00871A36"/>
    <w:rsid w:val="00872F21"/>
    <w:rsid w:val="00873736"/>
    <w:rsid w:val="0087378E"/>
    <w:rsid w:val="008737DF"/>
    <w:rsid w:val="008755E7"/>
    <w:rsid w:val="00875A46"/>
    <w:rsid w:val="00875E16"/>
    <w:rsid w:val="00877D03"/>
    <w:rsid w:val="00877E96"/>
    <w:rsid w:val="0088023D"/>
    <w:rsid w:val="008803CE"/>
    <w:rsid w:val="00882077"/>
    <w:rsid w:val="008820D9"/>
    <w:rsid w:val="00883613"/>
    <w:rsid w:val="0088557F"/>
    <w:rsid w:val="008860E0"/>
    <w:rsid w:val="00886393"/>
    <w:rsid w:val="00886579"/>
    <w:rsid w:val="00886F19"/>
    <w:rsid w:val="00887865"/>
    <w:rsid w:val="00887B37"/>
    <w:rsid w:val="00890598"/>
    <w:rsid w:val="0089065A"/>
    <w:rsid w:val="0089078F"/>
    <w:rsid w:val="00890DEB"/>
    <w:rsid w:val="0089177A"/>
    <w:rsid w:val="00891D7A"/>
    <w:rsid w:val="00891DFC"/>
    <w:rsid w:val="00892791"/>
    <w:rsid w:val="00892B98"/>
    <w:rsid w:val="008945D2"/>
    <w:rsid w:val="008949A3"/>
    <w:rsid w:val="008959FC"/>
    <w:rsid w:val="0089605E"/>
    <w:rsid w:val="00896668"/>
    <w:rsid w:val="00896E9A"/>
    <w:rsid w:val="0089728A"/>
    <w:rsid w:val="008A0CCC"/>
    <w:rsid w:val="008A1D0E"/>
    <w:rsid w:val="008A25EA"/>
    <w:rsid w:val="008A276E"/>
    <w:rsid w:val="008A31C7"/>
    <w:rsid w:val="008A3215"/>
    <w:rsid w:val="008A3630"/>
    <w:rsid w:val="008A3E8B"/>
    <w:rsid w:val="008A47BE"/>
    <w:rsid w:val="008A4AEC"/>
    <w:rsid w:val="008A5609"/>
    <w:rsid w:val="008A5697"/>
    <w:rsid w:val="008A6DD5"/>
    <w:rsid w:val="008A6DF0"/>
    <w:rsid w:val="008A6FA0"/>
    <w:rsid w:val="008A7FEF"/>
    <w:rsid w:val="008B0385"/>
    <w:rsid w:val="008B05E6"/>
    <w:rsid w:val="008B105C"/>
    <w:rsid w:val="008B15CE"/>
    <w:rsid w:val="008B1C8F"/>
    <w:rsid w:val="008B21F8"/>
    <w:rsid w:val="008B2570"/>
    <w:rsid w:val="008B2B19"/>
    <w:rsid w:val="008B2F40"/>
    <w:rsid w:val="008B2FCD"/>
    <w:rsid w:val="008B3627"/>
    <w:rsid w:val="008B3EAD"/>
    <w:rsid w:val="008B49B6"/>
    <w:rsid w:val="008B56A0"/>
    <w:rsid w:val="008B5AA1"/>
    <w:rsid w:val="008B5E61"/>
    <w:rsid w:val="008B64CE"/>
    <w:rsid w:val="008B68B4"/>
    <w:rsid w:val="008B756F"/>
    <w:rsid w:val="008B7914"/>
    <w:rsid w:val="008C0D0C"/>
    <w:rsid w:val="008C127A"/>
    <w:rsid w:val="008C18BD"/>
    <w:rsid w:val="008C1932"/>
    <w:rsid w:val="008C1CC8"/>
    <w:rsid w:val="008C2C7F"/>
    <w:rsid w:val="008C2F0D"/>
    <w:rsid w:val="008C364D"/>
    <w:rsid w:val="008C500C"/>
    <w:rsid w:val="008C5D2A"/>
    <w:rsid w:val="008C6754"/>
    <w:rsid w:val="008C6C16"/>
    <w:rsid w:val="008C74FB"/>
    <w:rsid w:val="008C7AF4"/>
    <w:rsid w:val="008C7DA4"/>
    <w:rsid w:val="008C7F6E"/>
    <w:rsid w:val="008C7FAE"/>
    <w:rsid w:val="008D0210"/>
    <w:rsid w:val="008D033E"/>
    <w:rsid w:val="008D0851"/>
    <w:rsid w:val="008D0DEF"/>
    <w:rsid w:val="008D0FCD"/>
    <w:rsid w:val="008D1074"/>
    <w:rsid w:val="008D1079"/>
    <w:rsid w:val="008D2643"/>
    <w:rsid w:val="008D280F"/>
    <w:rsid w:val="008D2F60"/>
    <w:rsid w:val="008D318B"/>
    <w:rsid w:val="008D3994"/>
    <w:rsid w:val="008D3C3D"/>
    <w:rsid w:val="008D478E"/>
    <w:rsid w:val="008D4DB6"/>
    <w:rsid w:val="008D534E"/>
    <w:rsid w:val="008D619B"/>
    <w:rsid w:val="008D6E81"/>
    <w:rsid w:val="008D7739"/>
    <w:rsid w:val="008D7A64"/>
    <w:rsid w:val="008D7A92"/>
    <w:rsid w:val="008E0302"/>
    <w:rsid w:val="008E03F3"/>
    <w:rsid w:val="008E1267"/>
    <w:rsid w:val="008E19FD"/>
    <w:rsid w:val="008E22F8"/>
    <w:rsid w:val="008E25EC"/>
    <w:rsid w:val="008E38DA"/>
    <w:rsid w:val="008E39D8"/>
    <w:rsid w:val="008E443A"/>
    <w:rsid w:val="008E4531"/>
    <w:rsid w:val="008E4DEE"/>
    <w:rsid w:val="008E5313"/>
    <w:rsid w:val="008E5D73"/>
    <w:rsid w:val="008E606F"/>
    <w:rsid w:val="008E6AD9"/>
    <w:rsid w:val="008E6E25"/>
    <w:rsid w:val="008F022A"/>
    <w:rsid w:val="008F06FD"/>
    <w:rsid w:val="008F1172"/>
    <w:rsid w:val="008F27E3"/>
    <w:rsid w:val="008F3485"/>
    <w:rsid w:val="008F3AC3"/>
    <w:rsid w:val="008F42C1"/>
    <w:rsid w:val="008F51FF"/>
    <w:rsid w:val="008F52FC"/>
    <w:rsid w:val="008F5DEF"/>
    <w:rsid w:val="008F61F2"/>
    <w:rsid w:val="008F636D"/>
    <w:rsid w:val="008F7C0A"/>
    <w:rsid w:val="00901140"/>
    <w:rsid w:val="00901DBB"/>
    <w:rsid w:val="009026CB"/>
    <w:rsid w:val="00902876"/>
    <w:rsid w:val="009030FF"/>
    <w:rsid w:val="009036E9"/>
    <w:rsid w:val="009038F6"/>
    <w:rsid w:val="00903FB2"/>
    <w:rsid w:val="00904038"/>
    <w:rsid w:val="009041AF"/>
    <w:rsid w:val="009042AA"/>
    <w:rsid w:val="009049AB"/>
    <w:rsid w:val="00904C8C"/>
    <w:rsid w:val="009050B7"/>
    <w:rsid w:val="0090510D"/>
    <w:rsid w:val="00905130"/>
    <w:rsid w:val="009053BD"/>
    <w:rsid w:val="00905728"/>
    <w:rsid w:val="009061B8"/>
    <w:rsid w:val="009064BF"/>
    <w:rsid w:val="009069B8"/>
    <w:rsid w:val="0091077D"/>
    <w:rsid w:val="009130CC"/>
    <w:rsid w:val="009133EC"/>
    <w:rsid w:val="00913AF7"/>
    <w:rsid w:val="00913B37"/>
    <w:rsid w:val="00914683"/>
    <w:rsid w:val="00914861"/>
    <w:rsid w:val="009148D8"/>
    <w:rsid w:val="00914B5F"/>
    <w:rsid w:val="00914E71"/>
    <w:rsid w:val="0091504C"/>
    <w:rsid w:val="0091573F"/>
    <w:rsid w:val="00915897"/>
    <w:rsid w:val="00915B44"/>
    <w:rsid w:val="00915CD5"/>
    <w:rsid w:val="00916093"/>
    <w:rsid w:val="009160E3"/>
    <w:rsid w:val="0091639C"/>
    <w:rsid w:val="00916A8C"/>
    <w:rsid w:val="00916E99"/>
    <w:rsid w:val="0092002E"/>
    <w:rsid w:val="0092050A"/>
    <w:rsid w:val="00920EC6"/>
    <w:rsid w:val="0092101E"/>
    <w:rsid w:val="009219C6"/>
    <w:rsid w:val="009225D6"/>
    <w:rsid w:val="0092383B"/>
    <w:rsid w:val="00923DCE"/>
    <w:rsid w:val="00924119"/>
    <w:rsid w:val="00925120"/>
    <w:rsid w:val="009255FA"/>
    <w:rsid w:val="009262E4"/>
    <w:rsid w:val="009266D2"/>
    <w:rsid w:val="00927D4E"/>
    <w:rsid w:val="00927F89"/>
    <w:rsid w:val="00930AC2"/>
    <w:rsid w:val="00930D2A"/>
    <w:rsid w:val="009312BF"/>
    <w:rsid w:val="00931680"/>
    <w:rsid w:val="00931B84"/>
    <w:rsid w:val="00931DA9"/>
    <w:rsid w:val="0093220A"/>
    <w:rsid w:val="009322B2"/>
    <w:rsid w:val="009328DA"/>
    <w:rsid w:val="00932E7E"/>
    <w:rsid w:val="009336BF"/>
    <w:rsid w:val="00933846"/>
    <w:rsid w:val="0093442D"/>
    <w:rsid w:val="00934CD2"/>
    <w:rsid w:val="00935497"/>
    <w:rsid w:val="00935A35"/>
    <w:rsid w:val="009375E5"/>
    <w:rsid w:val="0093785F"/>
    <w:rsid w:val="00937BC5"/>
    <w:rsid w:val="00937D30"/>
    <w:rsid w:val="00941848"/>
    <w:rsid w:val="0094337A"/>
    <w:rsid w:val="009437F2"/>
    <w:rsid w:val="009442E8"/>
    <w:rsid w:val="00944BA7"/>
    <w:rsid w:val="0094519B"/>
    <w:rsid w:val="0094636D"/>
    <w:rsid w:val="00947222"/>
    <w:rsid w:val="0094759C"/>
    <w:rsid w:val="009503FE"/>
    <w:rsid w:val="00950448"/>
    <w:rsid w:val="009507D4"/>
    <w:rsid w:val="00950ACD"/>
    <w:rsid w:val="00950E37"/>
    <w:rsid w:val="00951666"/>
    <w:rsid w:val="0095182F"/>
    <w:rsid w:val="00952524"/>
    <w:rsid w:val="0095278F"/>
    <w:rsid w:val="00953D2D"/>
    <w:rsid w:val="00953EAF"/>
    <w:rsid w:val="0095426C"/>
    <w:rsid w:val="00955EE9"/>
    <w:rsid w:val="009562AE"/>
    <w:rsid w:val="0095654A"/>
    <w:rsid w:val="00956BF5"/>
    <w:rsid w:val="009570CF"/>
    <w:rsid w:val="009571C2"/>
    <w:rsid w:val="009575C3"/>
    <w:rsid w:val="0095770C"/>
    <w:rsid w:val="009579AF"/>
    <w:rsid w:val="00957CC8"/>
    <w:rsid w:val="00957EE7"/>
    <w:rsid w:val="0096086A"/>
    <w:rsid w:val="00961453"/>
    <w:rsid w:val="009616D4"/>
    <w:rsid w:val="0096182D"/>
    <w:rsid w:val="00962150"/>
    <w:rsid w:val="00962CCD"/>
    <w:rsid w:val="00964166"/>
    <w:rsid w:val="009645AD"/>
    <w:rsid w:val="0096475C"/>
    <w:rsid w:val="0096546E"/>
    <w:rsid w:val="0096562A"/>
    <w:rsid w:val="00965865"/>
    <w:rsid w:val="00966096"/>
    <w:rsid w:val="00966A13"/>
    <w:rsid w:val="00966BAF"/>
    <w:rsid w:val="00967473"/>
    <w:rsid w:val="00967730"/>
    <w:rsid w:val="00970D56"/>
    <w:rsid w:val="00970E50"/>
    <w:rsid w:val="00971074"/>
    <w:rsid w:val="009725B2"/>
    <w:rsid w:val="0097401B"/>
    <w:rsid w:val="009747AA"/>
    <w:rsid w:val="00974B99"/>
    <w:rsid w:val="00974BCB"/>
    <w:rsid w:val="0097529C"/>
    <w:rsid w:val="00975361"/>
    <w:rsid w:val="009758CD"/>
    <w:rsid w:val="00975AEF"/>
    <w:rsid w:val="00975BF2"/>
    <w:rsid w:val="0097616C"/>
    <w:rsid w:val="009763E4"/>
    <w:rsid w:val="0097649D"/>
    <w:rsid w:val="0097654D"/>
    <w:rsid w:val="009766B7"/>
    <w:rsid w:val="00976D58"/>
    <w:rsid w:val="00977C23"/>
    <w:rsid w:val="00980A22"/>
    <w:rsid w:val="00980D85"/>
    <w:rsid w:val="00981E09"/>
    <w:rsid w:val="00983094"/>
    <w:rsid w:val="00983599"/>
    <w:rsid w:val="009843DE"/>
    <w:rsid w:val="0098544F"/>
    <w:rsid w:val="00985B04"/>
    <w:rsid w:val="0098661B"/>
    <w:rsid w:val="00986A6D"/>
    <w:rsid w:val="00986BEF"/>
    <w:rsid w:val="00987298"/>
    <w:rsid w:val="00987360"/>
    <w:rsid w:val="00987B34"/>
    <w:rsid w:val="00990282"/>
    <w:rsid w:val="00990769"/>
    <w:rsid w:val="00991DF8"/>
    <w:rsid w:val="00992499"/>
    <w:rsid w:val="00992986"/>
    <w:rsid w:val="009936E2"/>
    <w:rsid w:val="00994B55"/>
    <w:rsid w:val="009954AD"/>
    <w:rsid w:val="00995D86"/>
    <w:rsid w:val="00995FB2"/>
    <w:rsid w:val="0099781E"/>
    <w:rsid w:val="00997A68"/>
    <w:rsid w:val="009A0071"/>
    <w:rsid w:val="009A00EA"/>
    <w:rsid w:val="009A0587"/>
    <w:rsid w:val="009A0DA2"/>
    <w:rsid w:val="009A1F6B"/>
    <w:rsid w:val="009A2616"/>
    <w:rsid w:val="009A2C4C"/>
    <w:rsid w:val="009A2DD8"/>
    <w:rsid w:val="009A30DE"/>
    <w:rsid w:val="009A3D29"/>
    <w:rsid w:val="009A509F"/>
    <w:rsid w:val="009A5453"/>
    <w:rsid w:val="009A6A7B"/>
    <w:rsid w:val="009A7532"/>
    <w:rsid w:val="009A7883"/>
    <w:rsid w:val="009B04B7"/>
    <w:rsid w:val="009B0596"/>
    <w:rsid w:val="009B1D50"/>
    <w:rsid w:val="009B237F"/>
    <w:rsid w:val="009B2760"/>
    <w:rsid w:val="009B308D"/>
    <w:rsid w:val="009B31D6"/>
    <w:rsid w:val="009B38D5"/>
    <w:rsid w:val="009B3B62"/>
    <w:rsid w:val="009B3C8D"/>
    <w:rsid w:val="009B3DE3"/>
    <w:rsid w:val="009B4FFB"/>
    <w:rsid w:val="009B53C7"/>
    <w:rsid w:val="009B7489"/>
    <w:rsid w:val="009B7987"/>
    <w:rsid w:val="009B7B0A"/>
    <w:rsid w:val="009C07C9"/>
    <w:rsid w:val="009C08D7"/>
    <w:rsid w:val="009C0DC5"/>
    <w:rsid w:val="009C1866"/>
    <w:rsid w:val="009C1FDE"/>
    <w:rsid w:val="009C23FE"/>
    <w:rsid w:val="009C24C8"/>
    <w:rsid w:val="009C375C"/>
    <w:rsid w:val="009C3DA1"/>
    <w:rsid w:val="009C4D19"/>
    <w:rsid w:val="009C4E0D"/>
    <w:rsid w:val="009C4F1B"/>
    <w:rsid w:val="009C503B"/>
    <w:rsid w:val="009C5793"/>
    <w:rsid w:val="009C5816"/>
    <w:rsid w:val="009C61EA"/>
    <w:rsid w:val="009C63EC"/>
    <w:rsid w:val="009C6E29"/>
    <w:rsid w:val="009C7DAC"/>
    <w:rsid w:val="009D077D"/>
    <w:rsid w:val="009D08A6"/>
    <w:rsid w:val="009D0EC0"/>
    <w:rsid w:val="009D1915"/>
    <w:rsid w:val="009D1B69"/>
    <w:rsid w:val="009D1EB3"/>
    <w:rsid w:val="009D25DE"/>
    <w:rsid w:val="009D2ABF"/>
    <w:rsid w:val="009D3AD2"/>
    <w:rsid w:val="009D3E06"/>
    <w:rsid w:val="009D4569"/>
    <w:rsid w:val="009D5843"/>
    <w:rsid w:val="009D638D"/>
    <w:rsid w:val="009D6393"/>
    <w:rsid w:val="009D6B6C"/>
    <w:rsid w:val="009E0885"/>
    <w:rsid w:val="009E1CC8"/>
    <w:rsid w:val="009E20FF"/>
    <w:rsid w:val="009E2827"/>
    <w:rsid w:val="009E2863"/>
    <w:rsid w:val="009E30D2"/>
    <w:rsid w:val="009E4859"/>
    <w:rsid w:val="009E4885"/>
    <w:rsid w:val="009E508B"/>
    <w:rsid w:val="009E5EDF"/>
    <w:rsid w:val="009E5FBE"/>
    <w:rsid w:val="009E6A00"/>
    <w:rsid w:val="009F0086"/>
    <w:rsid w:val="009F03AB"/>
    <w:rsid w:val="009F0619"/>
    <w:rsid w:val="009F068A"/>
    <w:rsid w:val="009F08C5"/>
    <w:rsid w:val="009F0A85"/>
    <w:rsid w:val="009F1260"/>
    <w:rsid w:val="009F15CA"/>
    <w:rsid w:val="009F1B71"/>
    <w:rsid w:val="009F220A"/>
    <w:rsid w:val="009F2462"/>
    <w:rsid w:val="009F36D6"/>
    <w:rsid w:val="009F6575"/>
    <w:rsid w:val="009F7ADC"/>
    <w:rsid w:val="00A0002A"/>
    <w:rsid w:val="00A016DB"/>
    <w:rsid w:val="00A01F3A"/>
    <w:rsid w:val="00A0236D"/>
    <w:rsid w:val="00A02985"/>
    <w:rsid w:val="00A02B2B"/>
    <w:rsid w:val="00A02C77"/>
    <w:rsid w:val="00A02FA8"/>
    <w:rsid w:val="00A03F1A"/>
    <w:rsid w:val="00A03F74"/>
    <w:rsid w:val="00A03F88"/>
    <w:rsid w:val="00A046BF"/>
    <w:rsid w:val="00A05A37"/>
    <w:rsid w:val="00A05B25"/>
    <w:rsid w:val="00A05C04"/>
    <w:rsid w:val="00A05EC0"/>
    <w:rsid w:val="00A06254"/>
    <w:rsid w:val="00A06842"/>
    <w:rsid w:val="00A07459"/>
    <w:rsid w:val="00A07D78"/>
    <w:rsid w:val="00A07DB6"/>
    <w:rsid w:val="00A10573"/>
    <w:rsid w:val="00A10972"/>
    <w:rsid w:val="00A11406"/>
    <w:rsid w:val="00A13205"/>
    <w:rsid w:val="00A132A1"/>
    <w:rsid w:val="00A13422"/>
    <w:rsid w:val="00A148F0"/>
    <w:rsid w:val="00A15132"/>
    <w:rsid w:val="00A1554D"/>
    <w:rsid w:val="00A15792"/>
    <w:rsid w:val="00A158E3"/>
    <w:rsid w:val="00A1591A"/>
    <w:rsid w:val="00A172E0"/>
    <w:rsid w:val="00A17527"/>
    <w:rsid w:val="00A17DF8"/>
    <w:rsid w:val="00A211C5"/>
    <w:rsid w:val="00A221A3"/>
    <w:rsid w:val="00A223D5"/>
    <w:rsid w:val="00A235E4"/>
    <w:rsid w:val="00A23F41"/>
    <w:rsid w:val="00A25547"/>
    <w:rsid w:val="00A25CAB"/>
    <w:rsid w:val="00A25F76"/>
    <w:rsid w:val="00A27B28"/>
    <w:rsid w:val="00A3003E"/>
    <w:rsid w:val="00A31E14"/>
    <w:rsid w:val="00A3325E"/>
    <w:rsid w:val="00A34276"/>
    <w:rsid w:val="00A34524"/>
    <w:rsid w:val="00A345B6"/>
    <w:rsid w:val="00A3502D"/>
    <w:rsid w:val="00A357A4"/>
    <w:rsid w:val="00A35AF5"/>
    <w:rsid w:val="00A35CDF"/>
    <w:rsid w:val="00A36453"/>
    <w:rsid w:val="00A37970"/>
    <w:rsid w:val="00A37A68"/>
    <w:rsid w:val="00A37B0C"/>
    <w:rsid w:val="00A37CE6"/>
    <w:rsid w:val="00A37D1C"/>
    <w:rsid w:val="00A37FFE"/>
    <w:rsid w:val="00A404BE"/>
    <w:rsid w:val="00A40ECF"/>
    <w:rsid w:val="00A411C9"/>
    <w:rsid w:val="00A41257"/>
    <w:rsid w:val="00A41B47"/>
    <w:rsid w:val="00A41FEF"/>
    <w:rsid w:val="00A42476"/>
    <w:rsid w:val="00A42C43"/>
    <w:rsid w:val="00A433CA"/>
    <w:rsid w:val="00A43A1A"/>
    <w:rsid w:val="00A43D48"/>
    <w:rsid w:val="00A43F3C"/>
    <w:rsid w:val="00A447A5"/>
    <w:rsid w:val="00A45B83"/>
    <w:rsid w:val="00A4646E"/>
    <w:rsid w:val="00A46771"/>
    <w:rsid w:val="00A468FD"/>
    <w:rsid w:val="00A46921"/>
    <w:rsid w:val="00A47249"/>
    <w:rsid w:val="00A47E3B"/>
    <w:rsid w:val="00A501C7"/>
    <w:rsid w:val="00A5058A"/>
    <w:rsid w:val="00A50905"/>
    <w:rsid w:val="00A513FD"/>
    <w:rsid w:val="00A517D0"/>
    <w:rsid w:val="00A5254B"/>
    <w:rsid w:val="00A52BC1"/>
    <w:rsid w:val="00A52D47"/>
    <w:rsid w:val="00A5347F"/>
    <w:rsid w:val="00A534A0"/>
    <w:rsid w:val="00A537EA"/>
    <w:rsid w:val="00A539AD"/>
    <w:rsid w:val="00A53E3E"/>
    <w:rsid w:val="00A540B2"/>
    <w:rsid w:val="00A5414D"/>
    <w:rsid w:val="00A54A3E"/>
    <w:rsid w:val="00A556B7"/>
    <w:rsid w:val="00A564A6"/>
    <w:rsid w:val="00A56819"/>
    <w:rsid w:val="00A568AC"/>
    <w:rsid w:val="00A578CC"/>
    <w:rsid w:val="00A57B07"/>
    <w:rsid w:val="00A6025F"/>
    <w:rsid w:val="00A60E9C"/>
    <w:rsid w:val="00A61196"/>
    <w:rsid w:val="00A6131E"/>
    <w:rsid w:val="00A616AF"/>
    <w:rsid w:val="00A61879"/>
    <w:rsid w:val="00A628B4"/>
    <w:rsid w:val="00A62E6A"/>
    <w:rsid w:val="00A63E4E"/>
    <w:rsid w:val="00A6444F"/>
    <w:rsid w:val="00A652FF"/>
    <w:rsid w:val="00A6598D"/>
    <w:rsid w:val="00A65A0D"/>
    <w:rsid w:val="00A65C27"/>
    <w:rsid w:val="00A65F3C"/>
    <w:rsid w:val="00A661FD"/>
    <w:rsid w:val="00A66FB3"/>
    <w:rsid w:val="00A67DF5"/>
    <w:rsid w:val="00A709A3"/>
    <w:rsid w:val="00A70F8D"/>
    <w:rsid w:val="00A71216"/>
    <w:rsid w:val="00A714A3"/>
    <w:rsid w:val="00A71B8B"/>
    <w:rsid w:val="00A74456"/>
    <w:rsid w:val="00A75089"/>
    <w:rsid w:val="00A75EDC"/>
    <w:rsid w:val="00A7649A"/>
    <w:rsid w:val="00A80404"/>
    <w:rsid w:val="00A80548"/>
    <w:rsid w:val="00A8085F"/>
    <w:rsid w:val="00A80A3D"/>
    <w:rsid w:val="00A80DB5"/>
    <w:rsid w:val="00A817A8"/>
    <w:rsid w:val="00A81E50"/>
    <w:rsid w:val="00A81F1C"/>
    <w:rsid w:val="00A82241"/>
    <w:rsid w:val="00A82602"/>
    <w:rsid w:val="00A82DA0"/>
    <w:rsid w:val="00A83E49"/>
    <w:rsid w:val="00A8401C"/>
    <w:rsid w:val="00A8415A"/>
    <w:rsid w:val="00A841A6"/>
    <w:rsid w:val="00A84221"/>
    <w:rsid w:val="00A843CA"/>
    <w:rsid w:val="00A84B7A"/>
    <w:rsid w:val="00A85063"/>
    <w:rsid w:val="00A85367"/>
    <w:rsid w:val="00A85DB5"/>
    <w:rsid w:val="00A86090"/>
    <w:rsid w:val="00A86359"/>
    <w:rsid w:val="00A865DC"/>
    <w:rsid w:val="00A86FBC"/>
    <w:rsid w:val="00A879C5"/>
    <w:rsid w:val="00A902AD"/>
    <w:rsid w:val="00A90302"/>
    <w:rsid w:val="00A9099E"/>
    <w:rsid w:val="00A91FB7"/>
    <w:rsid w:val="00A921CE"/>
    <w:rsid w:val="00A92967"/>
    <w:rsid w:val="00A9298F"/>
    <w:rsid w:val="00A9301E"/>
    <w:rsid w:val="00A93E3A"/>
    <w:rsid w:val="00A95186"/>
    <w:rsid w:val="00A951AD"/>
    <w:rsid w:val="00A9561B"/>
    <w:rsid w:val="00A961BD"/>
    <w:rsid w:val="00A9652F"/>
    <w:rsid w:val="00A973B1"/>
    <w:rsid w:val="00A97D3F"/>
    <w:rsid w:val="00AA027E"/>
    <w:rsid w:val="00AA1224"/>
    <w:rsid w:val="00AA14F2"/>
    <w:rsid w:val="00AA180B"/>
    <w:rsid w:val="00AA1D43"/>
    <w:rsid w:val="00AA2358"/>
    <w:rsid w:val="00AA2469"/>
    <w:rsid w:val="00AA2CD7"/>
    <w:rsid w:val="00AA2FA4"/>
    <w:rsid w:val="00AA3301"/>
    <w:rsid w:val="00AA3360"/>
    <w:rsid w:val="00AA386B"/>
    <w:rsid w:val="00AA4C2E"/>
    <w:rsid w:val="00AA6384"/>
    <w:rsid w:val="00AA6B93"/>
    <w:rsid w:val="00AA79B9"/>
    <w:rsid w:val="00AA7A06"/>
    <w:rsid w:val="00AA7A7F"/>
    <w:rsid w:val="00AA7F56"/>
    <w:rsid w:val="00AB1984"/>
    <w:rsid w:val="00AB1CBB"/>
    <w:rsid w:val="00AB215B"/>
    <w:rsid w:val="00AB266D"/>
    <w:rsid w:val="00AB2E7D"/>
    <w:rsid w:val="00AB3146"/>
    <w:rsid w:val="00AB333E"/>
    <w:rsid w:val="00AB37DB"/>
    <w:rsid w:val="00AB3ECC"/>
    <w:rsid w:val="00AB54B5"/>
    <w:rsid w:val="00AB5A73"/>
    <w:rsid w:val="00AB5F48"/>
    <w:rsid w:val="00AB7156"/>
    <w:rsid w:val="00AB716D"/>
    <w:rsid w:val="00AB72BB"/>
    <w:rsid w:val="00AB7472"/>
    <w:rsid w:val="00AB7BF3"/>
    <w:rsid w:val="00AC09D5"/>
    <w:rsid w:val="00AC0D8E"/>
    <w:rsid w:val="00AC175B"/>
    <w:rsid w:val="00AC1AA3"/>
    <w:rsid w:val="00AC1F8E"/>
    <w:rsid w:val="00AC22C1"/>
    <w:rsid w:val="00AC374B"/>
    <w:rsid w:val="00AC3798"/>
    <w:rsid w:val="00AC3918"/>
    <w:rsid w:val="00AC3ED5"/>
    <w:rsid w:val="00AC4CB3"/>
    <w:rsid w:val="00AC4D7C"/>
    <w:rsid w:val="00AC53B0"/>
    <w:rsid w:val="00AC6655"/>
    <w:rsid w:val="00AC6EF2"/>
    <w:rsid w:val="00AC71A6"/>
    <w:rsid w:val="00AC742F"/>
    <w:rsid w:val="00AC7664"/>
    <w:rsid w:val="00AC774F"/>
    <w:rsid w:val="00AC780D"/>
    <w:rsid w:val="00AC787B"/>
    <w:rsid w:val="00AC78A0"/>
    <w:rsid w:val="00AC7956"/>
    <w:rsid w:val="00AC7E18"/>
    <w:rsid w:val="00AD157F"/>
    <w:rsid w:val="00AD1B79"/>
    <w:rsid w:val="00AD2B82"/>
    <w:rsid w:val="00AD2BD7"/>
    <w:rsid w:val="00AD3208"/>
    <w:rsid w:val="00AD3C00"/>
    <w:rsid w:val="00AD4A3C"/>
    <w:rsid w:val="00AD4F6A"/>
    <w:rsid w:val="00AD50F8"/>
    <w:rsid w:val="00AD719F"/>
    <w:rsid w:val="00AD7447"/>
    <w:rsid w:val="00AD752A"/>
    <w:rsid w:val="00AD7D36"/>
    <w:rsid w:val="00AE0A0E"/>
    <w:rsid w:val="00AE0DED"/>
    <w:rsid w:val="00AE1D05"/>
    <w:rsid w:val="00AE2780"/>
    <w:rsid w:val="00AE284A"/>
    <w:rsid w:val="00AE307E"/>
    <w:rsid w:val="00AE3450"/>
    <w:rsid w:val="00AE392E"/>
    <w:rsid w:val="00AE3E11"/>
    <w:rsid w:val="00AE40B3"/>
    <w:rsid w:val="00AE4BAB"/>
    <w:rsid w:val="00AE4BDC"/>
    <w:rsid w:val="00AE4CFD"/>
    <w:rsid w:val="00AE4EA6"/>
    <w:rsid w:val="00AE51FF"/>
    <w:rsid w:val="00AE55AD"/>
    <w:rsid w:val="00AE5C72"/>
    <w:rsid w:val="00AE5D8F"/>
    <w:rsid w:val="00AE63D1"/>
    <w:rsid w:val="00AE67D5"/>
    <w:rsid w:val="00AE78ED"/>
    <w:rsid w:val="00AE7AC2"/>
    <w:rsid w:val="00AE7EC9"/>
    <w:rsid w:val="00AF1117"/>
    <w:rsid w:val="00AF1555"/>
    <w:rsid w:val="00AF174E"/>
    <w:rsid w:val="00AF18BA"/>
    <w:rsid w:val="00AF1CA5"/>
    <w:rsid w:val="00AF228C"/>
    <w:rsid w:val="00AF2DB9"/>
    <w:rsid w:val="00AF3928"/>
    <w:rsid w:val="00AF3B55"/>
    <w:rsid w:val="00AF3D62"/>
    <w:rsid w:val="00AF4146"/>
    <w:rsid w:val="00AF56FE"/>
    <w:rsid w:val="00AF5C45"/>
    <w:rsid w:val="00AF62A7"/>
    <w:rsid w:val="00AF6AC5"/>
    <w:rsid w:val="00AF7809"/>
    <w:rsid w:val="00AF7CA7"/>
    <w:rsid w:val="00AF7F7B"/>
    <w:rsid w:val="00B00BDE"/>
    <w:rsid w:val="00B0104B"/>
    <w:rsid w:val="00B021E0"/>
    <w:rsid w:val="00B03A30"/>
    <w:rsid w:val="00B03A35"/>
    <w:rsid w:val="00B0430C"/>
    <w:rsid w:val="00B04F99"/>
    <w:rsid w:val="00B057B6"/>
    <w:rsid w:val="00B05A7C"/>
    <w:rsid w:val="00B05AF2"/>
    <w:rsid w:val="00B06361"/>
    <w:rsid w:val="00B0651D"/>
    <w:rsid w:val="00B06955"/>
    <w:rsid w:val="00B0758A"/>
    <w:rsid w:val="00B07BEA"/>
    <w:rsid w:val="00B07F41"/>
    <w:rsid w:val="00B102F9"/>
    <w:rsid w:val="00B10CC7"/>
    <w:rsid w:val="00B11C80"/>
    <w:rsid w:val="00B11F33"/>
    <w:rsid w:val="00B12152"/>
    <w:rsid w:val="00B12DCA"/>
    <w:rsid w:val="00B139EF"/>
    <w:rsid w:val="00B13ECB"/>
    <w:rsid w:val="00B1524F"/>
    <w:rsid w:val="00B15A54"/>
    <w:rsid w:val="00B15B04"/>
    <w:rsid w:val="00B15ECF"/>
    <w:rsid w:val="00B169CD"/>
    <w:rsid w:val="00B16C0A"/>
    <w:rsid w:val="00B1785C"/>
    <w:rsid w:val="00B17F60"/>
    <w:rsid w:val="00B2039A"/>
    <w:rsid w:val="00B20AC8"/>
    <w:rsid w:val="00B215D5"/>
    <w:rsid w:val="00B21D55"/>
    <w:rsid w:val="00B225CB"/>
    <w:rsid w:val="00B22870"/>
    <w:rsid w:val="00B22A22"/>
    <w:rsid w:val="00B22AA6"/>
    <w:rsid w:val="00B23D1A"/>
    <w:rsid w:val="00B23F4C"/>
    <w:rsid w:val="00B24233"/>
    <w:rsid w:val="00B246DD"/>
    <w:rsid w:val="00B248D8"/>
    <w:rsid w:val="00B24BA7"/>
    <w:rsid w:val="00B25A6F"/>
    <w:rsid w:val="00B25CD9"/>
    <w:rsid w:val="00B268D0"/>
    <w:rsid w:val="00B269D3"/>
    <w:rsid w:val="00B27886"/>
    <w:rsid w:val="00B27F44"/>
    <w:rsid w:val="00B301ED"/>
    <w:rsid w:val="00B30448"/>
    <w:rsid w:val="00B3048B"/>
    <w:rsid w:val="00B30C49"/>
    <w:rsid w:val="00B30D75"/>
    <w:rsid w:val="00B30DAD"/>
    <w:rsid w:val="00B31315"/>
    <w:rsid w:val="00B3260E"/>
    <w:rsid w:val="00B32C4B"/>
    <w:rsid w:val="00B3407E"/>
    <w:rsid w:val="00B34C84"/>
    <w:rsid w:val="00B34D6A"/>
    <w:rsid w:val="00B35021"/>
    <w:rsid w:val="00B35749"/>
    <w:rsid w:val="00B35EF5"/>
    <w:rsid w:val="00B3677F"/>
    <w:rsid w:val="00B36872"/>
    <w:rsid w:val="00B3704D"/>
    <w:rsid w:val="00B37071"/>
    <w:rsid w:val="00B40162"/>
    <w:rsid w:val="00B4054D"/>
    <w:rsid w:val="00B40903"/>
    <w:rsid w:val="00B40FDB"/>
    <w:rsid w:val="00B41C6D"/>
    <w:rsid w:val="00B420B2"/>
    <w:rsid w:val="00B42800"/>
    <w:rsid w:val="00B42832"/>
    <w:rsid w:val="00B42863"/>
    <w:rsid w:val="00B430F6"/>
    <w:rsid w:val="00B43511"/>
    <w:rsid w:val="00B43CE6"/>
    <w:rsid w:val="00B4468B"/>
    <w:rsid w:val="00B45528"/>
    <w:rsid w:val="00B468B0"/>
    <w:rsid w:val="00B46B6E"/>
    <w:rsid w:val="00B478FA"/>
    <w:rsid w:val="00B50156"/>
    <w:rsid w:val="00B501E8"/>
    <w:rsid w:val="00B502A3"/>
    <w:rsid w:val="00B506D4"/>
    <w:rsid w:val="00B507AA"/>
    <w:rsid w:val="00B50953"/>
    <w:rsid w:val="00B509AE"/>
    <w:rsid w:val="00B50E13"/>
    <w:rsid w:val="00B51581"/>
    <w:rsid w:val="00B518AD"/>
    <w:rsid w:val="00B51BB6"/>
    <w:rsid w:val="00B52056"/>
    <w:rsid w:val="00B52B0E"/>
    <w:rsid w:val="00B52D81"/>
    <w:rsid w:val="00B5355B"/>
    <w:rsid w:val="00B5402E"/>
    <w:rsid w:val="00B540E8"/>
    <w:rsid w:val="00B54681"/>
    <w:rsid w:val="00B55852"/>
    <w:rsid w:val="00B560A9"/>
    <w:rsid w:val="00B56866"/>
    <w:rsid w:val="00B56CC4"/>
    <w:rsid w:val="00B604BB"/>
    <w:rsid w:val="00B6062A"/>
    <w:rsid w:val="00B60A96"/>
    <w:rsid w:val="00B60DD7"/>
    <w:rsid w:val="00B60EB6"/>
    <w:rsid w:val="00B60EE5"/>
    <w:rsid w:val="00B616A5"/>
    <w:rsid w:val="00B61BE4"/>
    <w:rsid w:val="00B628BE"/>
    <w:rsid w:val="00B62B67"/>
    <w:rsid w:val="00B637FB"/>
    <w:rsid w:val="00B6386F"/>
    <w:rsid w:val="00B65295"/>
    <w:rsid w:val="00B65D9B"/>
    <w:rsid w:val="00B66E51"/>
    <w:rsid w:val="00B66E68"/>
    <w:rsid w:val="00B672CB"/>
    <w:rsid w:val="00B67346"/>
    <w:rsid w:val="00B6793A"/>
    <w:rsid w:val="00B67AC3"/>
    <w:rsid w:val="00B70880"/>
    <w:rsid w:val="00B71422"/>
    <w:rsid w:val="00B71486"/>
    <w:rsid w:val="00B71607"/>
    <w:rsid w:val="00B71EF7"/>
    <w:rsid w:val="00B72361"/>
    <w:rsid w:val="00B74AB0"/>
    <w:rsid w:val="00B75345"/>
    <w:rsid w:val="00B76327"/>
    <w:rsid w:val="00B76400"/>
    <w:rsid w:val="00B76C94"/>
    <w:rsid w:val="00B76D4E"/>
    <w:rsid w:val="00B76D6E"/>
    <w:rsid w:val="00B771A8"/>
    <w:rsid w:val="00B771AA"/>
    <w:rsid w:val="00B772D0"/>
    <w:rsid w:val="00B80A99"/>
    <w:rsid w:val="00B80F4E"/>
    <w:rsid w:val="00B814CF"/>
    <w:rsid w:val="00B81A33"/>
    <w:rsid w:val="00B8256C"/>
    <w:rsid w:val="00B82B2D"/>
    <w:rsid w:val="00B83117"/>
    <w:rsid w:val="00B8319C"/>
    <w:rsid w:val="00B90351"/>
    <w:rsid w:val="00B90532"/>
    <w:rsid w:val="00B906F2"/>
    <w:rsid w:val="00B90D9B"/>
    <w:rsid w:val="00B91259"/>
    <w:rsid w:val="00B919B5"/>
    <w:rsid w:val="00B91AD5"/>
    <w:rsid w:val="00B91B81"/>
    <w:rsid w:val="00B91FF0"/>
    <w:rsid w:val="00B926A8"/>
    <w:rsid w:val="00B92FFF"/>
    <w:rsid w:val="00B93538"/>
    <w:rsid w:val="00B936F8"/>
    <w:rsid w:val="00B9492E"/>
    <w:rsid w:val="00B960DB"/>
    <w:rsid w:val="00B96799"/>
    <w:rsid w:val="00B96DE5"/>
    <w:rsid w:val="00B97A76"/>
    <w:rsid w:val="00BA0166"/>
    <w:rsid w:val="00BA0584"/>
    <w:rsid w:val="00BA0755"/>
    <w:rsid w:val="00BA1E9D"/>
    <w:rsid w:val="00BA249D"/>
    <w:rsid w:val="00BA28FE"/>
    <w:rsid w:val="00BA38D5"/>
    <w:rsid w:val="00BA3C66"/>
    <w:rsid w:val="00BA4D00"/>
    <w:rsid w:val="00BA4F9B"/>
    <w:rsid w:val="00BA5665"/>
    <w:rsid w:val="00BA6825"/>
    <w:rsid w:val="00BA72D9"/>
    <w:rsid w:val="00BA74E8"/>
    <w:rsid w:val="00BB02DB"/>
    <w:rsid w:val="00BB0AB5"/>
    <w:rsid w:val="00BB195B"/>
    <w:rsid w:val="00BB1BBA"/>
    <w:rsid w:val="00BB1DB7"/>
    <w:rsid w:val="00BB204A"/>
    <w:rsid w:val="00BB2BD1"/>
    <w:rsid w:val="00BB31DF"/>
    <w:rsid w:val="00BB33E9"/>
    <w:rsid w:val="00BB34B7"/>
    <w:rsid w:val="00BB37AF"/>
    <w:rsid w:val="00BB3BE4"/>
    <w:rsid w:val="00BB44DB"/>
    <w:rsid w:val="00BB57D3"/>
    <w:rsid w:val="00BB5852"/>
    <w:rsid w:val="00BB58EE"/>
    <w:rsid w:val="00BB64EC"/>
    <w:rsid w:val="00BB7589"/>
    <w:rsid w:val="00BB7668"/>
    <w:rsid w:val="00BB767D"/>
    <w:rsid w:val="00BB7E42"/>
    <w:rsid w:val="00BB7ECC"/>
    <w:rsid w:val="00BC077E"/>
    <w:rsid w:val="00BC0DE5"/>
    <w:rsid w:val="00BC0E57"/>
    <w:rsid w:val="00BC1F5F"/>
    <w:rsid w:val="00BC21BE"/>
    <w:rsid w:val="00BC2465"/>
    <w:rsid w:val="00BC2A8A"/>
    <w:rsid w:val="00BC3E36"/>
    <w:rsid w:val="00BC4B2D"/>
    <w:rsid w:val="00BC4CE8"/>
    <w:rsid w:val="00BC4D54"/>
    <w:rsid w:val="00BC6E2F"/>
    <w:rsid w:val="00BC728A"/>
    <w:rsid w:val="00BC7632"/>
    <w:rsid w:val="00BC77A4"/>
    <w:rsid w:val="00BC7C9E"/>
    <w:rsid w:val="00BD1E79"/>
    <w:rsid w:val="00BD23A5"/>
    <w:rsid w:val="00BD2937"/>
    <w:rsid w:val="00BD2AFC"/>
    <w:rsid w:val="00BD2CD4"/>
    <w:rsid w:val="00BD3143"/>
    <w:rsid w:val="00BD330C"/>
    <w:rsid w:val="00BD359B"/>
    <w:rsid w:val="00BD3663"/>
    <w:rsid w:val="00BD367F"/>
    <w:rsid w:val="00BD46DF"/>
    <w:rsid w:val="00BD4871"/>
    <w:rsid w:val="00BD48A9"/>
    <w:rsid w:val="00BD4B47"/>
    <w:rsid w:val="00BD5712"/>
    <w:rsid w:val="00BD581A"/>
    <w:rsid w:val="00BD5C02"/>
    <w:rsid w:val="00BD658C"/>
    <w:rsid w:val="00BD678A"/>
    <w:rsid w:val="00BD6819"/>
    <w:rsid w:val="00BD7EC6"/>
    <w:rsid w:val="00BE0425"/>
    <w:rsid w:val="00BE063A"/>
    <w:rsid w:val="00BE0FF2"/>
    <w:rsid w:val="00BE1345"/>
    <w:rsid w:val="00BE18BC"/>
    <w:rsid w:val="00BE2147"/>
    <w:rsid w:val="00BE239E"/>
    <w:rsid w:val="00BE3B83"/>
    <w:rsid w:val="00BE3C67"/>
    <w:rsid w:val="00BE3CF7"/>
    <w:rsid w:val="00BE42FC"/>
    <w:rsid w:val="00BE6085"/>
    <w:rsid w:val="00BE66FC"/>
    <w:rsid w:val="00BE73FA"/>
    <w:rsid w:val="00BF00D1"/>
    <w:rsid w:val="00BF0353"/>
    <w:rsid w:val="00BF090A"/>
    <w:rsid w:val="00BF0918"/>
    <w:rsid w:val="00BF2001"/>
    <w:rsid w:val="00BF2575"/>
    <w:rsid w:val="00BF31A0"/>
    <w:rsid w:val="00BF323A"/>
    <w:rsid w:val="00BF36C0"/>
    <w:rsid w:val="00BF3F0A"/>
    <w:rsid w:val="00BF4E35"/>
    <w:rsid w:val="00BF5FB3"/>
    <w:rsid w:val="00BF6F82"/>
    <w:rsid w:val="00BF7B9B"/>
    <w:rsid w:val="00C0083F"/>
    <w:rsid w:val="00C00976"/>
    <w:rsid w:val="00C01113"/>
    <w:rsid w:val="00C020CD"/>
    <w:rsid w:val="00C02DDE"/>
    <w:rsid w:val="00C0362D"/>
    <w:rsid w:val="00C0367B"/>
    <w:rsid w:val="00C03CB4"/>
    <w:rsid w:val="00C04E51"/>
    <w:rsid w:val="00C05074"/>
    <w:rsid w:val="00C05AF9"/>
    <w:rsid w:val="00C05DB8"/>
    <w:rsid w:val="00C0606E"/>
    <w:rsid w:val="00C060A3"/>
    <w:rsid w:val="00C060B0"/>
    <w:rsid w:val="00C06D2C"/>
    <w:rsid w:val="00C072F0"/>
    <w:rsid w:val="00C07344"/>
    <w:rsid w:val="00C079A3"/>
    <w:rsid w:val="00C07C1F"/>
    <w:rsid w:val="00C07C79"/>
    <w:rsid w:val="00C11A79"/>
    <w:rsid w:val="00C1211E"/>
    <w:rsid w:val="00C13607"/>
    <w:rsid w:val="00C137B1"/>
    <w:rsid w:val="00C13811"/>
    <w:rsid w:val="00C13B43"/>
    <w:rsid w:val="00C14749"/>
    <w:rsid w:val="00C15E81"/>
    <w:rsid w:val="00C174C9"/>
    <w:rsid w:val="00C17A25"/>
    <w:rsid w:val="00C17B6E"/>
    <w:rsid w:val="00C17C0C"/>
    <w:rsid w:val="00C200BA"/>
    <w:rsid w:val="00C20748"/>
    <w:rsid w:val="00C20754"/>
    <w:rsid w:val="00C21378"/>
    <w:rsid w:val="00C220A5"/>
    <w:rsid w:val="00C22307"/>
    <w:rsid w:val="00C22BB2"/>
    <w:rsid w:val="00C22EAF"/>
    <w:rsid w:val="00C23150"/>
    <w:rsid w:val="00C24580"/>
    <w:rsid w:val="00C2476D"/>
    <w:rsid w:val="00C24908"/>
    <w:rsid w:val="00C250E8"/>
    <w:rsid w:val="00C25150"/>
    <w:rsid w:val="00C2515F"/>
    <w:rsid w:val="00C25B30"/>
    <w:rsid w:val="00C25DCF"/>
    <w:rsid w:val="00C2633B"/>
    <w:rsid w:val="00C26AEA"/>
    <w:rsid w:val="00C276EC"/>
    <w:rsid w:val="00C27C0A"/>
    <w:rsid w:val="00C305D9"/>
    <w:rsid w:val="00C31AD4"/>
    <w:rsid w:val="00C31C63"/>
    <w:rsid w:val="00C31C8C"/>
    <w:rsid w:val="00C31CD9"/>
    <w:rsid w:val="00C32481"/>
    <w:rsid w:val="00C3394C"/>
    <w:rsid w:val="00C34581"/>
    <w:rsid w:val="00C34AD7"/>
    <w:rsid w:val="00C35148"/>
    <w:rsid w:val="00C3516D"/>
    <w:rsid w:val="00C351E4"/>
    <w:rsid w:val="00C353D8"/>
    <w:rsid w:val="00C361A6"/>
    <w:rsid w:val="00C365C5"/>
    <w:rsid w:val="00C3670F"/>
    <w:rsid w:val="00C36E1A"/>
    <w:rsid w:val="00C36E26"/>
    <w:rsid w:val="00C371DF"/>
    <w:rsid w:val="00C37818"/>
    <w:rsid w:val="00C37EFC"/>
    <w:rsid w:val="00C37FF9"/>
    <w:rsid w:val="00C40126"/>
    <w:rsid w:val="00C41099"/>
    <w:rsid w:val="00C41425"/>
    <w:rsid w:val="00C41B4A"/>
    <w:rsid w:val="00C4213A"/>
    <w:rsid w:val="00C42C11"/>
    <w:rsid w:val="00C43344"/>
    <w:rsid w:val="00C43ADB"/>
    <w:rsid w:val="00C44949"/>
    <w:rsid w:val="00C44B4C"/>
    <w:rsid w:val="00C450E3"/>
    <w:rsid w:val="00C456CC"/>
    <w:rsid w:val="00C45830"/>
    <w:rsid w:val="00C45C56"/>
    <w:rsid w:val="00C45CCD"/>
    <w:rsid w:val="00C46734"/>
    <w:rsid w:val="00C50112"/>
    <w:rsid w:val="00C5105D"/>
    <w:rsid w:val="00C511F0"/>
    <w:rsid w:val="00C513C7"/>
    <w:rsid w:val="00C51639"/>
    <w:rsid w:val="00C51871"/>
    <w:rsid w:val="00C53220"/>
    <w:rsid w:val="00C533A0"/>
    <w:rsid w:val="00C537E7"/>
    <w:rsid w:val="00C53AFE"/>
    <w:rsid w:val="00C53E9D"/>
    <w:rsid w:val="00C5426B"/>
    <w:rsid w:val="00C54C18"/>
    <w:rsid w:val="00C573DA"/>
    <w:rsid w:val="00C5772E"/>
    <w:rsid w:val="00C5781B"/>
    <w:rsid w:val="00C609E1"/>
    <w:rsid w:val="00C61117"/>
    <w:rsid w:val="00C616B4"/>
    <w:rsid w:val="00C621A7"/>
    <w:rsid w:val="00C62AA0"/>
    <w:rsid w:val="00C62BF2"/>
    <w:rsid w:val="00C62D1B"/>
    <w:rsid w:val="00C636C0"/>
    <w:rsid w:val="00C638A6"/>
    <w:rsid w:val="00C63FB9"/>
    <w:rsid w:val="00C64266"/>
    <w:rsid w:val="00C647DF"/>
    <w:rsid w:val="00C64F8E"/>
    <w:rsid w:val="00C66306"/>
    <w:rsid w:val="00C66CE8"/>
    <w:rsid w:val="00C70074"/>
    <w:rsid w:val="00C70D51"/>
    <w:rsid w:val="00C70DF4"/>
    <w:rsid w:val="00C71252"/>
    <w:rsid w:val="00C7277F"/>
    <w:rsid w:val="00C73C07"/>
    <w:rsid w:val="00C74930"/>
    <w:rsid w:val="00C74B47"/>
    <w:rsid w:val="00C74D80"/>
    <w:rsid w:val="00C754BD"/>
    <w:rsid w:val="00C75D3A"/>
    <w:rsid w:val="00C769A9"/>
    <w:rsid w:val="00C76E9A"/>
    <w:rsid w:val="00C774C9"/>
    <w:rsid w:val="00C77F1B"/>
    <w:rsid w:val="00C80987"/>
    <w:rsid w:val="00C80A3F"/>
    <w:rsid w:val="00C8180E"/>
    <w:rsid w:val="00C818A9"/>
    <w:rsid w:val="00C82436"/>
    <w:rsid w:val="00C82933"/>
    <w:rsid w:val="00C82BE2"/>
    <w:rsid w:val="00C84BBF"/>
    <w:rsid w:val="00C84BE9"/>
    <w:rsid w:val="00C85DEF"/>
    <w:rsid w:val="00C85E40"/>
    <w:rsid w:val="00C86D76"/>
    <w:rsid w:val="00C87A64"/>
    <w:rsid w:val="00C910F8"/>
    <w:rsid w:val="00C91106"/>
    <w:rsid w:val="00C9117B"/>
    <w:rsid w:val="00C91D19"/>
    <w:rsid w:val="00C93B58"/>
    <w:rsid w:val="00C93C2F"/>
    <w:rsid w:val="00C9437C"/>
    <w:rsid w:val="00C946E4"/>
    <w:rsid w:val="00C946FF"/>
    <w:rsid w:val="00C94A14"/>
    <w:rsid w:val="00C94CDA"/>
    <w:rsid w:val="00C95BED"/>
    <w:rsid w:val="00C96725"/>
    <w:rsid w:val="00C97A66"/>
    <w:rsid w:val="00CA007B"/>
    <w:rsid w:val="00CA01BB"/>
    <w:rsid w:val="00CA0AA4"/>
    <w:rsid w:val="00CA0C1E"/>
    <w:rsid w:val="00CA149D"/>
    <w:rsid w:val="00CA15B0"/>
    <w:rsid w:val="00CA1C71"/>
    <w:rsid w:val="00CA1D4C"/>
    <w:rsid w:val="00CA1D50"/>
    <w:rsid w:val="00CA1DAB"/>
    <w:rsid w:val="00CA20E0"/>
    <w:rsid w:val="00CA2598"/>
    <w:rsid w:val="00CA3347"/>
    <w:rsid w:val="00CA523D"/>
    <w:rsid w:val="00CA6561"/>
    <w:rsid w:val="00CA6FDA"/>
    <w:rsid w:val="00CA77CF"/>
    <w:rsid w:val="00CA7B58"/>
    <w:rsid w:val="00CB0836"/>
    <w:rsid w:val="00CB0CB9"/>
    <w:rsid w:val="00CB1413"/>
    <w:rsid w:val="00CB18D4"/>
    <w:rsid w:val="00CB2518"/>
    <w:rsid w:val="00CB3920"/>
    <w:rsid w:val="00CB4C4C"/>
    <w:rsid w:val="00CB4D54"/>
    <w:rsid w:val="00CB6413"/>
    <w:rsid w:val="00CB696F"/>
    <w:rsid w:val="00CB6A00"/>
    <w:rsid w:val="00CB7097"/>
    <w:rsid w:val="00CB715F"/>
    <w:rsid w:val="00CB73EE"/>
    <w:rsid w:val="00CB77F4"/>
    <w:rsid w:val="00CB780D"/>
    <w:rsid w:val="00CC05E0"/>
    <w:rsid w:val="00CC0F1C"/>
    <w:rsid w:val="00CC1983"/>
    <w:rsid w:val="00CC1BBB"/>
    <w:rsid w:val="00CC259D"/>
    <w:rsid w:val="00CC299A"/>
    <w:rsid w:val="00CC3039"/>
    <w:rsid w:val="00CC32B7"/>
    <w:rsid w:val="00CC36DE"/>
    <w:rsid w:val="00CC4498"/>
    <w:rsid w:val="00CC4F99"/>
    <w:rsid w:val="00CC5CDC"/>
    <w:rsid w:val="00CC5FC3"/>
    <w:rsid w:val="00CC6369"/>
    <w:rsid w:val="00CC6576"/>
    <w:rsid w:val="00CC65D6"/>
    <w:rsid w:val="00CC73F3"/>
    <w:rsid w:val="00CC7B85"/>
    <w:rsid w:val="00CD0634"/>
    <w:rsid w:val="00CD081C"/>
    <w:rsid w:val="00CD14DA"/>
    <w:rsid w:val="00CD1B5A"/>
    <w:rsid w:val="00CD1E9C"/>
    <w:rsid w:val="00CD27DB"/>
    <w:rsid w:val="00CD2E70"/>
    <w:rsid w:val="00CD386B"/>
    <w:rsid w:val="00CD3D06"/>
    <w:rsid w:val="00CD439F"/>
    <w:rsid w:val="00CD4A09"/>
    <w:rsid w:val="00CD4C67"/>
    <w:rsid w:val="00CD4C7B"/>
    <w:rsid w:val="00CD5397"/>
    <w:rsid w:val="00CD5E93"/>
    <w:rsid w:val="00CE15AE"/>
    <w:rsid w:val="00CE1CFC"/>
    <w:rsid w:val="00CE235A"/>
    <w:rsid w:val="00CE37A3"/>
    <w:rsid w:val="00CE3814"/>
    <w:rsid w:val="00CE3FC0"/>
    <w:rsid w:val="00CE4AC7"/>
    <w:rsid w:val="00CE56B7"/>
    <w:rsid w:val="00CE6660"/>
    <w:rsid w:val="00CE6855"/>
    <w:rsid w:val="00CE6B6F"/>
    <w:rsid w:val="00CE7033"/>
    <w:rsid w:val="00CE7075"/>
    <w:rsid w:val="00CE770A"/>
    <w:rsid w:val="00CF02A6"/>
    <w:rsid w:val="00CF05A6"/>
    <w:rsid w:val="00CF06CF"/>
    <w:rsid w:val="00CF101C"/>
    <w:rsid w:val="00CF15C5"/>
    <w:rsid w:val="00CF1EFE"/>
    <w:rsid w:val="00CF2DC1"/>
    <w:rsid w:val="00CF2EE2"/>
    <w:rsid w:val="00CF3948"/>
    <w:rsid w:val="00CF3ACF"/>
    <w:rsid w:val="00CF441D"/>
    <w:rsid w:val="00CF4D4B"/>
    <w:rsid w:val="00CF4F6D"/>
    <w:rsid w:val="00CF4FCF"/>
    <w:rsid w:val="00CF4FDC"/>
    <w:rsid w:val="00CF53F2"/>
    <w:rsid w:val="00CF549F"/>
    <w:rsid w:val="00CF56AF"/>
    <w:rsid w:val="00CF5BE0"/>
    <w:rsid w:val="00CF5BF1"/>
    <w:rsid w:val="00CF5FC6"/>
    <w:rsid w:val="00CF6001"/>
    <w:rsid w:val="00CF61CB"/>
    <w:rsid w:val="00CF666F"/>
    <w:rsid w:val="00CF686F"/>
    <w:rsid w:val="00CF6CA7"/>
    <w:rsid w:val="00CF6E7D"/>
    <w:rsid w:val="00CF76FB"/>
    <w:rsid w:val="00D00175"/>
    <w:rsid w:val="00D00223"/>
    <w:rsid w:val="00D00312"/>
    <w:rsid w:val="00D0045E"/>
    <w:rsid w:val="00D008D8"/>
    <w:rsid w:val="00D00DBF"/>
    <w:rsid w:val="00D0149B"/>
    <w:rsid w:val="00D01CF6"/>
    <w:rsid w:val="00D01F5D"/>
    <w:rsid w:val="00D01FA9"/>
    <w:rsid w:val="00D028A2"/>
    <w:rsid w:val="00D02D17"/>
    <w:rsid w:val="00D03DBE"/>
    <w:rsid w:val="00D03EED"/>
    <w:rsid w:val="00D043DA"/>
    <w:rsid w:val="00D0597D"/>
    <w:rsid w:val="00D06274"/>
    <w:rsid w:val="00D066D8"/>
    <w:rsid w:val="00D07919"/>
    <w:rsid w:val="00D07FB9"/>
    <w:rsid w:val="00D11949"/>
    <w:rsid w:val="00D11A69"/>
    <w:rsid w:val="00D11CB2"/>
    <w:rsid w:val="00D12C98"/>
    <w:rsid w:val="00D12FFC"/>
    <w:rsid w:val="00D13282"/>
    <w:rsid w:val="00D134BD"/>
    <w:rsid w:val="00D13CA3"/>
    <w:rsid w:val="00D1484F"/>
    <w:rsid w:val="00D14BA0"/>
    <w:rsid w:val="00D14D7B"/>
    <w:rsid w:val="00D1516D"/>
    <w:rsid w:val="00D151AA"/>
    <w:rsid w:val="00D158B0"/>
    <w:rsid w:val="00D1707A"/>
    <w:rsid w:val="00D17CC2"/>
    <w:rsid w:val="00D20EED"/>
    <w:rsid w:val="00D21435"/>
    <w:rsid w:val="00D2242C"/>
    <w:rsid w:val="00D224FA"/>
    <w:rsid w:val="00D23033"/>
    <w:rsid w:val="00D2402F"/>
    <w:rsid w:val="00D245C2"/>
    <w:rsid w:val="00D25660"/>
    <w:rsid w:val="00D2569B"/>
    <w:rsid w:val="00D258EB"/>
    <w:rsid w:val="00D25AEB"/>
    <w:rsid w:val="00D271CD"/>
    <w:rsid w:val="00D30480"/>
    <w:rsid w:val="00D3064E"/>
    <w:rsid w:val="00D315CC"/>
    <w:rsid w:val="00D31DDA"/>
    <w:rsid w:val="00D31F05"/>
    <w:rsid w:val="00D32067"/>
    <w:rsid w:val="00D327A3"/>
    <w:rsid w:val="00D32D66"/>
    <w:rsid w:val="00D33AE9"/>
    <w:rsid w:val="00D34927"/>
    <w:rsid w:val="00D34C82"/>
    <w:rsid w:val="00D3503C"/>
    <w:rsid w:val="00D35131"/>
    <w:rsid w:val="00D36550"/>
    <w:rsid w:val="00D379EC"/>
    <w:rsid w:val="00D37C94"/>
    <w:rsid w:val="00D37E9F"/>
    <w:rsid w:val="00D40CA4"/>
    <w:rsid w:val="00D40D88"/>
    <w:rsid w:val="00D416EF"/>
    <w:rsid w:val="00D41E42"/>
    <w:rsid w:val="00D41F6B"/>
    <w:rsid w:val="00D42380"/>
    <w:rsid w:val="00D42C9B"/>
    <w:rsid w:val="00D4348D"/>
    <w:rsid w:val="00D436D7"/>
    <w:rsid w:val="00D44E42"/>
    <w:rsid w:val="00D44FC3"/>
    <w:rsid w:val="00D45072"/>
    <w:rsid w:val="00D450E2"/>
    <w:rsid w:val="00D453D7"/>
    <w:rsid w:val="00D4552D"/>
    <w:rsid w:val="00D462D6"/>
    <w:rsid w:val="00D4714D"/>
    <w:rsid w:val="00D474AB"/>
    <w:rsid w:val="00D4754E"/>
    <w:rsid w:val="00D50460"/>
    <w:rsid w:val="00D50961"/>
    <w:rsid w:val="00D50A02"/>
    <w:rsid w:val="00D512A1"/>
    <w:rsid w:val="00D518D6"/>
    <w:rsid w:val="00D52AB4"/>
    <w:rsid w:val="00D52F26"/>
    <w:rsid w:val="00D531F5"/>
    <w:rsid w:val="00D532D0"/>
    <w:rsid w:val="00D538C1"/>
    <w:rsid w:val="00D538D5"/>
    <w:rsid w:val="00D53B5C"/>
    <w:rsid w:val="00D54640"/>
    <w:rsid w:val="00D54916"/>
    <w:rsid w:val="00D55455"/>
    <w:rsid w:val="00D559B5"/>
    <w:rsid w:val="00D56420"/>
    <w:rsid w:val="00D5658A"/>
    <w:rsid w:val="00D56A94"/>
    <w:rsid w:val="00D56C0C"/>
    <w:rsid w:val="00D56F9E"/>
    <w:rsid w:val="00D570B4"/>
    <w:rsid w:val="00D5798B"/>
    <w:rsid w:val="00D60736"/>
    <w:rsid w:val="00D6088C"/>
    <w:rsid w:val="00D6170E"/>
    <w:rsid w:val="00D61972"/>
    <w:rsid w:val="00D61B58"/>
    <w:rsid w:val="00D6307D"/>
    <w:rsid w:val="00D63632"/>
    <w:rsid w:val="00D63732"/>
    <w:rsid w:val="00D63925"/>
    <w:rsid w:val="00D6405D"/>
    <w:rsid w:val="00D6568E"/>
    <w:rsid w:val="00D65893"/>
    <w:rsid w:val="00D658EC"/>
    <w:rsid w:val="00D66816"/>
    <w:rsid w:val="00D6684E"/>
    <w:rsid w:val="00D66FF0"/>
    <w:rsid w:val="00D6742A"/>
    <w:rsid w:val="00D67B9B"/>
    <w:rsid w:val="00D71733"/>
    <w:rsid w:val="00D718AC"/>
    <w:rsid w:val="00D719A3"/>
    <w:rsid w:val="00D71E7A"/>
    <w:rsid w:val="00D72DE7"/>
    <w:rsid w:val="00D7302F"/>
    <w:rsid w:val="00D73870"/>
    <w:rsid w:val="00D73BB2"/>
    <w:rsid w:val="00D74575"/>
    <w:rsid w:val="00D74D14"/>
    <w:rsid w:val="00D74F3B"/>
    <w:rsid w:val="00D752E7"/>
    <w:rsid w:val="00D7574B"/>
    <w:rsid w:val="00D75913"/>
    <w:rsid w:val="00D75E82"/>
    <w:rsid w:val="00D76270"/>
    <w:rsid w:val="00D767C6"/>
    <w:rsid w:val="00D769C5"/>
    <w:rsid w:val="00D76E76"/>
    <w:rsid w:val="00D80631"/>
    <w:rsid w:val="00D818EC"/>
    <w:rsid w:val="00D81A20"/>
    <w:rsid w:val="00D81F55"/>
    <w:rsid w:val="00D825E2"/>
    <w:rsid w:val="00D8321A"/>
    <w:rsid w:val="00D83F57"/>
    <w:rsid w:val="00D8445D"/>
    <w:rsid w:val="00D845DC"/>
    <w:rsid w:val="00D84A86"/>
    <w:rsid w:val="00D85152"/>
    <w:rsid w:val="00D85F2C"/>
    <w:rsid w:val="00D86030"/>
    <w:rsid w:val="00D861BD"/>
    <w:rsid w:val="00D86D55"/>
    <w:rsid w:val="00D8789C"/>
    <w:rsid w:val="00D8789D"/>
    <w:rsid w:val="00D87A7D"/>
    <w:rsid w:val="00D87B3F"/>
    <w:rsid w:val="00D9003D"/>
    <w:rsid w:val="00D903C0"/>
    <w:rsid w:val="00D90558"/>
    <w:rsid w:val="00D9082F"/>
    <w:rsid w:val="00D90C79"/>
    <w:rsid w:val="00D914EB"/>
    <w:rsid w:val="00D91B36"/>
    <w:rsid w:val="00D9305B"/>
    <w:rsid w:val="00D94085"/>
    <w:rsid w:val="00D944D2"/>
    <w:rsid w:val="00D96D4F"/>
    <w:rsid w:val="00DA1806"/>
    <w:rsid w:val="00DA1BD1"/>
    <w:rsid w:val="00DA212B"/>
    <w:rsid w:val="00DA3A76"/>
    <w:rsid w:val="00DA5713"/>
    <w:rsid w:val="00DA5F95"/>
    <w:rsid w:val="00DA6856"/>
    <w:rsid w:val="00DA6D6D"/>
    <w:rsid w:val="00DA73C1"/>
    <w:rsid w:val="00DA7457"/>
    <w:rsid w:val="00DA770D"/>
    <w:rsid w:val="00DA77A8"/>
    <w:rsid w:val="00DA7851"/>
    <w:rsid w:val="00DA7DC1"/>
    <w:rsid w:val="00DB00EE"/>
    <w:rsid w:val="00DB0132"/>
    <w:rsid w:val="00DB2754"/>
    <w:rsid w:val="00DB2D88"/>
    <w:rsid w:val="00DB3687"/>
    <w:rsid w:val="00DB38D1"/>
    <w:rsid w:val="00DB41CB"/>
    <w:rsid w:val="00DB5114"/>
    <w:rsid w:val="00DB681B"/>
    <w:rsid w:val="00DB73C2"/>
    <w:rsid w:val="00DB7E24"/>
    <w:rsid w:val="00DC0445"/>
    <w:rsid w:val="00DC115F"/>
    <w:rsid w:val="00DC2082"/>
    <w:rsid w:val="00DC225F"/>
    <w:rsid w:val="00DC2883"/>
    <w:rsid w:val="00DC2C48"/>
    <w:rsid w:val="00DC46B5"/>
    <w:rsid w:val="00DC4B28"/>
    <w:rsid w:val="00DC4B5D"/>
    <w:rsid w:val="00DC525E"/>
    <w:rsid w:val="00DC535C"/>
    <w:rsid w:val="00DC5DCB"/>
    <w:rsid w:val="00DC6C0D"/>
    <w:rsid w:val="00DC75E7"/>
    <w:rsid w:val="00DD074A"/>
    <w:rsid w:val="00DD0D70"/>
    <w:rsid w:val="00DD1941"/>
    <w:rsid w:val="00DD26A5"/>
    <w:rsid w:val="00DD2812"/>
    <w:rsid w:val="00DD2CE3"/>
    <w:rsid w:val="00DD34F2"/>
    <w:rsid w:val="00DD3C6B"/>
    <w:rsid w:val="00DD48D7"/>
    <w:rsid w:val="00DD4A56"/>
    <w:rsid w:val="00DD54ED"/>
    <w:rsid w:val="00DD697F"/>
    <w:rsid w:val="00DD699C"/>
    <w:rsid w:val="00DD739F"/>
    <w:rsid w:val="00DD7631"/>
    <w:rsid w:val="00DD7762"/>
    <w:rsid w:val="00DD781E"/>
    <w:rsid w:val="00DD7A2C"/>
    <w:rsid w:val="00DD7F63"/>
    <w:rsid w:val="00DE0A1B"/>
    <w:rsid w:val="00DE1238"/>
    <w:rsid w:val="00DE1966"/>
    <w:rsid w:val="00DE1FFE"/>
    <w:rsid w:val="00DE2F9E"/>
    <w:rsid w:val="00DE31B1"/>
    <w:rsid w:val="00DE32E7"/>
    <w:rsid w:val="00DE3841"/>
    <w:rsid w:val="00DE3BB8"/>
    <w:rsid w:val="00DE40EB"/>
    <w:rsid w:val="00DE5117"/>
    <w:rsid w:val="00DE51F6"/>
    <w:rsid w:val="00DE5648"/>
    <w:rsid w:val="00DE568A"/>
    <w:rsid w:val="00DE56B7"/>
    <w:rsid w:val="00DE595E"/>
    <w:rsid w:val="00DE5CD9"/>
    <w:rsid w:val="00DE6A70"/>
    <w:rsid w:val="00DE70B5"/>
    <w:rsid w:val="00DE7113"/>
    <w:rsid w:val="00DF00F9"/>
    <w:rsid w:val="00DF0576"/>
    <w:rsid w:val="00DF1981"/>
    <w:rsid w:val="00DF1D07"/>
    <w:rsid w:val="00DF1E89"/>
    <w:rsid w:val="00DF1EC8"/>
    <w:rsid w:val="00DF2144"/>
    <w:rsid w:val="00DF24D9"/>
    <w:rsid w:val="00DF2EA5"/>
    <w:rsid w:val="00DF310B"/>
    <w:rsid w:val="00DF3E47"/>
    <w:rsid w:val="00DF5362"/>
    <w:rsid w:val="00DF56E8"/>
    <w:rsid w:val="00DF5C01"/>
    <w:rsid w:val="00DF5FF5"/>
    <w:rsid w:val="00DF6655"/>
    <w:rsid w:val="00DF6EB6"/>
    <w:rsid w:val="00DF7133"/>
    <w:rsid w:val="00DF722A"/>
    <w:rsid w:val="00DF764C"/>
    <w:rsid w:val="00DF7FBF"/>
    <w:rsid w:val="00E00108"/>
    <w:rsid w:val="00E00BB4"/>
    <w:rsid w:val="00E00CAA"/>
    <w:rsid w:val="00E01441"/>
    <w:rsid w:val="00E01682"/>
    <w:rsid w:val="00E01D4A"/>
    <w:rsid w:val="00E02C68"/>
    <w:rsid w:val="00E02F4B"/>
    <w:rsid w:val="00E03D04"/>
    <w:rsid w:val="00E04332"/>
    <w:rsid w:val="00E043BB"/>
    <w:rsid w:val="00E047A0"/>
    <w:rsid w:val="00E04ECF"/>
    <w:rsid w:val="00E0502A"/>
    <w:rsid w:val="00E0584C"/>
    <w:rsid w:val="00E05902"/>
    <w:rsid w:val="00E067C4"/>
    <w:rsid w:val="00E06A36"/>
    <w:rsid w:val="00E074C9"/>
    <w:rsid w:val="00E1198B"/>
    <w:rsid w:val="00E11C0C"/>
    <w:rsid w:val="00E126B2"/>
    <w:rsid w:val="00E127E3"/>
    <w:rsid w:val="00E1321D"/>
    <w:rsid w:val="00E13E8F"/>
    <w:rsid w:val="00E14818"/>
    <w:rsid w:val="00E148E8"/>
    <w:rsid w:val="00E1610C"/>
    <w:rsid w:val="00E162BD"/>
    <w:rsid w:val="00E16660"/>
    <w:rsid w:val="00E16C6F"/>
    <w:rsid w:val="00E16C78"/>
    <w:rsid w:val="00E16D73"/>
    <w:rsid w:val="00E17056"/>
    <w:rsid w:val="00E17296"/>
    <w:rsid w:val="00E17833"/>
    <w:rsid w:val="00E17981"/>
    <w:rsid w:val="00E17CD2"/>
    <w:rsid w:val="00E17E36"/>
    <w:rsid w:val="00E201F2"/>
    <w:rsid w:val="00E206D8"/>
    <w:rsid w:val="00E20A87"/>
    <w:rsid w:val="00E2113A"/>
    <w:rsid w:val="00E21C65"/>
    <w:rsid w:val="00E21F30"/>
    <w:rsid w:val="00E2307E"/>
    <w:rsid w:val="00E2352B"/>
    <w:rsid w:val="00E23C63"/>
    <w:rsid w:val="00E23E84"/>
    <w:rsid w:val="00E23F9B"/>
    <w:rsid w:val="00E24D23"/>
    <w:rsid w:val="00E2546F"/>
    <w:rsid w:val="00E26285"/>
    <w:rsid w:val="00E26649"/>
    <w:rsid w:val="00E2703D"/>
    <w:rsid w:val="00E271F9"/>
    <w:rsid w:val="00E27F0A"/>
    <w:rsid w:val="00E30712"/>
    <w:rsid w:val="00E309B0"/>
    <w:rsid w:val="00E30E67"/>
    <w:rsid w:val="00E32143"/>
    <w:rsid w:val="00E325F3"/>
    <w:rsid w:val="00E326E9"/>
    <w:rsid w:val="00E32AB7"/>
    <w:rsid w:val="00E32B61"/>
    <w:rsid w:val="00E33106"/>
    <w:rsid w:val="00E345C2"/>
    <w:rsid w:val="00E34D99"/>
    <w:rsid w:val="00E352C3"/>
    <w:rsid w:val="00E35476"/>
    <w:rsid w:val="00E355C0"/>
    <w:rsid w:val="00E359A5"/>
    <w:rsid w:val="00E359C6"/>
    <w:rsid w:val="00E35C28"/>
    <w:rsid w:val="00E372F7"/>
    <w:rsid w:val="00E37431"/>
    <w:rsid w:val="00E37DC0"/>
    <w:rsid w:val="00E37E0A"/>
    <w:rsid w:val="00E37EC6"/>
    <w:rsid w:val="00E40432"/>
    <w:rsid w:val="00E40850"/>
    <w:rsid w:val="00E40D52"/>
    <w:rsid w:val="00E41187"/>
    <w:rsid w:val="00E411B3"/>
    <w:rsid w:val="00E41585"/>
    <w:rsid w:val="00E41F94"/>
    <w:rsid w:val="00E421ED"/>
    <w:rsid w:val="00E4220D"/>
    <w:rsid w:val="00E4231E"/>
    <w:rsid w:val="00E4279A"/>
    <w:rsid w:val="00E429ED"/>
    <w:rsid w:val="00E42EBB"/>
    <w:rsid w:val="00E43894"/>
    <w:rsid w:val="00E44AC7"/>
    <w:rsid w:val="00E44E08"/>
    <w:rsid w:val="00E45337"/>
    <w:rsid w:val="00E45B2D"/>
    <w:rsid w:val="00E45DF9"/>
    <w:rsid w:val="00E468F2"/>
    <w:rsid w:val="00E47A20"/>
    <w:rsid w:val="00E5084C"/>
    <w:rsid w:val="00E50871"/>
    <w:rsid w:val="00E50AD9"/>
    <w:rsid w:val="00E50B4C"/>
    <w:rsid w:val="00E512FE"/>
    <w:rsid w:val="00E5198D"/>
    <w:rsid w:val="00E52063"/>
    <w:rsid w:val="00E52C66"/>
    <w:rsid w:val="00E53533"/>
    <w:rsid w:val="00E537ED"/>
    <w:rsid w:val="00E5384D"/>
    <w:rsid w:val="00E53F2E"/>
    <w:rsid w:val="00E54004"/>
    <w:rsid w:val="00E546C9"/>
    <w:rsid w:val="00E54BB9"/>
    <w:rsid w:val="00E54D3F"/>
    <w:rsid w:val="00E55F1F"/>
    <w:rsid w:val="00E56735"/>
    <w:rsid w:val="00E56866"/>
    <w:rsid w:val="00E56904"/>
    <w:rsid w:val="00E57DFD"/>
    <w:rsid w:val="00E60423"/>
    <w:rsid w:val="00E60545"/>
    <w:rsid w:val="00E606F4"/>
    <w:rsid w:val="00E607E5"/>
    <w:rsid w:val="00E60A16"/>
    <w:rsid w:val="00E610CB"/>
    <w:rsid w:val="00E6125B"/>
    <w:rsid w:val="00E6170A"/>
    <w:rsid w:val="00E62816"/>
    <w:rsid w:val="00E62ADF"/>
    <w:rsid w:val="00E62FA7"/>
    <w:rsid w:val="00E637A3"/>
    <w:rsid w:val="00E659FD"/>
    <w:rsid w:val="00E65B0C"/>
    <w:rsid w:val="00E66B16"/>
    <w:rsid w:val="00E66BA2"/>
    <w:rsid w:val="00E677DB"/>
    <w:rsid w:val="00E700F8"/>
    <w:rsid w:val="00E71C2D"/>
    <w:rsid w:val="00E72187"/>
    <w:rsid w:val="00E7266C"/>
    <w:rsid w:val="00E72BB6"/>
    <w:rsid w:val="00E72CD0"/>
    <w:rsid w:val="00E730AC"/>
    <w:rsid w:val="00E7310C"/>
    <w:rsid w:val="00E733ED"/>
    <w:rsid w:val="00E734CE"/>
    <w:rsid w:val="00E73D33"/>
    <w:rsid w:val="00E750CB"/>
    <w:rsid w:val="00E778DC"/>
    <w:rsid w:val="00E80336"/>
    <w:rsid w:val="00E80D00"/>
    <w:rsid w:val="00E815CE"/>
    <w:rsid w:val="00E81611"/>
    <w:rsid w:val="00E81800"/>
    <w:rsid w:val="00E81863"/>
    <w:rsid w:val="00E81C42"/>
    <w:rsid w:val="00E81C5C"/>
    <w:rsid w:val="00E81FDB"/>
    <w:rsid w:val="00E82064"/>
    <w:rsid w:val="00E82B6E"/>
    <w:rsid w:val="00E82DC6"/>
    <w:rsid w:val="00E8347E"/>
    <w:rsid w:val="00E835C5"/>
    <w:rsid w:val="00E83ACD"/>
    <w:rsid w:val="00E83D4B"/>
    <w:rsid w:val="00E848F0"/>
    <w:rsid w:val="00E84D1C"/>
    <w:rsid w:val="00E84D9C"/>
    <w:rsid w:val="00E85069"/>
    <w:rsid w:val="00E8628F"/>
    <w:rsid w:val="00E86888"/>
    <w:rsid w:val="00E8695C"/>
    <w:rsid w:val="00E9162C"/>
    <w:rsid w:val="00E92C96"/>
    <w:rsid w:val="00E942B8"/>
    <w:rsid w:val="00E944ED"/>
    <w:rsid w:val="00E945AF"/>
    <w:rsid w:val="00E94A0B"/>
    <w:rsid w:val="00E94A2C"/>
    <w:rsid w:val="00E9544C"/>
    <w:rsid w:val="00E95799"/>
    <w:rsid w:val="00E95D93"/>
    <w:rsid w:val="00E9683D"/>
    <w:rsid w:val="00E970B7"/>
    <w:rsid w:val="00E97D95"/>
    <w:rsid w:val="00EA0035"/>
    <w:rsid w:val="00EA010D"/>
    <w:rsid w:val="00EA04C5"/>
    <w:rsid w:val="00EA0507"/>
    <w:rsid w:val="00EA0BB5"/>
    <w:rsid w:val="00EA1A8A"/>
    <w:rsid w:val="00EA21FA"/>
    <w:rsid w:val="00EA25EB"/>
    <w:rsid w:val="00EA26D5"/>
    <w:rsid w:val="00EA2775"/>
    <w:rsid w:val="00EA305D"/>
    <w:rsid w:val="00EA3106"/>
    <w:rsid w:val="00EA3874"/>
    <w:rsid w:val="00EA5697"/>
    <w:rsid w:val="00EA5AB6"/>
    <w:rsid w:val="00EA5FB0"/>
    <w:rsid w:val="00EA612E"/>
    <w:rsid w:val="00EA6F91"/>
    <w:rsid w:val="00EA761C"/>
    <w:rsid w:val="00EA7D7F"/>
    <w:rsid w:val="00EB0810"/>
    <w:rsid w:val="00EB0B5F"/>
    <w:rsid w:val="00EB0F1C"/>
    <w:rsid w:val="00EB1CF7"/>
    <w:rsid w:val="00EB25C2"/>
    <w:rsid w:val="00EB28AE"/>
    <w:rsid w:val="00EB2B6F"/>
    <w:rsid w:val="00EB2CAD"/>
    <w:rsid w:val="00EB2FA2"/>
    <w:rsid w:val="00EB3272"/>
    <w:rsid w:val="00EB37B2"/>
    <w:rsid w:val="00EB3FF9"/>
    <w:rsid w:val="00EB5F0B"/>
    <w:rsid w:val="00EB703A"/>
    <w:rsid w:val="00EB7352"/>
    <w:rsid w:val="00EB769A"/>
    <w:rsid w:val="00EC11E4"/>
    <w:rsid w:val="00EC14E1"/>
    <w:rsid w:val="00EC183C"/>
    <w:rsid w:val="00EC2A3F"/>
    <w:rsid w:val="00EC2E64"/>
    <w:rsid w:val="00EC3A35"/>
    <w:rsid w:val="00EC3C52"/>
    <w:rsid w:val="00EC3E5B"/>
    <w:rsid w:val="00EC3E69"/>
    <w:rsid w:val="00EC41A7"/>
    <w:rsid w:val="00EC4257"/>
    <w:rsid w:val="00EC46CE"/>
    <w:rsid w:val="00EC4B5D"/>
    <w:rsid w:val="00EC4F94"/>
    <w:rsid w:val="00EC5554"/>
    <w:rsid w:val="00EC572B"/>
    <w:rsid w:val="00EC5B8E"/>
    <w:rsid w:val="00EC7356"/>
    <w:rsid w:val="00EC75F6"/>
    <w:rsid w:val="00ED0065"/>
    <w:rsid w:val="00ED15E3"/>
    <w:rsid w:val="00ED17B5"/>
    <w:rsid w:val="00ED1BA0"/>
    <w:rsid w:val="00ED1D2D"/>
    <w:rsid w:val="00ED353D"/>
    <w:rsid w:val="00ED4C59"/>
    <w:rsid w:val="00ED588C"/>
    <w:rsid w:val="00ED5B71"/>
    <w:rsid w:val="00ED6E7A"/>
    <w:rsid w:val="00ED6EA1"/>
    <w:rsid w:val="00ED7A7F"/>
    <w:rsid w:val="00ED7B85"/>
    <w:rsid w:val="00EE060B"/>
    <w:rsid w:val="00EE07AC"/>
    <w:rsid w:val="00EE0891"/>
    <w:rsid w:val="00EE0C94"/>
    <w:rsid w:val="00EE1062"/>
    <w:rsid w:val="00EE17F2"/>
    <w:rsid w:val="00EE188A"/>
    <w:rsid w:val="00EE1B01"/>
    <w:rsid w:val="00EE1C62"/>
    <w:rsid w:val="00EE1DB8"/>
    <w:rsid w:val="00EE210D"/>
    <w:rsid w:val="00EE2746"/>
    <w:rsid w:val="00EE2FD8"/>
    <w:rsid w:val="00EE3256"/>
    <w:rsid w:val="00EE4759"/>
    <w:rsid w:val="00EE4C20"/>
    <w:rsid w:val="00EE4F2D"/>
    <w:rsid w:val="00EE524C"/>
    <w:rsid w:val="00EE589E"/>
    <w:rsid w:val="00EE6755"/>
    <w:rsid w:val="00EE78D6"/>
    <w:rsid w:val="00EF03DC"/>
    <w:rsid w:val="00EF0437"/>
    <w:rsid w:val="00EF0568"/>
    <w:rsid w:val="00EF0BFE"/>
    <w:rsid w:val="00EF0C2F"/>
    <w:rsid w:val="00EF1878"/>
    <w:rsid w:val="00EF1DE8"/>
    <w:rsid w:val="00EF2AC7"/>
    <w:rsid w:val="00EF3397"/>
    <w:rsid w:val="00EF40BF"/>
    <w:rsid w:val="00EF4557"/>
    <w:rsid w:val="00EF493F"/>
    <w:rsid w:val="00EF5947"/>
    <w:rsid w:val="00EF5E22"/>
    <w:rsid w:val="00EF60CA"/>
    <w:rsid w:val="00EF63C1"/>
    <w:rsid w:val="00EF6557"/>
    <w:rsid w:val="00EF69B7"/>
    <w:rsid w:val="00EF6C2B"/>
    <w:rsid w:val="00F00059"/>
    <w:rsid w:val="00F008BD"/>
    <w:rsid w:val="00F00ABA"/>
    <w:rsid w:val="00F01DF0"/>
    <w:rsid w:val="00F021A9"/>
    <w:rsid w:val="00F02C54"/>
    <w:rsid w:val="00F02CD0"/>
    <w:rsid w:val="00F02D03"/>
    <w:rsid w:val="00F035DB"/>
    <w:rsid w:val="00F0448C"/>
    <w:rsid w:val="00F04BAF"/>
    <w:rsid w:val="00F0553C"/>
    <w:rsid w:val="00F06A7A"/>
    <w:rsid w:val="00F06BA7"/>
    <w:rsid w:val="00F06C50"/>
    <w:rsid w:val="00F071BA"/>
    <w:rsid w:val="00F11D2E"/>
    <w:rsid w:val="00F1284F"/>
    <w:rsid w:val="00F136A4"/>
    <w:rsid w:val="00F1377B"/>
    <w:rsid w:val="00F13918"/>
    <w:rsid w:val="00F13C5E"/>
    <w:rsid w:val="00F14108"/>
    <w:rsid w:val="00F14366"/>
    <w:rsid w:val="00F14378"/>
    <w:rsid w:val="00F148D5"/>
    <w:rsid w:val="00F1601A"/>
    <w:rsid w:val="00F160BF"/>
    <w:rsid w:val="00F16173"/>
    <w:rsid w:val="00F1675C"/>
    <w:rsid w:val="00F16A3C"/>
    <w:rsid w:val="00F17428"/>
    <w:rsid w:val="00F17EAC"/>
    <w:rsid w:val="00F20046"/>
    <w:rsid w:val="00F20CC1"/>
    <w:rsid w:val="00F20D22"/>
    <w:rsid w:val="00F21112"/>
    <w:rsid w:val="00F21A58"/>
    <w:rsid w:val="00F2302A"/>
    <w:rsid w:val="00F23048"/>
    <w:rsid w:val="00F239CD"/>
    <w:rsid w:val="00F23DCC"/>
    <w:rsid w:val="00F24158"/>
    <w:rsid w:val="00F24294"/>
    <w:rsid w:val="00F2477C"/>
    <w:rsid w:val="00F24E5D"/>
    <w:rsid w:val="00F24EBB"/>
    <w:rsid w:val="00F26A92"/>
    <w:rsid w:val="00F27696"/>
    <w:rsid w:val="00F2777F"/>
    <w:rsid w:val="00F27F06"/>
    <w:rsid w:val="00F314E8"/>
    <w:rsid w:val="00F316A2"/>
    <w:rsid w:val="00F321B5"/>
    <w:rsid w:val="00F323A2"/>
    <w:rsid w:val="00F332D4"/>
    <w:rsid w:val="00F33B57"/>
    <w:rsid w:val="00F33CA8"/>
    <w:rsid w:val="00F33D5C"/>
    <w:rsid w:val="00F356D6"/>
    <w:rsid w:val="00F372DB"/>
    <w:rsid w:val="00F3785D"/>
    <w:rsid w:val="00F378BE"/>
    <w:rsid w:val="00F37D37"/>
    <w:rsid w:val="00F400E3"/>
    <w:rsid w:val="00F4021A"/>
    <w:rsid w:val="00F40876"/>
    <w:rsid w:val="00F42148"/>
    <w:rsid w:val="00F4363B"/>
    <w:rsid w:val="00F44642"/>
    <w:rsid w:val="00F454A2"/>
    <w:rsid w:val="00F45E89"/>
    <w:rsid w:val="00F47845"/>
    <w:rsid w:val="00F47B6C"/>
    <w:rsid w:val="00F50039"/>
    <w:rsid w:val="00F50675"/>
    <w:rsid w:val="00F5071D"/>
    <w:rsid w:val="00F50BD6"/>
    <w:rsid w:val="00F50E16"/>
    <w:rsid w:val="00F513B2"/>
    <w:rsid w:val="00F51520"/>
    <w:rsid w:val="00F52140"/>
    <w:rsid w:val="00F521E4"/>
    <w:rsid w:val="00F52CCE"/>
    <w:rsid w:val="00F53151"/>
    <w:rsid w:val="00F535A9"/>
    <w:rsid w:val="00F53B58"/>
    <w:rsid w:val="00F53F3D"/>
    <w:rsid w:val="00F53F92"/>
    <w:rsid w:val="00F5480F"/>
    <w:rsid w:val="00F54AA5"/>
    <w:rsid w:val="00F552F7"/>
    <w:rsid w:val="00F553A7"/>
    <w:rsid w:val="00F554EB"/>
    <w:rsid w:val="00F5562D"/>
    <w:rsid w:val="00F55828"/>
    <w:rsid w:val="00F55BC7"/>
    <w:rsid w:val="00F566EA"/>
    <w:rsid w:val="00F567A4"/>
    <w:rsid w:val="00F578EB"/>
    <w:rsid w:val="00F605BE"/>
    <w:rsid w:val="00F60AF6"/>
    <w:rsid w:val="00F60DDC"/>
    <w:rsid w:val="00F610A9"/>
    <w:rsid w:val="00F617BE"/>
    <w:rsid w:val="00F61C7A"/>
    <w:rsid w:val="00F625F7"/>
    <w:rsid w:val="00F64702"/>
    <w:rsid w:val="00F64D5A"/>
    <w:rsid w:val="00F64E0F"/>
    <w:rsid w:val="00F65399"/>
    <w:rsid w:val="00F655AB"/>
    <w:rsid w:val="00F65B68"/>
    <w:rsid w:val="00F65C22"/>
    <w:rsid w:val="00F65EC9"/>
    <w:rsid w:val="00F66CB1"/>
    <w:rsid w:val="00F672BD"/>
    <w:rsid w:val="00F67767"/>
    <w:rsid w:val="00F677CB"/>
    <w:rsid w:val="00F67E15"/>
    <w:rsid w:val="00F67FCA"/>
    <w:rsid w:val="00F70815"/>
    <w:rsid w:val="00F709F4"/>
    <w:rsid w:val="00F71019"/>
    <w:rsid w:val="00F710A9"/>
    <w:rsid w:val="00F7284D"/>
    <w:rsid w:val="00F72CFE"/>
    <w:rsid w:val="00F72FB0"/>
    <w:rsid w:val="00F73423"/>
    <w:rsid w:val="00F7365E"/>
    <w:rsid w:val="00F737A4"/>
    <w:rsid w:val="00F737BF"/>
    <w:rsid w:val="00F73950"/>
    <w:rsid w:val="00F7478E"/>
    <w:rsid w:val="00F75481"/>
    <w:rsid w:val="00F76664"/>
    <w:rsid w:val="00F76A4C"/>
    <w:rsid w:val="00F76AB3"/>
    <w:rsid w:val="00F816A4"/>
    <w:rsid w:val="00F8194C"/>
    <w:rsid w:val="00F81AE9"/>
    <w:rsid w:val="00F827D0"/>
    <w:rsid w:val="00F82C78"/>
    <w:rsid w:val="00F82E2E"/>
    <w:rsid w:val="00F83186"/>
    <w:rsid w:val="00F83601"/>
    <w:rsid w:val="00F837E6"/>
    <w:rsid w:val="00F8389A"/>
    <w:rsid w:val="00F83AE9"/>
    <w:rsid w:val="00F83EC8"/>
    <w:rsid w:val="00F843D4"/>
    <w:rsid w:val="00F84A40"/>
    <w:rsid w:val="00F84B50"/>
    <w:rsid w:val="00F84DBD"/>
    <w:rsid w:val="00F8516E"/>
    <w:rsid w:val="00F852E5"/>
    <w:rsid w:val="00F85C0D"/>
    <w:rsid w:val="00F86741"/>
    <w:rsid w:val="00F86796"/>
    <w:rsid w:val="00F87C3F"/>
    <w:rsid w:val="00F87C5B"/>
    <w:rsid w:val="00F87FEA"/>
    <w:rsid w:val="00F90613"/>
    <w:rsid w:val="00F906F4"/>
    <w:rsid w:val="00F915F3"/>
    <w:rsid w:val="00F91800"/>
    <w:rsid w:val="00F91853"/>
    <w:rsid w:val="00F918B6"/>
    <w:rsid w:val="00F91987"/>
    <w:rsid w:val="00F9208E"/>
    <w:rsid w:val="00F92571"/>
    <w:rsid w:val="00F93B2F"/>
    <w:rsid w:val="00F93CAE"/>
    <w:rsid w:val="00F9453D"/>
    <w:rsid w:val="00F954E4"/>
    <w:rsid w:val="00F95CCE"/>
    <w:rsid w:val="00F966D3"/>
    <w:rsid w:val="00F9692D"/>
    <w:rsid w:val="00F978BE"/>
    <w:rsid w:val="00F97D7B"/>
    <w:rsid w:val="00FA0013"/>
    <w:rsid w:val="00FA0154"/>
    <w:rsid w:val="00FA0288"/>
    <w:rsid w:val="00FA0C62"/>
    <w:rsid w:val="00FA0F71"/>
    <w:rsid w:val="00FA23E2"/>
    <w:rsid w:val="00FA26BC"/>
    <w:rsid w:val="00FA3872"/>
    <w:rsid w:val="00FA3A97"/>
    <w:rsid w:val="00FA3AEA"/>
    <w:rsid w:val="00FA4219"/>
    <w:rsid w:val="00FA48C7"/>
    <w:rsid w:val="00FA54FF"/>
    <w:rsid w:val="00FA5570"/>
    <w:rsid w:val="00FA59E0"/>
    <w:rsid w:val="00FA5C0B"/>
    <w:rsid w:val="00FA70F5"/>
    <w:rsid w:val="00FA7902"/>
    <w:rsid w:val="00FB005D"/>
    <w:rsid w:val="00FB183E"/>
    <w:rsid w:val="00FB1CD3"/>
    <w:rsid w:val="00FB1D54"/>
    <w:rsid w:val="00FB3363"/>
    <w:rsid w:val="00FB4048"/>
    <w:rsid w:val="00FB446E"/>
    <w:rsid w:val="00FB4629"/>
    <w:rsid w:val="00FB577F"/>
    <w:rsid w:val="00FB5E5D"/>
    <w:rsid w:val="00FB5FC4"/>
    <w:rsid w:val="00FB6A07"/>
    <w:rsid w:val="00FB6FB1"/>
    <w:rsid w:val="00FB7460"/>
    <w:rsid w:val="00FB7747"/>
    <w:rsid w:val="00FB7A10"/>
    <w:rsid w:val="00FC0F81"/>
    <w:rsid w:val="00FC3524"/>
    <w:rsid w:val="00FC3798"/>
    <w:rsid w:val="00FC577C"/>
    <w:rsid w:val="00FC59AF"/>
    <w:rsid w:val="00FC5C43"/>
    <w:rsid w:val="00FC5F72"/>
    <w:rsid w:val="00FC62B5"/>
    <w:rsid w:val="00FC6D4E"/>
    <w:rsid w:val="00FC7073"/>
    <w:rsid w:val="00FC736F"/>
    <w:rsid w:val="00FD0CDB"/>
    <w:rsid w:val="00FD1FA7"/>
    <w:rsid w:val="00FD2282"/>
    <w:rsid w:val="00FD2D42"/>
    <w:rsid w:val="00FD30B5"/>
    <w:rsid w:val="00FD3453"/>
    <w:rsid w:val="00FD39CF"/>
    <w:rsid w:val="00FD459B"/>
    <w:rsid w:val="00FD4B7B"/>
    <w:rsid w:val="00FD4D84"/>
    <w:rsid w:val="00FD5468"/>
    <w:rsid w:val="00FD58F5"/>
    <w:rsid w:val="00FD6287"/>
    <w:rsid w:val="00FD6340"/>
    <w:rsid w:val="00FD754C"/>
    <w:rsid w:val="00FD7696"/>
    <w:rsid w:val="00FE0DAE"/>
    <w:rsid w:val="00FE0E6B"/>
    <w:rsid w:val="00FE1370"/>
    <w:rsid w:val="00FE1510"/>
    <w:rsid w:val="00FE2121"/>
    <w:rsid w:val="00FE2387"/>
    <w:rsid w:val="00FE254A"/>
    <w:rsid w:val="00FE321B"/>
    <w:rsid w:val="00FE3D07"/>
    <w:rsid w:val="00FE4411"/>
    <w:rsid w:val="00FE4B6F"/>
    <w:rsid w:val="00FE536F"/>
    <w:rsid w:val="00FE6818"/>
    <w:rsid w:val="00FE6A9E"/>
    <w:rsid w:val="00FE6BFB"/>
    <w:rsid w:val="00FF0CF5"/>
    <w:rsid w:val="00FF0D6F"/>
    <w:rsid w:val="00FF0E9E"/>
    <w:rsid w:val="00FF1103"/>
    <w:rsid w:val="00FF1712"/>
    <w:rsid w:val="00FF1936"/>
    <w:rsid w:val="00FF213D"/>
    <w:rsid w:val="00FF251D"/>
    <w:rsid w:val="00FF37DC"/>
    <w:rsid w:val="00FF37F2"/>
    <w:rsid w:val="00FF43D9"/>
    <w:rsid w:val="00FF5B3C"/>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6A7A"/>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B30448"/>
    <w:rPr>
      <w:vertAlign w:val="superscript"/>
    </w:rPr>
  </w:style>
  <w:style w:type="paragraph" w:customStyle="1" w:styleId="Appelnotedebasde">
    <w:name w:val="Appel note de bas de..."/>
    <w:basedOn w:val="Normal"/>
    <w:link w:val="Refdenotaalpie"/>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Fuerte">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 w:type="character" w:customStyle="1" w:styleId="author-name">
    <w:name w:val="author-name"/>
    <w:basedOn w:val="Fuentedeprrafopredeter"/>
    <w:rsid w:val="00CA0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047657">
      <w:bodyDiv w:val="1"/>
      <w:marLeft w:val="0"/>
      <w:marRight w:val="0"/>
      <w:marTop w:val="0"/>
      <w:marBottom w:val="0"/>
      <w:divBdr>
        <w:top w:val="none" w:sz="0" w:space="0" w:color="auto"/>
        <w:left w:val="none" w:sz="0" w:space="0" w:color="auto"/>
        <w:bottom w:val="none" w:sz="0" w:space="0" w:color="auto"/>
        <w:right w:val="none" w:sz="0" w:space="0" w:color="auto"/>
      </w:divBdr>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188226555">
      <w:bodyDiv w:val="1"/>
      <w:marLeft w:val="0"/>
      <w:marRight w:val="0"/>
      <w:marTop w:val="0"/>
      <w:marBottom w:val="0"/>
      <w:divBdr>
        <w:top w:val="none" w:sz="0" w:space="0" w:color="auto"/>
        <w:left w:val="none" w:sz="0" w:space="0" w:color="auto"/>
        <w:bottom w:val="none" w:sz="0" w:space="0" w:color="auto"/>
        <w:right w:val="none" w:sz="0" w:space="0" w:color="auto"/>
      </w:divBdr>
    </w:div>
    <w:div w:id="192960455">
      <w:bodyDiv w:val="1"/>
      <w:marLeft w:val="0"/>
      <w:marRight w:val="0"/>
      <w:marTop w:val="0"/>
      <w:marBottom w:val="0"/>
      <w:divBdr>
        <w:top w:val="none" w:sz="0" w:space="0" w:color="auto"/>
        <w:left w:val="none" w:sz="0" w:space="0" w:color="auto"/>
        <w:bottom w:val="none" w:sz="0" w:space="0" w:color="auto"/>
        <w:right w:val="none" w:sz="0" w:space="0" w:color="auto"/>
      </w:divBdr>
    </w:div>
    <w:div w:id="195851429">
      <w:bodyDiv w:val="1"/>
      <w:marLeft w:val="0"/>
      <w:marRight w:val="0"/>
      <w:marTop w:val="0"/>
      <w:marBottom w:val="0"/>
      <w:divBdr>
        <w:top w:val="none" w:sz="0" w:space="0" w:color="auto"/>
        <w:left w:val="none" w:sz="0" w:space="0" w:color="auto"/>
        <w:bottom w:val="none" w:sz="0" w:space="0" w:color="auto"/>
        <w:right w:val="none" w:sz="0" w:space="0" w:color="auto"/>
      </w:divBdr>
    </w:div>
    <w:div w:id="271516540">
      <w:bodyDiv w:val="1"/>
      <w:marLeft w:val="0"/>
      <w:marRight w:val="0"/>
      <w:marTop w:val="0"/>
      <w:marBottom w:val="0"/>
      <w:divBdr>
        <w:top w:val="none" w:sz="0" w:space="0" w:color="auto"/>
        <w:left w:val="none" w:sz="0" w:space="0" w:color="auto"/>
        <w:bottom w:val="none" w:sz="0" w:space="0" w:color="auto"/>
        <w:right w:val="none" w:sz="0" w:space="0" w:color="auto"/>
      </w:divBdr>
    </w:div>
    <w:div w:id="277950301">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11446626">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398597067">
      <w:bodyDiv w:val="1"/>
      <w:marLeft w:val="0"/>
      <w:marRight w:val="0"/>
      <w:marTop w:val="0"/>
      <w:marBottom w:val="0"/>
      <w:divBdr>
        <w:top w:val="none" w:sz="0" w:space="0" w:color="auto"/>
        <w:left w:val="none" w:sz="0" w:space="0" w:color="auto"/>
        <w:bottom w:val="none" w:sz="0" w:space="0" w:color="auto"/>
        <w:right w:val="none" w:sz="0" w:space="0" w:color="auto"/>
      </w:divBdr>
    </w:div>
    <w:div w:id="428160872">
      <w:bodyDiv w:val="1"/>
      <w:marLeft w:val="0"/>
      <w:marRight w:val="0"/>
      <w:marTop w:val="0"/>
      <w:marBottom w:val="0"/>
      <w:divBdr>
        <w:top w:val="none" w:sz="0" w:space="0" w:color="auto"/>
        <w:left w:val="none" w:sz="0" w:space="0" w:color="auto"/>
        <w:bottom w:val="none" w:sz="0" w:space="0" w:color="auto"/>
        <w:right w:val="none" w:sz="0" w:space="0" w:color="auto"/>
      </w:divBdr>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38305584">
      <w:bodyDiv w:val="1"/>
      <w:marLeft w:val="0"/>
      <w:marRight w:val="0"/>
      <w:marTop w:val="0"/>
      <w:marBottom w:val="0"/>
      <w:divBdr>
        <w:top w:val="none" w:sz="0" w:space="0" w:color="auto"/>
        <w:left w:val="none" w:sz="0" w:space="0" w:color="auto"/>
        <w:bottom w:val="none" w:sz="0" w:space="0" w:color="auto"/>
        <w:right w:val="none" w:sz="0" w:space="0" w:color="auto"/>
      </w:divBdr>
    </w:div>
    <w:div w:id="493691612">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20191855">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19481719">
      <w:bodyDiv w:val="1"/>
      <w:marLeft w:val="0"/>
      <w:marRight w:val="0"/>
      <w:marTop w:val="0"/>
      <w:marBottom w:val="0"/>
      <w:divBdr>
        <w:top w:val="none" w:sz="0" w:space="0" w:color="auto"/>
        <w:left w:val="none" w:sz="0" w:space="0" w:color="auto"/>
        <w:bottom w:val="none" w:sz="0" w:space="0" w:color="auto"/>
        <w:right w:val="none" w:sz="0" w:space="0" w:color="auto"/>
      </w:divBdr>
    </w:div>
    <w:div w:id="723599209">
      <w:bodyDiv w:val="1"/>
      <w:marLeft w:val="0"/>
      <w:marRight w:val="0"/>
      <w:marTop w:val="0"/>
      <w:marBottom w:val="0"/>
      <w:divBdr>
        <w:top w:val="none" w:sz="0" w:space="0" w:color="auto"/>
        <w:left w:val="none" w:sz="0" w:space="0" w:color="auto"/>
        <w:bottom w:val="none" w:sz="0" w:space="0" w:color="auto"/>
        <w:right w:val="none" w:sz="0" w:space="0" w:color="auto"/>
      </w:divBdr>
    </w:div>
    <w:div w:id="745341291">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1015158801">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72897937">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165128992">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20283956">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83409235">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75366781">
      <w:bodyDiv w:val="1"/>
      <w:marLeft w:val="0"/>
      <w:marRight w:val="0"/>
      <w:marTop w:val="0"/>
      <w:marBottom w:val="0"/>
      <w:divBdr>
        <w:top w:val="none" w:sz="0" w:space="0" w:color="auto"/>
        <w:left w:val="none" w:sz="0" w:space="0" w:color="auto"/>
        <w:bottom w:val="none" w:sz="0" w:space="0" w:color="auto"/>
        <w:right w:val="none" w:sz="0" w:space="0" w:color="auto"/>
      </w:divBdr>
    </w:div>
    <w:div w:id="1496920400">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51576322">
      <w:bodyDiv w:val="1"/>
      <w:marLeft w:val="0"/>
      <w:marRight w:val="0"/>
      <w:marTop w:val="0"/>
      <w:marBottom w:val="0"/>
      <w:divBdr>
        <w:top w:val="none" w:sz="0" w:space="0" w:color="auto"/>
        <w:left w:val="none" w:sz="0" w:space="0" w:color="auto"/>
        <w:bottom w:val="none" w:sz="0" w:space="0" w:color="auto"/>
        <w:right w:val="none" w:sz="0" w:space="0" w:color="auto"/>
      </w:divBdr>
    </w:div>
    <w:div w:id="1555891875">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121290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52071965">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041921">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4879058">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871645697">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1975985341">
      <w:bodyDiv w:val="1"/>
      <w:marLeft w:val="0"/>
      <w:marRight w:val="0"/>
      <w:marTop w:val="0"/>
      <w:marBottom w:val="0"/>
      <w:divBdr>
        <w:top w:val="none" w:sz="0" w:space="0" w:color="auto"/>
        <w:left w:val="none" w:sz="0" w:space="0" w:color="auto"/>
        <w:bottom w:val="none" w:sz="0" w:space="0" w:color="auto"/>
        <w:right w:val="none" w:sz="0" w:space="0" w:color="auto"/>
      </w:divBdr>
    </w:div>
    <w:div w:id="2011717450">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077781944">
      <w:bodyDiv w:val="1"/>
      <w:marLeft w:val="0"/>
      <w:marRight w:val="0"/>
      <w:marTop w:val="0"/>
      <w:marBottom w:val="0"/>
      <w:divBdr>
        <w:top w:val="none" w:sz="0" w:space="0" w:color="auto"/>
        <w:left w:val="none" w:sz="0" w:space="0" w:color="auto"/>
        <w:bottom w:val="none" w:sz="0" w:space="0" w:color="auto"/>
        <w:right w:val="none" w:sz="0" w:space="0" w:color="auto"/>
      </w:divBdr>
    </w:div>
    <w:div w:id="2110271813">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2362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jgalvisg@yahoo.com"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3.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4.xml><?xml version="1.0" encoding="utf-8"?>
<ds:datastoreItem xmlns:ds="http://schemas.openxmlformats.org/officeDocument/2006/customXml" ds:itemID="{ECA32AEF-ABB7-4FCF-8317-95F03620E2D8}"/>
</file>

<file path=docProps/app.xml><?xml version="1.0" encoding="utf-8"?>
<Properties xmlns="http://schemas.openxmlformats.org/officeDocument/2006/extended-properties" xmlns:vt="http://schemas.openxmlformats.org/officeDocument/2006/docPropsVTypes">
  <Template>Normal</Template>
  <TotalTime>6</TotalTime>
  <Pages>31</Pages>
  <Words>9537</Words>
  <Characters>52458</Characters>
  <Application>Microsoft Office Word</Application>
  <DocSecurity>0</DocSecurity>
  <Lines>437</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61872</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ANCP</cp:lastModifiedBy>
  <cp:revision>7</cp:revision>
  <dcterms:created xsi:type="dcterms:W3CDTF">2026-03-18T15:58:00Z</dcterms:created>
  <dcterms:modified xsi:type="dcterms:W3CDTF">2026-03-18T16:04:00Z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