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6D2B8" w14:textId="77777777" w:rsidR="00A75B7F" w:rsidRPr="00647611" w:rsidRDefault="00A75B7F" w:rsidP="00A75B7F">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0C6EB377"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0DE78ECF" w14:textId="77777777" w:rsidR="00A75B7F" w:rsidRPr="00647611" w:rsidRDefault="00A75B7F" w:rsidP="00A75B7F">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75E65FB"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4B7B0C4C" w14:textId="77777777" w:rsidR="00A75B7F" w:rsidRPr="00647611" w:rsidRDefault="00A75B7F" w:rsidP="00A75B7F">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4A93AFB4"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1EC85C0B" w14:textId="77777777" w:rsidR="00A75B7F" w:rsidRPr="00647611" w:rsidRDefault="00A75B7F" w:rsidP="00A75B7F">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77FC8B3" w14:textId="77777777" w:rsidR="00A75B7F" w:rsidRPr="00647611" w:rsidRDefault="00A75B7F" w:rsidP="00A75B7F">
      <w:pPr>
        <w:spacing w:after="0" w:line="240" w:lineRule="auto"/>
        <w:jc w:val="both"/>
        <w:rPr>
          <w:rFonts w:ascii="Verdana" w:eastAsia="Calibri" w:hAnsi="Verdana" w:cs="Arial"/>
          <w:sz w:val="20"/>
          <w:szCs w:val="20"/>
        </w:rPr>
      </w:pPr>
    </w:p>
    <w:p w14:paraId="4C431F11" w14:textId="77777777" w:rsidR="00A75B7F" w:rsidRPr="00647611" w:rsidRDefault="00A75B7F" w:rsidP="00A75B7F">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460BB72D"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4A7F17AF" w14:textId="77777777" w:rsidR="00A75B7F" w:rsidRPr="00647611" w:rsidRDefault="00A75B7F" w:rsidP="00A75B7F">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artículo 33 – Contratación directa – Alcance </w:t>
      </w:r>
    </w:p>
    <w:p w14:paraId="08BC625A"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3E15DF00" w14:textId="77777777" w:rsidR="00A75B7F" w:rsidRPr="00647611" w:rsidRDefault="00A75B7F" w:rsidP="00A75B7F">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6818E7B4" w14:textId="77777777" w:rsidR="00A75B7F" w:rsidRPr="00647611" w:rsidRDefault="00A75B7F" w:rsidP="00A75B7F">
      <w:pPr>
        <w:spacing w:after="0" w:line="240" w:lineRule="auto"/>
        <w:jc w:val="both"/>
        <w:rPr>
          <w:rFonts w:ascii="Verdana" w:hAnsi="Verdana" w:cs="Arial"/>
          <w:b/>
          <w:sz w:val="20"/>
          <w:szCs w:val="20"/>
          <w:lang w:eastAsia="es-ES_tradnl"/>
        </w:rPr>
      </w:pPr>
    </w:p>
    <w:p w14:paraId="1E7DC307" w14:textId="77777777" w:rsidR="00A75B7F" w:rsidRPr="00647611" w:rsidRDefault="00A75B7F" w:rsidP="00A75B7F">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59AFA6D4"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429FF133" w14:textId="77777777" w:rsidR="00A75B7F" w:rsidRPr="00647611" w:rsidRDefault="00A75B7F" w:rsidP="00A75B7F">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CF517BC" w14:textId="77777777" w:rsidR="00A75B7F" w:rsidRPr="00647611" w:rsidRDefault="00A75B7F" w:rsidP="00A75B7F">
      <w:pPr>
        <w:spacing w:after="0" w:line="240" w:lineRule="auto"/>
        <w:jc w:val="both"/>
        <w:rPr>
          <w:rFonts w:ascii="Verdana" w:hAnsi="Verdana" w:cs="Arial"/>
          <w:b/>
          <w:sz w:val="20"/>
          <w:szCs w:val="20"/>
          <w:lang w:val="es-MX" w:eastAsia="es-ES_tradnl"/>
        </w:rPr>
      </w:pPr>
    </w:p>
    <w:p w14:paraId="319C317C" w14:textId="77777777" w:rsidR="00A75B7F" w:rsidRPr="00647611" w:rsidRDefault="00A75B7F" w:rsidP="00A75B7F">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50231FA3" w14:textId="77777777" w:rsidR="00A75B7F" w:rsidRPr="00647611" w:rsidRDefault="00A75B7F" w:rsidP="00A75B7F">
      <w:pPr>
        <w:spacing w:after="0" w:line="240" w:lineRule="auto"/>
        <w:rPr>
          <w:rFonts w:ascii="Verdana" w:hAnsi="Verdana" w:cs="Arial"/>
          <w:sz w:val="20"/>
          <w:szCs w:val="20"/>
          <w:lang w:val="es-MX" w:eastAsia="es-ES_tradnl"/>
        </w:rPr>
      </w:pPr>
    </w:p>
    <w:p w14:paraId="6E8195E4" w14:textId="77777777" w:rsidR="00A75B7F" w:rsidRPr="00647611" w:rsidRDefault="00A75B7F" w:rsidP="00A75B7F">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C603852" w14:textId="77777777" w:rsidR="00A75B7F" w:rsidRPr="00647611" w:rsidRDefault="00A75B7F" w:rsidP="00A75B7F">
      <w:pPr>
        <w:spacing w:after="0" w:line="240" w:lineRule="auto"/>
        <w:rPr>
          <w:rFonts w:ascii="Verdana" w:hAnsi="Verdana"/>
          <w:sz w:val="20"/>
          <w:szCs w:val="20"/>
        </w:rPr>
      </w:pPr>
    </w:p>
    <w:p w14:paraId="125DA298" w14:textId="77777777" w:rsidR="00A75B7F" w:rsidRPr="00647611" w:rsidRDefault="00A75B7F" w:rsidP="00A75B7F">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2D335DFD" w14:textId="77777777" w:rsidR="00A75B7F" w:rsidRPr="00647611" w:rsidRDefault="00A75B7F" w:rsidP="00A75B7F">
      <w:pPr>
        <w:spacing w:after="0" w:line="240" w:lineRule="auto"/>
        <w:rPr>
          <w:rFonts w:ascii="Verdana" w:hAnsi="Verdana"/>
          <w:sz w:val="20"/>
          <w:szCs w:val="20"/>
        </w:rPr>
      </w:pPr>
    </w:p>
    <w:p w14:paraId="26A9724D" w14:textId="77777777" w:rsidR="00A75B7F" w:rsidRDefault="00A75B7F" w:rsidP="00A75B7F">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4D92C113" w14:textId="77777777" w:rsidR="00A75B7F" w:rsidRPr="00EB0B5F" w:rsidRDefault="00A75B7F" w:rsidP="00A75B7F">
      <w:pPr>
        <w:spacing w:after="0" w:line="240" w:lineRule="auto"/>
        <w:jc w:val="both"/>
        <w:rPr>
          <w:rFonts w:ascii="Verdana" w:eastAsia="Calibri" w:hAnsi="Verdana" w:cs="Arial"/>
          <w:iCs/>
          <w:color w:val="000000" w:themeColor="text1"/>
          <w:sz w:val="20"/>
          <w:szCs w:val="20"/>
          <w:lang w:eastAsia="es-ES_tradnl"/>
        </w:rPr>
      </w:pPr>
    </w:p>
    <w:p w14:paraId="1205CC39" w14:textId="77777777" w:rsidR="00A75B7F" w:rsidRPr="00396DBB" w:rsidRDefault="00A75B7F" w:rsidP="00A75B7F">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CONTRATACIÓN DIRECTA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Ley 1150 de 2007 – Artículo 2.4 – Literal d) – Alcance   </w:t>
      </w:r>
      <w:r w:rsidRPr="00396DBB">
        <w:rPr>
          <w:rFonts w:ascii="Verdana" w:eastAsia="Calibri" w:hAnsi="Verdana" w:cs="Arial"/>
          <w:b/>
          <w:color w:val="000000" w:themeColor="text1"/>
          <w:lang w:val="es-ES_tradnl"/>
        </w:rPr>
        <w:t xml:space="preserve"> </w:t>
      </w:r>
    </w:p>
    <w:p w14:paraId="037863C7" w14:textId="77777777" w:rsidR="00A75B7F" w:rsidRPr="00396DBB" w:rsidRDefault="00A75B7F" w:rsidP="00A75B7F">
      <w:pPr>
        <w:spacing w:after="0" w:line="240" w:lineRule="auto"/>
        <w:jc w:val="both"/>
        <w:rPr>
          <w:rFonts w:ascii="Verdana" w:eastAsia="Calibri" w:hAnsi="Verdana" w:cs="Arial"/>
          <w:bCs/>
          <w:color w:val="000000" w:themeColor="text1"/>
          <w:sz w:val="20"/>
          <w:szCs w:val="20"/>
          <w:lang w:val="es-ES_tradnl"/>
        </w:rPr>
      </w:pPr>
    </w:p>
    <w:p w14:paraId="3C987E31" w14:textId="77777777" w:rsidR="00A75B7F" w:rsidRDefault="00A75B7F" w:rsidP="00A75B7F">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El</w:t>
      </w:r>
      <w:r w:rsidRPr="00604392">
        <w:rPr>
          <w:rFonts w:ascii="Verdana" w:hAnsi="Verdana" w:cs="Arial"/>
          <w:color w:val="000000" w:themeColor="text1"/>
          <w:sz w:val="20"/>
          <w:szCs w:val="20"/>
          <w:lang w:val="es-ES"/>
        </w:rPr>
        <w:t xml:space="preserve"> literal d) del artículo 2.4 de la Ley 1150 de 2007 permite la selección directa tratándose de la contratación de bienes y servicios en el sector defensa, que necesiten reserva para su adquisición. Dichas causales se sujetan al cumplimiento de dos (2) requisitos: uno de carácter orgánico y otro de carácter material. Por un lado, los bienes o servicios deben ser adquiridos por entidades del sector defensa y, por otro, su adquisición debe ser reservada.</w:t>
      </w:r>
    </w:p>
    <w:p w14:paraId="412E00C8" w14:textId="77777777" w:rsidR="00A75B7F" w:rsidRPr="00604392" w:rsidRDefault="00A75B7F" w:rsidP="00A75B7F">
      <w:pPr>
        <w:spacing w:after="0" w:line="240" w:lineRule="auto"/>
        <w:jc w:val="both"/>
        <w:rPr>
          <w:rFonts w:ascii="Verdana" w:hAnsi="Verdana" w:cs="Arial"/>
          <w:color w:val="000000" w:themeColor="text1"/>
          <w:sz w:val="20"/>
          <w:szCs w:val="20"/>
          <w:lang w:val="es-ES"/>
        </w:rPr>
      </w:pPr>
    </w:p>
    <w:p w14:paraId="1CE0D07A" w14:textId="77777777" w:rsidR="00A75B7F" w:rsidRPr="006A61B6" w:rsidRDefault="00A75B7F" w:rsidP="00A75B7F">
      <w:pPr>
        <w:spacing w:after="0" w:line="240" w:lineRule="auto"/>
        <w:jc w:val="both"/>
        <w:rPr>
          <w:rFonts w:ascii="Verdana" w:hAnsi="Verdana" w:cs="Arial"/>
          <w:bCs/>
          <w:color w:val="000000" w:themeColor="text1"/>
          <w:sz w:val="20"/>
          <w:szCs w:val="20"/>
          <w:lang w:val="es-ES_tradnl"/>
        </w:rPr>
      </w:pPr>
      <w:r w:rsidRPr="00604392">
        <w:rPr>
          <w:rFonts w:ascii="Verdana" w:hAnsi="Verdana" w:cs="Arial"/>
          <w:color w:val="000000" w:themeColor="text1"/>
          <w:sz w:val="20"/>
          <w:szCs w:val="20"/>
          <w:lang w:val="es-ES"/>
        </w:rPr>
        <w:t>Como indica el artículo 2.2.1.2.1.4.6 del Decreto 1082 de 2015, “Las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 Por tanto, si no coexisten los requisitos de carácter orgánico y material en las condiciones que se explican en el presente oficio, deben privilegiarse los procedimientos de selección con pluralidad de oferentes, especialmente, cuando la contratación directa es excepcional y, por tanto, las causales son de interpretación estricta.</w:t>
      </w:r>
    </w:p>
    <w:p w14:paraId="77AA874C" w14:textId="77777777" w:rsidR="00A75B7F" w:rsidRPr="00EB0B5F" w:rsidRDefault="00A75B7F" w:rsidP="00A75B7F">
      <w:pPr>
        <w:spacing w:after="0" w:line="240" w:lineRule="auto"/>
        <w:jc w:val="both"/>
        <w:rPr>
          <w:rFonts w:ascii="Verdana" w:eastAsia="Calibri" w:hAnsi="Verdana" w:cs="Arial"/>
          <w:iCs/>
          <w:color w:val="000000" w:themeColor="text1"/>
          <w:sz w:val="20"/>
          <w:szCs w:val="20"/>
          <w:lang w:eastAsia="es-ES_tradnl"/>
        </w:rPr>
      </w:pPr>
    </w:p>
    <w:p w14:paraId="64156A8A" w14:textId="77777777" w:rsidR="00A75B7F" w:rsidRPr="00396DBB" w:rsidRDefault="00A75B7F" w:rsidP="00A75B7F">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SECTOR DEFENSA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Estructura – Entidades adscritas – Entidades vinculadas   </w:t>
      </w:r>
      <w:r w:rsidRPr="00396DBB">
        <w:rPr>
          <w:rFonts w:ascii="Verdana" w:eastAsia="Calibri" w:hAnsi="Verdana" w:cs="Arial"/>
          <w:b/>
          <w:color w:val="000000" w:themeColor="text1"/>
          <w:lang w:val="es-ES_tradnl"/>
        </w:rPr>
        <w:t xml:space="preserve"> </w:t>
      </w:r>
    </w:p>
    <w:p w14:paraId="24A51A9C" w14:textId="77777777" w:rsidR="00A75B7F" w:rsidRPr="00396DBB" w:rsidRDefault="00A75B7F" w:rsidP="00A75B7F">
      <w:pPr>
        <w:spacing w:after="0" w:line="240" w:lineRule="auto"/>
        <w:jc w:val="both"/>
        <w:rPr>
          <w:rFonts w:ascii="Verdana" w:eastAsia="Calibri" w:hAnsi="Verdana" w:cs="Arial"/>
          <w:bCs/>
          <w:color w:val="000000" w:themeColor="text1"/>
          <w:sz w:val="20"/>
          <w:szCs w:val="20"/>
          <w:lang w:val="es-ES_tradnl"/>
        </w:rPr>
      </w:pPr>
    </w:p>
    <w:p w14:paraId="6CFA8A6B" w14:textId="77777777" w:rsidR="00A75B7F" w:rsidRDefault="00A75B7F" w:rsidP="00A75B7F">
      <w:pPr>
        <w:spacing w:after="0" w:line="240" w:lineRule="auto"/>
        <w:jc w:val="both"/>
        <w:rPr>
          <w:rFonts w:ascii="Verdana" w:hAnsi="Verdana" w:cs="Arial"/>
          <w:color w:val="000000" w:themeColor="text1"/>
          <w:sz w:val="20"/>
          <w:szCs w:val="20"/>
        </w:rPr>
      </w:pPr>
      <w:r w:rsidRPr="00AF6312">
        <w:rPr>
          <w:rFonts w:ascii="Verdana" w:hAnsi="Verdana" w:cs="Arial"/>
          <w:color w:val="000000" w:themeColor="text1"/>
          <w:sz w:val="20"/>
          <w:szCs w:val="20"/>
        </w:rPr>
        <w:t>Respecto a la estructura administrativa del sector de defensa nacional, el Decreto 1070 de 2015 ubica al ministerio respectivo como cabeza del mismo –artículo 1.1.1.1–. Al ministerio se encuentran adscritas la Superintendencia de Vigilancia y Seguridad Privada –artículo 1.2.1.1.1–; la Caja de Retiro de las Fuerzas Militares, la Caja de Sueldos de Retiro de la Policía Nacional, el Hospital Militar Central, la Agencia Logística de las Fuerzas Militares, el Fondo Rotatorio de la Policía Nacional, el Instituto de Casas Fiscales del Ejército, el Club Militar, y la Defensa Civil Colombiana –artículo 1.2.1.2.1–. También están vinculadas la Industria Militar y la Caja Promotora de Vivienda Militar y de Policía –artículo 1.2.2.1.1–; el Servicio Aéreo a Territorios Nacionales S.A, la Corporación de la Industria Aeronáutica Colombiana S.A y la Sociedad Hotelera S.A –artículo 1.2.2.2.1–; así como la Corporación de Ciencia y Tecnología para el Desarrollo de la Industria Naval, Marítima y Fluvial y la Corporación de Alta Tecnología para la Defensa –artículo 1.2.3.1–</w:t>
      </w:r>
    </w:p>
    <w:p w14:paraId="629D0A1A" w14:textId="77777777" w:rsidR="00A75B7F" w:rsidRPr="00AF6312" w:rsidRDefault="00A75B7F" w:rsidP="00A75B7F">
      <w:pPr>
        <w:spacing w:after="0" w:line="240" w:lineRule="auto"/>
        <w:jc w:val="both"/>
        <w:rPr>
          <w:rFonts w:ascii="Verdana" w:hAnsi="Verdana" w:cs="Arial"/>
          <w:color w:val="000000" w:themeColor="text1"/>
          <w:sz w:val="20"/>
          <w:szCs w:val="20"/>
        </w:rPr>
      </w:pPr>
    </w:p>
    <w:p w14:paraId="3D99828E" w14:textId="77777777" w:rsidR="00A75B7F" w:rsidRDefault="00A75B7F" w:rsidP="00A75B7F">
      <w:pPr>
        <w:spacing w:after="0" w:line="240" w:lineRule="auto"/>
        <w:jc w:val="both"/>
        <w:rPr>
          <w:rFonts w:ascii="Verdana" w:hAnsi="Verdana" w:cs="Arial"/>
          <w:color w:val="000000" w:themeColor="text1"/>
          <w:sz w:val="20"/>
          <w:szCs w:val="20"/>
        </w:rPr>
      </w:pPr>
      <w:r w:rsidRPr="00AF6312">
        <w:rPr>
          <w:rFonts w:ascii="Verdana" w:hAnsi="Verdana" w:cs="Arial"/>
          <w:color w:val="000000" w:themeColor="text1"/>
          <w:sz w:val="20"/>
          <w:szCs w:val="20"/>
        </w:rPr>
        <w:t xml:space="preserve">Sin perjuicio de lo regulado en el artículo 14 de la ley 1150 de 2007 sobre régimen del régimen contractual de las empresas industriales y comerciales del estado, las sociedades de economía mixta, sus filiales y empresas con participación mayoritaria del Estado, el artículo 16 </w:t>
      </w:r>
      <w:r w:rsidRPr="00AF6312">
        <w:rPr>
          <w:rFonts w:ascii="Verdana" w:hAnsi="Verdana" w:cs="Arial"/>
          <w:i/>
          <w:iCs/>
          <w:color w:val="000000" w:themeColor="text1"/>
          <w:sz w:val="20"/>
          <w:szCs w:val="20"/>
        </w:rPr>
        <w:t>ibidem</w:t>
      </w:r>
      <w:r w:rsidRPr="00AF6312">
        <w:rPr>
          <w:rFonts w:ascii="Verdana" w:hAnsi="Verdana" w:cs="Arial"/>
          <w:color w:val="000000" w:themeColor="text1"/>
          <w:sz w:val="20"/>
          <w:szCs w:val="20"/>
        </w:rPr>
        <w:t xml:space="preserve"> indica lo siguiente: “Los contratos que celebren </w:t>
      </w:r>
      <w:proofErr w:type="spellStart"/>
      <w:r w:rsidRPr="00AF6312">
        <w:rPr>
          <w:rFonts w:ascii="Verdana" w:hAnsi="Verdana" w:cs="Arial"/>
          <w:color w:val="000000" w:themeColor="text1"/>
          <w:sz w:val="20"/>
          <w:szCs w:val="20"/>
        </w:rPr>
        <w:t>Satena</w:t>
      </w:r>
      <w:proofErr w:type="spellEnd"/>
      <w:r w:rsidRPr="00AF6312">
        <w:rPr>
          <w:rFonts w:ascii="Verdana" w:hAnsi="Verdana" w:cs="Arial"/>
          <w:color w:val="000000" w:themeColor="text1"/>
          <w:sz w:val="20"/>
          <w:szCs w:val="20"/>
        </w:rPr>
        <w:t>, Indumil, El Hotel Tequendama, la Corporación de Ciencia y Tecnología para el desarrollo de la industria naval, marítima y fluvial –</w:t>
      </w:r>
      <w:proofErr w:type="spellStart"/>
      <w:r w:rsidRPr="00AF6312">
        <w:rPr>
          <w:rFonts w:ascii="Verdana" w:hAnsi="Verdana" w:cs="Arial"/>
          <w:color w:val="000000" w:themeColor="text1"/>
          <w:sz w:val="20"/>
          <w:szCs w:val="20"/>
        </w:rPr>
        <w:t>Cotecmar</w:t>
      </w:r>
      <w:proofErr w:type="spellEnd"/>
      <w:r w:rsidRPr="00AF6312">
        <w:rPr>
          <w:rFonts w:ascii="Verdana" w:hAnsi="Verdana" w:cs="Arial"/>
          <w:color w:val="000000" w:themeColor="text1"/>
          <w:sz w:val="20"/>
          <w:szCs w:val="20"/>
        </w:rPr>
        <w:t xml:space="preserve">– y la Corporación de la Industria Aeronáutica Colombiana –CIAC–, no estarán sujetos a las disposiciones del Estatuto General de Contratación de la Administración Pública y se regirán por las disposiciones </w:t>
      </w:r>
      <w:r w:rsidRPr="00AF6312">
        <w:rPr>
          <w:rFonts w:ascii="Verdana" w:hAnsi="Verdana" w:cs="Arial"/>
          <w:color w:val="000000" w:themeColor="text1"/>
          <w:sz w:val="20"/>
          <w:szCs w:val="20"/>
        </w:rPr>
        <w:lastRenderedPageBreak/>
        <w:t>legales y reglamentarias aplicables a su actividad”. Luego, la causal de contratación directa del literal d) del artículo 2.4 de la Ley 1150 de 2007 se circunscribe principalmente a las entidades del sector defensa regidas por la Ley 80 de 1993.</w:t>
      </w:r>
    </w:p>
    <w:p w14:paraId="453245C5" w14:textId="77777777" w:rsidR="00A75B7F" w:rsidRDefault="00A75B7F" w:rsidP="00A75B7F">
      <w:pPr>
        <w:spacing w:after="0" w:line="240" w:lineRule="auto"/>
        <w:jc w:val="both"/>
        <w:rPr>
          <w:rFonts w:ascii="Verdana" w:hAnsi="Verdana" w:cs="Arial"/>
          <w:color w:val="000000" w:themeColor="text1"/>
          <w:sz w:val="20"/>
          <w:szCs w:val="20"/>
          <w:lang w:val="es-ES"/>
        </w:rPr>
      </w:pPr>
    </w:p>
    <w:p w14:paraId="34AB7BA5" w14:textId="77777777" w:rsidR="00A75B7F" w:rsidRPr="00396DBB" w:rsidRDefault="00A75B7F" w:rsidP="00A75B7F">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SEGURIDAD Y DEFENSA NACIONAL</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Concepto jurídico indeterminado   </w:t>
      </w:r>
      <w:r w:rsidRPr="00396DBB">
        <w:rPr>
          <w:rFonts w:ascii="Verdana" w:eastAsia="Calibri" w:hAnsi="Verdana" w:cs="Arial"/>
          <w:b/>
          <w:color w:val="000000" w:themeColor="text1"/>
          <w:lang w:val="es-ES_tradnl"/>
        </w:rPr>
        <w:t xml:space="preserve"> </w:t>
      </w:r>
    </w:p>
    <w:p w14:paraId="31B3440E" w14:textId="77777777" w:rsidR="00A75B7F" w:rsidRPr="00396DBB" w:rsidRDefault="00A75B7F" w:rsidP="00A75B7F">
      <w:pPr>
        <w:spacing w:after="0" w:line="240" w:lineRule="auto"/>
        <w:jc w:val="both"/>
        <w:rPr>
          <w:rFonts w:ascii="Verdana" w:eastAsia="Calibri" w:hAnsi="Verdana" w:cs="Arial"/>
          <w:bCs/>
          <w:color w:val="000000" w:themeColor="text1"/>
          <w:sz w:val="20"/>
          <w:szCs w:val="20"/>
          <w:lang w:val="es-ES_tradnl"/>
        </w:rPr>
      </w:pPr>
    </w:p>
    <w:p w14:paraId="4546A221" w14:textId="77777777" w:rsidR="00A75B7F" w:rsidRPr="006A61B6" w:rsidRDefault="00A75B7F" w:rsidP="00A75B7F">
      <w:pPr>
        <w:spacing w:after="0" w:line="240" w:lineRule="auto"/>
        <w:jc w:val="both"/>
        <w:rPr>
          <w:rFonts w:ascii="Verdana" w:hAnsi="Verdana" w:cs="Arial"/>
          <w:bCs/>
          <w:color w:val="000000" w:themeColor="text1"/>
          <w:sz w:val="20"/>
          <w:szCs w:val="20"/>
          <w:lang w:val="es-ES_tradnl"/>
        </w:rPr>
      </w:pPr>
      <w:r>
        <w:rPr>
          <w:rFonts w:ascii="Verdana" w:hAnsi="Verdana" w:cs="Arial"/>
          <w:color w:val="000000" w:themeColor="text1"/>
          <w:sz w:val="20"/>
          <w:szCs w:val="20"/>
          <w:lang w:val="es-ES"/>
        </w:rPr>
        <w:t>E</w:t>
      </w:r>
      <w:r w:rsidRPr="00AF6312">
        <w:rPr>
          <w:rFonts w:ascii="Verdana" w:hAnsi="Verdana" w:cs="Arial"/>
          <w:color w:val="000000" w:themeColor="text1"/>
          <w:sz w:val="20"/>
          <w:szCs w:val="20"/>
          <w:lang w:val="es-ES"/>
        </w:rPr>
        <w:t>s la necesidad de la reserva de los documentos del proceso la que habilita la causal de contratación directa para las entidades de sector defensa sometida al EGCAP. Dicha reserva por lo general se refiere a temas de defensa y seguridad nacional. 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604392">
        <w:rPr>
          <w:rFonts w:ascii="Verdana" w:hAnsi="Verdana" w:cs="Arial"/>
          <w:color w:val="000000" w:themeColor="text1"/>
          <w:sz w:val="20"/>
          <w:szCs w:val="20"/>
          <w:lang w:val="es-ES"/>
        </w:rPr>
        <w:t>.</w:t>
      </w:r>
    </w:p>
    <w:p w14:paraId="41C6AC0C" w14:textId="77777777" w:rsidR="00A75B7F" w:rsidRPr="0025227B" w:rsidRDefault="00A75B7F" w:rsidP="00A75B7F">
      <w:pPr>
        <w:spacing w:after="0" w:line="240" w:lineRule="auto"/>
        <w:jc w:val="both"/>
        <w:rPr>
          <w:rFonts w:ascii="Verdana" w:eastAsia="Times New Roman" w:hAnsi="Verdana" w:cs="Arial"/>
          <w:bCs/>
          <w:sz w:val="20"/>
          <w:szCs w:val="20"/>
          <w:lang w:val="es-ES_tradnl" w:eastAsia="x-none"/>
        </w:rPr>
      </w:pPr>
    </w:p>
    <w:p w14:paraId="7DC31CF3" w14:textId="77777777" w:rsidR="00A75B7F" w:rsidRDefault="00A75B7F" w:rsidP="00A75B7F">
      <w:pPr>
        <w:spacing w:after="0" w:line="240" w:lineRule="auto"/>
        <w:jc w:val="both"/>
        <w:rPr>
          <w:rFonts w:ascii="Verdana" w:eastAsia="Geomanist Light" w:hAnsi="Verdana" w:cs="Arial"/>
          <w:color w:val="000000" w:themeColor="text1"/>
          <w:lang w:val="es-MX"/>
        </w:rPr>
      </w:pPr>
    </w:p>
    <w:p w14:paraId="413A9941" w14:textId="77777777" w:rsidR="00A75B7F" w:rsidRDefault="00A75B7F" w:rsidP="00A75B7F">
      <w:pPr>
        <w:spacing w:after="0" w:line="240" w:lineRule="auto"/>
        <w:jc w:val="both"/>
        <w:rPr>
          <w:rFonts w:ascii="Verdana" w:eastAsia="Geomanist Light" w:hAnsi="Verdana" w:cs="Arial"/>
          <w:color w:val="000000" w:themeColor="text1"/>
          <w:lang w:val="es-MX"/>
        </w:rPr>
      </w:pPr>
    </w:p>
    <w:p w14:paraId="00161993" w14:textId="77777777" w:rsidR="00A75B7F" w:rsidRDefault="00A75B7F" w:rsidP="00A75B7F">
      <w:pPr>
        <w:spacing w:after="0" w:line="240" w:lineRule="auto"/>
        <w:jc w:val="both"/>
        <w:rPr>
          <w:rFonts w:ascii="Verdana" w:eastAsia="Geomanist Light" w:hAnsi="Verdana" w:cs="Arial"/>
          <w:color w:val="000000" w:themeColor="text1"/>
          <w:lang w:val="es-MX"/>
        </w:rPr>
      </w:pPr>
    </w:p>
    <w:p w14:paraId="6ADFD066" w14:textId="77777777" w:rsidR="00A75B7F" w:rsidRDefault="00A75B7F" w:rsidP="00A75B7F">
      <w:pPr>
        <w:spacing w:after="0" w:line="240" w:lineRule="auto"/>
        <w:jc w:val="both"/>
        <w:rPr>
          <w:rFonts w:ascii="Verdana" w:eastAsia="Geomanist Light" w:hAnsi="Verdana" w:cs="Arial"/>
          <w:color w:val="000000" w:themeColor="text1"/>
          <w:lang w:val="es-MX"/>
        </w:rPr>
      </w:pPr>
    </w:p>
    <w:p w14:paraId="274ADB82" w14:textId="77777777" w:rsidR="00A75B7F" w:rsidRDefault="00A75B7F" w:rsidP="00A75B7F">
      <w:pPr>
        <w:spacing w:after="0" w:line="240" w:lineRule="auto"/>
        <w:jc w:val="both"/>
        <w:rPr>
          <w:rFonts w:ascii="Verdana" w:eastAsia="Geomanist Light" w:hAnsi="Verdana" w:cs="Arial"/>
          <w:color w:val="000000" w:themeColor="text1"/>
          <w:lang w:val="es-MX"/>
        </w:rPr>
      </w:pPr>
    </w:p>
    <w:p w14:paraId="7DD3D47A" w14:textId="77777777" w:rsidR="00A75B7F" w:rsidRDefault="00A75B7F" w:rsidP="00A75B7F">
      <w:pPr>
        <w:spacing w:after="0" w:line="240" w:lineRule="auto"/>
        <w:jc w:val="both"/>
        <w:rPr>
          <w:rFonts w:ascii="Verdana" w:eastAsia="Geomanist Light" w:hAnsi="Verdana" w:cs="Arial"/>
          <w:color w:val="000000" w:themeColor="text1"/>
          <w:lang w:val="es-MX"/>
        </w:rPr>
      </w:pPr>
    </w:p>
    <w:p w14:paraId="428B4CBF" w14:textId="77777777" w:rsidR="00A75B7F" w:rsidRDefault="00A75B7F" w:rsidP="00A75B7F">
      <w:pPr>
        <w:spacing w:after="0" w:line="240" w:lineRule="auto"/>
        <w:jc w:val="both"/>
        <w:rPr>
          <w:rFonts w:ascii="Verdana" w:eastAsia="Geomanist Light" w:hAnsi="Verdana" w:cs="Arial"/>
          <w:color w:val="000000" w:themeColor="text1"/>
          <w:lang w:val="es-MX"/>
        </w:rPr>
      </w:pPr>
    </w:p>
    <w:p w14:paraId="750C21F6" w14:textId="77777777" w:rsidR="00A75B7F" w:rsidRDefault="00A75B7F" w:rsidP="00A75B7F">
      <w:pPr>
        <w:spacing w:after="0" w:line="240" w:lineRule="auto"/>
        <w:jc w:val="both"/>
        <w:rPr>
          <w:rFonts w:ascii="Verdana" w:eastAsia="Geomanist Light" w:hAnsi="Verdana" w:cs="Arial"/>
          <w:color w:val="000000" w:themeColor="text1"/>
          <w:lang w:val="es-MX"/>
        </w:rPr>
      </w:pPr>
    </w:p>
    <w:p w14:paraId="6D7FCDC1" w14:textId="77777777" w:rsidR="00A75B7F" w:rsidRDefault="00A75B7F" w:rsidP="00A75B7F">
      <w:pPr>
        <w:spacing w:after="0" w:line="240" w:lineRule="auto"/>
        <w:jc w:val="both"/>
        <w:rPr>
          <w:rFonts w:ascii="Verdana" w:eastAsia="Geomanist Light" w:hAnsi="Verdana" w:cs="Arial"/>
          <w:color w:val="000000" w:themeColor="text1"/>
          <w:lang w:val="es-MX"/>
        </w:rPr>
      </w:pPr>
    </w:p>
    <w:p w14:paraId="5B055AD3" w14:textId="77777777" w:rsidR="00A75B7F" w:rsidRDefault="00A75B7F" w:rsidP="00A75B7F">
      <w:pPr>
        <w:spacing w:after="0" w:line="240" w:lineRule="auto"/>
        <w:jc w:val="both"/>
        <w:rPr>
          <w:rFonts w:ascii="Verdana" w:eastAsia="Geomanist Light" w:hAnsi="Verdana" w:cs="Arial"/>
          <w:color w:val="000000" w:themeColor="text1"/>
          <w:lang w:val="es-MX"/>
        </w:rPr>
      </w:pPr>
    </w:p>
    <w:p w14:paraId="777A3846" w14:textId="77777777" w:rsidR="00A75B7F" w:rsidRDefault="00A75B7F" w:rsidP="00A75B7F">
      <w:pPr>
        <w:spacing w:after="0" w:line="240" w:lineRule="auto"/>
        <w:jc w:val="both"/>
        <w:rPr>
          <w:rFonts w:ascii="Verdana" w:eastAsia="Geomanist Light" w:hAnsi="Verdana" w:cs="Arial"/>
          <w:color w:val="000000" w:themeColor="text1"/>
          <w:lang w:val="es-MX"/>
        </w:rPr>
      </w:pPr>
    </w:p>
    <w:p w14:paraId="26CDDDA7" w14:textId="77777777" w:rsidR="00A75B7F" w:rsidRDefault="00A75B7F" w:rsidP="00A75B7F">
      <w:pPr>
        <w:spacing w:after="0" w:line="240" w:lineRule="auto"/>
        <w:jc w:val="both"/>
        <w:rPr>
          <w:rFonts w:ascii="Verdana" w:eastAsia="Geomanist Light" w:hAnsi="Verdana" w:cs="Arial"/>
          <w:color w:val="000000" w:themeColor="text1"/>
          <w:lang w:val="es-MX"/>
        </w:rPr>
      </w:pPr>
    </w:p>
    <w:p w14:paraId="42BD0BB0" w14:textId="77777777" w:rsidR="00A75B7F" w:rsidRDefault="00A75B7F" w:rsidP="00A75B7F">
      <w:pPr>
        <w:spacing w:after="0" w:line="240" w:lineRule="auto"/>
        <w:jc w:val="both"/>
        <w:rPr>
          <w:rFonts w:ascii="Verdana" w:eastAsia="Geomanist Light" w:hAnsi="Verdana" w:cs="Arial"/>
          <w:color w:val="000000" w:themeColor="text1"/>
          <w:lang w:val="es-MX"/>
        </w:rPr>
      </w:pPr>
    </w:p>
    <w:p w14:paraId="6976255E" w14:textId="77777777" w:rsidR="00A75B7F" w:rsidRDefault="00A75B7F" w:rsidP="00A75B7F">
      <w:pPr>
        <w:spacing w:after="0" w:line="240" w:lineRule="auto"/>
        <w:jc w:val="both"/>
        <w:rPr>
          <w:rFonts w:ascii="Verdana" w:eastAsia="Geomanist Light" w:hAnsi="Verdana" w:cs="Arial"/>
          <w:color w:val="000000" w:themeColor="text1"/>
          <w:lang w:val="es-MX"/>
        </w:rPr>
      </w:pPr>
    </w:p>
    <w:p w14:paraId="74847D75" w14:textId="77777777" w:rsidR="00A75B7F" w:rsidRDefault="00A75B7F" w:rsidP="00A75B7F">
      <w:pPr>
        <w:spacing w:after="0" w:line="240" w:lineRule="auto"/>
        <w:jc w:val="both"/>
        <w:rPr>
          <w:rFonts w:ascii="Verdana" w:eastAsia="Geomanist Light" w:hAnsi="Verdana" w:cs="Arial"/>
          <w:color w:val="000000" w:themeColor="text1"/>
          <w:lang w:val="es-MX"/>
        </w:rPr>
      </w:pPr>
    </w:p>
    <w:p w14:paraId="19CDEA71" w14:textId="77777777" w:rsidR="00A75B7F" w:rsidRDefault="00A75B7F" w:rsidP="00A75B7F">
      <w:pPr>
        <w:spacing w:after="0" w:line="240" w:lineRule="auto"/>
        <w:jc w:val="both"/>
        <w:rPr>
          <w:rFonts w:ascii="Verdana" w:eastAsia="Geomanist Light" w:hAnsi="Verdana" w:cs="Arial"/>
          <w:color w:val="000000" w:themeColor="text1"/>
          <w:lang w:val="es-MX"/>
        </w:rPr>
      </w:pPr>
    </w:p>
    <w:p w14:paraId="0BA7AAF9" w14:textId="77777777" w:rsidR="00A75B7F" w:rsidRDefault="00A75B7F" w:rsidP="00A75B7F">
      <w:pPr>
        <w:spacing w:after="0" w:line="240" w:lineRule="auto"/>
        <w:jc w:val="both"/>
        <w:rPr>
          <w:rFonts w:ascii="Verdana" w:eastAsia="Geomanist Light" w:hAnsi="Verdana" w:cs="Arial"/>
          <w:color w:val="000000" w:themeColor="text1"/>
          <w:lang w:val="es-MX"/>
        </w:rPr>
      </w:pPr>
    </w:p>
    <w:p w14:paraId="3A56D598" w14:textId="77777777" w:rsidR="00A75B7F" w:rsidRDefault="00A75B7F" w:rsidP="00A75B7F">
      <w:pPr>
        <w:spacing w:after="0" w:line="240" w:lineRule="auto"/>
        <w:jc w:val="both"/>
        <w:rPr>
          <w:rFonts w:ascii="Verdana" w:eastAsia="Geomanist Light" w:hAnsi="Verdana" w:cs="Arial"/>
          <w:color w:val="000000" w:themeColor="text1"/>
          <w:lang w:val="es-MX"/>
        </w:rPr>
      </w:pPr>
    </w:p>
    <w:p w14:paraId="304CF878" w14:textId="77777777" w:rsidR="00A75B7F" w:rsidRDefault="00A75B7F" w:rsidP="00A75B7F">
      <w:pPr>
        <w:spacing w:after="0" w:line="240" w:lineRule="auto"/>
        <w:jc w:val="both"/>
        <w:rPr>
          <w:rFonts w:ascii="Verdana" w:eastAsia="Geomanist Light" w:hAnsi="Verdana" w:cs="Arial"/>
          <w:color w:val="000000" w:themeColor="text1"/>
          <w:lang w:val="es-MX"/>
        </w:rPr>
      </w:pPr>
    </w:p>
    <w:p w14:paraId="13E4DBAE" w14:textId="77777777" w:rsidR="00A75B7F" w:rsidRDefault="00A75B7F" w:rsidP="00A75B7F">
      <w:pPr>
        <w:spacing w:after="0" w:line="240" w:lineRule="auto"/>
        <w:jc w:val="both"/>
        <w:rPr>
          <w:rFonts w:ascii="Verdana" w:eastAsia="Geomanist Light" w:hAnsi="Verdana" w:cs="Arial"/>
          <w:color w:val="000000" w:themeColor="text1"/>
          <w:lang w:val="es-MX"/>
        </w:rPr>
      </w:pPr>
    </w:p>
    <w:p w14:paraId="4DCC4BA5" w14:textId="77777777" w:rsidR="00A75B7F" w:rsidRDefault="00A75B7F" w:rsidP="00A75B7F">
      <w:pPr>
        <w:spacing w:after="0" w:line="240" w:lineRule="auto"/>
        <w:jc w:val="both"/>
        <w:rPr>
          <w:rFonts w:ascii="Verdana" w:eastAsia="Geomanist Light" w:hAnsi="Verdana" w:cs="Arial"/>
          <w:color w:val="000000" w:themeColor="text1"/>
          <w:lang w:val="es-MX"/>
        </w:rPr>
      </w:pPr>
    </w:p>
    <w:p w14:paraId="317EE3F1" w14:textId="77777777" w:rsidR="00A75B7F" w:rsidRDefault="00A75B7F" w:rsidP="00A75B7F">
      <w:pPr>
        <w:spacing w:after="0" w:line="240" w:lineRule="auto"/>
        <w:jc w:val="both"/>
        <w:rPr>
          <w:rFonts w:ascii="Verdana" w:eastAsia="Geomanist Light" w:hAnsi="Verdana" w:cs="Arial"/>
          <w:color w:val="000000" w:themeColor="text1"/>
          <w:lang w:val="es-MX"/>
        </w:rPr>
      </w:pPr>
    </w:p>
    <w:p w14:paraId="6BFB56B6" w14:textId="77777777" w:rsidR="00A75B7F" w:rsidRDefault="00A75B7F" w:rsidP="00A75B7F">
      <w:pPr>
        <w:spacing w:after="0" w:line="240" w:lineRule="auto"/>
        <w:jc w:val="both"/>
        <w:rPr>
          <w:rFonts w:ascii="Verdana" w:eastAsia="Geomanist Light" w:hAnsi="Verdana" w:cs="Arial"/>
          <w:color w:val="000000" w:themeColor="text1"/>
          <w:lang w:val="es-MX"/>
        </w:rPr>
      </w:pPr>
    </w:p>
    <w:p w14:paraId="243A6CDE" w14:textId="77777777" w:rsidR="00A75B7F" w:rsidRDefault="00A75B7F" w:rsidP="00A75B7F">
      <w:pPr>
        <w:spacing w:after="0" w:line="240" w:lineRule="auto"/>
        <w:jc w:val="both"/>
        <w:rPr>
          <w:rFonts w:ascii="Verdana" w:eastAsia="Geomanist Light" w:hAnsi="Verdana" w:cs="Arial"/>
          <w:color w:val="000000" w:themeColor="text1"/>
          <w:lang w:val="es-MX"/>
        </w:rPr>
      </w:pPr>
    </w:p>
    <w:p w14:paraId="7BF45E53" w14:textId="77777777" w:rsidR="00A75B7F" w:rsidRDefault="00A75B7F" w:rsidP="00AB1573">
      <w:pPr>
        <w:spacing w:after="0" w:line="240" w:lineRule="auto"/>
        <w:jc w:val="both"/>
        <w:rPr>
          <w:rFonts w:ascii="Verdana" w:eastAsia="Geomanist Light" w:hAnsi="Verdana" w:cs="Arial"/>
          <w:color w:val="000000" w:themeColor="text1"/>
          <w:lang w:val="es-MX"/>
        </w:rPr>
      </w:pPr>
    </w:p>
    <w:p w14:paraId="32011D9F" w14:textId="77777777" w:rsidR="00EE6981" w:rsidRDefault="00EE6981" w:rsidP="00AB1573">
      <w:pPr>
        <w:spacing w:after="0" w:line="240" w:lineRule="auto"/>
        <w:jc w:val="both"/>
        <w:rPr>
          <w:rFonts w:ascii="Verdana" w:eastAsia="Geomanist Light" w:hAnsi="Verdana" w:cs="Arial"/>
          <w:color w:val="000000" w:themeColor="text1"/>
          <w:lang w:val="es-MX"/>
        </w:rPr>
      </w:pPr>
    </w:p>
    <w:p w14:paraId="1FC136E4" w14:textId="77777777" w:rsidR="00EE6981" w:rsidRDefault="00EE6981" w:rsidP="00AB1573">
      <w:pPr>
        <w:spacing w:after="0" w:line="240" w:lineRule="auto"/>
        <w:jc w:val="both"/>
        <w:rPr>
          <w:rFonts w:ascii="Verdana" w:eastAsia="Geomanist Light" w:hAnsi="Verdana" w:cs="Arial"/>
          <w:color w:val="000000" w:themeColor="text1"/>
          <w:lang w:val="es-MX"/>
        </w:rPr>
      </w:pPr>
    </w:p>
    <w:p w14:paraId="0F0FCE8A" w14:textId="6FDA2B6F" w:rsidR="00AB1573" w:rsidRPr="009C7241" w:rsidRDefault="00AB1573" w:rsidP="00AB1573">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F4371B" w:rsidRPr="0075132B">
        <w:rPr>
          <w:rFonts w:ascii="Verdana" w:eastAsia="Geomanist Light" w:hAnsi="Verdana" w:cs="Arial"/>
          <w:color w:val="000000" w:themeColor="text1"/>
          <w:lang w:val="es-MX"/>
        </w:rPr>
        <w:t xml:space="preserve">04 de </w:t>
      </w:r>
      <w:proofErr w:type="gramStart"/>
      <w:r w:rsidR="00F4371B">
        <w:rPr>
          <w:rFonts w:ascii="Verdana" w:eastAsia="Geomanist Light" w:hAnsi="Verdana" w:cs="Arial"/>
          <w:color w:val="000000" w:themeColor="text1"/>
          <w:lang w:val="es-MX"/>
        </w:rPr>
        <w:t>Marzo</w:t>
      </w:r>
      <w:proofErr w:type="gramEnd"/>
      <w:r w:rsidR="00F4371B" w:rsidRPr="0075132B">
        <w:rPr>
          <w:rFonts w:ascii="Verdana" w:eastAsia="Geomanist Light" w:hAnsi="Verdana" w:cs="Arial"/>
          <w:color w:val="000000" w:themeColor="text1"/>
          <w:lang w:val="es-MX"/>
        </w:rPr>
        <w:t xml:space="preserve"> de 2026</w:t>
      </w:r>
    </w:p>
    <w:p w14:paraId="6C734F49" w14:textId="4CBF9261" w:rsidR="00AB1573" w:rsidRDefault="00EE6981" w:rsidP="00AB1573">
      <w:pPr>
        <w:spacing w:after="0" w:line="240" w:lineRule="auto"/>
        <w:jc w:val="both"/>
        <w:rPr>
          <w:rFonts w:ascii="Verdana" w:eastAsia="Calibri" w:hAnsi="Verdana" w:cs="Arial"/>
          <w:color w:val="000000"/>
          <w:lang w:val="es-ES"/>
        </w:rPr>
      </w:pPr>
      <w:r w:rsidRPr="00FE1A22">
        <w:rPr>
          <w:rFonts w:ascii="Verdana" w:eastAsia="Calibri" w:hAnsi="Verdana" w:cs="Arial"/>
          <w:noProof/>
          <w:color w:val="000000"/>
          <w:lang w:val="es-ES"/>
        </w:rPr>
        <w:drawing>
          <wp:anchor distT="0" distB="0" distL="114300" distR="114300" simplePos="0" relativeHeight="251658240" behindDoc="0" locked="0" layoutInCell="1" allowOverlap="1" wp14:anchorId="19D9DBE4" wp14:editId="456E006C">
            <wp:simplePos x="0" y="0"/>
            <wp:positionH relativeFrom="margin">
              <wp:align>right</wp:align>
            </wp:positionH>
            <wp:positionV relativeFrom="paragraph">
              <wp:posOffset>173355</wp:posOffset>
            </wp:positionV>
            <wp:extent cx="2829560" cy="802640"/>
            <wp:effectExtent l="0" t="0" r="8890" b="0"/>
            <wp:wrapSquare wrapText="bothSides"/>
            <wp:docPr id="11660042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004265" name=""/>
                    <pic:cNvPicPr/>
                  </pic:nvPicPr>
                  <pic:blipFill>
                    <a:blip r:embed="rId10">
                      <a:extLst>
                        <a:ext uri="{28A0092B-C50C-407E-A947-70E740481C1C}">
                          <a14:useLocalDpi xmlns:a14="http://schemas.microsoft.com/office/drawing/2010/main" val="0"/>
                        </a:ext>
                      </a:extLst>
                    </a:blip>
                    <a:stretch>
                      <a:fillRect/>
                    </a:stretch>
                  </pic:blipFill>
                  <pic:spPr>
                    <a:xfrm>
                      <a:off x="0" y="0"/>
                      <a:ext cx="2829560" cy="802640"/>
                    </a:xfrm>
                    <a:prstGeom prst="rect">
                      <a:avLst/>
                    </a:prstGeom>
                  </pic:spPr>
                </pic:pic>
              </a:graphicData>
            </a:graphic>
            <wp14:sizeRelH relativeFrom="margin">
              <wp14:pctWidth>0</wp14:pctWidth>
            </wp14:sizeRelH>
            <wp14:sizeRelV relativeFrom="margin">
              <wp14:pctHeight>0</wp14:pctHeight>
            </wp14:sizeRelV>
          </wp:anchor>
        </w:drawing>
      </w:r>
    </w:p>
    <w:p w14:paraId="5FE13710" w14:textId="15A742EF" w:rsidR="00FE1A22" w:rsidRDefault="00FE1A22" w:rsidP="00FE1A22">
      <w:pPr>
        <w:spacing w:after="0" w:line="240" w:lineRule="auto"/>
        <w:jc w:val="right"/>
        <w:rPr>
          <w:rFonts w:ascii="Verdana" w:eastAsia="Calibri" w:hAnsi="Verdana" w:cs="Arial"/>
          <w:color w:val="000000"/>
          <w:lang w:val="es-ES"/>
        </w:rPr>
      </w:pPr>
    </w:p>
    <w:p w14:paraId="1EB5847B" w14:textId="77777777" w:rsidR="00AB1573" w:rsidRPr="00593A5F" w:rsidRDefault="00AB1573" w:rsidP="00AB1573">
      <w:pPr>
        <w:spacing w:after="0" w:line="240" w:lineRule="auto"/>
        <w:jc w:val="both"/>
        <w:rPr>
          <w:rFonts w:ascii="Verdana" w:eastAsia="Calibri" w:hAnsi="Verdana" w:cs="Arial"/>
          <w:color w:val="000000"/>
          <w:lang w:val="es-ES"/>
        </w:rPr>
      </w:pPr>
    </w:p>
    <w:p w14:paraId="34A817CF" w14:textId="77777777" w:rsidR="00AB1573" w:rsidRPr="00B96799" w:rsidRDefault="00AB1573" w:rsidP="00AB1573">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2FA631B9" w14:textId="77777777" w:rsidR="00AB1573" w:rsidRPr="0085423D" w:rsidRDefault="00AB1573" w:rsidP="00AB1573">
      <w:pPr>
        <w:spacing w:after="0" w:line="240" w:lineRule="auto"/>
        <w:rPr>
          <w:rFonts w:ascii="Verdana" w:eastAsia="Calibri" w:hAnsi="Verdana" w:cs="Arial"/>
          <w:b/>
          <w:lang w:val="es-ES_tradnl" w:eastAsia="es-ES_tradnl"/>
        </w:rPr>
      </w:pPr>
      <w:bookmarkStart w:id="0" w:name="OLE_LINK1"/>
      <w:r w:rsidRPr="00A91E8C">
        <w:rPr>
          <w:rFonts w:ascii="Verdana" w:eastAsia="Calibri" w:hAnsi="Verdana" w:cs="Arial"/>
          <w:b/>
          <w:lang w:val="es-ES_tradnl" w:eastAsia="es-ES_tradnl"/>
        </w:rPr>
        <w:t>Linda Vanessa Plata Soto</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15CE51AA" w14:textId="77777777" w:rsidR="00AB1573" w:rsidRDefault="00AB1573" w:rsidP="00AB1573">
      <w:pPr>
        <w:spacing w:after="0" w:line="240" w:lineRule="auto"/>
        <w:rPr>
          <w:rFonts w:ascii="Verdana" w:hAnsi="Verdana"/>
        </w:rPr>
      </w:pPr>
      <w:r>
        <w:rPr>
          <w:rFonts w:ascii="Verdana" w:hAnsi="Verdana"/>
        </w:rPr>
        <w:fldChar w:fldCharType="begin"/>
      </w:r>
      <w:r>
        <w:rPr>
          <w:rFonts w:ascii="Verdana" w:hAnsi="Verdana"/>
        </w:rPr>
        <w:instrText>HYPERLINK "mailto:</w:instrText>
      </w:r>
      <w:r w:rsidRPr="00A91E8C">
        <w:rPr>
          <w:rFonts w:ascii="Verdana" w:hAnsi="Verdana"/>
        </w:rPr>
        <w:instrText>abogados.plata@outlook.com</w:instrText>
      </w:r>
      <w:r>
        <w:rPr>
          <w:rFonts w:ascii="Verdana" w:hAnsi="Verdana"/>
        </w:rPr>
        <w:instrText>"</w:instrText>
      </w:r>
      <w:r>
        <w:rPr>
          <w:rFonts w:ascii="Verdana" w:hAnsi="Verdana"/>
        </w:rPr>
      </w:r>
      <w:r>
        <w:rPr>
          <w:rFonts w:ascii="Verdana" w:hAnsi="Verdana"/>
        </w:rPr>
        <w:fldChar w:fldCharType="separate"/>
      </w:r>
      <w:r w:rsidRPr="001F38A2">
        <w:rPr>
          <w:rStyle w:val="Hipervnculo"/>
          <w:rFonts w:ascii="Verdana" w:hAnsi="Verdana"/>
        </w:rPr>
        <w:t>abogados.plata@outlook.com</w:t>
      </w:r>
      <w:r>
        <w:rPr>
          <w:rFonts w:ascii="Verdana" w:hAnsi="Verdana"/>
        </w:rPr>
        <w:fldChar w:fldCharType="end"/>
      </w:r>
      <w:r>
        <w:rPr>
          <w:rFonts w:ascii="Verdana" w:hAnsi="Verdana"/>
        </w:rPr>
        <w:t xml:space="preserve">   </w:t>
      </w:r>
    </w:p>
    <w:p w14:paraId="271F96DD" w14:textId="77777777" w:rsidR="00AB1573" w:rsidRDefault="00AB1573" w:rsidP="00AB1573">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01EB674B" w14:textId="77777777" w:rsidR="00AB1573" w:rsidRPr="00593A5F" w:rsidRDefault="00AB1573" w:rsidP="00AB1573">
      <w:pPr>
        <w:spacing w:after="0" w:line="240" w:lineRule="auto"/>
        <w:rPr>
          <w:rFonts w:ascii="Verdana" w:eastAsia="Calibri" w:hAnsi="Verdana" w:cs="Arial"/>
          <w:b/>
          <w:bCs/>
          <w:color w:val="000000"/>
          <w:lang w:val="es-ES_tradnl" w:eastAsia="es-ES_tradnl"/>
        </w:rPr>
      </w:pPr>
    </w:p>
    <w:p w14:paraId="3EE654E7" w14:textId="77777777" w:rsidR="00AB1573" w:rsidRPr="00593A5F" w:rsidRDefault="00AB1573" w:rsidP="00AB157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B1573" w:rsidRPr="00593A5F" w14:paraId="25228410" w14:textId="77777777" w:rsidTr="00E61993">
        <w:trPr>
          <w:trHeight w:val="884"/>
        </w:trPr>
        <w:tc>
          <w:tcPr>
            <w:tcW w:w="2689" w:type="dxa"/>
          </w:tcPr>
          <w:p w14:paraId="255405A7" w14:textId="77777777" w:rsidR="00AB1573" w:rsidRPr="00C00976" w:rsidRDefault="00AB1573" w:rsidP="00E61993">
            <w:pPr>
              <w:jc w:val="both"/>
              <w:rPr>
                <w:rFonts w:ascii="Verdana" w:eastAsia="Calibri" w:hAnsi="Verdana" w:cs="Arial"/>
                <w:b/>
                <w:bCs/>
                <w:color w:val="7030A0"/>
                <w:lang w:val="es-ES_tradnl" w:eastAsia="es-ES_tradnl"/>
              </w:rPr>
            </w:pPr>
          </w:p>
        </w:tc>
        <w:tc>
          <w:tcPr>
            <w:tcW w:w="6100" w:type="dxa"/>
          </w:tcPr>
          <w:p w14:paraId="23699915" w14:textId="62FC726D" w:rsidR="00AB1573" w:rsidRPr="00C00976" w:rsidRDefault="00AB1573" w:rsidP="00E6199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847BED">
              <w:rPr>
                <w:rFonts w:ascii="Verdana" w:eastAsia="Calibri" w:hAnsi="Verdana" w:cs="Arial"/>
                <w:b/>
                <w:bCs/>
                <w:lang w:val="es-ES" w:eastAsia="es-ES"/>
              </w:rPr>
              <w:t>322</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AB1573" w:rsidRPr="00593A5F" w14:paraId="3AB38EDB" w14:textId="77777777" w:rsidTr="00E61993">
        <w:trPr>
          <w:trHeight w:val="884"/>
        </w:trPr>
        <w:tc>
          <w:tcPr>
            <w:tcW w:w="2689" w:type="dxa"/>
          </w:tcPr>
          <w:p w14:paraId="38310D97" w14:textId="77777777" w:rsidR="00AB1573" w:rsidRPr="00593A5F" w:rsidRDefault="00AB1573" w:rsidP="00E6199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CE32109" w14:textId="77777777" w:rsidR="00AB1573" w:rsidRPr="00A11406" w:rsidRDefault="00AB1573" w:rsidP="00E61993">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 </w:t>
            </w:r>
            <w:r w:rsidRPr="00AF6312">
              <w:rPr>
                <w:rFonts w:ascii="Verdana" w:eastAsia="Calibri" w:hAnsi="Verdana" w:cs="Arial"/>
                <w:lang w:val="es-ES" w:eastAsia="es-ES"/>
              </w:rPr>
              <w:t>CONTRATACIÓN DIRECTA – Ley 1150 de 2007 – Artículo 2.4 – Literal d) – Alcance</w:t>
            </w:r>
            <w:r>
              <w:rPr>
                <w:rFonts w:ascii="Verdana" w:eastAsia="Calibri" w:hAnsi="Verdana" w:cs="Arial"/>
                <w:lang w:val="es-ES" w:eastAsia="es-ES"/>
              </w:rPr>
              <w:t xml:space="preserve"> / </w:t>
            </w:r>
            <w:r w:rsidRPr="00AF6312">
              <w:rPr>
                <w:rFonts w:ascii="Verdana" w:eastAsia="Calibri" w:hAnsi="Verdana" w:cs="Arial"/>
                <w:lang w:val="es-ES" w:eastAsia="es-ES"/>
              </w:rPr>
              <w:t>SECTOR DEFENSA – Estructura – Entidades adscritas – Entidades vinculadas</w:t>
            </w:r>
            <w:r>
              <w:rPr>
                <w:rFonts w:ascii="Verdana" w:eastAsia="Calibri" w:hAnsi="Verdana" w:cs="Arial"/>
                <w:lang w:val="es-ES" w:eastAsia="es-ES"/>
              </w:rPr>
              <w:t xml:space="preserve"> / </w:t>
            </w:r>
            <w:r w:rsidRPr="00AF6312">
              <w:rPr>
                <w:rFonts w:ascii="Verdana" w:eastAsia="Calibri" w:hAnsi="Verdana" w:cs="Arial"/>
                <w:lang w:val="es-ES" w:eastAsia="es-ES"/>
              </w:rPr>
              <w:t>SEGURIDAD Y DEFENSA NACIONAL – Concepto jurídico indeterminado</w:t>
            </w:r>
            <w:r>
              <w:rPr>
                <w:rFonts w:ascii="Verdana" w:eastAsia="Calibri" w:hAnsi="Verdana" w:cs="Arial"/>
                <w:lang w:val="es-ES" w:eastAsia="es-ES"/>
              </w:rPr>
              <w:t xml:space="preserve"> </w:t>
            </w:r>
          </w:p>
          <w:p w14:paraId="4077458A" w14:textId="77777777" w:rsidR="00AB1573" w:rsidRPr="00593A5F" w:rsidRDefault="00AB1573" w:rsidP="00E6199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B1573" w:rsidRPr="008E6AD9" w14:paraId="4F2E7517" w14:textId="77777777" w:rsidTr="00E61993">
        <w:tc>
          <w:tcPr>
            <w:tcW w:w="2689" w:type="dxa"/>
          </w:tcPr>
          <w:p w14:paraId="157C4B97" w14:textId="77777777" w:rsidR="00AB1573" w:rsidRPr="008E6AD9" w:rsidRDefault="00AB1573" w:rsidP="00E6199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C6CA623" w14:textId="77777777" w:rsidR="00AB1573" w:rsidRPr="00B92340" w:rsidRDefault="00AB1573" w:rsidP="00E6199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2B2C25">
              <w:rPr>
                <w:rFonts w:ascii="Verdana" w:eastAsia="Calibri" w:hAnsi="Verdana" w:cs="Arial"/>
                <w:lang w:val="es-ES_tradnl" w:eastAsia="es-ES_tradnl"/>
              </w:rPr>
              <w:t>1_2026_02_27_002786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444ECE2B" w14:textId="77777777" w:rsidR="00AB1573" w:rsidRPr="00593A5F" w:rsidRDefault="00AB1573" w:rsidP="00AB1573">
      <w:pPr>
        <w:spacing w:after="0" w:line="240" w:lineRule="auto"/>
        <w:jc w:val="both"/>
        <w:rPr>
          <w:rFonts w:ascii="Verdana" w:eastAsia="Calibri" w:hAnsi="Verdana" w:cs="Arial"/>
          <w:color w:val="000000"/>
          <w:lang w:val="es-ES_tradnl" w:eastAsia="es-ES_tradnl"/>
        </w:rPr>
      </w:pPr>
    </w:p>
    <w:p w14:paraId="1E482728" w14:textId="77777777" w:rsidR="00AB1573" w:rsidRPr="00593A5F" w:rsidRDefault="00AB1573" w:rsidP="00AB1573">
      <w:pPr>
        <w:spacing w:after="0" w:line="240" w:lineRule="auto"/>
        <w:jc w:val="both"/>
        <w:rPr>
          <w:rFonts w:ascii="Verdana" w:eastAsia="Calibri" w:hAnsi="Verdana" w:cs="Arial"/>
          <w:color w:val="000000"/>
          <w:lang w:val="es-ES_tradnl" w:eastAsia="es-ES_tradnl"/>
        </w:rPr>
      </w:pPr>
    </w:p>
    <w:p w14:paraId="5112F3B6" w14:textId="77777777" w:rsidR="00AB1573" w:rsidRPr="008E6AD9" w:rsidRDefault="00AB1573" w:rsidP="00AB157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140D53">
        <w:rPr>
          <w:rFonts w:ascii="Verdana" w:eastAsia="Calibri" w:hAnsi="Verdana" w:cs="Arial"/>
          <w:lang w:val="es-ES" w:eastAsia="es-ES"/>
        </w:rPr>
        <w:t>Plata Soto</w:t>
      </w:r>
      <w:r w:rsidRPr="008E6AD9">
        <w:rPr>
          <w:rFonts w:ascii="Verdana" w:eastAsia="Calibri" w:hAnsi="Verdana" w:cs="Arial"/>
          <w:lang w:val="es-ES" w:eastAsia="es-ES"/>
        </w:rPr>
        <w:t xml:space="preserve">: </w:t>
      </w:r>
    </w:p>
    <w:p w14:paraId="5F1C6036" w14:textId="77777777" w:rsidR="00AB1573" w:rsidRDefault="00AB1573" w:rsidP="00AB157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EA3E250" w14:textId="77777777" w:rsidR="00AB1573" w:rsidRPr="00593A5F" w:rsidRDefault="00AB1573" w:rsidP="00AB157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 xml:space="preserve">la Agencia Nacional </w:t>
      </w:r>
      <w:r w:rsidRPr="00593A5F">
        <w:rPr>
          <w:rFonts w:ascii="Verdana" w:eastAsia="Calibri" w:hAnsi="Verdana" w:cs="Arial"/>
          <w:color w:val="000000" w:themeColor="text1"/>
          <w:lang w:val="es-ES" w:eastAsia="es-ES"/>
        </w:rPr>
        <w:lastRenderedPageBreak/>
        <w:t>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27 de febrero de 2026, en la cual solicita:</w:t>
      </w:r>
      <w:r w:rsidRPr="008E6AD9">
        <w:rPr>
          <w:rFonts w:ascii="Verdana" w:eastAsia="Calibri" w:hAnsi="Verdana" w:cs="Arial"/>
          <w:lang w:val="es-ES" w:eastAsia="es-ES"/>
        </w:rPr>
        <w:t xml:space="preserve"> </w:t>
      </w:r>
    </w:p>
    <w:p w14:paraId="502E0A14" w14:textId="77777777" w:rsidR="00AB1573" w:rsidRPr="00272A7B" w:rsidRDefault="00AB1573" w:rsidP="00AB1573">
      <w:pPr>
        <w:pStyle w:val="Prrafodelista"/>
        <w:tabs>
          <w:tab w:val="left" w:pos="142"/>
          <w:tab w:val="left" w:pos="284"/>
        </w:tabs>
        <w:spacing w:after="0" w:line="276" w:lineRule="auto"/>
        <w:ind w:left="0"/>
        <w:jc w:val="both"/>
        <w:rPr>
          <w:rFonts w:ascii="Verdana" w:eastAsia="Century Gothic" w:hAnsi="Verdana" w:cs="Century Gothic"/>
          <w:b/>
          <w:bCs/>
        </w:rPr>
      </w:pPr>
    </w:p>
    <w:p w14:paraId="11457424" w14:textId="77777777" w:rsidR="00AB1573" w:rsidRPr="004D6C38" w:rsidRDefault="00AB1573" w:rsidP="00AB1573">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 </w:t>
      </w:r>
      <w:r w:rsidRPr="004D6C38">
        <w:rPr>
          <w:rFonts w:ascii="Verdana" w:eastAsia="Century Gothic" w:hAnsi="Verdana" w:cs="Century Gothic"/>
          <w:sz w:val="20"/>
          <w:szCs w:val="20"/>
          <w:lang w:val="es-ES"/>
        </w:rPr>
        <w:t xml:space="preserve">un pronunciamiento detallado sobre la excepción consagrada en el artículo 33 de la Ley 996 de 2005, alusiva a </w:t>
      </w:r>
      <w:r>
        <w:rPr>
          <w:rFonts w:ascii="Verdana" w:eastAsia="Century Gothic" w:hAnsi="Verdana" w:cs="Century Gothic"/>
          <w:sz w:val="20"/>
          <w:szCs w:val="20"/>
          <w:lang w:val="es-ES"/>
        </w:rPr>
        <w:t>‘</w:t>
      </w:r>
      <w:r w:rsidRPr="004D6C38">
        <w:rPr>
          <w:rFonts w:ascii="Verdana" w:eastAsia="Century Gothic" w:hAnsi="Verdana" w:cs="Century Gothic"/>
          <w:b/>
          <w:bCs/>
          <w:sz w:val="20"/>
          <w:szCs w:val="20"/>
          <w:lang w:val="es-ES"/>
        </w:rPr>
        <w:t>lo referente a la defensa y seguridad del Estado</w:t>
      </w:r>
      <w:r>
        <w:rPr>
          <w:rFonts w:ascii="Verdana" w:eastAsia="Century Gothic" w:hAnsi="Verdana" w:cs="Century Gothic"/>
          <w:sz w:val="20"/>
          <w:szCs w:val="20"/>
          <w:lang w:val="es-ES"/>
        </w:rPr>
        <w:t>’</w:t>
      </w:r>
      <w:r w:rsidRPr="004D6C38">
        <w:rPr>
          <w:rFonts w:ascii="Verdana" w:eastAsia="Century Gothic" w:hAnsi="Verdana" w:cs="Century Gothic"/>
          <w:sz w:val="20"/>
          <w:szCs w:val="20"/>
          <w:lang w:val="es-ES"/>
        </w:rPr>
        <w:t>, en el contexto de la prohibición general de contratación directa durante los cuatro (4) meses anteriores a la elección presidencial de</w:t>
      </w:r>
      <w:r>
        <w:rPr>
          <w:rFonts w:ascii="Verdana" w:eastAsia="Century Gothic" w:hAnsi="Verdana" w:cs="Century Gothic"/>
          <w:sz w:val="20"/>
          <w:szCs w:val="20"/>
          <w:lang w:val="es-ES"/>
        </w:rPr>
        <w:t xml:space="preserve"> </w:t>
      </w:r>
      <w:r w:rsidRPr="004D6C38">
        <w:rPr>
          <w:rFonts w:ascii="Verdana" w:eastAsia="Century Gothic" w:hAnsi="Verdana" w:cs="Century Gothic"/>
          <w:sz w:val="20"/>
          <w:szCs w:val="20"/>
          <w:lang w:val="es-ES"/>
        </w:rPr>
        <w:t>2026 y hasta la realización de la segunda vuelta, si fuere el caso. Solicito que el concepto incluya, al menos, los siguientes aspectos:</w:t>
      </w:r>
    </w:p>
    <w:p w14:paraId="30853882" w14:textId="77777777" w:rsidR="00AB1573" w:rsidRPr="004D6C38" w:rsidRDefault="00AB1573" w:rsidP="00AB1573">
      <w:pPr>
        <w:spacing w:after="120" w:line="240" w:lineRule="auto"/>
        <w:ind w:left="709" w:right="709"/>
        <w:jc w:val="both"/>
        <w:rPr>
          <w:rFonts w:ascii="Verdana" w:eastAsia="Century Gothic" w:hAnsi="Verdana" w:cs="Century Gothic"/>
          <w:sz w:val="20"/>
          <w:szCs w:val="20"/>
          <w:lang w:val="es-ES"/>
        </w:rPr>
      </w:pPr>
      <w:r w:rsidRPr="004D6C38">
        <w:rPr>
          <w:rFonts w:ascii="Verdana" w:eastAsia="Century Gothic" w:hAnsi="Verdana" w:cs="Century Gothic"/>
          <w:sz w:val="20"/>
          <w:szCs w:val="20"/>
          <w:lang w:val="es-ES"/>
        </w:rPr>
        <w:t xml:space="preserve">- Definición y alcance de la excepción para </w:t>
      </w:r>
      <w:r>
        <w:rPr>
          <w:rFonts w:ascii="Verdana" w:eastAsia="Century Gothic" w:hAnsi="Verdana" w:cs="Century Gothic"/>
          <w:sz w:val="20"/>
          <w:szCs w:val="20"/>
          <w:lang w:val="es-ES"/>
        </w:rPr>
        <w:t>‘</w:t>
      </w:r>
      <w:r w:rsidRPr="004D6C38">
        <w:rPr>
          <w:rFonts w:ascii="Verdana" w:eastAsia="Century Gothic" w:hAnsi="Verdana" w:cs="Century Gothic"/>
          <w:b/>
          <w:bCs/>
          <w:sz w:val="20"/>
          <w:szCs w:val="20"/>
          <w:lang w:val="es-ES"/>
        </w:rPr>
        <w:t>Defensa y seguridad del estado</w:t>
      </w:r>
      <w:r>
        <w:rPr>
          <w:rFonts w:ascii="Verdana" w:eastAsia="Century Gothic" w:hAnsi="Verdana" w:cs="Century Gothic"/>
          <w:sz w:val="20"/>
          <w:szCs w:val="20"/>
          <w:lang w:val="es-ES"/>
        </w:rPr>
        <w:t>’</w:t>
      </w:r>
      <w:r w:rsidRPr="004D6C38">
        <w:rPr>
          <w:rFonts w:ascii="Verdana" w:eastAsia="Century Gothic" w:hAnsi="Verdana" w:cs="Century Gothic"/>
          <w:sz w:val="20"/>
          <w:szCs w:val="20"/>
          <w:lang w:val="es-ES"/>
        </w:rPr>
        <w:t>.</w:t>
      </w:r>
    </w:p>
    <w:p w14:paraId="01D5AC3F" w14:textId="77777777" w:rsidR="00AB1573" w:rsidRPr="004D6C38" w:rsidRDefault="00AB1573" w:rsidP="00AB1573">
      <w:pPr>
        <w:spacing w:after="120" w:line="240" w:lineRule="auto"/>
        <w:ind w:left="709" w:right="709"/>
        <w:jc w:val="both"/>
        <w:rPr>
          <w:rFonts w:ascii="Verdana" w:eastAsia="Century Gothic" w:hAnsi="Verdana" w:cs="Century Gothic"/>
          <w:sz w:val="20"/>
          <w:szCs w:val="20"/>
          <w:lang w:val="es-ES"/>
        </w:rPr>
      </w:pPr>
      <w:r w:rsidRPr="004D6C38">
        <w:rPr>
          <w:rFonts w:ascii="Verdana" w:eastAsia="Century Gothic" w:hAnsi="Verdana" w:cs="Century Gothic"/>
          <w:sz w:val="20"/>
          <w:szCs w:val="20"/>
          <w:lang w:val="es-ES"/>
        </w:rPr>
        <w:t>- Criterios para determinar qué objetos califican bajo esta excepción, incluyendo ejemplos prácticos o precedentes jurisprudenciales.</w:t>
      </w:r>
    </w:p>
    <w:p w14:paraId="7D3D9844" w14:textId="77777777" w:rsidR="00AB1573" w:rsidRPr="004D6C38" w:rsidRDefault="00AB1573" w:rsidP="00AB1573">
      <w:pPr>
        <w:spacing w:after="120" w:line="240" w:lineRule="auto"/>
        <w:ind w:left="709" w:right="709"/>
        <w:jc w:val="both"/>
        <w:rPr>
          <w:rFonts w:ascii="Verdana" w:eastAsia="Century Gothic" w:hAnsi="Verdana" w:cs="Century Gothic"/>
          <w:sz w:val="20"/>
          <w:szCs w:val="20"/>
          <w:lang w:val="es-ES"/>
        </w:rPr>
      </w:pPr>
      <w:r w:rsidRPr="004D6C38">
        <w:rPr>
          <w:rFonts w:ascii="Verdana" w:eastAsia="Century Gothic" w:hAnsi="Verdana" w:cs="Century Gothic"/>
          <w:sz w:val="20"/>
          <w:szCs w:val="20"/>
          <w:lang w:val="es-ES"/>
        </w:rPr>
        <w:t>- Parámetros y directrices para su aplicación: Requisitos formales, procedimentales y documentales necesarios para justificar y ejecutar contratos directos bajo esta causal, en armonía con la Ley 80 de 1993, la Ley 1150 de 2007 y demás normas del régimen de contratación pública.</w:t>
      </w:r>
    </w:p>
    <w:p w14:paraId="3F076F6D" w14:textId="77777777" w:rsidR="00AB1573" w:rsidRPr="004B35AC" w:rsidRDefault="00AB1573" w:rsidP="00AB1573">
      <w:pPr>
        <w:spacing w:after="0" w:line="240" w:lineRule="auto"/>
        <w:ind w:left="709" w:right="709"/>
        <w:jc w:val="both"/>
        <w:rPr>
          <w:rFonts w:ascii="Verdana" w:eastAsia="Century Gothic" w:hAnsi="Verdana" w:cs="Century Gothic"/>
          <w:sz w:val="20"/>
          <w:szCs w:val="20"/>
          <w:lang w:val="es-ES"/>
        </w:rPr>
      </w:pPr>
      <w:r w:rsidRPr="004D6C38">
        <w:rPr>
          <w:rFonts w:ascii="Verdana" w:eastAsia="Century Gothic" w:hAnsi="Verdana" w:cs="Century Gothic"/>
          <w:sz w:val="20"/>
          <w:szCs w:val="20"/>
          <w:lang w:val="es-ES"/>
        </w:rPr>
        <w:t>- Restricciones adicionales o condicionamientos</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(Énfasis dentro del texto) </w:t>
      </w:r>
    </w:p>
    <w:p w14:paraId="1B4A89A2" w14:textId="77777777" w:rsidR="00AB1573" w:rsidRPr="008E6AD9" w:rsidRDefault="00AB1573" w:rsidP="00AB1573">
      <w:pPr>
        <w:pStyle w:val="Prrafodelista"/>
        <w:tabs>
          <w:tab w:val="left" w:pos="142"/>
          <w:tab w:val="left" w:pos="284"/>
        </w:tabs>
        <w:spacing w:after="0" w:line="276" w:lineRule="auto"/>
        <w:ind w:left="0"/>
        <w:jc w:val="both"/>
        <w:rPr>
          <w:rFonts w:ascii="Verdana" w:eastAsia="Century Gothic" w:hAnsi="Verdana" w:cs="Century Gothic"/>
          <w:b/>
          <w:bCs/>
        </w:rPr>
      </w:pPr>
    </w:p>
    <w:p w14:paraId="158EC7F2" w14:textId="77777777" w:rsidR="00AB1573" w:rsidRPr="00A652FF" w:rsidRDefault="00AB1573" w:rsidP="00AB157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1995C51" w14:textId="77777777" w:rsidR="00AB1573" w:rsidRPr="00423BE7" w:rsidRDefault="00AB1573" w:rsidP="00AB1573">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3775B42" w14:textId="77777777" w:rsidR="00AB1573" w:rsidRPr="00593A5F" w:rsidRDefault="00AB1573" w:rsidP="00AB1573">
      <w:pPr>
        <w:spacing w:after="0" w:line="276" w:lineRule="auto"/>
        <w:ind w:firstLine="709"/>
        <w:jc w:val="both"/>
        <w:rPr>
          <w:rFonts w:ascii="Verdana" w:eastAsia="Calibri" w:hAnsi="Verdana" w:cs="Arial"/>
          <w:color w:val="000000"/>
          <w:lang w:val="es-ES" w:eastAsia="es-ES"/>
        </w:rPr>
      </w:pPr>
    </w:p>
    <w:p w14:paraId="64F49F8F" w14:textId="77777777" w:rsidR="00AB1573" w:rsidRPr="00593A5F" w:rsidRDefault="00AB1573" w:rsidP="00AB157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Problema planteado:</w:t>
      </w:r>
    </w:p>
    <w:p w14:paraId="179A0DB7" w14:textId="77777777" w:rsidR="00AB1573" w:rsidRPr="00593A5F" w:rsidRDefault="00AB1573" w:rsidP="00AB1573">
      <w:pPr>
        <w:tabs>
          <w:tab w:val="left" w:pos="426"/>
        </w:tabs>
        <w:spacing w:after="0" w:line="276" w:lineRule="auto"/>
        <w:jc w:val="both"/>
        <w:rPr>
          <w:rFonts w:ascii="Verdana" w:eastAsia="Century Gothic" w:hAnsi="Verdana" w:cs="Century Gothic"/>
          <w:lang w:val="es-ES"/>
        </w:rPr>
      </w:pPr>
    </w:p>
    <w:p w14:paraId="0C0CD404" w14:textId="16A88A83" w:rsidR="00AB1573" w:rsidRPr="00593A5F" w:rsidRDefault="00AB1573" w:rsidP="00AB1573">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¿cuál e</w:t>
      </w:r>
      <w:r w:rsidR="00E862BD">
        <w:rPr>
          <w:rFonts w:ascii="Verdana" w:eastAsia="Century Gothic" w:hAnsi="Verdana" w:cs="Century Gothic"/>
        </w:rPr>
        <w:t>s</w:t>
      </w:r>
      <w:r>
        <w:rPr>
          <w:rFonts w:ascii="Verdana" w:eastAsia="Century Gothic" w:hAnsi="Verdana" w:cs="Century Gothic"/>
        </w:rPr>
        <w:t xml:space="preserve"> el ámbito de aplicación y las excepciones de la prohibición del artículo 33 de la Ley de Garantías en lo relacionado con la defensa y la seguridad del Estado</w:t>
      </w:r>
      <w:r>
        <w:rPr>
          <w:rFonts w:ascii="Verdana" w:eastAsia="Times New Roman" w:hAnsi="Verdana" w:cs="Arial"/>
          <w:lang w:eastAsia="es-MX"/>
        </w:rPr>
        <w:t>?</w:t>
      </w:r>
    </w:p>
    <w:p w14:paraId="632E4936" w14:textId="77777777" w:rsidR="00AB1573" w:rsidRPr="004B140F" w:rsidRDefault="00AB1573" w:rsidP="00AB1573">
      <w:pPr>
        <w:spacing w:after="0" w:line="276" w:lineRule="auto"/>
        <w:jc w:val="both"/>
        <w:rPr>
          <w:rFonts w:ascii="Verdana" w:eastAsia="Calibri" w:hAnsi="Verdana" w:cs="Arial"/>
          <w:color w:val="7030A0"/>
        </w:rPr>
      </w:pPr>
    </w:p>
    <w:p w14:paraId="01BB7975" w14:textId="77777777" w:rsidR="00AB1573" w:rsidRPr="00593A5F" w:rsidRDefault="00AB1573" w:rsidP="00AB157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02F3302" w14:textId="77777777" w:rsidR="00AB1573" w:rsidRPr="00593A5F" w:rsidRDefault="00AB1573" w:rsidP="00AB157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1573" w:rsidRPr="00593A5F" w14:paraId="573E17A2" w14:textId="77777777" w:rsidTr="00E61993">
        <w:trPr>
          <w:jc w:val="center"/>
        </w:trPr>
        <w:tc>
          <w:tcPr>
            <w:tcW w:w="8828" w:type="dxa"/>
          </w:tcPr>
          <w:p w14:paraId="7DC47B5D" w14:textId="77777777" w:rsidR="00AB1573" w:rsidRDefault="00AB1573" w:rsidP="00E61993">
            <w:pPr>
              <w:spacing w:after="120" w:line="276" w:lineRule="auto"/>
              <w:jc w:val="both"/>
              <w:rPr>
                <w:rFonts w:ascii="Verdana" w:eastAsia="Times New Roman" w:hAnsi="Verdana" w:cs="Arial"/>
                <w:bCs/>
                <w:lang w:val="es-MX" w:eastAsia="x-none"/>
              </w:rPr>
            </w:pPr>
            <w:bookmarkStart w:id="1" w:name="_Hlk171694685"/>
            <w:r w:rsidRPr="00C53E3E">
              <w:rPr>
                <w:rFonts w:ascii="Verdana" w:eastAsia="Calibri" w:hAnsi="Verdana" w:cs="Arial"/>
                <w:lang w:val="es-MX"/>
              </w:rPr>
              <w:t>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w:t>
            </w:r>
          </w:p>
          <w:p w14:paraId="75BD92FF" w14:textId="77777777" w:rsidR="00AB1573" w:rsidRDefault="00AB1573" w:rsidP="00E61993">
            <w:pPr>
              <w:spacing w:after="120" w:line="276" w:lineRule="auto"/>
              <w:ind w:firstLine="737"/>
              <w:jc w:val="both"/>
              <w:rPr>
                <w:rFonts w:ascii="Verdana" w:eastAsia="Times New Roman" w:hAnsi="Verdana" w:cs="Arial"/>
                <w:bCs/>
                <w:lang w:val="es-MX" w:eastAsia="x-none"/>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4BD365A" w14:textId="323E7ECB" w:rsidR="00AB1573" w:rsidRDefault="00AB1573" w:rsidP="00E61993">
            <w:pPr>
              <w:widowControl w:val="0"/>
              <w:autoSpaceDE w:val="0"/>
              <w:autoSpaceDN w:val="0"/>
              <w:spacing w:after="120" w:line="276" w:lineRule="auto"/>
              <w:ind w:firstLine="737"/>
              <w:jc w:val="both"/>
              <w:rPr>
                <w:rFonts w:ascii="Verdana" w:eastAsia="Times New Roman" w:hAnsi="Verdana" w:cs="Arial"/>
                <w:lang w:eastAsia="es-MX"/>
              </w:rPr>
            </w:pPr>
            <w:r>
              <w:rPr>
                <w:rFonts w:ascii="Verdana" w:eastAsia="Times New Roman" w:hAnsi="Verdana" w:cs="Arial"/>
                <w:bCs/>
                <w:lang w:val="es-MX" w:eastAsia="x-none"/>
              </w:rPr>
              <w:t xml:space="preserve">Para estos efectos, es necesario tener en cuenta que </w:t>
            </w:r>
            <w:r>
              <w:rPr>
                <w:rFonts w:ascii="Verdana" w:eastAsia="Times New Roman" w:hAnsi="Verdana" w:cs="Arial"/>
                <w:lang w:eastAsia="es-MX"/>
              </w:rPr>
              <w:t>el literal d) del artículo 2.4 de la Ley 1150 de 2007 permite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que necesiten reserva </w:t>
            </w:r>
            <w:r w:rsidRPr="00DB1EA1">
              <w:rPr>
                <w:rFonts w:ascii="Verdana" w:eastAsia="Times New Roman" w:hAnsi="Verdana" w:cs="Arial"/>
                <w:lang w:eastAsia="es-MX"/>
              </w:rPr>
              <w:lastRenderedPageBreak/>
              <w:t>para su adquisición</w:t>
            </w:r>
            <w:r>
              <w:rPr>
                <w:rFonts w:ascii="Verdana" w:eastAsia="Times New Roman" w:hAnsi="Verdana" w:cs="Arial"/>
                <w:lang w:eastAsia="es-MX"/>
              </w:rPr>
              <w:t>. Dicha causal se sujeta al cumplimiento de dos (2) requisitos: uno de carácter orgánico y otro de carácter material. Por un lado, los bienes o servicios deben ser adquiridos por entidades del sector defensa y, por otro, su adquisición debe ser reservada.</w:t>
            </w:r>
          </w:p>
          <w:p w14:paraId="69DADBF5" w14:textId="77777777" w:rsidR="00AB1573" w:rsidRPr="00DB4B28" w:rsidRDefault="00AB1573" w:rsidP="00E61993">
            <w:pPr>
              <w:widowControl w:val="0"/>
              <w:autoSpaceDE w:val="0"/>
              <w:autoSpaceDN w:val="0"/>
              <w:spacing w:after="120" w:line="276" w:lineRule="auto"/>
              <w:ind w:firstLine="737"/>
              <w:jc w:val="both"/>
              <w:rPr>
                <w:rFonts w:ascii="Verdana" w:eastAsia="Times New Roman" w:hAnsi="Verdana" w:cs="Arial"/>
                <w:lang w:eastAsia="es-MX"/>
              </w:rPr>
            </w:pPr>
            <w:r w:rsidRPr="0023720F">
              <w:rPr>
                <w:rFonts w:ascii="Verdana" w:eastAsia="Times New Roman" w:hAnsi="Verdana" w:cs="Arial"/>
                <w:i/>
                <w:iCs/>
                <w:lang w:eastAsia="es-MX"/>
              </w:rPr>
              <w:t>En lo que respecta al criterio material</w:t>
            </w:r>
            <w:r>
              <w:rPr>
                <w:rFonts w:ascii="Verdana" w:eastAsia="Times New Roman" w:hAnsi="Verdana" w:cs="Arial"/>
                <w:lang w:eastAsia="es-MX"/>
              </w:rPr>
              <w:t xml:space="preserve">, </w:t>
            </w:r>
            <w:r w:rsidRPr="00DB4B28">
              <w:rPr>
                <w:rFonts w:ascii="Verdana" w:eastAsia="Times New Roman" w:hAnsi="Verdana" w:cs="Arial"/>
                <w:lang w:eastAsia="es-MX"/>
              </w:rPr>
              <w:t xml:space="preserve">dicha categoría de bienes y servicios fue desarrollada en el inciso segundo del artículo 78 del Decreto 1510 de 2013. Sin embargo, el listado fue anulado por la Subsección A de la Sección Tercera del Consejo de Estado en Sentencia del 24 de mayo de 2018, </w:t>
            </w:r>
            <w:proofErr w:type="spellStart"/>
            <w:r w:rsidRPr="00DB4B28">
              <w:rPr>
                <w:rFonts w:ascii="Verdana" w:eastAsia="Times New Roman" w:hAnsi="Verdana" w:cs="Arial"/>
                <w:lang w:eastAsia="es-MX"/>
              </w:rPr>
              <w:t>Exp</w:t>
            </w:r>
            <w:proofErr w:type="spellEnd"/>
            <w:r w:rsidRPr="00DB4B28">
              <w:rPr>
                <w:rFonts w:ascii="Verdana" w:eastAsia="Times New Roman" w:hAnsi="Verdana" w:cs="Arial"/>
                <w:lang w:eastAsia="es-MX"/>
              </w:rPr>
              <w:t>. 50222, con ponencia de la Consejera Marta Nubia Velásquez Rico, bajo el argumento de que el Gobierno Nacional “[…] desbordó la potestad reglamentaria al limitar el derecho fundamental de acceso a la información pública tratándose de bienes y servicios a adquirir por vía de la modalidad de selección de la contratación directa, limitación que por corresponder a la reserva legal, está en cabeza del legislador”.</w:t>
            </w:r>
          </w:p>
          <w:p w14:paraId="0C3527DD" w14:textId="77777777" w:rsidR="00AB1573" w:rsidRPr="00DB4B28" w:rsidRDefault="00AB1573" w:rsidP="00E61993">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 xml:space="preserve">Aunque </w:t>
            </w:r>
            <w:r>
              <w:rPr>
                <w:rFonts w:ascii="Verdana" w:eastAsia="Times New Roman" w:hAnsi="Verdana" w:cs="Arial"/>
                <w:lang w:eastAsia="es-MX"/>
              </w:rPr>
              <w:t>se ha acudido</w:t>
            </w:r>
            <w:r w:rsidRPr="00DB4B28">
              <w:rPr>
                <w:rFonts w:ascii="Verdana" w:eastAsia="Times New Roman" w:hAnsi="Verdana" w:cs="Arial"/>
                <w:lang w:eastAsia="es-MX"/>
              </w:rPr>
              <w:t xml:space="preserve"> al listado del artículo 1 del Decreto 695 de 1983, compilado en el artículo 1.3.1.14.18 del Decreto 1625 de 2016, “Por medio del cual se expide el Decreto Único Reglamentario en materia tributaria”, esta norma fue expedida por el Gobierno Nacional en ejercicio de la potestad reglamentaria para determinar: i) los bienes importados que no causan impuesto sobre las ventas conforme al inciso segundo del artículo 17 del Decreto Legislativo 2368 de 1974  y </w:t>
            </w:r>
            <w:proofErr w:type="spellStart"/>
            <w:r w:rsidRPr="00DB4B28">
              <w:rPr>
                <w:rFonts w:ascii="Verdana" w:eastAsia="Times New Roman" w:hAnsi="Verdana" w:cs="Arial"/>
                <w:lang w:eastAsia="es-MX"/>
              </w:rPr>
              <w:t>ii</w:t>
            </w:r>
            <w:proofErr w:type="spellEnd"/>
            <w:r w:rsidRPr="00DB4B28">
              <w:rPr>
                <w:rFonts w:ascii="Verdana" w:eastAsia="Times New Roman" w:hAnsi="Verdana" w:cs="Arial"/>
                <w:lang w:eastAsia="es-MX"/>
              </w:rPr>
              <w:t xml:space="preserve">) el alcance de la causal de contratación directa del otrora artículo 259 del Decreto Ley 222 de 1983 . </w:t>
            </w:r>
          </w:p>
          <w:p w14:paraId="6E47054D" w14:textId="77777777" w:rsidR="00AB1573" w:rsidRPr="00DB4B28" w:rsidRDefault="00AB1573" w:rsidP="00E61993">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De estas dos (2) finalidades sólo subsiste la primera, pues –al recoger la lista del artículo 1 del Decreto 695 de 1983– el artículo 1.3.1.14.18 se encuentra en el capítulo 14 del título 1 de la parte 3 del libro 1 del Decreto 1625 de 2016, por el cual se definen las importaciones que no causan IVA. Este tema es ajeno a la contratación estatal, además de que el Decreto Ley 222 de 1983 fue derogado por el artículo 81 de la Ley 80 de 1993. Por tanto, el artículo 1 del Decreto 695 de 1983 no delimita el alcance de la causal de contratación directa del literal d) del artículo 2.4 de la Ley 1150 de 2007, especialmente, cuando la Sentencia del 24 de mayo de 2018 exige que las reservas sean objeto de desarrollo legal.</w:t>
            </w:r>
          </w:p>
          <w:p w14:paraId="35A347C5" w14:textId="77777777" w:rsidR="00AB1573" w:rsidRPr="00DB4B28" w:rsidRDefault="00AB1573" w:rsidP="00E61993">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 xml:space="preserve">En todo caso, la nulidad del inciso segundo del artículo 78 del Decreto 1510 de 2013 o la imposibilidad de aplicar el artículo 1 del Decreto 695 de 1983 fuera del ámbito tributario no condicionan la vigencia de la causal </w:t>
            </w:r>
            <w:r w:rsidRPr="00DB4B28">
              <w:rPr>
                <w:rFonts w:ascii="Verdana" w:eastAsia="Times New Roman" w:hAnsi="Verdana" w:cs="Arial"/>
                <w:i/>
                <w:iCs/>
                <w:lang w:eastAsia="es-MX"/>
              </w:rPr>
              <w:t xml:space="preserve">sub </w:t>
            </w:r>
            <w:r w:rsidRPr="00DB4B28">
              <w:rPr>
                <w:rFonts w:ascii="Verdana" w:eastAsia="Times New Roman" w:hAnsi="Verdana" w:cs="Arial"/>
                <w:i/>
                <w:iCs/>
                <w:lang w:eastAsia="es-MX"/>
              </w:rPr>
              <w:lastRenderedPageBreak/>
              <w:t>examine</w:t>
            </w:r>
            <w:r w:rsidRPr="00DB4B28">
              <w:rPr>
                <w:rFonts w:ascii="Verdana" w:eastAsia="Times New Roman" w:hAnsi="Verdana" w:cs="Arial"/>
                <w:lang w:eastAsia="es-MX"/>
              </w:rPr>
              <w:t xml:space="preserve">, la cual rige sin necesidad de desarrollo reglamentario. Por un lado, mientras el parágrafo transitorio del artículo 2 de la Ley 1150 de 2007 dispone que “Hasta tanto el Gobierno Nacional no expidiere el reglamento respectivo, no se podrá hacer uso de la selección abreviada como modalidad de selección”, una condición similar no se predica del literal d) del artículo 2.4 </w:t>
            </w:r>
            <w:r w:rsidRPr="00DB4B28">
              <w:rPr>
                <w:rFonts w:ascii="Verdana" w:eastAsia="Times New Roman" w:hAnsi="Verdana" w:cs="Arial"/>
                <w:i/>
                <w:iCs/>
                <w:lang w:eastAsia="es-MX"/>
              </w:rPr>
              <w:t>ibidem</w:t>
            </w:r>
            <w:r w:rsidRPr="00DB4B28">
              <w:rPr>
                <w:rFonts w:ascii="Verdana" w:eastAsia="Times New Roman" w:hAnsi="Verdana" w:cs="Arial"/>
                <w:lang w:eastAsia="es-MX"/>
              </w:rPr>
              <w:t xml:space="preserve">. </w:t>
            </w:r>
          </w:p>
          <w:p w14:paraId="54052084" w14:textId="2D9AD562" w:rsidR="00AB1573" w:rsidRDefault="00AB1573" w:rsidP="00E61993">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Por otra parte, la Sentencia del 24 de mayo de 2018 explica que “[…] para el caso de lo establecido en la letra d) del número 4 del artículo 2 de la Ley 1150 de 2007, debe entenderse la existencia de un reenvío a las normas de orden legal que establecen los eventos en que por causa de la protección de derechos fundamentales o bienes constitucionales debe reservarse la información contractual que corresponda”. Luego, el reglamento no puede intervenir en el desarrollo de las reservas a través de una norma igual o semejante a la anulada por la Subsección A de la Sección Tercera del Consejo de Estado, pues ello implica desconocer las prohibiciones de los artículo</w:t>
            </w:r>
            <w:r w:rsidR="00C3126E">
              <w:rPr>
                <w:rFonts w:ascii="Verdana" w:eastAsia="Times New Roman" w:hAnsi="Verdana" w:cs="Arial"/>
                <w:lang w:eastAsia="es-MX"/>
              </w:rPr>
              <w:t>s</w:t>
            </w:r>
            <w:r w:rsidRPr="00DB4B28">
              <w:rPr>
                <w:rFonts w:ascii="Verdana" w:eastAsia="Times New Roman" w:hAnsi="Verdana" w:cs="Arial"/>
                <w:lang w:eastAsia="es-MX"/>
              </w:rPr>
              <w:t xml:space="preserve"> 9.6 y 237 del Código Procedimiento Administrativo y Contencioso Administrativo.</w:t>
            </w:r>
          </w:p>
          <w:p w14:paraId="63BD3A86" w14:textId="77777777" w:rsidR="00AB1573" w:rsidRDefault="00AB1573" w:rsidP="00E61993">
            <w:pPr>
              <w:spacing w:after="120" w:line="276" w:lineRule="auto"/>
              <w:ind w:firstLine="709"/>
              <w:jc w:val="both"/>
              <w:rPr>
                <w:rFonts w:ascii="Verdana" w:eastAsia="Times New Roman" w:hAnsi="Verdana" w:cs="Arial"/>
                <w:lang w:eastAsia="es-MX"/>
              </w:rPr>
            </w:pPr>
            <w:r>
              <w:rPr>
                <w:rFonts w:ascii="Verdana" w:eastAsia="Calibri" w:hAnsi="Verdana" w:cs="Arial"/>
                <w:color w:val="000000"/>
              </w:rPr>
              <w:t>En consecuencia, conforme a la directriz jurisprudencial del párrafo precedente</w:t>
            </w:r>
            <w:r w:rsidRPr="00AD6B46">
              <w:rPr>
                <w:rFonts w:ascii="Verdana" w:eastAsia="Calibri" w:hAnsi="Verdana" w:cs="Arial"/>
                <w:color w:val="000000"/>
              </w:rPr>
              <w:t>,</w:t>
            </w:r>
            <w:r>
              <w:rPr>
                <w:rFonts w:ascii="Verdana" w:eastAsia="Calibri" w:hAnsi="Verdana" w:cs="Arial"/>
                <w:color w:val="000000"/>
              </w:rPr>
              <w:t xml:space="preserve"> </w:t>
            </w:r>
            <w:r>
              <w:rPr>
                <w:rFonts w:ascii="Verdana" w:eastAsia="Times New Roman" w:hAnsi="Verdana" w:cs="Arial"/>
                <w:lang w:eastAsia="es-MX"/>
              </w:rPr>
              <w:t xml:space="preserve">es la necesidad de la reserva de los documentos del proceso la que habilita la causal de contratación directa para las entidades de sector defensa sometida al EGCAP. Así, </w:t>
            </w:r>
            <w:r w:rsidRPr="00AD6B46">
              <w:rPr>
                <w:rFonts w:ascii="Verdana" w:eastAsia="Calibri" w:hAnsi="Verdana" w:cs="Arial"/>
                <w:color w:val="000000"/>
              </w:rPr>
              <w:t>las reservas de información no están solo reguladas en la Ley 1712 de 2014 y en el artículo 24 de la Ley 1437 de 2011 sustituido por el artículo 2 de la Ley 1755 de 2015, pues existen otras normatividades, como la Ley 1581 de 2012, Ley 1621 de 2013, entre otras, que establecen reservas a la información pública.</w:t>
            </w:r>
          </w:p>
          <w:p w14:paraId="6D7B06F6" w14:textId="77777777" w:rsidR="00AB1573" w:rsidRDefault="00AB1573" w:rsidP="00E61993">
            <w:pPr>
              <w:spacing w:after="120" w:line="276" w:lineRule="auto"/>
              <w:ind w:firstLine="709"/>
              <w:jc w:val="both"/>
              <w:rPr>
                <w:rFonts w:ascii="Verdana" w:eastAsia="Calibri" w:hAnsi="Verdana" w:cs="Arial"/>
                <w:color w:val="000000"/>
                <w:lang w:val="es-ES"/>
              </w:rPr>
            </w:pPr>
            <w:r>
              <w:rPr>
                <w:rFonts w:ascii="Verdana" w:eastAsia="Times New Roman" w:hAnsi="Verdana" w:cs="Arial"/>
                <w:lang w:eastAsia="es-MX"/>
              </w:rPr>
              <w:t xml:space="preserve">Para los efectos del tema objeto de consulta, dicha reserva por lo general se refiere a temas de defensa y seguridad nacional. </w:t>
            </w:r>
            <w:r w:rsidRPr="003E5E57">
              <w:rPr>
                <w:rFonts w:ascii="Verdana" w:eastAsia="Calibri" w:hAnsi="Verdana" w:cs="Arial"/>
                <w:color w:val="000000"/>
                <w:lang w:val="es-ES"/>
              </w:rPr>
              <w:t>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Pr>
                <w:rFonts w:ascii="Verdana" w:eastAsia="Calibri" w:hAnsi="Verdana" w:cs="Arial"/>
                <w:color w:val="000000"/>
                <w:lang w:val="es-ES"/>
              </w:rPr>
              <w:t>.</w:t>
            </w:r>
          </w:p>
          <w:p w14:paraId="23C6F4DE" w14:textId="77777777" w:rsidR="00AB1573" w:rsidRPr="00A76BF5" w:rsidRDefault="00AB1573" w:rsidP="00E61993">
            <w:pPr>
              <w:spacing w:after="120" w:line="276" w:lineRule="auto"/>
              <w:ind w:firstLine="737"/>
              <w:jc w:val="both"/>
              <w:rPr>
                <w:rFonts w:ascii="Verdana" w:eastAsia="Times New Roman" w:hAnsi="Verdana" w:cs="Arial"/>
                <w:bCs/>
                <w:lang w:val="es-MX" w:eastAsia="x-none"/>
              </w:rPr>
            </w:pPr>
            <w:r>
              <w:rPr>
                <w:rFonts w:ascii="Verdana" w:eastAsia="Times New Roman" w:hAnsi="Verdana" w:cs="Arial"/>
                <w:lang w:eastAsia="es-MX"/>
              </w:rPr>
              <w:t xml:space="preserve">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 xml:space="preserve">Las Entidades Estatales no están obligadas a publicar los Documentos del Proceso para adquirir bienes y servicios en el Sector Defensa, la Dirección Nacional de Inteligencia y la Unidad Nacional de Protección que requieren reserva. En estos </w:t>
            </w:r>
            <w:r w:rsidRPr="002A22D8">
              <w:rPr>
                <w:rFonts w:ascii="Verdana" w:eastAsia="Times New Roman" w:hAnsi="Verdana" w:cs="Arial"/>
                <w:lang w:eastAsia="es-MX"/>
              </w:rPr>
              <w:lastRenderedPageBreak/>
              <w:t>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 xml:space="preserve">si coexisten los requisitos de carácter orgánico y material en la causal </w:t>
            </w:r>
            <w:r w:rsidRPr="002A22D8">
              <w:rPr>
                <w:rFonts w:ascii="Verdana" w:eastAsia="Times New Roman" w:hAnsi="Verdana" w:cs="Arial"/>
                <w:i/>
                <w:iCs/>
                <w:lang w:eastAsia="es-MX"/>
              </w:rPr>
              <w:t>sub examine</w:t>
            </w:r>
            <w:r w:rsidRPr="00DB1EA1">
              <w:rPr>
                <w:rFonts w:ascii="Verdana" w:eastAsia="Times New Roman" w:hAnsi="Verdana" w:cs="Arial"/>
                <w:lang w:eastAsia="es-MX"/>
              </w:rPr>
              <w:t xml:space="preserve">, </w:t>
            </w:r>
            <w:r>
              <w:rPr>
                <w:rFonts w:ascii="Verdana" w:eastAsia="Times New Roman" w:hAnsi="Verdana" w:cs="Arial"/>
                <w:lang w:eastAsia="es-MX"/>
              </w:rPr>
              <w:t>pueden</w:t>
            </w:r>
            <w:r w:rsidRPr="00DB1EA1">
              <w:rPr>
                <w:rFonts w:ascii="Verdana" w:eastAsia="Times New Roman" w:hAnsi="Verdana" w:cs="Arial"/>
                <w:lang w:eastAsia="es-MX"/>
              </w:rPr>
              <w:t xml:space="preserve"> </w:t>
            </w:r>
            <w:r>
              <w:rPr>
                <w:rFonts w:ascii="Verdana" w:eastAsia="Times New Roman" w:hAnsi="Verdana" w:cs="Arial"/>
                <w:lang w:eastAsia="es-MX"/>
              </w:rPr>
              <w:t>excepcionarse los procedimientos</w:t>
            </w:r>
            <w:r w:rsidRPr="00DB1EA1">
              <w:rPr>
                <w:rFonts w:ascii="Verdana" w:eastAsia="Times New Roman" w:hAnsi="Verdana" w:cs="Arial"/>
                <w:lang w:eastAsia="es-MX"/>
              </w:rPr>
              <w:t xml:space="preserve"> de selección con pluralidad de oferentes, </w:t>
            </w:r>
            <w:r>
              <w:rPr>
                <w:rFonts w:ascii="Verdana" w:eastAsia="Times New Roman" w:hAnsi="Verdana" w:cs="Arial"/>
                <w:lang w:eastAsia="es-MX"/>
              </w:rPr>
              <w:t>incluso durante la vigencia de la ley de garantías, pues la contratación directa para la defensa y seguridad del Estado está permitida en el inciso segundo del artículo 33 de la Ley 996 de 2005</w:t>
            </w:r>
            <w:r w:rsidRPr="00DB1EA1">
              <w:rPr>
                <w:rFonts w:ascii="Verdana" w:eastAsia="Times New Roman" w:hAnsi="Verdana" w:cs="Arial"/>
                <w:lang w:eastAsia="es-MX"/>
              </w:rPr>
              <w:t>.</w:t>
            </w:r>
          </w:p>
          <w:p w14:paraId="22ACB8E6" w14:textId="77777777" w:rsidR="00AB1573" w:rsidRPr="001941FD" w:rsidRDefault="00AB1573" w:rsidP="00E61993">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41D9804" w14:textId="77777777" w:rsidR="00AB1573" w:rsidRPr="00593A5F" w:rsidRDefault="00AB1573" w:rsidP="00AB1573">
      <w:pPr>
        <w:tabs>
          <w:tab w:val="left" w:pos="142"/>
          <w:tab w:val="left" w:pos="284"/>
        </w:tabs>
        <w:spacing w:after="0" w:line="276" w:lineRule="auto"/>
        <w:jc w:val="both"/>
        <w:rPr>
          <w:rFonts w:ascii="Verdana" w:eastAsia="Century Gothic" w:hAnsi="Verdana" w:cs="Century Gothic"/>
          <w:b/>
          <w:bCs/>
          <w:lang w:val="es-ES"/>
        </w:rPr>
      </w:pPr>
    </w:p>
    <w:bookmarkEnd w:id="1"/>
    <w:p w14:paraId="7E5D9615" w14:textId="77777777" w:rsidR="00AB1573" w:rsidRPr="00593A5F" w:rsidRDefault="00AB1573" w:rsidP="00AB157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753B284" w14:textId="77777777" w:rsidR="00AB1573" w:rsidRPr="00593A5F" w:rsidRDefault="00AB1573" w:rsidP="00AB1573">
      <w:pPr>
        <w:spacing w:after="0" w:line="276" w:lineRule="auto"/>
        <w:jc w:val="both"/>
        <w:rPr>
          <w:rFonts w:ascii="Verdana" w:eastAsia="Calibri" w:hAnsi="Verdana" w:cs="Arial"/>
          <w:color w:val="7030A0"/>
          <w:lang w:val="es-ES"/>
        </w:rPr>
      </w:pPr>
    </w:p>
    <w:p w14:paraId="10F45AC8" w14:textId="77777777" w:rsidR="00AB1573" w:rsidRDefault="00AB1573" w:rsidP="00AB157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94B628E" w14:textId="77777777" w:rsidR="00AB1573" w:rsidRDefault="00AB1573" w:rsidP="00AB1573">
      <w:pPr>
        <w:spacing w:after="0" w:line="276" w:lineRule="auto"/>
        <w:jc w:val="both"/>
        <w:rPr>
          <w:rFonts w:ascii="Verdana" w:eastAsia="Calibri" w:hAnsi="Verdana" w:cs="Arial"/>
          <w:lang w:val="es-ES"/>
        </w:rPr>
      </w:pPr>
    </w:p>
    <w:p w14:paraId="2C10A865" w14:textId="77777777" w:rsidR="00AB1573" w:rsidRPr="009E105D" w:rsidRDefault="00AB1573" w:rsidP="00AB1573">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1"/>
      </w:r>
      <w:r w:rsidRPr="009E105D">
        <w:rPr>
          <w:rFonts w:ascii="Verdana" w:eastAsia="Calibri" w:hAnsi="Verdana" w:cs="Arial"/>
        </w:rPr>
        <w:t xml:space="preserve">. </w:t>
      </w:r>
    </w:p>
    <w:p w14:paraId="1618F71F" w14:textId="77777777" w:rsidR="00AB1573" w:rsidRPr="009E105D" w:rsidRDefault="00AB1573" w:rsidP="00AB1573">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lastRenderedPageBreak/>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2"/>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6CD1E3A" w14:textId="77777777" w:rsidR="00AB1573" w:rsidRPr="009E105D" w:rsidRDefault="00AB1573" w:rsidP="00AB1573">
      <w:pPr>
        <w:spacing w:after="0" w:line="276" w:lineRule="auto"/>
        <w:ind w:right="709"/>
        <w:contextualSpacing/>
        <w:jc w:val="both"/>
        <w:rPr>
          <w:rFonts w:ascii="Verdana" w:eastAsia="Times New Roman" w:hAnsi="Verdana" w:cs="Arial"/>
          <w:sz w:val="21"/>
          <w:szCs w:val="21"/>
          <w:lang w:val="es-ES" w:eastAsia="es-CO"/>
        </w:rPr>
      </w:pPr>
    </w:p>
    <w:p w14:paraId="160D793B" w14:textId="77777777" w:rsidR="00AB1573" w:rsidRPr="00E066AC" w:rsidRDefault="00AB1573" w:rsidP="00AB1573">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DF07DF7" w14:textId="77777777" w:rsidR="00AB1573" w:rsidRDefault="00AB1573" w:rsidP="00AB1573">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2E1D22AE" w14:textId="77777777" w:rsidR="00AB1573" w:rsidRPr="00E066AC" w:rsidRDefault="00AB1573" w:rsidP="00AB1573">
      <w:pPr>
        <w:spacing w:after="120" w:line="240" w:lineRule="auto"/>
        <w:ind w:left="709" w:right="709"/>
        <w:contextualSpacing/>
        <w:jc w:val="both"/>
        <w:rPr>
          <w:rFonts w:ascii="Verdana" w:eastAsia="Times New Roman" w:hAnsi="Verdana" w:cs="Arial"/>
          <w:sz w:val="12"/>
          <w:szCs w:val="12"/>
          <w:lang w:val="es-MX" w:eastAsia="es-CO"/>
        </w:rPr>
      </w:pPr>
    </w:p>
    <w:p w14:paraId="2EC83EA9" w14:textId="77777777" w:rsidR="00AB1573" w:rsidRPr="00E066AC" w:rsidRDefault="00AB1573" w:rsidP="00AB1573">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3"/>
      </w:r>
      <w:r w:rsidRPr="00E066AC">
        <w:rPr>
          <w:rFonts w:ascii="Verdana" w:eastAsia="Times New Roman" w:hAnsi="Verdana" w:cs="Arial"/>
          <w:sz w:val="20"/>
          <w:szCs w:val="20"/>
          <w:lang w:val="es-MX" w:eastAsia="es-CO"/>
        </w:rPr>
        <w:t>.</w:t>
      </w:r>
    </w:p>
    <w:p w14:paraId="53189DE1" w14:textId="77777777" w:rsidR="00AB1573" w:rsidRPr="009E105D" w:rsidRDefault="00AB1573" w:rsidP="00AB1573">
      <w:pPr>
        <w:spacing w:after="0" w:line="276" w:lineRule="auto"/>
        <w:ind w:left="709" w:right="709"/>
        <w:contextualSpacing/>
        <w:jc w:val="both"/>
        <w:rPr>
          <w:rFonts w:ascii="Verdana" w:eastAsia="Times New Roman" w:hAnsi="Verdana" w:cs="Arial"/>
          <w:sz w:val="21"/>
          <w:szCs w:val="21"/>
          <w:lang w:val="es-MX" w:eastAsia="es-CO"/>
        </w:rPr>
      </w:pPr>
    </w:p>
    <w:p w14:paraId="726D9B53" w14:textId="77777777" w:rsidR="00AB1573" w:rsidRPr="009E105D" w:rsidRDefault="00AB1573" w:rsidP="00AB1573">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71ECB024" w14:textId="77777777" w:rsidR="00AB1573" w:rsidRPr="009E105D" w:rsidRDefault="00AB1573" w:rsidP="00AB1573">
      <w:pPr>
        <w:spacing w:after="0" w:line="276" w:lineRule="auto"/>
        <w:ind w:firstLine="709"/>
        <w:contextualSpacing/>
        <w:jc w:val="both"/>
        <w:rPr>
          <w:rFonts w:ascii="Verdana" w:eastAsia="Times New Roman" w:hAnsi="Verdana" w:cs="Arial"/>
          <w:lang w:val="es-MX" w:eastAsia="es-CO"/>
        </w:rPr>
      </w:pPr>
    </w:p>
    <w:p w14:paraId="202E51FC" w14:textId="77777777" w:rsidR="00AB1573" w:rsidRPr="00E066AC" w:rsidRDefault="00AB1573" w:rsidP="00AB1573">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lastRenderedPageBreak/>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C0C0298" w14:textId="77777777" w:rsidR="00AB1573" w:rsidRPr="00E066AC" w:rsidRDefault="00AB1573" w:rsidP="00AB1573">
      <w:pPr>
        <w:spacing w:after="0" w:line="240" w:lineRule="auto"/>
        <w:ind w:right="709"/>
        <w:contextualSpacing/>
        <w:jc w:val="both"/>
        <w:rPr>
          <w:rFonts w:ascii="Verdana" w:eastAsia="Times New Roman" w:hAnsi="Verdana" w:cs="Arial"/>
          <w:sz w:val="12"/>
          <w:szCs w:val="12"/>
          <w:lang w:val="es-MX" w:eastAsia="es-CO"/>
        </w:rPr>
      </w:pPr>
    </w:p>
    <w:p w14:paraId="63CC5716" w14:textId="77777777" w:rsidR="00AB1573" w:rsidRPr="00E066AC" w:rsidRDefault="00AB1573" w:rsidP="00AB1573">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4"/>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w:t>
      </w:r>
    </w:p>
    <w:p w14:paraId="3135C6FA" w14:textId="77777777" w:rsidR="00AB1573" w:rsidRPr="009E105D" w:rsidRDefault="00AB1573" w:rsidP="00AB1573">
      <w:pPr>
        <w:spacing w:after="0" w:line="276" w:lineRule="auto"/>
        <w:ind w:right="709"/>
        <w:contextualSpacing/>
        <w:jc w:val="both"/>
        <w:rPr>
          <w:rFonts w:ascii="Verdana" w:eastAsia="Times New Roman" w:hAnsi="Verdana" w:cs="Arial"/>
          <w:sz w:val="21"/>
          <w:szCs w:val="21"/>
          <w:lang w:val="es-MX" w:eastAsia="es-CO"/>
        </w:rPr>
      </w:pPr>
    </w:p>
    <w:p w14:paraId="771F3271" w14:textId="77777777" w:rsidR="00AB1573" w:rsidRPr="009E105D" w:rsidRDefault="00AB1573" w:rsidP="00AB1573">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02DF2027" w14:textId="77777777" w:rsidR="00AB1573" w:rsidRPr="009E105D" w:rsidRDefault="00AB1573" w:rsidP="00AB1573">
      <w:pPr>
        <w:spacing w:after="120" w:line="276" w:lineRule="auto"/>
        <w:ind w:firstLine="708"/>
        <w:jc w:val="both"/>
        <w:rPr>
          <w:rFonts w:ascii="Verdana" w:eastAsia="Calibri" w:hAnsi="Verdana" w:cs="Arial"/>
        </w:rPr>
      </w:pPr>
      <w:r w:rsidRPr="00C50FB4">
        <w:rPr>
          <w:rFonts w:ascii="Verdana" w:eastAsia="Calibri" w:hAnsi="Verdana" w:cs="Arial"/>
          <w:i/>
          <w:iCs/>
        </w:rPr>
        <w:lastRenderedPageBreak/>
        <w:t>Por un lado</w:t>
      </w:r>
      <w:r w:rsidRPr="009E105D">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7"/>
      </w:r>
      <w:r w:rsidRPr="009E105D">
        <w:rPr>
          <w:rFonts w:ascii="Verdana" w:eastAsia="Calibri" w:hAnsi="Verdana" w:cs="Arial"/>
        </w:rPr>
        <w:t>.</w:t>
      </w:r>
    </w:p>
    <w:p w14:paraId="44E11876" w14:textId="77777777" w:rsidR="00AB1573" w:rsidRPr="009E105D" w:rsidRDefault="00AB1573" w:rsidP="00AB157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8"/>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0A744BBA" w14:textId="77777777" w:rsidR="00AB1573" w:rsidRPr="009E105D" w:rsidRDefault="00AB1573" w:rsidP="00AB1573">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A89D56B" w14:textId="77777777" w:rsidR="00AB1573" w:rsidRPr="00E066AC" w:rsidRDefault="00AB1573" w:rsidP="00AB1573">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w:t>
      </w:r>
      <w:r w:rsidRPr="00E066AC">
        <w:rPr>
          <w:rFonts w:ascii="Verdana" w:eastAsia="Arial" w:hAnsi="Verdana" w:cs="Arial"/>
          <w:sz w:val="20"/>
          <w:szCs w:val="20"/>
          <w:lang w:val="es-ES" w:eastAsia="es-ES" w:bidi="es-ES"/>
        </w:rPr>
        <w:lastRenderedPageBreak/>
        <w:t xml:space="preserve">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066AC">
        <w:rPr>
          <w:rFonts w:ascii="Verdana" w:eastAsia="Arial" w:hAnsi="Verdana" w:cs="Arial"/>
          <w:sz w:val="20"/>
          <w:szCs w:val="20"/>
          <w:lang w:val="es-ES" w:eastAsia="es-ES" w:bidi="es-ES"/>
        </w:rPr>
        <w:t>Presidente</w:t>
      </w:r>
      <w:proofErr w:type="gramEnd"/>
      <w:r w:rsidRPr="00E066AC">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9"/>
      </w:r>
      <w:r w:rsidRPr="00E066AC">
        <w:rPr>
          <w:rFonts w:ascii="Verdana" w:eastAsia="Arial" w:hAnsi="Verdana" w:cs="Arial"/>
          <w:sz w:val="20"/>
          <w:szCs w:val="20"/>
          <w:lang w:val="es-ES" w:eastAsia="es-ES" w:bidi="es-ES"/>
        </w:rPr>
        <w:t>.</w:t>
      </w:r>
    </w:p>
    <w:p w14:paraId="04CD4237" w14:textId="77777777" w:rsidR="00AB1573" w:rsidRPr="009E105D" w:rsidRDefault="00AB1573" w:rsidP="00AB1573">
      <w:pPr>
        <w:widowControl w:val="0"/>
        <w:autoSpaceDE w:val="0"/>
        <w:autoSpaceDN w:val="0"/>
        <w:spacing w:after="0" w:line="276" w:lineRule="auto"/>
        <w:contextualSpacing/>
        <w:rPr>
          <w:rFonts w:ascii="Verdana" w:eastAsia="Arial" w:hAnsi="Verdana" w:cs="Arial"/>
          <w:lang w:val="es-ES" w:eastAsia="es-ES" w:bidi="es-ES"/>
        </w:rPr>
      </w:pPr>
    </w:p>
    <w:p w14:paraId="5171F160" w14:textId="77777777" w:rsidR="00AB1573" w:rsidRPr="009E105D" w:rsidRDefault="00AB1573" w:rsidP="00AB1573">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1B45CEF6" w14:textId="77777777" w:rsidR="00AB1573" w:rsidRPr="009E105D" w:rsidRDefault="00AB1573" w:rsidP="00AB1573">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60217A19" w14:textId="77777777" w:rsidR="00AB1573" w:rsidRDefault="00AB1573" w:rsidP="00AB1573">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lastRenderedPageBreak/>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7F55FCE6" w14:textId="77777777" w:rsidR="00AB1573" w:rsidRDefault="00AB1573" w:rsidP="00AB1573">
      <w:pPr>
        <w:spacing w:after="0" w:line="276" w:lineRule="auto"/>
        <w:jc w:val="both"/>
        <w:rPr>
          <w:rFonts w:ascii="Verdana" w:eastAsia="Arial" w:hAnsi="Verdana" w:cs="Arial"/>
          <w:lang w:val="es-ES" w:eastAsia="es-ES" w:bidi="es-ES"/>
        </w:rPr>
      </w:pPr>
    </w:p>
    <w:p w14:paraId="20D4125F" w14:textId="77777777" w:rsidR="00AB1573" w:rsidRPr="00F8199A" w:rsidRDefault="00AB1573" w:rsidP="00AB1573">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02D181EF" w14:textId="77777777" w:rsidR="00AB1573" w:rsidRPr="00F8199A" w:rsidRDefault="00AB1573" w:rsidP="00AB1573">
      <w:pPr>
        <w:spacing w:after="0" w:line="276" w:lineRule="auto"/>
        <w:ind w:left="708" w:right="709"/>
        <w:jc w:val="both"/>
        <w:rPr>
          <w:rFonts w:ascii="Verdana" w:hAnsi="Verdana" w:cs="Arial"/>
          <w:lang w:val="es-MX"/>
        </w:rPr>
      </w:pPr>
    </w:p>
    <w:p w14:paraId="3A7262E0" w14:textId="77777777" w:rsidR="00AB1573" w:rsidRPr="00F8199A" w:rsidRDefault="00AB1573" w:rsidP="00AB1573">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5147F5EE" w14:textId="77777777" w:rsidR="00AB1573" w:rsidRPr="00F8199A" w:rsidRDefault="00AB1573" w:rsidP="00AB1573">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1"/>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w:t>
      </w:r>
      <w:r w:rsidRPr="00F8199A">
        <w:rPr>
          <w:rFonts w:ascii="Verdana" w:hAnsi="Verdana" w:cs="Arial"/>
          <w:sz w:val="20"/>
          <w:szCs w:val="20"/>
          <w:lang w:val="es-MX"/>
        </w:rPr>
        <w:lastRenderedPageBreak/>
        <w:t>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2"/>
      </w:r>
      <w:r w:rsidRPr="00F8199A">
        <w:rPr>
          <w:rFonts w:ascii="Verdana" w:hAnsi="Verdana" w:cs="Arial"/>
          <w:sz w:val="20"/>
          <w:szCs w:val="20"/>
          <w:lang w:val="es-MX"/>
        </w:rPr>
        <w:t>.</w:t>
      </w:r>
    </w:p>
    <w:p w14:paraId="50B29209" w14:textId="77777777" w:rsidR="00AB1573" w:rsidRPr="00F8199A" w:rsidRDefault="00AB1573" w:rsidP="00AB1573">
      <w:pPr>
        <w:shd w:val="clear" w:color="auto" w:fill="FFFFFF"/>
        <w:spacing w:after="0" w:line="276" w:lineRule="auto"/>
        <w:ind w:firstLine="709"/>
        <w:jc w:val="both"/>
        <w:rPr>
          <w:rFonts w:ascii="Verdana" w:hAnsi="Verdana" w:cs="Arial"/>
          <w:lang w:eastAsia="x-none"/>
        </w:rPr>
      </w:pPr>
    </w:p>
    <w:p w14:paraId="6D9956A8" w14:textId="77777777" w:rsidR="00AB1573" w:rsidRPr="00F8199A" w:rsidRDefault="00AB1573" w:rsidP="00AB1573">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w:t>
      </w:r>
    </w:p>
    <w:p w14:paraId="2E9E60BF" w14:textId="77777777" w:rsidR="00AB1573" w:rsidRPr="00F8199A" w:rsidRDefault="00AB1573" w:rsidP="00AB1573">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5"/>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0CF240A7" w14:textId="77777777" w:rsidR="00AB1573" w:rsidRPr="00F8199A" w:rsidRDefault="00AB1573" w:rsidP="00AB1573">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xml:space="preserve">, es que la convocatoria para </w:t>
      </w:r>
      <w:r w:rsidRPr="00F8199A">
        <w:rPr>
          <w:rFonts w:ascii="Verdana" w:hAnsi="Verdana" w:cs="Arial"/>
          <w:lang w:eastAsia="x-none"/>
        </w:rPr>
        <w:lastRenderedPageBreak/>
        <w:t>inscribirse en forma previa se haga de manera pública, y que se permita la participación de una pluralidad de oferentes</w:t>
      </w:r>
      <w:r w:rsidRPr="00F8199A">
        <w:rPr>
          <w:rFonts w:ascii="Verdana" w:hAnsi="Verdana" w:cs="Arial"/>
          <w:vertAlign w:val="superscript"/>
          <w:lang w:eastAsia="x-none"/>
        </w:rPr>
        <w:footnoteReference w:id="16"/>
      </w:r>
      <w:r w:rsidRPr="00F8199A">
        <w:rPr>
          <w:rFonts w:ascii="Verdana" w:hAnsi="Verdana" w:cs="Arial"/>
          <w:lang w:eastAsia="x-none"/>
        </w:rPr>
        <w:t xml:space="preserve">. </w:t>
      </w:r>
    </w:p>
    <w:p w14:paraId="44A70229" w14:textId="77777777" w:rsidR="00AB1573" w:rsidRPr="00F8199A" w:rsidRDefault="00AB1573" w:rsidP="00AB1573">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560AC146" w14:textId="77777777" w:rsidR="00AB1573" w:rsidRPr="00F8199A" w:rsidRDefault="00AB1573" w:rsidP="00AB1573">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75A58739" w14:textId="77777777" w:rsidR="00AB1573" w:rsidRPr="00F8199A" w:rsidRDefault="00AB1573" w:rsidP="00AB1573">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A418C04" w14:textId="77777777" w:rsidR="00AB1573" w:rsidRPr="00F8199A" w:rsidRDefault="00AB1573" w:rsidP="00AB1573">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2"/>
    </w:p>
    <w:p w14:paraId="6FA56E76" w14:textId="77777777" w:rsidR="00AB1573" w:rsidRPr="00F8199A" w:rsidRDefault="00AB1573" w:rsidP="00AB1573">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lastRenderedPageBreak/>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88B8C1F" w14:textId="77777777" w:rsidR="00AB1573" w:rsidRDefault="00AB1573" w:rsidP="00AB1573">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8"/>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5C8B4046" w14:textId="77777777" w:rsidR="00AB1573" w:rsidRPr="00F8199A" w:rsidRDefault="00AB1573" w:rsidP="00AB1573">
      <w:pPr>
        <w:spacing w:after="0" w:line="276" w:lineRule="auto"/>
        <w:ind w:firstLine="708"/>
        <w:jc w:val="both"/>
        <w:rPr>
          <w:rFonts w:ascii="Verdana" w:hAnsi="Verdana" w:cs="Arial"/>
          <w:bCs/>
          <w:lang w:val="es-MX" w:eastAsia="x-none"/>
        </w:rPr>
      </w:pPr>
    </w:p>
    <w:p w14:paraId="652DB46A" w14:textId="77777777" w:rsidR="00AB1573" w:rsidRPr="00A45D99" w:rsidRDefault="00AB1573" w:rsidP="00AB1573">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w:t>
      </w:r>
      <w:r w:rsidRPr="00A45D99">
        <w:rPr>
          <w:rFonts w:ascii="Verdana" w:hAnsi="Verdana" w:cs="Arial"/>
          <w:bCs/>
          <w:lang w:val="es-MX" w:eastAsia="x-none"/>
        </w:rPr>
        <w:lastRenderedPageBreak/>
        <w:t xml:space="preserve">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256F316F" w14:textId="77777777" w:rsidR="00AB1573" w:rsidRPr="00A45D99" w:rsidRDefault="00AB1573" w:rsidP="00AB1573">
      <w:pPr>
        <w:spacing w:after="0" w:line="276" w:lineRule="auto"/>
        <w:ind w:firstLine="708"/>
        <w:jc w:val="both"/>
        <w:rPr>
          <w:rFonts w:ascii="Verdana" w:hAnsi="Verdana" w:cs="Arial"/>
          <w:bCs/>
          <w:lang w:val="es-MX" w:eastAsia="x-none"/>
        </w:rPr>
      </w:pPr>
    </w:p>
    <w:p w14:paraId="35C82A85" w14:textId="77777777" w:rsidR="00AB1573" w:rsidRPr="00A45D99" w:rsidRDefault="00AB1573" w:rsidP="00AB1573">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9"/>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5B13F6D3" w14:textId="77777777" w:rsidR="00AB1573" w:rsidRPr="00A45D99" w:rsidRDefault="00AB1573" w:rsidP="00AB1573">
      <w:pPr>
        <w:spacing w:after="0" w:line="276" w:lineRule="auto"/>
        <w:ind w:firstLine="708"/>
        <w:jc w:val="both"/>
        <w:rPr>
          <w:rFonts w:ascii="Verdana" w:hAnsi="Verdana" w:cs="Arial"/>
          <w:bCs/>
          <w:lang w:val="es-MX" w:eastAsia="es-CO"/>
        </w:rPr>
      </w:pPr>
    </w:p>
    <w:p w14:paraId="27F0D392" w14:textId="77777777" w:rsidR="00AB1573" w:rsidRPr="00A45D99" w:rsidRDefault="00AB1573" w:rsidP="00AB1573">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0"/>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5CF1567D" w14:textId="77777777" w:rsidR="00AB1573" w:rsidRPr="00A45D99" w:rsidRDefault="00AB1573" w:rsidP="00AB1573">
      <w:pPr>
        <w:spacing w:after="0" w:line="276" w:lineRule="auto"/>
        <w:jc w:val="both"/>
        <w:rPr>
          <w:rFonts w:ascii="Verdana" w:hAnsi="Verdana" w:cs="Arial"/>
          <w:lang w:val="es-MX"/>
        </w:rPr>
      </w:pPr>
    </w:p>
    <w:p w14:paraId="318FDA12" w14:textId="77777777" w:rsidR="00AB1573" w:rsidRPr="00A45D99" w:rsidRDefault="00AB1573" w:rsidP="00AB1573">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A45D99">
        <w:rPr>
          <w:rFonts w:ascii="Verdana" w:hAnsi="Verdana" w:cs="Arial"/>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1"/>
      </w:r>
      <w:r w:rsidRPr="00A45D99">
        <w:rPr>
          <w:rFonts w:ascii="Verdana" w:hAnsi="Verdana" w:cs="Arial"/>
          <w:bCs/>
          <w:sz w:val="20"/>
          <w:szCs w:val="20"/>
          <w:lang w:val="es-MX" w:eastAsia="x-none"/>
        </w:rPr>
        <w:t>.</w:t>
      </w:r>
    </w:p>
    <w:p w14:paraId="76ADA426" w14:textId="77777777" w:rsidR="00AB1573" w:rsidRPr="00A45D99" w:rsidRDefault="00AB1573" w:rsidP="00AB1573">
      <w:pPr>
        <w:spacing w:after="0" w:line="276" w:lineRule="auto"/>
        <w:jc w:val="both"/>
        <w:rPr>
          <w:rFonts w:ascii="Verdana" w:hAnsi="Verdana" w:cs="Arial"/>
          <w:lang w:val="es-MX"/>
        </w:rPr>
      </w:pPr>
    </w:p>
    <w:p w14:paraId="7E7F4E2C" w14:textId="77777777" w:rsidR="00AB1573" w:rsidRPr="00A45D99" w:rsidRDefault="00AB1573" w:rsidP="00AB1573">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2"/>
      </w:r>
      <w:r w:rsidRPr="00A45D99">
        <w:rPr>
          <w:rFonts w:ascii="Verdana" w:hAnsi="Verdana" w:cs="Arial"/>
          <w:lang w:val="es-MX"/>
        </w:rPr>
        <w:t>.</w:t>
      </w:r>
    </w:p>
    <w:bookmarkEnd w:id="15"/>
    <w:p w14:paraId="74E6DE4D" w14:textId="77777777" w:rsidR="00AB1573" w:rsidRDefault="00AB1573" w:rsidP="00AB1573">
      <w:pPr>
        <w:spacing w:after="0" w:line="276" w:lineRule="auto"/>
        <w:ind w:firstLine="708"/>
        <w:jc w:val="both"/>
        <w:rPr>
          <w:rFonts w:ascii="Verdana" w:hAnsi="Verdana" w:cs="Arial"/>
          <w:bCs/>
          <w:lang w:val="es-MX" w:eastAsia="x-none"/>
        </w:rPr>
      </w:pPr>
      <w:r w:rsidRPr="00A45D99">
        <w:rPr>
          <w:rFonts w:ascii="Verdana" w:hAnsi="Verdana" w:cs="Arial"/>
          <w:lang w:val="es-MX"/>
        </w:rPr>
        <w:t xml:space="preserve">Por lo tanto, la restricción prevista en la Ley 996 de 2005,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7EB149A" w14:textId="77777777" w:rsidR="00AB1573" w:rsidRDefault="00AB1573" w:rsidP="00AB1573">
      <w:pPr>
        <w:spacing w:after="0" w:line="276" w:lineRule="auto"/>
        <w:ind w:firstLine="708"/>
        <w:jc w:val="both"/>
        <w:rPr>
          <w:rFonts w:ascii="Verdana" w:hAnsi="Verdana" w:cs="Arial"/>
          <w:bCs/>
          <w:lang w:val="es-MX" w:eastAsia="x-none"/>
        </w:rPr>
      </w:pPr>
    </w:p>
    <w:p w14:paraId="70822FAF" w14:textId="77777777" w:rsidR="00AB1573" w:rsidRPr="0004207F" w:rsidRDefault="00AB1573" w:rsidP="00AB1573">
      <w:pPr>
        <w:spacing w:after="120" w:line="276" w:lineRule="auto"/>
        <w:jc w:val="both"/>
        <w:rPr>
          <w:rFonts w:ascii="Verdana" w:hAnsi="Verdana" w:cs="Arial"/>
          <w:bCs/>
          <w:lang w:val="es-MX" w:eastAsia="x-none"/>
        </w:rPr>
      </w:pPr>
      <w:r w:rsidRPr="0004207F">
        <w:rPr>
          <w:rFonts w:ascii="Verdana" w:hAnsi="Verdana" w:cs="Arial"/>
          <w:bCs/>
          <w:lang w:val="es-MX" w:eastAsia="x-none"/>
        </w:rPr>
        <w:t xml:space="preserve">iv. Es importante reiterar que el segundo inciso del artículo 33 de la Ley de Garantías Electorales consagró las excepciones aplicables a la prohibición de contratación directa establecida en el mismo artículo. La Sala de Consulta y </w:t>
      </w:r>
      <w:r w:rsidRPr="0004207F">
        <w:rPr>
          <w:rFonts w:ascii="Verdana" w:hAnsi="Verdana" w:cs="Arial"/>
          <w:bCs/>
          <w:lang w:val="es-MX" w:eastAsia="x-none"/>
        </w:rPr>
        <w:lastRenderedPageBreak/>
        <w:t>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3"/>
      </w:r>
      <w:r w:rsidRPr="0004207F">
        <w:rPr>
          <w:rFonts w:ascii="Verdana" w:hAnsi="Verdana" w:cs="Arial"/>
          <w:bCs/>
          <w:lang w:val="es-MX" w:eastAsia="x-none"/>
        </w:rPr>
        <w:t>.</w:t>
      </w:r>
    </w:p>
    <w:p w14:paraId="4D6C4150" w14:textId="77777777" w:rsidR="00AB1573" w:rsidRPr="0004207F" w:rsidRDefault="00AB1573" w:rsidP="70BB5D8B">
      <w:pPr>
        <w:shd w:val="clear" w:color="auto" w:fill="FFFFFF" w:themeFill="background1"/>
        <w:spacing w:after="120" w:line="276" w:lineRule="auto"/>
        <w:ind w:firstLine="709"/>
        <w:jc w:val="both"/>
        <w:rPr>
          <w:rFonts w:ascii="Verdana" w:hAnsi="Verdana" w:cs="Arial"/>
          <w:lang w:val="es-ES" w:eastAsia="es-CO"/>
        </w:rPr>
      </w:pPr>
      <w:r w:rsidRPr="70BB5D8B">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70BB5D8B">
        <w:rPr>
          <w:rFonts w:ascii="Verdana" w:hAnsi="Verdana" w:cs="Arial"/>
          <w:lang w:val="es-ES" w:eastAsia="es-CO"/>
        </w:rPr>
        <w:t>exequibilidad</w:t>
      </w:r>
      <w:proofErr w:type="spellEnd"/>
      <w:r w:rsidRPr="70BB5D8B">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70BB5D8B">
        <w:rPr>
          <w:rStyle w:val="Refdenotaalpie"/>
          <w:rFonts w:ascii="Verdana" w:hAnsi="Verdana" w:cs="Arial"/>
          <w:lang w:val="es-ES" w:eastAsia="es-CO"/>
        </w:rPr>
        <w:footnoteReference w:id="24"/>
      </w:r>
      <w:r w:rsidRPr="70BB5D8B">
        <w:rPr>
          <w:rFonts w:ascii="Verdana" w:hAnsi="Verdana" w:cs="Arial"/>
          <w:lang w:val="es-ES" w:eastAsia="es-CO"/>
        </w:rPr>
        <w:t xml:space="preserve">. </w:t>
      </w:r>
    </w:p>
    <w:p w14:paraId="4D1273C0" w14:textId="77777777" w:rsidR="00AB1573" w:rsidRDefault="00AB1573" w:rsidP="00AB1573">
      <w:pPr>
        <w:shd w:val="clear" w:color="auto" w:fill="FFFFFF"/>
        <w:spacing w:after="0" w:line="276" w:lineRule="auto"/>
        <w:ind w:firstLine="709"/>
        <w:jc w:val="both"/>
        <w:rPr>
          <w:rFonts w:ascii="Verdana" w:eastAsia="Times New Roman" w:hAnsi="Verdana" w:cs="Arial"/>
          <w:lang w:val="es-ES" w:eastAsia="es-MX"/>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r>
        <w:rPr>
          <w:rFonts w:ascii="Verdana" w:hAnsi="Verdana" w:cs="Arial"/>
          <w:lang w:val="es-ES_tradnl" w:eastAsia="es-CO"/>
        </w:rPr>
        <w:t xml:space="preserve"> </w:t>
      </w:r>
      <w:r w:rsidRPr="0004207F">
        <w:rPr>
          <w:rFonts w:ascii="Verdana" w:hAnsi="Verdana" w:cs="Arial"/>
          <w:bCs/>
          <w:lang w:val="es-MX" w:eastAsia="x-none"/>
        </w:rPr>
        <w:t>Entre las excepciones del artículo en comento se encuentra</w:t>
      </w:r>
      <w:r>
        <w:rPr>
          <w:rFonts w:ascii="Verdana" w:hAnsi="Verdana" w:cs="Arial"/>
          <w:bCs/>
          <w:lang w:val="es-MX" w:eastAsia="x-none"/>
        </w:rPr>
        <w:t>n los contratos relacionados</w:t>
      </w:r>
      <w:r w:rsidRPr="0004207F">
        <w:rPr>
          <w:rFonts w:ascii="Verdana" w:hAnsi="Verdana" w:cs="Arial"/>
          <w:bCs/>
          <w:lang w:val="es-MX" w:eastAsia="x-none"/>
        </w:rPr>
        <w:t xml:space="preserve"> “[…] </w:t>
      </w:r>
      <w:r w:rsidRPr="002B4ED7">
        <w:rPr>
          <w:rFonts w:ascii="Verdana" w:hAnsi="Verdana" w:cs="Arial"/>
          <w:bCs/>
          <w:lang w:val="es-MX" w:eastAsia="x-none"/>
        </w:rPr>
        <w:t>la defensa y seguridad del Estado</w:t>
      </w:r>
      <w:r w:rsidRPr="0004207F">
        <w:rPr>
          <w:rFonts w:ascii="Verdana" w:hAnsi="Verdana" w:cs="Arial"/>
          <w:bCs/>
          <w:lang w:eastAsia="x-none"/>
        </w:rPr>
        <w:t xml:space="preserve"> […]</w:t>
      </w:r>
      <w:r w:rsidRPr="0004207F">
        <w:rPr>
          <w:rFonts w:ascii="Verdana" w:hAnsi="Verdana" w:cs="Arial"/>
          <w:bCs/>
          <w:lang w:val="es-MX" w:eastAsia="x-none"/>
        </w:rPr>
        <w:t>”</w:t>
      </w:r>
      <w:r w:rsidRPr="0004207F">
        <w:rPr>
          <w:rFonts w:ascii="Verdana" w:eastAsia="Calibri" w:hAnsi="Verdana" w:cs="Arial"/>
        </w:rPr>
        <w:t>.</w:t>
      </w:r>
      <w:r>
        <w:rPr>
          <w:rFonts w:ascii="Verdana" w:eastAsia="Times New Roman" w:hAnsi="Verdana" w:cs="Arial"/>
          <w:lang w:val="es-ES" w:eastAsia="es-MX"/>
        </w:rPr>
        <w:t xml:space="preserve"> </w:t>
      </w:r>
    </w:p>
    <w:p w14:paraId="57EF76D9" w14:textId="77777777" w:rsidR="00AB1573" w:rsidRDefault="00AB1573" w:rsidP="00AB1573">
      <w:pPr>
        <w:shd w:val="clear" w:color="auto" w:fill="FFFFFF"/>
        <w:spacing w:after="0" w:line="276" w:lineRule="auto"/>
        <w:ind w:firstLine="709"/>
        <w:jc w:val="both"/>
        <w:rPr>
          <w:rFonts w:ascii="Verdana" w:eastAsia="Times New Roman" w:hAnsi="Verdana" w:cs="Arial"/>
          <w:lang w:val="es-ES" w:eastAsia="es-MX"/>
        </w:rPr>
      </w:pPr>
    </w:p>
    <w:p w14:paraId="18AF4477" w14:textId="77777777" w:rsidR="00AB1573" w:rsidRDefault="00AB1573" w:rsidP="00AB1573">
      <w:pPr>
        <w:spacing w:after="120" w:line="276" w:lineRule="auto"/>
        <w:jc w:val="both"/>
        <w:rPr>
          <w:rFonts w:ascii="Verdana" w:eastAsia="Times New Roman" w:hAnsi="Verdana" w:cs="Arial"/>
          <w:lang w:eastAsia="es-MX"/>
        </w:rPr>
      </w:pPr>
      <w:r>
        <w:rPr>
          <w:rFonts w:ascii="Verdana" w:eastAsia="Times New Roman" w:hAnsi="Verdana" w:cs="Arial"/>
          <w:lang w:val="es-ES" w:eastAsia="es-MX"/>
        </w:rPr>
        <w:t xml:space="preserve">v. Respecto a esta excepción, es necesario tener en cuenta que </w:t>
      </w:r>
      <w:r>
        <w:rPr>
          <w:rFonts w:ascii="Verdana" w:eastAsia="Times New Roman" w:hAnsi="Verdana" w:cs="Arial"/>
          <w:lang w:eastAsia="es-MX"/>
        </w:rPr>
        <w:t>el literal d) del artículo 2.4 de la Ley 1150 de 2007 permite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efensa que necesiten reserva para su adquisición</w:t>
      </w:r>
      <w:r>
        <w:rPr>
          <w:rFonts w:ascii="Verdana" w:eastAsia="Times New Roman" w:hAnsi="Verdana" w:cs="Arial"/>
          <w:lang w:eastAsia="es-MX"/>
        </w:rPr>
        <w:t xml:space="preserve">. Dicha causal se sujetan al cumplimiento de dos (2) </w:t>
      </w:r>
      <w:r>
        <w:rPr>
          <w:rFonts w:ascii="Verdana" w:eastAsia="Times New Roman" w:hAnsi="Verdana" w:cs="Arial"/>
          <w:lang w:eastAsia="es-MX"/>
        </w:rPr>
        <w:lastRenderedPageBreak/>
        <w:t>requisitos: uno de carácter orgánico y otro de carácter material. Por un lado, los bienes o servicios deben ser adquiridos por entidades del sector defensa y, por otro, su adquisición debe ser reservada</w:t>
      </w:r>
      <w:r>
        <w:rPr>
          <w:rStyle w:val="Refdenotaalpie"/>
          <w:rFonts w:ascii="Verdana" w:eastAsia="Times New Roman" w:hAnsi="Verdana" w:cs="Arial"/>
          <w:lang w:eastAsia="es-MX"/>
        </w:rPr>
        <w:footnoteReference w:id="25"/>
      </w:r>
      <w:r>
        <w:rPr>
          <w:rFonts w:ascii="Verdana" w:eastAsia="Times New Roman" w:hAnsi="Verdana" w:cs="Arial"/>
          <w:lang w:eastAsia="es-MX"/>
        </w:rPr>
        <w:t>.</w:t>
      </w:r>
    </w:p>
    <w:p w14:paraId="16E256B6" w14:textId="77777777" w:rsidR="00AB1573" w:rsidRDefault="00AB1573" w:rsidP="00AB1573">
      <w:pPr>
        <w:spacing w:after="120" w:line="276" w:lineRule="auto"/>
        <w:ind w:firstLine="709"/>
        <w:jc w:val="both"/>
        <w:rPr>
          <w:rFonts w:ascii="Verdana" w:eastAsia="Times New Roman" w:hAnsi="Verdana" w:cs="Arial"/>
          <w:lang w:eastAsia="es-MX"/>
        </w:rPr>
      </w:pPr>
      <w:r w:rsidRPr="00DB1EA1">
        <w:rPr>
          <w:rFonts w:ascii="Verdana" w:eastAsia="Times New Roman" w:hAnsi="Verdana" w:cs="Arial"/>
          <w:i/>
          <w:iCs/>
          <w:lang w:eastAsia="es-MX"/>
        </w:rPr>
        <w:t xml:space="preserve">En lo que respecta </w:t>
      </w:r>
      <w:r>
        <w:rPr>
          <w:rFonts w:ascii="Verdana" w:eastAsia="Times New Roman" w:hAnsi="Verdana" w:cs="Arial"/>
          <w:i/>
          <w:iCs/>
          <w:lang w:eastAsia="es-MX"/>
        </w:rPr>
        <w:t>al requisito</w:t>
      </w:r>
      <w:r w:rsidRPr="00DB1EA1">
        <w:rPr>
          <w:rFonts w:ascii="Verdana" w:eastAsia="Times New Roman" w:hAnsi="Verdana" w:cs="Arial"/>
          <w:i/>
          <w:iCs/>
          <w:lang w:eastAsia="es-MX"/>
        </w:rPr>
        <w:t xml:space="preserve"> orgánico</w:t>
      </w:r>
      <w:r>
        <w:rPr>
          <w:rFonts w:ascii="Verdana" w:eastAsia="Times New Roman" w:hAnsi="Verdana" w:cs="Arial"/>
          <w:lang w:eastAsia="es-MX"/>
        </w:rPr>
        <w:t>, para entender qué entidades conforman el sector de defensa nacional, es necesario remitirse al artículo 42 de la Ley 489 de 1998. Dicha norma dispone que “</w:t>
      </w:r>
      <w:r w:rsidRPr="00535337">
        <w:rPr>
          <w:rFonts w:ascii="Verdana" w:eastAsia="Times New Roman" w:hAnsi="Verdana" w:cs="Arial"/>
          <w:lang w:eastAsia="es-MX"/>
        </w:rPr>
        <w:t>El Sector Administrativo está integrado por el Ministerio o Departamento Administrativo, las superintendencias y demás entidades que la ley definan como adscritas o vinculadas a aquéllos según correspondiere a cada área</w:t>
      </w:r>
      <w:r>
        <w:rPr>
          <w:rFonts w:ascii="Verdana" w:eastAsia="Times New Roman" w:hAnsi="Verdana" w:cs="Arial"/>
          <w:lang w:eastAsia="es-MX"/>
        </w:rPr>
        <w:t>”</w:t>
      </w:r>
      <w:r w:rsidRPr="00535337">
        <w:rPr>
          <w:rFonts w:ascii="Verdana" w:eastAsia="Times New Roman" w:hAnsi="Verdana" w:cs="Arial"/>
          <w:lang w:eastAsia="es-MX"/>
        </w:rPr>
        <w:t>.</w:t>
      </w:r>
      <w:r>
        <w:rPr>
          <w:rFonts w:ascii="Verdana" w:eastAsia="Times New Roman" w:hAnsi="Verdana" w:cs="Arial"/>
          <w:lang w:eastAsia="es-MX"/>
        </w:rPr>
        <w:t xml:space="preserve"> En la misma línea, el parágrafo del artículo 50 </w:t>
      </w:r>
      <w:r w:rsidRPr="00535337">
        <w:rPr>
          <w:rFonts w:ascii="Verdana" w:eastAsia="Times New Roman" w:hAnsi="Verdana" w:cs="Arial"/>
          <w:i/>
          <w:iCs/>
          <w:lang w:eastAsia="es-MX"/>
        </w:rPr>
        <w:t>ibidem</w:t>
      </w:r>
      <w:r>
        <w:rPr>
          <w:rFonts w:ascii="Verdana" w:eastAsia="Times New Roman" w:hAnsi="Verdana" w:cs="Arial"/>
          <w:lang w:eastAsia="es-MX"/>
        </w:rPr>
        <w:t xml:space="preserve"> indica lo siguiente: “</w:t>
      </w:r>
      <w:r w:rsidRPr="00535337">
        <w:rPr>
          <w:rFonts w:ascii="Verdana" w:eastAsia="Times New Roman" w:hAnsi="Verdana" w:cs="Arial"/>
          <w:lang w:eastAsia="es-MX"/>
        </w:rPr>
        <w:t>Las superintendencias, los establecimientos públicos y las unidades administrativas especiales estarán adscritos a los ministerios o departamentos administrativos; las empresas industriales y comerciales del Estado y las sociedades de economía mixta estarán vinculadas a aquellos; los demás organismos y entidades estarán adscritos o vinculados, según lo determine su acto de creación</w:t>
      </w:r>
      <w:r>
        <w:rPr>
          <w:rFonts w:ascii="Verdana" w:eastAsia="Times New Roman" w:hAnsi="Verdana" w:cs="Arial"/>
          <w:lang w:eastAsia="es-MX"/>
        </w:rPr>
        <w:t>”</w:t>
      </w:r>
      <w:r w:rsidRPr="00535337">
        <w:rPr>
          <w:rFonts w:ascii="Verdana" w:eastAsia="Times New Roman" w:hAnsi="Verdana" w:cs="Arial"/>
          <w:lang w:eastAsia="es-MX"/>
        </w:rPr>
        <w:t>.</w:t>
      </w:r>
      <w:r>
        <w:rPr>
          <w:rFonts w:ascii="Verdana" w:eastAsia="Times New Roman" w:hAnsi="Verdana" w:cs="Arial"/>
          <w:lang w:eastAsia="es-MX"/>
        </w:rPr>
        <w:t xml:space="preserve"> </w:t>
      </w:r>
    </w:p>
    <w:p w14:paraId="0425308E" w14:textId="77777777" w:rsidR="00AB1573" w:rsidRDefault="00AB1573" w:rsidP="00AB1573">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Respecto a la estructura administrativa del sector de defensa nacional, el Decreto 1070 de 2015 ubica al ministerio respectivo como cabeza del mismo –artículo </w:t>
      </w:r>
      <w:r w:rsidRPr="003B03E0">
        <w:rPr>
          <w:rFonts w:ascii="Verdana" w:eastAsia="Times New Roman" w:hAnsi="Verdana" w:cs="Arial"/>
          <w:lang w:eastAsia="es-MX"/>
        </w:rPr>
        <w:t>1.1.1.1</w:t>
      </w:r>
      <w:r>
        <w:rPr>
          <w:rFonts w:ascii="Verdana" w:eastAsia="Times New Roman" w:hAnsi="Verdana" w:cs="Arial"/>
          <w:lang w:eastAsia="es-MX"/>
        </w:rPr>
        <w:t xml:space="preserve">–. Al ministerio se encuentran adscritas la </w:t>
      </w:r>
      <w:r w:rsidRPr="00B53481">
        <w:rPr>
          <w:rFonts w:ascii="Verdana" w:eastAsia="Times New Roman" w:hAnsi="Verdana" w:cs="Arial"/>
          <w:lang w:eastAsia="es-MX"/>
        </w:rPr>
        <w:t>Superintendencia de Vigilancia y Seguridad Privada</w:t>
      </w:r>
      <w:r>
        <w:rPr>
          <w:rFonts w:ascii="Verdana" w:eastAsia="Times New Roman" w:hAnsi="Verdana" w:cs="Arial"/>
          <w:lang w:eastAsia="es-MX"/>
        </w:rPr>
        <w:t xml:space="preserve"> –artículo </w:t>
      </w:r>
      <w:r w:rsidRPr="00B53481">
        <w:rPr>
          <w:rFonts w:ascii="Verdana" w:eastAsia="Times New Roman" w:hAnsi="Verdana" w:cs="Arial"/>
          <w:lang w:eastAsia="es-MX"/>
        </w:rPr>
        <w:t>1.2.1.1.1</w:t>
      </w:r>
      <w:r>
        <w:rPr>
          <w:rFonts w:ascii="Verdana" w:eastAsia="Times New Roman" w:hAnsi="Verdana" w:cs="Arial"/>
          <w:lang w:eastAsia="es-MX"/>
        </w:rPr>
        <w:t xml:space="preserve">–; la </w:t>
      </w:r>
      <w:r w:rsidRPr="00B53481">
        <w:rPr>
          <w:rFonts w:ascii="Verdana" w:eastAsia="Times New Roman" w:hAnsi="Verdana" w:cs="Arial"/>
          <w:lang w:eastAsia="es-MX"/>
        </w:rPr>
        <w:t>Caja de Retiro de las Fuerzas Militares</w:t>
      </w:r>
      <w:r>
        <w:rPr>
          <w:rFonts w:ascii="Verdana" w:eastAsia="Times New Roman" w:hAnsi="Verdana" w:cs="Arial"/>
          <w:lang w:eastAsia="es-MX"/>
        </w:rPr>
        <w:t xml:space="preserve">, la </w:t>
      </w:r>
      <w:r w:rsidRPr="00B53481">
        <w:rPr>
          <w:rFonts w:ascii="Verdana" w:eastAsia="Times New Roman" w:hAnsi="Verdana" w:cs="Arial"/>
          <w:lang w:eastAsia="es-MX"/>
        </w:rPr>
        <w:t>Caja de Sueldos de Retiro de la Policía Naciona</w:t>
      </w:r>
      <w:r>
        <w:rPr>
          <w:rFonts w:ascii="Verdana" w:eastAsia="Times New Roman" w:hAnsi="Verdana" w:cs="Arial"/>
          <w:lang w:eastAsia="es-MX"/>
        </w:rPr>
        <w:t xml:space="preserve">l, el </w:t>
      </w:r>
      <w:r w:rsidRPr="00B53481">
        <w:rPr>
          <w:rFonts w:ascii="Verdana" w:eastAsia="Times New Roman" w:hAnsi="Verdana" w:cs="Arial"/>
          <w:lang w:eastAsia="es-MX"/>
        </w:rPr>
        <w:t>Hospital Militar Central</w:t>
      </w:r>
      <w:r>
        <w:rPr>
          <w:rFonts w:ascii="Verdana" w:eastAsia="Times New Roman" w:hAnsi="Verdana" w:cs="Arial"/>
          <w:lang w:eastAsia="es-MX"/>
        </w:rPr>
        <w:t xml:space="preserve">, la </w:t>
      </w:r>
      <w:r w:rsidRPr="00B53481">
        <w:rPr>
          <w:rFonts w:ascii="Verdana" w:eastAsia="Times New Roman" w:hAnsi="Verdana" w:cs="Arial"/>
          <w:lang w:eastAsia="es-MX"/>
        </w:rPr>
        <w:t>Agencia Logística de las Fuerzas Militares</w:t>
      </w:r>
      <w:r>
        <w:rPr>
          <w:rFonts w:ascii="Verdana" w:eastAsia="Times New Roman" w:hAnsi="Verdana" w:cs="Arial"/>
          <w:lang w:eastAsia="es-MX"/>
        </w:rPr>
        <w:t xml:space="preserve">, el </w:t>
      </w:r>
      <w:r w:rsidRPr="00B53481">
        <w:rPr>
          <w:rFonts w:ascii="Verdana" w:eastAsia="Times New Roman" w:hAnsi="Verdana" w:cs="Arial"/>
          <w:lang w:eastAsia="es-MX"/>
        </w:rPr>
        <w:t>Fondo Rotatorio de la Policía Nacional</w:t>
      </w:r>
      <w:r>
        <w:rPr>
          <w:rFonts w:ascii="Verdana" w:eastAsia="Times New Roman" w:hAnsi="Verdana" w:cs="Arial"/>
          <w:lang w:eastAsia="es-MX"/>
        </w:rPr>
        <w:t xml:space="preserve">, el </w:t>
      </w:r>
      <w:r w:rsidRPr="00B53481">
        <w:rPr>
          <w:rFonts w:ascii="Verdana" w:eastAsia="Times New Roman" w:hAnsi="Verdana" w:cs="Arial"/>
          <w:lang w:eastAsia="es-MX"/>
        </w:rPr>
        <w:t>Instituto de Casas Fiscales del Ejército</w:t>
      </w:r>
      <w:r>
        <w:rPr>
          <w:rFonts w:ascii="Verdana" w:eastAsia="Times New Roman" w:hAnsi="Verdana" w:cs="Arial"/>
          <w:lang w:eastAsia="es-MX"/>
        </w:rPr>
        <w:t xml:space="preserve">, el </w:t>
      </w:r>
      <w:r w:rsidRPr="00B53481">
        <w:rPr>
          <w:rFonts w:ascii="Verdana" w:eastAsia="Times New Roman" w:hAnsi="Verdana" w:cs="Arial"/>
          <w:lang w:eastAsia="es-MX"/>
        </w:rPr>
        <w:t>Club Militar</w:t>
      </w:r>
      <w:r>
        <w:rPr>
          <w:rFonts w:ascii="Verdana" w:eastAsia="Times New Roman" w:hAnsi="Verdana" w:cs="Arial"/>
          <w:lang w:eastAsia="es-MX"/>
        </w:rPr>
        <w:t xml:space="preserve">, y la </w:t>
      </w:r>
      <w:r w:rsidRPr="00B53481">
        <w:rPr>
          <w:rFonts w:ascii="Verdana" w:eastAsia="Times New Roman" w:hAnsi="Verdana" w:cs="Arial"/>
          <w:lang w:eastAsia="es-MX"/>
        </w:rPr>
        <w:t>Defensa Civil Colombiana</w:t>
      </w:r>
      <w:r>
        <w:rPr>
          <w:rFonts w:ascii="Verdana" w:eastAsia="Times New Roman" w:hAnsi="Verdana" w:cs="Arial"/>
          <w:lang w:eastAsia="es-MX"/>
        </w:rPr>
        <w:t xml:space="preserve"> –artículo </w:t>
      </w:r>
      <w:r w:rsidRPr="00B53481">
        <w:rPr>
          <w:rFonts w:ascii="Verdana" w:eastAsia="Times New Roman" w:hAnsi="Verdana" w:cs="Arial"/>
          <w:lang w:eastAsia="es-MX"/>
        </w:rPr>
        <w:t>1.2.1.2.1</w:t>
      </w:r>
      <w:r>
        <w:rPr>
          <w:rFonts w:ascii="Verdana" w:eastAsia="Times New Roman" w:hAnsi="Verdana" w:cs="Arial"/>
          <w:lang w:eastAsia="es-MX"/>
        </w:rPr>
        <w:t xml:space="preserve">–. También están vinculadas la </w:t>
      </w:r>
      <w:r w:rsidRPr="00B53481">
        <w:rPr>
          <w:rFonts w:ascii="Verdana" w:eastAsia="Times New Roman" w:hAnsi="Verdana" w:cs="Arial"/>
          <w:lang w:eastAsia="es-MX"/>
        </w:rPr>
        <w:t>Industria Militar</w:t>
      </w:r>
      <w:r>
        <w:rPr>
          <w:rFonts w:ascii="Verdana" w:eastAsia="Times New Roman" w:hAnsi="Verdana" w:cs="Arial"/>
          <w:lang w:eastAsia="es-MX"/>
        </w:rPr>
        <w:t xml:space="preserve"> y la </w:t>
      </w:r>
      <w:r w:rsidRPr="00B53481">
        <w:rPr>
          <w:rFonts w:ascii="Verdana" w:eastAsia="Times New Roman" w:hAnsi="Verdana" w:cs="Arial"/>
          <w:lang w:eastAsia="es-MX"/>
        </w:rPr>
        <w:t>Caja Promotora de Vivienda Militar y de Policía</w:t>
      </w:r>
      <w:r>
        <w:rPr>
          <w:rFonts w:ascii="Verdana" w:eastAsia="Times New Roman" w:hAnsi="Verdana" w:cs="Arial"/>
          <w:lang w:eastAsia="es-MX"/>
        </w:rPr>
        <w:t xml:space="preserve"> –artículo </w:t>
      </w:r>
      <w:r w:rsidRPr="00B53481">
        <w:rPr>
          <w:rFonts w:ascii="Verdana" w:eastAsia="Times New Roman" w:hAnsi="Verdana" w:cs="Arial"/>
          <w:lang w:eastAsia="es-MX"/>
        </w:rPr>
        <w:t>1.2.2.1.1</w:t>
      </w:r>
      <w:r>
        <w:rPr>
          <w:rFonts w:ascii="Verdana" w:eastAsia="Times New Roman" w:hAnsi="Verdana" w:cs="Arial"/>
          <w:lang w:eastAsia="es-MX"/>
        </w:rPr>
        <w:t xml:space="preserve">–; el </w:t>
      </w:r>
      <w:r w:rsidRPr="00B53481">
        <w:rPr>
          <w:rFonts w:ascii="Verdana" w:eastAsia="Times New Roman" w:hAnsi="Verdana" w:cs="Arial"/>
          <w:lang w:eastAsia="es-MX"/>
        </w:rPr>
        <w:t>Servicio Aéreo a Territorios Nacionales S.A</w:t>
      </w:r>
      <w:r>
        <w:rPr>
          <w:rFonts w:ascii="Verdana" w:eastAsia="Times New Roman" w:hAnsi="Verdana" w:cs="Arial"/>
          <w:lang w:eastAsia="es-MX"/>
        </w:rPr>
        <w:t xml:space="preserve">, la </w:t>
      </w:r>
      <w:r w:rsidRPr="00B53481">
        <w:rPr>
          <w:rFonts w:ascii="Verdana" w:eastAsia="Times New Roman" w:hAnsi="Verdana" w:cs="Arial"/>
          <w:lang w:eastAsia="es-MX"/>
        </w:rPr>
        <w:t>Corporación de la Industria Aeronáutica Colombiana S.A</w:t>
      </w:r>
      <w:r>
        <w:rPr>
          <w:rFonts w:ascii="Verdana" w:eastAsia="Times New Roman" w:hAnsi="Verdana" w:cs="Arial"/>
          <w:lang w:eastAsia="es-MX"/>
        </w:rPr>
        <w:t xml:space="preserve"> y la </w:t>
      </w:r>
      <w:r w:rsidRPr="00B53481">
        <w:rPr>
          <w:rFonts w:ascii="Verdana" w:eastAsia="Times New Roman" w:hAnsi="Verdana" w:cs="Arial"/>
          <w:lang w:eastAsia="es-MX"/>
        </w:rPr>
        <w:t>Sociedad Hotelera S.A</w:t>
      </w:r>
      <w:r>
        <w:rPr>
          <w:rFonts w:ascii="Verdana" w:eastAsia="Times New Roman" w:hAnsi="Verdana" w:cs="Arial"/>
          <w:lang w:eastAsia="es-MX"/>
        </w:rPr>
        <w:t xml:space="preserve"> –artículo </w:t>
      </w:r>
      <w:r w:rsidRPr="00B53481">
        <w:rPr>
          <w:rFonts w:ascii="Verdana" w:eastAsia="Times New Roman" w:hAnsi="Verdana" w:cs="Arial"/>
          <w:lang w:eastAsia="es-MX"/>
        </w:rPr>
        <w:t>1.2.2.2.1</w:t>
      </w:r>
      <w:r>
        <w:rPr>
          <w:rFonts w:ascii="Verdana" w:eastAsia="Times New Roman" w:hAnsi="Verdana" w:cs="Arial"/>
          <w:lang w:eastAsia="es-MX"/>
        </w:rPr>
        <w:t xml:space="preserve">–; así como la </w:t>
      </w:r>
      <w:r w:rsidRPr="001F0185">
        <w:rPr>
          <w:rFonts w:ascii="Verdana" w:eastAsia="Times New Roman" w:hAnsi="Verdana" w:cs="Arial"/>
          <w:lang w:eastAsia="es-MX"/>
        </w:rPr>
        <w:t>Corporación de Ciencia y Tecnología para el Desarrollo de la Industria Naval, Marítima y Fluvial</w:t>
      </w:r>
      <w:r>
        <w:rPr>
          <w:rFonts w:ascii="Verdana" w:eastAsia="Times New Roman" w:hAnsi="Verdana" w:cs="Arial"/>
          <w:lang w:eastAsia="es-MX"/>
        </w:rPr>
        <w:t xml:space="preserve"> y la </w:t>
      </w:r>
      <w:r w:rsidRPr="001F0185">
        <w:rPr>
          <w:rFonts w:ascii="Verdana" w:eastAsia="Times New Roman" w:hAnsi="Verdana" w:cs="Arial"/>
          <w:lang w:eastAsia="es-MX"/>
        </w:rPr>
        <w:t>Corporación de Alta Tecnología para la Defensa</w:t>
      </w:r>
      <w:r>
        <w:rPr>
          <w:rFonts w:ascii="Verdana" w:eastAsia="Times New Roman" w:hAnsi="Verdana" w:cs="Arial"/>
          <w:lang w:eastAsia="es-MX"/>
        </w:rPr>
        <w:t xml:space="preserve"> –artículo </w:t>
      </w:r>
      <w:r w:rsidRPr="001F0185">
        <w:rPr>
          <w:rFonts w:ascii="Verdana" w:eastAsia="Times New Roman" w:hAnsi="Verdana" w:cs="Arial"/>
          <w:lang w:eastAsia="es-MX"/>
        </w:rPr>
        <w:t>1.2.3.1</w:t>
      </w:r>
      <w:r>
        <w:rPr>
          <w:rFonts w:ascii="Verdana" w:eastAsia="Times New Roman" w:hAnsi="Verdana" w:cs="Arial"/>
          <w:lang w:eastAsia="es-MX"/>
        </w:rPr>
        <w:t>–.</w:t>
      </w:r>
    </w:p>
    <w:p w14:paraId="21C4600D" w14:textId="77777777" w:rsidR="00AB1573" w:rsidRDefault="00AB1573" w:rsidP="00AB1573">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lastRenderedPageBreak/>
        <w:t>Sin perjuicio de lo regulado en el artículo 14 de la ley 1150 de 2007 sobre régimen d</w:t>
      </w:r>
      <w:r w:rsidRPr="001F0185">
        <w:rPr>
          <w:rFonts w:ascii="Verdana" w:eastAsia="Times New Roman" w:hAnsi="Verdana" w:cs="Arial"/>
          <w:lang w:eastAsia="es-MX"/>
        </w:rPr>
        <w:t>el régimen contractual de las empresas industriales y comerciales del estado, las sociedades de economía mixta, sus filiales y empresas con participación mayoritaria del Estado</w:t>
      </w:r>
      <w:r>
        <w:rPr>
          <w:rFonts w:ascii="Verdana" w:eastAsia="Times New Roman" w:hAnsi="Verdana" w:cs="Arial"/>
          <w:lang w:eastAsia="es-MX"/>
        </w:rPr>
        <w:t xml:space="preserve">, el artículo 16 </w:t>
      </w:r>
      <w:r w:rsidRPr="001F0185">
        <w:rPr>
          <w:rFonts w:ascii="Verdana" w:eastAsia="Times New Roman" w:hAnsi="Verdana" w:cs="Arial"/>
          <w:i/>
          <w:iCs/>
          <w:lang w:eastAsia="es-MX"/>
        </w:rPr>
        <w:t>ibidem</w:t>
      </w:r>
      <w:r>
        <w:rPr>
          <w:rFonts w:ascii="Verdana" w:eastAsia="Times New Roman" w:hAnsi="Verdana" w:cs="Arial"/>
          <w:lang w:eastAsia="es-MX"/>
        </w:rPr>
        <w:t xml:space="preserve"> indica lo siguiente: “</w:t>
      </w:r>
      <w:r w:rsidRPr="001F0185">
        <w:rPr>
          <w:rFonts w:ascii="Verdana" w:eastAsia="Times New Roman" w:hAnsi="Verdana" w:cs="Arial"/>
          <w:lang w:eastAsia="es-MX"/>
        </w:rPr>
        <w:t xml:space="preserve">Los contratos que celebren </w:t>
      </w:r>
      <w:proofErr w:type="spellStart"/>
      <w:r w:rsidRPr="001F0185">
        <w:rPr>
          <w:rFonts w:ascii="Verdana" w:eastAsia="Times New Roman" w:hAnsi="Verdana" w:cs="Arial"/>
          <w:lang w:eastAsia="es-MX"/>
        </w:rPr>
        <w:t>Satena</w:t>
      </w:r>
      <w:proofErr w:type="spellEnd"/>
      <w:r w:rsidRPr="001F0185">
        <w:rPr>
          <w:rFonts w:ascii="Verdana" w:eastAsia="Times New Roman" w:hAnsi="Verdana" w:cs="Arial"/>
          <w:lang w:eastAsia="es-MX"/>
        </w:rPr>
        <w:t>, Indumil, El Hotel Tequendama, la Corporación de Ciencia y Tecnología para el desarrollo de la industria naval, marítima y fluvial –</w:t>
      </w:r>
      <w:proofErr w:type="spellStart"/>
      <w:r w:rsidRPr="001F0185">
        <w:rPr>
          <w:rFonts w:ascii="Verdana" w:eastAsia="Times New Roman" w:hAnsi="Verdana" w:cs="Arial"/>
          <w:lang w:eastAsia="es-MX"/>
        </w:rPr>
        <w:t>Cotecmar</w:t>
      </w:r>
      <w:proofErr w:type="spellEnd"/>
      <w:r w:rsidRPr="001F0185">
        <w:rPr>
          <w:rFonts w:ascii="Verdana" w:eastAsia="Times New Roman" w:hAnsi="Verdana" w:cs="Arial"/>
          <w:lang w:eastAsia="es-MX"/>
        </w:rPr>
        <w:t>– y la Corporación de la Industria Aeronáutica Colombiana –CIAC–, no estarán sujetos a las disposiciones del Estatuto General de Contratación de la Administración Pública y se regirán por las disposiciones legales y reglamentarias aplicables a su actividad</w:t>
      </w:r>
      <w:r>
        <w:rPr>
          <w:rFonts w:ascii="Verdana" w:eastAsia="Times New Roman" w:hAnsi="Verdana" w:cs="Arial"/>
          <w:lang w:eastAsia="es-MX"/>
        </w:rPr>
        <w:t>”</w:t>
      </w:r>
      <w:r w:rsidRPr="001F0185">
        <w:rPr>
          <w:rFonts w:ascii="Verdana" w:eastAsia="Times New Roman" w:hAnsi="Verdana" w:cs="Arial"/>
          <w:lang w:eastAsia="es-MX"/>
        </w:rPr>
        <w:t>.</w:t>
      </w:r>
      <w:r>
        <w:rPr>
          <w:rFonts w:ascii="Verdana" w:eastAsia="Times New Roman" w:hAnsi="Verdana" w:cs="Arial"/>
          <w:lang w:eastAsia="es-MX"/>
        </w:rPr>
        <w:t xml:space="preserve"> Luego, la causal de contratación directa del literal d) del artículo 2.4 de la Ley 1150 de 2007 se circunscribe principalmente a las entidades del sector defensa regidas por la Ley 80 de 1993. </w:t>
      </w:r>
    </w:p>
    <w:p w14:paraId="05A58980" w14:textId="77777777" w:rsidR="00AB1573" w:rsidRDefault="00AB1573" w:rsidP="00AB1573">
      <w:pPr>
        <w:spacing w:after="120" w:line="276" w:lineRule="auto"/>
        <w:ind w:firstLine="709"/>
        <w:jc w:val="both"/>
        <w:rPr>
          <w:rFonts w:ascii="Verdana" w:eastAsia="Times New Roman" w:hAnsi="Verdana" w:cs="Arial"/>
          <w:lang w:eastAsia="es-MX"/>
        </w:rPr>
      </w:pPr>
      <w:r w:rsidRPr="0023720F">
        <w:rPr>
          <w:rFonts w:ascii="Verdana" w:eastAsia="Times New Roman" w:hAnsi="Verdana" w:cs="Arial"/>
          <w:i/>
          <w:iCs/>
          <w:lang w:eastAsia="es-MX"/>
        </w:rPr>
        <w:t>En lo que respecta al criterio material</w:t>
      </w:r>
      <w:r>
        <w:rPr>
          <w:rFonts w:ascii="Verdana" w:eastAsia="Times New Roman" w:hAnsi="Verdana" w:cs="Arial"/>
          <w:lang w:eastAsia="es-MX"/>
        </w:rPr>
        <w:t>, no es suficiente que una entidad de sector defensa sometida al EGCAP adquiera bienes o servicios, pues éstos deben requerir reserva en su adquisición. En principio, dicha categoría de bienes y servicios fue desarrollada en el inciso segundo del artículo 78 del Decreto 1510 de 2013</w:t>
      </w:r>
      <w:r>
        <w:rPr>
          <w:rStyle w:val="Refdenotaalpie"/>
          <w:rFonts w:ascii="Verdana" w:eastAsia="Times New Roman" w:hAnsi="Verdana" w:cs="Arial"/>
          <w:lang w:eastAsia="es-MX"/>
        </w:rPr>
        <w:footnoteReference w:id="26"/>
      </w:r>
      <w:r>
        <w:rPr>
          <w:rFonts w:ascii="Verdana" w:eastAsia="Times New Roman" w:hAnsi="Verdana" w:cs="Arial"/>
          <w:lang w:eastAsia="es-MX"/>
        </w:rPr>
        <w:t xml:space="preserve">. Sin embargo, el listado fue anulado por la Subsección A de la Sección </w:t>
      </w:r>
      <w:r>
        <w:rPr>
          <w:rFonts w:ascii="Verdana" w:eastAsia="Times New Roman" w:hAnsi="Verdana" w:cs="Arial"/>
          <w:lang w:eastAsia="es-MX"/>
        </w:rPr>
        <w:lastRenderedPageBreak/>
        <w:t xml:space="preserve">Tercera del Consejo de Estado en Sentencia del 24 de mayo de 2018, </w:t>
      </w:r>
      <w:proofErr w:type="spellStart"/>
      <w:r>
        <w:rPr>
          <w:rFonts w:ascii="Verdana" w:eastAsia="Times New Roman" w:hAnsi="Verdana" w:cs="Arial"/>
          <w:lang w:eastAsia="es-MX"/>
        </w:rPr>
        <w:t>Exp</w:t>
      </w:r>
      <w:proofErr w:type="spellEnd"/>
      <w:r>
        <w:rPr>
          <w:rFonts w:ascii="Verdana" w:eastAsia="Times New Roman" w:hAnsi="Verdana" w:cs="Arial"/>
          <w:lang w:eastAsia="es-MX"/>
        </w:rPr>
        <w:t xml:space="preserve">. 50222, con ponencia de la Consejera </w:t>
      </w:r>
      <w:r w:rsidRPr="00D25821">
        <w:rPr>
          <w:rFonts w:ascii="Verdana" w:eastAsia="Times New Roman" w:hAnsi="Verdana" w:cs="Arial"/>
          <w:lang w:eastAsia="es-MX"/>
        </w:rPr>
        <w:t>Marta Nubia Velásquez Rico</w:t>
      </w:r>
      <w:r>
        <w:rPr>
          <w:rFonts w:ascii="Verdana" w:eastAsia="Times New Roman" w:hAnsi="Verdana" w:cs="Arial"/>
          <w:lang w:eastAsia="es-MX"/>
        </w:rPr>
        <w:t xml:space="preserve">, bajo el argumento de que el Gobierno Nacional “[…] </w:t>
      </w:r>
      <w:r w:rsidRPr="008F68A8">
        <w:rPr>
          <w:rFonts w:ascii="Verdana" w:eastAsia="Times New Roman" w:hAnsi="Verdana" w:cs="Arial"/>
          <w:lang w:eastAsia="es-MX"/>
        </w:rPr>
        <w:t>desbordó la potestad reglamentaria al limitar el derecho fundamental de acceso a la información pública tratándose de bienes y servicios a adquirir por vía de la modalidad de selección de la contratación directa, limitación que por corresponder a la reserva legal, está en cabeza del legislador</w:t>
      </w:r>
      <w:r>
        <w:rPr>
          <w:rFonts w:ascii="Verdana" w:eastAsia="Times New Roman" w:hAnsi="Verdana" w:cs="Arial"/>
          <w:lang w:eastAsia="es-MX"/>
        </w:rPr>
        <w:t>”.</w:t>
      </w:r>
    </w:p>
    <w:p w14:paraId="3A989E82" w14:textId="77777777" w:rsidR="00AB1573" w:rsidRDefault="00AB1573" w:rsidP="00AB1573">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Aunque se ha acudido al listado del artículo 1 del Decreto 695 de 1983, compilado en el artículo </w:t>
      </w:r>
      <w:r w:rsidRPr="00564AC4">
        <w:rPr>
          <w:rFonts w:ascii="Verdana" w:eastAsia="Times New Roman" w:hAnsi="Verdana" w:cs="Arial"/>
          <w:lang w:eastAsia="es-MX"/>
        </w:rPr>
        <w:t>1.3.1.14.18</w:t>
      </w:r>
      <w:r>
        <w:rPr>
          <w:rFonts w:ascii="Verdana" w:eastAsia="Times New Roman" w:hAnsi="Verdana" w:cs="Arial"/>
          <w:lang w:eastAsia="es-MX"/>
        </w:rPr>
        <w:t xml:space="preserve"> del Decreto 1625 de 2016, “P</w:t>
      </w:r>
      <w:r w:rsidRPr="00564AC4">
        <w:rPr>
          <w:rFonts w:ascii="Verdana" w:eastAsia="Times New Roman" w:hAnsi="Verdana" w:cs="Arial"/>
          <w:lang w:eastAsia="es-MX"/>
        </w:rPr>
        <w:t>or medio del cual se expide el Decreto Único Reglamentario en materia tributaria</w:t>
      </w:r>
      <w:r>
        <w:rPr>
          <w:rFonts w:ascii="Verdana" w:eastAsia="Times New Roman" w:hAnsi="Verdana" w:cs="Arial"/>
          <w:lang w:eastAsia="es-MX"/>
        </w:rPr>
        <w:t xml:space="preserve">”, esta norma fue expedida por el Gobierno Nacional en ejercicio de la potestad reglamentaria para determinar: i) los bienes importados que no causan impuesto sobre las ventas conforme al inciso segundo del artículo 17 del Decreto Legislativo 2368 </w:t>
      </w:r>
      <w:r>
        <w:rPr>
          <w:rFonts w:ascii="Verdana" w:eastAsia="Times New Roman" w:hAnsi="Verdana" w:cs="Arial"/>
          <w:lang w:eastAsia="es-MX"/>
        </w:rPr>
        <w:lastRenderedPageBreak/>
        <w:t>de 1974</w:t>
      </w:r>
      <w:r>
        <w:rPr>
          <w:rStyle w:val="Refdenotaalpie"/>
          <w:rFonts w:ascii="Verdana" w:eastAsia="Times New Roman" w:hAnsi="Verdana" w:cs="Arial"/>
          <w:lang w:eastAsia="es-MX"/>
        </w:rPr>
        <w:footnoteReference w:id="27"/>
      </w:r>
      <w:r>
        <w:rPr>
          <w:rFonts w:ascii="Verdana" w:eastAsia="Times New Roman" w:hAnsi="Verdana" w:cs="Arial"/>
          <w:lang w:eastAsia="es-MX"/>
        </w:rPr>
        <w:t xml:space="preserve"> y </w:t>
      </w:r>
      <w:proofErr w:type="spellStart"/>
      <w:r>
        <w:rPr>
          <w:rFonts w:ascii="Verdana" w:eastAsia="Times New Roman" w:hAnsi="Verdana" w:cs="Arial"/>
          <w:lang w:eastAsia="es-MX"/>
        </w:rPr>
        <w:t>ii</w:t>
      </w:r>
      <w:proofErr w:type="spellEnd"/>
      <w:r>
        <w:rPr>
          <w:rFonts w:ascii="Verdana" w:eastAsia="Times New Roman" w:hAnsi="Verdana" w:cs="Arial"/>
          <w:lang w:eastAsia="es-MX"/>
        </w:rPr>
        <w:t>) el alcance de la causal de contratación directa del otrora artículo 259 del Decreto Ley 222 de 1983</w:t>
      </w:r>
      <w:r>
        <w:rPr>
          <w:rStyle w:val="Refdenotaalpie"/>
          <w:rFonts w:ascii="Verdana" w:eastAsia="Times New Roman" w:hAnsi="Verdana" w:cs="Arial"/>
          <w:lang w:eastAsia="es-MX"/>
        </w:rPr>
        <w:footnoteReference w:id="28"/>
      </w:r>
      <w:r>
        <w:rPr>
          <w:rFonts w:ascii="Verdana" w:eastAsia="Times New Roman" w:hAnsi="Verdana" w:cs="Arial"/>
          <w:lang w:eastAsia="es-MX"/>
        </w:rPr>
        <w:t xml:space="preserve">. </w:t>
      </w:r>
    </w:p>
    <w:p w14:paraId="0C05C51C" w14:textId="77777777" w:rsidR="00AB1573" w:rsidRDefault="00AB1573" w:rsidP="00AB1573">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De estas dos (2) finalidades sólo subsiste la primera, pues –al recoger la lista del artículo 1 del Decreto 695 de 1983– el artículo </w:t>
      </w:r>
      <w:r w:rsidRPr="00564AC4">
        <w:rPr>
          <w:rFonts w:ascii="Verdana" w:eastAsia="Times New Roman" w:hAnsi="Verdana" w:cs="Arial"/>
          <w:lang w:eastAsia="es-MX"/>
        </w:rPr>
        <w:t>1.3.1.14.18</w:t>
      </w:r>
      <w:r>
        <w:rPr>
          <w:rFonts w:ascii="Verdana" w:eastAsia="Times New Roman" w:hAnsi="Verdana" w:cs="Arial"/>
          <w:lang w:eastAsia="es-MX"/>
        </w:rPr>
        <w:t xml:space="preserve"> se encuentra en el capítulo 14 del título 1 de la parte 3 del libro 1 del Decreto 1625 de 2016, por el cual se definen las i</w:t>
      </w:r>
      <w:r w:rsidRPr="00031AE7">
        <w:rPr>
          <w:rFonts w:ascii="Verdana" w:eastAsia="Times New Roman" w:hAnsi="Verdana" w:cs="Arial"/>
          <w:lang w:eastAsia="es-MX"/>
        </w:rPr>
        <w:t xml:space="preserve">mportaciones que no causan </w:t>
      </w:r>
      <w:r>
        <w:rPr>
          <w:rFonts w:ascii="Verdana" w:eastAsia="Times New Roman" w:hAnsi="Verdana" w:cs="Arial"/>
          <w:lang w:eastAsia="es-MX"/>
        </w:rPr>
        <w:t>IVA. Este tema es ajeno a la contratación estatal, además de que el Decreto Ley 222 de 1983 fue derogado por el artículo 81 de la Ley 80 de 1993. Por tanto, el artículo 1 del Decreto 695 de 1983 no delimita el alcance de la causal de contratación directa del literal d) del artículo 2.4 de la Ley 1150 de 2007, especialmente, cuando la Sentencia del 24 de mayo de 2018 exige que las reservas sean objeto de desarrollo legal.</w:t>
      </w:r>
    </w:p>
    <w:p w14:paraId="54677B84" w14:textId="77777777" w:rsidR="00AB1573" w:rsidRDefault="00AB1573" w:rsidP="00AB1573">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En todo caso, la nulidad del inciso segundo del artículo 78 del Decreto 1510 de 2013 o la imposibilidad de aplicar el artículo 1 del Decreto 695 de 1983 fuera del ámbito tributario no condicionan la vigencia de la causal </w:t>
      </w:r>
      <w:r w:rsidRPr="00E479E8">
        <w:rPr>
          <w:rFonts w:ascii="Verdana" w:eastAsia="Times New Roman" w:hAnsi="Verdana" w:cs="Arial"/>
          <w:i/>
          <w:iCs/>
          <w:lang w:eastAsia="es-MX"/>
        </w:rPr>
        <w:t>sub examine</w:t>
      </w:r>
      <w:r>
        <w:rPr>
          <w:rFonts w:ascii="Verdana" w:eastAsia="Times New Roman" w:hAnsi="Verdana" w:cs="Arial"/>
          <w:lang w:eastAsia="es-MX"/>
        </w:rPr>
        <w:t>, la cual rige sin necesidad de desarrollo reglamentario. Por un lado, mientras el parágrafo transitorio del artículo 2 de la Ley 1150 de 2007 dispone que “</w:t>
      </w:r>
      <w:r w:rsidRPr="00B64014">
        <w:rPr>
          <w:rFonts w:ascii="Verdana" w:eastAsia="Times New Roman" w:hAnsi="Verdana" w:cs="Arial"/>
          <w:lang w:eastAsia="es-MX"/>
        </w:rPr>
        <w:t>Hasta tanto el Gobierno Nacional no expidiere el reglamento respectivo, no se podrá hacer uso de la selección abreviada como modalidad de selección</w:t>
      </w:r>
      <w:r>
        <w:rPr>
          <w:rFonts w:ascii="Verdana" w:eastAsia="Times New Roman" w:hAnsi="Verdana" w:cs="Arial"/>
          <w:lang w:eastAsia="es-MX"/>
        </w:rPr>
        <w:t xml:space="preserve">”, una condición similar no se predica del literal d) del artículo 2.4 </w:t>
      </w:r>
      <w:r w:rsidRPr="00B64014">
        <w:rPr>
          <w:rFonts w:ascii="Verdana" w:eastAsia="Times New Roman" w:hAnsi="Verdana" w:cs="Arial"/>
          <w:i/>
          <w:iCs/>
          <w:lang w:eastAsia="es-MX"/>
        </w:rPr>
        <w:t>ibidem</w:t>
      </w:r>
      <w:r w:rsidRPr="00B64014">
        <w:rPr>
          <w:rFonts w:ascii="Verdana" w:eastAsia="Times New Roman" w:hAnsi="Verdana" w:cs="Arial"/>
          <w:lang w:eastAsia="es-MX"/>
        </w:rPr>
        <w:t>.</w:t>
      </w:r>
      <w:r>
        <w:rPr>
          <w:rFonts w:ascii="Verdana" w:eastAsia="Times New Roman" w:hAnsi="Verdana" w:cs="Arial"/>
          <w:lang w:eastAsia="es-MX"/>
        </w:rPr>
        <w:t xml:space="preserve"> </w:t>
      </w:r>
    </w:p>
    <w:p w14:paraId="20FA6793" w14:textId="77777777" w:rsidR="00AB1573" w:rsidRDefault="00AB1573" w:rsidP="00AB1573">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lastRenderedPageBreak/>
        <w:t xml:space="preserve">Por otra parte, la Sentencia del 24 de mayo de 2018 explica que “[…] </w:t>
      </w:r>
      <w:r w:rsidRPr="0067726C">
        <w:rPr>
          <w:rFonts w:ascii="Verdana" w:eastAsia="Times New Roman" w:hAnsi="Verdana" w:cs="Arial"/>
          <w:lang w:eastAsia="es-MX"/>
        </w:rPr>
        <w:t>para el caso de lo establecido en la letra d) del número 4 del artículo 2 de la Ley 1150 de 2007, debe entenderse la existencia de un reenvío a las normas de orden legal que establecen los eventos en que por causa de la protección de derechos fundamentales o bienes constitucionales debe reservarse la información contractual que corresponda</w:t>
      </w:r>
      <w:r>
        <w:rPr>
          <w:rFonts w:ascii="Verdana" w:eastAsia="Times New Roman" w:hAnsi="Verdana" w:cs="Arial"/>
          <w:lang w:eastAsia="es-MX"/>
        </w:rPr>
        <w:t>”</w:t>
      </w:r>
      <w:r w:rsidRPr="0067726C">
        <w:rPr>
          <w:rFonts w:ascii="Verdana" w:eastAsia="Times New Roman" w:hAnsi="Verdana" w:cs="Arial"/>
          <w:lang w:eastAsia="es-MX"/>
        </w:rPr>
        <w:t>.</w:t>
      </w:r>
      <w:r>
        <w:rPr>
          <w:rFonts w:ascii="Verdana" w:eastAsia="Times New Roman" w:hAnsi="Verdana" w:cs="Arial"/>
          <w:lang w:eastAsia="es-MX"/>
        </w:rPr>
        <w:t xml:space="preserve"> Luego, el reglamento no puede intervenir en el desarrollo de las reservas a través de una norma igual o semejante a la anulada por la Subsección A de la Sección Tercera del Consejo de Estado, pues ello implica desconocer las prohibiciones de los artículo 9.6 y 237 del Código Procedimiento Administrativo y Contencioso Administrativo</w:t>
      </w:r>
      <w:r>
        <w:rPr>
          <w:rStyle w:val="Refdenotaalpie"/>
          <w:rFonts w:ascii="Verdana" w:eastAsia="Times New Roman" w:hAnsi="Verdana" w:cs="Arial"/>
          <w:lang w:eastAsia="es-MX"/>
        </w:rPr>
        <w:footnoteReference w:id="29"/>
      </w:r>
      <w:r>
        <w:rPr>
          <w:rFonts w:ascii="Verdana" w:eastAsia="Times New Roman" w:hAnsi="Verdana" w:cs="Arial"/>
          <w:lang w:eastAsia="es-MX"/>
        </w:rPr>
        <w:t xml:space="preserve">. </w:t>
      </w:r>
    </w:p>
    <w:p w14:paraId="4164261A" w14:textId="77777777" w:rsidR="00AB1573" w:rsidRPr="00AD6B46" w:rsidRDefault="00AB1573" w:rsidP="00AB1573">
      <w:pPr>
        <w:spacing w:after="0" w:line="276" w:lineRule="auto"/>
        <w:ind w:firstLine="708"/>
        <w:jc w:val="both"/>
        <w:rPr>
          <w:rFonts w:ascii="Verdana" w:eastAsia="Calibri" w:hAnsi="Verdana" w:cs="Arial"/>
          <w:color w:val="000000"/>
        </w:rPr>
      </w:pPr>
      <w:r>
        <w:rPr>
          <w:rFonts w:ascii="Verdana" w:eastAsia="Calibri" w:hAnsi="Verdana" w:cs="Arial"/>
          <w:color w:val="000000"/>
        </w:rPr>
        <w:t>En consecuencia, conforme a la directriz jurisprudencial del párrafo precedente</w:t>
      </w:r>
      <w:r w:rsidRPr="00AD6B46">
        <w:rPr>
          <w:rFonts w:ascii="Verdana" w:eastAsia="Calibri" w:hAnsi="Verdana" w:cs="Arial"/>
          <w:color w:val="000000"/>
        </w:rPr>
        <w:t xml:space="preserve">, </w:t>
      </w:r>
      <w:r>
        <w:rPr>
          <w:rFonts w:ascii="Verdana" w:eastAsia="Calibri" w:hAnsi="Verdana" w:cs="Arial"/>
          <w:color w:val="000000"/>
        </w:rPr>
        <w:t xml:space="preserve">es necesario tener en cuenta que </w:t>
      </w:r>
      <w:r w:rsidRPr="00AD6B46">
        <w:rPr>
          <w:rFonts w:ascii="Verdana" w:eastAsia="Calibri" w:hAnsi="Verdana" w:cs="Arial"/>
          <w:color w:val="000000"/>
        </w:rPr>
        <w:t xml:space="preserve">la Ley Estatutaria 1712 de 2014 define en el artículo 5° dos tipos de información que tendrá el carácter reservado, como es la información pública clasificada y la información pública reservada: </w:t>
      </w:r>
    </w:p>
    <w:p w14:paraId="3A169A06" w14:textId="77777777" w:rsidR="00AB1573" w:rsidRPr="004D1947" w:rsidRDefault="00AB1573" w:rsidP="00AB1573">
      <w:pPr>
        <w:spacing w:after="0" w:line="276" w:lineRule="auto"/>
        <w:ind w:right="709"/>
        <w:jc w:val="both"/>
        <w:rPr>
          <w:rFonts w:ascii="Verdana" w:eastAsia="Calibri" w:hAnsi="Verdana" w:cs="Arial"/>
          <w:color w:val="000000"/>
        </w:rPr>
      </w:pPr>
    </w:p>
    <w:p w14:paraId="101FA536" w14:textId="77777777" w:rsidR="00AB1573" w:rsidRPr="004D1947" w:rsidRDefault="00AB1573" w:rsidP="00AB1573">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 xml:space="preserve">“Artículo 6°. </w:t>
      </w:r>
      <w:r w:rsidRPr="004D1947">
        <w:rPr>
          <w:rFonts w:ascii="Verdana" w:eastAsia="Calibri" w:hAnsi="Verdana" w:cs="Arial"/>
          <w:i/>
          <w:iCs/>
          <w:color w:val="000000"/>
          <w:sz w:val="20"/>
          <w:szCs w:val="20"/>
        </w:rPr>
        <w:t>Definiciones</w:t>
      </w:r>
      <w:r w:rsidRPr="004D1947">
        <w:rPr>
          <w:rFonts w:ascii="Verdana" w:eastAsia="Calibri" w:hAnsi="Verdana" w:cs="Arial"/>
          <w:color w:val="000000"/>
          <w:sz w:val="20"/>
          <w:szCs w:val="20"/>
        </w:rPr>
        <w:t xml:space="preserve">. </w:t>
      </w:r>
    </w:p>
    <w:p w14:paraId="2911B19B" w14:textId="77777777" w:rsidR="00AB1573" w:rsidRPr="004D1947" w:rsidRDefault="00AB1573" w:rsidP="00AB1573">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w:t>
      </w:r>
      <w:r w:rsidRPr="004D1947">
        <w:rPr>
          <w:rFonts w:ascii="Verdana" w:eastAsia="Calibri" w:hAnsi="Verdana" w:cs="Arial"/>
          <w:color w:val="000000"/>
          <w:sz w:val="20"/>
          <w:szCs w:val="20"/>
        </w:rPr>
        <w:t>…]</w:t>
      </w:r>
    </w:p>
    <w:p w14:paraId="26D74880" w14:textId="77777777" w:rsidR="00AB1573" w:rsidRPr="004D1947" w:rsidRDefault="00AB1573" w:rsidP="00AB1573">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c) </w:t>
      </w:r>
      <w:r w:rsidRPr="004D1947">
        <w:rPr>
          <w:rFonts w:ascii="Verdana" w:eastAsia="Calibri" w:hAnsi="Verdana" w:cs="Arial"/>
          <w:bCs/>
          <w:color w:val="000000"/>
          <w:sz w:val="20"/>
          <w:szCs w:val="20"/>
        </w:rPr>
        <w:t>Información pública clasificada. </w:t>
      </w:r>
      <w:r w:rsidRPr="004D1947">
        <w:rPr>
          <w:rFonts w:ascii="Verdana" w:eastAsia="Calibri" w:hAnsi="Verdana" w:cs="Arial"/>
          <w:color w:val="000000"/>
          <w:sz w:val="20"/>
          <w:szCs w:val="20"/>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 </w:t>
      </w:r>
    </w:p>
    <w:p w14:paraId="2C050B07" w14:textId="77777777" w:rsidR="00AB1573" w:rsidRPr="004D1947" w:rsidRDefault="00AB1573" w:rsidP="00AB1573">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d) </w:t>
      </w:r>
      <w:r w:rsidRPr="004D1947">
        <w:rPr>
          <w:rFonts w:ascii="Verdana" w:eastAsia="Calibri" w:hAnsi="Verdana" w:cs="Arial"/>
          <w:bCs/>
          <w:color w:val="000000"/>
          <w:sz w:val="20"/>
          <w:szCs w:val="20"/>
        </w:rPr>
        <w:t>Información pública reservada. </w:t>
      </w:r>
      <w:r w:rsidRPr="004D1947">
        <w:rPr>
          <w:rFonts w:ascii="Verdana" w:eastAsia="Calibri" w:hAnsi="Verdana" w:cs="Arial"/>
          <w:color w:val="000000"/>
          <w:sz w:val="20"/>
          <w:szCs w:val="20"/>
        </w:rPr>
        <w:t>Es aquella información que estando en poder o custodia de un sujeto obligado en su calidad de tal, es exceptuada de acceso a la ciudadanía por daño a intereses públicos y bajo cumplimiento de la totalidad de los requisitos consagrados en el artículo 19 de esta ley”. </w:t>
      </w:r>
    </w:p>
    <w:p w14:paraId="5884CBAE" w14:textId="77777777" w:rsidR="00AB1573" w:rsidRPr="00AD6B46" w:rsidRDefault="00AB1573" w:rsidP="00AB1573">
      <w:pPr>
        <w:spacing w:after="0" w:line="276" w:lineRule="auto"/>
        <w:jc w:val="both"/>
        <w:rPr>
          <w:rFonts w:ascii="Verdana" w:eastAsia="Calibri" w:hAnsi="Verdana" w:cs="Arial"/>
          <w:color w:val="000000"/>
        </w:rPr>
      </w:pPr>
    </w:p>
    <w:p w14:paraId="7986BEA1" w14:textId="77777777" w:rsidR="00AB1573" w:rsidRPr="00AD6B46" w:rsidRDefault="00AB1573" w:rsidP="00AB1573">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lastRenderedPageBreak/>
        <w:t>Estos dos tipos de información están contenidos en los artículos 18</w:t>
      </w:r>
      <w:r w:rsidRPr="00AD6B46">
        <w:rPr>
          <w:rFonts w:ascii="Verdana" w:eastAsia="Calibri" w:hAnsi="Verdana" w:cs="Arial"/>
          <w:color w:val="000000"/>
          <w:vertAlign w:val="superscript"/>
        </w:rPr>
        <w:footnoteReference w:id="30"/>
      </w:r>
      <w:r w:rsidRPr="00AD6B46">
        <w:rPr>
          <w:rFonts w:ascii="Verdana" w:eastAsia="Calibri" w:hAnsi="Verdana" w:cs="Arial"/>
          <w:color w:val="000000"/>
        </w:rPr>
        <w:t xml:space="preserve"> y 19 de la Ley 1712 de 2014</w:t>
      </w:r>
      <w:r w:rsidRPr="00AD6B46">
        <w:rPr>
          <w:rFonts w:ascii="Verdana" w:eastAsia="Calibri" w:hAnsi="Verdana" w:cs="Arial"/>
          <w:color w:val="000000"/>
          <w:vertAlign w:val="superscript"/>
        </w:rPr>
        <w:footnoteReference w:id="31"/>
      </w:r>
      <w:r w:rsidRPr="00AD6B46">
        <w:rPr>
          <w:rFonts w:ascii="Verdana" w:eastAsia="Calibri" w:hAnsi="Verdana" w:cs="Arial"/>
          <w:color w:val="000000"/>
        </w:rPr>
        <w:t xml:space="preserve">. Lo anterior significa que, respecto de datos que 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414C2052" w14:textId="77777777" w:rsidR="00AB1573" w:rsidRDefault="00AB1573" w:rsidP="00AB1573">
      <w:pPr>
        <w:spacing w:after="120" w:line="276" w:lineRule="auto"/>
        <w:ind w:firstLine="709"/>
        <w:jc w:val="both"/>
        <w:rPr>
          <w:rFonts w:ascii="Verdana" w:eastAsia="Times New Roman" w:hAnsi="Verdana" w:cs="Arial"/>
          <w:lang w:eastAsia="es-MX"/>
        </w:rPr>
      </w:pPr>
      <w:r w:rsidRPr="00AD6B46">
        <w:rPr>
          <w:rFonts w:ascii="Verdana" w:eastAsia="Calibri" w:hAnsi="Verdana" w:cs="Arial"/>
          <w:color w:val="000000"/>
        </w:rPr>
        <w:t>En esta misma línea, el artículo 24 de la Ley 1437 de 2011 sustituido por el artículo 2 de la Ley 1755 de 2015 establece algunas materias que son sujetas de reserva de información</w:t>
      </w:r>
      <w:r w:rsidRPr="00AD6B46">
        <w:rPr>
          <w:rFonts w:ascii="Verdana" w:eastAsia="Calibri" w:hAnsi="Verdana" w:cs="Arial"/>
          <w:color w:val="000000"/>
          <w:vertAlign w:val="superscript"/>
        </w:rPr>
        <w:footnoteReference w:id="32"/>
      </w:r>
      <w:r w:rsidRPr="00AD6B46">
        <w:rPr>
          <w:rFonts w:ascii="Verdana" w:eastAsia="Calibri" w:hAnsi="Verdana" w:cs="Arial"/>
          <w:color w:val="000000"/>
        </w:rPr>
        <w:t xml:space="preserve">. De tal forma, que las reservas de información no </w:t>
      </w:r>
      <w:r w:rsidRPr="00AD6B46">
        <w:rPr>
          <w:rFonts w:ascii="Verdana" w:eastAsia="Calibri" w:hAnsi="Verdana" w:cs="Arial"/>
          <w:color w:val="000000"/>
        </w:rPr>
        <w:lastRenderedPageBreak/>
        <w:t xml:space="preserve">están solo reguladas en la Ley 1712 de 2014 y en el artículo 24 de la Ley 1437 de 2011 sustituido por el artículo 2 de la Ley 1755 de 2015, pues existen otras normatividades, como la Ley 1581 de 2012, Ley 1621 de 2013, entre otras, que establecen reservas a la información pública.  </w:t>
      </w:r>
      <w:r>
        <w:rPr>
          <w:rFonts w:ascii="Verdana" w:eastAsia="Times New Roman" w:hAnsi="Verdana" w:cs="Arial"/>
          <w:lang w:eastAsia="es-MX"/>
        </w:rPr>
        <w:t xml:space="preserve"> </w:t>
      </w:r>
    </w:p>
    <w:p w14:paraId="2080D0F8" w14:textId="77777777" w:rsidR="00AB1573" w:rsidRDefault="00AB1573" w:rsidP="00AB1573">
      <w:pPr>
        <w:spacing w:after="0" w:line="276" w:lineRule="auto"/>
        <w:ind w:firstLine="709"/>
        <w:jc w:val="both"/>
        <w:rPr>
          <w:rFonts w:ascii="Verdana" w:hAnsi="Verdana" w:cs="Arial"/>
          <w:color w:val="000000" w:themeColor="text1"/>
          <w:lang w:val="es-ES_tradnl"/>
        </w:rPr>
      </w:pPr>
      <w:r>
        <w:rPr>
          <w:rFonts w:ascii="Verdana" w:eastAsia="Times New Roman" w:hAnsi="Verdana" w:cs="Arial"/>
          <w:lang w:eastAsia="es-MX"/>
        </w:rPr>
        <w:t xml:space="preserve">En este contexto, es la necesidad de la reserva de los documentos del proceso la que habilita la causal de contratación directa para las entidades de sector defensa sometida al EGCAP. Dicha reserva por lo general se refiere a temas de defensa y seguridad nacional. </w:t>
      </w:r>
      <w:r w:rsidRPr="003E5E57">
        <w:rPr>
          <w:rFonts w:ascii="Verdana" w:eastAsia="Calibri" w:hAnsi="Verdana" w:cs="Arial"/>
          <w:color w:val="000000"/>
          <w:lang w:val="es-ES"/>
        </w:rPr>
        <w:t>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3E5E57">
        <w:rPr>
          <w:rFonts w:ascii="Verdana" w:eastAsia="Calibri" w:hAnsi="Verdana" w:cs="Arial"/>
          <w:color w:val="000000"/>
          <w:vertAlign w:val="superscript"/>
          <w:lang w:val="es-ES"/>
        </w:rPr>
        <w:footnoteReference w:id="33"/>
      </w:r>
      <w:r w:rsidRPr="003E5E57">
        <w:rPr>
          <w:rFonts w:ascii="Verdana" w:eastAsia="Calibri" w:hAnsi="Verdana" w:cs="Arial"/>
          <w:color w:val="000000"/>
          <w:lang w:val="es-ES"/>
        </w:rPr>
        <w:t>.</w:t>
      </w:r>
      <w:r>
        <w:rPr>
          <w:rFonts w:ascii="Verdana" w:eastAsia="Calibri" w:hAnsi="Verdana" w:cs="Arial"/>
          <w:color w:val="000000"/>
          <w:lang w:val="es-ES"/>
        </w:rPr>
        <w:t xml:space="preserve"> </w:t>
      </w:r>
      <w:r w:rsidRPr="003E5E57">
        <w:rPr>
          <w:rFonts w:ascii="Verdana" w:hAnsi="Verdana" w:cs="Arial"/>
          <w:color w:val="000000" w:themeColor="text1"/>
          <w:lang w:val="es-ES_tradnl"/>
        </w:rPr>
        <w:t xml:space="preserve">Al </w:t>
      </w:r>
      <w:r w:rsidRPr="003E5E57">
        <w:rPr>
          <w:rFonts w:ascii="Verdana" w:eastAsia="Calibri" w:hAnsi="Verdana" w:cs="Arial"/>
          <w:color w:val="000000"/>
          <w:lang w:val="es-ES"/>
        </w:rPr>
        <w:t xml:space="preserve">respecto, </w:t>
      </w:r>
      <w:r w:rsidRPr="003E5E57">
        <w:rPr>
          <w:rFonts w:ascii="Verdana" w:hAnsi="Verdana" w:cs="Arial"/>
          <w:color w:val="000000" w:themeColor="text1"/>
          <w:lang w:val="es-ES_tradnl"/>
        </w:rPr>
        <w:t xml:space="preserve">en </w:t>
      </w:r>
      <w:r>
        <w:rPr>
          <w:rFonts w:ascii="Verdana" w:hAnsi="Verdana" w:cs="Arial"/>
          <w:color w:val="000000" w:themeColor="text1"/>
          <w:lang w:val="es-ES_tradnl"/>
        </w:rPr>
        <w:t>S</w:t>
      </w:r>
      <w:r w:rsidRPr="003E5E57">
        <w:rPr>
          <w:rFonts w:ascii="Verdana" w:hAnsi="Verdana" w:cs="Arial"/>
          <w:color w:val="000000" w:themeColor="text1"/>
          <w:lang w:val="es-ES_tradnl"/>
        </w:rPr>
        <w:t>entencia del 26 de julio de 2011, la Sección Tercera sostuvo:</w:t>
      </w:r>
    </w:p>
    <w:p w14:paraId="08DD7225" w14:textId="77777777" w:rsidR="00AB1573" w:rsidRPr="00F00B09" w:rsidRDefault="00AB1573" w:rsidP="00AB1573">
      <w:pPr>
        <w:spacing w:after="0" w:line="276" w:lineRule="auto"/>
        <w:ind w:firstLine="709"/>
        <w:jc w:val="both"/>
        <w:rPr>
          <w:rFonts w:ascii="Verdana" w:eastAsia="Calibri" w:hAnsi="Verdana" w:cs="Arial"/>
          <w:color w:val="000000"/>
          <w:lang w:val="es-ES"/>
        </w:rPr>
      </w:pPr>
    </w:p>
    <w:p w14:paraId="3270A3D3" w14:textId="77777777" w:rsidR="00AB1573" w:rsidRPr="003E5E57" w:rsidRDefault="00AB1573" w:rsidP="00AB1573">
      <w:pPr>
        <w:spacing w:after="0" w:line="240" w:lineRule="auto"/>
        <w:ind w:left="709" w:right="709"/>
        <w:jc w:val="both"/>
        <w:rPr>
          <w:rFonts w:ascii="Verdana" w:hAnsi="Verdana" w:cs="Arial"/>
          <w:bCs/>
          <w:sz w:val="20"/>
          <w:szCs w:val="20"/>
        </w:rPr>
      </w:pPr>
      <w:r w:rsidRPr="003E5E57">
        <w:rPr>
          <w:rFonts w:ascii="Verdana" w:hAnsi="Verdana" w:cs="Arial"/>
          <w:bCs/>
          <w:sz w:val="20"/>
          <w:szCs w:val="20"/>
        </w:rPr>
        <w:t xml:space="preserve">“[…] en vigencia de la ley 80 original –que rigió el proceso de selección </w:t>
      </w:r>
      <w:r w:rsidRPr="003E5E57">
        <w:rPr>
          <w:rFonts w:ascii="Verdana" w:hAnsi="Verdana" w:cs="Arial"/>
          <w:bCs/>
          <w:i/>
          <w:sz w:val="20"/>
          <w:szCs w:val="20"/>
        </w:rPr>
        <w:t>sub iudice</w:t>
      </w:r>
      <w:r w:rsidRPr="003E5E57">
        <w:rPr>
          <w:rFonts w:ascii="Verdana" w:hAnsi="Verdana" w:cs="Arial"/>
          <w:bCs/>
          <w:sz w:val="20"/>
          <w:szCs w:val="20"/>
        </w:rPr>
        <w:t xml:space="preserve">- la noción de bienes para la defensa y seguridad nacional fue un concepto jurídico indeterminado, </w:t>
      </w:r>
      <w:r w:rsidRPr="003E5E57">
        <w:rPr>
          <w:rFonts w:ascii="Verdana" w:hAnsi="Verdana" w:cs="Arial"/>
          <w:bCs/>
          <w:i/>
          <w:iCs/>
          <w:sz w:val="20"/>
          <w:szCs w:val="20"/>
        </w:rPr>
        <w:t>cuyo alcance, como acontece normalmente con estas nociones vagas y amplias, suele quedar en manos del operador jurídico del caso, que tiene el deber de precisar su contenido para aplicarlo al asunto concreto</w:t>
      </w:r>
      <w:r w:rsidRPr="003E5E57">
        <w:rPr>
          <w:rFonts w:ascii="Verdana" w:hAnsi="Verdana" w:cs="Arial"/>
          <w:bCs/>
          <w:sz w:val="20"/>
          <w:szCs w:val="20"/>
        </w:rPr>
        <w:t>. Claro está que luego procede el control judicial sobre los actos que definen el tema, y será el juez quien determinará la corrección o incorrección que la administración hace de su alcance</w:t>
      </w:r>
      <w:r w:rsidRPr="003E5E57">
        <w:rPr>
          <w:rFonts w:ascii="Verdana" w:hAnsi="Verdana"/>
          <w:sz w:val="20"/>
          <w:szCs w:val="20"/>
          <w:vertAlign w:val="superscript"/>
        </w:rPr>
        <w:footnoteReference w:id="34"/>
      </w:r>
      <w:r w:rsidRPr="003E5E57">
        <w:rPr>
          <w:rFonts w:ascii="Verdana" w:hAnsi="Verdana" w:cs="Arial"/>
          <w:bCs/>
          <w:sz w:val="20"/>
          <w:szCs w:val="20"/>
        </w:rPr>
        <w:t xml:space="preserve">”. </w:t>
      </w:r>
      <w:r>
        <w:rPr>
          <w:rFonts w:ascii="Verdana" w:hAnsi="Verdana" w:cs="Arial"/>
          <w:bCs/>
          <w:sz w:val="20"/>
          <w:szCs w:val="20"/>
        </w:rPr>
        <w:t>(</w:t>
      </w:r>
      <w:r w:rsidRPr="003E5E57">
        <w:rPr>
          <w:rFonts w:ascii="Verdana" w:hAnsi="Verdana" w:cs="Arial"/>
          <w:bCs/>
          <w:sz w:val="20"/>
          <w:szCs w:val="20"/>
        </w:rPr>
        <w:t>Énfasis por fuera de texto</w:t>
      </w:r>
      <w:r>
        <w:rPr>
          <w:rFonts w:ascii="Verdana" w:hAnsi="Verdana" w:cs="Arial"/>
          <w:bCs/>
          <w:sz w:val="20"/>
          <w:szCs w:val="20"/>
        </w:rPr>
        <w:t>)</w:t>
      </w:r>
    </w:p>
    <w:p w14:paraId="264999D7" w14:textId="77777777" w:rsidR="00AB1573" w:rsidRPr="003E5E57" w:rsidRDefault="00AB1573" w:rsidP="00AB1573">
      <w:pPr>
        <w:spacing w:after="0" w:line="240" w:lineRule="auto"/>
        <w:ind w:left="709" w:right="709"/>
        <w:jc w:val="both"/>
        <w:rPr>
          <w:rFonts w:ascii="Verdana" w:hAnsi="Verdana" w:cs="Arial"/>
          <w:bCs/>
          <w:sz w:val="20"/>
          <w:szCs w:val="20"/>
        </w:rPr>
      </w:pPr>
    </w:p>
    <w:p w14:paraId="709F8BD1" w14:textId="77777777" w:rsidR="00AB1573" w:rsidRDefault="00AB1573" w:rsidP="00AB1573">
      <w:pPr>
        <w:spacing w:after="0" w:line="276" w:lineRule="auto"/>
        <w:ind w:firstLine="709"/>
        <w:jc w:val="both"/>
        <w:rPr>
          <w:rFonts w:ascii="Verdana" w:hAnsi="Verdana" w:cs="Arial"/>
          <w:color w:val="000000" w:themeColor="text1"/>
          <w:lang w:val="es-ES_tradnl"/>
        </w:rPr>
      </w:pPr>
      <w:r w:rsidRPr="003E5E57">
        <w:rPr>
          <w:rFonts w:ascii="Verdana" w:eastAsia="Calibri" w:hAnsi="Verdana" w:cs="Arial"/>
          <w:color w:val="000000"/>
          <w:lang w:val="es-ES"/>
        </w:rPr>
        <w:t xml:space="preserve">Asimismo, </w:t>
      </w:r>
      <w:r w:rsidRPr="003E5E57">
        <w:rPr>
          <w:rFonts w:ascii="Verdana" w:hAnsi="Verdana" w:cs="Arial"/>
          <w:color w:val="000000" w:themeColor="text1"/>
          <w:lang w:val="es-ES_tradnl"/>
        </w:rPr>
        <w:t xml:space="preserve">en la </w:t>
      </w:r>
      <w:r>
        <w:rPr>
          <w:rFonts w:ascii="Verdana" w:hAnsi="Verdana" w:cs="Arial"/>
          <w:color w:val="000000" w:themeColor="text1"/>
          <w:lang w:val="es-ES_tradnl"/>
        </w:rPr>
        <w:t>S</w:t>
      </w:r>
      <w:r w:rsidRPr="003E5E57">
        <w:rPr>
          <w:rFonts w:ascii="Verdana" w:hAnsi="Verdana" w:cs="Arial"/>
          <w:color w:val="000000" w:themeColor="text1"/>
          <w:lang w:val="es-ES_tradnl"/>
        </w:rPr>
        <w:t>entencia del 23 de julio de 2015, la Sección Tercera indicó:</w:t>
      </w:r>
    </w:p>
    <w:p w14:paraId="33C3D267" w14:textId="77777777" w:rsidR="00AB1573" w:rsidRPr="003E5E57" w:rsidRDefault="00AB1573" w:rsidP="00AB1573">
      <w:pPr>
        <w:spacing w:after="0" w:line="276" w:lineRule="auto"/>
        <w:ind w:firstLine="709"/>
        <w:jc w:val="both"/>
        <w:rPr>
          <w:rFonts w:ascii="Verdana" w:hAnsi="Verdana" w:cs="Arial"/>
          <w:color w:val="000000" w:themeColor="text1"/>
          <w:lang w:val="es-ES_tradnl"/>
        </w:rPr>
      </w:pPr>
    </w:p>
    <w:p w14:paraId="7A6B8E75" w14:textId="77777777" w:rsidR="00AB1573" w:rsidRPr="003E5E57" w:rsidRDefault="00AB1573" w:rsidP="00AB1573">
      <w:pPr>
        <w:spacing w:after="12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w:t>
      </w:r>
      <w:r w:rsidRPr="003E5E57">
        <w:rPr>
          <w:rFonts w:ascii="Verdana" w:hAnsi="Verdana" w:cs="Arial"/>
          <w:sz w:val="20"/>
          <w:szCs w:val="20"/>
          <w:lang w:val="es-ES" w:eastAsia="es-ES"/>
        </w:rPr>
        <w:t xml:space="preserve">La defensa y seguridad nacional son </w:t>
      </w:r>
      <w:r w:rsidRPr="003E5E57">
        <w:rPr>
          <w:rFonts w:ascii="Verdana" w:hAnsi="Verdana" w:cs="Arial"/>
          <w:i/>
          <w:sz w:val="20"/>
          <w:szCs w:val="20"/>
          <w:lang w:val="es-ES" w:eastAsia="es-ES"/>
        </w:rPr>
        <w:t>conceptos normativos indeterminados</w:t>
      </w:r>
      <w:r w:rsidRPr="003E5E57">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espacio-temporal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0B4524EE" w14:textId="77777777" w:rsidR="00AB1573" w:rsidRPr="003E5E57" w:rsidRDefault="00AB1573" w:rsidP="00AB1573">
      <w:pPr>
        <w:spacing w:after="0" w:line="240" w:lineRule="auto"/>
        <w:ind w:left="709" w:right="709"/>
        <w:jc w:val="both"/>
        <w:rPr>
          <w:rFonts w:ascii="Verdana" w:hAnsi="Verdana" w:cs="Arial"/>
          <w:sz w:val="20"/>
          <w:szCs w:val="20"/>
          <w:lang w:val="es-ES_tradnl" w:eastAsia="es-ES"/>
        </w:rPr>
      </w:pPr>
      <w:r w:rsidRPr="003E5E57">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3E5E57">
        <w:rPr>
          <w:rFonts w:ascii="Verdana" w:hAnsi="Verdana" w:cs="Arial"/>
          <w:i/>
          <w:sz w:val="20"/>
          <w:szCs w:val="20"/>
          <w:lang w:val="es-ES_tradnl" w:eastAsia="es-ES"/>
        </w:rPr>
        <w:t>el criterio conforme al cual la seguridad es apenas un conjunto de dispositivos para la guerra</w:t>
      </w:r>
      <w:r w:rsidRPr="003E5E57">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Pr>
          <w:rFonts w:ascii="Verdana" w:hAnsi="Verdana" w:cs="Arial"/>
          <w:sz w:val="20"/>
          <w:szCs w:val="20"/>
          <w:lang w:val="es-ES_tradnl" w:eastAsia="es-ES"/>
        </w:rPr>
        <w:t>”</w:t>
      </w:r>
      <w:r w:rsidRPr="003E5E57">
        <w:rPr>
          <w:rFonts w:ascii="Verdana" w:hAnsi="Verdana"/>
          <w:sz w:val="20"/>
          <w:szCs w:val="20"/>
          <w:vertAlign w:val="superscript"/>
        </w:rPr>
        <w:footnoteReference w:id="35"/>
      </w:r>
      <w:r w:rsidRPr="003E5E57">
        <w:rPr>
          <w:rFonts w:ascii="Verdana" w:hAnsi="Verdana" w:cs="Arial"/>
          <w:sz w:val="20"/>
          <w:szCs w:val="20"/>
          <w:lang w:val="es-ES_tradnl" w:eastAsia="es-ES"/>
        </w:rPr>
        <w:t>.</w:t>
      </w:r>
    </w:p>
    <w:p w14:paraId="76A66CB0" w14:textId="77777777" w:rsidR="00AB1573" w:rsidRPr="003E5E57" w:rsidRDefault="00AB1573" w:rsidP="00AB1573">
      <w:pPr>
        <w:spacing w:after="0" w:line="276" w:lineRule="auto"/>
        <w:ind w:firstLine="709"/>
        <w:jc w:val="both"/>
        <w:rPr>
          <w:rFonts w:ascii="Verdana" w:eastAsia="Calibri" w:hAnsi="Verdana" w:cs="Arial"/>
          <w:color w:val="000000"/>
          <w:lang w:val="es-ES"/>
        </w:rPr>
      </w:pPr>
    </w:p>
    <w:p w14:paraId="69A49EE9" w14:textId="77777777" w:rsidR="00AB1573" w:rsidRPr="004C1ADC" w:rsidRDefault="00AB1573" w:rsidP="00AB1573">
      <w:pPr>
        <w:shd w:val="clear" w:color="auto" w:fill="FFFFFF"/>
        <w:spacing w:after="0" w:line="276" w:lineRule="auto"/>
        <w:ind w:firstLine="708"/>
        <w:jc w:val="both"/>
        <w:rPr>
          <w:rFonts w:ascii="Verdana" w:hAnsi="Verdana" w:cs="Arial"/>
          <w:lang w:val="es-ES_tradnl" w:eastAsia="es-CO"/>
        </w:rPr>
      </w:pPr>
      <w:r w:rsidRPr="003E5E57">
        <w:rPr>
          <w:rFonts w:ascii="Verdana" w:eastAsia="Calibri" w:hAnsi="Verdana" w:cs="Arial"/>
          <w:color w:val="000000"/>
          <w:lang w:val="es-ES"/>
        </w:rPr>
        <w:t>Con base en lo anterior,</w:t>
      </w:r>
      <w:r>
        <w:rPr>
          <w:rFonts w:ascii="Verdana" w:eastAsia="Calibri" w:hAnsi="Verdana" w:cs="Arial"/>
          <w:color w:val="000000"/>
          <w:lang w:val="es-ES"/>
        </w:rPr>
        <w:t xml:space="preserve"> </w:t>
      </w:r>
      <w:r>
        <w:rPr>
          <w:rFonts w:ascii="Verdana" w:eastAsia="Times New Roman" w:hAnsi="Verdana" w:cs="Arial"/>
          <w:lang w:eastAsia="es-MX"/>
        </w:rPr>
        <w:t>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w:t>
      </w:r>
      <w:r>
        <w:rPr>
          <w:rFonts w:ascii="Verdana" w:eastAsia="Times New Roman" w:hAnsi="Verdana" w:cs="Arial"/>
          <w:lang w:eastAsia="es-MX"/>
        </w:rPr>
        <w:t xml:space="preserve">que no requieran reserva, están fuera del literal d) del artículo 2.4 de la Ley 1150 de 2007. Es lo que sucede, por ejemplo, con el suministro de papelería y los servicios de cafetería, pues son necesidades trasversales a todas las entidades públicas con independencia de su ubicación en la estructura del Estado. De lo contrario, 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 xml:space="preserve">si coexisten los requisitos de carácter orgánico y material en la causal </w:t>
      </w:r>
      <w:r w:rsidRPr="002A22D8">
        <w:rPr>
          <w:rFonts w:ascii="Verdana" w:eastAsia="Times New Roman" w:hAnsi="Verdana" w:cs="Arial"/>
          <w:i/>
          <w:iCs/>
          <w:lang w:eastAsia="es-MX"/>
        </w:rPr>
        <w:t>sub examine</w:t>
      </w:r>
      <w:r w:rsidRPr="00DB1EA1">
        <w:rPr>
          <w:rFonts w:ascii="Verdana" w:eastAsia="Times New Roman" w:hAnsi="Verdana" w:cs="Arial"/>
          <w:lang w:eastAsia="es-MX"/>
        </w:rPr>
        <w:t xml:space="preserve">, </w:t>
      </w:r>
      <w:r>
        <w:rPr>
          <w:rFonts w:ascii="Verdana" w:eastAsia="Times New Roman" w:hAnsi="Verdana" w:cs="Arial"/>
          <w:lang w:eastAsia="es-MX"/>
        </w:rPr>
        <w:t>pueden</w:t>
      </w:r>
      <w:r w:rsidRPr="00DB1EA1">
        <w:rPr>
          <w:rFonts w:ascii="Verdana" w:eastAsia="Times New Roman" w:hAnsi="Verdana" w:cs="Arial"/>
          <w:lang w:eastAsia="es-MX"/>
        </w:rPr>
        <w:t xml:space="preserve"> </w:t>
      </w:r>
      <w:r>
        <w:rPr>
          <w:rFonts w:ascii="Verdana" w:eastAsia="Times New Roman" w:hAnsi="Verdana" w:cs="Arial"/>
          <w:lang w:eastAsia="es-MX"/>
        </w:rPr>
        <w:t>excepcionarse los procedimientos</w:t>
      </w:r>
      <w:r w:rsidRPr="00DB1EA1">
        <w:rPr>
          <w:rFonts w:ascii="Verdana" w:eastAsia="Times New Roman" w:hAnsi="Verdana" w:cs="Arial"/>
          <w:lang w:eastAsia="es-MX"/>
        </w:rPr>
        <w:t xml:space="preserve"> de selección con pluralidad de oferentes, </w:t>
      </w:r>
      <w:r>
        <w:rPr>
          <w:rFonts w:ascii="Verdana" w:eastAsia="Times New Roman" w:hAnsi="Verdana" w:cs="Arial"/>
          <w:lang w:eastAsia="es-MX"/>
        </w:rPr>
        <w:t xml:space="preserve">incluso durante la vigencia de la ley de garantías, pues la </w:t>
      </w:r>
      <w:r>
        <w:rPr>
          <w:rFonts w:ascii="Verdana" w:eastAsia="Times New Roman" w:hAnsi="Verdana" w:cs="Arial"/>
          <w:lang w:eastAsia="es-MX"/>
        </w:rPr>
        <w:lastRenderedPageBreak/>
        <w:t>contratación directa para la defensa y seguridad del Estado está permitida en el inciso segundo del artículo 33 de la Ley 996 de 2005</w:t>
      </w:r>
      <w:r w:rsidRPr="00DB1EA1">
        <w:rPr>
          <w:rFonts w:ascii="Verdana" w:eastAsia="Times New Roman" w:hAnsi="Verdana" w:cs="Arial"/>
          <w:lang w:eastAsia="es-MX"/>
        </w:rPr>
        <w:t>.</w:t>
      </w:r>
      <w:r>
        <w:rPr>
          <w:rFonts w:ascii="Verdana" w:eastAsia="Times New Roman" w:hAnsi="Verdana" w:cs="Arial"/>
          <w:lang w:eastAsia="es-MX"/>
        </w:rPr>
        <w:t xml:space="preserve">  </w:t>
      </w:r>
    </w:p>
    <w:p w14:paraId="6B713DF6" w14:textId="77777777" w:rsidR="00AB1573" w:rsidRDefault="00AB1573" w:rsidP="00AB1573">
      <w:pPr>
        <w:spacing w:after="0" w:line="276" w:lineRule="auto"/>
        <w:jc w:val="both"/>
        <w:rPr>
          <w:rFonts w:ascii="Verdana" w:eastAsia="Times New Roman" w:hAnsi="Verdana" w:cs="Arial"/>
          <w:lang w:val="es-ES" w:eastAsia="es-MX"/>
        </w:rPr>
      </w:pPr>
    </w:p>
    <w:p w14:paraId="72630717" w14:textId="77777777" w:rsidR="00AB1573" w:rsidRPr="00F4158D" w:rsidRDefault="00AB1573" w:rsidP="00AB1573">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13FFCE" w14:textId="77777777" w:rsidR="00AB1573" w:rsidRPr="00F4158D" w:rsidRDefault="00AB1573" w:rsidP="00AB1573">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64964D2" w14:textId="77777777" w:rsidR="00AB1573" w:rsidRPr="00F4158D" w:rsidRDefault="00AB1573" w:rsidP="00AB1573">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8AD7DBE" w14:textId="77777777" w:rsidR="00AB1573" w:rsidRPr="00593A5F" w:rsidRDefault="00AB1573" w:rsidP="00AB157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2BDB75E" w14:textId="77777777" w:rsidR="00AB1573" w:rsidRPr="00593A5F" w:rsidRDefault="00AB1573" w:rsidP="00AB157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1573" w:rsidRPr="002407CE" w14:paraId="2A5A93F8" w14:textId="77777777" w:rsidTr="00E61993">
        <w:trPr>
          <w:trHeight w:val="870"/>
          <w:jc w:val="center"/>
        </w:trPr>
        <w:tc>
          <w:tcPr>
            <w:tcW w:w="8647" w:type="dxa"/>
          </w:tcPr>
          <w:p w14:paraId="033066B8" w14:textId="77777777" w:rsidR="00AB1573"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72E164F3" w14:textId="77777777" w:rsidR="00AB1573"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42595">
              <w:rPr>
                <w:rFonts w:ascii="Verdana" w:hAnsi="Verdana" w:cs="Arial"/>
              </w:rPr>
              <w:t>Decreto Legislativo 2368 de 1974</w:t>
            </w:r>
            <w:r>
              <w:rPr>
                <w:rFonts w:ascii="Verdana" w:hAnsi="Verdana" w:cs="Arial"/>
              </w:rPr>
              <w:t>, artículo 17.</w:t>
            </w:r>
          </w:p>
          <w:p w14:paraId="4BEAC2C1" w14:textId="77777777" w:rsidR="00AB1573"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81.</w:t>
            </w:r>
          </w:p>
          <w:p w14:paraId="083E35EA" w14:textId="77777777" w:rsidR="00AB1573" w:rsidRPr="007B7E4A"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42 y 50.</w:t>
            </w:r>
          </w:p>
          <w:p w14:paraId="55A716A4" w14:textId="77777777" w:rsidR="00AB1573"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061C7A1B" w14:textId="77777777" w:rsidR="00AB1573"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 14 y 16.</w:t>
            </w:r>
          </w:p>
          <w:p w14:paraId="0D852033" w14:textId="77777777" w:rsidR="00AB1573" w:rsidRPr="00036236"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Ley 1437 de 2011, artículo 24.</w:t>
            </w:r>
          </w:p>
          <w:p w14:paraId="4730F575" w14:textId="77777777" w:rsidR="00AB1573"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Ley 1712 de 2014, artículo 5, 18 y 19.</w:t>
            </w:r>
          </w:p>
          <w:p w14:paraId="3C45546F" w14:textId="77777777" w:rsidR="00AB1573" w:rsidRPr="00036236"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lastRenderedPageBreak/>
              <w:t>Decreto 1070 de 2015, artículos 1.2.1.1.1, 1.2.1.2.1, 1.2.2.1.1, 1.2.2.2.1 y 1.2.3.1.</w:t>
            </w:r>
          </w:p>
          <w:p w14:paraId="4AC4F260" w14:textId="77777777" w:rsidR="00AB1573" w:rsidRPr="00036236" w:rsidRDefault="00AB1573" w:rsidP="00E61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Decreto 1082 de 2015, artículo 2.2.1.2.1.4.6.</w:t>
            </w:r>
          </w:p>
          <w:p w14:paraId="009334BB" w14:textId="77777777" w:rsidR="00AB1573" w:rsidRPr="007005D4" w:rsidRDefault="00AB1573" w:rsidP="00E6199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036236">
              <w:rPr>
                <w:rFonts w:ascii="Verdana" w:eastAsia="Times New Roman" w:hAnsi="Verdana" w:cs="Arial"/>
                <w:lang w:eastAsia="es-MX"/>
              </w:rPr>
              <w:t>Decreto 1625 de 2016</w:t>
            </w:r>
            <w:r>
              <w:rPr>
                <w:rFonts w:ascii="Verdana" w:eastAsia="Times New Roman" w:hAnsi="Verdana" w:cs="Arial"/>
                <w:lang w:eastAsia="es-MX"/>
              </w:rPr>
              <w:t>,</w:t>
            </w:r>
            <w:r>
              <w:t xml:space="preserve"> </w:t>
            </w:r>
            <w:r w:rsidRPr="00036236">
              <w:rPr>
                <w:rFonts w:ascii="Verdana" w:eastAsia="Times New Roman" w:hAnsi="Verdana" w:cs="Arial"/>
                <w:lang w:eastAsia="es-MX"/>
              </w:rPr>
              <w:t>artículo 1.3.1.14.18</w:t>
            </w:r>
            <w:r>
              <w:rPr>
                <w:rFonts w:ascii="Verdana" w:eastAsia="Times New Roman" w:hAnsi="Verdana" w:cs="Arial"/>
                <w:lang w:eastAsia="es-MX"/>
              </w:rPr>
              <w:t>.</w:t>
            </w:r>
          </w:p>
        </w:tc>
      </w:tr>
    </w:tbl>
    <w:p w14:paraId="6FEB671C" w14:textId="77777777" w:rsidR="00AB1573" w:rsidRPr="002407CE" w:rsidRDefault="00AB1573" w:rsidP="00AB1573">
      <w:pPr>
        <w:widowControl w:val="0"/>
        <w:autoSpaceDE w:val="0"/>
        <w:autoSpaceDN w:val="0"/>
        <w:spacing w:after="0" w:line="276" w:lineRule="auto"/>
        <w:jc w:val="both"/>
        <w:rPr>
          <w:rFonts w:ascii="Verdana" w:hAnsi="Verdana" w:cs="Arial"/>
        </w:rPr>
      </w:pPr>
    </w:p>
    <w:p w14:paraId="34DF9698" w14:textId="77777777" w:rsidR="00AB1573" w:rsidRPr="00593A5F" w:rsidRDefault="00AB1573" w:rsidP="00AB157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0A11938" w14:textId="77777777" w:rsidR="00AB1573" w:rsidRPr="00593A5F" w:rsidRDefault="00AB1573" w:rsidP="00AB1573">
      <w:pPr>
        <w:widowControl w:val="0"/>
        <w:autoSpaceDE w:val="0"/>
        <w:autoSpaceDN w:val="0"/>
        <w:spacing w:after="0" w:line="276" w:lineRule="auto"/>
        <w:jc w:val="both"/>
        <w:rPr>
          <w:rFonts w:ascii="Verdana" w:hAnsi="Verdana" w:cs="Arial"/>
        </w:rPr>
      </w:pPr>
    </w:p>
    <w:p w14:paraId="3F511E35" w14:textId="77777777" w:rsidR="00AB1573" w:rsidRPr="00ED0098" w:rsidRDefault="00AB1573" w:rsidP="00AB1573">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C-1648 del 14 de noviembre de 2025 y C-001 del 21 de enero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600BF2F" w14:textId="77777777" w:rsidR="00AB1573" w:rsidRPr="00096788" w:rsidRDefault="00AB1573" w:rsidP="00AB1573">
      <w:pPr>
        <w:widowControl w:val="0"/>
        <w:autoSpaceDE w:val="0"/>
        <w:autoSpaceDN w:val="0"/>
        <w:spacing w:after="0" w:line="276" w:lineRule="auto"/>
        <w:jc w:val="both"/>
        <w:rPr>
          <w:rFonts w:ascii="Verdana" w:hAnsi="Verdana" w:cs="Arial"/>
          <w:color w:val="000000" w:themeColor="text1"/>
          <w:shd w:val="clear" w:color="auto" w:fill="FFFFFF"/>
        </w:rPr>
      </w:pPr>
    </w:p>
    <w:p w14:paraId="05B32A8C" w14:textId="77777777" w:rsidR="00AB1573" w:rsidRDefault="00AB1573" w:rsidP="00AB1573">
      <w:pPr>
        <w:spacing w:after="0"/>
        <w:jc w:val="both"/>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4573E060" w14:textId="77777777" w:rsidR="00AB1573" w:rsidRPr="009A385A" w:rsidRDefault="00AB1573" w:rsidP="00AB1573">
      <w:pPr>
        <w:spacing w:after="0"/>
        <w:jc w:val="both"/>
        <w:rPr>
          <w:rFonts w:ascii="Verdana" w:hAnsi="Verdana"/>
        </w:rPr>
      </w:pPr>
    </w:p>
    <w:p w14:paraId="0973A077" w14:textId="77777777" w:rsidR="00AB1573" w:rsidRDefault="00AB1573" w:rsidP="00AB1573">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33DFA3B0" w14:textId="77777777" w:rsidR="00AB1573" w:rsidRDefault="00AB1573" w:rsidP="00AB1573">
      <w:pPr>
        <w:spacing w:after="0"/>
        <w:jc w:val="both"/>
        <w:rPr>
          <w:rFonts w:ascii="Verdana" w:hAnsi="Verdana"/>
        </w:rPr>
      </w:pPr>
    </w:p>
    <w:p w14:paraId="25976218" w14:textId="77777777" w:rsidR="00AB1573" w:rsidRPr="008E1CD7" w:rsidRDefault="00AB1573" w:rsidP="00AB1573">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B9AED50" w14:textId="77777777" w:rsidR="00AB1573" w:rsidRDefault="00AB1573" w:rsidP="00AB1573">
      <w:pPr>
        <w:shd w:val="clear" w:color="auto" w:fill="FFFFFF"/>
        <w:spacing w:after="0" w:line="276" w:lineRule="auto"/>
        <w:jc w:val="both"/>
        <w:rPr>
          <w:rFonts w:ascii="Verdana" w:hAnsi="Verdana"/>
          <w:color w:val="000000"/>
          <w:u w:val="single"/>
        </w:rPr>
      </w:pPr>
    </w:p>
    <w:p w14:paraId="418EF18D" w14:textId="77777777" w:rsidR="00AB1573" w:rsidRPr="0038088D" w:rsidRDefault="00AB1573" w:rsidP="00AB157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23D57FBF" w14:textId="77777777" w:rsidR="00AB1573" w:rsidRPr="0038088D" w:rsidRDefault="00AB1573" w:rsidP="00AB1573">
      <w:pPr>
        <w:spacing w:after="0"/>
        <w:jc w:val="both"/>
        <w:rPr>
          <w:rFonts w:ascii="Verdana" w:hAnsi="Verdana"/>
        </w:rPr>
      </w:pPr>
    </w:p>
    <w:p w14:paraId="50928DD7" w14:textId="77777777" w:rsidR="00AB1573" w:rsidRPr="0038088D" w:rsidRDefault="00AB1573" w:rsidP="00AB1573">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21584793" w14:textId="77777777" w:rsidR="00AB1573" w:rsidRPr="0038088D" w:rsidRDefault="00AB1573" w:rsidP="00AB1573">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52BE9D68" w14:textId="77777777" w:rsidR="00AB1573" w:rsidRPr="0038088D" w:rsidRDefault="00AB1573" w:rsidP="00AB157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75A971CD" w14:textId="77777777" w:rsidR="00AB1573" w:rsidRPr="0038088D" w:rsidRDefault="00AB1573" w:rsidP="00AB157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007FA935" w14:textId="77777777" w:rsidR="00AB1573" w:rsidRPr="0038088D" w:rsidRDefault="00AB1573" w:rsidP="00AB1573">
      <w:pPr>
        <w:spacing w:after="0" w:line="240" w:lineRule="auto"/>
        <w:ind w:left="720"/>
        <w:jc w:val="both"/>
        <w:rPr>
          <w:rFonts w:ascii="Verdana" w:hAnsi="Verdana"/>
        </w:rPr>
      </w:pPr>
    </w:p>
    <w:p w14:paraId="3C8B00BD" w14:textId="77777777" w:rsidR="00AB1573" w:rsidRPr="0038088D" w:rsidRDefault="00AB1573" w:rsidP="00AB1573">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3BA82C20" w14:textId="77777777" w:rsidR="00AB1573" w:rsidRPr="0038088D" w:rsidRDefault="00AB1573" w:rsidP="00AB1573">
      <w:pPr>
        <w:spacing w:after="0" w:line="240" w:lineRule="auto"/>
        <w:rPr>
          <w:rFonts w:ascii="Verdana" w:hAnsi="Verdana"/>
        </w:rPr>
      </w:pPr>
    </w:p>
    <w:p w14:paraId="3DB1A848" w14:textId="77777777" w:rsidR="00AB1573" w:rsidRPr="0038088D" w:rsidRDefault="00AB1573" w:rsidP="00AB1573">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6391B822" w14:textId="77777777" w:rsidR="00AB1573" w:rsidRPr="00116940" w:rsidRDefault="00AB1573" w:rsidP="00AB1573">
      <w:pPr>
        <w:spacing w:after="0" w:line="240" w:lineRule="auto"/>
        <w:jc w:val="both"/>
        <w:rPr>
          <w:rFonts w:ascii="Verdana" w:hAnsi="Verdana"/>
        </w:rPr>
      </w:pPr>
    </w:p>
    <w:p w14:paraId="6851D25B" w14:textId="77777777" w:rsidR="00AB1573" w:rsidRPr="00116940" w:rsidRDefault="00AB1573" w:rsidP="00AB157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5FFDD61" w14:textId="77777777" w:rsidR="00AB1573" w:rsidRPr="00116940" w:rsidRDefault="00AB1573" w:rsidP="00AB157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3DC906D" w14:textId="77777777" w:rsidR="00AB1573" w:rsidRPr="00E22E6E" w:rsidRDefault="00AB1573" w:rsidP="00AB157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F9D9CA9" w14:textId="77777777" w:rsidR="00AB1573" w:rsidRPr="009C4035" w:rsidRDefault="00AB1573" w:rsidP="00AB157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C8FCAEB" w14:textId="77777777" w:rsidR="00AB1573" w:rsidRPr="00593A5F" w:rsidRDefault="00AB1573" w:rsidP="00AB157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33689D2C" w14:textId="77777777" w:rsidR="00AB1573" w:rsidRPr="00593A5F" w:rsidRDefault="00AB1573" w:rsidP="00AB1573">
      <w:pPr>
        <w:widowControl w:val="0"/>
        <w:autoSpaceDE w:val="0"/>
        <w:autoSpaceDN w:val="0"/>
        <w:spacing w:after="0" w:line="276" w:lineRule="auto"/>
        <w:jc w:val="both"/>
        <w:rPr>
          <w:rFonts w:ascii="Verdana" w:hAnsi="Verdana" w:cs="Arial"/>
        </w:rPr>
      </w:pPr>
    </w:p>
    <w:p w14:paraId="4F6267F1" w14:textId="77777777" w:rsidR="00AB1573" w:rsidRPr="00593A5F" w:rsidRDefault="00AB1573" w:rsidP="00AB157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D3A62EB" w14:textId="3E6B468B" w:rsidR="00AB1573" w:rsidRPr="00593A5F" w:rsidRDefault="004A6A6C" w:rsidP="00AB1573">
      <w:pPr>
        <w:spacing w:line="276" w:lineRule="auto"/>
        <w:jc w:val="center"/>
        <w:rPr>
          <w:rFonts w:ascii="Verdana" w:hAnsi="Verdana" w:cs="Arial"/>
          <w:color w:val="000000"/>
          <w:lang w:val="es-ES_tradnl" w:eastAsia="es-CO"/>
        </w:rPr>
      </w:pPr>
      <w:r>
        <w:rPr>
          <w:noProof/>
        </w:rPr>
        <w:drawing>
          <wp:inline distT="0" distB="0" distL="0" distR="0" wp14:anchorId="347E1166" wp14:editId="636E33C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B1573" w:rsidRPr="00593A5F" w14:paraId="777AC1EB" w14:textId="77777777" w:rsidTr="00E61993">
        <w:trPr>
          <w:trHeight w:val="315"/>
        </w:trPr>
        <w:tc>
          <w:tcPr>
            <w:tcW w:w="893" w:type="dxa"/>
            <w:vAlign w:val="center"/>
            <w:hideMark/>
          </w:tcPr>
          <w:p w14:paraId="13F18719" w14:textId="77777777" w:rsidR="00AB1573" w:rsidRPr="003751C7" w:rsidRDefault="00AB1573" w:rsidP="00E6199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D886A0" w14:textId="77777777" w:rsidR="00AB1573" w:rsidRPr="00254A7A" w:rsidRDefault="00AB1573" w:rsidP="00E6199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4B178FA" w14:textId="77777777" w:rsidR="00AB1573" w:rsidRPr="00254A7A" w:rsidRDefault="00AB1573" w:rsidP="00E6199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B1573" w:rsidRPr="00593A5F" w14:paraId="6C5BB7CA" w14:textId="77777777" w:rsidTr="00E61993">
        <w:trPr>
          <w:trHeight w:val="330"/>
        </w:trPr>
        <w:tc>
          <w:tcPr>
            <w:tcW w:w="893" w:type="dxa"/>
            <w:vAlign w:val="center"/>
            <w:hideMark/>
          </w:tcPr>
          <w:p w14:paraId="3B6E4FEE" w14:textId="77777777" w:rsidR="00AB1573" w:rsidRPr="003751C7" w:rsidRDefault="00AB1573" w:rsidP="00E6199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FD252C" w14:textId="77777777" w:rsidR="00AB1573" w:rsidRPr="001B6B73" w:rsidRDefault="00AB1573" w:rsidP="00E6199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787B5F1" w14:textId="77777777" w:rsidR="00AB1573" w:rsidRPr="00254A7A" w:rsidRDefault="00AB1573" w:rsidP="00E6199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AB1573" w:rsidRPr="00593A5F" w14:paraId="67DF5962" w14:textId="77777777" w:rsidTr="00E61993">
        <w:trPr>
          <w:trHeight w:val="300"/>
        </w:trPr>
        <w:tc>
          <w:tcPr>
            <w:tcW w:w="893" w:type="dxa"/>
            <w:vAlign w:val="center"/>
          </w:tcPr>
          <w:p w14:paraId="15A6A70A" w14:textId="77777777" w:rsidR="00AB1573" w:rsidRPr="003751C7" w:rsidRDefault="00AB1573" w:rsidP="00E61993">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62D844" w14:textId="77777777" w:rsidR="00AB1573" w:rsidRPr="003751C7" w:rsidRDefault="00AB1573" w:rsidP="00E6199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C0F73EF" w14:textId="77777777" w:rsidR="00AB1573" w:rsidRPr="003751C7" w:rsidRDefault="00AB1573" w:rsidP="00E6199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7E750254" w14:textId="77777777" w:rsidR="00AB1573" w:rsidRPr="00543BFE" w:rsidRDefault="00AB1573" w:rsidP="00AB1573"/>
    <w:p w14:paraId="69E748C6" w14:textId="25AEA298" w:rsidR="00AB1573" w:rsidRPr="00B36323" w:rsidRDefault="00AB1573" w:rsidP="00AB1573"/>
    <w:p w14:paraId="0F293BF4" w14:textId="79628E04" w:rsidR="00127233" w:rsidRPr="00350544" w:rsidRDefault="00127233" w:rsidP="00350544"/>
    <w:sectPr w:rsidR="00127233" w:rsidRPr="00350544"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7109E" w14:textId="77777777" w:rsidR="00417021" w:rsidRDefault="00417021" w:rsidP="004A1847">
      <w:pPr>
        <w:spacing w:after="0" w:line="240" w:lineRule="auto"/>
      </w:pPr>
      <w:r>
        <w:separator/>
      </w:r>
    </w:p>
  </w:endnote>
  <w:endnote w:type="continuationSeparator" w:id="0">
    <w:p w14:paraId="68D2252D" w14:textId="77777777" w:rsidR="00417021" w:rsidRDefault="004170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86B2C"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E86B2C">
      <w:rPr>
        <w:rFonts w:ascii="Verdana" w:eastAsia="Verdana" w:hAnsi="Verdana" w:cs="Verdana"/>
        <w:b/>
        <w:color w:val="000000" w:themeColor="text1"/>
        <w:sz w:val="18"/>
        <w:szCs w:val="18"/>
        <w:lang w:val="pt-BR" w:eastAsia="es-CO"/>
      </w:rPr>
      <w:t xml:space="preserve">Código: </w:t>
    </w:r>
    <w:r w:rsidRPr="00E86B2C">
      <w:rPr>
        <w:rFonts w:ascii="Verdana" w:eastAsia="Verdana" w:hAnsi="Verdana" w:cs="Verdana"/>
        <w:color w:val="000000" w:themeColor="text1"/>
        <w:sz w:val="18"/>
        <w:szCs w:val="18"/>
        <w:lang w:val="pt-BR" w:eastAsia="es-CO"/>
      </w:rPr>
      <w:t xml:space="preserve">CCE-REC-FM-17 </w:t>
    </w:r>
    <w:r w:rsidRPr="00E86B2C">
      <w:rPr>
        <w:rFonts w:ascii="Verdana" w:eastAsia="Verdana" w:hAnsi="Verdana" w:cs="Verdana"/>
        <w:b/>
        <w:color w:val="000000" w:themeColor="text1"/>
        <w:sz w:val="18"/>
        <w:szCs w:val="18"/>
        <w:lang w:val="pt-BR" w:eastAsia="es-CO"/>
      </w:rPr>
      <w:t xml:space="preserve">V: </w:t>
    </w:r>
    <w:r w:rsidRPr="00E86B2C">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F8526" w14:textId="77777777" w:rsidR="00417021" w:rsidRDefault="00417021" w:rsidP="004A1847">
      <w:pPr>
        <w:spacing w:after="0" w:line="240" w:lineRule="auto"/>
      </w:pPr>
      <w:r>
        <w:separator/>
      </w:r>
    </w:p>
  </w:footnote>
  <w:footnote w:type="continuationSeparator" w:id="0">
    <w:p w14:paraId="60E45694" w14:textId="77777777" w:rsidR="00417021" w:rsidRDefault="00417021" w:rsidP="004A1847">
      <w:pPr>
        <w:spacing w:after="0" w:line="240" w:lineRule="auto"/>
      </w:pPr>
      <w:r>
        <w:continuationSeparator/>
      </w:r>
    </w:p>
  </w:footnote>
  <w:footnote w:id="1">
    <w:p w14:paraId="6924D281" w14:textId="77777777" w:rsidR="00AB1573" w:rsidRPr="006C7BAC" w:rsidRDefault="00AB1573" w:rsidP="00AB1573">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4AC86A4" w14:textId="77777777" w:rsidR="00AB1573" w:rsidRPr="006C7BAC" w:rsidRDefault="00AB1573" w:rsidP="00AB1573">
      <w:pPr>
        <w:pStyle w:val="Textonotapie"/>
        <w:ind w:firstLine="709"/>
        <w:contextualSpacing/>
        <w:jc w:val="both"/>
        <w:rPr>
          <w:rFonts w:ascii="Verdana" w:hAnsi="Verdana" w:cs="Arial"/>
          <w:sz w:val="16"/>
          <w:szCs w:val="16"/>
        </w:rPr>
      </w:pPr>
      <w:r w:rsidRPr="006C7B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9B60B02" w14:textId="77777777" w:rsidR="00AB1573" w:rsidRPr="006C7BAC" w:rsidRDefault="00AB1573" w:rsidP="00AB1573">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Gaceta del Congreso de la República No. 71 del 2005.</w:t>
      </w:r>
    </w:p>
  </w:footnote>
  <w:footnote w:id="3">
    <w:p w14:paraId="47D125DD" w14:textId="77777777" w:rsidR="00AB1573" w:rsidRPr="00E86B2C" w:rsidRDefault="00AB1573" w:rsidP="00AB1573">
      <w:pPr>
        <w:pStyle w:val="Textonotapie"/>
        <w:ind w:firstLine="709"/>
        <w:contextualSpacing/>
        <w:jc w:val="both"/>
        <w:rPr>
          <w:rFonts w:ascii="Verdana" w:hAnsi="Verdana" w:cs="Arial"/>
          <w:sz w:val="16"/>
          <w:szCs w:val="16"/>
          <w:lang w:val="pt-BR"/>
        </w:rPr>
      </w:pPr>
      <w:r w:rsidRPr="006C7BAC">
        <w:rPr>
          <w:rStyle w:val="Refdenotaalpie"/>
          <w:rFonts w:ascii="Verdana" w:hAnsi="Verdana" w:cs="Arial"/>
          <w:sz w:val="16"/>
          <w:szCs w:val="16"/>
        </w:rPr>
        <w:footnoteRef/>
      </w:r>
      <w:r w:rsidRPr="00E86B2C">
        <w:rPr>
          <w:rFonts w:ascii="Verdana" w:hAnsi="Verdana" w:cs="Arial"/>
          <w:sz w:val="16"/>
          <w:szCs w:val="16"/>
          <w:lang w:val="pt-BR"/>
        </w:rPr>
        <w:t xml:space="preserve"> Corte Constitucional, Sentencia C- 1153 de 2005, M.P. Marco Gerardo Monroy Cabra.</w:t>
      </w:r>
    </w:p>
  </w:footnote>
  <w:footnote w:id="4">
    <w:p w14:paraId="3DA67CD5" w14:textId="77777777" w:rsidR="00AB1573" w:rsidRPr="00E86B2C" w:rsidRDefault="00AB1573" w:rsidP="00AB1573">
      <w:pPr>
        <w:pStyle w:val="Textonotapie"/>
        <w:ind w:firstLine="709"/>
        <w:contextualSpacing/>
        <w:jc w:val="both"/>
        <w:rPr>
          <w:rFonts w:ascii="Verdana" w:hAnsi="Verdana" w:cs="Arial"/>
          <w:sz w:val="16"/>
          <w:szCs w:val="16"/>
          <w:lang w:val="pt-BR"/>
        </w:rPr>
      </w:pPr>
      <w:r w:rsidRPr="006C7BAC">
        <w:rPr>
          <w:rStyle w:val="Refdenotaalpie"/>
          <w:rFonts w:ascii="Verdana" w:hAnsi="Verdana" w:cs="Arial"/>
          <w:sz w:val="16"/>
          <w:szCs w:val="16"/>
        </w:rPr>
        <w:footnoteRef/>
      </w:r>
      <w:r w:rsidRPr="00E86B2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370FC049" w14:textId="77777777" w:rsidR="00AB1573" w:rsidRPr="006C7BAC" w:rsidRDefault="00AB1573" w:rsidP="00AB1573">
      <w:pPr>
        <w:pStyle w:val="Textonotapie"/>
        <w:ind w:firstLine="709"/>
        <w:contextualSpacing/>
        <w:jc w:val="both"/>
        <w:rPr>
          <w:rFonts w:ascii="Verdana" w:hAnsi="Verdana" w:cs="Arial"/>
          <w:sz w:val="16"/>
          <w:szCs w:val="16"/>
          <w:lang w:val="es-CO"/>
        </w:rPr>
      </w:pPr>
      <w:r w:rsidRPr="006C7BAC">
        <w:rPr>
          <w:rStyle w:val="Refdenotaalpie"/>
          <w:rFonts w:ascii="Verdana" w:hAnsi="Verdana" w:cs="Arial"/>
          <w:sz w:val="16"/>
          <w:szCs w:val="16"/>
        </w:rPr>
        <w:footnoteRef/>
      </w:r>
      <w:r w:rsidRPr="006C7B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250803E" w14:textId="77777777" w:rsidR="00AB1573" w:rsidRPr="006C7BAC" w:rsidRDefault="00AB1573" w:rsidP="00AB1573">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1554AE8E" w14:textId="77777777" w:rsidR="00AB1573" w:rsidRPr="006C7BAC" w:rsidRDefault="00AB1573" w:rsidP="00AB1573">
      <w:pPr>
        <w:spacing w:after="0" w:line="240" w:lineRule="auto"/>
        <w:ind w:firstLine="709"/>
        <w:contextualSpacing/>
        <w:jc w:val="both"/>
        <w:rPr>
          <w:rFonts w:ascii="Verdana" w:eastAsia="Times New Roman"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6" w:name="33"/>
      <w:r w:rsidRPr="006C7BAC">
        <w:rPr>
          <w:rFonts w:ascii="Verdana" w:eastAsia="Calibri" w:hAnsi="Verdana" w:cs="Arial"/>
          <w:color w:val="000000"/>
          <w:sz w:val="16"/>
          <w:szCs w:val="16"/>
        </w:rPr>
        <w:t>“</w:t>
      </w:r>
      <w:r w:rsidRPr="006C7BAC">
        <w:rPr>
          <w:rFonts w:ascii="Verdana" w:eastAsia="Times New Roman" w:hAnsi="Verdana" w:cs="Arial"/>
          <w:sz w:val="16"/>
          <w:szCs w:val="16"/>
        </w:rPr>
        <w:t>Artículo 33. Restricciones a la contratación pública.</w:t>
      </w:r>
      <w:bookmarkEnd w:id="6"/>
      <w:r w:rsidRPr="006C7B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CB943F1" w14:textId="77777777" w:rsidR="00AB1573" w:rsidRPr="006C7BAC" w:rsidRDefault="00AB1573" w:rsidP="00AB1573">
      <w:pPr>
        <w:spacing w:after="0" w:line="240" w:lineRule="auto"/>
        <w:ind w:firstLine="709"/>
        <w:contextualSpacing/>
        <w:jc w:val="both"/>
        <w:rPr>
          <w:rFonts w:ascii="Verdana" w:eastAsia="Times New Roman" w:hAnsi="Verdana" w:cs="Arial"/>
          <w:sz w:val="16"/>
          <w:szCs w:val="16"/>
        </w:rPr>
      </w:pPr>
      <w:r w:rsidRPr="006C7B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C7BAC">
        <w:rPr>
          <w:rFonts w:ascii="Verdana" w:eastAsia="Calibri" w:hAnsi="Verdana" w:cs="Arial"/>
          <w:color w:val="000000"/>
          <w:sz w:val="16"/>
          <w:szCs w:val="16"/>
        </w:rPr>
        <w:t>”</w:t>
      </w:r>
      <w:r w:rsidRPr="006C7BAC">
        <w:rPr>
          <w:rFonts w:ascii="Verdana" w:eastAsia="Times New Roman" w:hAnsi="Verdana" w:cs="Arial"/>
          <w:sz w:val="16"/>
          <w:szCs w:val="16"/>
        </w:rPr>
        <w:t>.</w:t>
      </w:r>
    </w:p>
  </w:footnote>
  <w:footnote w:id="8">
    <w:p w14:paraId="1A7063E6" w14:textId="77777777" w:rsidR="00AB1573" w:rsidRPr="006C7BAC" w:rsidRDefault="00AB1573" w:rsidP="00AB1573">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7" w:name="38"/>
      <w:r w:rsidRPr="006C7BAC">
        <w:rPr>
          <w:rFonts w:ascii="Verdana" w:eastAsia="Calibri" w:hAnsi="Verdana" w:cs="Arial"/>
          <w:color w:val="000000"/>
          <w:sz w:val="16"/>
          <w:szCs w:val="16"/>
        </w:rPr>
        <w:t>“</w:t>
      </w:r>
      <w:r w:rsidRPr="006C7BAC">
        <w:rPr>
          <w:rFonts w:ascii="Verdana" w:hAnsi="Verdana" w:cs="Arial"/>
          <w:sz w:val="16"/>
          <w:szCs w:val="16"/>
          <w:lang w:val="es-MX"/>
        </w:rPr>
        <w:t>Artículo 38. Prohibiciones para los servidores públicos. A los empleados del Estado les está prohibido:</w:t>
      </w:r>
      <w:bookmarkEnd w:id="7"/>
    </w:p>
    <w:p w14:paraId="64B51EE2" w14:textId="77777777" w:rsidR="00AB1573" w:rsidRPr="006C7BAC" w:rsidRDefault="00AB1573" w:rsidP="00AB1573">
      <w:pPr>
        <w:pStyle w:val="NormalWeb"/>
        <w:spacing w:before="0" w:beforeAutospacing="0" w:after="0" w:afterAutospacing="0"/>
        <w:ind w:firstLine="709"/>
        <w:contextualSpacing/>
        <w:jc w:val="both"/>
        <w:rPr>
          <w:rFonts w:ascii="Verdana" w:hAnsi="Verdana" w:cs="Arial"/>
          <w:sz w:val="16"/>
          <w:szCs w:val="16"/>
          <w:lang w:val="es-MX"/>
        </w:rPr>
      </w:pPr>
      <w:r w:rsidRPr="006C7BAC">
        <w:rPr>
          <w:rFonts w:ascii="Verdana" w:hAnsi="Verdana" w:cs="Arial"/>
          <w:sz w:val="16"/>
          <w:szCs w:val="16"/>
          <w:lang w:val="es-MX"/>
        </w:rPr>
        <w:t>[…]</w:t>
      </w:r>
    </w:p>
    <w:p w14:paraId="136EA403" w14:textId="77777777" w:rsidR="00AB1573" w:rsidRPr="006C7BAC" w:rsidRDefault="00AB1573" w:rsidP="00AB1573">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baj"/>
          <w:rFonts w:ascii="Verdana" w:eastAsiaTheme="minorEastAsia" w:hAnsi="Verdana" w:cs="Arial"/>
          <w:sz w:val="16"/>
          <w:szCs w:val="16"/>
          <w:lang w:val="es-MX"/>
        </w:rPr>
        <w:t>Parágrafo.</w:t>
      </w:r>
      <w:r w:rsidRPr="006C7B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C7BAC">
        <w:rPr>
          <w:rFonts w:ascii="Verdana" w:eastAsia="Calibri" w:hAnsi="Verdana" w:cs="Arial"/>
          <w:color w:val="000000"/>
          <w:sz w:val="16"/>
          <w:szCs w:val="16"/>
        </w:rPr>
        <w:t>”</w:t>
      </w:r>
      <w:r w:rsidRPr="006C7BAC">
        <w:rPr>
          <w:rFonts w:ascii="Verdana" w:hAnsi="Verdana" w:cs="Arial"/>
          <w:sz w:val="16"/>
          <w:szCs w:val="16"/>
          <w:lang w:val="es-MX"/>
        </w:rPr>
        <w:t>.</w:t>
      </w:r>
    </w:p>
  </w:footnote>
  <w:footnote w:id="9">
    <w:p w14:paraId="1696CDC0" w14:textId="77777777" w:rsidR="00AB1573" w:rsidRPr="006C7BAC" w:rsidRDefault="00AB1573" w:rsidP="00AB1573">
      <w:pPr>
        <w:spacing w:after="0" w:line="240" w:lineRule="auto"/>
        <w:ind w:left="100" w:right="244" w:firstLine="709"/>
        <w:contextualSpacing/>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25FFD3E" w14:textId="77777777" w:rsidR="00AB1573" w:rsidRPr="006C7BAC" w:rsidRDefault="00AB1573" w:rsidP="00AB1573">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[25] </w:t>
      </w:r>
      <w:r w:rsidRPr="006C7BAC">
        <w:rPr>
          <w:rFonts w:ascii="Verdana" w:hAnsi="Verdana" w:cs="Arial"/>
          <w:sz w:val="16"/>
          <w:szCs w:val="16"/>
        </w:rPr>
        <w:t>Cfr. Consejo de Estado. Sección Tercera. Sentencia de 3 de diciembre de 2007. Radicados: 24.715, 25.206, 25.409, 24.524, 27.834, 25.410, 26.105, 28.244, 31.447 -acumulados-”.</w:t>
      </w:r>
    </w:p>
  </w:footnote>
  <w:footnote w:id="11">
    <w:p w14:paraId="2782F9BC" w14:textId="77777777" w:rsidR="00AB1573" w:rsidRPr="006C7BAC" w:rsidRDefault="00AB1573" w:rsidP="00AB1573">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[26] </w:t>
      </w:r>
      <w:r w:rsidRPr="006C7BAC">
        <w:rPr>
          <w:rFonts w:ascii="Verdana" w:hAnsi="Verdana" w:cs="Arial"/>
          <w:sz w:val="16"/>
          <w:szCs w:val="16"/>
        </w:rPr>
        <w:t>Al respecto ver el concepto 1712 de 2 de febrero de 2006. Consejo de Estado Sala de Consulta y Servicio Civil”.</w:t>
      </w:r>
    </w:p>
  </w:footnote>
  <w:footnote w:id="12">
    <w:p w14:paraId="66B35C57" w14:textId="77777777" w:rsidR="00AB1573" w:rsidRPr="006C7BAC" w:rsidRDefault="00AB1573" w:rsidP="00AB1573">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09EA548B" w14:textId="77777777" w:rsidR="00AB1573" w:rsidRPr="006C7BAC" w:rsidRDefault="00AB1573" w:rsidP="00AB1573">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Artículo 2. </w:t>
      </w:r>
    </w:p>
  </w:footnote>
  <w:footnote w:id="14">
    <w:p w14:paraId="7DBA114A" w14:textId="77777777" w:rsidR="00AB1573" w:rsidRPr="006C7BAC" w:rsidRDefault="00AB1573" w:rsidP="00AB1573">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i/>
          <w:sz w:val="16"/>
          <w:szCs w:val="16"/>
          <w:lang w:val="es-ES"/>
        </w:rPr>
        <w:t>Ibidem</w:t>
      </w:r>
      <w:r w:rsidRPr="006C7BAC">
        <w:rPr>
          <w:rFonts w:ascii="Verdana" w:hAnsi="Verdana" w:cs="Arial"/>
          <w:sz w:val="16"/>
          <w:szCs w:val="16"/>
          <w:lang w:val="es-ES"/>
        </w:rPr>
        <w:t>.</w:t>
      </w:r>
    </w:p>
  </w:footnote>
  <w:footnote w:id="15">
    <w:p w14:paraId="663637F2" w14:textId="77777777" w:rsidR="00AB1573" w:rsidRPr="006C7BAC" w:rsidRDefault="00AB1573" w:rsidP="00AB1573">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490D26B1" w14:textId="77777777" w:rsidR="00AB1573" w:rsidRPr="006C7BAC" w:rsidRDefault="00AB1573" w:rsidP="00AB1573">
      <w:pPr>
        <w:shd w:val="clear" w:color="auto" w:fill="FFFFFF"/>
        <w:spacing w:after="0"/>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18921DBC" w14:textId="77777777" w:rsidR="00AB1573" w:rsidRPr="006C7BAC" w:rsidRDefault="00AB1573" w:rsidP="00AB1573">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08 de mayo de 2018. Exp. 2.382. C.P. Álvaro Namén Vargas.</w:t>
      </w:r>
    </w:p>
  </w:footnote>
  <w:footnote w:id="18">
    <w:p w14:paraId="388B6913" w14:textId="77777777" w:rsidR="00AB1573" w:rsidRPr="006C7BAC" w:rsidRDefault="00AB1573" w:rsidP="00AB1573">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574AC515" w14:textId="77777777" w:rsidR="00AB1573" w:rsidRPr="006C7BAC" w:rsidRDefault="00AB1573" w:rsidP="00AB1573">
      <w:pPr>
        <w:spacing w:after="0"/>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6A77A5E5" w14:textId="77777777" w:rsidR="00AB1573" w:rsidRPr="006C7BAC" w:rsidRDefault="00AB1573" w:rsidP="00AB1573">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18" w:name="_Hlk75633115"/>
      <w:r w:rsidRPr="006C7BAC">
        <w:rPr>
          <w:rFonts w:ascii="Verdana" w:hAnsi="Verdana" w:cs="Arial"/>
          <w:sz w:val="16"/>
          <w:szCs w:val="16"/>
        </w:rPr>
        <w:t xml:space="preserve">Consejo de Estado. Sala de Consulta y Servicio Civil. Concepto </w:t>
      </w:r>
      <w:bookmarkEnd w:id="18"/>
      <w:r w:rsidRPr="006C7BAC">
        <w:rPr>
          <w:rFonts w:ascii="Verdana" w:hAnsi="Verdana" w:cs="Arial"/>
          <w:sz w:val="16"/>
          <w:szCs w:val="16"/>
        </w:rPr>
        <w:t>de 6 de abril de 2006. Radicación Número: 11001-03-06-000-2006-00038-00(1738). Consejero Ponente: Enrique José Arboleda Perdomo:</w:t>
      </w:r>
      <w:r w:rsidRPr="006C7BAC">
        <w:rPr>
          <w:rFonts w:ascii="Verdana" w:eastAsia="Times New Roman" w:hAnsi="Verdana" w:cs="Arial"/>
          <w:bCs/>
          <w:sz w:val="16"/>
          <w:szCs w:val="16"/>
          <w:lang w:eastAsia="x-none"/>
        </w:rPr>
        <w:t xml:space="preserve"> “</w:t>
      </w:r>
      <w:r w:rsidRPr="006C7B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C7BAC">
        <w:rPr>
          <w:rFonts w:ascii="Verdana" w:eastAsia="Times New Roman" w:hAnsi="Verdana" w:cs="Arial"/>
          <w:bCs/>
          <w:sz w:val="16"/>
          <w:szCs w:val="16"/>
          <w:lang w:eastAsia="x-none"/>
        </w:rPr>
        <w:t>”.</w:t>
      </w:r>
    </w:p>
  </w:footnote>
  <w:footnote w:id="21">
    <w:p w14:paraId="0B243848" w14:textId="77777777" w:rsidR="00AB1573" w:rsidRPr="006C7BAC" w:rsidRDefault="00AB1573" w:rsidP="00AB1573">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078FDFD3" w14:textId="77777777" w:rsidR="00AB1573" w:rsidRPr="006C7BAC" w:rsidRDefault="00AB1573" w:rsidP="00AB1573">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w:t>
      </w:r>
      <w:r w:rsidRPr="006C7BAC">
        <w:rPr>
          <w:rFonts w:ascii="Verdana" w:hAnsi="Verdana" w:cs="Arial"/>
          <w:i/>
          <w:iCs/>
          <w:sz w:val="16"/>
          <w:szCs w:val="16"/>
        </w:rPr>
        <w:t>ibidem</w:t>
      </w:r>
      <w:r w:rsidRPr="006C7BAC">
        <w:rPr>
          <w:rFonts w:ascii="Verdana" w:hAnsi="Verdana" w:cs="Arial"/>
          <w:sz w:val="16"/>
          <w:szCs w:val="16"/>
        </w:rPr>
        <w:t>.</w:t>
      </w:r>
    </w:p>
  </w:footnote>
  <w:footnote w:id="23">
    <w:p w14:paraId="358A67F0" w14:textId="77777777" w:rsidR="00AB1573" w:rsidRPr="006C7BAC" w:rsidRDefault="00AB1573" w:rsidP="00AB1573">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4">
    <w:p w14:paraId="19C22434" w14:textId="77777777" w:rsidR="00AB1573" w:rsidRPr="006C7BAC" w:rsidRDefault="00AB1573" w:rsidP="00AB1573">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C-1153 de 2005 M.P. Marco Gerardo Monroy Cabra. </w:t>
      </w:r>
    </w:p>
  </w:footnote>
  <w:footnote w:id="25">
    <w:p w14:paraId="47F39357" w14:textId="77777777" w:rsidR="00AB1573" w:rsidRPr="00B2615B" w:rsidRDefault="00AB1573" w:rsidP="00AB1573">
      <w:pPr>
        <w:pStyle w:val="Textonotapie"/>
        <w:ind w:firstLine="708"/>
        <w:jc w:val="both"/>
        <w:rPr>
          <w:rFonts w:ascii="Verdana" w:hAnsi="Verdana"/>
          <w:sz w:val="16"/>
          <w:szCs w:val="16"/>
        </w:rPr>
      </w:pPr>
      <w:r w:rsidRPr="00B2615B">
        <w:rPr>
          <w:rStyle w:val="Refdenotaalpie"/>
          <w:rFonts w:ascii="Verdana" w:hAnsi="Verdana"/>
          <w:sz w:val="16"/>
          <w:szCs w:val="16"/>
        </w:rPr>
        <w:footnoteRef/>
      </w:r>
      <w:r w:rsidRPr="00B2615B">
        <w:rPr>
          <w:rFonts w:ascii="Verdana" w:hAnsi="Verdana"/>
          <w:sz w:val="16"/>
          <w:szCs w:val="16"/>
        </w:rPr>
        <w:t xml:space="preserve"> </w:t>
      </w:r>
      <w:r>
        <w:rPr>
          <w:rFonts w:ascii="Verdana" w:hAnsi="Verdana"/>
          <w:sz w:val="16"/>
          <w:szCs w:val="16"/>
        </w:rPr>
        <w:t>Respecto a la causal de selección abrevida del literal i) del artículo 2.2 de la Ley 1150 de 2007, la doctrina explica que “</w:t>
      </w:r>
      <w:r w:rsidRPr="00B2615B">
        <w:rPr>
          <w:rFonts w:ascii="Verdana" w:hAnsi="Verdana"/>
          <w:sz w:val="16"/>
          <w:szCs w:val="16"/>
        </w:rPr>
        <w:t>El legislador decidió, entonces, para contribuir a la pulcritud de los procedimientos</w:t>
      </w:r>
      <w:r>
        <w:rPr>
          <w:rFonts w:ascii="Verdana" w:hAnsi="Verdana"/>
          <w:sz w:val="16"/>
          <w:szCs w:val="16"/>
        </w:rPr>
        <w:t xml:space="preserve"> </w:t>
      </w:r>
      <w:r w:rsidRPr="00B2615B">
        <w:rPr>
          <w:rFonts w:ascii="Verdana" w:hAnsi="Verdana"/>
          <w:sz w:val="16"/>
          <w:szCs w:val="16"/>
        </w:rPr>
        <w:t>de selección a cargo del sector defensa, abrir la causal en dos. Por</w:t>
      </w:r>
      <w:r>
        <w:rPr>
          <w:rFonts w:ascii="Verdana" w:hAnsi="Verdana"/>
          <w:sz w:val="16"/>
          <w:szCs w:val="16"/>
        </w:rPr>
        <w:t xml:space="preserve"> </w:t>
      </w:r>
      <w:r w:rsidRPr="00B2615B">
        <w:rPr>
          <w:rFonts w:ascii="Verdana" w:hAnsi="Verdana"/>
          <w:sz w:val="16"/>
          <w:szCs w:val="16"/>
        </w:rPr>
        <w:t>un lado, aquellos bienes que si bien son requeridos para la defensa y seguridad</w:t>
      </w:r>
      <w:r>
        <w:rPr>
          <w:rFonts w:ascii="Verdana" w:hAnsi="Verdana"/>
          <w:sz w:val="16"/>
          <w:szCs w:val="16"/>
        </w:rPr>
        <w:t xml:space="preserve"> </w:t>
      </w:r>
      <w:r w:rsidRPr="00B2615B">
        <w:rPr>
          <w:rFonts w:ascii="Verdana" w:hAnsi="Verdana"/>
          <w:sz w:val="16"/>
          <w:szCs w:val="16"/>
        </w:rPr>
        <w:t>del Estado, pueden tener una contratación pública, los cuales sometió al</w:t>
      </w:r>
      <w:r>
        <w:rPr>
          <w:rFonts w:ascii="Verdana" w:hAnsi="Verdana"/>
          <w:sz w:val="16"/>
          <w:szCs w:val="16"/>
        </w:rPr>
        <w:t xml:space="preserve"> </w:t>
      </w:r>
      <w:r w:rsidRPr="00B2615B">
        <w:rPr>
          <w:rFonts w:ascii="Verdana" w:hAnsi="Verdana"/>
          <w:sz w:val="16"/>
          <w:szCs w:val="16"/>
        </w:rPr>
        <w:t>procedimiento especial de selección abreviada, y los que, por su naturaleza,</w:t>
      </w:r>
      <w:r>
        <w:rPr>
          <w:rFonts w:ascii="Verdana" w:hAnsi="Verdana"/>
          <w:sz w:val="16"/>
          <w:szCs w:val="16"/>
        </w:rPr>
        <w:t xml:space="preserve"> </w:t>
      </w:r>
      <w:r w:rsidRPr="00B2615B">
        <w:rPr>
          <w:rFonts w:ascii="Verdana" w:hAnsi="Verdana"/>
          <w:sz w:val="16"/>
          <w:szCs w:val="16"/>
        </w:rPr>
        <w:t>deben ser adquiridos de forma reservada</w:t>
      </w:r>
      <w:r>
        <w:rPr>
          <w:rFonts w:ascii="Verdana" w:hAnsi="Verdana"/>
          <w:sz w:val="16"/>
          <w:szCs w:val="16"/>
        </w:rPr>
        <w:t xml:space="preserve"> […]” (Cfr. ESTRADA SÁNCHEZ, Juan Pablo. Contratación directa, convenios interadministrativos y contratos de cooperación internacional. En: Contratación estatal. </w:t>
      </w:r>
      <w:r w:rsidRPr="00FB259D">
        <w:rPr>
          <w:rFonts w:ascii="Verdana" w:hAnsi="Verdana"/>
          <w:sz w:val="16"/>
          <w:szCs w:val="16"/>
        </w:rPr>
        <w:t>Estudios sobre la reforma</w:t>
      </w:r>
      <w:r>
        <w:rPr>
          <w:rFonts w:ascii="Verdana" w:hAnsi="Verdana"/>
          <w:sz w:val="16"/>
          <w:szCs w:val="16"/>
        </w:rPr>
        <w:t xml:space="preserve"> </w:t>
      </w:r>
      <w:r w:rsidRPr="00FB259D">
        <w:rPr>
          <w:rFonts w:ascii="Verdana" w:hAnsi="Verdana"/>
          <w:sz w:val="16"/>
          <w:szCs w:val="16"/>
        </w:rPr>
        <w:t xml:space="preserve">del </w:t>
      </w:r>
      <w:r>
        <w:rPr>
          <w:rFonts w:ascii="Verdana" w:hAnsi="Verdana"/>
          <w:sz w:val="16"/>
          <w:szCs w:val="16"/>
        </w:rPr>
        <w:t>E</w:t>
      </w:r>
      <w:r w:rsidRPr="00FB259D">
        <w:rPr>
          <w:rFonts w:ascii="Verdana" w:hAnsi="Verdana"/>
          <w:sz w:val="16"/>
          <w:szCs w:val="16"/>
        </w:rPr>
        <w:t xml:space="preserve">statuto </w:t>
      </w:r>
      <w:r>
        <w:rPr>
          <w:rFonts w:ascii="Verdana" w:hAnsi="Verdana"/>
          <w:sz w:val="16"/>
          <w:szCs w:val="16"/>
        </w:rPr>
        <w:t>C</w:t>
      </w:r>
      <w:r w:rsidRPr="00FB259D">
        <w:rPr>
          <w:rFonts w:ascii="Verdana" w:hAnsi="Verdana"/>
          <w:sz w:val="16"/>
          <w:szCs w:val="16"/>
        </w:rPr>
        <w:t>ontractual</w:t>
      </w:r>
      <w:r>
        <w:rPr>
          <w:rFonts w:ascii="Verdana" w:hAnsi="Verdana"/>
          <w:sz w:val="16"/>
          <w:szCs w:val="16"/>
        </w:rPr>
        <w:t xml:space="preserve"> L</w:t>
      </w:r>
      <w:r w:rsidRPr="00FB259D">
        <w:rPr>
          <w:rFonts w:ascii="Verdana" w:hAnsi="Verdana"/>
          <w:sz w:val="16"/>
          <w:szCs w:val="16"/>
        </w:rPr>
        <w:t>ey 1150 de 2007</w:t>
      </w:r>
      <w:r>
        <w:rPr>
          <w:rFonts w:ascii="Verdana" w:hAnsi="Verdana"/>
          <w:sz w:val="16"/>
          <w:szCs w:val="16"/>
        </w:rPr>
        <w:t>. Bogotá: Universidad Externado de Colombia, 2009. p</w:t>
      </w:r>
      <w:r w:rsidRPr="00B2615B">
        <w:rPr>
          <w:rFonts w:ascii="Verdana" w:hAnsi="Verdana"/>
          <w:sz w:val="16"/>
          <w:szCs w:val="16"/>
        </w:rPr>
        <w:t>.</w:t>
      </w:r>
      <w:r>
        <w:rPr>
          <w:rFonts w:ascii="Verdana" w:hAnsi="Verdana"/>
          <w:sz w:val="16"/>
          <w:szCs w:val="16"/>
        </w:rPr>
        <w:t xml:space="preserve"> 309).</w:t>
      </w:r>
    </w:p>
  </w:footnote>
  <w:footnote w:id="26">
    <w:p w14:paraId="66685023" w14:textId="77777777" w:rsidR="00AB1573" w:rsidRPr="00D25821" w:rsidRDefault="00AB1573" w:rsidP="00AB1573">
      <w:pPr>
        <w:pStyle w:val="Textonotapie"/>
        <w:ind w:firstLine="708"/>
        <w:jc w:val="both"/>
        <w:rPr>
          <w:rFonts w:ascii="Verdana" w:hAnsi="Verdana"/>
          <w:sz w:val="16"/>
          <w:szCs w:val="16"/>
        </w:rPr>
      </w:pPr>
      <w:r w:rsidRPr="00D25821">
        <w:rPr>
          <w:rStyle w:val="Refdenotaalpie"/>
          <w:rFonts w:ascii="Verdana" w:hAnsi="Verdana"/>
          <w:sz w:val="16"/>
          <w:szCs w:val="16"/>
        </w:rPr>
        <w:footnoteRef/>
      </w:r>
      <w:r w:rsidRPr="00D25821">
        <w:rPr>
          <w:rFonts w:ascii="Verdana" w:hAnsi="Verdana"/>
          <w:sz w:val="16"/>
          <w:szCs w:val="16"/>
        </w:rPr>
        <w:t xml:space="preserve"> </w:t>
      </w:r>
      <w:r>
        <w:rPr>
          <w:rFonts w:ascii="Verdana" w:hAnsi="Verdana"/>
          <w:sz w:val="16"/>
          <w:szCs w:val="16"/>
        </w:rPr>
        <w:t xml:space="preserve">En lo pertinente, el </w:t>
      </w:r>
      <w:r w:rsidRPr="00D25821">
        <w:rPr>
          <w:rFonts w:ascii="Verdana" w:hAnsi="Verdana"/>
          <w:sz w:val="16"/>
          <w:szCs w:val="16"/>
        </w:rPr>
        <w:t>artículo 78 del Decreto 1510 de 2013</w:t>
      </w:r>
      <w:r>
        <w:rPr>
          <w:rFonts w:ascii="Verdana" w:hAnsi="Verdana"/>
          <w:sz w:val="16"/>
          <w:szCs w:val="16"/>
        </w:rPr>
        <w:t xml:space="preserve"> disponía que “</w:t>
      </w:r>
      <w:r w:rsidRPr="00D25821">
        <w:rPr>
          <w:rFonts w:ascii="Verdana" w:hAnsi="Verdana"/>
          <w:sz w:val="16"/>
          <w:szCs w:val="16"/>
        </w:rPr>
        <w:t>Los siguientes bienes, obras y servicios requieren reserva para su adquisición:</w:t>
      </w:r>
    </w:p>
    <w:p w14:paraId="4AD73F42"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 Armas, sistemas de armamento y sus repuestos, municiones, elementos para la instrucción de las mismas, manejo, incluyendo los elementos contra motines, torpedos y minas, herramientas y equipos para pruebas y mantenimiento de estos y estas.</w:t>
      </w:r>
    </w:p>
    <w:p w14:paraId="3EA29A13"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2. Equipos optrónicos y de visión nocturna, sus accesorios, repuestos e implementos necesarios para su funcionamiento.</w:t>
      </w:r>
    </w:p>
    <w:p w14:paraId="7EFD8F3C"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3. Redes, sistemas de información y comunicaciones, incluyendo hardware y software, servicios y accesorios, infraestructura para la ciberdefensa y ciberseguridad informática y física, incluyendo la consultoría, el diseño, las metodologías de análisis, implementación y configuración, requeridos para el Sector Defensa y la Dirección Nacional de Inteligencia.</w:t>
      </w:r>
    </w:p>
    <w:p w14:paraId="606CE3CF"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4. Naves, artefactos navales y fluviales, y aeronaves, y cualquier otro equipo para el transporte aéreo, marítimo o fluvial requerido para la defensa nacional, así como sus accesorios, repuestos, elementos de su operación y funcionamiento, combustible y lubricantes.</w:t>
      </w:r>
    </w:p>
    <w:p w14:paraId="4C6C7582"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5. Vehículos militares y policiales de transporte terrestre, marítimo, fluvial y aéreo con sus accesorios repuestos, combustibles, lubricantes y grasas, necesarios para el transporte de personal y material del Sector Defensa, de la Dirección Nacional de Inteligencia.</w:t>
      </w:r>
    </w:p>
    <w:p w14:paraId="77E4D8FC"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6. Servicios de transporte especializado que requieren reserva para garantizar la vida y la integridad de personas protegidas por la Unidad Nacional de Protección.</w:t>
      </w:r>
    </w:p>
    <w:p w14:paraId="216536CE"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7. Material blindado y la adquisición de vehículos para blindar para el Sector Defensa, la Dirección Nacional de Inteligencia y la Unidad Nacional de Protección que requieren reserva.</w:t>
      </w:r>
    </w:p>
    <w:p w14:paraId="42F44F08"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8. Equipos de detección aérea, de superficie y submarinas, sus repuestos y accesorios, equipos de sintonía y calibración para el Sector Defensa.</w:t>
      </w:r>
    </w:p>
    <w:p w14:paraId="3188C9B6"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9. Los bienes, obras y servicios relacionados con la señalización y las ayudas de navegación aérea, marítima y fluvial, con sus accesorios, repuestos y demás insumos para su operación, información técnica tendiente a proteger y salvaguardar los límites y fronteras y garantizar la soberanía, la integridad del territorio nacional y el orden constitucional, así como las compras y los contratos relacionados con proyectos de ciencia y tecnología destinados a establecer la conformación física y morfológica del territorio nacional para su defensa.</w:t>
      </w:r>
    </w:p>
    <w:p w14:paraId="67AF22DB"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10. Los bienes, obras y servicios que tengan por finalidad garantizar la vida e integridad del Comandante Supremo de las Fuerzas Armadas de la República.</w:t>
      </w:r>
    </w:p>
    <w:p w14:paraId="44D9204C"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11. Los bienes y servicios para la administración, conservación, clasificación, ordenación, guarda y sistematización de los archivos generales como de inteligencia que hacen parte del Departamento Administrativo de Seguridad en supresión y de la Dirección Nacional de Inteligencia.</w:t>
      </w:r>
    </w:p>
    <w:p w14:paraId="58B8DD4C"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12. Los bienes y servicios que por razón de su especificación técnica permiten mantener líneas logísticas estandarizadas con equipamiento existente de la Fuerza Pública, sin consideración de marcas u origen.</w:t>
      </w:r>
    </w:p>
    <w:p w14:paraId="470E96B5"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13. Equipo y vestuario con funcionalidades orientadas a la protección personal, balística, nuclear, biológica o química y textiles con acabados funcionales especiales para la confección de vestuario.</w:t>
      </w:r>
    </w:p>
    <w:p w14:paraId="15B87F63"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14. Las obras públicas que tengan relación directa con la defensa y seguridad nacional, inteligencia y contrainteligencia, la seguridad de las instalaciones, la integridad del personal y de las operaciones de la Fuerza Pública y de la Dirección Nacional de Inteligencia, así como las consultorías e interventorías relacionadas con las mismas.</w:t>
      </w:r>
    </w:p>
    <w:p w14:paraId="61FBC670"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15. Los bienes, obras y servicios relacionados con la capacitación, instrucción y entrenamiento del personal de la Fuerza Pública, de la Unidad Nacional de Protección y de la Dirección Nacional de Inteligencia, así como para el diseño de estrategias relacionadas con la defensa, la seguridad nacional, inteligencia y contrainteligencia.</w:t>
      </w:r>
    </w:p>
    <w:p w14:paraId="12F8AFDA"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16. Los bienes, obras y servicios derivados de la compensación a cargo de países y proveedores de los bienes y servicios previstos en el artículo 65 y en el presente artículo. Estos bienes y servicios deben ser adquiridos a través de convenios de cooperación industrial y social, llamados offset, que tienen como propósito incentivar la transferencia de tecnología tanto al sector público como al sector real, así como favorecer el desarrollo industrial y social del país.</w:t>
      </w:r>
    </w:p>
    <w:p w14:paraId="697EE6A8"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17. Los bienes, obras y servicios para garantizar la defensa y seguridad de la infraestructura petrolera, minera, energética, vial, de comunicaciones y para la erradicación de cultivos ilícitos, incluyendo la dotación de las unidades militares comprometidas en esta tarea y los equipos, elementos y servicios necesarios para garantizar su permanencia y operación en las áreas objeto de protección.</w:t>
      </w:r>
    </w:p>
    <w:p w14:paraId="4463982B"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18. Los servicios de mantenimiento de los bienes, obras y servicios señalados en el presente artículo y las interventorías necesarias para la ejecución de los respectivos contratos.</w:t>
      </w:r>
    </w:p>
    <w:p w14:paraId="3BD17AFE" w14:textId="77777777" w:rsidR="00AB1573" w:rsidRPr="00D25821" w:rsidRDefault="00AB1573" w:rsidP="00AB1573">
      <w:pPr>
        <w:pStyle w:val="Textonotapie"/>
        <w:ind w:firstLine="708"/>
        <w:jc w:val="both"/>
        <w:rPr>
          <w:rFonts w:ascii="Verdana" w:hAnsi="Verdana"/>
          <w:sz w:val="16"/>
          <w:szCs w:val="16"/>
        </w:rPr>
      </w:pPr>
      <w:r w:rsidRPr="00D25821">
        <w:rPr>
          <w:rFonts w:ascii="Verdana" w:hAnsi="Verdana"/>
          <w:sz w:val="16"/>
          <w:szCs w:val="16"/>
        </w:rPr>
        <w:t>19. Los equipos de inteligencia, los estudios de confiabilidad y credibilidad para personal de inteligencia y la consultoría e interventoría en materia de inteligencia.</w:t>
      </w:r>
    </w:p>
    <w:p w14:paraId="6E684626" w14:textId="77777777" w:rsidR="00AB1573" w:rsidRPr="00D25821" w:rsidRDefault="00AB1573" w:rsidP="00AB1573">
      <w:pPr>
        <w:pStyle w:val="Textonotapie"/>
        <w:ind w:firstLine="708"/>
        <w:jc w:val="both"/>
        <w:rPr>
          <w:rFonts w:ascii="Verdana" w:hAnsi="Verdana"/>
          <w:sz w:val="16"/>
          <w:szCs w:val="16"/>
          <w:lang w:val="es-CO"/>
        </w:rPr>
      </w:pPr>
      <w:r w:rsidRPr="00D25821">
        <w:rPr>
          <w:rFonts w:ascii="Verdana" w:hAnsi="Verdana"/>
          <w:sz w:val="16"/>
          <w:szCs w:val="16"/>
        </w:rPr>
        <w:t>20. Los bienes y servicios enumerados en el presente artículo contratados con personas extranjeras de derecho público, o con proveedores autorizados por estas</w:t>
      </w:r>
      <w:r>
        <w:rPr>
          <w:rFonts w:ascii="Verdana" w:hAnsi="Verdana"/>
          <w:sz w:val="16"/>
          <w:szCs w:val="16"/>
        </w:rPr>
        <w:t>”</w:t>
      </w:r>
      <w:r w:rsidRPr="00D25821">
        <w:rPr>
          <w:rFonts w:ascii="Verdana" w:hAnsi="Verdana"/>
          <w:sz w:val="16"/>
          <w:szCs w:val="16"/>
        </w:rPr>
        <w:t>.</w:t>
      </w:r>
    </w:p>
  </w:footnote>
  <w:footnote w:id="27">
    <w:p w14:paraId="315824E1" w14:textId="77777777" w:rsidR="00AB1573" w:rsidRPr="00050EC9" w:rsidRDefault="00AB1573" w:rsidP="00AB1573">
      <w:pPr>
        <w:pStyle w:val="Textonotapie"/>
        <w:ind w:firstLine="708"/>
        <w:jc w:val="both"/>
        <w:rPr>
          <w:rFonts w:ascii="Verdana" w:hAnsi="Verdana"/>
          <w:sz w:val="16"/>
          <w:szCs w:val="16"/>
        </w:rPr>
      </w:pPr>
      <w:r w:rsidRPr="00564AC4">
        <w:rPr>
          <w:rStyle w:val="Refdenotaalpie"/>
          <w:rFonts w:ascii="Verdana" w:hAnsi="Verdana"/>
          <w:sz w:val="16"/>
          <w:szCs w:val="16"/>
        </w:rPr>
        <w:footnoteRef/>
      </w:r>
      <w:r w:rsidRPr="00564AC4">
        <w:rPr>
          <w:rFonts w:ascii="Verdana" w:hAnsi="Verdana"/>
          <w:sz w:val="16"/>
          <w:szCs w:val="16"/>
        </w:rPr>
        <w:t xml:space="preserve"> </w:t>
      </w:r>
      <w:r>
        <w:rPr>
          <w:rFonts w:ascii="Verdana" w:hAnsi="Verdana"/>
          <w:sz w:val="16"/>
          <w:szCs w:val="16"/>
        </w:rPr>
        <w:t>E</w:t>
      </w:r>
      <w:r w:rsidRPr="00050EC9">
        <w:rPr>
          <w:rFonts w:ascii="Verdana" w:hAnsi="Verdana"/>
          <w:sz w:val="16"/>
          <w:szCs w:val="16"/>
        </w:rPr>
        <w:t>l artículo 17 del Decreto Ley 2368 de 1974</w:t>
      </w:r>
      <w:r>
        <w:rPr>
          <w:rFonts w:ascii="Verdana" w:hAnsi="Verdana"/>
          <w:sz w:val="16"/>
          <w:szCs w:val="16"/>
        </w:rPr>
        <w:t xml:space="preserve"> dispone que “</w:t>
      </w:r>
      <w:r w:rsidRPr="00050EC9">
        <w:rPr>
          <w:rFonts w:ascii="Verdana" w:hAnsi="Verdana"/>
          <w:sz w:val="16"/>
          <w:szCs w:val="16"/>
        </w:rPr>
        <w:t>No causan impuesto sobre las ventas la importación de maquinaria pesada para industrias básicas, siempre y cuando dicha maquinaria no sea producible en el país. Para efectos del presente artículo, son industrias básicas las de minería, hidrocarburos, química pesada, siderurgia, metalurgia extractiva y generación y transmisión de energía eléctrica.</w:t>
      </w:r>
    </w:p>
    <w:p w14:paraId="1D8B95FF" w14:textId="77777777" w:rsidR="00AB1573" w:rsidRPr="00050EC9" w:rsidRDefault="00AB1573" w:rsidP="00AB1573">
      <w:pPr>
        <w:pStyle w:val="Textonotapie"/>
        <w:ind w:firstLine="708"/>
        <w:jc w:val="both"/>
        <w:rPr>
          <w:rFonts w:ascii="Verdana" w:hAnsi="Verdana"/>
          <w:sz w:val="16"/>
          <w:szCs w:val="16"/>
          <w:lang w:val="es-CO"/>
        </w:rPr>
      </w:pPr>
      <w:r w:rsidRPr="00050EC9">
        <w:rPr>
          <w:rFonts w:ascii="Verdana" w:hAnsi="Verdana"/>
          <w:sz w:val="16"/>
          <w:szCs w:val="16"/>
        </w:rPr>
        <w:t>Tampoco lo causan las importaciones de armas y municiones que se hagan para la defensa nacional</w:t>
      </w:r>
      <w:r>
        <w:rPr>
          <w:rFonts w:ascii="Verdana" w:hAnsi="Verdana"/>
          <w:sz w:val="16"/>
          <w:szCs w:val="16"/>
        </w:rPr>
        <w:t>”.</w:t>
      </w:r>
    </w:p>
  </w:footnote>
  <w:footnote w:id="28">
    <w:p w14:paraId="0F060B57" w14:textId="77777777" w:rsidR="00AB1573" w:rsidRPr="00BF4A70" w:rsidRDefault="00AB1573" w:rsidP="00AB1573">
      <w:pPr>
        <w:pStyle w:val="Textonotapie"/>
        <w:ind w:firstLine="708"/>
        <w:jc w:val="both"/>
        <w:rPr>
          <w:rFonts w:ascii="Verdana" w:hAnsi="Verdana"/>
          <w:sz w:val="16"/>
          <w:szCs w:val="16"/>
        </w:rPr>
      </w:pPr>
      <w:r w:rsidRPr="00564AC4">
        <w:rPr>
          <w:rStyle w:val="Refdenotaalpie"/>
          <w:rFonts w:ascii="Verdana" w:hAnsi="Verdana"/>
          <w:sz w:val="16"/>
          <w:szCs w:val="16"/>
        </w:rPr>
        <w:footnoteRef/>
      </w:r>
      <w:r w:rsidRPr="00564AC4">
        <w:rPr>
          <w:rFonts w:ascii="Verdana" w:hAnsi="Verdana"/>
          <w:sz w:val="16"/>
          <w:szCs w:val="16"/>
        </w:rPr>
        <w:t xml:space="preserve"> </w:t>
      </w:r>
      <w:r>
        <w:rPr>
          <w:rFonts w:ascii="Verdana" w:hAnsi="Verdana"/>
          <w:sz w:val="16"/>
          <w:szCs w:val="16"/>
        </w:rPr>
        <w:t xml:space="preserve">El </w:t>
      </w:r>
      <w:r w:rsidRPr="00050EC9">
        <w:rPr>
          <w:rFonts w:ascii="Verdana" w:hAnsi="Verdana"/>
          <w:sz w:val="16"/>
          <w:szCs w:val="16"/>
        </w:rPr>
        <w:t xml:space="preserve">artículo 259 del </w:t>
      </w:r>
      <w:r>
        <w:rPr>
          <w:rFonts w:ascii="Verdana" w:hAnsi="Verdana"/>
          <w:sz w:val="16"/>
          <w:szCs w:val="16"/>
        </w:rPr>
        <w:t xml:space="preserve">derogado </w:t>
      </w:r>
      <w:r w:rsidRPr="00050EC9">
        <w:rPr>
          <w:rFonts w:ascii="Verdana" w:hAnsi="Verdana"/>
          <w:sz w:val="16"/>
          <w:szCs w:val="16"/>
        </w:rPr>
        <w:t>Decreto Ley 222 de 1983</w:t>
      </w:r>
      <w:r>
        <w:rPr>
          <w:rFonts w:ascii="Verdana" w:hAnsi="Verdana"/>
          <w:sz w:val="16"/>
          <w:szCs w:val="16"/>
        </w:rPr>
        <w:t xml:space="preserve"> disponía que “</w:t>
      </w:r>
      <w:r w:rsidRPr="00BF4A70">
        <w:rPr>
          <w:rFonts w:ascii="Verdana" w:hAnsi="Verdana"/>
          <w:sz w:val="16"/>
          <w:szCs w:val="16"/>
        </w:rPr>
        <w:t>Los contratos que, exclusivamente para la adquisición de material de guerra o reservado, celebren la Nación-Ministerio de Defensa Nacional-, la Industria Militar, el Servicio Aéreo a Territorios Nacionales,-SATENA-y los Fondos Rotatorios de las Fuerzas Armadas y de la Policía Nacional, no requerirán para su validez la licitación pública o privada y se perfeccionarán con el registro presupuestal y la constitución de las garantías a que hubiere lugar. Al mismo procedimiento se someterán los contratos que tengan por objeto asegurar, transportar, mantener o reparar el citado material de guerra.</w:t>
      </w:r>
    </w:p>
    <w:p w14:paraId="75EDC8D1" w14:textId="77777777" w:rsidR="00AB1573" w:rsidRPr="00BF4A70" w:rsidRDefault="00AB1573" w:rsidP="00AB1573">
      <w:pPr>
        <w:pStyle w:val="Textonotapie"/>
        <w:ind w:firstLine="708"/>
        <w:jc w:val="both"/>
        <w:rPr>
          <w:rFonts w:ascii="Verdana" w:hAnsi="Verdana"/>
          <w:sz w:val="16"/>
          <w:szCs w:val="16"/>
        </w:rPr>
      </w:pPr>
      <w:r w:rsidRPr="00BF4A70">
        <w:rPr>
          <w:rFonts w:ascii="Verdana" w:hAnsi="Verdana"/>
          <w:sz w:val="16"/>
          <w:szCs w:val="16"/>
        </w:rPr>
        <w:t>Los contratos aquí previstos de cuantía igual o superior a cincuenta millones de pesos ($ 50.000.000.00) o su equivalente en moneda extranjera, también requerirán para su validez aprobación del Consejo de Ministros y firma del Presidente de la República.</w:t>
      </w:r>
    </w:p>
    <w:p w14:paraId="3E3DED51" w14:textId="77777777" w:rsidR="00AB1573" w:rsidRPr="00050EC9" w:rsidRDefault="00AB1573" w:rsidP="00AB1573">
      <w:pPr>
        <w:pStyle w:val="Textonotapie"/>
        <w:ind w:firstLine="708"/>
        <w:jc w:val="both"/>
        <w:rPr>
          <w:rFonts w:ascii="Verdana" w:hAnsi="Verdana"/>
          <w:sz w:val="16"/>
          <w:szCs w:val="16"/>
          <w:lang w:val="es-CO"/>
        </w:rPr>
      </w:pPr>
      <w:r w:rsidRPr="00BF4A70">
        <w:rPr>
          <w:rFonts w:ascii="Verdana" w:hAnsi="Verdana"/>
          <w:sz w:val="16"/>
          <w:szCs w:val="16"/>
        </w:rPr>
        <w:t>La celebración de contratos de empréstito por parte de las entidades enunciadas en este artículo y para los efectos previstos en el mismo, sólo requerirá autorización previa otorgada mediante resolución ejecutiva originaria del Ministerio de Hacienda y Crédito Público. Los respectivos convenios se perfeccionarán con la firma del Presidente de la República o su delegado, después de su aprobación por el Consejo de Ministros</w:t>
      </w:r>
      <w:r>
        <w:rPr>
          <w:rFonts w:ascii="Verdana" w:hAnsi="Verdana"/>
          <w:sz w:val="16"/>
          <w:szCs w:val="16"/>
        </w:rPr>
        <w:t>”</w:t>
      </w:r>
      <w:r w:rsidRPr="00BF4A70">
        <w:rPr>
          <w:rFonts w:ascii="Verdana" w:hAnsi="Verdana"/>
          <w:sz w:val="16"/>
          <w:szCs w:val="16"/>
        </w:rPr>
        <w:t>.</w:t>
      </w:r>
    </w:p>
  </w:footnote>
  <w:footnote w:id="29">
    <w:p w14:paraId="68C60BC6" w14:textId="77777777" w:rsidR="00AB1573" w:rsidRPr="00EC1BAA" w:rsidRDefault="00AB1573" w:rsidP="00AB1573">
      <w:pPr>
        <w:pStyle w:val="Textonotapie"/>
        <w:ind w:firstLine="708"/>
        <w:jc w:val="both"/>
        <w:rPr>
          <w:rFonts w:ascii="Verdana" w:hAnsi="Verdana"/>
          <w:sz w:val="16"/>
          <w:szCs w:val="16"/>
          <w:lang w:val="es-CO"/>
        </w:rPr>
      </w:pPr>
      <w:r w:rsidRPr="00EC1BAA">
        <w:rPr>
          <w:rStyle w:val="Refdenotaalpie"/>
          <w:rFonts w:ascii="Verdana" w:hAnsi="Verdana"/>
          <w:sz w:val="16"/>
          <w:szCs w:val="16"/>
        </w:rPr>
        <w:footnoteRef/>
      </w:r>
      <w:r w:rsidRPr="00EC1BAA">
        <w:rPr>
          <w:rFonts w:ascii="Verdana" w:hAnsi="Verdana"/>
          <w:sz w:val="16"/>
          <w:szCs w:val="16"/>
        </w:rPr>
        <w:t xml:space="preserve"> </w:t>
      </w:r>
      <w:r>
        <w:rPr>
          <w:rFonts w:ascii="Verdana" w:hAnsi="Verdana"/>
          <w:sz w:val="16"/>
          <w:szCs w:val="16"/>
        </w:rPr>
        <w:t>El artículo 9.6 de la Ley 1437 de 2011 prohíbe a las autoridades públicas “</w:t>
      </w:r>
      <w:r w:rsidRPr="00EC1BAA">
        <w:rPr>
          <w:rFonts w:ascii="Verdana" w:hAnsi="Verdana"/>
          <w:sz w:val="16"/>
          <w:szCs w:val="16"/>
        </w:rPr>
        <w:t>Reproducir actos suspendidos o anulados por la Jurisdicción de lo Contencioso Administrativo cuando no hayan desaparecido los fundamentos legales de la anulación o suspensión</w:t>
      </w:r>
      <w:r>
        <w:rPr>
          <w:rFonts w:ascii="Verdana" w:hAnsi="Verdana"/>
          <w:sz w:val="16"/>
          <w:szCs w:val="16"/>
        </w:rPr>
        <w:t xml:space="preserve">”. Ello se reitera en el artículo 238 </w:t>
      </w:r>
      <w:r w:rsidRPr="00EC1BAA">
        <w:rPr>
          <w:rFonts w:ascii="Verdana" w:hAnsi="Verdana"/>
          <w:i/>
          <w:iCs/>
          <w:sz w:val="16"/>
          <w:szCs w:val="16"/>
        </w:rPr>
        <w:t>ibidem</w:t>
      </w:r>
      <w:r>
        <w:rPr>
          <w:rFonts w:ascii="Verdana" w:hAnsi="Verdana"/>
          <w:sz w:val="16"/>
          <w:szCs w:val="16"/>
        </w:rPr>
        <w:t>, pues “</w:t>
      </w:r>
      <w:r w:rsidRPr="002D75E3">
        <w:rPr>
          <w:rFonts w:ascii="Verdana" w:hAnsi="Verdana"/>
          <w:sz w:val="16"/>
          <w:szCs w:val="16"/>
        </w:rPr>
        <w:t>Ningún acto anulado o suspendido podrá ser reproducido si conserva en esencia las mismas disposiciones anuladas o suspendidas, a menos que con posterioridad a la sentencia o al auto, hayan desaparecido los fundamentos legales de la anulación o suspensión</w:t>
      </w:r>
      <w:r>
        <w:rPr>
          <w:rFonts w:ascii="Verdana" w:hAnsi="Verdana"/>
          <w:sz w:val="16"/>
          <w:szCs w:val="16"/>
        </w:rPr>
        <w:t>”</w:t>
      </w:r>
      <w:r w:rsidRPr="002D75E3">
        <w:rPr>
          <w:rFonts w:ascii="Verdana" w:hAnsi="Verdana"/>
          <w:sz w:val="16"/>
          <w:szCs w:val="16"/>
        </w:rPr>
        <w:t>.</w:t>
      </w:r>
    </w:p>
  </w:footnote>
  <w:footnote w:id="30">
    <w:p w14:paraId="10BE927C" w14:textId="77777777" w:rsidR="00AB1573" w:rsidRPr="002A1671" w:rsidRDefault="00AB1573" w:rsidP="00AB1573">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18. </w:t>
      </w:r>
      <w:r w:rsidRPr="002A1671">
        <w:rPr>
          <w:rFonts w:ascii="Verdana" w:hAnsi="Verdana"/>
          <w:i/>
          <w:iCs/>
          <w:sz w:val="15"/>
          <w:szCs w:val="15"/>
          <w:lang w:val="es-CO"/>
        </w:rPr>
        <w:t>Información exceptuada por daño de derechos a personas naturales o jurídicas. </w:t>
      </w:r>
      <w:r w:rsidRPr="002A1671">
        <w:rPr>
          <w:rFonts w:ascii="Verdana" w:hAnsi="Verdana"/>
          <w:sz w:val="15"/>
          <w:szCs w:val="15"/>
          <w:lang w:val="es-CO"/>
        </w:rPr>
        <w:t>Es toda aquella información pública clasificada, cuyo acceso podrá ser rechazado o denegado de manera motivada y por escrito, siempre que el acceso pudiere causar un daño a los siguientes derechos: </w:t>
      </w:r>
    </w:p>
    <w:p w14:paraId="7A065392" w14:textId="77777777" w:rsidR="00AB1573" w:rsidRPr="002A1671" w:rsidRDefault="00AB1573" w:rsidP="00AB1573">
      <w:pPr>
        <w:pStyle w:val="Textonotapie"/>
        <w:ind w:firstLine="708"/>
        <w:jc w:val="both"/>
        <w:rPr>
          <w:rFonts w:ascii="Verdana" w:hAnsi="Verdana"/>
          <w:sz w:val="15"/>
          <w:szCs w:val="15"/>
          <w:lang w:val="es-CO"/>
        </w:rPr>
      </w:pPr>
      <w:r w:rsidRPr="002A1671">
        <w:rPr>
          <w:rFonts w:ascii="Verdana" w:hAnsi="Verdana"/>
          <w:sz w:val="15"/>
          <w:szCs w:val="15"/>
          <w:lang w:val="es-CO"/>
        </w:rPr>
        <w:t>a) El derecho de toda persona a la intimidad, bajo las limitaciones propias que impone la condición de servidor público, en concordancia con lo estipulado por el artículo 24 de la Ley 1437 de 2011; </w:t>
      </w:r>
    </w:p>
    <w:p w14:paraId="5FC0EE8A" w14:textId="77777777" w:rsidR="00AB1573" w:rsidRPr="002A1671" w:rsidRDefault="00AB1573" w:rsidP="00AB1573">
      <w:pPr>
        <w:pStyle w:val="Textonotapie"/>
        <w:ind w:firstLine="708"/>
        <w:jc w:val="both"/>
        <w:rPr>
          <w:rFonts w:ascii="Verdana" w:hAnsi="Verdana"/>
          <w:sz w:val="15"/>
          <w:szCs w:val="15"/>
          <w:lang w:val="es-CO"/>
        </w:rPr>
      </w:pPr>
      <w:r w:rsidRPr="002A1671">
        <w:rPr>
          <w:rFonts w:ascii="Verdana" w:hAnsi="Verdana"/>
          <w:sz w:val="15"/>
          <w:szCs w:val="15"/>
          <w:lang w:val="es-CO"/>
        </w:rPr>
        <w:t>b) El derecho de toda persona a la vida, la salud o la seguridad; </w:t>
      </w:r>
    </w:p>
    <w:p w14:paraId="078C108F" w14:textId="77777777" w:rsidR="00AB1573" w:rsidRPr="002A1671" w:rsidRDefault="00AB1573" w:rsidP="00AB1573">
      <w:pPr>
        <w:pStyle w:val="Textonotapie"/>
        <w:ind w:firstLine="708"/>
        <w:jc w:val="both"/>
        <w:rPr>
          <w:rFonts w:ascii="Verdana" w:hAnsi="Verdana"/>
          <w:sz w:val="15"/>
          <w:szCs w:val="15"/>
          <w:lang w:val="es-CO"/>
        </w:rPr>
      </w:pPr>
      <w:r w:rsidRPr="002A1671">
        <w:rPr>
          <w:rFonts w:ascii="Verdana" w:hAnsi="Verdana"/>
          <w:sz w:val="15"/>
          <w:szCs w:val="15"/>
          <w:lang w:val="es-CO"/>
        </w:rPr>
        <w:t>c) Los secretos comerciales, industriales y profesionales, así como los estipulados en el parágrafo del artículo 77 de la Ley 1474 de 2011. </w:t>
      </w:r>
    </w:p>
    <w:p w14:paraId="2363EB0F" w14:textId="77777777" w:rsidR="00AB1573" w:rsidRPr="002A1671" w:rsidRDefault="00AB1573" w:rsidP="00AB1573">
      <w:pPr>
        <w:pStyle w:val="Textonotapie"/>
        <w:ind w:firstLine="708"/>
        <w:jc w:val="both"/>
        <w:rPr>
          <w:rFonts w:ascii="Verdana" w:hAnsi="Verdana"/>
          <w:sz w:val="15"/>
          <w:szCs w:val="15"/>
          <w:lang w:val="es-CO"/>
        </w:rPr>
      </w:pPr>
      <w:r w:rsidRPr="002A1671">
        <w:rPr>
          <w:rFonts w:ascii="Verdana" w:hAnsi="Verdana"/>
          <w:sz w:val="15"/>
          <w:szCs w:val="15"/>
          <w:lang w:val="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footnote>
  <w:footnote w:id="31">
    <w:p w14:paraId="4B3D5F43" w14:textId="77777777" w:rsidR="00AB1573" w:rsidRPr="002A1671" w:rsidRDefault="00AB1573" w:rsidP="00AB1573">
      <w:pPr>
        <w:pStyle w:val="Textonotapie"/>
        <w:ind w:firstLine="708"/>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19. </w:t>
      </w:r>
      <w:r w:rsidRPr="002A1671">
        <w:rPr>
          <w:rFonts w:ascii="Verdana" w:hAnsi="Verdana"/>
          <w:i/>
          <w:iCs/>
          <w:sz w:val="15"/>
          <w:szCs w:val="15"/>
          <w:lang w:val="es-CO"/>
        </w:rPr>
        <w:t>Información exceptuada por daño a los intereses públicos. </w:t>
      </w:r>
      <w:r w:rsidRPr="002A1671">
        <w:rPr>
          <w:rFonts w:ascii="Verdana" w:hAnsi="Verdana"/>
          <w:sz w:val="15"/>
          <w:szCs w:val="15"/>
          <w:lang w:val="es-CO"/>
        </w:rPr>
        <w:t>Es toda aquella información pública reservada, cuyo acceso podrá ser rechazado o denegado de manera motivada y por escrito en las siguientes circunstancias, siempre que dicho acceso estuviere expresamente prohibido por una norma legal o constitucional:  </w:t>
      </w:r>
    </w:p>
    <w:p w14:paraId="0C7C6BC1"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a) La defensa y seguridad nacional; </w:t>
      </w:r>
    </w:p>
    <w:p w14:paraId="1C3E797F"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b) La seguridad pública; </w:t>
      </w:r>
    </w:p>
    <w:p w14:paraId="23C7C153"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c) Las relaciones internacionales; </w:t>
      </w:r>
    </w:p>
    <w:p w14:paraId="41504BDE"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d) La prevención, investigación y persecución de los delitos y las faltas disciplinarias, mientras que no se haga efectiva la medida de aseguramiento o se formule pliego de cargos, según el caso; </w:t>
      </w:r>
    </w:p>
    <w:p w14:paraId="407B5EC3"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e) El debido proceso y la igualdad de las partes en los procesos judiciales; </w:t>
      </w:r>
    </w:p>
    <w:p w14:paraId="57EF33E2"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f) La administración efectiva de la justicia; </w:t>
      </w:r>
    </w:p>
    <w:p w14:paraId="0EA6452A"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g) Los derechos de la infancia y la adolescencia; </w:t>
      </w:r>
    </w:p>
    <w:p w14:paraId="1BB80A7E"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h) La estabilidad macroeconómica y financiera del país; </w:t>
      </w:r>
    </w:p>
    <w:p w14:paraId="7E773A05"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i) La salud pública. </w:t>
      </w:r>
    </w:p>
    <w:p w14:paraId="3EF9BF23" w14:textId="77777777" w:rsidR="00AB1573" w:rsidRPr="002A1671" w:rsidRDefault="00AB1573" w:rsidP="00AB1573">
      <w:pPr>
        <w:pStyle w:val="Textonotapie"/>
        <w:ind w:firstLine="708"/>
        <w:rPr>
          <w:rFonts w:ascii="Verdana" w:hAnsi="Verdana"/>
          <w:sz w:val="15"/>
          <w:szCs w:val="15"/>
          <w:lang w:val="es-CO"/>
        </w:rPr>
      </w:pPr>
      <w:r w:rsidRPr="002A1671">
        <w:rPr>
          <w:rFonts w:ascii="Verdana" w:hAnsi="Verdana"/>
          <w:sz w:val="15"/>
          <w:szCs w:val="15"/>
          <w:lang w:val="es-CO"/>
        </w:rPr>
        <w:t>Parágrafo. Se exceptúan también los documentos que contengan las opiniones o puntos de vista que formen parte del proceso deliberativo de los servidores públicos. </w:t>
      </w:r>
    </w:p>
  </w:footnote>
  <w:footnote w:id="32">
    <w:p w14:paraId="0E267C28" w14:textId="77777777" w:rsidR="00AB1573" w:rsidRPr="002A1671" w:rsidRDefault="00AB1573" w:rsidP="00AB1573">
      <w:pPr>
        <w:pStyle w:val="Textonotapie"/>
        <w:ind w:firstLine="709"/>
        <w:jc w:val="both"/>
        <w:rPr>
          <w:rFonts w:ascii="Verdana" w:hAnsi="Verdana"/>
          <w:sz w:val="15"/>
          <w:szCs w:val="15"/>
          <w:lang w:val="es-CO"/>
        </w:rPr>
      </w:pPr>
      <w:r w:rsidRPr="002A1671">
        <w:rPr>
          <w:rStyle w:val="Refdenotaalpie"/>
          <w:sz w:val="15"/>
          <w:szCs w:val="15"/>
        </w:rPr>
        <w:footnoteRef/>
      </w:r>
      <w:r w:rsidRPr="002A1671">
        <w:rPr>
          <w:sz w:val="15"/>
          <w:szCs w:val="15"/>
        </w:rPr>
        <w:t xml:space="preserve"> </w:t>
      </w:r>
      <w:r w:rsidRPr="002A1671">
        <w:rPr>
          <w:rFonts w:ascii="Verdana" w:hAnsi="Verdana"/>
          <w:bCs/>
          <w:sz w:val="15"/>
          <w:szCs w:val="15"/>
          <w:lang w:val="es-CO"/>
        </w:rPr>
        <w:t>Artículo 24. </w:t>
      </w:r>
      <w:r w:rsidRPr="002A1671">
        <w:rPr>
          <w:rFonts w:ascii="Verdana" w:hAnsi="Verdana"/>
          <w:bCs/>
          <w:i/>
          <w:iCs/>
          <w:sz w:val="15"/>
          <w:szCs w:val="15"/>
          <w:lang w:val="es-CO"/>
        </w:rPr>
        <w:t xml:space="preserve">Informaciones y documentos reservados. </w:t>
      </w:r>
      <w:r w:rsidRPr="002A1671">
        <w:rPr>
          <w:rFonts w:ascii="Verdana" w:hAnsi="Verdana"/>
          <w:sz w:val="15"/>
          <w:szCs w:val="15"/>
          <w:lang w:val="es-CO"/>
        </w:rPr>
        <w:t>Solo tendrán carácter reservado las informaciones y documentos expresamente sometidos a reserva por la Constitución Política o la ley, y en especial:</w:t>
      </w:r>
    </w:p>
    <w:p w14:paraId="7575C738"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1. Los relacionados con la defensa o seguridad nacionales.</w:t>
      </w:r>
    </w:p>
    <w:p w14:paraId="4268B47E"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2. Las instrucciones en materia diplomática o sobre negociaciones reservadas.  </w:t>
      </w:r>
    </w:p>
    <w:p w14:paraId="45E11712"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673EEA73"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73B5209B"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S. Los datos referentes a la información financiera y comercial, en los términos de la Ley Estatutaria 1266 de 2008.  </w:t>
      </w:r>
    </w:p>
    <w:p w14:paraId="06B0CA8E"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6. Los protegidos por el secreto comercial o industrial, así como los planes estratégicos de las empresas públicas de servicios públicos.  </w:t>
      </w:r>
    </w:p>
    <w:p w14:paraId="475760CF"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7. Los amparados por el secreto profesional.  </w:t>
      </w:r>
    </w:p>
    <w:p w14:paraId="7E29BA04" w14:textId="77777777" w:rsidR="00AB1573" w:rsidRPr="002A1671" w:rsidRDefault="00AB1573" w:rsidP="00AB1573">
      <w:pPr>
        <w:pStyle w:val="Textonotapie"/>
        <w:ind w:firstLine="709"/>
        <w:jc w:val="both"/>
        <w:rPr>
          <w:rFonts w:ascii="Verdana" w:hAnsi="Verdana"/>
          <w:sz w:val="15"/>
          <w:szCs w:val="15"/>
          <w:lang w:val="es-CO"/>
        </w:rPr>
      </w:pPr>
      <w:r w:rsidRPr="002A1671">
        <w:rPr>
          <w:rFonts w:ascii="Verdana" w:hAnsi="Verdana"/>
          <w:sz w:val="15"/>
          <w:szCs w:val="15"/>
          <w:lang w:val="es-CO"/>
        </w:rPr>
        <w:t>8. Los datos genéticos humanos.  </w:t>
      </w:r>
    </w:p>
    <w:p w14:paraId="21D21CF9" w14:textId="77777777" w:rsidR="00AB1573" w:rsidRPr="002A1671" w:rsidRDefault="00AB1573" w:rsidP="00AB1573">
      <w:pPr>
        <w:pStyle w:val="Textonotapie"/>
        <w:ind w:firstLine="709"/>
        <w:jc w:val="both"/>
        <w:rPr>
          <w:sz w:val="15"/>
          <w:szCs w:val="15"/>
          <w:lang w:val="es-CO"/>
        </w:rPr>
      </w:pPr>
      <w:r w:rsidRPr="002A1671">
        <w:rPr>
          <w:rFonts w:ascii="Verdana" w:hAnsi="Verdana"/>
          <w:bCs/>
          <w:sz w:val="15"/>
          <w:szCs w:val="15"/>
          <w:lang w:val="es-CO"/>
        </w:rPr>
        <w:t>Parágrafo.</w:t>
      </w:r>
      <w:r w:rsidRPr="002A1671">
        <w:rPr>
          <w:rFonts w:ascii="Verdana" w:hAnsi="Verdana"/>
          <w:sz w:val="15"/>
          <w:szCs w:val="15"/>
          <w:lang w:val="es-CO"/>
        </w:rPr>
        <w:t>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33">
    <w:p w14:paraId="14AE3721" w14:textId="77777777" w:rsidR="00AB1573" w:rsidRDefault="00AB1573" w:rsidP="00AB1573">
      <w:pPr>
        <w:pStyle w:val="Textonotapie"/>
        <w:ind w:firstLine="708"/>
        <w:jc w:val="both"/>
        <w:rPr>
          <w:rFonts w:ascii="Verdana" w:eastAsia="Calibri" w:hAnsi="Verdana" w:cs="Arial"/>
          <w:color w:val="000000"/>
          <w:sz w:val="16"/>
          <w:szCs w:val="16"/>
        </w:rPr>
      </w:pPr>
      <w:r w:rsidRPr="00D56A94">
        <w:rPr>
          <w:rStyle w:val="Refdenotaalpie"/>
          <w:rFonts w:ascii="Verdana" w:hAnsi="Verdana" w:cs="Arial"/>
          <w:sz w:val="16"/>
          <w:szCs w:val="16"/>
        </w:rPr>
        <w:footnoteRef/>
      </w:r>
      <w:r w:rsidRPr="00D56A94">
        <w:rPr>
          <w:rFonts w:ascii="Verdana" w:hAnsi="Verdana" w:cs="Arial"/>
          <w:sz w:val="16"/>
          <w:szCs w:val="16"/>
        </w:rPr>
        <w:t xml:space="preserve"> </w:t>
      </w:r>
      <w:r>
        <w:rPr>
          <w:rFonts w:ascii="Verdana" w:eastAsia="Calibri" w:hAnsi="Verdana" w:cs="Arial"/>
          <w:color w:val="000000"/>
          <w:sz w:val="16"/>
          <w:szCs w:val="16"/>
        </w:rPr>
        <w:t>L</w:t>
      </w:r>
      <w:r w:rsidRPr="00D56A94">
        <w:rPr>
          <w:rFonts w:ascii="Verdana" w:eastAsia="Calibri" w:hAnsi="Verdana" w:cs="Arial"/>
          <w:color w:val="000000"/>
          <w:sz w:val="16"/>
          <w:szCs w:val="16"/>
        </w:rPr>
        <w:t xml:space="preserve">a Sección Tercera del Consejo de Estado, en sentencia del 27 de marzo de 2008. Exp. 29.393, C. P. Ruth Stella Correa Palacio, consideró: </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[L]a seguridad y la defensa nacional constituyen sin lugar a dudas presupuesto material de la vigencia efectiva del orden constitucional. Sin embargo no existe norma alguna que defina estos vocablos. Se trata de conceptos que tienen distintas significaciones, en tanto varias nociones los informan. En el caso de la seguridad, además, esta acusa cierto grado de relatividad según la </w:t>
      </w:r>
      <w:r>
        <w:rPr>
          <w:rFonts w:ascii="Verdana" w:eastAsia="Calibri" w:hAnsi="Verdana" w:cs="Arial"/>
          <w:color w:val="000000"/>
          <w:sz w:val="16"/>
          <w:szCs w:val="16"/>
        </w:rPr>
        <w:t>‘</w:t>
      </w:r>
      <w:r w:rsidRPr="00D56A94">
        <w:rPr>
          <w:rFonts w:ascii="Verdana" w:eastAsia="Calibri" w:hAnsi="Verdana" w:cs="Arial"/>
          <w:color w:val="000000"/>
          <w:sz w:val="16"/>
          <w:szCs w:val="16"/>
        </w:rPr>
        <w:t>intensidad en los antagonismos</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se trata igualmente de un </w:t>
      </w:r>
      <w:r>
        <w:rPr>
          <w:rFonts w:ascii="Verdana" w:eastAsia="Calibri" w:hAnsi="Verdana" w:cs="Arial"/>
          <w:color w:val="000000"/>
          <w:sz w:val="16"/>
          <w:szCs w:val="16"/>
        </w:rPr>
        <w:t>‘</w:t>
      </w:r>
      <w:r w:rsidRPr="00D56A94">
        <w:rPr>
          <w:rFonts w:ascii="Verdana" w:eastAsia="Calibri" w:hAnsi="Verdana" w:cs="Arial"/>
          <w:color w:val="000000"/>
          <w:sz w:val="16"/>
          <w:szCs w:val="16"/>
        </w:rPr>
        <w:t>concepto dinámico</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que impone la actualización de mecanismos para su efectividad y que encuentra significado en los objetivos que se propone alcanzar el Estado en una época determinada. Noción a la vez relativa y coyuntural, merced a que su contenido jurídico no es inmutable sino que necesariamente sufre constantes transformaciones. En tanto </w:t>
      </w:r>
      <w:r>
        <w:rPr>
          <w:rFonts w:ascii="Verdana" w:eastAsia="Calibri" w:hAnsi="Verdana" w:cs="Arial"/>
          <w:color w:val="000000"/>
          <w:sz w:val="16"/>
          <w:szCs w:val="16"/>
        </w:rPr>
        <w:t>‘</w:t>
      </w:r>
      <w:r w:rsidRPr="00D56A94">
        <w:rPr>
          <w:rFonts w:ascii="Verdana" w:eastAsia="Calibri" w:hAnsi="Verdana" w:cs="Arial"/>
          <w:color w:val="000000"/>
          <w:sz w:val="16"/>
          <w:szCs w:val="16"/>
        </w:rPr>
        <w:t>noción ambigua</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es difícil de definir la seguridad, pues depende del entorno de cada país (en Canadá por ejemplo suele ser asociada a </w:t>
      </w:r>
      <w:r>
        <w:rPr>
          <w:rFonts w:ascii="Verdana" w:eastAsia="Calibri" w:hAnsi="Verdana" w:cs="Arial"/>
          <w:color w:val="000000"/>
          <w:sz w:val="16"/>
          <w:szCs w:val="16"/>
        </w:rPr>
        <w:t>‘</w:t>
      </w:r>
      <w:r w:rsidRPr="00D56A94">
        <w:rPr>
          <w:rFonts w:ascii="Verdana" w:eastAsia="Calibri" w:hAnsi="Verdana" w:cs="Arial"/>
          <w:color w:val="000000"/>
          <w:sz w:val="16"/>
          <w:szCs w:val="16"/>
        </w:rPr>
        <w:t>estabilidad económica</w:t>
      </w:r>
      <w:r>
        <w:rPr>
          <w:rFonts w:ascii="Verdana" w:eastAsia="Calibri" w:hAnsi="Verdana" w:cs="Arial"/>
          <w:color w:val="000000"/>
          <w:sz w:val="16"/>
          <w:szCs w:val="16"/>
        </w:rPr>
        <w:t>’</w:t>
      </w:r>
      <w:r w:rsidRPr="00D56A94">
        <w:rPr>
          <w:rFonts w:ascii="Verdana" w:eastAsia="Calibri" w:hAnsi="Verdana" w:cs="Arial"/>
          <w:color w:val="000000"/>
          <w:sz w:val="16"/>
          <w:szCs w:val="16"/>
        </w:rPr>
        <w:t>). Con todo, y aunque se trate de una noción en constante cambio según cada país, conviene agregar que se trata del concepto base sobre el que se construye la estrategia para proteger a los ciudadanos</w:t>
      </w:r>
      <w:r>
        <w:rPr>
          <w:rFonts w:ascii="Verdana" w:eastAsia="Calibri" w:hAnsi="Verdana" w:cs="Arial"/>
          <w:color w:val="000000"/>
          <w:sz w:val="16"/>
          <w:szCs w:val="16"/>
        </w:rPr>
        <w:t>”</w:t>
      </w:r>
      <w:r w:rsidRPr="00D56A94">
        <w:rPr>
          <w:rFonts w:ascii="Verdana" w:eastAsia="Calibri" w:hAnsi="Verdana" w:cs="Arial"/>
          <w:color w:val="000000"/>
          <w:sz w:val="16"/>
          <w:szCs w:val="16"/>
        </w:rPr>
        <w:t>.</w:t>
      </w:r>
    </w:p>
    <w:p w14:paraId="7A85A914" w14:textId="77777777" w:rsidR="00AB1573" w:rsidRPr="00D56A94" w:rsidRDefault="00AB1573" w:rsidP="00AB1573">
      <w:pPr>
        <w:pStyle w:val="Textonotapie"/>
        <w:ind w:firstLine="708"/>
        <w:jc w:val="both"/>
        <w:rPr>
          <w:rFonts w:ascii="Verdana" w:eastAsia="Calibri" w:hAnsi="Verdana" w:cs="Arial"/>
          <w:color w:val="000000"/>
          <w:sz w:val="16"/>
          <w:szCs w:val="16"/>
        </w:rPr>
      </w:pPr>
    </w:p>
  </w:footnote>
  <w:footnote w:id="34">
    <w:p w14:paraId="74B45807" w14:textId="77777777" w:rsidR="00AB1573" w:rsidRPr="00D56A94" w:rsidRDefault="00AB1573" w:rsidP="00AB1573">
      <w:pPr>
        <w:pStyle w:val="Textonotapie"/>
        <w:ind w:firstLine="709"/>
        <w:jc w:val="both"/>
        <w:rPr>
          <w:rFonts w:ascii="Verdana" w:hAnsi="Verdana" w:cs="Arial"/>
          <w:sz w:val="16"/>
          <w:szCs w:val="16"/>
          <w:lang w:val="es-ES"/>
        </w:rPr>
      </w:pPr>
      <w:r w:rsidRPr="00D56A94">
        <w:rPr>
          <w:rStyle w:val="Refdenotaalpie"/>
          <w:rFonts w:ascii="Verdana" w:hAnsi="Verdana"/>
          <w:sz w:val="16"/>
          <w:szCs w:val="16"/>
        </w:rPr>
        <w:footnoteRef/>
      </w:r>
      <w:r w:rsidRPr="00D56A94">
        <w:rPr>
          <w:rFonts w:ascii="Verdana" w:hAnsi="Verdana" w:cs="Arial"/>
          <w:sz w:val="16"/>
          <w:szCs w:val="16"/>
        </w:rPr>
        <w:t xml:space="preserve"> Consejo de Estado. Sección Tercera. Subsección C. Sentencia del 26 de julio de 2011. Consejero Ponente: Enrique Gil Botero. Expediente: </w:t>
      </w:r>
      <w:r w:rsidRPr="00D56A94">
        <w:rPr>
          <w:rFonts w:ascii="Verdana" w:hAnsi="Verdana" w:cs="Arial"/>
          <w:iCs/>
          <w:sz w:val="16"/>
          <w:szCs w:val="16"/>
        </w:rPr>
        <w:t>17661</w:t>
      </w:r>
      <w:r>
        <w:rPr>
          <w:rFonts w:ascii="Verdana" w:hAnsi="Verdana" w:cs="Arial"/>
          <w:iCs/>
          <w:sz w:val="16"/>
          <w:szCs w:val="16"/>
        </w:rPr>
        <w:t>.</w:t>
      </w:r>
    </w:p>
  </w:footnote>
  <w:footnote w:id="35">
    <w:p w14:paraId="45A1F6CF" w14:textId="77777777" w:rsidR="00AB1573" w:rsidRPr="00D56A94" w:rsidRDefault="00AB1573" w:rsidP="00AB1573">
      <w:pPr>
        <w:pStyle w:val="Textonotapie"/>
        <w:ind w:firstLine="709"/>
        <w:jc w:val="both"/>
        <w:rPr>
          <w:rFonts w:ascii="Verdana" w:hAnsi="Verdana" w:cs="Arial"/>
          <w:sz w:val="16"/>
          <w:szCs w:val="16"/>
          <w:lang w:val="es-ES"/>
        </w:rPr>
      </w:pPr>
      <w:r w:rsidRPr="00D56A94">
        <w:rPr>
          <w:rStyle w:val="Refdenotaalpie"/>
          <w:rFonts w:ascii="Verdana" w:hAnsi="Verdana"/>
          <w:sz w:val="16"/>
          <w:szCs w:val="16"/>
        </w:rPr>
        <w:footnoteRef/>
      </w:r>
      <w:r w:rsidRPr="00D56A94">
        <w:rPr>
          <w:rFonts w:ascii="Verdana" w:hAnsi="Verdana" w:cs="Arial"/>
          <w:sz w:val="16"/>
          <w:szCs w:val="16"/>
        </w:rPr>
        <w:t xml:space="preserve"> </w:t>
      </w:r>
      <w:r w:rsidRPr="00D56A94">
        <w:rPr>
          <w:rFonts w:ascii="Verdana" w:hAnsi="Verdana" w:cs="Arial"/>
          <w:sz w:val="16"/>
          <w:szCs w:val="16"/>
          <w:lang w:val="es-ES"/>
        </w:rPr>
        <w:t xml:space="preserve">Consejo de Estado. Sección Tercera. Sala Plena. Sentencia del 23 de julio de 2015. Consejero Ponente: Hernán Andrade Rincón. Expediente: </w:t>
      </w:r>
      <w:r w:rsidRPr="00D56A94">
        <w:rPr>
          <w:rFonts w:ascii="Verdana" w:hAnsi="Verdana" w:cs="Arial"/>
          <w:spacing w:val="4"/>
          <w:sz w:val="16"/>
          <w:szCs w:val="16"/>
          <w:lang w:val="es-ES_tradnl"/>
        </w:rPr>
        <w:t>36805.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522F"/>
    <w:rsid w:val="00116940"/>
    <w:rsid w:val="00125105"/>
    <w:rsid w:val="00127233"/>
    <w:rsid w:val="0014242F"/>
    <w:rsid w:val="0015699B"/>
    <w:rsid w:val="001A33BF"/>
    <w:rsid w:val="001E4177"/>
    <w:rsid w:val="001F0B24"/>
    <w:rsid w:val="001F7DC6"/>
    <w:rsid w:val="0022400B"/>
    <w:rsid w:val="002421BB"/>
    <w:rsid w:val="0025796E"/>
    <w:rsid w:val="0026315F"/>
    <w:rsid w:val="002707A2"/>
    <w:rsid w:val="002951A0"/>
    <w:rsid w:val="002962BC"/>
    <w:rsid w:val="002A093D"/>
    <w:rsid w:val="002A0DD0"/>
    <w:rsid w:val="002A49AC"/>
    <w:rsid w:val="002A64FD"/>
    <w:rsid w:val="002C7A84"/>
    <w:rsid w:val="002E2BF8"/>
    <w:rsid w:val="002E4FD9"/>
    <w:rsid w:val="002F482F"/>
    <w:rsid w:val="0030657A"/>
    <w:rsid w:val="00322A85"/>
    <w:rsid w:val="00324168"/>
    <w:rsid w:val="00330834"/>
    <w:rsid w:val="003448F4"/>
    <w:rsid w:val="00350544"/>
    <w:rsid w:val="00374D66"/>
    <w:rsid w:val="00374F5E"/>
    <w:rsid w:val="00377E3E"/>
    <w:rsid w:val="003A779E"/>
    <w:rsid w:val="003C37E1"/>
    <w:rsid w:val="003D0F4D"/>
    <w:rsid w:val="003D5B0D"/>
    <w:rsid w:val="003E0499"/>
    <w:rsid w:val="003E4F80"/>
    <w:rsid w:val="003E6439"/>
    <w:rsid w:val="003F3941"/>
    <w:rsid w:val="00406575"/>
    <w:rsid w:val="00414C74"/>
    <w:rsid w:val="00417021"/>
    <w:rsid w:val="0042722E"/>
    <w:rsid w:val="0044528D"/>
    <w:rsid w:val="00466E39"/>
    <w:rsid w:val="004A1847"/>
    <w:rsid w:val="004A305D"/>
    <w:rsid w:val="004A6A6C"/>
    <w:rsid w:val="004F21C4"/>
    <w:rsid w:val="004F685F"/>
    <w:rsid w:val="005139E6"/>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7BED"/>
    <w:rsid w:val="00867F95"/>
    <w:rsid w:val="008843B6"/>
    <w:rsid w:val="00891928"/>
    <w:rsid w:val="008A446D"/>
    <w:rsid w:val="008B25F1"/>
    <w:rsid w:val="008D180B"/>
    <w:rsid w:val="008F0EA7"/>
    <w:rsid w:val="00923EEF"/>
    <w:rsid w:val="00934025"/>
    <w:rsid w:val="009419F9"/>
    <w:rsid w:val="0095685E"/>
    <w:rsid w:val="00961B09"/>
    <w:rsid w:val="00964A84"/>
    <w:rsid w:val="00965334"/>
    <w:rsid w:val="0097093E"/>
    <w:rsid w:val="009A0DFA"/>
    <w:rsid w:val="009A1C6F"/>
    <w:rsid w:val="009B2D26"/>
    <w:rsid w:val="009C71FA"/>
    <w:rsid w:val="009C72E7"/>
    <w:rsid w:val="009C7F7E"/>
    <w:rsid w:val="009D3058"/>
    <w:rsid w:val="009E6FFC"/>
    <w:rsid w:val="009F3A13"/>
    <w:rsid w:val="00A122D3"/>
    <w:rsid w:val="00A14468"/>
    <w:rsid w:val="00A17F13"/>
    <w:rsid w:val="00A20739"/>
    <w:rsid w:val="00A23AF9"/>
    <w:rsid w:val="00A33C78"/>
    <w:rsid w:val="00A75B7F"/>
    <w:rsid w:val="00AB0ADB"/>
    <w:rsid w:val="00AB1573"/>
    <w:rsid w:val="00B00C0E"/>
    <w:rsid w:val="00B01B1A"/>
    <w:rsid w:val="00B0381D"/>
    <w:rsid w:val="00B44A47"/>
    <w:rsid w:val="00B72CD3"/>
    <w:rsid w:val="00B72FFF"/>
    <w:rsid w:val="00BA6726"/>
    <w:rsid w:val="00BC3D36"/>
    <w:rsid w:val="00BD54A6"/>
    <w:rsid w:val="00BD7F72"/>
    <w:rsid w:val="00BF7425"/>
    <w:rsid w:val="00C04FB3"/>
    <w:rsid w:val="00C11D8B"/>
    <w:rsid w:val="00C15139"/>
    <w:rsid w:val="00C3126E"/>
    <w:rsid w:val="00C330EB"/>
    <w:rsid w:val="00C50D69"/>
    <w:rsid w:val="00C5365C"/>
    <w:rsid w:val="00C754BE"/>
    <w:rsid w:val="00C76B1C"/>
    <w:rsid w:val="00C925AC"/>
    <w:rsid w:val="00CB6357"/>
    <w:rsid w:val="00CC1B26"/>
    <w:rsid w:val="00D12C0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62BD"/>
    <w:rsid w:val="00E86B2C"/>
    <w:rsid w:val="00E8772A"/>
    <w:rsid w:val="00E90F6B"/>
    <w:rsid w:val="00E92C27"/>
    <w:rsid w:val="00EA0E3D"/>
    <w:rsid w:val="00EA2D1C"/>
    <w:rsid w:val="00EC38A7"/>
    <w:rsid w:val="00EE1AA8"/>
    <w:rsid w:val="00EE6981"/>
    <w:rsid w:val="00F23FEA"/>
    <w:rsid w:val="00F31EDC"/>
    <w:rsid w:val="00F4371B"/>
    <w:rsid w:val="00F462B3"/>
    <w:rsid w:val="00F5664F"/>
    <w:rsid w:val="00F666C4"/>
    <w:rsid w:val="00F76AFC"/>
    <w:rsid w:val="00F8740A"/>
    <w:rsid w:val="00FA47C0"/>
    <w:rsid w:val="00FB5DD1"/>
    <w:rsid w:val="00FC2B5D"/>
    <w:rsid w:val="00FE1A2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0BB5D8B"/>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B157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B1573"/>
    <w:rPr>
      <w:rFonts w:ascii="Geomanist Light" w:hAnsi="Geomanist Light"/>
      <w:lang w:val="es-ES"/>
    </w:rPr>
  </w:style>
  <w:style w:type="character" w:customStyle="1" w:styleId="s15">
    <w:name w:val="s15"/>
    <w:basedOn w:val="Fuentedeprrafopredeter"/>
    <w:rsid w:val="00AB1573"/>
  </w:style>
  <w:style w:type="character" w:customStyle="1" w:styleId="NormalWebCar">
    <w:name w:val="Normal (Web) Car"/>
    <w:link w:val="NormalWeb"/>
    <w:uiPriority w:val="99"/>
    <w:locked/>
    <w:rsid w:val="00AB1573"/>
    <w:rPr>
      <w:rFonts w:ascii="Times New Roman" w:eastAsia="Times New Roman" w:hAnsi="Times New Roman" w:cs="Times New Roman"/>
      <w:sz w:val="24"/>
      <w:szCs w:val="24"/>
      <w:lang w:eastAsia="es-CO"/>
    </w:rPr>
  </w:style>
  <w:style w:type="character" w:customStyle="1" w:styleId="baj">
    <w:name w:val="b_aj"/>
    <w:basedOn w:val="Fuentedeprrafopredeter"/>
    <w:rsid w:val="00AB1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E3A57AF-BAA0-4553-92F9-DA90CAB117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34</Pages>
  <Words>10766</Words>
  <Characters>58033</Characters>
  <Application>Microsoft Office Word</Application>
  <DocSecurity>0</DocSecurity>
  <Lines>1094</Lines>
  <Paragraphs>186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2026-03-04T02:13:00Z</dcterms:created>
  <dcterms:modified xsi:type="dcterms:W3CDTF">2026-03-05T00:14:00Z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