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24A55F" w14:textId="77777777" w:rsidR="007E5455" w:rsidRPr="009B46EA" w:rsidRDefault="007E5455" w:rsidP="007E5455">
      <w:pPr>
        <w:pStyle w:val="Textoindependiente"/>
        <w:ind w:right="102"/>
        <w:jc w:val="both"/>
        <w:rPr>
          <w:rFonts w:cs="Arial"/>
          <w:b/>
          <w:color w:val="000000" w:themeColor="text1"/>
          <w:lang w:val="es-ES_tradnl"/>
        </w:rPr>
      </w:pPr>
      <w:r w:rsidRPr="009B46EA">
        <w:rPr>
          <w:rFonts w:cs="Arial"/>
          <w:b/>
          <w:color w:val="000000" w:themeColor="text1"/>
          <w:lang w:val="es-ES_tradnl"/>
        </w:rPr>
        <w:t xml:space="preserve">DECRETO 092 DE 2017 – Finalidad – Clases de contratos </w:t>
      </w:r>
    </w:p>
    <w:p w14:paraId="3CE92732" w14:textId="77777777" w:rsidR="007E5455" w:rsidRPr="009B46EA" w:rsidRDefault="007E5455" w:rsidP="007E5455">
      <w:pPr>
        <w:pStyle w:val="Textoindependiente"/>
        <w:ind w:right="102"/>
        <w:jc w:val="both"/>
        <w:rPr>
          <w:rFonts w:cs="Arial"/>
          <w:color w:val="000000" w:themeColor="text1"/>
          <w:sz w:val="20"/>
          <w:szCs w:val="20"/>
          <w:lang w:val="es-ES_tradnl"/>
        </w:rPr>
      </w:pPr>
    </w:p>
    <w:p w14:paraId="57918267" w14:textId="77777777" w:rsidR="007E5455" w:rsidRPr="009B46EA" w:rsidRDefault="007E5455" w:rsidP="007E5455">
      <w:pPr>
        <w:spacing w:after="0" w:line="240" w:lineRule="auto"/>
        <w:jc w:val="both"/>
        <w:rPr>
          <w:rFonts w:ascii="Verdana" w:eastAsia="Arial" w:hAnsi="Verdana" w:cs="Arial"/>
          <w:color w:val="000000" w:themeColor="text1"/>
          <w:sz w:val="20"/>
          <w:szCs w:val="20"/>
          <w:lang w:val="es-ES_tradnl"/>
        </w:rPr>
      </w:pPr>
      <w:r w:rsidRPr="009B46EA">
        <w:rPr>
          <w:rFonts w:ascii="Verdana" w:eastAsia="Arial" w:hAnsi="Verdana" w:cs="Arial"/>
          <w:color w:val="000000" w:themeColor="text1"/>
          <w:sz w:val="20"/>
          <w:szCs w:val="20"/>
          <w:lang w:val="es-ES_tradnl"/>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9B46EA">
        <w:rPr>
          <w:rFonts w:ascii="Verdana" w:eastAsia="Arial" w:hAnsi="Verdana" w:cs="Arial"/>
          <w:color w:val="000000" w:themeColor="text1"/>
          <w:sz w:val="20"/>
          <w:szCs w:val="20"/>
          <w:lang w:val="es-ES_tradnl"/>
        </w:rPr>
        <w:t>ii</w:t>
      </w:r>
      <w:proofErr w:type="spellEnd"/>
      <w:r w:rsidRPr="009B46EA">
        <w:rPr>
          <w:rFonts w:ascii="Verdana" w:eastAsia="Arial" w:hAnsi="Verdana" w:cs="Arial"/>
          <w:color w:val="000000" w:themeColor="text1"/>
          <w:sz w:val="20"/>
          <w:szCs w:val="20"/>
          <w:lang w:val="es-ES_tradnl"/>
        </w:rPr>
        <w:t>) los convenios de asociación, para el desarrollo conjunto de actividades relacionadas con las funciones de las entidades estatales, en desarrollo del artículo 96 de la Ley 489 de 1998.</w:t>
      </w:r>
    </w:p>
    <w:p w14:paraId="04449013" w14:textId="77777777" w:rsidR="007E5455" w:rsidRPr="009B46EA" w:rsidRDefault="007E5455" w:rsidP="007E5455">
      <w:pPr>
        <w:spacing w:after="0" w:line="240" w:lineRule="auto"/>
        <w:jc w:val="both"/>
        <w:rPr>
          <w:rFonts w:ascii="Verdana" w:eastAsia="Calibri" w:hAnsi="Verdana" w:cs="Arial"/>
          <w:b/>
          <w:color w:val="000000" w:themeColor="text1"/>
          <w:lang w:val="es-ES_tradnl"/>
        </w:rPr>
      </w:pPr>
    </w:p>
    <w:p w14:paraId="5557D688" w14:textId="77777777" w:rsidR="007E5455" w:rsidRPr="009B46EA" w:rsidRDefault="007E5455" w:rsidP="007E5455">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 xml:space="preserve">CONTRATACIÓN CON ESAL – Contrato de colaboración – Objeto – Alcance </w:t>
      </w:r>
    </w:p>
    <w:p w14:paraId="25CE1100" w14:textId="77777777" w:rsidR="007E5455" w:rsidRPr="009B46EA" w:rsidRDefault="007E5455" w:rsidP="007E5455">
      <w:pPr>
        <w:spacing w:after="0" w:line="240" w:lineRule="auto"/>
        <w:jc w:val="both"/>
        <w:rPr>
          <w:rFonts w:ascii="Verdana" w:eastAsia="Calibri" w:hAnsi="Verdana" w:cs="Arial"/>
          <w:bCs/>
          <w:color w:val="000000" w:themeColor="text1"/>
          <w:sz w:val="20"/>
          <w:szCs w:val="20"/>
          <w:lang w:val="es-ES_tradnl"/>
        </w:rPr>
      </w:pPr>
    </w:p>
    <w:p w14:paraId="6D6EEE8F" w14:textId="77777777" w:rsidR="007E5455" w:rsidRPr="009B46EA" w:rsidRDefault="007E5455" w:rsidP="007E5455">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Los contratos del artículo 355 de la Constitución Política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w:t>
      </w:r>
    </w:p>
    <w:p w14:paraId="53C2E1AE" w14:textId="77777777" w:rsidR="007E5455" w:rsidRPr="009B46EA" w:rsidRDefault="007E5455" w:rsidP="007E5455">
      <w:pPr>
        <w:spacing w:after="0" w:line="240" w:lineRule="auto"/>
        <w:jc w:val="both"/>
        <w:rPr>
          <w:rFonts w:ascii="Verdana" w:hAnsi="Verdana" w:cs="Arial"/>
          <w:color w:val="000000" w:themeColor="text1"/>
          <w:sz w:val="21"/>
          <w:szCs w:val="21"/>
          <w:lang w:val="es-ES_tradnl"/>
        </w:rPr>
      </w:pPr>
    </w:p>
    <w:p w14:paraId="7658A21B" w14:textId="77777777" w:rsidR="007E5455" w:rsidRPr="009B46EA" w:rsidRDefault="007E5455" w:rsidP="007E5455">
      <w:pPr>
        <w:spacing w:after="0" w:line="240" w:lineRule="auto"/>
        <w:jc w:val="both"/>
        <w:rPr>
          <w:rFonts w:ascii="Verdana" w:eastAsia="Calibri" w:hAnsi="Verdana" w:cs="Arial"/>
          <w:b/>
          <w:color w:val="000000" w:themeColor="text1"/>
          <w:lang w:val="es-ES_tradnl"/>
        </w:rPr>
      </w:pPr>
      <w:bookmarkStart w:id="0" w:name="_Hlk109118876"/>
      <w:r w:rsidRPr="009B46EA">
        <w:rPr>
          <w:rFonts w:ascii="Verdana" w:eastAsia="Calibri" w:hAnsi="Verdana" w:cs="Arial"/>
          <w:b/>
          <w:color w:val="000000" w:themeColor="text1"/>
          <w:lang w:val="es-ES_tradnl"/>
        </w:rPr>
        <w:t>CONTRATACIÓN CON ESAL –</w:t>
      </w:r>
      <w:bookmarkEnd w:id="0"/>
      <w:r w:rsidRPr="009B46EA">
        <w:rPr>
          <w:rFonts w:ascii="Verdana" w:eastAsia="Calibri" w:hAnsi="Verdana" w:cs="Arial"/>
          <w:b/>
          <w:color w:val="000000" w:themeColor="text1"/>
          <w:lang w:val="es-ES_tradnl"/>
        </w:rPr>
        <w:t xml:space="preserve"> Con</w:t>
      </w:r>
      <w:r>
        <w:rPr>
          <w:rFonts w:ascii="Verdana" w:eastAsia="Calibri" w:hAnsi="Verdana" w:cs="Arial"/>
          <w:b/>
          <w:color w:val="000000" w:themeColor="text1"/>
          <w:lang w:val="es-ES_tradnl"/>
        </w:rPr>
        <w:t>venios</w:t>
      </w:r>
      <w:r w:rsidRPr="009B46EA">
        <w:rPr>
          <w:rFonts w:ascii="Verdana" w:eastAsia="Calibri" w:hAnsi="Verdana" w:cs="Arial"/>
          <w:b/>
          <w:color w:val="000000" w:themeColor="text1"/>
          <w:lang w:val="es-ES_tradnl"/>
        </w:rPr>
        <w:t xml:space="preserve"> de asociación – Objeto – Alcance </w:t>
      </w:r>
    </w:p>
    <w:p w14:paraId="414FD41A" w14:textId="77777777" w:rsidR="007E5455" w:rsidRPr="009B46EA" w:rsidRDefault="007E5455" w:rsidP="007E5455">
      <w:pPr>
        <w:spacing w:after="0" w:line="240" w:lineRule="auto"/>
        <w:jc w:val="both"/>
        <w:rPr>
          <w:rFonts w:ascii="Verdana" w:eastAsia="Calibri" w:hAnsi="Verdana" w:cs="Arial"/>
          <w:b/>
          <w:color w:val="000000" w:themeColor="text1"/>
          <w:lang w:val="es-ES_tradnl"/>
        </w:rPr>
      </w:pPr>
    </w:p>
    <w:p w14:paraId="2E88D1AC" w14:textId="77777777" w:rsidR="007E5455" w:rsidRPr="009B46EA" w:rsidRDefault="007E5455" w:rsidP="007E5455">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De otro lado, los convenios de asociación «[t]</w:t>
      </w:r>
      <w:proofErr w:type="spellStart"/>
      <w:r w:rsidRPr="009B46EA">
        <w:rPr>
          <w:rFonts w:ascii="Verdana" w:hAnsi="Verdana" w:cs="Arial"/>
          <w:color w:val="000000" w:themeColor="text1"/>
          <w:sz w:val="20"/>
          <w:szCs w:val="20"/>
          <w:lang w:val="es-ES_tradnl"/>
        </w:rPr>
        <w:t>ienen</w:t>
      </w:r>
      <w:proofErr w:type="spellEnd"/>
      <w:r w:rsidRPr="009B46EA">
        <w:rPr>
          <w:rFonts w:ascii="Verdana" w:hAnsi="Verdana" w:cs="Arial"/>
          <w:color w:val="000000" w:themeColor="text1"/>
          <w:sz w:val="20"/>
          <w:szCs w:val="20"/>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y por tanto, la entidad no instruye al contratista para desarrollar los programas o actividades previstas, sino que se asocia con él para el cumplimiento de objetivos comunes.</w:t>
      </w:r>
    </w:p>
    <w:p w14:paraId="51E0805C" w14:textId="77777777" w:rsidR="007E5455" w:rsidRPr="009B46EA" w:rsidRDefault="007E5455" w:rsidP="007E5455">
      <w:pPr>
        <w:spacing w:after="0" w:line="240" w:lineRule="auto"/>
        <w:jc w:val="both"/>
        <w:rPr>
          <w:rFonts w:ascii="Verdana" w:hAnsi="Verdana" w:cs="Arial"/>
          <w:color w:val="000000" w:themeColor="text1"/>
          <w:sz w:val="20"/>
          <w:szCs w:val="20"/>
          <w:lang w:val="es-ES_tradnl"/>
        </w:rPr>
      </w:pPr>
    </w:p>
    <w:p w14:paraId="2CA93133" w14:textId="77777777" w:rsidR="007E5455" w:rsidRPr="009B46EA" w:rsidRDefault="007E5455" w:rsidP="007E5455">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CONVENIOS DE ASOCIACIÓN – Multiplicidad de sujetos – Límites legales</w:t>
      </w:r>
    </w:p>
    <w:p w14:paraId="71D13AF4" w14:textId="77777777" w:rsidR="007E5455" w:rsidRPr="009B46EA" w:rsidRDefault="007E5455" w:rsidP="007E5455">
      <w:pPr>
        <w:spacing w:after="0" w:line="240" w:lineRule="auto"/>
        <w:jc w:val="both"/>
        <w:rPr>
          <w:rFonts w:ascii="Verdana" w:hAnsi="Verdana" w:cs="Arial"/>
          <w:color w:val="000000" w:themeColor="text1"/>
          <w:sz w:val="20"/>
          <w:szCs w:val="20"/>
          <w:lang w:val="es-ES_tradnl"/>
        </w:rPr>
      </w:pPr>
    </w:p>
    <w:p w14:paraId="02CFA326" w14:textId="77777777" w:rsidR="007E5455" w:rsidRPr="009B46EA" w:rsidRDefault="007E5455" w:rsidP="007E5455">
      <w:pPr>
        <w:pStyle w:val="Sinespaciad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 xml:space="preserve">La normativa vigente no impide que varias entidades suscriban conjuntamente el convenio de asociación y tampoco que dos o más ESAL pueden hacerlo, a través de las figuras asociativas autorizadas por la ley, por ejemplo, como unión temporal o como consorcio.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w:t>
      </w:r>
      <w:r w:rsidRPr="009B46EA">
        <w:rPr>
          <w:rFonts w:ascii="Verdana" w:hAnsi="Verdana" w:cs="Arial"/>
          <w:color w:val="000000" w:themeColor="text1"/>
          <w:sz w:val="20"/>
          <w:szCs w:val="20"/>
          <w:lang w:val="es-ES_tradnl"/>
        </w:rPr>
        <w:lastRenderedPageBreak/>
        <w:t>coincidir. Igualmente, atendiendo a que los convenios de asociación «no estarán sujetos a competencia cuando la entidad sin ánimo de lucro comprometa recursos en dinero para la ejecución de esas actividades en una proporción no inferior al 30% del valor total del convenio», la o las entidades deben asegurarse de que su contratista, es decir, una o varias ESAL, aporten al menos el treinta por ciento del valor del convenio para celebrarlo directamente. Además, en atención al inciso 2 del artículo 5 del Decreto 092 de 2017, deben «asegurarse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72B289B2" w14:textId="77777777" w:rsidR="007E5455" w:rsidRPr="009B46EA" w:rsidRDefault="007E5455" w:rsidP="007E5455">
      <w:pPr>
        <w:pStyle w:val="Sinespaciado"/>
        <w:jc w:val="both"/>
        <w:rPr>
          <w:rFonts w:ascii="Verdana" w:hAnsi="Verdana" w:cs="Arial"/>
          <w:color w:val="000000" w:themeColor="text1"/>
          <w:sz w:val="20"/>
          <w:szCs w:val="20"/>
          <w:lang w:val="es-ES_tradnl"/>
        </w:rPr>
      </w:pPr>
    </w:p>
    <w:p w14:paraId="465967E7" w14:textId="77777777" w:rsidR="007E5455" w:rsidRPr="009B46EA" w:rsidRDefault="007E5455" w:rsidP="007E5455">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 xml:space="preserve">DECRETO 092 DE 2017 – Criterios – Aplicación </w:t>
      </w:r>
    </w:p>
    <w:p w14:paraId="6EF3EB72" w14:textId="77777777" w:rsidR="007E5455" w:rsidRPr="009B46EA" w:rsidRDefault="007E5455" w:rsidP="007E5455">
      <w:pPr>
        <w:spacing w:after="0" w:line="240" w:lineRule="auto"/>
        <w:jc w:val="both"/>
        <w:rPr>
          <w:rFonts w:ascii="Verdana" w:hAnsi="Verdana" w:cs="Arial"/>
          <w:color w:val="000000" w:themeColor="text1"/>
          <w:sz w:val="21"/>
          <w:szCs w:val="21"/>
          <w:lang w:val="es-ES_tradnl"/>
        </w:rPr>
      </w:pPr>
    </w:p>
    <w:p w14:paraId="1E9C6F26" w14:textId="77777777" w:rsidR="007E5455" w:rsidRDefault="007E5455" w:rsidP="007E5455">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 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w:t>
      </w:r>
    </w:p>
    <w:p w14:paraId="7260CC82" w14:textId="77777777" w:rsidR="007E5455" w:rsidRPr="009B46EA" w:rsidRDefault="007E5455" w:rsidP="007E5455">
      <w:pPr>
        <w:spacing w:after="0" w:line="240" w:lineRule="auto"/>
        <w:jc w:val="both"/>
        <w:rPr>
          <w:rFonts w:ascii="Verdana" w:hAnsi="Verdana" w:cs="Arial"/>
          <w:color w:val="000000" w:themeColor="text1"/>
          <w:sz w:val="20"/>
          <w:szCs w:val="20"/>
          <w:lang w:val="es-ES_tradnl"/>
        </w:rPr>
      </w:pPr>
    </w:p>
    <w:p w14:paraId="069290EA" w14:textId="77777777" w:rsidR="007E5455" w:rsidRPr="009B46EA" w:rsidRDefault="007E5455" w:rsidP="007E5455">
      <w:pPr>
        <w:spacing w:after="0" w:line="240" w:lineRule="auto"/>
        <w:jc w:val="both"/>
        <w:rPr>
          <w:rFonts w:ascii="Verdana" w:eastAsia="Arial" w:hAnsi="Verdana" w:cs="Arial"/>
          <w:b/>
          <w:bCs/>
          <w:color w:val="000000" w:themeColor="text1"/>
          <w:lang w:val="es-ES_tradnl"/>
        </w:rPr>
      </w:pPr>
      <w:r w:rsidRPr="009B46EA">
        <w:rPr>
          <w:rFonts w:ascii="Verdana" w:eastAsia="Arial" w:hAnsi="Verdana" w:cs="Arial"/>
          <w:b/>
          <w:bCs/>
          <w:color w:val="000000" w:themeColor="text1"/>
          <w:lang w:val="es-ES_tradnl"/>
        </w:rPr>
        <w:t xml:space="preserve">DECRETO 092 DE 2017 – Normativa vigente </w:t>
      </w:r>
    </w:p>
    <w:p w14:paraId="3FCE13E2" w14:textId="77777777" w:rsidR="007E5455" w:rsidRPr="009B46EA" w:rsidRDefault="007E5455" w:rsidP="007E5455">
      <w:pPr>
        <w:spacing w:after="0" w:line="240" w:lineRule="auto"/>
        <w:jc w:val="both"/>
        <w:rPr>
          <w:rFonts w:ascii="Verdana" w:eastAsia="Arial" w:hAnsi="Verdana" w:cs="Arial"/>
          <w:b/>
          <w:bCs/>
          <w:color w:val="000000" w:themeColor="text1"/>
          <w:lang w:val="es-ES_tradnl"/>
        </w:rPr>
      </w:pPr>
    </w:p>
    <w:p w14:paraId="5FDDABC0" w14:textId="77777777" w:rsidR="007E5455" w:rsidRDefault="007E5455" w:rsidP="007E5455">
      <w:pPr>
        <w:spacing w:after="0" w:line="240" w:lineRule="auto"/>
        <w:jc w:val="both"/>
        <w:rPr>
          <w:rFonts w:ascii="Verdana" w:hAnsi="Verdana" w:cs="Arial"/>
          <w:color w:val="000000" w:themeColor="text1"/>
          <w:sz w:val="20"/>
          <w:szCs w:val="20"/>
          <w:lang w:val="es-ES_tradnl"/>
        </w:rPr>
      </w:pPr>
      <w:r w:rsidRPr="008251D0">
        <w:rPr>
          <w:rFonts w:ascii="Verdana" w:hAnsi="Verdana" w:cs="Arial"/>
          <w:color w:val="000000" w:themeColor="text1"/>
          <w:sz w:val="20"/>
          <w:szCs w:val="20"/>
          <w:lang w:val="es-ES_tradnl"/>
        </w:rPr>
        <w:t xml:space="preserve">Es importante tener en cuenta que la contratación con entidades sin ánimo de lucro se rige por el Decreto 092 de 2017, salvo lo que ha sido objeto de suspensión provisional por parte del Consejo de Estado. Por lo tanto, las entidades públicas que desean celebrar contratos del artículo 355 de la Constitución Política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8251D0">
        <w:rPr>
          <w:rFonts w:ascii="Verdana" w:hAnsi="Verdana" w:cs="Arial"/>
          <w:color w:val="000000" w:themeColor="text1"/>
          <w:sz w:val="20"/>
          <w:szCs w:val="20"/>
          <w:lang w:val="es-ES_tradnl"/>
        </w:rPr>
        <w:t>ii</w:t>
      </w:r>
      <w:proofErr w:type="spellEnd"/>
      <w:r w:rsidRPr="008251D0">
        <w:rPr>
          <w:rFonts w:ascii="Verdana" w:hAnsi="Verdana" w:cs="Arial"/>
          <w:color w:val="000000" w:themeColor="text1"/>
          <w:sz w:val="20"/>
          <w:szCs w:val="20"/>
          <w:lang w:val="es-ES_tradnl"/>
        </w:rPr>
        <w:t xml:space="preserve">) tampoco debe condicionarse a que la contratación con las ESAL garantice la optimización de los recursos públicos en términos de eficiencia, eficacia, economía y manejo del riesgo; </w:t>
      </w:r>
      <w:proofErr w:type="spellStart"/>
      <w:r w:rsidRPr="008251D0">
        <w:rPr>
          <w:rFonts w:ascii="Verdana" w:hAnsi="Verdana" w:cs="Arial"/>
          <w:color w:val="000000" w:themeColor="text1"/>
          <w:sz w:val="20"/>
          <w:szCs w:val="20"/>
          <w:lang w:val="es-ES_tradnl"/>
        </w:rPr>
        <w:t>iii</w:t>
      </w:r>
      <w:proofErr w:type="spellEnd"/>
      <w:r w:rsidRPr="008251D0">
        <w:rPr>
          <w:rFonts w:ascii="Verdana" w:hAnsi="Verdana" w:cs="Arial"/>
          <w:color w:val="000000" w:themeColor="text1"/>
          <w:sz w:val="20"/>
          <w:szCs w:val="20"/>
          <w:lang w:val="es-ES_tradnl"/>
        </w:rPr>
        <w:t xml:space="preserve">) el objeto del contrato debe estar acorde con el plan nacional o seccional de desarrollo; </w:t>
      </w:r>
      <w:proofErr w:type="spellStart"/>
      <w:r w:rsidRPr="008251D0">
        <w:rPr>
          <w:rFonts w:ascii="Verdana" w:hAnsi="Verdana" w:cs="Arial"/>
          <w:color w:val="000000" w:themeColor="text1"/>
          <w:sz w:val="20"/>
          <w:szCs w:val="20"/>
          <w:lang w:val="es-ES_tradnl"/>
        </w:rPr>
        <w:t>iv</w:t>
      </w:r>
      <w:proofErr w:type="spellEnd"/>
      <w:r w:rsidRPr="008251D0">
        <w:rPr>
          <w:rFonts w:ascii="Verdana" w:hAnsi="Verdana" w:cs="Arial"/>
          <w:color w:val="000000" w:themeColor="text1"/>
          <w:sz w:val="20"/>
          <w:szCs w:val="20"/>
          <w:lang w:val="es-ES_tradnl"/>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8251D0">
        <w:rPr>
          <w:rFonts w:ascii="Verdana" w:hAnsi="Verdana" w:cs="Arial"/>
          <w:color w:val="000000" w:themeColor="text1"/>
          <w:sz w:val="20"/>
          <w:szCs w:val="20"/>
          <w:lang w:val="es-ES_tradnl"/>
        </w:rPr>
        <w:t>iii</w:t>
      </w:r>
      <w:proofErr w:type="spellEnd"/>
      <w:r w:rsidRPr="008251D0">
        <w:rPr>
          <w:rFonts w:ascii="Verdana" w:hAnsi="Verdana" w:cs="Arial"/>
          <w:color w:val="000000" w:themeColor="text1"/>
          <w:sz w:val="20"/>
          <w:szCs w:val="20"/>
          <w:lang w:val="es-ES_tradnl"/>
        </w:rPr>
        <w:t>); y v) el contrato no debe establecer una relación conmutativa en el cual haya una contraprestación directa a favor de la entidad, ni instrucciones precisas dadas por esta al contratista para cumplir con el objeto del contrato</w:t>
      </w:r>
      <w:r w:rsidRPr="009B46EA">
        <w:rPr>
          <w:rFonts w:ascii="Verdana" w:hAnsi="Verdana" w:cs="Arial"/>
          <w:color w:val="000000" w:themeColor="text1"/>
          <w:sz w:val="20"/>
          <w:szCs w:val="20"/>
          <w:lang w:val="es-ES_tradnl"/>
        </w:rPr>
        <w:t>.</w:t>
      </w:r>
    </w:p>
    <w:p w14:paraId="41214E81" w14:textId="77777777" w:rsidR="007E5455" w:rsidRDefault="007E5455" w:rsidP="00B110F5">
      <w:pPr>
        <w:spacing w:after="0" w:line="240" w:lineRule="auto"/>
        <w:jc w:val="both"/>
        <w:rPr>
          <w:rFonts w:ascii="Verdana" w:eastAsia="Geomanist Light" w:hAnsi="Verdana" w:cs="Arial"/>
          <w:color w:val="000000" w:themeColor="text1"/>
          <w:lang w:val="es-ES_tradnl"/>
        </w:rPr>
      </w:pPr>
    </w:p>
    <w:p w14:paraId="5D9B92CB" w14:textId="77777777" w:rsidR="00494E24" w:rsidRDefault="00494E24" w:rsidP="00B110F5">
      <w:pPr>
        <w:spacing w:after="0" w:line="240" w:lineRule="auto"/>
        <w:jc w:val="both"/>
        <w:rPr>
          <w:rFonts w:ascii="Verdana" w:eastAsia="Geomanist Light" w:hAnsi="Verdana" w:cs="Arial"/>
          <w:color w:val="000000" w:themeColor="text1"/>
          <w:lang w:val="es-MX"/>
        </w:rPr>
      </w:pPr>
    </w:p>
    <w:p w14:paraId="5F4978E3" w14:textId="69AAEEE4" w:rsidR="00B110F5" w:rsidRPr="009C7241" w:rsidRDefault="00B110F5" w:rsidP="00B110F5">
      <w:pPr>
        <w:spacing w:after="0" w:line="240" w:lineRule="auto"/>
        <w:jc w:val="both"/>
        <w:rPr>
          <w:rFonts w:ascii="Verdana" w:eastAsia="Calibri" w:hAnsi="Verdana" w:cs="Arial"/>
          <w:sz w:val="20"/>
          <w:szCs w:val="20"/>
          <w:lang w:val="es-ES_tradnl" w:eastAsia="es-ES"/>
        </w:rPr>
      </w:pPr>
      <w:r w:rsidRPr="00593A5F">
        <w:rPr>
          <w:rFonts w:ascii="Verdana" w:eastAsia="Geomanist Light" w:hAnsi="Verdana" w:cs="Arial"/>
          <w:color w:val="000000" w:themeColor="text1"/>
          <w:lang w:val="es-MX"/>
        </w:rPr>
        <w:lastRenderedPageBreak/>
        <w:t>Bogotá D.C., </w:t>
      </w:r>
      <w:r w:rsidR="00C12EBD">
        <w:rPr>
          <w:rFonts w:ascii="Verdana" w:eastAsia="Geomanist Light" w:hAnsi="Verdana" w:cs="Arial"/>
          <w:color w:val="000000" w:themeColor="text1"/>
          <w:lang w:val="es-MX"/>
        </w:rPr>
        <w:t xml:space="preserve">12 de </w:t>
      </w:r>
      <w:proofErr w:type="gramStart"/>
      <w:r w:rsidR="00C12EBD">
        <w:rPr>
          <w:rFonts w:ascii="Verdana" w:eastAsia="Geomanist Light" w:hAnsi="Verdana" w:cs="Arial"/>
          <w:color w:val="000000" w:themeColor="text1"/>
          <w:lang w:val="es-MX"/>
        </w:rPr>
        <w:t>Marzo</w:t>
      </w:r>
      <w:proofErr w:type="gramEnd"/>
      <w:r w:rsidR="00C12EBD">
        <w:rPr>
          <w:rFonts w:ascii="Verdana" w:eastAsia="Geomanist Light" w:hAnsi="Verdana" w:cs="Arial"/>
          <w:color w:val="000000" w:themeColor="text1"/>
          <w:lang w:val="es-MX"/>
        </w:rPr>
        <w:t xml:space="preserve"> de 2026</w:t>
      </w:r>
    </w:p>
    <w:p w14:paraId="20AF8717" w14:textId="492A8F99" w:rsidR="00B110F5" w:rsidRDefault="00494E24" w:rsidP="00B110F5">
      <w:pPr>
        <w:spacing w:after="0" w:line="240" w:lineRule="auto"/>
        <w:jc w:val="both"/>
        <w:rPr>
          <w:rFonts w:ascii="Verdana" w:eastAsia="Calibri" w:hAnsi="Verdana" w:cs="Arial"/>
          <w:color w:val="000000"/>
          <w:lang w:val="es-ES"/>
        </w:rPr>
      </w:pPr>
      <w:r w:rsidRPr="0027630F">
        <w:rPr>
          <w:rFonts w:ascii="Verdana" w:eastAsia="Calibri" w:hAnsi="Verdana" w:cs="Arial"/>
          <w:noProof/>
          <w:color w:val="000000"/>
          <w:lang w:val="es-ES"/>
        </w:rPr>
        <w:drawing>
          <wp:anchor distT="0" distB="0" distL="114300" distR="114300" simplePos="0" relativeHeight="251658240" behindDoc="0" locked="0" layoutInCell="1" allowOverlap="1" wp14:anchorId="1E1570E2" wp14:editId="00D3C1EB">
            <wp:simplePos x="0" y="0"/>
            <wp:positionH relativeFrom="margin">
              <wp:align>right</wp:align>
            </wp:positionH>
            <wp:positionV relativeFrom="paragraph">
              <wp:posOffset>172720</wp:posOffset>
            </wp:positionV>
            <wp:extent cx="2400300" cy="937260"/>
            <wp:effectExtent l="0" t="0" r="0" b="0"/>
            <wp:wrapSquare wrapText="bothSides"/>
            <wp:docPr id="14528481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848104" name=""/>
                    <pic:cNvPicPr/>
                  </pic:nvPicPr>
                  <pic:blipFill>
                    <a:blip r:embed="rId10">
                      <a:extLst>
                        <a:ext uri="{28A0092B-C50C-407E-A947-70E740481C1C}">
                          <a14:useLocalDpi xmlns:a14="http://schemas.microsoft.com/office/drawing/2010/main" val="0"/>
                        </a:ext>
                      </a:extLst>
                    </a:blip>
                    <a:stretch>
                      <a:fillRect/>
                    </a:stretch>
                  </pic:blipFill>
                  <pic:spPr>
                    <a:xfrm>
                      <a:off x="0" y="0"/>
                      <a:ext cx="2400300" cy="937260"/>
                    </a:xfrm>
                    <a:prstGeom prst="rect">
                      <a:avLst/>
                    </a:prstGeom>
                  </pic:spPr>
                </pic:pic>
              </a:graphicData>
            </a:graphic>
            <wp14:sizeRelV relativeFrom="margin">
              <wp14:pctHeight>0</wp14:pctHeight>
            </wp14:sizeRelV>
          </wp:anchor>
        </w:drawing>
      </w:r>
    </w:p>
    <w:p w14:paraId="6C71ED8D" w14:textId="7FED2ED5" w:rsidR="00C12EBD" w:rsidRDefault="00C12EBD" w:rsidP="0027630F">
      <w:pPr>
        <w:spacing w:after="0" w:line="240" w:lineRule="auto"/>
        <w:jc w:val="right"/>
        <w:rPr>
          <w:rFonts w:ascii="Verdana" w:eastAsia="Calibri" w:hAnsi="Verdana" w:cs="Arial"/>
          <w:color w:val="000000"/>
          <w:lang w:val="es-ES"/>
        </w:rPr>
      </w:pPr>
    </w:p>
    <w:p w14:paraId="08DE430B" w14:textId="77777777" w:rsidR="00B110F5" w:rsidRPr="00593A5F" w:rsidRDefault="00B110F5" w:rsidP="00B110F5">
      <w:pPr>
        <w:spacing w:after="0" w:line="240" w:lineRule="auto"/>
        <w:jc w:val="both"/>
        <w:rPr>
          <w:rFonts w:ascii="Verdana" w:eastAsia="Calibri" w:hAnsi="Verdana" w:cs="Arial"/>
          <w:color w:val="000000"/>
          <w:lang w:val="es-ES"/>
        </w:rPr>
      </w:pPr>
    </w:p>
    <w:p w14:paraId="51BEADA0" w14:textId="77777777" w:rsidR="00B110F5" w:rsidRPr="00B96799" w:rsidRDefault="00B110F5" w:rsidP="00B110F5">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1B17A88C" w14:textId="77777777" w:rsidR="00B110F5" w:rsidRPr="0085423D" w:rsidRDefault="00B110F5" w:rsidP="00B110F5">
      <w:pPr>
        <w:spacing w:after="0" w:line="240" w:lineRule="auto"/>
        <w:rPr>
          <w:rFonts w:ascii="Verdana" w:eastAsia="Calibri" w:hAnsi="Verdana" w:cs="Arial"/>
          <w:b/>
          <w:lang w:val="es-ES_tradnl" w:eastAsia="es-ES_tradnl"/>
        </w:rPr>
      </w:pPr>
      <w:bookmarkStart w:id="1" w:name="OLE_LINK1"/>
      <w:r w:rsidRPr="00062A5F">
        <w:rPr>
          <w:rFonts w:ascii="Verdana" w:eastAsia="Calibri" w:hAnsi="Verdana" w:cs="Arial"/>
          <w:b/>
          <w:lang w:val="es-ES_tradnl" w:eastAsia="es-ES_tradnl"/>
        </w:rPr>
        <w:t>Gilma Patricia Ramírez R</w:t>
      </w:r>
      <w:r>
        <w:rPr>
          <w:rFonts w:ascii="Verdana" w:eastAsia="Calibri" w:hAnsi="Verdana" w:cs="Arial"/>
          <w:b/>
          <w:lang w:val="es-ES_tradnl" w:eastAsia="es-ES_tradnl"/>
        </w:rPr>
        <w:t>o</w:t>
      </w:r>
      <w:r w:rsidRPr="00062A5F">
        <w:rPr>
          <w:rFonts w:ascii="Verdana" w:eastAsia="Calibri" w:hAnsi="Verdana" w:cs="Arial"/>
          <w:b/>
          <w:lang w:val="es-ES_tradnl" w:eastAsia="es-ES_tradnl"/>
        </w:rPr>
        <w:t>dríguez</w:t>
      </w:r>
      <w:r w:rsidRPr="00A804B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1"/>
    <w:p w14:paraId="75A9B908" w14:textId="77777777" w:rsidR="00B110F5" w:rsidRDefault="00B110F5" w:rsidP="00B110F5">
      <w:pPr>
        <w:spacing w:after="0" w:line="240" w:lineRule="auto"/>
        <w:rPr>
          <w:rFonts w:ascii="Verdana" w:hAnsi="Verdana"/>
        </w:rPr>
      </w:pPr>
      <w:r>
        <w:rPr>
          <w:rFonts w:ascii="Verdana" w:hAnsi="Verdana"/>
        </w:rPr>
        <w:fldChar w:fldCharType="begin"/>
      </w:r>
      <w:r>
        <w:rPr>
          <w:rFonts w:ascii="Verdana" w:hAnsi="Verdana"/>
        </w:rPr>
        <w:instrText>HYPERLINK "mailto:s</w:instrText>
      </w:r>
      <w:r w:rsidRPr="00C101AC">
        <w:rPr>
          <w:rFonts w:ascii="Verdana" w:hAnsi="Verdana"/>
        </w:rPr>
        <w:instrText>gdnotificaciones@personeriabogota.gov.co</w:instrText>
      </w:r>
      <w:r>
        <w:rPr>
          <w:rFonts w:ascii="Verdana" w:hAnsi="Verdana"/>
        </w:rPr>
        <w:instrText>"</w:instrText>
      </w:r>
      <w:r>
        <w:rPr>
          <w:rFonts w:ascii="Verdana" w:hAnsi="Verdana"/>
        </w:rPr>
      </w:r>
      <w:r>
        <w:rPr>
          <w:rFonts w:ascii="Verdana" w:hAnsi="Verdana"/>
        </w:rPr>
        <w:fldChar w:fldCharType="separate"/>
      </w:r>
      <w:r w:rsidRPr="007E34A0">
        <w:rPr>
          <w:rStyle w:val="Hipervnculo"/>
          <w:rFonts w:ascii="Verdana" w:hAnsi="Verdana"/>
        </w:rPr>
        <w:t>sgdnotificaciones@personeriabogota.gov.co</w:t>
      </w:r>
      <w:r>
        <w:rPr>
          <w:rFonts w:ascii="Verdana" w:hAnsi="Verdana"/>
        </w:rPr>
        <w:fldChar w:fldCharType="end"/>
      </w:r>
      <w:r>
        <w:rPr>
          <w:rFonts w:ascii="Verdana" w:hAnsi="Verdana"/>
        </w:rPr>
        <w:t xml:space="preserve">    </w:t>
      </w:r>
    </w:p>
    <w:p w14:paraId="0B2C4E43" w14:textId="77777777" w:rsidR="00B110F5" w:rsidRDefault="00B110F5" w:rsidP="00B110F5">
      <w:pPr>
        <w:spacing w:after="0" w:line="240" w:lineRule="auto"/>
        <w:rPr>
          <w:rFonts w:ascii="Verdana" w:eastAsia="Calibri" w:hAnsi="Verdana" w:cs="Arial"/>
          <w:lang w:val="es-ES" w:eastAsia="es-ES"/>
        </w:rPr>
      </w:pPr>
      <w:r w:rsidRPr="004A3093">
        <w:rPr>
          <w:rFonts w:ascii="Verdana" w:eastAsia="Calibri" w:hAnsi="Verdana" w:cs="Arial"/>
          <w:lang w:val="es-ES" w:eastAsia="es-ES"/>
        </w:rPr>
        <w:t>Bogotá D.C.</w:t>
      </w:r>
      <w:r>
        <w:rPr>
          <w:rFonts w:ascii="Verdana" w:eastAsia="Calibri" w:hAnsi="Verdana" w:cs="Arial"/>
          <w:lang w:val="es-ES" w:eastAsia="es-ES"/>
        </w:rPr>
        <w:t xml:space="preserve"> </w:t>
      </w:r>
    </w:p>
    <w:p w14:paraId="3DC31876" w14:textId="77777777" w:rsidR="00B110F5" w:rsidRPr="00593A5F" w:rsidRDefault="00B110F5" w:rsidP="00B110F5">
      <w:pPr>
        <w:spacing w:after="0" w:line="240" w:lineRule="auto"/>
        <w:rPr>
          <w:rFonts w:ascii="Verdana" w:eastAsia="Calibri" w:hAnsi="Verdana" w:cs="Arial"/>
          <w:b/>
          <w:bCs/>
          <w:color w:val="000000"/>
          <w:lang w:val="es-ES_tradnl" w:eastAsia="es-ES_tradnl"/>
        </w:rPr>
      </w:pPr>
    </w:p>
    <w:p w14:paraId="008E4295" w14:textId="77777777" w:rsidR="00B110F5" w:rsidRPr="00593A5F" w:rsidRDefault="00B110F5" w:rsidP="00B110F5">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110F5" w:rsidRPr="00593A5F" w14:paraId="1F24C7BF" w14:textId="77777777" w:rsidTr="00A841E3">
        <w:trPr>
          <w:trHeight w:val="884"/>
        </w:trPr>
        <w:tc>
          <w:tcPr>
            <w:tcW w:w="2689" w:type="dxa"/>
          </w:tcPr>
          <w:p w14:paraId="6C9D0E31" w14:textId="77777777" w:rsidR="00B110F5" w:rsidRPr="00C00976" w:rsidRDefault="00B110F5" w:rsidP="00A841E3">
            <w:pPr>
              <w:jc w:val="both"/>
              <w:rPr>
                <w:rFonts w:ascii="Verdana" w:eastAsia="Calibri" w:hAnsi="Verdana" w:cs="Arial"/>
                <w:b/>
                <w:bCs/>
                <w:color w:val="7030A0"/>
                <w:lang w:val="es-ES_tradnl" w:eastAsia="es-ES_tradnl"/>
              </w:rPr>
            </w:pPr>
          </w:p>
        </w:tc>
        <w:tc>
          <w:tcPr>
            <w:tcW w:w="6100" w:type="dxa"/>
          </w:tcPr>
          <w:p w14:paraId="60365341" w14:textId="77777777" w:rsidR="00B110F5" w:rsidRPr="00C00976" w:rsidRDefault="00B110F5" w:rsidP="00A841E3">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337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B110F5" w:rsidRPr="00593A5F" w14:paraId="745CC927" w14:textId="77777777" w:rsidTr="00A841E3">
        <w:trPr>
          <w:trHeight w:val="884"/>
        </w:trPr>
        <w:tc>
          <w:tcPr>
            <w:tcW w:w="2689" w:type="dxa"/>
          </w:tcPr>
          <w:p w14:paraId="610FA9C6" w14:textId="77777777" w:rsidR="00B110F5" w:rsidRPr="00593A5F" w:rsidRDefault="00B110F5" w:rsidP="00A841E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0F10465" w14:textId="77777777" w:rsidR="00B110F5" w:rsidRPr="00A11406" w:rsidRDefault="00B110F5" w:rsidP="00A841E3">
            <w:pPr>
              <w:spacing w:line="276" w:lineRule="auto"/>
              <w:jc w:val="both"/>
              <w:rPr>
                <w:rFonts w:ascii="Verdana" w:eastAsia="Calibri" w:hAnsi="Verdana" w:cs="Arial"/>
                <w:lang w:val="es-ES" w:eastAsia="es-ES"/>
              </w:rPr>
            </w:pPr>
            <w:r w:rsidRPr="00EA6B94">
              <w:rPr>
                <w:rFonts w:ascii="Verdana" w:eastAsia="Calibri" w:hAnsi="Verdana" w:cs="Arial"/>
                <w:lang w:val="es-ES" w:eastAsia="es-ES"/>
              </w:rPr>
              <w:t>DECRETO 092 DE 2017 – Finalidad – Clases de contratos / CONTRATACIÓN CON ESAL – Contrato de colaboración – Objeto – Alcance / CONTRATACIÓN CON ESAL – Convenios de asociación – Objeto – Alcance / CONVENIOS DE ASOCIACIÓN – Multiplicidad de sujetos – Límites legales / DECRETO 092 DE 2017 – Criterios – Aplicación / DECRETO 092 DE 2017 – Normativa vigente</w:t>
            </w:r>
            <w:r>
              <w:rPr>
                <w:rFonts w:ascii="Verdana" w:eastAsia="Calibri" w:hAnsi="Verdana" w:cs="Arial"/>
                <w:lang w:val="es-ES" w:eastAsia="es-ES"/>
              </w:rPr>
              <w:t xml:space="preserve"> </w:t>
            </w:r>
          </w:p>
          <w:p w14:paraId="29426D03" w14:textId="77777777" w:rsidR="00B110F5" w:rsidRPr="00593A5F" w:rsidRDefault="00B110F5" w:rsidP="00A841E3">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B110F5" w:rsidRPr="008E6AD9" w14:paraId="68515B62" w14:textId="77777777" w:rsidTr="00A841E3">
        <w:tc>
          <w:tcPr>
            <w:tcW w:w="2689" w:type="dxa"/>
          </w:tcPr>
          <w:p w14:paraId="269DDECC" w14:textId="77777777" w:rsidR="00B110F5" w:rsidRPr="008E6AD9" w:rsidRDefault="00B110F5" w:rsidP="00A841E3">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1178F4BB" w14:textId="77777777" w:rsidR="00B110F5" w:rsidRPr="00B92340" w:rsidRDefault="00B110F5" w:rsidP="00A841E3">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635711">
              <w:rPr>
                <w:rFonts w:ascii="Verdana" w:eastAsia="Calibri" w:hAnsi="Verdana" w:cs="Arial"/>
                <w:lang w:val="es-ES_tradnl" w:eastAsia="es-ES_tradnl"/>
              </w:rPr>
              <w:t>1_2026_03_03_002937</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142BBA50" w14:textId="77777777" w:rsidR="00B110F5" w:rsidRPr="00593A5F" w:rsidRDefault="00B110F5" w:rsidP="00B110F5">
      <w:pPr>
        <w:spacing w:after="0" w:line="240" w:lineRule="auto"/>
        <w:jc w:val="both"/>
        <w:rPr>
          <w:rFonts w:ascii="Verdana" w:eastAsia="Calibri" w:hAnsi="Verdana" w:cs="Arial"/>
          <w:color w:val="000000"/>
          <w:lang w:val="es-ES_tradnl" w:eastAsia="es-ES_tradnl"/>
        </w:rPr>
      </w:pPr>
    </w:p>
    <w:p w14:paraId="6C973E44" w14:textId="77777777" w:rsidR="00B110F5" w:rsidRPr="00593A5F" w:rsidRDefault="00B110F5" w:rsidP="00B110F5">
      <w:pPr>
        <w:spacing w:after="0" w:line="240" w:lineRule="auto"/>
        <w:jc w:val="both"/>
        <w:rPr>
          <w:rFonts w:ascii="Verdana" w:eastAsia="Calibri" w:hAnsi="Verdana" w:cs="Arial"/>
          <w:color w:val="000000"/>
          <w:lang w:val="es-ES_tradnl" w:eastAsia="es-ES_tradnl"/>
        </w:rPr>
      </w:pPr>
    </w:p>
    <w:p w14:paraId="013CA12E" w14:textId="77777777" w:rsidR="00B110F5" w:rsidRPr="008E6AD9" w:rsidRDefault="00B110F5" w:rsidP="00B110F5">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062A5F">
        <w:rPr>
          <w:rFonts w:ascii="Verdana" w:eastAsia="Calibri" w:hAnsi="Verdana" w:cs="Arial"/>
          <w:lang w:val="es-ES" w:eastAsia="es-ES"/>
        </w:rPr>
        <w:t>Ramírez Rodríguez</w:t>
      </w:r>
      <w:r w:rsidRPr="008E6AD9">
        <w:rPr>
          <w:rFonts w:ascii="Verdana" w:eastAsia="Calibri" w:hAnsi="Verdana" w:cs="Arial"/>
          <w:lang w:val="es-ES" w:eastAsia="es-ES"/>
        </w:rPr>
        <w:t xml:space="preserve">: </w:t>
      </w:r>
    </w:p>
    <w:p w14:paraId="0E001989" w14:textId="77777777" w:rsidR="00B110F5" w:rsidRDefault="00B110F5" w:rsidP="00B110F5">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4E05C9C" w14:textId="77777777" w:rsidR="00B110F5" w:rsidRPr="00593A5F" w:rsidRDefault="00B110F5" w:rsidP="00B110F5">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FF469C">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3 de marzo de 2026, en la cual manifiesta que si el artículo 5 del Decreto 092 de 2017 dispone que los convenios de asociación “[…] </w:t>
      </w:r>
      <w:r w:rsidRPr="00062A5F">
        <w:rPr>
          <w:rFonts w:ascii="Verdana" w:eastAsia="Calibri" w:hAnsi="Verdana" w:cs="Arial"/>
          <w:lang w:val="es-ES" w:eastAsia="es-ES"/>
        </w:rPr>
        <w:t>no estarán sujetos a competencia cuando la entidad  sin ánimo de lucro comprometa recursos en dinero para la ejecución de esas actividades en una proporción no inferior al 30% del valor total del convenio</w:t>
      </w:r>
      <w:r>
        <w:rPr>
          <w:rFonts w:ascii="Verdana" w:eastAsia="Calibri" w:hAnsi="Verdana" w:cs="Arial"/>
          <w:lang w:val="es-ES" w:eastAsia="es-ES"/>
        </w:rPr>
        <w:t xml:space="preserve"> […]”:</w:t>
      </w:r>
      <w:r w:rsidRPr="008E6AD9">
        <w:rPr>
          <w:rFonts w:ascii="Verdana" w:eastAsia="Calibri" w:hAnsi="Verdana" w:cs="Arial"/>
          <w:lang w:val="es-ES" w:eastAsia="es-ES"/>
        </w:rPr>
        <w:t xml:space="preserve"> </w:t>
      </w:r>
    </w:p>
    <w:p w14:paraId="1E4DA8B9" w14:textId="77777777" w:rsidR="00B110F5" w:rsidRPr="00272A7B" w:rsidRDefault="00B110F5" w:rsidP="00B110F5">
      <w:pPr>
        <w:pStyle w:val="Prrafodelista"/>
        <w:tabs>
          <w:tab w:val="left" w:pos="142"/>
          <w:tab w:val="left" w:pos="284"/>
        </w:tabs>
        <w:spacing w:after="0" w:line="276" w:lineRule="auto"/>
        <w:ind w:left="0"/>
        <w:jc w:val="both"/>
        <w:rPr>
          <w:rFonts w:ascii="Verdana" w:eastAsia="Century Gothic" w:hAnsi="Verdana" w:cs="Century Gothic"/>
          <w:b/>
          <w:bCs/>
        </w:rPr>
      </w:pPr>
    </w:p>
    <w:p w14:paraId="244E8D73" w14:textId="77777777" w:rsidR="00B110F5" w:rsidRPr="00E448A6" w:rsidRDefault="00B110F5" w:rsidP="00B110F5">
      <w:pPr>
        <w:spacing w:after="12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lastRenderedPageBreak/>
        <w:t xml:space="preserve">“[…] </w:t>
      </w:r>
      <w:r w:rsidRPr="00E448A6">
        <w:rPr>
          <w:rFonts w:ascii="Verdana" w:eastAsia="Century Gothic" w:hAnsi="Verdana" w:cs="Century Gothic"/>
          <w:sz w:val="20"/>
          <w:szCs w:val="20"/>
          <w:lang w:val="es-ES"/>
        </w:rPr>
        <w:t>¿qué ocurre cuando se suscribe un convenio sin atender el requisito de competencia, toda vez que cumple con la proporción antes señalado, pero luego, durante</w:t>
      </w:r>
      <w:r>
        <w:rPr>
          <w:rFonts w:ascii="Verdana" w:eastAsia="Century Gothic" w:hAnsi="Verdana" w:cs="Century Gothic"/>
          <w:sz w:val="20"/>
          <w:szCs w:val="20"/>
          <w:lang w:val="es-ES"/>
        </w:rPr>
        <w:t xml:space="preserve"> </w:t>
      </w:r>
      <w:r w:rsidRPr="00E448A6">
        <w:rPr>
          <w:rFonts w:ascii="Verdana" w:eastAsia="Century Gothic" w:hAnsi="Verdana" w:cs="Century Gothic"/>
          <w:sz w:val="20"/>
          <w:szCs w:val="20"/>
          <w:lang w:val="es-ES"/>
        </w:rPr>
        <w:t>la ejecución se modifica esta proporción y los aportes del asociado terminan siendo inferiores al 30%?</w:t>
      </w:r>
    </w:p>
    <w:p w14:paraId="74953480" w14:textId="77777777" w:rsidR="00B110F5" w:rsidRPr="00E448A6" w:rsidRDefault="00B110F5" w:rsidP="00B110F5">
      <w:pPr>
        <w:spacing w:after="120" w:line="240" w:lineRule="auto"/>
        <w:ind w:left="709" w:right="709"/>
        <w:jc w:val="both"/>
        <w:rPr>
          <w:rFonts w:ascii="Verdana" w:eastAsia="Century Gothic" w:hAnsi="Verdana" w:cs="Century Gothic"/>
          <w:sz w:val="20"/>
          <w:szCs w:val="20"/>
          <w:lang w:val="es-ES"/>
        </w:rPr>
      </w:pPr>
      <w:r w:rsidRPr="00E448A6">
        <w:rPr>
          <w:rFonts w:ascii="Verdana" w:eastAsia="Century Gothic" w:hAnsi="Verdana" w:cs="Century Gothic"/>
          <w:sz w:val="20"/>
          <w:szCs w:val="20"/>
          <w:lang w:val="es-ES"/>
        </w:rPr>
        <w:t>¿Existe alguna restricción normativa o doctrinaria que prohíbe a las entidades públicas permitir este tipo de modificaciones en la estructura de los aportes de un convenio ya suscrito?</w:t>
      </w:r>
    </w:p>
    <w:p w14:paraId="1B0C1225" w14:textId="77777777" w:rsidR="00B110F5" w:rsidRPr="004B35AC" w:rsidRDefault="00B110F5" w:rsidP="00B110F5">
      <w:pPr>
        <w:spacing w:after="0" w:line="240" w:lineRule="auto"/>
        <w:ind w:left="709" w:right="709"/>
        <w:jc w:val="both"/>
        <w:rPr>
          <w:rFonts w:ascii="Verdana" w:eastAsia="Century Gothic" w:hAnsi="Verdana" w:cs="Century Gothic"/>
          <w:sz w:val="20"/>
          <w:szCs w:val="20"/>
          <w:lang w:val="es-ES"/>
        </w:rPr>
      </w:pPr>
      <w:r w:rsidRPr="00E448A6">
        <w:rPr>
          <w:rFonts w:ascii="Verdana" w:eastAsia="Century Gothic" w:hAnsi="Verdana" w:cs="Century Gothic"/>
          <w:sz w:val="20"/>
          <w:szCs w:val="20"/>
          <w:lang w:val="es-ES"/>
        </w:rPr>
        <w:t>¿Existe alguna consecuencia o implicación técnica, administrativa o jurídica, para la entidad pública que avala o autoriza una modificación en este sentido?</w:t>
      </w:r>
      <w:r w:rsidRPr="00D10E3B">
        <w:rPr>
          <w:rFonts w:ascii="Verdana" w:eastAsia="Century Gothic" w:hAnsi="Verdana" w:cs="Century Gothic"/>
          <w:sz w:val="20"/>
          <w:szCs w:val="20"/>
        </w:rPr>
        <w:t>”.</w:t>
      </w:r>
      <w:r>
        <w:rPr>
          <w:rFonts w:ascii="Verdana" w:eastAsia="Century Gothic" w:hAnsi="Verdana" w:cs="Century Gothic"/>
          <w:sz w:val="20"/>
          <w:szCs w:val="20"/>
        </w:rPr>
        <w:t xml:space="preserve"> </w:t>
      </w:r>
    </w:p>
    <w:p w14:paraId="3920C612" w14:textId="77777777" w:rsidR="00B110F5" w:rsidRPr="008E6AD9" w:rsidRDefault="00B110F5" w:rsidP="00B110F5">
      <w:pPr>
        <w:pStyle w:val="Prrafodelista"/>
        <w:tabs>
          <w:tab w:val="left" w:pos="142"/>
          <w:tab w:val="left" w:pos="284"/>
        </w:tabs>
        <w:spacing w:after="0" w:line="276" w:lineRule="auto"/>
        <w:ind w:left="0"/>
        <w:jc w:val="both"/>
        <w:rPr>
          <w:rFonts w:ascii="Verdana" w:eastAsia="Century Gothic" w:hAnsi="Verdana" w:cs="Century Gothic"/>
          <w:b/>
          <w:bCs/>
        </w:rPr>
      </w:pPr>
    </w:p>
    <w:p w14:paraId="395B75F5" w14:textId="77777777" w:rsidR="00B110F5" w:rsidRPr="00A652FF" w:rsidRDefault="00B110F5" w:rsidP="00B110F5">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4C9148B" w14:textId="77777777" w:rsidR="00B110F5" w:rsidRPr="00423BE7" w:rsidRDefault="00B110F5" w:rsidP="00B110F5">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Pr="000B43B3">
        <w:rPr>
          <w:rFonts w:ascii="Verdana" w:eastAsia="Calibri" w:hAnsi="Verdana" w:cs="Arial"/>
          <w:lang w:val="es-ES" w:eastAsia="es-ES"/>
        </w:rPr>
        <w:t xml:space="preserve">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3125D87C" w14:textId="77777777" w:rsidR="00B110F5" w:rsidRPr="00593A5F" w:rsidRDefault="00B110F5" w:rsidP="00B110F5">
      <w:pPr>
        <w:spacing w:after="0" w:line="276" w:lineRule="auto"/>
        <w:ind w:firstLine="709"/>
        <w:jc w:val="both"/>
        <w:rPr>
          <w:rFonts w:ascii="Verdana" w:eastAsia="Calibri" w:hAnsi="Verdana" w:cs="Arial"/>
          <w:color w:val="000000"/>
          <w:lang w:val="es-ES" w:eastAsia="es-ES"/>
        </w:rPr>
      </w:pPr>
    </w:p>
    <w:p w14:paraId="13EEEB89" w14:textId="77777777" w:rsidR="00B110F5" w:rsidRPr="00593A5F" w:rsidRDefault="00B110F5" w:rsidP="00B110F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FCE9C1E" w14:textId="77777777" w:rsidR="00B110F5" w:rsidRPr="00593A5F" w:rsidRDefault="00B110F5" w:rsidP="00B110F5">
      <w:pPr>
        <w:tabs>
          <w:tab w:val="left" w:pos="426"/>
        </w:tabs>
        <w:spacing w:after="0" w:line="276" w:lineRule="auto"/>
        <w:jc w:val="both"/>
        <w:rPr>
          <w:rFonts w:ascii="Verdana" w:eastAsia="Century Gothic" w:hAnsi="Verdana" w:cs="Century Gothic"/>
          <w:lang w:val="es-ES"/>
        </w:rPr>
      </w:pPr>
    </w:p>
    <w:p w14:paraId="44481153" w14:textId="3205CA58" w:rsidR="00B110F5" w:rsidRPr="00593A5F" w:rsidRDefault="00B110F5" w:rsidP="00B110F5">
      <w:pPr>
        <w:spacing w:after="0" w:line="276" w:lineRule="auto"/>
        <w:jc w:val="both"/>
        <w:rPr>
          <w:rFonts w:ascii="Verdana" w:eastAsia="Century Gothic" w:hAnsi="Verdana" w:cs="Century Gothic"/>
        </w:rPr>
      </w:pPr>
      <w:r w:rsidRPr="00EF1386">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043BF3">
        <w:rPr>
          <w:rFonts w:ascii="Verdana" w:eastAsia="Century Gothic" w:hAnsi="Verdana" w:cs="Century Gothic"/>
        </w:rPr>
        <w:t>¿</w:t>
      </w:r>
      <w:r w:rsidR="00833FCD">
        <w:rPr>
          <w:rFonts w:ascii="Verdana" w:eastAsia="Century Gothic" w:hAnsi="Verdana" w:cs="Century Gothic"/>
        </w:rPr>
        <w:t>C</w:t>
      </w:r>
      <w:r>
        <w:rPr>
          <w:rFonts w:ascii="Verdana" w:eastAsia="Century Gothic" w:hAnsi="Verdana" w:cs="Century Gothic"/>
        </w:rPr>
        <w:t>ómo se determina, en función de los aportes, el procedimiento para la selección de las ESAL en los convenios de asociación del artículo 96 de la Ley 489 de 1998</w:t>
      </w:r>
      <w:r w:rsidRPr="00043BF3">
        <w:rPr>
          <w:rFonts w:ascii="Verdana" w:eastAsia="Times New Roman" w:hAnsi="Verdana" w:cs="Arial"/>
          <w:lang w:eastAsia="es-MX"/>
        </w:rPr>
        <w:t>?</w:t>
      </w:r>
    </w:p>
    <w:p w14:paraId="1BCD829C" w14:textId="77777777" w:rsidR="00B110F5" w:rsidRPr="004B140F" w:rsidRDefault="00B110F5" w:rsidP="00B110F5">
      <w:pPr>
        <w:spacing w:after="0" w:line="276" w:lineRule="auto"/>
        <w:jc w:val="both"/>
        <w:rPr>
          <w:rFonts w:ascii="Verdana" w:eastAsia="Calibri" w:hAnsi="Verdana" w:cs="Arial"/>
          <w:color w:val="7030A0"/>
        </w:rPr>
      </w:pPr>
    </w:p>
    <w:p w14:paraId="36184BE7" w14:textId="77777777" w:rsidR="00B110F5" w:rsidRPr="00593A5F" w:rsidRDefault="00B110F5" w:rsidP="00B110F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D249D5B" w14:textId="77777777" w:rsidR="00B110F5" w:rsidRPr="00593A5F" w:rsidRDefault="00B110F5" w:rsidP="00B110F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110F5" w:rsidRPr="00593A5F" w14:paraId="5F970C63" w14:textId="77777777" w:rsidTr="00A841E3">
        <w:trPr>
          <w:jc w:val="center"/>
        </w:trPr>
        <w:tc>
          <w:tcPr>
            <w:tcW w:w="8828" w:type="dxa"/>
          </w:tcPr>
          <w:p w14:paraId="60B58DFD" w14:textId="77777777" w:rsidR="00B110F5" w:rsidRPr="00006A46" w:rsidRDefault="00B110F5" w:rsidP="00A841E3">
            <w:pPr>
              <w:spacing w:after="120" w:line="276" w:lineRule="auto"/>
              <w:jc w:val="both"/>
              <w:textAlignment w:val="baseline"/>
              <w:rPr>
                <w:rFonts w:ascii="Verdana" w:eastAsia="Calibri" w:hAnsi="Verdana" w:cs="Arial"/>
                <w:lang w:val="es-ES_tradnl" w:eastAsia="es-ES_tradnl"/>
              </w:rPr>
            </w:pPr>
            <w:bookmarkStart w:id="2" w:name="_Hlk171694685"/>
            <w:r w:rsidRPr="00C53E3E">
              <w:rPr>
                <w:rFonts w:ascii="Verdana" w:eastAsia="Calibri" w:hAnsi="Verdana" w:cs="Arial"/>
                <w:lang w:val="es-MX"/>
              </w:rPr>
              <w:t xml:space="preserve">Conforme a la interpretación general de las normas del sistema de compras públicas, </w:t>
            </w:r>
            <w:r w:rsidRPr="001F4636">
              <w:rPr>
                <w:rFonts w:ascii="Verdana" w:eastAsia="Calibri" w:hAnsi="Verdana" w:cs="Arial"/>
                <w:color w:val="000000" w:themeColor="text1"/>
              </w:rPr>
              <w:t xml:space="preserve">si se pretende realizar un </w:t>
            </w:r>
            <w:r w:rsidRPr="001F4636">
              <w:rPr>
                <w:rFonts w:ascii="Verdana" w:eastAsia="Calibri" w:hAnsi="Verdana" w:cs="Arial"/>
                <w:i/>
                <w:iCs/>
                <w:color w:val="000000" w:themeColor="text1"/>
              </w:rPr>
              <w:t>convenio de asociación</w:t>
            </w:r>
            <w:r w:rsidRPr="001F4636">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w:t>
            </w:r>
            <w:r w:rsidRPr="00006A46">
              <w:rPr>
                <w:rFonts w:ascii="Verdana" w:eastAsia="Calibri" w:hAnsi="Verdana" w:cs="Arial"/>
                <w:color w:val="000000"/>
                <w:lang w:val="es-MX"/>
              </w:rPr>
              <w:t xml:space="preserve">Por regla general, deben estar sujetos a competencia; salvo en aquellos casos en que </w:t>
            </w:r>
            <w:r w:rsidRPr="00006A46">
              <w:rPr>
                <w:rFonts w:ascii="Verdana" w:eastAsia="Calibri" w:hAnsi="Verdana" w:cs="Arial"/>
                <w:i/>
                <w:color w:val="000000"/>
                <w:lang w:val="es-MX"/>
              </w:rPr>
              <w:t>una</w:t>
            </w:r>
            <w:r w:rsidRPr="00006A46">
              <w:rPr>
                <w:rFonts w:ascii="Verdana" w:eastAsia="Calibri" w:hAnsi="Verdana" w:cs="Arial"/>
                <w:color w:val="000000"/>
                <w:lang w:val="es-MX"/>
              </w:rPr>
              <w:t xml:space="preserve"> entidad sin ánimo de lucro comprometa recursos en dinero por un valor igual o superior al 30% del valor total del convenio, y siempre que la entidad estatal verifique previamente que no existe ninguna otra entidad sin ánimo de lucro que ofrezca aportes en dinero iguales o superiores al 30%, ya que en este último evento también deberá adelantar un proceso competitivo. De hecho, en relación con la naturaleza y cuantía de los convenios, la norma anteriormente citada no prohíbe la celebración de convenios en que la ESAL aporte menos del 30% o cuando aporten recursos en especie. En efecto, solo indica que en esos casos la entidad estatal debe acudir al proceso competitivo para seleccionar a la entidad sin ánimo de lucro con la cual celebrará el respectivo convenio.</w:t>
            </w:r>
          </w:p>
          <w:p w14:paraId="30150C43" w14:textId="77777777" w:rsidR="00B110F5" w:rsidRPr="00006A46" w:rsidRDefault="00B110F5" w:rsidP="00A841E3">
            <w:pPr>
              <w:spacing w:after="120" w:line="276" w:lineRule="auto"/>
              <w:ind w:firstLine="709"/>
              <w:jc w:val="both"/>
              <w:rPr>
                <w:rFonts w:ascii="Verdana" w:eastAsia="Calibri" w:hAnsi="Verdana" w:cs="Arial"/>
                <w:lang w:val="es-ES_tradnl"/>
              </w:rPr>
            </w:pPr>
            <w:r w:rsidRPr="00006A46">
              <w:rPr>
                <w:rFonts w:ascii="Verdana" w:eastAsia="Calibri" w:hAnsi="Verdana" w:cs="Arial"/>
                <w:lang w:val="es-ES_tradnl" w:eastAsia="es-ES_tradnl"/>
              </w:rPr>
              <w:t xml:space="preserve">En este caso, los aportes están dirigidos concretamente a lograr la ejecución del convenio. De todos modos, la entidad deberá adelantar un proceso competitivo, salvo cuando la ESAL comprometa recursos en dinero para la ejecución de estas actividades, en una proporción no inferior al 30% del valor total del convenio. Así, </w:t>
            </w:r>
            <w:r w:rsidRPr="00006A46">
              <w:rPr>
                <w:rFonts w:ascii="Verdana" w:eastAsia="Calibri" w:hAnsi="Verdana" w:cs="Arial"/>
                <w:lang w:val="es-ES_tradnl"/>
              </w:rPr>
              <w:t xml:space="preserve">si se pretende suscribir un </w:t>
            </w:r>
            <w:r w:rsidRPr="00006A46">
              <w:rPr>
                <w:rFonts w:ascii="Verdana" w:eastAsia="Calibri" w:hAnsi="Verdana" w:cs="Arial"/>
                <w:i/>
                <w:lang w:val="es-ES_tradnl"/>
              </w:rPr>
              <w:t>convenio de asociación</w:t>
            </w:r>
            <w:r w:rsidRPr="00006A46">
              <w:rPr>
                <w:rFonts w:ascii="Verdana" w:eastAsia="Calibri" w:hAnsi="Verdana" w:cs="Arial"/>
                <w:lang w:val="es-ES_tradnl"/>
              </w:rPr>
              <w:t xml:space="preserve"> con una ESAL de reconocida idoneidad para el cumplimiento de las funciones que la ley les asigna a las entidades públicas, deben aplicar lo dispuesto en el artículo 5 del Decreto 092 de 2017. </w:t>
            </w:r>
          </w:p>
          <w:p w14:paraId="328428A7" w14:textId="219425A3" w:rsidR="00B110F5" w:rsidRPr="00006A46" w:rsidRDefault="00B110F5" w:rsidP="00A841E3">
            <w:pPr>
              <w:spacing w:before="120" w:after="120" w:line="276" w:lineRule="auto"/>
              <w:ind w:firstLine="709"/>
              <w:jc w:val="both"/>
              <w:rPr>
                <w:rFonts w:ascii="Verdana" w:eastAsia="Calibri" w:hAnsi="Verdana" w:cs="Arial"/>
                <w:color w:val="000000" w:themeColor="text1"/>
              </w:rPr>
            </w:pPr>
            <w:r w:rsidRPr="00006A46">
              <w:rPr>
                <w:rFonts w:ascii="Verdana" w:eastAsia="Calibri" w:hAnsi="Verdana" w:cs="Arial"/>
                <w:lang w:val="es-ES_tradnl"/>
              </w:rPr>
              <w:t xml:space="preserve">Como se estableció </w:t>
            </w:r>
            <w:r w:rsidRPr="00006A46">
              <w:rPr>
                <w:rFonts w:ascii="Verdana" w:eastAsia="Calibri" w:hAnsi="Verdana" w:cs="Arial"/>
                <w:i/>
                <w:lang w:val="es-ES_tradnl"/>
              </w:rPr>
              <w:t>ut supra</w:t>
            </w:r>
            <w:r w:rsidRPr="00006A46">
              <w:rPr>
                <w:rFonts w:ascii="Verdana" w:eastAsia="Calibri" w:hAnsi="Verdana" w:cs="Arial"/>
                <w:lang w:val="es-ES_tradnl"/>
              </w:rPr>
              <w:t>, este artículo dispone que el proceso para la escogencia de la ESAL, por regla general, debe estar sujeto a competencia. Esto, salvo en aquellos casos en los que una ESAL manifieste su compromiso de aportar recursos en dinero por un valor igual o superior al 30% del valor total del convenio, siempre y cuando no existan otras ESALES que ofrezca</w:t>
            </w:r>
            <w:r w:rsidR="008755A0">
              <w:rPr>
                <w:rFonts w:ascii="Verdana" w:eastAsia="Calibri" w:hAnsi="Verdana" w:cs="Arial"/>
                <w:lang w:val="es-ES_tradnl"/>
              </w:rPr>
              <w:t>n</w:t>
            </w:r>
            <w:r w:rsidRPr="00006A46">
              <w:rPr>
                <w:rFonts w:ascii="Verdana" w:eastAsia="Calibri" w:hAnsi="Verdana" w:cs="Arial"/>
                <w:lang w:val="es-ES_tradnl"/>
              </w:rPr>
              <w:t xml:space="preserve"> aportes en monto igual o superior a dicho porcentaje, pues en este evento también se tendría que realizar un proceso competitivo. </w:t>
            </w:r>
            <w:r w:rsidRPr="001F4636">
              <w:rPr>
                <w:rFonts w:ascii="Verdana" w:eastAsia="Calibri" w:hAnsi="Verdana" w:cs="Arial"/>
                <w:color w:val="000000"/>
              </w:rPr>
              <w:t>Lo anterior sin perjuicio de las restricciones previstas en el artículo 33 de la Ley de Garantías durante el periodo preelectoral de las elecciones presidenciales para los procesos no competitivos</w:t>
            </w:r>
            <w:r w:rsidRPr="001F4636">
              <w:rPr>
                <w:rFonts w:ascii="Verdana" w:eastAsia="Calibri" w:hAnsi="Verdana" w:cs="Arial"/>
                <w:color w:val="000000" w:themeColor="text1"/>
              </w:rPr>
              <w:t>.</w:t>
            </w:r>
          </w:p>
          <w:p w14:paraId="13185EFF" w14:textId="77777777" w:rsidR="00B110F5" w:rsidRDefault="00B110F5" w:rsidP="00A841E3">
            <w:pPr>
              <w:spacing w:after="120" w:line="276" w:lineRule="auto"/>
              <w:ind w:firstLine="709"/>
              <w:jc w:val="both"/>
              <w:rPr>
                <w:rFonts w:ascii="Verdana" w:eastAsia="Calibri" w:hAnsi="Verdana" w:cs="Arial"/>
                <w:lang w:val="es-ES_tradnl"/>
              </w:rPr>
            </w:pPr>
            <w:r w:rsidRPr="00006A46">
              <w:rPr>
                <w:rFonts w:ascii="Verdana" w:eastAsia="Calibri" w:hAnsi="Verdana" w:cs="Arial"/>
                <w:lang w:val="es-ES_tradnl"/>
              </w:rPr>
              <w:lastRenderedPageBreak/>
              <w:t>Por ello, mientras se mantengan las condiciones señaladas en el reglamento autónomo, la Agencia estima que las modificaciones tendientes a aumentar la participación de ESAL son válidas</w:t>
            </w:r>
            <w:r>
              <w:rPr>
                <w:rFonts w:ascii="Verdana" w:eastAsia="Calibri" w:hAnsi="Verdana" w:cs="Arial"/>
                <w:lang w:val="es-ES_tradnl"/>
              </w:rPr>
              <w:t xml:space="preserve"> mientras</w:t>
            </w:r>
            <w:r w:rsidRPr="00006A46">
              <w:rPr>
                <w:rFonts w:ascii="Verdana" w:eastAsia="Calibri" w:hAnsi="Verdana" w:cs="Arial"/>
                <w:lang w:val="es-ES_tradnl"/>
              </w:rPr>
              <w:t xml:space="preserve"> se sig</w:t>
            </w:r>
            <w:r>
              <w:rPr>
                <w:rFonts w:ascii="Verdana" w:eastAsia="Calibri" w:hAnsi="Verdana" w:cs="Arial"/>
                <w:lang w:val="es-ES_tradnl"/>
              </w:rPr>
              <w:t>a</w:t>
            </w:r>
            <w:r w:rsidRPr="00006A46">
              <w:rPr>
                <w:rFonts w:ascii="Verdana" w:eastAsia="Calibri" w:hAnsi="Verdana" w:cs="Arial"/>
                <w:lang w:val="es-ES_tradnl"/>
              </w:rPr>
              <w:t>n cumpliendo las exigencias del artículo 5 del Decreto 092 de 2017 para la contratación directa. Sin embargo, se aclara que la modificación de los convenios no podrá realizarse en el sentido de reducir el aporte</w:t>
            </w:r>
            <w:r>
              <w:rPr>
                <w:rFonts w:ascii="Verdana" w:eastAsia="Calibri" w:hAnsi="Verdana" w:cs="Arial"/>
                <w:lang w:val="es-ES_tradnl"/>
              </w:rPr>
              <w:t xml:space="preserve"> en dinero</w:t>
            </w:r>
            <w:r w:rsidRPr="00006A46">
              <w:rPr>
                <w:rFonts w:ascii="Verdana" w:eastAsia="Calibri" w:hAnsi="Verdana" w:cs="Arial"/>
                <w:lang w:val="es-ES_tradnl"/>
              </w:rPr>
              <w:t xml:space="preserve"> a un porcentaje inferior al 30%: si las condiciones iniciales del negocio fundamentaban un procedimiento no competitivo, la variación posterior en el supuesto planteado afecta la libre concurrencia, especialmente, cuando debía estructurarse un proceso con pluralidad y concurrencia de los interesados desde el principio.</w:t>
            </w:r>
            <w:r>
              <w:rPr>
                <w:rFonts w:ascii="Verdana" w:eastAsia="Calibri" w:hAnsi="Verdana" w:cs="Arial"/>
                <w:lang w:val="es-ES_tradnl"/>
              </w:rPr>
              <w:t xml:space="preserve"> </w:t>
            </w:r>
          </w:p>
          <w:p w14:paraId="29010553" w14:textId="6B8F8541" w:rsidR="00B110F5" w:rsidRPr="00A76BF5" w:rsidRDefault="00B110F5" w:rsidP="00A841E3">
            <w:pPr>
              <w:spacing w:after="120" w:line="276" w:lineRule="auto"/>
              <w:ind w:firstLine="737"/>
              <w:jc w:val="both"/>
              <w:rPr>
                <w:rFonts w:ascii="Verdana" w:eastAsia="Times New Roman" w:hAnsi="Verdana" w:cs="Arial"/>
                <w:bCs/>
                <w:lang w:val="es-MX" w:eastAsia="x-none"/>
              </w:rPr>
            </w:pPr>
            <w:r>
              <w:rPr>
                <w:rFonts w:ascii="Verdana" w:eastAsia="Calibri" w:hAnsi="Verdana" w:cs="Arial"/>
                <w:lang w:val="es-ES_tradnl"/>
              </w:rPr>
              <w:t>En consecuencia, la reducción de los aportes de la ESAL no puede realizarse de forma fráudenla para eludir los procesos competitivos, pues la contratación directa es excepcional y solo procede bajo los supuestos regulados en el decreto citado. Dicha modificación no solo implica un riesgo de investigaciones disciplinarias, sino también de tipicidad del delito de celebración de contratos sin cumplimiento de los requisitos legales en los términos del artículo 410 de la Ley 599 de 2000.</w:t>
            </w:r>
          </w:p>
          <w:p w14:paraId="27360CD5" w14:textId="77777777" w:rsidR="00B110F5" w:rsidRPr="001941FD" w:rsidRDefault="00B110F5" w:rsidP="00A841E3">
            <w:pPr>
              <w:spacing w:line="276" w:lineRule="auto"/>
              <w:ind w:right="51" w:firstLine="737"/>
              <w:jc w:val="both"/>
              <w:rPr>
                <w:rFonts w:ascii="Verdana" w:eastAsia="Calibri" w:hAnsi="Verdana" w:cs="Arial"/>
                <w:bCs/>
                <w:color w:val="000000" w:themeColor="text1"/>
              </w:rPr>
            </w:pPr>
            <w:r w:rsidRPr="00D10E3B">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40C316F8" w14:textId="77777777" w:rsidR="00B110F5" w:rsidRPr="00593A5F" w:rsidRDefault="00B110F5" w:rsidP="00B110F5">
      <w:pPr>
        <w:tabs>
          <w:tab w:val="left" w:pos="142"/>
          <w:tab w:val="left" w:pos="284"/>
        </w:tabs>
        <w:spacing w:after="0" w:line="276" w:lineRule="auto"/>
        <w:jc w:val="both"/>
        <w:rPr>
          <w:rFonts w:ascii="Verdana" w:eastAsia="Century Gothic" w:hAnsi="Verdana" w:cs="Century Gothic"/>
          <w:b/>
          <w:bCs/>
          <w:lang w:val="es-ES"/>
        </w:rPr>
      </w:pPr>
    </w:p>
    <w:bookmarkEnd w:id="2"/>
    <w:p w14:paraId="1754FC3E" w14:textId="77777777" w:rsidR="00B110F5" w:rsidRPr="00593A5F" w:rsidRDefault="00B110F5" w:rsidP="00B110F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25D8953" w14:textId="77777777" w:rsidR="00B110F5" w:rsidRPr="00593A5F" w:rsidRDefault="00B110F5" w:rsidP="00B110F5">
      <w:pPr>
        <w:spacing w:after="0" w:line="276" w:lineRule="auto"/>
        <w:jc w:val="both"/>
        <w:rPr>
          <w:rFonts w:ascii="Verdana" w:eastAsia="Calibri" w:hAnsi="Verdana" w:cs="Arial"/>
          <w:color w:val="7030A0"/>
          <w:lang w:val="es-ES"/>
        </w:rPr>
      </w:pPr>
    </w:p>
    <w:p w14:paraId="496A14D6" w14:textId="77777777" w:rsidR="00B110F5" w:rsidRDefault="00B110F5" w:rsidP="00B110F5">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5AE2DDD" w14:textId="77777777" w:rsidR="00B110F5" w:rsidRDefault="00B110F5" w:rsidP="00B110F5">
      <w:pPr>
        <w:spacing w:after="0" w:line="276" w:lineRule="auto"/>
        <w:jc w:val="both"/>
        <w:rPr>
          <w:rFonts w:ascii="Verdana" w:eastAsia="Calibri" w:hAnsi="Verdana" w:cs="Arial"/>
          <w:lang w:val="es-ES"/>
        </w:rPr>
      </w:pPr>
    </w:p>
    <w:p w14:paraId="06221BC7" w14:textId="77777777" w:rsidR="00B110F5" w:rsidRPr="0063743B" w:rsidRDefault="00B110F5" w:rsidP="00B110F5">
      <w:pPr>
        <w:spacing w:line="276" w:lineRule="auto"/>
        <w:jc w:val="both"/>
        <w:rPr>
          <w:rFonts w:ascii="Verdana" w:eastAsia="Calibri" w:hAnsi="Verdana" w:cs="Arial"/>
          <w:bCs/>
          <w:lang w:val="es-ES_tradnl"/>
        </w:rPr>
      </w:pPr>
      <w:r w:rsidRPr="0063743B">
        <w:rPr>
          <w:rFonts w:ascii="Verdana" w:eastAsia="Calibri" w:hAnsi="Verdana" w:cs="Arial"/>
          <w:bCs/>
          <w:lang w:val="es-ES_tradnl"/>
        </w:rPr>
        <w:t xml:space="preserve">El artículo 355 de la Constitución Política prohíbe a las ramas y órganos del poder público decretar auxilios o donaciones en favor de personas naturales o jurídicas. Igualmente, establece que las entidades del orden nacional, departamental, </w:t>
      </w:r>
      <w:r w:rsidRPr="0063743B">
        <w:rPr>
          <w:rFonts w:ascii="Verdana" w:eastAsia="Calibri" w:hAnsi="Verdana" w:cs="Arial"/>
          <w:bCs/>
          <w:lang w:val="es-ES_tradnl"/>
        </w:rPr>
        <w:lastRenderedPageBreak/>
        <w:t>distrital y municipal podrán, con sus propios recursos, contratar con ESAL con el fin de impulsar programas y actividades de interés público acordes con el plan nacional y los planes seccionales de desarrollo</w:t>
      </w:r>
      <w:r w:rsidRPr="0063743B">
        <w:rPr>
          <w:rStyle w:val="Refdenotaalpie"/>
          <w:rFonts w:ascii="Verdana" w:hAnsi="Verdana" w:cs="Arial"/>
        </w:rPr>
        <w:footnoteReference w:id="1"/>
      </w:r>
      <w:r w:rsidRPr="0063743B">
        <w:rPr>
          <w:rFonts w:ascii="Verdana" w:eastAsia="Calibri" w:hAnsi="Verdana" w:cs="Arial"/>
          <w:bCs/>
          <w:lang w:val="es-ES_tradnl"/>
        </w:rPr>
        <w:t>. Por otra parte, el artículo 96 de la Ley 489 de 1998 permite a las entidades públicas en general, es decir, cualquiera sea su naturaleza y orden administrativo, asociarse con personas jurídicas particulares, mediante la celebración de convenios de asociación o la creación de personas jurídicas</w:t>
      </w:r>
      <w:r w:rsidRPr="0063743B">
        <w:rPr>
          <w:rStyle w:val="Refdenotaalpie"/>
          <w:rFonts w:ascii="Verdana" w:eastAsia="Calibri" w:hAnsi="Verdana" w:cs="Arial"/>
          <w:bCs/>
          <w:lang w:val="es-ES_tradnl"/>
        </w:rPr>
        <w:footnoteReference w:id="2"/>
      </w:r>
      <w:r w:rsidRPr="0063743B">
        <w:rPr>
          <w:rFonts w:ascii="Verdana" w:eastAsia="Calibri" w:hAnsi="Verdana" w:cs="Arial"/>
          <w:bCs/>
          <w:lang w:val="es-ES_tradnl"/>
        </w:rPr>
        <w:t>. Ambas figuras tienen como fin desarrollar conjuntamente actividades relacionadas con los cometidos y funciones legales asignadas a la entidad.</w:t>
      </w:r>
      <w:r>
        <w:rPr>
          <w:rFonts w:ascii="Verdana" w:eastAsia="Calibri" w:hAnsi="Verdana" w:cs="Arial"/>
          <w:bCs/>
          <w:lang w:val="es-ES_tradnl"/>
        </w:rPr>
        <w:t xml:space="preserve"> Por lo demás, al utilizar el verbo “podrán”, el ordenamiento deja claro su naturaleza potestativa, ya que no existe norma que obligue a su celebración.</w:t>
      </w:r>
    </w:p>
    <w:p w14:paraId="65906660" w14:textId="77777777" w:rsidR="00B110F5" w:rsidRPr="0063743B" w:rsidRDefault="00B110F5" w:rsidP="00B110F5">
      <w:pPr>
        <w:spacing w:before="120" w:after="120" w:line="276" w:lineRule="auto"/>
        <w:ind w:firstLine="709"/>
        <w:jc w:val="both"/>
        <w:rPr>
          <w:rFonts w:ascii="Verdana" w:eastAsia="Calibri" w:hAnsi="Verdana" w:cs="Arial"/>
          <w:lang w:val="es-ES"/>
        </w:rPr>
      </w:pPr>
      <w:bookmarkStart w:id="4" w:name="_Hlk38819155"/>
      <w:r>
        <w:rPr>
          <w:rFonts w:ascii="Verdana" w:eastAsia="Calibri" w:hAnsi="Verdana" w:cs="Arial"/>
          <w:lang w:val="es-ES"/>
        </w:rPr>
        <w:t>Cuando las entidades definan suscribirlos, e</w:t>
      </w:r>
      <w:r w:rsidRPr="0063743B">
        <w:rPr>
          <w:rFonts w:ascii="Verdana" w:eastAsia="Calibri" w:hAnsi="Verdana" w:cs="Arial"/>
          <w:lang w:val="es-ES"/>
        </w:rPr>
        <w:t xml:space="preserv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63743B">
        <w:rPr>
          <w:rFonts w:ascii="Verdana" w:eastAsia="Calibri" w:hAnsi="Verdana" w:cs="Arial"/>
          <w:lang w:val="es-ES"/>
        </w:rPr>
        <w:t>ii</w:t>
      </w:r>
      <w:proofErr w:type="spellEnd"/>
      <w:r w:rsidRPr="0063743B">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bookmarkEnd w:id="4"/>
    </w:p>
    <w:p w14:paraId="6FB45CD8" w14:textId="77777777" w:rsidR="00B110F5" w:rsidRPr="0063743B" w:rsidRDefault="00B110F5" w:rsidP="00B110F5">
      <w:pPr>
        <w:spacing w:before="120" w:after="120" w:line="276" w:lineRule="auto"/>
        <w:ind w:firstLine="709"/>
        <w:jc w:val="both"/>
        <w:rPr>
          <w:rFonts w:ascii="Verdana" w:eastAsia="Calibri" w:hAnsi="Verdana" w:cs="Arial"/>
          <w:lang w:val="es-ES"/>
        </w:rPr>
      </w:pPr>
      <w:bookmarkStart w:id="5" w:name="_Hlk95756032"/>
      <w:r w:rsidRPr="0063743B">
        <w:rPr>
          <w:rFonts w:ascii="Verdana" w:eastAsia="Calibri" w:hAnsi="Verdana" w:cs="Arial"/>
          <w:lang w:val="es-ES"/>
        </w:rPr>
        <w:t xml:space="preserve">Los </w:t>
      </w:r>
      <w:r w:rsidRPr="0063743B">
        <w:rPr>
          <w:rFonts w:ascii="Verdana" w:eastAsia="Calibri" w:hAnsi="Verdana" w:cs="Arial"/>
          <w:i/>
          <w:iCs/>
          <w:lang w:val="es-ES"/>
        </w:rPr>
        <w:t>contratos del artículo 355 de la Constitución Política</w:t>
      </w:r>
      <w:r w:rsidRPr="0063743B">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 </w:t>
      </w:r>
      <w:r w:rsidRPr="0063743B">
        <w:rPr>
          <w:rFonts w:ascii="Verdana" w:eastAsia="Calibri" w:hAnsi="Verdana" w:cs="Arial"/>
          <w:lang w:val="es-ES"/>
        </w:rPr>
        <w:lastRenderedPageBreak/>
        <w:t xml:space="preserve">En particular, debe verificar el cumplimiento de los siguientes requisitos: i) que el objeto del contrato corresponda a programas y actividades de interés público acordes con el Plan Nacional o Seccional de Desarrollo; y </w:t>
      </w:r>
      <w:proofErr w:type="spellStart"/>
      <w:r w:rsidRPr="0063743B">
        <w:rPr>
          <w:rFonts w:ascii="Verdana" w:eastAsia="Calibri" w:hAnsi="Verdana" w:cs="Arial"/>
          <w:lang w:val="es-ES"/>
        </w:rPr>
        <w:t>ii</w:t>
      </w:r>
      <w:proofErr w:type="spellEnd"/>
      <w:r w:rsidRPr="0063743B">
        <w:rPr>
          <w:rFonts w:ascii="Verdana" w:eastAsia="Calibri" w:hAnsi="Verdana" w:cs="Arial"/>
          <w:lang w:val="es-ES"/>
        </w:rPr>
        <w:t>) que no haya una contraprestación directa a favor de la entidad estatal, es decir, que el programa o actividad a desarrollar este dirigida al beneficio de la población en general, ya que cuando se adquieren bienes o servicios o se ejecutan obras en una relación conmutativa, las normas aplicables son las del Estatuto General de Contratación. Solo cuando se reúnan estas condiciones es procedente celebrar contratos del artículo 355 de la Constitución Política; de lo contrario, se aplicarán las normas del Estatuto General de Contratación de la Administración Pública.</w:t>
      </w:r>
    </w:p>
    <w:bookmarkEnd w:id="5"/>
    <w:p w14:paraId="755AC0DA" w14:textId="77777777" w:rsidR="00B110F5" w:rsidRPr="0063743B" w:rsidRDefault="00B110F5" w:rsidP="00B110F5">
      <w:pPr>
        <w:spacing w:before="120" w:after="120" w:line="276" w:lineRule="auto"/>
        <w:ind w:firstLine="709"/>
        <w:jc w:val="both"/>
        <w:rPr>
          <w:rFonts w:ascii="Verdana" w:eastAsia="Calibri" w:hAnsi="Verdana" w:cs="Arial"/>
          <w:bCs/>
          <w:lang w:val="es-ES_tradnl"/>
        </w:rPr>
      </w:pPr>
      <w:r w:rsidRPr="0063743B">
        <w:rPr>
          <w:rFonts w:ascii="Verdana" w:eastAsia="Calibri" w:hAnsi="Verdana" w:cs="Arial"/>
          <w:bCs/>
          <w:lang w:val="es-ES_tradnl"/>
        </w:rPr>
        <w:t xml:space="preserve">De otro lado, los </w:t>
      </w:r>
      <w:r w:rsidRPr="0063743B">
        <w:rPr>
          <w:rFonts w:ascii="Verdana" w:eastAsia="Calibri" w:hAnsi="Verdana" w:cs="Arial"/>
          <w:bCs/>
          <w:i/>
          <w:lang w:val="es-ES_tradnl"/>
        </w:rPr>
        <w:t>convenios de asociación</w:t>
      </w:r>
      <w:r w:rsidRPr="0063743B">
        <w:rPr>
          <w:rFonts w:ascii="Verdana" w:eastAsia="Calibri" w:hAnsi="Verdana" w:cs="Arial"/>
          <w:bCs/>
          <w:lang w:val="es-ES_tradnl"/>
        </w:rPr>
        <w:t xml:space="preserve"> “[t]</w:t>
      </w:r>
      <w:proofErr w:type="spellStart"/>
      <w:r w:rsidRPr="0063743B">
        <w:rPr>
          <w:rFonts w:ascii="Verdana" w:eastAsia="Calibri" w:hAnsi="Verdana" w:cs="Arial"/>
          <w:bCs/>
          <w:lang w:val="es-ES_tradnl"/>
        </w:rPr>
        <w:t>ienen</w:t>
      </w:r>
      <w:proofErr w:type="spellEnd"/>
      <w:r w:rsidRPr="0063743B">
        <w:rPr>
          <w:rFonts w:ascii="Verdana" w:eastAsia="Calibri" w:hAnsi="Verdana" w:cs="Arial"/>
          <w:bCs/>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63743B">
        <w:rPr>
          <w:rStyle w:val="Refdenotaalpie"/>
          <w:rFonts w:ascii="Verdana" w:hAnsi="Verdana" w:cs="Arial"/>
        </w:rPr>
        <w:footnoteReference w:id="3"/>
      </w:r>
      <w:r w:rsidRPr="0063743B">
        <w:rPr>
          <w:rFonts w:ascii="Verdana" w:eastAsia="Calibri" w:hAnsi="Verdana" w:cs="Arial"/>
          <w:bCs/>
          <w:lang w:val="es-ES_tradnl"/>
        </w:rPr>
        <w:t>.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w:t>
      </w:r>
      <w:r>
        <w:rPr>
          <w:rFonts w:ascii="Verdana" w:eastAsia="Calibri" w:hAnsi="Verdana" w:cs="Arial"/>
          <w:bCs/>
          <w:lang w:val="es-ES_tradnl"/>
        </w:rPr>
        <w:t xml:space="preserve"> </w:t>
      </w:r>
      <w:r w:rsidRPr="0063743B">
        <w:rPr>
          <w:rFonts w:ascii="Verdana" w:eastAsia="Calibri" w:hAnsi="Verdana" w:cs="Arial"/>
          <w:bCs/>
          <w:lang w:val="es-ES_tradnl"/>
        </w:rPr>
        <w:t>y</w:t>
      </w:r>
      <w:r>
        <w:rPr>
          <w:rFonts w:ascii="Verdana" w:eastAsia="Calibri" w:hAnsi="Verdana" w:cs="Arial"/>
          <w:bCs/>
          <w:lang w:val="es-ES_tradnl"/>
        </w:rPr>
        <w:t>,</w:t>
      </w:r>
      <w:r w:rsidRPr="0063743B">
        <w:rPr>
          <w:rFonts w:ascii="Verdana" w:eastAsia="Calibri" w:hAnsi="Verdana" w:cs="Arial"/>
          <w:bCs/>
          <w:lang w:val="es-ES_tradnl"/>
        </w:rPr>
        <w:t xml:space="preserve"> por tanto, la entidad no instruye al contratista para desarrollar los programas o actividades previstas, sino que se asocia con él para el cumplimiento de objetivos comunes</w:t>
      </w:r>
      <w:r w:rsidRPr="0063743B">
        <w:rPr>
          <w:rStyle w:val="Refdenotaalpie"/>
          <w:rFonts w:ascii="Verdana" w:hAnsi="Verdana" w:cs="Arial"/>
        </w:rPr>
        <w:footnoteReference w:id="4"/>
      </w:r>
      <w:r w:rsidRPr="0063743B">
        <w:rPr>
          <w:rFonts w:ascii="Verdana" w:eastAsia="Calibri" w:hAnsi="Verdana" w:cs="Arial"/>
          <w:bCs/>
          <w:lang w:val="es-ES_tradnl"/>
        </w:rPr>
        <w:t>.</w:t>
      </w:r>
    </w:p>
    <w:p w14:paraId="35A56B19" w14:textId="77777777" w:rsidR="00B110F5" w:rsidRDefault="00B110F5" w:rsidP="00B110F5">
      <w:pPr>
        <w:spacing w:before="120" w:after="120" w:line="276" w:lineRule="auto"/>
        <w:ind w:firstLine="709"/>
        <w:jc w:val="both"/>
        <w:rPr>
          <w:rFonts w:ascii="Verdana" w:eastAsia="Calibri" w:hAnsi="Verdana" w:cs="Arial"/>
          <w:bCs/>
        </w:rPr>
      </w:pPr>
      <w:r w:rsidRPr="0063743B">
        <w:rPr>
          <w:rFonts w:ascii="Verdana" w:eastAsia="Calibri" w:hAnsi="Verdana" w:cs="Arial"/>
          <w:bCs/>
          <w:lang w:val="es-ES_tradnl"/>
        </w:rPr>
        <w:t>La normativa vigente no impide que varias entidades suscriban conjuntamente el convenio de asociación y tampoco que dos o más ESAL pueden hacerlo, a través de las figuras asociativas autorizadas por la ley, por ejemplo, como unión temporal o como consorcio</w:t>
      </w:r>
      <w:r w:rsidRPr="0063743B">
        <w:rPr>
          <w:rFonts w:ascii="Verdana" w:eastAsia="Calibri" w:hAnsi="Verdana" w:cs="Arial"/>
          <w:bCs/>
        </w:rPr>
        <w:t xml:space="preserve">. </w:t>
      </w:r>
      <w:r>
        <w:rPr>
          <w:rFonts w:ascii="Verdana" w:eastAsia="Calibri" w:hAnsi="Verdana" w:cs="Arial"/>
          <w:bCs/>
        </w:rPr>
        <w:t>Por un lado</w:t>
      </w:r>
      <w:r w:rsidRPr="0063743B">
        <w:rPr>
          <w:rFonts w:ascii="Verdana" w:eastAsia="Calibri" w:hAnsi="Verdana" w:cs="Arial"/>
          <w:bCs/>
        </w:rPr>
        <w:t>,</w:t>
      </w:r>
      <w:r>
        <w:rPr>
          <w:rFonts w:ascii="Verdana" w:eastAsia="Calibri" w:hAnsi="Verdana" w:cs="Arial"/>
          <w:bCs/>
        </w:rPr>
        <w:t xml:space="preserve"> al enfocarse en sujetos determinados, es necesario que todos los integrantes de la estructura plural sean entidades sin ánimo de lucro, ya que este régimen no fue diseñado para contratar con sociedades comerciales u otras entidades públicas.</w:t>
      </w:r>
      <w:r w:rsidRPr="0063743B">
        <w:rPr>
          <w:rFonts w:ascii="Verdana" w:eastAsia="Calibri" w:hAnsi="Verdana" w:cs="Arial"/>
          <w:bCs/>
        </w:rPr>
        <w:t xml:space="preserve"> </w:t>
      </w:r>
      <w:r>
        <w:rPr>
          <w:rFonts w:ascii="Verdana" w:eastAsia="Calibri" w:hAnsi="Verdana" w:cs="Arial"/>
          <w:bCs/>
        </w:rPr>
        <w:t xml:space="preserve">Por otra parte, </w:t>
      </w:r>
      <w:r w:rsidRPr="0063743B">
        <w:rPr>
          <w:rFonts w:ascii="Verdana" w:eastAsia="Calibri" w:hAnsi="Verdana" w:cs="Arial"/>
          <w:bCs/>
        </w:rPr>
        <w:t xml:space="preserve">como el artículo 96 de la Ley 489 de 1998 determina que el convenio busca el desarrollo conjunto de actividades en relación con los cometidos y funciones que la ley les asigna a las entidades estatales, lo cierto es que las funciones legales </w:t>
      </w:r>
      <w:r w:rsidRPr="0063743B">
        <w:rPr>
          <w:rFonts w:ascii="Verdana" w:eastAsia="Calibri" w:hAnsi="Verdana" w:cs="Arial"/>
          <w:bCs/>
        </w:rPr>
        <w:lastRenderedPageBreak/>
        <w:t xml:space="preserve">de las entidades estatales que suscriben conjuntamente el convenio deben coincidir. </w:t>
      </w:r>
    </w:p>
    <w:p w14:paraId="260A7A52" w14:textId="77777777" w:rsidR="00B110F5" w:rsidRPr="0063743B" w:rsidRDefault="00B110F5" w:rsidP="00B110F5">
      <w:pPr>
        <w:spacing w:before="120" w:after="120" w:line="276" w:lineRule="auto"/>
        <w:ind w:firstLine="709"/>
        <w:jc w:val="both"/>
        <w:rPr>
          <w:rFonts w:ascii="Verdana" w:eastAsia="Calibri" w:hAnsi="Verdana" w:cs="Arial"/>
          <w:bCs/>
        </w:rPr>
      </w:pPr>
      <w:r w:rsidRPr="0063743B">
        <w:rPr>
          <w:rFonts w:ascii="Verdana" w:eastAsia="Calibri" w:hAnsi="Verdana" w:cs="Arial"/>
          <w:bCs/>
        </w:rPr>
        <w:t>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r>
        <w:rPr>
          <w:rFonts w:ascii="Verdana" w:eastAsia="Calibri" w:hAnsi="Verdana" w:cs="Arial"/>
          <w:bCs/>
        </w:rPr>
        <w:t xml:space="preserve"> Ello no obsta para que puedan realizarse aportes en especie bajo la consideración de que éstos no inciden en la modalidad de selección aplicable.</w:t>
      </w:r>
    </w:p>
    <w:p w14:paraId="7B036644" w14:textId="77777777" w:rsidR="00B110F5" w:rsidRPr="0063743B" w:rsidRDefault="00B110F5" w:rsidP="00B110F5">
      <w:pPr>
        <w:spacing w:before="120" w:after="120" w:line="276" w:lineRule="auto"/>
        <w:ind w:firstLine="709"/>
        <w:jc w:val="both"/>
        <w:rPr>
          <w:rFonts w:ascii="Verdana" w:hAnsi="Verdana"/>
        </w:rPr>
      </w:pPr>
      <w:r w:rsidRPr="0063743B">
        <w:rPr>
          <w:rFonts w:ascii="Verdana" w:hAnsi="Verdana" w:cs="Arial"/>
          <w:color w:val="000000" w:themeColor="text1"/>
        </w:rPr>
        <w:t xml:space="preserve">La noción “seleccionar de forma objetiva”, contenida en la disposición </w:t>
      </w:r>
      <w:r w:rsidRPr="0063743B">
        <w:rPr>
          <w:rFonts w:ascii="Verdana" w:hAnsi="Verdana" w:cs="Arial"/>
          <w:i/>
          <w:iCs/>
          <w:color w:val="000000" w:themeColor="text1"/>
        </w:rPr>
        <w:t xml:space="preserve">sub examine </w:t>
      </w:r>
      <w:r w:rsidRPr="0063743B">
        <w:rPr>
          <w:rFonts w:ascii="Verdana" w:hAnsi="Verdana" w:cs="Arial"/>
          <w:color w:val="000000" w:themeColor="text1"/>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ello, la entidad puede tomar la decisión de acudir a los procesos de selección de contratistas que establece el Estatuto General de Contratación de la Administración Pública o, incluso, al trámite que regula el inciso 2 del artículo 2 del Decreto 092 de 2017.</w:t>
      </w:r>
    </w:p>
    <w:p w14:paraId="4C772DAC" w14:textId="77777777" w:rsidR="00B110F5" w:rsidRPr="0063743B" w:rsidRDefault="00B110F5" w:rsidP="00B110F5">
      <w:pPr>
        <w:pStyle w:val="Sinespaciado"/>
        <w:spacing w:line="276" w:lineRule="auto"/>
        <w:ind w:firstLine="708"/>
        <w:jc w:val="both"/>
        <w:rPr>
          <w:rFonts w:ascii="Verdana" w:hAnsi="Verdana" w:cs="Arial"/>
          <w:color w:val="000000" w:themeColor="text1"/>
          <w:sz w:val="22"/>
        </w:rPr>
      </w:pPr>
      <w:r w:rsidRPr="0063743B">
        <w:rPr>
          <w:rFonts w:ascii="Verdana" w:hAnsi="Verdana" w:cs="Arial"/>
          <w:color w:val="000000" w:themeColor="text1"/>
          <w:sz w:val="22"/>
        </w:rPr>
        <w:t xml:space="preserve">Es importante aclarar que los negocios jurídicos que regula el Decreto 092 de 2017 “[…] son esencialmente distintos a los contratos para la adquisición y aprovisionamiento de bienes, obras o servicios regulados por el estatuto de contratación y[, como tal,] no hacen parte del sistema de compra pública. […] De acuerdo con lo anterior, si la entidad estatal adquiere o se abastece de un bien, obra o servicio en un contrato conmutativo en el cual el proveedor es una [ESAL], debe aplicar el régimen contenido en las Leyes 80 de 1993 y 1150 de </w:t>
      </w:r>
      <w:r w:rsidRPr="0063743B">
        <w:rPr>
          <w:rFonts w:ascii="Verdana" w:hAnsi="Verdana" w:cs="Arial"/>
          <w:color w:val="000000" w:themeColor="text1"/>
          <w:sz w:val="22"/>
        </w:rPr>
        <w:lastRenderedPageBreak/>
        <w:t>2007, y no el Decreto 092 de 2017”</w:t>
      </w:r>
      <w:r w:rsidRPr="0063743B">
        <w:rPr>
          <w:rStyle w:val="Refdenotaalpie"/>
          <w:rFonts w:ascii="Verdana" w:hAnsi="Verdana" w:cs="Arial"/>
          <w:color w:val="000000" w:themeColor="text1"/>
          <w:sz w:val="22"/>
        </w:rPr>
        <w:footnoteReference w:id="5"/>
      </w:r>
      <w:r w:rsidRPr="0063743B">
        <w:rPr>
          <w:rFonts w:ascii="Verdana" w:hAnsi="Verdana" w:cs="Arial"/>
          <w:color w:val="000000" w:themeColor="text1"/>
          <w:sz w:val="22"/>
        </w:rPr>
        <w:t>. Así lo consideró la Sala de Consulta y Servicio Civil del Consejo de Estado:</w:t>
      </w:r>
    </w:p>
    <w:p w14:paraId="131FF9C7" w14:textId="77777777" w:rsidR="00B110F5" w:rsidRPr="0063743B" w:rsidRDefault="00B110F5" w:rsidP="00B110F5">
      <w:pPr>
        <w:pStyle w:val="Sinespaciado"/>
        <w:spacing w:line="276" w:lineRule="auto"/>
        <w:jc w:val="both"/>
        <w:rPr>
          <w:rFonts w:ascii="Verdana" w:hAnsi="Verdana" w:cs="Arial"/>
          <w:color w:val="000000" w:themeColor="text1"/>
          <w:sz w:val="22"/>
        </w:rPr>
      </w:pPr>
    </w:p>
    <w:p w14:paraId="4CBDF60C" w14:textId="77777777" w:rsidR="00B110F5" w:rsidRPr="00EF1548" w:rsidRDefault="00B110F5" w:rsidP="00B110F5">
      <w:pPr>
        <w:spacing w:line="240" w:lineRule="auto"/>
        <w:ind w:left="709" w:right="709"/>
        <w:jc w:val="both"/>
        <w:rPr>
          <w:rFonts w:ascii="Verdana" w:eastAsia="Calibri" w:hAnsi="Verdana" w:cs="Arial"/>
          <w:color w:val="000000" w:themeColor="text1"/>
          <w:sz w:val="20"/>
          <w:szCs w:val="20"/>
        </w:rPr>
      </w:pPr>
      <w:r w:rsidRPr="00EF1548">
        <w:rPr>
          <w:rFonts w:ascii="Verdana" w:eastAsia="Calibri" w:hAnsi="Verdana" w:cs="Arial"/>
          <w:color w:val="000000" w:themeColor="text1"/>
          <w:sz w:val="20"/>
          <w:szCs w:val="20"/>
        </w:rPr>
        <w:t>“Como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y por lo tanto, se tipifican dentro de cualquiera de las modalidades de contratación de la ley 80 de 1.993, debiendo sujetarse a los procedimientos allí previstos, en especial los de escogencia del contratista.</w:t>
      </w:r>
    </w:p>
    <w:p w14:paraId="2E951163" w14:textId="77777777" w:rsidR="00B110F5" w:rsidRPr="00EF1548" w:rsidRDefault="00B110F5" w:rsidP="00B110F5">
      <w:pPr>
        <w:spacing w:after="0" w:line="240" w:lineRule="auto"/>
        <w:ind w:left="708" w:right="709"/>
        <w:jc w:val="both"/>
        <w:rPr>
          <w:rFonts w:ascii="Verdana" w:eastAsia="Calibri" w:hAnsi="Verdana" w:cs="Arial"/>
          <w:color w:val="000000" w:themeColor="text1"/>
          <w:sz w:val="20"/>
          <w:szCs w:val="20"/>
        </w:rPr>
      </w:pPr>
      <w:r w:rsidRPr="00EF1548">
        <w:rPr>
          <w:rFonts w:ascii="Verdana" w:eastAsia="Calibri" w:hAnsi="Verdana" w:cs="Arial"/>
          <w:color w:val="000000" w:themeColor="text1"/>
          <w:sz w:val="20"/>
          <w:szCs w:val="20"/>
        </w:rPr>
        <w:t>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sería por ejemplo, contratos de prestación de servicios o de obra pública”</w:t>
      </w:r>
      <w:r w:rsidRPr="00EF1548">
        <w:rPr>
          <w:rStyle w:val="Refdenotaalpie"/>
          <w:rFonts w:ascii="Verdana" w:hAnsi="Verdana" w:cs="Arial"/>
          <w:color w:val="000000" w:themeColor="text1"/>
          <w:sz w:val="20"/>
          <w:szCs w:val="20"/>
        </w:rPr>
        <w:t xml:space="preserve"> </w:t>
      </w:r>
      <w:r w:rsidRPr="00EF1548">
        <w:rPr>
          <w:rStyle w:val="Refdenotaalpie"/>
          <w:rFonts w:ascii="Verdana" w:hAnsi="Verdana" w:cs="Arial"/>
          <w:color w:val="000000" w:themeColor="text1"/>
          <w:sz w:val="20"/>
          <w:szCs w:val="20"/>
        </w:rPr>
        <w:footnoteReference w:id="6"/>
      </w:r>
      <w:r w:rsidRPr="00EF1548">
        <w:rPr>
          <w:rFonts w:ascii="Verdana" w:eastAsia="Calibri" w:hAnsi="Verdana" w:cs="Arial"/>
          <w:color w:val="000000" w:themeColor="text1"/>
          <w:sz w:val="20"/>
          <w:szCs w:val="20"/>
        </w:rPr>
        <w:t>.</w:t>
      </w:r>
    </w:p>
    <w:p w14:paraId="27C8D371" w14:textId="77777777" w:rsidR="00B110F5" w:rsidRPr="0063743B" w:rsidRDefault="00B110F5" w:rsidP="00B110F5">
      <w:pPr>
        <w:spacing w:after="0" w:line="276" w:lineRule="auto"/>
        <w:ind w:firstLine="708"/>
        <w:jc w:val="both"/>
        <w:rPr>
          <w:rFonts w:ascii="Verdana" w:eastAsia="Calibri" w:hAnsi="Verdana" w:cs="Arial"/>
          <w:color w:val="000000" w:themeColor="text1"/>
        </w:rPr>
      </w:pPr>
      <w:bookmarkStart w:id="6" w:name="_Hlk95756200"/>
    </w:p>
    <w:p w14:paraId="5E644CAC" w14:textId="77777777" w:rsidR="00B110F5" w:rsidRPr="0063743B" w:rsidRDefault="00B110F5" w:rsidP="00B110F5">
      <w:pPr>
        <w:spacing w:after="0" w:line="276" w:lineRule="auto"/>
        <w:ind w:firstLine="708"/>
        <w:jc w:val="both"/>
        <w:rPr>
          <w:rFonts w:ascii="Verdana" w:eastAsia="Calibri" w:hAnsi="Verdana" w:cs="Arial"/>
          <w:color w:val="000000" w:themeColor="text1"/>
        </w:rPr>
      </w:pPr>
      <w:r w:rsidRPr="0063743B">
        <w:rPr>
          <w:rFonts w:ascii="Verdana" w:eastAsia="Calibri" w:hAnsi="Verdana" w:cs="Arial"/>
          <w:color w:val="000000" w:themeColor="text1"/>
        </w:rPr>
        <w:t xml:space="preserve">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 </w:t>
      </w:r>
      <w:bookmarkEnd w:id="6"/>
      <w:r w:rsidRPr="0063743B">
        <w:rPr>
          <w:rFonts w:ascii="Verdana" w:eastAsia="Calibri" w:hAnsi="Verdana" w:cs="Arial"/>
          <w:color w:val="000000" w:themeColor="text1"/>
        </w:rPr>
        <w:t>Así lo reconoció la Corte Constitucional en la sentencia C-287 del 18 de abril de 2012, en la que sostuvo lo siguiente:</w:t>
      </w:r>
    </w:p>
    <w:p w14:paraId="48DE4C48" w14:textId="77777777" w:rsidR="00B110F5" w:rsidRPr="0063743B" w:rsidRDefault="00B110F5" w:rsidP="00B110F5">
      <w:pPr>
        <w:spacing w:after="0" w:line="276" w:lineRule="auto"/>
        <w:ind w:firstLine="708"/>
        <w:jc w:val="both"/>
        <w:rPr>
          <w:rFonts w:ascii="Verdana" w:eastAsia="Calibri" w:hAnsi="Verdana" w:cs="Arial"/>
          <w:color w:val="000000" w:themeColor="text1"/>
        </w:rPr>
      </w:pPr>
    </w:p>
    <w:p w14:paraId="13215248" w14:textId="77777777" w:rsidR="00B110F5" w:rsidRPr="00EF1548" w:rsidRDefault="00B110F5" w:rsidP="00B110F5">
      <w:pPr>
        <w:spacing w:line="240" w:lineRule="auto"/>
        <w:ind w:left="709" w:right="709"/>
        <w:jc w:val="both"/>
        <w:rPr>
          <w:rFonts w:ascii="Verdana" w:eastAsia="Calibri" w:hAnsi="Verdana" w:cs="Arial"/>
          <w:color w:val="000000" w:themeColor="text1"/>
          <w:sz w:val="20"/>
          <w:szCs w:val="20"/>
        </w:rPr>
      </w:pPr>
      <w:r w:rsidRPr="00EF1548">
        <w:rPr>
          <w:rFonts w:ascii="Verdana" w:eastAsia="Calibri" w:hAnsi="Verdana" w:cs="Arial"/>
          <w:color w:val="000000" w:themeColor="text1"/>
          <w:sz w:val="20"/>
          <w:szCs w:val="20"/>
        </w:rPr>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005E4BC2" w14:textId="77777777" w:rsidR="00B110F5" w:rsidRPr="0063743B" w:rsidRDefault="00B110F5" w:rsidP="00B110F5">
      <w:pPr>
        <w:spacing w:after="0" w:line="240" w:lineRule="auto"/>
        <w:ind w:left="709" w:right="709"/>
        <w:jc w:val="both"/>
        <w:rPr>
          <w:rFonts w:ascii="Verdana" w:eastAsia="Calibri" w:hAnsi="Verdana" w:cs="Arial"/>
          <w:color w:val="000000" w:themeColor="text1"/>
          <w:sz w:val="21"/>
          <w:szCs w:val="21"/>
        </w:rPr>
      </w:pPr>
      <w:r w:rsidRPr="00EF1548">
        <w:rPr>
          <w:rFonts w:ascii="Verdana" w:eastAsia="Calibri" w:hAnsi="Verdana" w:cs="Arial"/>
          <w:i/>
          <w:iCs/>
          <w:color w:val="000000" w:themeColor="text1"/>
          <w:sz w:val="20"/>
          <w:szCs w:val="20"/>
        </w:rPr>
        <w:t xml:space="preserve">Sin embargo, el hecho que no persigan una finalidad lucrativa, no significa que no desarrollen actividades que generen utilidades, lo que pasa es que </w:t>
      </w:r>
      <w:r w:rsidRPr="00EF1548">
        <w:rPr>
          <w:rFonts w:ascii="Verdana" w:eastAsia="Calibri" w:hAnsi="Verdana" w:cs="Arial"/>
          <w:i/>
          <w:iCs/>
          <w:color w:val="000000" w:themeColor="text1"/>
          <w:sz w:val="20"/>
          <w:szCs w:val="20"/>
        </w:rPr>
        <w:lastRenderedPageBreak/>
        <w:t>a diferencia de las sociedades, el lucro o ganancia obtenida no se reparte entre sus miembros sino que se integra al patrimonio de la asociación para la obtención del fin deseado</w:t>
      </w:r>
      <w:r w:rsidRPr="00EF1548">
        <w:rPr>
          <w:rFonts w:ascii="Verdana" w:eastAsia="Calibri" w:hAnsi="Verdana" w:cs="Arial"/>
          <w:color w:val="000000" w:themeColor="text1"/>
          <w:sz w:val="20"/>
          <w:szCs w:val="20"/>
        </w:rPr>
        <w:t>.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 (Cursivas propias)</w:t>
      </w:r>
    </w:p>
    <w:p w14:paraId="3C8CFC69" w14:textId="77777777" w:rsidR="00B110F5" w:rsidRPr="0063743B" w:rsidRDefault="00B110F5" w:rsidP="00B110F5">
      <w:pPr>
        <w:spacing w:after="0" w:line="276" w:lineRule="auto"/>
        <w:ind w:firstLine="709"/>
        <w:jc w:val="both"/>
        <w:rPr>
          <w:rFonts w:ascii="Verdana" w:eastAsia="Calibri" w:hAnsi="Verdana" w:cs="Arial"/>
          <w:color w:val="000000" w:themeColor="text1"/>
        </w:rPr>
      </w:pPr>
    </w:p>
    <w:p w14:paraId="07BC2510" w14:textId="77777777" w:rsidR="00B110F5" w:rsidRDefault="00B110F5" w:rsidP="00B110F5">
      <w:pPr>
        <w:spacing w:after="0" w:line="276" w:lineRule="auto"/>
        <w:ind w:firstLine="709"/>
        <w:jc w:val="both"/>
        <w:rPr>
          <w:rFonts w:ascii="Verdana" w:eastAsia="Calibri" w:hAnsi="Verdana" w:cs="Arial"/>
          <w:color w:val="000000" w:themeColor="text1"/>
        </w:rPr>
      </w:pPr>
      <w:r w:rsidRPr="0063743B">
        <w:rPr>
          <w:rFonts w:ascii="Verdana" w:eastAsia="Calibri" w:hAnsi="Verdana" w:cs="Arial"/>
          <w:color w:val="000000" w:themeColor="text1"/>
        </w:rPr>
        <w:t>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proceso.</w:t>
      </w:r>
      <w:r>
        <w:rPr>
          <w:rFonts w:ascii="Verdana" w:eastAsia="Calibri" w:hAnsi="Verdana" w:cs="Arial"/>
          <w:color w:val="000000" w:themeColor="text1"/>
        </w:rPr>
        <w:t xml:space="preserve"> </w:t>
      </w:r>
      <w:r w:rsidRPr="0063743B">
        <w:rPr>
          <w:rFonts w:ascii="Verdana" w:eastAsia="Calibri" w:hAnsi="Verdana" w:cs="Arial"/>
          <w:color w:val="000000" w:themeColor="text1"/>
        </w:rPr>
        <w:t>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57E67B4D" w14:textId="77777777" w:rsidR="00B110F5" w:rsidRPr="001F4636" w:rsidRDefault="00B110F5" w:rsidP="00B110F5">
      <w:pPr>
        <w:spacing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El Consejo de Estado, en el Auto del 6 de agosto de 2019 de la Sección Tercera, Subsección A, radicado No. 11001-03-26-000-2018-00113-00 (62.003), Consejero Ponente Carlos Alberto Zambrano Barrera, estudió la solicitud de suspensión provisional del inciso 2 del artículo 1, literales a y c del artículo 2, inciso 5 del artículo 2, inciso 2 del artículo 3, inciso final del artículo 4 y artículo 5 del Decreto 092 de 2017</w:t>
      </w:r>
      <w:r w:rsidRPr="001F4636">
        <w:rPr>
          <w:rStyle w:val="Refdenotaalpie"/>
          <w:rFonts w:ascii="Verdana" w:eastAsia="Calibri" w:hAnsi="Verdana" w:cs="Arial"/>
          <w:color w:val="000000" w:themeColor="text1"/>
        </w:rPr>
        <w:footnoteReference w:id="7"/>
      </w:r>
      <w:r w:rsidRPr="001F4636">
        <w:rPr>
          <w:rFonts w:ascii="Verdana" w:eastAsia="Calibri" w:hAnsi="Verdana" w:cs="Arial"/>
          <w:color w:val="000000" w:themeColor="text1"/>
        </w:rPr>
        <w:t>. Cabe precisar que las decisiones adoptadas en el auto indicado fueron mantenidas en su mayoría en el Auto del 15 de marzo de 2022 de la Sala Plena del Consejo de Estado</w:t>
      </w:r>
      <w:r w:rsidRPr="001F4636">
        <w:rPr>
          <w:rFonts w:ascii="Verdana" w:eastAsia="Calibri" w:hAnsi="Verdana" w:cs="Arial"/>
          <w:color w:val="000000" w:themeColor="text1"/>
          <w:vertAlign w:val="superscript"/>
        </w:rPr>
        <w:footnoteReference w:id="8"/>
      </w:r>
      <w:r w:rsidRPr="001F4636">
        <w:rPr>
          <w:rFonts w:ascii="Verdana" w:eastAsia="Calibri" w:hAnsi="Verdana" w:cs="Arial"/>
          <w:color w:val="000000" w:themeColor="text1"/>
        </w:rPr>
        <w:t xml:space="preserve">, mediante el cual se resuelve el recurso de súplica frente al anterior auto que, como se explicará, suspendió provisionalmente varios apartes del Decreto 092 de 2017. En este sentido, en el último auto se levantó la suspensión provisional del inciso segundo </w:t>
      </w:r>
      <w:r w:rsidRPr="001F4636">
        <w:rPr>
          <w:rFonts w:ascii="Verdana" w:eastAsia="Calibri" w:hAnsi="Verdana" w:cs="Arial"/>
          <w:color w:val="000000" w:themeColor="text1"/>
        </w:rPr>
        <w:lastRenderedPageBreak/>
        <w:t xml:space="preserve">del artículo 1 y del inciso segundo del artículo 3, manteniendo en lo demás la suspensión provisional, como se precisará a continuación. </w:t>
      </w:r>
    </w:p>
    <w:p w14:paraId="4015246C" w14:textId="77777777" w:rsidR="00B110F5" w:rsidRPr="001F4636" w:rsidRDefault="00B110F5" w:rsidP="00B110F5">
      <w:pPr>
        <w:spacing w:before="120" w:after="0" w:line="276" w:lineRule="auto"/>
        <w:ind w:firstLine="708"/>
        <w:jc w:val="both"/>
        <w:rPr>
          <w:rFonts w:ascii="Verdana" w:eastAsia="Calibri" w:hAnsi="Verdana" w:cs="Arial"/>
          <w:color w:val="000000" w:themeColor="text1"/>
        </w:rPr>
      </w:pPr>
      <w:r w:rsidRPr="001F4636">
        <w:rPr>
          <w:rFonts w:ascii="Verdana" w:eastAsia="Calibri" w:hAnsi="Verdana" w:cs="Arial"/>
          <w:color w:val="000000" w:themeColor="text1"/>
        </w:rPr>
        <w:t xml:space="preserve">La </w:t>
      </w:r>
      <w:r w:rsidRPr="001F4636">
        <w:rPr>
          <w:rFonts w:ascii="Verdana" w:eastAsia="Calibri" w:hAnsi="Verdana" w:cs="Arial"/>
          <w:i/>
          <w:iCs/>
          <w:color w:val="000000" w:themeColor="text1"/>
        </w:rPr>
        <w:t>primera</w:t>
      </w:r>
      <w:r w:rsidRPr="001F4636">
        <w:rPr>
          <w:rFonts w:ascii="Verdana" w:eastAsia="Calibri" w:hAnsi="Verdana" w:cs="Arial"/>
          <w:color w:val="000000" w:themeColor="text1"/>
        </w:rPr>
        <w:t xml:space="preserve"> norma que estudió el Consejo de Estado en el auto del 6 de agosto de 2019 fue el inciso 2 del artículo 1 del Decreto 092 de 2017, el cual establece que la interpretación de las expresiones que se encuentran en mayúsculas en el Decreto 092 de 2017 se harían de conformidad con la guía que expida la Agencia Nacional de Contratación Pública</w:t>
      </w:r>
      <w:r w:rsidRPr="001F4636">
        <w:rPr>
          <w:rStyle w:val="Refdenotaalpie"/>
          <w:rFonts w:ascii="Verdana" w:eastAsia="Calibri" w:hAnsi="Verdana" w:cs="Arial"/>
          <w:color w:val="000000" w:themeColor="text1"/>
        </w:rPr>
        <w:footnoteReference w:id="9"/>
      </w:r>
      <w:r w:rsidRPr="001F4636">
        <w:rPr>
          <w:rFonts w:ascii="Verdana" w:eastAsia="Calibri" w:hAnsi="Verdana" w:cs="Arial"/>
          <w:color w:val="000000" w:themeColor="text1"/>
        </w:rPr>
        <w:t>. Señaló que esta disposición, así como el inciso segundo del artículo 3 del Decreto 092 de 2017</w:t>
      </w:r>
      <w:r w:rsidRPr="001F4636">
        <w:rPr>
          <w:rStyle w:val="Refdenotaalpie"/>
          <w:rFonts w:ascii="Verdana" w:eastAsia="Calibri" w:hAnsi="Verdana" w:cs="Arial"/>
          <w:color w:val="000000" w:themeColor="text1"/>
        </w:rPr>
        <w:footnoteReference w:id="10"/>
      </w:r>
      <w:r w:rsidRPr="001F4636">
        <w:rPr>
          <w:rFonts w:ascii="Verdana" w:eastAsia="Calibri" w:hAnsi="Verdana" w:cs="Arial"/>
          <w:color w:val="000000" w:themeColor="text1"/>
        </w:rPr>
        <w:t xml:space="preserve">, excedían la potestad reglamentaria, que estaba exclusivamente asignada al Presidente de la República, toda vez que la esencia de la facultad reglamentaria es de carácter permanente, inalienable, intransferible e irrenunciable, y el Presidente no la podía delegar en una entidad como la Agencia Nacional de Contratación Pública – Colombia Compra Eficiente, para que a través de una guía reglamentara los vacíos de un Decreto. Al respecto señaló: </w:t>
      </w:r>
    </w:p>
    <w:p w14:paraId="062308D9" w14:textId="77777777" w:rsidR="00B110F5" w:rsidRPr="001F4636" w:rsidRDefault="00B110F5" w:rsidP="00B110F5">
      <w:pPr>
        <w:spacing w:after="0" w:line="276" w:lineRule="auto"/>
        <w:jc w:val="both"/>
        <w:rPr>
          <w:rFonts w:ascii="Verdana" w:eastAsia="Calibri" w:hAnsi="Verdana" w:cs="Arial"/>
          <w:color w:val="000000" w:themeColor="text1"/>
        </w:rPr>
      </w:pPr>
    </w:p>
    <w:p w14:paraId="0917167F" w14:textId="77777777" w:rsidR="00B110F5" w:rsidRPr="00EF1548" w:rsidRDefault="00B110F5" w:rsidP="00B110F5">
      <w:pPr>
        <w:tabs>
          <w:tab w:val="left" w:pos="8789"/>
        </w:tabs>
        <w:spacing w:after="0" w:line="240" w:lineRule="auto"/>
        <w:ind w:left="708" w:right="709"/>
        <w:jc w:val="both"/>
        <w:rPr>
          <w:rFonts w:ascii="Verdana" w:eastAsia="Calibri" w:hAnsi="Verdana" w:cs="Arial"/>
          <w:color w:val="000000" w:themeColor="text1"/>
          <w:sz w:val="20"/>
          <w:szCs w:val="20"/>
        </w:rPr>
      </w:pPr>
      <w:r w:rsidRPr="00EF1548">
        <w:rPr>
          <w:rFonts w:ascii="Verdana" w:eastAsia="Calibri" w:hAnsi="Verdana" w:cs="Arial"/>
          <w:color w:val="000000" w:themeColor="text1"/>
          <w:sz w:val="20"/>
          <w:szCs w:val="20"/>
        </w:rPr>
        <w:t xml:space="preserve">“En efecto, dejar espacios </w:t>
      </w:r>
      <w:r>
        <w:rPr>
          <w:rFonts w:ascii="Verdana" w:eastAsia="Calibri" w:hAnsi="Verdana" w:cs="Arial"/>
          <w:color w:val="000000" w:themeColor="text1"/>
          <w:sz w:val="20"/>
          <w:szCs w:val="20"/>
        </w:rPr>
        <w:t>‘</w:t>
      </w:r>
      <w:r w:rsidRPr="00EF1548">
        <w:rPr>
          <w:rFonts w:ascii="Verdana" w:eastAsia="Calibri" w:hAnsi="Verdana" w:cs="Arial"/>
          <w:color w:val="000000" w:themeColor="text1"/>
          <w:sz w:val="20"/>
          <w:szCs w:val="20"/>
        </w:rPr>
        <w:t>vacíos</w:t>
      </w:r>
      <w:r>
        <w:rPr>
          <w:rFonts w:ascii="Verdana" w:eastAsia="Calibri" w:hAnsi="Verdana" w:cs="Arial"/>
          <w:color w:val="000000" w:themeColor="text1"/>
          <w:sz w:val="20"/>
          <w:szCs w:val="20"/>
        </w:rPr>
        <w:t>’</w:t>
      </w:r>
      <w:r w:rsidRPr="00EF1548">
        <w:rPr>
          <w:rFonts w:ascii="Verdana" w:eastAsia="Calibri" w:hAnsi="Verdana" w:cs="Arial"/>
          <w:color w:val="000000" w:themeColor="text1"/>
          <w:sz w:val="20"/>
          <w:szCs w:val="20"/>
        </w:rPr>
        <w:t xml:space="preserve"> para que Colombia Compra Eficiente defina el alcance y la interpretación de ciertas expresiones y dicte las ‘pautas’ y ‘criterios’ para desarrollar la materia reglamentada no es otra cosa que delegar la reglamentación, pues materialmente se le encomienda a otra autoridad administrativa la labor de completar el ejercicio reglamentario que hizo el Gobierno Nacional o, cuando menos, se le encomienda la tarea de complementar una reglamentación insuficiente que hizo la autoridad competente, tarea que no puede ser asignada por el Presidente de la República a ningún otro organismo o entidad de la administración (distinto del Gobierno Nacional), puesto que, sin duda, quien estaría concurriendo materialmente en tal caso a reglamentar la norma constitucional sería la autoridad delegataria y no el competente para ello, según lo dispuesto por el constituyente”.</w:t>
      </w:r>
    </w:p>
    <w:p w14:paraId="55C6B950" w14:textId="77777777" w:rsidR="00B110F5" w:rsidRPr="001F4636" w:rsidRDefault="00B110F5" w:rsidP="00B110F5">
      <w:pPr>
        <w:tabs>
          <w:tab w:val="left" w:pos="8789"/>
        </w:tabs>
        <w:spacing w:after="0" w:line="276" w:lineRule="auto"/>
        <w:ind w:left="708" w:right="709"/>
        <w:jc w:val="both"/>
        <w:rPr>
          <w:rFonts w:ascii="Verdana" w:eastAsia="Calibri" w:hAnsi="Verdana" w:cs="Arial"/>
          <w:color w:val="000000" w:themeColor="text1"/>
        </w:rPr>
      </w:pPr>
    </w:p>
    <w:p w14:paraId="43C00E39" w14:textId="77777777" w:rsidR="00B110F5" w:rsidRPr="001F4636" w:rsidRDefault="00B110F5" w:rsidP="00B110F5">
      <w:pPr>
        <w:spacing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En virtud de este análisis, el Consejo de Estado, en el auto del 9 de agosto de 2019 suspendió provisionalmente el inciso 2 del artículo primero y el inciso 2 </w:t>
      </w:r>
      <w:r w:rsidRPr="001F4636">
        <w:rPr>
          <w:rFonts w:ascii="Verdana" w:eastAsia="Calibri" w:hAnsi="Verdana" w:cs="Arial"/>
          <w:color w:val="000000" w:themeColor="text1"/>
        </w:rPr>
        <w:lastRenderedPageBreak/>
        <w:t>del artículo 3, lo que significaba que los contratos celebrados con entidades sin ánimo de lucro no tenían que aplicar la “Guía para la contratación con entidades privadas sin ánimo de lucro y de reconocida idoneidad”, expedida por la Agencia Nacional de Contratación Pública–Colombia Compra Eficiente. Sin embargo, mediante el auto del 15 de marzo de 2022 de la Sala Plena del Consejo de Estado, al que se hizo referencia en inicio de este acápite, se ordenó levantar la suspensión provisional del inciso segundo del artículo 1 y del inciso segundo del artículo 3, al considerar la Alta Corporación que:</w:t>
      </w:r>
    </w:p>
    <w:p w14:paraId="39EE8A95" w14:textId="77777777" w:rsidR="00B110F5" w:rsidRPr="001F4636" w:rsidRDefault="00B110F5" w:rsidP="00B110F5">
      <w:pPr>
        <w:spacing w:after="0" w:line="276" w:lineRule="auto"/>
        <w:ind w:firstLine="709"/>
        <w:jc w:val="both"/>
        <w:rPr>
          <w:rFonts w:ascii="Verdana" w:eastAsia="Calibri" w:hAnsi="Verdana" w:cs="Arial"/>
          <w:color w:val="000000" w:themeColor="text1"/>
        </w:rPr>
      </w:pPr>
    </w:p>
    <w:p w14:paraId="0F4742DC" w14:textId="77777777" w:rsidR="00B110F5" w:rsidRPr="003B194B" w:rsidRDefault="00B110F5" w:rsidP="00B110F5">
      <w:pPr>
        <w:spacing w:after="0" w:line="240" w:lineRule="auto"/>
        <w:ind w:left="708" w:right="709"/>
        <w:jc w:val="both"/>
        <w:rPr>
          <w:rFonts w:ascii="Verdana" w:eastAsia="Calibri" w:hAnsi="Verdana" w:cs="Arial"/>
          <w:color w:val="000000" w:themeColor="text1"/>
          <w:sz w:val="20"/>
          <w:szCs w:val="20"/>
        </w:rPr>
      </w:pPr>
      <w:r w:rsidRPr="003B194B">
        <w:rPr>
          <w:rFonts w:ascii="Verdana" w:eastAsia="Calibri" w:hAnsi="Verdana" w:cs="Arial"/>
          <w:color w:val="000000" w:themeColor="text1"/>
          <w:sz w:val="20"/>
          <w:szCs w:val="20"/>
        </w:rPr>
        <w:t>“28. Contrario a la conclusión a la que se arribó en el auto suplicado, la Sala observa que de la simple confrontación de la norma no se advierte, prima facie, que lo ordenado en el inciso segundo del artículo 1, así como en el inciso segundo del artículo 3 del Decreto 092 de 2017, conlleve, per se, la delegación de la facultad reglamentaria directa de la Constitución, atribuida al Gobierno nacional en el artículo 355 superior”.</w:t>
      </w:r>
    </w:p>
    <w:p w14:paraId="3BDCA566" w14:textId="77777777" w:rsidR="00B110F5" w:rsidRPr="001F4636" w:rsidRDefault="00B110F5" w:rsidP="00B110F5">
      <w:pPr>
        <w:spacing w:after="0" w:line="276" w:lineRule="auto"/>
        <w:ind w:left="708" w:right="709"/>
        <w:jc w:val="both"/>
        <w:rPr>
          <w:rFonts w:ascii="Verdana" w:eastAsia="Calibri" w:hAnsi="Verdana" w:cs="Arial"/>
          <w:color w:val="000000" w:themeColor="text1"/>
        </w:rPr>
      </w:pPr>
    </w:p>
    <w:p w14:paraId="1AC20BBB" w14:textId="77777777" w:rsidR="00B110F5" w:rsidRPr="001F4636" w:rsidRDefault="00B110F5" w:rsidP="00B110F5">
      <w:pPr>
        <w:spacing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En armonía con lo anterior, en relación con el inciso segundo del artículo primero del Decreto 092 de 2017, que establece que las expresiones utilizadas en el decreto con mayúscula inicial deben ser entendidas con el significado indicado en la guía que expida la Agencia Nacional de Contratación Pública – Colombia Compra Eficiente, el Consejo de Estado consideró procedente levantar la suspensión provisional, al considerar que: </w:t>
      </w:r>
    </w:p>
    <w:p w14:paraId="2148B7F6" w14:textId="77777777" w:rsidR="00B110F5" w:rsidRPr="001F4636" w:rsidRDefault="00B110F5" w:rsidP="00B110F5">
      <w:pPr>
        <w:spacing w:after="0" w:line="276" w:lineRule="auto"/>
        <w:ind w:firstLine="709"/>
        <w:jc w:val="both"/>
        <w:rPr>
          <w:rFonts w:ascii="Verdana" w:eastAsia="Calibri" w:hAnsi="Verdana" w:cs="Arial"/>
          <w:color w:val="000000" w:themeColor="text1"/>
        </w:rPr>
      </w:pPr>
    </w:p>
    <w:p w14:paraId="7DC62697" w14:textId="77777777" w:rsidR="00B110F5" w:rsidRPr="003B194B" w:rsidRDefault="00B110F5" w:rsidP="00B110F5">
      <w:pPr>
        <w:spacing w:after="0" w:line="240" w:lineRule="auto"/>
        <w:ind w:left="708" w:right="709"/>
        <w:jc w:val="both"/>
        <w:rPr>
          <w:rFonts w:ascii="Verdana" w:eastAsia="Calibri" w:hAnsi="Verdana" w:cs="Arial"/>
          <w:color w:val="000000" w:themeColor="text1"/>
          <w:sz w:val="20"/>
          <w:szCs w:val="20"/>
        </w:rPr>
      </w:pPr>
      <w:r w:rsidRPr="003B194B">
        <w:rPr>
          <w:rFonts w:ascii="Verdana" w:eastAsia="Calibri" w:hAnsi="Verdana" w:cs="Arial"/>
          <w:color w:val="000000" w:themeColor="text1"/>
          <w:sz w:val="20"/>
          <w:szCs w:val="20"/>
        </w:rPr>
        <w:t>“35. En esa medida determinó el Gobierno nacional que para la interpretación del decreto que nos ocupa, las expresiones utilizadas con mayúscula inicial deben ser entendidas con el significado indicado en la guía que expida la Agencia Nacional de Contratación Pública –Colombia Compra Eficiente– para su correspondiente aplicación, lo que implica una orientación tendiente a propiciar una integración normativa con definiciones que ya existen en el ordenamiento jurídico y que fundamentará la interpretación de dichas expresiones. En este orden de ideas, no existe habilitación a Colombia Compra Eficiente para crear definiciones normativas de estas expresiones, sino que de las que ya cuenta el ordenamiento jurídico realiza la guía. Por ello, no hay delegación de la competencia para crear el decreto constitucional que le compete al Gobierno nacional”.</w:t>
      </w:r>
    </w:p>
    <w:p w14:paraId="35C360F9" w14:textId="77777777" w:rsidR="00B110F5" w:rsidRPr="001F4636" w:rsidRDefault="00B110F5" w:rsidP="00B110F5">
      <w:pPr>
        <w:spacing w:after="0" w:line="276" w:lineRule="auto"/>
        <w:ind w:firstLine="709"/>
        <w:jc w:val="both"/>
        <w:rPr>
          <w:rFonts w:ascii="Verdana" w:eastAsia="Calibri" w:hAnsi="Verdana" w:cs="Arial"/>
          <w:color w:val="000000" w:themeColor="text1"/>
        </w:rPr>
      </w:pPr>
    </w:p>
    <w:p w14:paraId="236BFC83" w14:textId="77777777" w:rsidR="00B110F5" w:rsidRPr="001F4636" w:rsidRDefault="00B110F5" w:rsidP="00B110F5">
      <w:pPr>
        <w:spacing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Además, en relación con el inciso segundo del artículo 3, que establece que la entidad estatal debe definir en los documentos del proceso las características que debe acreditar la entidad sin ánimo de lucro, para lo que </w:t>
      </w:r>
      <w:r w:rsidRPr="001F4636">
        <w:rPr>
          <w:rFonts w:ascii="Verdana" w:eastAsia="Calibri" w:hAnsi="Verdana" w:cs="Arial"/>
          <w:color w:val="000000" w:themeColor="text1"/>
        </w:rPr>
        <w:lastRenderedPageBreak/>
        <w:t>deberá tener en consideración los criterios establecidos en la guía que expida Colombia Compra Eficiente, el Consejo de Estado también resolvió levantar la suspensión provisional, al considerar que el análisis sobre su validez se debe reservar para el momento en que se profiera la sentencia respectiva, pues, a su juicio, no resulta evidente que se haya delegado indebidamente el ejercicio de la potestad reglamentaria</w:t>
      </w:r>
      <w:r w:rsidRPr="001F4636">
        <w:rPr>
          <w:rStyle w:val="Refdenotaalpie"/>
          <w:rFonts w:ascii="Verdana" w:eastAsia="Calibri" w:hAnsi="Verdana" w:cs="Arial"/>
          <w:color w:val="000000" w:themeColor="text1"/>
        </w:rPr>
        <w:footnoteReference w:id="11"/>
      </w:r>
      <w:r w:rsidRPr="001F4636">
        <w:rPr>
          <w:rFonts w:ascii="Verdana" w:eastAsia="Calibri" w:hAnsi="Verdana" w:cs="Arial"/>
          <w:color w:val="000000" w:themeColor="text1"/>
        </w:rPr>
        <w:t>.</w:t>
      </w:r>
    </w:p>
    <w:p w14:paraId="00C2EF15" w14:textId="77777777" w:rsidR="00B110F5" w:rsidRPr="001F4636" w:rsidRDefault="00B110F5" w:rsidP="00B110F5">
      <w:pPr>
        <w:spacing w:before="12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Ahora bien, cabe precisar que mediante el auto del 15 de marzo de 2022 de la Sala Plena del Consejo de Estado únicamente se levantó la suspensión provisional de las normas desarrolladas hasta este lugar, por lo que, en lo demás, se confirmó la decisión de suspensión provisional de los demás apartes del Decreto 019 de 2017 dictada en el auto del 6 de agosto de 2019, como se procede a explicar.</w:t>
      </w:r>
    </w:p>
    <w:p w14:paraId="515AA2AA" w14:textId="77777777" w:rsidR="00B110F5" w:rsidRPr="001F4636" w:rsidRDefault="00B110F5" w:rsidP="00B110F5">
      <w:pPr>
        <w:spacing w:before="120"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La </w:t>
      </w:r>
      <w:r w:rsidRPr="001F4636">
        <w:rPr>
          <w:rFonts w:ascii="Verdana" w:eastAsia="Calibri" w:hAnsi="Verdana" w:cs="Arial"/>
          <w:i/>
          <w:iCs/>
          <w:color w:val="000000" w:themeColor="text1"/>
        </w:rPr>
        <w:t>segunda</w:t>
      </w:r>
      <w:r w:rsidRPr="001F4636">
        <w:rPr>
          <w:rFonts w:ascii="Verdana" w:eastAsia="Calibri" w:hAnsi="Verdana" w:cs="Arial"/>
          <w:color w:val="000000" w:themeColor="text1"/>
        </w:rPr>
        <w:t xml:space="preserve"> norma que analizó el Consejo de Estado en el auto del 6 de agosto de 2019, fue el literal a), del artículo 2, del Decreto 092, que establece que únicamente se podrá contratar con entidades privadas sin ánimo de lucro cuando el objeto corresponda directamente con los planes de desarrollo y busque exclusivamente promover los derechos de personas en situación de debilidad manifiesta o indefensión, los derechos de las minorías, el derecho a la educación, el derecho a la paz, las manifestaciones artísticas, culturales, deportivas y de promoción de la diversidad étnica colombiana</w:t>
      </w:r>
      <w:r w:rsidRPr="001F4636">
        <w:rPr>
          <w:rStyle w:val="Refdenotaalpie"/>
          <w:rFonts w:ascii="Verdana" w:hAnsi="Verdana" w:cs="Arial"/>
          <w:color w:val="000000" w:themeColor="text1"/>
        </w:rPr>
        <w:footnoteReference w:id="12"/>
      </w:r>
      <w:r w:rsidRPr="001F4636">
        <w:rPr>
          <w:rFonts w:ascii="Verdana" w:eastAsia="Calibri" w:hAnsi="Verdana" w:cs="Arial"/>
          <w:color w:val="000000" w:themeColor="text1"/>
        </w:rPr>
        <w:t xml:space="preserve">. </w:t>
      </w:r>
      <w:bookmarkStart w:id="7" w:name="_Hlk95756502"/>
      <w:r w:rsidRPr="001F4636">
        <w:rPr>
          <w:rFonts w:ascii="Verdana" w:eastAsia="Calibri" w:hAnsi="Verdana" w:cs="Arial"/>
          <w:color w:val="000000" w:themeColor="text1"/>
        </w:rPr>
        <w:t xml:space="preserve">En relación con esta norma, encontró que el literal a) del artículo 2 establece dos condiciones </w:t>
      </w:r>
      <w:r w:rsidRPr="001F4636">
        <w:rPr>
          <w:rFonts w:ascii="Verdana" w:eastAsia="Calibri" w:hAnsi="Verdana" w:cs="Arial"/>
          <w:color w:val="000000" w:themeColor="text1"/>
        </w:rPr>
        <w:lastRenderedPageBreak/>
        <w:t xml:space="preserve">contrarias al artículo 355 de la Constitución Política: primero, que el objeto tenga que estar “directamente” en los planes de desarrollo –nacional o territorial– cuando la norma constitucional establece que el objeto debe ser “acorde” con el plan nacional o seccional de desarrollo, lo que implica que el objeto del contrato no debe estar explícitamente en el plan de desarrollo sino que se encuentre en armonía con este. </w:t>
      </w:r>
      <w:bookmarkEnd w:id="7"/>
      <w:r w:rsidRPr="001F4636">
        <w:rPr>
          <w:rFonts w:ascii="Verdana" w:eastAsia="Calibri" w:hAnsi="Verdana" w:cs="Arial"/>
          <w:color w:val="000000" w:themeColor="text1"/>
        </w:rPr>
        <w:t xml:space="preserve">En relación con lo anterior, el auto del Consejo de Estado explica que: </w:t>
      </w:r>
    </w:p>
    <w:p w14:paraId="1D1F29C7" w14:textId="77777777" w:rsidR="00B110F5" w:rsidRPr="001F4636" w:rsidRDefault="00B110F5" w:rsidP="00B110F5">
      <w:pPr>
        <w:spacing w:after="0" w:line="276" w:lineRule="auto"/>
        <w:jc w:val="both"/>
        <w:rPr>
          <w:rFonts w:ascii="Verdana" w:eastAsia="Calibri" w:hAnsi="Verdana" w:cs="Arial"/>
          <w:color w:val="000000" w:themeColor="text1"/>
        </w:rPr>
      </w:pPr>
    </w:p>
    <w:p w14:paraId="4F928A50" w14:textId="77777777" w:rsidR="00B110F5" w:rsidRPr="003B194B" w:rsidRDefault="00B110F5" w:rsidP="00B110F5">
      <w:pPr>
        <w:spacing w:after="0" w:line="240" w:lineRule="auto"/>
        <w:ind w:left="708" w:right="709"/>
        <w:jc w:val="both"/>
        <w:rPr>
          <w:rFonts w:ascii="Verdana" w:eastAsia="Calibri" w:hAnsi="Verdana" w:cs="Arial"/>
          <w:color w:val="000000" w:themeColor="text1"/>
          <w:sz w:val="20"/>
          <w:szCs w:val="20"/>
        </w:rPr>
      </w:pPr>
      <w:r w:rsidRPr="003B194B">
        <w:rPr>
          <w:rFonts w:ascii="Verdana" w:eastAsia="Calibri" w:hAnsi="Verdana" w:cs="Arial"/>
          <w:color w:val="000000" w:themeColor="text1"/>
          <w:sz w:val="20"/>
          <w:szCs w:val="20"/>
        </w:rPr>
        <w:t xml:space="preserve">“El aparte acusado exige que el objeto del contrato corresponda directamente a los programas contenidos en los diferentes planes de desarrollo, pero ello, así concebido, es propio de los procesos de selección a los que deben someterse los contratos ordinarios de la administración pública; al respecto, recuérdese que los contratos referidos en el mencionado artículo 355 no están sometidos a la lógica de los contratos ordinarios, pues tienen como finalidad impulsar los programas y actividades de interés público que desarrollen las entidades sin ánimo de lucro, para lo cual únicamente se exige que sean acordes con los que, a su vez, estén contemplados en los correspondientes planes de desarrollo”. </w:t>
      </w:r>
    </w:p>
    <w:p w14:paraId="43D102CB" w14:textId="77777777" w:rsidR="00B110F5" w:rsidRPr="001F4636" w:rsidRDefault="00B110F5" w:rsidP="00B110F5">
      <w:pPr>
        <w:spacing w:after="0" w:line="276" w:lineRule="auto"/>
        <w:jc w:val="both"/>
        <w:rPr>
          <w:rFonts w:ascii="Verdana" w:eastAsia="Calibri" w:hAnsi="Verdana" w:cs="Arial"/>
          <w:color w:val="000000" w:themeColor="text1"/>
        </w:rPr>
      </w:pPr>
    </w:p>
    <w:p w14:paraId="4464F685" w14:textId="77777777" w:rsidR="00B110F5" w:rsidRPr="001F4636" w:rsidRDefault="00B110F5" w:rsidP="00B110F5">
      <w:pPr>
        <w:spacing w:after="0" w:line="276" w:lineRule="auto"/>
        <w:ind w:firstLine="708"/>
        <w:jc w:val="both"/>
        <w:rPr>
          <w:rFonts w:ascii="Verdana" w:eastAsia="Calibri" w:hAnsi="Verdana" w:cs="Arial"/>
          <w:color w:val="000000" w:themeColor="text1"/>
        </w:rPr>
      </w:pPr>
      <w:r w:rsidRPr="001F4636">
        <w:rPr>
          <w:rFonts w:ascii="Verdana" w:eastAsia="Calibri" w:hAnsi="Verdana" w:cs="Arial"/>
          <w:color w:val="000000" w:themeColor="text1"/>
        </w:rPr>
        <w:t xml:space="preserve">Asimismo, el Consejo de Estado consideró que el literal a) del artículo 2, al establecer que los programas y actividades de interés público deben buscar la promoción de los derechos de personas en situaciones de debilidad manifiesta o de indefensión, los derechos de las minorías, el derecho a la educación, el derecho a la paz, las manifestaciones artísticas, culturales, deportivas y de promoción de la diversidad étnica colombiana, limita el ámbito de aplicación que establece el artículo 355 de la Constitución Política. Al respecto expresa: </w:t>
      </w:r>
    </w:p>
    <w:p w14:paraId="70521ECF" w14:textId="77777777" w:rsidR="00B110F5" w:rsidRPr="001F4636" w:rsidRDefault="00B110F5" w:rsidP="00B110F5">
      <w:pPr>
        <w:spacing w:after="0" w:line="276" w:lineRule="auto"/>
        <w:jc w:val="both"/>
        <w:rPr>
          <w:rFonts w:ascii="Verdana" w:eastAsia="Calibri" w:hAnsi="Verdana" w:cs="Arial"/>
          <w:color w:val="000000" w:themeColor="text1"/>
        </w:rPr>
      </w:pPr>
    </w:p>
    <w:p w14:paraId="1974EAE1" w14:textId="77777777" w:rsidR="00B110F5" w:rsidRPr="003B194B" w:rsidRDefault="00B110F5" w:rsidP="00B110F5">
      <w:pPr>
        <w:tabs>
          <w:tab w:val="left" w:pos="8080"/>
        </w:tabs>
        <w:spacing w:after="0" w:line="240" w:lineRule="auto"/>
        <w:ind w:left="708" w:right="709"/>
        <w:jc w:val="both"/>
        <w:rPr>
          <w:rFonts w:ascii="Verdana" w:eastAsia="Calibri" w:hAnsi="Verdana" w:cs="Arial"/>
          <w:color w:val="000000" w:themeColor="text1"/>
          <w:sz w:val="20"/>
          <w:szCs w:val="20"/>
        </w:rPr>
      </w:pPr>
      <w:r w:rsidRPr="003B194B">
        <w:rPr>
          <w:rFonts w:ascii="Verdana" w:eastAsia="Calibri" w:hAnsi="Verdana" w:cs="Arial"/>
          <w:color w:val="000000" w:themeColor="text1"/>
          <w:sz w:val="20"/>
          <w:szCs w:val="20"/>
        </w:rPr>
        <w:t xml:space="preserve">“Una limitación del anterior calado implica, sin duda, establecer una condición no prevista en la norma constitucional reglamentada. Esta última solo establece una restricción y es que la </w:t>
      </w:r>
      <w:r>
        <w:rPr>
          <w:rFonts w:ascii="Verdana" w:eastAsia="Calibri" w:hAnsi="Verdana" w:cs="Arial"/>
          <w:color w:val="000000" w:themeColor="text1"/>
          <w:sz w:val="20"/>
          <w:szCs w:val="20"/>
        </w:rPr>
        <w:t>‘</w:t>
      </w:r>
      <w:r w:rsidRPr="003B194B">
        <w:rPr>
          <w:rFonts w:ascii="Verdana" w:eastAsia="Calibri" w:hAnsi="Verdana" w:cs="Arial"/>
          <w:color w:val="000000" w:themeColor="text1"/>
          <w:sz w:val="20"/>
          <w:szCs w:val="20"/>
        </w:rPr>
        <w:t>causa</w:t>
      </w:r>
      <w:r>
        <w:rPr>
          <w:rFonts w:ascii="Verdana" w:eastAsia="Calibri" w:hAnsi="Verdana" w:cs="Arial"/>
          <w:color w:val="000000" w:themeColor="text1"/>
          <w:sz w:val="20"/>
          <w:szCs w:val="20"/>
        </w:rPr>
        <w:t>’</w:t>
      </w:r>
      <w:r w:rsidRPr="003B194B">
        <w:rPr>
          <w:rFonts w:ascii="Verdana" w:eastAsia="Calibri" w:hAnsi="Verdana" w:cs="Arial"/>
          <w:color w:val="000000" w:themeColor="text1"/>
          <w:sz w:val="20"/>
          <w:szCs w:val="20"/>
        </w:rPr>
        <w:t xml:space="preserve"> del contrato tenga como finalidad </w:t>
      </w:r>
      <w:r>
        <w:rPr>
          <w:rFonts w:ascii="Verdana" w:eastAsia="Calibri" w:hAnsi="Verdana" w:cs="Arial"/>
          <w:color w:val="000000" w:themeColor="text1"/>
          <w:sz w:val="20"/>
          <w:szCs w:val="20"/>
        </w:rPr>
        <w:t>‘</w:t>
      </w:r>
      <w:r w:rsidRPr="003B194B">
        <w:rPr>
          <w:rFonts w:ascii="Verdana" w:eastAsia="Calibri" w:hAnsi="Verdana" w:cs="Arial"/>
          <w:color w:val="000000" w:themeColor="text1"/>
          <w:sz w:val="20"/>
          <w:szCs w:val="20"/>
        </w:rPr>
        <w:t>… impulsar programas y actividades de interés público acordes con el plan de desarrollo</w:t>
      </w:r>
      <w:r>
        <w:rPr>
          <w:rFonts w:ascii="Verdana" w:eastAsia="Calibri" w:hAnsi="Verdana" w:cs="Arial"/>
          <w:color w:val="000000" w:themeColor="text1"/>
          <w:sz w:val="20"/>
          <w:szCs w:val="20"/>
        </w:rPr>
        <w:t>’</w:t>
      </w:r>
      <w:r w:rsidRPr="003B194B">
        <w:rPr>
          <w:rFonts w:ascii="Verdana" w:eastAsia="Calibri" w:hAnsi="Verdana" w:cs="Arial"/>
          <w:color w:val="000000" w:themeColor="text1"/>
          <w:sz w:val="20"/>
          <w:szCs w:val="20"/>
        </w:rPr>
        <w:t xml:space="preserve">, mientras que, por su parte, la norma acusada limita la celebración de tales contratos a que tengan como objeto la promoción de las actividades enunciadas anteriormente [letra a, art. 2 ibidem]. Si la norma constitucional restringe sólo la causa o la finalidad del contrato, quiere decir ello que, independientemente de su objeto, puede celebrarse en cualquier modalidad, siempre y cuando –claro está– su causa sea “acorde” con los planes de desarrollo, que es, en últimas, el propósito de la norma constitucional”. </w:t>
      </w:r>
    </w:p>
    <w:p w14:paraId="356380FF" w14:textId="77777777" w:rsidR="00B110F5" w:rsidRPr="001F4636" w:rsidRDefault="00B110F5" w:rsidP="00B110F5">
      <w:pPr>
        <w:spacing w:after="0" w:line="276" w:lineRule="auto"/>
        <w:jc w:val="both"/>
        <w:rPr>
          <w:rFonts w:ascii="Verdana" w:eastAsia="Calibri" w:hAnsi="Verdana" w:cs="Arial"/>
          <w:color w:val="000000" w:themeColor="text1"/>
        </w:rPr>
      </w:pPr>
      <w:r w:rsidRPr="001F4636">
        <w:rPr>
          <w:rFonts w:ascii="Verdana" w:eastAsia="Calibri" w:hAnsi="Verdana" w:cs="Arial"/>
          <w:color w:val="000000" w:themeColor="text1"/>
        </w:rPr>
        <w:t xml:space="preserve"> </w:t>
      </w:r>
    </w:p>
    <w:p w14:paraId="45588683" w14:textId="77777777" w:rsidR="00B110F5" w:rsidRPr="001F4636" w:rsidRDefault="00B110F5" w:rsidP="00B110F5">
      <w:pPr>
        <w:spacing w:line="276" w:lineRule="auto"/>
        <w:ind w:firstLine="709"/>
        <w:jc w:val="both"/>
        <w:rPr>
          <w:rFonts w:ascii="Verdana" w:eastAsia="Calibri" w:hAnsi="Verdana" w:cs="Arial"/>
          <w:color w:val="000000" w:themeColor="text1"/>
        </w:rPr>
      </w:pPr>
      <w:bookmarkStart w:id="8" w:name="_Hlk95756534"/>
      <w:r w:rsidRPr="001F4636">
        <w:rPr>
          <w:rFonts w:ascii="Verdana" w:eastAsia="Calibri" w:hAnsi="Verdana" w:cs="Arial"/>
          <w:color w:val="000000" w:themeColor="text1"/>
        </w:rPr>
        <w:lastRenderedPageBreak/>
        <w:t>Así las cosas, el Consejo de Estado suspendió provisionalmente el literal a), por lo cual el objeto de los contratos debe ser acorde con los planes nacionales o seccionales de desarrollo; y no necesariamente estar previstos directamente en ellos. Por lo demás, no solo se pueden celebrar contratos para los objetos específicos señalados en el Decreto 092 de 2017.</w:t>
      </w:r>
    </w:p>
    <w:bookmarkEnd w:id="8"/>
    <w:p w14:paraId="702D1B31" w14:textId="77777777" w:rsidR="00B110F5" w:rsidRPr="001F4636" w:rsidRDefault="00B110F5" w:rsidP="00B110F5">
      <w:pPr>
        <w:spacing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El Consejo de Estado, en el auto del 6 de agosto de 2019, en </w:t>
      </w:r>
      <w:r w:rsidRPr="001F4636">
        <w:rPr>
          <w:rFonts w:ascii="Verdana" w:eastAsia="Calibri" w:hAnsi="Verdana" w:cs="Arial"/>
          <w:i/>
          <w:iCs/>
          <w:color w:val="000000" w:themeColor="text1"/>
        </w:rPr>
        <w:t>tercer</w:t>
      </w:r>
      <w:r w:rsidRPr="001F4636">
        <w:rPr>
          <w:rFonts w:ascii="Verdana" w:eastAsia="Calibri" w:hAnsi="Verdana" w:cs="Arial"/>
          <w:color w:val="000000" w:themeColor="text1"/>
        </w:rPr>
        <w:t xml:space="preserve"> lugar, examinó el literal c) y el inciso 5 del artículo 2 del Decreto</w:t>
      </w:r>
      <w:r w:rsidRPr="001F4636">
        <w:rPr>
          <w:rStyle w:val="Refdenotaalpie"/>
          <w:rFonts w:ascii="Verdana" w:eastAsia="Calibri" w:hAnsi="Verdana" w:cs="Arial"/>
          <w:color w:val="000000" w:themeColor="text1"/>
        </w:rPr>
        <w:footnoteReference w:id="13"/>
      </w:r>
      <w:r w:rsidRPr="001F4636">
        <w:rPr>
          <w:rFonts w:ascii="Verdana" w:eastAsia="Calibri" w:hAnsi="Verdana" w:cs="Arial"/>
          <w:color w:val="000000" w:themeColor="text1"/>
        </w:rPr>
        <w:t xml:space="preserve">, señalando que contraría la norma constitucional al condicionar que los contratos solo se pueden celebrar cuando no exista oferta en el mercado, sometiendo su celebración a que, de existir oferta, la contratación con las entidades sin ánimo de lucro represente la optimización de los recursos públicos en términos de eficiencia, eficacia, economía y manejo del riesgo, toda vez que se desconocería la naturaleza de las entidades sin ánimo de lucro que implica que ellas no participan en el mercado de bienes y servicios de la misma forma que las demás sociedades. En este sentido, el Consejo de Estado manifestó: </w:t>
      </w:r>
    </w:p>
    <w:p w14:paraId="0D790B35" w14:textId="77777777" w:rsidR="00B110F5" w:rsidRPr="001F4636" w:rsidRDefault="00B110F5" w:rsidP="00B110F5">
      <w:pPr>
        <w:spacing w:after="0" w:line="276" w:lineRule="auto"/>
        <w:jc w:val="both"/>
        <w:rPr>
          <w:rFonts w:ascii="Verdana" w:eastAsia="Calibri" w:hAnsi="Verdana" w:cs="Arial"/>
          <w:color w:val="000000" w:themeColor="text1"/>
        </w:rPr>
      </w:pPr>
    </w:p>
    <w:p w14:paraId="77AFB303" w14:textId="77777777" w:rsidR="00B110F5" w:rsidRPr="00A63C7E" w:rsidRDefault="00B110F5" w:rsidP="00B110F5">
      <w:pPr>
        <w:spacing w:after="0" w:line="240" w:lineRule="auto"/>
        <w:ind w:left="708" w:right="709"/>
        <w:jc w:val="both"/>
        <w:rPr>
          <w:rFonts w:ascii="Verdana" w:eastAsia="Calibri" w:hAnsi="Verdana" w:cs="Arial"/>
          <w:color w:val="000000" w:themeColor="text1"/>
          <w:sz w:val="20"/>
          <w:szCs w:val="20"/>
        </w:rPr>
      </w:pPr>
      <w:r w:rsidRPr="00A63C7E">
        <w:rPr>
          <w:rFonts w:ascii="Verdana" w:eastAsia="Calibri" w:hAnsi="Verdana" w:cs="Arial"/>
          <w:color w:val="000000" w:themeColor="text1"/>
          <w:sz w:val="20"/>
          <w:szCs w:val="20"/>
        </w:rPr>
        <w:t>“El propósito de garantizar la libre competencia en el mercado –como se advierte de la lectura del acto acusado– no se ajusta a la finalidad de la norma constitucional en cita, pues desconoce que las entidades sin ánimo de lucro no participan en el mercado de bienes y servicios como lo hacen las demás y, por la misma razón, no se les pueden aplicar las reglas de selección contenidas en el Estatuto General de la Contratación Pública. Las entidades a las cuales la norma constitucional busca apoyar son entidades que (i) no tienen ánimo de lucro y (</w:t>
      </w:r>
      <w:proofErr w:type="spellStart"/>
      <w:r w:rsidRPr="00A63C7E">
        <w:rPr>
          <w:rFonts w:ascii="Verdana" w:eastAsia="Calibri" w:hAnsi="Verdana" w:cs="Arial"/>
          <w:color w:val="000000" w:themeColor="text1"/>
          <w:sz w:val="20"/>
          <w:szCs w:val="20"/>
        </w:rPr>
        <w:t>ii</w:t>
      </w:r>
      <w:proofErr w:type="spellEnd"/>
      <w:r w:rsidRPr="00A63C7E">
        <w:rPr>
          <w:rFonts w:ascii="Verdana" w:eastAsia="Calibri" w:hAnsi="Verdana" w:cs="Arial"/>
          <w:color w:val="000000" w:themeColor="text1"/>
          <w:sz w:val="20"/>
          <w:szCs w:val="20"/>
        </w:rPr>
        <w:t>) desarrollan programas y actividades de interés público con reconocida idoneidad. No son, entonces, entidades creadas para competir en el mercado”.</w:t>
      </w:r>
    </w:p>
    <w:p w14:paraId="2A737439" w14:textId="77777777" w:rsidR="00B110F5" w:rsidRPr="001F4636" w:rsidRDefault="00B110F5" w:rsidP="00B110F5">
      <w:pPr>
        <w:spacing w:after="0" w:line="276" w:lineRule="auto"/>
        <w:jc w:val="both"/>
        <w:rPr>
          <w:rFonts w:ascii="Verdana" w:eastAsia="Calibri" w:hAnsi="Verdana" w:cs="Arial"/>
          <w:color w:val="000000" w:themeColor="text1"/>
        </w:rPr>
      </w:pPr>
    </w:p>
    <w:p w14:paraId="2A3E8B65" w14:textId="77777777" w:rsidR="00B110F5" w:rsidRPr="001F4636" w:rsidRDefault="00B110F5" w:rsidP="00B110F5">
      <w:pPr>
        <w:spacing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Por tanto, suspendió provisionalmente el literal c) y el inciso 5º del artículo 2 del Decreto 092 de 2017, razón por la cual los procesos de contratación con entidades privadas sin ánimo de lucro no quedan condicionados a la inexistencia de oferta en el mercado de bienes y servicios, ni a que la ESAL garantice la mejor oferta y la optimización de los recursos públicos. Lo anterior, en la medida que estas condiciones son propias de la contratación del Estatuto General de </w:t>
      </w:r>
      <w:r w:rsidRPr="001F4636">
        <w:rPr>
          <w:rFonts w:ascii="Verdana" w:eastAsia="Calibri" w:hAnsi="Verdana" w:cs="Arial"/>
          <w:color w:val="000000" w:themeColor="text1"/>
        </w:rPr>
        <w:lastRenderedPageBreak/>
        <w:t>Contratación de la Administración Pública, no del régimen jurídico especial que establece el artículo 355 de la Constitución Política.</w:t>
      </w:r>
    </w:p>
    <w:p w14:paraId="3C766F9E" w14:textId="77777777" w:rsidR="00B110F5" w:rsidRPr="001F4636" w:rsidRDefault="00B110F5" w:rsidP="00B110F5">
      <w:pPr>
        <w:spacing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La </w:t>
      </w:r>
      <w:r w:rsidRPr="001F4636">
        <w:rPr>
          <w:rFonts w:ascii="Verdana" w:eastAsia="Calibri" w:hAnsi="Verdana" w:cs="Arial"/>
          <w:i/>
          <w:iCs/>
          <w:color w:val="000000" w:themeColor="text1"/>
        </w:rPr>
        <w:t>cuarta</w:t>
      </w:r>
      <w:r w:rsidRPr="001F4636">
        <w:rPr>
          <w:rFonts w:ascii="Verdana" w:eastAsia="Calibri" w:hAnsi="Verdana" w:cs="Arial"/>
          <w:color w:val="000000" w:themeColor="text1"/>
        </w:rPr>
        <w:t xml:space="preserve"> norma que estudió el Consejo de Estado en el auto del 6 de agosto de 2019 fue el inciso final del artículo 4 del Decreto 092 de 2017, el cual hace referencia a la posibilidad de contratar directamente cuando el objeto del contrato esté relacionado con actividades artísticas, culturales, deportivas y de promoción de la diversidad étnica colombiana, que únicamente pueden ejecutar determinadas personas jurídicas o naturales</w:t>
      </w:r>
      <w:r w:rsidRPr="001F4636">
        <w:rPr>
          <w:rStyle w:val="Refdenotaalpie"/>
          <w:rFonts w:ascii="Verdana" w:eastAsia="Calibri" w:hAnsi="Verdana" w:cs="Arial"/>
          <w:color w:val="000000" w:themeColor="text1"/>
        </w:rPr>
        <w:footnoteReference w:id="14"/>
      </w:r>
      <w:r w:rsidRPr="001F4636">
        <w:rPr>
          <w:rFonts w:ascii="Verdana" w:eastAsia="Calibri" w:hAnsi="Verdana" w:cs="Arial"/>
          <w:color w:val="000000" w:themeColor="text1"/>
        </w:rPr>
        <w:t xml:space="preserve">. Para la Sala, esta norma vulnera el principio de igualdad, por establecer un privilegio para determinadas personas jurídicas o naturales que ejecutaran únicamente las actividades allí previstas, contratándolas sin realizar un proceso competitivo. El Consejo de Estado se pronunció en los siguientes términos: </w:t>
      </w:r>
    </w:p>
    <w:p w14:paraId="26A4D6A5" w14:textId="77777777" w:rsidR="00B110F5" w:rsidRPr="001F4636" w:rsidRDefault="00B110F5" w:rsidP="00B110F5">
      <w:pPr>
        <w:spacing w:after="0" w:line="276" w:lineRule="auto"/>
        <w:jc w:val="both"/>
        <w:rPr>
          <w:rFonts w:ascii="Verdana" w:eastAsia="Calibri" w:hAnsi="Verdana" w:cs="Arial"/>
          <w:color w:val="000000" w:themeColor="text1"/>
        </w:rPr>
      </w:pPr>
    </w:p>
    <w:p w14:paraId="1CCB2E0B" w14:textId="77777777" w:rsidR="00B110F5" w:rsidRPr="00A63C7E" w:rsidRDefault="00B110F5" w:rsidP="00B110F5">
      <w:pPr>
        <w:spacing w:after="0" w:line="240" w:lineRule="auto"/>
        <w:ind w:left="708" w:right="709"/>
        <w:jc w:val="both"/>
        <w:rPr>
          <w:rFonts w:ascii="Verdana" w:eastAsia="Calibri" w:hAnsi="Verdana" w:cs="Arial"/>
          <w:color w:val="000000" w:themeColor="text1"/>
          <w:sz w:val="20"/>
          <w:szCs w:val="20"/>
        </w:rPr>
      </w:pPr>
      <w:r w:rsidRPr="00A63C7E">
        <w:rPr>
          <w:rFonts w:ascii="Verdana" w:eastAsia="Calibri" w:hAnsi="Verdana" w:cs="Arial"/>
          <w:color w:val="000000" w:themeColor="text1"/>
          <w:sz w:val="20"/>
          <w:szCs w:val="20"/>
        </w:rPr>
        <w:t xml:space="preserve">“Puestas así las cosas, el despacho no encuentra motivo alguno para que se prescinda del proceso de selección cuando se identifique que el programa o actividad de interés público es ofrecido por más de una persona –natural o jurídica– simple y llanamente porque el objeto del proceso de contratación corresponda a actividades artísticas, culturales, deportivas y de promoción de la diversidad étnica. Esta razón, por tanto, es suficiente para concluir que el Gobierno Nacional le otorgó un tratamiento privilegiado a quienes desarrollen tales actividades (artísticas, culturales, deportivas y de promoción de la diversidad étnica) lo cual resulta claramente violatorio de la igualdad que debe gobernar este tipo de procedimientos contractuales. No se entiende, entonces, cuál es la razón para que se le asigne un tratamiento distinto a la contratación con este tipo de actividades (artísticas, culturales, deportivas y de promoción a la diversidad étnica) frente a las actividades de interés público de otra naturaleza”. </w:t>
      </w:r>
    </w:p>
    <w:p w14:paraId="39B21504" w14:textId="77777777" w:rsidR="00B110F5" w:rsidRPr="001F4636" w:rsidRDefault="00B110F5" w:rsidP="00B110F5">
      <w:pPr>
        <w:spacing w:after="0" w:line="276" w:lineRule="auto"/>
        <w:ind w:firstLine="709"/>
        <w:jc w:val="both"/>
        <w:rPr>
          <w:rFonts w:ascii="Verdana" w:eastAsia="Calibri" w:hAnsi="Verdana" w:cs="Arial"/>
          <w:color w:val="000000" w:themeColor="text1"/>
        </w:rPr>
      </w:pPr>
      <w:bookmarkStart w:id="9" w:name="_Hlk95756891"/>
    </w:p>
    <w:p w14:paraId="7FDD1D0E" w14:textId="77777777" w:rsidR="00B110F5" w:rsidRPr="001F4636" w:rsidRDefault="00B110F5" w:rsidP="00B110F5">
      <w:pPr>
        <w:spacing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Por consiguiente, se suspendió provisionalmente el inciso final del artículo 4 por violar el principio de igualdad, de manera que la contratación de actividades y programas de interés público debe realizarse a través de un proceso competitivo para escoger a la entidad sin ánimo de lucro. </w:t>
      </w:r>
      <w:bookmarkEnd w:id="9"/>
      <w:r w:rsidRPr="001F4636">
        <w:rPr>
          <w:rFonts w:ascii="Verdana" w:eastAsia="Calibri" w:hAnsi="Verdana" w:cs="Arial"/>
          <w:color w:val="000000" w:themeColor="text1"/>
        </w:rPr>
        <w:t xml:space="preserve">En estos procesos, entonces, se debe acudir a los criterios aplicables a los otros negocios jurídicos que regula el Decreto 092 de 2017, particularmente las exigencias del </w:t>
      </w:r>
      <w:r w:rsidRPr="001F4636">
        <w:rPr>
          <w:rFonts w:ascii="Verdana" w:eastAsia="Calibri" w:hAnsi="Verdana" w:cs="Arial"/>
          <w:color w:val="000000" w:themeColor="text1"/>
        </w:rPr>
        <w:lastRenderedPageBreak/>
        <w:t xml:space="preserve">artículo 2 </w:t>
      </w:r>
      <w:r w:rsidRPr="001F4636">
        <w:rPr>
          <w:rFonts w:ascii="Verdana" w:eastAsia="Calibri" w:hAnsi="Verdana" w:cs="Arial"/>
          <w:i/>
          <w:iCs/>
          <w:color w:val="000000" w:themeColor="text1"/>
        </w:rPr>
        <w:t>ibidem</w:t>
      </w:r>
      <w:r w:rsidRPr="001F4636">
        <w:rPr>
          <w:rFonts w:ascii="Verdana" w:eastAsia="Calibri" w:hAnsi="Verdana" w:cs="Arial"/>
          <w:color w:val="000000" w:themeColor="text1"/>
        </w:rPr>
        <w:t xml:space="preserve">. Incluso, habría que tener en cuenta las exigencias del inciso 2 del artículo 4 </w:t>
      </w:r>
      <w:proofErr w:type="spellStart"/>
      <w:r w:rsidRPr="001F4636">
        <w:rPr>
          <w:rFonts w:ascii="Verdana" w:eastAsia="Calibri" w:hAnsi="Verdana" w:cs="Arial"/>
          <w:i/>
          <w:iCs/>
          <w:color w:val="000000" w:themeColor="text1"/>
        </w:rPr>
        <w:t>íbídem</w:t>
      </w:r>
      <w:proofErr w:type="spellEnd"/>
      <w:r w:rsidRPr="001F4636">
        <w:rPr>
          <w:rFonts w:ascii="Verdana" w:eastAsia="Calibri" w:hAnsi="Verdana" w:cs="Arial"/>
          <w:color w:val="000000" w:themeColor="text1"/>
        </w:rPr>
        <w:t>, siempre que se configuren los supuestos de aplicación de dicha normativa, esto es, siempre que exista más de una entidad sin ánimo de lucro de reconocida idoneidad.</w:t>
      </w:r>
    </w:p>
    <w:p w14:paraId="60B0A3C9" w14:textId="77777777" w:rsidR="00B110F5" w:rsidRPr="001F4636" w:rsidRDefault="00B110F5" w:rsidP="00B110F5">
      <w:pPr>
        <w:spacing w:before="120" w:line="276" w:lineRule="auto"/>
        <w:ind w:firstLine="709"/>
        <w:jc w:val="both"/>
        <w:rPr>
          <w:rFonts w:ascii="Verdana" w:eastAsia="Calibri" w:hAnsi="Verdana" w:cs="Arial"/>
          <w:color w:val="000000" w:themeColor="text1"/>
        </w:rPr>
      </w:pPr>
      <w:bookmarkStart w:id="10" w:name="_Hlk95757095"/>
      <w:r w:rsidRPr="001F4636">
        <w:rPr>
          <w:rFonts w:ascii="Verdana" w:eastAsia="Calibri" w:hAnsi="Verdana" w:cs="Arial"/>
          <w:color w:val="000000" w:themeColor="text1"/>
        </w:rPr>
        <w:t xml:space="preserve">Por último, en </w:t>
      </w:r>
      <w:r w:rsidRPr="001F4636">
        <w:rPr>
          <w:rFonts w:ascii="Verdana" w:eastAsia="Calibri" w:hAnsi="Verdana" w:cs="Arial"/>
          <w:i/>
          <w:iCs/>
          <w:color w:val="000000" w:themeColor="text1"/>
        </w:rPr>
        <w:t xml:space="preserve">quinto </w:t>
      </w:r>
      <w:r w:rsidRPr="001F4636">
        <w:rPr>
          <w:rFonts w:ascii="Verdana" w:eastAsia="Calibri" w:hAnsi="Verdana" w:cs="Arial"/>
          <w:color w:val="000000" w:themeColor="text1"/>
        </w:rPr>
        <w:t xml:space="preserve">lugar, el Consejo de Estado en el auto del 6 de agosto de 2019 analizó la solicitud de suspensión del artículo 5 del Decreto 092 de 2017, que reglamenta los convenios de asociación que prevé el artículo 96 de la Ley 489 de 1998. Concluyó que el análisis de esta norma debe realizarse a profundidad para establecer si efectivamente existe una contradicción normativa que implique que se afectó la competencia del legislador. En consecuencia negó la solicitud de suspensión provisional, reservando el análisis sobre la legalidad de dicho artículo a la sentencia. </w:t>
      </w:r>
    </w:p>
    <w:p w14:paraId="7388400A" w14:textId="77777777" w:rsidR="00B110F5" w:rsidRPr="001F4636" w:rsidRDefault="00B110F5" w:rsidP="00B110F5">
      <w:pPr>
        <w:spacing w:before="120"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La Sala Plena del Consejo de Estado en Auto del 15 de marzo de 2022 estima que debe mantenerse la suspensión provisional del literal a) del artículo 2 del Decreto 092 de 2017. Lo anterior en la medida que esta restringe y contraria la finalidad de apoyo y fomento prevista en el artículo 355 de la Constitución Política, pues –pese a que la norma superior no hizo diferenciación alguna al respecto– el decreto limita su órbita de aplicación a un catálogo de actividades y programas de interés público susceptibles de este mecanismo</w:t>
      </w:r>
      <w:r w:rsidRPr="001F4636">
        <w:rPr>
          <w:rStyle w:val="Refdenotaalpie"/>
          <w:rFonts w:ascii="Verdana" w:eastAsia="Calibri" w:hAnsi="Verdana" w:cs="Arial"/>
          <w:color w:val="000000" w:themeColor="text1"/>
        </w:rPr>
        <w:footnoteReference w:id="15"/>
      </w:r>
      <w:r w:rsidRPr="001F4636">
        <w:rPr>
          <w:rFonts w:ascii="Verdana" w:eastAsia="Calibri" w:hAnsi="Verdana" w:cs="Arial"/>
          <w:color w:val="000000" w:themeColor="text1"/>
        </w:rPr>
        <w:t xml:space="preserve">. Por lo demás, respecto al inciso final del artículo 4 </w:t>
      </w:r>
      <w:r w:rsidRPr="001F4636">
        <w:rPr>
          <w:rFonts w:ascii="Verdana" w:eastAsia="Calibri" w:hAnsi="Verdana" w:cs="Arial"/>
          <w:i/>
          <w:iCs/>
          <w:color w:val="000000" w:themeColor="text1"/>
        </w:rPr>
        <w:t>ibidem</w:t>
      </w:r>
      <w:r w:rsidRPr="001F4636">
        <w:rPr>
          <w:rFonts w:ascii="Verdana" w:eastAsia="Calibri" w:hAnsi="Verdana" w:cs="Arial"/>
          <w:color w:val="000000" w:themeColor="text1"/>
        </w:rPr>
        <w:t>, el Consejo de Estado mantiene la medida cautelar al configurarse el cargo de violación del principio de igualdad. Para estos efectos, considera que:</w:t>
      </w:r>
    </w:p>
    <w:p w14:paraId="4D0DC0A9" w14:textId="77777777" w:rsidR="00B110F5" w:rsidRPr="001F4636" w:rsidRDefault="00B110F5" w:rsidP="00B110F5">
      <w:pPr>
        <w:spacing w:after="0" w:line="276" w:lineRule="auto"/>
        <w:ind w:firstLine="709"/>
        <w:jc w:val="both"/>
        <w:rPr>
          <w:rFonts w:ascii="Verdana" w:eastAsia="Calibri" w:hAnsi="Verdana" w:cs="Arial"/>
          <w:color w:val="000000" w:themeColor="text1"/>
        </w:rPr>
      </w:pPr>
    </w:p>
    <w:p w14:paraId="23A4E4FE" w14:textId="77777777" w:rsidR="00B110F5" w:rsidRPr="00A63C7E" w:rsidRDefault="00B110F5" w:rsidP="00B110F5">
      <w:pPr>
        <w:spacing w:after="120" w:line="240" w:lineRule="auto"/>
        <w:ind w:left="709" w:right="709"/>
        <w:jc w:val="both"/>
        <w:rPr>
          <w:rFonts w:ascii="Verdana" w:eastAsia="Calibri" w:hAnsi="Verdana" w:cs="Arial"/>
          <w:color w:val="000000" w:themeColor="text1"/>
          <w:sz w:val="20"/>
          <w:szCs w:val="20"/>
        </w:rPr>
      </w:pPr>
      <w:r w:rsidRPr="00A63C7E">
        <w:rPr>
          <w:rFonts w:ascii="Verdana" w:eastAsia="Calibri" w:hAnsi="Verdana" w:cs="Arial"/>
          <w:color w:val="000000" w:themeColor="text1"/>
          <w:sz w:val="20"/>
          <w:szCs w:val="20"/>
        </w:rPr>
        <w:t xml:space="preserve">“73. […] la simple afirmación referida a que existe una relación inherente entre el producto del contrato y el contratista en las actividades exceptuadas del proceso competitivo de selección no permite concluir, razonablemente, que en las demás actividades de interés general aquello no se presente, o que, por ese simple hecho, merezcan un trato diferente. </w:t>
      </w:r>
    </w:p>
    <w:p w14:paraId="07F1B6B3" w14:textId="77777777" w:rsidR="00B110F5" w:rsidRPr="001F4636" w:rsidRDefault="00B110F5" w:rsidP="00B110F5">
      <w:pPr>
        <w:spacing w:after="0" w:line="240" w:lineRule="auto"/>
        <w:ind w:left="709" w:right="709"/>
        <w:jc w:val="both"/>
        <w:rPr>
          <w:rFonts w:ascii="Verdana" w:eastAsia="Calibri" w:hAnsi="Verdana" w:cs="Arial"/>
          <w:color w:val="000000" w:themeColor="text1"/>
          <w:sz w:val="21"/>
          <w:szCs w:val="21"/>
        </w:rPr>
      </w:pPr>
      <w:r w:rsidRPr="00A63C7E">
        <w:rPr>
          <w:rFonts w:ascii="Verdana" w:eastAsia="Calibri" w:hAnsi="Verdana" w:cs="Arial"/>
          <w:color w:val="000000" w:themeColor="text1"/>
          <w:sz w:val="20"/>
          <w:szCs w:val="20"/>
        </w:rPr>
        <w:t xml:space="preserve">74. En efecto, si en otros ámbitos de actividad de interés público que pueden adelantar entidades privadas sin ánimo de lucro se llega a presentar la situación de que sólo una de ellas esté en capacidad de realizarla, no será factible contratar directamente con ella, puesto que no </w:t>
      </w:r>
      <w:r w:rsidRPr="00A63C7E">
        <w:rPr>
          <w:rFonts w:ascii="Verdana" w:eastAsia="Calibri" w:hAnsi="Verdana" w:cs="Arial"/>
          <w:color w:val="000000" w:themeColor="text1"/>
          <w:sz w:val="20"/>
          <w:szCs w:val="20"/>
        </w:rPr>
        <w:lastRenderedPageBreak/>
        <w:t>hace parte de las actividades enunciadas en la norma: de índole artística, cultural, deportiva o de promoción de la diversidad étnica”</w:t>
      </w:r>
      <w:r w:rsidRPr="00A63C7E">
        <w:rPr>
          <w:rStyle w:val="Refdenotaalpie"/>
          <w:rFonts w:ascii="Verdana" w:eastAsia="Calibri" w:hAnsi="Verdana" w:cs="Arial"/>
          <w:color w:val="000000" w:themeColor="text1"/>
          <w:sz w:val="20"/>
          <w:szCs w:val="20"/>
        </w:rPr>
        <w:footnoteReference w:id="16"/>
      </w:r>
      <w:r w:rsidRPr="00A63C7E">
        <w:rPr>
          <w:rFonts w:ascii="Verdana" w:eastAsia="Calibri" w:hAnsi="Verdana" w:cs="Arial"/>
          <w:color w:val="000000" w:themeColor="text1"/>
          <w:sz w:val="20"/>
          <w:szCs w:val="20"/>
        </w:rPr>
        <w:t>.</w:t>
      </w:r>
      <w:r w:rsidRPr="001F4636">
        <w:rPr>
          <w:rFonts w:ascii="Verdana" w:eastAsia="Calibri" w:hAnsi="Verdana" w:cs="Arial"/>
          <w:color w:val="000000" w:themeColor="text1"/>
          <w:sz w:val="21"/>
          <w:szCs w:val="21"/>
        </w:rPr>
        <w:t xml:space="preserve">  </w:t>
      </w:r>
    </w:p>
    <w:p w14:paraId="5EFA9D02" w14:textId="77777777" w:rsidR="00B110F5" w:rsidRPr="001F4636" w:rsidRDefault="00B110F5" w:rsidP="00B110F5">
      <w:pPr>
        <w:spacing w:after="0" w:line="276" w:lineRule="auto"/>
        <w:ind w:firstLine="709"/>
        <w:jc w:val="both"/>
        <w:rPr>
          <w:rFonts w:ascii="Verdana" w:eastAsia="Calibri" w:hAnsi="Verdana" w:cs="Arial"/>
          <w:color w:val="000000" w:themeColor="text1"/>
        </w:rPr>
      </w:pPr>
    </w:p>
    <w:p w14:paraId="4F664778" w14:textId="77777777" w:rsidR="00B110F5" w:rsidRPr="001F4636" w:rsidRDefault="00B110F5" w:rsidP="00B110F5">
      <w:pPr>
        <w:spacing w:line="276" w:lineRule="auto"/>
        <w:ind w:firstLine="709"/>
        <w:jc w:val="both"/>
        <w:rPr>
          <w:rFonts w:ascii="Verdana" w:eastAsia="Calibri" w:hAnsi="Verdana" w:cs="Arial"/>
          <w:color w:val="000000" w:themeColor="text1"/>
        </w:rPr>
      </w:pPr>
      <w:bookmarkStart w:id="12" w:name="_Hlk95757157"/>
      <w:bookmarkEnd w:id="10"/>
      <w:r w:rsidRPr="001F4636">
        <w:rPr>
          <w:rFonts w:ascii="Verdana" w:hAnsi="Verdana" w:cs="Arial"/>
          <w:color w:val="000000" w:themeColor="text1"/>
        </w:rPr>
        <w:t xml:space="preserve">De lo anterior se desprende que la contratación con entidades sin ánimo de lucro se sigue rigiendo por el Decreto 092 de 2017, salvo lo que fue objeto de suspensión provisional. Por lo tanto, las entidades públicas que desean celebrar contratos de interés público, en los términos del artículo 355 de la Constitución Política, deberán contratar con ESAL de reconocida idoneidad, como ya se dijo, realizando un proceso competitivo, y teniendo en cuenta lo siguiente: i) no debe condicionarse el proceso de contratación a la inexistencia de oferta en el mercado de bienes y servicios; </w:t>
      </w:r>
      <w:proofErr w:type="spellStart"/>
      <w:r w:rsidRPr="001F4636">
        <w:rPr>
          <w:rFonts w:ascii="Verdana" w:hAnsi="Verdana" w:cs="Arial"/>
          <w:color w:val="000000" w:themeColor="text1"/>
        </w:rPr>
        <w:t>ii</w:t>
      </w:r>
      <w:proofErr w:type="spellEnd"/>
      <w:r w:rsidRPr="001F4636">
        <w:rPr>
          <w:rFonts w:ascii="Verdana" w:hAnsi="Verdana" w:cs="Arial"/>
          <w:color w:val="000000" w:themeColor="text1"/>
        </w:rPr>
        <w:t xml:space="preserve">) tampoco debe condicionarse a que la contratación con las ESAL garantice la optimización de los recursos públicos en términos de eficiencia, eficacia, economía y manejo del riesgo; </w:t>
      </w:r>
      <w:proofErr w:type="spellStart"/>
      <w:r w:rsidRPr="001F4636">
        <w:rPr>
          <w:rFonts w:ascii="Verdana" w:hAnsi="Verdana" w:cs="Arial"/>
          <w:color w:val="000000" w:themeColor="text1"/>
        </w:rPr>
        <w:t>iii</w:t>
      </w:r>
      <w:proofErr w:type="spellEnd"/>
      <w:r w:rsidRPr="001F4636">
        <w:rPr>
          <w:rFonts w:ascii="Verdana" w:hAnsi="Verdana" w:cs="Arial"/>
          <w:color w:val="000000" w:themeColor="text1"/>
        </w:rPr>
        <w:t xml:space="preserve">) el objeto del contrato debe estar acorde con el plan nacional o seccional de desarrollo; </w:t>
      </w:r>
      <w:proofErr w:type="spellStart"/>
      <w:r w:rsidRPr="001F4636">
        <w:rPr>
          <w:rFonts w:ascii="Verdana" w:hAnsi="Verdana" w:cs="Arial"/>
          <w:color w:val="000000" w:themeColor="text1"/>
        </w:rPr>
        <w:t>iv</w:t>
      </w:r>
      <w:proofErr w:type="spellEnd"/>
      <w:r w:rsidRPr="001F4636">
        <w:rPr>
          <w:rFonts w:ascii="Verdana" w:hAnsi="Verdana" w:cs="Arial"/>
          <w:color w:val="000000" w:themeColor="text1"/>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1F4636">
        <w:rPr>
          <w:rFonts w:ascii="Verdana" w:hAnsi="Verdana" w:cs="Arial"/>
          <w:color w:val="000000" w:themeColor="text1"/>
        </w:rPr>
        <w:t>iii</w:t>
      </w:r>
      <w:proofErr w:type="spellEnd"/>
      <w:r w:rsidRPr="001F4636">
        <w:rPr>
          <w:rFonts w:ascii="Verdana" w:hAnsi="Verdana" w:cs="Arial"/>
          <w:color w:val="000000" w:themeColor="text1"/>
        </w:rPr>
        <w:t>); y v) el contrato no debe establecer una relación conmutativa en el cual haya una contraprestación directa a favor de la entidad, ni instrucciones precisas dadas por esta al contratista para cumplir con el objeto del contrato.</w:t>
      </w:r>
    </w:p>
    <w:p w14:paraId="21D09618" w14:textId="77777777" w:rsidR="00B110F5" w:rsidRPr="00006A46" w:rsidRDefault="00B110F5" w:rsidP="00B110F5">
      <w:pPr>
        <w:spacing w:before="120" w:after="120" w:line="276" w:lineRule="auto"/>
        <w:ind w:firstLine="709"/>
        <w:jc w:val="both"/>
        <w:textAlignment w:val="baseline"/>
        <w:rPr>
          <w:rFonts w:ascii="Verdana" w:eastAsia="Calibri" w:hAnsi="Verdana" w:cs="Arial"/>
          <w:lang w:val="es-ES_tradnl" w:eastAsia="es-ES_tradnl"/>
        </w:rPr>
      </w:pPr>
      <w:r w:rsidRPr="001F4636">
        <w:rPr>
          <w:rFonts w:ascii="Verdana" w:eastAsia="Calibri" w:hAnsi="Verdana" w:cs="Arial"/>
          <w:color w:val="000000" w:themeColor="text1"/>
        </w:rPr>
        <w:t xml:space="preserve">Ahora, si se pretende realizar un </w:t>
      </w:r>
      <w:r w:rsidRPr="001F4636">
        <w:rPr>
          <w:rFonts w:ascii="Verdana" w:eastAsia="Calibri" w:hAnsi="Verdana" w:cs="Arial"/>
          <w:i/>
          <w:iCs/>
          <w:color w:val="000000" w:themeColor="text1"/>
        </w:rPr>
        <w:t>convenio de asociación</w:t>
      </w:r>
      <w:r w:rsidRPr="001F4636">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w:t>
      </w:r>
      <w:r w:rsidRPr="00006A46">
        <w:rPr>
          <w:rFonts w:ascii="Verdana" w:eastAsia="Calibri" w:hAnsi="Verdana" w:cs="Arial"/>
          <w:color w:val="000000"/>
          <w:lang w:val="es-MX"/>
        </w:rPr>
        <w:t xml:space="preserve">Por regla general, deben estar sujetos a competencia; salvo en aquellos casos en que </w:t>
      </w:r>
      <w:r w:rsidRPr="00006A46">
        <w:rPr>
          <w:rFonts w:ascii="Verdana" w:eastAsia="Calibri" w:hAnsi="Verdana" w:cs="Arial"/>
          <w:i/>
          <w:color w:val="000000"/>
          <w:lang w:val="es-MX"/>
        </w:rPr>
        <w:t>una</w:t>
      </w:r>
      <w:r w:rsidRPr="00006A46">
        <w:rPr>
          <w:rFonts w:ascii="Verdana" w:eastAsia="Calibri" w:hAnsi="Verdana" w:cs="Arial"/>
          <w:color w:val="000000"/>
          <w:lang w:val="es-MX"/>
        </w:rPr>
        <w:t xml:space="preserve"> entidad sin ánimo de lucro comprometa recursos en dinero por un valor igual o superior al 30% del valor total del convenio</w:t>
      </w:r>
      <w:r w:rsidRPr="00006A46">
        <w:rPr>
          <w:rFonts w:ascii="Verdana" w:eastAsia="Calibri" w:hAnsi="Verdana" w:cs="Arial"/>
          <w:color w:val="000000"/>
          <w:vertAlign w:val="superscript"/>
          <w:lang w:val="es-MX"/>
        </w:rPr>
        <w:footnoteReference w:id="17"/>
      </w:r>
      <w:r w:rsidRPr="00006A46">
        <w:rPr>
          <w:rFonts w:ascii="Verdana" w:eastAsia="Calibri" w:hAnsi="Verdana" w:cs="Arial"/>
          <w:color w:val="000000"/>
          <w:lang w:val="es-MX"/>
        </w:rPr>
        <w:t xml:space="preserve">, y siempre que la entidad estatal verifique previamente que no existe ninguna otra entidad sin ánimo de lucro que ofrezca aportes en dinero iguales o superiores al 30%, ya que en este último evento también deberá adelantar un proceso </w:t>
      </w:r>
      <w:r w:rsidRPr="00006A46">
        <w:rPr>
          <w:rFonts w:ascii="Verdana" w:eastAsia="Calibri" w:hAnsi="Verdana" w:cs="Arial"/>
          <w:color w:val="000000"/>
          <w:lang w:val="es-MX"/>
        </w:rPr>
        <w:lastRenderedPageBreak/>
        <w:t>competitivo. De hecho, en relación con la naturaleza y cuantía de los convenios, la norma anteriormente citada no prohíbe la celebración de convenios en que la ESAL aporte menos del 30% o cuando aporten recursos en especie. En efecto, solo indica que en esos casos la entidad estatal debe acudir al proceso competitivo para seleccionar a la entidad sin ánimo de lucro con la cual celebrará el respectivo convenio.</w:t>
      </w:r>
    </w:p>
    <w:p w14:paraId="5A1AE5D7" w14:textId="77777777" w:rsidR="00B110F5" w:rsidRPr="00006A46" w:rsidRDefault="00B110F5" w:rsidP="00B110F5">
      <w:pPr>
        <w:spacing w:after="120" w:line="276" w:lineRule="auto"/>
        <w:ind w:firstLine="709"/>
        <w:jc w:val="both"/>
        <w:rPr>
          <w:rFonts w:ascii="Verdana" w:eastAsia="Calibri" w:hAnsi="Verdana" w:cs="Arial"/>
          <w:lang w:val="es-ES_tradnl"/>
        </w:rPr>
      </w:pPr>
      <w:r w:rsidRPr="00006A46">
        <w:rPr>
          <w:rFonts w:ascii="Verdana" w:eastAsia="Calibri" w:hAnsi="Verdana" w:cs="Arial"/>
          <w:lang w:val="es-ES_tradnl" w:eastAsia="es-ES_tradnl"/>
        </w:rPr>
        <w:t xml:space="preserve">En este caso, los aportes están dirigidos concretamente a lograr la ejecución del convenio. De todos modos, la entidad deberá adelantar un proceso competitivo, salvo cuando la ESAL comprometa recursos en dinero para la ejecución de estas actividades, en una proporción no inferior al 30% del valor total del convenio. Así, </w:t>
      </w:r>
      <w:bookmarkStart w:id="13" w:name="_Hlk77927493"/>
      <w:r w:rsidRPr="00006A46">
        <w:rPr>
          <w:rFonts w:ascii="Verdana" w:eastAsia="Calibri" w:hAnsi="Verdana" w:cs="Arial"/>
          <w:lang w:val="es-ES_tradnl"/>
        </w:rPr>
        <w:t xml:space="preserve">si se pretende suscribir un </w:t>
      </w:r>
      <w:r w:rsidRPr="00006A46">
        <w:rPr>
          <w:rFonts w:ascii="Verdana" w:eastAsia="Calibri" w:hAnsi="Verdana" w:cs="Arial"/>
          <w:i/>
          <w:lang w:val="es-ES_tradnl"/>
        </w:rPr>
        <w:t>convenio de asociación</w:t>
      </w:r>
      <w:r w:rsidRPr="00006A46">
        <w:rPr>
          <w:rFonts w:ascii="Verdana" w:eastAsia="Calibri" w:hAnsi="Verdana" w:cs="Arial"/>
          <w:lang w:val="es-ES_tradnl"/>
        </w:rPr>
        <w:t xml:space="preserve"> con una ESAL de reconocida idoneidad para el cumplimiento de las funciones que la ley les asigna a las entidades públicas, deben aplicar lo dispuesto en el artículo 5 del Decreto 092 de 2017. </w:t>
      </w:r>
    </w:p>
    <w:p w14:paraId="54F0621D" w14:textId="77777777" w:rsidR="00B110F5" w:rsidRPr="00006A46" w:rsidRDefault="00B110F5" w:rsidP="00B110F5">
      <w:pPr>
        <w:spacing w:before="120" w:after="0" w:line="276" w:lineRule="auto"/>
        <w:ind w:firstLine="709"/>
        <w:jc w:val="both"/>
        <w:rPr>
          <w:rFonts w:ascii="Verdana" w:eastAsia="Calibri" w:hAnsi="Verdana" w:cs="Arial"/>
          <w:color w:val="000000" w:themeColor="text1"/>
        </w:rPr>
      </w:pPr>
      <w:r w:rsidRPr="00006A46">
        <w:rPr>
          <w:rFonts w:ascii="Verdana" w:eastAsia="Calibri" w:hAnsi="Verdana" w:cs="Arial"/>
          <w:lang w:val="es-ES_tradnl"/>
        </w:rPr>
        <w:t xml:space="preserve">Como se estableció </w:t>
      </w:r>
      <w:r w:rsidRPr="00006A46">
        <w:rPr>
          <w:rFonts w:ascii="Verdana" w:eastAsia="Calibri" w:hAnsi="Verdana" w:cs="Arial"/>
          <w:i/>
          <w:lang w:val="es-ES_tradnl"/>
        </w:rPr>
        <w:t>ut supra</w:t>
      </w:r>
      <w:r w:rsidRPr="00006A46">
        <w:rPr>
          <w:rFonts w:ascii="Verdana" w:eastAsia="Calibri" w:hAnsi="Verdana" w:cs="Arial"/>
          <w:lang w:val="es-ES_tradnl"/>
        </w:rPr>
        <w:t>, este artículo dispone que el proceso para la escogencia de la ESAL, por regla general, debe estar sujeto a competencia. Esto, salvo en aquellos casos en los que una ESAL manifieste su compromiso de aportar recursos en dinero por un valor igual o superior al 30% del valor total del convenio, siempre y cuando no existan otras ESALES que ofrezca aportes en monto igual o superior a dicho porcentaje</w:t>
      </w:r>
      <w:bookmarkEnd w:id="13"/>
      <w:r w:rsidRPr="00006A46">
        <w:rPr>
          <w:rFonts w:ascii="Verdana" w:eastAsia="Calibri" w:hAnsi="Verdana" w:cs="Arial"/>
          <w:lang w:val="es-ES_tradnl"/>
        </w:rPr>
        <w:t xml:space="preserve">, pues en este evento también se tendría que realizar un proceso competitivo. </w:t>
      </w:r>
      <w:r w:rsidRPr="001F4636">
        <w:rPr>
          <w:rFonts w:ascii="Verdana" w:eastAsia="Calibri" w:hAnsi="Verdana" w:cs="Arial"/>
          <w:color w:val="000000"/>
        </w:rPr>
        <w:t>Lo anterior sin perjuicio de las restricciones previstas en el artículo 33 de la Ley de Garantías durante el periodo preelectoral de las elecciones presidenciales para los procesos no competitivos</w:t>
      </w:r>
      <w:r w:rsidRPr="001F4636">
        <w:rPr>
          <w:rFonts w:ascii="Verdana" w:eastAsia="Calibri" w:hAnsi="Verdana" w:cs="Arial"/>
          <w:color w:val="000000" w:themeColor="text1"/>
        </w:rPr>
        <w:t>.</w:t>
      </w:r>
    </w:p>
    <w:p w14:paraId="24F0D9CA" w14:textId="77777777" w:rsidR="00B110F5" w:rsidRDefault="00B110F5" w:rsidP="00B110F5">
      <w:pPr>
        <w:spacing w:after="120" w:line="276" w:lineRule="auto"/>
        <w:ind w:firstLine="709"/>
        <w:jc w:val="both"/>
        <w:rPr>
          <w:rFonts w:ascii="Verdana" w:eastAsia="Calibri" w:hAnsi="Verdana" w:cs="Arial"/>
          <w:lang w:val="es-ES_tradnl"/>
        </w:rPr>
      </w:pPr>
      <w:r w:rsidRPr="00006A46">
        <w:rPr>
          <w:rFonts w:ascii="Verdana" w:eastAsia="Calibri" w:hAnsi="Verdana" w:cs="Arial"/>
          <w:lang w:val="es-ES_tradnl"/>
        </w:rPr>
        <w:t>Por ello, mientras se mantengan las condiciones señaladas en el reglamento autónomo, la Agencia estima que las modificaciones tendientes a aumentar la participación de ESAL son válidas</w:t>
      </w:r>
      <w:r>
        <w:rPr>
          <w:rFonts w:ascii="Verdana" w:eastAsia="Calibri" w:hAnsi="Verdana" w:cs="Arial"/>
          <w:lang w:val="es-ES_tradnl"/>
        </w:rPr>
        <w:t xml:space="preserve"> mientras</w:t>
      </w:r>
      <w:r w:rsidRPr="00006A46">
        <w:rPr>
          <w:rFonts w:ascii="Verdana" w:eastAsia="Calibri" w:hAnsi="Verdana" w:cs="Arial"/>
          <w:lang w:val="es-ES_tradnl"/>
        </w:rPr>
        <w:t xml:space="preserve"> se sig</w:t>
      </w:r>
      <w:r>
        <w:rPr>
          <w:rFonts w:ascii="Verdana" w:eastAsia="Calibri" w:hAnsi="Verdana" w:cs="Arial"/>
          <w:lang w:val="es-ES_tradnl"/>
        </w:rPr>
        <w:t>a</w:t>
      </w:r>
      <w:r w:rsidRPr="00006A46">
        <w:rPr>
          <w:rFonts w:ascii="Verdana" w:eastAsia="Calibri" w:hAnsi="Verdana" w:cs="Arial"/>
          <w:lang w:val="es-ES_tradnl"/>
        </w:rPr>
        <w:t>n cumpliendo las exigencias del artículo 5 del Decreto 092 de 2017 para la contratación directa. Sin embargo, se aclara que la modificación de los convenios no podrá realizarse en el sentido de reducir el aporte</w:t>
      </w:r>
      <w:r>
        <w:rPr>
          <w:rFonts w:ascii="Verdana" w:eastAsia="Calibri" w:hAnsi="Verdana" w:cs="Arial"/>
          <w:lang w:val="es-ES_tradnl"/>
        </w:rPr>
        <w:t xml:space="preserve"> en dinero</w:t>
      </w:r>
      <w:r w:rsidRPr="00006A46">
        <w:rPr>
          <w:rFonts w:ascii="Verdana" w:eastAsia="Calibri" w:hAnsi="Verdana" w:cs="Arial"/>
          <w:lang w:val="es-ES_tradnl"/>
        </w:rPr>
        <w:t xml:space="preserve"> a un porcentaje inferior al 30%: si las condiciones iniciales del negocio fundamentaban un procedimiento no competitivo, la variación posterior en el supuesto planteado afecta la libre concurrencia, especialmente, cuando debía estructurarse un proceso con pluralidad y concurrencia de los interesados desde el principio.</w:t>
      </w:r>
      <w:bookmarkEnd w:id="12"/>
      <w:r>
        <w:rPr>
          <w:rFonts w:ascii="Verdana" w:eastAsia="Calibri" w:hAnsi="Verdana" w:cs="Arial"/>
          <w:lang w:val="es-ES_tradnl"/>
        </w:rPr>
        <w:t xml:space="preserve"> </w:t>
      </w:r>
    </w:p>
    <w:p w14:paraId="46DFD966" w14:textId="77777777" w:rsidR="00B110F5" w:rsidRPr="00243BA5" w:rsidRDefault="00B110F5" w:rsidP="00B110F5">
      <w:pPr>
        <w:spacing w:after="120" w:line="276" w:lineRule="auto"/>
        <w:ind w:firstLine="709"/>
        <w:jc w:val="both"/>
        <w:rPr>
          <w:rFonts w:ascii="Verdana" w:eastAsia="Calibri" w:hAnsi="Verdana" w:cs="Arial"/>
          <w:lang w:val="es-ES_tradnl"/>
        </w:rPr>
      </w:pPr>
      <w:r>
        <w:rPr>
          <w:rFonts w:ascii="Verdana" w:eastAsia="Calibri" w:hAnsi="Verdana" w:cs="Arial"/>
          <w:lang w:val="es-ES_tradnl"/>
        </w:rPr>
        <w:t xml:space="preserve">En consecuencia, la reducción de los aportes de la ESAL no puede realizarse de forma fráudenla para eludir los procesos competitivos, pues la </w:t>
      </w:r>
      <w:r>
        <w:rPr>
          <w:rFonts w:ascii="Verdana" w:eastAsia="Calibri" w:hAnsi="Verdana" w:cs="Arial"/>
          <w:lang w:val="es-ES_tradnl"/>
        </w:rPr>
        <w:lastRenderedPageBreak/>
        <w:t>contratación directa es excepcional y solo procede bajo los supuestos regulados en el decreto citado</w:t>
      </w:r>
      <w:r>
        <w:rPr>
          <w:rStyle w:val="Refdenotaalpie"/>
          <w:rFonts w:ascii="Verdana" w:eastAsia="Calibri" w:hAnsi="Verdana" w:cs="Arial"/>
          <w:lang w:val="es-ES_tradnl"/>
        </w:rPr>
        <w:footnoteReference w:id="18"/>
      </w:r>
      <w:r>
        <w:rPr>
          <w:rFonts w:ascii="Verdana" w:eastAsia="Calibri" w:hAnsi="Verdana" w:cs="Arial"/>
          <w:lang w:val="es-ES_tradnl"/>
        </w:rPr>
        <w:t>. Dicha modificación no solo implica un riesgo de investigaciones disciplinarias, sino también de tipicidad del delito de celebración de contratos sin cumplimiento de los requisitos legales en los términos del artículo 410 de la Ley 599 de 2000.</w:t>
      </w:r>
    </w:p>
    <w:p w14:paraId="14A3EEAE" w14:textId="77777777" w:rsidR="00B110F5" w:rsidRPr="00F4158D" w:rsidRDefault="00B110F5" w:rsidP="00B110F5">
      <w:pPr>
        <w:spacing w:after="120" w:line="276" w:lineRule="auto"/>
        <w:ind w:firstLine="708"/>
        <w:jc w:val="both"/>
        <w:rPr>
          <w:rFonts w:ascii="Verdana" w:eastAsia="Calibri" w:hAnsi="Verdana" w:cs="Arial"/>
          <w:bCs/>
          <w:color w:val="000000" w:themeColor="text1"/>
        </w:rPr>
      </w:pPr>
      <w:r w:rsidRPr="00F4158D">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0084DC5" w14:textId="77777777" w:rsidR="00B110F5" w:rsidRPr="00F4158D" w:rsidRDefault="00B110F5" w:rsidP="00B110F5">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99C6020" w14:textId="77777777" w:rsidR="00B110F5" w:rsidRPr="00F4158D" w:rsidRDefault="00B110F5" w:rsidP="00B110F5">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4F207222" w14:textId="77777777" w:rsidR="00B110F5" w:rsidRPr="00593A5F" w:rsidRDefault="00B110F5" w:rsidP="00B110F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2AC75945" w14:textId="77777777" w:rsidR="00B110F5" w:rsidRPr="00593A5F" w:rsidRDefault="00B110F5" w:rsidP="00B110F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110F5" w:rsidRPr="002407CE" w14:paraId="3F605EE3" w14:textId="77777777" w:rsidTr="00A841E3">
        <w:trPr>
          <w:trHeight w:val="870"/>
          <w:jc w:val="center"/>
        </w:trPr>
        <w:tc>
          <w:tcPr>
            <w:tcW w:w="8647" w:type="dxa"/>
          </w:tcPr>
          <w:p w14:paraId="3CB87A84" w14:textId="77777777" w:rsidR="00B110F5" w:rsidRDefault="00B110F5" w:rsidP="00B110F5">
            <w:pPr>
              <w:pStyle w:val="Prrafodelista"/>
              <w:widowControl w:val="0"/>
              <w:numPr>
                <w:ilvl w:val="0"/>
                <w:numId w:val="17"/>
              </w:numPr>
              <w:autoSpaceDE w:val="0"/>
              <w:autoSpaceDN w:val="0"/>
              <w:spacing w:line="276" w:lineRule="auto"/>
              <w:jc w:val="both"/>
              <w:rPr>
                <w:rFonts w:ascii="Verdana" w:hAnsi="Verdana" w:cs="Arial"/>
              </w:rPr>
            </w:pPr>
            <w:r w:rsidRPr="00653976">
              <w:rPr>
                <w:rFonts w:ascii="Verdana" w:hAnsi="Verdana" w:cs="Arial"/>
              </w:rPr>
              <w:t>Constitución Política de 1991, artículo 355.</w:t>
            </w:r>
          </w:p>
          <w:p w14:paraId="0C40FA9D" w14:textId="77777777" w:rsidR="00B110F5" w:rsidRPr="00653976" w:rsidRDefault="00B110F5" w:rsidP="00A841E3">
            <w:pPr>
              <w:pStyle w:val="Prrafodelista"/>
              <w:widowControl w:val="0"/>
              <w:autoSpaceDE w:val="0"/>
              <w:autoSpaceDN w:val="0"/>
              <w:spacing w:line="276" w:lineRule="auto"/>
              <w:jc w:val="both"/>
              <w:rPr>
                <w:rFonts w:ascii="Verdana" w:hAnsi="Verdana" w:cs="Arial"/>
                <w:sz w:val="12"/>
                <w:szCs w:val="12"/>
              </w:rPr>
            </w:pPr>
          </w:p>
          <w:p w14:paraId="33DB18A6" w14:textId="77777777" w:rsidR="00B110F5" w:rsidRDefault="00B110F5" w:rsidP="00B110F5">
            <w:pPr>
              <w:pStyle w:val="Prrafodelista"/>
              <w:widowControl w:val="0"/>
              <w:numPr>
                <w:ilvl w:val="0"/>
                <w:numId w:val="17"/>
              </w:numPr>
              <w:autoSpaceDE w:val="0"/>
              <w:autoSpaceDN w:val="0"/>
              <w:spacing w:line="276" w:lineRule="auto"/>
              <w:jc w:val="both"/>
              <w:rPr>
                <w:rFonts w:ascii="Verdana" w:hAnsi="Verdana" w:cs="Arial"/>
              </w:rPr>
            </w:pPr>
            <w:r w:rsidRPr="00653976">
              <w:rPr>
                <w:rFonts w:ascii="Verdana" w:hAnsi="Verdana" w:cs="Arial"/>
              </w:rPr>
              <w:t>Ley 489 de 1998, artículo 96.</w:t>
            </w:r>
          </w:p>
          <w:p w14:paraId="774D7A4F" w14:textId="77777777" w:rsidR="00B110F5" w:rsidRPr="00043BF3" w:rsidRDefault="00B110F5" w:rsidP="00A841E3">
            <w:pPr>
              <w:pStyle w:val="Prrafodelista"/>
              <w:rPr>
                <w:rFonts w:ascii="Verdana" w:hAnsi="Verdana" w:cs="Arial"/>
                <w:sz w:val="12"/>
                <w:szCs w:val="12"/>
              </w:rPr>
            </w:pPr>
          </w:p>
          <w:p w14:paraId="725A1904" w14:textId="77777777" w:rsidR="00B110F5" w:rsidRDefault="00B110F5" w:rsidP="00B110F5">
            <w:pPr>
              <w:pStyle w:val="Prrafodelista"/>
              <w:widowControl w:val="0"/>
              <w:numPr>
                <w:ilvl w:val="0"/>
                <w:numId w:val="17"/>
              </w:numPr>
              <w:autoSpaceDE w:val="0"/>
              <w:autoSpaceDN w:val="0"/>
              <w:spacing w:line="276" w:lineRule="auto"/>
              <w:jc w:val="both"/>
              <w:rPr>
                <w:rFonts w:ascii="Verdana" w:hAnsi="Verdana" w:cs="Arial"/>
              </w:rPr>
            </w:pPr>
            <w:r w:rsidRPr="00043BF3">
              <w:rPr>
                <w:rFonts w:ascii="Verdana" w:hAnsi="Verdana" w:cs="Arial"/>
              </w:rPr>
              <w:t>Ley 599 de 2000</w:t>
            </w:r>
            <w:r>
              <w:rPr>
                <w:rFonts w:ascii="Verdana" w:hAnsi="Verdana" w:cs="Arial"/>
              </w:rPr>
              <w:t>, artículo 410.</w:t>
            </w:r>
          </w:p>
          <w:p w14:paraId="057E9316" w14:textId="77777777" w:rsidR="00B110F5" w:rsidRPr="00653976" w:rsidRDefault="00B110F5" w:rsidP="00A841E3">
            <w:pPr>
              <w:widowControl w:val="0"/>
              <w:autoSpaceDE w:val="0"/>
              <w:autoSpaceDN w:val="0"/>
              <w:spacing w:line="276" w:lineRule="auto"/>
              <w:jc w:val="both"/>
              <w:rPr>
                <w:rFonts w:ascii="Verdana" w:hAnsi="Verdana" w:cs="Arial"/>
                <w:sz w:val="12"/>
                <w:szCs w:val="12"/>
              </w:rPr>
            </w:pPr>
          </w:p>
          <w:p w14:paraId="63DD645E" w14:textId="77777777" w:rsidR="00B110F5" w:rsidRPr="00653976" w:rsidRDefault="00B110F5" w:rsidP="00B110F5">
            <w:pPr>
              <w:pStyle w:val="Prrafodelista"/>
              <w:widowControl w:val="0"/>
              <w:numPr>
                <w:ilvl w:val="0"/>
                <w:numId w:val="17"/>
              </w:numPr>
              <w:autoSpaceDE w:val="0"/>
              <w:autoSpaceDN w:val="0"/>
              <w:spacing w:line="276" w:lineRule="auto"/>
              <w:jc w:val="both"/>
              <w:rPr>
                <w:rFonts w:ascii="Verdana" w:hAnsi="Verdana" w:cs="Arial"/>
              </w:rPr>
            </w:pPr>
            <w:r w:rsidRPr="00653976">
              <w:rPr>
                <w:rFonts w:ascii="Verdana" w:hAnsi="Verdana" w:cs="Arial"/>
              </w:rPr>
              <w:t>Decreto 092 de 2017, artículos 2, 3, 4, 5, 6, 7 y 8.</w:t>
            </w:r>
          </w:p>
        </w:tc>
      </w:tr>
    </w:tbl>
    <w:p w14:paraId="6F250427" w14:textId="77777777" w:rsidR="00B110F5" w:rsidRPr="002407CE" w:rsidRDefault="00B110F5" w:rsidP="00B110F5">
      <w:pPr>
        <w:widowControl w:val="0"/>
        <w:autoSpaceDE w:val="0"/>
        <w:autoSpaceDN w:val="0"/>
        <w:spacing w:after="0" w:line="276" w:lineRule="auto"/>
        <w:jc w:val="both"/>
        <w:rPr>
          <w:rFonts w:ascii="Verdana" w:hAnsi="Verdana" w:cs="Arial"/>
        </w:rPr>
      </w:pPr>
    </w:p>
    <w:p w14:paraId="7A1D3643" w14:textId="77777777" w:rsidR="00B110F5" w:rsidRPr="00593A5F" w:rsidRDefault="00B110F5" w:rsidP="00B110F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DB7B056" w14:textId="77777777" w:rsidR="00B110F5" w:rsidRPr="00593A5F" w:rsidRDefault="00B110F5" w:rsidP="00B110F5">
      <w:pPr>
        <w:widowControl w:val="0"/>
        <w:autoSpaceDE w:val="0"/>
        <w:autoSpaceDN w:val="0"/>
        <w:spacing w:after="0" w:line="276" w:lineRule="auto"/>
        <w:jc w:val="both"/>
        <w:rPr>
          <w:rFonts w:ascii="Verdana" w:hAnsi="Verdana" w:cs="Arial"/>
        </w:rPr>
      </w:pPr>
    </w:p>
    <w:p w14:paraId="1AF4A0CC" w14:textId="77777777" w:rsidR="00B110F5" w:rsidRPr="00ED0098" w:rsidRDefault="00B110F5" w:rsidP="00B110F5">
      <w:pPr>
        <w:widowControl w:val="0"/>
        <w:autoSpaceDE w:val="0"/>
        <w:autoSpaceDN w:val="0"/>
        <w:spacing w:after="0" w:line="276" w:lineRule="auto"/>
        <w:jc w:val="both"/>
        <w:rPr>
          <w:rStyle w:val="normaltextrun"/>
          <w:rFonts w:ascii="Verdana" w:hAnsi="Verdana" w:cs="Arial"/>
          <w:shd w:val="clear" w:color="auto" w:fill="FFFFFF"/>
        </w:rPr>
      </w:pPr>
      <w:r w:rsidRPr="00FD25F9">
        <w:rPr>
          <w:rFonts w:ascii="Verdana" w:hAnsi="Verdana" w:cs="Arial"/>
          <w:shd w:val="clear" w:color="auto" w:fill="FFFFFF"/>
        </w:rPr>
        <w:t>Esta Subdirección se ha pronunciado sobre el 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 C-594 del 7 de septiembre de 2020, C-670 del 22 de noviembre de 2020, C-689 del 1 de diciembre de 2020, C-724 de 14 de diciembre de 2020, C-749 del 23 de diciembre de 2020, C-758 del 04 de enero de 2021, C-806 de 8 de febrero de 2021, C-364 de 26 de julio de 2021, C-379 de 20 de julio de 2021, C-537 del 27 de septiembre de 2021,  C-021 del 22 de febrero de 2022, C-236 del 27 de abril de 2022, C-273 del 6 de mayo de 2022, C-274 del 6 de mayo de 2022, C-291 del 18 de mayo de 2022, C-331 del 24 de mayo de 2022, C-477 del 26 de julio de 2022, C-550 del 31 de agosto de 2022, C-560 del 7 de septiembre de 2022, C-624 del 28 de septiembre de 2022, C-771 del 30 de diciembre de 2022, C-853 del 9 de diciembre de 2022, C-351 del 6 de octubre de 2023, C-054 del 24 de abril de 2024, C-064 del 24 de abril de 2024, C-080 del 7 de mayo de 2024, C-281 del 29 de octubre de 2024, C-937 del 9 de diciembre de 2024, C-957 del 17 de diciembre de 2024 y C-967 del 1˚ de agosto de 2025</w:t>
      </w:r>
      <w:r>
        <w:rPr>
          <w:rStyle w:val="normaltextrun"/>
          <w:rFonts w:ascii="Verdana" w:hAnsi="Verdana" w:cs="Arial"/>
          <w:shd w:val="clear" w:color="auto" w:fill="FFFFFF"/>
          <w:lang w:val="es-ES_tradnl"/>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35C96583" w14:textId="77777777" w:rsidR="00B110F5" w:rsidRPr="00096788" w:rsidRDefault="00B110F5" w:rsidP="00B110F5">
      <w:pPr>
        <w:widowControl w:val="0"/>
        <w:autoSpaceDE w:val="0"/>
        <w:autoSpaceDN w:val="0"/>
        <w:spacing w:after="0" w:line="276" w:lineRule="auto"/>
        <w:jc w:val="both"/>
        <w:rPr>
          <w:rFonts w:ascii="Verdana" w:hAnsi="Verdana" w:cs="Arial"/>
          <w:color w:val="000000" w:themeColor="text1"/>
          <w:shd w:val="clear" w:color="auto" w:fill="FFFFFF"/>
        </w:rPr>
      </w:pPr>
    </w:p>
    <w:p w14:paraId="0A481D4C" w14:textId="77777777" w:rsidR="00B110F5" w:rsidRDefault="00B110F5" w:rsidP="00B110F5">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w:t>
      </w:r>
      <w:r w:rsidRPr="009A385A">
        <w:rPr>
          <w:rFonts w:ascii="Verdana" w:hAnsi="Verdana"/>
        </w:rPr>
        <w:lastRenderedPageBreak/>
        <w:t xml:space="preserve">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2" w:tgtFrame="_new" w:history="1">
        <w:r w:rsidRPr="009A385A">
          <w:rPr>
            <w:rStyle w:val="Hipervnculo"/>
            <w:rFonts w:ascii="Verdana" w:hAnsi="Verdana"/>
          </w:rPr>
          <w:t>https://formacionvirtual.colombiacompra.gov.co/mod/page/view.php?id=3718</w:t>
        </w:r>
      </w:hyperlink>
    </w:p>
    <w:p w14:paraId="0B98A3C3" w14:textId="77777777" w:rsidR="00B110F5" w:rsidRPr="009A385A" w:rsidRDefault="00B110F5" w:rsidP="00B110F5">
      <w:pPr>
        <w:spacing w:after="0"/>
        <w:jc w:val="both"/>
        <w:rPr>
          <w:rFonts w:ascii="Verdana" w:hAnsi="Verdana"/>
        </w:rPr>
      </w:pPr>
    </w:p>
    <w:p w14:paraId="79CF1753" w14:textId="77777777" w:rsidR="00B110F5" w:rsidRDefault="00B110F5" w:rsidP="00B110F5">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3" w:tgtFrame="_new" w:history="1">
        <w:r w:rsidRPr="00635F16">
          <w:rPr>
            <w:rStyle w:val="Hipervnculo"/>
            <w:rFonts w:ascii="Verdana" w:hAnsi="Verdana"/>
          </w:rPr>
          <w:t>https://www.colombiacompra.gov.co/normativa-y-relatoria/documentos-tipo</w:t>
        </w:r>
      </w:hyperlink>
    </w:p>
    <w:p w14:paraId="18BEC0CB" w14:textId="77777777" w:rsidR="00B110F5" w:rsidRDefault="00B110F5" w:rsidP="00B110F5">
      <w:pPr>
        <w:spacing w:after="0"/>
        <w:jc w:val="both"/>
        <w:rPr>
          <w:rFonts w:ascii="Verdana" w:hAnsi="Verdana"/>
        </w:rPr>
      </w:pPr>
    </w:p>
    <w:p w14:paraId="68F6E5F7" w14:textId="77777777" w:rsidR="00B110F5" w:rsidRPr="008E1CD7" w:rsidRDefault="00B110F5" w:rsidP="00B110F5">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4"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2E113BD" w14:textId="77777777" w:rsidR="00B110F5" w:rsidRDefault="00B110F5" w:rsidP="00B110F5">
      <w:pPr>
        <w:shd w:val="clear" w:color="auto" w:fill="FFFFFF"/>
        <w:spacing w:after="0" w:line="276" w:lineRule="auto"/>
        <w:jc w:val="both"/>
        <w:rPr>
          <w:rFonts w:ascii="Verdana" w:hAnsi="Verdana"/>
          <w:color w:val="000000"/>
          <w:u w:val="single"/>
        </w:rPr>
      </w:pPr>
    </w:p>
    <w:p w14:paraId="6FBF1FC9" w14:textId="77777777" w:rsidR="00B110F5" w:rsidRPr="0038088D" w:rsidRDefault="00B110F5" w:rsidP="00B110F5">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123351F7" w14:textId="77777777" w:rsidR="00B110F5" w:rsidRPr="0038088D" w:rsidRDefault="00B110F5" w:rsidP="00B110F5">
      <w:pPr>
        <w:spacing w:after="0"/>
        <w:jc w:val="both"/>
        <w:rPr>
          <w:rFonts w:ascii="Verdana" w:hAnsi="Verdana"/>
        </w:rPr>
      </w:pPr>
    </w:p>
    <w:p w14:paraId="55DC3271" w14:textId="77777777" w:rsidR="00B110F5" w:rsidRPr="0038088D" w:rsidRDefault="00B110F5" w:rsidP="00B110F5">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7B87FE5A" w14:textId="77777777" w:rsidR="00B110F5" w:rsidRPr="0038088D" w:rsidRDefault="00B110F5" w:rsidP="00B110F5">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2B35B2B7" w14:textId="77777777" w:rsidR="00B110F5" w:rsidRPr="0038088D" w:rsidRDefault="00B110F5" w:rsidP="00B110F5">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lastRenderedPageBreak/>
        <w:t xml:space="preserve">Correo de radicación de correspondencia: </w:t>
      </w:r>
      <w:hyperlink r:id="rId15">
        <w:r w:rsidRPr="0038088D">
          <w:rPr>
            <w:rStyle w:val="Hipervnculo"/>
            <w:rFonts w:ascii="Verdana" w:eastAsia="Verdana" w:hAnsi="Verdana" w:cs="Verdana"/>
          </w:rPr>
          <w:t>ventanilladeradicacion@colombiacompra.gov.co</w:t>
        </w:r>
      </w:hyperlink>
    </w:p>
    <w:p w14:paraId="4615DF3C" w14:textId="77777777" w:rsidR="00B110F5" w:rsidRPr="0038088D" w:rsidRDefault="00B110F5" w:rsidP="00B110F5">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6">
        <w:r w:rsidRPr="0038088D">
          <w:rPr>
            <w:rStyle w:val="Hipervnculo"/>
            <w:rFonts w:ascii="Verdana" w:eastAsia="Verdana" w:hAnsi="Verdana" w:cs="Verdana"/>
          </w:rPr>
          <w:t>https://www.colombiacompra.gov.co/pqrsd/informacion-importante-antes-de-formular-una-pqrsd</w:t>
        </w:r>
      </w:hyperlink>
    </w:p>
    <w:p w14:paraId="5021E8F2" w14:textId="77777777" w:rsidR="00B110F5" w:rsidRPr="0038088D" w:rsidRDefault="00B110F5" w:rsidP="00B110F5">
      <w:pPr>
        <w:spacing w:after="0" w:line="240" w:lineRule="auto"/>
        <w:ind w:left="720"/>
        <w:jc w:val="both"/>
        <w:rPr>
          <w:rFonts w:ascii="Verdana" w:hAnsi="Verdana"/>
        </w:rPr>
      </w:pPr>
    </w:p>
    <w:p w14:paraId="3FF27830" w14:textId="77777777" w:rsidR="00B110F5" w:rsidRPr="0038088D" w:rsidRDefault="00B110F5" w:rsidP="00B110F5">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7"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53F98EF8" w14:textId="77777777" w:rsidR="00B110F5" w:rsidRPr="0038088D" w:rsidRDefault="00B110F5" w:rsidP="00B110F5">
      <w:pPr>
        <w:spacing w:after="0" w:line="240" w:lineRule="auto"/>
        <w:rPr>
          <w:rFonts w:ascii="Verdana" w:hAnsi="Verdana"/>
        </w:rPr>
      </w:pPr>
    </w:p>
    <w:p w14:paraId="27EEAF84" w14:textId="77777777" w:rsidR="00B110F5" w:rsidRPr="0038088D" w:rsidRDefault="00B110F5" w:rsidP="00B110F5">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0AD01241" w14:textId="77777777" w:rsidR="00B110F5" w:rsidRPr="00116940" w:rsidRDefault="00B110F5" w:rsidP="00B110F5">
      <w:pPr>
        <w:spacing w:after="0" w:line="240" w:lineRule="auto"/>
        <w:jc w:val="both"/>
        <w:rPr>
          <w:rFonts w:ascii="Verdana" w:hAnsi="Verdana"/>
        </w:rPr>
      </w:pPr>
    </w:p>
    <w:p w14:paraId="6B58FD09" w14:textId="77777777" w:rsidR="00B110F5" w:rsidRPr="00116940" w:rsidRDefault="00B110F5" w:rsidP="00B110F5">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4FF02FAA" w14:textId="77777777" w:rsidR="00B110F5" w:rsidRPr="00116940" w:rsidRDefault="00B110F5" w:rsidP="00B110F5">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4C616E17" w14:textId="77777777" w:rsidR="00B110F5" w:rsidRPr="00E22E6E" w:rsidRDefault="00B110F5" w:rsidP="00B110F5">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0C94052" w14:textId="77777777" w:rsidR="00B110F5" w:rsidRPr="009C4035" w:rsidRDefault="00B110F5" w:rsidP="00B110F5">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53B56D11" w14:textId="77777777" w:rsidR="00B110F5" w:rsidRPr="00593A5F" w:rsidRDefault="00B110F5" w:rsidP="00B110F5">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722618DD" w14:textId="77777777" w:rsidR="00B110F5" w:rsidRPr="00593A5F" w:rsidRDefault="00B110F5" w:rsidP="00B110F5">
      <w:pPr>
        <w:widowControl w:val="0"/>
        <w:autoSpaceDE w:val="0"/>
        <w:autoSpaceDN w:val="0"/>
        <w:spacing w:after="0" w:line="276" w:lineRule="auto"/>
        <w:jc w:val="both"/>
        <w:rPr>
          <w:rFonts w:ascii="Verdana" w:hAnsi="Verdana" w:cs="Arial"/>
        </w:rPr>
      </w:pPr>
    </w:p>
    <w:p w14:paraId="3A94C182" w14:textId="77777777" w:rsidR="00B110F5" w:rsidRPr="00593A5F" w:rsidRDefault="00B110F5" w:rsidP="00B110F5">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7D06F5D" w14:textId="24F55A99" w:rsidR="00B110F5" w:rsidRPr="00593A5F" w:rsidRDefault="003A3561" w:rsidP="00B110F5">
      <w:pPr>
        <w:spacing w:line="276" w:lineRule="auto"/>
        <w:jc w:val="center"/>
        <w:rPr>
          <w:rFonts w:ascii="Verdana" w:hAnsi="Verdana" w:cs="Arial"/>
          <w:color w:val="000000"/>
          <w:lang w:val="es-ES_tradnl" w:eastAsia="es-CO"/>
        </w:rPr>
      </w:pPr>
      <w:r>
        <w:rPr>
          <w:noProof/>
        </w:rPr>
        <w:drawing>
          <wp:inline distT="0" distB="0" distL="0" distR="0" wp14:anchorId="73A16749" wp14:editId="12045535">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110F5" w:rsidRPr="00593A5F" w14:paraId="4367FC4B" w14:textId="77777777" w:rsidTr="00A841E3">
        <w:trPr>
          <w:trHeight w:val="315"/>
        </w:trPr>
        <w:tc>
          <w:tcPr>
            <w:tcW w:w="893" w:type="dxa"/>
            <w:vAlign w:val="center"/>
            <w:hideMark/>
          </w:tcPr>
          <w:p w14:paraId="124D4C82" w14:textId="77777777" w:rsidR="00B110F5" w:rsidRPr="003751C7" w:rsidRDefault="00B110F5" w:rsidP="00A841E3">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A7CC529" w14:textId="77777777" w:rsidR="00B110F5" w:rsidRPr="00254A7A" w:rsidRDefault="00B110F5" w:rsidP="00A841E3">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5FA476A2" w14:textId="77777777" w:rsidR="00B110F5" w:rsidRPr="00254A7A" w:rsidRDefault="00B110F5" w:rsidP="00A841E3">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B110F5" w:rsidRPr="00593A5F" w14:paraId="72398864" w14:textId="77777777" w:rsidTr="00A841E3">
        <w:trPr>
          <w:trHeight w:val="330"/>
        </w:trPr>
        <w:tc>
          <w:tcPr>
            <w:tcW w:w="893" w:type="dxa"/>
            <w:vAlign w:val="center"/>
            <w:hideMark/>
          </w:tcPr>
          <w:p w14:paraId="0746A21D" w14:textId="77777777" w:rsidR="00B110F5" w:rsidRPr="003751C7" w:rsidRDefault="00B110F5" w:rsidP="00A841E3">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BC5F659" w14:textId="77777777" w:rsidR="00B110F5" w:rsidRPr="001B6B73" w:rsidRDefault="00B110F5" w:rsidP="00A841E3">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34887692" w14:textId="77777777" w:rsidR="00B110F5" w:rsidRPr="00254A7A" w:rsidRDefault="00B110F5" w:rsidP="00A841E3">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B110F5" w:rsidRPr="00593A5F" w14:paraId="00439037" w14:textId="77777777" w:rsidTr="00A841E3">
        <w:trPr>
          <w:trHeight w:val="300"/>
        </w:trPr>
        <w:tc>
          <w:tcPr>
            <w:tcW w:w="893" w:type="dxa"/>
            <w:vAlign w:val="center"/>
          </w:tcPr>
          <w:p w14:paraId="24325DDD" w14:textId="77777777" w:rsidR="00B110F5" w:rsidRPr="003751C7" w:rsidRDefault="00B110F5" w:rsidP="00A841E3">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B47B297" w14:textId="77777777" w:rsidR="00B110F5" w:rsidRPr="003751C7" w:rsidRDefault="00B110F5" w:rsidP="00A841E3">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489B1363" w14:textId="77777777" w:rsidR="00B110F5" w:rsidRPr="003751C7" w:rsidRDefault="00B110F5" w:rsidP="00A841E3">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3B0039E4" w14:textId="77777777" w:rsidR="00B110F5" w:rsidRPr="00543BFE" w:rsidRDefault="00B110F5" w:rsidP="00B110F5"/>
    <w:p w14:paraId="12B9A43E" w14:textId="3A6564DA" w:rsidR="00B110F5" w:rsidRPr="00B36323" w:rsidRDefault="00B110F5" w:rsidP="00B110F5"/>
    <w:sectPr w:rsidR="00B110F5" w:rsidRPr="00B3632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6577CE" w14:textId="77777777" w:rsidR="00144F87" w:rsidRDefault="00144F87" w:rsidP="004A1847">
      <w:pPr>
        <w:spacing w:after="0" w:line="240" w:lineRule="auto"/>
      </w:pPr>
      <w:r>
        <w:separator/>
      </w:r>
    </w:p>
  </w:endnote>
  <w:endnote w:type="continuationSeparator" w:id="0">
    <w:p w14:paraId="33507DF8" w14:textId="77777777" w:rsidR="00144F87" w:rsidRDefault="00144F8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833FCD"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833FCD">
      <w:rPr>
        <w:rFonts w:ascii="Verdana" w:eastAsia="Verdana" w:hAnsi="Verdana" w:cs="Verdana"/>
        <w:b/>
        <w:color w:val="000000" w:themeColor="text1"/>
        <w:sz w:val="18"/>
        <w:szCs w:val="18"/>
        <w:lang w:val="pt-BR" w:eastAsia="es-CO"/>
      </w:rPr>
      <w:t xml:space="preserve">Código: </w:t>
    </w:r>
    <w:r w:rsidRPr="00833FCD">
      <w:rPr>
        <w:rFonts w:ascii="Verdana" w:eastAsia="Verdana" w:hAnsi="Verdana" w:cs="Verdana"/>
        <w:color w:val="000000" w:themeColor="text1"/>
        <w:sz w:val="18"/>
        <w:szCs w:val="18"/>
        <w:lang w:val="pt-BR" w:eastAsia="es-CO"/>
      </w:rPr>
      <w:t xml:space="preserve">CCE-REC-FM-17 </w:t>
    </w:r>
    <w:r w:rsidRPr="00833FCD">
      <w:rPr>
        <w:rFonts w:ascii="Verdana" w:eastAsia="Verdana" w:hAnsi="Verdana" w:cs="Verdana"/>
        <w:b/>
        <w:color w:val="000000" w:themeColor="text1"/>
        <w:sz w:val="18"/>
        <w:szCs w:val="18"/>
        <w:lang w:val="pt-BR" w:eastAsia="es-CO"/>
      </w:rPr>
      <w:t xml:space="preserve">V: </w:t>
    </w:r>
    <w:r w:rsidRPr="00833FCD">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949930" w14:textId="77777777" w:rsidR="00144F87" w:rsidRDefault="00144F87" w:rsidP="004A1847">
      <w:pPr>
        <w:spacing w:after="0" w:line="240" w:lineRule="auto"/>
      </w:pPr>
      <w:r>
        <w:separator/>
      </w:r>
    </w:p>
  </w:footnote>
  <w:footnote w:type="continuationSeparator" w:id="0">
    <w:p w14:paraId="1FE7BDE0" w14:textId="77777777" w:rsidR="00144F87" w:rsidRDefault="00144F87" w:rsidP="004A1847">
      <w:pPr>
        <w:spacing w:after="0" w:line="240" w:lineRule="auto"/>
      </w:pPr>
      <w:r>
        <w:continuationSeparator/>
      </w:r>
    </w:p>
  </w:footnote>
  <w:footnote w:id="1">
    <w:p w14:paraId="39899DCF" w14:textId="77777777" w:rsidR="00B110F5" w:rsidRPr="00006A46" w:rsidRDefault="00B110F5" w:rsidP="00B110F5">
      <w:pPr>
        <w:pStyle w:val="Textonotapie"/>
        <w:ind w:firstLine="708"/>
        <w:jc w:val="both"/>
        <w:rPr>
          <w:rFonts w:ascii="Verdana" w:hAnsi="Verdana" w:cs="Arial"/>
          <w:sz w:val="16"/>
          <w:szCs w:val="16"/>
        </w:rPr>
      </w:pPr>
      <w:r w:rsidRPr="00006A46">
        <w:rPr>
          <w:rStyle w:val="Refdenotaalpie"/>
          <w:rFonts w:ascii="Verdana" w:hAnsi="Verdana" w:cs="Arial"/>
          <w:sz w:val="16"/>
          <w:szCs w:val="16"/>
        </w:rPr>
        <w:footnoteRef/>
      </w:r>
      <w:r w:rsidRPr="00006A46">
        <w:rPr>
          <w:rFonts w:ascii="Verdana" w:hAnsi="Verdana" w:cs="Arial"/>
          <w:sz w:val="16"/>
          <w:szCs w:val="16"/>
        </w:rPr>
        <w:t xml:space="preserve"> Sobre esta norma, consultar los conceptos del 8 de octubre de 2019, con radicado No. 2201913000007532, y del 20 de diciembre de 2019, con radicado No. 4201913000008240.</w:t>
      </w:r>
    </w:p>
  </w:footnote>
  <w:footnote w:id="2">
    <w:p w14:paraId="6F77EC02" w14:textId="77777777" w:rsidR="00B110F5" w:rsidRPr="00006A46" w:rsidRDefault="00B110F5" w:rsidP="00B110F5">
      <w:pPr>
        <w:pStyle w:val="Textonotapie"/>
        <w:ind w:firstLine="708"/>
        <w:jc w:val="both"/>
        <w:rPr>
          <w:rFonts w:ascii="Verdana" w:hAnsi="Verdana" w:cs="Arial"/>
          <w:sz w:val="16"/>
          <w:szCs w:val="16"/>
        </w:rPr>
      </w:pPr>
      <w:r w:rsidRPr="00006A46">
        <w:rPr>
          <w:rStyle w:val="Refdenotaalpie"/>
          <w:rFonts w:ascii="Verdana" w:hAnsi="Verdana"/>
          <w:sz w:val="16"/>
          <w:szCs w:val="16"/>
        </w:rPr>
        <w:footnoteRef/>
      </w:r>
      <w:r w:rsidRPr="00006A46">
        <w:rPr>
          <w:rFonts w:ascii="Verdana" w:hAnsi="Verdana"/>
          <w:sz w:val="16"/>
          <w:szCs w:val="16"/>
        </w:rPr>
        <w:t xml:space="preserve"> </w:t>
      </w:r>
      <w:r w:rsidRPr="00006A46">
        <w:rPr>
          <w:rFonts w:ascii="Verdana" w:hAnsi="Verdana" w:cs="Arial"/>
          <w:sz w:val="16"/>
          <w:szCs w:val="16"/>
        </w:rPr>
        <w:t>Al respecto, la Ley 489 de 1998 dispone que “Art.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66A5F273" w14:textId="77777777" w:rsidR="00B110F5" w:rsidRPr="00006A46" w:rsidRDefault="00B110F5" w:rsidP="00B110F5">
      <w:pPr>
        <w:pStyle w:val="Textonotapie"/>
        <w:ind w:firstLine="708"/>
        <w:jc w:val="both"/>
        <w:rPr>
          <w:rFonts w:ascii="Verdana" w:hAnsi="Verdana" w:cs="Arial"/>
          <w:sz w:val="16"/>
          <w:szCs w:val="16"/>
        </w:rPr>
      </w:pPr>
      <w:r w:rsidRPr="00006A46">
        <w:rPr>
          <w:rFonts w:ascii="Verdana" w:hAnsi="Verdana" w:cs="Arial"/>
          <w:sz w:val="16"/>
          <w:szCs w:val="16"/>
        </w:rPr>
        <w:t xml:space="preserve">Los convenios de asociación a que se refiere el presente artículo </w:t>
      </w:r>
      <w:bookmarkStart w:id="3" w:name="_Hlk36023315"/>
      <w:r w:rsidRPr="00006A46">
        <w:rPr>
          <w:rFonts w:ascii="Verdana" w:hAnsi="Verdana" w:cs="Arial"/>
          <w:sz w:val="16"/>
          <w:szCs w:val="16"/>
        </w:rPr>
        <w:t>se celebrarán de conformidad con lo dispuesto en el artículo 355 de la Constitución Política</w:t>
      </w:r>
      <w:bookmarkEnd w:id="3"/>
      <w:r w:rsidRPr="00006A46">
        <w:rPr>
          <w:rFonts w:ascii="Verdana" w:hAnsi="Verdana" w:cs="Arial"/>
          <w:sz w:val="16"/>
          <w:szCs w:val="16"/>
        </w:rPr>
        <w:t>, en ellos se determinará con precisión su objeto, término, obligaciones de las partes, aportes, coordinación y todos aquellos aspectos que se consideren pertinentes”.</w:t>
      </w:r>
    </w:p>
  </w:footnote>
  <w:footnote w:id="3">
    <w:p w14:paraId="07530B02" w14:textId="77777777" w:rsidR="00B110F5" w:rsidRPr="00006A46" w:rsidRDefault="00B110F5" w:rsidP="00B110F5">
      <w:pPr>
        <w:pStyle w:val="Textonotapie"/>
        <w:ind w:firstLine="708"/>
        <w:jc w:val="both"/>
        <w:rPr>
          <w:rFonts w:ascii="Verdana" w:hAnsi="Verdana" w:cs="Arial"/>
          <w:sz w:val="16"/>
          <w:szCs w:val="16"/>
        </w:rPr>
      </w:pPr>
      <w:r w:rsidRPr="00006A46">
        <w:rPr>
          <w:rStyle w:val="Refdenotaalpie"/>
          <w:rFonts w:ascii="Verdana" w:hAnsi="Verdana" w:cs="Arial"/>
          <w:sz w:val="16"/>
          <w:szCs w:val="16"/>
        </w:rPr>
        <w:footnoteRef/>
      </w:r>
      <w:r w:rsidRPr="00006A46">
        <w:rPr>
          <w:rFonts w:ascii="Verdana" w:hAnsi="Verdana" w:cs="Arial"/>
          <w:sz w:val="16"/>
          <w:szCs w:val="16"/>
        </w:rPr>
        <w:t xml:space="preserve"> Concepto del 3 de septiembre de 2019, con radicado No. 2201913000006512.</w:t>
      </w:r>
    </w:p>
  </w:footnote>
  <w:footnote w:id="4">
    <w:p w14:paraId="17DA0E6A" w14:textId="77777777" w:rsidR="00B110F5" w:rsidRPr="00006A46" w:rsidRDefault="00B110F5" w:rsidP="00B110F5">
      <w:pPr>
        <w:pStyle w:val="Textonotapie"/>
        <w:ind w:firstLine="708"/>
        <w:jc w:val="both"/>
        <w:rPr>
          <w:rFonts w:ascii="Verdana" w:hAnsi="Verdana" w:cs="Arial"/>
          <w:sz w:val="16"/>
          <w:szCs w:val="16"/>
        </w:rPr>
      </w:pPr>
      <w:r w:rsidRPr="00006A46">
        <w:rPr>
          <w:rStyle w:val="Refdenotaalpie"/>
          <w:rFonts w:ascii="Verdana" w:hAnsi="Verdana" w:cs="Arial"/>
          <w:sz w:val="16"/>
          <w:szCs w:val="16"/>
        </w:rPr>
        <w:footnoteRef/>
      </w:r>
      <w:r w:rsidRPr="00006A46">
        <w:rPr>
          <w:rFonts w:ascii="Verdana" w:hAnsi="Verdana" w:cs="Arial"/>
          <w:sz w:val="16"/>
          <w:szCs w:val="16"/>
        </w:rPr>
        <w:t xml:space="preserve"> Sobre la naturaleza de los convenios de asociación, se reitera lo expuesto en el concepto del 19 de noviembre de 2019, con radicado No. 2201913000008611.</w:t>
      </w:r>
    </w:p>
  </w:footnote>
  <w:footnote w:id="5">
    <w:p w14:paraId="2367C550" w14:textId="77777777" w:rsidR="00B110F5" w:rsidRPr="00006A46" w:rsidRDefault="00B110F5" w:rsidP="00B110F5">
      <w:pPr>
        <w:pStyle w:val="Textonotapie"/>
        <w:ind w:firstLine="708"/>
        <w:jc w:val="both"/>
        <w:rPr>
          <w:rFonts w:ascii="Verdana" w:hAnsi="Verdana" w:cs="Arial"/>
          <w:color w:val="000000" w:themeColor="text1"/>
          <w:sz w:val="16"/>
          <w:szCs w:val="16"/>
        </w:rPr>
      </w:pPr>
      <w:r w:rsidRPr="00006A46">
        <w:rPr>
          <w:rStyle w:val="Refdenotaalpie"/>
          <w:rFonts w:ascii="Verdana" w:hAnsi="Verdana" w:cs="Arial"/>
          <w:color w:val="000000" w:themeColor="text1"/>
          <w:sz w:val="16"/>
          <w:szCs w:val="16"/>
        </w:rPr>
        <w:footnoteRef/>
      </w:r>
      <w:r w:rsidRPr="00006A46">
        <w:rPr>
          <w:rFonts w:ascii="Verdana" w:hAnsi="Verdana" w:cs="Arial"/>
          <w:color w:val="000000" w:themeColor="text1"/>
          <w:sz w:val="16"/>
          <w:szCs w:val="16"/>
        </w:rPr>
        <w:t xml:space="preserve"> Cfr. Concepto del 21 de agosto de 2019, dictado dentro del radicado No. 2201913000006047.</w:t>
      </w:r>
    </w:p>
  </w:footnote>
  <w:footnote w:id="6">
    <w:p w14:paraId="5F094881" w14:textId="77777777" w:rsidR="00B110F5" w:rsidRPr="00006A46" w:rsidRDefault="00B110F5" w:rsidP="00B110F5">
      <w:pPr>
        <w:pStyle w:val="Textonotapie"/>
        <w:ind w:firstLine="708"/>
        <w:jc w:val="both"/>
        <w:rPr>
          <w:rFonts w:ascii="Verdana" w:hAnsi="Verdana" w:cs="Arial"/>
          <w:color w:val="000000" w:themeColor="text1"/>
          <w:sz w:val="16"/>
          <w:szCs w:val="16"/>
          <w:lang w:val="es-ES"/>
        </w:rPr>
      </w:pPr>
      <w:r w:rsidRPr="00006A46">
        <w:rPr>
          <w:rStyle w:val="Refdenotaalpie"/>
          <w:rFonts w:ascii="Verdana" w:hAnsi="Verdana" w:cs="Arial"/>
          <w:color w:val="000000" w:themeColor="text1"/>
          <w:sz w:val="16"/>
          <w:szCs w:val="16"/>
        </w:rPr>
        <w:footnoteRef/>
      </w:r>
      <w:r w:rsidRPr="00006A46">
        <w:rPr>
          <w:rFonts w:ascii="Verdana" w:hAnsi="Verdana" w:cs="Arial"/>
          <w:color w:val="000000" w:themeColor="text1"/>
          <w:sz w:val="16"/>
          <w:szCs w:val="16"/>
        </w:rPr>
        <w:t xml:space="preserve"> Concepto del 24 de febrero de 2005, con radicado No. 1626, C.P. Dra. Gloria Duque Hernández</w:t>
      </w:r>
    </w:p>
  </w:footnote>
  <w:footnote w:id="7">
    <w:p w14:paraId="022F70C8" w14:textId="77777777" w:rsidR="00B110F5" w:rsidRPr="00006A46" w:rsidRDefault="00B110F5" w:rsidP="00B110F5">
      <w:pPr>
        <w:pStyle w:val="Textonotapie"/>
        <w:ind w:firstLine="708"/>
        <w:jc w:val="both"/>
        <w:rPr>
          <w:rFonts w:ascii="Verdana" w:hAnsi="Verdana" w:cs="Arial"/>
          <w:color w:val="000000" w:themeColor="text1"/>
          <w:sz w:val="16"/>
          <w:szCs w:val="16"/>
        </w:rPr>
      </w:pPr>
      <w:r w:rsidRPr="00006A46">
        <w:rPr>
          <w:rStyle w:val="Refdenotaalpie"/>
          <w:rFonts w:ascii="Verdana" w:hAnsi="Verdana" w:cs="Arial"/>
          <w:color w:val="000000" w:themeColor="text1"/>
          <w:sz w:val="16"/>
          <w:szCs w:val="16"/>
        </w:rPr>
        <w:footnoteRef/>
      </w:r>
      <w:r w:rsidRPr="00006A46">
        <w:rPr>
          <w:rFonts w:ascii="Verdana" w:hAnsi="Verdana" w:cs="Arial"/>
          <w:color w:val="000000" w:themeColor="text1"/>
          <w:sz w:val="16"/>
          <w:szCs w:val="16"/>
        </w:rPr>
        <w:t xml:space="preserve"> Se precisa que la suspensión provisional, de acuerdo con el artículo 231 de la Ley 1437 de 2011, es una medida cautelar que busca proteger y garantizar, de forma provisional, que la norma demandada no genere actos contrarios al ordenamiento jurídico, razón por la cual, para decretarla es necesario que la transgresión de las normas superiores invocadas surja de la comparación entre estas y los actos acusados o del estudio de las pruebas aportadas con la solicitud.</w:t>
      </w:r>
    </w:p>
  </w:footnote>
  <w:footnote w:id="8">
    <w:p w14:paraId="71065C0E" w14:textId="77777777" w:rsidR="00B110F5" w:rsidRPr="00006A46" w:rsidRDefault="00B110F5" w:rsidP="00B110F5">
      <w:pPr>
        <w:pStyle w:val="Textonotapie"/>
        <w:ind w:firstLine="708"/>
        <w:rPr>
          <w:rFonts w:ascii="Verdana" w:hAnsi="Verdana" w:cs="Arial"/>
          <w:color w:val="000000" w:themeColor="text1"/>
          <w:sz w:val="16"/>
          <w:szCs w:val="16"/>
        </w:rPr>
      </w:pPr>
      <w:r w:rsidRPr="00006A46">
        <w:rPr>
          <w:rStyle w:val="Refdenotaalpie"/>
          <w:rFonts w:ascii="Verdana" w:hAnsi="Verdana"/>
          <w:sz w:val="16"/>
          <w:szCs w:val="16"/>
        </w:rPr>
        <w:footnoteRef/>
      </w:r>
      <w:r w:rsidRPr="00006A46">
        <w:rPr>
          <w:rFonts w:ascii="Verdana" w:hAnsi="Verdana"/>
          <w:sz w:val="16"/>
          <w:szCs w:val="16"/>
        </w:rPr>
        <w:t xml:space="preserve"> </w:t>
      </w:r>
      <w:r w:rsidRPr="00006A46">
        <w:rPr>
          <w:rFonts w:ascii="Verdana" w:hAnsi="Verdana" w:cs="Arial"/>
          <w:color w:val="000000" w:themeColor="text1"/>
          <w:sz w:val="16"/>
          <w:szCs w:val="16"/>
        </w:rPr>
        <w:t>CONSEJO DE ESTADO. Sala Plena. Auto del 15 de marzo de 2022. Exp. 11001-03-26-000-2018-00113-01 (62.003). C.P. Rocío Araújo Oñate.</w:t>
      </w:r>
    </w:p>
  </w:footnote>
  <w:footnote w:id="9">
    <w:p w14:paraId="1C067628" w14:textId="77777777" w:rsidR="00B110F5" w:rsidRPr="00006A46" w:rsidRDefault="00B110F5" w:rsidP="00B110F5">
      <w:pPr>
        <w:pStyle w:val="Textonotapie"/>
        <w:ind w:firstLine="708"/>
        <w:jc w:val="both"/>
        <w:rPr>
          <w:rFonts w:ascii="Verdana" w:eastAsia="Calibri" w:hAnsi="Verdana" w:cs="Arial"/>
          <w:color w:val="000000" w:themeColor="text1"/>
          <w:sz w:val="16"/>
          <w:szCs w:val="16"/>
        </w:rPr>
      </w:pPr>
      <w:r w:rsidRPr="00006A46">
        <w:rPr>
          <w:rStyle w:val="Refdenotaalpie"/>
          <w:rFonts w:ascii="Verdana" w:hAnsi="Verdana" w:cs="Arial"/>
          <w:color w:val="000000" w:themeColor="text1"/>
          <w:sz w:val="16"/>
          <w:szCs w:val="16"/>
        </w:rPr>
        <w:footnoteRef/>
      </w:r>
      <w:r w:rsidRPr="00006A46">
        <w:rPr>
          <w:rFonts w:ascii="Verdana" w:hAnsi="Verdana" w:cs="Arial"/>
          <w:color w:val="000000" w:themeColor="text1"/>
          <w:sz w:val="16"/>
          <w:szCs w:val="16"/>
        </w:rPr>
        <w:t xml:space="preserve"> </w:t>
      </w:r>
      <w:r w:rsidRPr="00006A46">
        <w:rPr>
          <w:rFonts w:ascii="Verdana" w:eastAsia="Calibri" w:hAnsi="Verdana" w:cs="Arial"/>
          <w:color w:val="000000" w:themeColor="text1"/>
          <w:sz w:val="16"/>
          <w:szCs w:val="16"/>
        </w:rPr>
        <w:t>Decreto 092 de 2017, artículo 1, inciso 2: “Para la interpretación del presente decreto, las expresiones aquí utilizadas con mayúscula inicial deben ser entendidas con el significado indicado en la guía que expida la Agencia Nacional de Contratación Pública –Colombia Compra Eficiente– para la aplicación del presente decreto”.</w:t>
      </w:r>
    </w:p>
  </w:footnote>
  <w:footnote w:id="10">
    <w:p w14:paraId="3EEFAAAF" w14:textId="77777777" w:rsidR="00B110F5" w:rsidRPr="00006A46" w:rsidRDefault="00B110F5" w:rsidP="00B110F5">
      <w:pPr>
        <w:pStyle w:val="Textonotapie"/>
        <w:ind w:firstLine="708"/>
        <w:jc w:val="both"/>
        <w:rPr>
          <w:rFonts w:ascii="Verdana" w:hAnsi="Verdana" w:cs="Arial"/>
          <w:color w:val="000000" w:themeColor="text1"/>
          <w:sz w:val="16"/>
          <w:szCs w:val="16"/>
        </w:rPr>
      </w:pPr>
      <w:r w:rsidRPr="00006A46">
        <w:rPr>
          <w:rStyle w:val="Refdenotaalpie"/>
          <w:rFonts w:ascii="Verdana" w:hAnsi="Verdana" w:cs="Arial"/>
          <w:color w:val="000000" w:themeColor="text1"/>
          <w:sz w:val="16"/>
          <w:szCs w:val="16"/>
        </w:rPr>
        <w:footnoteRef/>
      </w:r>
      <w:r w:rsidRPr="00006A46">
        <w:rPr>
          <w:rFonts w:ascii="Verdana" w:hAnsi="Verdana" w:cs="Arial"/>
          <w:color w:val="000000" w:themeColor="text1"/>
          <w:sz w:val="16"/>
          <w:szCs w:val="16"/>
        </w:rPr>
        <w:t xml:space="preserve"> </w:t>
      </w:r>
      <w:r w:rsidRPr="00006A46">
        <w:rPr>
          <w:rFonts w:ascii="Verdana" w:eastAsia="Calibri" w:hAnsi="Verdana" w:cs="Arial"/>
          <w:color w:val="000000" w:themeColor="text1"/>
          <w:sz w:val="16"/>
          <w:szCs w:val="16"/>
        </w:rPr>
        <w:t>Decreto 092 de 2017, artículo 3, inciso 2: “</w:t>
      </w:r>
      <w:r w:rsidRPr="00006A46">
        <w:rPr>
          <w:rFonts w:ascii="Verdana" w:hAnsi="Verdana" w:cs="Arial"/>
          <w:color w:val="000000" w:themeColor="text1"/>
          <w:sz w:val="16"/>
          <w:szCs w:val="16"/>
        </w:rPr>
        <w:t>La Entidad Estatal debe definir en los Documentos del Proceso las características que debe acreditar la entidad sin ánimo de lucro. Para el efecto, deberá tomar en consideración las pautas y criterios establecidos en la guía que expida la Agencia Nacional de Contratación Pública –Colombia Compra Eficiente, la cual deberá tener en cuenta las normas de trasparencia y acceso a la información aplicable a las entidades privadas sin ánimo de lucro que contratan con cargo a recursos de origen público y las mejores prácticas en materia de prohibiciones, inhabilidades, incompatibilidades y conflictos de interés”.</w:t>
      </w:r>
    </w:p>
  </w:footnote>
  <w:footnote w:id="11">
    <w:p w14:paraId="0B73C05D" w14:textId="77777777" w:rsidR="00B110F5" w:rsidRPr="00006A46" w:rsidRDefault="00B110F5" w:rsidP="00B110F5">
      <w:pPr>
        <w:spacing w:after="0" w:line="240" w:lineRule="auto"/>
        <w:ind w:firstLine="708"/>
        <w:jc w:val="both"/>
        <w:rPr>
          <w:rFonts w:ascii="Verdana" w:hAnsi="Verdana" w:cs="Arial"/>
          <w:color w:val="000000" w:themeColor="text1"/>
          <w:sz w:val="16"/>
          <w:szCs w:val="16"/>
        </w:rPr>
      </w:pPr>
      <w:r w:rsidRPr="00006A46">
        <w:rPr>
          <w:rFonts w:ascii="Verdana" w:hAnsi="Verdana" w:cs="Arial"/>
          <w:color w:val="000000" w:themeColor="text1"/>
          <w:sz w:val="16"/>
          <w:szCs w:val="16"/>
          <w:vertAlign w:val="superscript"/>
        </w:rPr>
        <w:footnoteRef/>
      </w:r>
      <w:r w:rsidRPr="00006A46">
        <w:rPr>
          <w:rFonts w:ascii="Verdana" w:hAnsi="Verdana" w:cs="Arial"/>
          <w:color w:val="000000" w:themeColor="text1"/>
          <w:sz w:val="16"/>
          <w:szCs w:val="16"/>
        </w:rPr>
        <w:t xml:space="preserve"> En el auto del 15 de marzo de 2022 se señalaron los siguientes argumentos para levantar la suspensión provisional del inciso segundo del artículo 3 del Decreto 092 de 2017: “43. En suma, lo que advierte la Sala es que para establecer si el Gobierno nacional delegó indebidamente el ejercicio de la potestad reglamentaria directa de la Constitución, es necesario realizar un estudio de fondo, que es propio de la sentencia, pues de la literalidad de las normas confrontadas no surge que la expedición de la guía, con el alcance orientador y de interpretación señalado en las disposiciones demandadas, corresponda al ejercicio incompleto y trasladado de esa potestad, como lo razona el demandante, o si se trata de la asignación de una función o tarea, dentro de la amplia esfera de configuración normativa que confieren los reglamentos constitucionales autónomos, como lo entiende el Departamento Nacional de Planeación. </w:t>
      </w:r>
    </w:p>
    <w:p w14:paraId="72A75984" w14:textId="77777777" w:rsidR="00B110F5" w:rsidRPr="00006A46" w:rsidRDefault="00B110F5" w:rsidP="00B110F5">
      <w:pPr>
        <w:spacing w:after="0" w:line="240" w:lineRule="auto"/>
        <w:ind w:firstLine="708"/>
        <w:jc w:val="both"/>
        <w:rPr>
          <w:rFonts w:ascii="Verdana" w:hAnsi="Verdana" w:cs="Arial"/>
          <w:color w:val="000000" w:themeColor="text1"/>
          <w:sz w:val="16"/>
          <w:szCs w:val="16"/>
        </w:rPr>
      </w:pPr>
      <w:r w:rsidRPr="00006A46">
        <w:rPr>
          <w:rFonts w:ascii="Verdana" w:hAnsi="Verdana" w:cs="Arial"/>
          <w:color w:val="000000" w:themeColor="text1"/>
          <w:sz w:val="16"/>
          <w:szCs w:val="16"/>
        </w:rPr>
        <w:t xml:space="preserve"> 44. Así pues, al no evidenciarse ab initio la infracción constitucional aducida en los términos del artículo 231 de la Ley 1437 de 2011, no existe fundamento jurídico para suspender provisionalmente los efectos del inciso segundo del artículo 1 y del inciso segundo del artículo 3 del Decreto 092 de 2017. En consecuencia, la Sala revocará dicha medida cautelar y la negará en relación con esas disposiciones”. (CONSEJO DE ESTADO. Sala Plena. Auto del 15 de marzo de 2022. </w:t>
      </w:r>
      <w:proofErr w:type="spellStart"/>
      <w:r w:rsidRPr="00006A46">
        <w:rPr>
          <w:rFonts w:ascii="Verdana" w:hAnsi="Verdana" w:cs="Arial"/>
          <w:color w:val="000000" w:themeColor="text1"/>
          <w:sz w:val="16"/>
          <w:szCs w:val="16"/>
        </w:rPr>
        <w:t>Exp</w:t>
      </w:r>
      <w:proofErr w:type="spellEnd"/>
      <w:r w:rsidRPr="00006A46">
        <w:rPr>
          <w:rFonts w:ascii="Verdana" w:hAnsi="Verdana" w:cs="Arial"/>
          <w:color w:val="000000" w:themeColor="text1"/>
          <w:sz w:val="16"/>
          <w:szCs w:val="16"/>
        </w:rPr>
        <w:t>. 11001-03-26-000-2018-00113-01 (62.003). C.P. Rocío Araújo Oñate).</w:t>
      </w:r>
    </w:p>
  </w:footnote>
  <w:footnote w:id="12">
    <w:p w14:paraId="192223D4" w14:textId="77777777" w:rsidR="00B110F5" w:rsidRPr="00006A46" w:rsidRDefault="00B110F5" w:rsidP="00B110F5">
      <w:pPr>
        <w:spacing w:after="0" w:line="240" w:lineRule="auto"/>
        <w:ind w:firstLine="708"/>
        <w:jc w:val="both"/>
        <w:rPr>
          <w:rFonts w:ascii="Verdana" w:hAnsi="Verdana" w:cs="Arial"/>
          <w:color w:val="000000" w:themeColor="text1"/>
          <w:sz w:val="16"/>
          <w:szCs w:val="16"/>
        </w:rPr>
      </w:pPr>
      <w:r w:rsidRPr="00006A46">
        <w:rPr>
          <w:rStyle w:val="Refdenotaalpie"/>
          <w:rFonts w:ascii="Verdana" w:hAnsi="Verdana" w:cs="Arial"/>
          <w:color w:val="000000" w:themeColor="text1"/>
          <w:sz w:val="16"/>
          <w:szCs w:val="16"/>
        </w:rPr>
        <w:footnoteRef/>
      </w:r>
      <w:r w:rsidRPr="00006A46">
        <w:rPr>
          <w:rFonts w:ascii="Verdana" w:hAnsi="Verdana" w:cs="Arial"/>
          <w:color w:val="000000" w:themeColor="text1"/>
          <w:sz w:val="16"/>
          <w:szCs w:val="16"/>
        </w:rPr>
        <w:t xml:space="preserve"> Decreto 092 de 2017, Artículo 2, literal a: “Que el objeto del contrato corresponda directamente a programas y actividades de interés público previsto en el Plan Nacional o Seccional de Desarrollo, de acuerdo con el nivel de la Entidad Estatal, con los cuales esta busque exclusivamente promover los derechos de personas en situaciones de debilidad manifiesta o indefensión, los derechos de las minorías, el derecho a la educación, el derecho a la paz, las manifestaciones artísticas, culturales, deportivas y de promoción de la diversidad étnica colombiana”.</w:t>
      </w:r>
    </w:p>
  </w:footnote>
  <w:footnote w:id="13">
    <w:p w14:paraId="4DC52DB1" w14:textId="77777777" w:rsidR="00B110F5" w:rsidRPr="00006A46" w:rsidRDefault="00B110F5" w:rsidP="00B110F5">
      <w:pPr>
        <w:pStyle w:val="Textonotapie"/>
        <w:ind w:firstLine="708"/>
        <w:jc w:val="both"/>
        <w:rPr>
          <w:rFonts w:ascii="Verdana" w:hAnsi="Verdana" w:cs="Arial"/>
          <w:color w:val="000000" w:themeColor="text1"/>
          <w:sz w:val="16"/>
          <w:szCs w:val="16"/>
        </w:rPr>
      </w:pPr>
      <w:r w:rsidRPr="00006A46">
        <w:rPr>
          <w:rStyle w:val="Refdenotaalpie"/>
          <w:rFonts w:ascii="Verdana" w:hAnsi="Verdana" w:cs="Arial"/>
          <w:color w:val="000000" w:themeColor="text1"/>
          <w:sz w:val="16"/>
          <w:szCs w:val="16"/>
        </w:rPr>
        <w:footnoteRef/>
      </w:r>
      <w:r w:rsidRPr="00006A46">
        <w:rPr>
          <w:rFonts w:ascii="Verdana" w:hAnsi="Verdana" w:cs="Arial"/>
          <w:color w:val="000000" w:themeColor="text1"/>
          <w:sz w:val="16"/>
          <w:szCs w:val="16"/>
        </w:rPr>
        <w:t xml:space="preserve"> Decreto 092 de 2017, Artículo 2, literal a: “Que no exista oferta en el mercado de los bienes, obras y servicios requeridos para la estrategia y política del plan de desarrollo objeto de la contratación, distinta de la oferta que hacen las entidades privadas sin ánimo de lucro; o que, si existe, la contratación con entidades privadas sin ánimo de lucro represente la optimización de los recursos públicos en términos de eficiencia, eficacia, economía y manejo del Riesgo. En los demás eventos, la Entidad Estatal deberá aplicar la Ley 80 de 1993, sus modificaciones y reglamentos”.</w:t>
      </w:r>
    </w:p>
  </w:footnote>
  <w:footnote w:id="14">
    <w:p w14:paraId="2076C98D" w14:textId="77777777" w:rsidR="00B110F5" w:rsidRPr="00006A46" w:rsidRDefault="00B110F5" w:rsidP="00B110F5">
      <w:pPr>
        <w:pStyle w:val="Textonotapie"/>
        <w:ind w:firstLine="708"/>
        <w:jc w:val="both"/>
        <w:rPr>
          <w:rFonts w:ascii="Verdana" w:hAnsi="Verdana" w:cs="Arial"/>
          <w:color w:val="000000" w:themeColor="text1"/>
          <w:sz w:val="16"/>
          <w:szCs w:val="16"/>
          <w:lang w:val="es-ES"/>
        </w:rPr>
      </w:pPr>
      <w:r w:rsidRPr="00006A46">
        <w:rPr>
          <w:rStyle w:val="Refdenotaalpie"/>
          <w:rFonts w:ascii="Verdana" w:hAnsi="Verdana" w:cs="Arial"/>
          <w:color w:val="000000" w:themeColor="text1"/>
          <w:sz w:val="16"/>
          <w:szCs w:val="16"/>
        </w:rPr>
        <w:footnoteRef/>
      </w:r>
      <w:r w:rsidRPr="00006A46">
        <w:rPr>
          <w:rFonts w:ascii="Verdana" w:hAnsi="Verdana" w:cs="Arial"/>
          <w:color w:val="000000" w:themeColor="text1"/>
          <w:sz w:val="16"/>
          <w:szCs w:val="16"/>
        </w:rPr>
        <w:t xml:space="preserve"> Decreto 092 de 2017, artículo 4: “(…) Las Entidades Estatales no están obligadas a adelantar el proceso competitivo previsto en este artículo cuando el objeto del Proceso de Contratación corresponde a actividades artísticas, culturales, deportivas y de promoción de la diversidad étnica colombiana, que solo pueden desarrollar determinadas personas naturales o jurídicas, condición que debe justificarse en los estudios y documentos previos”.</w:t>
      </w:r>
    </w:p>
  </w:footnote>
  <w:footnote w:id="15">
    <w:p w14:paraId="081EEF6E" w14:textId="77777777" w:rsidR="00B110F5" w:rsidRPr="00006A46" w:rsidRDefault="00B110F5" w:rsidP="00B110F5">
      <w:pPr>
        <w:pStyle w:val="Textonotapie"/>
        <w:ind w:firstLine="708"/>
        <w:jc w:val="both"/>
        <w:rPr>
          <w:rFonts w:ascii="Verdana" w:hAnsi="Verdana" w:cs="Arial"/>
          <w:sz w:val="16"/>
          <w:szCs w:val="16"/>
        </w:rPr>
      </w:pPr>
      <w:r w:rsidRPr="00006A46">
        <w:rPr>
          <w:rStyle w:val="Refdenotaalpie"/>
          <w:rFonts w:ascii="Verdana" w:hAnsi="Verdana" w:cs="Arial"/>
          <w:sz w:val="16"/>
          <w:szCs w:val="16"/>
        </w:rPr>
        <w:footnoteRef/>
      </w:r>
      <w:r w:rsidRPr="00006A46">
        <w:rPr>
          <w:rFonts w:ascii="Verdana" w:hAnsi="Verdana" w:cs="Arial"/>
          <w:sz w:val="16"/>
          <w:szCs w:val="16"/>
        </w:rPr>
        <w:t xml:space="preserve"> De esta manera, agrega que “[…] cuando el reglamento exige correspondencia directa entre los objetos de los contratos y las actividades y programas contenidos específicamente en los planes de desarrollo, excluye aquellos programas y actividades de interés público que desarrollan entidades sin ánimo de lucro y de reconocida idoneidad, que aun cuando acordes con los planes de desarrollo no encajan de manera precisa en alguna de las actividades o programas particulares contemplados en dichos planes” (Cfr. Consejo de Estado. Sala Plena. </w:t>
      </w:r>
      <w:bookmarkStart w:id="11" w:name="_Hlk102655636"/>
      <w:r w:rsidRPr="00006A46">
        <w:rPr>
          <w:rFonts w:ascii="Verdana" w:hAnsi="Verdana" w:cs="Arial"/>
          <w:sz w:val="16"/>
          <w:szCs w:val="16"/>
        </w:rPr>
        <w:t>Auto del 15 de marzo de 2022</w:t>
      </w:r>
      <w:bookmarkEnd w:id="11"/>
      <w:r w:rsidRPr="00006A46">
        <w:rPr>
          <w:rFonts w:ascii="Verdana" w:hAnsi="Verdana" w:cs="Arial"/>
          <w:sz w:val="16"/>
          <w:szCs w:val="16"/>
        </w:rPr>
        <w:t>. Exp. 62.003. C.P. Rocío Araújo Oñate).</w:t>
      </w:r>
    </w:p>
  </w:footnote>
  <w:footnote w:id="16">
    <w:p w14:paraId="25D41432" w14:textId="77777777" w:rsidR="00B110F5" w:rsidRPr="00006A46" w:rsidRDefault="00B110F5" w:rsidP="00B110F5">
      <w:pPr>
        <w:pStyle w:val="Textonotapie"/>
        <w:ind w:firstLine="708"/>
        <w:rPr>
          <w:rFonts w:ascii="Verdana" w:hAnsi="Verdana" w:cs="Arial"/>
          <w:sz w:val="16"/>
          <w:szCs w:val="16"/>
        </w:rPr>
      </w:pPr>
      <w:r w:rsidRPr="00006A46">
        <w:rPr>
          <w:rStyle w:val="Refdenotaalpie"/>
          <w:rFonts w:ascii="Verdana" w:hAnsi="Verdana" w:cs="Arial"/>
          <w:sz w:val="16"/>
          <w:szCs w:val="16"/>
        </w:rPr>
        <w:footnoteRef/>
      </w:r>
      <w:r w:rsidRPr="00006A46">
        <w:rPr>
          <w:rFonts w:ascii="Verdana" w:hAnsi="Verdana" w:cs="Arial"/>
          <w:sz w:val="16"/>
          <w:szCs w:val="16"/>
        </w:rPr>
        <w:t xml:space="preserve"> </w:t>
      </w:r>
      <w:r w:rsidRPr="00006A46">
        <w:rPr>
          <w:rFonts w:ascii="Verdana" w:hAnsi="Verdana" w:cs="Arial"/>
          <w:i/>
          <w:iCs/>
          <w:sz w:val="16"/>
          <w:szCs w:val="16"/>
        </w:rPr>
        <w:t>Ibidem</w:t>
      </w:r>
      <w:r w:rsidRPr="00006A46">
        <w:rPr>
          <w:rFonts w:ascii="Verdana" w:hAnsi="Verdana" w:cs="Arial"/>
          <w:sz w:val="16"/>
          <w:szCs w:val="16"/>
        </w:rPr>
        <w:t>.</w:t>
      </w:r>
    </w:p>
  </w:footnote>
  <w:footnote w:id="17">
    <w:p w14:paraId="541795B5" w14:textId="77777777" w:rsidR="00B110F5" w:rsidRPr="00006A46" w:rsidRDefault="00B110F5" w:rsidP="00B110F5">
      <w:pPr>
        <w:pStyle w:val="Textonotapie"/>
        <w:ind w:firstLine="708"/>
        <w:jc w:val="both"/>
        <w:rPr>
          <w:rFonts w:ascii="Verdana" w:hAnsi="Verdana" w:cs="Arial"/>
          <w:color w:val="000000"/>
          <w:sz w:val="16"/>
          <w:szCs w:val="16"/>
        </w:rPr>
      </w:pPr>
      <w:r w:rsidRPr="00006A46">
        <w:rPr>
          <w:rStyle w:val="Refdenotaalpie"/>
          <w:rFonts w:ascii="Verdana" w:hAnsi="Verdana" w:cs="Arial"/>
          <w:color w:val="000000"/>
          <w:sz w:val="16"/>
          <w:szCs w:val="16"/>
        </w:rPr>
        <w:footnoteRef/>
      </w:r>
      <w:r w:rsidRPr="00006A46">
        <w:rPr>
          <w:rFonts w:ascii="Verdana" w:hAnsi="Verdana" w:cs="Arial"/>
          <w:color w:val="000000"/>
          <w:sz w:val="16"/>
          <w:szCs w:val="16"/>
        </w:rPr>
        <w:t xml:space="preserve"> Decreto 1082,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 w:id="18">
    <w:p w14:paraId="27D72EE6" w14:textId="77777777" w:rsidR="00B110F5" w:rsidRPr="00374FEC" w:rsidRDefault="00B110F5" w:rsidP="00B110F5">
      <w:pPr>
        <w:pStyle w:val="Textonotapie"/>
        <w:ind w:firstLine="708"/>
        <w:jc w:val="both"/>
        <w:rPr>
          <w:rFonts w:ascii="Verdana" w:hAnsi="Verdana"/>
          <w:sz w:val="16"/>
          <w:szCs w:val="16"/>
          <w:lang w:val="es-CO"/>
        </w:rPr>
      </w:pPr>
      <w:r w:rsidRPr="00374FEC">
        <w:rPr>
          <w:rStyle w:val="Refdenotaalpie"/>
          <w:rFonts w:ascii="Verdana" w:hAnsi="Verdana"/>
          <w:sz w:val="16"/>
          <w:szCs w:val="16"/>
        </w:rPr>
        <w:footnoteRef/>
      </w:r>
      <w:r w:rsidRPr="00374FEC">
        <w:rPr>
          <w:rFonts w:ascii="Verdana" w:hAnsi="Verdana"/>
          <w:sz w:val="16"/>
          <w:szCs w:val="16"/>
        </w:rPr>
        <w:t xml:space="preserve"> </w:t>
      </w:r>
      <w:r>
        <w:rPr>
          <w:rFonts w:ascii="Verdana" w:hAnsi="Verdana"/>
          <w:sz w:val="16"/>
          <w:szCs w:val="16"/>
        </w:rPr>
        <w:t>Para la jurisprudencia, “</w:t>
      </w:r>
      <w:r w:rsidRPr="00374FEC">
        <w:rPr>
          <w:rFonts w:ascii="Verdana" w:hAnsi="Verdana"/>
          <w:sz w:val="16"/>
          <w:szCs w:val="16"/>
        </w:rPr>
        <w:t>Un comportamiento puede calificarse como fraudulento cuando la actuación, que en apariencia se ajusta a la prescripción normativa, en la realidad conlleva una situación manifiestamente contraria a un principio del ordenamiento superior. De este modo, el fraude se presenta como un supuesto de infracción indirecta de la ley, por dos razones. Por una parte, los actos realizados en fraude a la ley no impiden la debida aplicación de la norma que se hubiese tratado de eludir. Por otra, producen una situación que atenta contra el orden constitucional y los principios que inspiran el reconocimiento de un derecho previsto por una disposición particular, la cual es empleada para obtener el resultado no deseado por el legislador</w:t>
      </w:r>
      <w:r>
        <w:rPr>
          <w:rFonts w:ascii="Verdana" w:hAnsi="Verdana"/>
          <w:sz w:val="16"/>
          <w:szCs w:val="16"/>
        </w:rPr>
        <w:t xml:space="preserve">” (CORTE CONSTITUCIONAL. </w:t>
      </w:r>
      <w:r w:rsidRPr="00374FEC">
        <w:rPr>
          <w:rFonts w:ascii="Verdana" w:hAnsi="Verdana"/>
          <w:sz w:val="16"/>
          <w:szCs w:val="16"/>
        </w:rPr>
        <w:t>Sentencia T-073</w:t>
      </w:r>
      <w:r>
        <w:rPr>
          <w:rFonts w:ascii="Verdana" w:hAnsi="Verdana"/>
          <w:sz w:val="16"/>
          <w:szCs w:val="16"/>
        </w:rPr>
        <w:t xml:space="preserve"> de 20</w:t>
      </w:r>
      <w:r w:rsidRPr="00374FEC">
        <w:rPr>
          <w:rFonts w:ascii="Verdana" w:hAnsi="Verdana"/>
          <w:sz w:val="16"/>
          <w:szCs w:val="16"/>
        </w:rPr>
        <w:t>19.</w:t>
      </w:r>
      <w:r>
        <w:rPr>
          <w:rFonts w:ascii="Verdana" w:hAnsi="Verdana"/>
          <w:sz w:val="16"/>
          <w:szCs w:val="16"/>
        </w:rPr>
        <w:t xml:space="preserve"> M.P. </w:t>
      </w:r>
      <w:r w:rsidRPr="00374FEC">
        <w:rPr>
          <w:rFonts w:ascii="Verdana" w:hAnsi="Verdana"/>
          <w:sz w:val="16"/>
          <w:szCs w:val="16"/>
        </w:rPr>
        <w:t>Carlos Bernal Pulido</w:t>
      </w:r>
      <w:r>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44F87"/>
    <w:rsid w:val="0015699B"/>
    <w:rsid w:val="001A33BF"/>
    <w:rsid w:val="001B0024"/>
    <w:rsid w:val="001E4177"/>
    <w:rsid w:val="001F0B24"/>
    <w:rsid w:val="001F7DC6"/>
    <w:rsid w:val="0022400B"/>
    <w:rsid w:val="002421BB"/>
    <w:rsid w:val="0025796E"/>
    <w:rsid w:val="002707A2"/>
    <w:rsid w:val="0027630F"/>
    <w:rsid w:val="002951A0"/>
    <w:rsid w:val="002962BC"/>
    <w:rsid w:val="002A093D"/>
    <w:rsid w:val="002A0DD0"/>
    <w:rsid w:val="002A49AC"/>
    <w:rsid w:val="002A64FD"/>
    <w:rsid w:val="002A780A"/>
    <w:rsid w:val="002C7A84"/>
    <w:rsid w:val="002E2BF8"/>
    <w:rsid w:val="002E4FD9"/>
    <w:rsid w:val="0030657A"/>
    <w:rsid w:val="00322A85"/>
    <w:rsid w:val="00324168"/>
    <w:rsid w:val="00330834"/>
    <w:rsid w:val="003448F4"/>
    <w:rsid w:val="00374F5E"/>
    <w:rsid w:val="00377E3E"/>
    <w:rsid w:val="003A3561"/>
    <w:rsid w:val="003A779E"/>
    <w:rsid w:val="003D0F4D"/>
    <w:rsid w:val="003D5B0D"/>
    <w:rsid w:val="003E0499"/>
    <w:rsid w:val="003E4F80"/>
    <w:rsid w:val="003E6439"/>
    <w:rsid w:val="003F3941"/>
    <w:rsid w:val="00406575"/>
    <w:rsid w:val="00414C74"/>
    <w:rsid w:val="0042608B"/>
    <w:rsid w:val="0042722E"/>
    <w:rsid w:val="0044528D"/>
    <w:rsid w:val="00466E39"/>
    <w:rsid w:val="00494E24"/>
    <w:rsid w:val="004A1847"/>
    <w:rsid w:val="004A305D"/>
    <w:rsid w:val="004F21C4"/>
    <w:rsid w:val="004F685F"/>
    <w:rsid w:val="005566E8"/>
    <w:rsid w:val="00562C56"/>
    <w:rsid w:val="00574867"/>
    <w:rsid w:val="00591460"/>
    <w:rsid w:val="005979B6"/>
    <w:rsid w:val="005A65E0"/>
    <w:rsid w:val="005A6777"/>
    <w:rsid w:val="005C3777"/>
    <w:rsid w:val="005C5CDC"/>
    <w:rsid w:val="005D476C"/>
    <w:rsid w:val="005D7F6A"/>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55"/>
    <w:rsid w:val="007E5497"/>
    <w:rsid w:val="00806F5F"/>
    <w:rsid w:val="0080712D"/>
    <w:rsid w:val="00820278"/>
    <w:rsid w:val="008258C9"/>
    <w:rsid w:val="00833FCD"/>
    <w:rsid w:val="00844AE9"/>
    <w:rsid w:val="00867F95"/>
    <w:rsid w:val="008755A0"/>
    <w:rsid w:val="008843B6"/>
    <w:rsid w:val="00891928"/>
    <w:rsid w:val="008A446D"/>
    <w:rsid w:val="008B1122"/>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D3F19"/>
    <w:rsid w:val="009F3A13"/>
    <w:rsid w:val="00A122D3"/>
    <w:rsid w:val="00A14468"/>
    <w:rsid w:val="00A17F13"/>
    <w:rsid w:val="00A20739"/>
    <w:rsid w:val="00A23AF9"/>
    <w:rsid w:val="00A33C78"/>
    <w:rsid w:val="00A40C24"/>
    <w:rsid w:val="00A643BA"/>
    <w:rsid w:val="00AA6145"/>
    <w:rsid w:val="00AB0ADB"/>
    <w:rsid w:val="00B00C0E"/>
    <w:rsid w:val="00B01B1A"/>
    <w:rsid w:val="00B0381D"/>
    <w:rsid w:val="00B110F5"/>
    <w:rsid w:val="00B44A47"/>
    <w:rsid w:val="00B47CC7"/>
    <w:rsid w:val="00B72CD3"/>
    <w:rsid w:val="00B72FFF"/>
    <w:rsid w:val="00BB2B57"/>
    <w:rsid w:val="00BC3D36"/>
    <w:rsid w:val="00BD54A6"/>
    <w:rsid w:val="00BD7F72"/>
    <w:rsid w:val="00BF7425"/>
    <w:rsid w:val="00C04FB3"/>
    <w:rsid w:val="00C11D8B"/>
    <w:rsid w:val="00C12EBD"/>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66D9C"/>
    <w:rsid w:val="00E75C92"/>
    <w:rsid w:val="00E771DC"/>
    <w:rsid w:val="00E8772A"/>
    <w:rsid w:val="00E90F6B"/>
    <w:rsid w:val="00E92C27"/>
    <w:rsid w:val="00EA0E3D"/>
    <w:rsid w:val="00EA1B34"/>
    <w:rsid w:val="00EC38A7"/>
    <w:rsid w:val="00EE1AA8"/>
    <w:rsid w:val="00EE7774"/>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110F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B110F5"/>
    <w:rPr>
      <w:rFonts w:ascii="Geomanist Light" w:hAnsi="Geomanist Light"/>
      <w:lang w:val="es-ES"/>
    </w:rPr>
  </w:style>
  <w:style w:type="character" w:customStyle="1" w:styleId="s15">
    <w:name w:val="s15"/>
    <w:basedOn w:val="Fuentedeprrafopredeter"/>
    <w:rsid w:val="00B110F5"/>
  </w:style>
  <w:style w:type="paragraph" w:styleId="Textoindependiente">
    <w:name w:val="Body Text"/>
    <w:basedOn w:val="Normal"/>
    <w:link w:val="TextoindependienteCar"/>
    <w:uiPriority w:val="1"/>
    <w:qFormat/>
    <w:rsid w:val="00B110F5"/>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B110F5"/>
    <w:rPr>
      <w:rFonts w:ascii="Verdana" w:eastAsia="Verdana" w:hAnsi="Verdana" w:cs="Verdana"/>
      <w:lang w:val="es-ES"/>
    </w:rPr>
  </w:style>
  <w:style w:type="paragraph" w:styleId="Sinespaciado">
    <w:name w:val="No Spacing"/>
    <w:aliases w:val="No Indent"/>
    <w:uiPriority w:val="3"/>
    <w:qFormat/>
    <w:rsid w:val="00B110F5"/>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4FAA697-F526-4DBD-9109-C5C0AC9949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24</Pages>
  <Words>8487</Words>
  <Characters>46684</Characters>
  <Application>Microsoft Office Word</Application>
  <DocSecurity>0</DocSecurity>
  <Lines>389</Lines>
  <Paragraphs>110</Paragraphs>
  <ScaleCrop>false</ScaleCrop>
  <Company/>
  <LinksUpToDate>false</LinksUpToDate>
  <CharactersWithSpaces>55061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2026-03-12T02:02:00Z</dcterms:created>
  <dcterms:modified xsi:type="dcterms:W3CDTF">2026-03-17T14:53:00Z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