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BC03F" w14:textId="77777777" w:rsidR="003C75FF" w:rsidRPr="00760536" w:rsidRDefault="003C75FF" w:rsidP="003C75FF">
      <w:pPr>
        <w:spacing w:after="0" w:line="240" w:lineRule="auto"/>
        <w:jc w:val="both"/>
        <w:rPr>
          <w:rFonts w:ascii="Verdana" w:hAnsi="Verdana" w:cs="Arial"/>
          <w:b/>
        </w:rPr>
      </w:pPr>
      <w:r w:rsidRPr="00760536">
        <w:rPr>
          <w:rFonts w:ascii="Verdana" w:hAnsi="Verdana" w:cs="Arial"/>
          <w:b/>
        </w:rPr>
        <w:t xml:space="preserve">RIESGOS EN LA CONTRATACIÓN ESTATAL – Obligación de las entidades estatales de tipificarlos </w:t>
      </w:r>
    </w:p>
    <w:p w14:paraId="5C7B03AE" w14:textId="77777777" w:rsidR="003C75FF" w:rsidRPr="00760536" w:rsidRDefault="003C75FF" w:rsidP="003C75FF">
      <w:pPr>
        <w:spacing w:after="0" w:line="240" w:lineRule="auto"/>
        <w:jc w:val="both"/>
        <w:rPr>
          <w:rFonts w:ascii="Verdana" w:hAnsi="Verdana" w:cs="Arial"/>
          <w:b/>
          <w:sz w:val="20"/>
          <w:szCs w:val="20"/>
        </w:rPr>
      </w:pPr>
    </w:p>
    <w:p w14:paraId="76491F65" w14:textId="77777777" w:rsidR="003C75FF" w:rsidRPr="00760536" w:rsidRDefault="003C75FF" w:rsidP="003C75FF">
      <w:pPr>
        <w:spacing w:after="0" w:line="240" w:lineRule="auto"/>
        <w:jc w:val="both"/>
        <w:textAlignment w:val="baseline"/>
        <w:rPr>
          <w:rFonts w:ascii="Verdana" w:hAnsi="Verdana" w:cs="Arial"/>
          <w:sz w:val="20"/>
          <w:szCs w:val="20"/>
          <w:lang w:val="es-ES" w:eastAsia="es-CO"/>
        </w:rPr>
      </w:pPr>
      <w:r w:rsidRPr="00760536">
        <w:rPr>
          <w:rFonts w:ascii="Verdana" w:hAnsi="Verdana" w:cs="Arial"/>
          <w:sz w:val="20"/>
          <w:szCs w:val="20"/>
          <w:lang w:val="es-ES" w:eastAsia="es-CO"/>
        </w:rPr>
        <w:t>[…] el Decreto 1082 de 2015 reiteró, en los siguientes términos, la obligación que tienen las entidades estatales de tipificar, estimar y asignar los riesgos previsibles que surjan durante la ejecución contractual dentro del pliego de condiciones.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pliegos de condiciones, y por otro, los participantes del proceso de selección quienes deberán valorarlos y complementarlos en virtud del deber de colaboración con la administración pública en la construcción de los documentos definitivos, dada su experticia, especialidad y conocimientos. En tal sentido, ellos podrán pronunciarse frente a este contenido de los pliegos de condiciones mediante la presentación de observaciones a los proyectos de pliegos de condiciones y a los pliegos de condiciones definitivos, sin perjuicio de que en los procesos de licitación pública sea obligatoria realizar una audiencia de asignación de riesgos –art. 4 de la Ley 1150 de 2007, artículo 30, numeral 4, de la Ley 80 de 1993 y artículo 2.2.1.2.1.1.2. del Decreto 1082 de 2015–.</w:t>
      </w:r>
    </w:p>
    <w:p w14:paraId="6E466930" w14:textId="77777777" w:rsidR="003C75FF" w:rsidRPr="00760536" w:rsidRDefault="003C75FF" w:rsidP="003C75FF">
      <w:pPr>
        <w:spacing w:after="0" w:line="240" w:lineRule="auto"/>
        <w:jc w:val="both"/>
        <w:textAlignment w:val="baseline"/>
        <w:rPr>
          <w:rFonts w:ascii="Verdana" w:hAnsi="Verdana" w:cs="Arial"/>
          <w:sz w:val="20"/>
          <w:szCs w:val="20"/>
          <w:lang w:val="es-ES" w:eastAsia="es-CO"/>
        </w:rPr>
      </w:pPr>
    </w:p>
    <w:p w14:paraId="1E3E4E40" w14:textId="77777777" w:rsidR="003C75FF" w:rsidRPr="00760536" w:rsidRDefault="003C75FF" w:rsidP="003C75FF">
      <w:pPr>
        <w:spacing w:after="0" w:line="240" w:lineRule="auto"/>
        <w:jc w:val="both"/>
        <w:rPr>
          <w:rFonts w:ascii="Verdana" w:hAnsi="Verdana" w:cs="Arial"/>
          <w:b/>
          <w:lang w:val="es-ES"/>
        </w:rPr>
      </w:pPr>
      <w:r w:rsidRPr="00760536">
        <w:rPr>
          <w:rFonts w:ascii="Verdana" w:hAnsi="Verdana" w:cs="Arial"/>
          <w:b/>
          <w:lang w:val="es-ES"/>
        </w:rPr>
        <w:t xml:space="preserve">MATRIZ DE RIESGOS – identificación y administración de riesgos </w:t>
      </w:r>
    </w:p>
    <w:p w14:paraId="574CB1CF" w14:textId="77777777" w:rsidR="003C75FF" w:rsidRPr="00760536" w:rsidRDefault="003C75FF" w:rsidP="003C75FF">
      <w:pPr>
        <w:spacing w:after="0" w:line="240" w:lineRule="auto"/>
        <w:jc w:val="both"/>
        <w:rPr>
          <w:rFonts w:ascii="Verdana" w:hAnsi="Verdana" w:cs="Arial"/>
          <w:b/>
          <w:sz w:val="20"/>
          <w:szCs w:val="20"/>
          <w:lang w:val="es-ES"/>
        </w:rPr>
      </w:pPr>
    </w:p>
    <w:p w14:paraId="344E33C2" w14:textId="77777777" w:rsidR="003C75FF" w:rsidRPr="00760536" w:rsidRDefault="003C75FF" w:rsidP="003C75FF">
      <w:pPr>
        <w:spacing w:after="0" w:line="240" w:lineRule="auto"/>
        <w:jc w:val="both"/>
        <w:textAlignment w:val="baseline"/>
        <w:rPr>
          <w:rFonts w:ascii="Verdana" w:hAnsi="Verdana" w:cs="Arial"/>
          <w:sz w:val="20"/>
          <w:szCs w:val="20"/>
          <w:lang w:val="es-ES" w:eastAsia="es-CO"/>
        </w:rPr>
      </w:pPr>
      <w:r w:rsidRPr="00760536">
        <w:rPr>
          <w:rFonts w:ascii="Verdana" w:hAnsi="Verdana" w:cs="Arial"/>
          <w:sz w:val="20"/>
          <w:szCs w:val="20"/>
          <w:lang w:val="es-ES" w:eastAsia="es-CO"/>
        </w:rPr>
        <w:t xml:space="preserve">[…] la Agencia de Contratación </w:t>
      </w:r>
      <w:r w:rsidRPr="00760536">
        <w:rPr>
          <w:rFonts w:ascii="Verdana" w:hAnsi="Verdana" w:cs="Arial"/>
          <w:sz w:val="20"/>
          <w:szCs w:val="20"/>
          <w:lang w:val="es-ES"/>
        </w:rPr>
        <w:t xml:space="preserve">Pública – Colombia Compra Eficiente, recomendó a las entidades incluir una matriz de riesgos en los que se incluya todos los riesgos identificados en el proceso contractual y con ello reducir la </w:t>
      </w:r>
      <w:r w:rsidRPr="00760536">
        <w:rPr>
          <w:rFonts w:ascii="Verdana" w:hAnsi="Verdana" w:cs="Arial"/>
          <w:sz w:val="20"/>
          <w:szCs w:val="20"/>
          <w:lang w:val="es-ES" w:eastAsia="es-CO"/>
        </w:rPr>
        <w:t>exposición del Proceso de Contratación frente a los diferentes riesgos que se puedan presentar, por ejemplo, la identificación de aquellos eventos que:</w:t>
      </w:r>
      <w:r>
        <w:rPr>
          <w:rFonts w:ascii="Verdana" w:hAnsi="Verdana" w:cs="Arial"/>
          <w:sz w:val="20"/>
          <w:szCs w:val="20"/>
          <w:lang w:val="es-ES" w:eastAsia="es-CO"/>
        </w:rPr>
        <w:t xml:space="preserve"> </w:t>
      </w:r>
      <w:r w:rsidRPr="00760536">
        <w:rPr>
          <w:rFonts w:ascii="Verdana" w:hAnsi="Verdana" w:cs="Arial"/>
          <w:sz w:val="20"/>
          <w:szCs w:val="20"/>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760536">
        <w:rPr>
          <w:rFonts w:ascii="Verdana" w:hAnsi="Verdana" w:cs="Arial"/>
          <w:sz w:val="20"/>
          <w:szCs w:val="20"/>
          <w:lang w:val="es-ES" w:eastAsia="es-CO"/>
        </w:rPr>
        <w:t xml:space="preserve">Finalmente, una adecuada administración de riesgos, permite: </w:t>
      </w:r>
      <w:r>
        <w:rPr>
          <w:rFonts w:ascii="Verdana" w:hAnsi="Verdana" w:cs="Arial"/>
          <w:sz w:val="20"/>
          <w:szCs w:val="20"/>
        </w:rPr>
        <w:t>“</w:t>
      </w:r>
      <w:r w:rsidRPr="00760536">
        <w:rPr>
          <w:rFonts w:ascii="Verdana" w:hAnsi="Verdana" w:cs="Arial"/>
          <w:sz w:val="20"/>
          <w:szCs w:val="20"/>
          <w:lang w:eastAsia="es-CO"/>
        </w:rPr>
        <w:t>(i) proporcionar un mayor nivel de certeza y conocimiento para la toma de decisiones relacionadas con el Proceso de Contratación; (</w:t>
      </w:r>
      <w:proofErr w:type="spellStart"/>
      <w:r w:rsidRPr="00760536">
        <w:rPr>
          <w:rFonts w:ascii="Verdana" w:hAnsi="Verdana" w:cs="Arial"/>
          <w:sz w:val="20"/>
          <w:szCs w:val="20"/>
          <w:lang w:eastAsia="es-CO"/>
        </w:rPr>
        <w:t>ii</w:t>
      </w:r>
      <w:proofErr w:type="spellEnd"/>
      <w:r w:rsidRPr="00760536">
        <w:rPr>
          <w:rFonts w:ascii="Verdana" w:hAnsi="Verdana" w:cs="Arial"/>
          <w:sz w:val="20"/>
          <w:szCs w:val="20"/>
          <w:lang w:eastAsia="es-CO"/>
        </w:rPr>
        <w:t>) mejorar la planeación de contingencias del Proceso de Contratación; (</w:t>
      </w:r>
      <w:proofErr w:type="spellStart"/>
      <w:r w:rsidRPr="00760536">
        <w:rPr>
          <w:rFonts w:ascii="Verdana" w:hAnsi="Verdana" w:cs="Arial"/>
          <w:sz w:val="20"/>
          <w:szCs w:val="20"/>
          <w:lang w:eastAsia="es-CO"/>
        </w:rPr>
        <w:t>iii</w:t>
      </w:r>
      <w:proofErr w:type="spellEnd"/>
      <w:r w:rsidRPr="00760536">
        <w:rPr>
          <w:rFonts w:ascii="Verdana" w:hAnsi="Verdana" w:cs="Arial"/>
          <w:sz w:val="20"/>
          <w:szCs w:val="20"/>
          <w:lang w:eastAsia="es-CO"/>
        </w:rPr>
        <w:t>) incrementar el grado de confianza entre la partes del Proceso de Contratación; y (</w:t>
      </w:r>
      <w:proofErr w:type="spellStart"/>
      <w:r w:rsidRPr="00760536">
        <w:rPr>
          <w:rFonts w:ascii="Verdana" w:hAnsi="Verdana" w:cs="Arial"/>
          <w:sz w:val="20"/>
          <w:szCs w:val="20"/>
          <w:lang w:eastAsia="es-CO"/>
        </w:rPr>
        <w:t>iv</w:t>
      </w:r>
      <w:proofErr w:type="spellEnd"/>
      <w:r w:rsidRPr="00760536">
        <w:rPr>
          <w:rFonts w:ascii="Verdana" w:hAnsi="Verdana" w:cs="Arial"/>
          <w:sz w:val="20"/>
          <w:szCs w:val="20"/>
          <w:lang w:eastAsia="es-CO"/>
        </w:rPr>
        <w:t>) reducir la posibilidad de litigios; entre otro</w:t>
      </w:r>
      <w:r>
        <w:rPr>
          <w:rFonts w:ascii="Verdana" w:hAnsi="Verdana" w:cs="Arial"/>
          <w:sz w:val="20"/>
          <w:szCs w:val="20"/>
        </w:rPr>
        <w:t>”</w:t>
      </w:r>
      <w:r w:rsidRPr="00760536">
        <w:rPr>
          <w:rFonts w:ascii="Verdana" w:hAnsi="Verdana" w:cs="Arial"/>
          <w:sz w:val="20"/>
          <w:szCs w:val="20"/>
        </w:rPr>
        <w:t>.</w:t>
      </w:r>
    </w:p>
    <w:p w14:paraId="37245FFC" w14:textId="77777777" w:rsidR="003C75FF" w:rsidRPr="00760536" w:rsidRDefault="003C75FF" w:rsidP="003C75FF">
      <w:pPr>
        <w:spacing w:after="0" w:line="240" w:lineRule="auto"/>
        <w:jc w:val="both"/>
        <w:rPr>
          <w:rFonts w:ascii="Verdana" w:eastAsia="Calibri" w:hAnsi="Verdana" w:cs="Arial"/>
          <w:b/>
          <w:color w:val="000000" w:themeColor="text1"/>
          <w:sz w:val="20"/>
          <w:szCs w:val="20"/>
          <w:lang w:val="es-ES"/>
        </w:rPr>
      </w:pPr>
    </w:p>
    <w:p w14:paraId="09831D78" w14:textId="77777777" w:rsidR="003C75FF" w:rsidRPr="00AF1555" w:rsidRDefault="003C75FF" w:rsidP="003C75FF">
      <w:pPr>
        <w:spacing w:after="0" w:line="240" w:lineRule="auto"/>
        <w:jc w:val="both"/>
        <w:rPr>
          <w:rFonts w:ascii="Verdana" w:eastAsia="Calibri" w:hAnsi="Verdana" w:cs="Arial"/>
          <w:b/>
          <w:color w:val="000000" w:themeColor="text1"/>
          <w:lang w:val="es-ES"/>
        </w:rPr>
      </w:pPr>
      <w:r w:rsidRPr="00292198">
        <w:rPr>
          <w:rFonts w:ascii="Verdana" w:eastAsia="Calibri" w:hAnsi="Verdana" w:cs="Arial"/>
          <w:b/>
          <w:color w:val="000000" w:themeColor="text1"/>
          <w:lang w:val="es-ES"/>
        </w:rPr>
        <w:t>PRECIOS UNITARIOS – APU – AIU – Diferencias</w:t>
      </w:r>
      <w:r w:rsidRPr="00AF1555">
        <w:rPr>
          <w:rFonts w:ascii="Verdana" w:eastAsia="Calibri" w:hAnsi="Verdana" w:cs="Arial"/>
          <w:b/>
          <w:color w:val="000000" w:themeColor="text1"/>
          <w:lang w:val="es-ES"/>
        </w:rPr>
        <w:t xml:space="preserve"> </w:t>
      </w:r>
    </w:p>
    <w:p w14:paraId="060E2CAF" w14:textId="77777777" w:rsidR="003C75FF" w:rsidRPr="00AF1555" w:rsidRDefault="003C75FF" w:rsidP="003C75FF">
      <w:pPr>
        <w:spacing w:after="0" w:line="240" w:lineRule="auto"/>
        <w:jc w:val="both"/>
        <w:rPr>
          <w:rFonts w:ascii="Verdana" w:eastAsia="Calibri" w:hAnsi="Verdana" w:cs="Arial"/>
          <w:bCs/>
          <w:color w:val="000000" w:themeColor="text1"/>
          <w:sz w:val="20"/>
          <w:szCs w:val="20"/>
          <w:lang w:val="es-ES"/>
        </w:rPr>
      </w:pPr>
    </w:p>
    <w:p w14:paraId="68D4EFDE" w14:textId="77777777" w:rsidR="003C75FF" w:rsidRPr="00EB0B5F" w:rsidRDefault="003C75FF" w:rsidP="003C75FF">
      <w:pPr>
        <w:spacing w:after="0" w:line="240" w:lineRule="auto"/>
        <w:jc w:val="both"/>
        <w:rPr>
          <w:rFonts w:ascii="Verdana" w:eastAsia="Calibri" w:hAnsi="Verdana" w:cs="Arial"/>
          <w:iCs/>
          <w:color w:val="000000" w:themeColor="text1"/>
          <w:sz w:val="20"/>
          <w:szCs w:val="20"/>
          <w:lang w:eastAsia="es-ES_tradnl"/>
        </w:rPr>
      </w:pPr>
      <w:r>
        <w:rPr>
          <w:rFonts w:ascii="Verdana" w:eastAsia="Calibri" w:hAnsi="Verdana" w:cs="Arial"/>
          <w:bCs/>
          <w:color w:val="000000" w:themeColor="text1"/>
          <w:sz w:val="20"/>
          <w:szCs w:val="20"/>
          <w:lang w:val="es-ES" w:eastAsia="es-ES_tradnl"/>
        </w:rPr>
        <w:t xml:space="preserve">[…] </w:t>
      </w:r>
      <w:r w:rsidRPr="00683260">
        <w:rPr>
          <w:rFonts w:ascii="Verdana" w:eastAsia="Calibri" w:hAnsi="Verdana" w:cs="Arial"/>
          <w:bCs/>
          <w:color w:val="000000" w:themeColor="text1"/>
          <w:sz w:val="20"/>
          <w:szCs w:val="20"/>
          <w:lang w:val="es-ES" w:eastAsia="es-ES_tradnl"/>
        </w:rPr>
        <w:t xml:space="preserve">en los contratos cuyo precio se estructura a partir del sistema de precios unitarios, ha hecho parte de la práctica de los negocios que el contratante le solicite al potencial contratista que separe en su propuesta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w:t>
      </w:r>
      <w:r w:rsidRPr="00683260">
        <w:rPr>
          <w:rFonts w:ascii="Verdana" w:eastAsia="Calibri" w:hAnsi="Verdana" w:cs="Arial"/>
          <w:bCs/>
          <w:color w:val="000000" w:themeColor="text1"/>
          <w:sz w:val="20"/>
          <w:szCs w:val="20"/>
          <w:lang w:val="es-ES" w:eastAsia="es-ES_tradnl"/>
        </w:rPr>
        <w:lastRenderedPageBreak/>
        <w:t xml:space="preserve">las actividades contractuales, pero que integran también el precio, bien porque constituyen erogaciones administrativas o contingentes para el contratista o bien porque se dirigen a salvaguardar su ganancia–. En tal sentido, mientras que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683260">
        <w:rPr>
          <w:rFonts w:ascii="Verdana" w:eastAsia="Calibri" w:hAnsi="Verdana" w:cs="Arial"/>
          <w:bCs/>
          <w:i/>
          <w:iCs/>
          <w:color w:val="000000" w:themeColor="text1"/>
          <w:sz w:val="20"/>
          <w:szCs w:val="20"/>
          <w:lang w:val="es-ES" w:eastAsia="es-ES_tradnl"/>
        </w:rPr>
        <w:t>ítems</w:t>
      </w:r>
      <w:r w:rsidRPr="00683260">
        <w:rPr>
          <w:rFonts w:ascii="Verdana" w:eastAsia="Calibri" w:hAnsi="Verdana" w:cs="Arial"/>
          <w:bCs/>
          <w:color w:val="000000" w:themeColor="text1"/>
          <w:sz w:val="20"/>
          <w:szCs w:val="20"/>
          <w:lang w:val="es-ES" w:eastAsia="es-ES_tradnl"/>
        </w:rPr>
        <w:t xml:space="preserve"> según su unidad de medida,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F1555">
        <w:rPr>
          <w:rFonts w:ascii="Verdana" w:eastAsia="Calibri" w:hAnsi="Verdana" w:cs="Arial"/>
          <w:color w:val="000000" w:themeColor="text1"/>
          <w:sz w:val="20"/>
          <w:szCs w:val="20"/>
          <w:lang w:val="es-ES_tradnl"/>
        </w:rPr>
        <w:t>.</w:t>
      </w:r>
    </w:p>
    <w:p w14:paraId="4C02FDA0" w14:textId="77777777" w:rsidR="003C75FF" w:rsidRPr="00AF1555" w:rsidRDefault="003C75FF" w:rsidP="003C75FF">
      <w:pPr>
        <w:spacing w:after="0" w:line="240" w:lineRule="auto"/>
        <w:jc w:val="both"/>
        <w:rPr>
          <w:rFonts w:ascii="Verdana" w:eastAsia="Geomanist Light" w:hAnsi="Verdana" w:cs="Arial"/>
          <w:color w:val="000000" w:themeColor="text1"/>
          <w:sz w:val="20"/>
          <w:szCs w:val="20"/>
          <w:lang w:val="es-ES_tradnl"/>
        </w:rPr>
      </w:pPr>
    </w:p>
    <w:p w14:paraId="29C8C522" w14:textId="77777777" w:rsidR="003C75FF" w:rsidRPr="00AF1555" w:rsidRDefault="003C75FF" w:rsidP="003C75FF">
      <w:pPr>
        <w:spacing w:after="0" w:line="240" w:lineRule="auto"/>
        <w:jc w:val="both"/>
        <w:rPr>
          <w:rFonts w:ascii="Verdana" w:eastAsia="Calibri" w:hAnsi="Verdana" w:cs="Arial"/>
          <w:b/>
          <w:lang w:val="es-ES"/>
        </w:rPr>
      </w:pPr>
      <w:r w:rsidRPr="00292198">
        <w:rPr>
          <w:rFonts w:ascii="Verdana" w:eastAsia="Calibri" w:hAnsi="Verdana" w:cs="Arial"/>
          <w:b/>
          <w:lang w:val="es-ES"/>
        </w:rPr>
        <w:t>AIU – Costos indirectos – Finalidad – Ejecución del contrato</w:t>
      </w:r>
    </w:p>
    <w:p w14:paraId="163F734F" w14:textId="77777777" w:rsidR="003C75FF" w:rsidRPr="00AF1555" w:rsidRDefault="003C75FF" w:rsidP="003C75FF">
      <w:pPr>
        <w:spacing w:after="0" w:line="240" w:lineRule="auto"/>
        <w:jc w:val="both"/>
        <w:rPr>
          <w:rFonts w:ascii="Verdana" w:eastAsia="Calibri" w:hAnsi="Verdana" w:cs="Arial"/>
          <w:b/>
          <w:sz w:val="20"/>
          <w:szCs w:val="20"/>
          <w:lang w:val="es-ES"/>
        </w:rPr>
      </w:pPr>
    </w:p>
    <w:p w14:paraId="1B375BE4" w14:textId="77777777" w:rsidR="003C75FF" w:rsidRPr="00683260" w:rsidRDefault="003C75FF" w:rsidP="003C75FF">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683260">
        <w:rPr>
          <w:rFonts w:ascii="Verdana" w:eastAsia="Calibri" w:hAnsi="Verdana" w:cs="Arial"/>
          <w:bCs/>
          <w:sz w:val="20"/>
          <w:szCs w:val="20"/>
          <w:lang w:val="es-ES"/>
        </w:rPr>
        <w:t>áleas</w:t>
      </w:r>
      <w:proofErr w:type="spellEnd"/>
      <w:r w:rsidRPr="00683260">
        <w:rPr>
          <w:rFonts w:ascii="Verdana" w:eastAsia="Calibri" w:hAnsi="Verdana" w:cs="Arial"/>
          <w:bCs/>
          <w:sz w:val="20"/>
          <w:szCs w:val="20"/>
          <w:lang w:val="es-ES"/>
        </w:rPr>
        <w:t xml:space="preserve">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35CD0A87" w14:textId="77777777" w:rsidR="003C75FF" w:rsidRPr="00AF1555" w:rsidRDefault="003C75FF" w:rsidP="003C75FF">
      <w:pPr>
        <w:spacing w:after="0" w:line="240" w:lineRule="auto"/>
        <w:jc w:val="both"/>
        <w:rPr>
          <w:rFonts w:ascii="Verdana" w:eastAsia="Geomanist Light" w:hAnsi="Verdana" w:cs="Arial"/>
          <w:color w:val="000000" w:themeColor="text1"/>
          <w:sz w:val="20"/>
          <w:szCs w:val="20"/>
          <w:lang w:val="es-ES_tradnl"/>
        </w:rPr>
      </w:pPr>
    </w:p>
    <w:p w14:paraId="1619A893" w14:textId="77777777" w:rsidR="003C75FF" w:rsidRPr="00AF1555" w:rsidRDefault="003C75FF" w:rsidP="003C75FF">
      <w:pPr>
        <w:tabs>
          <w:tab w:val="left" w:pos="426"/>
        </w:tabs>
        <w:spacing w:after="0" w:line="240" w:lineRule="auto"/>
        <w:jc w:val="both"/>
        <w:rPr>
          <w:rFonts w:ascii="Verdana" w:hAnsi="Verdana" w:cs="Arial"/>
          <w:b/>
          <w:lang w:eastAsia="es-CO"/>
        </w:rPr>
      </w:pPr>
      <w:r>
        <w:rPr>
          <w:rFonts w:ascii="Verdana" w:hAnsi="Verdana" w:cs="Arial"/>
          <w:b/>
          <w:lang w:eastAsia="es-CO"/>
        </w:rPr>
        <w:t>AIU – Componentes – Discrecionalidad</w:t>
      </w:r>
    </w:p>
    <w:p w14:paraId="7164C679" w14:textId="77777777" w:rsidR="003C75FF" w:rsidRPr="00AF1555" w:rsidRDefault="003C75FF" w:rsidP="003C75FF">
      <w:pPr>
        <w:tabs>
          <w:tab w:val="left" w:pos="426"/>
        </w:tabs>
        <w:spacing w:after="0" w:line="240" w:lineRule="auto"/>
        <w:jc w:val="both"/>
        <w:rPr>
          <w:rFonts w:ascii="Verdana" w:hAnsi="Verdana" w:cs="Arial"/>
          <w:b/>
          <w:sz w:val="20"/>
          <w:szCs w:val="20"/>
          <w:lang w:eastAsia="es-CO"/>
        </w:rPr>
      </w:pPr>
    </w:p>
    <w:p w14:paraId="421EFD34" w14:textId="77777777" w:rsidR="003C75FF" w:rsidRDefault="003C75FF" w:rsidP="003C75FF">
      <w:pPr>
        <w:spacing w:after="0" w:line="240" w:lineRule="auto"/>
        <w:jc w:val="both"/>
        <w:rPr>
          <w:rFonts w:ascii="Verdana" w:hAnsi="Verdana" w:cs="Arial"/>
          <w:bCs/>
          <w:sz w:val="20"/>
          <w:szCs w:val="20"/>
          <w:lang w:val="es-ES" w:eastAsia="es-CO"/>
        </w:rPr>
      </w:pPr>
      <w:r>
        <w:rPr>
          <w:rFonts w:ascii="Verdana" w:hAnsi="Verdana" w:cs="Arial"/>
          <w:bCs/>
          <w:sz w:val="20"/>
          <w:szCs w:val="20"/>
          <w:lang w:val="es-ES" w:eastAsia="es-CO"/>
        </w:rPr>
        <w:t xml:space="preserve">[…] </w:t>
      </w:r>
      <w:r w:rsidRPr="00683260">
        <w:rPr>
          <w:rFonts w:ascii="Verdana" w:hAnsi="Verdana" w:cs="Arial"/>
          <w:bCs/>
          <w:sz w:val="20"/>
          <w:szCs w:val="20"/>
          <w:lang w:val="es-ES" w:eastAsia="es-CO"/>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39E48749" w14:textId="77777777" w:rsidR="003C75FF" w:rsidRPr="00683260" w:rsidRDefault="003C75FF" w:rsidP="003C75FF">
      <w:pPr>
        <w:spacing w:after="0" w:line="240" w:lineRule="auto"/>
        <w:jc w:val="both"/>
        <w:rPr>
          <w:rFonts w:ascii="Verdana" w:hAnsi="Verdana" w:cs="Arial"/>
          <w:bCs/>
          <w:sz w:val="20"/>
          <w:szCs w:val="20"/>
          <w:lang w:val="es-ES" w:eastAsia="es-CO"/>
        </w:rPr>
      </w:pPr>
    </w:p>
    <w:p w14:paraId="0F26DBBB" w14:textId="77777777" w:rsidR="003C75FF" w:rsidRPr="000739A2" w:rsidRDefault="003C75FF" w:rsidP="003C75FF">
      <w:pPr>
        <w:spacing w:after="0" w:line="240" w:lineRule="auto"/>
        <w:jc w:val="both"/>
        <w:rPr>
          <w:rFonts w:ascii="Verdana" w:eastAsia="Geomanist Light" w:hAnsi="Verdana" w:cs="Arial"/>
          <w:color w:val="000000" w:themeColor="text1"/>
          <w:lang w:val="es-MX"/>
        </w:rPr>
      </w:pPr>
      <w:r w:rsidRPr="00683260">
        <w:rPr>
          <w:rFonts w:ascii="Verdana" w:hAnsi="Verdana" w:cs="Arial"/>
          <w:bCs/>
          <w:sz w:val="20"/>
          <w:szCs w:val="20"/>
          <w:lang w:val="es-ES" w:eastAsia="es-CO"/>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w:t>
      </w:r>
      <w:r w:rsidRPr="00683260">
        <w:rPr>
          <w:rFonts w:ascii="Verdana" w:hAnsi="Verdana" w:cs="Arial"/>
          <w:bCs/>
          <w:sz w:val="20"/>
          <w:szCs w:val="20"/>
          <w:lang w:val="es-ES" w:eastAsia="es-CO"/>
        </w:rPr>
        <w:lastRenderedPageBreak/>
        <w:t>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60C85119" w14:textId="77777777" w:rsidR="003C75FF" w:rsidRPr="005549AE" w:rsidRDefault="003C75FF" w:rsidP="003C75FF">
      <w:pPr>
        <w:spacing w:after="0" w:line="240" w:lineRule="auto"/>
        <w:jc w:val="both"/>
        <w:rPr>
          <w:rFonts w:ascii="Verdana" w:hAnsi="Verdana"/>
          <w:b/>
          <w:bCs/>
          <w:sz w:val="20"/>
          <w:szCs w:val="20"/>
          <w:lang w:val="es-ES"/>
        </w:rPr>
      </w:pPr>
    </w:p>
    <w:p w14:paraId="7FDC26D0" w14:textId="77777777" w:rsidR="003C75FF" w:rsidRPr="005549AE" w:rsidRDefault="003C75FF" w:rsidP="003C75FF">
      <w:pPr>
        <w:spacing w:after="0" w:line="240" w:lineRule="auto"/>
        <w:jc w:val="both"/>
        <w:rPr>
          <w:rFonts w:ascii="Verdana" w:hAnsi="Verdana"/>
          <w:b/>
        </w:rPr>
      </w:pPr>
      <w:r w:rsidRPr="00660AA2">
        <w:rPr>
          <w:rFonts w:ascii="Verdana" w:hAnsi="Verdana"/>
          <w:b/>
        </w:rPr>
        <w:t>EQUILIBRIO ECONÓMICO – Contrato estatal – Fundamento</w:t>
      </w:r>
    </w:p>
    <w:p w14:paraId="3BC9E7A2" w14:textId="77777777" w:rsidR="003C75FF" w:rsidRPr="005549AE" w:rsidRDefault="003C75FF" w:rsidP="003C75FF">
      <w:pPr>
        <w:spacing w:after="0" w:line="240" w:lineRule="auto"/>
        <w:jc w:val="both"/>
        <w:rPr>
          <w:rFonts w:ascii="Verdana" w:hAnsi="Verdana"/>
          <w:bCs/>
          <w:sz w:val="20"/>
          <w:szCs w:val="20"/>
        </w:rPr>
      </w:pPr>
    </w:p>
    <w:p w14:paraId="4BC8053F" w14:textId="77777777" w:rsidR="003C75FF" w:rsidRPr="00660AA2" w:rsidRDefault="003C75FF" w:rsidP="003C75FF">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537E2218" w14:textId="77777777" w:rsidR="003C75FF" w:rsidRPr="00660AA2" w:rsidRDefault="003C75FF" w:rsidP="003C75FF">
      <w:pPr>
        <w:spacing w:after="0" w:line="240" w:lineRule="auto"/>
        <w:jc w:val="both"/>
        <w:rPr>
          <w:rFonts w:ascii="Verdana" w:eastAsia="Calibri" w:hAnsi="Verdana" w:cs="Arial"/>
          <w:sz w:val="20"/>
          <w:szCs w:val="20"/>
          <w:shd w:val="clear" w:color="auto" w:fill="FFFFFF"/>
          <w:lang w:val="es-ES"/>
        </w:rPr>
      </w:pPr>
    </w:p>
    <w:p w14:paraId="28EED540" w14:textId="77777777" w:rsidR="003C75FF" w:rsidRPr="005549AE" w:rsidRDefault="003C75FF" w:rsidP="003C75FF">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6D77CC9E" w14:textId="77777777" w:rsidR="003C75FF" w:rsidRPr="005549AE" w:rsidRDefault="003C75FF" w:rsidP="003C75FF">
      <w:pPr>
        <w:spacing w:after="0" w:line="240" w:lineRule="auto"/>
        <w:jc w:val="both"/>
        <w:rPr>
          <w:rFonts w:ascii="Verdana" w:hAnsi="Verdana"/>
          <w:bCs/>
          <w:sz w:val="20"/>
          <w:szCs w:val="20"/>
        </w:rPr>
      </w:pPr>
    </w:p>
    <w:p w14:paraId="27F1B778" w14:textId="77777777" w:rsidR="003C75FF" w:rsidRPr="005549AE" w:rsidRDefault="003C75FF" w:rsidP="003C75FF">
      <w:pPr>
        <w:spacing w:after="0" w:line="240" w:lineRule="auto"/>
        <w:jc w:val="both"/>
        <w:rPr>
          <w:rFonts w:ascii="Verdana" w:hAnsi="Verdana"/>
          <w:b/>
        </w:rPr>
      </w:pPr>
      <w:r w:rsidRPr="00660AA2">
        <w:rPr>
          <w:rFonts w:ascii="Verdana" w:hAnsi="Verdana"/>
          <w:b/>
        </w:rPr>
        <w:t>EQUILIBRIO ECONÓMICO – Contrato estatal – Concepto</w:t>
      </w:r>
    </w:p>
    <w:p w14:paraId="7F1849FC" w14:textId="77777777" w:rsidR="003C75FF" w:rsidRPr="005549AE" w:rsidRDefault="003C75FF" w:rsidP="003C75FF">
      <w:pPr>
        <w:spacing w:after="0" w:line="240" w:lineRule="auto"/>
        <w:jc w:val="both"/>
        <w:rPr>
          <w:rFonts w:ascii="Verdana" w:hAnsi="Verdana"/>
          <w:bCs/>
          <w:sz w:val="20"/>
          <w:szCs w:val="20"/>
        </w:rPr>
      </w:pPr>
    </w:p>
    <w:p w14:paraId="61DB4F1E" w14:textId="77777777" w:rsidR="003C75FF" w:rsidRPr="005549AE" w:rsidRDefault="003C75FF" w:rsidP="003C75FF">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 xml:space="preserve">Sobre el principio del equilibrio financiero del contrato, el Consejo de Estado ha señalado que consiste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En concordancia, la doctrina ha indicado que con este principio, también denominado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el de la honesta equivalencia de prestaciones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se privilegia el carácter conmutativo o sinalagmático que, por regla general, tiene el contrato estatal,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w:t>
      </w:r>
    </w:p>
    <w:p w14:paraId="3577146E" w14:textId="77777777" w:rsidR="003C75FF" w:rsidRPr="005549AE" w:rsidRDefault="003C75FF" w:rsidP="003C75FF">
      <w:pPr>
        <w:spacing w:after="0" w:line="240" w:lineRule="auto"/>
        <w:jc w:val="both"/>
        <w:rPr>
          <w:rFonts w:ascii="Verdana" w:hAnsi="Verdana"/>
          <w:b/>
          <w:bCs/>
          <w:sz w:val="20"/>
          <w:szCs w:val="20"/>
        </w:rPr>
      </w:pPr>
    </w:p>
    <w:p w14:paraId="34579455" w14:textId="77777777" w:rsidR="003C75FF" w:rsidRPr="005549AE" w:rsidRDefault="003C75FF" w:rsidP="003C75FF">
      <w:pPr>
        <w:spacing w:after="0" w:line="240" w:lineRule="auto"/>
        <w:jc w:val="both"/>
        <w:rPr>
          <w:rFonts w:ascii="Verdana" w:hAnsi="Verdana"/>
          <w:b/>
          <w:bCs/>
        </w:rPr>
      </w:pPr>
      <w:r w:rsidRPr="00660AA2">
        <w:rPr>
          <w:rFonts w:ascii="Verdana" w:hAnsi="Verdana"/>
          <w:b/>
          <w:bCs/>
        </w:rPr>
        <w:t>EQUILIBRIO ECONÓMICO – Contrato estatal – Restablecimiento – Procedencia – Requisitos</w:t>
      </w:r>
    </w:p>
    <w:p w14:paraId="1EE24896" w14:textId="77777777" w:rsidR="003C75FF" w:rsidRPr="005549AE" w:rsidRDefault="003C75FF" w:rsidP="003C75FF">
      <w:pPr>
        <w:spacing w:after="0" w:line="240" w:lineRule="auto"/>
        <w:jc w:val="both"/>
        <w:rPr>
          <w:rFonts w:ascii="Verdana" w:hAnsi="Verdana"/>
          <w:b/>
          <w:bCs/>
          <w:sz w:val="20"/>
          <w:szCs w:val="20"/>
        </w:rPr>
      </w:pPr>
    </w:p>
    <w:p w14:paraId="6A0775CF" w14:textId="77777777" w:rsidR="003C75FF" w:rsidRPr="00660AA2" w:rsidRDefault="003C75FF" w:rsidP="003C75FF">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Pr>
          <w:rFonts w:ascii="Verdana" w:hAnsi="Verdana"/>
          <w:sz w:val="20"/>
          <w:szCs w:val="20"/>
          <w:lang w:val="es-MX"/>
        </w:rPr>
        <w:t>“</w:t>
      </w:r>
      <w:r w:rsidRPr="00660AA2">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hAnsi="Verdana"/>
          <w:sz w:val="20"/>
          <w:szCs w:val="20"/>
          <w:lang w:val="es-MX"/>
        </w:rPr>
        <w:t>”</w:t>
      </w:r>
      <w:r w:rsidRPr="00660AA2">
        <w:rPr>
          <w:rFonts w:ascii="Verdana" w:hAnsi="Verdana"/>
          <w:sz w:val="20"/>
          <w:szCs w:val="20"/>
          <w:lang w:val="es-MX"/>
        </w:rPr>
        <w:t xml:space="preserve">. </w:t>
      </w:r>
    </w:p>
    <w:p w14:paraId="3B3F85CD" w14:textId="77777777" w:rsidR="003C75FF" w:rsidRPr="00660AA2" w:rsidRDefault="003C75FF" w:rsidP="003C75FF">
      <w:pPr>
        <w:spacing w:after="0" w:line="240" w:lineRule="auto"/>
        <w:jc w:val="both"/>
        <w:rPr>
          <w:rFonts w:ascii="Verdana" w:hAnsi="Verdana"/>
          <w:sz w:val="20"/>
          <w:szCs w:val="20"/>
          <w:lang w:bidi="es-ES"/>
        </w:rPr>
      </w:pPr>
    </w:p>
    <w:p w14:paraId="0EFCF021" w14:textId="77777777" w:rsidR="003C75FF" w:rsidRPr="00660AA2" w:rsidRDefault="003C75FF" w:rsidP="003C75FF">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1894CF9F" w14:textId="77777777" w:rsidR="003C75FF" w:rsidRPr="00660AA2" w:rsidRDefault="003C75FF" w:rsidP="003C75FF">
      <w:pPr>
        <w:spacing w:after="0" w:line="240" w:lineRule="auto"/>
        <w:jc w:val="both"/>
        <w:rPr>
          <w:rFonts w:ascii="Verdana" w:hAnsi="Verdana"/>
          <w:sz w:val="20"/>
          <w:szCs w:val="20"/>
        </w:rPr>
      </w:pPr>
    </w:p>
    <w:p w14:paraId="1FEDD1FE" w14:textId="77777777" w:rsidR="003C75FF" w:rsidRPr="00660AA2" w:rsidRDefault="003C75FF" w:rsidP="003C75FF">
      <w:pPr>
        <w:spacing w:after="0" w:line="240" w:lineRule="auto"/>
        <w:jc w:val="both"/>
        <w:rPr>
          <w:rFonts w:ascii="Verdana" w:hAnsi="Verdana"/>
          <w:sz w:val="20"/>
          <w:szCs w:val="20"/>
        </w:rPr>
      </w:pPr>
      <w:r w:rsidRPr="00660AA2">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Pr>
          <w:rFonts w:ascii="Verdana" w:hAnsi="Verdana"/>
          <w:sz w:val="20"/>
          <w:szCs w:val="20"/>
          <w:lang w:val="es-MX"/>
        </w:rPr>
        <w:t>”</w:t>
      </w:r>
      <w:r w:rsidRPr="00660AA2">
        <w:rPr>
          <w:rFonts w:ascii="Verdana" w:hAnsi="Verdana"/>
          <w:sz w:val="20"/>
          <w:szCs w:val="20"/>
        </w:rPr>
        <w:t>.</w:t>
      </w:r>
    </w:p>
    <w:p w14:paraId="019DBED7" w14:textId="77777777" w:rsidR="003C75FF" w:rsidRPr="005549AE" w:rsidRDefault="003C75FF" w:rsidP="003C75FF">
      <w:pPr>
        <w:spacing w:after="0" w:line="240" w:lineRule="auto"/>
        <w:jc w:val="both"/>
        <w:rPr>
          <w:rFonts w:ascii="Verdana" w:hAnsi="Verdana"/>
          <w:sz w:val="20"/>
          <w:szCs w:val="20"/>
        </w:rPr>
      </w:pPr>
    </w:p>
    <w:p w14:paraId="1BAEEF1C" w14:textId="77777777" w:rsidR="003C75FF" w:rsidRPr="00AF1555" w:rsidRDefault="003C75FF" w:rsidP="003C75FF">
      <w:pPr>
        <w:tabs>
          <w:tab w:val="left" w:pos="426"/>
        </w:tabs>
        <w:spacing w:after="0" w:line="240" w:lineRule="auto"/>
        <w:jc w:val="both"/>
        <w:rPr>
          <w:rFonts w:ascii="Verdana" w:hAnsi="Verdana" w:cs="Arial"/>
          <w:b/>
          <w:lang w:eastAsia="es-CO"/>
        </w:rPr>
      </w:pPr>
      <w:r>
        <w:rPr>
          <w:rFonts w:ascii="Verdana" w:hAnsi="Verdana" w:cs="Arial"/>
          <w:b/>
          <w:lang w:val="es-ES_tradnl" w:eastAsia="es-CO"/>
        </w:rPr>
        <w:t>RESTABLECIMIENTO DE LA ECUACIÓN ECONÓMICA</w:t>
      </w:r>
      <w:r>
        <w:rPr>
          <w:rFonts w:ascii="Verdana" w:hAnsi="Verdana" w:cs="Arial"/>
          <w:b/>
          <w:lang w:eastAsia="es-CO"/>
        </w:rPr>
        <w:t xml:space="preserve"> – Liquidación</w:t>
      </w:r>
      <w:r w:rsidRPr="00AF1555">
        <w:rPr>
          <w:rFonts w:ascii="Verdana" w:hAnsi="Verdana" w:cs="Arial"/>
          <w:b/>
          <w:lang w:eastAsia="es-CO"/>
        </w:rPr>
        <w:t xml:space="preserve">  </w:t>
      </w:r>
    </w:p>
    <w:p w14:paraId="2117D712" w14:textId="77777777" w:rsidR="003C75FF" w:rsidRPr="00AF1555" w:rsidRDefault="003C75FF" w:rsidP="003C75FF">
      <w:pPr>
        <w:tabs>
          <w:tab w:val="left" w:pos="426"/>
        </w:tabs>
        <w:spacing w:after="0" w:line="240" w:lineRule="auto"/>
        <w:jc w:val="both"/>
        <w:rPr>
          <w:rFonts w:ascii="Verdana" w:hAnsi="Verdana" w:cs="Arial"/>
          <w:b/>
          <w:sz w:val="20"/>
          <w:szCs w:val="20"/>
          <w:lang w:eastAsia="es-CO"/>
        </w:rPr>
      </w:pPr>
    </w:p>
    <w:p w14:paraId="2AA2A0F9" w14:textId="77777777" w:rsidR="003C75FF" w:rsidRPr="006F121D" w:rsidRDefault="003C75FF" w:rsidP="003C75FF">
      <w:pPr>
        <w:spacing w:after="0" w:line="240" w:lineRule="auto"/>
        <w:jc w:val="both"/>
        <w:rPr>
          <w:rFonts w:ascii="Verdana" w:hAnsi="Verdana" w:cs="Arial"/>
          <w:bCs/>
          <w:sz w:val="20"/>
          <w:szCs w:val="20"/>
          <w:lang w:eastAsia="es-CO"/>
        </w:rPr>
      </w:pPr>
      <w:r w:rsidRPr="006F121D">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w:t>
      </w:r>
      <w:r>
        <w:rPr>
          <w:rFonts w:ascii="Verdana" w:hAnsi="Verdana" w:cs="Arial"/>
          <w:bCs/>
          <w:sz w:val="20"/>
          <w:szCs w:val="20"/>
          <w:lang w:eastAsia="es-CO"/>
        </w:rPr>
        <w:t xml:space="preserve"> </w:t>
      </w:r>
      <w:r w:rsidRPr="00154048">
        <w:rPr>
          <w:rFonts w:ascii="Verdana" w:hAnsi="Verdana" w:cs="Arial"/>
          <w:bCs/>
          <w:sz w:val="20"/>
          <w:szCs w:val="20"/>
          <w:lang w:eastAsia="es-CO"/>
        </w:rPr>
        <w:t xml:space="preserve">Esto hace que la liquidación no sólo sea un mecanismo alternativo de solución de conflictos, sino también un medio para resolver asuntos relacionados con el desequilibrio económico del contrato. Sobre esta última faceta, la norma en comento consagra una posibilidad para que las entidades públicas garanticen el equilibrio </w:t>
      </w:r>
      <w:r w:rsidRPr="00154048">
        <w:rPr>
          <w:rFonts w:ascii="Verdana" w:hAnsi="Verdana" w:cs="Arial"/>
          <w:bCs/>
          <w:sz w:val="20"/>
          <w:szCs w:val="20"/>
          <w:lang w:eastAsia="es-CO"/>
        </w:rPr>
        <w:lastRenderedPageBreak/>
        <w:t>económico si éste resultó afectado en la ejecución del negocio jurídico, así que la liquidación es el momento oportuno para resolver las diferencias existentes</w:t>
      </w:r>
      <w:r>
        <w:rPr>
          <w:rFonts w:ascii="Verdana" w:hAnsi="Verdana" w:cs="Arial"/>
          <w:bCs/>
          <w:sz w:val="20"/>
          <w:szCs w:val="20"/>
          <w:lang w:eastAsia="es-CO"/>
        </w:rPr>
        <w:t>.</w:t>
      </w:r>
    </w:p>
    <w:p w14:paraId="3C0640F8" w14:textId="77777777" w:rsidR="003C75FF" w:rsidRPr="006F121D" w:rsidRDefault="003C75FF" w:rsidP="003C75FF">
      <w:pPr>
        <w:spacing w:after="0" w:line="240" w:lineRule="auto"/>
        <w:jc w:val="both"/>
        <w:rPr>
          <w:rFonts w:ascii="Verdana" w:hAnsi="Verdana" w:cs="Arial"/>
          <w:bCs/>
          <w:sz w:val="20"/>
          <w:szCs w:val="20"/>
          <w:lang w:eastAsia="es-CO"/>
        </w:rPr>
      </w:pPr>
    </w:p>
    <w:p w14:paraId="56F73762" w14:textId="77777777" w:rsidR="003C75FF" w:rsidRPr="00647611" w:rsidRDefault="003C75FF" w:rsidP="003C75FF">
      <w:pPr>
        <w:spacing w:after="0" w:line="240" w:lineRule="auto"/>
        <w:rPr>
          <w:rFonts w:ascii="Verdana" w:hAnsi="Verdana"/>
          <w:sz w:val="20"/>
          <w:szCs w:val="20"/>
        </w:rPr>
      </w:pPr>
    </w:p>
    <w:p w14:paraId="65147F32" w14:textId="77777777" w:rsidR="003C75FF" w:rsidRDefault="003C75FF" w:rsidP="003C75FF">
      <w:pPr>
        <w:spacing w:after="0" w:line="240" w:lineRule="auto"/>
        <w:rPr>
          <w:rFonts w:ascii="Verdana" w:eastAsia="Geomanist Light" w:hAnsi="Verdana" w:cs="Arial"/>
          <w:color w:val="000000" w:themeColor="text1"/>
          <w:lang w:val="es-MX"/>
        </w:rPr>
      </w:pPr>
    </w:p>
    <w:p w14:paraId="5E607DC6" w14:textId="77777777" w:rsidR="003C75FF" w:rsidRDefault="003C75FF" w:rsidP="003C75FF">
      <w:pPr>
        <w:spacing w:after="0" w:line="240" w:lineRule="auto"/>
        <w:rPr>
          <w:rFonts w:ascii="Verdana" w:eastAsia="Geomanist Light" w:hAnsi="Verdana" w:cs="Arial"/>
          <w:color w:val="000000" w:themeColor="text1"/>
          <w:lang w:val="es-MX"/>
        </w:rPr>
      </w:pPr>
    </w:p>
    <w:p w14:paraId="36C60240" w14:textId="77777777" w:rsidR="003C75FF" w:rsidRDefault="003C75FF" w:rsidP="003C75FF">
      <w:pPr>
        <w:spacing w:after="0" w:line="240" w:lineRule="auto"/>
        <w:rPr>
          <w:rFonts w:ascii="Verdana" w:eastAsia="Geomanist Light" w:hAnsi="Verdana" w:cs="Arial"/>
          <w:color w:val="000000" w:themeColor="text1"/>
          <w:lang w:val="es-MX"/>
        </w:rPr>
      </w:pPr>
    </w:p>
    <w:p w14:paraId="65512B9D" w14:textId="77777777" w:rsidR="003C75FF" w:rsidRDefault="003C75FF" w:rsidP="003C75FF">
      <w:pPr>
        <w:spacing w:after="0" w:line="240" w:lineRule="auto"/>
        <w:rPr>
          <w:rFonts w:ascii="Verdana" w:eastAsia="Geomanist Light" w:hAnsi="Verdana" w:cs="Arial"/>
          <w:color w:val="000000" w:themeColor="text1"/>
          <w:lang w:val="es-MX"/>
        </w:rPr>
      </w:pPr>
    </w:p>
    <w:p w14:paraId="7603021E" w14:textId="77777777" w:rsidR="003C75FF" w:rsidRDefault="003C75FF" w:rsidP="003C75FF">
      <w:pPr>
        <w:spacing w:after="0" w:line="240" w:lineRule="auto"/>
        <w:rPr>
          <w:rFonts w:ascii="Verdana" w:eastAsia="Geomanist Light" w:hAnsi="Verdana" w:cs="Arial"/>
          <w:color w:val="000000" w:themeColor="text1"/>
          <w:lang w:val="es-MX"/>
        </w:rPr>
      </w:pPr>
    </w:p>
    <w:p w14:paraId="56697BC0" w14:textId="77777777" w:rsidR="003C75FF" w:rsidRDefault="003C75FF" w:rsidP="00936B0C">
      <w:pPr>
        <w:spacing w:after="0" w:line="240" w:lineRule="auto"/>
        <w:rPr>
          <w:rFonts w:ascii="Verdana" w:eastAsia="Geomanist Light" w:hAnsi="Verdana" w:cs="Arial"/>
          <w:color w:val="000000" w:themeColor="text1"/>
          <w:lang w:val="es-MX"/>
        </w:rPr>
      </w:pPr>
    </w:p>
    <w:p w14:paraId="08DDEEB1" w14:textId="77777777" w:rsidR="003C75FF" w:rsidRDefault="003C75FF" w:rsidP="00936B0C">
      <w:pPr>
        <w:spacing w:after="0" w:line="240" w:lineRule="auto"/>
        <w:rPr>
          <w:rFonts w:ascii="Verdana" w:eastAsia="Geomanist Light" w:hAnsi="Verdana" w:cs="Arial"/>
          <w:color w:val="000000" w:themeColor="text1"/>
          <w:lang w:val="es-MX"/>
        </w:rPr>
      </w:pPr>
    </w:p>
    <w:p w14:paraId="2E73F8D5" w14:textId="77777777" w:rsidR="003C75FF" w:rsidRDefault="003C75FF" w:rsidP="00936B0C">
      <w:pPr>
        <w:spacing w:after="0" w:line="240" w:lineRule="auto"/>
        <w:rPr>
          <w:rFonts w:ascii="Verdana" w:eastAsia="Geomanist Light" w:hAnsi="Verdana" w:cs="Arial"/>
          <w:color w:val="000000" w:themeColor="text1"/>
          <w:lang w:val="es-MX"/>
        </w:rPr>
      </w:pPr>
    </w:p>
    <w:p w14:paraId="3E8021BB" w14:textId="77777777" w:rsidR="003C75FF" w:rsidRDefault="003C75FF" w:rsidP="00936B0C">
      <w:pPr>
        <w:spacing w:after="0" w:line="240" w:lineRule="auto"/>
        <w:rPr>
          <w:rFonts w:ascii="Verdana" w:eastAsia="Geomanist Light" w:hAnsi="Verdana" w:cs="Arial"/>
          <w:color w:val="000000" w:themeColor="text1"/>
          <w:lang w:val="es-MX"/>
        </w:rPr>
      </w:pPr>
    </w:p>
    <w:p w14:paraId="557BB96F" w14:textId="77777777" w:rsidR="003C75FF" w:rsidRDefault="003C75FF" w:rsidP="00936B0C">
      <w:pPr>
        <w:spacing w:after="0" w:line="240" w:lineRule="auto"/>
        <w:rPr>
          <w:rFonts w:ascii="Verdana" w:eastAsia="Geomanist Light" w:hAnsi="Verdana" w:cs="Arial"/>
          <w:color w:val="000000" w:themeColor="text1"/>
          <w:lang w:val="es-MX"/>
        </w:rPr>
      </w:pPr>
    </w:p>
    <w:p w14:paraId="552364D0" w14:textId="77777777" w:rsidR="003C75FF" w:rsidRDefault="003C75FF" w:rsidP="00936B0C">
      <w:pPr>
        <w:spacing w:after="0" w:line="240" w:lineRule="auto"/>
        <w:rPr>
          <w:rFonts w:ascii="Verdana" w:eastAsia="Geomanist Light" w:hAnsi="Verdana" w:cs="Arial"/>
          <w:color w:val="000000" w:themeColor="text1"/>
          <w:lang w:val="es-MX"/>
        </w:rPr>
      </w:pPr>
    </w:p>
    <w:p w14:paraId="195E6B9E" w14:textId="77777777" w:rsidR="003C75FF" w:rsidRDefault="003C75FF" w:rsidP="00936B0C">
      <w:pPr>
        <w:spacing w:after="0" w:line="240" w:lineRule="auto"/>
        <w:rPr>
          <w:rFonts w:ascii="Verdana" w:eastAsia="Geomanist Light" w:hAnsi="Verdana" w:cs="Arial"/>
          <w:color w:val="000000" w:themeColor="text1"/>
          <w:lang w:val="es-MX"/>
        </w:rPr>
      </w:pPr>
    </w:p>
    <w:p w14:paraId="546CD309" w14:textId="77777777" w:rsidR="003C75FF" w:rsidRDefault="003C75FF" w:rsidP="00936B0C">
      <w:pPr>
        <w:spacing w:after="0" w:line="240" w:lineRule="auto"/>
        <w:rPr>
          <w:rFonts w:ascii="Verdana" w:eastAsia="Geomanist Light" w:hAnsi="Verdana" w:cs="Arial"/>
          <w:color w:val="000000" w:themeColor="text1"/>
          <w:lang w:val="es-MX"/>
        </w:rPr>
      </w:pPr>
    </w:p>
    <w:p w14:paraId="1A2688C9" w14:textId="77777777" w:rsidR="003C75FF" w:rsidRDefault="003C75FF" w:rsidP="00936B0C">
      <w:pPr>
        <w:spacing w:after="0" w:line="240" w:lineRule="auto"/>
        <w:rPr>
          <w:rFonts w:ascii="Verdana" w:eastAsia="Geomanist Light" w:hAnsi="Verdana" w:cs="Arial"/>
          <w:color w:val="000000" w:themeColor="text1"/>
          <w:lang w:val="es-MX"/>
        </w:rPr>
      </w:pPr>
    </w:p>
    <w:p w14:paraId="4851E27F" w14:textId="77777777" w:rsidR="003C75FF" w:rsidRDefault="003C75FF" w:rsidP="00936B0C">
      <w:pPr>
        <w:spacing w:after="0" w:line="240" w:lineRule="auto"/>
        <w:rPr>
          <w:rFonts w:ascii="Verdana" w:eastAsia="Geomanist Light" w:hAnsi="Verdana" w:cs="Arial"/>
          <w:color w:val="000000" w:themeColor="text1"/>
          <w:lang w:val="es-MX"/>
        </w:rPr>
      </w:pPr>
    </w:p>
    <w:p w14:paraId="0CC726AF" w14:textId="77777777" w:rsidR="003C75FF" w:rsidRDefault="003C75FF" w:rsidP="00936B0C">
      <w:pPr>
        <w:spacing w:after="0" w:line="240" w:lineRule="auto"/>
        <w:rPr>
          <w:rFonts w:ascii="Verdana" w:eastAsia="Geomanist Light" w:hAnsi="Verdana" w:cs="Arial"/>
          <w:color w:val="000000" w:themeColor="text1"/>
          <w:lang w:val="es-MX"/>
        </w:rPr>
      </w:pPr>
    </w:p>
    <w:p w14:paraId="28EE31D8" w14:textId="77777777" w:rsidR="003C75FF" w:rsidRDefault="003C75FF" w:rsidP="00936B0C">
      <w:pPr>
        <w:spacing w:after="0" w:line="240" w:lineRule="auto"/>
        <w:rPr>
          <w:rFonts w:ascii="Verdana" w:eastAsia="Geomanist Light" w:hAnsi="Verdana" w:cs="Arial"/>
          <w:color w:val="000000" w:themeColor="text1"/>
          <w:lang w:val="es-MX"/>
        </w:rPr>
      </w:pPr>
    </w:p>
    <w:p w14:paraId="3B4CCD4A" w14:textId="77777777" w:rsidR="003C75FF" w:rsidRDefault="003C75FF" w:rsidP="00936B0C">
      <w:pPr>
        <w:spacing w:after="0" w:line="240" w:lineRule="auto"/>
        <w:rPr>
          <w:rFonts w:ascii="Verdana" w:eastAsia="Geomanist Light" w:hAnsi="Verdana" w:cs="Arial"/>
          <w:color w:val="000000" w:themeColor="text1"/>
          <w:lang w:val="es-MX"/>
        </w:rPr>
      </w:pPr>
    </w:p>
    <w:p w14:paraId="336ECEEB" w14:textId="77777777" w:rsidR="003C75FF" w:rsidRDefault="003C75FF" w:rsidP="00936B0C">
      <w:pPr>
        <w:spacing w:after="0" w:line="240" w:lineRule="auto"/>
        <w:rPr>
          <w:rFonts w:ascii="Verdana" w:eastAsia="Geomanist Light" w:hAnsi="Verdana" w:cs="Arial"/>
          <w:color w:val="000000" w:themeColor="text1"/>
          <w:lang w:val="es-MX"/>
        </w:rPr>
      </w:pPr>
    </w:p>
    <w:p w14:paraId="7ED3A38C" w14:textId="77777777" w:rsidR="003C75FF" w:rsidRDefault="003C75FF" w:rsidP="00936B0C">
      <w:pPr>
        <w:spacing w:after="0" w:line="240" w:lineRule="auto"/>
        <w:rPr>
          <w:rFonts w:ascii="Verdana" w:eastAsia="Geomanist Light" w:hAnsi="Verdana" w:cs="Arial"/>
          <w:color w:val="000000" w:themeColor="text1"/>
          <w:lang w:val="es-MX"/>
        </w:rPr>
      </w:pPr>
    </w:p>
    <w:p w14:paraId="703CF7CD" w14:textId="77777777" w:rsidR="003C75FF" w:rsidRDefault="003C75FF" w:rsidP="00936B0C">
      <w:pPr>
        <w:spacing w:after="0" w:line="240" w:lineRule="auto"/>
        <w:rPr>
          <w:rFonts w:ascii="Verdana" w:eastAsia="Geomanist Light" w:hAnsi="Verdana" w:cs="Arial"/>
          <w:color w:val="000000" w:themeColor="text1"/>
          <w:lang w:val="es-MX"/>
        </w:rPr>
      </w:pPr>
    </w:p>
    <w:p w14:paraId="60893CED" w14:textId="77777777" w:rsidR="003C75FF" w:rsidRDefault="003C75FF" w:rsidP="00936B0C">
      <w:pPr>
        <w:spacing w:after="0" w:line="240" w:lineRule="auto"/>
        <w:rPr>
          <w:rFonts w:ascii="Verdana" w:eastAsia="Geomanist Light" w:hAnsi="Verdana" w:cs="Arial"/>
          <w:color w:val="000000" w:themeColor="text1"/>
          <w:lang w:val="es-MX"/>
        </w:rPr>
      </w:pPr>
    </w:p>
    <w:p w14:paraId="0D1AD127" w14:textId="77777777" w:rsidR="003C75FF" w:rsidRDefault="003C75FF" w:rsidP="00936B0C">
      <w:pPr>
        <w:spacing w:after="0" w:line="240" w:lineRule="auto"/>
        <w:rPr>
          <w:rFonts w:ascii="Verdana" w:eastAsia="Geomanist Light" w:hAnsi="Verdana" w:cs="Arial"/>
          <w:color w:val="000000" w:themeColor="text1"/>
          <w:lang w:val="es-MX"/>
        </w:rPr>
      </w:pPr>
    </w:p>
    <w:p w14:paraId="37AE1A4D" w14:textId="77777777" w:rsidR="003C75FF" w:rsidRDefault="003C75FF" w:rsidP="00936B0C">
      <w:pPr>
        <w:spacing w:after="0" w:line="240" w:lineRule="auto"/>
        <w:rPr>
          <w:rFonts w:ascii="Verdana" w:eastAsia="Geomanist Light" w:hAnsi="Verdana" w:cs="Arial"/>
          <w:color w:val="000000" w:themeColor="text1"/>
          <w:lang w:val="es-MX"/>
        </w:rPr>
      </w:pPr>
    </w:p>
    <w:p w14:paraId="3A140D6C" w14:textId="77777777" w:rsidR="003C75FF" w:rsidRDefault="003C75FF" w:rsidP="00936B0C">
      <w:pPr>
        <w:spacing w:after="0" w:line="240" w:lineRule="auto"/>
        <w:rPr>
          <w:rFonts w:ascii="Verdana" w:eastAsia="Geomanist Light" w:hAnsi="Verdana" w:cs="Arial"/>
          <w:color w:val="000000" w:themeColor="text1"/>
          <w:lang w:val="es-MX"/>
        </w:rPr>
      </w:pPr>
    </w:p>
    <w:p w14:paraId="5E6BA305" w14:textId="77777777" w:rsidR="003C75FF" w:rsidRDefault="003C75FF" w:rsidP="00936B0C">
      <w:pPr>
        <w:spacing w:after="0" w:line="240" w:lineRule="auto"/>
        <w:rPr>
          <w:rFonts w:ascii="Verdana" w:eastAsia="Geomanist Light" w:hAnsi="Verdana" w:cs="Arial"/>
          <w:color w:val="000000" w:themeColor="text1"/>
          <w:lang w:val="es-MX"/>
        </w:rPr>
      </w:pPr>
    </w:p>
    <w:p w14:paraId="2EABA068" w14:textId="77777777" w:rsidR="003C75FF" w:rsidRDefault="003C75FF" w:rsidP="00936B0C">
      <w:pPr>
        <w:spacing w:after="0" w:line="240" w:lineRule="auto"/>
        <w:rPr>
          <w:rFonts w:ascii="Verdana" w:eastAsia="Geomanist Light" w:hAnsi="Verdana" w:cs="Arial"/>
          <w:color w:val="000000" w:themeColor="text1"/>
          <w:lang w:val="es-MX"/>
        </w:rPr>
      </w:pPr>
    </w:p>
    <w:p w14:paraId="6421B778" w14:textId="77777777" w:rsidR="003C75FF" w:rsidRDefault="003C75FF" w:rsidP="00936B0C">
      <w:pPr>
        <w:spacing w:after="0" w:line="240" w:lineRule="auto"/>
        <w:rPr>
          <w:rFonts w:ascii="Verdana" w:eastAsia="Geomanist Light" w:hAnsi="Verdana" w:cs="Arial"/>
          <w:color w:val="000000" w:themeColor="text1"/>
          <w:lang w:val="es-MX"/>
        </w:rPr>
      </w:pPr>
    </w:p>
    <w:p w14:paraId="18EF110B" w14:textId="77777777" w:rsidR="003C75FF" w:rsidRDefault="003C75FF" w:rsidP="00936B0C">
      <w:pPr>
        <w:spacing w:after="0" w:line="240" w:lineRule="auto"/>
        <w:rPr>
          <w:rFonts w:ascii="Verdana" w:eastAsia="Geomanist Light" w:hAnsi="Verdana" w:cs="Arial"/>
          <w:color w:val="000000" w:themeColor="text1"/>
          <w:lang w:val="es-MX"/>
        </w:rPr>
      </w:pPr>
    </w:p>
    <w:p w14:paraId="569DF5A8" w14:textId="77777777" w:rsidR="003C75FF" w:rsidRDefault="003C75FF" w:rsidP="00936B0C">
      <w:pPr>
        <w:spacing w:after="0" w:line="240" w:lineRule="auto"/>
        <w:rPr>
          <w:rFonts w:ascii="Verdana" w:eastAsia="Geomanist Light" w:hAnsi="Verdana" w:cs="Arial"/>
          <w:color w:val="000000" w:themeColor="text1"/>
          <w:lang w:val="es-MX"/>
        </w:rPr>
      </w:pPr>
    </w:p>
    <w:p w14:paraId="0A74E8E8" w14:textId="77777777" w:rsidR="003C75FF" w:rsidRDefault="003C75FF" w:rsidP="00936B0C">
      <w:pPr>
        <w:spacing w:after="0" w:line="240" w:lineRule="auto"/>
        <w:rPr>
          <w:rFonts w:ascii="Verdana" w:eastAsia="Geomanist Light" w:hAnsi="Verdana" w:cs="Arial"/>
          <w:color w:val="000000" w:themeColor="text1"/>
          <w:lang w:val="es-MX"/>
        </w:rPr>
      </w:pPr>
    </w:p>
    <w:p w14:paraId="26912B37" w14:textId="77777777" w:rsidR="003C75FF" w:rsidRDefault="003C75FF" w:rsidP="00936B0C">
      <w:pPr>
        <w:spacing w:after="0" w:line="240" w:lineRule="auto"/>
        <w:rPr>
          <w:rFonts w:ascii="Verdana" w:eastAsia="Geomanist Light" w:hAnsi="Verdana" w:cs="Arial"/>
          <w:color w:val="000000" w:themeColor="text1"/>
          <w:lang w:val="es-MX"/>
        </w:rPr>
      </w:pPr>
    </w:p>
    <w:p w14:paraId="1BBD3630" w14:textId="77777777" w:rsidR="003C75FF" w:rsidRDefault="003C75FF" w:rsidP="00936B0C">
      <w:pPr>
        <w:spacing w:after="0" w:line="240" w:lineRule="auto"/>
        <w:rPr>
          <w:rFonts w:ascii="Verdana" w:eastAsia="Geomanist Light" w:hAnsi="Verdana" w:cs="Arial"/>
          <w:color w:val="000000" w:themeColor="text1"/>
          <w:lang w:val="es-MX"/>
        </w:rPr>
      </w:pPr>
    </w:p>
    <w:p w14:paraId="2C4F6766" w14:textId="77777777" w:rsidR="003C75FF" w:rsidRDefault="003C75FF" w:rsidP="00936B0C">
      <w:pPr>
        <w:spacing w:after="0" w:line="240" w:lineRule="auto"/>
        <w:rPr>
          <w:rFonts w:ascii="Verdana" w:eastAsia="Geomanist Light" w:hAnsi="Verdana" w:cs="Arial"/>
          <w:color w:val="000000" w:themeColor="text1"/>
          <w:lang w:val="es-MX"/>
        </w:rPr>
      </w:pPr>
    </w:p>
    <w:p w14:paraId="6249ADB5" w14:textId="77777777" w:rsidR="003C75FF" w:rsidRDefault="003C75FF" w:rsidP="00936B0C">
      <w:pPr>
        <w:spacing w:after="0" w:line="240" w:lineRule="auto"/>
        <w:rPr>
          <w:rFonts w:ascii="Verdana" w:eastAsia="Geomanist Light" w:hAnsi="Verdana" w:cs="Arial"/>
          <w:color w:val="000000" w:themeColor="text1"/>
          <w:lang w:val="es-MX"/>
        </w:rPr>
      </w:pPr>
    </w:p>
    <w:p w14:paraId="27906518" w14:textId="77777777" w:rsidR="003C75FF" w:rsidRDefault="003C75FF" w:rsidP="00936B0C">
      <w:pPr>
        <w:spacing w:after="0" w:line="240" w:lineRule="auto"/>
        <w:rPr>
          <w:rFonts w:ascii="Verdana" w:eastAsia="Geomanist Light" w:hAnsi="Verdana" w:cs="Arial"/>
          <w:color w:val="000000" w:themeColor="text1"/>
          <w:lang w:val="es-MX"/>
        </w:rPr>
      </w:pPr>
    </w:p>
    <w:p w14:paraId="0FDCAD18" w14:textId="77777777" w:rsidR="003C75FF" w:rsidRDefault="003C75FF" w:rsidP="00936B0C">
      <w:pPr>
        <w:spacing w:after="0" w:line="240" w:lineRule="auto"/>
        <w:rPr>
          <w:rFonts w:ascii="Verdana" w:eastAsia="Geomanist Light" w:hAnsi="Verdana" w:cs="Arial"/>
          <w:color w:val="000000" w:themeColor="text1"/>
          <w:lang w:val="es-MX"/>
        </w:rPr>
      </w:pPr>
    </w:p>
    <w:p w14:paraId="4B1F3517" w14:textId="77777777" w:rsidR="00530532" w:rsidRDefault="00530532" w:rsidP="00936B0C">
      <w:pPr>
        <w:spacing w:after="0" w:line="240" w:lineRule="auto"/>
        <w:rPr>
          <w:rFonts w:ascii="Verdana" w:eastAsia="Geomanist Light" w:hAnsi="Verdana" w:cs="Arial"/>
          <w:color w:val="000000" w:themeColor="text1"/>
          <w:lang w:val="es-MX"/>
        </w:rPr>
      </w:pPr>
    </w:p>
    <w:p w14:paraId="21239969" w14:textId="4BF6837D" w:rsidR="00936B0C" w:rsidRPr="00593A5F" w:rsidRDefault="00936B0C" w:rsidP="00936B0C">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693A8A">
        <w:rPr>
          <w:rFonts w:ascii="Verdana" w:eastAsia="Geomanist Light" w:hAnsi="Verdana" w:cs="Arial"/>
          <w:color w:val="000000" w:themeColor="text1"/>
          <w:lang w:val="es-MX"/>
        </w:rPr>
        <w:t>13 de Marzo de 2026</w:t>
      </w:r>
    </w:p>
    <w:p w14:paraId="6DC10A9D" w14:textId="6714B965" w:rsidR="00936B0C" w:rsidRDefault="00936B0C" w:rsidP="00936B0C">
      <w:pPr>
        <w:spacing w:after="0" w:line="240" w:lineRule="auto"/>
        <w:jc w:val="both"/>
        <w:rPr>
          <w:rFonts w:ascii="Verdana" w:eastAsia="Calibri" w:hAnsi="Verdana" w:cs="Arial"/>
          <w:color w:val="000000"/>
          <w:lang w:val="es-ES"/>
        </w:rPr>
      </w:pPr>
    </w:p>
    <w:p w14:paraId="0ACF2FC1" w14:textId="2AFEBFA3" w:rsidR="00D5184F" w:rsidRDefault="00D5184F" w:rsidP="00D5184F">
      <w:pPr>
        <w:spacing w:after="0" w:line="240" w:lineRule="auto"/>
        <w:jc w:val="right"/>
        <w:rPr>
          <w:rFonts w:ascii="Verdana" w:eastAsia="Calibri" w:hAnsi="Verdana" w:cs="Arial"/>
          <w:color w:val="000000"/>
          <w:lang w:val="es-ES"/>
        </w:rPr>
      </w:pPr>
    </w:p>
    <w:p w14:paraId="21C10F17" w14:textId="21193B46" w:rsidR="00936B0C" w:rsidRPr="00593A5F" w:rsidRDefault="00530532" w:rsidP="00936B0C">
      <w:pPr>
        <w:spacing w:after="0" w:line="240" w:lineRule="auto"/>
        <w:jc w:val="both"/>
        <w:rPr>
          <w:rFonts w:ascii="Verdana" w:eastAsia="Calibri" w:hAnsi="Verdana" w:cs="Arial"/>
          <w:color w:val="000000"/>
          <w:lang w:val="es-ES"/>
        </w:rPr>
      </w:pPr>
      <w:r w:rsidRPr="00D5184F">
        <w:rPr>
          <w:rFonts w:ascii="Verdana" w:eastAsia="Calibri" w:hAnsi="Verdana" w:cs="Arial"/>
          <w:noProof/>
          <w:color w:val="000000"/>
          <w:lang w:val="es-ES"/>
        </w:rPr>
        <w:drawing>
          <wp:anchor distT="0" distB="0" distL="114300" distR="114300" simplePos="0" relativeHeight="251658240" behindDoc="0" locked="0" layoutInCell="1" allowOverlap="1" wp14:anchorId="096A968F" wp14:editId="6003AF44">
            <wp:simplePos x="0" y="0"/>
            <wp:positionH relativeFrom="margin">
              <wp:align>right</wp:align>
            </wp:positionH>
            <wp:positionV relativeFrom="paragraph">
              <wp:posOffset>8255</wp:posOffset>
            </wp:positionV>
            <wp:extent cx="2575560" cy="861060"/>
            <wp:effectExtent l="0" t="0" r="0" b="0"/>
            <wp:wrapSquare wrapText="bothSides"/>
            <wp:docPr id="14819897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89783" name=""/>
                    <pic:cNvPicPr/>
                  </pic:nvPicPr>
                  <pic:blipFill>
                    <a:blip r:embed="rId10">
                      <a:extLst>
                        <a:ext uri="{28A0092B-C50C-407E-A947-70E740481C1C}">
                          <a14:useLocalDpi xmlns:a14="http://schemas.microsoft.com/office/drawing/2010/main" val="0"/>
                        </a:ext>
                      </a:extLst>
                    </a:blip>
                    <a:stretch>
                      <a:fillRect/>
                    </a:stretch>
                  </pic:blipFill>
                  <pic:spPr>
                    <a:xfrm>
                      <a:off x="0" y="0"/>
                      <a:ext cx="2575560" cy="861060"/>
                    </a:xfrm>
                    <a:prstGeom prst="rect">
                      <a:avLst/>
                    </a:prstGeom>
                  </pic:spPr>
                </pic:pic>
              </a:graphicData>
            </a:graphic>
            <wp14:sizeRelH relativeFrom="margin">
              <wp14:pctWidth>0</wp14:pctWidth>
            </wp14:sizeRelH>
            <wp14:sizeRelV relativeFrom="margin">
              <wp14:pctHeight>0</wp14:pctHeight>
            </wp14:sizeRelV>
          </wp:anchor>
        </w:drawing>
      </w:r>
    </w:p>
    <w:p w14:paraId="066CA7F8" w14:textId="77777777" w:rsidR="00936B0C" w:rsidRPr="00B96799" w:rsidRDefault="00936B0C" w:rsidP="00936B0C">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1749AEE" w14:textId="77777777" w:rsidR="00936B0C" w:rsidRDefault="00936B0C" w:rsidP="00936B0C">
      <w:pPr>
        <w:spacing w:after="0" w:line="240" w:lineRule="auto"/>
        <w:rPr>
          <w:rFonts w:ascii="Verdana" w:eastAsia="Calibri" w:hAnsi="Verdana" w:cs="Arial"/>
          <w:b/>
          <w:lang w:val="es-ES_tradnl" w:eastAsia="es-ES_tradnl"/>
        </w:rPr>
      </w:pPr>
      <w:r w:rsidRPr="00F702A3">
        <w:rPr>
          <w:rFonts w:ascii="Verdana" w:eastAsia="Calibri" w:hAnsi="Verdana" w:cs="Arial"/>
          <w:b/>
          <w:lang w:val="es-ES_tradnl" w:eastAsia="es-ES_tradnl"/>
        </w:rPr>
        <w:t>Jessica Alejandra Betancur Osorio</w:t>
      </w:r>
    </w:p>
    <w:p w14:paraId="41685B07" w14:textId="77777777" w:rsidR="00936B0C" w:rsidRPr="00F22E3D" w:rsidRDefault="00936B0C" w:rsidP="00936B0C">
      <w:pPr>
        <w:spacing w:after="0" w:line="240" w:lineRule="auto"/>
        <w:rPr>
          <w:rFonts w:ascii="Verdana" w:eastAsia="Calibri" w:hAnsi="Verdana" w:cs="Arial"/>
          <w:lang w:val="es-ES" w:eastAsia="es-ES"/>
        </w:rPr>
      </w:pPr>
      <w:hyperlink r:id="rId11" w:history="1">
        <w:r w:rsidRPr="00F2699C">
          <w:rPr>
            <w:rStyle w:val="Hipervnculo"/>
            <w:rFonts w:ascii="Verdana" w:hAnsi="Verdana"/>
          </w:rPr>
          <w:t>jbetancur@sic.gov.co</w:t>
        </w:r>
      </w:hyperlink>
      <w:r>
        <w:rPr>
          <w:rFonts w:ascii="Verdana" w:hAnsi="Verdana"/>
        </w:rPr>
        <w:t xml:space="preserve">  </w:t>
      </w:r>
      <w:r w:rsidRPr="00F22E3D">
        <w:rPr>
          <w:rFonts w:ascii="Verdana" w:hAnsi="Verdana"/>
        </w:rPr>
        <w:t xml:space="preserve">                </w:t>
      </w:r>
      <w:r w:rsidRPr="00F22E3D">
        <w:rPr>
          <w:rFonts w:ascii="Verdana" w:eastAsia="Calibri" w:hAnsi="Verdana" w:cs="Arial"/>
          <w:lang w:val="es-ES" w:eastAsia="es-ES"/>
        </w:rPr>
        <w:t xml:space="preserve">    </w:t>
      </w:r>
    </w:p>
    <w:p w14:paraId="5B78E8B8" w14:textId="77777777" w:rsidR="00936B0C" w:rsidRDefault="00936B0C" w:rsidP="00936B0C">
      <w:pPr>
        <w:spacing w:after="0" w:line="240" w:lineRule="auto"/>
        <w:rPr>
          <w:rFonts w:ascii="Verdana" w:eastAsia="Calibri" w:hAnsi="Verdana" w:cs="Arial"/>
          <w:lang w:val="es-ES" w:eastAsia="es-ES"/>
        </w:rPr>
      </w:pPr>
      <w:r w:rsidRPr="00112ADF">
        <w:rPr>
          <w:rFonts w:ascii="Verdana" w:eastAsia="Calibri" w:hAnsi="Verdana" w:cs="Arial"/>
          <w:lang w:val="es-ES" w:eastAsia="es-ES"/>
        </w:rPr>
        <w:t>Bogotá D.C.</w:t>
      </w:r>
      <w:r>
        <w:rPr>
          <w:rFonts w:ascii="Verdana" w:eastAsia="Calibri" w:hAnsi="Verdana" w:cs="Arial"/>
          <w:lang w:val="es-ES" w:eastAsia="es-ES"/>
        </w:rPr>
        <w:t xml:space="preserve"> </w:t>
      </w:r>
    </w:p>
    <w:p w14:paraId="4884B821" w14:textId="77777777" w:rsidR="00936B0C" w:rsidRPr="00593A5F" w:rsidRDefault="00936B0C" w:rsidP="00936B0C">
      <w:pPr>
        <w:spacing w:after="0" w:line="240" w:lineRule="auto"/>
        <w:rPr>
          <w:rFonts w:ascii="Verdana" w:eastAsia="Calibri" w:hAnsi="Verdana" w:cs="Arial"/>
          <w:b/>
          <w:bCs/>
          <w:color w:val="000000"/>
          <w:lang w:val="es-ES_tradnl" w:eastAsia="es-ES_tradnl"/>
        </w:rPr>
      </w:pPr>
    </w:p>
    <w:p w14:paraId="2698A94D" w14:textId="77777777" w:rsidR="00936B0C" w:rsidRPr="00593A5F" w:rsidRDefault="00936B0C" w:rsidP="00936B0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36B0C" w:rsidRPr="00593A5F" w14:paraId="3FA4ED8B" w14:textId="77777777" w:rsidTr="008D2F4E">
        <w:trPr>
          <w:trHeight w:val="884"/>
        </w:trPr>
        <w:tc>
          <w:tcPr>
            <w:tcW w:w="2689" w:type="dxa"/>
          </w:tcPr>
          <w:p w14:paraId="49A3A43F" w14:textId="77777777" w:rsidR="00936B0C" w:rsidRPr="00C00976" w:rsidRDefault="00936B0C" w:rsidP="008D2F4E">
            <w:pPr>
              <w:jc w:val="both"/>
              <w:rPr>
                <w:rFonts w:ascii="Verdana" w:eastAsia="Calibri" w:hAnsi="Verdana" w:cs="Arial"/>
                <w:b/>
                <w:bCs/>
                <w:color w:val="7030A0"/>
                <w:lang w:val="es-ES_tradnl" w:eastAsia="es-ES_tradnl"/>
              </w:rPr>
            </w:pPr>
          </w:p>
        </w:tc>
        <w:tc>
          <w:tcPr>
            <w:tcW w:w="6100" w:type="dxa"/>
          </w:tcPr>
          <w:p w14:paraId="25E0E459" w14:textId="77777777" w:rsidR="00936B0C" w:rsidRPr="00C00976" w:rsidRDefault="00936B0C" w:rsidP="008D2F4E">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352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936B0C" w:rsidRPr="00593A5F" w14:paraId="647C592E" w14:textId="77777777" w:rsidTr="008D2F4E">
        <w:trPr>
          <w:trHeight w:val="884"/>
        </w:trPr>
        <w:tc>
          <w:tcPr>
            <w:tcW w:w="2689" w:type="dxa"/>
          </w:tcPr>
          <w:p w14:paraId="3539C4B7" w14:textId="77777777" w:rsidR="00936B0C" w:rsidRPr="00593A5F" w:rsidRDefault="00936B0C" w:rsidP="008D2F4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43C6472" w14:textId="77777777" w:rsidR="00936B0C" w:rsidRPr="00A11406" w:rsidRDefault="00936B0C" w:rsidP="008D2F4E">
            <w:pPr>
              <w:spacing w:line="276" w:lineRule="auto"/>
              <w:jc w:val="both"/>
              <w:rPr>
                <w:rFonts w:ascii="Verdana" w:eastAsia="Calibri" w:hAnsi="Verdana" w:cs="Arial"/>
                <w:lang w:val="es-ES" w:eastAsia="es-ES"/>
              </w:rPr>
            </w:pPr>
            <w:r w:rsidRPr="00E027DE">
              <w:rPr>
                <w:rFonts w:ascii="Verdana" w:eastAsia="Calibri" w:hAnsi="Verdana" w:cs="Arial"/>
                <w:lang w:val="es-ES" w:eastAsia="es-ES"/>
              </w:rPr>
              <w:t>RIESGOS EN LA CONTRATACIÓN ESTATAL – Obligación de las entidades estatales de tipificarlos</w:t>
            </w:r>
            <w:r>
              <w:rPr>
                <w:rFonts w:ascii="Verdana" w:eastAsia="Calibri" w:hAnsi="Verdana" w:cs="Arial"/>
                <w:lang w:val="es-ES" w:eastAsia="es-ES"/>
              </w:rPr>
              <w:t xml:space="preserve"> / </w:t>
            </w:r>
            <w:r w:rsidRPr="00E027DE">
              <w:rPr>
                <w:rFonts w:ascii="Verdana" w:eastAsia="Calibri" w:hAnsi="Verdana" w:cs="Arial"/>
                <w:lang w:val="es-ES" w:eastAsia="es-ES"/>
              </w:rPr>
              <w:t>MATRIZ DE RIESGOS – identificación y administración de riesgos</w:t>
            </w:r>
            <w:r>
              <w:rPr>
                <w:rFonts w:ascii="Verdana" w:eastAsia="Calibri" w:hAnsi="Verdana" w:cs="Arial"/>
                <w:lang w:val="es-ES" w:eastAsia="es-ES"/>
              </w:rPr>
              <w:t xml:space="preserve"> /</w:t>
            </w:r>
            <w:r w:rsidRPr="00E027DE">
              <w:rPr>
                <w:rFonts w:ascii="Verdana" w:eastAsia="Calibri" w:hAnsi="Verdana" w:cs="Arial"/>
                <w:lang w:val="es-ES" w:eastAsia="es-ES"/>
              </w:rPr>
              <w:t xml:space="preserve"> </w:t>
            </w:r>
            <w:r w:rsidRPr="003846D3">
              <w:rPr>
                <w:rFonts w:ascii="Verdana" w:eastAsia="Calibri" w:hAnsi="Verdana" w:cs="Arial"/>
                <w:lang w:val="es-ES" w:eastAsia="es-ES"/>
              </w:rPr>
              <w:t>PRECIOS UNITARIOS – APU – AIU – Diferencias – Configuración / AIU – Costos indirectos – Finalidad – Ejecución del contrato / AIU – Componentes – Discrecionalidad</w:t>
            </w:r>
            <w:r w:rsidRPr="006A662D">
              <w:rPr>
                <w:rFonts w:ascii="Verdana" w:eastAsia="Calibri" w:hAnsi="Verdana" w:cs="Arial"/>
                <w:lang w:val="es-ES" w:eastAsia="es-ES"/>
              </w:rPr>
              <w:t xml:space="preserve"> </w:t>
            </w:r>
            <w:r>
              <w:rPr>
                <w:rFonts w:ascii="Verdana" w:eastAsia="Calibri" w:hAnsi="Verdana" w:cs="Arial"/>
                <w:lang w:val="es-ES" w:eastAsia="es-ES"/>
              </w:rPr>
              <w:t xml:space="preserve">/ </w:t>
            </w:r>
            <w:r w:rsidRPr="0002298C">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 / RESTABLECIMIENTO DE LA ECUACIÓN ECONÓMICA – Liquidación</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BE6133A" w14:textId="77777777" w:rsidR="00936B0C" w:rsidRPr="00593A5F" w:rsidRDefault="00936B0C" w:rsidP="008D2F4E">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36B0C" w:rsidRPr="008E6AD9" w14:paraId="14451A3E" w14:textId="77777777" w:rsidTr="008D2F4E">
        <w:tc>
          <w:tcPr>
            <w:tcW w:w="2689" w:type="dxa"/>
          </w:tcPr>
          <w:p w14:paraId="117633FF" w14:textId="77777777" w:rsidR="00936B0C" w:rsidRPr="008E6AD9" w:rsidRDefault="00936B0C" w:rsidP="008D2F4E">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EB581E5" w14:textId="77777777" w:rsidR="00936B0C" w:rsidRPr="00B92340" w:rsidRDefault="00936B0C" w:rsidP="008D2F4E">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8234E3">
              <w:rPr>
                <w:rFonts w:ascii="Verdana" w:eastAsia="Calibri" w:hAnsi="Verdana" w:cs="Arial"/>
                <w:lang w:val="es-ES_tradnl" w:eastAsia="es-ES_tradnl"/>
              </w:rPr>
              <w:t>1_2026_03_04_003007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A0C6D27" w14:textId="77777777" w:rsidR="00936B0C" w:rsidRPr="00593A5F" w:rsidRDefault="00936B0C" w:rsidP="00936B0C">
      <w:pPr>
        <w:spacing w:after="0" w:line="240" w:lineRule="auto"/>
        <w:jc w:val="both"/>
        <w:rPr>
          <w:rFonts w:ascii="Verdana" w:eastAsia="Calibri" w:hAnsi="Verdana" w:cs="Arial"/>
          <w:color w:val="000000"/>
          <w:lang w:val="es-ES_tradnl" w:eastAsia="es-ES_tradnl"/>
        </w:rPr>
      </w:pPr>
    </w:p>
    <w:p w14:paraId="09C44697" w14:textId="77777777" w:rsidR="00936B0C" w:rsidRPr="00593A5F" w:rsidRDefault="00936B0C" w:rsidP="00936B0C">
      <w:pPr>
        <w:spacing w:after="0" w:line="240" w:lineRule="auto"/>
        <w:jc w:val="both"/>
        <w:rPr>
          <w:rFonts w:ascii="Verdana" w:eastAsia="Calibri" w:hAnsi="Verdana" w:cs="Arial"/>
          <w:color w:val="000000"/>
          <w:lang w:val="es-ES_tradnl" w:eastAsia="es-ES_tradnl"/>
        </w:rPr>
      </w:pPr>
    </w:p>
    <w:p w14:paraId="49D4C507" w14:textId="77777777" w:rsidR="00936B0C" w:rsidRPr="008E6AD9" w:rsidRDefault="00936B0C" w:rsidP="00936B0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CE7AB6">
        <w:rPr>
          <w:rFonts w:ascii="Verdana" w:eastAsia="Calibri" w:hAnsi="Verdana" w:cs="Arial"/>
          <w:lang w:val="es-ES" w:eastAsia="es-ES"/>
        </w:rPr>
        <w:t>Betancur Osorio</w:t>
      </w:r>
      <w:r w:rsidRPr="008E6AD9">
        <w:rPr>
          <w:rFonts w:ascii="Verdana" w:eastAsia="Calibri" w:hAnsi="Verdana" w:cs="Arial"/>
          <w:lang w:val="es-ES" w:eastAsia="es-ES"/>
        </w:rPr>
        <w:t xml:space="preserve">: </w:t>
      </w:r>
    </w:p>
    <w:p w14:paraId="029783E6" w14:textId="77777777" w:rsidR="00936B0C" w:rsidRDefault="00936B0C" w:rsidP="00936B0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9ABC6AE" w14:textId="77777777" w:rsidR="00936B0C" w:rsidRPr="00593A5F" w:rsidRDefault="00936B0C" w:rsidP="00936B0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 de marzo de 2026, donde solicita conceptuar sobre los siguientes aspectos</w:t>
      </w:r>
      <w:r w:rsidRPr="008E6AD9">
        <w:rPr>
          <w:rFonts w:ascii="Verdana" w:eastAsia="Calibri" w:hAnsi="Verdana" w:cs="Arial"/>
          <w:lang w:val="es-ES" w:eastAsia="es-ES"/>
        </w:rPr>
        <w:t xml:space="preserve">: </w:t>
      </w:r>
    </w:p>
    <w:p w14:paraId="1DF1B691" w14:textId="77777777" w:rsidR="00936B0C" w:rsidRPr="00272A7B" w:rsidRDefault="00936B0C" w:rsidP="00936B0C">
      <w:pPr>
        <w:pStyle w:val="Prrafodelista"/>
        <w:tabs>
          <w:tab w:val="left" w:pos="142"/>
          <w:tab w:val="left" w:pos="284"/>
        </w:tabs>
        <w:spacing w:after="0" w:line="276" w:lineRule="auto"/>
        <w:ind w:left="0"/>
        <w:jc w:val="both"/>
        <w:rPr>
          <w:rFonts w:ascii="Verdana" w:eastAsia="Century Gothic" w:hAnsi="Verdana" w:cs="Century Gothic"/>
          <w:b/>
          <w:bCs/>
        </w:rPr>
      </w:pPr>
    </w:p>
    <w:p w14:paraId="5CF5895E" w14:textId="77777777" w:rsidR="00936B0C" w:rsidRPr="00214FF2" w:rsidRDefault="00936B0C" w:rsidP="00936B0C">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214FF2">
        <w:rPr>
          <w:rFonts w:ascii="Verdana" w:eastAsia="Century Gothic" w:hAnsi="Verdana" w:cs="Century Gothic"/>
          <w:sz w:val="20"/>
          <w:szCs w:val="20"/>
          <w:lang w:val="es-ES"/>
        </w:rPr>
        <w:t>1. El procedimiento que debe adoptarse para efectuar los ajustes en aquellos contratos que, en su clausulado, establece expresamente la actualización del valor con el salario mínimo con el cambio de vigencia, particularmente en contratos de prestación de servicios, vigilancia, aseo, obra o aquellos cuya estructura de costos incluye pago de personal por parte del contratista y que por ende se encuentran directamente vinculadas al SMLMV.</w:t>
      </w:r>
    </w:p>
    <w:p w14:paraId="52A3CEA6" w14:textId="77777777" w:rsidR="00936B0C" w:rsidRPr="001904AF" w:rsidRDefault="00936B0C" w:rsidP="00936B0C">
      <w:pPr>
        <w:spacing w:after="0" w:line="240" w:lineRule="auto"/>
        <w:ind w:left="709" w:right="709"/>
        <w:jc w:val="both"/>
        <w:rPr>
          <w:rFonts w:ascii="Verdana" w:eastAsia="Century Gothic" w:hAnsi="Verdana" w:cs="Century Gothic"/>
          <w:sz w:val="20"/>
          <w:szCs w:val="20"/>
          <w:lang w:val="es-ES"/>
        </w:rPr>
      </w:pPr>
      <w:r w:rsidRPr="00214FF2">
        <w:rPr>
          <w:rFonts w:ascii="Verdana" w:eastAsia="Century Gothic" w:hAnsi="Verdana" w:cs="Century Gothic"/>
          <w:sz w:val="20"/>
          <w:szCs w:val="20"/>
          <w:lang w:val="es-ES"/>
        </w:rPr>
        <w:t>2. La viabilidad jurídica de realizar modificaciones contractuales, adiciones presupuestales o la aplicación de mecanismos de restablecimiento del equilibrio económico del contrato, en aquellos casos en que el incremento del salario mínimo altere de manera significativa la ecuación financiera inicialmente pactada. Esto atendiendo a que podrían</w:t>
      </w:r>
      <w:r>
        <w:rPr>
          <w:rFonts w:ascii="Verdana" w:eastAsia="Century Gothic" w:hAnsi="Verdana" w:cs="Century Gothic"/>
          <w:sz w:val="20"/>
          <w:szCs w:val="20"/>
          <w:lang w:val="es-ES"/>
        </w:rPr>
        <w:t xml:space="preserve"> </w:t>
      </w:r>
      <w:r w:rsidRPr="00B545CA">
        <w:rPr>
          <w:rFonts w:ascii="Verdana" w:eastAsia="Century Gothic" w:hAnsi="Verdana" w:cs="Century Gothic"/>
          <w:sz w:val="20"/>
          <w:szCs w:val="20"/>
          <w:lang w:val="es-ES"/>
        </w:rPr>
        <w:t>generarse múltiples modificaciones cuya proyección atenderá a criterios diferentes que generan incertidumbre en la ejecución contractual, pudiéndose generar costos adicionales en contravía de los lineamientos de austeridad del gasto</w:t>
      </w:r>
      <w:r w:rsidRPr="001904AF">
        <w:rPr>
          <w:rFonts w:ascii="Verdana" w:eastAsia="Century Gothic" w:hAnsi="Verdana" w:cs="Century Gothic"/>
          <w:sz w:val="20"/>
          <w:szCs w:val="20"/>
          <w:lang w:val="es-ES"/>
        </w:rPr>
        <w:t>”.</w:t>
      </w:r>
    </w:p>
    <w:p w14:paraId="713BA353" w14:textId="77777777" w:rsidR="00936B0C" w:rsidRPr="008E6AD9" w:rsidRDefault="00936B0C" w:rsidP="00936B0C">
      <w:pPr>
        <w:pStyle w:val="Prrafodelista"/>
        <w:tabs>
          <w:tab w:val="left" w:pos="142"/>
          <w:tab w:val="left" w:pos="284"/>
        </w:tabs>
        <w:spacing w:after="0" w:line="276" w:lineRule="auto"/>
        <w:ind w:left="0"/>
        <w:jc w:val="both"/>
        <w:rPr>
          <w:rFonts w:ascii="Verdana" w:eastAsia="Century Gothic" w:hAnsi="Verdana" w:cs="Century Gothic"/>
          <w:b/>
          <w:bCs/>
        </w:rPr>
      </w:pPr>
    </w:p>
    <w:p w14:paraId="17F58C02" w14:textId="77777777" w:rsidR="00936B0C" w:rsidRPr="00A652FF" w:rsidRDefault="00936B0C" w:rsidP="00936B0C">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208EEEF" w14:textId="77777777" w:rsidR="00936B0C" w:rsidRDefault="00936B0C" w:rsidP="00936B0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BC3283B" w14:textId="77777777" w:rsidR="00936B0C" w:rsidRPr="00593A5F" w:rsidRDefault="00936B0C" w:rsidP="00936B0C">
      <w:pPr>
        <w:spacing w:after="0" w:line="276" w:lineRule="auto"/>
        <w:ind w:firstLine="709"/>
        <w:jc w:val="both"/>
        <w:rPr>
          <w:rFonts w:ascii="Verdana" w:eastAsia="Calibri" w:hAnsi="Verdana" w:cs="Arial"/>
          <w:color w:val="000000"/>
          <w:lang w:val="es-ES" w:eastAsia="es-ES"/>
        </w:rPr>
      </w:pPr>
    </w:p>
    <w:p w14:paraId="38EB3E5E" w14:textId="77777777" w:rsidR="00936B0C" w:rsidRPr="00593A5F" w:rsidRDefault="00936B0C" w:rsidP="00936B0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3C47B62" w14:textId="77777777" w:rsidR="00936B0C" w:rsidRPr="00593A5F" w:rsidRDefault="00936B0C" w:rsidP="00936B0C">
      <w:pPr>
        <w:tabs>
          <w:tab w:val="left" w:pos="426"/>
        </w:tabs>
        <w:spacing w:after="0" w:line="276" w:lineRule="auto"/>
        <w:jc w:val="both"/>
        <w:rPr>
          <w:rFonts w:ascii="Verdana" w:eastAsia="Century Gothic" w:hAnsi="Verdana" w:cs="Century Gothic"/>
          <w:lang w:val="es-ES"/>
        </w:rPr>
      </w:pPr>
    </w:p>
    <w:p w14:paraId="13BE3346" w14:textId="77777777" w:rsidR="00936B0C" w:rsidRPr="00593A5F" w:rsidRDefault="00936B0C" w:rsidP="00936B0C">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A56E74">
        <w:rPr>
          <w:rFonts w:ascii="Verdana" w:eastAsia="Century Gothic" w:hAnsi="Verdana" w:cs="Century Gothic"/>
        </w:rPr>
        <w:t>¿qué mecanismos establece el ordenamiento jurídico para promover el equilibrio económico del contrato estatal?</w:t>
      </w:r>
      <w:r>
        <w:rPr>
          <w:rFonts w:ascii="Verdana" w:eastAsia="Century Gothic" w:hAnsi="Verdana" w:cs="Century Gothic"/>
        </w:rPr>
        <w:t xml:space="preserve"> </w:t>
      </w:r>
    </w:p>
    <w:p w14:paraId="02C1C1A6" w14:textId="77777777" w:rsidR="00936B0C" w:rsidRPr="004B140F" w:rsidRDefault="00936B0C" w:rsidP="00936B0C">
      <w:pPr>
        <w:spacing w:after="0" w:line="276" w:lineRule="auto"/>
        <w:jc w:val="both"/>
        <w:rPr>
          <w:rFonts w:ascii="Verdana" w:eastAsia="Calibri" w:hAnsi="Verdana" w:cs="Arial"/>
          <w:color w:val="7030A0"/>
        </w:rPr>
      </w:pPr>
    </w:p>
    <w:p w14:paraId="5E2EC024" w14:textId="77777777" w:rsidR="00936B0C" w:rsidRPr="00593A5F" w:rsidRDefault="00936B0C" w:rsidP="00936B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28DFFD2" w14:textId="77777777" w:rsidR="00936B0C" w:rsidRPr="00593A5F" w:rsidRDefault="00936B0C" w:rsidP="00936B0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36B0C" w:rsidRPr="00593A5F" w14:paraId="711BC895" w14:textId="77777777" w:rsidTr="008D2F4E">
        <w:trPr>
          <w:jc w:val="center"/>
        </w:trPr>
        <w:tc>
          <w:tcPr>
            <w:tcW w:w="8828" w:type="dxa"/>
          </w:tcPr>
          <w:p w14:paraId="5C9BE47E" w14:textId="7384C5A8" w:rsidR="00936B0C" w:rsidRDefault="00936B0C" w:rsidP="008D2F4E">
            <w:pPr>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frente al</w:t>
            </w:r>
            <w:r w:rsidRPr="007D43D2">
              <w:rPr>
                <w:rFonts w:ascii="Verdana" w:eastAsia="Arial" w:hAnsi="Verdana" w:cs="Arial"/>
                <w:lang w:val="es-MX" w:eastAsia="es-ES" w:bidi="es-ES"/>
              </w:rPr>
              <w:t xml:space="preserve"> ajuste </w:t>
            </w:r>
            <w:r>
              <w:rPr>
                <w:rFonts w:ascii="Verdana" w:eastAsia="Arial" w:hAnsi="Verdana" w:cs="Arial"/>
                <w:lang w:val="es-MX" w:eastAsia="es-ES" w:bidi="es-ES"/>
              </w:rPr>
              <w:t>de los</w:t>
            </w:r>
            <w:r w:rsidRPr="007D43D2">
              <w:rPr>
                <w:rFonts w:ascii="Verdana" w:eastAsia="Arial" w:hAnsi="Verdana" w:cs="Arial"/>
                <w:lang w:val="es-MX" w:eastAsia="es-ES" w:bidi="es-ES"/>
              </w:rPr>
              <w:t xml:space="preserve"> contratos que </w:t>
            </w:r>
            <w:r w:rsidR="00E87A0F" w:rsidRPr="007D43D2">
              <w:rPr>
                <w:rFonts w:ascii="Verdana" w:eastAsia="Arial" w:hAnsi="Verdana" w:cs="Arial"/>
                <w:lang w:val="es-MX" w:eastAsia="es-ES" w:bidi="es-ES"/>
              </w:rPr>
              <w:t>establez</w:t>
            </w:r>
            <w:r w:rsidR="00E87A0F">
              <w:rPr>
                <w:rFonts w:ascii="Verdana" w:eastAsia="Arial" w:hAnsi="Verdana" w:cs="Arial"/>
                <w:lang w:val="es-MX" w:eastAsia="es-ES" w:bidi="es-ES"/>
              </w:rPr>
              <w:t>can</w:t>
            </w:r>
            <w:r w:rsidRPr="007D43D2">
              <w:rPr>
                <w:rFonts w:ascii="Verdana" w:eastAsia="Arial" w:hAnsi="Verdana" w:cs="Arial"/>
                <w:lang w:val="es-MX" w:eastAsia="es-ES" w:bidi="es-ES"/>
              </w:rPr>
              <w:t xml:space="preserve"> </w:t>
            </w:r>
            <w:r>
              <w:rPr>
                <w:rFonts w:ascii="Verdana" w:eastAsia="Arial" w:hAnsi="Verdana" w:cs="Arial"/>
                <w:lang w:val="es-MX" w:eastAsia="es-ES" w:bidi="es-ES"/>
              </w:rPr>
              <w:t>la actualización del</w:t>
            </w:r>
            <w:r w:rsidRPr="007D43D2">
              <w:rPr>
                <w:rFonts w:ascii="Verdana" w:eastAsia="Arial" w:hAnsi="Verdana" w:cs="Arial"/>
                <w:lang w:val="es-MX" w:eastAsia="es-ES" w:bidi="es-ES"/>
              </w:rPr>
              <w:t xml:space="preserve"> salario mínimo </w:t>
            </w:r>
            <w:r>
              <w:rPr>
                <w:rFonts w:ascii="Verdana" w:eastAsia="Arial" w:hAnsi="Verdana" w:cs="Arial"/>
                <w:lang w:val="es-MX" w:eastAsia="es-ES" w:bidi="es-ES"/>
              </w:rPr>
              <w:t xml:space="preserve">debe seguirse las indicaciones de los documentos del proceso, especialmente, en lo relacionado con la matriz de riesgos, el AIU o las cláusulas de reajuste y revisión de precios. </w:t>
            </w:r>
            <w:r w:rsidRPr="00DA5D02">
              <w:rPr>
                <w:rFonts w:ascii="Verdana" w:eastAsia="Arial" w:hAnsi="Verdana" w:cs="Arial"/>
                <w:i/>
                <w:iCs/>
                <w:lang w:val="es-MX" w:eastAsia="es-ES" w:bidi="es-ES"/>
              </w:rPr>
              <w:t>Por un lado</w:t>
            </w:r>
            <w:r>
              <w:rPr>
                <w:rFonts w:ascii="Verdana" w:eastAsia="Arial" w:hAnsi="Verdana" w:cs="Arial"/>
                <w:lang w:val="es-MX" w:eastAsia="es-ES" w:bidi="es-ES"/>
              </w:rPr>
              <w:t xml:space="preserve">, </w:t>
            </w:r>
            <w:r w:rsidRPr="00364005">
              <w:rPr>
                <w:rFonts w:ascii="Verdana" w:hAnsi="Verdana" w:cs="Arial"/>
                <w:lang w:val="es-ES" w:eastAsia="es-CO"/>
              </w:rPr>
              <w:t xml:space="preserve">el artículo 4 </w:t>
            </w:r>
            <w:r>
              <w:rPr>
                <w:rFonts w:ascii="Verdana" w:hAnsi="Verdana" w:cs="Arial"/>
                <w:lang w:val="es-ES" w:eastAsia="es-CO"/>
              </w:rPr>
              <w:t xml:space="preserve">de la Ley 1150 de 2007 </w:t>
            </w:r>
            <w:r w:rsidRPr="00364005">
              <w:rPr>
                <w:rFonts w:ascii="Verdana" w:hAnsi="Verdana" w:cs="Arial"/>
                <w:lang w:val="es-ES" w:eastAsia="es-CO"/>
              </w:rPr>
              <w:t>obliga a las entidades estatales a estimar, tipificar y asignar los riesgos previsibles involucrados en la contratación dentro de los pliegos de condiciones o en sus equivalentes</w:t>
            </w:r>
            <w:r>
              <w:rPr>
                <w:rFonts w:ascii="Verdana" w:hAnsi="Verdana" w:cs="Arial"/>
                <w:lang w:val="es-ES" w:eastAsia="es-CO"/>
              </w:rPr>
              <w:t xml:space="preserve">. </w:t>
            </w:r>
            <w:r w:rsidRPr="00364005">
              <w:rPr>
                <w:rFonts w:ascii="Verdana" w:hAnsi="Verdana" w:cs="Arial"/>
                <w:lang w:eastAsia="es-CO"/>
              </w:rPr>
              <w:t>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Pr>
                <w:rFonts w:ascii="Verdana" w:hAnsi="Verdana" w:cs="Arial"/>
                <w:lang w:eastAsia="es-CO"/>
              </w:rPr>
              <w:t xml:space="preserve"> </w:t>
            </w:r>
            <w:r w:rsidRPr="00364005">
              <w:rPr>
                <w:rFonts w:ascii="Verdana" w:hAnsi="Verdana" w:cs="Arial"/>
                <w:lang w:val="es-ES" w:eastAsia="es-CO"/>
              </w:rPr>
              <w:t>Con fundamento en lo anterior, corresponde a cada entidad efectuar en la fase de planeación el análisis inicial de los riesgos previsibles asociados al procedimiento de selección</w:t>
            </w:r>
            <w:r>
              <w:rPr>
                <w:rFonts w:ascii="Verdana" w:hAnsi="Verdana" w:cs="Arial"/>
                <w:lang w:val="es-ES" w:eastAsia="es-CO"/>
              </w:rPr>
              <w:t>, así como la asignación de los mismo y la forma de mitigarlos</w:t>
            </w:r>
            <w:r w:rsidRPr="00364005">
              <w:rPr>
                <w:rFonts w:ascii="Verdana" w:hAnsi="Verdana" w:cs="Arial"/>
                <w:lang w:val="es-ES" w:eastAsia="es-CO"/>
              </w:rPr>
              <w:t>.</w:t>
            </w:r>
          </w:p>
          <w:p w14:paraId="6399A15E" w14:textId="77777777" w:rsidR="00936B0C" w:rsidRDefault="00936B0C" w:rsidP="008D2F4E">
            <w:pPr>
              <w:spacing w:after="120" w:line="276" w:lineRule="auto"/>
              <w:ind w:firstLine="737"/>
              <w:jc w:val="both"/>
              <w:rPr>
                <w:rFonts w:ascii="Verdana" w:eastAsia="Times New Roman" w:hAnsi="Verdana" w:cs="Arial"/>
                <w:color w:val="000000"/>
                <w:lang w:val="es-ES_tradnl" w:eastAsia="es-ES_tradnl"/>
              </w:rPr>
            </w:pPr>
            <w:r w:rsidRPr="00B61739">
              <w:rPr>
                <w:rFonts w:ascii="Verdana" w:eastAsia="Times New Roman" w:hAnsi="Verdana" w:cs="Arial"/>
                <w:i/>
                <w:iCs/>
                <w:color w:val="000000"/>
                <w:lang w:val="es-ES_tradnl" w:eastAsia="es-ES_tradnl"/>
              </w:rPr>
              <w:t>Por otra parte</w:t>
            </w:r>
            <w:r>
              <w:rPr>
                <w:rFonts w:ascii="Verdana" w:eastAsia="Times New Roman" w:hAnsi="Verdana" w:cs="Arial"/>
                <w:color w:val="000000"/>
                <w:lang w:val="es-ES_tradnl" w:eastAsia="es-ES_tradnl"/>
              </w:rPr>
              <w:t xml:space="preserve">, </w:t>
            </w:r>
            <w:r w:rsidRPr="00301910">
              <w:rPr>
                <w:rFonts w:ascii="Verdana" w:eastAsia="Times New Roman" w:hAnsi="Verdana" w:cs="Arial"/>
                <w:color w:val="000000"/>
                <w:lang w:val="es-ES_tradnl" w:eastAsia="es-ES_tradnl"/>
              </w:rPr>
              <w:t>el AIU hace parte del precio de los contratos cuando se ha pactado esta metodología de cálculo de los costos indirectos, que resulta más común, sobre todo, en los contratos de tracto sucesivo, como los de obra pública a precios unitarios.</w:t>
            </w:r>
            <w:r>
              <w:rPr>
                <w:rFonts w:ascii="Verdana" w:eastAsia="Times New Roman" w:hAnsi="Verdana" w:cs="Arial"/>
                <w:color w:val="000000"/>
                <w:lang w:val="es-ES_tradnl" w:eastAsia="es-ES_tradnl"/>
              </w:rPr>
              <w:t xml:space="preserve"> Al ser </w:t>
            </w:r>
            <w:r w:rsidRPr="00301910">
              <w:rPr>
                <w:rFonts w:ascii="Verdana" w:eastAsia="Times New Roman" w:hAnsi="Verdana" w:cs="Arial"/>
                <w:color w:val="000000"/>
                <w:lang w:val="es-ES_tradnl" w:eastAsia="es-ES_tradnl"/>
              </w:rPr>
              <w:t xml:space="preserve">un elemento que integra el precio que se paga al contratista, este goza, en principio, de libertad en la </w:t>
            </w:r>
            <w:r>
              <w:rPr>
                <w:rFonts w:ascii="Verdana" w:eastAsia="Times New Roman" w:hAnsi="Verdana" w:cs="Arial"/>
                <w:color w:val="000000"/>
                <w:lang w:val="es-ES_tradnl" w:eastAsia="es-ES_tradnl"/>
              </w:rPr>
              <w:t>fijación de sus componentes</w:t>
            </w:r>
            <w:r w:rsidRPr="00301910">
              <w:rPr>
                <w:rFonts w:ascii="Verdana" w:eastAsia="Times New Roman" w:hAnsi="Verdana" w:cs="Arial"/>
                <w:color w:val="000000"/>
                <w:lang w:val="es-ES_tradnl" w:eastAsia="es-ES_tradnl"/>
              </w:rPr>
              <w:t>, salvo que las partes hayan acordado una metodología especial en el contrato, que le imponga al contratista algunas restricciones, en virtud de la autonomía de la voluntad.</w:t>
            </w:r>
          </w:p>
          <w:p w14:paraId="17D08D0F" w14:textId="77777777" w:rsidR="00936B0C" w:rsidRDefault="00936B0C" w:rsidP="008D2F4E">
            <w:pPr>
              <w:spacing w:before="12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w:t>
            </w:r>
            <w:r w:rsidRPr="00494109">
              <w:rPr>
                <w:rFonts w:ascii="Verdana" w:hAnsi="Verdana" w:cs="Arial"/>
                <w:lang w:val="es-ES" w:eastAsia="es-ES"/>
              </w:rPr>
              <w:lastRenderedPageBreak/>
              <w:t xml:space="preserve">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w:t>
            </w:r>
            <w:proofErr w:type="spellStart"/>
            <w:r w:rsidRPr="00BB09DB">
              <w:rPr>
                <w:rFonts w:ascii="Verdana" w:hAnsi="Verdana" w:cs="Arial"/>
                <w:lang w:val="es-ES" w:eastAsia="es-ES"/>
              </w:rPr>
              <w:t>experticios</w:t>
            </w:r>
            <w:proofErr w:type="spellEnd"/>
            <w:r w:rsidRPr="00BB09DB">
              <w:rPr>
                <w:rFonts w:ascii="Verdana" w:hAnsi="Verdana" w:cs="Arial"/>
                <w:lang w:val="es-ES" w:eastAsia="es-ES"/>
              </w:rPr>
              <w:t xml:space="preserve"> técnicos necesarios para evaluar una tarea o trabajo no previsto; la reparación de maquinaria; el alquiler de equipos que no se habían contemplado</w:t>
            </w:r>
            <w:r>
              <w:rPr>
                <w:rFonts w:ascii="Verdana" w:hAnsi="Verdana" w:cs="Arial"/>
                <w:lang w:val="es-ES" w:eastAsia="es-ES"/>
              </w:rPr>
              <w:t>, entre otros […]”.</w:t>
            </w:r>
          </w:p>
          <w:p w14:paraId="36C0403B" w14:textId="77777777" w:rsidR="00936B0C" w:rsidRPr="00503CCA" w:rsidRDefault="00936B0C" w:rsidP="008D2F4E">
            <w:pPr>
              <w:spacing w:before="120" w:after="120" w:line="276" w:lineRule="auto"/>
              <w:ind w:firstLine="709"/>
              <w:jc w:val="both"/>
              <w:rPr>
                <w:rFonts w:ascii="Verdana" w:hAnsi="Verdana" w:cs="Arial"/>
                <w:lang w:val="es-ES" w:eastAsia="es-ES"/>
              </w:rPr>
            </w:pPr>
            <w:r>
              <w:rPr>
                <w:rFonts w:ascii="Verdana" w:hAnsi="Verdana" w:cs="Arial"/>
                <w:lang w:val="es-ES" w:eastAsia="es-ES"/>
              </w:rPr>
              <w:t xml:space="preserve">Estos imprevistos son diferentes a las situaciones que corresponden a </w:t>
            </w:r>
            <w:r w:rsidRPr="00312E69">
              <w:rPr>
                <w:rFonts w:ascii="Verdana" w:hAnsi="Verdana" w:cs="Arial"/>
                <w:lang w:val="es-ES" w:eastAsia="es-ES"/>
              </w:rPr>
              <w:t xml:space="preserve">contingencias extraordinarias, imprevisibles y no controlables por las partes </w:t>
            </w:r>
            <w:r>
              <w:rPr>
                <w:rFonts w:ascii="Verdana" w:hAnsi="Verdana" w:cs="Arial"/>
                <w:lang w:val="es-ES" w:eastAsia="es-ES"/>
              </w:rPr>
              <w:t>–</w:t>
            </w:r>
            <w:r w:rsidRPr="00312E69">
              <w:rPr>
                <w:rFonts w:ascii="Verdana" w:hAnsi="Verdana" w:cs="Arial"/>
                <w:lang w:val="es-ES" w:eastAsia="es-ES"/>
              </w:rPr>
              <w:t xml:space="preserve">como </w:t>
            </w:r>
            <w:r>
              <w:rPr>
                <w:rFonts w:ascii="Verdana" w:hAnsi="Verdana" w:cs="Arial"/>
                <w:lang w:val="es-ES" w:eastAsia="es-ES"/>
              </w:rPr>
              <w:t xml:space="preserve">los </w:t>
            </w:r>
            <w:r w:rsidRPr="00312E69">
              <w:rPr>
                <w:rFonts w:ascii="Verdana" w:hAnsi="Verdana" w:cs="Arial"/>
                <w:lang w:val="es-ES" w:eastAsia="es-ES"/>
              </w:rPr>
              <w:t>desastres naturales</w:t>
            </w:r>
            <w:r>
              <w:rPr>
                <w:rFonts w:ascii="Verdana" w:hAnsi="Verdana" w:cs="Arial"/>
                <w:lang w:val="es-ES" w:eastAsia="es-ES"/>
              </w:rPr>
              <w:t>, por ejemplo–</w:t>
            </w:r>
            <w:r w:rsidRPr="00312E69">
              <w:rPr>
                <w:rFonts w:ascii="Verdana" w:hAnsi="Verdana" w:cs="Arial"/>
                <w:lang w:val="es-ES" w:eastAsia="es-ES"/>
              </w:rPr>
              <w:t xml:space="preserve"> que generan un impacto grave y exceden la ejecución ordinaria del contrato</w:t>
            </w:r>
            <w:r>
              <w:rPr>
                <w:rFonts w:ascii="Verdana" w:hAnsi="Verdana" w:cs="Arial"/>
                <w:lang w:val="es-ES" w:eastAsia="es-ES"/>
              </w:rPr>
              <w:t>. Es decir, “[…] l</w:t>
            </w:r>
            <w:r w:rsidRPr="00FD66F1">
              <w:rPr>
                <w:rFonts w:ascii="Verdana" w:hAnsi="Verdana" w:cs="Arial"/>
                <w:lang w:val="es-ES" w:eastAsia="es-ES"/>
              </w:rPr>
              <w:t xml:space="preserve">a I como parte del precio no debe confundirse con los riesgos del contrato que conducen al desequilibrio financiero, porque mientras aquélla se refiere a la parte de los gastos extraordinarios que se presentan en el día a día de una obra, pero que son </w:t>
            </w:r>
            <w:r>
              <w:rPr>
                <w:rFonts w:ascii="Verdana" w:hAnsi="Verdana" w:cs="Arial"/>
                <w:lang w:val="es-ES" w:eastAsia="es-ES"/>
              </w:rPr>
              <w:t>‘</w:t>
            </w:r>
            <w:r w:rsidRPr="00FD66F1">
              <w:rPr>
                <w:rFonts w:ascii="Verdana" w:hAnsi="Verdana" w:cs="Arial"/>
                <w:lang w:val="es-ES" w:eastAsia="es-ES"/>
              </w:rPr>
              <w:t>normales</w:t>
            </w:r>
            <w:r>
              <w:rPr>
                <w:rFonts w:ascii="Verdana" w:hAnsi="Verdana" w:cs="Arial"/>
                <w:lang w:val="es-ES" w:eastAsia="es-ES"/>
              </w:rPr>
              <w:t>’</w:t>
            </w:r>
            <w:r w:rsidRPr="00FD66F1">
              <w:rPr>
                <w:rFonts w:ascii="Verdana" w:hAnsi="Verdana" w:cs="Arial"/>
                <w:lang w:val="es-ES" w:eastAsia="es-ES"/>
              </w:rPr>
              <w:t xml:space="preserve"> en su desarrollo; éstos aluden a las contingencias que exceden la ejecución ordinaria del contrato y la capacidad de soportarlas</w:t>
            </w:r>
            <w:r>
              <w:rPr>
                <w:rFonts w:ascii="Verdana" w:hAnsi="Verdana" w:cs="Arial"/>
                <w:lang w:val="es-ES" w:eastAsia="es-ES"/>
              </w:rPr>
              <w:t xml:space="preserve"> […]”. M</w:t>
            </w:r>
            <w:r w:rsidRPr="00FD66F1">
              <w:rPr>
                <w:rFonts w:ascii="Verdana" w:hAnsi="Verdana" w:cs="Arial"/>
                <w:lang w:val="es-ES" w:eastAsia="es-ES"/>
              </w:rPr>
              <w:t xml:space="preserve">ientras los primeros integran el precio y forman parte del riesgo normal asumido por el contratista, los segundos pueden dar lugar </w:t>
            </w:r>
            <w:r>
              <w:rPr>
                <w:rFonts w:ascii="Verdana" w:hAnsi="Verdana" w:cs="Arial"/>
                <w:lang w:val="es-ES" w:eastAsia="es-ES"/>
              </w:rPr>
              <w:t>restablecimiento de la ecuación económica</w:t>
            </w:r>
            <w:r w:rsidRPr="00FD66F1">
              <w:rPr>
                <w:rFonts w:ascii="Verdana" w:hAnsi="Verdana" w:cs="Arial"/>
                <w:lang w:val="es-ES" w:eastAsia="es-ES"/>
              </w:rPr>
              <w:t>, ya que su asignación no siempre es clara y puede requerir decisión judicial para determinar quién debe asumir su costo.</w:t>
            </w:r>
            <w:r>
              <w:rPr>
                <w:rFonts w:ascii="Verdana" w:hAnsi="Verdana" w:cs="Arial"/>
                <w:lang w:val="es-ES" w:eastAsia="es-ES"/>
              </w:rPr>
              <w:t xml:space="preserve"> </w:t>
            </w:r>
          </w:p>
          <w:p w14:paraId="086CF1BA" w14:textId="77777777" w:rsidR="00936B0C" w:rsidRDefault="00936B0C" w:rsidP="008D2F4E">
            <w:pPr>
              <w:spacing w:after="120" w:line="276" w:lineRule="auto"/>
              <w:ind w:firstLine="731"/>
              <w:jc w:val="both"/>
              <w:rPr>
                <w:rFonts w:ascii="Verdana" w:eastAsia="Arial" w:hAnsi="Verdana" w:cs="Arial"/>
                <w:color w:val="000000"/>
              </w:rPr>
            </w:pP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56821B53" w14:textId="77777777" w:rsidR="00936B0C" w:rsidRDefault="00936B0C" w:rsidP="008D2F4E">
            <w:pPr>
              <w:spacing w:after="120" w:line="276" w:lineRule="auto"/>
              <w:ind w:right="51" w:firstLine="737"/>
              <w:jc w:val="both"/>
              <w:rPr>
                <w:rFonts w:ascii="Verdana" w:eastAsia="Arial" w:hAnsi="Verdana" w:cs="Arial"/>
                <w:color w:val="000000" w:themeColor="text1"/>
                <w:lang w:eastAsia="es-ES" w:bidi="es-ES"/>
              </w:rPr>
            </w:pPr>
            <w:r>
              <w:rPr>
                <w:rFonts w:ascii="Verdana" w:eastAsia="Arial" w:hAnsi="Verdana" w:cs="Arial"/>
                <w:i/>
                <w:iCs/>
                <w:color w:val="000000"/>
              </w:rPr>
              <w:t>Finalmente</w:t>
            </w:r>
            <w:r>
              <w:rPr>
                <w:rFonts w:ascii="Verdana" w:eastAsia="Arial" w:hAnsi="Verdana" w:cs="Arial"/>
                <w:color w:val="000000"/>
              </w:rPr>
              <w:t xml:space="preserve">, </w:t>
            </w:r>
            <w:r>
              <w:rPr>
                <w:rFonts w:ascii="Verdana" w:eastAsia="Calibri" w:hAnsi="Verdana" w:cs="Arial"/>
                <w:bCs/>
                <w:color w:val="000000" w:themeColor="text1"/>
              </w:rPr>
              <w:t>p</w:t>
            </w:r>
            <w:r>
              <w:rPr>
                <w:rFonts w:ascii="Verdana" w:eastAsia="Arial" w:hAnsi="Verdana" w:cs="Arial"/>
                <w:color w:val="000000" w:themeColor="text1"/>
                <w:lang w:eastAsia="es-ES" w:bidi="es-ES"/>
              </w:rPr>
              <w:t xml:space="preserve">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585F262D" w14:textId="77777777" w:rsidR="00936B0C" w:rsidRDefault="00936B0C" w:rsidP="008D2F4E">
            <w:pPr>
              <w:widowControl w:val="0"/>
              <w:autoSpaceDE w:val="0"/>
              <w:autoSpaceDN w:val="0"/>
              <w:spacing w:before="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w:t>
            </w:r>
            <w:r w:rsidRPr="00E97A27">
              <w:rPr>
                <w:rFonts w:ascii="Verdana" w:eastAsia="Arial" w:hAnsi="Verdana" w:cs="Arial"/>
                <w:color w:val="000000" w:themeColor="text1"/>
                <w:lang w:val="es-ES" w:eastAsia="es-ES" w:bidi="es-ES"/>
              </w:rPr>
              <w:lastRenderedPageBreak/>
              <w:t xml:space="preserve">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De acuerdo con la jurisprudencia:</w:t>
            </w:r>
          </w:p>
          <w:p w14:paraId="5548832F" w14:textId="77777777" w:rsidR="00936B0C" w:rsidRDefault="00936B0C" w:rsidP="008D2F4E">
            <w:pPr>
              <w:widowControl w:val="0"/>
              <w:autoSpaceDE w:val="0"/>
              <w:autoSpaceDN w:val="0"/>
              <w:spacing w:line="276" w:lineRule="auto"/>
              <w:ind w:firstLine="709"/>
              <w:jc w:val="both"/>
              <w:rPr>
                <w:rFonts w:ascii="Verdana" w:eastAsia="Arial" w:hAnsi="Verdana" w:cs="Arial"/>
                <w:color w:val="000000" w:themeColor="text1"/>
                <w:lang w:val="es-ES" w:eastAsia="es-ES" w:bidi="es-ES"/>
              </w:rPr>
            </w:pPr>
          </w:p>
          <w:p w14:paraId="59DD7F0F" w14:textId="77777777" w:rsidR="00936B0C" w:rsidRPr="000E4887" w:rsidRDefault="00936B0C" w:rsidP="008D2F4E">
            <w:pPr>
              <w:widowControl w:val="0"/>
              <w:autoSpaceDE w:val="0"/>
              <w:autoSpaceDN w:val="0"/>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21604C40" w14:textId="77777777" w:rsidR="00936B0C" w:rsidRDefault="00936B0C" w:rsidP="008D2F4E">
            <w:pPr>
              <w:widowControl w:val="0"/>
              <w:autoSpaceDE w:val="0"/>
              <w:autoSpaceDN w:val="0"/>
              <w:spacing w:before="120"/>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p>
          <w:p w14:paraId="0659F903" w14:textId="77777777" w:rsidR="00936B0C" w:rsidRPr="00F74AF6" w:rsidRDefault="00936B0C" w:rsidP="008D2F4E">
            <w:pPr>
              <w:spacing w:line="276" w:lineRule="auto"/>
              <w:ind w:right="51"/>
              <w:jc w:val="both"/>
              <w:rPr>
                <w:rFonts w:ascii="Verdana" w:eastAsia="Arial" w:hAnsi="Verdana" w:cs="Arial"/>
                <w:color w:val="000000" w:themeColor="text1"/>
                <w:lang w:val="es-ES" w:eastAsia="es-ES" w:bidi="es-ES"/>
              </w:rPr>
            </w:pPr>
          </w:p>
          <w:p w14:paraId="44B29FB0" w14:textId="55F019F1" w:rsidR="00936B0C" w:rsidRPr="00324083" w:rsidRDefault="00B12B54" w:rsidP="008D2F4E">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Ahora bien, </w:t>
            </w:r>
            <w:r w:rsidR="002370FD">
              <w:rPr>
                <w:rFonts w:ascii="Verdana" w:eastAsia="Times New Roman" w:hAnsi="Verdana" w:cs="Arial"/>
                <w:color w:val="000000"/>
                <w:bdr w:val="none" w:sz="0" w:space="0" w:color="auto" w:frame="1"/>
                <w:shd w:val="clear" w:color="auto" w:fill="FFFFFF"/>
                <w:lang w:eastAsia="es-ES_tradnl"/>
              </w:rPr>
              <w:t>c</w:t>
            </w:r>
            <w:proofErr w:type="spellStart"/>
            <w:r w:rsidR="00936B0C" w:rsidRPr="00E97A27">
              <w:rPr>
                <w:rFonts w:ascii="Verdana" w:eastAsia="Arial" w:hAnsi="Verdana" w:cs="Arial"/>
                <w:color w:val="000000" w:themeColor="text1"/>
                <w:lang w:val="es-ES" w:eastAsia="es-ES" w:bidi="es-ES"/>
              </w:rPr>
              <w:t>uando</w:t>
            </w:r>
            <w:proofErr w:type="spellEnd"/>
            <w:r w:rsidR="00936B0C" w:rsidRPr="00E97A27">
              <w:rPr>
                <w:rFonts w:ascii="Verdana" w:eastAsia="Arial" w:hAnsi="Verdana" w:cs="Arial"/>
                <w:color w:val="000000" w:themeColor="text1"/>
                <w:lang w:val="es-ES" w:eastAsia="es-ES" w:bidi="es-ES"/>
              </w:rPr>
              <w:t xml:space="preserve">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w:t>
            </w:r>
            <w:r w:rsidR="00936B0C">
              <w:rPr>
                <w:rFonts w:ascii="Verdana" w:eastAsia="Arial" w:hAnsi="Verdana" w:cs="Arial"/>
                <w:color w:val="000000" w:themeColor="text1"/>
                <w:lang w:val="es-ES" w:eastAsia="es-ES" w:bidi="es-ES"/>
              </w:rPr>
              <w:t xml:space="preserve"> </w:t>
            </w:r>
            <w:r w:rsidR="00936B0C" w:rsidRPr="00E97A27">
              <w:rPr>
                <w:rFonts w:ascii="Verdana" w:eastAsia="Arial" w:hAnsi="Verdana" w:cs="Arial"/>
                <w:color w:val="000000" w:themeColor="text1"/>
                <w:lang w:val="es-ES" w:eastAsia="es-ES" w:bidi="es-ES"/>
              </w:rPr>
              <w:t xml:space="preserve">Estas medidas podrán materializarse a través de los distintos acuerdos que suscriban las partes como prórrogas, adiciones, </w:t>
            </w:r>
            <w:r w:rsidR="00936B0C" w:rsidRPr="00E97A27">
              <w:rPr>
                <w:rFonts w:ascii="Verdana" w:eastAsia="Arial" w:hAnsi="Verdana" w:cs="Arial"/>
                <w:color w:val="000000" w:themeColor="text1"/>
                <w:lang w:val="es-ES" w:eastAsia="es-ES" w:bidi="es-ES"/>
              </w:rPr>
              <w:lastRenderedPageBreak/>
              <w:t>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13A4F43D" w14:textId="77777777" w:rsidR="00936B0C" w:rsidRPr="00850F19" w:rsidRDefault="00936B0C" w:rsidP="008D2F4E">
            <w:pPr>
              <w:spacing w:after="120" w:line="276" w:lineRule="auto"/>
              <w:ind w:firstLine="731"/>
              <w:jc w:val="both"/>
              <w:rPr>
                <w:rFonts w:ascii="Verdana" w:eastAsia="Arial" w:hAnsi="Verdana" w:cs="Arial"/>
                <w:color w:val="000000"/>
              </w:rPr>
            </w:pPr>
            <w:r>
              <w:rPr>
                <w:rFonts w:ascii="Verdana" w:eastAsia="Times New Roman" w:hAnsi="Verdana" w:cs="Arial"/>
                <w:color w:val="000000"/>
                <w:bdr w:val="none" w:sz="0" w:space="0" w:color="auto" w:frame="1"/>
                <w:shd w:val="clear" w:color="auto" w:fill="FFFFFF"/>
                <w:lang w:eastAsia="es-ES_tradnl"/>
              </w:rPr>
              <w:t xml:space="preserve">Por lo demás,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w:t>
            </w:r>
          </w:p>
          <w:p w14:paraId="3A3A7EB5" w14:textId="77777777" w:rsidR="00936B0C" w:rsidRPr="001941FD" w:rsidRDefault="00936B0C" w:rsidP="008D2F4E">
            <w:pPr>
              <w:spacing w:line="276" w:lineRule="auto"/>
              <w:ind w:right="51" w:firstLine="737"/>
              <w:jc w:val="both"/>
              <w:rPr>
                <w:rFonts w:ascii="Verdana" w:eastAsia="Calibri" w:hAnsi="Verdana" w:cs="Arial"/>
                <w:bCs/>
                <w:color w:val="000000" w:themeColor="text1"/>
              </w:rPr>
            </w:pPr>
            <w:r w:rsidRPr="00F740F0">
              <w:rPr>
                <w:rStyle w:val="s15"/>
                <w:rFonts w:ascii="Verdana" w:hAnsi="Verdana"/>
                <w:color w:val="000000"/>
              </w:rPr>
              <w:t>Al margen de la explicación precedente</w:t>
            </w:r>
            <w:r>
              <w:rPr>
                <w:rStyle w:val="s15"/>
                <w:rFonts w:ascii="Verdana" w:hAnsi="Verdana"/>
                <w:color w:val="000000"/>
              </w:rPr>
              <w:t>,</w:t>
            </w:r>
            <w:r w:rsidRPr="00F740F0">
              <w:rPr>
                <w:rStyle w:val="s15"/>
                <w:rFonts w:ascii="Verdana" w:hAnsi="Verdana"/>
                <w:color w:val="000000"/>
              </w:rPr>
              <w:t xml:space="preserv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007D0A">
              <w:rPr>
                <w:rStyle w:val="s15"/>
                <w:rFonts w:ascii="Verdana" w:hAnsi="Verdana"/>
                <w:color w:val="000000"/>
              </w:rPr>
              <w:t xml:space="preserve">. </w:t>
            </w:r>
            <w:r w:rsidRPr="001A39AD">
              <w:rPr>
                <w:rFonts w:ascii="Verdana" w:hAnsi="Verdana"/>
                <w:bCs/>
                <w:color w:val="000000"/>
              </w:rPr>
              <w:t>Por lo anterior, previo concepto de sus asesores, corresponde a las partes del contrato definir tanto la procedencia de los ajustes contractuales frente a la actualización del salario mínimo legal mensual vigente como la forma de viabilizarlo jurídicamente; motivo por el cual, en caso de conflicto, intervendrán las autoridades judiciales, fiscales y disciplinarias</w:t>
            </w:r>
            <w:r w:rsidRPr="00007D0A">
              <w:rPr>
                <w:rStyle w:val="s15"/>
                <w:rFonts w:ascii="Verdana" w:hAnsi="Verdana"/>
                <w:color w:val="000000"/>
              </w:rPr>
              <w:t>. Así, cada entidad definirá la forma de adelantar su gestión contractual, sin que sea atribución de Colombia Compra Eficiente validar sus actuaciones.</w:t>
            </w:r>
          </w:p>
        </w:tc>
      </w:tr>
    </w:tbl>
    <w:p w14:paraId="51EAEC5F" w14:textId="77777777" w:rsidR="00936B0C" w:rsidRPr="00593A5F" w:rsidRDefault="00936B0C" w:rsidP="00936B0C">
      <w:pPr>
        <w:tabs>
          <w:tab w:val="left" w:pos="142"/>
          <w:tab w:val="left" w:pos="284"/>
        </w:tabs>
        <w:spacing w:after="0" w:line="276" w:lineRule="auto"/>
        <w:jc w:val="both"/>
        <w:rPr>
          <w:rFonts w:ascii="Verdana" w:eastAsia="Century Gothic" w:hAnsi="Verdana" w:cs="Century Gothic"/>
          <w:b/>
          <w:bCs/>
          <w:lang w:val="es-ES"/>
        </w:rPr>
      </w:pPr>
    </w:p>
    <w:bookmarkEnd w:id="1"/>
    <w:p w14:paraId="3C7AD619" w14:textId="77777777" w:rsidR="00936B0C" w:rsidRPr="00593A5F" w:rsidRDefault="00936B0C" w:rsidP="00936B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F7451E6" w14:textId="77777777" w:rsidR="00936B0C" w:rsidRPr="00593A5F" w:rsidRDefault="00936B0C" w:rsidP="00936B0C">
      <w:pPr>
        <w:spacing w:after="0" w:line="276" w:lineRule="auto"/>
        <w:jc w:val="both"/>
        <w:rPr>
          <w:rFonts w:ascii="Verdana" w:eastAsia="Calibri" w:hAnsi="Verdana" w:cs="Arial"/>
          <w:color w:val="7030A0"/>
          <w:lang w:val="es-ES"/>
        </w:rPr>
      </w:pPr>
    </w:p>
    <w:p w14:paraId="3C76D612" w14:textId="77777777" w:rsidR="00936B0C" w:rsidRDefault="00936B0C" w:rsidP="00936B0C">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5FF517F" w14:textId="77777777" w:rsidR="00936B0C" w:rsidRPr="00415608" w:rsidRDefault="00936B0C" w:rsidP="00936B0C">
      <w:pPr>
        <w:spacing w:after="0" w:line="276" w:lineRule="auto"/>
        <w:jc w:val="both"/>
        <w:rPr>
          <w:rFonts w:ascii="Verdana" w:eastAsia="Calibri" w:hAnsi="Verdana" w:cs="Arial"/>
          <w:lang w:val="es-ES"/>
        </w:rPr>
      </w:pPr>
    </w:p>
    <w:p w14:paraId="1EE650A0" w14:textId="77777777" w:rsidR="00936B0C" w:rsidRPr="00364005" w:rsidRDefault="00936B0C" w:rsidP="00936B0C">
      <w:pPr>
        <w:spacing w:after="120" w:line="276" w:lineRule="auto"/>
        <w:jc w:val="both"/>
        <w:textAlignment w:val="baseline"/>
        <w:rPr>
          <w:rFonts w:ascii="Verdana" w:hAnsi="Verdana" w:cs="Arial"/>
          <w:lang w:val="es-ES" w:eastAsia="es-CO"/>
        </w:rPr>
      </w:pPr>
      <w:r w:rsidRPr="00364005">
        <w:rPr>
          <w:rFonts w:ascii="Verdana" w:hAnsi="Verdana" w:cs="Arial"/>
          <w:lang w:val="es-ES" w:eastAsia="es-ES"/>
        </w:rPr>
        <w:t xml:space="preserve">i. </w:t>
      </w:r>
      <w:r w:rsidRPr="00364005">
        <w:rPr>
          <w:rFonts w:ascii="Verdana" w:hAnsi="Verdana" w:cs="Arial"/>
          <w:lang w:val="es-ES" w:eastAsia="es-CO"/>
        </w:rPr>
        <w:t xml:space="preserve">La Real Academia de la Lengua Española – RAE define el riesgo como “1. m. Contingencia o proximidad de un daño. 2. m. Cada una de las contingencias que pueden ser objeto de un contrato de seguro”. La literatura internacional define el riesgo en las adquisiciones como los eventos que pueden afectar la realización </w:t>
      </w:r>
      <w:r w:rsidRPr="00364005">
        <w:rPr>
          <w:rFonts w:ascii="Verdana" w:hAnsi="Verdana" w:cs="Arial"/>
          <w:lang w:val="es-ES" w:eastAsia="es-CO"/>
        </w:rPr>
        <w:lastRenderedPageBreak/>
        <w:t>de la ejecución contractual y cuya ocurrencia no puede ser predicha de manera exacta por las partes involucradas en el Proceso de Contratación</w:t>
      </w:r>
      <w:r w:rsidRPr="00364005">
        <w:rPr>
          <w:rStyle w:val="Refdenotaalpie"/>
          <w:rFonts w:ascii="Verdana" w:hAnsi="Verdana" w:cs="Arial"/>
          <w:lang w:val="es-ES" w:eastAsia="es-CO"/>
        </w:rPr>
        <w:footnoteReference w:id="1"/>
      </w:r>
      <w:r w:rsidRPr="00364005">
        <w:rPr>
          <w:rFonts w:ascii="Verdana" w:hAnsi="Verdana" w:cs="Arial"/>
          <w:lang w:val="es-ES" w:eastAsia="es-CO"/>
        </w:rPr>
        <w:t>.</w:t>
      </w:r>
    </w:p>
    <w:p w14:paraId="04AFDBA7" w14:textId="77777777" w:rsidR="00936B0C" w:rsidRDefault="00936B0C" w:rsidP="00936B0C">
      <w:pPr>
        <w:spacing w:line="276" w:lineRule="auto"/>
        <w:ind w:firstLine="708"/>
        <w:jc w:val="both"/>
        <w:textAlignment w:val="baseline"/>
        <w:rPr>
          <w:rFonts w:ascii="Verdana" w:hAnsi="Verdana" w:cs="Arial"/>
          <w:lang w:val="es-ES" w:eastAsia="es-CO"/>
        </w:rPr>
      </w:pPr>
      <w:r w:rsidRPr="00364005">
        <w:rPr>
          <w:rFonts w:ascii="Verdana" w:hAnsi="Verdana" w:cs="Arial"/>
          <w:lang w:val="es-ES" w:eastAsia="es-CO"/>
        </w:rPr>
        <w:t>Tratándose de la normativa que regula lo relativo a los riesgos, el Decreto 423 de 2001</w:t>
      </w:r>
      <w:r>
        <w:rPr>
          <w:rFonts w:ascii="Verdana" w:hAnsi="Verdana" w:cs="Arial"/>
          <w:lang w:val="es-ES" w:eastAsia="es-CO"/>
        </w:rPr>
        <w:t>,</w:t>
      </w:r>
      <w:r w:rsidRPr="00364005">
        <w:rPr>
          <w:rFonts w:ascii="Verdana" w:hAnsi="Verdana" w:cs="Arial"/>
          <w:lang w:val="es-ES" w:eastAsia="es-CO"/>
        </w:rPr>
        <w:t xml:space="preserve"> por medio del cual se reglamentó parcialmente la Ley 488 de 1998 –compilado actualmente en el Decreto 1068 de 2015–</w:t>
      </w:r>
      <w:r>
        <w:rPr>
          <w:rFonts w:ascii="Verdana" w:hAnsi="Verdana" w:cs="Arial"/>
          <w:lang w:val="es-ES" w:eastAsia="es-CO"/>
        </w:rPr>
        <w:t>,</w:t>
      </w:r>
      <w:r w:rsidRPr="00364005">
        <w:rPr>
          <w:rFonts w:ascii="Verdana" w:hAnsi="Verdana" w:cs="Arial"/>
          <w:lang w:val="es-ES" w:eastAsia="es-CO"/>
        </w:rPr>
        <w:t xml:space="preserve"> estableció que el Consejo de Política Económica y Social orientaría la política de riesgo contractual del Estado a partir del principio en relación con el cual corresponde a las entidades estatales asumir los riesgos propios de su carácter público y del objeto social para el que fueron creadas o autorizadas, y a los contratistas aquellos relacionados con su objeto. Los artículos 14 y 15 del mencionado Decreto establecen:</w:t>
      </w:r>
    </w:p>
    <w:p w14:paraId="698A3AC1" w14:textId="77777777" w:rsidR="00936B0C" w:rsidRPr="00364005" w:rsidRDefault="00936B0C" w:rsidP="00936B0C">
      <w:pPr>
        <w:spacing w:after="0" w:line="276" w:lineRule="auto"/>
        <w:ind w:firstLine="708"/>
        <w:jc w:val="both"/>
        <w:textAlignment w:val="baseline"/>
        <w:rPr>
          <w:rFonts w:ascii="Verdana" w:hAnsi="Verdana" w:cs="Arial"/>
          <w:lang w:val="es-ES" w:eastAsia="es-CO"/>
        </w:rPr>
      </w:pPr>
    </w:p>
    <w:p w14:paraId="76FCFAF1" w14:textId="77777777" w:rsidR="00936B0C" w:rsidRPr="00364005" w:rsidRDefault="00936B0C" w:rsidP="00936B0C">
      <w:pPr>
        <w:pStyle w:val="NormalWeb"/>
        <w:shd w:val="clear" w:color="auto" w:fill="FFFFFF"/>
        <w:spacing w:before="0" w:beforeAutospacing="0" w:after="120" w:afterAutospacing="0"/>
        <w:ind w:left="709" w:right="709"/>
        <w:jc w:val="both"/>
        <w:rPr>
          <w:rFonts w:ascii="Verdana" w:hAnsi="Verdana" w:cs="Arial"/>
          <w:sz w:val="20"/>
          <w:szCs w:val="20"/>
        </w:rPr>
      </w:pPr>
      <w:r w:rsidRPr="00364005">
        <w:rPr>
          <w:rFonts w:ascii="Verdana" w:hAnsi="Verdana" w:cs="Arial"/>
          <w:sz w:val="20"/>
          <w:szCs w:val="20"/>
        </w:rPr>
        <w:t>“Artículo 15. De la política de riesgo contractual del Estado. Las entidades estatales sometidas al régimen aquí previsto, deberán ajustarse a la política de riesgo contractual del Estado, conformada por los principios, pautas e instrucciones que determine el Gobierno Nacional, para la estipulación de obligaciones contingentes a su cargo.</w:t>
      </w:r>
    </w:p>
    <w:p w14:paraId="6233E0EA" w14:textId="77777777" w:rsidR="00936B0C" w:rsidRPr="00364005" w:rsidRDefault="00936B0C" w:rsidP="00936B0C">
      <w:pPr>
        <w:pStyle w:val="NormalWeb"/>
        <w:shd w:val="clear" w:color="auto" w:fill="FFFFFF"/>
        <w:spacing w:before="0" w:beforeAutospacing="0" w:after="0" w:afterAutospacing="0"/>
        <w:ind w:left="709" w:right="709"/>
        <w:jc w:val="both"/>
        <w:rPr>
          <w:rFonts w:ascii="Verdana" w:hAnsi="Verdana" w:cs="Arial"/>
          <w:sz w:val="20"/>
          <w:szCs w:val="20"/>
        </w:rPr>
      </w:pPr>
      <w:r w:rsidRPr="00364005">
        <w:rPr>
          <w:rFonts w:ascii="Verdana" w:hAnsi="Verdana" w:cs="Arial"/>
          <w:sz w:val="20"/>
          <w:szCs w:val="20"/>
        </w:rPr>
        <w:t xml:space="preserve">Artículo 16. Del diseño de la política de riesgo contractual del Estado. El Consejo de Política Económica y Social, </w:t>
      </w:r>
      <w:r>
        <w:rPr>
          <w:rFonts w:ascii="Verdana" w:hAnsi="Verdana" w:cs="Arial"/>
          <w:sz w:val="20"/>
          <w:szCs w:val="20"/>
        </w:rPr>
        <w:t>CONPES</w:t>
      </w:r>
      <w:r w:rsidRPr="00364005">
        <w:rPr>
          <w:rFonts w:ascii="Verdana" w:hAnsi="Verdana" w:cs="Arial"/>
          <w:sz w:val="20"/>
          <w:szCs w:val="20"/>
        </w:rPr>
        <w:t>, orientará la política de riesgo contractual del Estado a partir del principio de que corresponde a las entidades estatales asumir los riesgos propios de su carácter público y del objeto social para el que fueron creadas o autorizadas, y a los contratistas aquéllos determinados por el lucro que constituye el objeto principal de su actividad”.</w:t>
      </w:r>
    </w:p>
    <w:p w14:paraId="7B486A77" w14:textId="77777777" w:rsidR="00936B0C" w:rsidRPr="00364005" w:rsidRDefault="00936B0C" w:rsidP="00936B0C">
      <w:pPr>
        <w:pStyle w:val="NormalWeb"/>
        <w:shd w:val="clear" w:color="auto" w:fill="FFFFFF"/>
        <w:spacing w:before="0" w:beforeAutospacing="0" w:after="0" w:afterAutospacing="0" w:line="276" w:lineRule="auto"/>
        <w:ind w:left="709" w:right="709"/>
        <w:jc w:val="both"/>
        <w:rPr>
          <w:rFonts w:ascii="Verdana" w:hAnsi="Verdana" w:cs="Arial"/>
          <w:sz w:val="22"/>
          <w:szCs w:val="22"/>
        </w:rPr>
      </w:pPr>
    </w:p>
    <w:p w14:paraId="242941EE" w14:textId="77777777" w:rsidR="00936B0C" w:rsidRPr="00364005" w:rsidRDefault="00936B0C" w:rsidP="00936B0C">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Por su parte, la Ley 1150 de 2007 pretendía que durante la planeación de los procesos de contratación las entidades estatales estimaran de forma anticipada las posibles eventualidades que puedan generarse durante la ejecución del contrato. En tal sentido, la exposición de motivos del proyecto de ley, “Por medio de la cual se modifica la Ley 80 de 1993, Estatuto General de Contratación de la Administración Pública”, hoy Ley 1150 de 2007 explicó que:  </w:t>
      </w:r>
    </w:p>
    <w:p w14:paraId="5DD3141C" w14:textId="77777777" w:rsidR="00936B0C" w:rsidRPr="00233727" w:rsidRDefault="00936B0C" w:rsidP="00936B0C">
      <w:pPr>
        <w:spacing w:after="0" w:line="276" w:lineRule="auto"/>
        <w:ind w:firstLine="705"/>
        <w:jc w:val="both"/>
        <w:textAlignment w:val="baseline"/>
        <w:rPr>
          <w:rFonts w:ascii="Verdana" w:hAnsi="Verdana" w:cs="Arial"/>
          <w:lang w:val="es-ES" w:eastAsia="es-CO"/>
        </w:rPr>
      </w:pPr>
    </w:p>
    <w:p w14:paraId="05B76F69" w14:textId="77777777" w:rsidR="00936B0C" w:rsidRPr="00364005" w:rsidRDefault="00936B0C" w:rsidP="00936B0C">
      <w:pPr>
        <w:spacing w:after="0" w:line="240" w:lineRule="auto"/>
        <w:ind w:left="709" w:right="709"/>
        <w:jc w:val="both"/>
        <w:textAlignment w:val="baseline"/>
        <w:rPr>
          <w:rFonts w:ascii="Verdana" w:hAnsi="Verdana" w:cs="Arial"/>
          <w:sz w:val="20"/>
          <w:szCs w:val="20"/>
          <w:lang w:eastAsia="es-CO"/>
        </w:rPr>
      </w:pPr>
      <w:r w:rsidRPr="00364005">
        <w:rPr>
          <w:rFonts w:ascii="Verdana" w:hAnsi="Verdana" w:cs="Arial"/>
          <w:sz w:val="20"/>
          <w:szCs w:val="20"/>
          <w:lang w:eastAsia="es-CO"/>
        </w:rPr>
        <w:t xml:space="preserve">“En ese panorama y no obstante el tamaño e impacto del gasto que se ejecuta por medio de contratos, se aprecia la ausencia de instrumentos legales que permitan la optimización y el uso eficiente de los recursos públicos involucrados en la contratación. De esta forma, el proyecto que </w:t>
      </w:r>
      <w:r w:rsidRPr="00364005">
        <w:rPr>
          <w:rFonts w:ascii="Verdana" w:hAnsi="Verdana" w:cs="Arial"/>
          <w:sz w:val="20"/>
          <w:szCs w:val="20"/>
          <w:lang w:eastAsia="es-CO"/>
        </w:rPr>
        <w:lastRenderedPageBreak/>
        <w:t xml:space="preserve">se presenta busca orientar a las entidades hacia el fortalecimiento de los procesos de planeación permitiendo la estimación anticipada de las contingencias que puedan producirse en su ejecución, el diseño de procesos adecuados a la naturaleza de los diferentes objetos contractuales, la utilización de mecanismos de contratación que permitan el aprovechamiento de economías de escala, la incorporación de probados mecanismos para </w:t>
      </w:r>
      <w:r>
        <w:rPr>
          <w:rFonts w:ascii="Verdana" w:hAnsi="Verdana" w:cs="Arial"/>
          <w:sz w:val="20"/>
          <w:szCs w:val="20"/>
          <w:lang w:eastAsia="es-CO"/>
        </w:rPr>
        <w:t>‘</w:t>
      </w:r>
      <w:r w:rsidRPr="00364005">
        <w:rPr>
          <w:rFonts w:ascii="Verdana" w:hAnsi="Verdana" w:cs="Arial"/>
          <w:sz w:val="20"/>
          <w:szCs w:val="20"/>
          <w:lang w:eastAsia="es-CO"/>
        </w:rPr>
        <w:t>extraer valor</w:t>
      </w:r>
      <w:r>
        <w:rPr>
          <w:rFonts w:ascii="Verdana" w:hAnsi="Verdana" w:cs="Arial"/>
          <w:sz w:val="20"/>
          <w:szCs w:val="20"/>
          <w:lang w:eastAsia="es-CO"/>
        </w:rPr>
        <w:t>’</w:t>
      </w:r>
      <w:r w:rsidRPr="00364005">
        <w:rPr>
          <w:rFonts w:ascii="Verdana" w:hAnsi="Verdana" w:cs="Arial"/>
          <w:sz w:val="20"/>
          <w:szCs w:val="20"/>
          <w:lang w:eastAsia="es-CO"/>
        </w:rPr>
        <w:t xml:space="preserve"> el proceso contractual (subastas, compra por catálogo, uso de bolsas de productos) y el establecimiento de indicadores para evaluar la utilización eficiente de los recursos (administrativos y presupuestales) involucrados en la ejecución contractual”</w:t>
      </w:r>
      <w:r w:rsidRPr="00364005">
        <w:rPr>
          <w:rStyle w:val="Refdenotaalpie"/>
          <w:rFonts w:ascii="Verdana" w:hAnsi="Verdana" w:cs="Arial"/>
          <w:sz w:val="20"/>
          <w:szCs w:val="20"/>
          <w:lang w:eastAsia="es-CO"/>
        </w:rPr>
        <w:t xml:space="preserve"> </w:t>
      </w:r>
      <w:r w:rsidRPr="00364005">
        <w:rPr>
          <w:rStyle w:val="Refdenotaalpie"/>
          <w:rFonts w:ascii="Verdana" w:hAnsi="Verdana" w:cs="Arial"/>
          <w:sz w:val="20"/>
          <w:szCs w:val="20"/>
          <w:lang w:eastAsia="es-CO"/>
        </w:rPr>
        <w:footnoteReference w:id="2"/>
      </w:r>
      <w:r>
        <w:rPr>
          <w:rFonts w:ascii="Verdana" w:hAnsi="Verdana" w:cs="Arial"/>
          <w:sz w:val="20"/>
          <w:szCs w:val="20"/>
          <w:lang w:eastAsia="es-CO"/>
        </w:rPr>
        <w:t>.</w:t>
      </w:r>
    </w:p>
    <w:p w14:paraId="6939BE92" w14:textId="77777777" w:rsidR="00936B0C" w:rsidRPr="00233727" w:rsidRDefault="00936B0C" w:rsidP="00936B0C">
      <w:pPr>
        <w:spacing w:after="0" w:line="276" w:lineRule="auto"/>
        <w:ind w:left="709" w:right="709"/>
        <w:jc w:val="both"/>
        <w:textAlignment w:val="baseline"/>
        <w:rPr>
          <w:rFonts w:ascii="Verdana" w:hAnsi="Verdana" w:cs="Arial"/>
          <w:lang w:eastAsia="es-CO"/>
        </w:rPr>
      </w:pPr>
    </w:p>
    <w:p w14:paraId="6750E66A" w14:textId="77777777" w:rsidR="00936B0C" w:rsidRDefault="00936B0C" w:rsidP="00936B0C">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Como resultado de la promulgación de la Ley 1150 de 2007, en relación con los riesgos, el artículo 4 obliga a las entidades estatales a estimar, tipificar y asignar los riesgos previsibles involucrados en la contratación dentro de los pliegos de condiciones o en sus equivalentes. El mencionado artículo establece:</w:t>
      </w:r>
    </w:p>
    <w:p w14:paraId="25A4689F" w14:textId="77777777" w:rsidR="00936B0C" w:rsidRPr="00364005" w:rsidRDefault="00936B0C" w:rsidP="00936B0C">
      <w:pPr>
        <w:spacing w:after="0" w:line="276" w:lineRule="auto"/>
        <w:ind w:firstLine="705"/>
        <w:jc w:val="both"/>
        <w:textAlignment w:val="baseline"/>
        <w:rPr>
          <w:rFonts w:ascii="Verdana" w:hAnsi="Verdana" w:cs="Arial"/>
          <w:lang w:val="es-ES" w:eastAsia="es-CO"/>
        </w:rPr>
      </w:pPr>
    </w:p>
    <w:p w14:paraId="2F4E55C2" w14:textId="77777777" w:rsidR="00936B0C" w:rsidRPr="00233727" w:rsidRDefault="00936B0C" w:rsidP="00936B0C">
      <w:pPr>
        <w:pStyle w:val="NormalWeb"/>
        <w:spacing w:before="0" w:beforeAutospacing="0" w:after="120" w:afterAutospacing="0"/>
        <w:ind w:left="709" w:right="709"/>
        <w:jc w:val="both"/>
        <w:rPr>
          <w:rFonts w:ascii="Verdana" w:hAnsi="Verdana" w:cs="Arial"/>
          <w:sz w:val="20"/>
          <w:szCs w:val="20"/>
        </w:rPr>
      </w:pPr>
      <w:bookmarkStart w:id="2" w:name="4"/>
      <w:r w:rsidRPr="00233727">
        <w:rPr>
          <w:rFonts w:ascii="Verdana" w:hAnsi="Verdana" w:cs="Arial"/>
          <w:sz w:val="20"/>
          <w:szCs w:val="20"/>
        </w:rPr>
        <w:t>“Artículo 4. De la distribución de riesgos en los contratos estatales.</w:t>
      </w:r>
      <w:bookmarkEnd w:id="2"/>
      <w:r w:rsidRPr="00233727">
        <w:rPr>
          <w:rFonts w:ascii="Verdana" w:hAnsi="Verdana" w:cs="Arial"/>
          <w:sz w:val="20"/>
          <w:szCs w:val="20"/>
        </w:rPr>
        <w:t> Los pliegos de condiciones o sus equivalentes deberán incluir la estimación, tipificación y asignación de los riesgos previsibles involucrados en la contratación.</w:t>
      </w:r>
    </w:p>
    <w:p w14:paraId="6B3CBD94" w14:textId="77777777" w:rsidR="00936B0C" w:rsidRPr="00233727" w:rsidRDefault="00936B0C" w:rsidP="00936B0C">
      <w:pPr>
        <w:pStyle w:val="NormalWeb"/>
        <w:spacing w:before="0" w:beforeAutospacing="0" w:after="0" w:afterAutospacing="0"/>
        <w:ind w:left="709" w:right="709"/>
        <w:jc w:val="both"/>
        <w:rPr>
          <w:rFonts w:ascii="Verdana" w:hAnsi="Verdana" w:cs="Arial"/>
          <w:sz w:val="20"/>
          <w:szCs w:val="20"/>
        </w:rPr>
      </w:pPr>
      <w:r w:rsidRPr="00233727">
        <w:rPr>
          <w:rFonts w:ascii="Verdana" w:hAnsi="Verdana" w:cs="Arial"/>
          <w:sz w:val="20"/>
          <w:szCs w:val="20"/>
        </w:rPr>
        <w:t>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w:t>
      </w:r>
    </w:p>
    <w:p w14:paraId="1441C942" w14:textId="77777777" w:rsidR="00936B0C" w:rsidRDefault="00936B0C" w:rsidP="00936B0C">
      <w:pPr>
        <w:spacing w:after="0" w:line="276" w:lineRule="auto"/>
        <w:ind w:firstLine="705"/>
        <w:jc w:val="both"/>
        <w:textAlignment w:val="baseline"/>
        <w:rPr>
          <w:rFonts w:ascii="Verdana" w:hAnsi="Verdana" w:cs="Arial"/>
          <w:lang w:val="es-ES" w:eastAsia="es-CO"/>
        </w:rPr>
      </w:pPr>
    </w:p>
    <w:p w14:paraId="3AD2B16F" w14:textId="77777777" w:rsidR="00936B0C" w:rsidRPr="00364005" w:rsidRDefault="00936B0C" w:rsidP="00936B0C">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Posteriormente, con la expedición del CONPES 3107 de 2011 se establecieron lineamientos en materia de “Política de Manejo de Riesgo Contractual del Estado para Procesos de Participación Privada en Infraestructura” para la adecuada estructuración de proyectos y la asignación de riesgos en los procesos de contratación que se desarrollen en los sectores de transporte, energía, comunicaciones y agua potable y saneamiento básico. De tal forma, estableció que en la medida que “una asignación adecuada de los riesgos minimiza el costo de su mitigación” es necesario que los riesgos sean asumidos por quién mejor los controla en la relación contractual, lo que implica que sean asignados e identificados correctamente. Así, al definir el concepto de riesgo determinó:</w:t>
      </w:r>
    </w:p>
    <w:p w14:paraId="3FEDBB9A" w14:textId="77777777" w:rsidR="00936B0C" w:rsidRPr="00364005" w:rsidRDefault="00936B0C" w:rsidP="00936B0C">
      <w:pPr>
        <w:spacing w:after="0"/>
        <w:ind w:left="705" w:right="786"/>
        <w:jc w:val="both"/>
        <w:textAlignment w:val="baseline"/>
        <w:rPr>
          <w:rFonts w:ascii="Verdana" w:hAnsi="Verdana" w:cs="Arial"/>
          <w:sz w:val="21"/>
          <w:szCs w:val="21"/>
          <w:lang w:eastAsia="es-CO"/>
        </w:rPr>
      </w:pPr>
    </w:p>
    <w:p w14:paraId="1E42D957" w14:textId="77777777" w:rsidR="00936B0C" w:rsidRPr="00233727" w:rsidRDefault="00936B0C" w:rsidP="00936B0C">
      <w:pPr>
        <w:spacing w:after="0" w:line="240" w:lineRule="auto"/>
        <w:ind w:left="705" w:right="786"/>
        <w:jc w:val="both"/>
        <w:textAlignment w:val="baseline"/>
        <w:rPr>
          <w:rFonts w:ascii="Verdana" w:hAnsi="Verdana" w:cs="Segoe UI Historic"/>
          <w:sz w:val="20"/>
          <w:szCs w:val="20"/>
          <w:lang w:eastAsia="es-CO"/>
        </w:rPr>
      </w:pPr>
      <w:r w:rsidRPr="00233727">
        <w:rPr>
          <w:rFonts w:ascii="Verdana" w:hAnsi="Verdana" w:cs="Arial"/>
          <w:sz w:val="20"/>
          <w:szCs w:val="20"/>
          <w:lang w:eastAsia="es-CO"/>
        </w:rPr>
        <w:lastRenderedPageBreak/>
        <w:t>“Los riesgos de un proyecto se refieren a los diferentes factores que pueden hacer que no se cumplan los resultados previstos y los respectivos flujos esperados. Para determinar cuáles son los riesgos asociados a un proyecto se debe identificar las principales variables que determinan estos flujos. El concepto de riesgo en proyectos de infraestructura se puede definir como la probabilidad de ocurrencia de eventos aleatorios que afecten el desarrollo del mismo, generando una variación sobre el resultado esperado, tanto en relación con los costos como con los ingresos</w:t>
      </w:r>
      <w:r w:rsidRPr="00233727">
        <w:rPr>
          <w:rFonts w:ascii="Verdana" w:hAnsi="Verdana" w:cs="Segoe UI Historic"/>
          <w:sz w:val="20"/>
          <w:szCs w:val="20"/>
          <w:lang w:eastAsia="es-CO"/>
        </w:rPr>
        <w:t>”</w:t>
      </w:r>
      <w:r>
        <w:rPr>
          <w:rFonts w:ascii="Verdana" w:hAnsi="Verdana" w:cs="Segoe UI Historic"/>
          <w:sz w:val="20"/>
          <w:szCs w:val="20"/>
          <w:lang w:eastAsia="es-CO"/>
        </w:rPr>
        <w:t>.</w:t>
      </w:r>
    </w:p>
    <w:p w14:paraId="0598A2A5" w14:textId="77777777" w:rsidR="00936B0C" w:rsidRPr="00364005" w:rsidRDefault="00936B0C" w:rsidP="00936B0C">
      <w:pPr>
        <w:spacing w:after="0"/>
        <w:ind w:left="705" w:right="786"/>
        <w:jc w:val="both"/>
        <w:textAlignment w:val="baseline"/>
        <w:rPr>
          <w:rFonts w:ascii="Verdana" w:hAnsi="Verdana" w:cs="Segoe UI Historic"/>
          <w:sz w:val="21"/>
          <w:szCs w:val="21"/>
          <w:lang w:eastAsia="es-CO"/>
        </w:rPr>
      </w:pPr>
    </w:p>
    <w:p w14:paraId="4BA444B8" w14:textId="77777777" w:rsidR="00936B0C" w:rsidRPr="00364005" w:rsidRDefault="00936B0C" w:rsidP="00936B0C">
      <w:pPr>
        <w:spacing w:after="120" w:line="276" w:lineRule="auto"/>
        <w:ind w:firstLine="703"/>
        <w:jc w:val="both"/>
        <w:textAlignment w:val="baseline"/>
        <w:rPr>
          <w:rFonts w:ascii="Verdana" w:hAnsi="Verdana" w:cs="Arial"/>
          <w:lang w:val="es-ES" w:eastAsia="es-CO"/>
        </w:rPr>
      </w:pPr>
      <w:bookmarkStart w:id="3" w:name="_Hlk108627685"/>
      <w:r w:rsidRPr="00364005">
        <w:rPr>
          <w:rFonts w:ascii="Verdana" w:hAnsi="Verdana" w:cs="Arial"/>
          <w:lang w:val="es-ES" w:eastAsia="es-CO"/>
        </w:rPr>
        <w:t>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w:t>
      </w:r>
      <w:bookmarkEnd w:id="3"/>
      <w:r w:rsidRPr="00364005">
        <w:rPr>
          <w:rFonts w:ascii="Verdana" w:hAnsi="Verdana" w:cs="Arial"/>
          <w:lang w:val="es-ES" w:eastAsia="es-CO"/>
        </w:rPr>
        <w:t xml:space="preserve">. </w:t>
      </w:r>
    </w:p>
    <w:p w14:paraId="77ED2A32" w14:textId="77777777" w:rsidR="00936B0C" w:rsidRPr="00364005" w:rsidRDefault="00936B0C" w:rsidP="00936B0C">
      <w:pPr>
        <w:spacing w:after="0" w:line="276" w:lineRule="auto"/>
        <w:ind w:firstLine="705"/>
        <w:jc w:val="both"/>
        <w:textAlignment w:val="baseline"/>
        <w:rPr>
          <w:rFonts w:ascii="Verdana" w:hAnsi="Verdana" w:cs="Arial"/>
          <w:lang w:val="es-ES" w:eastAsia="es-CO"/>
        </w:rPr>
      </w:pPr>
      <w:bookmarkStart w:id="4" w:name="_Hlk108627718"/>
      <w:r w:rsidRPr="00364005">
        <w:rPr>
          <w:rFonts w:ascii="Verdana" w:hAnsi="Verdana" w:cs="Arial"/>
          <w:lang w:val="es-ES" w:eastAsia="es-CO"/>
        </w:rPr>
        <w:t xml:space="preserve">En la misma línea, el CONPES 3714 de 2011, definió lineamientos para el entendimiento del concepto de “riesgo previsible” en el marco de los procesos 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precontractual para el establecimiento de los riesgos previsibles de la contratación”. </w:t>
      </w:r>
      <w:bookmarkEnd w:id="4"/>
      <w:r w:rsidRPr="00364005">
        <w:rPr>
          <w:rFonts w:ascii="Verdana" w:hAnsi="Verdana" w:cs="Arial"/>
          <w:lang w:val="es-ES" w:eastAsia="es-CO"/>
        </w:rPr>
        <w:t xml:space="preserve">En tal sentido, dicho documento de política pública definió el riesgo y el riesgo previsible en el marco de la gestión contractual como: </w:t>
      </w:r>
    </w:p>
    <w:p w14:paraId="6078BAD2" w14:textId="77777777" w:rsidR="00936B0C" w:rsidRPr="00233727" w:rsidRDefault="00936B0C" w:rsidP="00936B0C">
      <w:pPr>
        <w:spacing w:after="0" w:line="276" w:lineRule="auto"/>
        <w:ind w:firstLine="705"/>
        <w:jc w:val="both"/>
        <w:textAlignment w:val="baseline"/>
        <w:rPr>
          <w:rFonts w:ascii="Verdana" w:hAnsi="Verdana" w:cs="Arial"/>
          <w:lang w:val="es-ES" w:eastAsia="es-CO"/>
        </w:rPr>
      </w:pPr>
    </w:p>
    <w:p w14:paraId="12A3F178" w14:textId="77777777" w:rsidR="00936B0C" w:rsidRPr="00233727" w:rsidRDefault="00936B0C" w:rsidP="00936B0C">
      <w:pPr>
        <w:spacing w:after="120" w:line="240" w:lineRule="auto"/>
        <w:ind w:left="703" w:right="646"/>
        <w:jc w:val="both"/>
        <w:textAlignment w:val="baseline"/>
        <w:rPr>
          <w:rFonts w:ascii="Verdana" w:hAnsi="Verdana" w:cs="Arial"/>
          <w:sz w:val="20"/>
          <w:szCs w:val="20"/>
          <w:lang w:eastAsia="es-CO"/>
        </w:rPr>
      </w:pPr>
      <w:r w:rsidRPr="00233727">
        <w:rPr>
          <w:rFonts w:ascii="Verdana" w:hAnsi="Verdana" w:cs="Arial"/>
          <w:sz w:val="20"/>
          <w:szCs w:val="20"/>
          <w:lang w:eastAsia="es-CO"/>
        </w:rPr>
        <w:t>“El riesgo contractual en general es entendido como todas aquellas circunstancias que pueden presentarse durante el desarrollo o ejecución de un contrato y que pueden alterar el equilibrio financiero del mismo y ha tenido una regulación desde cinco ópticas, asociadas con el proceso de gestión que se requiere en cada caso. […]</w:t>
      </w:r>
    </w:p>
    <w:p w14:paraId="367340A4" w14:textId="77777777" w:rsidR="00936B0C" w:rsidRPr="00233727" w:rsidRDefault="00936B0C" w:rsidP="00936B0C">
      <w:pPr>
        <w:spacing w:after="0" w:line="240" w:lineRule="auto"/>
        <w:ind w:left="705" w:right="644"/>
        <w:jc w:val="both"/>
        <w:textAlignment w:val="baseline"/>
        <w:rPr>
          <w:rFonts w:ascii="Verdana" w:hAnsi="Verdana" w:cs="Arial"/>
          <w:sz w:val="20"/>
          <w:szCs w:val="20"/>
          <w:lang w:eastAsia="es-CO"/>
        </w:rPr>
      </w:pPr>
      <w:r w:rsidRPr="00233727">
        <w:rPr>
          <w:rFonts w:ascii="Verdana" w:hAnsi="Verdana" w:cs="Arial"/>
          <w:sz w:val="20"/>
          <w:szCs w:val="20"/>
          <w:lang w:eastAsia="es-CO"/>
        </w:rPr>
        <w:t xml:space="preserve">Así, los </w:t>
      </w:r>
      <w:r>
        <w:rPr>
          <w:rFonts w:ascii="Verdana" w:hAnsi="Verdana" w:cs="Arial"/>
          <w:sz w:val="20"/>
          <w:szCs w:val="20"/>
          <w:lang w:eastAsia="es-CO"/>
        </w:rPr>
        <w:t>‘</w:t>
      </w:r>
      <w:r w:rsidRPr="00233727">
        <w:rPr>
          <w:rFonts w:ascii="Verdana" w:hAnsi="Verdana" w:cs="Arial"/>
          <w:sz w:val="20"/>
          <w:szCs w:val="20"/>
          <w:lang w:eastAsia="es-CO"/>
        </w:rPr>
        <w:t>riesgos previsibles</w:t>
      </w:r>
      <w:r>
        <w:rPr>
          <w:rFonts w:ascii="Verdana" w:hAnsi="Verdana" w:cs="Arial"/>
          <w:sz w:val="20"/>
          <w:szCs w:val="20"/>
          <w:lang w:eastAsia="es-CO"/>
        </w:rPr>
        <w:t>’</w:t>
      </w:r>
      <w:r w:rsidRPr="00233727">
        <w:rPr>
          <w:rFonts w:ascii="Verdana" w:hAnsi="Verdana" w:cs="Arial"/>
          <w:sz w:val="20"/>
          <w:szCs w:val="20"/>
          <w:lang w:eastAsia="es-CO"/>
        </w:rPr>
        <w:t>, son todas aquellas circunstancias que de presentarse durante el desarrollo y ejecución del contrato, tienen la potencialidad de alterar el equilibrio financiero del mismo, siempre que sean identificables y cuantificables en condiciones normales”</w:t>
      </w:r>
      <w:r>
        <w:rPr>
          <w:rFonts w:ascii="Verdana" w:hAnsi="Verdana" w:cs="Arial"/>
          <w:sz w:val="20"/>
          <w:szCs w:val="20"/>
          <w:lang w:eastAsia="es-CO"/>
        </w:rPr>
        <w:t>.</w:t>
      </w:r>
    </w:p>
    <w:p w14:paraId="7E83A852" w14:textId="77777777" w:rsidR="00936B0C" w:rsidRPr="00233727" w:rsidRDefault="00936B0C" w:rsidP="00936B0C">
      <w:pPr>
        <w:spacing w:after="0" w:line="276" w:lineRule="auto"/>
        <w:ind w:left="705" w:right="644"/>
        <w:jc w:val="both"/>
        <w:textAlignment w:val="baseline"/>
        <w:rPr>
          <w:rFonts w:ascii="Verdana" w:hAnsi="Verdana" w:cs="Arial"/>
          <w:lang w:eastAsia="es-CO"/>
        </w:rPr>
      </w:pPr>
    </w:p>
    <w:p w14:paraId="1BDD3C57" w14:textId="77777777" w:rsidR="00936B0C" w:rsidRPr="00364005" w:rsidRDefault="00936B0C" w:rsidP="00936B0C">
      <w:pPr>
        <w:spacing w:after="0"/>
        <w:ind w:firstLine="705"/>
        <w:jc w:val="both"/>
        <w:textAlignment w:val="baseline"/>
        <w:rPr>
          <w:rFonts w:ascii="Verdana" w:hAnsi="Verdana" w:cs="Arial"/>
          <w:lang w:val="es-ES" w:eastAsia="es-CO"/>
        </w:rPr>
      </w:pPr>
      <w:r w:rsidRPr="00364005">
        <w:rPr>
          <w:rFonts w:ascii="Verdana" w:hAnsi="Verdana" w:cs="Arial"/>
          <w:lang w:val="es-ES" w:eastAsia="es-CO"/>
        </w:rPr>
        <w:lastRenderedPageBreak/>
        <w:t>Por su parte, el Decreto 1082 de 2015 reiteró, en los siguientes términos, la obligación que tienen las entidades estatales de tipificar, estimar y asignar los riesgos previsibles que surjan durante la ejecución contractual dentro del pliego de condiciones</w:t>
      </w:r>
      <w:r w:rsidRPr="00364005">
        <w:rPr>
          <w:rStyle w:val="Refdenotaalpie"/>
          <w:rFonts w:ascii="Verdana" w:hAnsi="Verdana" w:cs="Arial"/>
          <w:lang w:val="es-ES" w:eastAsia="es-CO"/>
        </w:rPr>
        <w:footnoteReference w:id="3"/>
      </w:r>
      <w:r w:rsidRPr="00364005">
        <w:rPr>
          <w:rFonts w:ascii="Verdana" w:hAnsi="Verdana" w:cs="Arial"/>
          <w:lang w:val="es-ES" w:eastAsia="es-CO"/>
        </w:rPr>
        <w:t>:</w:t>
      </w:r>
    </w:p>
    <w:p w14:paraId="11609453" w14:textId="77777777" w:rsidR="00936B0C" w:rsidRPr="00364005" w:rsidRDefault="00936B0C" w:rsidP="00936B0C">
      <w:pPr>
        <w:spacing w:after="0"/>
        <w:ind w:firstLine="705"/>
        <w:jc w:val="both"/>
        <w:textAlignment w:val="baseline"/>
        <w:rPr>
          <w:rFonts w:ascii="Verdana" w:hAnsi="Verdana" w:cs="Arial"/>
          <w:lang w:val="es-ES" w:eastAsia="es-CO"/>
        </w:rPr>
      </w:pPr>
    </w:p>
    <w:p w14:paraId="4126E8E7" w14:textId="77777777" w:rsidR="00936B0C" w:rsidRPr="006A03FC" w:rsidRDefault="00936B0C" w:rsidP="00936B0C">
      <w:pPr>
        <w:spacing w:after="0" w:line="240" w:lineRule="auto"/>
        <w:ind w:left="709" w:right="709"/>
        <w:jc w:val="both"/>
        <w:textAlignment w:val="baseline"/>
        <w:rPr>
          <w:rFonts w:ascii="Verdana" w:hAnsi="Verdana" w:cs="Arial"/>
          <w:sz w:val="20"/>
          <w:szCs w:val="20"/>
          <w:lang w:eastAsia="es-CO"/>
        </w:rPr>
      </w:pPr>
      <w:r w:rsidRPr="006A03FC">
        <w:rPr>
          <w:rFonts w:ascii="Verdana" w:hAnsi="Verdana" w:cs="Arial"/>
          <w:sz w:val="20"/>
          <w:szCs w:val="20"/>
          <w:lang w:eastAsia="es-CO"/>
        </w:rPr>
        <w:t>“Artículo 2.2.1.1.2.1.3. Pliegos de condiciones. Los pliegos de condiciones deben contener por lo menos la siguiente información: </w:t>
      </w:r>
    </w:p>
    <w:p w14:paraId="0CC1BAF7" w14:textId="77777777" w:rsidR="00936B0C" w:rsidRPr="006A03FC" w:rsidRDefault="00936B0C" w:rsidP="00936B0C">
      <w:pPr>
        <w:spacing w:after="120" w:line="240" w:lineRule="auto"/>
        <w:ind w:left="709" w:right="709"/>
        <w:jc w:val="both"/>
        <w:textAlignment w:val="baseline"/>
        <w:rPr>
          <w:rFonts w:ascii="Verdana" w:hAnsi="Verdana" w:cs="Arial"/>
          <w:sz w:val="20"/>
          <w:szCs w:val="20"/>
          <w:lang w:eastAsia="es-CO"/>
        </w:rPr>
      </w:pPr>
      <w:r>
        <w:rPr>
          <w:rFonts w:ascii="Verdana" w:hAnsi="Verdana" w:cs="Arial"/>
          <w:sz w:val="20"/>
          <w:szCs w:val="20"/>
          <w:lang w:eastAsia="es-CO"/>
        </w:rPr>
        <w:t>[</w:t>
      </w:r>
      <w:r w:rsidRPr="006A03FC">
        <w:rPr>
          <w:rFonts w:ascii="Verdana" w:hAnsi="Verdana" w:cs="Arial"/>
          <w:sz w:val="20"/>
          <w:szCs w:val="20"/>
          <w:lang w:eastAsia="es-CO"/>
        </w:rPr>
        <w:t>…</w:t>
      </w:r>
      <w:r>
        <w:rPr>
          <w:rFonts w:ascii="Verdana" w:hAnsi="Verdana" w:cs="Arial"/>
          <w:sz w:val="20"/>
          <w:szCs w:val="20"/>
          <w:lang w:eastAsia="es-CO"/>
        </w:rPr>
        <w:t>]</w:t>
      </w:r>
      <w:r w:rsidRPr="006A03FC">
        <w:rPr>
          <w:rFonts w:ascii="Verdana" w:hAnsi="Verdana" w:cs="Arial"/>
          <w:sz w:val="20"/>
          <w:szCs w:val="20"/>
          <w:lang w:eastAsia="es-CO"/>
        </w:rPr>
        <w:t> </w:t>
      </w:r>
    </w:p>
    <w:p w14:paraId="7F2E4F6C" w14:textId="77777777" w:rsidR="00936B0C" w:rsidRPr="006A03FC" w:rsidRDefault="00936B0C" w:rsidP="00936B0C">
      <w:pPr>
        <w:spacing w:after="0" w:line="240" w:lineRule="auto"/>
        <w:ind w:left="709" w:right="709"/>
        <w:jc w:val="both"/>
        <w:textAlignment w:val="baseline"/>
        <w:rPr>
          <w:rFonts w:ascii="Verdana" w:hAnsi="Verdana" w:cs="Arial"/>
          <w:sz w:val="20"/>
          <w:szCs w:val="20"/>
          <w:lang w:eastAsia="es-CO"/>
        </w:rPr>
      </w:pPr>
      <w:r w:rsidRPr="006A03FC">
        <w:rPr>
          <w:rFonts w:ascii="Verdana" w:hAnsi="Verdana" w:cs="Arial"/>
          <w:sz w:val="20"/>
          <w:szCs w:val="20"/>
          <w:lang w:eastAsia="es-CO"/>
        </w:rPr>
        <w:t>8. Los Riesgos asociados al contrato, la forma de mitigarlos y la asignación del Riesgo entre las partes contratantes”</w:t>
      </w:r>
      <w:r>
        <w:rPr>
          <w:rFonts w:ascii="Verdana" w:hAnsi="Verdana" w:cs="Arial"/>
          <w:sz w:val="20"/>
          <w:szCs w:val="20"/>
          <w:lang w:eastAsia="es-CO"/>
        </w:rPr>
        <w:t>.</w:t>
      </w:r>
    </w:p>
    <w:p w14:paraId="2EA9DD31" w14:textId="77777777" w:rsidR="00936B0C" w:rsidRPr="00364005" w:rsidRDefault="00936B0C" w:rsidP="00936B0C">
      <w:pPr>
        <w:spacing w:after="0"/>
        <w:ind w:left="709" w:right="709"/>
        <w:jc w:val="both"/>
        <w:textAlignment w:val="baseline"/>
        <w:rPr>
          <w:rFonts w:ascii="Verdana" w:hAnsi="Verdana" w:cs="Arial"/>
          <w:sz w:val="21"/>
          <w:szCs w:val="21"/>
          <w:lang w:eastAsia="es-CO"/>
        </w:rPr>
      </w:pPr>
      <w:r w:rsidRPr="00364005">
        <w:rPr>
          <w:rFonts w:ascii="Verdana" w:hAnsi="Verdana"/>
          <w:lang w:eastAsia="es-CO"/>
        </w:rPr>
        <w:t> </w:t>
      </w:r>
    </w:p>
    <w:p w14:paraId="45977D7D" w14:textId="77777777" w:rsidR="00936B0C" w:rsidRPr="00364005" w:rsidRDefault="00936B0C" w:rsidP="00936B0C">
      <w:pPr>
        <w:spacing w:line="276" w:lineRule="auto"/>
        <w:ind w:firstLine="705"/>
        <w:jc w:val="both"/>
        <w:textAlignment w:val="baseline"/>
        <w:rPr>
          <w:rFonts w:ascii="Verdana" w:hAnsi="Verdana" w:cs="Arial"/>
          <w:lang w:val="es-ES" w:eastAsia="es-CO"/>
        </w:rPr>
      </w:pPr>
      <w:r w:rsidRPr="00364005">
        <w:rPr>
          <w:rFonts w:ascii="Verdana" w:hAnsi="Verdana" w:cs="Arial"/>
          <w:lang w:val="es-ES" w:eastAsia="es-CO"/>
        </w:rPr>
        <w:t>En suma,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pliegos de condiciones, y por otro, los participantes del proceso de selección quienes deberán valorarlos y complementarlos en virtud del deber de colaboración con la administración pública en la construcción de los documentos definitivos, dada su experticia, especialidad y conocimientos. En tal sentido, ellos podrán pronunciarse frente a este contenido de los pliegos de condiciones mediante la presentación de observaciones a los proyectos de pliegos de condiciones y a los pliegos de condiciones definitivos, sin perjuicio de que en los procesos de licitación pública sea obligatoria realizar una audiencia de asignación de riesgos –art. 4 de la Ley 1150 de 2007, artículo 30, numeral 4, de la Ley 80 de 1993 y artículo 2.2.1.2.1.1.2. del Decreto 1082 de 2015–.</w:t>
      </w:r>
    </w:p>
    <w:p w14:paraId="5FB5F255" w14:textId="77777777" w:rsidR="00936B0C" w:rsidRPr="00364005" w:rsidRDefault="00936B0C" w:rsidP="00936B0C">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rPr>
        <w:t>La Agencia Nacional de Contratación Pública – Colombia Compra Eficiente expidió el “Manual para la identificación y cobertura del Riesgo en los Procesos de Contratación”</w:t>
      </w:r>
      <w:r w:rsidRPr="00364005">
        <w:rPr>
          <w:rStyle w:val="Refdenotaalpie"/>
          <w:rFonts w:ascii="Verdana" w:hAnsi="Verdana" w:cs="Arial"/>
          <w:lang w:val="es-ES"/>
        </w:rPr>
        <w:footnoteReference w:id="4"/>
      </w:r>
      <w:r w:rsidRPr="00364005">
        <w:rPr>
          <w:rFonts w:ascii="Verdana" w:hAnsi="Verdana" w:cs="Arial"/>
          <w:lang w:val="es-ES"/>
        </w:rPr>
        <w:t xml:space="preserve">, y </w:t>
      </w:r>
      <w:r w:rsidRPr="00364005">
        <w:rPr>
          <w:rFonts w:ascii="Verdana" w:hAnsi="Verdana" w:cs="Arial"/>
          <w:lang w:val="es-ES" w:eastAsia="es-CO"/>
        </w:rPr>
        <w:t xml:space="preserve">establece que, para administrar los riesgos en los procesos de contratación del Estado, deben seguirse los siguientes pasos, los cuales coinciden con la organización y/o estructuración del manual en comento: </w:t>
      </w:r>
    </w:p>
    <w:p w14:paraId="621EA37C" w14:textId="77777777" w:rsidR="00936B0C" w:rsidRPr="00364005" w:rsidRDefault="00936B0C" w:rsidP="00936B0C">
      <w:pPr>
        <w:spacing w:after="0" w:line="276" w:lineRule="auto"/>
        <w:ind w:firstLine="705"/>
        <w:jc w:val="both"/>
        <w:textAlignment w:val="baseline"/>
        <w:rPr>
          <w:rFonts w:ascii="Verdana" w:hAnsi="Verdana" w:cs="Arial"/>
          <w:lang w:val="es-ES" w:eastAsia="es-CO"/>
        </w:rPr>
      </w:pPr>
    </w:p>
    <w:p w14:paraId="4C72A882" w14:textId="77777777" w:rsidR="00936B0C" w:rsidRPr="006A03FC" w:rsidRDefault="00936B0C" w:rsidP="00936B0C">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Establecer el contexto en el cual se adelanta el Proceso de Contratación.  </w:t>
      </w:r>
    </w:p>
    <w:p w14:paraId="65B7629C" w14:textId="77777777" w:rsidR="00936B0C" w:rsidRPr="006A03FC" w:rsidRDefault="00936B0C" w:rsidP="00936B0C">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Identificar y clasificar los Riesgos del Proceso de Contratación.  </w:t>
      </w:r>
    </w:p>
    <w:p w14:paraId="474EDD47" w14:textId="77777777" w:rsidR="00936B0C" w:rsidRPr="006A03FC" w:rsidRDefault="00936B0C" w:rsidP="00936B0C">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Evaluar, calificar y estimar los riesgos  </w:t>
      </w:r>
    </w:p>
    <w:p w14:paraId="378BC822" w14:textId="77777777" w:rsidR="00936B0C" w:rsidRPr="006A03FC" w:rsidRDefault="00936B0C" w:rsidP="00936B0C">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Asignar y tratar los Riesgos.  </w:t>
      </w:r>
    </w:p>
    <w:p w14:paraId="088983F1" w14:textId="77777777" w:rsidR="00936B0C" w:rsidRPr="006A03FC" w:rsidRDefault="00936B0C" w:rsidP="00936B0C">
      <w:pPr>
        <w:pStyle w:val="Prrafodelista"/>
        <w:numPr>
          <w:ilvl w:val="0"/>
          <w:numId w:val="18"/>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Monitorear y revisar la gestión de los Riesgos. </w:t>
      </w:r>
    </w:p>
    <w:p w14:paraId="1E9761E3" w14:textId="77777777" w:rsidR="00936B0C" w:rsidRPr="00364005" w:rsidRDefault="00936B0C" w:rsidP="00936B0C">
      <w:pPr>
        <w:pStyle w:val="Prrafodelista"/>
        <w:spacing w:after="0" w:line="276" w:lineRule="auto"/>
        <w:ind w:left="1065"/>
        <w:jc w:val="both"/>
        <w:textAlignment w:val="baseline"/>
        <w:rPr>
          <w:rFonts w:ascii="Verdana" w:hAnsi="Verdana" w:cs="Arial"/>
          <w:lang w:eastAsia="es-CO"/>
        </w:rPr>
      </w:pPr>
    </w:p>
    <w:p w14:paraId="3092F0D2" w14:textId="77777777" w:rsidR="00936B0C" w:rsidRPr="00364005" w:rsidRDefault="00936B0C" w:rsidP="00936B0C">
      <w:pPr>
        <w:spacing w:after="12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364005">
        <w:rPr>
          <w:rStyle w:val="Refdenotaalpie"/>
          <w:rFonts w:ascii="Verdana" w:hAnsi="Verdana" w:cs="Arial"/>
          <w:lang w:val="es-ES" w:eastAsia="es-CO"/>
        </w:rPr>
        <w:footnoteReference w:id="5"/>
      </w:r>
      <w:r w:rsidRPr="00364005">
        <w:rPr>
          <w:rFonts w:ascii="Verdana" w:hAnsi="Verdana" w:cs="Arial"/>
          <w:lang w:val="es-ES" w:eastAsia="es-CO"/>
        </w:rPr>
        <w:t>.</w:t>
      </w:r>
    </w:p>
    <w:p w14:paraId="102D7A57" w14:textId="77777777" w:rsidR="00936B0C" w:rsidRDefault="00936B0C" w:rsidP="00936B0C">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En dicho manual, la Agencia de Contratación </w:t>
      </w:r>
      <w:r w:rsidRPr="00364005">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364005">
        <w:rPr>
          <w:rFonts w:ascii="Verdana" w:hAnsi="Verdana" w:cs="Arial"/>
          <w:lang w:val="es-ES" w:eastAsia="es-CO"/>
        </w:rPr>
        <w:t>exposición del proceso de contratación frente a los diferentes riesgos que se puedan presentar, por ejemplo, la identificación de:</w:t>
      </w:r>
    </w:p>
    <w:p w14:paraId="3BBB0B1C" w14:textId="77777777" w:rsidR="00936B0C" w:rsidRPr="006A03FC" w:rsidRDefault="00936B0C" w:rsidP="00936B0C">
      <w:pPr>
        <w:spacing w:after="0" w:line="276" w:lineRule="auto"/>
        <w:ind w:firstLine="705"/>
        <w:jc w:val="both"/>
        <w:textAlignment w:val="baseline"/>
        <w:rPr>
          <w:rFonts w:ascii="Verdana" w:hAnsi="Verdana" w:cs="Arial"/>
          <w:lang w:val="es-ES" w:eastAsia="es-CO"/>
        </w:rPr>
      </w:pPr>
    </w:p>
    <w:p w14:paraId="11A61128" w14:textId="77777777" w:rsidR="00936B0C" w:rsidRPr="00364005" w:rsidRDefault="00936B0C" w:rsidP="00936B0C">
      <w:pPr>
        <w:autoSpaceDE w:val="0"/>
        <w:autoSpaceDN w:val="0"/>
        <w:adjustRightInd w:val="0"/>
        <w:spacing w:after="0"/>
        <w:ind w:left="709" w:right="709"/>
        <w:jc w:val="both"/>
        <w:rPr>
          <w:rFonts w:ascii="Verdana" w:hAnsi="Verdana" w:cs="Arial"/>
          <w:sz w:val="21"/>
          <w:szCs w:val="21"/>
        </w:rPr>
      </w:pPr>
      <w:r w:rsidRPr="00364005">
        <w:rPr>
          <w:rFonts w:ascii="Verdana" w:hAnsi="Verdana" w:cs="Arial"/>
          <w:sz w:val="21"/>
          <w:szCs w:val="21"/>
        </w:rPr>
        <w:t xml:space="preserve">“(a) los eventos que impidan la adjudicación y firma del contrato como resultado del Proceso de Contratación; (b) los eventos que alteren la ejecución del contrato; (c) el equilibrio económico del contrato; (d) la eficacia del Proceso de Contratación, es decir, que la Entidad Estatal </w:t>
      </w:r>
      <w:r w:rsidRPr="00364005">
        <w:rPr>
          <w:rFonts w:ascii="Verdana" w:hAnsi="Verdana" w:cs="Arial"/>
          <w:sz w:val="21"/>
          <w:szCs w:val="21"/>
        </w:rPr>
        <w:lastRenderedPageBreak/>
        <w:t>pueda satisfacer la necesidad que motivó el Proceso de Contratación; y (e) la reputación y legitimidad de la Entidad Estatal encargada de prestar el bien o servicio</w:t>
      </w:r>
      <w:r w:rsidRPr="00364005">
        <w:rPr>
          <w:rStyle w:val="Refdenotaalpie"/>
          <w:rFonts w:ascii="Verdana" w:hAnsi="Verdana" w:cs="Arial"/>
          <w:sz w:val="21"/>
          <w:szCs w:val="21"/>
        </w:rPr>
        <w:footnoteReference w:id="6"/>
      </w:r>
      <w:r w:rsidRPr="00364005">
        <w:rPr>
          <w:rFonts w:ascii="Verdana" w:hAnsi="Verdana" w:cs="Arial"/>
          <w:sz w:val="21"/>
          <w:szCs w:val="21"/>
        </w:rPr>
        <w:t>”</w:t>
      </w:r>
      <w:r>
        <w:rPr>
          <w:rFonts w:ascii="Verdana" w:hAnsi="Verdana" w:cs="Arial"/>
          <w:sz w:val="21"/>
          <w:szCs w:val="21"/>
        </w:rPr>
        <w:t>.</w:t>
      </w:r>
    </w:p>
    <w:p w14:paraId="2AECF929" w14:textId="77777777" w:rsidR="00936B0C" w:rsidRPr="006A03FC" w:rsidRDefault="00936B0C" w:rsidP="00936B0C">
      <w:pPr>
        <w:autoSpaceDE w:val="0"/>
        <w:autoSpaceDN w:val="0"/>
        <w:adjustRightInd w:val="0"/>
        <w:spacing w:after="0" w:line="276" w:lineRule="auto"/>
        <w:ind w:left="705"/>
        <w:jc w:val="both"/>
        <w:rPr>
          <w:rFonts w:ascii="Verdana" w:hAnsi="Verdana" w:cs="Arial"/>
        </w:rPr>
      </w:pPr>
    </w:p>
    <w:p w14:paraId="601F5443" w14:textId="77777777" w:rsidR="00936B0C" w:rsidRPr="00364005" w:rsidRDefault="00936B0C" w:rsidP="00936B0C">
      <w:pPr>
        <w:spacing w:after="120" w:line="276" w:lineRule="auto"/>
        <w:jc w:val="both"/>
        <w:textAlignment w:val="baseline"/>
        <w:rPr>
          <w:rFonts w:ascii="Verdana" w:hAnsi="Verdana" w:cs="Arial"/>
        </w:rPr>
      </w:pPr>
      <w:r w:rsidRPr="00364005">
        <w:rPr>
          <w:rFonts w:ascii="Verdana" w:hAnsi="Verdana" w:cs="Arial"/>
          <w:lang w:val="es-ES" w:eastAsia="es-CO"/>
        </w:rPr>
        <w:tab/>
        <w:t xml:space="preserve">Finalmente, una adecuada administración de riesgos permite: </w:t>
      </w:r>
      <w:r w:rsidRPr="00364005">
        <w:rPr>
          <w:rFonts w:ascii="Verdana" w:hAnsi="Verdana" w:cs="Arial"/>
        </w:rPr>
        <w:t>“</w:t>
      </w:r>
      <w:r w:rsidRPr="00364005">
        <w:rPr>
          <w:rFonts w:ascii="Verdana" w:hAnsi="Verdana" w:cs="Arial"/>
          <w:lang w:eastAsia="es-CO"/>
        </w:rPr>
        <w:t>(i) proporcionar un mayor nivel de certeza y conocimiento para la toma de decisiones relacionadas con el Proceso de Contratación; (</w:t>
      </w:r>
      <w:proofErr w:type="spellStart"/>
      <w:r w:rsidRPr="00364005">
        <w:rPr>
          <w:rFonts w:ascii="Verdana" w:hAnsi="Verdana" w:cs="Arial"/>
          <w:lang w:eastAsia="es-CO"/>
        </w:rPr>
        <w:t>ii</w:t>
      </w:r>
      <w:proofErr w:type="spellEnd"/>
      <w:r w:rsidRPr="00364005">
        <w:rPr>
          <w:rFonts w:ascii="Verdana" w:hAnsi="Verdana" w:cs="Arial"/>
          <w:lang w:eastAsia="es-CO"/>
        </w:rPr>
        <w:t>) mejorar la planeación de contingencias del Proceso de Contratación; (</w:t>
      </w:r>
      <w:proofErr w:type="spellStart"/>
      <w:r w:rsidRPr="00364005">
        <w:rPr>
          <w:rFonts w:ascii="Verdana" w:hAnsi="Verdana" w:cs="Arial"/>
          <w:lang w:eastAsia="es-CO"/>
        </w:rPr>
        <w:t>iii</w:t>
      </w:r>
      <w:proofErr w:type="spellEnd"/>
      <w:r w:rsidRPr="00364005">
        <w:rPr>
          <w:rFonts w:ascii="Verdana" w:hAnsi="Verdana" w:cs="Arial"/>
          <w:lang w:eastAsia="es-CO"/>
        </w:rPr>
        <w:t>) incrementar el grado de confianza entre la</w:t>
      </w:r>
      <w:r>
        <w:rPr>
          <w:rFonts w:ascii="Verdana" w:hAnsi="Verdana" w:cs="Arial"/>
          <w:lang w:eastAsia="es-CO"/>
        </w:rPr>
        <w:t>s</w:t>
      </w:r>
      <w:r w:rsidRPr="00364005">
        <w:rPr>
          <w:rFonts w:ascii="Verdana" w:hAnsi="Verdana" w:cs="Arial"/>
          <w:lang w:eastAsia="es-CO"/>
        </w:rPr>
        <w:t xml:space="preserve"> partes del Proceso de Contratación; y (</w:t>
      </w:r>
      <w:proofErr w:type="spellStart"/>
      <w:r w:rsidRPr="00364005">
        <w:rPr>
          <w:rFonts w:ascii="Verdana" w:hAnsi="Verdana" w:cs="Arial"/>
          <w:lang w:eastAsia="es-CO"/>
        </w:rPr>
        <w:t>iv</w:t>
      </w:r>
      <w:proofErr w:type="spellEnd"/>
      <w:r w:rsidRPr="00364005">
        <w:rPr>
          <w:rFonts w:ascii="Verdana" w:hAnsi="Verdana" w:cs="Arial"/>
          <w:lang w:eastAsia="es-CO"/>
        </w:rPr>
        <w:t>) reducir la posibilidad de litigios; entre otro</w:t>
      </w:r>
      <w:r>
        <w:rPr>
          <w:rFonts w:ascii="Verdana" w:hAnsi="Verdana" w:cs="Arial"/>
          <w:lang w:eastAsia="es-CO"/>
        </w:rPr>
        <w:t>s</w:t>
      </w:r>
      <w:r w:rsidRPr="00364005">
        <w:rPr>
          <w:rFonts w:ascii="Verdana" w:hAnsi="Verdana" w:cs="Arial"/>
        </w:rPr>
        <w:t>”</w:t>
      </w:r>
      <w:r w:rsidRPr="00364005">
        <w:rPr>
          <w:rStyle w:val="Refdenotaalpie"/>
          <w:rFonts w:ascii="Verdana" w:hAnsi="Verdana" w:cs="Arial"/>
        </w:rPr>
        <w:footnoteReference w:id="7"/>
      </w:r>
      <w:r w:rsidRPr="00364005">
        <w:rPr>
          <w:rFonts w:ascii="Verdana" w:hAnsi="Verdana" w:cs="Arial"/>
        </w:rPr>
        <w:t>.</w:t>
      </w:r>
    </w:p>
    <w:p w14:paraId="2CF07B49" w14:textId="77777777" w:rsidR="00936B0C" w:rsidRPr="002E2A65" w:rsidRDefault="00936B0C" w:rsidP="00936B0C">
      <w:pPr>
        <w:spacing w:after="0" w:line="276" w:lineRule="auto"/>
        <w:jc w:val="both"/>
        <w:textAlignment w:val="baseline"/>
        <w:rPr>
          <w:rFonts w:ascii="Verdana" w:hAnsi="Verdana" w:cs="Arial"/>
          <w:lang w:eastAsia="es-CO"/>
        </w:rPr>
      </w:pPr>
      <w:r w:rsidRPr="00364005">
        <w:rPr>
          <w:rFonts w:ascii="Verdana" w:hAnsi="Verdana" w:cs="Arial"/>
        </w:rPr>
        <w:tab/>
      </w:r>
      <w:r w:rsidRPr="00364005">
        <w:rPr>
          <w:rFonts w:ascii="Verdana" w:hAnsi="Verdana" w:cs="Arial"/>
          <w:lang w:eastAsia="es-CO"/>
        </w:rPr>
        <w:t>Ahora bien, a las entidades estatales les corresponde, en cada procedimiento de selección, establecer en el pliego de condiciones o documento equivalente la tipificación, estimación y asignación definitiva de los riesgos previsibles involucrados en el proceso de contratación. 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364005">
        <w:rPr>
          <w:rStyle w:val="Refdenotaalpie"/>
          <w:rFonts w:ascii="Verdana" w:hAnsi="Verdana" w:cs="Arial"/>
          <w:lang w:eastAsia="es-CO"/>
        </w:rPr>
        <w:footnoteReference w:id="8"/>
      </w:r>
      <w:r w:rsidRPr="00364005">
        <w:rPr>
          <w:rFonts w:ascii="Verdana" w:hAnsi="Verdana" w:cs="Arial"/>
          <w:lang w:eastAsia="es-CO"/>
        </w:rPr>
        <w:t>.</w:t>
      </w:r>
      <w:r>
        <w:rPr>
          <w:rFonts w:ascii="Verdana" w:hAnsi="Verdana" w:cs="Arial"/>
          <w:lang w:eastAsia="es-CO"/>
        </w:rPr>
        <w:t xml:space="preserve"> </w:t>
      </w:r>
      <w:r w:rsidRPr="00364005">
        <w:rPr>
          <w:rFonts w:ascii="Verdana" w:hAnsi="Verdana" w:cs="Arial"/>
          <w:lang w:val="es-ES" w:eastAsia="es-CO"/>
        </w:rPr>
        <w:t>Con fundamento en lo anterior, corresponde a cada entidad efectuar en la fase de planeación el análisis inicial de los riesgos previsibles asociados al procedimiento de selección</w:t>
      </w:r>
      <w:r>
        <w:rPr>
          <w:rFonts w:ascii="Verdana" w:hAnsi="Verdana" w:cs="Arial"/>
          <w:lang w:val="es-ES" w:eastAsia="es-CO"/>
        </w:rPr>
        <w:t>, así como la asignación de los mismo y la forma de mitigarlos</w:t>
      </w:r>
      <w:r w:rsidRPr="00364005">
        <w:rPr>
          <w:rFonts w:ascii="Verdana" w:hAnsi="Verdana" w:cs="Arial"/>
          <w:lang w:val="es-ES" w:eastAsia="es-CO"/>
        </w:rPr>
        <w:t xml:space="preserve">. </w:t>
      </w:r>
    </w:p>
    <w:p w14:paraId="20B67D68" w14:textId="77777777" w:rsidR="00936B0C" w:rsidRDefault="00936B0C" w:rsidP="00936B0C">
      <w:pPr>
        <w:spacing w:after="0" w:line="276" w:lineRule="auto"/>
        <w:jc w:val="both"/>
        <w:rPr>
          <w:rFonts w:ascii="Verdana" w:hAnsi="Verdana" w:cs="Arial"/>
          <w:lang w:val="es-ES" w:eastAsia="es-ES"/>
        </w:rPr>
      </w:pPr>
    </w:p>
    <w:p w14:paraId="13F5C91D" w14:textId="77777777" w:rsidR="00936B0C" w:rsidRPr="00104C20" w:rsidRDefault="00936B0C" w:rsidP="00936B0C">
      <w:pPr>
        <w:spacing w:after="0" w:line="276" w:lineRule="auto"/>
        <w:jc w:val="both"/>
        <w:rPr>
          <w:rFonts w:ascii="Verdana" w:hAnsi="Verdana" w:cs="Arial"/>
          <w:lang w:val="es-ES" w:eastAsia="es-ES"/>
        </w:rPr>
      </w:pPr>
      <w:proofErr w:type="spellStart"/>
      <w:r>
        <w:rPr>
          <w:rFonts w:ascii="Verdana" w:hAnsi="Verdana" w:cs="Arial"/>
          <w:lang w:val="es-ES" w:eastAsia="es-ES"/>
        </w:rPr>
        <w:t>ii</w:t>
      </w:r>
      <w:proofErr w:type="spellEnd"/>
      <w:r>
        <w:rPr>
          <w:rFonts w:ascii="Verdana" w:hAnsi="Verdana" w:cs="Arial"/>
          <w:lang w:val="es-ES" w:eastAsia="es-ES"/>
        </w:rPr>
        <w:t>. Por otra parte</w:t>
      </w:r>
      <w:r w:rsidRPr="2858887B">
        <w:rPr>
          <w:rFonts w:ascii="Verdana" w:hAnsi="Verdana" w:cs="Arial"/>
          <w:lang w:val="es-ES" w:eastAsia="es-ES"/>
        </w:rPr>
        <w:t xml:space="preserve">,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w:t>
      </w:r>
      <w:r w:rsidRPr="2858887B">
        <w:rPr>
          <w:rFonts w:ascii="Verdana" w:hAnsi="Verdana" w:cs="Arial"/>
          <w:lang w:val="es-ES" w:eastAsia="es-ES"/>
        </w:rPr>
        <w:lastRenderedPageBreak/>
        <w:t>para el contratista, porque equivale a la remuneración que la entidad contratante le pagará por la ejecución del objeto contractual.</w:t>
      </w:r>
    </w:p>
    <w:p w14:paraId="57311834" w14:textId="77777777" w:rsidR="00936B0C" w:rsidRPr="00104C20" w:rsidRDefault="00936B0C" w:rsidP="00936B0C">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04C20">
        <w:rPr>
          <w:rFonts w:ascii="Verdana" w:hAnsi="Verdana" w:cs="Arial"/>
          <w:vertAlign w:val="superscript"/>
          <w:lang w:val="es-ES" w:eastAsia="es-ES"/>
        </w:rPr>
        <w:footnoteReference w:id="9"/>
      </w:r>
      <w:r w:rsidRPr="00104C20">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04C20">
        <w:rPr>
          <w:rFonts w:ascii="Verdana" w:hAnsi="Verdana" w:cs="Arial"/>
          <w:lang w:val="es-ES" w:eastAsia="es-ES"/>
        </w:rPr>
        <w:t>ii</w:t>
      </w:r>
      <w:proofErr w:type="spellEnd"/>
      <w:r w:rsidRPr="00104C20">
        <w:rPr>
          <w:rFonts w:ascii="Verdana" w:hAnsi="Verdana" w:cs="Arial"/>
          <w:lang w:val="es-ES" w:eastAsia="es-ES"/>
        </w:rPr>
        <w:t xml:space="preserve">) el precio global –que equivale al monto total, sin discriminar unidades–, y </w:t>
      </w:r>
      <w:proofErr w:type="spellStart"/>
      <w:r w:rsidRPr="00104C20">
        <w:rPr>
          <w:rFonts w:ascii="Verdana" w:hAnsi="Verdana" w:cs="Arial"/>
          <w:lang w:val="es-ES" w:eastAsia="es-ES"/>
        </w:rPr>
        <w:t>iii</w:t>
      </w:r>
      <w:proofErr w:type="spellEnd"/>
      <w:r w:rsidRPr="00104C20">
        <w:rPr>
          <w:rFonts w:ascii="Verdana" w:hAnsi="Verdana" w:cs="Arial"/>
          <w:lang w:val="es-ES" w:eastAsia="es-ES"/>
        </w:rPr>
        <w:t>) la administración delegada de recursos –en la que se distinguen los costos de inversión de los honorarios del administrador–.</w:t>
      </w:r>
    </w:p>
    <w:p w14:paraId="117A6559" w14:textId="77777777" w:rsidR="00936B0C" w:rsidRPr="00104C20" w:rsidRDefault="00936B0C" w:rsidP="00936B0C">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w:t>
      </w:r>
      <w:r w:rsidRPr="00104C20">
        <w:rPr>
          <w:rFonts w:ascii="Verdana" w:hAnsi="Verdana" w:cs="Arial"/>
          <w:lang w:val="es-ES" w:eastAsia="es-ES"/>
        </w:rPr>
        <w:lastRenderedPageBreak/>
        <w:t xml:space="preserve">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1F8ED4BC" w14:textId="77777777" w:rsidR="00936B0C" w:rsidRPr="00104C20" w:rsidRDefault="00936B0C" w:rsidP="00936B0C">
      <w:pPr>
        <w:spacing w:before="120" w:after="0" w:line="276" w:lineRule="auto"/>
        <w:ind w:firstLine="709"/>
        <w:jc w:val="both"/>
        <w:rPr>
          <w:rFonts w:ascii="Verdana" w:hAnsi="Verdana" w:cs="Arial"/>
          <w:bCs/>
          <w:szCs w:val="24"/>
          <w:lang w:eastAsia="es-ES_tradnl"/>
        </w:rPr>
      </w:pPr>
      <w:r>
        <w:rPr>
          <w:rFonts w:ascii="Verdana" w:hAnsi="Verdana" w:cs="Arial"/>
          <w:bCs/>
          <w:szCs w:val="24"/>
          <w:lang w:val="es-ES" w:eastAsia="es-ES_tradnl"/>
        </w:rPr>
        <w:t>L</w:t>
      </w:r>
      <w:r w:rsidRPr="00104C20">
        <w:rPr>
          <w:rFonts w:ascii="Verdana" w:hAnsi="Verdana" w:cs="Arial"/>
          <w:bCs/>
          <w:szCs w:val="24"/>
          <w:lang w:val="es-ES_tradnl" w:eastAsia="es-ES_tradnl"/>
        </w:rPr>
        <w:t>a jurisprudencia ha señalado que “</w:t>
      </w:r>
      <w:r>
        <w:rPr>
          <w:rFonts w:ascii="Verdana" w:hAnsi="Verdana" w:cs="Arial"/>
          <w:bCs/>
          <w:szCs w:val="24"/>
          <w:lang w:val="es-ES_tradnl" w:eastAsia="es-ES_tradnl"/>
        </w:rPr>
        <w:t xml:space="preserve">[…] </w:t>
      </w:r>
      <w:r w:rsidRPr="00104C20">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04C20">
        <w:rPr>
          <w:rFonts w:ascii="Verdana" w:hAnsi="Verdana" w:cs="Arial"/>
          <w:bCs/>
          <w:szCs w:val="24"/>
          <w:lang w:val="es-ES_tradnl" w:eastAsia="es-ES_tradnl"/>
        </w:rPr>
        <w:t>”</w:t>
      </w:r>
      <w:r w:rsidRPr="00104C20">
        <w:rPr>
          <w:rStyle w:val="Refdenotaalpie"/>
          <w:rFonts w:ascii="Verdana" w:hAnsi="Verdana" w:cs="Arial"/>
          <w:bCs/>
          <w:szCs w:val="24"/>
          <w:lang w:val="es-ES_tradnl" w:eastAsia="es-ES_tradnl"/>
        </w:rPr>
        <w:footnoteReference w:id="10"/>
      </w:r>
      <w:r w:rsidRPr="00104C20">
        <w:rPr>
          <w:rFonts w:ascii="Verdana" w:hAnsi="Verdana" w:cs="Arial"/>
          <w:bCs/>
          <w:szCs w:val="24"/>
          <w:lang w:eastAsia="es-ES_tradnl"/>
        </w:rPr>
        <w:t>. En concordancia, la doctrina explica que en la estructuración de los precios unitarios se tendrán en cuenta todos los co</w:t>
      </w:r>
      <w:r>
        <w:rPr>
          <w:rFonts w:ascii="Verdana" w:hAnsi="Verdana" w:cs="Arial"/>
          <w:bCs/>
          <w:szCs w:val="24"/>
          <w:lang w:eastAsia="es-ES_tradnl"/>
        </w:rPr>
        <w:t>st</w:t>
      </w:r>
      <w:r w:rsidRPr="00104C20">
        <w:rPr>
          <w:rFonts w:ascii="Verdana" w:hAnsi="Verdana" w:cs="Arial"/>
          <w:bCs/>
          <w:szCs w:val="24"/>
          <w:lang w:eastAsia="es-ES_tradnl"/>
        </w:rPr>
        <w:t>os directos necesarios para la ejecución del objeto contractual que se multiplicará por al AIU, lo que determina el valor unitario:</w:t>
      </w:r>
    </w:p>
    <w:p w14:paraId="4583FC20" w14:textId="77777777" w:rsidR="00936B0C" w:rsidRPr="00104C20" w:rsidRDefault="00936B0C" w:rsidP="00936B0C">
      <w:pPr>
        <w:spacing w:after="0" w:line="276" w:lineRule="auto"/>
        <w:ind w:firstLine="709"/>
        <w:jc w:val="both"/>
        <w:rPr>
          <w:rFonts w:ascii="Verdana" w:hAnsi="Verdana" w:cs="Arial"/>
          <w:bCs/>
          <w:szCs w:val="24"/>
          <w:lang w:eastAsia="es-ES_tradnl"/>
        </w:rPr>
      </w:pPr>
    </w:p>
    <w:p w14:paraId="736C2A91" w14:textId="77777777" w:rsidR="00936B0C" w:rsidRPr="00BC4483" w:rsidRDefault="00936B0C" w:rsidP="00936B0C">
      <w:pPr>
        <w:tabs>
          <w:tab w:val="left" w:pos="709"/>
        </w:tabs>
        <w:spacing w:after="12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17A9FFCE" w14:textId="77777777" w:rsidR="00936B0C" w:rsidRPr="00104C20" w:rsidRDefault="00936B0C" w:rsidP="00936B0C">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 xml:space="preserve">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w:t>
      </w:r>
      <w:r w:rsidRPr="00BC4483">
        <w:rPr>
          <w:rFonts w:ascii="Verdana" w:hAnsi="Verdana" w:cs="Arial"/>
          <w:sz w:val="20"/>
          <w:szCs w:val="20"/>
          <w:lang w:val="es-ES_tradnl" w:eastAsia="es-ES_tradnl"/>
        </w:rPr>
        <w:lastRenderedPageBreak/>
        <w:t>deberá cancelar la entidad estatal. Dentro del valor unitario, entonces, están incorporados la totalidad de los gastos en los que incurre el contratista y la utilidad que espera recibir”</w:t>
      </w:r>
      <w:r w:rsidRPr="00BC4483">
        <w:rPr>
          <w:rStyle w:val="Refdenotaalpie"/>
          <w:rFonts w:ascii="Verdana" w:hAnsi="Verdana" w:cs="Arial"/>
          <w:sz w:val="20"/>
          <w:szCs w:val="20"/>
          <w:lang w:val="es-ES_tradnl" w:eastAsia="es-ES_tradnl"/>
        </w:rPr>
        <w:footnoteReference w:id="11"/>
      </w:r>
      <w:r w:rsidRPr="00BC4483">
        <w:rPr>
          <w:rFonts w:ascii="Verdana" w:hAnsi="Verdana" w:cs="Arial"/>
          <w:sz w:val="20"/>
          <w:szCs w:val="20"/>
          <w:lang w:val="es-ES_tradnl" w:eastAsia="es-ES_tradnl"/>
        </w:rPr>
        <w:t xml:space="preserve">. </w:t>
      </w:r>
    </w:p>
    <w:p w14:paraId="6FC7305D" w14:textId="77777777" w:rsidR="00936B0C" w:rsidRPr="00104C20" w:rsidRDefault="00936B0C" w:rsidP="00936B0C">
      <w:pPr>
        <w:tabs>
          <w:tab w:val="left" w:pos="709"/>
        </w:tabs>
        <w:spacing w:after="0" w:line="276" w:lineRule="auto"/>
        <w:ind w:left="709" w:right="760"/>
        <w:jc w:val="both"/>
        <w:rPr>
          <w:rFonts w:ascii="Verdana" w:hAnsi="Verdana" w:cs="Arial"/>
          <w:szCs w:val="24"/>
          <w:lang w:val="es-ES_tradnl" w:eastAsia="es-ES_tradnl"/>
        </w:rPr>
      </w:pPr>
    </w:p>
    <w:p w14:paraId="47975845" w14:textId="77777777" w:rsidR="00936B0C" w:rsidRPr="00104C20" w:rsidRDefault="00936B0C" w:rsidP="00936B0C">
      <w:pPr>
        <w:spacing w:after="0" w:line="276" w:lineRule="auto"/>
        <w:ind w:firstLine="709"/>
        <w:jc w:val="both"/>
        <w:rPr>
          <w:rFonts w:ascii="Verdana" w:hAnsi="Verdana" w:cs="Arial"/>
          <w:szCs w:val="24"/>
          <w:lang w:val="es-ES_tradnl" w:eastAsia="es-ES_tradnl"/>
        </w:rPr>
      </w:pPr>
      <w:r w:rsidRPr="00104C20">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14222BE8" w14:textId="77777777" w:rsidR="00936B0C" w:rsidRPr="00104C20" w:rsidRDefault="00936B0C" w:rsidP="00936B0C">
      <w:pPr>
        <w:spacing w:after="0" w:line="276" w:lineRule="auto"/>
        <w:ind w:firstLine="709"/>
        <w:jc w:val="both"/>
        <w:rPr>
          <w:rFonts w:ascii="Verdana" w:hAnsi="Verdana" w:cs="Arial"/>
          <w:szCs w:val="24"/>
          <w:lang w:val="es-ES_tradnl" w:eastAsia="es-ES_tradnl"/>
        </w:rPr>
      </w:pPr>
    </w:p>
    <w:p w14:paraId="7DFB18C7" w14:textId="77777777" w:rsidR="00936B0C" w:rsidRPr="00BC4483" w:rsidRDefault="00936B0C" w:rsidP="00936B0C">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 el AIU propuesto para el contrato, corresponde a: </w:t>
      </w:r>
    </w:p>
    <w:p w14:paraId="24F27EA9" w14:textId="77777777" w:rsidR="00936B0C" w:rsidRPr="00BC4483" w:rsidRDefault="00936B0C" w:rsidP="00936B0C">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05F1D052" w14:textId="77777777" w:rsidR="00936B0C" w:rsidRPr="00BC4483" w:rsidRDefault="00936B0C" w:rsidP="00936B0C">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w:t>
      </w:r>
      <w:proofErr w:type="spellEnd"/>
      <w:r w:rsidRPr="00BC4483">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BC4483">
        <w:rPr>
          <w:rFonts w:ascii="Verdana" w:hAnsi="Verdana" w:cs="Arial"/>
          <w:sz w:val="20"/>
          <w:szCs w:val="20"/>
          <w:lang w:val="es-ES" w:eastAsia="es-ES"/>
        </w:rPr>
        <w:t>álea</w:t>
      </w:r>
      <w:proofErr w:type="spellEnd"/>
      <w:r w:rsidRPr="00BC4483">
        <w:rPr>
          <w:rFonts w:ascii="Verdana" w:hAnsi="Verdana" w:cs="Arial"/>
          <w:sz w:val="20"/>
          <w:szCs w:val="20"/>
          <w:lang w:val="es-ES" w:eastAsia="es-ES"/>
        </w:rPr>
        <w:t xml:space="preserve"> normal del contrato: I; </w:t>
      </w:r>
    </w:p>
    <w:p w14:paraId="28D192BC" w14:textId="77777777" w:rsidR="00936B0C" w:rsidRPr="00BC4483" w:rsidRDefault="00936B0C" w:rsidP="00936B0C">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iii</w:t>
      </w:r>
      <w:proofErr w:type="spellEnd"/>
      <w:r w:rsidRPr="00BC4483">
        <w:rPr>
          <w:rFonts w:ascii="Verdana" w:hAnsi="Verdana" w:cs="Arial"/>
          <w:sz w:val="20"/>
          <w:szCs w:val="20"/>
          <w:lang w:val="es-ES" w:eastAsia="es-ES"/>
        </w:rPr>
        <w:t xml:space="preserve">) la utilidad o el beneficio económico que pretende percibir el contratista por la ejecución del contrato, esto es: U. </w:t>
      </w:r>
    </w:p>
    <w:p w14:paraId="0AF711F0" w14:textId="77777777" w:rsidR="00936B0C" w:rsidRPr="00104C20" w:rsidRDefault="00936B0C" w:rsidP="00936B0C">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BC4483">
        <w:rPr>
          <w:rFonts w:ascii="Verdana" w:hAnsi="Verdana" w:cs="Arial"/>
          <w:sz w:val="20"/>
          <w:szCs w:val="20"/>
          <w:vertAlign w:val="superscript"/>
          <w:lang w:val="es-ES_tradnl" w:eastAsia="es-ES_tradnl"/>
        </w:rPr>
        <w:footnoteReference w:id="12"/>
      </w:r>
      <w:r w:rsidRPr="00BC4483">
        <w:rPr>
          <w:rFonts w:ascii="Verdana" w:hAnsi="Verdana" w:cs="Arial"/>
          <w:sz w:val="20"/>
          <w:szCs w:val="20"/>
          <w:lang w:val="es-ES_tradnl" w:eastAsia="es-ES_tradnl"/>
        </w:rPr>
        <w:t>.</w:t>
      </w:r>
    </w:p>
    <w:p w14:paraId="4377DD48" w14:textId="77777777" w:rsidR="00936B0C" w:rsidRPr="00104C20" w:rsidRDefault="00936B0C" w:rsidP="00936B0C">
      <w:pPr>
        <w:tabs>
          <w:tab w:val="left" w:pos="709"/>
        </w:tabs>
        <w:spacing w:after="0" w:line="276" w:lineRule="auto"/>
        <w:ind w:left="709" w:right="760"/>
        <w:jc w:val="both"/>
        <w:rPr>
          <w:rFonts w:ascii="Verdana" w:hAnsi="Verdana" w:cs="Arial"/>
          <w:szCs w:val="24"/>
          <w:lang w:val="es-ES_tradnl" w:eastAsia="es-ES_tradnl"/>
        </w:rPr>
      </w:pPr>
    </w:p>
    <w:p w14:paraId="6870FCBA" w14:textId="77777777" w:rsidR="00936B0C" w:rsidRPr="00104C20" w:rsidRDefault="00936B0C" w:rsidP="00936B0C">
      <w:pPr>
        <w:spacing w:after="0" w:line="276" w:lineRule="auto"/>
        <w:ind w:firstLine="709"/>
        <w:jc w:val="both"/>
        <w:rPr>
          <w:rFonts w:ascii="Verdana" w:hAnsi="Verdana" w:cs="Arial"/>
          <w:lang w:val="es-ES" w:eastAsia="es-ES"/>
        </w:rPr>
      </w:pPr>
      <w:r w:rsidRPr="00104C20">
        <w:rPr>
          <w:rFonts w:ascii="Verdana" w:hAnsi="Verdana" w:cs="Arial"/>
          <w:lang w:val="es-ES" w:eastAsia="es-ES"/>
        </w:rPr>
        <w:t>A su turno, la Sala de Consulta y Servicio Civil del Consejo de Estado sostuvo en concepto del 5 de septiembre de 2018</w:t>
      </w:r>
      <w:r w:rsidRPr="00104C20">
        <w:rPr>
          <w:rFonts w:ascii="Verdana" w:hAnsi="Verdana" w:cs="Arial"/>
          <w:vertAlign w:val="superscript"/>
          <w:lang w:val="es-ES" w:eastAsia="es-ES"/>
        </w:rPr>
        <w:footnoteReference w:id="13"/>
      </w:r>
      <w:r w:rsidRPr="00104C20">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104C20">
        <w:rPr>
          <w:rFonts w:ascii="Verdana" w:hAnsi="Verdana" w:cs="Arial"/>
          <w:vertAlign w:val="superscript"/>
          <w:lang w:val="es-ES" w:eastAsia="es-ES"/>
        </w:rPr>
        <w:footnoteReference w:id="14"/>
      </w:r>
      <w:r w:rsidRPr="00104C20">
        <w:rPr>
          <w:rFonts w:ascii="Verdana" w:hAnsi="Verdana" w:cs="Arial"/>
          <w:lang w:val="es-ES" w:eastAsia="es-ES"/>
        </w:rPr>
        <w:t xml:space="preserve">, sin perjuicio que en otros </w:t>
      </w:r>
      <w:r w:rsidRPr="00104C20">
        <w:rPr>
          <w:rFonts w:ascii="Verdana" w:hAnsi="Verdana" w:cs="Arial"/>
          <w:lang w:val="es-ES" w:eastAsia="es-ES"/>
        </w:rPr>
        <w:lastRenderedPageBreak/>
        <w:t>contratos este valor no aparezca discriminado y se incorpore en el valor de los precios unitarios”</w:t>
      </w:r>
      <w:r w:rsidRPr="00104C20">
        <w:rPr>
          <w:rFonts w:ascii="Verdana" w:hAnsi="Verdana" w:cs="Arial"/>
          <w:vertAlign w:val="superscript"/>
          <w:lang w:val="es-ES" w:eastAsia="es-ES"/>
        </w:rPr>
        <w:footnoteReference w:id="15"/>
      </w:r>
      <w:r w:rsidRPr="00104C20">
        <w:rPr>
          <w:rFonts w:ascii="Verdana" w:hAnsi="Verdana" w:cs="Arial"/>
          <w:lang w:val="es-ES" w:eastAsia="es-ES"/>
        </w:rPr>
        <w:t xml:space="preserve">. </w:t>
      </w:r>
    </w:p>
    <w:p w14:paraId="519C6926" w14:textId="77777777" w:rsidR="00936B0C" w:rsidRPr="00104C20" w:rsidRDefault="00936B0C" w:rsidP="00936B0C">
      <w:pPr>
        <w:spacing w:before="120" w:after="0" w:line="276" w:lineRule="auto"/>
        <w:ind w:firstLine="709"/>
        <w:jc w:val="both"/>
        <w:rPr>
          <w:rFonts w:ascii="Verdana" w:hAnsi="Verdana" w:cs="Arial"/>
          <w:bCs/>
          <w:szCs w:val="24"/>
          <w:lang w:val="es-ES_tradnl" w:eastAsia="es-ES_tradnl"/>
        </w:rPr>
      </w:pPr>
      <w:r w:rsidRPr="00104C20">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w:t>
      </w:r>
      <w:r>
        <w:rPr>
          <w:rFonts w:ascii="Verdana" w:hAnsi="Verdana" w:cs="Arial"/>
          <w:bCs/>
          <w:szCs w:val="24"/>
          <w:lang w:val="es-ES_tradnl" w:eastAsia="es-ES_tradnl"/>
        </w:rPr>
        <w:t>:</w:t>
      </w:r>
      <w:r w:rsidRPr="00104C20">
        <w:rPr>
          <w:rFonts w:ascii="Verdana" w:hAnsi="Verdana" w:cs="Arial"/>
          <w:bCs/>
          <w:szCs w:val="24"/>
          <w:lang w:val="es-ES_tradnl" w:eastAsia="es-ES_tradnl"/>
        </w:rPr>
        <w:t xml:space="preserve">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04C20">
        <w:rPr>
          <w:rFonts w:ascii="Verdana" w:hAnsi="Verdana" w:cs="Arial"/>
          <w:bCs/>
          <w:szCs w:val="24"/>
          <w:vertAlign w:val="superscript"/>
          <w:lang w:val="es-ES_tradnl" w:eastAsia="es-ES_tradnl"/>
        </w:rPr>
        <w:footnoteReference w:id="16"/>
      </w:r>
      <w:r w:rsidRPr="00104C20">
        <w:rPr>
          <w:rFonts w:ascii="Verdana" w:hAnsi="Verdana" w:cs="Arial"/>
          <w:bCs/>
          <w:szCs w:val="24"/>
          <w:lang w:val="es-ES_tradnl" w:eastAsia="es-ES_tradnl"/>
        </w:rPr>
        <w:t xml:space="preserve">. De otro lado, quien define el valor de cada </w:t>
      </w:r>
      <w:r w:rsidRPr="00104C20">
        <w:rPr>
          <w:rFonts w:ascii="Verdana" w:hAnsi="Verdana" w:cs="Arial"/>
          <w:bCs/>
          <w:i/>
          <w:iCs/>
          <w:szCs w:val="24"/>
          <w:lang w:val="es-ES_tradnl" w:eastAsia="es-ES_tradnl"/>
        </w:rPr>
        <w:t>letra</w:t>
      </w:r>
      <w:r w:rsidRPr="00104C20">
        <w:rPr>
          <w:rFonts w:ascii="Verdana" w:hAnsi="Verdana" w:cs="Arial"/>
          <w:bCs/>
          <w:szCs w:val="24"/>
          <w:lang w:val="es-ES_tradnl" w:eastAsia="es-ES_tradnl"/>
        </w:rPr>
        <w:t xml:space="preserve"> –AIU– es el proponente, pues goza de libertad empresarial para hacerlo en la elaboración de su oferta</w:t>
      </w:r>
      <w:r w:rsidRPr="00104C20">
        <w:rPr>
          <w:rFonts w:ascii="Verdana" w:hAnsi="Verdana" w:cs="Arial"/>
          <w:bCs/>
          <w:szCs w:val="24"/>
          <w:vertAlign w:val="superscript"/>
          <w:lang w:val="es-ES_tradnl" w:eastAsia="es-ES_tradnl"/>
        </w:rPr>
        <w:footnoteReference w:id="17"/>
      </w:r>
      <w:r w:rsidRPr="00104C20">
        <w:rPr>
          <w:rFonts w:ascii="Verdana" w:hAnsi="Verdana" w:cs="Arial"/>
          <w:bCs/>
          <w:szCs w:val="24"/>
          <w:lang w:val="es-ES_tradnl" w:eastAsia="es-ES_tradnl"/>
        </w:rPr>
        <w:t>.</w:t>
      </w:r>
    </w:p>
    <w:p w14:paraId="787AC120" w14:textId="77777777" w:rsidR="00936B0C" w:rsidRPr="00415D51" w:rsidRDefault="00936B0C" w:rsidP="00936B0C">
      <w:pPr>
        <w:spacing w:before="120" w:after="0" w:line="276" w:lineRule="auto"/>
        <w:ind w:firstLine="709"/>
        <w:jc w:val="both"/>
        <w:rPr>
          <w:rFonts w:ascii="Verdana" w:hAnsi="Verdana" w:cs="Arial"/>
          <w:lang w:val="es-ES" w:eastAsia="es-ES"/>
        </w:rPr>
      </w:pPr>
      <w:r>
        <w:rPr>
          <w:rFonts w:ascii="Verdana" w:hAnsi="Verdana" w:cs="Arial"/>
          <w:lang w:val="es-ES" w:eastAsia="es-ES"/>
        </w:rPr>
        <w:t>De esta manera</w:t>
      </w:r>
      <w:r w:rsidRPr="00104C20">
        <w:rPr>
          <w:rFonts w:ascii="Verdana" w:hAnsi="Verdana" w:cs="Arial"/>
          <w:lang w:val="es-ES" w:eastAsia="es-ES"/>
        </w:rPr>
        <w:t>,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w:t>
      </w:r>
      <w:r>
        <w:rPr>
          <w:rFonts w:ascii="Verdana" w:hAnsi="Verdana" w:cs="Arial"/>
          <w:lang w:val="es-ES" w:eastAsia="es-ES"/>
        </w:rPr>
        <w:t xml:space="preserve"> </w:t>
      </w:r>
      <w:r w:rsidRPr="00104C20">
        <w:rPr>
          <w:rFonts w:ascii="Verdana" w:hAnsi="Verdana" w:cs="Arial"/>
          <w:bCs/>
          <w:szCs w:val="24"/>
          <w:lang w:val="es-ES_tradnl"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8335E8">
        <w:rPr>
          <w:rFonts w:ascii="Verdana" w:hAnsi="Verdana" w:cs="Arial"/>
          <w:bCs/>
          <w:i/>
          <w:iCs/>
          <w:szCs w:val="24"/>
          <w:lang w:val="es-ES_tradnl" w:eastAsia="es-ES_tradnl"/>
        </w:rPr>
        <w:t>Administración</w:t>
      </w:r>
      <w:r w:rsidRPr="00104C20">
        <w:rPr>
          <w:rFonts w:ascii="Verdana" w:hAnsi="Verdana" w:cs="Arial"/>
          <w:bCs/>
          <w:szCs w:val="24"/>
          <w:lang w:val="es-ES_tradnl" w:eastAsia="es-ES_tradnl"/>
        </w:rPr>
        <w:t xml:space="preserve"> o los </w:t>
      </w:r>
      <w:r w:rsidRPr="008335E8">
        <w:rPr>
          <w:rFonts w:ascii="Verdana" w:hAnsi="Verdana" w:cs="Arial"/>
          <w:bCs/>
          <w:i/>
          <w:iCs/>
          <w:szCs w:val="24"/>
          <w:lang w:val="es-ES_tradnl" w:eastAsia="es-ES_tradnl"/>
        </w:rPr>
        <w:t>Imprevistos</w:t>
      </w:r>
      <w:r w:rsidRPr="00104C20">
        <w:rPr>
          <w:rFonts w:ascii="Verdana" w:hAnsi="Verdana" w:cs="Arial"/>
          <w:bCs/>
          <w:szCs w:val="24"/>
          <w:lang w:val="es-ES_tradnl" w:eastAsia="es-ES_tradnl"/>
        </w:rPr>
        <w:t xml:space="preserve"> s</w:t>
      </w:r>
      <w:r>
        <w:rPr>
          <w:rFonts w:ascii="Verdana" w:hAnsi="Verdana" w:cs="Arial"/>
          <w:bCs/>
          <w:szCs w:val="24"/>
          <w:lang w:val="es-ES_tradnl" w:eastAsia="es-ES_tradnl"/>
        </w:rPr>
        <w:t>ó</w:t>
      </w:r>
      <w:r w:rsidRPr="00104C20">
        <w:rPr>
          <w:rFonts w:ascii="Verdana" w:hAnsi="Verdana" w:cs="Arial"/>
          <w:bCs/>
          <w:szCs w:val="24"/>
          <w:lang w:val="es-ES_tradnl" w:eastAsia="es-ES_tradnl"/>
        </w:rPr>
        <w:t>lo se pagan si el contratista demuestra que incurrió en algun</w:t>
      </w:r>
      <w:r>
        <w:rPr>
          <w:rFonts w:ascii="Verdana" w:hAnsi="Verdana" w:cs="Arial"/>
          <w:bCs/>
          <w:szCs w:val="24"/>
          <w:lang w:val="es-ES_tradnl" w:eastAsia="es-ES_tradnl"/>
        </w:rPr>
        <w:t>a</w:t>
      </w:r>
      <w:r w:rsidRPr="00104C20">
        <w:rPr>
          <w:rFonts w:ascii="Verdana" w:hAnsi="Verdana" w:cs="Arial"/>
          <w:bCs/>
          <w:szCs w:val="24"/>
          <w:lang w:val="es-ES_tradnl" w:eastAsia="es-ES_tradnl"/>
        </w:rPr>
        <w:t xml:space="preserve">s </w:t>
      </w:r>
      <w:r>
        <w:rPr>
          <w:rFonts w:ascii="Verdana" w:hAnsi="Verdana" w:cs="Arial"/>
          <w:bCs/>
          <w:szCs w:val="24"/>
          <w:lang w:val="es-ES_tradnl" w:eastAsia="es-ES_tradnl"/>
        </w:rPr>
        <w:t>situaciones</w:t>
      </w:r>
      <w:r w:rsidRPr="00104C20">
        <w:rPr>
          <w:rFonts w:ascii="Verdana" w:hAnsi="Verdana" w:cs="Arial"/>
          <w:bCs/>
          <w:szCs w:val="24"/>
          <w:lang w:val="es-ES_tradnl" w:eastAsia="es-ES_tradnl"/>
        </w:rPr>
        <w:t xml:space="preserve"> específic</w:t>
      </w:r>
      <w:r>
        <w:rPr>
          <w:rFonts w:ascii="Verdana" w:hAnsi="Verdana" w:cs="Arial"/>
          <w:bCs/>
          <w:szCs w:val="24"/>
          <w:lang w:val="es-ES_tradnl" w:eastAsia="es-ES_tradnl"/>
        </w:rPr>
        <w:t xml:space="preserve">as </w:t>
      </w:r>
      <w:r w:rsidRPr="00104C20">
        <w:rPr>
          <w:rFonts w:ascii="Verdana" w:hAnsi="Verdana" w:cs="Arial"/>
          <w:bCs/>
          <w:szCs w:val="24"/>
          <w:lang w:val="es-ES_tradnl" w:eastAsia="es-ES_tradnl"/>
        </w:rPr>
        <w:t xml:space="preserve">y bajo el monto que este logre demostrar. </w:t>
      </w:r>
    </w:p>
    <w:p w14:paraId="184FDF2A" w14:textId="77777777" w:rsidR="00936B0C" w:rsidRPr="00104C20" w:rsidRDefault="00936B0C" w:rsidP="00936B0C">
      <w:pPr>
        <w:spacing w:before="120" w:after="0" w:line="276" w:lineRule="auto"/>
        <w:jc w:val="both"/>
        <w:rPr>
          <w:rFonts w:ascii="Verdana" w:hAnsi="Verdana" w:cs="Arial"/>
          <w:lang w:val="es-ES" w:eastAsia="es-ES"/>
        </w:rPr>
      </w:pPr>
      <w:r w:rsidRPr="00104C20">
        <w:rPr>
          <w:rFonts w:ascii="Verdana" w:hAnsi="Verdana" w:cs="Arial"/>
          <w:bCs/>
          <w:szCs w:val="24"/>
          <w:lang w:val="es-ES_tradnl" w:eastAsia="es-ES_tradnl"/>
        </w:rPr>
        <w:tab/>
      </w:r>
      <w:r w:rsidRPr="00104C20">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w:t>
      </w:r>
      <w:r w:rsidRPr="00104C20">
        <w:rPr>
          <w:rFonts w:ascii="Verdana" w:hAnsi="Verdana" w:cs="Arial"/>
          <w:lang w:val="es-ES" w:eastAsia="es-ES"/>
        </w:rPr>
        <w:lastRenderedPageBreak/>
        <w:t xml:space="preserve">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Pr>
          <w:rFonts w:ascii="Verdana" w:hAnsi="Verdana" w:cs="Arial"/>
          <w:lang w:val="es-ES" w:eastAsia="es-ES"/>
        </w:rPr>
        <w:t>á</w:t>
      </w:r>
      <w:r w:rsidRPr="00104C20">
        <w:rPr>
          <w:rFonts w:ascii="Verdana" w:hAnsi="Verdana" w:cs="Arial"/>
          <w:lang w:val="es-ES" w:eastAsia="es-ES"/>
        </w:rPr>
        <w:t>leas</w:t>
      </w:r>
      <w:proofErr w:type="spellEnd"/>
      <w:r w:rsidRPr="00104C20">
        <w:rPr>
          <w:rFonts w:ascii="Verdana" w:hAnsi="Verdana" w:cs="Arial"/>
          <w:lang w:val="es-ES" w:eastAsia="es-ES"/>
        </w:rPr>
        <w:t xml:space="preserve"> normales que se presenten en la ejecución del contrato, de manera que</w:t>
      </w:r>
      <w:r>
        <w:rPr>
          <w:rFonts w:ascii="Verdana" w:hAnsi="Verdana" w:cs="Arial"/>
          <w:lang w:val="es-ES" w:eastAsia="es-ES"/>
        </w:rPr>
        <w:t>,</w:t>
      </w:r>
      <w:r w:rsidRPr="00104C20">
        <w:rPr>
          <w:rFonts w:ascii="Verdana" w:hAnsi="Verdana" w:cs="Arial"/>
          <w:lang w:val="es-ES" w:eastAsia="es-ES"/>
        </w:rPr>
        <w:t xml:space="preserve"> aunque el contratista incurra en mayores costos de los ítems incluidos en la </w:t>
      </w:r>
      <w:r w:rsidRPr="00104C20">
        <w:rPr>
          <w:rFonts w:ascii="Verdana" w:hAnsi="Verdana" w:cs="Arial"/>
          <w:i/>
          <w:iCs/>
          <w:lang w:val="es-ES" w:eastAsia="es-ES"/>
        </w:rPr>
        <w:t>Administración</w:t>
      </w:r>
      <w:r w:rsidRPr="00104C20">
        <w:rPr>
          <w:rFonts w:ascii="Verdana" w:hAnsi="Verdana" w:cs="Arial"/>
          <w:lang w:val="es-ES" w:eastAsia="es-ES"/>
        </w:rPr>
        <w:t xml:space="preserve"> </w:t>
      </w:r>
      <w:r>
        <w:rPr>
          <w:rFonts w:ascii="Verdana" w:hAnsi="Verdana" w:cs="Arial"/>
          <w:lang w:val="es-ES" w:eastAsia="es-ES"/>
        </w:rPr>
        <w:t xml:space="preserve">o en más gastos de </w:t>
      </w:r>
      <w:r w:rsidRPr="00415D51">
        <w:rPr>
          <w:rFonts w:ascii="Verdana" w:hAnsi="Verdana" w:cs="Arial"/>
          <w:i/>
          <w:iCs/>
          <w:lang w:val="es-ES" w:eastAsia="es-ES"/>
        </w:rPr>
        <w:t>Imprevistos</w:t>
      </w:r>
      <w:r>
        <w:rPr>
          <w:rFonts w:ascii="Verdana" w:hAnsi="Verdana" w:cs="Arial"/>
          <w:lang w:val="es-ES" w:eastAsia="es-ES"/>
        </w:rPr>
        <w:t xml:space="preserve"> </w:t>
      </w:r>
      <w:r w:rsidRPr="00104C20">
        <w:rPr>
          <w:rFonts w:ascii="Verdana" w:hAnsi="Verdana" w:cs="Arial"/>
          <w:lang w:val="es-ES" w:eastAsia="es-ES"/>
        </w:rPr>
        <w:t xml:space="preserve">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w:t>
      </w:r>
      <w:r>
        <w:rPr>
          <w:rFonts w:ascii="Verdana" w:hAnsi="Verdana" w:cs="Arial"/>
          <w:lang w:val="es-ES" w:eastAsia="es-ES"/>
        </w:rPr>
        <w:t xml:space="preserve">o gasto </w:t>
      </w:r>
      <w:r w:rsidRPr="00104C20">
        <w:rPr>
          <w:rFonts w:ascii="Verdana" w:hAnsi="Verdana" w:cs="Arial"/>
          <w:lang w:val="es-ES" w:eastAsia="es-ES"/>
        </w:rPr>
        <w:t xml:space="preserve">específico asociado a la </w:t>
      </w:r>
      <w:r w:rsidRPr="00104C20">
        <w:rPr>
          <w:rFonts w:ascii="Verdana" w:hAnsi="Verdana" w:cs="Arial"/>
          <w:i/>
          <w:iCs/>
          <w:lang w:val="es-ES" w:eastAsia="es-ES"/>
        </w:rPr>
        <w:t>Administración</w:t>
      </w:r>
      <w:r>
        <w:rPr>
          <w:rFonts w:ascii="Verdana" w:hAnsi="Verdana" w:cs="Arial"/>
          <w:i/>
          <w:iCs/>
          <w:lang w:val="es-ES" w:eastAsia="es-ES"/>
        </w:rPr>
        <w:t xml:space="preserve"> </w:t>
      </w:r>
      <w:r w:rsidRPr="00415D51">
        <w:rPr>
          <w:rFonts w:ascii="Verdana" w:hAnsi="Verdana" w:cs="Arial"/>
          <w:lang w:val="es-ES" w:eastAsia="es-ES"/>
        </w:rPr>
        <w:t>o lo</w:t>
      </w:r>
      <w:r>
        <w:rPr>
          <w:rFonts w:ascii="Verdana" w:hAnsi="Verdana" w:cs="Arial"/>
          <w:i/>
          <w:iCs/>
          <w:lang w:val="es-ES" w:eastAsia="es-ES"/>
        </w:rPr>
        <w:t>s Imprevistos</w:t>
      </w:r>
      <w:r w:rsidRPr="00104C20">
        <w:rPr>
          <w:rFonts w:ascii="Verdana" w:hAnsi="Verdana" w:cs="Arial"/>
          <w:lang w:val="es-ES" w:eastAsia="es-ES"/>
        </w:rPr>
        <w:t>, lo que generaría más gastos tanto para la entidad como para el contratista.</w:t>
      </w:r>
    </w:p>
    <w:p w14:paraId="4B310F5F" w14:textId="77777777" w:rsidR="00936B0C" w:rsidRPr="00104C20" w:rsidRDefault="00936B0C" w:rsidP="00936B0C">
      <w:pPr>
        <w:spacing w:before="120" w:after="0" w:line="276" w:lineRule="auto"/>
        <w:jc w:val="both"/>
        <w:rPr>
          <w:rFonts w:ascii="Verdana" w:hAnsi="Verdana" w:cs="Arial"/>
          <w:bCs/>
          <w:szCs w:val="24"/>
          <w:lang w:val="es-ES_tradnl" w:eastAsia="es-ES_tradnl"/>
        </w:rPr>
      </w:pPr>
      <w:r w:rsidRPr="00104C20">
        <w:rPr>
          <w:rFonts w:ascii="Verdana" w:hAnsi="Verdana" w:cs="Arial"/>
          <w:bCs/>
          <w:szCs w:val="24"/>
          <w:lang w:val="es-ES_tradnl" w:eastAsia="es-ES_tradnl"/>
        </w:rPr>
        <w:tab/>
        <w:t>En este sentido, cuando las entidades estatales incluyen esta forma de desglosar el precio, en los últimos términos indicados, al realizar el estudio de mercado elaboran un presupuesto estimado del valor de la ejecución del contrato</w:t>
      </w:r>
      <w:r>
        <w:rPr>
          <w:rFonts w:ascii="Verdana" w:hAnsi="Verdana" w:cs="Arial"/>
          <w:bCs/>
          <w:szCs w:val="24"/>
          <w:lang w:val="es-ES_tradnl" w:eastAsia="es-ES_tradnl"/>
        </w:rPr>
        <w:t>, el cual supone un análisis técnico de los costos</w:t>
      </w:r>
      <w:r w:rsidRPr="00104C20">
        <w:rPr>
          <w:rFonts w:ascii="Verdana" w:hAnsi="Verdana" w:cs="Arial"/>
          <w:bCs/>
          <w:szCs w:val="24"/>
          <w:lang w:val="es-ES_tradnl" w:eastAsia="es-ES_tradnl"/>
        </w:rPr>
        <w:t xml:space="preserve">.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vertAlign w:val="superscript"/>
          <w:lang w:val="es-ES_tradnl" w:eastAsia="es-ES_tradnl"/>
        </w:rPr>
        <w:footnoteReference w:id="18"/>
      </w:r>
      <w:r w:rsidRPr="00104C20">
        <w:rPr>
          <w:rFonts w:ascii="Verdana" w:hAnsi="Verdana" w:cs="Arial"/>
          <w:bCs/>
          <w:szCs w:val="24"/>
          <w:lang w:val="es-ES_tradnl" w:eastAsia="es-ES_tradnl"/>
        </w:rPr>
        <w:t xml:space="preserve">. </w:t>
      </w:r>
      <w:r>
        <w:rPr>
          <w:rFonts w:ascii="Verdana" w:hAnsi="Verdana" w:cs="Arial"/>
          <w:bCs/>
          <w:szCs w:val="24"/>
          <w:lang w:val="es-ES_tradnl" w:eastAsia="es-ES_tradnl"/>
        </w:rPr>
        <w:t>Por tanto, en abstracto, no existe un límite mínimo ni máximo respecto al porcentaje.</w:t>
      </w:r>
    </w:p>
    <w:p w14:paraId="3427836F" w14:textId="77777777" w:rsidR="00936B0C" w:rsidRDefault="00936B0C" w:rsidP="00936B0C">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w:t>
      </w:r>
      <w:r w:rsidRPr="00104C20">
        <w:rPr>
          <w:rFonts w:ascii="Verdana" w:hAnsi="Verdana" w:cs="Arial"/>
          <w:lang w:val="es-ES" w:eastAsia="es-ES"/>
        </w:rPr>
        <w:lastRenderedPageBreak/>
        <w:t xml:space="preserve">porcentaje fijo y estable también puede resultar favorable a la entidad estatal, pues su contraparte no le podrá exigir un monto superior, bajo el argumento de que incurrió en costos </w:t>
      </w:r>
      <w:r>
        <w:rPr>
          <w:rFonts w:ascii="Verdana" w:hAnsi="Verdana" w:cs="Arial"/>
          <w:lang w:val="es-ES" w:eastAsia="es-ES"/>
        </w:rPr>
        <w:t xml:space="preserve">o gastos </w:t>
      </w:r>
      <w:r w:rsidRPr="00104C20">
        <w:rPr>
          <w:rFonts w:ascii="Verdana" w:hAnsi="Verdana" w:cs="Arial"/>
          <w:lang w:val="es-ES" w:eastAsia="es-ES"/>
        </w:rPr>
        <w:t xml:space="preserve">adicionales asociados al componente </w:t>
      </w:r>
      <w:r w:rsidRPr="008335E8">
        <w:rPr>
          <w:rFonts w:ascii="Verdana" w:hAnsi="Verdana" w:cs="Arial"/>
          <w:i/>
          <w:iCs/>
          <w:lang w:val="es-ES" w:eastAsia="es-ES"/>
        </w:rPr>
        <w:t>Administración</w:t>
      </w:r>
      <w:r>
        <w:rPr>
          <w:rFonts w:ascii="Verdana" w:hAnsi="Verdana" w:cs="Arial"/>
          <w:lang w:val="es-ES" w:eastAsia="es-ES"/>
        </w:rPr>
        <w:t xml:space="preserve"> o de </w:t>
      </w:r>
      <w:r w:rsidRPr="008335E8">
        <w:rPr>
          <w:rFonts w:ascii="Verdana" w:hAnsi="Verdana" w:cs="Arial"/>
          <w:i/>
          <w:iCs/>
          <w:lang w:val="es-ES" w:eastAsia="es-ES"/>
        </w:rPr>
        <w:t>Imprevistos</w:t>
      </w:r>
      <w:r w:rsidRPr="00104C20">
        <w:rPr>
          <w:rFonts w:ascii="Verdana" w:hAnsi="Verdana" w:cs="Arial"/>
          <w:lang w:val="es-ES" w:eastAsia="es-ES"/>
        </w:rPr>
        <w:t>.</w:t>
      </w:r>
    </w:p>
    <w:p w14:paraId="6AE9FD95" w14:textId="77777777" w:rsidR="00936B0C" w:rsidRDefault="00936B0C" w:rsidP="00936B0C">
      <w:pPr>
        <w:spacing w:before="120" w:after="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w:t>
      </w:r>
      <w:proofErr w:type="spellStart"/>
      <w:r w:rsidRPr="00BB09DB">
        <w:rPr>
          <w:rFonts w:ascii="Verdana" w:hAnsi="Verdana" w:cs="Arial"/>
          <w:lang w:val="es-ES" w:eastAsia="es-ES"/>
        </w:rPr>
        <w:t>experticios</w:t>
      </w:r>
      <w:proofErr w:type="spellEnd"/>
      <w:r w:rsidRPr="00BB09DB">
        <w:rPr>
          <w:rFonts w:ascii="Verdana" w:hAnsi="Verdana" w:cs="Arial"/>
          <w:lang w:val="es-ES" w:eastAsia="es-ES"/>
        </w:rPr>
        <w:t xml:space="preserve"> técnicos necesarios para evaluar una tarea o trabajo no previsto; la reparación de maquinaria; el alquiler de equipos que no se habían contemplado</w:t>
      </w:r>
      <w:r>
        <w:rPr>
          <w:rFonts w:ascii="Verdana" w:hAnsi="Verdana" w:cs="Arial"/>
          <w:lang w:val="es-ES" w:eastAsia="es-ES"/>
        </w:rPr>
        <w:t>, entre otros […]”</w:t>
      </w:r>
      <w:r>
        <w:rPr>
          <w:rStyle w:val="Refdenotaalpie"/>
          <w:rFonts w:ascii="Verdana" w:hAnsi="Verdana" w:cs="Arial"/>
          <w:lang w:val="es-ES" w:eastAsia="es-ES"/>
        </w:rPr>
        <w:footnoteReference w:id="19"/>
      </w:r>
      <w:r>
        <w:rPr>
          <w:rFonts w:ascii="Verdana" w:hAnsi="Verdana" w:cs="Arial"/>
          <w:lang w:val="es-ES" w:eastAsia="es-ES"/>
        </w:rPr>
        <w:t>.</w:t>
      </w:r>
    </w:p>
    <w:p w14:paraId="2DB2292D" w14:textId="77777777" w:rsidR="00936B0C" w:rsidRDefault="00936B0C" w:rsidP="00936B0C">
      <w:pPr>
        <w:spacing w:before="120" w:after="0" w:line="276" w:lineRule="auto"/>
        <w:ind w:firstLine="708"/>
        <w:jc w:val="both"/>
        <w:rPr>
          <w:rFonts w:ascii="Verdana" w:hAnsi="Verdana" w:cs="Arial"/>
          <w:lang w:eastAsia="es-ES"/>
        </w:rPr>
      </w:pPr>
      <w:r w:rsidRPr="1A02DAE0">
        <w:rPr>
          <w:rFonts w:ascii="Verdana" w:hAnsi="Verdana" w:cs="Arial"/>
          <w:lang w:eastAsia="es-ES"/>
        </w:rPr>
        <w:t>Estos imprevistos son diferentes a las situaciones que corresponden a contingencias extraordinarias, imprevisibles y no controlables por las partes –como los desastres naturales, por ejemplo– que generan un impacto grave y exceden la ejecución ordinaria del contrato. Es decir, “[…] la I como parte del precio no debe confundirse con los riesgos del contrato que conducen al desequilibrio financiero, porque mientras aquélla se refiere a la parte de los gastos extraordinarios que se presentan en el día a día de una obra, pero que son ‘normales’ en su desarrollo; éstos aluden a las contingencias que exceden la ejecución ordinaria del contrato y la capacidad de soportarlas […]”</w:t>
      </w:r>
      <w:r w:rsidRPr="1A02DAE0">
        <w:rPr>
          <w:rStyle w:val="Refdenotaalpie"/>
          <w:rFonts w:ascii="Verdana" w:hAnsi="Verdana" w:cs="Arial"/>
          <w:lang w:eastAsia="es-ES"/>
        </w:rPr>
        <w:footnoteReference w:id="20"/>
      </w:r>
      <w:r w:rsidRPr="1A02DAE0">
        <w:rPr>
          <w:rFonts w:ascii="Verdana" w:hAnsi="Verdana" w:cs="Arial"/>
          <w:lang w:eastAsia="es-ES"/>
        </w:rPr>
        <w:t>. Mientras los primeros integran el precio y forman parte del riesgo normal asumido por el contratista, los segundos pueden dar lugar restablecimiento de la ecuación económica, ya que su asignación no siempre es clara y puede requerir decisión judicial para determinar quién debe asumir su costo</w:t>
      </w:r>
      <w:r w:rsidRPr="1A02DAE0">
        <w:rPr>
          <w:rStyle w:val="Refdenotaalpie"/>
          <w:rFonts w:ascii="Verdana" w:hAnsi="Verdana" w:cs="Arial"/>
          <w:lang w:eastAsia="es-ES"/>
        </w:rPr>
        <w:footnoteReference w:id="21"/>
      </w:r>
      <w:r w:rsidRPr="1A02DAE0">
        <w:rPr>
          <w:rFonts w:ascii="Verdana" w:hAnsi="Verdana" w:cs="Arial"/>
          <w:lang w:eastAsia="es-ES"/>
        </w:rPr>
        <w:t xml:space="preserve">. </w:t>
      </w:r>
    </w:p>
    <w:p w14:paraId="26E27A57" w14:textId="77777777" w:rsidR="00936B0C" w:rsidRPr="00371A1F" w:rsidRDefault="00936B0C" w:rsidP="00936B0C">
      <w:pPr>
        <w:spacing w:before="120" w:after="0" w:line="276" w:lineRule="auto"/>
        <w:ind w:firstLine="708"/>
        <w:jc w:val="both"/>
        <w:rPr>
          <w:rFonts w:ascii="Verdana" w:hAnsi="Verdana" w:cs="Arial"/>
          <w:lang w:val="es-ES" w:eastAsia="es-ES"/>
        </w:rPr>
      </w:pPr>
      <w:r>
        <w:rPr>
          <w:rFonts w:ascii="Verdana" w:hAnsi="Verdana" w:cs="Arial"/>
          <w:lang w:val="es-ES" w:eastAsia="es-ES"/>
        </w:rPr>
        <w:t xml:space="preserve">Asimismo, </w:t>
      </w:r>
      <w:r w:rsidRPr="00371A1F">
        <w:rPr>
          <w:rFonts w:ascii="Verdana" w:hAnsi="Verdana" w:cs="Arial"/>
          <w:lang w:val="es-ES" w:eastAsia="es-ES"/>
        </w:rPr>
        <w:t xml:space="preserve">es necesario tener en cuenta que la Contraloría General de la República replanteó las conclusiones de los Conceptos OJ-0043 y 0J-0075 de 2019, así como del Concepto OJ-130 de 2020. Si bien en ellos sostenía que “[…] los imprevistos no forman parte de la utilidad del contratista, razón por la cual </w:t>
      </w:r>
      <w:r w:rsidRPr="00371A1F">
        <w:rPr>
          <w:rFonts w:ascii="Verdana" w:hAnsi="Verdana" w:cs="Arial"/>
          <w:lang w:val="es-ES" w:eastAsia="es-ES"/>
        </w:rPr>
        <w:lastRenderedPageBreak/>
        <w:t>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la Contraloría General de la República estima que:</w:t>
      </w:r>
    </w:p>
    <w:p w14:paraId="597C3106" w14:textId="77777777" w:rsidR="00936B0C" w:rsidRPr="00371A1F" w:rsidRDefault="00936B0C" w:rsidP="00936B0C">
      <w:pPr>
        <w:spacing w:after="0" w:line="276" w:lineRule="auto"/>
        <w:ind w:firstLine="708"/>
        <w:jc w:val="both"/>
        <w:rPr>
          <w:rFonts w:ascii="Verdana" w:hAnsi="Verdana" w:cs="Arial"/>
          <w:lang w:val="es-ES" w:eastAsia="es-ES"/>
        </w:rPr>
      </w:pPr>
    </w:p>
    <w:p w14:paraId="0C718FB8" w14:textId="77777777" w:rsidR="00936B0C" w:rsidRPr="00BC4483" w:rsidRDefault="00936B0C" w:rsidP="00936B0C">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exigirá al contratista que rinda cuentas sobre la partida de imprevistos o que lo haga, en determinadas condiciones.</w:t>
      </w:r>
    </w:p>
    <w:p w14:paraId="7BA345D4" w14:textId="77777777" w:rsidR="00936B0C" w:rsidRPr="00BC4483" w:rsidRDefault="00936B0C" w:rsidP="00936B0C">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w:t>
      </w:r>
    </w:p>
    <w:p w14:paraId="41BADADD" w14:textId="77777777" w:rsidR="00936B0C" w:rsidRPr="00BC4483" w:rsidRDefault="00936B0C" w:rsidP="00936B0C">
      <w:pPr>
        <w:spacing w:before="120"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386B2C13" w14:textId="77777777" w:rsidR="00936B0C" w:rsidRPr="00315F83" w:rsidRDefault="00936B0C" w:rsidP="00936B0C">
      <w:pPr>
        <w:spacing w:before="120" w:after="0" w:line="240" w:lineRule="auto"/>
        <w:ind w:left="709" w:right="709"/>
        <w:jc w:val="both"/>
        <w:rPr>
          <w:rFonts w:ascii="Verdana" w:hAnsi="Verdana" w:cs="Arial"/>
          <w:sz w:val="21"/>
          <w:szCs w:val="21"/>
          <w:lang w:val="es-ES" w:eastAsia="es-ES"/>
        </w:rPr>
      </w:pPr>
      <w:r w:rsidRPr="00BC4483">
        <w:rPr>
          <w:rFonts w:ascii="Verdana" w:hAnsi="Verdana" w:cs="Arial"/>
          <w:sz w:val="20"/>
          <w:szCs w:val="20"/>
          <w:lang w:val="es-ES" w:eastAsia="es-ES"/>
        </w:rPr>
        <w:t>Las entidades contratantes deben determinar, en cada caso, según las condiciones que fueron definida para el reconocimiento y pago del A.I.U. si el pago de la partida de imprevistos debe corresponder al porcentaje fijado en la oferta económica para ello”.</w:t>
      </w:r>
    </w:p>
    <w:p w14:paraId="02869BF0" w14:textId="77777777" w:rsidR="00936B0C" w:rsidRDefault="00936B0C" w:rsidP="00936B0C">
      <w:pPr>
        <w:spacing w:after="0" w:line="276" w:lineRule="auto"/>
        <w:jc w:val="both"/>
        <w:rPr>
          <w:rFonts w:ascii="Verdana" w:hAnsi="Verdana" w:cs="Arial"/>
          <w:lang w:val="es-ES" w:eastAsia="es-ES"/>
        </w:rPr>
      </w:pPr>
    </w:p>
    <w:p w14:paraId="01190129" w14:textId="77777777" w:rsidR="00936B0C" w:rsidRDefault="00936B0C" w:rsidP="00936B0C">
      <w:pPr>
        <w:spacing w:after="120" w:line="276" w:lineRule="auto"/>
        <w:ind w:firstLine="709"/>
        <w:jc w:val="both"/>
        <w:rPr>
          <w:rFonts w:ascii="Verdana" w:hAnsi="Verdana" w:cs="Arial"/>
          <w:lang w:val="es-ES" w:eastAsia="es-ES"/>
        </w:rPr>
      </w:pPr>
      <w:r>
        <w:rPr>
          <w:rFonts w:ascii="Verdana" w:hAnsi="Verdana" w:cs="Arial"/>
          <w:lang w:val="es-ES" w:eastAsia="es-ES"/>
        </w:rPr>
        <w:t>Sin embargo, la Contraloría</w:t>
      </w:r>
      <w:r w:rsidRPr="00722538">
        <w:rPr>
          <w:rFonts w:ascii="Verdana" w:hAnsi="Verdana" w:cs="Arial"/>
          <w:lang w:val="es-ES" w:eastAsia="es-ES"/>
        </w:rPr>
        <w:t xml:space="preserve"> </w:t>
      </w:r>
      <w:r>
        <w:rPr>
          <w:rFonts w:ascii="Verdana" w:hAnsi="Verdana" w:cs="Arial"/>
          <w:lang w:val="es-ES" w:eastAsia="es-ES"/>
        </w:rPr>
        <w:t>retoma la línea inicial</w:t>
      </w:r>
      <w:r w:rsidRPr="006474CD">
        <w:rPr>
          <w:rFonts w:ascii="Verdana" w:hAnsi="Verdana" w:cs="Arial"/>
          <w:lang w:val="es-ES" w:eastAsia="es-ES"/>
        </w:rPr>
        <w:t xml:space="preserve"> </w:t>
      </w:r>
      <w:r>
        <w:rPr>
          <w:rFonts w:ascii="Verdana" w:hAnsi="Verdana" w:cs="Arial"/>
          <w:lang w:val="es-ES" w:eastAsia="es-ES"/>
        </w:rPr>
        <w:t>en e</w:t>
      </w:r>
      <w:r w:rsidRPr="00722538">
        <w:rPr>
          <w:rFonts w:ascii="Verdana" w:hAnsi="Verdana" w:cs="Arial"/>
          <w:lang w:val="es-ES" w:eastAsia="es-ES"/>
        </w:rPr>
        <w:t xml:space="preserve">l </w:t>
      </w:r>
      <w:r>
        <w:rPr>
          <w:rFonts w:ascii="Verdana" w:hAnsi="Verdana" w:cs="Arial"/>
          <w:lang w:val="es-ES" w:eastAsia="es-ES"/>
        </w:rPr>
        <w:t>C</w:t>
      </w:r>
      <w:r w:rsidRPr="00722538">
        <w:rPr>
          <w:rFonts w:ascii="Verdana" w:hAnsi="Verdana" w:cs="Arial"/>
          <w:lang w:val="es-ES" w:eastAsia="es-ES"/>
        </w:rPr>
        <w:t>oncepto CGR-OJ-139 de 2025</w:t>
      </w:r>
      <w:r>
        <w:rPr>
          <w:rFonts w:ascii="Verdana" w:hAnsi="Verdana" w:cs="Arial"/>
          <w:lang w:val="es-ES" w:eastAsia="es-ES"/>
        </w:rPr>
        <w:t xml:space="preserve">, por lo que </w:t>
      </w:r>
      <w:r w:rsidRPr="006474CD">
        <w:rPr>
          <w:rFonts w:ascii="Verdana" w:hAnsi="Verdana" w:cs="Arial"/>
          <w:lang w:val="es-ES" w:eastAsia="es-ES"/>
        </w:rPr>
        <w:t>privilegia la demostración de</w:t>
      </w:r>
      <w:r>
        <w:rPr>
          <w:rFonts w:ascii="Verdana" w:hAnsi="Verdana" w:cs="Arial"/>
          <w:lang w:val="es-ES" w:eastAsia="es-ES"/>
        </w:rPr>
        <w:t xml:space="preserve"> </w:t>
      </w:r>
      <w:r w:rsidRPr="006474CD">
        <w:rPr>
          <w:rFonts w:ascii="Verdana" w:hAnsi="Verdana" w:cs="Arial"/>
          <w:lang w:val="es-ES" w:eastAsia="es-ES"/>
        </w:rPr>
        <w:t>l</w:t>
      </w:r>
      <w:r>
        <w:rPr>
          <w:rFonts w:ascii="Verdana" w:hAnsi="Verdana" w:cs="Arial"/>
          <w:lang w:val="es-ES" w:eastAsia="es-ES"/>
        </w:rPr>
        <w:t>os</w:t>
      </w:r>
      <w:r w:rsidRPr="006474CD">
        <w:rPr>
          <w:rFonts w:ascii="Verdana" w:hAnsi="Verdana" w:cs="Arial"/>
          <w:lang w:val="es-ES" w:eastAsia="es-ES"/>
        </w:rPr>
        <w:t xml:space="preserve"> imprevisto</w:t>
      </w:r>
      <w:r>
        <w:rPr>
          <w:rFonts w:ascii="Verdana" w:hAnsi="Verdana" w:cs="Arial"/>
          <w:lang w:val="es-ES" w:eastAsia="es-ES"/>
        </w:rPr>
        <w:t>s</w:t>
      </w:r>
      <w:r w:rsidRPr="006474CD">
        <w:rPr>
          <w:rFonts w:ascii="Verdana" w:hAnsi="Verdana" w:cs="Arial"/>
          <w:lang w:val="es-ES" w:eastAsia="es-ES"/>
        </w:rPr>
        <w:t xml:space="preserve"> como condición para su pago.</w:t>
      </w:r>
      <w:r>
        <w:rPr>
          <w:rFonts w:ascii="Verdana" w:hAnsi="Verdana" w:cs="Arial"/>
          <w:lang w:val="es-ES" w:eastAsia="es-ES"/>
        </w:rPr>
        <w:t xml:space="preserve"> Para estos efectos, estima que “[…] </w:t>
      </w:r>
      <w:r w:rsidRPr="005E5163">
        <w:rPr>
          <w:rFonts w:ascii="Verdana" w:hAnsi="Verdana" w:cs="Arial"/>
          <w:lang w:val="es-ES" w:eastAsia="es-ES"/>
        </w:rPr>
        <w:t>al ser</w:t>
      </w:r>
      <w:r>
        <w:rPr>
          <w:rFonts w:ascii="Verdana" w:hAnsi="Verdana" w:cs="Arial"/>
          <w:lang w:val="es-ES" w:eastAsia="es-ES"/>
        </w:rPr>
        <w:t xml:space="preserve"> </w:t>
      </w:r>
      <w:r w:rsidRPr="005E5163">
        <w:rPr>
          <w:rFonts w:ascii="Verdana" w:hAnsi="Verdana" w:cs="Arial"/>
          <w:lang w:val="es-ES" w:eastAsia="es-ES"/>
        </w:rPr>
        <w:t>independiente y cumplir una función diferente, el componente de Imprevistos, s</w:t>
      </w:r>
      <w:r>
        <w:rPr>
          <w:rFonts w:ascii="Verdana" w:hAnsi="Verdana" w:cs="Arial"/>
          <w:lang w:val="es-ES" w:eastAsia="es-ES"/>
        </w:rPr>
        <w:t>í</w:t>
      </w:r>
      <w:r w:rsidRPr="005E5163">
        <w:rPr>
          <w:rFonts w:ascii="Verdana" w:hAnsi="Verdana" w:cs="Arial"/>
          <w:lang w:val="es-ES" w:eastAsia="es-ES"/>
        </w:rPr>
        <w:t xml:space="preserve"> debe</w:t>
      </w:r>
      <w:r>
        <w:rPr>
          <w:rFonts w:ascii="Verdana" w:hAnsi="Verdana" w:cs="Arial"/>
          <w:lang w:val="es-ES" w:eastAsia="es-ES"/>
        </w:rPr>
        <w:t xml:space="preserve"> </w:t>
      </w:r>
      <w:r w:rsidRPr="005E5163">
        <w:rPr>
          <w:rFonts w:ascii="Verdana" w:hAnsi="Verdana" w:cs="Arial"/>
          <w:lang w:val="es-ES" w:eastAsia="es-ES"/>
        </w:rPr>
        <w:t>ser demostrado, puesto que, la apropiación del mismo, sin justificación técnica, fáctica</w:t>
      </w:r>
      <w:r>
        <w:rPr>
          <w:rFonts w:ascii="Verdana" w:hAnsi="Verdana" w:cs="Arial"/>
          <w:lang w:val="es-ES" w:eastAsia="es-ES"/>
        </w:rPr>
        <w:t xml:space="preserve"> </w:t>
      </w:r>
      <w:r w:rsidRPr="005E5163">
        <w:rPr>
          <w:rFonts w:ascii="Verdana" w:hAnsi="Verdana" w:cs="Arial"/>
          <w:lang w:val="es-ES" w:eastAsia="es-ES"/>
        </w:rPr>
        <w:t>o contractual, iría en contra de los principios de buena fe y equidad en la contratación</w:t>
      </w:r>
      <w:r>
        <w:rPr>
          <w:rFonts w:ascii="Verdana" w:hAnsi="Verdana" w:cs="Arial"/>
          <w:lang w:val="es-ES" w:eastAsia="es-ES"/>
        </w:rPr>
        <w:t xml:space="preserve"> </w:t>
      </w:r>
      <w:r w:rsidRPr="005E5163">
        <w:rPr>
          <w:rFonts w:ascii="Verdana" w:hAnsi="Verdana" w:cs="Arial"/>
          <w:lang w:val="es-ES" w:eastAsia="es-ES"/>
        </w:rPr>
        <w:t>estatal</w:t>
      </w:r>
      <w:r>
        <w:rPr>
          <w:rFonts w:ascii="Verdana" w:hAnsi="Verdana" w:cs="Arial"/>
          <w:lang w:val="es-ES" w:eastAsia="es-ES"/>
        </w:rPr>
        <w:t xml:space="preserve"> […]”</w:t>
      </w:r>
      <w:r w:rsidRPr="005E5163">
        <w:rPr>
          <w:rFonts w:ascii="Verdana" w:hAnsi="Verdana" w:cs="Arial"/>
          <w:lang w:val="es-ES" w:eastAsia="es-ES"/>
        </w:rPr>
        <w:t>.</w:t>
      </w:r>
      <w:r>
        <w:rPr>
          <w:rFonts w:ascii="Verdana" w:hAnsi="Verdana" w:cs="Arial"/>
          <w:lang w:val="es-ES" w:eastAsia="es-ES"/>
        </w:rPr>
        <w:t xml:space="preserve"> </w:t>
      </w:r>
    </w:p>
    <w:p w14:paraId="374E3380" w14:textId="77777777" w:rsidR="00936B0C" w:rsidRDefault="00936B0C" w:rsidP="00936B0C">
      <w:pPr>
        <w:spacing w:after="0" w:line="276" w:lineRule="auto"/>
        <w:ind w:firstLine="709"/>
        <w:jc w:val="both"/>
        <w:rPr>
          <w:rFonts w:ascii="Verdana" w:hAnsi="Verdana" w:cs="Arial"/>
          <w:lang w:val="es-ES" w:eastAsia="es-ES"/>
        </w:rPr>
      </w:pPr>
      <w:r>
        <w:rPr>
          <w:rFonts w:ascii="Verdana" w:hAnsi="Verdana" w:cs="Arial"/>
          <w:lang w:val="es-ES" w:eastAsia="es-ES"/>
        </w:rPr>
        <w:t>Pese a que la postura del órgano de control ha sido cambiante y no se encuentra unificada</w:t>
      </w:r>
      <w:r w:rsidRPr="008335E8">
        <w:rPr>
          <w:rFonts w:ascii="Verdana" w:hAnsi="Verdana" w:cs="Arial"/>
          <w:lang w:val="es-ES" w:eastAsia="es-ES"/>
        </w:rPr>
        <w:t xml:space="preserve">, </w:t>
      </w:r>
      <w:r>
        <w:rPr>
          <w:rFonts w:ascii="Verdana" w:hAnsi="Verdana" w:cs="Arial"/>
          <w:lang w:val="es-ES" w:eastAsia="es-ES"/>
        </w:rPr>
        <w:t xml:space="preserve">Colombia Compra Eficiente considera que </w:t>
      </w:r>
      <w:r w:rsidRPr="008335E8">
        <w:rPr>
          <w:rFonts w:ascii="Verdana" w:hAnsi="Verdana" w:cs="Arial"/>
          <w:lang w:val="es-ES" w:eastAsia="es-ES"/>
        </w:rPr>
        <w:t xml:space="preserve">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w:t>
      </w:r>
      <w:r w:rsidRPr="008335E8">
        <w:rPr>
          <w:rFonts w:ascii="Verdana" w:hAnsi="Verdana" w:cs="Arial"/>
          <w:lang w:val="es-ES" w:eastAsia="es-ES"/>
        </w:rPr>
        <w:lastRenderedPageBreak/>
        <w:t>presupuesto estimado del valor de la ejecución del contrato que, a su vez, sirve de guía para que los proponentes formulen sus ofertas.</w:t>
      </w:r>
    </w:p>
    <w:p w14:paraId="4E1A896A" w14:textId="77777777" w:rsidR="00936B0C" w:rsidRDefault="00936B0C" w:rsidP="00936B0C">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6B167F06" w14:textId="77777777" w:rsidR="00936B0C" w:rsidRDefault="00936B0C" w:rsidP="00936B0C">
      <w:pPr>
        <w:spacing w:before="120" w:after="0" w:line="276" w:lineRule="auto"/>
        <w:ind w:firstLine="709"/>
        <w:jc w:val="both"/>
        <w:rPr>
          <w:rFonts w:ascii="Verdana" w:hAnsi="Verdana" w:cs="Arial"/>
          <w:lang w:val="es-ES" w:eastAsia="es-ES"/>
        </w:rPr>
      </w:pPr>
      <w:r>
        <w:rPr>
          <w:rFonts w:ascii="Verdana" w:hAnsi="Verdana" w:cs="Arial"/>
          <w:lang w:val="es-ES" w:eastAsia="es-ES"/>
        </w:rPr>
        <w:t xml:space="preserve">Al no existir valores fijos de referencia regulados en la ley o el reglamento, </w:t>
      </w:r>
      <w:r w:rsidRPr="00104C20">
        <w:rPr>
          <w:rFonts w:ascii="Verdana" w:hAnsi="Verdana" w:cs="Arial"/>
          <w:lang w:val="es-ES" w:eastAsia="es-ES"/>
        </w:rPr>
        <w:t>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913E903" w14:textId="77777777" w:rsidR="00936B0C" w:rsidRDefault="00936B0C" w:rsidP="00936B0C">
      <w:pPr>
        <w:spacing w:after="0" w:line="276" w:lineRule="auto"/>
        <w:ind w:firstLine="709"/>
        <w:jc w:val="both"/>
        <w:rPr>
          <w:rFonts w:ascii="Verdana" w:hAnsi="Verdana" w:cs="Arial"/>
          <w:lang w:val="es-ES" w:eastAsia="es-ES"/>
        </w:rPr>
      </w:pPr>
    </w:p>
    <w:p w14:paraId="6BDEFE37" w14:textId="77777777" w:rsidR="00936B0C" w:rsidRPr="00E97A27" w:rsidRDefault="00936B0C" w:rsidP="00936B0C">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hAnsi="Verdana" w:cs="Arial"/>
          <w:lang w:val="es-ES" w:eastAsia="es-ES"/>
        </w:rPr>
        <w:t>iii</w:t>
      </w:r>
      <w:proofErr w:type="spellEnd"/>
      <w:r>
        <w:rPr>
          <w:rFonts w:ascii="Verdana" w:hAnsi="Verdana" w:cs="Arial"/>
          <w:lang w:val="es-ES" w:eastAsia="es-ES"/>
        </w:rPr>
        <w:t xml:space="preserve">. </w:t>
      </w:r>
      <w:r>
        <w:rPr>
          <w:rFonts w:ascii="Verdana" w:eastAsia="Arial" w:hAnsi="Verdana" w:cs="Arial"/>
          <w:color w:val="000000" w:themeColor="text1"/>
          <w:lang w:val="es-ES" w:eastAsia="es-ES" w:bidi="es-ES"/>
        </w:rPr>
        <w:t>Finalmente, d</w:t>
      </w:r>
      <w:r w:rsidRPr="00E97A27">
        <w:rPr>
          <w:rFonts w:ascii="Verdana" w:eastAsia="Arial" w:hAnsi="Verdana" w:cs="Arial"/>
          <w:color w:val="000000" w:themeColor="text1"/>
          <w:lang w:val="es-ES" w:eastAsia="es-ES" w:bidi="es-ES"/>
        </w:rPr>
        <w:t>e conformidad con el artículo 3 de la Ley 80 de 1993</w:t>
      </w:r>
      <w:r>
        <w:rPr>
          <w:rFonts w:ascii="Verdana" w:eastAsia="Arial" w:hAnsi="Verdana" w:cs="Arial"/>
          <w:color w:val="000000" w:themeColor="text1"/>
          <w:lang w:val="es-ES" w:eastAsia="es-ES" w:bidi="es-ES"/>
        </w:rPr>
        <w:t>,</w:t>
      </w:r>
      <w:r w:rsidRPr="00E97A27">
        <w:rPr>
          <w:rFonts w:ascii="Verdana" w:eastAsia="Arial" w:hAnsi="Verdana" w:cs="Arial"/>
          <w:color w:val="000000" w:themeColor="text1"/>
          <w:lang w:val="es-ES" w:eastAsia="es-ES" w:bidi="es-ES"/>
        </w:rPr>
        <w:t xml:space="preserve"> la celebración y ejecución de los contratos estatales </w:t>
      </w:r>
      <w:r w:rsidRPr="00E97A27">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64CB73EC"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lastRenderedPageBreak/>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6C2B0CCF" w14:textId="77777777" w:rsidR="00936B0C" w:rsidRPr="00E97A27" w:rsidRDefault="00936B0C" w:rsidP="00936B0C">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A974680" w14:textId="77777777" w:rsidR="00936B0C" w:rsidRPr="00AA6517" w:rsidRDefault="00936B0C" w:rsidP="00936B0C">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2"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28788C85" w14:textId="77777777" w:rsidR="00936B0C" w:rsidRPr="00E97A27" w:rsidRDefault="00936B0C" w:rsidP="00936B0C">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3B392FF" w14:textId="77777777" w:rsidR="00936B0C" w:rsidRPr="00E97A27" w:rsidRDefault="00936B0C" w:rsidP="00936B0C">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2"/>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 xml:space="preserve">lo que significa que las prestaciones (derechos y obligaciones) asumidas por una parte contractual se entienden como equivalentes a las de la otra parte y obliga a la adopción de medidas tendientes a garantizar que esa igualdad </w:t>
      </w:r>
      <w:r w:rsidRPr="00E97A27">
        <w:rPr>
          <w:rFonts w:ascii="Verdana" w:hAnsi="Verdana" w:cs="Arial"/>
        </w:rPr>
        <w:lastRenderedPageBreak/>
        <w:t>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3"/>
      </w:r>
      <w:r w:rsidRPr="00E97A27">
        <w:rPr>
          <w:rFonts w:ascii="Verdana" w:hAnsi="Verdana" w:cs="Arial"/>
        </w:rPr>
        <w:t xml:space="preserve">.  </w:t>
      </w:r>
    </w:p>
    <w:p w14:paraId="0B1B21D3"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2AED3F52" w14:textId="77777777" w:rsidR="00936B0C"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6AA2F1F2" w14:textId="77777777" w:rsidR="00936B0C" w:rsidRDefault="00936B0C" w:rsidP="00936B0C">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0828C3DC" w14:textId="77777777" w:rsidR="00936B0C" w:rsidRPr="000E4887" w:rsidRDefault="00936B0C" w:rsidP="00936B0C">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xml:space="preserve">“[…]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w:t>
      </w:r>
      <w:r w:rsidRPr="000E4887">
        <w:rPr>
          <w:rFonts w:ascii="Verdana" w:eastAsia="Arial" w:hAnsi="Verdana" w:cs="Arial"/>
          <w:color w:val="000000" w:themeColor="text1"/>
          <w:sz w:val="20"/>
          <w:szCs w:val="20"/>
          <w:lang w:val="es-ES" w:eastAsia="es-ES" w:bidi="es-ES"/>
        </w:rPr>
        <w:lastRenderedPageBreak/>
        <w:t>recibida finalmente por el contratista corresponda a la que contempló al momento de presentar su propuesta y celebrar el contrato.</w:t>
      </w:r>
    </w:p>
    <w:p w14:paraId="1EEE7477" w14:textId="77777777" w:rsidR="00936B0C" w:rsidRDefault="00936B0C" w:rsidP="00936B0C">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24"/>
      </w:r>
      <w:r w:rsidRPr="000E4887">
        <w:rPr>
          <w:rFonts w:ascii="Verdana" w:eastAsia="Arial" w:hAnsi="Verdana" w:cs="Arial"/>
          <w:color w:val="000000" w:themeColor="text1"/>
          <w:sz w:val="20"/>
          <w:szCs w:val="20"/>
          <w:lang w:val="es-ES" w:eastAsia="es-ES" w:bidi="es-ES"/>
        </w:rPr>
        <w:t>.</w:t>
      </w:r>
    </w:p>
    <w:p w14:paraId="3CF6ACC8" w14:textId="77777777" w:rsidR="00936B0C" w:rsidRPr="000E4887" w:rsidRDefault="00936B0C" w:rsidP="00936B0C">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5E4F4D4B" w14:textId="77777777" w:rsidR="00936B0C" w:rsidRPr="00E97A27" w:rsidRDefault="00936B0C" w:rsidP="00936B0C">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235531E1" w14:textId="77777777" w:rsidR="00936B0C" w:rsidRPr="00E97A27" w:rsidRDefault="00936B0C" w:rsidP="00936B0C">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16675357" w14:textId="77777777" w:rsidR="00936B0C" w:rsidRDefault="00936B0C" w:rsidP="00936B0C">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14F4F8D7" w14:textId="77777777" w:rsidR="00936B0C" w:rsidRPr="00E97A27" w:rsidRDefault="00936B0C" w:rsidP="00936B0C">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lastRenderedPageBreak/>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14FB077B" w14:textId="77777777" w:rsidR="00936B0C" w:rsidRPr="00E97A27" w:rsidRDefault="00936B0C" w:rsidP="00936B0C">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7D5AB613" w14:textId="77777777" w:rsidR="00936B0C" w:rsidRPr="00AA6517" w:rsidRDefault="00936B0C" w:rsidP="00936B0C">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1C07E02E" w14:textId="77777777" w:rsidR="00936B0C" w:rsidRPr="00AA6517" w:rsidRDefault="00936B0C" w:rsidP="00936B0C">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75300020" w14:textId="77777777" w:rsidR="00936B0C" w:rsidRPr="00AA6517" w:rsidRDefault="00936B0C" w:rsidP="00936B0C">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4D81CD66" w14:textId="77777777" w:rsidR="00936B0C" w:rsidRPr="00E97A27" w:rsidRDefault="00936B0C" w:rsidP="00936B0C">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25"/>
      </w:r>
      <w:r w:rsidRPr="00AA6517">
        <w:rPr>
          <w:rFonts w:ascii="Verdana" w:eastAsia="Arial" w:hAnsi="Verdana" w:cs="Arial"/>
          <w:color w:val="000000" w:themeColor="text1"/>
          <w:sz w:val="20"/>
          <w:szCs w:val="20"/>
          <w:lang w:val="es-ES" w:eastAsia="es-ES" w:bidi="es-ES"/>
        </w:rPr>
        <w:t>.</w:t>
      </w:r>
    </w:p>
    <w:p w14:paraId="07B1B2FA" w14:textId="77777777" w:rsidR="00936B0C" w:rsidRPr="00E97A27" w:rsidRDefault="00936B0C" w:rsidP="00936B0C">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72BCA08" w14:textId="77777777" w:rsidR="00936B0C" w:rsidRPr="00E97A27" w:rsidRDefault="00936B0C" w:rsidP="00936B0C">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26"/>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 xml:space="preserve">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w:t>
      </w:r>
      <w:r w:rsidRPr="00E97A27">
        <w:rPr>
          <w:rFonts w:ascii="Verdana" w:eastAsia="Arial" w:hAnsi="Verdana" w:cs="Arial"/>
          <w:color w:val="000000" w:themeColor="text1"/>
          <w:lang w:eastAsia="es-ES" w:bidi="es-ES"/>
        </w:rPr>
        <w:lastRenderedPageBreak/>
        <w:t>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7"/>
      </w:r>
      <w:r w:rsidRPr="00E97A27">
        <w:rPr>
          <w:rFonts w:ascii="Verdana" w:eastAsia="Arial" w:hAnsi="Verdana" w:cs="Arial"/>
          <w:color w:val="000000" w:themeColor="text1"/>
          <w:lang w:val="es-MX" w:eastAsia="es-ES" w:bidi="es-ES"/>
        </w:rPr>
        <w:t xml:space="preserve">. </w:t>
      </w:r>
    </w:p>
    <w:p w14:paraId="75F26AFF"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6FFFAD86"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28"/>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3EB0D54E"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w:t>
      </w:r>
      <w:r w:rsidRPr="00E97A27">
        <w:rPr>
          <w:rFonts w:ascii="Verdana" w:eastAsia="Arial" w:hAnsi="Verdana" w:cs="Arial"/>
          <w:color w:val="000000" w:themeColor="text1"/>
          <w:lang w:val="es-ES" w:eastAsia="es-ES" w:bidi="es-ES"/>
        </w:rPr>
        <w:lastRenderedPageBreak/>
        <w:t xml:space="preserve">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20F3F345"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49C8610D"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9"/>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27401866" w14:textId="77777777" w:rsidR="00936B0C" w:rsidRPr="00E97A27" w:rsidRDefault="00936B0C" w:rsidP="00936B0C">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w:t>
      </w:r>
      <w:r w:rsidRPr="00E97A27">
        <w:rPr>
          <w:rFonts w:ascii="Verdana" w:eastAsia="Arial" w:hAnsi="Verdana" w:cs="Arial"/>
          <w:color w:val="000000" w:themeColor="text1"/>
          <w:lang w:val="es-ES" w:eastAsia="es-ES" w:bidi="es-ES"/>
        </w:rPr>
        <w:lastRenderedPageBreak/>
        <w:t>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30"/>
      </w:r>
      <w:r w:rsidRPr="00E97A27">
        <w:rPr>
          <w:rFonts w:ascii="Verdana" w:eastAsia="Arial" w:hAnsi="Verdana" w:cs="Arial"/>
          <w:color w:val="000000" w:themeColor="text1"/>
          <w:lang w:val="es-ES" w:eastAsia="es-ES" w:bidi="es-ES"/>
        </w:rPr>
        <w:t xml:space="preserve">. </w:t>
      </w:r>
    </w:p>
    <w:p w14:paraId="60F4D160" w14:textId="77777777" w:rsidR="00936B0C" w:rsidRDefault="00936B0C" w:rsidP="00936B0C">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2B11454A" w14:textId="77777777" w:rsidR="00936B0C" w:rsidRPr="00B8765E" w:rsidRDefault="00936B0C" w:rsidP="00936B0C">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w:t>
      </w:r>
      <w:r w:rsidRPr="00B8765E">
        <w:rPr>
          <w:rFonts w:ascii="Verdana" w:eastAsia="Times New Roman" w:hAnsi="Verdana" w:cs="Arial"/>
          <w:color w:val="000000"/>
          <w:bdr w:val="none" w:sz="0" w:space="0" w:color="auto" w:frame="1"/>
          <w:shd w:val="clear" w:color="auto" w:fill="FFFFFF"/>
          <w:lang w:eastAsia="es-ES_tradnl"/>
        </w:rPr>
        <w:t>Sobre esta última faceta, la norma en comento consagra una posibilidad para que las entidades públicas garanticen el equilibrio económico si éste resultó afectado en la ejecución del negocio jurídico, así que la liquidación es el momento oportuno para resolver las diferencias existentes</w:t>
      </w:r>
      <w:r w:rsidRPr="00B8765E">
        <w:rPr>
          <w:rStyle w:val="Refdenotaalpie"/>
          <w:rFonts w:ascii="Verdana" w:eastAsia="Times New Roman" w:hAnsi="Verdana" w:cs="Arial"/>
          <w:color w:val="000000"/>
          <w:bdr w:val="none" w:sz="0" w:space="0" w:color="auto" w:frame="1"/>
          <w:shd w:val="clear" w:color="auto" w:fill="FFFFFF"/>
          <w:lang w:eastAsia="es-ES_tradnl"/>
        </w:rPr>
        <w:footnoteReference w:id="31"/>
      </w:r>
      <w:r w:rsidRPr="00B8765E">
        <w:rPr>
          <w:rFonts w:ascii="Verdana" w:eastAsia="Times New Roman" w:hAnsi="Verdana" w:cs="Arial"/>
          <w:color w:val="000000"/>
          <w:bdr w:val="none" w:sz="0" w:space="0" w:color="auto" w:frame="1"/>
          <w:shd w:val="clear" w:color="auto" w:fill="FFFFFF"/>
          <w:lang w:eastAsia="es-ES_tradnl"/>
        </w:rPr>
        <w:t>.</w:t>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509BF38F" w14:textId="77777777" w:rsidR="00936B0C" w:rsidRDefault="00936B0C" w:rsidP="00936B0C">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9DBA053" w14:textId="77777777" w:rsidR="00936B0C" w:rsidRPr="004144DE" w:rsidRDefault="00936B0C" w:rsidP="00936B0C">
      <w:pPr>
        <w:tabs>
          <w:tab w:val="left" w:pos="709"/>
        </w:tabs>
        <w:spacing w:after="180" w:line="276" w:lineRule="auto"/>
        <w:jc w:val="both"/>
        <w:rPr>
          <w:rFonts w:ascii="Verdana" w:eastAsia="Calibri" w:hAnsi="Verdana" w:cs="Arial"/>
          <w:bCs/>
          <w:color w:val="000000" w:themeColor="text1"/>
        </w:rPr>
      </w:pPr>
      <w:proofErr w:type="spellStart"/>
      <w:r>
        <w:rPr>
          <w:rFonts w:ascii="Verdana" w:eastAsia="Times New Roman" w:hAnsi="Verdana" w:cs="Arial"/>
          <w:color w:val="000000"/>
          <w:bdr w:val="none" w:sz="0" w:space="0" w:color="auto" w:frame="1"/>
          <w:shd w:val="clear" w:color="auto" w:fill="FFFFFF"/>
          <w:lang w:eastAsia="es-ES_tradnl"/>
        </w:rPr>
        <w:t>iv</w:t>
      </w:r>
      <w:proofErr w:type="spellEnd"/>
      <w:r>
        <w:rPr>
          <w:rFonts w:ascii="Verdana" w:eastAsia="Times New Roman" w:hAnsi="Verdana" w:cs="Arial"/>
          <w:color w:val="000000"/>
          <w:bdr w:val="none" w:sz="0" w:space="0" w:color="auto" w:frame="1"/>
          <w:shd w:val="clear" w:color="auto" w:fill="FFFFFF"/>
          <w:lang w:eastAsia="es-ES_tradnl"/>
        </w:rPr>
        <w:t xml:space="preserve">. </w:t>
      </w:r>
      <w:r w:rsidRPr="0005409E">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05409E">
        <w:rPr>
          <w:rFonts w:ascii="Verdana" w:eastAsia="Calibri" w:hAnsi="Verdana" w:cs="Arial"/>
          <w:bCs/>
          <w:color w:val="000000" w:themeColor="text1"/>
        </w:rPr>
        <w:t xml:space="preserv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3A380F">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consulta. </w:t>
      </w:r>
      <w:r w:rsidRPr="004144DE">
        <w:rPr>
          <w:rFonts w:ascii="Verdana" w:eastAsia="Calibri" w:hAnsi="Verdana" w:cs="Arial"/>
          <w:bCs/>
          <w:color w:val="000000" w:themeColor="text1"/>
        </w:rPr>
        <w:t xml:space="preserve">Por lo anterior, previo concepto de sus asesores, corresponde a las partes del contrato definir tanto la </w:t>
      </w:r>
      <w:r w:rsidRPr="004144DE">
        <w:rPr>
          <w:rFonts w:ascii="Verdana" w:eastAsia="Calibri" w:hAnsi="Verdana" w:cs="Arial"/>
          <w:bCs/>
          <w:color w:val="000000" w:themeColor="text1"/>
        </w:rPr>
        <w:lastRenderedPageBreak/>
        <w:t>procedencia de los ajustes contractuales frente a la actualización del salario mínimo legal mensual vigente como la forma de viabilizarlo jurídicamente; motivo por el cual, en caso de conflicto, intervendrán las autoridades judiciales, fiscales y disciplinarias.</w:t>
      </w:r>
    </w:p>
    <w:p w14:paraId="49A24ECB" w14:textId="77777777" w:rsidR="00936B0C" w:rsidRPr="00185EE9" w:rsidRDefault="00936B0C" w:rsidP="00936B0C">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72B595E3" w14:textId="77777777" w:rsidR="00936B0C" w:rsidRPr="00182C89" w:rsidRDefault="00936B0C" w:rsidP="00936B0C">
      <w:pPr>
        <w:tabs>
          <w:tab w:val="left" w:pos="709"/>
        </w:tabs>
        <w:spacing w:after="0" w:line="276" w:lineRule="auto"/>
        <w:jc w:val="both"/>
        <w:rPr>
          <w:rFonts w:ascii="Verdana" w:eastAsia="Calibri" w:hAnsi="Verdana" w:cs="Arial"/>
          <w:color w:val="000000" w:themeColor="text1"/>
        </w:rPr>
      </w:pPr>
    </w:p>
    <w:p w14:paraId="3B4424FE" w14:textId="77777777" w:rsidR="00936B0C" w:rsidRPr="00593A5F" w:rsidRDefault="00936B0C" w:rsidP="00936B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04C03F5" w14:textId="77777777" w:rsidR="00936B0C" w:rsidRPr="00593A5F" w:rsidRDefault="00936B0C" w:rsidP="00936B0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36B0C" w:rsidRPr="002407CE" w14:paraId="5319F520" w14:textId="77777777" w:rsidTr="008D2F4E">
        <w:trPr>
          <w:trHeight w:val="56"/>
          <w:jc w:val="center"/>
        </w:trPr>
        <w:tc>
          <w:tcPr>
            <w:tcW w:w="8647" w:type="dxa"/>
          </w:tcPr>
          <w:p w14:paraId="3F40A61F" w14:textId="77777777" w:rsidR="00936B0C" w:rsidRDefault="00936B0C" w:rsidP="008D2F4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87E7A">
              <w:rPr>
                <w:rFonts w:ascii="Verdana" w:hAnsi="Verdana" w:cs="Arial"/>
              </w:rPr>
              <w:t xml:space="preserve">Ley 80 de 1993, artículos </w:t>
            </w:r>
            <w:r w:rsidRPr="00AE09C3">
              <w:rPr>
                <w:rFonts w:ascii="Verdana" w:hAnsi="Verdana" w:cs="Arial"/>
              </w:rPr>
              <w:t xml:space="preserve">3, 4, 5, 13, 14, 27, </w:t>
            </w:r>
            <w:r>
              <w:rPr>
                <w:rFonts w:ascii="Verdana" w:hAnsi="Verdana" w:cs="Arial"/>
              </w:rPr>
              <w:t xml:space="preserve">30, </w:t>
            </w:r>
            <w:r w:rsidRPr="00AE09C3">
              <w:rPr>
                <w:rFonts w:ascii="Verdana" w:hAnsi="Verdana" w:cs="Arial"/>
              </w:rPr>
              <w:t>32</w:t>
            </w:r>
            <w:r>
              <w:rPr>
                <w:rFonts w:ascii="Verdana" w:hAnsi="Verdana" w:cs="Arial"/>
              </w:rPr>
              <w:t>,</w:t>
            </w:r>
            <w:r w:rsidRPr="00AE09C3">
              <w:rPr>
                <w:rFonts w:ascii="Verdana" w:hAnsi="Verdana" w:cs="Arial"/>
              </w:rPr>
              <w:t xml:space="preserve"> 40 y 60</w:t>
            </w:r>
            <w:r>
              <w:rPr>
                <w:rFonts w:ascii="Verdana" w:hAnsi="Verdana" w:cs="Arial"/>
              </w:rPr>
              <w:t>.</w:t>
            </w:r>
          </w:p>
          <w:p w14:paraId="2E31BE1E" w14:textId="77777777" w:rsidR="00936B0C" w:rsidRDefault="00936B0C" w:rsidP="008D2F4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4.</w:t>
            </w:r>
          </w:p>
          <w:p w14:paraId="455749FB" w14:textId="77777777" w:rsidR="00936B0C" w:rsidRDefault="00936B0C" w:rsidP="008D2F4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1068 de 2015, artículos </w:t>
            </w:r>
            <w:r w:rsidRPr="00E82089">
              <w:rPr>
                <w:rFonts w:ascii="Verdana" w:hAnsi="Verdana" w:cs="Arial"/>
              </w:rPr>
              <w:t>2.4.1.10</w:t>
            </w:r>
            <w:r>
              <w:rPr>
                <w:rFonts w:ascii="Verdana" w:hAnsi="Verdana" w:cs="Arial"/>
              </w:rPr>
              <w:t xml:space="preserve"> y </w:t>
            </w:r>
            <w:r w:rsidRPr="00E82089">
              <w:rPr>
                <w:rFonts w:ascii="Verdana" w:hAnsi="Verdana" w:cs="Arial"/>
              </w:rPr>
              <w:t>2.4.1.1</w:t>
            </w:r>
            <w:r>
              <w:rPr>
                <w:rFonts w:ascii="Verdana" w:hAnsi="Verdana" w:cs="Arial"/>
              </w:rPr>
              <w:t>1.</w:t>
            </w:r>
          </w:p>
          <w:p w14:paraId="40BE0E28" w14:textId="77777777" w:rsidR="00936B0C" w:rsidRDefault="00936B0C" w:rsidP="008D2F4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artículos </w:t>
            </w:r>
            <w:r w:rsidRPr="00265FF6">
              <w:rPr>
                <w:rFonts w:ascii="Verdana" w:hAnsi="Verdana" w:cs="Arial"/>
              </w:rPr>
              <w:t>2.2.1.1.1.3.1</w:t>
            </w:r>
            <w:r>
              <w:rPr>
                <w:rFonts w:ascii="Verdana" w:hAnsi="Verdana" w:cs="Arial"/>
              </w:rPr>
              <w:t xml:space="preserve">, </w:t>
            </w:r>
            <w:r w:rsidRPr="00265FF6">
              <w:rPr>
                <w:rFonts w:ascii="Verdana" w:hAnsi="Verdana" w:cs="Arial"/>
              </w:rPr>
              <w:t>2.2.1.1.2.1.3</w:t>
            </w:r>
            <w:r>
              <w:rPr>
                <w:rFonts w:ascii="Verdana" w:hAnsi="Verdana" w:cs="Arial"/>
              </w:rPr>
              <w:t xml:space="preserve"> y </w:t>
            </w:r>
            <w:r w:rsidRPr="00A3218F">
              <w:rPr>
                <w:rFonts w:ascii="Verdana" w:hAnsi="Verdana" w:cs="Arial"/>
              </w:rPr>
              <w:t>2.2.1.2.1.1.2</w:t>
            </w:r>
            <w:r>
              <w:rPr>
                <w:rFonts w:ascii="Verdana" w:hAnsi="Verdana" w:cs="Arial"/>
              </w:rPr>
              <w:t xml:space="preserve">. </w:t>
            </w:r>
          </w:p>
          <w:p w14:paraId="5631E48E" w14:textId="77777777" w:rsidR="00936B0C" w:rsidRPr="00B87E7A" w:rsidRDefault="00936B0C" w:rsidP="008D2F4E">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754D53">
              <w:rPr>
                <w:rFonts w:ascii="Verdana" w:hAnsi="Verdana" w:cs="Arial"/>
              </w:rPr>
              <w:t>Código Civil, artículo 1602.</w:t>
            </w:r>
          </w:p>
        </w:tc>
      </w:tr>
    </w:tbl>
    <w:p w14:paraId="25DDA8CA" w14:textId="77777777" w:rsidR="00936B0C" w:rsidRPr="002407CE" w:rsidRDefault="00936B0C" w:rsidP="00936B0C">
      <w:pPr>
        <w:widowControl w:val="0"/>
        <w:autoSpaceDE w:val="0"/>
        <w:autoSpaceDN w:val="0"/>
        <w:spacing w:after="0" w:line="276" w:lineRule="auto"/>
        <w:jc w:val="both"/>
        <w:rPr>
          <w:rFonts w:ascii="Verdana" w:hAnsi="Verdana" w:cs="Arial"/>
        </w:rPr>
      </w:pPr>
    </w:p>
    <w:p w14:paraId="43A110E5" w14:textId="77777777" w:rsidR="00936B0C" w:rsidRPr="00593A5F" w:rsidRDefault="00936B0C" w:rsidP="00936B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511EDEC" w14:textId="77777777" w:rsidR="00936B0C" w:rsidRPr="00593A5F" w:rsidRDefault="00936B0C" w:rsidP="00936B0C">
      <w:pPr>
        <w:widowControl w:val="0"/>
        <w:autoSpaceDE w:val="0"/>
        <w:autoSpaceDN w:val="0"/>
        <w:spacing w:after="0" w:line="276" w:lineRule="auto"/>
        <w:jc w:val="both"/>
        <w:rPr>
          <w:rFonts w:ascii="Verdana" w:hAnsi="Verdana" w:cs="Arial"/>
        </w:rPr>
      </w:pPr>
    </w:p>
    <w:p w14:paraId="6BE12A35" w14:textId="77777777" w:rsidR="00936B0C" w:rsidRPr="00ED0098" w:rsidRDefault="00936B0C" w:rsidP="00936B0C">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junio de 2019; 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 xml:space="preserve">del 28 de enero de 2020, </w:t>
      </w:r>
      <w:r w:rsidRPr="00E278D2">
        <w:rPr>
          <w:rStyle w:val="normaltextrun"/>
          <w:rFonts w:ascii="Verdana" w:hAnsi="Verdana" w:cs="Arial"/>
          <w:shd w:val="clear" w:color="auto" w:fill="FFFFFF"/>
        </w:rPr>
        <w:lastRenderedPageBreak/>
        <w:t>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 xml:space="preserve">3 y C-455 del 18 de septiembre de 2024, C-248 del 3 de abril de 2025 y C-460 del 18 de junio de 2025. Asimismo, </w:t>
      </w:r>
      <w:r w:rsidRPr="00DA1FE4">
        <w:rPr>
          <w:rFonts w:ascii="Verdana" w:eastAsia="Calibri" w:hAnsi="Verdana" w:cs="Arial"/>
          <w:shd w:val="clear" w:color="auto" w:fill="FFFFFF"/>
        </w:rPr>
        <w:t xml:space="preserve">se pronunció sobre </w:t>
      </w:r>
      <w:r>
        <w:rPr>
          <w:rFonts w:ascii="Verdana" w:eastAsia="Calibri" w:hAnsi="Verdana" w:cs="Arial"/>
          <w:shd w:val="clear" w:color="auto" w:fill="FFFFFF"/>
        </w:rPr>
        <w:t>el equilibrio económico del contrato estatal en los Conceptos C-938 del 27 de diciembre de 2022, C-774 del 20 de noviembre de 2024, C-565 del 10 de junio de 2025, C-1029 del 31 de julio de 2025, C-1035 del 8 de septiembre de 2025 y C-1429 del 21 de octubre de 2025.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81D2B4A" w14:textId="77777777" w:rsidR="00936B0C" w:rsidRPr="00096788" w:rsidRDefault="00936B0C" w:rsidP="00936B0C">
      <w:pPr>
        <w:widowControl w:val="0"/>
        <w:autoSpaceDE w:val="0"/>
        <w:autoSpaceDN w:val="0"/>
        <w:spacing w:after="0" w:line="276" w:lineRule="auto"/>
        <w:jc w:val="both"/>
        <w:rPr>
          <w:rFonts w:ascii="Verdana" w:hAnsi="Verdana" w:cs="Arial"/>
          <w:color w:val="000000" w:themeColor="text1"/>
          <w:shd w:val="clear" w:color="auto" w:fill="FFFFFF"/>
        </w:rPr>
      </w:pPr>
    </w:p>
    <w:p w14:paraId="52128F46" w14:textId="77777777" w:rsidR="00936B0C" w:rsidRDefault="00936B0C" w:rsidP="00936B0C">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2D0F3EA8" w14:textId="77777777" w:rsidR="00936B0C" w:rsidRPr="009A385A" w:rsidRDefault="00936B0C" w:rsidP="00936B0C">
      <w:pPr>
        <w:spacing w:after="0"/>
        <w:jc w:val="both"/>
        <w:rPr>
          <w:rFonts w:ascii="Verdana" w:hAnsi="Verdana"/>
        </w:rPr>
      </w:pPr>
    </w:p>
    <w:p w14:paraId="3CE37EC9" w14:textId="77777777" w:rsidR="00936B0C" w:rsidRDefault="00936B0C" w:rsidP="00936B0C">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7E83B0FE" w14:textId="77777777" w:rsidR="00936B0C" w:rsidRDefault="00936B0C" w:rsidP="00936B0C">
      <w:pPr>
        <w:spacing w:after="0"/>
        <w:jc w:val="both"/>
        <w:rPr>
          <w:rFonts w:ascii="Verdana" w:hAnsi="Verdana"/>
        </w:rPr>
      </w:pPr>
    </w:p>
    <w:p w14:paraId="1D2A0785" w14:textId="77777777" w:rsidR="00936B0C" w:rsidRPr="008E1CD7" w:rsidRDefault="00936B0C" w:rsidP="00936B0C">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06F4DE8" w14:textId="77777777" w:rsidR="00936B0C" w:rsidRDefault="00936B0C" w:rsidP="00936B0C">
      <w:pPr>
        <w:shd w:val="clear" w:color="auto" w:fill="FFFFFF"/>
        <w:spacing w:after="0" w:line="276" w:lineRule="auto"/>
        <w:jc w:val="both"/>
        <w:rPr>
          <w:rFonts w:ascii="Verdana" w:hAnsi="Verdana"/>
          <w:color w:val="000000"/>
          <w:u w:val="single"/>
        </w:rPr>
      </w:pPr>
    </w:p>
    <w:p w14:paraId="790CC041" w14:textId="77777777" w:rsidR="00936B0C" w:rsidRPr="00116940" w:rsidRDefault="00936B0C" w:rsidP="00936B0C">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9386AEE" w14:textId="77777777" w:rsidR="00936B0C" w:rsidRPr="00116940" w:rsidRDefault="00936B0C" w:rsidP="00936B0C">
      <w:pPr>
        <w:spacing w:after="0"/>
        <w:jc w:val="both"/>
        <w:rPr>
          <w:rFonts w:ascii="Verdana" w:hAnsi="Verdana"/>
        </w:rPr>
      </w:pPr>
    </w:p>
    <w:p w14:paraId="046B2D44" w14:textId="77777777" w:rsidR="00936B0C" w:rsidRPr="00116940" w:rsidRDefault="00936B0C" w:rsidP="00936B0C">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EB44679" w14:textId="77777777" w:rsidR="00936B0C" w:rsidRPr="00116940" w:rsidRDefault="00936B0C" w:rsidP="00936B0C">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5004F5A" w14:textId="77777777" w:rsidR="00936B0C" w:rsidRPr="00116940" w:rsidRDefault="00936B0C" w:rsidP="00936B0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77F0D66E" w14:textId="77777777" w:rsidR="00936B0C" w:rsidRPr="00116940" w:rsidRDefault="00936B0C" w:rsidP="00936B0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6D5F36A4" w14:textId="77777777" w:rsidR="00936B0C" w:rsidRPr="00116940" w:rsidRDefault="00936B0C" w:rsidP="00936B0C">
      <w:pPr>
        <w:spacing w:after="0" w:line="240" w:lineRule="auto"/>
        <w:ind w:left="720"/>
        <w:jc w:val="both"/>
        <w:rPr>
          <w:rFonts w:ascii="Verdana" w:hAnsi="Verdana"/>
        </w:rPr>
      </w:pPr>
    </w:p>
    <w:p w14:paraId="78C01501" w14:textId="77777777" w:rsidR="00936B0C" w:rsidRPr="00116940" w:rsidRDefault="00936B0C" w:rsidP="00936B0C">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BF2C910" w14:textId="77777777" w:rsidR="00936B0C" w:rsidRPr="00116940" w:rsidRDefault="00936B0C" w:rsidP="00936B0C">
      <w:pPr>
        <w:spacing w:after="0" w:line="240" w:lineRule="auto"/>
        <w:rPr>
          <w:rFonts w:ascii="Verdana" w:hAnsi="Verdana"/>
        </w:rPr>
      </w:pPr>
    </w:p>
    <w:p w14:paraId="2C1854D6" w14:textId="77777777" w:rsidR="00936B0C" w:rsidRPr="00116940" w:rsidRDefault="00936B0C" w:rsidP="00936B0C">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C7B707B" w14:textId="77777777" w:rsidR="00936B0C" w:rsidRPr="00116940" w:rsidRDefault="00936B0C" w:rsidP="00936B0C">
      <w:pPr>
        <w:spacing w:after="0" w:line="240" w:lineRule="auto"/>
        <w:jc w:val="both"/>
        <w:rPr>
          <w:rFonts w:ascii="Verdana" w:hAnsi="Verdana"/>
        </w:rPr>
      </w:pPr>
    </w:p>
    <w:p w14:paraId="6696F73F" w14:textId="77777777" w:rsidR="00936B0C" w:rsidRPr="00116940" w:rsidRDefault="00936B0C" w:rsidP="00936B0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898208D" w14:textId="77777777" w:rsidR="00936B0C" w:rsidRPr="00116940" w:rsidRDefault="00936B0C" w:rsidP="00936B0C">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F2593F2" w14:textId="77777777" w:rsidR="00936B0C" w:rsidRPr="00116940" w:rsidRDefault="00936B0C" w:rsidP="00936B0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FA972C6" w14:textId="77777777" w:rsidR="00936B0C" w:rsidRPr="009C4035" w:rsidRDefault="00936B0C" w:rsidP="00936B0C">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12A4D0D4" w14:textId="77777777" w:rsidR="00936B0C" w:rsidRPr="00593A5F" w:rsidRDefault="00936B0C" w:rsidP="00936B0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7EBFFA6" w14:textId="77777777" w:rsidR="00936B0C" w:rsidRPr="00593A5F" w:rsidRDefault="00936B0C" w:rsidP="00936B0C">
      <w:pPr>
        <w:widowControl w:val="0"/>
        <w:autoSpaceDE w:val="0"/>
        <w:autoSpaceDN w:val="0"/>
        <w:spacing w:after="0" w:line="276" w:lineRule="auto"/>
        <w:jc w:val="both"/>
        <w:rPr>
          <w:rFonts w:ascii="Verdana" w:hAnsi="Verdana" w:cs="Arial"/>
        </w:rPr>
      </w:pPr>
    </w:p>
    <w:p w14:paraId="13BB6AB5" w14:textId="77777777" w:rsidR="00936B0C" w:rsidRPr="00593A5F" w:rsidRDefault="00936B0C" w:rsidP="00936B0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7F96EB5" w14:textId="2B9629F8" w:rsidR="00936B0C" w:rsidRPr="00593A5F" w:rsidRDefault="003C75FF" w:rsidP="00936B0C">
      <w:pPr>
        <w:spacing w:line="276" w:lineRule="auto"/>
        <w:jc w:val="center"/>
        <w:rPr>
          <w:rFonts w:ascii="Verdana" w:hAnsi="Verdana" w:cs="Arial"/>
          <w:color w:val="000000"/>
          <w:lang w:val="es-ES_tradnl" w:eastAsia="es-CO"/>
        </w:rPr>
      </w:pPr>
      <w:r>
        <w:rPr>
          <w:noProof/>
        </w:rPr>
        <w:drawing>
          <wp:inline distT="0" distB="0" distL="0" distR="0" wp14:anchorId="3AD4E0FE" wp14:editId="13C8383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36B0C" w:rsidRPr="00593A5F" w14:paraId="1EABAA54" w14:textId="77777777" w:rsidTr="008D2F4E">
        <w:trPr>
          <w:trHeight w:val="315"/>
        </w:trPr>
        <w:tc>
          <w:tcPr>
            <w:tcW w:w="893" w:type="dxa"/>
            <w:vAlign w:val="center"/>
            <w:hideMark/>
          </w:tcPr>
          <w:p w14:paraId="5718DE22" w14:textId="77777777" w:rsidR="00936B0C" w:rsidRPr="003751C7" w:rsidRDefault="00936B0C" w:rsidP="008D2F4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00EAA05" w14:textId="77777777" w:rsidR="00936B0C" w:rsidRPr="00254A7A" w:rsidRDefault="00936B0C" w:rsidP="008D2F4E">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D9D82B1" w14:textId="77777777" w:rsidR="00936B0C" w:rsidRPr="00254A7A" w:rsidRDefault="00936B0C" w:rsidP="008D2F4E">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36B0C" w:rsidRPr="00593A5F" w14:paraId="06F3AA00" w14:textId="77777777" w:rsidTr="008D2F4E">
        <w:trPr>
          <w:trHeight w:val="330"/>
        </w:trPr>
        <w:tc>
          <w:tcPr>
            <w:tcW w:w="893" w:type="dxa"/>
            <w:vAlign w:val="center"/>
            <w:hideMark/>
          </w:tcPr>
          <w:p w14:paraId="3AB20CE4" w14:textId="77777777" w:rsidR="00936B0C" w:rsidRPr="003751C7" w:rsidRDefault="00936B0C" w:rsidP="008D2F4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A55F64" w14:textId="2311DECB" w:rsidR="00936B0C" w:rsidRPr="00FE00BE" w:rsidRDefault="008D2F4E" w:rsidP="008D2F4E">
            <w:pPr>
              <w:pStyle w:val="paragraph"/>
              <w:spacing w:after="0"/>
              <w:contextualSpacing/>
              <w:textAlignment w:val="baseline"/>
              <w:rPr>
                <w:rStyle w:val="normaltextrun"/>
                <w:rFonts w:ascii="Verdana" w:hAnsi="Verdana" w:cs="Arial"/>
                <w:sz w:val="16"/>
                <w:szCs w:val="16"/>
                <w:lang w:val="es-ES_tradnl"/>
              </w:rPr>
            </w:pPr>
            <w:r w:rsidRPr="008D2F4E">
              <w:rPr>
                <w:rStyle w:val="normaltextrun"/>
                <w:rFonts w:ascii="Verdana" w:hAnsi="Verdana" w:cs="Arial"/>
                <w:sz w:val="16"/>
                <w:szCs w:val="16"/>
                <w:lang w:val="es-ES_tradnl"/>
              </w:rPr>
              <w:t>Martha Alicia Romero Vargas</w:t>
            </w:r>
          </w:p>
          <w:p w14:paraId="724973FD" w14:textId="77777777" w:rsidR="00936B0C" w:rsidRPr="00FE00BE" w:rsidRDefault="00936B0C" w:rsidP="008D2F4E">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936B0C" w:rsidRPr="00593A5F" w14:paraId="4DFAA665" w14:textId="77777777" w:rsidTr="008D2F4E">
        <w:trPr>
          <w:trHeight w:val="300"/>
        </w:trPr>
        <w:tc>
          <w:tcPr>
            <w:tcW w:w="893" w:type="dxa"/>
            <w:vAlign w:val="center"/>
          </w:tcPr>
          <w:p w14:paraId="4CCD637E" w14:textId="77777777" w:rsidR="00936B0C" w:rsidRPr="003751C7" w:rsidRDefault="00936B0C" w:rsidP="008D2F4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6EBA07" w14:textId="77777777" w:rsidR="00936B0C" w:rsidRPr="00FE00BE" w:rsidRDefault="00936B0C" w:rsidP="008D2F4E">
            <w:pPr>
              <w:contextualSpacing/>
              <w:rPr>
                <w:rFonts w:ascii="Verdana" w:eastAsia="Calibri" w:hAnsi="Verdana" w:cs="Arial"/>
                <w:sz w:val="16"/>
                <w:szCs w:val="16"/>
                <w:lang w:val="es-ES" w:eastAsia="es-ES"/>
              </w:rPr>
            </w:pPr>
            <w:r w:rsidRPr="1A02DAE0">
              <w:rPr>
                <w:rFonts w:ascii="Verdana" w:eastAsia="Calibri" w:hAnsi="Verdana" w:cs="Arial"/>
                <w:sz w:val="16"/>
                <w:szCs w:val="16"/>
                <w:lang w:val="es-ES" w:eastAsia="es-ES"/>
              </w:rPr>
              <w:t>Carolina Quintero Gacharná</w:t>
            </w:r>
          </w:p>
          <w:p w14:paraId="78E395E7" w14:textId="77777777" w:rsidR="00936B0C" w:rsidRPr="00FE00BE" w:rsidRDefault="00936B0C" w:rsidP="008D2F4E">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23CE44B0" w14:textId="77777777" w:rsidR="00936B0C" w:rsidRDefault="00936B0C" w:rsidP="00936B0C"/>
    <w:p w14:paraId="3B2DDF2B" w14:textId="577CC245" w:rsidR="00936B0C" w:rsidRPr="00543BFE" w:rsidRDefault="00936B0C" w:rsidP="00936B0C"/>
    <w:p w14:paraId="0F293BF4" w14:textId="548C685B" w:rsidR="00127233" w:rsidRPr="00EA3AD0" w:rsidRDefault="00127233" w:rsidP="00EA3AD0"/>
    <w:sectPr w:rsidR="00127233" w:rsidRPr="00EA3AD0"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A0DB9" w14:textId="77777777" w:rsidR="009042B2" w:rsidRDefault="009042B2" w:rsidP="004A1847">
      <w:pPr>
        <w:spacing w:after="0" w:line="240" w:lineRule="auto"/>
      </w:pPr>
      <w:r>
        <w:separator/>
      </w:r>
    </w:p>
  </w:endnote>
  <w:endnote w:type="continuationSeparator" w:id="0">
    <w:p w14:paraId="73B3932D" w14:textId="77777777" w:rsidR="009042B2" w:rsidRDefault="009042B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AA5D55"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AA5D55">
      <w:rPr>
        <w:rFonts w:ascii="Verdana" w:eastAsia="Verdana" w:hAnsi="Verdana" w:cs="Verdana"/>
        <w:b/>
        <w:color w:val="000000" w:themeColor="text1"/>
        <w:sz w:val="18"/>
        <w:szCs w:val="18"/>
        <w:lang w:val="pt-BR" w:eastAsia="es-CO"/>
      </w:rPr>
      <w:t xml:space="preserve">Código: </w:t>
    </w:r>
    <w:r w:rsidRPr="00AA5D55">
      <w:rPr>
        <w:rFonts w:ascii="Verdana" w:eastAsia="Verdana" w:hAnsi="Verdana" w:cs="Verdana"/>
        <w:color w:val="000000" w:themeColor="text1"/>
        <w:sz w:val="18"/>
        <w:szCs w:val="18"/>
        <w:lang w:val="pt-BR" w:eastAsia="es-CO"/>
      </w:rPr>
      <w:t xml:space="preserve">CCE-REC-FM-17 </w:t>
    </w:r>
    <w:r w:rsidRPr="00AA5D55">
      <w:rPr>
        <w:rFonts w:ascii="Verdana" w:eastAsia="Verdana" w:hAnsi="Verdana" w:cs="Verdana"/>
        <w:b/>
        <w:color w:val="000000" w:themeColor="text1"/>
        <w:sz w:val="18"/>
        <w:szCs w:val="18"/>
        <w:lang w:val="pt-BR" w:eastAsia="es-CO"/>
      </w:rPr>
      <w:t xml:space="preserve">V: </w:t>
    </w:r>
    <w:r w:rsidRPr="00AA5D55">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500E3" w14:textId="77777777" w:rsidR="009042B2" w:rsidRDefault="009042B2" w:rsidP="004A1847">
      <w:pPr>
        <w:spacing w:after="0" w:line="240" w:lineRule="auto"/>
      </w:pPr>
      <w:r>
        <w:separator/>
      </w:r>
    </w:p>
  </w:footnote>
  <w:footnote w:type="continuationSeparator" w:id="0">
    <w:p w14:paraId="49FEE2A2" w14:textId="77777777" w:rsidR="009042B2" w:rsidRDefault="009042B2" w:rsidP="004A1847">
      <w:pPr>
        <w:spacing w:after="0" w:line="240" w:lineRule="auto"/>
      </w:pPr>
      <w:r>
        <w:continuationSeparator/>
      </w:r>
    </w:p>
  </w:footnote>
  <w:footnote w:id="1">
    <w:p w14:paraId="5FDC51DD" w14:textId="77777777" w:rsidR="00936B0C" w:rsidRPr="00364005" w:rsidRDefault="00936B0C" w:rsidP="00936B0C">
      <w:pPr>
        <w:pStyle w:val="Textonotapie"/>
        <w:ind w:firstLine="708"/>
        <w:jc w:val="both"/>
        <w:rPr>
          <w:rFonts w:ascii="Verdana" w:hAnsi="Verdana" w:cs="Arial"/>
          <w:sz w:val="16"/>
          <w:szCs w:val="16"/>
          <w:lang w:val="en-US"/>
        </w:rPr>
      </w:pPr>
      <w:r w:rsidRPr="00364005">
        <w:rPr>
          <w:rStyle w:val="Refdenotaalpie"/>
          <w:rFonts w:ascii="Verdana" w:hAnsi="Verdana" w:cs="Arial"/>
          <w:sz w:val="16"/>
          <w:szCs w:val="16"/>
        </w:rPr>
        <w:footnoteRef/>
      </w:r>
      <w:r w:rsidRPr="00AA5D55">
        <w:rPr>
          <w:rFonts w:ascii="Verdana" w:hAnsi="Verdana" w:cs="Arial"/>
          <w:sz w:val="16"/>
          <w:szCs w:val="16"/>
          <w:lang w:val="it-IT"/>
        </w:rPr>
        <w:t xml:space="preserve"> DIMITRI N., PIGA, G., SPAGNOLO G., Handbook of Procurement. </w:t>
      </w:r>
      <w:r w:rsidRPr="00364005">
        <w:rPr>
          <w:rFonts w:ascii="Verdana" w:hAnsi="Verdana" w:cs="Arial"/>
          <w:sz w:val="16"/>
          <w:szCs w:val="16"/>
          <w:lang w:val="en-US"/>
        </w:rPr>
        <w:t>New York: Cambridge University Press, 2006</w:t>
      </w:r>
      <w:r>
        <w:rPr>
          <w:rFonts w:ascii="Verdana" w:hAnsi="Verdana" w:cs="Arial"/>
          <w:sz w:val="16"/>
          <w:szCs w:val="16"/>
          <w:lang w:val="en-US"/>
        </w:rPr>
        <w:t>.</w:t>
      </w:r>
    </w:p>
  </w:footnote>
  <w:footnote w:id="2">
    <w:p w14:paraId="223D79BB" w14:textId="77777777" w:rsidR="00936B0C" w:rsidRPr="00364005" w:rsidRDefault="00936B0C" w:rsidP="00936B0C">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Gaceta del Congreso No. 458 del 1 de agosto de 2005.</w:t>
      </w:r>
    </w:p>
  </w:footnote>
  <w:footnote w:id="3">
    <w:p w14:paraId="2B73CABC" w14:textId="77777777" w:rsidR="00936B0C" w:rsidRPr="00364005" w:rsidRDefault="00936B0C" w:rsidP="00936B0C">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Además de lo anterior, el artículo 2.2.1.1.1.3.1. del Decreto 1082 de 2015, estableció la siguiente definición del concepto riesgo: “Riesgo: Evento que puede generar efectos adversos y de distinta magnitud en el logro de los objetivos del Proceso de Contratación o en la ejecución de un Contrato”.</w:t>
      </w:r>
    </w:p>
  </w:footnote>
  <w:footnote w:id="4">
    <w:p w14:paraId="143552EF" w14:textId="77777777" w:rsidR="00936B0C" w:rsidRPr="00364005" w:rsidRDefault="00936B0C" w:rsidP="00936B0C">
      <w:pPr>
        <w:pStyle w:val="Textoindependiente"/>
        <w:spacing w:after="0" w:line="240" w:lineRule="auto"/>
        <w:ind w:right="49"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Cabe precisar que el Consejo de Estado en la Sentencia del 11 de abril de 2019. Rad. 2014-00135-00 (52055). Sección Tercera. C.P. María Adriana Marín,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5CBB5CFC" w14:textId="77777777" w:rsidR="00936B0C" w:rsidRPr="00364005" w:rsidRDefault="00936B0C" w:rsidP="00936B0C">
      <w:pPr>
        <w:pStyle w:val="Textonotapie"/>
        <w:jc w:val="both"/>
        <w:rPr>
          <w:rFonts w:ascii="Verdana" w:hAnsi="Verdana" w:cs="Arial"/>
          <w:sz w:val="16"/>
          <w:szCs w:val="16"/>
          <w:lang w:val="es-ES"/>
        </w:rPr>
      </w:pPr>
    </w:p>
  </w:footnote>
  <w:footnote w:id="5">
    <w:p w14:paraId="1AEB184D"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Así se establece en el “</w:t>
      </w:r>
      <w:r w:rsidRPr="00364005">
        <w:rPr>
          <w:rFonts w:ascii="Verdana" w:eastAsia="Calibri" w:hAnsi="Verdana" w:cs="Arial"/>
          <w:color w:val="000000" w:themeColor="text1"/>
          <w:sz w:val="16"/>
          <w:szCs w:val="16"/>
        </w:rPr>
        <w:t>Manual para la Identificación y Cobertura del Riesgo en los Procesos de Contratación</w:t>
      </w:r>
      <w:r w:rsidRPr="00364005">
        <w:rPr>
          <w:rFonts w:ascii="Verdana" w:hAnsi="Verdana" w:cs="Arial"/>
          <w:sz w:val="16"/>
          <w:szCs w:val="16"/>
        </w:rPr>
        <w:t>”: “5. Monitorear los Riesgos.</w:t>
      </w:r>
      <w:r>
        <w:rPr>
          <w:rFonts w:ascii="Verdana" w:hAnsi="Verdana" w:cs="Arial"/>
          <w:sz w:val="16"/>
          <w:szCs w:val="16"/>
        </w:rPr>
        <w:t xml:space="preserve"> </w:t>
      </w:r>
      <w:r w:rsidRPr="00364005">
        <w:rPr>
          <w:rFonts w:ascii="Verdana" w:hAnsi="Verdana" w:cs="Arial"/>
          <w:sz w:val="16"/>
          <w:szCs w:val="16"/>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64005">
        <w:rPr>
          <w:rFonts w:ascii="Verdana" w:hAnsi="Verdana" w:cs="Arial"/>
          <w:i/>
          <w:iCs/>
          <w:sz w:val="16"/>
          <w:szCs w:val="16"/>
        </w:rPr>
        <w:t>revisar si es necesario hacer ajustes al plan de tratamiento de acuerdo con las circunstancias</w:t>
      </w:r>
      <w:r w:rsidRPr="00364005">
        <w:rPr>
          <w:rFonts w:ascii="Verdana" w:hAnsi="Verdana" w:cs="Arial"/>
          <w:sz w:val="16"/>
          <w:szCs w:val="16"/>
        </w:rPr>
        <w:t>” (Cursiva fuera del original).</w:t>
      </w:r>
    </w:p>
  </w:footnote>
  <w:footnote w:id="6">
    <w:p w14:paraId="480FF2E7"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 xml:space="preserve">Manual para la identificación y cobertura del Riesgo en los Procesos de Contratación. </w:t>
      </w:r>
    </w:p>
  </w:footnote>
  <w:footnote w:id="7">
    <w:p w14:paraId="26E652D9" w14:textId="77777777" w:rsidR="00936B0C" w:rsidRPr="00364005" w:rsidRDefault="00936B0C" w:rsidP="00936B0C">
      <w:pPr>
        <w:pStyle w:val="Textonotapie"/>
        <w:ind w:firstLine="708"/>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2E2A65">
        <w:rPr>
          <w:rFonts w:ascii="Verdana" w:hAnsi="Verdana" w:cs="Arial"/>
          <w:i/>
          <w:iCs/>
          <w:sz w:val="16"/>
          <w:szCs w:val="16"/>
          <w:lang w:val="es-ES"/>
        </w:rPr>
        <w:t>Ibidem</w:t>
      </w:r>
      <w:r>
        <w:rPr>
          <w:rFonts w:ascii="Verdana" w:hAnsi="Verdana" w:cs="Arial"/>
          <w:sz w:val="16"/>
          <w:szCs w:val="16"/>
          <w:lang w:val="es-ES"/>
        </w:rPr>
        <w:t>.</w:t>
      </w:r>
      <w:r w:rsidRPr="00364005">
        <w:rPr>
          <w:rFonts w:ascii="Verdana" w:hAnsi="Verdana" w:cs="Arial"/>
          <w:sz w:val="16"/>
          <w:szCs w:val="16"/>
          <w:lang w:val="es-ES"/>
        </w:rPr>
        <w:t xml:space="preserve"> </w:t>
      </w:r>
    </w:p>
  </w:footnote>
  <w:footnote w:id="8">
    <w:p w14:paraId="6D051AE2" w14:textId="77777777" w:rsidR="00936B0C" w:rsidRPr="00364005" w:rsidRDefault="00936B0C" w:rsidP="00936B0C">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hAnsi="Verdana" w:cs="Arial"/>
          <w:sz w:val="16"/>
          <w:szCs w:val="16"/>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footnote>
  <w:footnote w:id="9">
    <w:p w14:paraId="77E537F3" w14:textId="77777777" w:rsidR="00936B0C" w:rsidRPr="00364005" w:rsidRDefault="00936B0C" w:rsidP="00936B0C">
      <w:pPr>
        <w:pStyle w:val="Textonotapie"/>
        <w:ind w:firstLine="709"/>
        <w:jc w:val="both"/>
        <w:rPr>
          <w:rFonts w:ascii="Verdana" w:eastAsia="Calibri" w:hAnsi="Verdana" w:cs="Arial"/>
          <w:sz w:val="16"/>
          <w:szCs w:val="16"/>
          <w:lang w:val="es-ES_tradnl" w:eastAsia="es-ES_tradnl"/>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2FA05C0A" w14:textId="77777777" w:rsidR="00936B0C" w:rsidRPr="00364005" w:rsidRDefault="00936B0C" w:rsidP="00936B0C">
      <w:pPr>
        <w:pStyle w:val="Textonotapie"/>
        <w:ind w:firstLine="709"/>
        <w:jc w:val="both"/>
        <w:rPr>
          <w:rFonts w:ascii="Verdana" w:hAnsi="Verdana" w:cs="Arial"/>
          <w:sz w:val="16"/>
          <w:szCs w:val="16"/>
          <w:lang w:val="es-ES"/>
        </w:rPr>
      </w:pPr>
      <w:r w:rsidRPr="00364005">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0">
    <w:p w14:paraId="35F7C1BA"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11">
    <w:p w14:paraId="7CCFCB17" w14:textId="77777777" w:rsidR="00936B0C" w:rsidRPr="00364005" w:rsidRDefault="00936B0C" w:rsidP="00936B0C">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12">
    <w:p w14:paraId="4AAF3F58"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13">
    <w:p w14:paraId="401DF4E6"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14">
    <w:p w14:paraId="584904E7"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15">
    <w:p w14:paraId="044DFA99" w14:textId="77777777" w:rsidR="00936B0C" w:rsidRPr="00364005" w:rsidRDefault="00936B0C" w:rsidP="00936B0C">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364005">
        <w:rPr>
          <w:rFonts w:ascii="Verdana" w:hAnsi="Verdana" w:cs="Arial"/>
          <w:sz w:val="16"/>
          <w:szCs w:val="16"/>
        </w:rPr>
        <w:t xml:space="preserve"> </w:t>
      </w:r>
    </w:p>
  </w:footnote>
  <w:footnote w:id="16">
    <w:p w14:paraId="3E93698B" w14:textId="77777777" w:rsidR="00936B0C" w:rsidRPr="00364005" w:rsidRDefault="00936B0C" w:rsidP="00936B0C">
      <w:pPr>
        <w:pStyle w:val="Textonotapie"/>
        <w:ind w:firstLine="709"/>
        <w:jc w:val="both"/>
        <w:rPr>
          <w:rFonts w:ascii="Verdana" w:eastAsia="Calibri" w:hAnsi="Verdana" w:cs="Arial"/>
          <w:sz w:val="16"/>
          <w:szCs w:val="16"/>
          <w:lang w:val="es-ES_tradnl" w:eastAsia="es-ES_tradnl"/>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MARÍN, Op. Cit., pp. 64-65.</w:t>
      </w:r>
    </w:p>
  </w:footnote>
  <w:footnote w:id="17">
    <w:p w14:paraId="3844C88C" w14:textId="77777777" w:rsidR="00936B0C" w:rsidRPr="00364005" w:rsidRDefault="00936B0C" w:rsidP="00936B0C">
      <w:pPr>
        <w:pStyle w:val="Textonotapie"/>
        <w:ind w:firstLine="709"/>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Ibíd., p. 66.</w:t>
      </w:r>
    </w:p>
  </w:footnote>
  <w:footnote w:id="18">
    <w:p w14:paraId="41CE6E8A" w14:textId="77777777" w:rsidR="00936B0C" w:rsidRPr="00364005" w:rsidRDefault="00936B0C" w:rsidP="00936B0C">
      <w:pPr>
        <w:pStyle w:val="Textonotapie"/>
        <w:ind w:firstLine="708"/>
        <w:jc w:val="both"/>
        <w:rPr>
          <w:rFonts w:ascii="Verdana" w:hAnsi="Verdana" w:cs="Arial"/>
          <w:bCs/>
          <w:sz w:val="16"/>
          <w:szCs w:val="16"/>
          <w:lang w:val="es-ES_tradnl"/>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9">
    <w:p w14:paraId="27736925" w14:textId="77777777" w:rsidR="00936B0C" w:rsidRPr="00364005" w:rsidRDefault="00936B0C" w:rsidP="00936B0C">
      <w:pPr>
        <w:pStyle w:val="Textonotapie"/>
        <w:ind w:firstLine="708"/>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MARÍN, Op. Cit., p. 70.</w:t>
      </w:r>
    </w:p>
  </w:footnote>
  <w:footnote w:id="20">
    <w:p w14:paraId="11956F16" w14:textId="77777777" w:rsidR="00936B0C" w:rsidRPr="00364005" w:rsidRDefault="00936B0C" w:rsidP="00936B0C">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eastAsia="Calibri" w:hAnsi="Verdana" w:cs="Arial"/>
          <w:sz w:val="16"/>
          <w:szCs w:val="16"/>
          <w:lang w:val="es-ES_tradnl" w:eastAsia="es-ES_tradnl"/>
        </w:rPr>
        <w:t>Ibíd., p. 68.</w:t>
      </w:r>
    </w:p>
  </w:footnote>
  <w:footnote w:id="21">
    <w:p w14:paraId="2CD34CC6" w14:textId="77777777" w:rsidR="00936B0C" w:rsidRPr="00364005" w:rsidRDefault="00936B0C" w:rsidP="00936B0C">
      <w:pPr>
        <w:pStyle w:val="Textonotapie"/>
        <w:ind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eastAsia="Calibri" w:hAnsi="Verdana" w:cs="Arial"/>
          <w:sz w:val="16"/>
          <w:szCs w:val="16"/>
          <w:lang w:val="es-ES_tradnl" w:eastAsia="es-ES_tradnl"/>
        </w:rPr>
        <w:t>Ibíd., p. 71.</w:t>
      </w:r>
    </w:p>
  </w:footnote>
  <w:footnote w:id="22">
    <w:p w14:paraId="41352118" w14:textId="77777777" w:rsidR="00936B0C" w:rsidRPr="00AA5D55" w:rsidRDefault="00936B0C" w:rsidP="00936B0C">
      <w:pPr>
        <w:pStyle w:val="Textonotapie"/>
        <w:ind w:firstLine="709"/>
        <w:jc w:val="both"/>
        <w:rPr>
          <w:rFonts w:ascii="Verdana" w:hAnsi="Verdana" w:cs="Arial"/>
          <w:color w:val="000000" w:themeColor="text1"/>
          <w:sz w:val="16"/>
          <w:szCs w:val="16"/>
          <w:lang w:val="it-IT"/>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color w:val="000000" w:themeColor="text1"/>
          <w:sz w:val="16"/>
          <w:szCs w:val="16"/>
        </w:rPr>
        <w:t xml:space="preserve">Consejo de Estado. Sentencia del 28 de junio de 2012. </w:t>
      </w:r>
      <w:r w:rsidRPr="00AA5D55">
        <w:rPr>
          <w:rFonts w:ascii="Verdana" w:hAnsi="Verdana" w:cs="Arial"/>
          <w:color w:val="000000" w:themeColor="text1"/>
          <w:sz w:val="16"/>
          <w:szCs w:val="16"/>
          <w:lang w:val="it-IT"/>
        </w:rPr>
        <w:t xml:space="preserve">Rad. Nro. 21990. C.P: Ruth Stella Correa Palacio. </w:t>
      </w:r>
    </w:p>
  </w:footnote>
  <w:footnote w:id="23">
    <w:p w14:paraId="2E437567" w14:textId="77777777" w:rsidR="00936B0C" w:rsidRPr="00364005" w:rsidRDefault="00936B0C" w:rsidP="00936B0C">
      <w:pPr>
        <w:pStyle w:val="Textonotapie"/>
        <w:ind w:firstLine="709"/>
        <w:jc w:val="both"/>
        <w:rPr>
          <w:rFonts w:ascii="Verdana" w:hAnsi="Verdana" w:cs="Arial"/>
          <w:iCs/>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iCs/>
          <w:sz w:val="16"/>
          <w:szCs w:val="16"/>
          <w:lang w:val="es-CO"/>
        </w:rPr>
        <w:t xml:space="preserve">IBAÑEZ NAJAR, Jorge Enrique. </w:t>
      </w:r>
      <w:r w:rsidRPr="00364005">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364005">
        <w:rPr>
          <w:rFonts w:ascii="Verdana" w:hAnsi="Verdana" w:cs="Arial"/>
          <w:iCs/>
          <w:sz w:val="16"/>
          <w:szCs w:val="16"/>
          <w:lang w:val="es-CO"/>
        </w:rPr>
        <w:t>y la jurisprudencia. En: PALACIO JARAMILLO, María Teresa (editora académica). Contratos Estatales. Tomo II. 2022. Bogotá: Universidad del Rosario. P. 630</w:t>
      </w:r>
    </w:p>
  </w:footnote>
  <w:footnote w:id="24">
    <w:p w14:paraId="6CFBC888" w14:textId="77777777" w:rsidR="00936B0C" w:rsidRPr="00364005" w:rsidRDefault="00936B0C" w:rsidP="00936B0C">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CONSEJO DE ESTADO. Sección Tercera. Subsección C. Sentencia del 20 de abril de 2022. Exp. 56508. C.P. Nicolás Yepes Corrales.</w:t>
      </w:r>
    </w:p>
  </w:footnote>
  <w:footnote w:id="25">
    <w:p w14:paraId="1248FAA0" w14:textId="77777777" w:rsidR="00936B0C" w:rsidRPr="00364005" w:rsidRDefault="00936B0C" w:rsidP="00936B0C">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Consejo de Estado. Sección Tercera. Sentencia del 31 de agosto de 2011. Exp. 18.080. CP.: Ruth Stella Correa Palacio. Reiterada en </w:t>
      </w:r>
      <w:r w:rsidRPr="00364005">
        <w:rPr>
          <w:rFonts w:ascii="Verdana" w:hAnsi="Verdana" w:cs="Arial"/>
          <w:sz w:val="16"/>
          <w:szCs w:val="16"/>
          <w:lang w:val="es-CO"/>
        </w:rPr>
        <w:t xml:space="preserve">Sentencia del 8 de febrero de 2012. Exp. 20344. </w:t>
      </w:r>
      <w:r w:rsidRPr="00364005">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26">
    <w:p w14:paraId="14C39149" w14:textId="77777777" w:rsidR="00936B0C" w:rsidRPr="00AA5D55" w:rsidRDefault="00936B0C" w:rsidP="00936B0C">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364005">
        <w:rPr>
          <w:rFonts w:ascii="Verdana" w:hAnsi="Verdana" w:cs="Arial"/>
          <w:sz w:val="16"/>
          <w:szCs w:val="16"/>
        </w:rPr>
        <w:t xml:space="preserve"> Consejo de Estado. Sección Tercera. Sentencia del 29 de enero de 2018. </w:t>
      </w:r>
      <w:r w:rsidRPr="00AA5D55">
        <w:rPr>
          <w:rFonts w:ascii="Verdana" w:hAnsi="Verdana" w:cs="Arial"/>
          <w:sz w:val="16"/>
          <w:szCs w:val="16"/>
          <w:lang w:val="pt-BR"/>
        </w:rPr>
        <w:t>Exp. 52.666 CP.: Jaime Orlando Santofimio Gamboa.</w:t>
      </w:r>
    </w:p>
  </w:footnote>
  <w:footnote w:id="27">
    <w:p w14:paraId="2DA96A19" w14:textId="77777777" w:rsidR="00936B0C" w:rsidRPr="00AA5D55" w:rsidRDefault="00936B0C" w:rsidP="00936B0C">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AA5D55">
        <w:rPr>
          <w:rFonts w:ascii="Verdana" w:hAnsi="Verdana" w:cs="Arial"/>
          <w:sz w:val="16"/>
          <w:szCs w:val="16"/>
          <w:lang w:val="pt-BR"/>
        </w:rPr>
        <w:t xml:space="preserve"> Ibidem </w:t>
      </w:r>
    </w:p>
  </w:footnote>
  <w:footnote w:id="28">
    <w:p w14:paraId="57580CFC" w14:textId="77777777" w:rsidR="00936B0C" w:rsidRPr="00AA5D55" w:rsidRDefault="00936B0C" w:rsidP="00936B0C">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AA5D55">
        <w:rPr>
          <w:rFonts w:ascii="Verdana" w:hAnsi="Verdana" w:cs="Arial"/>
          <w:sz w:val="16"/>
          <w:szCs w:val="16"/>
          <w:lang w:val="pt-BR"/>
        </w:rPr>
        <w:t xml:space="preserve"> Consejo de Estado. </w:t>
      </w:r>
      <w:r w:rsidRPr="00364005">
        <w:rPr>
          <w:rFonts w:ascii="Verdana" w:hAnsi="Verdana" w:cs="Arial"/>
          <w:sz w:val="16"/>
          <w:szCs w:val="16"/>
        </w:rPr>
        <w:t>Sección Tercera.</w:t>
      </w:r>
      <w:r w:rsidRPr="00364005">
        <w:rPr>
          <w:rFonts w:ascii="Verdana" w:hAnsi="Verdana" w:cs="Arial"/>
          <w:sz w:val="16"/>
          <w:szCs w:val="16"/>
          <w:lang w:val="es-CO"/>
        </w:rPr>
        <w:t xml:space="preserve"> Subsección A.</w:t>
      </w:r>
      <w:r w:rsidRPr="00364005">
        <w:rPr>
          <w:rFonts w:ascii="Verdana" w:hAnsi="Verdana" w:cs="Arial"/>
          <w:sz w:val="16"/>
          <w:szCs w:val="16"/>
        </w:rPr>
        <w:t xml:space="preserve"> Sentencia del 6 de julio de 2022. Exp. 54.319 CP.: María Adriana Marín. Ver también: </w:t>
      </w:r>
      <w:r w:rsidRPr="00364005">
        <w:rPr>
          <w:rFonts w:ascii="Verdana" w:hAnsi="Verdana" w:cs="Arial"/>
          <w:sz w:val="16"/>
          <w:szCs w:val="16"/>
          <w:lang w:val="es-CO"/>
        </w:rPr>
        <w:t xml:space="preserve">Consejo de Estado. Sección Tercera. Subsección A. Sentencia del 3 de junio de 2022. Exp. 53299. </w:t>
      </w:r>
      <w:r w:rsidRPr="00AA5D55">
        <w:rPr>
          <w:rFonts w:ascii="Verdana" w:hAnsi="Verdana" w:cs="Arial"/>
          <w:sz w:val="16"/>
          <w:szCs w:val="16"/>
          <w:lang w:val="pt-BR"/>
        </w:rPr>
        <w:t>C.P.: José Roberto Sáchica Méndez</w:t>
      </w:r>
    </w:p>
  </w:footnote>
  <w:footnote w:id="29">
    <w:p w14:paraId="67F6F975" w14:textId="77777777" w:rsidR="00936B0C" w:rsidRPr="00AA5D55" w:rsidRDefault="00936B0C" w:rsidP="00936B0C">
      <w:pPr>
        <w:pStyle w:val="Textonotapie"/>
        <w:ind w:firstLine="709"/>
        <w:jc w:val="both"/>
        <w:rPr>
          <w:rFonts w:ascii="Verdana" w:hAnsi="Verdana" w:cs="Arial"/>
          <w:sz w:val="16"/>
          <w:szCs w:val="16"/>
          <w:lang w:val="pt-BR" w:bidi="es-ES"/>
        </w:rPr>
      </w:pPr>
      <w:r w:rsidRPr="00364005">
        <w:rPr>
          <w:rStyle w:val="Refdenotaalpie"/>
          <w:rFonts w:ascii="Verdana" w:hAnsi="Verdana" w:cs="Arial"/>
          <w:sz w:val="16"/>
          <w:szCs w:val="16"/>
        </w:rPr>
        <w:footnoteRef/>
      </w:r>
      <w:r w:rsidRPr="00AA5D55">
        <w:rPr>
          <w:rFonts w:ascii="Verdana" w:hAnsi="Verdana" w:cs="Arial"/>
          <w:sz w:val="16"/>
          <w:szCs w:val="16"/>
          <w:lang w:val="pt-BR"/>
        </w:rPr>
        <w:t xml:space="preserve"> </w:t>
      </w:r>
      <w:r w:rsidRPr="00AA5D55">
        <w:rPr>
          <w:rFonts w:ascii="Verdana" w:hAnsi="Verdana" w:cs="Arial"/>
          <w:sz w:val="16"/>
          <w:szCs w:val="16"/>
          <w:lang w:val="pt-BR" w:bidi="es-ES"/>
        </w:rPr>
        <w:t xml:space="preserve">Corte Constitucional. Sentencia C-416 de 2012. </w:t>
      </w:r>
    </w:p>
  </w:footnote>
  <w:footnote w:id="30">
    <w:p w14:paraId="08CCFC83" w14:textId="77777777" w:rsidR="00936B0C" w:rsidRPr="00364005" w:rsidRDefault="00936B0C" w:rsidP="00936B0C">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EXPÓSITO VÉLEZ, Juan Carlos. </w:t>
      </w:r>
      <w:r w:rsidRPr="00364005">
        <w:rPr>
          <w:rFonts w:ascii="Verdana" w:hAnsi="Verdana" w:cs="Arial"/>
          <w:sz w:val="16"/>
          <w:szCs w:val="16"/>
          <w:lang w:val="es-CO"/>
        </w:rPr>
        <w:t xml:space="preserve">Formas, formalidades y contenido del contrato estatal. Serie de derecho administrativo Nro. 34. Universidad Externado de Colombia. 2020. </w:t>
      </w:r>
    </w:p>
  </w:footnote>
  <w:footnote w:id="31">
    <w:p w14:paraId="3AFFDC7F" w14:textId="77777777" w:rsidR="00936B0C" w:rsidRPr="00364005" w:rsidRDefault="00936B0C" w:rsidP="00936B0C">
      <w:pPr>
        <w:pStyle w:val="Textonotapie"/>
        <w:ind w:firstLine="708"/>
        <w:jc w:val="both"/>
        <w:rPr>
          <w:rFonts w:ascii="Verdana" w:hAnsi="Verdana"/>
          <w:sz w:val="16"/>
          <w:szCs w:val="16"/>
          <w:lang w:val="es-CO"/>
        </w:rPr>
      </w:pPr>
      <w:r w:rsidRPr="00364005">
        <w:rPr>
          <w:rStyle w:val="Refdenotaalpie"/>
          <w:rFonts w:ascii="Verdana" w:hAnsi="Verdana"/>
          <w:sz w:val="16"/>
          <w:szCs w:val="16"/>
        </w:rPr>
        <w:footnoteRef/>
      </w:r>
      <w:r w:rsidRPr="00364005">
        <w:rPr>
          <w:rFonts w:ascii="Verdana" w:hAnsi="Verdana"/>
          <w:sz w:val="16"/>
          <w:szCs w:val="16"/>
        </w:rPr>
        <w:t xml:space="preserve"> Para la doctrina, “A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 (Cfr. SANTOFIMIO GAMBOA, Jaime Orlando. Tratado de derecho administrativo: contratación indebida. Tomo IV. Bogotá: Universidad Externado de Colombia, 2004. pp. 388-389).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7.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1330140246">
    <w:abstractNumId w:val="0"/>
  </w:num>
  <w:num w:numId="17" w16cid:durableId="679089576">
    <w:abstractNumId w:val="9"/>
  </w:num>
  <w:num w:numId="18" w16cid:durableId="11690623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0F4"/>
    <w:rsid w:val="00016F78"/>
    <w:rsid w:val="00046945"/>
    <w:rsid w:val="000542B3"/>
    <w:rsid w:val="00061B2A"/>
    <w:rsid w:val="00082362"/>
    <w:rsid w:val="000840F6"/>
    <w:rsid w:val="000A683E"/>
    <w:rsid w:val="000B19B9"/>
    <w:rsid w:val="000D0334"/>
    <w:rsid w:val="000D4284"/>
    <w:rsid w:val="000D5DA7"/>
    <w:rsid w:val="000F6486"/>
    <w:rsid w:val="00116940"/>
    <w:rsid w:val="00125105"/>
    <w:rsid w:val="00127233"/>
    <w:rsid w:val="0015699B"/>
    <w:rsid w:val="00172049"/>
    <w:rsid w:val="001A33BF"/>
    <w:rsid w:val="001E4177"/>
    <w:rsid w:val="001F0B24"/>
    <w:rsid w:val="001F7DC6"/>
    <w:rsid w:val="00212CAD"/>
    <w:rsid w:val="0022400B"/>
    <w:rsid w:val="002370FD"/>
    <w:rsid w:val="002421BB"/>
    <w:rsid w:val="00243DAD"/>
    <w:rsid w:val="0025796E"/>
    <w:rsid w:val="002707A2"/>
    <w:rsid w:val="002951A0"/>
    <w:rsid w:val="002962BC"/>
    <w:rsid w:val="002A093D"/>
    <w:rsid w:val="002A0DD0"/>
    <w:rsid w:val="002A26FA"/>
    <w:rsid w:val="002A49AC"/>
    <w:rsid w:val="002A64FD"/>
    <w:rsid w:val="002B7D2B"/>
    <w:rsid w:val="002C7A84"/>
    <w:rsid w:val="002E2BF8"/>
    <w:rsid w:val="002E4FD9"/>
    <w:rsid w:val="0030657A"/>
    <w:rsid w:val="00322A85"/>
    <w:rsid w:val="00324168"/>
    <w:rsid w:val="00330834"/>
    <w:rsid w:val="0033548D"/>
    <w:rsid w:val="003448F4"/>
    <w:rsid w:val="00374F5E"/>
    <w:rsid w:val="00377E3E"/>
    <w:rsid w:val="003A779E"/>
    <w:rsid w:val="003C75FF"/>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33CA"/>
    <w:rsid w:val="00530532"/>
    <w:rsid w:val="005566E8"/>
    <w:rsid w:val="00574867"/>
    <w:rsid w:val="00591460"/>
    <w:rsid w:val="005A65E0"/>
    <w:rsid w:val="005C3777"/>
    <w:rsid w:val="005C5CDC"/>
    <w:rsid w:val="005D476C"/>
    <w:rsid w:val="006200BF"/>
    <w:rsid w:val="006219F8"/>
    <w:rsid w:val="006302F7"/>
    <w:rsid w:val="00646B9F"/>
    <w:rsid w:val="0066221E"/>
    <w:rsid w:val="00665D70"/>
    <w:rsid w:val="006900D9"/>
    <w:rsid w:val="00693A8A"/>
    <w:rsid w:val="00706C16"/>
    <w:rsid w:val="007340C3"/>
    <w:rsid w:val="0075235A"/>
    <w:rsid w:val="00756841"/>
    <w:rsid w:val="007649AB"/>
    <w:rsid w:val="00771D0C"/>
    <w:rsid w:val="007833AC"/>
    <w:rsid w:val="007B268C"/>
    <w:rsid w:val="007B7171"/>
    <w:rsid w:val="007C0C0F"/>
    <w:rsid w:val="007C38EE"/>
    <w:rsid w:val="007C3DC2"/>
    <w:rsid w:val="007E5497"/>
    <w:rsid w:val="00806F5F"/>
    <w:rsid w:val="00820278"/>
    <w:rsid w:val="008258C9"/>
    <w:rsid w:val="00844AE9"/>
    <w:rsid w:val="00867F95"/>
    <w:rsid w:val="008843B6"/>
    <w:rsid w:val="00891928"/>
    <w:rsid w:val="008A446D"/>
    <w:rsid w:val="008B25F1"/>
    <w:rsid w:val="008D180B"/>
    <w:rsid w:val="008D2F4E"/>
    <w:rsid w:val="008F0EA7"/>
    <w:rsid w:val="009042B2"/>
    <w:rsid w:val="00923EEF"/>
    <w:rsid w:val="00936B0C"/>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E99"/>
    <w:rsid w:val="00A17F13"/>
    <w:rsid w:val="00A20739"/>
    <w:rsid w:val="00A23AF9"/>
    <w:rsid w:val="00A33C78"/>
    <w:rsid w:val="00AA5D55"/>
    <w:rsid w:val="00AB0ADB"/>
    <w:rsid w:val="00B00C0E"/>
    <w:rsid w:val="00B01B1A"/>
    <w:rsid w:val="00B0381D"/>
    <w:rsid w:val="00B12B54"/>
    <w:rsid w:val="00B44A47"/>
    <w:rsid w:val="00B72CD3"/>
    <w:rsid w:val="00B72FFF"/>
    <w:rsid w:val="00BC3D36"/>
    <w:rsid w:val="00BD54A6"/>
    <w:rsid w:val="00BD7F72"/>
    <w:rsid w:val="00BF7425"/>
    <w:rsid w:val="00BF74CF"/>
    <w:rsid w:val="00C04FB3"/>
    <w:rsid w:val="00C11D8B"/>
    <w:rsid w:val="00C15139"/>
    <w:rsid w:val="00C330EB"/>
    <w:rsid w:val="00C50D69"/>
    <w:rsid w:val="00C5365C"/>
    <w:rsid w:val="00C754BE"/>
    <w:rsid w:val="00C76B1C"/>
    <w:rsid w:val="00C925AC"/>
    <w:rsid w:val="00C92693"/>
    <w:rsid w:val="00C97B20"/>
    <w:rsid w:val="00CB6357"/>
    <w:rsid w:val="00CC1B26"/>
    <w:rsid w:val="00CF6FA8"/>
    <w:rsid w:val="00D361FD"/>
    <w:rsid w:val="00D423A2"/>
    <w:rsid w:val="00D44E26"/>
    <w:rsid w:val="00D5184F"/>
    <w:rsid w:val="00D520D8"/>
    <w:rsid w:val="00D63AC2"/>
    <w:rsid w:val="00D7383B"/>
    <w:rsid w:val="00D7788A"/>
    <w:rsid w:val="00DA231B"/>
    <w:rsid w:val="00DC39FC"/>
    <w:rsid w:val="00DF5254"/>
    <w:rsid w:val="00E02524"/>
    <w:rsid w:val="00E16408"/>
    <w:rsid w:val="00E20894"/>
    <w:rsid w:val="00E245AB"/>
    <w:rsid w:val="00E260FC"/>
    <w:rsid w:val="00E2764C"/>
    <w:rsid w:val="00E27F2E"/>
    <w:rsid w:val="00E50AFE"/>
    <w:rsid w:val="00E75C92"/>
    <w:rsid w:val="00E771DC"/>
    <w:rsid w:val="00E8772A"/>
    <w:rsid w:val="00E87A0F"/>
    <w:rsid w:val="00E90F6B"/>
    <w:rsid w:val="00E92C27"/>
    <w:rsid w:val="00EA0E3D"/>
    <w:rsid w:val="00EA3AD0"/>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1A02DAE0"/>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E11F95B-7F3C-FC4A-8F91-A84B45D97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36B0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36B0C"/>
    <w:rPr>
      <w:rFonts w:ascii="Geomanist Light" w:hAnsi="Geomanist Light"/>
      <w:lang w:val="es-ES"/>
    </w:rPr>
  </w:style>
  <w:style w:type="paragraph" w:styleId="Textoindependiente">
    <w:name w:val="Body Text"/>
    <w:basedOn w:val="Normal"/>
    <w:link w:val="TextoindependienteCar"/>
    <w:uiPriority w:val="99"/>
    <w:unhideWhenUsed/>
    <w:rsid w:val="00936B0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936B0C"/>
    <w:rPr>
      <w:rFonts w:eastAsiaTheme="minorEastAsia"/>
      <w:lang w:eastAsia="es-CO"/>
    </w:rPr>
  </w:style>
  <w:style w:type="character" w:customStyle="1" w:styleId="s15">
    <w:name w:val="s15"/>
    <w:basedOn w:val="Fuentedeprrafopredeter"/>
    <w:rsid w:val="00936B0C"/>
  </w:style>
  <w:style w:type="character" w:customStyle="1" w:styleId="NormalWebCar">
    <w:name w:val="Normal (Web) Car"/>
    <w:link w:val="NormalWeb"/>
    <w:uiPriority w:val="99"/>
    <w:rsid w:val="00936B0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betancur@sic.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F5649126-4071-4536-A1FA-6CFEBBB40E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36</Pages>
  <Words>12555</Words>
  <Characters>69054</Characters>
  <Application>Microsoft Office Word</Application>
  <DocSecurity>0</DocSecurity>
  <Lines>575</Lines>
  <Paragraphs>162</Paragraphs>
  <ScaleCrop>false</ScaleCrop>
  <Company/>
  <LinksUpToDate>false</LinksUpToDate>
  <CharactersWithSpaces>81447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2026-03-13T13:41:00Z</dcterms:created>
  <dcterms:modified xsi:type="dcterms:W3CDTF">2026-03-18T22:40:00Z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