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8496C0" w14:textId="77777777" w:rsidR="002B6B2A" w:rsidRPr="002B6B2A" w:rsidRDefault="002B6B2A" w:rsidP="002D158E">
      <w:pPr>
        <w:spacing w:after="0" w:line="276" w:lineRule="auto"/>
        <w:jc w:val="both"/>
        <w:rPr>
          <w:rFonts w:ascii="Verdana" w:eastAsia="Calibri" w:hAnsi="Verdana" w:cs="Arial"/>
          <w:b/>
          <w:bCs/>
          <w:lang w:val="es-ES_tradnl"/>
        </w:rPr>
      </w:pPr>
      <w:bookmarkStart w:id="0" w:name="_Hlk143780582"/>
      <w:r w:rsidRPr="002B6B2A">
        <w:rPr>
          <w:rFonts w:ascii="Verdana" w:eastAsia="Calibri" w:hAnsi="Verdana" w:cs="Arial"/>
          <w:b/>
          <w:bCs/>
          <w:lang w:val="es-ES_tradnl"/>
        </w:rPr>
        <w:t xml:space="preserve">DOCUMENTOS TIPO – Fundamento normativo – Obligatoriedad </w:t>
      </w:r>
    </w:p>
    <w:p w14:paraId="24981EA4" w14:textId="77777777" w:rsidR="002B6B2A" w:rsidRPr="002B6B2A" w:rsidRDefault="002B6B2A" w:rsidP="002D158E">
      <w:pPr>
        <w:spacing w:after="0" w:line="276" w:lineRule="auto"/>
        <w:jc w:val="both"/>
        <w:rPr>
          <w:rFonts w:ascii="Verdana" w:eastAsia="Calibri" w:hAnsi="Verdana" w:cs="Arial"/>
          <w:b/>
          <w:bCs/>
          <w:sz w:val="20"/>
          <w:szCs w:val="20"/>
          <w:lang w:val="es-ES_tradnl"/>
        </w:rPr>
      </w:pPr>
    </w:p>
    <w:p w14:paraId="7ADC39B7" w14:textId="77777777" w:rsidR="002B6B2A" w:rsidRPr="002B6B2A" w:rsidRDefault="002B6B2A" w:rsidP="002D158E">
      <w:pPr>
        <w:tabs>
          <w:tab w:val="left" w:pos="709"/>
        </w:tabs>
        <w:spacing w:after="0" w:line="240" w:lineRule="auto"/>
        <w:jc w:val="both"/>
        <w:rPr>
          <w:rFonts w:ascii="Verdana" w:eastAsia="Calibri" w:hAnsi="Verdana" w:cs="Arial"/>
          <w:sz w:val="20"/>
          <w:szCs w:val="20"/>
          <w:lang w:val="es-ES"/>
        </w:rPr>
      </w:pPr>
      <w:r w:rsidRPr="002B6B2A">
        <w:rPr>
          <w:rFonts w:ascii="Verdana" w:eastAsia="Calibri" w:hAnsi="Verdana" w:cs="Arial"/>
          <w:sz w:val="20"/>
          <w:szCs w:val="20"/>
          <w:lang w:val="es-ES"/>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6D9F0DE6" w14:textId="77777777" w:rsidR="002B6B2A" w:rsidRPr="002B6B2A" w:rsidRDefault="002B6B2A" w:rsidP="002D158E">
      <w:pPr>
        <w:spacing w:after="0" w:line="276" w:lineRule="auto"/>
        <w:jc w:val="both"/>
        <w:rPr>
          <w:rFonts w:ascii="Verdana" w:eastAsia="Calibri" w:hAnsi="Verdana" w:cs="Arial"/>
          <w:b/>
          <w:bCs/>
          <w:lang w:val="es-ES_tradnl"/>
        </w:rPr>
      </w:pPr>
    </w:p>
    <w:p w14:paraId="09E52A77" w14:textId="77777777" w:rsidR="002B6B2A" w:rsidRPr="002B6B2A" w:rsidRDefault="002B6B2A" w:rsidP="002D158E">
      <w:pPr>
        <w:widowControl w:val="0"/>
        <w:autoSpaceDE w:val="0"/>
        <w:autoSpaceDN w:val="0"/>
        <w:spacing w:after="0" w:line="276" w:lineRule="auto"/>
        <w:jc w:val="both"/>
        <w:rPr>
          <w:rFonts w:ascii="Verdana" w:eastAsia="Calibri" w:hAnsi="Verdana" w:cs="Times New Roman"/>
          <w:b/>
          <w:bCs/>
          <w:lang w:val="es-ES"/>
        </w:rPr>
      </w:pPr>
      <w:r w:rsidRPr="002B6B2A">
        <w:rPr>
          <w:rFonts w:ascii="Verdana" w:eastAsia="Calibri" w:hAnsi="Verdana" w:cs="Arial"/>
          <w:b/>
          <w:bCs/>
          <w:lang w:val="es-ES_tradnl"/>
        </w:rPr>
        <w:t>SECTOR SOCIAL</w:t>
      </w:r>
      <w:r w:rsidRPr="002B6B2A">
        <w:rPr>
          <w:rFonts w:ascii="Verdana" w:eastAsia="Calibri" w:hAnsi="Verdana" w:cs="Times New Roman"/>
          <w:lang w:val="es-ES"/>
        </w:rPr>
        <w:t xml:space="preserve"> </w:t>
      </w:r>
      <w:r w:rsidRPr="002B6B2A">
        <w:rPr>
          <w:rFonts w:ascii="Verdana" w:eastAsia="Calibri" w:hAnsi="Verdana" w:cs="Times New Roman"/>
          <w:b/>
          <w:bCs/>
          <w:lang w:val="es-ES"/>
        </w:rPr>
        <w:t>– Documentos tipo – Vigentes</w:t>
      </w:r>
    </w:p>
    <w:p w14:paraId="379ADF16" w14:textId="77777777" w:rsidR="002B6B2A" w:rsidRPr="002B6B2A" w:rsidRDefault="002B6B2A" w:rsidP="002D158E">
      <w:pPr>
        <w:widowControl w:val="0"/>
        <w:autoSpaceDE w:val="0"/>
        <w:autoSpaceDN w:val="0"/>
        <w:spacing w:after="0" w:line="276" w:lineRule="auto"/>
        <w:jc w:val="both"/>
        <w:rPr>
          <w:rFonts w:ascii="Verdana" w:eastAsia="Calibri" w:hAnsi="Verdana" w:cs="Times New Roman"/>
          <w:b/>
          <w:bCs/>
          <w:lang w:val="es-ES"/>
        </w:rPr>
      </w:pPr>
    </w:p>
    <w:p w14:paraId="4B6D3040" w14:textId="77777777" w:rsidR="002B6B2A" w:rsidRPr="002B6B2A" w:rsidRDefault="002B6B2A" w:rsidP="002D158E">
      <w:pPr>
        <w:widowControl w:val="0"/>
        <w:autoSpaceDE w:val="0"/>
        <w:autoSpaceDN w:val="0"/>
        <w:spacing w:after="0" w:line="240" w:lineRule="auto"/>
        <w:jc w:val="both"/>
        <w:rPr>
          <w:rFonts w:ascii="Verdana" w:eastAsia="Calibri" w:hAnsi="Verdana" w:cs="Times New Roman"/>
          <w:b/>
          <w:bCs/>
          <w:sz w:val="20"/>
          <w:szCs w:val="20"/>
          <w:lang w:val="es-ES"/>
        </w:rPr>
      </w:pPr>
      <w:r w:rsidRPr="002B6B2A">
        <w:rPr>
          <w:rFonts w:ascii="Verdana" w:eastAsia="Aptos" w:hAnsi="Verdana" w:cs="Times New Roman"/>
          <w:kern w:val="2"/>
          <w:sz w:val="20"/>
          <w:szCs w:val="20"/>
          <w14:ligatures w14:val="standardContextual"/>
        </w:rPr>
        <w:t xml:space="preserve">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de salud, cultura, recreación y deporte, institucional y vivienda, en los procesos de selección cuyo aviso de convocatoria se publique a partir del 16 de febrero de 2026. </w:t>
      </w:r>
    </w:p>
    <w:p w14:paraId="36E0D840" w14:textId="77777777" w:rsidR="002B6B2A" w:rsidRPr="002B6B2A" w:rsidRDefault="002B6B2A" w:rsidP="002D158E">
      <w:pPr>
        <w:widowControl w:val="0"/>
        <w:autoSpaceDE w:val="0"/>
        <w:autoSpaceDN w:val="0"/>
        <w:spacing w:after="0" w:line="276" w:lineRule="auto"/>
        <w:jc w:val="both"/>
        <w:rPr>
          <w:rFonts w:ascii="Verdana" w:eastAsia="Calibri" w:hAnsi="Verdana" w:cs="Times New Roman"/>
          <w:lang w:val="es-ES"/>
        </w:rPr>
      </w:pPr>
    </w:p>
    <w:p w14:paraId="6AD4D049" w14:textId="77777777" w:rsidR="002B6B2A" w:rsidRPr="002B6B2A" w:rsidRDefault="002B6B2A" w:rsidP="002D158E">
      <w:pPr>
        <w:spacing w:after="0" w:line="276" w:lineRule="auto"/>
        <w:jc w:val="both"/>
        <w:rPr>
          <w:rFonts w:ascii="Verdana" w:eastAsia="Calibri" w:hAnsi="Verdana" w:cs="Times New Roman"/>
          <w:sz w:val="20"/>
          <w:szCs w:val="20"/>
          <w:lang w:val="es-ES"/>
        </w:rPr>
      </w:pPr>
      <w:r w:rsidRPr="002B6B2A">
        <w:rPr>
          <w:rFonts w:ascii="Verdana" w:eastAsia="Calibri" w:hAnsi="Verdana" w:cs="Times New Roman"/>
          <w:b/>
          <w:bCs/>
          <w:lang w:val="es-ES"/>
        </w:rPr>
        <w:t xml:space="preserve">DOCUMENTOS TIPO – Aplicación – Matriz de Experiencia </w:t>
      </w:r>
    </w:p>
    <w:p w14:paraId="014773D7" w14:textId="77777777" w:rsidR="002B6B2A" w:rsidRPr="002B6B2A" w:rsidRDefault="002B6B2A" w:rsidP="002D158E">
      <w:pPr>
        <w:spacing w:after="0" w:line="240" w:lineRule="auto"/>
        <w:jc w:val="both"/>
        <w:rPr>
          <w:rFonts w:ascii="Verdana" w:eastAsia="Geomanist Light" w:hAnsi="Verdana" w:cs="Arial"/>
          <w:lang w:val="es-MX"/>
        </w:rPr>
      </w:pPr>
    </w:p>
    <w:p w14:paraId="2D33A133" w14:textId="77777777" w:rsidR="002B6B2A" w:rsidRPr="002B6B2A" w:rsidRDefault="002B6B2A" w:rsidP="002D158E">
      <w:pPr>
        <w:widowControl w:val="0"/>
        <w:autoSpaceDE w:val="0"/>
        <w:autoSpaceDN w:val="0"/>
        <w:spacing w:after="0" w:line="240" w:lineRule="auto"/>
        <w:jc w:val="both"/>
        <w:rPr>
          <w:rFonts w:ascii="Verdana" w:eastAsia="Calibri" w:hAnsi="Verdana" w:cs="Times New Roman"/>
          <w:sz w:val="20"/>
          <w:szCs w:val="20"/>
          <w:lang w:val="es-ES"/>
        </w:rPr>
      </w:pPr>
      <w:r w:rsidRPr="002B6B2A">
        <w:rPr>
          <w:rFonts w:ascii="Verdana" w:eastAsia="Calibri" w:hAnsi="Verdana" w:cs="Times New Roman"/>
          <w:sz w:val="20"/>
          <w:szCs w:val="20"/>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30BBEDCF" w14:textId="77777777" w:rsidR="002B6B2A" w:rsidRPr="002B6B2A" w:rsidRDefault="002B6B2A" w:rsidP="002D158E">
      <w:pPr>
        <w:widowControl w:val="0"/>
        <w:autoSpaceDE w:val="0"/>
        <w:autoSpaceDN w:val="0"/>
        <w:spacing w:after="0" w:line="240" w:lineRule="auto"/>
        <w:jc w:val="both"/>
        <w:rPr>
          <w:rFonts w:ascii="Verdana" w:eastAsia="Calibri" w:hAnsi="Verdana" w:cs="Times New Roman"/>
          <w:sz w:val="20"/>
          <w:szCs w:val="20"/>
          <w:lang w:val="es-ES"/>
        </w:rPr>
      </w:pPr>
    </w:p>
    <w:p w14:paraId="349ED9BB" w14:textId="77777777" w:rsidR="002B6B2A" w:rsidRPr="002B6B2A" w:rsidRDefault="002B6B2A" w:rsidP="002D158E">
      <w:pPr>
        <w:widowControl w:val="0"/>
        <w:autoSpaceDE w:val="0"/>
        <w:autoSpaceDN w:val="0"/>
        <w:spacing w:after="0" w:line="240" w:lineRule="auto"/>
        <w:jc w:val="both"/>
        <w:rPr>
          <w:rFonts w:ascii="Verdana" w:eastAsia="Calibri" w:hAnsi="Verdana" w:cs="Times New Roman"/>
          <w:sz w:val="20"/>
          <w:szCs w:val="20"/>
          <w:lang w:val="es-ES"/>
        </w:rPr>
      </w:pPr>
      <w:r w:rsidRPr="002B6B2A">
        <w:rPr>
          <w:rFonts w:ascii="Verdana" w:eastAsia="Calibri" w:hAnsi="Verdana" w:cs="Times New Roman"/>
          <w:sz w:val="20"/>
          <w:szCs w:val="20"/>
          <w:lang w:val="es-ES"/>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4D13AD9E" w14:textId="77777777" w:rsidR="002B6B2A" w:rsidRPr="002B6B2A" w:rsidRDefault="002B6B2A" w:rsidP="002D158E">
      <w:pPr>
        <w:widowControl w:val="0"/>
        <w:autoSpaceDE w:val="0"/>
        <w:autoSpaceDN w:val="0"/>
        <w:spacing w:after="0" w:line="240" w:lineRule="auto"/>
        <w:jc w:val="both"/>
        <w:rPr>
          <w:rFonts w:ascii="Verdana" w:eastAsia="Calibri" w:hAnsi="Verdana" w:cs="Times New Roman"/>
          <w:sz w:val="20"/>
          <w:szCs w:val="20"/>
          <w:lang w:val="es-ES"/>
        </w:rPr>
      </w:pPr>
    </w:p>
    <w:p w14:paraId="06F85DF5" w14:textId="77777777" w:rsidR="002B6B2A" w:rsidRPr="002B6B2A" w:rsidRDefault="002B6B2A" w:rsidP="002D158E">
      <w:pPr>
        <w:widowControl w:val="0"/>
        <w:autoSpaceDE w:val="0"/>
        <w:autoSpaceDN w:val="0"/>
        <w:spacing w:after="0" w:line="240" w:lineRule="auto"/>
        <w:jc w:val="both"/>
        <w:rPr>
          <w:rFonts w:ascii="Verdana" w:eastAsia="Calibri" w:hAnsi="Verdana" w:cs="Times New Roman"/>
          <w:b/>
          <w:bCs/>
          <w:sz w:val="20"/>
          <w:szCs w:val="20"/>
          <w:lang w:val="es-ES"/>
        </w:rPr>
      </w:pPr>
      <w:r w:rsidRPr="002B6B2A">
        <w:rPr>
          <w:rFonts w:ascii="Verdana" w:eastAsia="Calibri" w:hAnsi="Verdana" w:cs="Times New Roman"/>
          <w:b/>
          <w:bCs/>
          <w:sz w:val="20"/>
          <w:szCs w:val="20"/>
          <w:lang w:val="es-ES"/>
        </w:rPr>
        <w:t>DOCUMENTOS TIPO – Licitación pública – Sector social – Resolución 539 de 2025 – Estructura de la Resolución</w:t>
      </w:r>
    </w:p>
    <w:p w14:paraId="013929D1" w14:textId="77777777" w:rsidR="002B6B2A" w:rsidRPr="002B6B2A" w:rsidRDefault="002B6B2A" w:rsidP="002D158E">
      <w:pPr>
        <w:widowControl w:val="0"/>
        <w:autoSpaceDE w:val="0"/>
        <w:autoSpaceDN w:val="0"/>
        <w:spacing w:after="0" w:line="240" w:lineRule="auto"/>
        <w:jc w:val="both"/>
        <w:rPr>
          <w:rFonts w:ascii="Verdana" w:eastAsia="Calibri" w:hAnsi="Verdana" w:cs="Times New Roman"/>
          <w:b/>
          <w:bCs/>
          <w:sz w:val="20"/>
          <w:szCs w:val="20"/>
          <w:lang w:val="es-ES"/>
        </w:rPr>
      </w:pPr>
    </w:p>
    <w:p w14:paraId="0905F80B" w14:textId="77777777" w:rsidR="002B6B2A" w:rsidRPr="002B6B2A" w:rsidRDefault="002B6B2A" w:rsidP="002D158E">
      <w:pPr>
        <w:snapToGrid w:val="0"/>
        <w:spacing w:after="0" w:line="240" w:lineRule="auto"/>
        <w:jc w:val="both"/>
        <w:rPr>
          <w:rFonts w:ascii="Verdana" w:eastAsia="Aptos" w:hAnsi="Verdana" w:cs="Times New Roman"/>
          <w:kern w:val="2"/>
          <w:sz w:val="20"/>
          <w:szCs w:val="20"/>
          <w14:ligatures w14:val="standardContextual"/>
        </w:rPr>
      </w:pPr>
      <w:r w:rsidRPr="002B6B2A">
        <w:rPr>
          <w:rFonts w:ascii="Verdana" w:eastAsia="Aptos" w:hAnsi="Verdana" w:cs="Times New Roman"/>
          <w:kern w:val="2"/>
          <w:sz w:val="20"/>
          <w:szCs w:val="20"/>
          <w14:ligatures w14:val="standardContextual"/>
        </w:rPr>
        <w:t xml:space="preserve">Mediante el Capítulo I de la Resolución 539 del 21 de agosto de 2025, la Agencia Nacional de Contratación Pública – Colombia Compra Eficiente adoptó los documentos tipo aplicables de forma transversal en el sector social para los procesos que se adelanten </w:t>
      </w:r>
      <w:r w:rsidRPr="002B6B2A">
        <w:rPr>
          <w:rFonts w:ascii="Verdana" w:eastAsia="Aptos" w:hAnsi="Verdana" w:cs="Times New Roman"/>
          <w:kern w:val="2"/>
          <w:sz w:val="20"/>
          <w:szCs w:val="20"/>
          <w14:ligatures w14:val="standardContextual"/>
        </w:rPr>
        <w:lastRenderedPageBreak/>
        <w:t>mediante la modalidad de selección de licitación pública, correspondientes a proyectos enmarcados en los sectores de educación, salud, cultura, recreación y deporte, institucional y vivienda.</w:t>
      </w:r>
    </w:p>
    <w:p w14:paraId="45096B8E" w14:textId="77777777" w:rsidR="002B6B2A" w:rsidRPr="002B6B2A" w:rsidRDefault="002B6B2A" w:rsidP="002D158E">
      <w:pPr>
        <w:snapToGrid w:val="0"/>
        <w:spacing w:after="0" w:line="240" w:lineRule="auto"/>
        <w:jc w:val="both"/>
        <w:rPr>
          <w:rFonts w:ascii="Verdana" w:eastAsia="Aptos" w:hAnsi="Verdana" w:cs="Times New Roman"/>
          <w:kern w:val="2"/>
          <w:sz w:val="20"/>
          <w:szCs w:val="20"/>
          <w14:ligatures w14:val="standardContextual"/>
        </w:rPr>
      </w:pPr>
    </w:p>
    <w:p w14:paraId="156FF65A" w14:textId="77777777" w:rsidR="002B6B2A" w:rsidRPr="002B6B2A" w:rsidRDefault="002B6B2A" w:rsidP="002D158E">
      <w:pPr>
        <w:snapToGrid w:val="0"/>
        <w:spacing w:after="0" w:line="240" w:lineRule="auto"/>
        <w:jc w:val="both"/>
        <w:rPr>
          <w:rFonts w:ascii="Verdana" w:eastAsia="Aptos" w:hAnsi="Verdana" w:cs="Times New Roman"/>
          <w:kern w:val="2"/>
          <w:sz w:val="20"/>
          <w:szCs w:val="20"/>
          <w14:ligatures w14:val="standardContextual"/>
        </w:rPr>
      </w:pPr>
      <w:r w:rsidRPr="002B6B2A">
        <w:rPr>
          <w:rFonts w:ascii="Verdana" w:eastAsia="Aptos" w:hAnsi="Verdana" w:cs="Times New Roman"/>
          <w:kern w:val="2"/>
          <w:sz w:val="20"/>
          <w:szCs w:val="20"/>
          <w14:ligatures w14:val="standardContextual"/>
        </w:rPr>
        <w:t>(…)</w:t>
      </w:r>
    </w:p>
    <w:p w14:paraId="034A88B5" w14:textId="77777777" w:rsidR="002B6B2A" w:rsidRPr="002B6B2A" w:rsidRDefault="002B6B2A" w:rsidP="002D158E">
      <w:pPr>
        <w:snapToGrid w:val="0"/>
        <w:spacing w:after="0" w:line="240" w:lineRule="auto"/>
        <w:jc w:val="both"/>
        <w:rPr>
          <w:rFonts w:ascii="Verdana" w:eastAsia="Aptos" w:hAnsi="Verdana" w:cs="Times New Roman"/>
          <w:kern w:val="2"/>
          <w:sz w:val="20"/>
          <w:szCs w:val="20"/>
          <w14:ligatures w14:val="standardContextual"/>
        </w:rPr>
      </w:pPr>
    </w:p>
    <w:p w14:paraId="5D6B2918" w14:textId="77777777" w:rsidR="002B6B2A" w:rsidRPr="002B6B2A" w:rsidRDefault="002B6B2A" w:rsidP="002D158E">
      <w:pPr>
        <w:snapToGrid w:val="0"/>
        <w:spacing w:after="0" w:line="240" w:lineRule="auto"/>
        <w:jc w:val="both"/>
        <w:rPr>
          <w:rFonts w:ascii="Verdana" w:eastAsia="Calibri" w:hAnsi="Verdana" w:cs="Times New Roman"/>
          <w:sz w:val="20"/>
          <w:szCs w:val="20"/>
          <w:lang w:val="es-ES"/>
        </w:rPr>
      </w:pPr>
      <w:r w:rsidRPr="002B6B2A">
        <w:rPr>
          <w:rFonts w:ascii="Verdana" w:eastAsia="Calibri" w:hAnsi="Verdana" w:cs="Times New Roman"/>
          <w:sz w:val="20"/>
          <w:szCs w:val="20"/>
          <w:lang w:val="es-ES"/>
        </w:rPr>
        <w:t>Los documentos tipo complementarios corresponden a la Matriz 1 – Experiencia en cada uno de los sectores señalados, la cual deberá aplicarse de forma conjunta con el documento base, así como con los formatos, anexos y formularios adoptados para los documentos tipo de selección de licitación de obra pública de infraestructura social – versión 2; es decir, los señalados en el artículo 2 de la Resolución 539 de 2025.</w:t>
      </w:r>
    </w:p>
    <w:p w14:paraId="73147767" w14:textId="77777777" w:rsidR="002B6B2A" w:rsidRPr="002B6B2A" w:rsidRDefault="002B6B2A" w:rsidP="002D158E">
      <w:pPr>
        <w:snapToGrid w:val="0"/>
        <w:spacing w:after="0" w:line="240" w:lineRule="auto"/>
        <w:jc w:val="both"/>
        <w:rPr>
          <w:rFonts w:ascii="Verdana" w:eastAsia="Calibri" w:hAnsi="Verdana" w:cs="Times New Roman"/>
          <w:sz w:val="20"/>
          <w:szCs w:val="20"/>
          <w:lang w:val="es-ES"/>
        </w:rPr>
      </w:pPr>
    </w:p>
    <w:p w14:paraId="73359AA8" w14:textId="77777777" w:rsidR="002B6B2A" w:rsidRPr="002B6B2A" w:rsidRDefault="002B6B2A" w:rsidP="002D158E">
      <w:pPr>
        <w:snapToGrid w:val="0"/>
        <w:spacing w:after="0" w:line="240" w:lineRule="auto"/>
        <w:jc w:val="both"/>
        <w:rPr>
          <w:rFonts w:ascii="Verdana" w:eastAsia="Calibri" w:hAnsi="Verdana" w:cs="Times New Roman"/>
          <w:sz w:val="20"/>
          <w:szCs w:val="20"/>
          <w:lang w:val="es-ES"/>
        </w:rPr>
      </w:pPr>
      <w:r w:rsidRPr="002B6B2A">
        <w:rPr>
          <w:rFonts w:ascii="Verdana" w:eastAsia="Calibri" w:hAnsi="Verdana" w:cs="Times New Roman"/>
          <w:sz w:val="20"/>
          <w:szCs w:val="20"/>
          <w:lang w:val="es-ES"/>
        </w:rPr>
        <w:t xml:space="preserve">En consecuencia, de acuerdo con la estructura de la Resolución 539 de 2025, en materia de infraestructura social debe tenerse en cuenta que existen dos (2) clases de documentos tipo que se integran en cada proceso: i) los documentos transversales a todos los sectores de infraestructura social, esto es, el documento base, los anexos, los formatos, los formularios y las matrices adoptados mediante el capítulo I de la Resolución 539 de 2025; y </w:t>
      </w:r>
      <w:proofErr w:type="spellStart"/>
      <w:r w:rsidRPr="002B6B2A">
        <w:rPr>
          <w:rFonts w:ascii="Verdana" w:eastAsia="Calibri" w:hAnsi="Verdana" w:cs="Times New Roman"/>
          <w:sz w:val="20"/>
          <w:szCs w:val="20"/>
          <w:lang w:val="es-ES"/>
        </w:rPr>
        <w:t>ii</w:t>
      </w:r>
      <w:proofErr w:type="spellEnd"/>
      <w:r w:rsidRPr="002B6B2A">
        <w:rPr>
          <w:rFonts w:ascii="Verdana" w:eastAsia="Calibri" w:hAnsi="Verdana" w:cs="Times New Roman"/>
          <w:sz w:val="20"/>
          <w:szCs w:val="20"/>
          <w:lang w:val="es-ES"/>
        </w:rPr>
        <w:t>) los documentos tipo complementarios, correspondientes a la matriz de experiencia, los cuales fueron adoptados mediante los capítulos II, III, IV, V y VI de la Resolución 539 de 2025 para cada sector específico.</w:t>
      </w:r>
    </w:p>
    <w:p w14:paraId="6A7B22FA" w14:textId="77777777" w:rsidR="002B6B2A" w:rsidRPr="002B6B2A" w:rsidRDefault="002B6B2A" w:rsidP="002D158E">
      <w:pPr>
        <w:widowControl w:val="0"/>
        <w:autoSpaceDE w:val="0"/>
        <w:autoSpaceDN w:val="0"/>
        <w:spacing w:after="0" w:line="240" w:lineRule="auto"/>
        <w:jc w:val="both"/>
        <w:rPr>
          <w:rFonts w:ascii="Arial" w:eastAsia="Calibri" w:hAnsi="Arial" w:cs="Arial"/>
          <w:b/>
          <w:bCs/>
          <w:color w:val="000000"/>
          <w:kern w:val="2"/>
          <w:sz w:val="24"/>
          <w:szCs w:val="24"/>
          <w:lang w:val="es-ES"/>
          <w14:ligatures w14:val="standardContextual"/>
        </w:rPr>
      </w:pPr>
    </w:p>
    <w:p w14:paraId="10F9CC15" w14:textId="77777777" w:rsidR="002B6B2A" w:rsidRPr="002D158E" w:rsidRDefault="002B6B2A" w:rsidP="002D158E">
      <w:pPr>
        <w:spacing w:after="0" w:line="240" w:lineRule="auto"/>
        <w:jc w:val="both"/>
        <w:rPr>
          <w:rFonts w:ascii="Verdana" w:eastAsia="Calibri" w:hAnsi="Verdana" w:cs="Arial"/>
          <w:b/>
          <w:bCs/>
          <w:color w:val="000000"/>
          <w:kern w:val="2"/>
          <w14:ligatures w14:val="standardContextual"/>
        </w:rPr>
      </w:pPr>
      <w:r w:rsidRPr="002D158E">
        <w:rPr>
          <w:rFonts w:ascii="Verdana" w:eastAsia="Calibri" w:hAnsi="Verdana" w:cs="Arial"/>
          <w:b/>
          <w:bCs/>
          <w:color w:val="000000"/>
          <w:kern w:val="2"/>
          <w14:ligatures w14:val="standardContextual"/>
        </w:rPr>
        <w:t>SECTOR VIVIENDA – Documentos tipo – Matriz 1 – Experiencia – Actividad 1.3 – Alcance</w:t>
      </w:r>
    </w:p>
    <w:p w14:paraId="5A16ED63" w14:textId="77777777" w:rsidR="002B6B2A" w:rsidRPr="002B6B2A" w:rsidRDefault="002B6B2A" w:rsidP="002D158E">
      <w:pPr>
        <w:spacing w:after="0" w:line="240" w:lineRule="auto"/>
        <w:jc w:val="both"/>
        <w:rPr>
          <w:rFonts w:ascii="Arial" w:eastAsia="Calibri" w:hAnsi="Arial" w:cs="Arial"/>
          <w:b/>
          <w:bCs/>
          <w:color w:val="000000"/>
          <w:kern w:val="2"/>
          <w:sz w:val="24"/>
          <w:szCs w:val="24"/>
          <w14:ligatures w14:val="standardContextual"/>
        </w:rPr>
      </w:pPr>
    </w:p>
    <w:p w14:paraId="3C9DCBCD" w14:textId="77777777" w:rsidR="002B6B2A" w:rsidRPr="002B6B2A" w:rsidRDefault="002B6B2A" w:rsidP="002D158E">
      <w:pPr>
        <w:spacing w:after="0" w:line="240" w:lineRule="auto"/>
        <w:jc w:val="both"/>
        <w:rPr>
          <w:rFonts w:ascii="Verdana" w:eastAsia="Aptos" w:hAnsi="Verdana" w:cs="Aptos"/>
          <w:kern w:val="2"/>
          <w:sz w:val="20"/>
          <w:szCs w:val="20"/>
          <w14:ligatures w14:val="standardContextual"/>
        </w:rPr>
      </w:pPr>
      <w:r w:rsidRPr="002B6B2A">
        <w:rPr>
          <w:rFonts w:ascii="Verdana" w:eastAsia="Calibri" w:hAnsi="Verdana" w:cs="Times New Roman"/>
          <w:kern w:val="2"/>
          <w:sz w:val="20"/>
          <w:szCs w:val="20"/>
          <w:lang w:val="es-ES"/>
          <w14:ligatures w14:val="standardContextual"/>
        </w:rPr>
        <w:t xml:space="preserve">Como se aprecia, la actividad 1.3 contenida en la Matriz 1 – Experiencia Sector Vivienda, aplica para proyectos de </w:t>
      </w:r>
      <w:r w:rsidRPr="002B6B2A">
        <w:rPr>
          <w:rFonts w:ascii="Verdana" w:eastAsia="Aptos" w:hAnsi="Verdana" w:cs="Aptos"/>
          <w:kern w:val="2"/>
          <w:sz w:val="20"/>
          <w:szCs w:val="20"/>
          <w14:ligatures w14:val="standardContextual"/>
        </w:rPr>
        <w:t xml:space="preserve">demolición y/o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de cerramiento, todos estos sobre vivienda(s) urbana(s). </w:t>
      </w:r>
    </w:p>
    <w:p w14:paraId="0CA05357" w14:textId="77777777" w:rsidR="002B6B2A" w:rsidRPr="002B6B2A" w:rsidRDefault="002B6B2A" w:rsidP="002D158E">
      <w:pPr>
        <w:spacing w:after="0" w:line="240" w:lineRule="auto"/>
        <w:jc w:val="both"/>
        <w:rPr>
          <w:rFonts w:ascii="Verdana" w:eastAsia="Aptos" w:hAnsi="Verdana" w:cs="Aptos"/>
          <w:kern w:val="2"/>
          <w:sz w:val="20"/>
          <w:szCs w:val="20"/>
          <w14:ligatures w14:val="standardContextual"/>
        </w:rPr>
      </w:pPr>
    </w:p>
    <w:p w14:paraId="7DA9D83D" w14:textId="77777777" w:rsidR="002B6B2A" w:rsidRPr="002B6B2A" w:rsidRDefault="002B6B2A" w:rsidP="002D158E">
      <w:pPr>
        <w:spacing w:after="0" w:line="240" w:lineRule="auto"/>
        <w:jc w:val="both"/>
        <w:rPr>
          <w:rFonts w:ascii="Verdana" w:eastAsia="Aptos" w:hAnsi="Verdana" w:cs="Aptos"/>
          <w:kern w:val="2"/>
          <w:sz w:val="20"/>
          <w:szCs w:val="20"/>
          <w14:ligatures w14:val="standardContextual"/>
        </w:rPr>
      </w:pPr>
      <w:r w:rsidRPr="002B6B2A">
        <w:rPr>
          <w:rFonts w:ascii="Verdana" w:eastAsia="Aptos" w:hAnsi="Verdana" w:cs="Aptos"/>
          <w:kern w:val="2"/>
          <w:sz w:val="20"/>
          <w:szCs w:val="20"/>
          <w14:ligatures w14:val="standardContextual"/>
        </w:rPr>
        <w:t xml:space="preserve">Ahora bien, debe indicarse que la actividad señalada, utiliza la conjunción disyuntiva (y/o) que indica que una o más opciones de las actividades mencionadas puede ocurrir. En este sentido, se emplea para la actividad 1.3 para señalar que existe posibilidad de elegir entre la suma (y) o la alternativa entre dos opciones (o). Por ejemplo, la actividad recae sobre proyectos que involucren solamente actividades de demolición sobre vivienda(s) urbana(s), o para actividades que contengan demolición y cerramientos sobre vivienda(s) urbana(s). </w:t>
      </w:r>
    </w:p>
    <w:p w14:paraId="77D99FBB" w14:textId="77777777" w:rsidR="002B6B2A" w:rsidRPr="002B6B2A" w:rsidRDefault="002B6B2A" w:rsidP="002D158E">
      <w:pPr>
        <w:spacing w:after="0" w:line="240" w:lineRule="auto"/>
        <w:jc w:val="both"/>
        <w:rPr>
          <w:rFonts w:ascii="Verdana" w:eastAsia="Aptos" w:hAnsi="Verdana" w:cs="Aptos"/>
          <w:kern w:val="2"/>
          <w:sz w:val="20"/>
          <w:szCs w:val="20"/>
          <w14:ligatures w14:val="standardContextual"/>
        </w:rPr>
      </w:pPr>
      <w:r w:rsidRPr="002B6B2A">
        <w:rPr>
          <w:rFonts w:ascii="Verdana" w:eastAsia="Aptos" w:hAnsi="Verdana" w:cs="Aptos"/>
          <w:kern w:val="2"/>
          <w:sz w:val="20"/>
          <w:szCs w:val="20"/>
          <w14:ligatures w14:val="standardContextual"/>
        </w:rPr>
        <w:tab/>
      </w:r>
    </w:p>
    <w:p w14:paraId="72D1C7A2" w14:textId="77777777" w:rsidR="002B6B2A" w:rsidRPr="002D158E" w:rsidRDefault="002B6B2A" w:rsidP="002D158E">
      <w:pPr>
        <w:spacing w:after="0" w:line="240" w:lineRule="auto"/>
        <w:jc w:val="both"/>
        <w:rPr>
          <w:rFonts w:ascii="Verdana" w:eastAsia="Calibri" w:hAnsi="Verdana" w:cs="Arial"/>
          <w:b/>
          <w:bCs/>
          <w:color w:val="000000"/>
          <w:kern w:val="2"/>
          <w:sz w:val="24"/>
          <w:szCs w:val="24"/>
          <w14:ligatures w14:val="standardContextual"/>
        </w:rPr>
      </w:pPr>
      <w:r w:rsidRPr="002D158E">
        <w:rPr>
          <w:rFonts w:ascii="Verdana" w:eastAsia="Calibri" w:hAnsi="Verdana" w:cs="Arial"/>
          <w:b/>
          <w:bCs/>
          <w:color w:val="000000"/>
          <w:kern w:val="2"/>
          <w:sz w:val="24"/>
          <w:szCs w:val="24"/>
          <w14:ligatures w14:val="standardContextual"/>
        </w:rPr>
        <w:t>DEMOLICIÓN – Sector vivienda – Documentos tipo – Matriz 1 – Experiencia – Actividad 1.3 – Alcance</w:t>
      </w:r>
    </w:p>
    <w:p w14:paraId="74E4980C" w14:textId="77777777" w:rsidR="002B6B2A" w:rsidRPr="002B6B2A" w:rsidRDefault="002B6B2A" w:rsidP="002D158E">
      <w:pPr>
        <w:spacing w:after="0" w:line="240" w:lineRule="auto"/>
        <w:jc w:val="both"/>
        <w:rPr>
          <w:rFonts w:ascii="Verdana" w:eastAsia="Calibri" w:hAnsi="Verdana" w:cs="Times New Roman"/>
          <w:kern w:val="2"/>
          <w:sz w:val="20"/>
          <w:szCs w:val="20"/>
          <w:lang w:val="es-ES"/>
          <w14:ligatures w14:val="standardContextual"/>
        </w:rPr>
      </w:pPr>
    </w:p>
    <w:p w14:paraId="00A9EA7E" w14:textId="77777777" w:rsidR="002B6B2A" w:rsidRPr="002B6B2A" w:rsidRDefault="002B6B2A" w:rsidP="002D158E">
      <w:pPr>
        <w:spacing w:after="0" w:line="240" w:lineRule="auto"/>
        <w:jc w:val="both"/>
        <w:rPr>
          <w:rFonts w:ascii="Verdana" w:eastAsia="Calibri" w:hAnsi="Verdana" w:cs="Times New Roman"/>
          <w:kern w:val="2"/>
          <w:sz w:val="20"/>
          <w:szCs w:val="20"/>
          <w:lang w:val="es-ES"/>
          <w14:ligatures w14:val="standardContextual"/>
        </w:rPr>
      </w:pPr>
      <w:r w:rsidRPr="002B6B2A">
        <w:rPr>
          <w:rFonts w:ascii="Verdana" w:eastAsia="Calibri" w:hAnsi="Verdana" w:cs="Times New Roman"/>
          <w:kern w:val="2"/>
          <w:sz w:val="20"/>
          <w:szCs w:val="20"/>
          <w:lang w:val="es-ES"/>
          <w14:ligatures w14:val="standardContextual"/>
        </w:rPr>
        <w:t xml:space="preserve">Lo anterior evidencia que la actividad de “demolición” puede desarrollarse de manera autónoma. En este supuesto, la propia matriz de experiencia específica contempla que uno de los contratos exigidos dentro de la experiencia general debe incluir actividades </w:t>
      </w:r>
      <w:r w:rsidRPr="002B6B2A">
        <w:rPr>
          <w:rFonts w:ascii="Verdana" w:eastAsia="Calibri" w:hAnsi="Verdana" w:cs="Times New Roman"/>
          <w:kern w:val="2"/>
          <w:sz w:val="20"/>
          <w:szCs w:val="20"/>
          <w:lang w:val="es-ES"/>
          <w14:ligatures w14:val="standardContextual"/>
        </w:rPr>
        <w:lastRenderedPageBreak/>
        <w:t xml:space="preserve">de “demolición total o parcial de edificaciones y sus elementos estructurales”. Igualmente, se señala que, en caso de requerirse solo la demolición, la entidad debe indicar los metros cuadrados del área de la edificación sobre la cual va a realizar esta actividad. En este caso, podría por ejemplo determinar el área a partir de una relación geométrica entre volumen y altura promedio de la edificación o elemento a demoler; sin embargo, es a la entidad a quien le corresponde hacer estos análisis a partir de la información técnica que pude estar relacionada con la tipología de la estructura a demoler, características de los elementos a demoler y/o superficie construida de la estructura, entre otros. </w:t>
      </w:r>
    </w:p>
    <w:p w14:paraId="11958711" w14:textId="77777777" w:rsidR="002B6B2A" w:rsidRPr="002B6B2A" w:rsidRDefault="002B6B2A" w:rsidP="002D158E">
      <w:pPr>
        <w:spacing w:after="0" w:line="240" w:lineRule="auto"/>
        <w:jc w:val="both"/>
        <w:rPr>
          <w:rFonts w:ascii="Verdana" w:eastAsia="Calibri" w:hAnsi="Verdana" w:cs="Times New Roman"/>
          <w:kern w:val="2"/>
          <w:sz w:val="20"/>
          <w:szCs w:val="20"/>
          <w:lang w:val="es-ES"/>
          <w14:ligatures w14:val="standardContextual"/>
        </w:rPr>
      </w:pPr>
    </w:p>
    <w:p w14:paraId="306B5FDC" w14:textId="77777777" w:rsidR="002B6B2A" w:rsidRPr="002B6B2A" w:rsidRDefault="002B6B2A" w:rsidP="002D158E">
      <w:pPr>
        <w:spacing w:after="0" w:line="240" w:lineRule="auto"/>
        <w:jc w:val="both"/>
        <w:rPr>
          <w:rFonts w:ascii="Verdana" w:eastAsia="Calibri" w:hAnsi="Verdana" w:cs="Times New Roman"/>
          <w:kern w:val="2"/>
          <w:sz w:val="20"/>
          <w:szCs w:val="20"/>
          <w:lang w:val="es-ES"/>
          <w14:ligatures w14:val="standardContextual"/>
        </w:rPr>
      </w:pPr>
      <w:r w:rsidRPr="002B6B2A">
        <w:rPr>
          <w:rFonts w:ascii="Verdana" w:eastAsia="Calibri" w:hAnsi="Verdana" w:cs="Times New Roman"/>
          <w:kern w:val="2"/>
          <w:sz w:val="20"/>
          <w:szCs w:val="20"/>
          <w:lang w:val="es-ES"/>
          <w14:ligatures w14:val="standardContextual"/>
        </w:rPr>
        <w:t>(…)</w:t>
      </w:r>
    </w:p>
    <w:p w14:paraId="2249413F" w14:textId="77777777" w:rsidR="002B6B2A" w:rsidRPr="002B6B2A" w:rsidRDefault="002B6B2A" w:rsidP="002D158E">
      <w:pPr>
        <w:spacing w:after="0" w:line="240" w:lineRule="auto"/>
        <w:jc w:val="both"/>
        <w:rPr>
          <w:rFonts w:ascii="Verdana" w:eastAsia="Calibri" w:hAnsi="Verdana" w:cs="Times New Roman"/>
          <w:kern w:val="2"/>
          <w:sz w:val="20"/>
          <w:szCs w:val="20"/>
          <w:lang w:val="es-ES"/>
          <w14:ligatures w14:val="standardContextual"/>
        </w:rPr>
      </w:pPr>
    </w:p>
    <w:p w14:paraId="6F58C033" w14:textId="77777777" w:rsidR="002B6B2A" w:rsidRPr="002B6B2A" w:rsidRDefault="002B6B2A" w:rsidP="002D158E">
      <w:pPr>
        <w:spacing w:after="0" w:line="240" w:lineRule="auto"/>
        <w:jc w:val="both"/>
        <w:rPr>
          <w:rFonts w:ascii="Aptos" w:eastAsia="Aptos" w:hAnsi="Aptos" w:cs="Aptos"/>
          <w:i/>
          <w:iCs/>
          <w:kern w:val="2"/>
          <w:sz w:val="20"/>
          <w:szCs w:val="20"/>
          <w14:ligatures w14:val="standardContextual"/>
        </w:rPr>
      </w:pPr>
      <w:r w:rsidRPr="002B6B2A">
        <w:rPr>
          <w:rFonts w:ascii="Verdana" w:eastAsia="Calibri" w:hAnsi="Verdana" w:cs="Arial"/>
          <w:color w:val="0D0D0D"/>
          <w:sz w:val="20"/>
          <w:szCs w:val="20"/>
        </w:rPr>
        <w:t xml:space="preserve">Asimismo, le indicamos que para efectos de determinar el alcance de la actividad de “demolición” contenida en la Matriz 1 – Experiencia Sector Vivienda, debe tenerse en cuenta </w:t>
      </w:r>
      <w:r w:rsidRPr="002B6B2A">
        <w:rPr>
          <w:rFonts w:ascii="Verdana" w:eastAsia="Calibri" w:hAnsi="Verdana" w:cs="Arial"/>
          <w:sz w:val="20"/>
          <w:szCs w:val="20"/>
          <w:lang w:val="es-ES_tradnl"/>
        </w:rPr>
        <w:t>que, el numeral 1.10 del documento base dispone que “</w:t>
      </w:r>
      <w:r w:rsidRPr="002B6B2A">
        <w:rPr>
          <w:rFonts w:ascii="Verdana" w:eastAsia="Calibri" w:hAnsi="Verdana" w:cs="Arial"/>
          <w:sz w:val="20"/>
          <w:szCs w:val="20"/>
          <w:lang w:val="es-MX"/>
        </w:rPr>
        <w:t>[p]ara los fines de este Pliego de Condiciones, a menos que expresamente se estipule de otra manera, los términos deben entenderse de acuerdo con la definición contenida en el artículo 2.2.1.1.1.3.1 del Decreto 1082 de 2015, el glosario aplicable a la obra pública de infraestructura social y demás normas, decretos reglamentarios y legislación aplicable en la materia</w:t>
      </w:r>
      <w:r w:rsidRPr="002B6B2A">
        <w:rPr>
          <w:rFonts w:ascii="Verdana" w:eastAsia="Calibri" w:hAnsi="Verdana" w:cs="Arial"/>
          <w:sz w:val="20"/>
          <w:szCs w:val="20"/>
          <w:lang w:val="es-ES_tradnl"/>
        </w:rPr>
        <w:t xml:space="preserve">”. Así, para determinar el alcance de dicha actividad, el numeral 2.67 del Anexo 5 – Glosario, la define en los siguientes términos: </w:t>
      </w:r>
      <w:r w:rsidRPr="002B6B2A">
        <w:rPr>
          <w:rFonts w:ascii="Verdana" w:eastAsia="Calibri" w:hAnsi="Verdana" w:cs="Arial"/>
          <w:b/>
          <w:bCs/>
          <w:i/>
          <w:iCs/>
          <w:sz w:val="20"/>
          <w:szCs w:val="20"/>
          <w:lang w:val="es-ES_tradnl"/>
        </w:rPr>
        <w:t>“Demolición:</w:t>
      </w:r>
      <w:r w:rsidRPr="002B6B2A">
        <w:rPr>
          <w:rFonts w:ascii="Verdana" w:eastAsia="Calibri" w:hAnsi="Verdana" w:cs="Arial"/>
          <w:sz w:val="20"/>
          <w:szCs w:val="20"/>
          <w:lang w:val="es-ES_tradnl"/>
        </w:rPr>
        <w:t xml:space="preserve"> (…) derribar total o parcialmente una o varias edificaciones existentes en uno o varios predios (…)”.</w:t>
      </w:r>
      <w:r w:rsidRPr="002B6B2A">
        <w:rPr>
          <w:rFonts w:ascii="Aptos" w:eastAsia="Aptos" w:hAnsi="Aptos" w:cs="Aptos"/>
          <w:i/>
          <w:iCs/>
          <w:kern w:val="2"/>
          <w:sz w:val="20"/>
          <w:szCs w:val="20"/>
          <w14:ligatures w14:val="standardContextual"/>
        </w:rPr>
        <w:t xml:space="preserve">  </w:t>
      </w:r>
    </w:p>
    <w:p w14:paraId="3AD25076" w14:textId="77777777" w:rsidR="002B6B2A" w:rsidRPr="002B6B2A" w:rsidRDefault="002B6B2A" w:rsidP="002B6B2A">
      <w:pPr>
        <w:spacing w:after="0" w:line="240" w:lineRule="auto"/>
        <w:rPr>
          <w:rFonts w:ascii="Arial" w:eastAsia="Calibri" w:hAnsi="Arial" w:cs="Arial"/>
          <w:b/>
          <w:bCs/>
          <w:color w:val="000000"/>
          <w:kern w:val="2"/>
          <w:sz w:val="20"/>
          <w:szCs w:val="20"/>
          <w14:ligatures w14:val="standardContextual"/>
        </w:rPr>
      </w:pPr>
    </w:p>
    <w:p w14:paraId="31659E8D" w14:textId="77777777" w:rsidR="002B6B2A" w:rsidRPr="002B6B2A" w:rsidRDefault="002B6B2A" w:rsidP="002B6B2A">
      <w:pPr>
        <w:spacing w:after="0" w:line="240" w:lineRule="auto"/>
        <w:rPr>
          <w:rFonts w:ascii="Arial" w:eastAsia="Calibri" w:hAnsi="Arial" w:cs="Arial"/>
          <w:b/>
          <w:bCs/>
          <w:color w:val="000000"/>
          <w:kern w:val="2"/>
          <w:sz w:val="20"/>
          <w:szCs w:val="20"/>
          <w14:ligatures w14:val="standardContextual"/>
        </w:rPr>
      </w:pPr>
    </w:p>
    <w:p w14:paraId="22805F57" w14:textId="77777777" w:rsidR="002B6B2A" w:rsidRPr="002B6B2A" w:rsidRDefault="002B6B2A" w:rsidP="002B6B2A">
      <w:pPr>
        <w:spacing w:after="0" w:line="240" w:lineRule="auto"/>
        <w:rPr>
          <w:rFonts w:ascii="Arial" w:eastAsia="Calibri" w:hAnsi="Arial" w:cs="Arial"/>
          <w:b/>
          <w:bCs/>
          <w:color w:val="000000"/>
          <w:kern w:val="2"/>
          <w:sz w:val="24"/>
          <w:szCs w:val="24"/>
          <w14:ligatures w14:val="standardContextual"/>
        </w:rPr>
      </w:pPr>
    </w:p>
    <w:p w14:paraId="31D65776" w14:textId="77777777" w:rsidR="002B6B2A" w:rsidRPr="002B6B2A" w:rsidRDefault="002B6B2A" w:rsidP="002B6B2A">
      <w:pPr>
        <w:spacing w:after="0" w:line="240" w:lineRule="auto"/>
        <w:rPr>
          <w:rFonts w:ascii="Arial" w:eastAsia="Calibri" w:hAnsi="Arial" w:cs="Arial"/>
          <w:b/>
          <w:bCs/>
          <w:color w:val="000000"/>
          <w:kern w:val="2"/>
          <w:sz w:val="24"/>
          <w:szCs w:val="24"/>
          <w14:ligatures w14:val="standardContextual"/>
        </w:rPr>
      </w:pPr>
    </w:p>
    <w:p w14:paraId="06E60EF4" w14:textId="77777777" w:rsidR="002B6B2A" w:rsidRPr="002B6B2A" w:rsidRDefault="002B6B2A" w:rsidP="002B6B2A">
      <w:pPr>
        <w:spacing w:after="0" w:line="240" w:lineRule="auto"/>
        <w:rPr>
          <w:rFonts w:ascii="Arial" w:eastAsia="Calibri" w:hAnsi="Arial" w:cs="Arial"/>
          <w:b/>
          <w:bCs/>
          <w:color w:val="000000"/>
          <w:kern w:val="2"/>
          <w:sz w:val="24"/>
          <w:szCs w:val="24"/>
          <w14:ligatures w14:val="standardContextual"/>
        </w:rPr>
      </w:pPr>
    </w:p>
    <w:p w14:paraId="42D86C40" w14:textId="77777777" w:rsidR="002B6B2A" w:rsidRPr="002B6B2A" w:rsidRDefault="002B6B2A" w:rsidP="002B6B2A">
      <w:pPr>
        <w:spacing w:after="0" w:line="240" w:lineRule="auto"/>
        <w:rPr>
          <w:rFonts w:ascii="Arial" w:eastAsia="Calibri" w:hAnsi="Arial" w:cs="Arial"/>
          <w:b/>
          <w:bCs/>
          <w:color w:val="000000"/>
          <w:kern w:val="2"/>
          <w:sz w:val="24"/>
          <w:szCs w:val="24"/>
          <w14:ligatures w14:val="standardContextual"/>
        </w:rPr>
      </w:pPr>
    </w:p>
    <w:p w14:paraId="03BDA347" w14:textId="77777777" w:rsidR="002B6B2A" w:rsidRPr="002B6B2A" w:rsidRDefault="002B6B2A" w:rsidP="002B6B2A">
      <w:pPr>
        <w:spacing w:after="0" w:line="240" w:lineRule="auto"/>
        <w:rPr>
          <w:rFonts w:ascii="Arial" w:eastAsia="Calibri" w:hAnsi="Arial" w:cs="Arial"/>
          <w:b/>
          <w:bCs/>
          <w:color w:val="000000"/>
          <w:kern w:val="2"/>
          <w:sz w:val="24"/>
          <w:szCs w:val="24"/>
          <w14:ligatures w14:val="standardContextual"/>
        </w:rPr>
      </w:pPr>
    </w:p>
    <w:p w14:paraId="1D2D8DF9" w14:textId="77777777" w:rsidR="002B6B2A" w:rsidRPr="002B6B2A" w:rsidRDefault="002B6B2A" w:rsidP="002B6B2A">
      <w:pPr>
        <w:spacing w:after="0" w:line="240" w:lineRule="auto"/>
        <w:rPr>
          <w:rFonts w:ascii="Arial" w:eastAsia="Calibri" w:hAnsi="Arial" w:cs="Arial"/>
          <w:b/>
          <w:bCs/>
          <w:color w:val="000000"/>
          <w:kern w:val="2"/>
          <w:sz w:val="24"/>
          <w:szCs w:val="24"/>
          <w14:ligatures w14:val="standardContextual"/>
        </w:rPr>
      </w:pPr>
    </w:p>
    <w:p w14:paraId="77AC3F41" w14:textId="77777777" w:rsidR="002B6B2A" w:rsidRPr="002B6B2A" w:rsidRDefault="002B6B2A" w:rsidP="002B6B2A">
      <w:pPr>
        <w:spacing w:after="0" w:line="240" w:lineRule="auto"/>
        <w:rPr>
          <w:rFonts w:ascii="Arial" w:eastAsia="Calibri" w:hAnsi="Arial" w:cs="Arial"/>
          <w:b/>
          <w:bCs/>
          <w:color w:val="000000"/>
          <w:kern w:val="2"/>
          <w:sz w:val="24"/>
          <w:szCs w:val="24"/>
          <w14:ligatures w14:val="standardContextual"/>
        </w:rPr>
      </w:pPr>
    </w:p>
    <w:p w14:paraId="26038A7D" w14:textId="77777777" w:rsidR="002B6B2A" w:rsidRPr="002B6B2A" w:rsidRDefault="002B6B2A" w:rsidP="002B6B2A">
      <w:pPr>
        <w:spacing w:after="0" w:line="240" w:lineRule="auto"/>
        <w:rPr>
          <w:rFonts w:ascii="Verdana" w:eastAsia="Geomanist Light" w:hAnsi="Verdana" w:cs="Arial"/>
          <w:lang w:val="es-ES_tradnl"/>
        </w:rPr>
      </w:pPr>
    </w:p>
    <w:p w14:paraId="70E4AA36" w14:textId="77777777" w:rsidR="002B6B2A" w:rsidRPr="002B6B2A" w:rsidRDefault="002B6B2A" w:rsidP="002B6B2A">
      <w:pPr>
        <w:spacing w:after="0" w:line="240" w:lineRule="auto"/>
        <w:rPr>
          <w:rFonts w:ascii="Verdana" w:eastAsia="Geomanist Light" w:hAnsi="Verdana" w:cs="Arial"/>
          <w:lang w:val="es-ES_tradnl"/>
        </w:rPr>
      </w:pPr>
    </w:p>
    <w:p w14:paraId="0F62BA6E" w14:textId="77777777" w:rsidR="002B6B2A" w:rsidRPr="002B6B2A" w:rsidRDefault="002B6B2A" w:rsidP="002B6B2A">
      <w:pPr>
        <w:spacing w:after="0" w:line="240" w:lineRule="auto"/>
        <w:rPr>
          <w:rFonts w:ascii="Verdana" w:eastAsia="Geomanist Light" w:hAnsi="Verdana" w:cs="Arial"/>
          <w:lang w:val="es-ES_tradnl"/>
        </w:rPr>
      </w:pPr>
    </w:p>
    <w:p w14:paraId="5996B526" w14:textId="77777777" w:rsidR="002B6B2A" w:rsidRPr="002B6B2A" w:rsidRDefault="002B6B2A" w:rsidP="002B6B2A">
      <w:pPr>
        <w:spacing w:after="0" w:line="240" w:lineRule="auto"/>
        <w:rPr>
          <w:rFonts w:ascii="Verdana" w:eastAsia="Geomanist Light" w:hAnsi="Verdana" w:cs="Arial"/>
          <w:lang w:val="es-ES_tradnl"/>
        </w:rPr>
      </w:pPr>
    </w:p>
    <w:p w14:paraId="05B04C93" w14:textId="77777777" w:rsidR="002B6B2A" w:rsidRPr="002B6B2A" w:rsidRDefault="002B6B2A" w:rsidP="002B6B2A">
      <w:pPr>
        <w:spacing w:after="0" w:line="240" w:lineRule="auto"/>
        <w:rPr>
          <w:rFonts w:ascii="Verdana" w:eastAsia="Geomanist Light" w:hAnsi="Verdana" w:cs="Arial"/>
          <w:lang w:val="es-ES_tradnl"/>
        </w:rPr>
      </w:pPr>
    </w:p>
    <w:p w14:paraId="577647BE" w14:textId="77777777" w:rsidR="002B6B2A" w:rsidRPr="002B6B2A" w:rsidRDefault="002B6B2A" w:rsidP="002B6B2A">
      <w:pPr>
        <w:spacing w:after="0" w:line="240" w:lineRule="auto"/>
        <w:rPr>
          <w:rFonts w:ascii="Verdana" w:eastAsia="Geomanist Light" w:hAnsi="Verdana" w:cs="Arial"/>
          <w:lang w:val="es-ES_tradnl"/>
        </w:rPr>
      </w:pPr>
    </w:p>
    <w:p w14:paraId="6FAB2188" w14:textId="77777777" w:rsidR="002B6B2A" w:rsidRPr="002B6B2A" w:rsidRDefault="002B6B2A" w:rsidP="002B6B2A">
      <w:pPr>
        <w:spacing w:after="0" w:line="240" w:lineRule="auto"/>
        <w:rPr>
          <w:rFonts w:ascii="Verdana" w:eastAsia="Geomanist Light" w:hAnsi="Verdana" w:cs="Arial"/>
          <w:lang w:val="es-ES_tradnl"/>
        </w:rPr>
      </w:pPr>
    </w:p>
    <w:p w14:paraId="133252A0" w14:textId="77777777" w:rsidR="002B6B2A" w:rsidRPr="002B6B2A" w:rsidRDefault="002B6B2A" w:rsidP="002B6B2A">
      <w:pPr>
        <w:spacing w:after="0" w:line="240" w:lineRule="auto"/>
        <w:rPr>
          <w:rFonts w:ascii="Verdana" w:eastAsia="Geomanist Light" w:hAnsi="Verdana" w:cs="Arial"/>
          <w:lang w:val="es-ES_tradnl"/>
        </w:rPr>
      </w:pPr>
    </w:p>
    <w:p w14:paraId="0C986D1D" w14:textId="77777777" w:rsidR="002B6B2A" w:rsidRPr="002B6B2A" w:rsidRDefault="002B6B2A" w:rsidP="002B6B2A">
      <w:pPr>
        <w:spacing w:after="0" w:line="240" w:lineRule="auto"/>
        <w:rPr>
          <w:rFonts w:ascii="Verdana" w:eastAsia="Geomanist Light" w:hAnsi="Verdana" w:cs="Arial"/>
          <w:lang w:val="es-ES_tradnl"/>
        </w:rPr>
      </w:pPr>
    </w:p>
    <w:p w14:paraId="4E9EB2B9" w14:textId="77777777" w:rsidR="002B6B2A" w:rsidRPr="002B6B2A" w:rsidRDefault="002B6B2A" w:rsidP="002B6B2A">
      <w:pPr>
        <w:spacing w:after="0" w:line="240" w:lineRule="auto"/>
        <w:rPr>
          <w:rFonts w:ascii="Verdana" w:eastAsia="Geomanist Light" w:hAnsi="Verdana" w:cs="Arial"/>
          <w:lang w:val="es-ES_tradnl"/>
        </w:rPr>
      </w:pPr>
    </w:p>
    <w:p w14:paraId="393B3E19" w14:textId="7F243A06" w:rsidR="00030255" w:rsidRDefault="00030255">
      <w:pPr>
        <w:rPr>
          <w:rFonts w:ascii="Verdana" w:eastAsia="Geomanist Light" w:hAnsi="Verdana" w:cs="Arial"/>
          <w:lang w:val="es-ES_tradnl"/>
        </w:rPr>
      </w:pPr>
      <w:r>
        <w:rPr>
          <w:rFonts w:ascii="Verdana" w:eastAsia="Geomanist Light" w:hAnsi="Verdana" w:cs="Arial"/>
          <w:lang w:val="es-ES_tradnl"/>
        </w:rPr>
        <w:br w:type="page"/>
      </w:r>
    </w:p>
    <w:p w14:paraId="513721C4" w14:textId="129494E1" w:rsidR="002B6B2A" w:rsidRPr="00DD4FDC" w:rsidRDefault="002B6B2A" w:rsidP="002B6B2A">
      <w:pPr>
        <w:spacing w:after="0" w:line="240" w:lineRule="auto"/>
        <w:rPr>
          <w:rFonts w:ascii="Verdana" w:eastAsia="Aptos" w:hAnsi="Verdana" w:cs="Times New Roman"/>
          <w:kern w:val="2"/>
          <w14:ligatures w14:val="standardContextual"/>
        </w:rPr>
      </w:pPr>
      <w:r w:rsidRPr="00DD4FDC">
        <w:rPr>
          <w:rFonts w:ascii="Verdana" w:eastAsia="Aptos" w:hAnsi="Verdana" w:cs="Times New Roman"/>
          <w:kern w:val="2"/>
          <w14:ligatures w14:val="standardContextual"/>
        </w:rPr>
        <w:lastRenderedPageBreak/>
        <w:t xml:space="preserve">Bogotá D.C., </w:t>
      </w:r>
      <w:r w:rsidR="00DD4FDC" w:rsidRPr="00DD4FDC">
        <w:rPr>
          <w:rFonts w:ascii="Verdana" w:eastAsia="Aptos" w:hAnsi="Verdana" w:cs="Times New Roman"/>
          <w:kern w:val="2"/>
          <w14:ligatures w14:val="standardContextual"/>
        </w:rPr>
        <w:t>19 de marzo de 2026</w:t>
      </w:r>
    </w:p>
    <w:p w14:paraId="12DCE15D" w14:textId="319F86F0" w:rsidR="00DD4FDC" w:rsidRDefault="00DD4FDC" w:rsidP="002B6B2A">
      <w:pPr>
        <w:spacing w:after="0" w:line="240" w:lineRule="auto"/>
        <w:rPr>
          <w:rFonts w:ascii="Verdana" w:eastAsia="Aptos" w:hAnsi="Verdana" w:cs="Times New Roman"/>
          <w:kern w:val="2"/>
          <w:sz w:val="24"/>
          <w:szCs w:val="24"/>
          <w14:ligatures w14:val="standardContextual"/>
        </w:rPr>
      </w:pPr>
    </w:p>
    <w:p w14:paraId="280141B4" w14:textId="228256D2" w:rsidR="00DD4FDC" w:rsidRPr="002B6B2A" w:rsidRDefault="00DD4FDC" w:rsidP="002B6B2A">
      <w:pPr>
        <w:spacing w:after="0" w:line="240" w:lineRule="auto"/>
        <w:rPr>
          <w:rFonts w:ascii="Verdana" w:eastAsia="Aptos" w:hAnsi="Verdana" w:cs="Times New Roman"/>
          <w:kern w:val="2"/>
          <w:sz w:val="24"/>
          <w:szCs w:val="24"/>
          <w14:ligatures w14:val="standardContextual"/>
        </w:rPr>
      </w:pPr>
    </w:p>
    <w:p w14:paraId="4B172FAC" w14:textId="1D335E0E" w:rsidR="002B6B2A" w:rsidRPr="002B6B2A" w:rsidRDefault="002B6B2A" w:rsidP="002B6B2A">
      <w:pPr>
        <w:spacing w:after="0" w:line="240" w:lineRule="auto"/>
        <w:rPr>
          <w:rFonts w:ascii="Verdana" w:eastAsia="Aptos" w:hAnsi="Verdana" w:cs="Times New Roman"/>
          <w:kern w:val="2"/>
          <w:sz w:val="24"/>
          <w:szCs w:val="24"/>
          <w14:ligatures w14:val="standardContextual"/>
        </w:rPr>
      </w:pPr>
    </w:p>
    <w:p w14:paraId="538CC0A9" w14:textId="50087B6E" w:rsidR="002B6B2A" w:rsidRPr="006046CE" w:rsidRDefault="002D158E" w:rsidP="002B6B2A">
      <w:pPr>
        <w:spacing w:after="0" w:line="240" w:lineRule="auto"/>
        <w:rPr>
          <w:rFonts w:ascii="Verdana" w:eastAsia="Calibri" w:hAnsi="Verdana" w:cs="Arial"/>
          <w:lang w:val="es-ES" w:eastAsia="es-ES"/>
        </w:rPr>
      </w:pPr>
      <w:r w:rsidRPr="00DD4FDC">
        <w:rPr>
          <w:rFonts w:ascii="Verdana" w:eastAsia="Aptos" w:hAnsi="Verdana" w:cs="Times New Roman"/>
          <w:noProof/>
          <w:kern w:val="2"/>
          <w:sz w:val="24"/>
          <w:szCs w:val="24"/>
          <w14:ligatures w14:val="standardContextual"/>
        </w:rPr>
        <w:drawing>
          <wp:anchor distT="0" distB="0" distL="114300" distR="114300" simplePos="0" relativeHeight="251658240" behindDoc="0" locked="0" layoutInCell="1" allowOverlap="1" wp14:anchorId="76A08C25" wp14:editId="7074076B">
            <wp:simplePos x="0" y="0"/>
            <wp:positionH relativeFrom="margin">
              <wp:align>right</wp:align>
            </wp:positionH>
            <wp:positionV relativeFrom="paragraph">
              <wp:posOffset>5715</wp:posOffset>
            </wp:positionV>
            <wp:extent cx="2531110" cy="830580"/>
            <wp:effectExtent l="0" t="0" r="2540" b="7620"/>
            <wp:wrapSquare wrapText="bothSides"/>
            <wp:docPr id="116687784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6877840" name=""/>
                    <pic:cNvPicPr/>
                  </pic:nvPicPr>
                  <pic:blipFill>
                    <a:blip r:embed="rId10">
                      <a:extLst>
                        <a:ext uri="{28A0092B-C50C-407E-A947-70E740481C1C}">
                          <a14:useLocalDpi xmlns:a14="http://schemas.microsoft.com/office/drawing/2010/main" val="0"/>
                        </a:ext>
                      </a:extLst>
                    </a:blip>
                    <a:stretch>
                      <a:fillRect/>
                    </a:stretch>
                  </pic:blipFill>
                  <pic:spPr>
                    <a:xfrm>
                      <a:off x="0" y="0"/>
                      <a:ext cx="2531110" cy="830580"/>
                    </a:xfrm>
                    <a:prstGeom prst="rect">
                      <a:avLst/>
                    </a:prstGeom>
                  </pic:spPr>
                </pic:pic>
              </a:graphicData>
            </a:graphic>
            <wp14:sizeRelH relativeFrom="page">
              <wp14:pctWidth>0</wp14:pctWidth>
            </wp14:sizeRelH>
            <wp14:sizeRelV relativeFrom="page">
              <wp14:pctHeight>0</wp14:pctHeight>
            </wp14:sizeRelV>
          </wp:anchor>
        </w:drawing>
      </w:r>
      <w:r w:rsidR="002B6B2A" w:rsidRPr="006046CE">
        <w:rPr>
          <w:rFonts w:ascii="Verdana" w:eastAsia="Calibri" w:hAnsi="Verdana" w:cs="Arial"/>
          <w:lang w:val="es-ES" w:eastAsia="es-ES"/>
        </w:rPr>
        <w:t>Señora</w:t>
      </w:r>
    </w:p>
    <w:p w14:paraId="59C7F1CE" w14:textId="77777777" w:rsidR="002B6B2A" w:rsidRPr="006046CE" w:rsidRDefault="002B6B2A" w:rsidP="002B6B2A">
      <w:pPr>
        <w:spacing w:after="0" w:line="240" w:lineRule="auto"/>
        <w:rPr>
          <w:rFonts w:ascii="Verdana" w:eastAsia="Aptos" w:hAnsi="Verdana" w:cs="Times New Roman"/>
          <w:b/>
          <w:bCs/>
          <w:kern w:val="2"/>
          <w14:ligatures w14:val="standardContextual"/>
        </w:rPr>
      </w:pPr>
      <w:r w:rsidRPr="006046CE">
        <w:rPr>
          <w:rFonts w:ascii="Verdana" w:eastAsia="Aptos" w:hAnsi="Verdana" w:cs="Times New Roman"/>
          <w:b/>
          <w:bCs/>
          <w:kern w:val="2"/>
          <w14:ligatures w14:val="standardContextual"/>
        </w:rPr>
        <w:t>Lina Paola Santafé Agudelo</w:t>
      </w:r>
    </w:p>
    <w:p w14:paraId="66944094" w14:textId="77777777" w:rsidR="002B6B2A" w:rsidRPr="006046CE" w:rsidRDefault="002B6B2A" w:rsidP="002B6B2A">
      <w:pPr>
        <w:spacing w:after="0" w:line="240" w:lineRule="auto"/>
        <w:rPr>
          <w:rFonts w:ascii="Verdana" w:eastAsia="Aptos" w:hAnsi="Verdana" w:cs="Times New Roman"/>
          <w:kern w:val="2"/>
          <w14:ligatures w14:val="standardContextual"/>
        </w:rPr>
      </w:pPr>
      <w:hyperlink r:id="rId11" w:history="1">
        <w:r w:rsidRPr="006046CE">
          <w:rPr>
            <w:rFonts w:ascii="Verdana" w:eastAsia="Aptos" w:hAnsi="Verdana" w:cs="Times New Roman"/>
            <w:color w:val="0000FF"/>
            <w:kern w:val="2"/>
            <w:u w:val="single"/>
            <w14:ligatures w14:val="standardContextual"/>
          </w:rPr>
          <w:t>linasantafe1691@hotmail.com</w:t>
        </w:r>
      </w:hyperlink>
      <w:r w:rsidRPr="006046CE">
        <w:rPr>
          <w:rFonts w:ascii="Verdana" w:eastAsia="Aptos" w:hAnsi="Verdana" w:cs="Times New Roman"/>
          <w:kern w:val="2"/>
          <w14:ligatures w14:val="standardContextual"/>
        </w:rPr>
        <w:t xml:space="preserve"> </w:t>
      </w:r>
    </w:p>
    <w:p w14:paraId="607E5850" w14:textId="77777777" w:rsidR="002B6B2A" w:rsidRPr="006046CE" w:rsidRDefault="002B6B2A" w:rsidP="002B6B2A">
      <w:pPr>
        <w:spacing w:after="0" w:line="240" w:lineRule="auto"/>
        <w:rPr>
          <w:rFonts w:ascii="Verdana" w:eastAsia="Aptos" w:hAnsi="Verdana" w:cs="Times New Roman"/>
          <w:kern w:val="2"/>
          <w14:ligatures w14:val="standardContextual"/>
        </w:rPr>
      </w:pPr>
      <w:r w:rsidRPr="006046CE">
        <w:rPr>
          <w:rFonts w:ascii="Verdana" w:eastAsia="Aptos" w:hAnsi="Verdana" w:cs="Times New Roman"/>
          <w:kern w:val="2"/>
          <w14:ligatures w14:val="standardContextual"/>
        </w:rPr>
        <w:t>Yopal, Casanare</w:t>
      </w:r>
    </w:p>
    <w:p w14:paraId="6A0EDA23" w14:textId="77777777" w:rsidR="002B6B2A" w:rsidRPr="002B6B2A" w:rsidRDefault="002B6B2A" w:rsidP="002B6B2A">
      <w:pPr>
        <w:spacing w:after="0" w:line="240" w:lineRule="auto"/>
        <w:rPr>
          <w:rFonts w:ascii="Verdana" w:eastAsia="Calibri" w:hAnsi="Verdana" w:cs="Arial"/>
          <w:b/>
          <w:bCs/>
          <w:lang w:val="es-ES_tradnl" w:eastAsia="es-ES_tradnl"/>
        </w:rPr>
      </w:pPr>
    </w:p>
    <w:tbl>
      <w:tblPr>
        <w:tblStyle w:val="Tablaconcuadrcula2"/>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68"/>
        <w:gridCol w:w="6100"/>
      </w:tblGrid>
      <w:tr w:rsidR="002B6B2A" w:rsidRPr="002B6B2A" w14:paraId="06485BA4" w14:textId="77777777" w:rsidTr="008A62F8">
        <w:trPr>
          <w:trHeight w:val="229"/>
        </w:trPr>
        <w:tc>
          <w:tcPr>
            <w:tcW w:w="2268" w:type="dxa"/>
          </w:tcPr>
          <w:p w14:paraId="56D37231" w14:textId="77777777" w:rsidR="002B6B2A" w:rsidRPr="002B6B2A" w:rsidRDefault="002B6B2A" w:rsidP="002B6B2A">
            <w:pPr>
              <w:jc w:val="both"/>
              <w:rPr>
                <w:rFonts w:ascii="Verdana" w:eastAsia="Calibri" w:hAnsi="Verdana" w:cs="Arial"/>
                <w:b/>
                <w:bCs/>
                <w:lang w:val="es-ES_tradnl" w:eastAsia="es-ES_tradnl"/>
              </w:rPr>
            </w:pPr>
          </w:p>
        </w:tc>
        <w:tc>
          <w:tcPr>
            <w:tcW w:w="6100" w:type="dxa"/>
          </w:tcPr>
          <w:p w14:paraId="08D096D9" w14:textId="77777777" w:rsidR="002B6B2A" w:rsidRPr="006046CE" w:rsidRDefault="002B6B2A" w:rsidP="001E53ED">
            <w:pPr>
              <w:rPr>
                <w:rFonts w:ascii="Verdana" w:eastAsia="Aptos" w:hAnsi="Verdana" w:cs="Times New Roman"/>
                <w:b/>
                <w:bCs/>
                <w:kern w:val="2"/>
                <w14:ligatures w14:val="standardContextual"/>
              </w:rPr>
            </w:pPr>
            <w:r w:rsidRPr="006046CE">
              <w:rPr>
                <w:rFonts w:ascii="Verdana" w:eastAsia="Aptos" w:hAnsi="Verdana" w:cs="Times New Roman"/>
                <w:b/>
                <w:bCs/>
                <w:kern w:val="2"/>
                <w14:ligatures w14:val="standardContextual"/>
              </w:rPr>
              <w:t xml:space="preserve">Concepto </w:t>
            </w:r>
            <w:bookmarkStart w:id="1" w:name="OLE_LINK1"/>
            <w:r w:rsidRPr="006046CE">
              <w:rPr>
                <w:rFonts w:ascii="Verdana" w:eastAsia="Aptos" w:hAnsi="Verdana" w:cs="Times New Roman"/>
                <w:b/>
                <w:bCs/>
                <w:kern w:val="2"/>
                <w14:ligatures w14:val="standardContextual"/>
              </w:rPr>
              <w:t>C-359 de 2026</w:t>
            </w:r>
            <w:bookmarkEnd w:id="1"/>
          </w:p>
          <w:p w14:paraId="4537BC87" w14:textId="77777777" w:rsidR="002B6B2A" w:rsidRPr="006046CE" w:rsidRDefault="002B6B2A" w:rsidP="001E53ED">
            <w:pPr>
              <w:rPr>
                <w:rFonts w:ascii="Verdana" w:eastAsia="Aptos" w:hAnsi="Verdana" w:cs="Times New Roman"/>
                <w:kern w:val="2"/>
                <w14:ligatures w14:val="standardContextual"/>
              </w:rPr>
            </w:pPr>
          </w:p>
        </w:tc>
      </w:tr>
      <w:tr w:rsidR="002B6B2A" w:rsidRPr="002B6B2A" w14:paraId="4DAB7160" w14:textId="77777777" w:rsidTr="008A62F8">
        <w:trPr>
          <w:trHeight w:val="884"/>
        </w:trPr>
        <w:tc>
          <w:tcPr>
            <w:tcW w:w="2268" w:type="dxa"/>
          </w:tcPr>
          <w:p w14:paraId="20F058D4" w14:textId="77777777" w:rsidR="002B6B2A" w:rsidRPr="002B6B2A" w:rsidRDefault="002B6B2A" w:rsidP="002B6B2A">
            <w:pPr>
              <w:jc w:val="both"/>
              <w:rPr>
                <w:rFonts w:ascii="Verdana" w:eastAsia="Calibri" w:hAnsi="Verdana" w:cs="Arial"/>
                <w:lang w:val="es-ES_tradnl" w:eastAsia="es-ES_tradnl"/>
              </w:rPr>
            </w:pPr>
            <w:r w:rsidRPr="002B6B2A">
              <w:rPr>
                <w:rFonts w:ascii="Verdana" w:eastAsia="Calibri" w:hAnsi="Verdana" w:cs="Arial"/>
                <w:b/>
                <w:lang w:val="es-ES_tradnl" w:eastAsia="es-ES_tradnl"/>
              </w:rPr>
              <w:t>Temas:</w:t>
            </w:r>
            <w:r w:rsidRPr="002B6B2A">
              <w:rPr>
                <w:rFonts w:ascii="Verdana" w:eastAsia="Calibri" w:hAnsi="Verdana" w:cs="Arial"/>
                <w:lang w:val="es-ES_tradnl" w:eastAsia="es-ES_tradnl"/>
              </w:rPr>
              <w:t xml:space="preserve">                   </w:t>
            </w:r>
          </w:p>
        </w:tc>
        <w:tc>
          <w:tcPr>
            <w:tcW w:w="6100" w:type="dxa"/>
          </w:tcPr>
          <w:p w14:paraId="3F8C83F9" w14:textId="77777777" w:rsidR="002B6B2A" w:rsidRPr="006046CE" w:rsidRDefault="002B6B2A" w:rsidP="001E53ED">
            <w:pPr>
              <w:jc w:val="both"/>
              <w:rPr>
                <w:rFonts w:ascii="Verdana" w:eastAsia="Aptos" w:hAnsi="Verdana" w:cs="Times New Roman"/>
                <w:kern w:val="2"/>
                <w14:ligatures w14:val="standardContextual"/>
              </w:rPr>
            </w:pPr>
            <w:r w:rsidRPr="006046CE">
              <w:rPr>
                <w:rFonts w:ascii="Verdana" w:eastAsia="Aptos" w:hAnsi="Verdana" w:cs="Times New Roman"/>
                <w:kern w:val="2"/>
                <w14:ligatures w14:val="standardContextual"/>
              </w:rPr>
              <w:t>DOCUMENTOS TIPO – Fundamento normativo – Obligatoriedad / SECTOR SOCIAL – Documentos tipo – Vigentes / DOCUMENTOS TIPO – Aplicación – Matriz de Experiencia / DOCUMENTOS TIPO – Licitación pública – Sector social – Resolución 539 de 2025 – Estructura de la Resolución / SECTOR VIVIENDA – Documentos tipo – Matriz 1 – Experiencia – Actividad 1.3 – Alcance / DEMOLICIÓN – Sector vivienda – Documentos tipo – Matriz 1 – Experiencia – Actividad 1.3 – Alcance</w:t>
            </w:r>
          </w:p>
          <w:p w14:paraId="0CAFC1D3" w14:textId="77777777" w:rsidR="002B6B2A" w:rsidRPr="006046CE" w:rsidRDefault="002B6B2A" w:rsidP="001E53ED">
            <w:pPr>
              <w:spacing w:line="276" w:lineRule="auto"/>
              <w:jc w:val="both"/>
              <w:rPr>
                <w:rFonts w:ascii="Verdana" w:eastAsia="Aptos" w:hAnsi="Verdana" w:cs="Times New Roman"/>
                <w:kern w:val="2"/>
                <w14:ligatures w14:val="standardContextual"/>
              </w:rPr>
            </w:pPr>
          </w:p>
        </w:tc>
      </w:tr>
      <w:tr w:rsidR="002B6B2A" w:rsidRPr="002B6B2A" w14:paraId="507C9554" w14:textId="77777777" w:rsidTr="008A62F8">
        <w:tc>
          <w:tcPr>
            <w:tcW w:w="2268" w:type="dxa"/>
          </w:tcPr>
          <w:p w14:paraId="452952C8" w14:textId="77777777" w:rsidR="002B6B2A" w:rsidRPr="002B6B2A" w:rsidRDefault="002B6B2A" w:rsidP="002B6B2A">
            <w:pPr>
              <w:jc w:val="both"/>
              <w:rPr>
                <w:rFonts w:ascii="Verdana" w:eastAsia="Calibri" w:hAnsi="Verdana" w:cs="Arial"/>
                <w:b/>
                <w:lang w:val="es-ES_tradnl" w:eastAsia="es-ES_tradnl"/>
              </w:rPr>
            </w:pPr>
            <w:r w:rsidRPr="002B6B2A">
              <w:rPr>
                <w:rFonts w:ascii="Verdana" w:eastAsia="Calibri" w:hAnsi="Verdana" w:cs="Arial"/>
                <w:b/>
                <w:lang w:val="es-ES_tradnl" w:eastAsia="es-ES_tradnl"/>
              </w:rPr>
              <w:t>Radicación:</w:t>
            </w:r>
            <w:r w:rsidRPr="002B6B2A">
              <w:rPr>
                <w:rFonts w:ascii="Verdana" w:eastAsia="Calibri" w:hAnsi="Verdana" w:cs="Arial"/>
                <w:lang w:val="es-ES_tradnl" w:eastAsia="es-ES_tradnl"/>
              </w:rPr>
              <w:t xml:space="preserve">               </w:t>
            </w:r>
          </w:p>
        </w:tc>
        <w:tc>
          <w:tcPr>
            <w:tcW w:w="6100" w:type="dxa"/>
          </w:tcPr>
          <w:p w14:paraId="5D599381" w14:textId="77777777" w:rsidR="002B6B2A" w:rsidRPr="006046CE" w:rsidRDefault="002B6B2A" w:rsidP="001E53ED">
            <w:pPr>
              <w:ind w:left="3" w:hanging="3"/>
              <w:jc w:val="both"/>
              <w:rPr>
                <w:rFonts w:ascii="Verdana" w:eastAsia="Aptos" w:hAnsi="Verdana" w:cs="Times New Roman"/>
                <w:kern w:val="2"/>
                <w14:ligatures w14:val="standardContextual"/>
              </w:rPr>
            </w:pPr>
            <w:r w:rsidRPr="006046CE">
              <w:rPr>
                <w:rFonts w:ascii="Verdana" w:eastAsia="Aptos" w:hAnsi="Verdana" w:cs="Times New Roman"/>
                <w:kern w:val="2"/>
                <w14:ligatures w14:val="standardContextual"/>
              </w:rPr>
              <w:t>Respuesta a consulta con radicado No. 1_2026_03_04_003059</w:t>
            </w:r>
          </w:p>
        </w:tc>
      </w:tr>
    </w:tbl>
    <w:p w14:paraId="56798CB5" w14:textId="77777777" w:rsidR="002B6B2A" w:rsidRPr="002B6B2A" w:rsidRDefault="002B6B2A" w:rsidP="002B6B2A">
      <w:pPr>
        <w:spacing w:after="0" w:line="240" w:lineRule="auto"/>
        <w:jc w:val="both"/>
        <w:rPr>
          <w:rFonts w:ascii="Verdana" w:eastAsia="Calibri" w:hAnsi="Verdana" w:cs="Arial"/>
          <w:lang w:val="es-ES_tradnl" w:eastAsia="es-ES_tradnl"/>
        </w:rPr>
      </w:pPr>
    </w:p>
    <w:p w14:paraId="1017E9C0" w14:textId="77777777" w:rsidR="002B6B2A" w:rsidRPr="002B6B2A" w:rsidRDefault="002B6B2A" w:rsidP="002B6B2A">
      <w:pPr>
        <w:spacing w:after="0" w:line="276" w:lineRule="auto"/>
        <w:jc w:val="both"/>
        <w:rPr>
          <w:rFonts w:ascii="Verdana" w:eastAsia="Calibri" w:hAnsi="Verdana" w:cs="Arial"/>
          <w:lang w:val="es-ES" w:eastAsia="es-ES"/>
        </w:rPr>
      </w:pPr>
      <w:r w:rsidRPr="002B6B2A">
        <w:rPr>
          <w:rFonts w:ascii="Verdana" w:eastAsia="Calibri" w:hAnsi="Verdana" w:cs="Arial"/>
          <w:lang w:val="es-ES" w:eastAsia="es-ES"/>
        </w:rPr>
        <w:t xml:space="preserve">Estimada señora </w:t>
      </w:r>
      <w:r w:rsidRPr="002B6B2A">
        <w:rPr>
          <w:rFonts w:ascii="Verdana" w:eastAsia="Aptos" w:hAnsi="Verdana" w:cs="Times New Roman"/>
          <w:kern w:val="2"/>
          <w14:ligatures w14:val="standardContextual"/>
        </w:rPr>
        <w:t>Santafé Agudelo</w:t>
      </w:r>
      <w:r w:rsidRPr="002B6B2A">
        <w:rPr>
          <w:rFonts w:ascii="Verdana" w:eastAsia="Calibri" w:hAnsi="Verdana" w:cs="Arial"/>
          <w:lang w:val="es-ES" w:eastAsia="es-ES"/>
        </w:rPr>
        <w:t xml:space="preserve">: </w:t>
      </w:r>
    </w:p>
    <w:p w14:paraId="006F371B" w14:textId="77777777" w:rsidR="002B6B2A" w:rsidRPr="002B6B2A" w:rsidRDefault="002B6B2A" w:rsidP="002B6B2A">
      <w:pPr>
        <w:tabs>
          <w:tab w:val="left" w:pos="3768"/>
        </w:tabs>
        <w:spacing w:after="0" w:line="276" w:lineRule="auto"/>
        <w:jc w:val="both"/>
        <w:rPr>
          <w:rFonts w:ascii="Verdana" w:eastAsia="Calibri" w:hAnsi="Verdana" w:cs="Arial"/>
          <w:lang w:val="es-ES" w:eastAsia="es-ES"/>
        </w:rPr>
      </w:pPr>
      <w:r w:rsidRPr="002B6B2A">
        <w:rPr>
          <w:rFonts w:ascii="Verdana" w:eastAsia="Calibri" w:hAnsi="Verdana" w:cs="Arial"/>
          <w:lang w:val="es-ES" w:eastAsia="es-ES"/>
        </w:rPr>
        <w:tab/>
      </w:r>
    </w:p>
    <w:p w14:paraId="45A1BDCE" w14:textId="77777777" w:rsidR="002B6B2A" w:rsidRPr="002B6B2A" w:rsidRDefault="002B6B2A" w:rsidP="002B6B2A">
      <w:pPr>
        <w:spacing w:after="0" w:line="276" w:lineRule="auto"/>
        <w:jc w:val="both"/>
        <w:rPr>
          <w:rFonts w:ascii="Verdana" w:eastAsia="Calibri" w:hAnsi="Verdana" w:cs="Arial"/>
          <w:lang w:val="es-ES" w:eastAsia="es-ES"/>
        </w:rPr>
      </w:pPr>
      <w:r w:rsidRPr="002B6B2A">
        <w:rPr>
          <w:rFonts w:ascii="Verdana" w:eastAsia="Calibri" w:hAnsi="Verdana" w:cs="Arial"/>
          <w:lang w:val="es-ES" w:eastAsia="es-ES"/>
        </w:rPr>
        <w:t>En ejercicio de la competencia otorgada por los artículos 3, numeral 5º, y 11, numeral 8º, del Decreto Ley 4170 de 2011,</w:t>
      </w:r>
      <w:r w:rsidRPr="002B6B2A">
        <w:rPr>
          <w:rFonts w:ascii="Verdana" w:eastAsia="Arial MT" w:hAnsi="Verdana" w:cs="Arial MT"/>
          <w:lang w:val="es-ES" w:eastAsia="es-ES"/>
        </w:rPr>
        <w:t xml:space="preserve"> </w:t>
      </w:r>
      <w:r w:rsidRPr="002B6B2A">
        <w:rPr>
          <w:rFonts w:ascii="Verdana" w:eastAsia="Calibri" w:hAnsi="Verdana" w:cs="Arial"/>
        </w:rPr>
        <w:t xml:space="preserve">así como lo establecido por la </w:t>
      </w:r>
      <w:r w:rsidRPr="002B6B2A">
        <w:rPr>
          <w:rFonts w:ascii="Verdana" w:eastAsia="Aptos" w:hAnsi="Verdana" w:cs="Arial"/>
          <w:bCs/>
          <w:kern w:val="2"/>
          <w:lang w:eastAsia="es-ES" w:bidi="es-ES"/>
          <w14:ligatures w14:val="standardContextual"/>
        </w:rPr>
        <w:t>Resolución 469 de 2025 expedida por esta Entidad</w:t>
      </w:r>
      <w:r w:rsidRPr="002B6B2A">
        <w:rPr>
          <w:rFonts w:ascii="Verdana" w:eastAsia="Calibri" w:hAnsi="Verdana" w:cs="Arial"/>
        </w:rPr>
        <w:t xml:space="preserve">, </w:t>
      </w:r>
      <w:r w:rsidRPr="002B6B2A">
        <w:rPr>
          <w:rFonts w:ascii="Verdana" w:eastAsia="Calibri" w:hAnsi="Verdana" w:cs="Arial"/>
          <w:lang w:val="es-ES" w:eastAsia="es-ES"/>
        </w:rPr>
        <w:t xml:space="preserve">la Agencia Nacional de Contratación Pública – Colombia Compra Eficiente– responde su solicitud de consulta del 04 de marzo de 2026, en la cual manifiesta lo siguiente: </w:t>
      </w:r>
    </w:p>
    <w:p w14:paraId="68FB6E1D" w14:textId="77777777" w:rsidR="002B6B2A" w:rsidRPr="002B6B2A" w:rsidRDefault="002B6B2A" w:rsidP="002B6B2A">
      <w:pPr>
        <w:tabs>
          <w:tab w:val="left" w:pos="142"/>
          <w:tab w:val="left" w:pos="284"/>
        </w:tabs>
        <w:spacing w:after="0" w:line="276" w:lineRule="auto"/>
        <w:ind w:left="709" w:right="709"/>
        <w:jc w:val="both"/>
        <w:rPr>
          <w:rFonts w:ascii="Verdana" w:eastAsia="Century Gothic" w:hAnsi="Verdana" w:cs="Century Gothic"/>
          <w:b/>
          <w:bCs/>
        </w:rPr>
      </w:pPr>
    </w:p>
    <w:p w14:paraId="10BC3185" w14:textId="77777777" w:rsidR="002B6B2A" w:rsidRPr="002B6B2A" w:rsidRDefault="002B6B2A" w:rsidP="002B6B2A">
      <w:pPr>
        <w:spacing w:after="120" w:line="240" w:lineRule="auto"/>
        <w:ind w:left="709" w:right="709"/>
        <w:jc w:val="both"/>
        <w:rPr>
          <w:rFonts w:ascii="Verdana" w:eastAsia="Aptos" w:hAnsi="Verdana" w:cs="Times New Roman"/>
          <w:kern w:val="2"/>
          <w:sz w:val="20"/>
          <w:szCs w:val="20"/>
          <w14:ligatures w14:val="standardContextual"/>
        </w:rPr>
      </w:pPr>
      <w:r w:rsidRPr="002B6B2A">
        <w:rPr>
          <w:rFonts w:ascii="Verdana" w:eastAsia="Aptos" w:hAnsi="Verdana" w:cs="Arial"/>
          <w:kern w:val="2"/>
          <w:sz w:val="20"/>
          <w:szCs w:val="20"/>
          <w14:ligatures w14:val="standardContextual"/>
        </w:rPr>
        <w:t>“</w:t>
      </w:r>
      <w:r w:rsidRPr="002B6B2A">
        <w:rPr>
          <w:rFonts w:ascii="Verdana" w:eastAsia="Aptos" w:hAnsi="Verdana" w:cs="Times New Roman"/>
          <w:kern w:val="2"/>
          <w:sz w:val="20"/>
          <w:szCs w:val="20"/>
          <w14:ligatures w14:val="standardContextual"/>
        </w:rPr>
        <w:t xml:space="preserve">1. La entidad </w:t>
      </w:r>
      <w:proofErr w:type="spellStart"/>
      <w:r w:rsidRPr="002B6B2A">
        <w:rPr>
          <w:rFonts w:ascii="Verdana" w:eastAsia="Aptos" w:hAnsi="Verdana" w:cs="Times New Roman"/>
          <w:kern w:val="2"/>
          <w:sz w:val="20"/>
          <w:szCs w:val="20"/>
          <w14:ligatures w14:val="standardContextual"/>
        </w:rPr>
        <w:t>esta</w:t>
      </w:r>
      <w:proofErr w:type="spellEnd"/>
      <w:r w:rsidRPr="002B6B2A">
        <w:rPr>
          <w:rFonts w:ascii="Verdana" w:eastAsia="Aptos" w:hAnsi="Verdana" w:cs="Times New Roman"/>
          <w:kern w:val="2"/>
          <w:sz w:val="20"/>
          <w:szCs w:val="20"/>
          <w14:ligatures w14:val="standardContextual"/>
        </w:rPr>
        <w:t xml:space="preserve"> sometida al Estatuto General de Contratación de la Administración Pública) adelanta la planeación de un proceso de Licitación Pública para la demolición mecánica de infraestructura del proyecto de vivienda. </w:t>
      </w:r>
    </w:p>
    <w:p w14:paraId="1EC46CC5" w14:textId="77777777" w:rsidR="002B6B2A" w:rsidRPr="002B6B2A" w:rsidRDefault="002B6B2A" w:rsidP="002B6B2A">
      <w:pPr>
        <w:spacing w:after="120" w:line="240" w:lineRule="auto"/>
        <w:ind w:left="709" w:right="709"/>
        <w:jc w:val="both"/>
        <w:rPr>
          <w:rFonts w:ascii="Verdana" w:eastAsia="Aptos" w:hAnsi="Verdana" w:cs="Times New Roman"/>
          <w:kern w:val="2"/>
          <w:sz w:val="20"/>
          <w:szCs w:val="20"/>
          <w14:ligatures w14:val="standardContextual"/>
        </w:rPr>
      </w:pPr>
      <w:r w:rsidRPr="002B6B2A">
        <w:rPr>
          <w:rFonts w:ascii="Verdana" w:eastAsia="Aptos" w:hAnsi="Verdana" w:cs="Times New Roman"/>
          <w:kern w:val="2"/>
          <w:sz w:val="20"/>
          <w:szCs w:val="20"/>
          <w14:ligatures w14:val="standardContextual"/>
        </w:rPr>
        <w:t xml:space="preserve">2. El proceso contempla (de manera preliminar) actividades de demolición de elementos estructurales (cimientos, muros, placas, escaleras en concreto reforzado), así como el manejo del material resultante (cargue/transporte/disposición final). </w:t>
      </w:r>
    </w:p>
    <w:p w14:paraId="708D96E8" w14:textId="77777777" w:rsidR="002B6B2A" w:rsidRPr="002B6B2A" w:rsidRDefault="002B6B2A" w:rsidP="002B6B2A">
      <w:pPr>
        <w:spacing w:after="120" w:line="240" w:lineRule="auto"/>
        <w:ind w:left="709" w:right="709"/>
        <w:jc w:val="both"/>
        <w:rPr>
          <w:rFonts w:ascii="Verdana" w:eastAsia="Aptos" w:hAnsi="Verdana" w:cs="Times New Roman"/>
          <w:kern w:val="2"/>
          <w:sz w:val="20"/>
          <w:szCs w:val="20"/>
          <w14:ligatures w14:val="standardContextual"/>
        </w:rPr>
      </w:pPr>
      <w:r w:rsidRPr="002B6B2A">
        <w:rPr>
          <w:rFonts w:ascii="Verdana" w:eastAsia="Aptos" w:hAnsi="Verdana" w:cs="Times New Roman"/>
          <w:kern w:val="2"/>
          <w:sz w:val="20"/>
          <w:szCs w:val="20"/>
          <w14:ligatures w14:val="standardContextual"/>
        </w:rPr>
        <w:lastRenderedPageBreak/>
        <w:t xml:space="preserve">3. La entidad prevé publicar el aviso de convocatoria en fecha posterior al 16 de febrero de 2026. </w:t>
      </w:r>
    </w:p>
    <w:p w14:paraId="02E33E37" w14:textId="77777777" w:rsidR="002B6B2A" w:rsidRPr="002B6B2A" w:rsidRDefault="002B6B2A" w:rsidP="002B6B2A">
      <w:pPr>
        <w:spacing w:after="120" w:line="240" w:lineRule="auto"/>
        <w:ind w:left="709" w:right="709"/>
        <w:jc w:val="both"/>
        <w:rPr>
          <w:rFonts w:ascii="Verdana" w:eastAsia="Aptos" w:hAnsi="Verdana" w:cs="Times New Roman"/>
          <w:kern w:val="2"/>
          <w:sz w:val="20"/>
          <w:szCs w:val="20"/>
          <w14:ligatures w14:val="standardContextual"/>
        </w:rPr>
      </w:pPr>
      <w:r w:rsidRPr="002B6B2A">
        <w:rPr>
          <w:rFonts w:ascii="Verdana" w:eastAsia="Aptos" w:hAnsi="Verdana" w:cs="Times New Roman"/>
          <w:kern w:val="2"/>
          <w:sz w:val="20"/>
          <w:szCs w:val="20"/>
          <w14:ligatures w14:val="standardContextual"/>
        </w:rPr>
        <w:t xml:space="preserve">4. En la etapa de revisión interna se presentó controversia sobre la aplicabilidad obligatoria de los Documentos Tipo Infraestructura Social – Sector Vivienda (Versión 2), particularmente por la interpretación de la Matriz 1 – Experiencia Sector Vivienda, en cuanto a la aplicación del numeral 1.3, y si este aplica únicamente para proyectos de demolición de cerramiento en proyectos de vivienda, o aplica para la demolición general de la edificación. </w:t>
      </w:r>
    </w:p>
    <w:p w14:paraId="62D68817" w14:textId="77777777" w:rsidR="002B6B2A" w:rsidRPr="002B6B2A" w:rsidRDefault="002B6B2A" w:rsidP="002B6B2A">
      <w:pPr>
        <w:spacing w:after="120" w:line="240" w:lineRule="auto"/>
        <w:ind w:left="709" w:right="709"/>
        <w:jc w:val="both"/>
        <w:rPr>
          <w:rFonts w:ascii="Verdana" w:eastAsia="Aptos" w:hAnsi="Verdana" w:cs="Times New Roman"/>
          <w:kern w:val="2"/>
          <w:sz w:val="20"/>
          <w:szCs w:val="20"/>
          <w14:ligatures w14:val="standardContextual"/>
        </w:rPr>
      </w:pPr>
      <w:r w:rsidRPr="002B6B2A">
        <w:rPr>
          <w:rFonts w:ascii="Verdana" w:eastAsia="Aptos" w:hAnsi="Verdana" w:cs="Times New Roman"/>
          <w:kern w:val="2"/>
          <w:sz w:val="20"/>
          <w:szCs w:val="20"/>
          <w14:ligatures w14:val="standardContextual"/>
        </w:rPr>
        <w:t xml:space="preserve">2. Solicitudes Agradezco a CCE se sirva aclarar y/o emitir concepto orientador sobre lo siguiente: </w:t>
      </w:r>
    </w:p>
    <w:p w14:paraId="5B2FB877" w14:textId="77777777" w:rsidR="002B6B2A" w:rsidRPr="002B6B2A" w:rsidRDefault="002B6B2A" w:rsidP="002B6B2A">
      <w:pPr>
        <w:spacing w:after="120" w:line="240" w:lineRule="auto"/>
        <w:ind w:left="709" w:right="709"/>
        <w:jc w:val="both"/>
        <w:rPr>
          <w:rFonts w:ascii="Verdana" w:eastAsia="Aptos" w:hAnsi="Verdana" w:cs="Times New Roman"/>
          <w:kern w:val="2"/>
          <w:sz w:val="20"/>
          <w:szCs w:val="20"/>
          <w14:ligatures w14:val="standardContextual"/>
        </w:rPr>
      </w:pPr>
      <w:r w:rsidRPr="002B6B2A">
        <w:rPr>
          <w:rFonts w:ascii="Verdana" w:eastAsia="Aptos" w:hAnsi="Verdana" w:cs="Times New Roman"/>
          <w:kern w:val="2"/>
          <w:sz w:val="20"/>
          <w:szCs w:val="20"/>
          <w14:ligatures w14:val="standardContextual"/>
        </w:rPr>
        <w:t>2.1 Aplicabilidad general</w:t>
      </w:r>
    </w:p>
    <w:p w14:paraId="50C4A377" w14:textId="77777777" w:rsidR="002B6B2A" w:rsidRPr="002B6B2A" w:rsidRDefault="002B6B2A" w:rsidP="002B6B2A">
      <w:pPr>
        <w:spacing w:after="120" w:line="240" w:lineRule="auto"/>
        <w:ind w:left="709" w:right="709"/>
        <w:jc w:val="both"/>
        <w:rPr>
          <w:rFonts w:ascii="Verdana" w:eastAsia="Aptos" w:hAnsi="Verdana" w:cs="Times New Roman"/>
          <w:kern w:val="2"/>
          <w:sz w:val="20"/>
          <w:szCs w:val="20"/>
          <w14:ligatures w14:val="standardContextual"/>
        </w:rPr>
      </w:pPr>
      <w:r w:rsidRPr="002B6B2A">
        <w:rPr>
          <w:rFonts w:ascii="Verdana" w:eastAsia="Aptos" w:hAnsi="Verdana" w:cs="Times New Roman"/>
          <w:kern w:val="2"/>
          <w:sz w:val="20"/>
          <w:szCs w:val="20"/>
          <w14:ligatures w14:val="standardContextual"/>
        </w:rPr>
        <w:t xml:space="preserve">1. Para una Licitación Pública de obra cuyo objeto es la demolición mecánica de un proyecto de vivienda urbana (infraestructura social – vivienda), y con aviso de convocatoria publicado a partir del 16 de febrero de 2026, ¿resulta obligatoria la aplicación de los Documentos Tipo Infraestructura Social – Sector Vivienda (Versión 2) y sus documentos complementarios? </w:t>
      </w:r>
    </w:p>
    <w:p w14:paraId="22BFFE33" w14:textId="77777777" w:rsidR="002B6B2A" w:rsidRPr="002B6B2A" w:rsidRDefault="002B6B2A" w:rsidP="002B6B2A">
      <w:pPr>
        <w:spacing w:after="120" w:line="240" w:lineRule="auto"/>
        <w:ind w:left="709" w:right="709"/>
        <w:jc w:val="both"/>
        <w:rPr>
          <w:rFonts w:ascii="Verdana" w:eastAsia="Aptos" w:hAnsi="Verdana" w:cs="Times New Roman"/>
          <w:kern w:val="2"/>
          <w:sz w:val="20"/>
          <w:szCs w:val="20"/>
          <w14:ligatures w14:val="standardContextual"/>
        </w:rPr>
      </w:pPr>
      <w:r w:rsidRPr="002B6B2A">
        <w:rPr>
          <w:rFonts w:ascii="Verdana" w:eastAsia="Aptos" w:hAnsi="Verdana" w:cs="Times New Roman"/>
          <w:kern w:val="2"/>
          <w:sz w:val="20"/>
          <w:szCs w:val="20"/>
          <w14:ligatures w14:val="standardContextual"/>
        </w:rPr>
        <w:t>2.2 Interpretación de la Matriz 1 – Sector Vivienda 2) En la Matriz 1 – Experiencia Sector Vivienda, cuando se refiere a “proyectos de demolición y/o… y/o terminación de cerramiento de vivienda(s) urbana(s)”, ¿debe entenderse que la demolición puede ser un objeto autónomo (“solo demolición”) y no exclusivamente “demolición asociada a cerramientos”?</w:t>
      </w:r>
    </w:p>
    <w:p w14:paraId="3A87A892" w14:textId="77777777" w:rsidR="002B6B2A" w:rsidRPr="002B6B2A" w:rsidRDefault="002B6B2A" w:rsidP="002B6B2A">
      <w:pPr>
        <w:spacing w:after="120" w:line="240" w:lineRule="auto"/>
        <w:ind w:left="709" w:right="709"/>
        <w:jc w:val="both"/>
        <w:rPr>
          <w:rFonts w:ascii="Verdana" w:eastAsia="Aptos" w:hAnsi="Verdana" w:cs="Times New Roman"/>
          <w:kern w:val="2"/>
          <w:sz w:val="20"/>
          <w:szCs w:val="20"/>
          <w14:ligatures w14:val="standardContextual"/>
        </w:rPr>
      </w:pPr>
      <w:r w:rsidRPr="002B6B2A">
        <w:rPr>
          <w:rFonts w:ascii="Verdana" w:eastAsia="Aptos" w:hAnsi="Verdana" w:cs="Times New Roman"/>
          <w:kern w:val="2"/>
          <w:sz w:val="20"/>
          <w:szCs w:val="20"/>
          <w14:ligatures w14:val="standardContextual"/>
        </w:rPr>
        <w:t xml:space="preserve">3) ¿Es correcta la interpretación de que los Documentos Tipo “solo aplican” si el objeto del proceso es cerramiento o si se trata de actividades específicas como aislamiento acústico, </w:t>
      </w:r>
      <w:proofErr w:type="gramStart"/>
      <w:r w:rsidRPr="002B6B2A">
        <w:rPr>
          <w:rFonts w:ascii="Verdana" w:eastAsia="Aptos" w:hAnsi="Verdana" w:cs="Times New Roman"/>
          <w:kern w:val="2"/>
          <w:sz w:val="20"/>
          <w:szCs w:val="20"/>
          <w14:ligatures w14:val="standardContextual"/>
        </w:rPr>
        <w:t>o</w:t>
      </w:r>
      <w:proofErr w:type="gramEnd"/>
      <w:r w:rsidRPr="002B6B2A">
        <w:rPr>
          <w:rFonts w:ascii="Verdana" w:eastAsia="Aptos" w:hAnsi="Verdana" w:cs="Times New Roman"/>
          <w:kern w:val="2"/>
          <w:sz w:val="20"/>
          <w:szCs w:val="20"/>
          <w14:ligatures w14:val="standardContextual"/>
        </w:rPr>
        <w:t xml:space="preserve"> por el contrario, la Matriz se utiliza para encuadrar el objeto dentro de la actividad correspondiente (demolición, cerramiento, etc.)?</w:t>
      </w:r>
    </w:p>
    <w:p w14:paraId="015AABCE" w14:textId="77777777" w:rsidR="002B6B2A" w:rsidRPr="002B6B2A" w:rsidRDefault="002B6B2A" w:rsidP="002B6B2A">
      <w:pPr>
        <w:spacing w:after="120" w:line="240" w:lineRule="auto"/>
        <w:ind w:left="709" w:right="709"/>
        <w:jc w:val="both"/>
        <w:rPr>
          <w:rFonts w:ascii="Verdana" w:eastAsia="Aptos" w:hAnsi="Verdana" w:cs="Times New Roman"/>
          <w:kern w:val="2"/>
          <w:sz w:val="20"/>
          <w:szCs w:val="20"/>
          <w14:ligatures w14:val="standardContextual"/>
        </w:rPr>
      </w:pPr>
      <w:r w:rsidRPr="002B6B2A">
        <w:rPr>
          <w:rFonts w:ascii="Verdana" w:eastAsia="Aptos" w:hAnsi="Verdana" w:cs="Times New Roman"/>
          <w:kern w:val="2"/>
          <w:sz w:val="20"/>
          <w:szCs w:val="20"/>
          <w14:ligatures w14:val="standardContextual"/>
        </w:rPr>
        <w:t>2.3 Encaje del objeto y experiencia exigible</w:t>
      </w:r>
    </w:p>
    <w:p w14:paraId="0E7DAB3F" w14:textId="77777777" w:rsidR="002B6B2A" w:rsidRPr="002B6B2A" w:rsidRDefault="002B6B2A" w:rsidP="002B6B2A">
      <w:pPr>
        <w:spacing w:after="120" w:line="240" w:lineRule="auto"/>
        <w:ind w:left="709" w:right="709"/>
        <w:jc w:val="both"/>
        <w:rPr>
          <w:rFonts w:ascii="Verdana" w:eastAsia="Aptos" w:hAnsi="Verdana" w:cs="Times New Roman"/>
          <w:kern w:val="2"/>
          <w:sz w:val="20"/>
          <w:szCs w:val="20"/>
          <w14:ligatures w14:val="standardContextual"/>
        </w:rPr>
      </w:pPr>
      <w:r w:rsidRPr="002B6B2A">
        <w:rPr>
          <w:rFonts w:ascii="Verdana" w:eastAsia="Aptos" w:hAnsi="Verdana" w:cs="Times New Roman"/>
          <w:kern w:val="2"/>
          <w:sz w:val="20"/>
          <w:szCs w:val="20"/>
          <w14:ligatures w14:val="standardContextual"/>
        </w:rPr>
        <w:t>4) Para procesos cuyo alcance principal es solo demolición (sin construcción nueva ni cerramientos), ¿cómo recomienda CCE estructurar el requisito de experiencia general/específica de acuerdo con la Matriz (por ejemplo, el bloque “en caso de requerirse solo demolición…”) y cómo debe definirse el parámetro de área intervenida (m²) cuando el proceso está soportado principalmente en cantidades por volumen (m³)?</w:t>
      </w:r>
    </w:p>
    <w:p w14:paraId="061F4637" w14:textId="77777777" w:rsidR="002B6B2A" w:rsidRPr="002B6B2A" w:rsidRDefault="002B6B2A" w:rsidP="002B6B2A">
      <w:pPr>
        <w:spacing w:after="120" w:line="240" w:lineRule="auto"/>
        <w:ind w:left="709" w:right="709"/>
        <w:jc w:val="both"/>
        <w:rPr>
          <w:rFonts w:ascii="Verdana" w:eastAsia="Aptos" w:hAnsi="Verdana" w:cs="Times New Roman"/>
          <w:kern w:val="2"/>
          <w:sz w:val="20"/>
          <w:szCs w:val="20"/>
          <w14:ligatures w14:val="standardContextual"/>
        </w:rPr>
      </w:pPr>
      <w:r w:rsidRPr="002B6B2A">
        <w:rPr>
          <w:rFonts w:ascii="Verdana" w:eastAsia="Aptos" w:hAnsi="Verdana" w:cs="Times New Roman"/>
          <w:kern w:val="2"/>
          <w:sz w:val="20"/>
          <w:szCs w:val="20"/>
          <w14:ligatures w14:val="standardContextual"/>
        </w:rPr>
        <w:t xml:space="preserve">2.4 Orientación documental </w:t>
      </w:r>
    </w:p>
    <w:p w14:paraId="78D55F0A" w14:textId="77777777" w:rsidR="002B6B2A" w:rsidRPr="002B6B2A" w:rsidRDefault="002B6B2A" w:rsidP="002B6B2A">
      <w:pPr>
        <w:spacing w:after="0" w:line="240" w:lineRule="auto"/>
        <w:ind w:left="709" w:right="709"/>
        <w:jc w:val="both"/>
        <w:rPr>
          <w:rFonts w:ascii="Verdana" w:eastAsia="Aptos" w:hAnsi="Verdana" w:cs="Times New Roman"/>
          <w:kern w:val="2"/>
          <w:sz w:val="20"/>
          <w:szCs w:val="20"/>
          <w14:ligatures w14:val="standardContextual"/>
        </w:rPr>
      </w:pPr>
      <w:r w:rsidRPr="002B6B2A">
        <w:rPr>
          <w:rFonts w:ascii="Verdana" w:eastAsia="Aptos" w:hAnsi="Verdana" w:cs="Times New Roman"/>
          <w:kern w:val="2"/>
          <w:sz w:val="20"/>
          <w:szCs w:val="20"/>
          <w14:ligatures w14:val="standardContextual"/>
        </w:rPr>
        <w:t>5) Se solicita indicar, de manera puntual, cuáles documentos tipo y anexos complementarios del Sector Vivienda v2 deben utilizarse para la estructuración del proceso (pliego, formatos, matrices de experiencia/financieros, etc.) cuando el objeto sea demolición de vivienda urbana”.</w:t>
      </w:r>
    </w:p>
    <w:p w14:paraId="2CAC0DE3" w14:textId="77777777" w:rsidR="002B6B2A" w:rsidRPr="002B6B2A" w:rsidRDefault="002B6B2A" w:rsidP="002B6B2A">
      <w:pPr>
        <w:spacing w:after="0" w:line="240" w:lineRule="auto"/>
        <w:ind w:left="709" w:right="709"/>
        <w:jc w:val="both"/>
        <w:rPr>
          <w:rFonts w:ascii="Arial" w:eastAsia="Aptos" w:hAnsi="Arial" w:cs="Arial"/>
          <w:kern w:val="2"/>
          <w:sz w:val="21"/>
          <w:szCs w:val="21"/>
          <w14:ligatures w14:val="standardContextual"/>
        </w:rPr>
      </w:pPr>
    </w:p>
    <w:p w14:paraId="5F9D9A4D" w14:textId="77777777" w:rsidR="002B6B2A" w:rsidRPr="002B6B2A" w:rsidRDefault="002B6B2A" w:rsidP="002B6B2A">
      <w:pPr>
        <w:spacing w:after="120" w:line="276" w:lineRule="auto"/>
        <w:ind w:firstLine="709"/>
        <w:jc w:val="both"/>
        <w:rPr>
          <w:rFonts w:ascii="Verdana" w:eastAsia="Calibri" w:hAnsi="Verdana" w:cs="Arial"/>
          <w:color w:val="000000"/>
          <w:kern w:val="2"/>
          <w:lang w:val="es-ES" w:eastAsia="es-ES"/>
          <w14:ligatures w14:val="standardContextual"/>
        </w:rPr>
      </w:pPr>
      <w:r w:rsidRPr="002B6B2A">
        <w:rPr>
          <w:rFonts w:ascii="Verdana" w:eastAsia="Calibri" w:hAnsi="Verdana" w:cs="Arial"/>
          <w:color w:val="000000"/>
          <w:kern w:val="2"/>
          <w:lang w:val="es-ES" w:eastAsia="es-ES"/>
          <w14:ligatures w14:val="standardContextual"/>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2B6B2A">
        <w:rPr>
          <w:rFonts w:ascii="Verdana" w:eastAsia="Calibri" w:hAnsi="Verdana" w:cs="Arial"/>
          <w:color w:val="000000"/>
          <w:kern w:val="2"/>
          <w:lang w:val="es-ES_tradnl" w:eastAsia="es-ES_tradnl"/>
          <w14:ligatures w14:val="standardContextual"/>
        </w:rPr>
        <w:tab/>
      </w:r>
    </w:p>
    <w:p w14:paraId="3C3557D6" w14:textId="77777777" w:rsidR="002B6B2A" w:rsidRPr="002B6B2A" w:rsidRDefault="002B6B2A" w:rsidP="002B6B2A">
      <w:pPr>
        <w:spacing w:after="0" w:line="276" w:lineRule="auto"/>
        <w:ind w:firstLine="709"/>
        <w:jc w:val="both"/>
        <w:rPr>
          <w:rFonts w:ascii="Verdana" w:eastAsia="Calibri" w:hAnsi="Verdana" w:cs="Arial"/>
          <w:color w:val="000000"/>
          <w:kern w:val="2"/>
          <w:lang w:val="es-ES" w:eastAsia="es-ES"/>
          <w14:ligatures w14:val="standardContextual"/>
        </w:rPr>
      </w:pPr>
      <w:r w:rsidRPr="002B6B2A">
        <w:rPr>
          <w:rFonts w:ascii="Verdana" w:eastAsia="Calibri" w:hAnsi="Verdana" w:cs="Arial"/>
          <w:color w:val="000000"/>
          <w:kern w:val="2"/>
          <w:lang w:val="es-ES" w:eastAsia="es-ES"/>
          <w14:ligatures w14:val="standardContextual"/>
        </w:rPr>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2B6B2A">
        <w:rPr>
          <w:rFonts w:ascii="Verdana" w:eastAsia="Calibri" w:hAnsi="Verdana" w:cs="Arial"/>
          <w:color w:val="7030A0"/>
          <w:kern w:val="2"/>
          <w:lang w:val="es-ES" w:eastAsia="es-ES"/>
          <w14:ligatures w14:val="standardContextual"/>
        </w:rPr>
        <w:t xml:space="preserve"> </w:t>
      </w:r>
      <w:r w:rsidRPr="002B6B2A">
        <w:rPr>
          <w:rFonts w:ascii="Verdana" w:eastAsia="Calibri" w:hAnsi="Verdana" w:cs="Arial"/>
          <w:color w:val="000000"/>
          <w:kern w:val="2"/>
          <w:lang w:val="es-ES" w:eastAsia="es-ES"/>
          <w14:ligatures w14:val="standardContextual"/>
        </w:rPr>
        <w:t>problema</w:t>
      </w:r>
      <w:r w:rsidRPr="002B6B2A">
        <w:rPr>
          <w:rFonts w:ascii="Verdana" w:eastAsia="Calibri" w:hAnsi="Verdana" w:cs="Arial"/>
          <w:color w:val="7030A0"/>
          <w:kern w:val="2"/>
          <w:lang w:val="es-ES" w:eastAsia="es-ES"/>
          <w14:ligatures w14:val="standardContextual"/>
        </w:rPr>
        <w:t xml:space="preserve"> </w:t>
      </w:r>
      <w:r w:rsidRPr="002B6B2A">
        <w:rPr>
          <w:rFonts w:ascii="Verdana" w:eastAsia="Calibri" w:hAnsi="Verdana" w:cs="Arial"/>
          <w:color w:val="000000"/>
          <w:kern w:val="2"/>
          <w:lang w:val="es-ES" w:eastAsia="es-ES"/>
          <w14:ligatures w14:val="standardContextual"/>
        </w:rPr>
        <w:t>jurídico</w:t>
      </w:r>
      <w:r w:rsidRPr="002B6B2A">
        <w:rPr>
          <w:rFonts w:ascii="Verdana" w:eastAsia="Calibri" w:hAnsi="Verdana" w:cs="Arial"/>
          <w:color w:val="7030A0"/>
          <w:kern w:val="2"/>
          <w:lang w:val="es-ES" w:eastAsia="es-ES"/>
          <w14:ligatures w14:val="standardContextual"/>
        </w:rPr>
        <w:t xml:space="preserve"> </w:t>
      </w:r>
      <w:r w:rsidRPr="002B6B2A">
        <w:rPr>
          <w:rFonts w:ascii="Verdana" w:eastAsia="Calibri" w:hAnsi="Verdana" w:cs="Arial"/>
          <w:color w:val="000000"/>
          <w:kern w:val="2"/>
          <w:lang w:val="es-ES" w:eastAsia="es-ES"/>
          <w14:ligatures w14:val="standardContextual"/>
        </w:rPr>
        <w:t xml:space="preserve">de su consulta. </w:t>
      </w:r>
    </w:p>
    <w:p w14:paraId="65777ABE" w14:textId="77777777" w:rsidR="002B6B2A" w:rsidRPr="002B6B2A" w:rsidRDefault="002B6B2A" w:rsidP="002B6B2A">
      <w:pPr>
        <w:spacing w:after="0" w:line="276" w:lineRule="auto"/>
        <w:jc w:val="both"/>
        <w:rPr>
          <w:rFonts w:ascii="Verdana" w:eastAsia="Calibri" w:hAnsi="Verdana" w:cs="Arial"/>
          <w:lang w:val="es-ES" w:eastAsia="es-ES"/>
        </w:rPr>
      </w:pPr>
    </w:p>
    <w:p w14:paraId="33ACA83C" w14:textId="77777777" w:rsidR="002B6B2A" w:rsidRPr="002B6B2A" w:rsidRDefault="002B6B2A" w:rsidP="002B6B2A">
      <w:pPr>
        <w:numPr>
          <w:ilvl w:val="0"/>
          <w:numId w:val="17"/>
        </w:numPr>
        <w:tabs>
          <w:tab w:val="left" w:pos="142"/>
          <w:tab w:val="left" w:pos="284"/>
        </w:tabs>
        <w:spacing w:after="0" w:line="276" w:lineRule="auto"/>
        <w:jc w:val="both"/>
        <w:rPr>
          <w:rFonts w:ascii="Verdana" w:eastAsia="Century Gothic" w:hAnsi="Verdana" w:cs="Century Gothic"/>
          <w:b/>
          <w:bCs/>
        </w:rPr>
      </w:pPr>
      <w:r w:rsidRPr="002B6B2A">
        <w:rPr>
          <w:rFonts w:ascii="Verdana" w:eastAsia="Century Gothic" w:hAnsi="Verdana" w:cs="Century Gothic"/>
          <w:b/>
          <w:bCs/>
        </w:rPr>
        <w:t>Problema planteado:</w:t>
      </w:r>
    </w:p>
    <w:p w14:paraId="01BEDE24" w14:textId="77777777" w:rsidR="002B6B2A" w:rsidRPr="002B6B2A" w:rsidRDefault="002B6B2A" w:rsidP="002B6B2A">
      <w:pPr>
        <w:tabs>
          <w:tab w:val="left" w:pos="426"/>
        </w:tabs>
        <w:spacing w:after="0" w:line="276" w:lineRule="auto"/>
        <w:jc w:val="both"/>
        <w:rPr>
          <w:rFonts w:ascii="Verdana" w:eastAsia="Century Gothic" w:hAnsi="Verdana" w:cs="Century Gothic"/>
          <w:lang w:val="es-ES"/>
        </w:rPr>
      </w:pPr>
    </w:p>
    <w:p w14:paraId="125CC47A" w14:textId="77777777" w:rsidR="002B6B2A" w:rsidRPr="002B6B2A" w:rsidRDefault="002B6B2A" w:rsidP="002B6B2A">
      <w:pPr>
        <w:spacing w:after="0" w:line="276" w:lineRule="auto"/>
        <w:jc w:val="both"/>
        <w:rPr>
          <w:rFonts w:ascii="Verdana" w:eastAsia="Calibri" w:hAnsi="Verdana" w:cs="Arial"/>
          <w:color w:val="000000"/>
          <w:kern w:val="2"/>
          <w:lang w:val="es-ES" w:eastAsia="es-ES"/>
          <w14:ligatures w14:val="standardContextual"/>
        </w:rPr>
      </w:pPr>
      <w:r w:rsidRPr="002B6B2A">
        <w:rPr>
          <w:rFonts w:ascii="Verdana" w:eastAsia="Calibri" w:hAnsi="Verdana" w:cs="Arial"/>
          <w:color w:val="000000"/>
          <w:kern w:val="2"/>
          <w:lang w:val="es-ES" w:eastAsia="es-ES"/>
          <w14:ligatures w14:val="standardContextual"/>
        </w:rPr>
        <w:t xml:space="preserve">De acuerdo con el contenido de su solicitud, en relación con los Documentos Tipo del Sector Vivienda, esta Agencia resolverá los siguientes problemas jurídicos: i) ¿Cómo determina una entidad si debe o no utilizar los Documentos Tipo?, </w:t>
      </w:r>
      <w:proofErr w:type="spellStart"/>
      <w:r w:rsidRPr="002B6B2A">
        <w:rPr>
          <w:rFonts w:ascii="Verdana" w:eastAsia="Calibri" w:hAnsi="Verdana" w:cs="Arial"/>
          <w:color w:val="000000"/>
          <w:kern w:val="2"/>
          <w:lang w:val="es-ES" w:eastAsia="es-ES"/>
          <w14:ligatures w14:val="standardContextual"/>
        </w:rPr>
        <w:t>ii</w:t>
      </w:r>
      <w:proofErr w:type="spellEnd"/>
      <w:r w:rsidRPr="002B6B2A">
        <w:rPr>
          <w:rFonts w:ascii="Verdana" w:eastAsia="Calibri" w:hAnsi="Verdana" w:cs="Arial"/>
          <w:color w:val="000000"/>
          <w:kern w:val="2"/>
          <w:lang w:val="es-ES" w:eastAsia="es-ES"/>
          <w14:ligatures w14:val="standardContextual"/>
        </w:rPr>
        <w:t xml:space="preserve">) ¿Cuáles son los documentos que aplican para adelantar un proceso de selección con los documentos tipo del sector vivienda?, </w:t>
      </w:r>
      <w:proofErr w:type="spellStart"/>
      <w:r w:rsidRPr="002B6B2A">
        <w:rPr>
          <w:rFonts w:ascii="Verdana" w:eastAsia="Calibri" w:hAnsi="Verdana" w:cs="Arial"/>
          <w:color w:val="000000"/>
          <w:kern w:val="2"/>
          <w:lang w:val="es-ES" w:eastAsia="es-ES"/>
          <w14:ligatures w14:val="standardContextual"/>
        </w:rPr>
        <w:t>iii</w:t>
      </w:r>
      <w:proofErr w:type="spellEnd"/>
      <w:r w:rsidRPr="002B6B2A">
        <w:rPr>
          <w:rFonts w:ascii="Verdana" w:eastAsia="Calibri" w:hAnsi="Verdana" w:cs="Arial"/>
          <w:color w:val="000000"/>
          <w:kern w:val="2"/>
          <w:lang w:val="es-ES" w:eastAsia="es-ES"/>
          <w14:ligatures w14:val="standardContextual"/>
        </w:rPr>
        <w:t xml:space="preserve">) ¿Cuál es el alcance de la actividad 1.3 contenida en la Matriz 1 – Experiencia Sector Vivienda? y </w:t>
      </w:r>
      <w:proofErr w:type="spellStart"/>
      <w:r w:rsidRPr="002B6B2A">
        <w:rPr>
          <w:rFonts w:ascii="Verdana" w:eastAsia="Calibri" w:hAnsi="Verdana" w:cs="Arial"/>
          <w:color w:val="000000"/>
          <w:kern w:val="2"/>
          <w:lang w:val="es-ES" w:eastAsia="es-ES"/>
          <w14:ligatures w14:val="standardContextual"/>
        </w:rPr>
        <w:t>iv</w:t>
      </w:r>
      <w:proofErr w:type="spellEnd"/>
      <w:r w:rsidRPr="002B6B2A">
        <w:rPr>
          <w:rFonts w:ascii="Verdana" w:eastAsia="Calibri" w:hAnsi="Verdana" w:cs="Arial"/>
          <w:color w:val="000000"/>
          <w:kern w:val="2"/>
          <w:lang w:val="es-ES" w:eastAsia="es-ES"/>
          <w14:ligatures w14:val="standardContextual"/>
        </w:rPr>
        <w:t>) ¿Cómo se determina el área intervenida en (m²) cuando el proceso está soportado en cantidades por volúmenes (m³)?</w:t>
      </w:r>
    </w:p>
    <w:p w14:paraId="0BEA350C" w14:textId="77777777" w:rsidR="002B6B2A" w:rsidRPr="002B6B2A" w:rsidRDefault="002B6B2A" w:rsidP="002B6B2A">
      <w:pPr>
        <w:spacing w:after="0" w:line="276" w:lineRule="auto"/>
        <w:jc w:val="both"/>
        <w:rPr>
          <w:rFonts w:ascii="Verdana" w:eastAsia="Century Gothic" w:hAnsi="Verdana" w:cs="Century Gothic"/>
          <w:lang w:val="es-ES_tradnl"/>
        </w:rPr>
      </w:pPr>
    </w:p>
    <w:p w14:paraId="3301C4BC" w14:textId="77777777" w:rsidR="002B6B2A" w:rsidRPr="002B6B2A" w:rsidRDefault="002B6B2A" w:rsidP="002B6B2A">
      <w:pPr>
        <w:tabs>
          <w:tab w:val="left" w:pos="142"/>
          <w:tab w:val="left" w:pos="284"/>
        </w:tabs>
        <w:spacing w:after="0" w:line="276" w:lineRule="auto"/>
        <w:contextualSpacing/>
        <w:jc w:val="both"/>
        <w:rPr>
          <w:rFonts w:ascii="Verdana" w:eastAsia="Century Gothic" w:hAnsi="Verdana" w:cs="Century Gothic"/>
          <w:b/>
          <w:bCs/>
          <w:lang w:val="es-ES"/>
        </w:rPr>
      </w:pPr>
      <w:r w:rsidRPr="002B6B2A">
        <w:rPr>
          <w:rFonts w:ascii="Verdana" w:eastAsia="Century Gothic" w:hAnsi="Verdana" w:cs="Century Gothic"/>
          <w:b/>
          <w:bCs/>
          <w:lang w:val="es-ES"/>
        </w:rPr>
        <w:t>2. Respuestas:</w:t>
      </w:r>
    </w:p>
    <w:p w14:paraId="65E51CB0" w14:textId="77777777" w:rsidR="002B6B2A" w:rsidRPr="002B6B2A" w:rsidRDefault="002B6B2A" w:rsidP="002B6B2A">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B6B2A" w:rsidRPr="002B6B2A" w14:paraId="239D5739" w14:textId="77777777" w:rsidTr="008A62F8">
        <w:trPr>
          <w:trHeight w:val="40"/>
        </w:trPr>
        <w:tc>
          <w:tcPr>
            <w:tcW w:w="8828" w:type="dxa"/>
            <w:tcBorders>
              <w:top w:val="dotted" w:sz="4" w:space="0" w:color="auto"/>
              <w:left w:val="dotted" w:sz="4" w:space="0" w:color="auto"/>
              <w:bottom w:val="dotted" w:sz="4" w:space="0" w:color="auto"/>
              <w:right w:val="dotted" w:sz="4" w:space="0" w:color="auto"/>
            </w:tcBorders>
          </w:tcPr>
          <w:p w14:paraId="218A7537" w14:textId="77777777" w:rsidR="002B6B2A" w:rsidRPr="002B6B2A" w:rsidRDefault="002B6B2A" w:rsidP="002B6B2A">
            <w:pPr>
              <w:spacing w:after="120" w:line="276" w:lineRule="auto"/>
              <w:jc w:val="both"/>
              <w:rPr>
                <w:rFonts w:ascii="Verdana" w:eastAsia="Aptos" w:hAnsi="Verdana" w:cs="Arial"/>
              </w:rPr>
            </w:pPr>
            <w:r w:rsidRPr="002B6B2A">
              <w:rPr>
                <w:rFonts w:ascii="Verdana" w:eastAsia="Calibri" w:hAnsi="Verdana" w:cs="Times New Roman"/>
                <w:lang w:val="es-ES"/>
              </w:rPr>
              <w:t>i</w:t>
            </w:r>
            <w:r w:rsidRPr="002B6B2A">
              <w:rPr>
                <w:rFonts w:ascii="Verdana" w:eastAsia="Aptos" w:hAnsi="Verdana" w:cs="Arial"/>
                <w:lang w:val="es-ES"/>
              </w:rPr>
              <w:t xml:space="preserve">. </w:t>
            </w:r>
            <w:r w:rsidRPr="002B6B2A">
              <w:rPr>
                <w:rFonts w:ascii="Verdana" w:eastAsia="Aptos" w:hAnsi="Verdana" w:cs="Arial"/>
              </w:rPr>
              <w:t xml:space="preserve">El artículo 1 de la Ley 2022 de 2020 “Por la cual modifica el artículo 4 de la Ley 1882 de 2018 y se dictan otras disposiciones” otorga a la Agencia Nacional de Contratación Pública – Colombia Compra Eficiente la competencia para </w:t>
            </w:r>
            <w:r w:rsidRPr="002B6B2A">
              <w:rPr>
                <w:rFonts w:ascii="Verdana" w:eastAsia="Aptos" w:hAnsi="Verdana" w:cs="Arial"/>
              </w:rPr>
              <w:lastRenderedPageBreak/>
              <w:t>adoptar los documentos tipo que serán de obligatorio cumplimiento en la actividad contractual de todas las entidades sometidas al Estatuto General de la Administración Pública.</w:t>
            </w:r>
          </w:p>
          <w:p w14:paraId="57BF7A53" w14:textId="77777777" w:rsidR="002B6B2A" w:rsidRPr="002B6B2A" w:rsidRDefault="002B6B2A" w:rsidP="002B6B2A">
            <w:pPr>
              <w:widowControl w:val="0"/>
              <w:autoSpaceDE w:val="0"/>
              <w:autoSpaceDN w:val="0"/>
              <w:spacing w:after="120" w:line="276" w:lineRule="auto"/>
              <w:ind w:firstLine="708"/>
              <w:jc w:val="both"/>
              <w:rPr>
                <w:rFonts w:ascii="Verdana" w:eastAsia="Calibri" w:hAnsi="Verdana" w:cs="Times New Roman"/>
                <w:lang w:val="es-ES"/>
              </w:rPr>
            </w:pPr>
            <w:r w:rsidRPr="002B6B2A">
              <w:rPr>
                <w:rFonts w:ascii="Verdana" w:eastAsia="Calibri" w:hAnsi="Verdana" w:cs="Times New Roman"/>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67C49698" w14:textId="77777777" w:rsidR="002B6B2A" w:rsidRPr="002B6B2A" w:rsidRDefault="002B6B2A" w:rsidP="002B6B2A">
            <w:pPr>
              <w:widowControl w:val="0"/>
              <w:autoSpaceDE w:val="0"/>
              <w:autoSpaceDN w:val="0"/>
              <w:spacing w:after="120" w:line="276" w:lineRule="auto"/>
              <w:ind w:firstLine="708"/>
              <w:jc w:val="both"/>
              <w:rPr>
                <w:rFonts w:ascii="Verdana" w:eastAsia="Calibri" w:hAnsi="Verdana" w:cs="Times New Roman"/>
                <w:lang w:val="es-ES"/>
              </w:rPr>
            </w:pPr>
            <w:r w:rsidRPr="002B6B2A">
              <w:rPr>
                <w:rFonts w:ascii="Verdana" w:eastAsia="Calibri" w:hAnsi="Verdana" w:cs="Times New Roman"/>
                <w:lang w:val="es-ES"/>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7BD23A41" w14:textId="77777777" w:rsidR="002B6B2A" w:rsidRPr="002B6B2A" w:rsidRDefault="002B6B2A" w:rsidP="002B6B2A">
            <w:pPr>
              <w:widowControl w:val="0"/>
              <w:autoSpaceDE w:val="0"/>
              <w:autoSpaceDN w:val="0"/>
              <w:spacing w:after="120" w:line="276" w:lineRule="auto"/>
              <w:ind w:firstLine="708"/>
              <w:jc w:val="both"/>
              <w:rPr>
                <w:rFonts w:ascii="Verdana" w:eastAsia="Calibri" w:hAnsi="Verdana" w:cs="Times New Roman"/>
                <w:lang w:val="es-ES"/>
              </w:rPr>
            </w:pPr>
            <w:r w:rsidRPr="002B6B2A">
              <w:rPr>
                <w:rFonts w:ascii="Verdana" w:eastAsia="Calibri" w:hAnsi="Verdana" w:cs="Times New Roman"/>
                <w:lang w:val="es-ES"/>
              </w:rPr>
              <w:t>La Matriz – Experiencia,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4B11C52D" w14:textId="77777777" w:rsidR="002B6B2A" w:rsidRPr="002B6B2A" w:rsidRDefault="002B6B2A" w:rsidP="002B6B2A">
            <w:pPr>
              <w:widowControl w:val="0"/>
              <w:autoSpaceDE w:val="0"/>
              <w:autoSpaceDN w:val="0"/>
              <w:spacing w:line="276" w:lineRule="auto"/>
              <w:ind w:firstLine="708"/>
              <w:jc w:val="both"/>
              <w:rPr>
                <w:rFonts w:ascii="Verdana" w:eastAsia="Calibri" w:hAnsi="Verdana" w:cs="Times New Roman"/>
                <w:lang w:val="es-ES"/>
              </w:rPr>
            </w:pPr>
            <w:r w:rsidRPr="002B6B2A">
              <w:rPr>
                <w:rFonts w:ascii="Verdana" w:eastAsia="Calibri" w:hAnsi="Verdana" w:cs="Times New Roman"/>
                <w:lang w:val="es-ES"/>
              </w:rPr>
              <w:t>De esta manera, para saber a qué actividades deben aplicarse los Documentos Tipo de licitación de obra pública de infraestructura social expedidos por esta Agencia,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estos Documentos Tipo para los mencionados sectores −según corresponda−, mientras que en el caso contrario no será forzosa su aplicación.</w:t>
            </w:r>
          </w:p>
          <w:p w14:paraId="03C6290A" w14:textId="77777777" w:rsidR="002B6B2A" w:rsidRPr="002B6B2A" w:rsidRDefault="002B6B2A" w:rsidP="002B6B2A">
            <w:pPr>
              <w:spacing w:line="276" w:lineRule="auto"/>
              <w:jc w:val="both"/>
              <w:rPr>
                <w:rFonts w:ascii="Verdana" w:eastAsia="Aptos" w:hAnsi="Verdana" w:cs="Aptos"/>
              </w:rPr>
            </w:pPr>
          </w:p>
          <w:p w14:paraId="6421285E" w14:textId="77777777" w:rsidR="002B6B2A" w:rsidRPr="002B6B2A" w:rsidRDefault="002B6B2A" w:rsidP="002B6B2A">
            <w:pPr>
              <w:spacing w:after="120" w:line="276" w:lineRule="auto"/>
              <w:jc w:val="both"/>
              <w:rPr>
                <w:rFonts w:ascii="Verdana" w:eastAsia="Aptos" w:hAnsi="Verdana" w:cs="Times New Roman"/>
              </w:rPr>
            </w:pPr>
            <w:proofErr w:type="spellStart"/>
            <w:r w:rsidRPr="002B6B2A">
              <w:rPr>
                <w:rFonts w:ascii="Verdana" w:eastAsia="Aptos" w:hAnsi="Verdana" w:cs="Aptos"/>
              </w:rPr>
              <w:t>ii</w:t>
            </w:r>
            <w:proofErr w:type="spellEnd"/>
            <w:r w:rsidRPr="002B6B2A">
              <w:rPr>
                <w:rFonts w:ascii="Verdana" w:eastAsia="Aptos" w:hAnsi="Verdana" w:cs="Aptos"/>
              </w:rPr>
              <w:t xml:space="preserve">. </w:t>
            </w:r>
            <w:r w:rsidRPr="002B6B2A">
              <w:rPr>
                <w:rFonts w:ascii="Verdana" w:eastAsia="Aptos" w:hAnsi="Verdana" w:cs="Times New Roman"/>
              </w:rPr>
              <w:t>Mediante el Capítulo I de la Resolución 539 del 21 de agosto de 2025, la Agencia Nacional de Contratación Pública – Colombia Compra Eficiente adoptó los documentos tipo aplicables de forma transversal en el sector social para los procesos que se adelanten mediante la modalidad de selección de licitación pública, correspondientes a proyectos enmarcados en los sectores de educación, salud, cultura, recreación y deporte, institucional y vivienda.</w:t>
            </w:r>
          </w:p>
          <w:p w14:paraId="67167FC7" w14:textId="77777777" w:rsidR="002B6B2A" w:rsidRPr="002B6B2A" w:rsidRDefault="002B6B2A" w:rsidP="002B6B2A">
            <w:pPr>
              <w:spacing w:after="120" w:line="276" w:lineRule="auto"/>
              <w:ind w:firstLine="708"/>
              <w:jc w:val="both"/>
              <w:rPr>
                <w:rFonts w:ascii="Verdana" w:eastAsia="Calibri" w:hAnsi="Verdana" w:cs="Times New Roman"/>
                <w:lang w:val="es-ES"/>
              </w:rPr>
            </w:pPr>
            <w:r w:rsidRPr="002B6B2A">
              <w:rPr>
                <w:rFonts w:ascii="Verdana" w:eastAsia="Aptos" w:hAnsi="Verdana" w:cs="Times New Roman"/>
              </w:rPr>
              <w:t xml:space="preserve">De esta forma, mediante el artículo 1 de la Resolución 539 de 2025 se adoptó la versión 2 de los documentos tipo para los procesos de obra pública de infraestructura social que se adelanten mediante la modalidad de licitación pública. Por su parte, el artículo 2 señala cuáles son los documentos tipo transversales aplicables a los proyectos de infraestructura social en la modalidad de selección indicada. Estos son: </w:t>
            </w:r>
            <w:r w:rsidRPr="002B6B2A">
              <w:rPr>
                <w:rFonts w:ascii="Verdana" w:eastAsia="Calibri" w:hAnsi="Verdana" w:cs="Times New Roman"/>
                <w:lang w:val="es-ES"/>
              </w:rPr>
              <w:t xml:space="preserve">el documento base, los anexos, los formatos, los formularios y las matrices -la particularidad de cada uno de estos se dispone en el numeral </w:t>
            </w:r>
            <w:proofErr w:type="spellStart"/>
            <w:r w:rsidRPr="002B6B2A">
              <w:rPr>
                <w:rFonts w:ascii="Verdana" w:eastAsia="Calibri" w:hAnsi="Verdana" w:cs="Times New Roman"/>
                <w:lang w:val="es-ES"/>
              </w:rPr>
              <w:t>ii</w:t>
            </w:r>
            <w:proofErr w:type="spellEnd"/>
            <w:r w:rsidRPr="002B6B2A">
              <w:rPr>
                <w:rFonts w:ascii="Verdana" w:eastAsia="Calibri" w:hAnsi="Verdana" w:cs="Times New Roman"/>
                <w:lang w:val="es-ES"/>
              </w:rPr>
              <w:t>. de este concepto-.</w:t>
            </w:r>
          </w:p>
          <w:p w14:paraId="6530E921" w14:textId="77777777" w:rsidR="002B6B2A" w:rsidRPr="002B6B2A" w:rsidRDefault="002B6B2A" w:rsidP="002B6B2A">
            <w:pPr>
              <w:snapToGrid w:val="0"/>
              <w:spacing w:after="120" w:line="276" w:lineRule="auto"/>
              <w:ind w:firstLine="708"/>
              <w:jc w:val="both"/>
              <w:rPr>
                <w:rFonts w:ascii="Verdana" w:eastAsia="Calibri" w:hAnsi="Verdana" w:cs="Times New Roman"/>
                <w:lang w:val="es-ES"/>
              </w:rPr>
            </w:pPr>
            <w:r w:rsidRPr="002B6B2A">
              <w:rPr>
                <w:rFonts w:ascii="Verdana" w:eastAsia="Calibri" w:hAnsi="Verdana" w:cs="Times New Roman"/>
                <w:lang w:val="es-ES"/>
              </w:rPr>
              <w:t>Los documentos tipo complementarios corresponden a la Matriz 1 – Experiencia en cada uno de los sectores señalados, la cual deberá aplicarse de forma conjunta con el documento base, así como con los formatos, anexos y formularios adoptados para los documentos tipo de selección de licitación de obra pública de infraestructura social – versión 2; es decir, los señalados en el artículo 2 de la Resolución 539 de 2025.</w:t>
            </w:r>
          </w:p>
          <w:p w14:paraId="206C9026" w14:textId="77777777" w:rsidR="002B6B2A" w:rsidRPr="002B6B2A" w:rsidRDefault="002B6B2A" w:rsidP="002B6B2A">
            <w:pPr>
              <w:snapToGrid w:val="0"/>
              <w:spacing w:after="120" w:line="276" w:lineRule="auto"/>
              <w:ind w:firstLine="708"/>
              <w:jc w:val="both"/>
              <w:rPr>
                <w:rFonts w:ascii="Verdana" w:eastAsia="Calibri" w:hAnsi="Verdana" w:cs="Times New Roman"/>
                <w:lang w:val="es-ES"/>
              </w:rPr>
            </w:pPr>
            <w:r w:rsidRPr="002B6B2A">
              <w:rPr>
                <w:rFonts w:ascii="Verdana" w:eastAsia="Calibri" w:hAnsi="Verdana" w:cs="Times New Roman"/>
                <w:lang w:val="es-ES"/>
              </w:rPr>
              <w:t xml:space="preserve">En consecuencia, de acuerdo con la estructura de la Resolución 539 de 2025, en materia de infraestructura social debe tenerse en cuenta que existen dos (2) clases de documentos tipo que se integran en cada proceso: i) los documentos transversales a todos los sectores de infraestructura social, esto es, el documento base, los anexos, los formatos, los formularios y las matrices adoptados mediante el capítulo I de la Resolución 539 de 2025; y </w:t>
            </w:r>
            <w:proofErr w:type="spellStart"/>
            <w:r w:rsidRPr="002B6B2A">
              <w:rPr>
                <w:rFonts w:ascii="Verdana" w:eastAsia="Calibri" w:hAnsi="Verdana" w:cs="Times New Roman"/>
                <w:lang w:val="es-ES"/>
              </w:rPr>
              <w:t>ii</w:t>
            </w:r>
            <w:proofErr w:type="spellEnd"/>
            <w:r w:rsidRPr="002B6B2A">
              <w:rPr>
                <w:rFonts w:ascii="Verdana" w:eastAsia="Calibri" w:hAnsi="Verdana" w:cs="Times New Roman"/>
                <w:lang w:val="es-ES"/>
              </w:rPr>
              <w:t>) los documentos tipo complementarios, correspondientes a la matriz de experiencia, los cuales fueron adoptados mediante los capítulos II, III, IV, V y VI de la Resolución 539 de 2025 para cada sector específico.</w:t>
            </w:r>
          </w:p>
          <w:p w14:paraId="7FE2D0A0" w14:textId="77777777" w:rsidR="002B6B2A" w:rsidRPr="002B6B2A" w:rsidRDefault="002B6B2A" w:rsidP="002B6B2A">
            <w:pPr>
              <w:snapToGrid w:val="0"/>
              <w:spacing w:line="276" w:lineRule="auto"/>
              <w:ind w:firstLine="708"/>
              <w:jc w:val="both"/>
              <w:rPr>
                <w:rFonts w:ascii="Verdana" w:eastAsia="Calibri" w:hAnsi="Verdana" w:cs="Times New Roman"/>
                <w:lang w:val="es-ES"/>
              </w:rPr>
            </w:pPr>
            <w:r w:rsidRPr="002B6B2A">
              <w:rPr>
                <w:rFonts w:ascii="Verdana" w:eastAsia="Calibri" w:hAnsi="Verdana" w:cs="Times New Roman"/>
                <w:lang w:val="es-ES"/>
              </w:rPr>
              <w:t xml:space="preserve">Concretamente para responder al segundo problema jurídico de esta solicitud, le indicamos que, la Matriz 1 – Experiencia del Sector Vivienda, deberá ser aplicada de forma conjunta con el documento base, formatos, anexos y formularios adoptados para los documentos tipo de licitación de obra </w:t>
            </w:r>
            <w:r w:rsidRPr="002B6B2A">
              <w:rPr>
                <w:rFonts w:ascii="Verdana" w:eastAsia="Calibri" w:hAnsi="Verdana" w:cs="Times New Roman"/>
                <w:lang w:val="es-ES"/>
              </w:rPr>
              <w:lastRenderedPageBreak/>
              <w:t xml:space="preserve">pública de infraestructura social - versión 2 en el capítulo I de la Resolución 539 de 2025. </w:t>
            </w:r>
          </w:p>
          <w:p w14:paraId="3B6A8DA0" w14:textId="77777777" w:rsidR="002B6B2A" w:rsidRPr="002B6B2A" w:rsidRDefault="002B6B2A" w:rsidP="002B6B2A">
            <w:pPr>
              <w:snapToGrid w:val="0"/>
              <w:spacing w:line="276" w:lineRule="auto"/>
              <w:ind w:firstLine="708"/>
              <w:jc w:val="both"/>
              <w:rPr>
                <w:rFonts w:ascii="Verdana" w:eastAsia="Calibri" w:hAnsi="Verdana" w:cs="Times New Roman"/>
                <w:lang w:val="es-ES"/>
              </w:rPr>
            </w:pPr>
          </w:p>
          <w:p w14:paraId="01C80494" w14:textId="77777777" w:rsidR="002B6B2A" w:rsidRPr="006046CE" w:rsidRDefault="002B6B2A" w:rsidP="002B6B2A">
            <w:pPr>
              <w:spacing w:after="120" w:line="276" w:lineRule="auto"/>
              <w:jc w:val="both"/>
              <w:rPr>
                <w:rFonts w:ascii="Verdana" w:eastAsia="Aptos" w:hAnsi="Verdana" w:cs="Aptos"/>
                <w:lang w:val="es-ES"/>
              </w:rPr>
            </w:pPr>
            <w:proofErr w:type="spellStart"/>
            <w:r w:rsidRPr="002B6B2A">
              <w:rPr>
                <w:rFonts w:ascii="Verdana" w:eastAsia="Aptos" w:hAnsi="Verdana" w:cs="Aptos"/>
                <w:lang w:val="es-ES"/>
              </w:rPr>
              <w:t>iii</w:t>
            </w:r>
            <w:proofErr w:type="spellEnd"/>
            <w:r w:rsidRPr="002B6B2A">
              <w:rPr>
                <w:rFonts w:ascii="Verdana" w:eastAsia="Aptos" w:hAnsi="Verdana" w:cs="Aptos"/>
                <w:lang w:val="es-ES"/>
              </w:rPr>
              <w:t>. La Matriz 1 – Experiencia Sector Social, e</w:t>
            </w:r>
            <w:r w:rsidRPr="002B6B2A">
              <w:rPr>
                <w:rFonts w:ascii="Verdana" w:eastAsia="Calibri" w:hAnsi="Verdana" w:cs="Times New Roman"/>
                <w:lang w:val="es-ES"/>
              </w:rPr>
              <w:t xml:space="preserve">n el capítulo uno (1) obras en </w:t>
            </w:r>
            <w:r w:rsidRPr="006046CE">
              <w:rPr>
                <w:rFonts w:ascii="Verdana" w:eastAsia="Aptos" w:hAnsi="Verdana" w:cs="Aptos"/>
                <w:lang w:val="es-ES"/>
              </w:rPr>
              <w:t xml:space="preserve">proyectos de vivienda(s) urbana(s), incluye la actividad 1.3 que aplica para proyectos de demolición y/o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de cerramiento, todos estos sobre vivienda(s) urbana(s). </w:t>
            </w:r>
          </w:p>
          <w:p w14:paraId="71643FE2" w14:textId="77777777" w:rsidR="002B6B2A" w:rsidRPr="006046CE" w:rsidRDefault="002B6B2A" w:rsidP="002B6B2A">
            <w:pPr>
              <w:spacing w:after="120" w:line="276" w:lineRule="auto"/>
              <w:jc w:val="both"/>
              <w:rPr>
                <w:rFonts w:ascii="Verdana" w:eastAsia="Aptos" w:hAnsi="Verdana" w:cs="Aptos"/>
                <w:lang w:val="es-ES"/>
              </w:rPr>
            </w:pPr>
            <w:r w:rsidRPr="006046CE">
              <w:rPr>
                <w:rFonts w:ascii="Verdana" w:eastAsia="Aptos" w:hAnsi="Verdana" w:cs="Aptos"/>
                <w:lang w:val="es-ES"/>
              </w:rPr>
              <w:tab/>
              <w:t xml:space="preserve">Ahora bien, debe indicarse que la actividad señalada, utiliza la conjunción disyuntiva (y/o) que indica que una o más opciones de las actividades mencionadas puede ocurrir. En este sentido, se emplea para la actividad 1.3 para señalar que existe posibilidad de elegir entre la suma (y) o la alternativa entre dos opciones (o). Por ejemplo, la actividad recae sobre proyectos que involucren solamente actividades de demolición sobre vivienda(s) urbana(s), o para actividades que contengan demolición y cerramientos sobre vivienda(s) urbana(s). </w:t>
            </w:r>
          </w:p>
          <w:p w14:paraId="2DF3C20F" w14:textId="77777777" w:rsidR="002B6B2A" w:rsidRPr="006046CE" w:rsidRDefault="002B6B2A" w:rsidP="002B6B2A">
            <w:pPr>
              <w:spacing w:after="120" w:line="276" w:lineRule="auto"/>
              <w:ind w:firstLine="708"/>
              <w:jc w:val="both"/>
              <w:rPr>
                <w:rFonts w:ascii="Verdana" w:eastAsia="Aptos" w:hAnsi="Verdana" w:cs="Aptos"/>
                <w:lang w:val="es-ES"/>
              </w:rPr>
            </w:pPr>
            <w:r w:rsidRPr="006046CE">
              <w:rPr>
                <w:rFonts w:ascii="Verdana" w:eastAsia="Aptos" w:hAnsi="Verdana" w:cs="Aptos"/>
                <w:lang w:val="es-ES"/>
              </w:rPr>
              <w:t>De acuerdo con lo señalado, la actividad 1.3 contenida en la Matriz 1 – Experiencia del sector vivienda indica los diferentes tipos de intervenciones que pueden presentarse. Por ejemplo, comprende actividades relacionadas con “proyectos de demolición y/o (…) cerramiento de vivienda(s) urbana(s)”.</w:t>
            </w:r>
          </w:p>
          <w:p w14:paraId="7B6874B7" w14:textId="77777777" w:rsidR="002B6B2A" w:rsidRPr="006046CE" w:rsidRDefault="002B6B2A" w:rsidP="002B6B2A">
            <w:pPr>
              <w:spacing w:after="120" w:line="276" w:lineRule="auto"/>
              <w:ind w:firstLine="708"/>
              <w:jc w:val="both"/>
              <w:rPr>
                <w:rFonts w:ascii="Verdana" w:eastAsia="Aptos" w:hAnsi="Verdana" w:cs="Aptos"/>
                <w:lang w:val="es-ES"/>
              </w:rPr>
            </w:pPr>
            <w:r w:rsidRPr="006046CE">
              <w:rPr>
                <w:rFonts w:ascii="Verdana" w:eastAsia="Aptos" w:hAnsi="Verdana" w:cs="Aptos"/>
                <w:lang w:val="es-ES"/>
              </w:rPr>
              <w:t xml:space="preserve">Lo anterior evidencia que la actividad de “demolición” puede desarrollarse de manera autónoma. En este supuesto, la propia matriz de experiencia específica contempla que uno de los contratos exigidos dentro de la experiencia general debe incluir actividades de “demolición total o parcial de edificaciones y sus elementos estructurales”. </w:t>
            </w:r>
          </w:p>
          <w:p w14:paraId="71528451" w14:textId="77777777" w:rsidR="002B6B2A" w:rsidRPr="006046CE" w:rsidRDefault="002B6B2A" w:rsidP="002B6B2A">
            <w:pPr>
              <w:spacing w:after="120" w:line="276" w:lineRule="auto"/>
              <w:ind w:firstLine="708"/>
              <w:jc w:val="both"/>
              <w:rPr>
                <w:rFonts w:ascii="Verdana" w:eastAsia="Aptos" w:hAnsi="Verdana" w:cs="Aptos"/>
                <w:lang w:val="es-ES"/>
              </w:rPr>
            </w:pPr>
            <w:r w:rsidRPr="006046CE">
              <w:rPr>
                <w:rFonts w:ascii="Verdana" w:eastAsia="Aptos" w:hAnsi="Verdana" w:cs="Aptos"/>
                <w:lang w:val="es-ES"/>
              </w:rPr>
              <w:t xml:space="preserve">Para efectos de la aplicación de las actividades señaladas al objeto del proceso de selección que pretende adelantar la entidad, le corresponde a esta definir si la intervención que se pretende realizar sobre la(s) vivienda(s) se limita exclusivamente al cerramiento y/o a la demolición, o si puede enmarcarse en otras actividades contempladas en la Matriz 1 – Experiencia del sector vivienda. Sobre estas, la entidad podrá, de estimarlo pertinente, combinar la experiencia, de acuerdo con lo dispuesto en el numeral 3.5.1 del </w:t>
            </w:r>
            <w:r w:rsidRPr="006046CE">
              <w:rPr>
                <w:rFonts w:ascii="Verdana" w:eastAsia="Aptos" w:hAnsi="Verdana" w:cs="Aptos"/>
                <w:lang w:val="es-ES"/>
              </w:rPr>
              <w:lastRenderedPageBreak/>
              <w:t>documento base de los documentos tipo de licitación de obra pública de infraestructura social – versión 2.</w:t>
            </w:r>
          </w:p>
          <w:p w14:paraId="05AB1097" w14:textId="77777777" w:rsidR="002B6B2A" w:rsidRPr="006046CE" w:rsidRDefault="002B6B2A" w:rsidP="002B6B2A">
            <w:pPr>
              <w:spacing w:line="276" w:lineRule="auto"/>
              <w:ind w:firstLine="708"/>
              <w:jc w:val="both"/>
              <w:rPr>
                <w:rFonts w:ascii="Verdana" w:eastAsia="Aptos" w:hAnsi="Verdana" w:cs="Aptos"/>
                <w:lang w:val="es-ES"/>
              </w:rPr>
            </w:pPr>
            <w:r w:rsidRPr="006046CE">
              <w:rPr>
                <w:rFonts w:ascii="Verdana" w:eastAsia="Aptos" w:hAnsi="Verdana" w:cs="Aptos"/>
                <w:lang w:val="es-ES"/>
              </w:rPr>
              <w:t xml:space="preserve">Asimismo, le indicamos que para efectos de determinar el alcance de la actividad de “demolición” contenida en la Matriz 1 – Experiencia Sector Vivienda, debe tenerse en cuenta que, el numeral 1.10 del documento base dispone que “[p]ara los fines de este Pliego de Condiciones, a menos que expresamente se estipule de otra manera, los términos deben entenderse de acuerdo con la definición contenida en el artículo 2.2.1.1.1.3.1 del Decreto 1082 de 2015, el glosario aplicable a la obra pública de infraestructura social y demás normas, decretos reglamentarios y legislación aplicable en la materia”. Así, para determinar el alcance de dicha actividad, el numeral 2.67 del Anexo 5 – Glosario, la define en los siguientes términos: “Demolición: (…) derribar total o parcialmente una o varias edificaciones existentes en uno o varios predios (…)”.  </w:t>
            </w:r>
          </w:p>
          <w:p w14:paraId="0EA81965" w14:textId="77777777" w:rsidR="002B6B2A" w:rsidRPr="006046CE" w:rsidRDefault="002B6B2A" w:rsidP="002B6B2A">
            <w:pPr>
              <w:spacing w:line="276" w:lineRule="auto"/>
              <w:ind w:firstLine="708"/>
              <w:jc w:val="both"/>
              <w:rPr>
                <w:rFonts w:ascii="Verdana" w:eastAsia="Aptos" w:hAnsi="Verdana" w:cs="Aptos"/>
                <w:lang w:val="es-ES"/>
              </w:rPr>
            </w:pPr>
          </w:p>
          <w:p w14:paraId="61E2F56E" w14:textId="77777777" w:rsidR="002B6B2A" w:rsidRPr="006046CE" w:rsidRDefault="002B6B2A" w:rsidP="002B6B2A">
            <w:pPr>
              <w:spacing w:after="120" w:line="276" w:lineRule="auto"/>
              <w:jc w:val="both"/>
              <w:rPr>
                <w:rFonts w:ascii="Verdana" w:eastAsia="Aptos" w:hAnsi="Verdana" w:cs="Aptos"/>
                <w:lang w:val="es-ES"/>
              </w:rPr>
            </w:pPr>
            <w:proofErr w:type="spellStart"/>
            <w:r w:rsidRPr="006046CE">
              <w:rPr>
                <w:rFonts w:ascii="Verdana" w:eastAsia="Aptos" w:hAnsi="Verdana" w:cs="Aptos"/>
                <w:lang w:val="es-ES"/>
              </w:rPr>
              <w:t>iv</w:t>
            </w:r>
            <w:proofErr w:type="spellEnd"/>
            <w:r w:rsidRPr="006046CE">
              <w:rPr>
                <w:rFonts w:ascii="Verdana" w:eastAsia="Aptos" w:hAnsi="Verdana" w:cs="Aptos"/>
                <w:lang w:val="es-ES"/>
              </w:rPr>
              <w:t xml:space="preserve">. En caso de requerirse solo la demolición, la experiencia específica contenida para la actividad 1.3 en la Matriz 1 – Experiencia Sector Vivienda, señala que la entidad debe indicar los metros cuadrados del área de la edificación sobre la cual va a realizar esta actividad. En este caso, podría por ejemplo determinar el área a partir de una relación geométrica entre volumen y altura promedio de la edificación o elemento a demoler; sin embargo, es a la entidad a quien le corresponde hacer estos análisis a partir de la información técnica que pude estar relacionada con la tipología de la estructura a demoler, características de los elementos a demoler y/o superficie construida de la estructura, entre otros. </w:t>
            </w:r>
          </w:p>
          <w:p w14:paraId="5AEE7093" w14:textId="77777777" w:rsidR="002B6B2A" w:rsidRPr="006046CE" w:rsidRDefault="002B6B2A" w:rsidP="002B6B2A">
            <w:pPr>
              <w:spacing w:line="276" w:lineRule="auto"/>
              <w:jc w:val="both"/>
              <w:rPr>
                <w:rFonts w:ascii="Verdana" w:eastAsia="Aptos" w:hAnsi="Verdana" w:cs="Aptos"/>
                <w:lang w:val="es-ES"/>
              </w:rPr>
            </w:pPr>
          </w:p>
          <w:p w14:paraId="08619BA9" w14:textId="77777777" w:rsidR="002B6B2A" w:rsidRPr="002B6B2A" w:rsidRDefault="002B6B2A" w:rsidP="002B6B2A">
            <w:pPr>
              <w:snapToGrid w:val="0"/>
              <w:spacing w:after="120" w:line="276" w:lineRule="auto"/>
              <w:jc w:val="both"/>
              <w:rPr>
                <w:rFonts w:ascii="Verdana" w:eastAsia="Times New Roman" w:hAnsi="Verdana" w:cs="Arial"/>
                <w:sz w:val="24"/>
                <w:szCs w:val="24"/>
                <w:shd w:val="clear" w:color="auto" w:fill="FFFFFF"/>
                <w:lang w:val="es-ES_tradnl" w:eastAsia="es-ES_tradnl"/>
              </w:rPr>
            </w:pPr>
            <w:r w:rsidRPr="006046CE">
              <w:rPr>
                <w:rFonts w:ascii="Verdana" w:eastAsia="Aptos" w:hAnsi="Verdana" w:cs="Aptos"/>
                <w:lang w:val="es-ES"/>
              </w:rPr>
              <w:t>Sin perjuicio de las aclaraciones anteriores, debe advertirse que es la entidad contratante, al momento de adelantar sus actividades de planeación de cada proceso contractual, quien debe determinar si de acuerdo con las particularidades del contrato a ejecutar, este encaja o no dentro de alguna de las actividades de la matriz 1 de cada documento tipo, y si en consecuencia deben aplicarse o no determinados documentos tipo, conforme a los parámetros indicados en este concepto. Lo anterior sin que pueda apartarse de su aplicación cuando materialmente el objeto a contratar corresponde con alguna actividad de contemplada en dicha matriz</w:t>
            </w:r>
            <w:r w:rsidRPr="002B6B2A">
              <w:rPr>
                <w:rFonts w:ascii="Verdana" w:eastAsia="Aptos" w:hAnsi="Verdana" w:cs="Aptos"/>
                <w:kern w:val="2"/>
                <w14:ligatures w14:val="standardContextual"/>
              </w:rPr>
              <w:t>.</w:t>
            </w:r>
            <w:r w:rsidRPr="002B6B2A">
              <w:rPr>
                <w:rFonts w:ascii="Verdana" w:eastAsia="Times New Roman" w:hAnsi="Verdana" w:cs="Arial"/>
                <w:kern w:val="2"/>
                <w:shd w:val="clear" w:color="auto" w:fill="FFFFFF"/>
                <w:lang w:val="es-ES_tradnl" w:eastAsia="es-ES_tradnl"/>
                <w14:ligatures w14:val="standardContextual"/>
              </w:rPr>
              <w:t xml:space="preserve"> </w:t>
            </w:r>
          </w:p>
        </w:tc>
      </w:tr>
    </w:tbl>
    <w:p w14:paraId="6627DB5B" w14:textId="77777777" w:rsidR="002B6B2A" w:rsidRPr="002B6B2A" w:rsidRDefault="002B6B2A" w:rsidP="002B6B2A">
      <w:pPr>
        <w:tabs>
          <w:tab w:val="left" w:pos="142"/>
          <w:tab w:val="left" w:pos="284"/>
        </w:tabs>
        <w:spacing w:after="0" w:line="276" w:lineRule="auto"/>
        <w:jc w:val="both"/>
        <w:rPr>
          <w:rFonts w:ascii="Verdana" w:eastAsia="Century Gothic" w:hAnsi="Verdana" w:cs="Century Gothic"/>
          <w:b/>
          <w:bCs/>
          <w:lang w:val="es-ES"/>
        </w:rPr>
      </w:pPr>
    </w:p>
    <w:p w14:paraId="22170DFF" w14:textId="77777777" w:rsidR="002B6B2A" w:rsidRPr="002B6B2A" w:rsidRDefault="002B6B2A" w:rsidP="002B6B2A">
      <w:pPr>
        <w:tabs>
          <w:tab w:val="left" w:pos="142"/>
          <w:tab w:val="left" w:pos="284"/>
        </w:tabs>
        <w:spacing w:after="0" w:line="276" w:lineRule="auto"/>
        <w:jc w:val="both"/>
        <w:rPr>
          <w:rFonts w:ascii="Verdana" w:eastAsia="Century Gothic" w:hAnsi="Verdana" w:cs="Century Gothic"/>
          <w:b/>
          <w:bCs/>
          <w:lang w:val="es-ES"/>
        </w:rPr>
      </w:pPr>
      <w:r w:rsidRPr="002B6B2A">
        <w:rPr>
          <w:rFonts w:ascii="Verdana" w:eastAsia="Century Gothic" w:hAnsi="Verdana" w:cs="Century Gothic"/>
          <w:b/>
          <w:bCs/>
          <w:lang w:val="es-ES"/>
        </w:rPr>
        <w:t>3. Razones de la respuesta:</w:t>
      </w:r>
    </w:p>
    <w:p w14:paraId="6980C49A" w14:textId="77777777" w:rsidR="002B6B2A" w:rsidRPr="002B6B2A" w:rsidRDefault="002B6B2A" w:rsidP="002B6B2A">
      <w:pPr>
        <w:spacing w:after="0" w:line="276" w:lineRule="auto"/>
        <w:jc w:val="both"/>
        <w:rPr>
          <w:rFonts w:ascii="Verdana" w:eastAsia="Calibri" w:hAnsi="Verdana" w:cs="Arial"/>
          <w:lang w:val="es-ES"/>
        </w:rPr>
      </w:pPr>
    </w:p>
    <w:p w14:paraId="0C034767" w14:textId="77777777" w:rsidR="002B6B2A" w:rsidRPr="002B6B2A" w:rsidRDefault="002B6B2A" w:rsidP="002B6B2A">
      <w:pPr>
        <w:spacing w:after="0" w:line="276" w:lineRule="auto"/>
        <w:jc w:val="both"/>
        <w:rPr>
          <w:rFonts w:ascii="Verdana" w:eastAsia="Calibri" w:hAnsi="Verdana" w:cs="Arial"/>
          <w:lang w:val="es-ES"/>
        </w:rPr>
      </w:pPr>
      <w:r w:rsidRPr="002B6B2A">
        <w:rPr>
          <w:rFonts w:ascii="Verdana" w:eastAsia="Calibri" w:hAnsi="Verdana" w:cs="Arial"/>
          <w:lang w:val="es-ES"/>
        </w:rPr>
        <w:t xml:space="preserve">Lo anterior se sustenta en las siguientes consideraciones: </w:t>
      </w:r>
    </w:p>
    <w:p w14:paraId="74D6ECC4" w14:textId="77777777" w:rsidR="002B6B2A" w:rsidRPr="002B6B2A" w:rsidRDefault="002B6B2A" w:rsidP="002B6B2A">
      <w:pPr>
        <w:spacing w:after="0" w:line="276" w:lineRule="auto"/>
        <w:jc w:val="both"/>
        <w:rPr>
          <w:rFonts w:ascii="Verdana" w:eastAsia="Calibri" w:hAnsi="Verdana" w:cs="Arial"/>
          <w:lang w:val="es-ES"/>
        </w:rPr>
      </w:pPr>
    </w:p>
    <w:p w14:paraId="74461DCD" w14:textId="77777777" w:rsidR="002B6B2A" w:rsidRPr="002B6B2A" w:rsidRDefault="002B6B2A" w:rsidP="002B6B2A">
      <w:pPr>
        <w:spacing w:after="120" w:line="276" w:lineRule="auto"/>
        <w:jc w:val="both"/>
        <w:rPr>
          <w:rFonts w:ascii="Verdana" w:eastAsia="Aptos" w:hAnsi="Verdana" w:cs="Arial"/>
        </w:rPr>
      </w:pPr>
      <w:r w:rsidRPr="002B6B2A">
        <w:rPr>
          <w:rFonts w:ascii="Verdana" w:eastAsia="Aptos" w:hAnsi="Verdana" w:cs="Arial"/>
        </w:rPr>
        <w:t>i. 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40F23264" w14:textId="77777777" w:rsidR="002B6B2A" w:rsidRPr="002B6B2A" w:rsidRDefault="002B6B2A" w:rsidP="002B6B2A">
      <w:pPr>
        <w:spacing w:after="120" w:line="276" w:lineRule="auto"/>
        <w:ind w:firstLine="708"/>
        <w:jc w:val="both"/>
        <w:rPr>
          <w:rFonts w:ascii="Verdana" w:eastAsia="Aptos" w:hAnsi="Verdana" w:cs="Arial"/>
          <w:lang w:val="es-ES"/>
        </w:rPr>
      </w:pPr>
      <w:r w:rsidRPr="002B6B2A">
        <w:rPr>
          <w:rFonts w:ascii="Verdana" w:eastAsia="Aptos" w:hAnsi="Verdana" w:cs="Arial"/>
          <w:lang w:val="es-ES"/>
        </w:rPr>
        <w:t>Con sustento en esta competencia, esta Agencia expidió diversos grupos de Documentos Tipo aplicables principalmente a la contratación de obras públicas de infraestructura de transporte, de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2683F5FB" w14:textId="77777777" w:rsidR="002B6B2A" w:rsidRPr="002B6B2A" w:rsidRDefault="002B6B2A" w:rsidP="002B6B2A">
      <w:pPr>
        <w:spacing w:after="120" w:line="276" w:lineRule="auto"/>
        <w:ind w:firstLine="708"/>
        <w:jc w:val="both"/>
        <w:rPr>
          <w:rFonts w:ascii="Verdana" w:eastAsia="Times New Roman" w:hAnsi="Verdana" w:cs="Times New Roman"/>
          <w:color w:val="000000"/>
          <w:lang w:eastAsia="es-CO"/>
        </w:rPr>
      </w:pPr>
      <w:r w:rsidRPr="002B6B2A">
        <w:rPr>
          <w:rFonts w:ascii="Verdana" w:eastAsia="Aptos" w:hAnsi="Verdana" w:cs="Arial"/>
        </w:rPr>
        <w:t xml:space="preserve">En el sector social, </w:t>
      </w:r>
      <w:r w:rsidRPr="002B6B2A">
        <w:rPr>
          <w:rFonts w:ascii="Verdana" w:eastAsia="Calibri" w:hAnsi="Verdana" w:cs="Arial"/>
          <w:lang w:val="es-MX"/>
        </w:rPr>
        <w:t xml:space="preserve">la Agencia Nacional de Contratación Pública – Colombia Compra </w:t>
      </w:r>
      <w:r w:rsidRPr="002B6B2A">
        <w:rPr>
          <w:rFonts w:ascii="Verdana" w:eastAsia="Calibri" w:hAnsi="Verdana" w:cs="Arial"/>
        </w:rPr>
        <w:t xml:space="preserve">Eficiente </w:t>
      </w:r>
      <w:r w:rsidRPr="002B6B2A">
        <w:rPr>
          <w:rFonts w:ascii="Verdana" w:eastAsia="Times New Roman" w:hAnsi="Verdana" w:cs="Times New Roman"/>
          <w:color w:val="000000"/>
          <w:lang w:eastAsia="es-CO"/>
        </w:rPr>
        <w:t>en el segundo semestre del año 2025 adoptó las siguientes Resoluciones para contratar obra pública y concurso de méritos:</w:t>
      </w:r>
    </w:p>
    <w:p w14:paraId="2F8054E2" w14:textId="77777777" w:rsidR="002B6B2A" w:rsidRPr="002B6B2A" w:rsidRDefault="002B6B2A" w:rsidP="002B6B2A">
      <w:pPr>
        <w:spacing w:after="120" w:line="276" w:lineRule="auto"/>
        <w:ind w:firstLine="708"/>
        <w:jc w:val="both"/>
        <w:rPr>
          <w:rFonts w:ascii="Verdana" w:eastAsia="Times New Roman" w:hAnsi="Verdana" w:cs="Times New Roman"/>
          <w:color w:val="000000"/>
          <w:lang w:eastAsia="es-CO"/>
        </w:rPr>
      </w:pPr>
      <w:r w:rsidRPr="002B6B2A">
        <w:rPr>
          <w:rFonts w:ascii="Verdana" w:eastAsia="Times New Roman" w:hAnsi="Verdana" w:cs="Times New Roman"/>
          <w:color w:val="000000"/>
          <w:lang w:eastAsia="es-CO"/>
        </w:rPr>
        <w:t>i) Resolución 539 del 21 de agosto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p>
    <w:p w14:paraId="69452C81" w14:textId="77777777" w:rsidR="002B6B2A" w:rsidRPr="002B6B2A" w:rsidRDefault="002B6B2A" w:rsidP="002B6B2A">
      <w:pPr>
        <w:spacing w:after="120" w:line="276" w:lineRule="auto"/>
        <w:ind w:firstLine="708"/>
        <w:jc w:val="both"/>
        <w:rPr>
          <w:rFonts w:ascii="Verdana" w:eastAsia="Times New Roman" w:hAnsi="Verdana" w:cs="Times New Roman"/>
          <w:color w:val="000000"/>
          <w:lang w:eastAsia="es-CO"/>
        </w:rPr>
      </w:pPr>
      <w:r w:rsidRPr="002B6B2A">
        <w:rPr>
          <w:rFonts w:ascii="Verdana" w:eastAsia="Times New Roman" w:hAnsi="Verdana" w:cs="Times New Roman"/>
          <w:color w:val="000000"/>
          <w:lang w:eastAsia="es-CO"/>
        </w:rPr>
        <w:t xml:space="preserve"> </w:t>
      </w:r>
      <w:proofErr w:type="spellStart"/>
      <w:r w:rsidRPr="002B6B2A">
        <w:rPr>
          <w:rFonts w:ascii="Verdana" w:eastAsia="Times New Roman" w:hAnsi="Verdana" w:cs="Times New Roman"/>
          <w:color w:val="000000"/>
          <w:lang w:eastAsia="es-CO"/>
        </w:rPr>
        <w:t>ii</w:t>
      </w:r>
      <w:proofErr w:type="spellEnd"/>
      <w:r w:rsidRPr="002B6B2A">
        <w:rPr>
          <w:rFonts w:ascii="Verdana" w:eastAsia="Times New Roman" w:hAnsi="Verdana" w:cs="Times New Roman"/>
          <w:color w:val="000000"/>
          <w:lang w:eastAsia="es-CO"/>
        </w:rPr>
        <w:t xml:space="preserve">) Resolución 540 del 21 de agosto de 2025 "Por la cual se adoptan los documentos tipo para los procesos de selección abreviada de menor cuantía de </w:t>
      </w:r>
      <w:r w:rsidRPr="002B6B2A">
        <w:rPr>
          <w:rFonts w:ascii="Verdana" w:eastAsia="Times New Roman" w:hAnsi="Verdana" w:cs="Times New Roman"/>
          <w:color w:val="000000"/>
          <w:lang w:eastAsia="es-CO"/>
        </w:rPr>
        <w:lastRenderedPageBreak/>
        <w:t>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w:t>
      </w:r>
    </w:p>
    <w:p w14:paraId="1DC938DE" w14:textId="77777777" w:rsidR="002B6B2A" w:rsidRPr="002B6B2A" w:rsidRDefault="002B6B2A" w:rsidP="002B6B2A">
      <w:pPr>
        <w:spacing w:after="120" w:line="276" w:lineRule="auto"/>
        <w:ind w:firstLine="708"/>
        <w:jc w:val="both"/>
        <w:rPr>
          <w:rFonts w:ascii="Verdana" w:eastAsia="Times New Roman" w:hAnsi="Verdana" w:cs="Times New Roman"/>
          <w:color w:val="000000"/>
          <w:lang w:eastAsia="es-CO"/>
        </w:rPr>
      </w:pPr>
      <w:proofErr w:type="spellStart"/>
      <w:r w:rsidRPr="002B6B2A">
        <w:rPr>
          <w:rFonts w:ascii="Verdana" w:eastAsia="Times New Roman" w:hAnsi="Verdana" w:cs="Times New Roman"/>
          <w:color w:val="000000"/>
          <w:lang w:eastAsia="es-CO"/>
        </w:rPr>
        <w:t>iii</w:t>
      </w:r>
      <w:proofErr w:type="spellEnd"/>
      <w:r w:rsidRPr="002B6B2A">
        <w:rPr>
          <w:rFonts w:ascii="Verdana" w:eastAsia="Times New Roman" w:hAnsi="Verdana" w:cs="Times New Roman"/>
          <w:color w:val="000000"/>
          <w:lang w:eastAsia="es-CO"/>
        </w:rPr>
        <w:t xml:space="preserve">) Resolución 541 del 21 de agosto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w:t>
      </w:r>
    </w:p>
    <w:p w14:paraId="4B97549F" w14:textId="77777777" w:rsidR="002B6B2A" w:rsidRPr="002B6B2A" w:rsidRDefault="002B6B2A" w:rsidP="002B6B2A">
      <w:pPr>
        <w:spacing w:after="120" w:line="276" w:lineRule="auto"/>
        <w:ind w:firstLine="708"/>
        <w:jc w:val="both"/>
        <w:rPr>
          <w:rFonts w:ascii="Verdana" w:eastAsia="Times New Roman" w:hAnsi="Verdana" w:cs="Times New Roman"/>
          <w:color w:val="000000"/>
          <w:lang w:eastAsia="es-CO"/>
        </w:rPr>
      </w:pPr>
      <w:proofErr w:type="spellStart"/>
      <w:r w:rsidRPr="002B6B2A">
        <w:rPr>
          <w:rFonts w:ascii="Verdana" w:eastAsia="Times New Roman" w:hAnsi="Verdana" w:cs="Times New Roman"/>
          <w:color w:val="000000"/>
          <w:lang w:eastAsia="es-CO"/>
        </w:rPr>
        <w:t>iv</w:t>
      </w:r>
      <w:proofErr w:type="spellEnd"/>
      <w:r w:rsidRPr="002B6B2A">
        <w:rPr>
          <w:rFonts w:ascii="Verdana" w:eastAsia="Times New Roman" w:hAnsi="Verdana" w:cs="Times New Roman"/>
          <w:color w:val="000000"/>
          <w:lang w:eastAsia="es-CO"/>
        </w:rPr>
        <w:t>) Resolución 952 del 15 de diciembre de 2025 “Por la cual se adoptan los documentos tipo para los procesos de selección de concurso de méritos, para contratar la consultoría de estudios de ingeniería de infraestructura social; que agrupa los sectores de educación, salud, cultura, recreación y deporte, institucional y vivienda”.</w:t>
      </w:r>
    </w:p>
    <w:p w14:paraId="0796258B" w14:textId="77777777" w:rsidR="002B6B2A" w:rsidRPr="002B6B2A" w:rsidRDefault="002B6B2A" w:rsidP="002B6B2A">
      <w:pPr>
        <w:spacing w:after="120" w:line="276" w:lineRule="auto"/>
        <w:ind w:firstLine="708"/>
        <w:jc w:val="both"/>
        <w:rPr>
          <w:rFonts w:ascii="Verdana" w:eastAsia="Times New Roman" w:hAnsi="Verdana" w:cs="Times New Roman"/>
          <w:color w:val="000000"/>
          <w:lang w:eastAsia="es-CO"/>
        </w:rPr>
      </w:pPr>
      <w:r w:rsidRPr="002B6B2A">
        <w:rPr>
          <w:rFonts w:ascii="Verdana" w:eastAsia="Times New Roman" w:hAnsi="Verdana" w:cs="Times New Roman"/>
          <w:color w:val="000000"/>
          <w:lang w:eastAsia="es-CO"/>
        </w:rPr>
        <w:t>v) 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relacionados con el sector educación, salud, cultura, recreación y deporte, institucional y vivienda y se deroga la Resolución 798 del 29 de diciembre de 2023".</w:t>
      </w:r>
      <w:r w:rsidRPr="002B6B2A">
        <w:rPr>
          <w:rFonts w:ascii="Verdana" w:eastAsia="Aptos" w:hAnsi="Verdana" w:cs="Times New Roman"/>
          <w:kern w:val="2"/>
          <w14:ligatures w14:val="standardContextual"/>
        </w:rPr>
        <w:t xml:space="preserve"> </w:t>
      </w:r>
    </w:p>
    <w:p w14:paraId="262AE771" w14:textId="77777777" w:rsidR="002B6B2A" w:rsidRPr="002B6B2A" w:rsidRDefault="002B6B2A" w:rsidP="002B6B2A">
      <w:pPr>
        <w:spacing w:after="120" w:line="276" w:lineRule="auto"/>
        <w:ind w:firstLine="708"/>
        <w:jc w:val="both"/>
        <w:textAlignment w:val="baseline"/>
        <w:rPr>
          <w:rFonts w:ascii="Verdana" w:eastAsia="Calibri" w:hAnsi="Verdana" w:cs="Arial"/>
        </w:rPr>
      </w:pPr>
      <w:r w:rsidRPr="002B6B2A">
        <w:rPr>
          <w:rFonts w:ascii="Verdana" w:eastAsia="Aptos" w:hAnsi="Verdana" w:cs="Times New Roman"/>
          <w:kern w:val="2"/>
          <w14:ligatures w14:val="standardContextual"/>
        </w:rPr>
        <w:t>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salud, cultura, recreación y deporte, institucional y vivienda, en los procesos de selección cuyo aviso de convocatoria se publique a partir del 16 de febrero de 2026</w:t>
      </w:r>
      <w:r w:rsidRPr="002B6B2A">
        <w:rPr>
          <w:rFonts w:ascii="Verdana" w:eastAsia="Calibri" w:hAnsi="Verdana" w:cs="Arial"/>
          <w:vertAlign w:val="superscript"/>
        </w:rPr>
        <w:footnoteReference w:id="1"/>
      </w:r>
      <w:r w:rsidRPr="002B6B2A">
        <w:rPr>
          <w:rFonts w:ascii="Verdana" w:eastAsia="Calibri" w:hAnsi="Verdana" w:cs="Arial"/>
        </w:rPr>
        <w:t>.</w:t>
      </w:r>
    </w:p>
    <w:p w14:paraId="56FD9864" w14:textId="77777777" w:rsidR="002B6B2A" w:rsidRPr="002B6B2A" w:rsidRDefault="002B6B2A" w:rsidP="002B6B2A">
      <w:pPr>
        <w:widowControl w:val="0"/>
        <w:autoSpaceDE w:val="0"/>
        <w:autoSpaceDN w:val="0"/>
        <w:spacing w:after="120" w:line="276" w:lineRule="auto"/>
        <w:ind w:firstLine="708"/>
        <w:jc w:val="both"/>
        <w:rPr>
          <w:rFonts w:ascii="Verdana" w:eastAsia="Calibri" w:hAnsi="Verdana" w:cs="Arial"/>
          <w:kern w:val="2"/>
          <w14:ligatures w14:val="standardContextual"/>
        </w:rPr>
      </w:pPr>
      <w:r w:rsidRPr="002B6B2A">
        <w:rPr>
          <w:rFonts w:ascii="Verdana" w:eastAsia="Calibri" w:hAnsi="Verdana" w:cs="Arial"/>
          <w:kern w:val="2"/>
          <w14:ligatures w14:val="standardContextual"/>
        </w:rPr>
        <w:lastRenderedPageBreak/>
        <w:t>De acuerdo con el artículo tercero de las Resoluciones 539, 540 y 541 del 21 de agosto de 2025, los Documentos Tipo que estas adoptan son de carácter obligatorio en la actividad contractual de las Entidades Estatales sometidas al Estatuto General de Contratación de la Administración Pública. Asimismo, su aplicación es exigible a los patrimonios autónomos y a las personas naturales o jurídicas de derecho público que, por mandato legal, estén obligadas a su implementación.</w:t>
      </w:r>
    </w:p>
    <w:p w14:paraId="59CC12F6" w14:textId="77777777" w:rsidR="002B6B2A" w:rsidRPr="002B6B2A" w:rsidRDefault="002B6B2A" w:rsidP="002B6B2A">
      <w:pPr>
        <w:widowControl w:val="0"/>
        <w:autoSpaceDE w:val="0"/>
        <w:autoSpaceDN w:val="0"/>
        <w:spacing w:after="120" w:line="276" w:lineRule="auto"/>
        <w:ind w:firstLine="708"/>
        <w:jc w:val="both"/>
        <w:rPr>
          <w:rFonts w:ascii="Verdana" w:eastAsia="Calibri" w:hAnsi="Verdana" w:cs="Arial"/>
          <w:kern w:val="2"/>
          <w14:ligatures w14:val="standardContextual"/>
        </w:rPr>
      </w:pPr>
      <w:r w:rsidRPr="002B6B2A">
        <w:rPr>
          <w:rFonts w:ascii="Verdana" w:eastAsia="Calibri" w:hAnsi="Verdana" w:cs="Arial"/>
          <w:kern w:val="2"/>
          <w14:ligatures w14:val="standardContextual"/>
        </w:rPr>
        <w:t xml:space="preserve">En consecuencia, los obligados a su aplicación, al adelantar sus procedimientos de selección, solo podrán modificarlos en los aspectos que los Documentos Tipo lo permitan. </w:t>
      </w:r>
      <w:r w:rsidRPr="002B6B2A">
        <w:rPr>
          <w:rFonts w:ascii="Verdana" w:eastAsia="Calibri" w:hAnsi="Verdana" w:cs="Times New Roman"/>
          <w:kern w:val="2"/>
          <w:lang w:val="es-ES"/>
          <w14:ligatures w14:val="standardContextual"/>
        </w:rPr>
        <w:t xml:space="preserve">Esto corresponde a aquellos aspectos que se encuentran entre corchetes y resaltados en gris </w:t>
      </w:r>
      <w:r w:rsidRPr="002B6B2A">
        <w:rPr>
          <w:rFonts w:ascii="Verdana" w:eastAsia="Calibri" w:hAnsi="Verdana" w:cs="Times New Roman"/>
          <w:kern w:val="2"/>
          <w:shd w:val="clear" w:color="auto" w:fill="E8E8E8"/>
          <w:lang w:val="es-ES"/>
          <w14:ligatures w14:val="standardContextual"/>
        </w:rPr>
        <w:t>–[texto]–,</w:t>
      </w:r>
      <w:r w:rsidRPr="002B6B2A">
        <w:rPr>
          <w:rFonts w:ascii="Verdana" w:eastAsia="Calibri" w:hAnsi="Verdana" w:cs="Times New Roman"/>
          <w:kern w:val="2"/>
          <w:lang w:val="es-ES"/>
          <w14:ligatures w14:val="standardContextual"/>
        </w:rPr>
        <w:t xml:space="preserve"> para lo cual deberán observarse las instrucciones contenidas en los mismos para su diligenciamiento.</w:t>
      </w:r>
    </w:p>
    <w:p w14:paraId="05005105" w14:textId="77777777" w:rsidR="002B6B2A" w:rsidRPr="002B6B2A" w:rsidRDefault="002B6B2A" w:rsidP="002B6B2A">
      <w:pPr>
        <w:widowControl w:val="0"/>
        <w:autoSpaceDE w:val="0"/>
        <w:autoSpaceDN w:val="0"/>
        <w:spacing w:after="120" w:line="276" w:lineRule="auto"/>
        <w:ind w:firstLine="708"/>
        <w:jc w:val="both"/>
        <w:rPr>
          <w:rFonts w:ascii="Verdana" w:eastAsia="Calibri" w:hAnsi="Verdana" w:cs="Times New Roman"/>
          <w:lang w:val="es-ES"/>
        </w:rPr>
      </w:pPr>
      <w:r w:rsidRPr="002B6B2A">
        <w:rPr>
          <w:rFonts w:ascii="Verdana" w:eastAsia="Calibri" w:hAnsi="Verdana" w:cs="Times New Roman"/>
          <w:lang w:val="es-ES"/>
        </w:rPr>
        <w:t xml:space="preserve">Por lo tanto, la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7830E4A3" w14:textId="77777777" w:rsidR="002B6B2A" w:rsidRPr="002B6B2A" w:rsidRDefault="002B6B2A" w:rsidP="002B6B2A">
      <w:pPr>
        <w:widowControl w:val="0"/>
        <w:autoSpaceDE w:val="0"/>
        <w:autoSpaceDN w:val="0"/>
        <w:spacing w:after="120" w:line="276" w:lineRule="auto"/>
        <w:ind w:firstLine="708"/>
        <w:jc w:val="both"/>
        <w:rPr>
          <w:rFonts w:ascii="Verdana" w:eastAsia="Calibri" w:hAnsi="Verdana" w:cs="Times New Roman"/>
          <w:lang w:val="es-ES"/>
        </w:rPr>
      </w:pPr>
      <w:r w:rsidRPr="002B6B2A">
        <w:rPr>
          <w:rFonts w:ascii="Verdana" w:eastAsia="Calibri" w:hAnsi="Verdana" w:cs="Times New Roman"/>
          <w:lang w:val="es-ES"/>
        </w:rPr>
        <w:lastRenderedPageBreak/>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06C0276C" w14:textId="77777777" w:rsidR="002B6B2A" w:rsidRPr="002B6B2A" w:rsidRDefault="002B6B2A" w:rsidP="002B6B2A">
      <w:pPr>
        <w:widowControl w:val="0"/>
        <w:autoSpaceDE w:val="0"/>
        <w:autoSpaceDN w:val="0"/>
        <w:spacing w:after="120" w:line="276" w:lineRule="auto"/>
        <w:ind w:firstLine="708"/>
        <w:jc w:val="both"/>
        <w:rPr>
          <w:rFonts w:ascii="Verdana" w:eastAsia="Calibri" w:hAnsi="Verdana" w:cs="Times New Roman"/>
          <w:lang w:val="es-ES"/>
        </w:rPr>
      </w:pPr>
      <w:r w:rsidRPr="002B6B2A">
        <w:rPr>
          <w:rFonts w:ascii="Verdana" w:eastAsia="Calibri" w:hAnsi="Verdana" w:cs="Times New Roman"/>
          <w:lang w:val="es-ES"/>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14B5046C" w14:textId="77777777" w:rsidR="002B6B2A" w:rsidRPr="002B6B2A" w:rsidRDefault="002B6B2A" w:rsidP="002B6B2A">
      <w:pPr>
        <w:widowControl w:val="0"/>
        <w:autoSpaceDE w:val="0"/>
        <w:autoSpaceDN w:val="0"/>
        <w:spacing w:after="120" w:line="276" w:lineRule="auto"/>
        <w:ind w:firstLine="708"/>
        <w:jc w:val="both"/>
        <w:rPr>
          <w:rFonts w:ascii="Verdana" w:eastAsia="Calibri" w:hAnsi="Verdana" w:cs="Times New Roman"/>
          <w:lang w:val="es-ES"/>
        </w:rPr>
      </w:pPr>
      <w:r w:rsidRPr="002B6B2A">
        <w:rPr>
          <w:rFonts w:ascii="Verdana" w:eastAsia="Calibri" w:hAnsi="Verdana" w:cs="Times New Roman"/>
          <w:lang w:val="es-ES"/>
        </w:rPr>
        <w:t>La Matriz – Experiencia,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7F7760D2" w14:textId="77777777" w:rsidR="002B6B2A" w:rsidRPr="002B6B2A" w:rsidRDefault="002B6B2A" w:rsidP="002B6B2A">
      <w:pPr>
        <w:widowControl w:val="0"/>
        <w:autoSpaceDE w:val="0"/>
        <w:autoSpaceDN w:val="0"/>
        <w:spacing w:after="0" w:line="276" w:lineRule="auto"/>
        <w:ind w:firstLine="708"/>
        <w:jc w:val="both"/>
        <w:rPr>
          <w:rFonts w:ascii="Verdana" w:eastAsia="Calibri" w:hAnsi="Verdana" w:cs="Times New Roman"/>
          <w:lang w:val="es-ES"/>
        </w:rPr>
      </w:pPr>
      <w:r w:rsidRPr="002B6B2A">
        <w:rPr>
          <w:rFonts w:ascii="Verdana" w:eastAsia="Calibri" w:hAnsi="Verdana" w:cs="Times New Roman"/>
          <w:lang w:val="es-ES"/>
        </w:rPr>
        <w:t>De esta manera, para saber a qué actividades deben aplicarse los Documentos Tipo de licitación de obra pública de infraestructura social expedidos por esta Agencia,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estos Documentos Tipo para los mencionados sectores −según corresponda−, mientras que en el caso contrario no será forzosa su aplicación.</w:t>
      </w:r>
    </w:p>
    <w:p w14:paraId="21CA6455" w14:textId="77777777" w:rsidR="002B6B2A" w:rsidRPr="002B6B2A" w:rsidRDefault="002B6B2A" w:rsidP="002B6B2A">
      <w:pPr>
        <w:widowControl w:val="0"/>
        <w:autoSpaceDE w:val="0"/>
        <w:autoSpaceDN w:val="0"/>
        <w:spacing w:after="0" w:line="276" w:lineRule="auto"/>
        <w:ind w:firstLine="708"/>
        <w:jc w:val="both"/>
        <w:rPr>
          <w:rFonts w:ascii="Verdana" w:eastAsia="Calibri" w:hAnsi="Verdana" w:cs="Times New Roman"/>
          <w:lang w:val="es-ES"/>
        </w:rPr>
      </w:pPr>
    </w:p>
    <w:p w14:paraId="6C77D716" w14:textId="77777777" w:rsidR="002B6B2A" w:rsidRPr="002B6B2A" w:rsidRDefault="002B6B2A" w:rsidP="002B6B2A">
      <w:pPr>
        <w:spacing w:after="120" w:line="276" w:lineRule="auto"/>
        <w:jc w:val="both"/>
        <w:rPr>
          <w:rFonts w:ascii="Verdana" w:eastAsia="Aptos" w:hAnsi="Verdana" w:cs="Times New Roman"/>
          <w:kern w:val="2"/>
          <w14:ligatures w14:val="standardContextual"/>
        </w:rPr>
      </w:pPr>
      <w:proofErr w:type="spellStart"/>
      <w:r w:rsidRPr="002B6B2A">
        <w:rPr>
          <w:rFonts w:ascii="Verdana" w:eastAsia="Calibri" w:hAnsi="Verdana" w:cs="Times New Roman"/>
          <w:lang w:val="es-ES"/>
        </w:rPr>
        <w:t>ii</w:t>
      </w:r>
      <w:proofErr w:type="spellEnd"/>
      <w:r w:rsidRPr="002B6B2A">
        <w:rPr>
          <w:rFonts w:ascii="Verdana" w:eastAsia="Calibri" w:hAnsi="Verdana" w:cs="Times New Roman"/>
          <w:lang w:val="es-ES"/>
        </w:rPr>
        <w:t xml:space="preserve">. </w:t>
      </w:r>
      <w:r w:rsidRPr="002B6B2A">
        <w:rPr>
          <w:rFonts w:ascii="Verdana" w:eastAsia="Aptos" w:hAnsi="Verdana" w:cs="Times New Roman"/>
          <w:kern w:val="2"/>
          <w14:ligatures w14:val="standardContextual"/>
        </w:rPr>
        <w:t xml:space="preserve">Mediante el Capítulo I de la Resolución 539 del 21 de agosto de 2025, la Agencia Nacional de Contratación Pública – Colombia Compra Eficiente adoptó </w:t>
      </w:r>
      <w:r w:rsidRPr="002B6B2A">
        <w:rPr>
          <w:rFonts w:ascii="Verdana" w:eastAsia="Aptos" w:hAnsi="Verdana" w:cs="Times New Roman"/>
          <w:kern w:val="2"/>
          <w14:ligatures w14:val="standardContextual"/>
        </w:rPr>
        <w:lastRenderedPageBreak/>
        <w:t>los documentos tipo aplicables de forma transversal en el sector social para los procesos que se adelanten mediante la modalidad de selección de licitación pública, correspondientes a proyectos enmarcados en los sectores de educación, salud, cultura, recreación y deporte, institucional y vivienda.</w:t>
      </w:r>
    </w:p>
    <w:p w14:paraId="4C834866" w14:textId="77777777" w:rsidR="002B6B2A" w:rsidRPr="002B6B2A" w:rsidRDefault="002B6B2A" w:rsidP="002B6B2A">
      <w:pPr>
        <w:spacing w:after="120" w:line="276" w:lineRule="auto"/>
        <w:ind w:firstLine="708"/>
        <w:jc w:val="both"/>
        <w:rPr>
          <w:rFonts w:ascii="Verdana" w:eastAsia="Calibri" w:hAnsi="Verdana" w:cs="Times New Roman"/>
          <w:lang w:val="es-ES"/>
        </w:rPr>
      </w:pPr>
      <w:r w:rsidRPr="002B6B2A">
        <w:rPr>
          <w:rFonts w:ascii="Verdana" w:eastAsia="Aptos" w:hAnsi="Verdana" w:cs="Times New Roman"/>
          <w:kern w:val="2"/>
          <w14:ligatures w14:val="standardContextual"/>
        </w:rPr>
        <w:t xml:space="preserve">De esta forma, mediante el artículo 1 de la Resolución 539 de 2025 se adoptó la versión 2 de los documentos tipo para los procesos de obra pública de infraestructura social que se adelanten mediante la modalidad de licitación pública. Por su parte, el artículo 2 señala cuáles son los documentos tipo transversales aplicables a los proyectos de infraestructura social en la modalidad de selección indicada. Estos son: </w:t>
      </w:r>
      <w:r w:rsidRPr="002B6B2A">
        <w:rPr>
          <w:rFonts w:ascii="Verdana" w:eastAsia="Calibri" w:hAnsi="Verdana" w:cs="Times New Roman"/>
          <w:lang w:val="es-ES"/>
        </w:rPr>
        <w:t xml:space="preserve">i) Documento Base; </w:t>
      </w:r>
      <w:proofErr w:type="spellStart"/>
      <w:r w:rsidRPr="002B6B2A">
        <w:rPr>
          <w:rFonts w:ascii="Verdana" w:eastAsia="Calibri" w:hAnsi="Verdana" w:cs="Times New Roman"/>
          <w:lang w:val="es-ES"/>
        </w:rPr>
        <w:t>ii</w:t>
      </w:r>
      <w:proofErr w:type="spellEnd"/>
      <w:r w:rsidRPr="002B6B2A">
        <w:rPr>
          <w:rFonts w:ascii="Verdana" w:eastAsia="Calibri" w:hAnsi="Verdana" w:cs="Times New Roman"/>
          <w:lang w:val="es-ES"/>
        </w:rPr>
        <w:t xml:space="preserve">) Anexos: Anexo 1 - Anexo Técnico, Anexo 2 – Cronograma, Anexo 3 - Pacto de transparencia, Anexo 4 - Minuta del Contrato, Anexo 5 – Glosario; </w:t>
      </w:r>
      <w:proofErr w:type="spellStart"/>
      <w:r w:rsidRPr="002B6B2A">
        <w:rPr>
          <w:rFonts w:ascii="Verdana" w:eastAsia="Calibri" w:hAnsi="Verdana" w:cs="Times New Roman"/>
          <w:lang w:val="es-ES"/>
        </w:rPr>
        <w:t>iii</w:t>
      </w:r>
      <w:proofErr w:type="spellEnd"/>
      <w:r w:rsidRPr="002B6B2A">
        <w:rPr>
          <w:rFonts w:ascii="Verdana" w:eastAsia="Calibri" w:hAnsi="Verdana" w:cs="Times New Roman"/>
          <w:lang w:val="es-ES"/>
        </w:rPr>
        <w:t xml:space="preserve">) Formatos: Formato 1 - Carta de presentación de la oferta, Formato 2 - Conformación de Proponente Plural, Formato 3 – Experiencia, Formato 4 - Capacidad financiera y organizacional, Formato 5 - Capacidad residual, Formato 6 - Pagos de seguridad social y aportes legales, Formato 7 - Factor de calidad, Formato 8 - Vinculación de personas con discapacidad, Formato 9 - Puntaje de Industria Nacional, Formato 10 - Factores de desempate, Formato 11 - Autorización para el tratamiento de datos personales, Formato 12 - Factor de sostenibilidad técnico ambiental agregado, Formato 13 - Acreditación emprendimiento y empresas de mujeres, Formato 14 - Acreditación de </w:t>
      </w:r>
      <w:proofErr w:type="spellStart"/>
      <w:r w:rsidRPr="002B6B2A">
        <w:rPr>
          <w:rFonts w:ascii="Verdana" w:eastAsia="Calibri" w:hAnsi="Verdana" w:cs="Times New Roman"/>
          <w:lang w:val="es-ES"/>
        </w:rPr>
        <w:t>Mipyme</w:t>
      </w:r>
      <w:proofErr w:type="spellEnd"/>
      <w:r w:rsidRPr="002B6B2A">
        <w:rPr>
          <w:rFonts w:ascii="Verdana" w:eastAsia="Calibri" w:hAnsi="Verdana" w:cs="Times New Roman"/>
          <w:lang w:val="es-ES"/>
        </w:rPr>
        <w:t xml:space="preserve">; </w:t>
      </w:r>
      <w:proofErr w:type="spellStart"/>
      <w:r w:rsidRPr="002B6B2A">
        <w:rPr>
          <w:rFonts w:ascii="Verdana" w:eastAsia="Calibri" w:hAnsi="Verdana" w:cs="Times New Roman"/>
          <w:lang w:val="es-ES"/>
        </w:rPr>
        <w:t>iv</w:t>
      </w:r>
      <w:proofErr w:type="spellEnd"/>
      <w:r w:rsidRPr="002B6B2A">
        <w:rPr>
          <w:rFonts w:ascii="Verdana" w:eastAsia="Calibri" w:hAnsi="Verdana" w:cs="Times New Roman"/>
          <w:lang w:val="es-ES"/>
        </w:rPr>
        <w:t xml:space="preserve">) Matrices: Matriz 2 - Indicadores financieros y organizacionales, Matriz 3 – Riesgos, Matriz 4 - Bienes nacionales relevantes para la obra pública de infraestructura social; y v) Formularios: Formulario 1- Formulario de Presupuesto Oficial. </w:t>
      </w:r>
    </w:p>
    <w:p w14:paraId="637D4FFD" w14:textId="77777777" w:rsidR="002B6B2A" w:rsidRPr="002B6B2A" w:rsidRDefault="002B6B2A" w:rsidP="002B6B2A">
      <w:pPr>
        <w:snapToGrid w:val="0"/>
        <w:spacing w:after="120" w:line="276" w:lineRule="auto"/>
        <w:jc w:val="both"/>
        <w:rPr>
          <w:rFonts w:ascii="Verdana" w:eastAsia="Calibri" w:hAnsi="Verdana" w:cs="Times New Roman"/>
          <w:lang w:val="es-ES"/>
        </w:rPr>
      </w:pPr>
      <w:r w:rsidRPr="002B6B2A">
        <w:rPr>
          <w:rFonts w:ascii="Verdana" w:eastAsia="Calibri" w:hAnsi="Verdana" w:cs="Times New Roman"/>
          <w:lang w:val="es-ES"/>
        </w:rPr>
        <w:tab/>
        <w:t>Tal como se señala en el parágrafo 2 del artículo 2 de la Resolución 539 de 2025, el documento base, los anexos, los formatos, los formularios y las matrices aplicarán a los proyectos de infraestructura social, enmarcados dentro del sector educativo, sector salud, sector cultura, recreación y deporte, sector institucional, y sector vivienda, de conformidad con los capítulos II, III, IV, V y VI de esta Resolución, donde se precisará el alcance concreto de estos documentos tipo.</w:t>
      </w:r>
    </w:p>
    <w:p w14:paraId="59727C11" w14:textId="77777777" w:rsidR="002B6B2A" w:rsidRPr="002B6B2A" w:rsidRDefault="002B6B2A" w:rsidP="002B6B2A">
      <w:pPr>
        <w:snapToGrid w:val="0"/>
        <w:spacing w:after="120" w:line="276" w:lineRule="auto"/>
        <w:jc w:val="both"/>
        <w:rPr>
          <w:rFonts w:ascii="Verdana" w:eastAsia="Calibri" w:hAnsi="Verdana" w:cs="Times New Roman"/>
          <w:lang w:val="es-ES"/>
        </w:rPr>
      </w:pPr>
      <w:r w:rsidRPr="002B6B2A">
        <w:rPr>
          <w:rFonts w:ascii="Verdana" w:eastAsia="Calibri" w:hAnsi="Verdana" w:cs="Times New Roman"/>
          <w:lang w:val="es-ES"/>
        </w:rPr>
        <w:tab/>
        <w:t xml:space="preserve">En los capítulos II, III, IV, V y VI se adoptaron los documentos tipo complementarios que aplican, respectivamente, a los proyectos de infraestructura social enmarcados en los sectores de educación, salud, cultura, </w:t>
      </w:r>
      <w:r w:rsidRPr="002B6B2A">
        <w:rPr>
          <w:rFonts w:ascii="Verdana" w:eastAsia="Calibri" w:hAnsi="Verdana" w:cs="Times New Roman"/>
          <w:lang w:val="es-ES"/>
        </w:rPr>
        <w:lastRenderedPageBreak/>
        <w:t>recreación y deporte, institucional y vivienda, en la modalidad de licitación pública.</w:t>
      </w:r>
    </w:p>
    <w:p w14:paraId="180E8C3E" w14:textId="77777777" w:rsidR="002B6B2A" w:rsidRPr="002B6B2A" w:rsidRDefault="002B6B2A" w:rsidP="002B6B2A">
      <w:pPr>
        <w:snapToGrid w:val="0"/>
        <w:spacing w:after="120" w:line="276" w:lineRule="auto"/>
        <w:ind w:firstLine="708"/>
        <w:jc w:val="both"/>
        <w:rPr>
          <w:rFonts w:ascii="Verdana" w:eastAsia="Calibri" w:hAnsi="Verdana" w:cs="Times New Roman"/>
          <w:lang w:val="es-ES"/>
        </w:rPr>
      </w:pPr>
      <w:r w:rsidRPr="002B6B2A">
        <w:rPr>
          <w:rFonts w:ascii="Verdana" w:eastAsia="Calibri" w:hAnsi="Verdana" w:cs="Times New Roman"/>
          <w:lang w:val="es-ES"/>
        </w:rPr>
        <w:t>Los documentos tipo complementarios corresponden a la Matriz 1 – Experiencia en cada uno de los sectores señalados, la cual deberá aplicarse de forma conjunta con el documento base, así como con los formatos, anexos y formularios adoptados para los documentos tipo de selección de licitación de obra pública de infraestructura social – versión 2; es decir, los señalados en el artículo 2 de la Resolución 539 de 2025.</w:t>
      </w:r>
    </w:p>
    <w:p w14:paraId="0126E7DD" w14:textId="77777777" w:rsidR="002B6B2A" w:rsidRPr="002B6B2A" w:rsidRDefault="002B6B2A" w:rsidP="002B6B2A">
      <w:pPr>
        <w:snapToGrid w:val="0"/>
        <w:spacing w:after="0" w:line="276" w:lineRule="auto"/>
        <w:ind w:firstLine="708"/>
        <w:jc w:val="both"/>
        <w:rPr>
          <w:rFonts w:ascii="Verdana" w:eastAsia="Calibri" w:hAnsi="Verdana" w:cs="Times New Roman"/>
          <w:lang w:val="es-ES"/>
        </w:rPr>
      </w:pPr>
      <w:r w:rsidRPr="002B6B2A">
        <w:rPr>
          <w:rFonts w:ascii="Verdana" w:eastAsia="Calibri" w:hAnsi="Verdana" w:cs="Times New Roman"/>
          <w:lang w:val="es-ES"/>
        </w:rPr>
        <w:t xml:space="preserve">En consecuencia, de acuerdo con la estructura de la Resolución 539 de 2025, en materia de infraestructura social debe tenerse en cuenta que existen dos (2) clases de documentos tipo que se integran en cada proceso: i) los documentos transversales a todos los sectores de infraestructura social, esto es, el documento base, los anexos, los formatos, los formularios y las matrices adoptados mediante el capítulo I de la Resolución 539 de 2025; y </w:t>
      </w:r>
      <w:proofErr w:type="spellStart"/>
      <w:r w:rsidRPr="002B6B2A">
        <w:rPr>
          <w:rFonts w:ascii="Verdana" w:eastAsia="Calibri" w:hAnsi="Verdana" w:cs="Times New Roman"/>
          <w:lang w:val="es-ES"/>
        </w:rPr>
        <w:t>ii</w:t>
      </w:r>
      <w:proofErr w:type="spellEnd"/>
      <w:r w:rsidRPr="002B6B2A">
        <w:rPr>
          <w:rFonts w:ascii="Verdana" w:eastAsia="Calibri" w:hAnsi="Verdana" w:cs="Times New Roman"/>
          <w:lang w:val="es-ES"/>
        </w:rPr>
        <w:t>) los documentos tipo complementarios, correspondientes a la matriz de experiencia, los cuales fueron adoptados mediante los capítulos II, III, IV, V y VI de la Resolución 539 de 2025 para cada sector específico.</w:t>
      </w:r>
    </w:p>
    <w:p w14:paraId="4C99CBBF" w14:textId="77777777" w:rsidR="002B6B2A" w:rsidRPr="002B6B2A" w:rsidRDefault="002B6B2A" w:rsidP="002B6B2A">
      <w:pPr>
        <w:snapToGrid w:val="0"/>
        <w:spacing w:after="0" w:line="276" w:lineRule="auto"/>
        <w:jc w:val="both"/>
        <w:rPr>
          <w:rFonts w:ascii="Verdana" w:eastAsia="Calibri" w:hAnsi="Verdana" w:cs="Times New Roman"/>
        </w:rPr>
      </w:pPr>
    </w:p>
    <w:p w14:paraId="432A3CA6" w14:textId="77777777" w:rsidR="002B6B2A" w:rsidRPr="002B6B2A" w:rsidRDefault="002B6B2A" w:rsidP="002B6B2A">
      <w:pPr>
        <w:spacing w:after="120" w:line="276" w:lineRule="auto"/>
        <w:jc w:val="both"/>
        <w:rPr>
          <w:rFonts w:ascii="Verdana" w:eastAsia="Calibri" w:hAnsi="Verdana" w:cs="Times New Roman"/>
          <w:lang w:val="es-ES"/>
        </w:rPr>
      </w:pPr>
      <w:proofErr w:type="spellStart"/>
      <w:r w:rsidRPr="002B6B2A">
        <w:rPr>
          <w:rFonts w:ascii="Verdana" w:eastAsia="Calibri" w:hAnsi="Verdana" w:cs="Times New Roman"/>
          <w:kern w:val="2"/>
          <w:lang w:val="es-ES"/>
          <w14:ligatures w14:val="standardContextual"/>
        </w:rPr>
        <w:t>iii</w:t>
      </w:r>
      <w:proofErr w:type="spellEnd"/>
      <w:r w:rsidRPr="002B6B2A">
        <w:rPr>
          <w:rFonts w:ascii="Verdana" w:eastAsia="Calibri" w:hAnsi="Verdana" w:cs="Times New Roman"/>
          <w:kern w:val="2"/>
          <w:lang w:val="es-ES"/>
          <w14:ligatures w14:val="standardContextual"/>
        </w:rPr>
        <w:t xml:space="preserve">. El artículo 20 de la Resolución 539 del 21 de agosto de 2025, adopta los Documentos Tipo complementarios para los procesos de infraestructura social relacionados con el sector vivienda. De acuerdo con el parágrafo segundo del artículo 21 de la citada resolución, estos documentos aplican a los procesos contractuales que correspondan a las actividades definidas en la Matriz 1 – Experiencia del Sector Vivienda. </w:t>
      </w:r>
    </w:p>
    <w:p w14:paraId="46657E93" w14:textId="77777777" w:rsidR="002B6B2A" w:rsidRPr="002B6B2A" w:rsidRDefault="002B6B2A" w:rsidP="002B6B2A">
      <w:pPr>
        <w:spacing w:after="120" w:line="276" w:lineRule="auto"/>
        <w:ind w:firstLine="708"/>
        <w:jc w:val="both"/>
        <w:rPr>
          <w:rFonts w:ascii="Verdana" w:eastAsia="Arial" w:hAnsi="Verdana" w:cs="Aptos"/>
          <w:lang w:eastAsia="es-ES"/>
        </w:rPr>
      </w:pPr>
      <w:r w:rsidRPr="002B6B2A">
        <w:rPr>
          <w:rFonts w:ascii="Verdana" w:eastAsia="Calibri" w:hAnsi="Verdana" w:cs="Times New Roman"/>
          <w:kern w:val="2"/>
          <w:lang w:val="es-ES"/>
          <w14:ligatures w14:val="standardContextual"/>
        </w:rPr>
        <w:t xml:space="preserve">La Matriz 1 – Experiencia del Sector Vivienda, </w:t>
      </w:r>
      <w:r w:rsidRPr="002B6B2A">
        <w:rPr>
          <w:rFonts w:ascii="Verdana" w:eastAsia="Aptos" w:hAnsi="Verdana" w:cs="Times New Roman"/>
          <w:color w:val="000000"/>
          <w:kern w:val="2"/>
          <w:lang w:eastAsia="es-CO"/>
          <w14:ligatures w14:val="standardContextual"/>
        </w:rPr>
        <w:t xml:space="preserve">en la modalidad de licitación pública dispone de los siguientes cuatro (4) tipos de obras de infraestructura en ese sector: </w:t>
      </w:r>
      <w:r w:rsidRPr="002B6B2A">
        <w:rPr>
          <w:rFonts w:ascii="Verdana" w:eastAsia="Arial" w:hAnsi="Verdana" w:cs="Aptos"/>
          <w:lang w:eastAsia="es-ES"/>
        </w:rPr>
        <w:t>1. OBRAS EN PROYECTOS DE VIVIENDA(S) URBANA(S), 2. OBRAS EN VÍAS DE ACCESO O PARQUEADEROS O ZONAS DE CIRCULACIÓN (VEHICULAR O PEATONAL) O PLAZUELAS O PLAZAS O PLAZUELAS O ÁREAS COMUNES EN PROYECTOS DE VIVIENDA(S) URBANA(S), 3. OBRAS PARA ATENCIÓN, PREVENCIÓN O MITIGACIÓN DE EMERGENCIAS DIFERENTES A CONTRATACIÓN DIRECTA PARA VIVIENDA(S) URBANA(S) - VIVIENDA(S) RURAL(ES) - VIVIENDA(S) RURAL(ES) DISPERSA(S), 4. OBRAS EN PROYECTOS DE VIVIENDA(S) RURAL(ES), 5. OBRAS EN PROYECTOS DE VIVIENDA(S) RURAL(ES) DISPERSA(S).</w:t>
      </w:r>
    </w:p>
    <w:p w14:paraId="3EB5B82D" w14:textId="77777777" w:rsidR="002B6B2A" w:rsidRPr="002B6B2A" w:rsidRDefault="002B6B2A" w:rsidP="002B6B2A">
      <w:pPr>
        <w:spacing w:after="0" w:line="240" w:lineRule="atLeast"/>
        <w:ind w:firstLine="708"/>
        <w:jc w:val="both"/>
        <w:rPr>
          <w:rFonts w:ascii="Verdana" w:eastAsia="Calibri" w:hAnsi="Verdana" w:cs="Times New Roman"/>
          <w:kern w:val="2"/>
          <w:lang w:val="es-ES"/>
          <w14:ligatures w14:val="standardContextual"/>
        </w:rPr>
      </w:pPr>
      <w:r w:rsidRPr="002B6B2A">
        <w:rPr>
          <w:rFonts w:ascii="Verdana" w:eastAsia="Calibri" w:hAnsi="Verdana" w:cs="Times New Roman"/>
          <w:kern w:val="2"/>
          <w:lang w:val="es-ES"/>
          <w14:ligatures w14:val="standardContextual"/>
        </w:rPr>
        <w:lastRenderedPageBreak/>
        <w:t>Sobre los tipos de obras señaladas, la Matriz 1 – Experiencia contiene una serie de actividades donde la entidad debe encuadrar el objeto del proceso que pretende ejecutar. Concretamente, en relación con su solicitud, le indicamos que en el capítulo uno (1) obras en proyectos de vivienda(s) urbana(s), se incluye la siguiente actividad:</w:t>
      </w:r>
    </w:p>
    <w:p w14:paraId="5C6769F7" w14:textId="77777777" w:rsidR="002B6B2A" w:rsidRPr="002B6B2A" w:rsidRDefault="002B6B2A" w:rsidP="002B6B2A">
      <w:pPr>
        <w:spacing w:after="0" w:line="240" w:lineRule="atLeast"/>
        <w:ind w:left="709" w:right="709" w:firstLine="708"/>
        <w:jc w:val="both"/>
        <w:rPr>
          <w:rFonts w:ascii="Verdana" w:eastAsia="Calibri" w:hAnsi="Verdana" w:cs="Times New Roman"/>
          <w:kern w:val="2"/>
          <w:lang w:val="es-ES"/>
          <w14:ligatures w14:val="standardContextual"/>
        </w:rPr>
      </w:pPr>
    </w:p>
    <w:p w14:paraId="06591DD9" w14:textId="77777777" w:rsidR="002B6B2A" w:rsidRPr="002B6B2A" w:rsidRDefault="002B6B2A" w:rsidP="002B6B2A">
      <w:pPr>
        <w:spacing w:after="0" w:line="240" w:lineRule="auto"/>
        <w:ind w:left="709" w:right="709"/>
        <w:contextualSpacing/>
        <w:jc w:val="both"/>
        <w:rPr>
          <w:rFonts w:ascii="Verdana" w:eastAsia="Aptos" w:hAnsi="Verdana" w:cs="Aptos"/>
          <w:kern w:val="2"/>
          <w:sz w:val="21"/>
          <w:szCs w:val="21"/>
          <w14:ligatures w14:val="standardContextual"/>
        </w:rPr>
      </w:pPr>
      <w:r w:rsidRPr="002B6B2A">
        <w:rPr>
          <w:rFonts w:ascii="Verdana" w:eastAsia="Aptos" w:hAnsi="Verdana" w:cs="Aptos"/>
          <w:kern w:val="2"/>
          <w:sz w:val="21"/>
          <w:szCs w:val="21"/>
          <w14:ligatures w14:val="standardContextual"/>
        </w:rPr>
        <w:t xml:space="preserve">“1.3. PROYECTOS DE DEMOLICIÓN Y/O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DE CERRAMIENTO DE VIVIENDA(S) URBANA(S)”. </w:t>
      </w:r>
    </w:p>
    <w:p w14:paraId="23DABDA3" w14:textId="77777777" w:rsidR="002B6B2A" w:rsidRPr="002B6B2A" w:rsidRDefault="002B6B2A" w:rsidP="002B6B2A">
      <w:pPr>
        <w:spacing w:after="0" w:line="240" w:lineRule="atLeast"/>
        <w:jc w:val="both"/>
        <w:rPr>
          <w:rFonts w:ascii="Verdana" w:eastAsia="Calibri" w:hAnsi="Verdana" w:cs="Times New Roman"/>
          <w:kern w:val="2"/>
          <w:lang w:val="es-ES"/>
          <w14:ligatures w14:val="standardContextual"/>
        </w:rPr>
      </w:pPr>
      <w:r w:rsidRPr="002B6B2A">
        <w:rPr>
          <w:rFonts w:ascii="Verdana" w:eastAsia="Calibri" w:hAnsi="Verdana" w:cs="Times New Roman"/>
          <w:kern w:val="2"/>
          <w:lang w:val="es-ES"/>
          <w14:ligatures w14:val="standardContextual"/>
        </w:rPr>
        <w:tab/>
      </w:r>
    </w:p>
    <w:p w14:paraId="19A9EBB6" w14:textId="77777777" w:rsidR="002B6B2A" w:rsidRPr="002B6B2A" w:rsidRDefault="002B6B2A" w:rsidP="002B6B2A">
      <w:pPr>
        <w:spacing w:after="120" w:line="240" w:lineRule="atLeast"/>
        <w:jc w:val="both"/>
        <w:rPr>
          <w:rFonts w:ascii="Verdana" w:eastAsia="Aptos" w:hAnsi="Verdana" w:cs="Aptos"/>
          <w:kern w:val="2"/>
          <w:sz w:val="21"/>
          <w:szCs w:val="21"/>
          <w14:ligatures w14:val="standardContextual"/>
        </w:rPr>
      </w:pPr>
      <w:r w:rsidRPr="002B6B2A">
        <w:rPr>
          <w:rFonts w:ascii="Verdana" w:eastAsia="Calibri" w:hAnsi="Verdana" w:cs="Times New Roman"/>
          <w:kern w:val="2"/>
          <w:lang w:val="es-ES"/>
          <w14:ligatures w14:val="standardContextual"/>
        </w:rPr>
        <w:tab/>
        <w:t xml:space="preserve">Como se aprecia, la actividad 1.3 contenida en la Matriz 1 – Experiencia Sector Vivienda, aplica para proyectos de </w:t>
      </w:r>
      <w:r w:rsidRPr="002B6B2A">
        <w:rPr>
          <w:rFonts w:ascii="Verdana" w:eastAsia="Aptos" w:hAnsi="Verdana" w:cs="Aptos"/>
          <w:kern w:val="2"/>
          <w:sz w:val="21"/>
          <w:szCs w:val="21"/>
          <w14:ligatures w14:val="standardContextual"/>
        </w:rPr>
        <w:t xml:space="preserve">demolición y/o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de cerramiento, todos estos sobre vivienda(s) urbana(s). </w:t>
      </w:r>
    </w:p>
    <w:p w14:paraId="26C46243" w14:textId="77777777" w:rsidR="002B6B2A" w:rsidRPr="002B6B2A" w:rsidRDefault="002B6B2A" w:rsidP="002B6B2A">
      <w:pPr>
        <w:spacing w:after="120" w:line="240" w:lineRule="atLeast"/>
        <w:jc w:val="both"/>
        <w:rPr>
          <w:rFonts w:ascii="Verdana" w:eastAsia="Aptos" w:hAnsi="Verdana" w:cs="Aptos"/>
          <w:kern w:val="2"/>
          <w:sz w:val="21"/>
          <w:szCs w:val="21"/>
          <w14:ligatures w14:val="standardContextual"/>
        </w:rPr>
      </w:pPr>
      <w:r w:rsidRPr="002B6B2A">
        <w:rPr>
          <w:rFonts w:ascii="Verdana" w:eastAsia="Aptos" w:hAnsi="Verdana" w:cs="Aptos"/>
          <w:kern w:val="2"/>
          <w:sz w:val="21"/>
          <w:szCs w:val="21"/>
          <w14:ligatures w14:val="standardContextual"/>
        </w:rPr>
        <w:tab/>
        <w:t xml:space="preserve">Ahora bien, debe indicarse que la actividad señalada, utiliza la conjunción disyuntiva (y/o) que indica que una o más opciones de las actividades mencionadas puede ocurrir. En este sentido, se emplea para la actividad 1.3 para señalar que existe posibilidad de elegir entre la suma (y) o la alternativa entre dos opciones (o). Por ejemplo, la actividad recae sobre proyectos que involucren solamente actividades de demolición sobre vivienda(s) urbana(s), o para actividades que contengan demolición y cerramientos sobre vivienda(s) urbana(s). </w:t>
      </w:r>
    </w:p>
    <w:p w14:paraId="56FA6035" w14:textId="77777777" w:rsidR="002B6B2A" w:rsidRPr="002B6B2A" w:rsidRDefault="002B6B2A" w:rsidP="002B6B2A">
      <w:pPr>
        <w:spacing w:after="120" w:line="240" w:lineRule="atLeast"/>
        <w:jc w:val="both"/>
        <w:rPr>
          <w:rFonts w:ascii="Verdana" w:eastAsia="Calibri" w:hAnsi="Verdana" w:cs="Times New Roman"/>
          <w:kern w:val="2"/>
          <w:lang w:val="es-ES"/>
          <w14:ligatures w14:val="standardContextual"/>
        </w:rPr>
      </w:pPr>
      <w:r w:rsidRPr="002B6B2A">
        <w:rPr>
          <w:rFonts w:ascii="Verdana" w:eastAsia="Aptos" w:hAnsi="Verdana" w:cs="Aptos"/>
          <w:kern w:val="2"/>
          <w:sz w:val="21"/>
          <w:szCs w:val="21"/>
          <w14:ligatures w14:val="standardContextual"/>
        </w:rPr>
        <w:tab/>
        <w:t xml:space="preserve">Para </w:t>
      </w:r>
      <w:r w:rsidRPr="002B6B2A">
        <w:rPr>
          <w:rFonts w:ascii="Verdana" w:eastAsia="Calibri" w:hAnsi="Verdana" w:cs="Times New Roman"/>
          <w:kern w:val="2"/>
          <w:lang w:val="es-ES"/>
          <w14:ligatures w14:val="standardContextual"/>
        </w:rPr>
        <w:t>la actividad 1.3 contenida en la Matriz 1 – Experiencia Sector Vivienda, se encuentran los siguientes requisitos de experiencia general y específica y unas notas:</w:t>
      </w:r>
    </w:p>
    <w:p w14:paraId="5E49B01D" w14:textId="77777777" w:rsidR="002B6B2A" w:rsidRPr="002B6B2A" w:rsidRDefault="002B6B2A" w:rsidP="002B6B2A">
      <w:pPr>
        <w:spacing w:after="120" w:line="240" w:lineRule="atLeast"/>
        <w:jc w:val="both"/>
        <w:rPr>
          <w:rFonts w:ascii="Verdana" w:eastAsia="Calibri" w:hAnsi="Verdana" w:cs="Times New Roman"/>
          <w:kern w:val="2"/>
          <w:lang w:val="es-ES"/>
          <w14:ligatures w14:val="standardContextual"/>
        </w:rPr>
      </w:pPr>
    </w:p>
    <w:p w14:paraId="4BF620BA" w14:textId="77777777" w:rsidR="002B6B2A" w:rsidRPr="002B6B2A" w:rsidRDefault="002B6B2A" w:rsidP="002B6B2A">
      <w:pPr>
        <w:spacing w:after="120" w:line="240" w:lineRule="auto"/>
        <w:ind w:right="709" w:firstLine="708"/>
        <w:jc w:val="both"/>
        <w:rPr>
          <w:rFonts w:ascii="Verdana" w:eastAsia="Aptos" w:hAnsi="Verdana" w:cs="Aptos"/>
          <w:b/>
          <w:bCs/>
          <w:kern w:val="2"/>
          <w:sz w:val="21"/>
          <w:szCs w:val="21"/>
          <w:u w:val="single"/>
          <w14:ligatures w14:val="standardContextual"/>
        </w:rPr>
      </w:pPr>
      <w:r w:rsidRPr="002B6B2A">
        <w:rPr>
          <w:rFonts w:ascii="Verdana" w:eastAsia="Aptos" w:hAnsi="Verdana" w:cs="Aptos"/>
          <w:b/>
          <w:bCs/>
          <w:kern w:val="2"/>
          <w:sz w:val="21"/>
          <w:szCs w:val="21"/>
          <w:u w:val="single"/>
          <w14:ligatures w14:val="standardContextual"/>
        </w:rPr>
        <w:t>Experiencia General:</w:t>
      </w:r>
    </w:p>
    <w:p w14:paraId="3C525164" w14:textId="77777777" w:rsidR="002B6B2A" w:rsidRPr="002B6B2A" w:rsidRDefault="002B6B2A" w:rsidP="002B6B2A">
      <w:pPr>
        <w:spacing w:after="120" w:line="240" w:lineRule="auto"/>
        <w:ind w:left="709" w:right="709"/>
        <w:jc w:val="both"/>
        <w:rPr>
          <w:rFonts w:ascii="Verdana" w:eastAsia="Aptos" w:hAnsi="Verdana" w:cs="Aptos"/>
          <w:i/>
          <w:iCs/>
          <w:kern w:val="2"/>
          <w:sz w:val="21"/>
          <w:szCs w:val="21"/>
          <w14:ligatures w14:val="standardContextual"/>
        </w:rPr>
      </w:pPr>
      <w:r w:rsidRPr="002B6B2A">
        <w:rPr>
          <w:rFonts w:ascii="Verdana" w:eastAsia="Aptos" w:hAnsi="Verdana" w:cs="Aptos"/>
          <w:i/>
          <w:iCs/>
          <w:kern w:val="2"/>
          <w:sz w:val="21"/>
          <w:szCs w:val="21"/>
          <w14:ligatures w14:val="standardContextual"/>
        </w:rPr>
        <w:t xml:space="preserve">PROYECTOS QUE CORRESPONDAN Y/O CONTEMPLEN ACTIVIDADES DE: CONSTRUCCIÓN Y/O AMPLIACIÓN Y/O RECONSTRUCCIÓN Y/O ADECUACIÓN Y/O CONSERVACIÓN Y/O INTERVENCIÓN Y/O INSTALACIÓN Y/O MANTENIMIENTO Y/O MEJORAMIENTO Y/O MODIFICACIÓN Y/U OPTIMIZACIÓN Y/O REHABILITACIÓN Y/O REMODELACIÓN Y/O REPOSICIÓN Y/O REPARACIÓN LOCATIVA Y/O </w:t>
      </w:r>
      <w:r w:rsidRPr="002B6B2A">
        <w:rPr>
          <w:rFonts w:ascii="Verdana" w:eastAsia="Aptos" w:hAnsi="Verdana" w:cs="Aptos"/>
          <w:i/>
          <w:iCs/>
          <w:kern w:val="2"/>
          <w:sz w:val="21"/>
          <w:szCs w:val="21"/>
          <w14:ligatures w14:val="standardContextual"/>
        </w:rPr>
        <w:lastRenderedPageBreak/>
        <w:t>RESTAURACIÓN Y/O RESTITUCIÓN Y/O RECONSTRUCCION Y/O TERMINACIÓN DE CERRAMIENTO DE EDIFICACIONES</w:t>
      </w:r>
    </w:p>
    <w:p w14:paraId="3D0950A8" w14:textId="77777777" w:rsidR="002B6B2A" w:rsidRPr="002B6B2A" w:rsidRDefault="002B6B2A" w:rsidP="002B6B2A">
      <w:pPr>
        <w:spacing w:after="120" w:line="240" w:lineRule="auto"/>
        <w:ind w:right="709" w:firstLine="708"/>
        <w:jc w:val="both"/>
        <w:rPr>
          <w:rFonts w:ascii="Verdana" w:eastAsia="Aptos" w:hAnsi="Verdana" w:cs="Aptos"/>
          <w:b/>
          <w:bCs/>
          <w:kern w:val="2"/>
          <w:sz w:val="21"/>
          <w:szCs w:val="21"/>
          <w:u w:val="single"/>
          <w14:ligatures w14:val="standardContextual"/>
        </w:rPr>
      </w:pPr>
      <w:r w:rsidRPr="002B6B2A">
        <w:rPr>
          <w:rFonts w:ascii="Verdana" w:eastAsia="Aptos" w:hAnsi="Verdana" w:cs="Aptos"/>
          <w:b/>
          <w:bCs/>
          <w:kern w:val="2"/>
          <w:sz w:val="21"/>
          <w:szCs w:val="21"/>
          <w:u w:val="single"/>
          <w14:ligatures w14:val="standardContextual"/>
        </w:rPr>
        <w:t>Experiencia Especifica:</w:t>
      </w:r>
    </w:p>
    <w:p w14:paraId="29680304" w14:textId="77777777" w:rsidR="002B6B2A" w:rsidRPr="002B6B2A" w:rsidRDefault="002B6B2A" w:rsidP="002B6B2A">
      <w:pPr>
        <w:spacing w:after="120" w:line="240" w:lineRule="auto"/>
        <w:ind w:left="709" w:right="709"/>
        <w:jc w:val="both"/>
        <w:rPr>
          <w:rFonts w:ascii="Verdana" w:eastAsia="Aptos" w:hAnsi="Verdana" w:cs="Aptos"/>
          <w:i/>
          <w:iCs/>
          <w:kern w:val="2"/>
          <w:sz w:val="21"/>
          <w:szCs w:val="21"/>
          <w14:ligatures w14:val="standardContextual"/>
        </w:rPr>
      </w:pPr>
      <w:r w:rsidRPr="002B6B2A">
        <w:rPr>
          <w:rFonts w:ascii="Verdana" w:eastAsia="Aptos" w:hAnsi="Verdana" w:cs="Aptos"/>
          <w:b/>
          <w:bCs/>
          <w:i/>
          <w:iCs/>
          <w:kern w:val="2"/>
          <w:sz w:val="21"/>
          <w:szCs w:val="21"/>
          <w14:ligatures w14:val="standardContextual"/>
        </w:rPr>
        <w:t>“En caso de requerirse solo la demolición</w:t>
      </w:r>
      <w:r w:rsidRPr="002B6B2A">
        <w:rPr>
          <w:rFonts w:ascii="Verdana" w:eastAsia="Aptos" w:hAnsi="Verdana" w:cs="Aptos"/>
          <w:i/>
          <w:iCs/>
          <w:kern w:val="2"/>
          <w:sz w:val="21"/>
          <w:szCs w:val="21"/>
          <w14:ligatures w14:val="standardContextual"/>
        </w:rPr>
        <w:t xml:space="preserve">: Por lo menos uno (1) de los contratos válidos aportados como experiencia general deben contemplar actividades de demolición total o parcial de edificaciones y sus elementos estructurales y contemplar un área intervenida que sea igual o superior al (F%) del total de metros cuadrados del proceso de selección, el cual corresponde a </w:t>
      </w:r>
      <w:r w:rsidRPr="002B6B2A">
        <w:rPr>
          <w:rFonts w:ascii="Verdana" w:eastAsia="Aptos" w:hAnsi="Verdana" w:cs="Aptos"/>
          <w:i/>
          <w:iCs/>
          <w:kern w:val="2"/>
          <w:sz w:val="21"/>
          <w:szCs w:val="21"/>
          <w:highlight w:val="lightGray"/>
          <w14:ligatures w14:val="standardContextual"/>
        </w:rPr>
        <w:t>[la entidad indicará los metros cuadrados para el proceso de selección]</w:t>
      </w:r>
    </w:p>
    <w:p w14:paraId="16487CF5" w14:textId="77777777" w:rsidR="002B6B2A" w:rsidRPr="002B6B2A" w:rsidRDefault="002B6B2A" w:rsidP="002B6B2A">
      <w:pPr>
        <w:spacing w:after="120" w:line="240" w:lineRule="auto"/>
        <w:ind w:left="709" w:right="709"/>
        <w:jc w:val="both"/>
        <w:rPr>
          <w:rFonts w:ascii="Verdana" w:eastAsia="Aptos" w:hAnsi="Verdana" w:cs="Aptos"/>
          <w:i/>
          <w:iCs/>
          <w:kern w:val="2"/>
          <w:sz w:val="21"/>
          <w:szCs w:val="21"/>
          <w14:ligatures w14:val="standardContextual"/>
        </w:rPr>
      </w:pPr>
      <w:r w:rsidRPr="002B6B2A">
        <w:rPr>
          <w:rFonts w:ascii="Verdana" w:eastAsia="Aptos" w:hAnsi="Verdana" w:cs="Aptos"/>
          <w:b/>
          <w:bCs/>
          <w:i/>
          <w:iCs/>
          <w:kern w:val="2"/>
          <w:sz w:val="21"/>
          <w:szCs w:val="21"/>
          <w14:ligatures w14:val="standardContextual"/>
        </w:rPr>
        <w:t>En caso de requerirse solo Cerramiento</w:t>
      </w:r>
      <w:r w:rsidRPr="002B6B2A">
        <w:rPr>
          <w:rFonts w:ascii="Verdana" w:eastAsia="Aptos" w:hAnsi="Verdana" w:cs="Aptos"/>
          <w:i/>
          <w:iCs/>
          <w:kern w:val="2"/>
          <w:sz w:val="21"/>
          <w:szCs w:val="21"/>
          <w14:ligatures w14:val="standardContextual"/>
        </w:rPr>
        <w:t xml:space="preserve">: Por lo menos uno (1) de los contratos válidos aportados como experiencia general deben contemplar actividades de cerramiento de edificaciones y/o lotes y/o inmuebles y contemplar un área o longitud intervenida que sea igual o superior al (F%) del total de metros cuadrados y/o metros lineales del proceso de selección, el cual corresponde a </w:t>
      </w:r>
      <w:r w:rsidRPr="002B6B2A">
        <w:rPr>
          <w:rFonts w:ascii="Verdana" w:eastAsia="Aptos" w:hAnsi="Verdana" w:cs="Aptos"/>
          <w:i/>
          <w:iCs/>
          <w:kern w:val="2"/>
          <w:sz w:val="21"/>
          <w:szCs w:val="21"/>
          <w:highlight w:val="lightGray"/>
          <w14:ligatures w14:val="standardContextual"/>
        </w:rPr>
        <w:t>[la entidad indicará los metros cuadrados o metros lineales para el proceso de selección].</w:t>
      </w:r>
    </w:p>
    <w:p w14:paraId="75EE87EF" w14:textId="77777777" w:rsidR="002B6B2A" w:rsidRPr="002B6B2A" w:rsidRDefault="002B6B2A" w:rsidP="002B6B2A">
      <w:pPr>
        <w:spacing w:after="120" w:line="240" w:lineRule="auto"/>
        <w:ind w:left="709" w:right="709"/>
        <w:jc w:val="both"/>
        <w:rPr>
          <w:rFonts w:ascii="Verdana" w:eastAsia="Aptos" w:hAnsi="Verdana" w:cs="Aptos"/>
          <w:i/>
          <w:iCs/>
          <w:kern w:val="2"/>
          <w:sz w:val="21"/>
          <w:szCs w:val="21"/>
          <w14:ligatures w14:val="standardContextual"/>
        </w:rPr>
      </w:pPr>
      <w:r w:rsidRPr="002B6B2A">
        <w:rPr>
          <w:rFonts w:ascii="Verdana" w:eastAsia="Aptos" w:hAnsi="Verdana" w:cs="Aptos"/>
          <w:i/>
          <w:iCs/>
          <w:kern w:val="2"/>
          <w:sz w:val="21"/>
          <w:szCs w:val="21"/>
          <w14:ligatures w14:val="standardContextual"/>
        </w:rPr>
        <w:t xml:space="preserve">Nota General: </w:t>
      </w:r>
      <w:r w:rsidRPr="002B6B2A">
        <w:rPr>
          <w:rFonts w:ascii="Verdana" w:eastAsia="Aptos" w:hAnsi="Verdana" w:cs="Aptos"/>
          <w:b/>
          <w:bCs/>
          <w:i/>
          <w:iCs/>
          <w:kern w:val="2"/>
          <w:sz w:val="21"/>
          <w:szCs w:val="21"/>
          <w14:ligatures w14:val="standardContextual"/>
        </w:rPr>
        <w:t>En caso de requerirse las dos intervenciones</w:t>
      </w:r>
      <w:r w:rsidRPr="002B6B2A">
        <w:rPr>
          <w:rFonts w:ascii="Verdana" w:eastAsia="Aptos" w:hAnsi="Verdana" w:cs="Aptos"/>
          <w:i/>
          <w:iCs/>
          <w:kern w:val="2"/>
          <w:sz w:val="21"/>
          <w:szCs w:val="21"/>
          <w14:ligatures w14:val="standardContextual"/>
        </w:rPr>
        <w:t xml:space="preserve"> (Demolición y Cerramiento), se solicitarán los dos requerimientos en hasta máximo dos contratos válidos aportados como experiencia general, con los requisitos planteados.</w:t>
      </w:r>
    </w:p>
    <w:p w14:paraId="5AE1E039" w14:textId="77777777" w:rsidR="002B6B2A" w:rsidRPr="002B6B2A" w:rsidRDefault="002B6B2A" w:rsidP="002B6B2A">
      <w:pPr>
        <w:spacing w:after="120" w:line="240" w:lineRule="auto"/>
        <w:ind w:left="709" w:right="709"/>
        <w:jc w:val="both"/>
        <w:rPr>
          <w:rFonts w:ascii="Verdana" w:eastAsia="Aptos" w:hAnsi="Verdana" w:cs="Aptos"/>
          <w:i/>
          <w:iCs/>
          <w:kern w:val="2"/>
          <w:sz w:val="21"/>
          <w:szCs w:val="21"/>
          <w14:ligatures w14:val="standardContextual"/>
        </w:rPr>
      </w:pPr>
      <w:r w:rsidRPr="002B6B2A">
        <w:rPr>
          <w:rFonts w:ascii="Verdana" w:eastAsia="Aptos" w:hAnsi="Verdana" w:cs="Aptos"/>
          <w:i/>
          <w:iCs/>
          <w:kern w:val="2"/>
          <w:sz w:val="21"/>
          <w:szCs w:val="21"/>
          <w14:ligatures w14:val="standardContextual"/>
        </w:rPr>
        <w:t>NOTA: LA ENTIDAD DE ACUERDO CON LA MAGNITUD DEL PROYECTO Y LO CONSIDERADO EN LOS ESTUDIOS PREVIOS, EVALUARA LA PERTINENCIA DE SOLICITAR EXPERIENCIA ESPECIFICA EN LA EJECUCION DE ESTA ACTIVIDAD, ESPECÍFICAMENTE EN LA CONSTRUCCION DE CERRAMIENTOS PARA ESTE TIPO DE INFRAESTRUCTURA</w:t>
      </w:r>
      <w:proofErr w:type="gramStart"/>
      <w:r w:rsidRPr="002B6B2A">
        <w:rPr>
          <w:rFonts w:ascii="Verdana" w:eastAsia="Aptos" w:hAnsi="Verdana" w:cs="Aptos"/>
          <w:i/>
          <w:iCs/>
          <w:kern w:val="2"/>
          <w:sz w:val="21"/>
          <w:szCs w:val="21"/>
          <w14:ligatures w14:val="standardContextual"/>
        </w:rPr>
        <w:t>.”(</w:t>
      </w:r>
      <w:proofErr w:type="gramEnd"/>
      <w:r w:rsidRPr="002B6B2A">
        <w:rPr>
          <w:rFonts w:ascii="Verdana" w:eastAsia="Aptos" w:hAnsi="Verdana" w:cs="Aptos"/>
          <w:i/>
          <w:iCs/>
          <w:kern w:val="2"/>
          <w:sz w:val="21"/>
          <w:szCs w:val="21"/>
          <w14:ligatures w14:val="standardContextual"/>
        </w:rPr>
        <w:t>énfasis fuera del texto original)</w:t>
      </w:r>
    </w:p>
    <w:p w14:paraId="2663C30D" w14:textId="77777777" w:rsidR="002B6B2A" w:rsidRPr="002B6B2A" w:rsidRDefault="002B6B2A" w:rsidP="002B6B2A">
      <w:pPr>
        <w:spacing w:after="120" w:line="240" w:lineRule="auto"/>
        <w:ind w:left="709" w:right="709"/>
        <w:jc w:val="both"/>
        <w:rPr>
          <w:rFonts w:ascii="Verdana" w:eastAsia="Aptos" w:hAnsi="Verdana" w:cs="Aptos"/>
          <w:i/>
          <w:iCs/>
          <w:kern w:val="2"/>
          <w:sz w:val="21"/>
          <w:szCs w:val="21"/>
          <w14:ligatures w14:val="standardContextual"/>
        </w:rPr>
      </w:pPr>
    </w:p>
    <w:p w14:paraId="5C3E831E" w14:textId="77777777" w:rsidR="002B6B2A" w:rsidRPr="002B6B2A" w:rsidRDefault="002B6B2A" w:rsidP="002B6B2A">
      <w:pPr>
        <w:spacing w:after="120" w:line="276" w:lineRule="auto"/>
        <w:ind w:firstLine="708"/>
        <w:jc w:val="both"/>
        <w:rPr>
          <w:rFonts w:ascii="Verdana" w:eastAsia="Calibri" w:hAnsi="Verdana" w:cs="Times New Roman"/>
          <w:kern w:val="2"/>
          <w:lang w:val="es-ES"/>
          <w14:ligatures w14:val="standardContextual"/>
        </w:rPr>
      </w:pPr>
      <w:r w:rsidRPr="002B6B2A">
        <w:rPr>
          <w:rFonts w:ascii="Verdana" w:eastAsia="Calibri" w:hAnsi="Verdana" w:cs="Times New Roman"/>
          <w:kern w:val="2"/>
          <w:lang w:val="es-ES"/>
          <w14:ligatures w14:val="standardContextual"/>
        </w:rPr>
        <w:t>De acuerdo con lo señalado, la actividad 1.3 contenida en la Matriz 1 – Experiencia del sector vivienda indica los diferentes tipos de intervenciones que pueden presentarse. Por ejemplo, comprende actividades relacionadas con “proyectos de demolición y/o (…) cerramiento de vivienda(s) urbana(s)”.</w:t>
      </w:r>
    </w:p>
    <w:p w14:paraId="6538F4FB" w14:textId="77777777" w:rsidR="002B6B2A" w:rsidRPr="002B6B2A" w:rsidRDefault="002B6B2A" w:rsidP="002B6B2A">
      <w:pPr>
        <w:spacing w:after="120" w:line="276" w:lineRule="auto"/>
        <w:ind w:firstLine="708"/>
        <w:jc w:val="both"/>
        <w:rPr>
          <w:rFonts w:ascii="Verdana" w:eastAsia="Calibri" w:hAnsi="Verdana" w:cs="Times New Roman"/>
          <w:kern w:val="2"/>
          <w:lang w:val="es-ES"/>
          <w14:ligatures w14:val="standardContextual"/>
        </w:rPr>
      </w:pPr>
      <w:r w:rsidRPr="002B6B2A">
        <w:rPr>
          <w:rFonts w:ascii="Verdana" w:eastAsia="Calibri" w:hAnsi="Verdana" w:cs="Times New Roman"/>
          <w:kern w:val="2"/>
          <w:lang w:val="es-ES"/>
          <w14:ligatures w14:val="standardContextual"/>
        </w:rPr>
        <w:t xml:space="preserve">Lo anterior evidencia que la actividad de “demolición” puede desarrollarse de manera autónoma. En este supuesto, la propia matriz de experiencia específica contempla que uno de los contratos exigidos dentro de la experiencia general debe incluir actividades de “demolición total o parcial de edificaciones y sus elementos estructurales”. Igualmente, se señala que, en caso de requerirse solo la demolición, la entidad debe indicar los metros cuadrados del área de la </w:t>
      </w:r>
      <w:r w:rsidRPr="002B6B2A">
        <w:rPr>
          <w:rFonts w:ascii="Verdana" w:eastAsia="Calibri" w:hAnsi="Verdana" w:cs="Times New Roman"/>
          <w:kern w:val="2"/>
          <w:lang w:val="es-ES"/>
          <w14:ligatures w14:val="standardContextual"/>
        </w:rPr>
        <w:lastRenderedPageBreak/>
        <w:t xml:space="preserve">edificación sobre la cual va a realizar esta actividad. En este caso, podría por ejemplo determinar el área a partir de una relación geométrica entre volumen y altura promedio de la edificación o elemento a demoler; sin embargo, es a la entidad a quien le corresponde hacer estos análisis a partir de la información técnica que pude estar relacionada con la tipología de la estructura a demoler, características de los elementos a demoler y/o superficie construida de la estructura, entre otros. </w:t>
      </w:r>
    </w:p>
    <w:p w14:paraId="551B2E47" w14:textId="77777777" w:rsidR="002B6B2A" w:rsidRPr="002B6B2A" w:rsidRDefault="002B6B2A" w:rsidP="002B6B2A">
      <w:pPr>
        <w:spacing w:after="120" w:line="276" w:lineRule="auto"/>
        <w:ind w:firstLine="708"/>
        <w:jc w:val="both"/>
        <w:rPr>
          <w:rFonts w:ascii="Verdana" w:eastAsia="Calibri" w:hAnsi="Verdana" w:cs="Times New Roman"/>
          <w:kern w:val="2"/>
          <w:lang w:val="es-ES"/>
          <w14:ligatures w14:val="standardContextual"/>
        </w:rPr>
      </w:pPr>
      <w:r w:rsidRPr="002B6B2A">
        <w:rPr>
          <w:rFonts w:ascii="Verdana" w:eastAsia="Calibri" w:hAnsi="Verdana" w:cs="Times New Roman"/>
          <w:kern w:val="2"/>
          <w:lang w:val="es-ES"/>
          <w14:ligatures w14:val="standardContextual"/>
        </w:rPr>
        <w:t>Para efectos de la aplicación de las actividades señaladas al objeto del proceso de selección que pretende adelantar la entidad, le corresponde a esta definir si la intervención que se pretende realizar sobre la(s) vivienda(s) se limita exclusivamente al cerramiento y/o a la demolición, o si puede enmarcarse en otras actividades contempladas en la Matriz 1 – Experiencia del sector vivienda. Sobre estas, la entidad podrá, de estimarlo pertinente, combinar la experiencia, de acuerdo con lo dispuesto en el numeral 3.5.1 del documento base de los documentos tipo de licitación de obra pública de infraestructura social – versión 2</w:t>
      </w:r>
      <w:r w:rsidRPr="002B6B2A">
        <w:rPr>
          <w:rFonts w:ascii="Verdana" w:eastAsia="Calibri" w:hAnsi="Verdana" w:cs="Times New Roman"/>
          <w:kern w:val="2"/>
          <w:vertAlign w:val="superscript"/>
          <w:lang w:val="es-ES"/>
          <w14:ligatures w14:val="standardContextual"/>
        </w:rPr>
        <w:footnoteReference w:id="2"/>
      </w:r>
      <w:r w:rsidRPr="002B6B2A">
        <w:rPr>
          <w:rFonts w:ascii="Verdana" w:eastAsia="Calibri" w:hAnsi="Verdana" w:cs="Times New Roman"/>
          <w:kern w:val="2"/>
          <w:lang w:val="es-ES"/>
          <w14:ligatures w14:val="standardContextual"/>
        </w:rPr>
        <w:t>.</w:t>
      </w:r>
    </w:p>
    <w:p w14:paraId="0ECB459E" w14:textId="77777777" w:rsidR="002B6B2A" w:rsidRPr="002B6B2A" w:rsidRDefault="002B6B2A" w:rsidP="002B6B2A">
      <w:pPr>
        <w:spacing w:after="120" w:line="276" w:lineRule="auto"/>
        <w:ind w:firstLine="708"/>
        <w:jc w:val="both"/>
        <w:rPr>
          <w:rFonts w:ascii="Aptos" w:eastAsia="Aptos" w:hAnsi="Aptos" w:cs="Aptos"/>
          <w:i/>
          <w:iCs/>
          <w:kern w:val="2"/>
          <w14:ligatures w14:val="standardContextual"/>
        </w:rPr>
      </w:pPr>
      <w:r w:rsidRPr="002B6B2A">
        <w:rPr>
          <w:rFonts w:ascii="Verdana" w:eastAsia="Calibri" w:hAnsi="Verdana" w:cs="Arial"/>
          <w:color w:val="0D0D0D"/>
        </w:rPr>
        <w:t xml:space="preserve">Asimismo, le indicamos que para efectos de determinar el alcance de la actividad de “demolición” contenida en la Matriz 1 – Experiencia Sector Vivienda, debe tenerse en cuenta </w:t>
      </w:r>
      <w:r w:rsidRPr="002B6B2A">
        <w:rPr>
          <w:rFonts w:ascii="Verdana" w:eastAsia="Calibri" w:hAnsi="Verdana" w:cs="Arial"/>
          <w:lang w:val="es-ES_tradnl"/>
        </w:rPr>
        <w:t>que, el numeral 1.10 del documento base dispone que “</w:t>
      </w:r>
      <w:r w:rsidRPr="002B6B2A">
        <w:rPr>
          <w:rFonts w:ascii="Verdana" w:eastAsia="Calibri" w:hAnsi="Verdana" w:cs="Arial"/>
          <w:lang w:val="es-MX"/>
        </w:rPr>
        <w:t>[p]ara los fines de este Pliego de Condiciones, a menos que expresamente se estipule de otra manera, los términos deben entenderse de acuerdo con la definición contenida en el artículo 2.2.1.1.1.3.1 del Decreto 1082 de 2015, el glosario aplicable a la obra pública de infraestructura social y demás normas, decretos reglamentarios y legislación aplicable en la materia</w:t>
      </w:r>
      <w:r w:rsidRPr="002B6B2A">
        <w:rPr>
          <w:rFonts w:ascii="Verdana" w:eastAsia="Calibri" w:hAnsi="Verdana" w:cs="Arial"/>
          <w:lang w:val="es-ES_tradnl"/>
        </w:rPr>
        <w:t xml:space="preserve">”. Así, para determinar el alcance de dicha actividad, el numeral 2.67 del Anexo 5 – Glosario, la define en los siguientes términos: </w:t>
      </w:r>
      <w:r w:rsidRPr="002B6B2A">
        <w:rPr>
          <w:rFonts w:ascii="Verdana" w:eastAsia="Calibri" w:hAnsi="Verdana" w:cs="Arial"/>
          <w:b/>
          <w:bCs/>
          <w:i/>
          <w:iCs/>
          <w:lang w:val="es-ES_tradnl"/>
        </w:rPr>
        <w:t>“Demolición:</w:t>
      </w:r>
      <w:r w:rsidRPr="002B6B2A">
        <w:rPr>
          <w:rFonts w:ascii="Verdana" w:eastAsia="Calibri" w:hAnsi="Verdana" w:cs="Arial"/>
          <w:lang w:val="es-ES_tradnl"/>
        </w:rPr>
        <w:t xml:space="preserve"> (…) derribar total o parcialmente una o varias edificaciones existentes en uno o varios predios (…)”.</w:t>
      </w:r>
      <w:r w:rsidRPr="002B6B2A">
        <w:rPr>
          <w:rFonts w:ascii="Aptos" w:eastAsia="Aptos" w:hAnsi="Aptos" w:cs="Aptos"/>
          <w:i/>
          <w:iCs/>
          <w:kern w:val="2"/>
          <w14:ligatures w14:val="standardContextual"/>
        </w:rPr>
        <w:t xml:space="preserve">  </w:t>
      </w:r>
    </w:p>
    <w:p w14:paraId="273A807D" w14:textId="77777777" w:rsidR="002B6B2A" w:rsidRPr="002B6B2A" w:rsidRDefault="002B6B2A" w:rsidP="002B6B2A">
      <w:pPr>
        <w:spacing w:after="0" w:line="276" w:lineRule="auto"/>
        <w:ind w:firstLine="708"/>
        <w:jc w:val="both"/>
        <w:rPr>
          <w:rFonts w:ascii="Verdana" w:eastAsia="Aptos" w:hAnsi="Verdana" w:cs="Aptos"/>
          <w:kern w:val="2"/>
          <w:sz w:val="21"/>
          <w:szCs w:val="21"/>
          <w14:ligatures w14:val="standardContextual"/>
        </w:rPr>
      </w:pPr>
      <w:r w:rsidRPr="002B6B2A">
        <w:rPr>
          <w:rFonts w:ascii="Verdana" w:eastAsia="Calibri" w:hAnsi="Verdana" w:cs="Arial"/>
          <w:lang w:val="es-ES"/>
        </w:rPr>
        <w:t xml:space="preserve">Así las cosas, la Agencia Nacional de Contratación Pública – Colombia Compra Eficiente informa que, a partir del 16 de febrero de 2026, cuando una entidad de aquellas obligadas a utilizar los Documentos Tipo expedidos por esta Entidad adelante un proceso cuyo objeto sea </w:t>
      </w:r>
      <w:r w:rsidRPr="002B6B2A">
        <w:rPr>
          <w:rFonts w:ascii="Verdana" w:eastAsia="Aptos" w:hAnsi="Verdana" w:cs="Aptos"/>
          <w:kern w:val="2"/>
          <w:sz w:val="21"/>
          <w:szCs w:val="21"/>
          <w14:ligatures w14:val="standardContextual"/>
        </w:rPr>
        <w:t xml:space="preserve">demolición y/o construcción y/o </w:t>
      </w:r>
      <w:r w:rsidRPr="002B6B2A">
        <w:rPr>
          <w:rFonts w:ascii="Verdana" w:eastAsia="Aptos" w:hAnsi="Verdana" w:cs="Aptos"/>
          <w:kern w:val="2"/>
          <w:sz w:val="21"/>
          <w:szCs w:val="21"/>
          <w14:ligatures w14:val="standardContextual"/>
        </w:rPr>
        <w:lastRenderedPageBreak/>
        <w:t xml:space="preserve">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de cerramiento, todos estos sobre vivienda(s) urbana(s), </w:t>
      </w:r>
      <w:r w:rsidRPr="002B6B2A">
        <w:rPr>
          <w:rFonts w:ascii="Verdana" w:eastAsia="Calibri" w:hAnsi="Verdana" w:cs="Arial"/>
          <w:lang w:val="es-ES"/>
        </w:rPr>
        <w:t>deberá aplicar los Documentos Tipo complementarios señalados, adoptados por esta Agencia mediante la Resolución 539 de 2025.</w:t>
      </w:r>
    </w:p>
    <w:p w14:paraId="0A5FF6D5" w14:textId="77777777" w:rsidR="002B6B2A" w:rsidRPr="002B6B2A" w:rsidRDefault="002B6B2A" w:rsidP="002B6B2A">
      <w:pPr>
        <w:spacing w:after="0" w:line="276" w:lineRule="auto"/>
        <w:jc w:val="both"/>
        <w:rPr>
          <w:rFonts w:ascii="Verdana" w:eastAsia="Aptos" w:hAnsi="Verdana" w:cs="Aptos"/>
          <w:kern w:val="2"/>
          <w14:ligatures w14:val="standardContextual"/>
        </w:rPr>
      </w:pPr>
    </w:p>
    <w:p w14:paraId="1E8CFE6E" w14:textId="77777777" w:rsidR="002B6B2A" w:rsidRPr="002B6B2A" w:rsidRDefault="002B6B2A" w:rsidP="002B6B2A">
      <w:pPr>
        <w:snapToGrid w:val="0"/>
        <w:spacing w:after="120" w:line="276" w:lineRule="auto"/>
        <w:jc w:val="both"/>
        <w:rPr>
          <w:rFonts w:ascii="Verdana" w:eastAsia="Times New Roman" w:hAnsi="Verdana" w:cs="Arial"/>
          <w:kern w:val="2"/>
          <w:sz w:val="24"/>
          <w:szCs w:val="24"/>
          <w:shd w:val="clear" w:color="auto" w:fill="FFFFFF"/>
          <w:lang w:val="es-ES_tradnl" w:eastAsia="es-ES_tradnl"/>
          <w14:ligatures w14:val="standardContextual"/>
        </w:rPr>
      </w:pPr>
      <w:proofErr w:type="spellStart"/>
      <w:r w:rsidRPr="002B6B2A">
        <w:rPr>
          <w:rFonts w:ascii="Verdana" w:eastAsia="Calibri" w:hAnsi="Verdana" w:cs="Arial"/>
        </w:rPr>
        <w:t>iv</w:t>
      </w:r>
      <w:proofErr w:type="spellEnd"/>
      <w:r w:rsidRPr="002B6B2A">
        <w:rPr>
          <w:rFonts w:ascii="Verdana" w:eastAsia="Calibri" w:hAnsi="Verdana" w:cs="Arial"/>
        </w:rPr>
        <w:t xml:space="preserve">. </w:t>
      </w:r>
      <w:r w:rsidRPr="002B6B2A">
        <w:rPr>
          <w:rFonts w:ascii="Verdana" w:eastAsia="Aptos" w:hAnsi="Verdana" w:cs="Aptos"/>
          <w:kern w:val="2"/>
          <w14:ligatures w14:val="standardContextual"/>
        </w:rPr>
        <w:t>Sin perjuicio de las aclaraciones anteriores, debe advertirse que es la entidad contratante, al momento de adelantar sus actividades de planeación de cada proceso contractual, quien debe determinar si de acuerdo con las particularidades del contrato a ejecutar, este encaja o no dentro de alguna de las actividades de la matriz 1 de cada documento tipo, y si en consecuencia deben aplicarse o no determinados documentos tipo, conforme a los parámetros indicados en este concepto. Lo anterior sin que pueda apartarse de su aplicación cuando materialmente el objeto a contratar corresponde con alguna actividad de contemplada en dicha matriz.</w:t>
      </w:r>
      <w:r w:rsidRPr="002B6B2A">
        <w:rPr>
          <w:rFonts w:ascii="Verdana" w:eastAsia="Times New Roman" w:hAnsi="Verdana" w:cs="Arial"/>
          <w:kern w:val="2"/>
          <w:sz w:val="24"/>
          <w:szCs w:val="24"/>
          <w:shd w:val="clear" w:color="auto" w:fill="FFFFFF"/>
          <w:lang w:val="es-ES_tradnl" w:eastAsia="es-ES_tradnl"/>
          <w14:ligatures w14:val="standardContextual"/>
        </w:rPr>
        <w:t xml:space="preserve"> </w:t>
      </w:r>
    </w:p>
    <w:p w14:paraId="22098C84" w14:textId="77777777" w:rsidR="002B6B2A" w:rsidRPr="002B6B2A" w:rsidRDefault="002B6B2A" w:rsidP="002B6B2A">
      <w:pPr>
        <w:spacing w:after="120" w:line="276" w:lineRule="auto"/>
        <w:ind w:firstLine="708"/>
        <w:jc w:val="both"/>
        <w:rPr>
          <w:rFonts w:ascii="Verdana" w:eastAsia="Aptos" w:hAnsi="Verdana" w:cs="Times New Roman"/>
          <w:kern w:val="2"/>
          <w14:ligatures w14:val="standardContextual"/>
        </w:rPr>
      </w:pPr>
      <w:r w:rsidRPr="002B6B2A">
        <w:rPr>
          <w:rFonts w:ascii="Verdana" w:eastAsia="Calibri" w:hAnsi="Verdana" w:cs="Arial"/>
          <w:bCs/>
          <w:color w:val="000000"/>
          <w:kern w:val="2"/>
          <w14:ligatures w14:val="standardContextual"/>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3607386" w14:textId="77777777" w:rsidR="002B6B2A" w:rsidRPr="002B6B2A" w:rsidRDefault="002B6B2A" w:rsidP="002B6B2A">
      <w:pPr>
        <w:spacing w:after="0" w:line="276" w:lineRule="auto"/>
        <w:ind w:firstLine="708"/>
        <w:jc w:val="both"/>
        <w:rPr>
          <w:rFonts w:ascii="Verdana" w:eastAsia="Calibri" w:hAnsi="Verdana" w:cs="Arial"/>
          <w:bCs/>
          <w:color w:val="000000"/>
          <w:kern w:val="2"/>
          <w14:ligatures w14:val="standardContextual"/>
        </w:rPr>
      </w:pPr>
      <w:r w:rsidRPr="002B6B2A">
        <w:rPr>
          <w:rFonts w:ascii="Verdana" w:eastAsia="Calibri" w:hAnsi="Verdana" w:cs="Arial"/>
          <w:bCs/>
          <w:color w:val="000000"/>
          <w:kern w:val="2"/>
          <w14:ligatures w14:val="standardContextual"/>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063CD824" w14:textId="77777777" w:rsidR="002B6B2A" w:rsidRPr="002B6B2A" w:rsidRDefault="002B6B2A" w:rsidP="002B6B2A">
      <w:pPr>
        <w:spacing w:after="0" w:line="276" w:lineRule="auto"/>
        <w:jc w:val="both"/>
        <w:rPr>
          <w:rFonts w:ascii="Verdana" w:eastAsia="Calibri" w:hAnsi="Verdana" w:cs="Times New Roman"/>
        </w:rPr>
      </w:pPr>
    </w:p>
    <w:p w14:paraId="673C853D" w14:textId="77777777" w:rsidR="002B6B2A" w:rsidRPr="002B6B2A" w:rsidRDefault="002B6B2A" w:rsidP="002B6B2A">
      <w:pPr>
        <w:tabs>
          <w:tab w:val="left" w:pos="142"/>
          <w:tab w:val="left" w:pos="284"/>
        </w:tabs>
        <w:spacing w:after="0" w:line="276" w:lineRule="auto"/>
        <w:jc w:val="both"/>
        <w:rPr>
          <w:rFonts w:ascii="Verdana" w:eastAsia="Century Gothic" w:hAnsi="Verdana" w:cs="Century Gothic"/>
          <w:b/>
          <w:bCs/>
          <w:lang w:val="es-ES_tradnl"/>
        </w:rPr>
      </w:pPr>
      <w:r w:rsidRPr="002B6B2A">
        <w:rPr>
          <w:rFonts w:ascii="Verdana" w:eastAsia="Century Gothic" w:hAnsi="Verdana" w:cs="Century Gothic"/>
          <w:b/>
          <w:bCs/>
          <w:lang w:val="es-ES_tradnl"/>
        </w:rPr>
        <w:lastRenderedPageBreak/>
        <w:t>4. Referencias normativas, jurisprudenciales y otras fuentes:</w:t>
      </w:r>
    </w:p>
    <w:p w14:paraId="17D05CCA" w14:textId="77777777" w:rsidR="002B6B2A" w:rsidRPr="002B6B2A" w:rsidRDefault="002B6B2A" w:rsidP="002B6B2A">
      <w:pPr>
        <w:spacing w:after="0"/>
        <w:ind w:left="-15840"/>
        <w:jc w:val="both"/>
        <w:rPr>
          <w:rFonts w:ascii="Verdana" w:eastAsia="Calibri" w:hAnsi="Verdana" w:cs="Arial"/>
          <w:b/>
          <w:bCs/>
        </w:rPr>
      </w:pPr>
      <w:r w:rsidRPr="002B6B2A">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2B6B2A" w:rsidRPr="002B6B2A" w14:paraId="04C89999" w14:textId="77777777" w:rsidTr="008A62F8">
        <w:trPr>
          <w:trHeight w:val="870"/>
        </w:trPr>
        <w:tc>
          <w:tcPr>
            <w:tcW w:w="8647" w:type="dxa"/>
            <w:tcBorders>
              <w:top w:val="dotted" w:sz="4" w:space="0" w:color="auto"/>
              <w:left w:val="dotted" w:sz="4" w:space="0" w:color="auto"/>
              <w:bottom w:val="dotted" w:sz="4" w:space="0" w:color="auto"/>
              <w:right w:val="dotted" w:sz="4" w:space="0" w:color="auto"/>
            </w:tcBorders>
          </w:tcPr>
          <w:p w14:paraId="2F846CE1" w14:textId="77777777" w:rsidR="002B6B2A" w:rsidRPr="002B6B2A" w:rsidRDefault="002B6B2A" w:rsidP="002B6B2A">
            <w:pPr>
              <w:widowControl w:val="0"/>
              <w:numPr>
                <w:ilvl w:val="0"/>
                <w:numId w:val="16"/>
              </w:numPr>
              <w:autoSpaceDE w:val="0"/>
              <w:autoSpaceDN w:val="0"/>
              <w:spacing w:line="276" w:lineRule="auto"/>
              <w:jc w:val="both"/>
              <w:rPr>
                <w:rFonts w:ascii="Verdana" w:eastAsia="Calibri" w:hAnsi="Verdana" w:cs="Arial"/>
              </w:rPr>
            </w:pPr>
            <w:r w:rsidRPr="002B6B2A">
              <w:rPr>
                <w:rFonts w:ascii="Verdana" w:eastAsia="Calibri" w:hAnsi="Verdana" w:cs="Arial"/>
              </w:rPr>
              <w:t xml:space="preserve">Ley 2022 de 2020, artículo 1. </w:t>
            </w:r>
          </w:p>
          <w:p w14:paraId="0651AFC2" w14:textId="77777777" w:rsidR="002B6B2A" w:rsidRPr="002B6B2A" w:rsidRDefault="002B6B2A" w:rsidP="002B6B2A">
            <w:pPr>
              <w:widowControl w:val="0"/>
              <w:numPr>
                <w:ilvl w:val="0"/>
                <w:numId w:val="16"/>
              </w:numPr>
              <w:autoSpaceDE w:val="0"/>
              <w:autoSpaceDN w:val="0"/>
              <w:spacing w:line="276" w:lineRule="auto"/>
              <w:jc w:val="both"/>
              <w:rPr>
                <w:rFonts w:ascii="Verdana" w:eastAsia="Calibri" w:hAnsi="Verdana" w:cs="Arial"/>
              </w:rPr>
            </w:pPr>
            <w:r w:rsidRPr="002B6B2A">
              <w:rPr>
                <w:rFonts w:ascii="Verdana" w:eastAsia="Calibri" w:hAnsi="Verdana" w:cs="Arial"/>
              </w:rPr>
              <w:t>Ley 1150 de 2007, artículo 2.</w:t>
            </w:r>
          </w:p>
          <w:p w14:paraId="06D06BEA" w14:textId="77777777" w:rsidR="002B6B2A" w:rsidRPr="002B6B2A" w:rsidRDefault="002B6B2A" w:rsidP="002B6B2A">
            <w:pPr>
              <w:widowControl w:val="0"/>
              <w:numPr>
                <w:ilvl w:val="0"/>
                <w:numId w:val="16"/>
              </w:numPr>
              <w:autoSpaceDE w:val="0"/>
              <w:autoSpaceDN w:val="0"/>
              <w:spacing w:line="276" w:lineRule="auto"/>
              <w:contextualSpacing/>
              <w:jc w:val="both"/>
              <w:rPr>
                <w:rFonts w:ascii="Verdana" w:eastAsia="Calibri" w:hAnsi="Verdana" w:cs="Arial"/>
              </w:rPr>
            </w:pPr>
            <w:r w:rsidRPr="002B6B2A">
              <w:rPr>
                <w:rFonts w:ascii="Verdana" w:eastAsia="Calibri" w:hAnsi="Verdana" w:cs="Arial"/>
                <w:lang w:val="es-ES_tradnl"/>
              </w:rPr>
              <w:t xml:space="preserve">Documentos Tipo. Disponibles en: </w:t>
            </w:r>
            <w:hyperlink r:id="rId12" w:history="1">
              <w:r w:rsidRPr="002B6B2A">
                <w:rPr>
                  <w:rFonts w:ascii="Verdana" w:eastAsia="Calibri" w:hAnsi="Verdana" w:cs="Arial"/>
                  <w:color w:val="0000FF"/>
                  <w:u w:val="single"/>
                  <w:lang w:val="es-ES_tradnl"/>
                </w:rPr>
                <w:t>https://www.colombiacompra.gov.co/documentos-tipo/documentos-tipo</w:t>
              </w:r>
            </w:hyperlink>
            <w:r w:rsidRPr="002B6B2A">
              <w:rPr>
                <w:rFonts w:ascii="Verdana" w:eastAsia="Calibri" w:hAnsi="Verdana" w:cs="Arial"/>
                <w:lang w:val="es-ES_tradnl"/>
              </w:rPr>
              <w:t>.</w:t>
            </w:r>
          </w:p>
        </w:tc>
      </w:tr>
    </w:tbl>
    <w:p w14:paraId="1EB92ECB" w14:textId="77777777" w:rsidR="002B6B2A" w:rsidRPr="002B6B2A" w:rsidRDefault="002B6B2A" w:rsidP="002B6B2A">
      <w:pPr>
        <w:tabs>
          <w:tab w:val="left" w:pos="142"/>
          <w:tab w:val="left" w:pos="284"/>
        </w:tabs>
        <w:spacing w:after="0" w:line="276" w:lineRule="auto"/>
        <w:jc w:val="both"/>
        <w:rPr>
          <w:rFonts w:ascii="Verdana" w:eastAsia="Calibri" w:hAnsi="Verdana" w:cs="Arial"/>
        </w:rPr>
      </w:pPr>
    </w:p>
    <w:p w14:paraId="4144DBAA" w14:textId="77777777" w:rsidR="002B6B2A" w:rsidRPr="002B6B2A" w:rsidRDefault="002B6B2A" w:rsidP="002B6B2A">
      <w:pPr>
        <w:tabs>
          <w:tab w:val="left" w:pos="142"/>
          <w:tab w:val="left" w:pos="284"/>
        </w:tabs>
        <w:spacing w:after="0" w:line="276" w:lineRule="auto"/>
        <w:jc w:val="both"/>
        <w:rPr>
          <w:rFonts w:ascii="Verdana" w:eastAsia="Century Gothic" w:hAnsi="Verdana" w:cs="Century Gothic"/>
          <w:b/>
          <w:bCs/>
          <w:lang w:val="es-ES"/>
        </w:rPr>
      </w:pPr>
      <w:r w:rsidRPr="002B6B2A">
        <w:rPr>
          <w:rFonts w:ascii="Verdana" w:eastAsia="Calibri" w:hAnsi="Verdana" w:cs="Arial"/>
          <w:b/>
          <w:bCs/>
        </w:rPr>
        <w:t>5</w:t>
      </w:r>
      <w:r w:rsidRPr="002B6B2A">
        <w:rPr>
          <w:rFonts w:ascii="Verdana" w:eastAsia="Calibri" w:hAnsi="Verdana" w:cs="Arial"/>
        </w:rPr>
        <w:t>.</w:t>
      </w:r>
      <w:r w:rsidRPr="002B6B2A">
        <w:rPr>
          <w:rFonts w:ascii="Verdana" w:eastAsia="Century Gothic" w:hAnsi="Verdana" w:cs="Century Gothic"/>
          <w:b/>
          <w:bCs/>
          <w:lang w:val="es-ES"/>
        </w:rPr>
        <w:t>Doctrina de la Agencia Nacional de Contratación Pública:</w:t>
      </w:r>
    </w:p>
    <w:p w14:paraId="09ABF243" w14:textId="77777777" w:rsidR="002B6B2A" w:rsidRPr="002B6B2A" w:rsidRDefault="002B6B2A" w:rsidP="002B6B2A">
      <w:pPr>
        <w:widowControl w:val="0"/>
        <w:autoSpaceDE w:val="0"/>
        <w:autoSpaceDN w:val="0"/>
        <w:spacing w:after="0" w:line="276" w:lineRule="auto"/>
        <w:jc w:val="both"/>
        <w:rPr>
          <w:rFonts w:ascii="Verdana" w:eastAsia="Calibri" w:hAnsi="Verdana" w:cs="Arial"/>
        </w:rPr>
      </w:pPr>
    </w:p>
    <w:p w14:paraId="24799E3A" w14:textId="77777777" w:rsidR="002B6B2A" w:rsidRPr="002B6B2A" w:rsidRDefault="002B6B2A" w:rsidP="002B6B2A">
      <w:pPr>
        <w:spacing w:after="0" w:line="276" w:lineRule="auto"/>
        <w:jc w:val="both"/>
        <w:rPr>
          <w:rFonts w:ascii="Verdana" w:eastAsia="Calibri" w:hAnsi="Verdana" w:cs="Arial"/>
          <w:kern w:val="2"/>
          <w:shd w:val="clear" w:color="auto" w:fill="FFFFFF"/>
          <w:lang w:val="es-ES"/>
          <w14:ligatures w14:val="standardContextual"/>
        </w:rPr>
      </w:pPr>
      <w:r w:rsidRPr="002B6B2A">
        <w:rPr>
          <w:rFonts w:ascii="Verdana" w:eastAsia="Calibri" w:hAnsi="Verdana" w:cs="Arial"/>
          <w:kern w:val="2"/>
          <w:shd w:val="clear" w:color="auto" w:fill="FFFFFF"/>
          <w:lang w:val="es-ES"/>
          <w14:ligatures w14:val="standardContextual"/>
        </w:rPr>
        <w:t>La Agencia Nacional de Contratación Pública – Colombia Compra Eficiente se pronunció</w:t>
      </w:r>
      <w:r w:rsidRPr="002B6B2A">
        <w:rPr>
          <w:rFonts w:ascii="Verdana" w:eastAsia="Calibri" w:hAnsi="Verdana" w:cs="Times New Roman"/>
          <w:kern w:val="2"/>
          <w14:ligatures w14:val="standardContextual"/>
        </w:rPr>
        <w:t xml:space="preserve"> </w:t>
      </w:r>
      <w:r w:rsidRPr="002B6B2A">
        <w:rPr>
          <w:rFonts w:ascii="Verdana" w:eastAsia="Calibri" w:hAnsi="Verdana" w:cs="Arial"/>
          <w:kern w:val="2"/>
          <w:shd w:val="clear" w:color="auto" w:fill="FFFFFF"/>
          <w:lang w:val="es-ES"/>
          <w14:ligatures w14:val="standardContextual"/>
        </w:rPr>
        <w:t>sobre el ámbito de aplicación de los documentos tipo de 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2023,C-231 del 30 de junio de 2023, C-587 del 23 de octubre de 2024,</w:t>
      </w:r>
      <w:r w:rsidRPr="002B6B2A">
        <w:rPr>
          <w:rFonts w:ascii="Verdana" w:eastAsia="Calibri" w:hAnsi="Verdana" w:cs="Arial"/>
          <w:kern w:val="2"/>
          <w:shd w:val="clear" w:color="auto" w:fill="FFFFFF"/>
          <w:lang w:val="es-ES"/>
          <w14:ligatures w14:val="standardContextual"/>
        </w:rPr>
        <w:tab/>
        <w:t xml:space="preserve">C-636 del 1 de noviembre de 2024, C-777 del 9 de diciembre de 2024, C-971 del 21 de enero de 2025 y C-1813 del 31 de diciembre de 2025, entre otros. </w:t>
      </w:r>
    </w:p>
    <w:p w14:paraId="68B7DF26" w14:textId="77777777" w:rsidR="002B6B2A" w:rsidRPr="002B6B2A" w:rsidRDefault="002B6B2A" w:rsidP="002B6B2A">
      <w:pPr>
        <w:spacing w:after="0" w:line="240" w:lineRule="auto"/>
        <w:jc w:val="both"/>
        <w:rPr>
          <w:rFonts w:ascii="Verdana" w:eastAsia="Calibri" w:hAnsi="Verdana" w:cs="Arial"/>
          <w:color w:val="000000"/>
          <w:shd w:val="clear" w:color="auto" w:fill="FFFFFF"/>
        </w:rPr>
      </w:pPr>
    </w:p>
    <w:p w14:paraId="70F8AAF7" w14:textId="77777777" w:rsidR="002B6B2A" w:rsidRPr="002B6B2A" w:rsidRDefault="002B6B2A" w:rsidP="002B6B2A">
      <w:pPr>
        <w:widowControl w:val="0"/>
        <w:autoSpaceDE w:val="0"/>
        <w:autoSpaceDN w:val="0"/>
        <w:spacing w:after="0" w:line="276" w:lineRule="auto"/>
        <w:jc w:val="both"/>
        <w:rPr>
          <w:rFonts w:ascii="Verdana" w:eastAsia="Calibri" w:hAnsi="Verdana" w:cs="Arial"/>
          <w:color w:val="0000FF"/>
          <w:u w:val="single"/>
          <w:shd w:val="clear" w:color="auto" w:fill="FFFFFF"/>
        </w:rPr>
      </w:pPr>
      <w:r w:rsidRPr="002B6B2A">
        <w:rPr>
          <w:rFonts w:ascii="Verdana" w:eastAsia="Calibri" w:hAnsi="Verdana" w:cs="Arial"/>
          <w:color w:val="000000"/>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3" w:tgtFrame="_blank" w:tooltip="Dirección URL original: https://relatoria.colombiacompra.gov.co/. Haga clic o pulse si confía en este vínculo." w:history="1">
        <w:r w:rsidRPr="002B6B2A">
          <w:rPr>
            <w:rFonts w:ascii="Verdana" w:eastAsia="Calibri" w:hAnsi="Verdana" w:cs="Arial"/>
            <w:color w:val="0000FF"/>
            <w:u w:val="single"/>
            <w:shd w:val="clear" w:color="auto" w:fill="FFFFFF"/>
          </w:rPr>
          <w:t>https://relatoria.colombiacompra.gov.co/</w:t>
        </w:r>
      </w:hyperlink>
      <w:r w:rsidRPr="002B6B2A">
        <w:rPr>
          <w:rFonts w:ascii="Verdana" w:eastAsia="Calibri" w:hAnsi="Verdana" w:cs="Arial"/>
          <w:color w:val="0000FF"/>
          <w:u w:val="single"/>
          <w:shd w:val="clear" w:color="auto" w:fill="FFFFFF"/>
        </w:rPr>
        <w:t> .</w:t>
      </w:r>
    </w:p>
    <w:p w14:paraId="0EC3B0BB" w14:textId="77777777" w:rsidR="002B6B2A" w:rsidRPr="002B6B2A" w:rsidRDefault="002B6B2A" w:rsidP="002B6B2A">
      <w:pPr>
        <w:widowControl w:val="0"/>
        <w:autoSpaceDE w:val="0"/>
        <w:autoSpaceDN w:val="0"/>
        <w:spacing w:after="0" w:line="276" w:lineRule="auto"/>
        <w:jc w:val="both"/>
        <w:rPr>
          <w:rFonts w:ascii="Verdana" w:eastAsia="Calibri" w:hAnsi="Verdana" w:cs="Arial"/>
          <w:color w:val="0000FF"/>
          <w:u w:val="single"/>
          <w:shd w:val="clear" w:color="auto" w:fill="FFFFFF"/>
        </w:rPr>
      </w:pPr>
    </w:p>
    <w:p w14:paraId="045FB819" w14:textId="77777777" w:rsidR="002B6B2A" w:rsidRPr="002B6B2A" w:rsidRDefault="002B6B2A" w:rsidP="002B6B2A">
      <w:pPr>
        <w:spacing w:after="0" w:line="276" w:lineRule="auto"/>
        <w:jc w:val="both"/>
        <w:rPr>
          <w:rFonts w:ascii="Verdana" w:eastAsia="Aptos" w:hAnsi="Verdana" w:cs="Arial"/>
          <w:kern w:val="2"/>
          <w14:ligatures w14:val="standardContextual"/>
        </w:rPr>
      </w:pPr>
      <w:r w:rsidRPr="002B6B2A">
        <w:rPr>
          <w:rFonts w:ascii="Verdana" w:eastAsia="Aptos" w:hAnsi="Verdana" w:cs="Arial"/>
          <w:kern w:val="2"/>
          <w14:ligatures w14:val="standardContextual"/>
        </w:rPr>
        <w:t xml:space="preserve">La sostenibilidad no es una opción, es una obligación. Por ello, la Agencia Nacional de Contratación Pública –Colombia Compra Eficiente– te invita a realizar el </w:t>
      </w:r>
      <w:r w:rsidRPr="002B6B2A">
        <w:rPr>
          <w:rFonts w:ascii="Verdana" w:eastAsia="Aptos" w:hAnsi="Verdana" w:cs="Arial"/>
          <w:b/>
          <w:bCs/>
          <w:kern w:val="2"/>
          <w14:ligatures w14:val="standardContextual"/>
        </w:rPr>
        <w:t>Curso de Contratación Pública Sostenible y Socialmente Responsable</w:t>
      </w:r>
      <w:r w:rsidRPr="002B6B2A">
        <w:rPr>
          <w:rFonts w:ascii="Verdana" w:eastAsia="Aptos" w:hAnsi="Verdana" w:cs="Arial"/>
          <w:kern w:val="2"/>
          <w14:ligatures w14:val="standardContextual"/>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2B6B2A">
        <w:rPr>
          <w:rFonts w:ascii="Verdana" w:eastAsia="Aptos" w:hAnsi="Verdana" w:cs="Arial"/>
          <w:kern w:val="2"/>
          <w14:ligatures w14:val="standardContextual"/>
        </w:rPr>
        <w:br/>
      </w:r>
      <w:hyperlink r:id="rId14" w:tgtFrame="_new" w:history="1">
        <w:r w:rsidRPr="002B6B2A">
          <w:rPr>
            <w:rFonts w:ascii="Verdana" w:eastAsia="Aptos" w:hAnsi="Verdana" w:cs="Arial"/>
            <w:color w:val="0000FF"/>
            <w:kern w:val="2"/>
            <w:u w:val="single"/>
            <w14:ligatures w14:val="standardContextual"/>
          </w:rPr>
          <w:t>https://formacionvirtual.colombiacompra.gov.co/mod/page/view.php?id=3718</w:t>
        </w:r>
      </w:hyperlink>
    </w:p>
    <w:p w14:paraId="67265977" w14:textId="77777777" w:rsidR="002B6B2A" w:rsidRPr="002B6B2A" w:rsidRDefault="002B6B2A" w:rsidP="002B6B2A">
      <w:pPr>
        <w:spacing w:after="0" w:line="276" w:lineRule="auto"/>
        <w:jc w:val="both"/>
        <w:rPr>
          <w:rFonts w:ascii="Verdana" w:eastAsia="Aptos" w:hAnsi="Verdana" w:cs="Arial"/>
          <w:kern w:val="2"/>
          <w14:ligatures w14:val="standardContextual"/>
        </w:rPr>
      </w:pPr>
      <w:r w:rsidRPr="002B6B2A">
        <w:rPr>
          <w:rFonts w:ascii="Verdana" w:eastAsia="Aptos" w:hAnsi="Verdana" w:cs="Arial"/>
          <w:kern w:val="2"/>
          <w14:ligatures w14:val="standardContextual"/>
        </w:rPr>
        <w:lastRenderedPageBreak/>
        <w:t xml:space="preserve">De otro lado, te contamos que esta Agencia ha da un paso decisivo en la estandarización y modernización del </w:t>
      </w:r>
      <w:r w:rsidRPr="002B6B2A">
        <w:rPr>
          <w:rFonts w:ascii="Verdana" w:eastAsia="Aptos" w:hAnsi="Verdana" w:cs="Arial"/>
          <w:b/>
          <w:bCs/>
          <w:kern w:val="2"/>
          <w14:ligatures w14:val="standardContextual"/>
        </w:rPr>
        <w:t>sector  social</w:t>
      </w:r>
      <w:r w:rsidRPr="002B6B2A">
        <w:rPr>
          <w:rFonts w:ascii="Verdana" w:eastAsia="Aptos" w:hAnsi="Verdana" w:cs="Arial"/>
          <w:kern w:val="2"/>
          <w14:ligatures w14:val="standardContextual"/>
        </w:rPr>
        <w:t xml:space="preserve"> con la expedición de las </w:t>
      </w:r>
      <w:r w:rsidRPr="002B6B2A">
        <w:rPr>
          <w:rFonts w:ascii="Verdana" w:eastAsia="Aptos" w:hAnsi="Verdana" w:cs="Arial"/>
          <w:b/>
          <w:bCs/>
          <w:kern w:val="2"/>
          <w14:ligatures w14:val="standardContextual"/>
        </w:rPr>
        <w:t>Resoluciones 539, 540, 541, 952 y 953 de 2025</w:t>
      </w:r>
      <w:r w:rsidRPr="002B6B2A">
        <w:rPr>
          <w:rFonts w:ascii="Verdana" w:eastAsia="Aptos" w:hAnsi="Verdana" w:cs="Arial"/>
          <w:kern w:val="2"/>
          <w14:ligatures w14:val="standardContextual"/>
        </w:rPr>
        <w:t xml:space="preserve">, </w:t>
      </w:r>
      <w:r w:rsidRPr="002B6B2A">
        <w:rPr>
          <w:rFonts w:ascii="Verdana" w:eastAsia="Aptos" w:hAnsi="Verdana" w:cs="Arial"/>
          <w:b/>
          <w:bCs/>
          <w:kern w:val="2"/>
          <w14:ligatures w14:val="standardContextual"/>
        </w:rPr>
        <w:t>mediante las cuales adoptó Documentos Tipo</w:t>
      </w:r>
      <w:r w:rsidRPr="002B6B2A">
        <w:rPr>
          <w:rFonts w:ascii="Verdana" w:eastAsia="Aptos" w:hAnsi="Verdana" w:cs="Arial"/>
          <w:kern w:val="2"/>
          <w14:ligatures w14:val="standardContextual"/>
        </w:rPr>
        <w:t xml:space="preserve"> para las modalidades de selección de</w:t>
      </w:r>
      <w:r w:rsidRPr="002B6B2A">
        <w:rPr>
          <w:rFonts w:ascii="Verdana" w:eastAsia="Aptos" w:hAnsi="Verdana" w:cs="Arial"/>
          <w:b/>
          <w:bCs/>
          <w:kern w:val="2"/>
          <w14:ligatures w14:val="standardContextual"/>
        </w:rPr>
        <w:t xml:space="preserve"> licitación pública (versión 2), selección abreviada de menor cuantía, mínima cuantía, consultoría e interventoría</w:t>
      </w:r>
      <w:r w:rsidRPr="002B6B2A">
        <w:rPr>
          <w:rFonts w:ascii="Verdana" w:eastAsia="Aptos" w:hAnsi="Verdana" w:cs="Arial"/>
          <w:kern w:val="2"/>
          <w14:ligatures w14:val="standardContextual"/>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2B6B2A">
          <w:rPr>
            <w:rFonts w:ascii="Verdana" w:eastAsia="Aptos" w:hAnsi="Verdana" w:cs="Arial"/>
            <w:color w:val="0000FF"/>
            <w:kern w:val="2"/>
            <w:u w:val="single"/>
            <w14:ligatures w14:val="standardContextual"/>
          </w:rPr>
          <w:t>https://www.colombiacompra.gov.co/normativa-y-relatoria/documentos-tipo</w:t>
        </w:r>
      </w:hyperlink>
    </w:p>
    <w:p w14:paraId="454327E3" w14:textId="77777777" w:rsidR="002B6B2A" w:rsidRPr="002B6B2A" w:rsidRDefault="002B6B2A" w:rsidP="002B6B2A">
      <w:pPr>
        <w:spacing w:after="0" w:line="276" w:lineRule="auto"/>
        <w:jc w:val="both"/>
        <w:rPr>
          <w:rFonts w:ascii="Verdana" w:eastAsia="Aptos" w:hAnsi="Verdana" w:cs="Arial"/>
          <w:kern w:val="2"/>
          <w14:ligatures w14:val="standardContextual"/>
        </w:rPr>
      </w:pPr>
    </w:p>
    <w:p w14:paraId="3C5DFA65" w14:textId="77777777" w:rsidR="002B6B2A" w:rsidRPr="002B6B2A" w:rsidRDefault="002B6B2A" w:rsidP="002B6B2A">
      <w:pPr>
        <w:spacing w:after="0" w:line="276" w:lineRule="auto"/>
        <w:jc w:val="both"/>
        <w:rPr>
          <w:rFonts w:ascii="Verdana" w:eastAsia="Aptos" w:hAnsi="Verdana" w:cs="Arial"/>
          <w:kern w:val="2"/>
          <w14:ligatures w14:val="standardContextual"/>
        </w:rPr>
      </w:pPr>
      <w:r w:rsidRPr="002B6B2A">
        <w:rPr>
          <w:rFonts w:ascii="Verdana" w:eastAsia="Aptos" w:hAnsi="Verdana" w:cs="Arial"/>
          <w:kern w:val="2"/>
          <w14:ligatures w14:val="standardContextual"/>
        </w:rPr>
        <w:t xml:space="preserve">Si quieres conocer más sobre la aplicación de Documentos Tipo puedes consultar la última versión de la </w:t>
      </w:r>
      <w:r w:rsidRPr="002B6B2A">
        <w:rPr>
          <w:rFonts w:ascii="Verdana" w:eastAsia="Aptos" w:hAnsi="Verdana" w:cs="Arial"/>
          <w:b/>
          <w:bCs/>
          <w:kern w:val="2"/>
          <w14:ligatures w14:val="standardContextual"/>
        </w:rPr>
        <w:t>Guía para la comprensión e implementación de los Documentos Tipo de obra pública de infraestructura de transporte</w:t>
      </w:r>
      <w:r w:rsidRPr="002B6B2A">
        <w:rPr>
          <w:rFonts w:ascii="Verdana" w:eastAsia="Aptos" w:hAnsi="Verdana" w:cs="Arial"/>
          <w:kern w:val="2"/>
          <w14:ligatures w14:val="standardContextual"/>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2B6B2A">
        <w:rPr>
          <w:rFonts w:ascii="Verdana" w:eastAsia="Aptos" w:hAnsi="Verdana" w:cs="Arial"/>
          <w:kern w:val="2"/>
          <w14:ligatures w14:val="standardContextual"/>
        </w:rPr>
        <w:br/>
      </w:r>
      <w:hyperlink r:id="rId16" w:tgtFrame="_new" w:history="1">
        <w:r w:rsidRPr="002B6B2A">
          <w:rPr>
            <w:rFonts w:ascii="Verdana" w:eastAsia="Aptos" w:hAnsi="Verdana" w:cs="Arial"/>
            <w:color w:val="0000FF"/>
            <w:kern w:val="2"/>
            <w:u w:val="single"/>
            <w14:ligatures w14:val="standardContextual"/>
          </w:rPr>
          <w:t>https://www.colombiacompra.gov.co/archivos/manual/guia-para-la-comprension-e-implementacion-de-los-documentos-tipo-de-obra-publica-de-infraestructura-de-transporte-bajo-las-diferentes-modalidades-de-contratacion-vigentes</w:t>
        </w:r>
      </w:hyperlink>
    </w:p>
    <w:p w14:paraId="7C5BC0BE" w14:textId="77777777" w:rsidR="002B6B2A" w:rsidRPr="002B6B2A" w:rsidRDefault="002B6B2A" w:rsidP="002B6B2A">
      <w:pPr>
        <w:spacing w:after="0"/>
        <w:jc w:val="both"/>
        <w:rPr>
          <w:rFonts w:ascii="Verdana" w:eastAsia="Aptos" w:hAnsi="Verdana" w:cs="Times New Roman"/>
          <w:color w:val="212121"/>
        </w:rPr>
      </w:pPr>
    </w:p>
    <w:p w14:paraId="66FE20DF" w14:textId="77777777" w:rsidR="002B6B2A" w:rsidRPr="002B6B2A" w:rsidRDefault="002B6B2A" w:rsidP="002B6B2A">
      <w:pPr>
        <w:spacing w:after="0" w:line="240" w:lineRule="auto"/>
        <w:jc w:val="both"/>
        <w:rPr>
          <w:rFonts w:ascii="Verdana" w:eastAsia="Calibri" w:hAnsi="Verdana" w:cs="Times New Roman"/>
        </w:rPr>
      </w:pPr>
      <w:r w:rsidRPr="002B6B2A">
        <w:rPr>
          <w:rFonts w:ascii="Verdana" w:eastAsia="Aptos" w:hAnsi="Verdana" w:cs="Times New Roman"/>
        </w:rPr>
        <w:t xml:space="preserve">Por último, lo invitamos a seguirnos en las redes sociales en las cuales se difunde información institucional: </w:t>
      </w:r>
    </w:p>
    <w:p w14:paraId="3E4001C6" w14:textId="77777777" w:rsidR="002B6B2A" w:rsidRPr="002B6B2A" w:rsidRDefault="002B6B2A" w:rsidP="002B6B2A">
      <w:pPr>
        <w:spacing w:after="0" w:line="240" w:lineRule="auto"/>
        <w:jc w:val="both"/>
        <w:rPr>
          <w:rFonts w:ascii="Verdana" w:eastAsia="Aptos" w:hAnsi="Verdana" w:cs="Times New Roman"/>
        </w:rPr>
      </w:pPr>
    </w:p>
    <w:p w14:paraId="3890DEF3" w14:textId="77777777" w:rsidR="002B6B2A" w:rsidRPr="002B6B2A" w:rsidRDefault="002B6B2A" w:rsidP="002B6B2A">
      <w:pPr>
        <w:spacing w:after="0" w:line="240" w:lineRule="auto"/>
        <w:jc w:val="both"/>
        <w:rPr>
          <w:rFonts w:ascii="Verdana" w:eastAsia="Aptos" w:hAnsi="Verdana" w:cs="Times New Roman"/>
        </w:rPr>
      </w:pPr>
      <w:r w:rsidRPr="002B6B2A">
        <w:rPr>
          <w:rFonts w:ascii="Verdana" w:eastAsia="Aptos" w:hAnsi="Verdana" w:cs="Times New Roman"/>
        </w:rPr>
        <w:t xml:space="preserve">Twitter: </w:t>
      </w:r>
      <w:r w:rsidRPr="002B6B2A">
        <w:rPr>
          <w:rFonts w:ascii="Verdana" w:eastAsia="Calibri" w:hAnsi="Verdana" w:cs="Times New Roman"/>
          <w:color w:val="156082"/>
          <w:u w:val="single"/>
        </w:rPr>
        <w:t>@colombiacompra</w:t>
      </w:r>
      <w:r w:rsidRPr="002B6B2A">
        <w:rPr>
          <w:rFonts w:ascii="Verdana" w:eastAsia="Calibri" w:hAnsi="Verdana" w:cs="Times New Roman"/>
          <w:color w:val="156082"/>
        </w:rPr>
        <w:t xml:space="preserve"> </w:t>
      </w:r>
    </w:p>
    <w:p w14:paraId="28C5D7D6" w14:textId="77777777" w:rsidR="002B6B2A" w:rsidRPr="002B6B2A" w:rsidRDefault="002B6B2A" w:rsidP="002B6B2A">
      <w:pPr>
        <w:spacing w:after="0" w:line="240" w:lineRule="auto"/>
        <w:jc w:val="both"/>
        <w:rPr>
          <w:rFonts w:ascii="Verdana" w:eastAsia="Aptos" w:hAnsi="Verdana" w:cs="Times New Roman"/>
        </w:rPr>
      </w:pPr>
      <w:r w:rsidRPr="002B6B2A">
        <w:rPr>
          <w:rFonts w:ascii="Verdana" w:eastAsia="Aptos" w:hAnsi="Verdana" w:cs="Times New Roman"/>
        </w:rPr>
        <w:t xml:space="preserve">Facebook: </w:t>
      </w:r>
      <w:proofErr w:type="spellStart"/>
      <w:r w:rsidRPr="002B6B2A">
        <w:rPr>
          <w:rFonts w:ascii="Verdana" w:eastAsia="Calibri" w:hAnsi="Verdana" w:cs="Times New Roman"/>
          <w:color w:val="156082"/>
          <w:u w:val="single"/>
        </w:rPr>
        <w:t>ColombiaCompraEficiente</w:t>
      </w:r>
      <w:proofErr w:type="spellEnd"/>
    </w:p>
    <w:p w14:paraId="48F5F220" w14:textId="77777777" w:rsidR="002B6B2A" w:rsidRPr="002B6B2A" w:rsidRDefault="002B6B2A" w:rsidP="002B6B2A">
      <w:pPr>
        <w:spacing w:after="0" w:line="240" w:lineRule="auto"/>
        <w:jc w:val="both"/>
        <w:rPr>
          <w:rFonts w:ascii="Verdana" w:eastAsia="Aptos" w:hAnsi="Verdana" w:cs="Times New Roman"/>
        </w:rPr>
      </w:pPr>
      <w:r w:rsidRPr="002B6B2A">
        <w:rPr>
          <w:rFonts w:ascii="Verdana" w:eastAsia="Aptos" w:hAnsi="Verdana" w:cs="Times New Roman"/>
        </w:rPr>
        <w:t xml:space="preserve">LinkedIn: </w:t>
      </w:r>
      <w:r w:rsidRPr="002B6B2A">
        <w:rPr>
          <w:rFonts w:ascii="Verdana" w:eastAsia="Calibri" w:hAnsi="Verdana" w:cs="Times New Roman"/>
          <w:color w:val="156082"/>
          <w:u w:val="single"/>
        </w:rPr>
        <w:t>Agencia Nacional de Contratación Pública - Colombia Compra Eficiente</w:t>
      </w:r>
      <w:r w:rsidRPr="002B6B2A">
        <w:rPr>
          <w:rFonts w:ascii="Verdana" w:eastAsia="Calibri" w:hAnsi="Verdana" w:cs="Times New Roman"/>
          <w:color w:val="156082"/>
        </w:rPr>
        <w:t xml:space="preserve"> </w:t>
      </w:r>
      <w:r w:rsidRPr="002B6B2A">
        <w:rPr>
          <w:rFonts w:ascii="Verdana" w:eastAsia="Aptos" w:hAnsi="Verdana" w:cs="Times New Roman"/>
        </w:rPr>
        <w:t xml:space="preserve">Instagram: </w:t>
      </w:r>
      <w:r w:rsidRPr="002B6B2A">
        <w:rPr>
          <w:rFonts w:ascii="Verdana" w:eastAsia="Calibri" w:hAnsi="Verdana" w:cs="Times New Roman"/>
          <w:color w:val="156082"/>
          <w:u w:val="single"/>
        </w:rPr>
        <w:t>@colombiacompraeficiente_cce</w:t>
      </w:r>
    </w:p>
    <w:p w14:paraId="1E56971C" w14:textId="77777777" w:rsidR="002B6B2A" w:rsidRPr="002B6B2A" w:rsidRDefault="002B6B2A" w:rsidP="002B6B2A">
      <w:pPr>
        <w:spacing w:after="0" w:line="276" w:lineRule="auto"/>
        <w:jc w:val="both"/>
        <w:rPr>
          <w:rFonts w:ascii="Verdana" w:eastAsia="Aptos" w:hAnsi="Verdana" w:cs="Times New Roman"/>
        </w:rPr>
      </w:pPr>
    </w:p>
    <w:p w14:paraId="7AEFCCB5" w14:textId="77777777" w:rsidR="002B6B2A" w:rsidRPr="002B6B2A" w:rsidRDefault="002B6B2A" w:rsidP="002B6B2A">
      <w:pPr>
        <w:spacing w:after="0" w:line="276" w:lineRule="auto"/>
        <w:jc w:val="both"/>
        <w:rPr>
          <w:rFonts w:ascii="Verdana" w:eastAsia="Calibri" w:hAnsi="Verdana" w:cs="Times New Roman"/>
          <w:bCs/>
          <w:lang w:val="es-ES_tradnl"/>
        </w:rPr>
      </w:pPr>
      <w:r w:rsidRPr="002B6B2A">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5C8D3D27" w14:textId="77777777" w:rsidR="002B6B2A" w:rsidRPr="002B6B2A" w:rsidRDefault="002B6B2A" w:rsidP="002B6B2A">
      <w:pPr>
        <w:spacing w:after="0" w:line="276" w:lineRule="auto"/>
        <w:jc w:val="both"/>
        <w:rPr>
          <w:rFonts w:ascii="Verdana" w:eastAsia="Calibri" w:hAnsi="Verdana" w:cs="Times New Roman"/>
        </w:rPr>
      </w:pPr>
    </w:p>
    <w:p w14:paraId="316FF5AF" w14:textId="77777777" w:rsidR="002B6B2A" w:rsidRPr="002B6B2A" w:rsidRDefault="002B6B2A" w:rsidP="002B6B2A">
      <w:pPr>
        <w:spacing w:after="0" w:line="276" w:lineRule="auto"/>
        <w:jc w:val="both"/>
        <w:rPr>
          <w:rFonts w:ascii="Verdana" w:eastAsia="Calibri" w:hAnsi="Verdana" w:cs="Times New Roman"/>
        </w:rPr>
      </w:pPr>
      <w:r w:rsidRPr="002B6B2A">
        <w:rPr>
          <w:rFonts w:ascii="Verdana" w:eastAsia="Calibri" w:hAnsi="Verdana" w:cs="Times New Roman"/>
        </w:rPr>
        <w:t>Atentamente,</w:t>
      </w:r>
    </w:p>
    <w:p w14:paraId="2F30FF5C" w14:textId="6CA13AE4" w:rsidR="002B6B2A" w:rsidRPr="002B6B2A" w:rsidRDefault="00D64C7C" w:rsidP="002B6B2A">
      <w:pPr>
        <w:tabs>
          <w:tab w:val="left" w:pos="1320"/>
        </w:tabs>
        <w:jc w:val="center"/>
        <w:rPr>
          <w:rFonts w:ascii="Century Gothic" w:eastAsia="Calibri" w:hAnsi="Century Gothic" w:cs="Times New Roman"/>
        </w:rPr>
      </w:pPr>
      <w:r w:rsidRPr="004D5C25">
        <w:rPr>
          <w:rFonts w:ascii="Century Gothic" w:hAnsi="Century Gothic"/>
          <w:noProof/>
        </w:rPr>
        <w:drawing>
          <wp:inline distT="0" distB="0" distL="0" distR="0" wp14:anchorId="005D407B" wp14:editId="147F67B5">
            <wp:extent cx="2547937" cy="1093844"/>
            <wp:effectExtent l="0" t="0" r="508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7"/>
                    <a:stretch>
                      <a:fillRect/>
                    </a:stretch>
                  </pic:blipFill>
                  <pic:spPr>
                    <a:xfrm>
                      <a:off x="0" y="0"/>
                      <a:ext cx="2553823" cy="1096371"/>
                    </a:xfrm>
                    <a:prstGeom prst="rect">
                      <a:avLst/>
                    </a:prstGeom>
                  </pic:spPr>
                </pic:pic>
              </a:graphicData>
            </a:graphic>
          </wp:inline>
        </w:drawing>
      </w:r>
    </w:p>
    <w:tbl>
      <w:tblPr>
        <w:tblStyle w:val="Tablaconcuadrcula2"/>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2B6B2A" w:rsidRPr="002B6B2A" w14:paraId="6A96426D" w14:textId="77777777" w:rsidTr="795A2B59">
        <w:trPr>
          <w:trHeight w:val="323"/>
        </w:trPr>
        <w:tc>
          <w:tcPr>
            <w:tcW w:w="1041" w:type="dxa"/>
            <w:vAlign w:val="center"/>
            <w:hideMark/>
          </w:tcPr>
          <w:p w14:paraId="05C13C86" w14:textId="77777777" w:rsidR="002B6B2A" w:rsidRPr="002B6B2A" w:rsidRDefault="002B6B2A" w:rsidP="002B6B2A">
            <w:pPr>
              <w:rPr>
                <w:rFonts w:ascii="Verdana" w:eastAsia="Calibri" w:hAnsi="Verdana" w:cs="Arial"/>
                <w:sz w:val="16"/>
                <w:szCs w:val="16"/>
                <w:lang w:val="es-ES_tradnl" w:eastAsia="es-ES"/>
              </w:rPr>
            </w:pPr>
            <w:r w:rsidRPr="002B6B2A">
              <w:rPr>
                <w:rFonts w:ascii="Verdana" w:eastAsia="Calibri" w:hAnsi="Verdana" w:cs="Arial"/>
                <w:sz w:val="16"/>
                <w:szCs w:val="16"/>
                <w:lang w:val="es-ES_tradnl" w:eastAsia="es-ES"/>
              </w:rPr>
              <w:t>Elaboró:</w:t>
            </w:r>
          </w:p>
        </w:tc>
        <w:tc>
          <w:tcPr>
            <w:tcW w:w="6561" w:type="dxa"/>
            <w:tcBorders>
              <w:top w:val="nil"/>
              <w:left w:val="nil"/>
              <w:bottom w:val="dotted" w:sz="4" w:space="0" w:color="7F7F7F" w:themeColor="text1" w:themeTint="80"/>
              <w:right w:val="nil"/>
            </w:tcBorders>
            <w:vAlign w:val="center"/>
            <w:hideMark/>
          </w:tcPr>
          <w:p w14:paraId="613B9AD3" w14:textId="77777777" w:rsidR="002B6B2A" w:rsidRPr="002B6B2A" w:rsidRDefault="002B6B2A" w:rsidP="002B6B2A">
            <w:pPr>
              <w:rPr>
                <w:rFonts w:ascii="Verdana" w:eastAsia="Arial" w:hAnsi="Verdana" w:cs="Arial"/>
                <w:sz w:val="16"/>
                <w:szCs w:val="16"/>
                <w:lang w:val="es-ES"/>
              </w:rPr>
            </w:pPr>
            <w:r w:rsidRPr="002B6B2A">
              <w:rPr>
                <w:rFonts w:ascii="Verdana" w:eastAsia="Arial" w:hAnsi="Verdana" w:cs="Arial"/>
                <w:sz w:val="16"/>
                <w:szCs w:val="16"/>
                <w:lang w:val="es-ES"/>
              </w:rPr>
              <w:t xml:space="preserve">Carlos Mario Castrillón Endo </w:t>
            </w:r>
          </w:p>
          <w:p w14:paraId="46AF68B1" w14:textId="77777777" w:rsidR="002B6B2A" w:rsidRPr="002B6B2A" w:rsidRDefault="002B6B2A" w:rsidP="002B6B2A">
            <w:pPr>
              <w:rPr>
                <w:rFonts w:ascii="Verdana" w:eastAsia="Arial" w:hAnsi="Verdana" w:cs="Arial"/>
                <w:sz w:val="16"/>
                <w:szCs w:val="16"/>
                <w:lang w:val="es-ES_tradnl"/>
              </w:rPr>
            </w:pPr>
            <w:r w:rsidRPr="002B6B2A">
              <w:rPr>
                <w:rFonts w:ascii="Verdana" w:eastAsia="Arial" w:hAnsi="Verdana" w:cs="Arial"/>
                <w:sz w:val="16"/>
                <w:szCs w:val="16"/>
                <w:lang w:val="es-ES_tradnl"/>
              </w:rPr>
              <w:t>Contratista de la Subdirección de Gestión Contractual</w:t>
            </w:r>
          </w:p>
          <w:p w14:paraId="5250388C" w14:textId="77777777" w:rsidR="002B6B2A" w:rsidRPr="002B6B2A" w:rsidRDefault="002B6B2A" w:rsidP="002B6B2A">
            <w:pPr>
              <w:rPr>
                <w:rFonts w:ascii="Verdana" w:eastAsia="Arial" w:hAnsi="Verdana" w:cs="Arial"/>
                <w:sz w:val="16"/>
                <w:szCs w:val="16"/>
                <w:lang w:val="es-ES_tradnl"/>
              </w:rPr>
            </w:pPr>
          </w:p>
        </w:tc>
      </w:tr>
      <w:tr w:rsidR="002B6B2A" w:rsidRPr="002B6B2A" w14:paraId="634F8284" w14:textId="77777777" w:rsidTr="795A2B59">
        <w:trPr>
          <w:trHeight w:val="338"/>
        </w:trPr>
        <w:tc>
          <w:tcPr>
            <w:tcW w:w="1041" w:type="dxa"/>
            <w:vAlign w:val="center"/>
            <w:hideMark/>
          </w:tcPr>
          <w:p w14:paraId="217F3B32" w14:textId="77777777" w:rsidR="002B6B2A" w:rsidRPr="002B6B2A" w:rsidRDefault="002B6B2A" w:rsidP="002B6B2A">
            <w:pPr>
              <w:rPr>
                <w:rFonts w:ascii="Verdana" w:eastAsia="Calibri" w:hAnsi="Verdana" w:cs="Arial"/>
                <w:sz w:val="16"/>
                <w:szCs w:val="16"/>
                <w:lang w:val="es-ES_tradnl" w:eastAsia="es-ES"/>
              </w:rPr>
            </w:pPr>
            <w:r w:rsidRPr="002B6B2A">
              <w:rPr>
                <w:rFonts w:ascii="Verdana" w:eastAsia="Calibri" w:hAnsi="Verdana" w:cs="Arial"/>
                <w:sz w:val="16"/>
                <w:szCs w:val="16"/>
                <w:lang w:val="es-ES_tradnl" w:eastAsia="es-ES"/>
              </w:rPr>
              <w:t>Revisó:</w:t>
            </w:r>
          </w:p>
        </w:tc>
        <w:tc>
          <w:tcPr>
            <w:tcW w:w="6561" w:type="dxa"/>
            <w:tcBorders>
              <w:top w:val="dotted" w:sz="4" w:space="0" w:color="7F7F7F" w:themeColor="text1" w:themeTint="80"/>
              <w:left w:val="nil"/>
              <w:bottom w:val="dotted" w:sz="4" w:space="0" w:color="7F7F7F" w:themeColor="text1" w:themeTint="80"/>
              <w:right w:val="nil"/>
            </w:tcBorders>
            <w:vAlign w:val="center"/>
            <w:hideMark/>
          </w:tcPr>
          <w:p w14:paraId="290EC0B6" w14:textId="77777777" w:rsidR="002B6B2A" w:rsidRPr="002B6B2A" w:rsidRDefault="002B6B2A" w:rsidP="795A2B59">
            <w:pPr>
              <w:rPr>
                <w:rFonts w:ascii="Verdana" w:eastAsia="Arial" w:hAnsi="Verdana" w:cs="Arial"/>
                <w:sz w:val="16"/>
                <w:szCs w:val="16"/>
                <w:lang w:val="es-ES"/>
              </w:rPr>
            </w:pPr>
            <w:r w:rsidRPr="795A2B59">
              <w:rPr>
                <w:rFonts w:ascii="Verdana" w:eastAsia="Arial" w:hAnsi="Verdana" w:cs="Arial"/>
                <w:sz w:val="16"/>
                <w:szCs w:val="16"/>
                <w:lang w:val="es-ES"/>
              </w:rPr>
              <w:t xml:space="preserve">Lida Milena </w:t>
            </w:r>
            <w:proofErr w:type="spellStart"/>
            <w:r w:rsidRPr="795A2B59">
              <w:rPr>
                <w:rFonts w:ascii="Verdana" w:eastAsia="Arial" w:hAnsi="Verdana" w:cs="Arial"/>
                <w:sz w:val="16"/>
                <w:szCs w:val="16"/>
                <w:lang w:val="es-ES"/>
              </w:rPr>
              <w:t>Guanumen</w:t>
            </w:r>
            <w:proofErr w:type="spellEnd"/>
            <w:r w:rsidRPr="795A2B59">
              <w:rPr>
                <w:rFonts w:ascii="Verdana" w:eastAsia="Arial" w:hAnsi="Verdana" w:cs="Arial"/>
                <w:sz w:val="16"/>
                <w:szCs w:val="16"/>
                <w:lang w:val="es-ES"/>
              </w:rPr>
              <w:t xml:space="preserve"> Pacheco</w:t>
            </w:r>
          </w:p>
          <w:p w14:paraId="3603CDE6" w14:textId="77777777" w:rsidR="002B6B2A" w:rsidRPr="002B6B2A" w:rsidRDefault="002B6B2A" w:rsidP="002B6B2A">
            <w:pPr>
              <w:rPr>
                <w:rFonts w:ascii="Verdana" w:eastAsia="Arial" w:hAnsi="Verdana" w:cs="Arial"/>
                <w:sz w:val="16"/>
                <w:szCs w:val="16"/>
                <w:lang w:val="es-ES"/>
              </w:rPr>
            </w:pPr>
            <w:r w:rsidRPr="002B6B2A">
              <w:rPr>
                <w:rFonts w:ascii="Verdana" w:eastAsia="Arial" w:hAnsi="Verdana" w:cs="Arial"/>
                <w:sz w:val="16"/>
                <w:szCs w:val="16"/>
                <w:lang w:val="es-ES_tradnl"/>
              </w:rPr>
              <w:t>Contratista de la Subdirección de Gestión Contractual</w:t>
            </w:r>
          </w:p>
          <w:p w14:paraId="4AFECAD8" w14:textId="77777777" w:rsidR="002B6B2A" w:rsidRPr="002B6B2A" w:rsidRDefault="002B6B2A" w:rsidP="002B6B2A">
            <w:pPr>
              <w:rPr>
                <w:rFonts w:ascii="Verdana" w:eastAsia="Arial" w:hAnsi="Verdana" w:cs="Arial"/>
                <w:sz w:val="16"/>
                <w:szCs w:val="16"/>
                <w:lang w:val="es-ES_tradnl"/>
              </w:rPr>
            </w:pPr>
            <w:r w:rsidRPr="002B6B2A">
              <w:rPr>
                <w:rFonts w:ascii="Verdana" w:eastAsia="Arial" w:hAnsi="Verdana" w:cs="Arial"/>
                <w:sz w:val="16"/>
                <w:szCs w:val="16"/>
                <w:lang w:val="es-ES_tradnl"/>
              </w:rPr>
              <w:t>Martha Alicia Romero Vargas</w:t>
            </w:r>
          </w:p>
          <w:p w14:paraId="2BB89597" w14:textId="77777777" w:rsidR="002B6B2A" w:rsidRPr="002B6B2A" w:rsidRDefault="002B6B2A" w:rsidP="002B6B2A">
            <w:pPr>
              <w:rPr>
                <w:rFonts w:ascii="Verdana" w:eastAsia="Arial" w:hAnsi="Verdana" w:cs="Arial"/>
                <w:sz w:val="16"/>
                <w:szCs w:val="16"/>
                <w:lang w:val="es-ES_tradnl"/>
              </w:rPr>
            </w:pPr>
            <w:r w:rsidRPr="002B6B2A">
              <w:rPr>
                <w:rFonts w:ascii="Verdana" w:eastAsia="Arial" w:hAnsi="Verdana" w:cs="Arial"/>
                <w:sz w:val="16"/>
                <w:szCs w:val="16"/>
                <w:lang w:val="es-ES_tradnl"/>
              </w:rPr>
              <w:t>Gestor T1-15 de la Subdirección de Gestión Contractual</w:t>
            </w:r>
          </w:p>
        </w:tc>
      </w:tr>
      <w:tr w:rsidR="002B6B2A" w:rsidRPr="002B6B2A" w14:paraId="081F3CFC" w14:textId="77777777" w:rsidTr="795A2B59">
        <w:trPr>
          <w:trHeight w:val="308"/>
        </w:trPr>
        <w:tc>
          <w:tcPr>
            <w:tcW w:w="1041" w:type="dxa"/>
            <w:vAlign w:val="center"/>
          </w:tcPr>
          <w:p w14:paraId="7C4EF8C9" w14:textId="77777777" w:rsidR="002B6B2A" w:rsidRPr="002B6B2A" w:rsidRDefault="002B6B2A" w:rsidP="002B6B2A">
            <w:pPr>
              <w:rPr>
                <w:rFonts w:ascii="Verdana" w:eastAsia="Calibri" w:hAnsi="Verdana" w:cs="Arial"/>
                <w:sz w:val="16"/>
                <w:szCs w:val="16"/>
                <w:lang w:val="es-ES_tradnl" w:eastAsia="es-ES"/>
              </w:rPr>
            </w:pPr>
            <w:r w:rsidRPr="002B6B2A">
              <w:rPr>
                <w:rFonts w:ascii="Verdana" w:eastAsia="Calibri" w:hAnsi="Verdana" w:cs="Arial"/>
                <w:sz w:val="16"/>
                <w:szCs w:val="16"/>
                <w:lang w:val="es-ES_tradnl" w:eastAsia="es-ES"/>
              </w:rPr>
              <w:t>Aprobó:</w:t>
            </w:r>
          </w:p>
        </w:tc>
        <w:tc>
          <w:tcPr>
            <w:tcW w:w="6561" w:type="dxa"/>
            <w:tcBorders>
              <w:top w:val="dotted" w:sz="4" w:space="0" w:color="7F7F7F" w:themeColor="text1" w:themeTint="80"/>
              <w:left w:val="nil"/>
              <w:bottom w:val="dotted" w:sz="4" w:space="0" w:color="7F7F7F" w:themeColor="text1" w:themeTint="80"/>
              <w:right w:val="nil"/>
            </w:tcBorders>
            <w:vAlign w:val="center"/>
          </w:tcPr>
          <w:p w14:paraId="7CAB3A5E" w14:textId="77777777" w:rsidR="002B6B2A" w:rsidRPr="002B6B2A" w:rsidRDefault="002B6B2A" w:rsidP="002B6B2A">
            <w:pPr>
              <w:rPr>
                <w:rFonts w:ascii="Verdana" w:eastAsia="Calibri" w:hAnsi="Verdana" w:cs="Arial"/>
                <w:sz w:val="16"/>
                <w:szCs w:val="16"/>
                <w:lang w:val="es-ES" w:eastAsia="es-ES"/>
              </w:rPr>
            </w:pPr>
            <w:r w:rsidRPr="002B6B2A">
              <w:rPr>
                <w:rFonts w:ascii="Verdana" w:eastAsia="Calibri" w:hAnsi="Verdana" w:cs="Arial"/>
                <w:sz w:val="16"/>
                <w:szCs w:val="16"/>
                <w:lang w:val="es-ES" w:eastAsia="es-ES"/>
              </w:rPr>
              <w:t>Carolina Quintero Gacharná</w:t>
            </w:r>
          </w:p>
          <w:p w14:paraId="4FEB1205" w14:textId="77777777" w:rsidR="002B6B2A" w:rsidRPr="002B6B2A" w:rsidRDefault="002B6B2A" w:rsidP="002B6B2A">
            <w:pPr>
              <w:rPr>
                <w:rFonts w:ascii="Verdana" w:eastAsia="Calibri" w:hAnsi="Verdana" w:cs="Arial"/>
                <w:sz w:val="16"/>
                <w:szCs w:val="16"/>
                <w:lang w:val="es-ES_tradnl" w:eastAsia="es-ES"/>
              </w:rPr>
            </w:pPr>
            <w:r w:rsidRPr="002B6B2A">
              <w:rPr>
                <w:rFonts w:ascii="Verdana" w:eastAsia="Calibri" w:hAnsi="Verdana" w:cs="Arial"/>
                <w:sz w:val="16"/>
                <w:szCs w:val="16"/>
                <w:lang w:val="es-ES_tradnl" w:eastAsia="es-ES"/>
              </w:rPr>
              <w:t>Subdirectora de Gestión Contractual ANCP – CCE</w:t>
            </w:r>
          </w:p>
        </w:tc>
      </w:tr>
      <w:tr w:rsidR="002B6B2A" w:rsidRPr="002B6B2A" w14:paraId="70DE126A" w14:textId="77777777" w:rsidTr="795A2B59">
        <w:trPr>
          <w:trHeight w:val="308"/>
        </w:trPr>
        <w:tc>
          <w:tcPr>
            <w:tcW w:w="1041" w:type="dxa"/>
            <w:vAlign w:val="center"/>
          </w:tcPr>
          <w:p w14:paraId="317349FE" w14:textId="77777777" w:rsidR="002B6B2A" w:rsidRPr="002B6B2A" w:rsidRDefault="002B6B2A" w:rsidP="002B6B2A">
            <w:pPr>
              <w:rPr>
                <w:rFonts w:ascii="Verdana" w:eastAsia="Calibri" w:hAnsi="Verdana" w:cs="Arial"/>
                <w:sz w:val="16"/>
                <w:szCs w:val="16"/>
                <w:lang w:val="es-ES_tradnl" w:eastAsia="es-ES"/>
              </w:rPr>
            </w:pPr>
            <w:r w:rsidRPr="002B6B2A">
              <w:rPr>
                <w:rFonts w:ascii="Verdana" w:eastAsia="Calibri" w:hAnsi="Verdana" w:cs="Arial"/>
                <w:sz w:val="16"/>
                <w:szCs w:val="16"/>
                <w:lang w:val="es-ES_tradnl" w:eastAsia="es-ES"/>
              </w:rPr>
              <w:t>Anexo:</w:t>
            </w:r>
          </w:p>
        </w:tc>
        <w:tc>
          <w:tcPr>
            <w:tcW w:w="6561" w:type="dxa"/>
            <w:tcBorders>
              <w:top w:val="dotted" w:sz="4" w:space="0" w:color="7F7F7F" w:themeColor="text1" w:themeTint="80"/>
              <w:left w:val="nil"/>
              <w:bottom w:val="dotted" w:sz="4" w:space="0" w:color="7F7F7F" w:themeColor="text1" w:themeTint="80"/>
              <w:right w:val="nil"/>
            </w:tcBorders>
            <w:vAlign w:val="center"/>
          </w:tcPr>
          <w:p w14:paraId="2EEA62D3" w14:textId="77777777" w:rsidR="002B6B2A" w:rsidRPr="002B6B2A" w:rsidRDefault="002B6B2A" w:rsidP="002B6B2A">
            <w:pPr>
              <w:rPr>
                <w:rFonts w:ascii="Verdana" w:eastAsia="Calibri" w:hAnsi="Verdana" w:cs="Arial"/>
                <w:sz w:val="16"/>
                <w:szCs w:val="16"/>
                <w:lang w:val="es-ES" w:eastAsia="es-ES"/>
              </w:rPr>
            </w:pPr>
            <w:r w:rsidRPr="002B6B2A">
              <w:rPr>
                <w:rFonts w:ascii="Verdana" w:eastAsia="Calibri" w:hAnsi="Verdana" w:cs="Arial"/>
                <w:sz w:val="16"/>
                <w:szCs w:val="16"/>
                <w:lang w:val="es-ES" w:eastAsia="es-ES"/>
              </w:rPr>
              <w:t>Concepto C-186 de 2026</w:t>
            </w:r>
          </w:p>
        </w:tc>
      </w:tr>
    </w:tbl>
    <w:p w14:paraId="69BC4D14" w14:textId="6E74ADEC"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0FF530" w14:textId="77777777" w:rsidR="00257E64" w:rsidRDefault="00257E64" w:rsidP="004A1847">
      <w:pPr>
        <w:spacing w:after="0" w:line="240" w:lineRule="auto"/>
      </w:pPr>
      <w:r>
        <w:separator/>
      </w:r>
    </w:p>
  </w:endnote>
  <w:endnote w:type="continuationSeparator" w:id="0">
    <w:p w14:paraId="3C1A0320" w14:textId="77777777" w:rsidR="00257E64" w:rsidRDefault="00257E6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Arial"/>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02B6B2A">
      <w:rPr>
        <w:rFonts w:ascii="Verdana" w:eastAsia="Verdana" w:hAnsi="Verdana" w:cs="Verdana"/>
        <w:b/>
        <w:bCs/>
        <w:color w:val="000000"/>
        <w:sz w:val="18"/>
        <w:szCs w:val="18"/>
        <w:lang w:eastAsia="es-CO"/>
      </w:rPr>
      <w:t xml:space="preserve">Código: </w:t>
    </w:r>
    <w:r w:rsidRPr="002B6B2A">
      <w:rPr>
        <w:rFonts w:ascii="Verdana" w:eastAsia="Verdana" w:hAnsi="Verdana" w:cs="Verdana"/>
        <w:color w:val="000000"/>
        <w:sz w:val="18"/>
        <w:szCs w:val="18"/>
        <w:lang w:eastAsia="es-CO"/>
      </w:rPr>
      <w:t xml:space="preserve">CCE-REC-FM-17 </w:t>
    </w:r>
    <w:r w:rsidRPr="002B6B2A">
      <w:rPr>
        <w:rFonts w:ascii="Verdana" w:eastAsia="Verdana" w:hAnsi="Verdana" w:cs="Verdana"/>
        <w:b/>
        <w:bCs/>
        <w:color w:val="000000"/>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299D8E" w14:textId="77777777" w:rsidR="00257E64" w:rsidRDefault="00257E64" w:rsidP="004A1847">
      <w:pPr>
        <w:spacing w:after="0" w:line="240" w:lineRule="auto"/>
      </w:pPr>
      <w:r>
        <w:separator/>
      </w:r>
    </w:p>
  </w:footnote>
  <w:footnote w:type="continuationSeparator" w:id="0">
    <w:p w14:paraId="5689681F" w14:textId="77777777" w:rsidR="00257E64" w:rsidRDefault="00257E64" w:rsidP="004A1847">
      <w:pPr>
        <w:spacing w:after="0" w:line="240" w:lineRule="auto"/>
      </w:pPr>
      <w:r>
        <w:continuationSeparator/>
      </w:r>
    </w:p>
  </w:footnote>
  <w:footnote w:id="1">
    <w:p w14:paraId="0D48B2D9" w14:textId="77777777" w:rsidR="002B6B2A" w:rsidRPr="00F36423" w:rsidRDefault="002B6B2A" w:rsidP="002B6B2A">
      <w:pPr>
        <w:pStyle w:val="Textonotapie"/>
        <w:ind w:firstLine="708"/>
        <w:jc w:val="both"/>
        <w:rPr>
          <w:rFonts w:ascii="Verdana" w:hAnsi="Verdana"/>
          <w:sz w:val="18"/>
          <w:szCs w:val="18"/>
        </w:rPr>
      </w:pPr>
      <w:r w:rsidRPr="00F36423">
        <w:rPr>
          <w:rStyle w:val="Refdenotaalpie"/>
          <w:rFonts w:ascii="Verdana" w:hAnsi="Verdana"/>
          <w:sz w:val="18"/>
          <w:szCs w:val="18"/>
        </w:rPr>
        <w:footnoteRef/>
      </w:r>
      <w:r w:rsidRPr="00F36423">
        <w:rPr>
          <w:rFonts w:ascii="Verdana" w:hAnsi="Verdana"/>
          <w:sz w:val="18"/>
          <w:szCs w:val="18"/>
        </w:rPr>
        <w:t xml:space="preserve"> Resolución 539 del 21 de agosto de 2025, artículo 23. “Vigencia. La presente resolución rige a partir de su publicación y aplicará a los procedimientos de selección de licitación de obra pública de infraestructura social en los sectores educación, salud, cultura, recreación y deporte, institucional y vivienda, cuyo aviso de convocatoria sea publicado a partir del 16 de febrero de 2026”.</w:t>
      </w:r>
    </w:p>
    <w:p w14:paraId="3901E1C9" w14:textId="77777777" w:rsidR="002B6B2A" w:rsidRPr="00F36423" w:rsidRDefault="002B6B2A" w:rsidP="002B6B2A">
      <w:pPr>
        <w:pStyle w:val="Textonotapie"/>
        <w:ind w:firstLine="708"/>
        <w:jc w:val="both"/>
        <w:rPr>
          <w:rFonts w:ascii="Verdana" w:hAnsi="Verdana"/>
          <w:sz w:val="18"/>
          <w:szCs w:val="18"/>
        </w:rPr>
      </w:pPr>
    </w:p>
    <w:p w14:paraId="183FA347" w14:textId="77777777" w:rsidR="002B6B2A" w:rsidRPr="00F36423" w:rsidRDefault="002B6B2A" w:rsidP="002B6B2A">
      <w:pPr>
        <w:pStyle w:val="Textonotapie"/>
        <w:ind w:firstLine="708"/>
        <w:jc w:val="both"/>
        <w:rPr>
          <w:rFonts w:ascii="Verdana" w:hAnsi="Verdana"/>
          <w:sz w:val="18"/>
          <w:szCs w:val="18"/>
        </w:rPr>
      </w:pPr>
      <w:r w:rsidRPr="00F36423">
        <w:rPr>
          <w:rFonts w:ascii="Verdana" w:hAnsi="Verdana"/>
          <w:sz w:val="18"/>
          <w:szCs w:val="18"/>
        </w:rPr>
        <w:t>Resolución 540 del 21 de agosto de 2025, artículo 22. Vigencia. La presente resolución rige a partir de su publicación y aplicará a los procedimientos de selección abreviada de menor cuantía de obra pública de infraestructura social de los sectores educación, salud, cultura, recreación y deporte, institucional y vivienda, cuyo aviso de convocatoria sea publicado a partir del 16 de febrero de 2026.</w:t>
      </w:r>
    </w:p>
    <w:p w14:paraId="5C67AAAA" w14:textId="77777777" w:rsidR="002B6B2A" w:rsidRPr="00F36423" w:rsidRDefault="002B6B2A" w:rsidP="002B6B2A">
      <w:pPr>
        <w:pStyle w:val="Textonotapie"/>
        <w:ind w:firstLine="708"/>
        <w:jc w:val="both"/>
        <w:rPr>
          <w:rFonts w:ascii="Verdana" w:hAnsi="Verdana"/>
          <w:sz w:val="18"/>
          <w:szCs w:val="18"/>
        </w:rPr>
      </w:pPr>
    </w:p>
    <w:p w14:paraId="100B2DBA" w14:textId="77777777" w:rsidR="002B6B2A" w:rsidRPr="00F36423" w:rsidRDefault="002B6B2A" w:rsidP="002B6B2A">
      <w:pPr>
        <w:pStyle w:val="Textonotapie"/>
        <w:ind w:firstLine="708"/>
        <w:jc w:val="both"/>
        <w:rPr>
          <w:rFonts w:ascii="Verdana" w:hAnsi="Verdana"/>
          <w:sz w:val="18"/>
          <w:szCs w:val="18"/>
        </w:rPr>
      </w:pPr>
      <w:r w:rsidRPr="00F36423">
        <w:rPr>
          <w:rFonts w:ascii="Verdana" w:hAnsi="Verdana"/>
          <w:sz w:val="18"/>
          <w:szCs w:val="18"/>
        </w:rPr>
        <w:t>Resolución 541 del 21 de agosto de 2025, artículo 22. Vigencia. La presente resolución rige a partir de su publicación y aplicará a los procedimientos de mínima cuantía de obra pública de infraestructura de los sectores educación, salud, cultura, recreación y deporte, institucional y vivienda, cuyo aviso de convocatoria sea publicado a partir del 16 de febrero de 2026.</w:t>
      </w:r>
    </w:p>
    <w:p w14:paraId="17E5F69D" w14:textId="77777777" w:rsidR="002B6B2A" w:rsidRPr="00F36423" w:rsidRDefault="002B6B2A" w:rsidP="002B6B2A">
      <w:pPr>
        <w:pStyle w:val="Textonotapie"/>
        <w:ind w:firstLine="708"/>
        <w:jc w:val="both"/>
        <w:rPr>
          <w:rFonts w:ascii="Verdana" w:hAnsi="Verdana"/>
          <w:sz w:val="18"/>
          <w:szCs w:val="18"/>
        </w:rPr>
      </w:pPr>
    </w:p>
    <w:p w14:paraId="6C32A7CB" w14:textId="77777777" w:rsidR="002B6B2A" w:rsidRPr="00F36423" w:rsidRDefault="002B6B2A" w:rsidP="002B6B2A">
      <w:pPr>
        <w:pStyle w:val="Textonotapie"/>
        <w:ind w:firstLine="708"/>
        <w:jc w:val="both"/>
        <w:rPr>
          <w:rFonts w:ascii="Verdana" w:hAnsi="Verdana"/>
          <w:sz w:val="18"/>
          <w:szCs w:val="18"/>
        </w:rPr>
      </w:pPr>
      <w:r w:rsidRPr="00F36423">
        <w:rPr>
          <w:rFonts w:ascii="Verdana" w:hAnsi="Verdana"/>
          <w:sz w:val="18"/>
          <w:szCs w:val="18"/>
        </w:rPr>
        <w:t>Resolución 952 del 15 de diciembre de 2025, artículo 22. Vigencia. La presente resolución rige a partir de su publicación, y aplicará para los procesos de selección de concurso de méritos para contratar la consultoría de estudios de ingeniería de infraestructura social en los sectores educación, salud, cultura, recreación y deporte, institucional y vivienda, cuyo aviso de convocatoria se publique a partir del 16 de febrero de 2026.</w:t>
      </w:r>
    </w:p>
    <w:p w14:paraId="6E5C10E0" w14:textId="77777777" w:rsidR="002B6B2A" w:rsidRPr="00F36423" w:rsidRDefault="002B6B2A" w:rsidP="002B6B2A">
      <w:pPr>
        <w:pStyle w:val="Textonotapie"/>
        <w:ind w:firstLine="708"/>
        <w:jc w:val="both"/>
        <w:rPr>
          <w:rFonts w:ascii="Verdana" w:hAnsi="Verdana"/>
          <w:sz w:val="18"/>
          <w:szCs w:val="18"/>
        </w:rPr>
      </w:pPr>
    </w:p>
    <w:p w14:paraId="5D00646C" w14:textId="77777777" w:rsidR="002B6B2A" w:rsidRPr="00F36423" w:rsidRDefault="002B6B2A" w:rsidP="002B6B2A">
      <w:pPr>
        <w:pStyle w:val="Textonotapie"/>
        <w:ind w:firstLine="708"/>
        <w:jc w:val="both"/>
        <w:rPr>
          <w:rFonts w:ascii="Verdana" w:hAnsi="Verdana"/>
          <w:sz w:val="18"/>
          <w:szCs w:val="18"/>
        </w:rPr>
      </w:pPr>
      <w:r w:rsidRPr="00F36423">
        <w:rPr>
          <w:rFonts w:ascii="Verdana" w:hAnsi="Verdana"/>
          <w:sz w:val="18"/>
          <w:szCs w:val="18"/>
        </w:rPr>
        <w:t>Resolución 953 del 15 de diciembre de 2025, artículo 22. Vigencia y derogatorias. La presente resolución rige a partir de su publicación, deroga la Resolución 798 del 29 de diciembre de 2023 y sus modificaciones posteriores, y aplicará para los procesos de selección de concurso de méritos para contratar la interventoría de obras públicas de infraestructura social en los sectores educación, salud, cultura, recreación y deporte, institucional y vivienda, cuyo aviso de convocatoria se publique a partir del 16 de febrero de 2026.</w:t>
      </w:r>
    </w:p>
  </w:footnote>
  <w:footnote w:id="2">
    <w:p w14:paraId="73197798" w14:textId="77777777" w:rsidR="002B6B2A" w:rsidRPr="00F36423" w:rsidRDefault="002B6B2A" w:rsidP="002B6B2A">
      <w:pPr>
        <w:pStyle w:val="Textonotapie"/>
        <w:ind w:firstLine="708"/>
        <w:jc w:val="both"/>
        <w:rPr>
          <w:rFonts w:ascii="Verdana" w:hAnsi="Verdana"/>
          <w:sz w:val="18"/>
          <w:szCs w:val="18"/>
          <w:lang w:val="es-ES_tradnl"/>
        </w:rPr>
      </w:pPr>
      <w:r w:rsidRPr="00F36423">
        <w:rPr>
          <w:rStyle w:val="Refdenotaalpie"/>
          <w:rFonts w:ascii="Verdana" w:hAnsi="Verdana"/>
          <w:sz w:val="18"/>
          <w:szCs w:val="18"/>
        </w:rPr>
        <w:footnoteRef/>
      </w:r>
      <w:r w:rsidRPr="00F36423">
        <w:rPr>
          <w:rFonts w:ascii="Verdana" w:hAnsi="Verdana"/>
          <w:sz w:val="18"/>
          <w:szCs w:val="18"/>
        </w:rPr>
        <w:t xml:space="preserve"> Sobre la combinación de experiencia en los documentos tipo de infraestructura social puede verse el </w:t>
      </w:r>
      <w:r w:rsidRPr="00445B74">
        <w:rPr>
          <w:rFonts w:ascii="Verdana" w:eastAsia="Calibri" w:hAnsi="Verdana" w:cs="Arial"/>
          <w:sz w:val="18"/>
          <w:szCs w:val="18"/>
          <w:lang w:val="es-ES" w:eastAsia="es-ES"/>
        </w:rPr>
        <w:t>Concepto C-186 de 2026</w:t>
      </w:r>
      <w:r w:rsidRPr="00F36423">
        <w:rPr>
          <w:rFonts w:ascii="Verdana" w:eastAsia="Calibri" w:hAnsi="Verdana" w:cs="Arial"/>
          <w:sz w:val="18"/>
          <w:szCs w:val="18"/>
          <w:lang w:val="es-ES" w:eastAsia="es-ES"/>
        </w:rPr>
        <w:t xml:space="preserve">, que se adjunta a esta solicitud. También puede consultarse en la relatoría de esta Agencia en el siguiente enlace: </w:t>
      </w:r>
      <w:hyperlink r:id="rId1" w:tgtFrame="_blank" w:tooltip="Dirección URL original: https://relatoria.colombiacompra.gov.co/. Haga clic o pulse si confía en este vínculo." w:history="1">
        <w:r w:rsidRPr="00445B74">
          <w:rPr>
            <w:rFonts w:ascii="Verdana" w:eastAsia="Calibri" w:hAnsi="Verdana" w:cs="Arial"/>
            <w:color w:val="0000FF"/>
            <w:sz w:val="18"/>
            <w:szCs w:val="18"/>
            <w:u w:val="single"/>
            <w:shd w:val="clear" w:color="auto" w:fill="FFFFFF"/>
          </w:rPr>
          <w:t>https://relatoria.colombiacompra.gov.co/</w:t>
        </w:r>
      </w:hyperlink>
      <w:r w:rsidRPr="00445B74">
        <w:rPr>
          <w:rFonts w:ascii="Verdana" w:eastAsia="Calibri" w:hAnsi="Verdana" w:cs="Arial"/>
          <w:color w:val="0000FF"/>
          <w:sz w:val="18"/>
          <w:szCs w:val="18"/>
          <w:u w:val="single"/>
          <w:shd w:val="clear" w:color="auto" w:fill="FFFFFF"/>
        </w:rPr>
        <w:t>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2100622556"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1455826864" name="Imagen 14558268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6pt;height:12.6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827985604">
    <w:abstractNumId w:val="9"/>
  </w:num>
  <w:num w:numId="17" w16cid:durableId="3412743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409C"/>
    <w:rsid w:val="00030255"/>
    <w:rsid w:val="00046945"/>
    <w:rsid w:val="00061B2A"/>
    <w:rsid w:val="00082362"/>
    <w:rsid w:val="00083573"/>
    <w:rsid w:val="000A683E"/>
    <w:rsid w:val="000B19B9"/>
    <w:rsid w:val="000D0334"/>
    <w:rsid w:val="000D5DA7"/>
    <w:rsid w:val="000E4849"/>
    <w:rsid w:val="000F6486"/>
    <w:rsid w:val="00116940"/>
    <w:rsid w:val="0012489C"/>
    <w:rsid w:val="00125105"/>
    <w:rsid w:val="00127233"/>
    <w:rsid w:val="0014456F"/>
    <w:rsid w:val="0015699B"/>
    <w:rsid w:val="001A33BF"/>
    <w:rsid w:val="001E4177"/>
    <w:rsid w:val="001E53ED"/>
    <w:rsid w:val="001F0B24"/>
    <w:rsid w:val="001F7DC6"/>
    <w:rsid w:val="0022400B"/>
    <w:rsid w:val="002421BB"/>
    <w:rsid w:val="0025796E"/>
    <w:rsid w:val="00257E64"/>
    <w:rsid w:val="002707A2"/>
    <w:rsid w:val="002951A0"/>
    <w:rsid w:val="002962BC"/>
    <w:rsid w:val="002A093D"/>
    <w:rsid w:val="002A0DD0"/>
    <w:rsid w:val="002A49AC"/>
    <w:rsid w:val="002A64FD"/>
    <w:rsid w:val="002B6B2A"/>
    <w:rsid w:val="002C7A84"/>
    <w:rsid w:val="002D158E"/>
    <w:rsid w:val="002E2BF8"/>
    <w:rsid w:val="002E4FD9"/>
    <w:rsid w:val="0030657A"/>
    <w:rsid w:val="00322A85"/>
    <w:rsid w:val="00324168"/>
    <w:rsid w:val="00330834"/>
    <w:rsid w:val="0033548D"/>
    <w:rsid w:val="003448F4"/>
    <w:rsid w:val="00374F5E"/>
    <w:rsid w:val="00377E3E"/>
    <w:rsid w:val="003A779E"/>
    <w:rsid w:val="003D0F4D"/>
    <w:rsid w:val="003D3717"/>
    <w:rsid w:val="003D5B0D"/>
    <w:rsid w:val="003E0499"/>
    <w:rsid w:val="003E4F80"/>
    <w:rsid w:val="003E6439"/>
    <w:rsid w:val="003F3941"/>
    <w:rsid w:val="00406575"/>
    <w:rsid w:val="00414C74"/>
    <w:rsid w:val="0042722E"/>
    <w:rsid w:val="0044528D"/>
    <w:rsid w:val="00466E39"/>
    <w:rsid w:val="004A1847"/>
    <w:rsid w:val="004A305D"/>
    <w:rsid w:val="004E2CA6"/>
    <w:rsid w:val="004F21C4"/>
    <w:rsid w:val="004F685F"/>
    <w:rsid w:val="005566E8"/>
    <w:rsid w:val="00574867"/>
    <w:rsid w:val="00590976"/>
    <w:rsid w:val="00591460"/>
    <w:rsid w:val="005A65E0"/>
    <w:rsid w:val="005C3777"/>
    <w:rsid w:val="005C5CDC"/>
    <w:rsid w:val="005D476C"/>
    <w:rsid w:val="006046CE"/>
    <w:rsid w:val="006200BF"/>
    <w:rsid w:val="006219F8"/>
    <w:rsid w:val="006302F7"/>
    <w:rsid w:val="006343F5"/>
    <w:rsid w:val="00646B9F"/>
    <w:rsid w:val="00665D70"/>
    <w:rsid w:val="006900D9"/>
    <w:rsid w:val="006C1FEB"/>
    <w:rsid w:val="00706C16"/>
    <w:rsid w:val="007340C3"/>
    <w:rsid w:val="0075235A"/>
    <w:rsid w:val="00756841"/>
    <w:rsid w:val="007649AB"/>
    <w:rsid w:val="00771D0C"/>
    <w:rsid w:val="007833AC"/>
    <w:rsid w:val="007929DE"/>
    <w:rsid w:val="007B268C"/>
    <w:rsid w:val="007B7171"/>
    <w:rsid w:val="007C0C0F"/>
    <w:rsid w:val="007C284E"/>
    <w:rsid w:val="007C3DC2"/>
    <w:rsid w:val="007E5497"/>
    <w:rsid w:val="00806F5F"/>
    <w:rsid w:val="00820278"/>
    <w:rsid w:val="008258C9"/>
    <w:rsid w:val="00844AE9"/>
    <w:rsid w:val="00867F95"/>
    <w:rsid w:val="00870B74"/>
    <w:rsid w:val="00884197"/>
    <w:rsid w:val="008843B6"/>
    <w:rsid w:val="00891928"/>
    <w:rsid w:val="008A13CB"/>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A77DF"/>
    <w:rsid w:val="00CB6357"/>
    <w:rsid w:val="00CC1B26"/>
    <w:rsid w:val="00D361FD"/>
    <w:rsid w:val="00D423A2"/>
    <w:rsid w:val="00D44E26"/>
    <w:rsid w:val="00D520D8"/>
    <w:rsid w:val="00D63AC2"/>
    <w:rsid w:val="00D64C7C"/>
    <w:rsid w:val="00D7383B"/>
    <w:rsid w:val="00D7788A"/>
    <w:rsid w:val="00DA231B"/>
    <w:rsid w:val="00DC39FC"/>
    <w:rsid w:val="00DD4FD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EE5926"/>
    <w:rsid w:val="00F20A4E"/>
    <w:rsid w:val="00F23FEA"/>
    <w:rsid w:val="00F31EDC"/>
    <w:rsid w:val="00F462B3"/>
    <w:rsid w:val="00F47CF9"/>
    <w:rsid w:val="00F5664F"/>
    <w:rsid w:val="00F666C4"/>
    <w:rsid w:val="00F76AFC"/>
    <w:rsid w:val="00FA47C0"/>
    <w:rsid w:val="00FB5DD1"/>
    <w:rsid w:val="00FC2B5D"/>
    <w:rsid w:val="00FE0892"/>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95A2B59"/>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2B6B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2B6B2A"/>
    <w:pPr>
      <w:spacing w:line="240" w:lineRule="exact"/>
    </w:pPr>
    <w:rPr>
      <w:vertAlign w:val="superscript"/>
    </w:rPr>
  </w:style>
  <w:style w:type="table" w:customStyle="1" w:styleId="Tablaconcuadrcula2">
    <w:name w:val="Tabla con cuadrícula2"/>
    <w:basedOn w:val="Tablanormal"/>
    <w:next w:val="Tablaconcuadrcula"/>
    <w:uiPriority w:val="39"/>
    <w:qFormat/>
    <w:rsid w:val="002B6B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colombiacompra.gov.co/documentos-tipo/documentos-tipo"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linasantafe1691@hotmail.com" TargetMode="Externa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DBC51942-CED5-479B-994C-91166DF0DA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27</TotalTime>
  <Pages>23</Pages>
  <Words>7815</Words>
  <Characters>42987</Characters>
  <Application>Microsoft Office Word</Application>
  <DocSecurity>0</DocSecurity>
  <Lines>358</Lines>
  <Paragraphs>101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9</cp:revision>
  <cp:lastPrinted>2023-01-10T21:18:00Z</cp:lastPrinted>
  <dcterms:created xsi:type="dcterms:W3CDTF">2026-03-19T20:40:00Z</dcterms:created>
  <dcterms:modified xsi:type="dcterms:W3CDTF">2026-03-20T15:22:00Z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