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AE202" w14:textId="77777777" w:rsidR="00E00B8D" w:rsidRPr="003C1D23" w:rsidRDefault="00E00B8D" w:rsidP="00E00B8D">
      <w:pPr>
        <w:spacing w:after="0" w:line="240" w:lineRule="auto"/>
        <w:jc w:val="both"/>
        <w:rPr>
          <w:rFonts w:ascii="Verdana" w:eastAsia="Calibri" w:hAnsi="Verdana" w:cs="Arial"/>
          <w:b/>
          <w:color w:val="000000" w:themeColor="text1"/>
          <w:sz w:val="20"/>
          <w:szCs w:val="20"/>
          <w:lang w:val="es-ES"/>
        </w:rPr>
      </w:pPr>
    </w:p>
    <w:p w14:paraId="06FD5639" w14:textId="77777777" w:rsidR="00E00B8D" w:rsidRDefault="00E00B8D" w:rsidP="00E00B8D">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LICITACIÓN PÚBLICA</w:t>
      </w:r>
      <w:r w:rsidRPr="000B5B4A">
        <w:rPr>
          <w:rFonts w:ascii="Verdana" w:eastAsia="Calibri" w:hAnsi="Verdana" w:cs="Arial"/>
          <w:b/>
          <w:color w:val="000000" w:themeColor="text1"/>
          <w:lang w:val="es-ES"/>
        </w:rPr>
        <w:t xml:space="preserve"> –</w:t>
      </w:r>
      <w:r>
        <w:rPr>
          <w:rFonts w:ascii="Verdana" w:eastAsia="Calibri" w:hAnsi="Verdana" w:cs="Arial"/>
          <w:b/>
          <w:color w:val="000000" w:themeColor="text1"/>
          <w:lang w:val="es-ES"/>
        </w:rPr>
        <w:t xml:space="preserve"> Regla general</w:t>
      </w:r>
    </w:p>
    <w:p w14:paraId="3FE186F9" w14:textId="77777777" w:rsidR="00E00B8D" w:rsidRPr="00336852" w:rsidRDefault="00E00B8D" w:rsidP="00E00B8D">
      <w:pPr>
        <w:spacing w:after="0" w:line="240" w:lineRule="auto"/>
        <w:jc w:val="both"/>
        <w:rPr>
          <w:rFonts w:ascii="Verdana" w:eastAsia="Calibri" w:hAnsi="Verdana" w:cs="Arial"/>
          <w:bCs/>
          <w:color w:val="000000" w:themeColor="text1"/>
          <w:sz w:val="20"/>
          <w:szCs w:val="20"/>
          <w:lang w:val="es-ES"/>
        </w:rPr>
      </w:pPr>
    </w:p>
    <w:p w14:paraId="4A03D61F" w14:textId="77777777" w:rsidR="00E00B8D" w:rsidRPr="00336852" w:rsidRDefault="00E00B8D" w:rsidP="00E00B8D">
      <w:pPr>
        <w:spacing w:after="0" w:line="240" w:lineRule="auto"/>
        <w:jc w:val="both"/>
        <w:rPr>
          <w:rFonts w:ascii="Verdana" w:eastAsia="Calibri" w:hAnsi="Verdana" w:cs="Arial"/>
          <w:bCs/>
          <w:color w:val="000000" w:themeColor="text1"/>
          <w:sz w:val="20"/>
          <w:szCs w:val="20"/>
          <w:lang w:val="es-ES"/>
        </w:rPr>
      </w:pPr>
      <w:r>
        <w:rPr>
          <w:rFonts w:ascii="Verdana" w:eastAsia="Calibri" w:hAnsi="Verdana" w:cs="Arial"/>
          <w:bCs/>
          <w:color w:val="000000" w:themeColor="text1"/>
          <w:sz w:val="20"/>
          <w:szCs w:val="20"/>
          <w:lang w:val="es-ES"/>
        </w:rPr>
        <w:t>P</w:t>
      </w:r>
      <w:r w:rsidRPr="00336852">
        <w:rPr>
          <w:rFonts w:ascii="Verdana" w:eastAsia="Calibri" w:hAnsi="Verdana" w:cs="Arial"/>
          <w:bCs/>
          <w:color w:val="000000" w:themeColor="text1"/>
          <w:sz w:val="20"/>
          <w:szCs w:val="20"/>
          <w:lang w:val="es-ES"/>
        </w:rPr>
        <w:t xml:space="preserve">ara las entidades sometidas a la Ley 80 de 1993, los procesos de selección se rigen por el artículo 2 de la Ley 1150 de 2007. El numeral uno, inciso primero, dispone que “La escogencia del contratista se efectuará por regla general a través de licitación pública, con las excepciones que se señalan en los numerales 2, 3 y 4 del presente artículo” (Énfasis fuera de texto), norma que sustituye el derogado numeral 1 del artículo 24 de la Ley 80 de 1993 sobre el principio de transparencia. Así, salvo norma especial que ordene la celebración del negocio jurídico por selección abreviada, concurso de méritos, mínima cuantía o contratación directa, debe aplicarse la regla general de licitación pública. </w:t>
      </w:r>
    </w:p>
    <w:p w14:paraId="103A5109" w14:textId="77777777" w:rsidR="00E00B8D" w:rsidRPr="00336852" w:rsidRDefault="00E00B8D" w:rsidP="00E00B8D">
      <w:pPr>
        <w:spacing w:after="0" w:line="240" w:lineRule="auto"/>
        <w:jc w:val="both"/>
        <w:rPr>
          <w:rFonts w:ascii="Verdana" w:eastAsia="Calibri" w:hAnsi="Verdana" w:cs="Arial"/>
          <w:bCs/>
          <w:color w:val="000000" w:themeColor="text1"/>
          <w:sz w:val="20"/>
          <w:szCs w:val="20"/>
          <w:lang w:val="es-ES"/>
        </w:rPr>
      </w:pPr>
    </w:p>
    <w:p w14:paraId="28437DB8" w14:textId="77777777" w:rsidR="00E00B8D" w:rsidRPr="00AF1555" w:rsidRDefault="00E00B8D" w:rsidP="00E00B8D">
      <w:pPr>
        <w:spacing w:after="0" w:line="240" w:lineRule="auto"/>
        <w:jc w:val="both"/>
        <w:rPr>
          <w:rFonts w:ascii="Verdana" w:eastAsia="Calibri" w:hAnsi="Verdana" w:cs="Arial"/>
          <w:b/>
          <w:color w:val="000000" w:themeColor="text1"/>
          <w:lang w:val="es-ES"/>
        </w:rPr>
      </w:pPr>
      <w:r w:rsidRPr="000B5B4A">
        <w:rPr>
          <w:rFonts w:ascii="Verdana" w:eastAsia="Calibri" w:hAnsi="Verdana" w:cs="Arial"/>
          <w:b/>
          <w:color w:val="000000" w:themeColor="text1"/>
          <w:lang w:val="es-ES"/>
        </w:rPr>
        <w:t>SELECCIÓN ABREVIADA DE MENOR CUANTÍA</w:t>
      </w:r>
      <w:r>
        <w:rPr>
          <w:rFonts w:ascii="Verdana" w:eastAsia="Calibri" w:hAnsi="Verdana" w:cs="Arial"/>
          <w:b/>
          <w:color w:val="000000" w:themeColor="text1"/>
          <w:lang w:val="es-ES"/>
        </w:rPr>
        <w:t xml:space="preserve"> – </w:t>
      </w:r>
      <w:r w:rsidRPr="000B5B4A">
        <w:rPr>
          <w:rFonts w:ascii="Verdana" w:eastAsia="Calibri" w:hAnsi="Verdana" w:cs="Arial"/>
          <w:b/>
          <w:color w:val="000000" w:themeColor="text1"/>
          <w:lang w:val="es-ES"/>
        </w:rPr>
        <w:t>Características</w:t>
      </w:r>
      <w:r w:rsidRPr="00AF1555">
        <w:rPr>
          <w:rFonts w:ascii="Verdana" w:eastAsia="Calibri" w:hAnsi="Verdana" w:cs="Arial"/>
          <w:b/>
          <w:color w:val="000000" w:themeColor="text1"/>
          <w:lang w:val="es-ES"/>
        </w:rPr>
        <w:t xml:space="preserve"> </w:t>
      </w:r>
    </w:p>
    <w:p w14:paraId="403ABF34" w14:textId="77777777" w:rsidR="00E00B8D" w:rsidRPr="00AF1555" w:rsidRDefault="00E00B8D" w:rsidP="00E00B8D">
      <w:pPr>
        <w:spacing w:after="0" w:line="240" w:lineRule="auto"/>
        <w:jc w:val="both"/>
        <w:rPr>
          <w:rFonts w:ascii="Verdana" w:eastAsia="Calibri" w:hAnsi="Verdana" w:cs="Arial"/>
          <w:bCs/>
          <w:color w:val="000000" w:themeColor="text1"/>
          <w:sz w:val="20"/>
          <w:szCs w:val="20"/>
          <w:lang w:val="es-ES"/>
        </w:rPr>
      </w:pPr>
    </w:p>
    <w:p w14:paraId="28C6130C" w14:textId="77777777" w:rsidR="00E00B8D" w:rsidRPr="000B5B4A" w:rsidRDefault="00E00B8D" w:rsidP="00E00B8D">
      <w:pPr>
        <w:spacing w:after="0" w:line="240" w:lineRule="auto"/>
        <w:jc w:val="both"/>
        <w:rPr>
          <w:rFonts w:ascii="Verdana" w:eastAsia="Calibri" w:hAnsi="Verdana" w:cs="Arial"/>
          <w:bCs/>
          <w:color w:val="000000" w:themeColor="text1"/>
          <w:sz w:val="20"/>
          <w:szCs w:val="20"/>
          <w:lang w:val="es-ES" w:eastAsia="es-ES_tradnl"/>
        </w:rPr>
      </w:pPr>
      <w:r w:rsidRPr="000B5B4A">
        <w:rPr>
          <w:rFonts w:ascii="Verdana" w:eastAsia="Calibri" w:hAnsi="Verdana" w:cs="Arial"/>
          <w:bCs/>
          <w:color w:val="000000" w:themeColor="text1"/>
          <w:sz w:val="20"/>
          <w:szCs w:val="20"/>
          <w:lang w:val="es-ES" w:eastAsia="es-ES_tradnl"/>
        </w:rPr>
        <w:t xml:space="preserve">Respecto a la selección abreviada, el numeral 2 del artículo 2 de la Ley 1150 de 2007 dispone que </w:t>
      </w:r>
      <w:r>
        <w:rPr>
          <w:rFonts w:ascii="Verdana" w:eastAsia="Calibri" w:hAnsi="Verdana" w:cs="Arial"/>
          <w:bCs/>
          <w:color w:val="000000" w:themeColor="text1"/>
          <w:sz w:val="20"/>
          <w:szCs w:val="20"/>
          <w:lang w:val="es-ES" w:eastAsia="es-ES_tradnl"/>
        </w:rPr>
        <w:t>“</w:t>
      </w:r>
      <w:r w:rsidRPr="000B5B4A">
        <w:rPr>
          <w:rFonts w:ascii="Verdana" w:eastAsia="Calibri" w:hAnsi="Verdana" w:cs="Arial"/>
          <w:bCs/>
          <w:color w:val="000000" w:themeColor="text1"/>
          <w:sz w:val="20"/>
          <w:szCs w:val="20"/>
          <w:lang w:val="es-ES" w:eastAsia="es-ES_tradnl"/>
        </w:rPr>
        <w:t>[…]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r>
        <w:rPr>
          <w:rFonts w:ascii="Verdana" w:eastAsia="Calibri" w:hAnsi="Verdana" w:cs="Arial"/>
          <w:bCs/>
          <w:color w:val="000000" w:themeColor="text1"/>
          <w:sz w:val="20"/>
          <w:szCs w:val="20"/>
          <w:lang w:val="es-ES" w:eastAsia="es-ES_tradnl"/>
        </w:rPr>
        <w:t>”</w:t>
      </w:r>
      <w:r w:rsidRPr="000B5B4A">
        <w:rPr>
          <w:rFonts w:ascii="Verdana" w:eastAsia="Calibri" w:hAnsi="Verdana" w:cs="Arial"/>
          <w:bCs/>
          <w:color w:val="000000" w:themeColor="text1"/>
          <w:sz w:val="20"/>
          <w:szCs w:val="20"/>
          <w:lang w:val="es-ES" w:eastAsia="es-ES_tradnl"/>
        </w:rPr>
        <w:t xml:space="preserve">, regulando cada una de las causales. </w:t>
      </w:r>
    </w:p>
    <w:p w14:paraId="51D56F14" w14:textId="77777777" w:rsidR="00E00B8D" w:rsidRPr="000B5B4A" w:rsidRDefault="00E00B8D" w:rsidP="00E00B8D">
      <w:pPr>
        <w:spacing w:after="0" w:line="240" w:lineRule="auto"/>
        <w:jc w:val="both"/>
        <w:rPr>
          <w:rFonts w:ascii="Verdana" w:eastAsia="Calibri" w:hAnsi="Verdana" w:cs="Arial"/>
          <w:bCs/>
          <w:color w:val="000000" w:themeColor="text1"/>
          <w:sz w:val="20"/>
          <w:szCs w:val="20"/>
          <w:lang w:val="es-ES" w:eastAsia="es-ES_tradnl"/>
        </w:rPr>
      </w:pPr>
    </w:p>
    <w:p w14:paraId="04132331" w14:textId="77777777" w:rsidR="00E00B8D" w:rsidRDefault="00E00B8D" w:rsidP="00E00B8D">
      <w:pPr>
        <w:spacing w:after="0" w:line="240" w:lineRule="auto"/>
        <w:jc w:val="both"/>
        <w:rPr>
          <w:rFonts w:ascii="Verdana" w:eastAsia="Calibri" w:hAnsi="Verdana" w:cs="Arial"/>
          <w:bCs/>
          <w:color w:val="000000" w:themeColor="text1"/>
          <w:sz w:val="20"/>
          <w:szCs w:val="20"/>
          <w:lang w:val="es-ES" w:eastAsia="es-ES_tradnl"/>
        </w:rPr>
      </w:pPr>
      <w:r w:rsidRPr="000B5B4A">
        <w:rPr>
          <w:rFonts w:ascii="Verdana" w:eastAsia="Calibri" w:hAnsi="Verdana" w:cs="Arial"/>
          <w:bCs/>
          <w:color w:val="000000" w:themeColor="text1"/>
          <w:sz w:val="20"/>
          <w:szCs w:val="20"/>
          <w:lang w:val="es-ES" w:eastAsia="es-ES_tradnl"/>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p>
    <w:p w14:paraId="6D39C8DE" w14:textId="77777777" w:rsidR="00E00B8D" w:rsidRPr="00AF1555" w:rsidRDefault="00E00B8D" w:rsidP="00E00B8D">
      <w:pPr>
        <w:spacing w:after="0" w:line="240" w:lineRule="auto"/>
        <w:rPr>
          <w:rFonts w:ascii="Verdana" w:eastAsia="Geomanist Light" w:hAnsi="Verdana" w:cs="Arial"/>
          <w:color w:val="000000" w:themeColor="text1"/>
          <w:sz w:val="20"/>
          <w:szCs w:val="20"/>
          <w:lang w:val="es-ES_tradnl"/>
        </w:rPr>
      </w:pPr>
    </w:p>
    <w:p w14:paraId="5CDBE415" w14:textId="77777777" w:rsidR="00E00B8D" w:rsidRPr="009B46EA" w:rsidRDefault="00E00B8D" w:rsidP="00E00B8D">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MÍNIMA CUANTÍA</w:t>
      </w:r>
      <w:r w:rsidRPr="009B46EA">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Fundamento normativo</w:t>
      </w:r>
      <w:r w:rsidRPr="009B46EA">
        <w:rPr>
          <w:rFonts w:ascii="Verdana" w:eastAsia="Calibri" w:hAnsi="Verdana" w:cs="Arial"/>
          <w:b/>
          <w:color w:val="000000" w:themeColor="text1"/>
          <w:lang w:val="es-ES_tradnl"/>
        </w:rPr>
        <w:t xml:space="preserve"> </w:t>
      </w:r>
    </w:p>
    <w:p w14:paraId="7AC9E7FF" w14:textId="77777777" w:rsidR="00E00B8D" w:rsidRPr="009B46EA" w:rsidRDefault="00E00B8D" w:rsidP="00E00B8D">
      <w:pPr>
        <w:spacing w:after="0" w:line="240" w:lineRule="auto"/>
        <w:jc w:val="both"/>
        <w:rPr>
          <w:rFonts w:ascii="Verdana" w:eastAsia="Calibri" w:hAnsi="Verdana" w:cs="Arial"/>
          <w:bCs/>
          <w:color w:val="000000" w:themeColor="text1"/>
          <w:sz w:val="20"/>
          <w:szCs w:val="20"/>
          <w:lang w:val="es-ES_tradnl"/>
        </w:rPr>
      </w:pPr>
    </w:p>
    <w:p w14:paraId="2ED610D5" w14:textId="77777777" w:rsidR="00E00B8D" w:rsidRPr="009B46EA" w:rsidRDefault="00E00B8D" w:rsidP="00E00B8D">
      <w:pPr>
        <w:spacing w:after="0" w:line="240" w:lineRule="auto"/>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E</w:t>
      </w:r>
      <w:r w:rsidRPr="00217168">
        <w:rPr>
          <w:rFonts w:ascii="Verdana" w:hAnsi="Verdana" w:cs="Arial"/>
          <w:color w:val="000000" w:themeColor="text1"/>
          <w:sz w:val="20"/>
          <w:szCs w:val="20"/>
          <w:lang w:val="es-ES_tradnl"/>
        </w:rPr>
        <w:t>s necesario tener en cuenta que el artículo 30 de la Ley 2069 de 2020 modifica el numeral 5 del artículo 2 de la Ley 1150 de 2007, el cual regula la mínima cuantía. En esta modalidad de selección, la entidad estatal realiza una convocatoria pública para recibir ofertas de bienes o servicios cuyo valor no excede el diez por ciento –10%– de la menor cuantía. Fue creada por el artículo 274 de la Ley 1450 de 2011 y modificada por el artículo 94 de la Ley 1474 de 2011, disponiendo que el factor determinante para adelantarla es el valor del presupuesto oficial con independencia de su objeto. Por lo demás, como en este procedimiento el contrato se perfecciona con la aceptación de la oferta, se considera un sucedáneo de los denominados “contratos sin formalidades plenas”</w:t>
      </w:r>
      <w:r w:rsidRPr="009B46EA">
        <w:rPr>
          <w:rFonts w:ascii="Verdana" w:hAnsi="Verdana" w:cs="Arial"/>
          <w:color w:val="000000" w:themeColor="text1"/>
          <w:sz w:val="20"/>
          <w:szCs w:val="20"/>
          <w:lang w:val="es-ES_tradnl"/>
        </w:rPr>
        <w:t>.</w:t>
      </w:r>
    </w:p>
    <w:p w14:paraId="65508422" w14:textId="77777777" w:rsidR="00E00B8D" w:rsidRPr="009B46EA" w:rsidRDefault="00E00B8D" w:rsidP="00E00B8D">
      <w:pPr>
        <w:spacing w:after="0" w:line="240" w:lineRule="auto"/>
        <w:jc w:val="both"/>
        <w:rPr>
          <w:rFonts w:ascii="Verdana" w:hAnsi="Verdana" w:cs="Arial"/>
          <w:color w:val="000000" w:themeColor="text1"/>
          <w:sz w:val="21"/>
          <w:szCs w:val="21"/>
          <w:lang w:val="es-ES_tradnl"/>
        </w:rPr>
      </w:pPr>
    </w:p>
    <w:p w14:paraId="5CE9F480" w14:textId="77777777" w:rsidR="00E00B8D" w:rsidRPr="009B46EA" w:rsidRDefault="00E00B8D" w:rsidP="00E00B8D">
      <w:pPr>
        <w:spacing w:after="0" w:line="240" w:lineRule="auto"/>
        <w:jc w:val="both"/>
        <w:rPr>
          <w:rFonts w:ascii="Verdana" w:eastAsia="Calibri" w:hAnsi="Verdana" w:cs="Arial"/>
          <w:b/>
          <w:color w:val="000000" w:themeColor="text1"/>
          <w:lang w:val="es-ES_tradnl"/>
        </w:rPr>
      </w:pPr>
      <w:bookmarkStart w:id="0" w:name="_Hlk109118876"/>
      <w:r>
        <w:rPr>
          <w:rFonts w:ascii="Verdana" w:eastAsia="Calibri" w:hAnsi="Verdana" w:cs="Arial"/>
          <w:b/>
          <w:color w:val="000000" w:themeColor="text1"/>
          <w:lang w:val="es-ES_tradnl"/>
        </w:rPr>
        <w:t>SELECCIÓN OBJETIVA – Oferta más favorable</w:t>
      </w:r>
      <w:r w:rsidRPr="009B46EA">
        <w:rPr>
          <w:rFonts w:ascii="Verdana" w:eastAsia="Calibri" w:hAnsi="Verdana" w:cs="Arial"/>
          <w:b/>
          <w:color w:val="000000" w:themeColor="text1"/>
          <w:lang w:val="es-ES_tradnl"/>
        </w:rPr>
        <w:t xml:space="preserve"> –</w:t>
      </w:r>
      <w:bookmarkEnd w:id="0"/>
      <w:r w:rsidRPr="009B46EA">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Marco jurídico</w:t>
      </w:r>
      <w:r w:rsidRPr="009B46EA">
        <w:rPr>
          <w:rFonts w:ascii="Verdana" w:eastAsia="Calibri" w:hAnsi="Verdana" w:cs="Arial"/>
          <w:b/>
          <w:color w:val="000000" w:themeColor="text1"/>
          <w:lang w:val="es-ES_tradnl"/>
        </w:rPr>
        <w:t xml:space="preserve"> </w:t>
      </w:r>
    </w:p>
    <w:p w14:paraId="1655BEC6" w14:textId="77777777" w:rsidR="00E00B8D" w:rsidRPr="009B46EA" w:rsidRDefault="00E00B8D" w:rsidP="00E00B8D">
      <w:pPr>
        <w:spacing w:after="0" w:line="240" w:lineRule="auto"/>
        <w:jc w:val="both"/>
        <w:rPr>
          <w:rFonts w:ascii="Verdana" w:eastAsia="Calibri" w:hAnsi="Verdana" w:cs="Arial"/>
          <w:b/>
          <w:color w:val="000000" w:themeColor="text1"/>
          <w:lang w:val="es-ES_tradnl"/>
        </w:rPr>
      </w:pPr>
    </w:p>
    <w:p w14:paraId="72847776" w14:textId="77777777" w:rsidR="00E00B8D" w:rsidRDefault="00E00B8D" w:rsidP="00E00B8D">
      <w:pPr>
        <w:spacing w:after="0" w:line="240" w:lineRule="auto"/>
        <w:jc w:val="both"/>
        <w:rPr>
          <w:rFonts w:ascii="Verdana" w:hAnsi="Verdana" w:cs="Arial"/>
          <w:color w:val="000000" w:themeColor="text1"/>
          <w:sz w:val="20"/>
          <w:szCs w:val="20"/>
        </w:rPr>
      </w:pPr>
      <w:r w:rsidRPr="000D7C8D">
        <w:rPr>
          <w:rFonts w:ascii="Verdana" w:hAnsi="Verdana" w:cs="Arial"/>
          <w:color w:val="000000" w:themeColor="text1"/>
          <w:sz w:val="20"/>
          <w:szCs w:val="20"/>
        </w:rPr>
        <w:lastRenderedPageBreak/>
        <w:t>el artículo 5 de la Ley 1150 de 2007, alude a diferentes conceptos como factores de escogencia, de calificación, técnicos y económicos de escogencia, de evaluación y calificación. Además, el artículo alude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 Todas estas categorías designan los “[…] factores a los cuales cabe otorgarles puntajes o que pueden ser ponderados, precisamente, pues estos son los factores que en últimas permiten una comparación de ofertas y una diferenciación entre ellas”.</w:t>
      </w:r>
    </w:p>
    <w:p w14:paraId="5EE7D949" w14:textId="77777777" w:rsidR="00E00B8D" w:rsidRPr="000D7C8D" w:rsidRDefault="00E00B8D" w:rsidP="00E00B8D">
      <w:pPr>
        <w:spacing w:after="0" w:line="240" w:lineRule="auto"/>
        <w:jc w:val="both"/>
        <w:rPr>
          <w:rFonts w:ascii="Verdana" w:hAnsi="Verdana" w:cs="Arial"/>
          <w:color w:val="000000" w:themeColor="text1"/>
          <w:sz w:val="20"/>
          <w:szCs w:val="20"/>
        </w:rPr>
      </w:pPr>
    </w:p>
    <w:p w14:paraId="7F87A340" w14:textId="77777777" w:rsidR="00E00B8D" w:rsidRDefault="00E00B8D" w:rsidP="00E00B8D">
      <w:pPr>
        <w:spacing w:after="0" w:line="240" w:lineRule="auto"/>
        <w:jc w:val="both"/>
        <w:rPr>
          <w:rFonts w:ascii="Verdana" w:hAnsi="Verdana" w:cs="Arial"/>
          <w:color w:val="000000" w:themeColor="text1"/>
          <w:sz w:val="20"/>
          <w:szCs w:val="20"/>
        </w:rPr>
      </w:pPr>
      <w:r w:rsidRPr="000D7C8D">
        <w:rPr>
          <w:rFonts w:ascii="Verdana" w:hAnsi="Verdana" w:cs="Arial"/>
          <w:color w:val="000000" w:themeColor="text1"/>
          <w:sz w:val="20"/>
          <w:szCs w:val="20"/>
        </w:rPr>
        <w:t xml:space="preserve">En ese sentido, la asignación de puntaje es un mecanismo mediante el cual las entidades ponderan los factores de calificación </w:t>
      </w:r>
      <w:r w:rsidRPr="000D7C8D">
        <w:rPr>
          <w:rFonts w:ascii="Tahoma" w:hAnsi="Tahoma" w:cs="Tahoma"/>
          <w:color w:val="000000" w:themeColor="text1"/>
          <w:sz w:val="20"/>
          <w:szCs w:val="20"/>
        </w:rPr>
        <w:t>ꟷ</w:t>
      </w:r>
      <w:r w:rsidRPr="000D7C8D">
        <w:rPr>
          <w:rFonts w:ascii="Verdana" w:hAnsi="Verdana" w:cs="Arial"/>
          <w:i/>
          <w:color w:val="000000" w:themeColor="text1"/>
          <w:sz w:val="20"/>
          <w:szCs w:val="20"/>
        </w:rPr>
        <w:t>v.g.</w:t>
      </w:r>
      <w:r w:rsidRPr="000D7C8D">
        <w:rPr>
          <w:rFonts w:ascii="Verdana" w:hAnsi="Verdana" w:cs="Arial"/>
          <w:color w:val="000000" w:themeColor="text1"/>
          <w:sz w:val="20"/>
          <w:szCs w:val="20"/>
        </w:rPr>
        <w:t xml:space="preserve"> técnicos y económicos, de calidad y precio, etc.</w:t>
      </w:r>
      <w:r w:rsidRPr="000D7C8D">
        <w:rPr>
          <w:rFonts w:ascii="Tahoma" w:hAnsi="Tahoma" w:cs="Tahoma"/>
          <w:color w:val="000000" w:themeColor="text1"/>
          <w:sz w:val="20"/>
          <w:szCs w:val="20"/>
        </w:rPr>
        <w:t>ꟷ</w:t>
      </w:r>
      <w:r w:rsidRPr="000D7C8D">
        <w:rPr>
          <w:rFonts w:ascii="Verdana" w:hAnsi="Verdana" w:cs="Arial"/>
          <w:color w:val="000000" w:themeColor="text1"/>
          <w:sz w:val="20"/>
          <w:szCs w:val="20"/>
        </w:rPr>
        <w:t xml:space="preserve"> en un determinado proceso de selección, como se desprende del </w:t>
      </w:r>
      <w:r>
        <w:rPr>
          <w:rFonts w:ascii="Verdana" w:hAnsi="Verdana" w:cs="Arial"/>
          <w:color w:val="000000" w:themeColor="text1"/>
          <w:sz w:val="20"/>
          <w:szCs w:val="20"/>
        </w:rPr>
        <w:t>literal a) del numeral 2 del artículo 5 de la Ley 1150 de 2007</w:t>
      </w:r>
      <w:r w:rsidRPr="000D7C8D">
        <w:rPr>
          <w:rFonts w:ascii="Verdana" w:hAnsi="Verdana" w:cs="Arial"/>
          <w:color w:val="000000" w:themeColor="text1"/>
          <w:sz w:val="20"/>
          <w:szCs w:val="20"/>
        </w:rPr>
        <w:t>. Sin embargo, no es este el único mecanismo de ponderación que tienen a su alcance las entidades estatales para determinar el ofrecimiento más favorable, pues el propio literal b) del artículo 5.2 posibilita que el ofrecimiento más favorable se determine con un análisis de la relación costo-beneficio. A estos se suman, los procesos de selección de bienes y servicios de características técnicas uniformes y de común utilización, así como los de mínima cuantía, en los que –según los artículos 5.3 y 2.5 de la Ley 1150 de 2007– el único factor de selección es el menor precio ofertado.</w:t>
      </w:r>
    </w:p>
    <w:p w14:paraId="118ED75F" w14:textId="77777777" w:rsidR="00E00B8D" w:rsidRPr="000D7C8D" w:rsidRDefault="00E00B8D" w:rsidP="00E00B8D">
      <w:pPr>
        <w:spacing w:after="0" w:line="240" w:lineRule="auto"/>
        <w:jc w:val="both"/>
        <w:rPr>
          <w:rFonts w:ascii="Verdana" w:hAnsi="Verdana" w:cs="Arial"/>
          <w:color w:val="000000" w:themeColor="text1"/>
          <w:sz w:val="20"/>
          <w:szCs w:val="20"/>
        </w:rPr>
      </w:pPr>
    </w:p>
    <w:p w14:paraId="2FE91A6D" w14:textId="77777777" w:rsidR="00E00B8D" w:rsidRPr="00F90929" w:rsidRDefault="00E00B8D" w:rsidP="00E00B8D">
      <w:pPr>
        <w:spacing w:after="0" w:line="240" w:lineRule="auto"/>
        <w:jc w:val="both"/>
        <w:rPr>
          <w:rFonts w:ascii="Verdana" w:hAnsi="Verdana" w:cs="Arial"/>
          <w:color w:val="000000" w:themeColor="text1"/>
          <w:sz w:val="20"/>
          <w:szCs w:val="20"/>
        </w:rPr>
      </w:pPr>
      <w:r w:rsidRPr="000D7C8D">
        <w:rPr>
          <w:rFonts w:ascii="Verdana" w:hAnsi="Verdana" w:cs="Arial"/>
          <w:color w:val="000000" w:themeColor="text1"/>
          <w:sz w:val="20"/>
          <w:szCs w:val="20"/>
        </w:rPr>
        <w:t>Conforme a lo anterior,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Estas disposiciones establecen que en los procesos de selección deben evaluarse, fuera de los requisitos habilitantes, los factores de calificación, valoración o evaluación. Estos pueden ponderarse mediante la asignación de puntaje, por lo que la norma se refiere a factores que no otorgan puntaje para diferenciar los requisitos habilitantes de los mencionados factores de calificación. Lo anterior, bajo el entendido que son estos últimos los que determinan la oferta más favorable para la entidad y la que en consecuencia debe elegirse.</w:t>
      </w:r>
    </w:p>
    <w:p w14:paraId="1CA782F1" w14:textId="77777777" w:rsidR="00E00B8D" w:rsidRPr="009B46EA" w:rsidRDefault="00E00B8D" w:rsidP="00E00B8D">
      <w:pPr>
        <w:spacing w:after="0" w:line="240" w:lineRule="auto"/>
        <w:jc w:val="both"/>
        <w:rPr>
          <w:rFonts w:ascii="Verdana" w:hAnsi="Verdana" w:cs="Arial"/>
          <w:color w:val="000000" w:themeColor="text1"/>
          <w:sz w:val="21"/>
          <w:szCs w:val="21"/>
          <w:lang w:val="es-ES_tradnl"/>
        </w:rPr>
      </w:pPr>
    </w:p>
    <w:p w14:paraId="61572BFE" w14:textId="77777777" w:rsidR="00E00B8D" w:rsidRPr="009B46EA" w:rsidRDefault="00E00B8D" w:rsidP="00E00B8D">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PLIEGO DE CONDICIONES O DOCUMENTO EQUIVALENTE</w:t>
      </w:r>
      <w:r w:rsidRPr="009B46EA">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Expedición – Discrecionalidad – Proporcionalidad – Fuerza vinculante</w:t>
      </w:r>
      <w:r w:rsidRPr="009B46EA">
        <w:rPr>
          <w:rFonts w:ascii="Verdana" w:eastAsia="Calibri" w:hAnsi="Verdana" w:cs="Arial"/>
          <w:b/>
          <w:color w:val="000000" w:themeColor="text1"/>
          <w:lang w:val="es-ES_tradnl"/>
        </w:rPr>
        <w:t xml:space="preserve"> </w:t>
      </w:r>
    </w:p>
    <w:p w14:paraId="683FA44F" w14:textId="77777777" w:rsidR="00E00B8D" w:rsidRPr="009B46EA" w:rsidRDefault="00E00B8D" w:rsidP="00E00B8D">
      <w:pPr>
        <w:spacing w:after="0" w:line="240" w:lineRule="auto"/>
        <w:jc w:val="both"/>
        <w:rPr>
          <w:rFonts w:ascii="Verdana" w:eastAsia="Calibri" w:hAnsi="Verdana" w:cs="Arial"/>
          <w:b/>
          <w:color w:val="000000" w:themeColor="text1"/>
          <w:lang w:val="es-ES_tradnl"/>
        </w:rPr>
      </w:pPr>
    </w:p>
    <w:p w14:paraId="6C8F6042" w14:textId="77777777" w:rsidR="00E00B8D" w:rsidRDefault="00E00B8D" w:rsidP="00E00B8D">
      <w:pPr>
        <w:spacing w:after="0" w:line="240" w:lineRule="auto"/>
        <w:jc w:val="both"/>
        <w:rPr>
          <w:rFonts w:ascii="Verdana" w:hAnsi="Verdana" w:cs="Arial"/>
          <w:color w:val="000000" w:themeColor="text1"/>
          <w:sz w:val="20"/>
          <w:szCs w:val="20"/>
        </w:rPr>
      </w:pPr>
      <w:r w:rsidRPr="000D7C8D">
        <w:rPr>
          <w:rFonts w:ascii="Verdana" w:hAnsi="Verdana" w:cs="Arial"/>
          <w:color w:val="000000" w:themeColor="text1"/>
          <w:sz w:val="20"/>
          <w:szCs w:val="20"/>
        </w:rPr>
        <w:t xml:space="preserve">el artículo 5 de la Ley 1150 de 2007, alude a diferentes conceptos como factores de escogencia, de calificación, técnicos y económicos de escogencia, de evaluación y calificación. Además, el artículo alude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 Todas estas </w:t>
      </w:r>
      <w:r w:rsidRPr="000D7C8D">
        <w:rPr>
          <w:rFonts w:ascii="Verdana" w:hAnsi="Verdana" w:cs="Arial"/>
          <w:color w:val="000000" w:themeColor="text1"/>
          <w:sz w:val="20"/>
          <w:szCs w:val="20"/>
        </w:rPr>
        <w:lastRenderedPageBreak/>
        <w:t>categorías designan los “[…] factores a los cuales cabe otorgarles puntajes o que pueden ser ponderados, precisamente, pues estos son los factores que en últimas permiten una comparación de ofertas y una diferenciación entre ellas”.</w:t>
      </w:r>
    </w:p>
    <w:p w14:paraId="536CC3F4" w14:textId="77777777" w:rsidR="00E00B8D" w:rsidRPr="000D7C8D" w:rsidRDefault="00E00B8D" w:rsidP="00E00B8D">
      <w:pPr>
        <w:spacing w:after="0" w:line="240" w:lineRule="auto"/>
        <w:jc w:val="both"/>
        <w:rPr>
          <w:rFonts w:ascii="Verdana" w:hAnsi="Verdana" w:cs="Arial"/>
          <w:color w:val="000000" w:themeColor="text1"/>
          <w:sz w:val="20"/>
          <w:szCs w:val="20"/>
        </w:rPr>
      </w:pPr>
    </w:p>
    <w:p w14:paraId="0EA64AC6" w14:textId="77777777" w:rsidR="00E00B8D" w:rsidRPr="000D7C8D" w:rsidRDefault="00E00B8D" w:rsidP="00E00B8D">
      <w:pPr>
        <w:spacing w:after="0" w:line="240" w:lineRule="auto"/>
        <w:jc w:val="both"/>
        <w:rPr>
          <w:rFonts w:ascii="Verdana" w:eastAsia="Calibri" w:hAnsi="Verdana" w:cs="Arial"/>
          <w:b/>
          <w:color w:val="000000" w:themeColor="text1"/>
        </w:rPr>
      </w:pPr>
    </w:p>
    <w:p w14:paraId="1C8F4D52" w14:textId="77777777" w:rsidR="00E00B8D" w:rsidRDefault="00E00B8D" w:rsidP="00E00B8D">
      <w:pPr>
        <w:spacing w:after="0" w:line="240" w:lineRule="auto"/>
        <w:rPr>
          <w:rFonts w:ascii="Verdana" w:eastAsia="Calibri" w:hAnsi="Verdana" w:cs="Arial"/>
          <w:b/>
          <w:color w:val="000000" w:themeColor="text1"/>
          <w:lang w:val="es-ES_tradnl"/>
        </w:rPr>
      </w:pPr>
    </w:p>
    <w:p w14:paraId="6BFADDEE" w14:textId="77777777" w:rsidR="00E00B8D" w:rsidRPr="00E00B8D" w:rsidRDefault="00E00B8D" w:rsidP="005171FE">
      <w:pPr>
        <w:spacing w:after="0" w:line="240" w:lineRule="auto"/>
        <w:rPr>
          <w:rFonts w:ascii="Verdana" w:eastAsia="Geomanist Light" w:hAnsi="Verdana" w:cs="Arial"/>
          <w:color w:val="000000" w:themeColor="text1"/>
          <w:lang w:val="es-ES_tradnl"/>
        </w:rPr>
      </w:pPr>
    </w:p>
    <w:p w14:paraId="10458B27" w14:textId="77777777" w:rsidR="00E00B8D" w:rsidRDefault="00E00B8D" w:rsidP="005171FE">
      <w:pPr>
        <w:spacing w:after="0" w:line="240" w:lineRule="auto"/>
        <w:rPr>
          <w:rFonts w:ascii="Verdana" w:eastAsia="Geomanist Light" w:hAnsi="Verdana" w:cs="Arial"/>
          <w:color w:val="000000" w:themeColor="text1"/>
          <w:lang w:val="es-MX"/>
        </w:rPr>
      </w:pPr>
    </w:p>
    <w:p w14:paraId="0601FF01" w14:textId="77777777" w:rsidR="00E00B8D" w:rsidRDefault="00E00B8D" w:rsidP="005171FE">
      <w:pPr>
        <w:spacing w:after="0" w:line="240" w:lineRule="auto"/>
        <w:rPr>
          <w:rFonts w:ascii="Verdana" w:eastAsia="Geomanist Light" w:hAnsi="Verdana" w:cs="Arial"/>
          <w:color w:val="000000" w:themeColor="text1"/>
          <w:lang w:val="es-MX"/>
        </w:rPr>
      </w:pPr>
    </w:p>
    <w:p w14:paraId="31208140" w14:textId="77777777" w:rsidR="00E00B8D" w:rsidRDefault="00E00B8D" w:rsidP="005171FE">
      <w:pPr>
        <w:spacing w:after="0" w:line="240" w:lineRule="auto"/>
        <w:rPr>
          <w:rFonts w:ascii="Verdana" w:eastAsia="Geomanist Light" w:hAnsi="Verdana" w:cs="Arial"/>
          <w:color w:val="000000" w:themeColor="text1"/>
          <w:lang w:val="es-MX"/>
        </w:rPr>
      </w:pPr>
    </w:p>
    <w:p w14:paraId="16CB4506" w14:textId="77777777" w:rsidR="00E00B8D" w:rsidRDefault="00E00B8D" w:rsidP="005171FE">
      <w:pPr>
        <w:spacing w:after="0" w:line="240" w:lineRule="auto"/>
        <w:rPr>
          <w:rFonts w:ascii="Verdana" w:eastAsia="Geomanist Light" w:hAnsi="Verdana" w:cs="Arial"/>
          <w:color w:val="000000" w:themeColor="text1"/>
          <w:lang w:val="es-MX"/>
        </w:rPr>
      </w:pPr>
    </w:p>
    <w:p w14:paraId="670618D0" w14:textId="77777777" w:rsidR="00E00B8D" w:rsidRDefault="00E00B8D" w:rsidP="005171FE">
      <w:pPr>
        <w:spacing w:after="0" w:line="240" w:lineRule="auto"/>
        <w:rPr>
          <w:rFonts w:ascii="Verdana" w:eastAsia="Geomanist Light" w:hAnsi="Verdana" w:cs="Arial"/>
          <w:color w:val="000000" w:themeColor="text1"/>
          <w:lang w:val="es-MX"/>
        </w:rPr>
      </w:pPr>
    </w:p>
    <w:p w14:paraId="50D9ED40" w14:textId="77777777" w:rsidR="00E00B8D" w:rsidRDefault="00E00B8D" w:rsidP="005171FE">
      <w:pPr>
        <w:spacing w:after="0" w:line="240" w:lineRule="auto"/>
        <w:rPr>
          <w:rFonts w:ascii="Verdana" w:eastAsia="Geomanist Light" w:hAnsi="Verdana" w:cs="Arial"/>
          <w:color w:val="000000" w:themeColor="text1"/>
          <w:lang w:val="es-MX"/>
        </w:rPr>
      </w:pPr>
    </w:p>
    <w:p w14:paraId="794523B2" w14:textId="77777777" w:rsidR="00E00B8D" w:rsidRDefault="00E00B8D" w:rsidP="005171FE">
      <w:pPr>
        <w:spacing w:after="0" w:line="240" w:lineRule="auto"/>
        <w:rPr>
          <w:rFonts w:ascii="Verdana" w:eastAsia="Geomanist Light" w:hAnsi="Verdana" w:cs="Arial"/>
          <w:color w:val="000000" w:themeColor="text1"/>
          <w:lang w:val="es-MX"/>
        </w:rPr>
      </w:pPr>
    </w:p>
    <w:p w14:paraId="3B8F89C6" w14:textId="77777777" w:rsidR="00E00B8D" w:rsidRDefault="00E00B8D" w:rsidP="005171FE">
      <w:pPr>
        <w:spacing w:after="0" w:line="240" w:lineRule="auto"/>
        <w:rPr>
          <w:rFonts w:ascii="Verdana" w:eastAsia="Geomanist Light" w:hAnsi="Verdana" w:cs="Arial"/>
          <w:color w:val="000000" w:themeColor="text1"/>
          <w:lang w:val="es-MX"/>
        </w:rPr>
      </w:pPr>
    </w:p>
    <w:p w14:paraId="3D23AE60" w14:textId="77777777" w:rsidR="00E00B8D" w:rsidRDefault="00E00B8D" w:rsidP="005171FE">
      <w:pPr>
        <w:spacing w:after="0" w:line="240" w:lineRule="auto"/>
        <w:rPr>
          <w:rFonts w:ascii="Verdana" w:eastAsia="Geomanist Light" w:hAnsi="Verdana" w:cs="Arial"/>
          <w:color w:val="000000" w:themeColor="text1"/>
          <w:lang w:val="es-MX"/>
        </w:rPr>
      </w:pPr>
    </w:p>
    <w:p w14:paraId="293AEA7B" w14:textId="77777777" w:rsidR="00E00B8D" w:rsidRDefault="00E00B8D" w:rsidP="005171FE">
      <w:pPr>
        <w:spacing w:after="0" w:line="240" w:lineRule="auto"/>
        <w:rPr>
          <w:rFonts w:ascii="Verdana" w:eastAsia="Geomanist Light" w:hAnsi="Verdana" w:cs="Arial"/>
          <w:color w:val="000000" w:themeColor="text1"/>
          <w:lang w:val="es-MX"/>
        </w:rPr>
      </w:pPr>
    </w:p>
    <w:p w14:paraId="0DBECD87" w14:textId="77777777" w:rsidR="00E00B8D" w:rsidRDefault="00E00B8D" w:rsidP="005171FE">
      <w:pPr>
        <w:spacing w:after="0" w:line="240" w:lineRule="auto"/>
        <w:rPr>
          <w:rFonts w:ascii="Verdana" w:eastAsia="Geomanist Light" w:hAnsi="Verdana" w:cs="Arial"/>
          <w:color w:val="000000" w:themeColor="text1"/>
          <w:lang w:val="es-MX"/>
        </w:rPr>
      </w:pPr>
    </w:p>
    <w:p w14:paraId="7636D81B" w14:textId="77777777" w:rsidR="00E00B8D" w:rsidRDefault="00E00B8D" w:rsidP="005171FE">
      <w:pPr>
        <w:spacing w:after="0" w:line="240" w:lineRule="auto"/>
        <w:rPr>
          <w:rFonts w:ascii="Verdana" w:eastAsia="Geomanist Light" w:hAnsi="Verdana" w:cs="Arial"/>
          <w:color w:val="000000" w:themeColor="text1"/>
          <w:lang w:val="es-MX"/>
        </w:rPr>
      </w:pPr>
    </w:p>
    <w:p w14:paraId="6A8EE6E0" w14:textId="77777777" w:rsidR="00E00B8D" w:rsidRDefault="00E00B8D" w:rsidP="005171FE">
      <w:pPr>
        <w:spacing w:after="0" w:line="240" w:lineRule="auto"/>
        <w:rPr>
          <w:rFonts w:ascii="Verdana" w:eastAsia="Geomanist Light" w:hAnsi="Verdana" w:cs="Arial"/>
          <w:color w:val="000000" w:themeColor="text1"/>
          <w:lang w:val="es-MX"/>
        </w:rPr>
      </w:pPr>
    </w:p>
    <w:p w14:paraId="2533095E" w14:textId="77777777" w:rsidR="00E00B8D" w:rsidRDefault="00E00B8D" w:rsidP="005171FE">
      <w:pPr>
        <w:spacing w:after="0" w:line="240" w:lineRule="auto"/>
        <w:rPr>
          <w:rFonts w:ascii="Verdana" w:eastAsia="Geomanist Light" w:hAnsi="Verdana" w:cs="Arial"/>
          <w:color w:val="000000" w:themeColor="text1"/>
          <w:lang w:val="es-MX"/>
        </w:rPr>
      </w:pPr>
    </w:p>
    <w:p w14:paraId="09472C76" w14:textId="77777777" w:rsidR="00E00B8D" w:rsidRDefault="00E00B8D" w:rsidP="005171FE">
      <w:pPr>
        <w:spacing w:after="0" w:line="240" w:lineRule="auto"/>
        <w:rPr>
          <w:rFonts w:ascii="Verdana" w:eastAsia="Geomanist Light" w:hAnsi="Verdana" w:cs="Arial"/>
          <w:color w:val="000000" w:themeColor="text1"/>
          <w:lang w:val="es-MX"/>
        </w:rPr>
      </w:pPr>
    </w:p>
    <w:p w14:paraId="2191362F" w14:textId="77777777" w:rsidR="00E00B8D" w:rsidRDefault="00E00B8D" w:rsidP="005171FE">
      <w:pPr>
        <w:spacing w:after="0" w:line="240" w:lineRule="auto"/>
        <w:rPr>
          <w:rFonts w:ascii="Verdana" w:eastAsia="Geomanist Light" w:hAnsi="Verdana" w:cs="Arial"/>
          <w:color w:val="000000" w:themeColor="text1"/>
          <w:lang w:val="es-MX"/>
        </w:rPr>
      </w:pPr>
    </w:p>
    <w:p w14:paraId="3C2F1EB1" w14:textId="77777777" w:rsidR="00E00B8D" w:rsidRDefault="00E00B8D" w:rsidP="005171FE">
      <w:pPr>
        <w:spacing w:after="0" w:line="240" w:lineRule="auto"/>
        <w:rPr>
          <w:rFonts w:ascii="Verdana" w:eastAsia="Geomanist Light" w:hAnsi="Verdana" w:cs="Arial"/>
          <w:color w:val="000000" w:themeColor="text1"/>
          <w:lang w:val="es-MX"/>
        </w:rPr>
      </w:pPr>
    </w:p>
    <w:p w14:paraId="3E2634D8" w14:textId="77777777" w:rsidR="00E00B8D" w:rsidRDefault="00E00B8D" w:rsidP="005171FE">
      <w:pPr>
        <w:spacing w:after="0" w:line="240" w:lineRule="auto"/>
        <w:rPr>
          <w:rFonts w:ascii="Verdana" w:eastAsia="Geomanist Light" w:hAnsi="Verdana" w:cs="Arial"/>
          <w:color w:val="000000" w:themeColor="text1"/>
          <w:lang w:val="es-MX"/>
        </w:rPr>
      </w:pPr>
    </w:p>
    <w:p w14:paraId="7BF1231C" w14:textId="77777777" w:rsidR="00E00B8D" w:rsidRDefault="00E00B8D" w:rsidP="005171FE">
      <w:pPr>
        <w:spacing w:after="0" w:line="240" w:lineRule="auto"/>
        <w:rPr>
          <w:rFonts w:ascii="Verdana" w:eastAsia="Geomanist Light" w:hAnsi="Verdana" w:cs="Arial"/>
          <w:color w:val="000000" w:themeColor="text1"/>
          <w:lang w:val="es-MX"/>
        </w:rPr>
      </w:pPr>
    </w:p>
    <w:p w14:paraId="734ACA1A" w14:textId="77777777" w:rsidR="00E00B8D" w:rsidRDefault="00E00B8D" w:rsidP="005171FE">
      <w:pPr>
        <w:spacing w:after="0" w:line="240" w:lineRule="auto"/>
        <w:rPr>
          <w:rFonts w:ascii="Verdana" w:eastAsia="Geomanist Light" w:hAnsi="Verdana" w:cs="Arial"/>
          <w:color w:val="000000" w:themeColor="text1"/>
          <w:lang w:val="es-MX"/>
        </w:rPr>
      </w:pPr>
    </w:p>
    <w:p w14:paraId="60FFACA4" w14:textId="77777777" w:rsidR="00E00B8D" w:rsidRDefault="00E00B8D" w:rsidP="005171FE">
      <w:pPr>
        <w:spacing w:after="0" w:line="240" w:lineRule="auto"/>
        <w:rPr>
          <w:rFonts w:ascii="Verdana" w:eastAsia="Geomanist Light" w:hAnsi="Verdana" w:cs="Arial"/>
          <w:color w:val="000000" w:themeColor="text1"/>
          <w:lang w:val="es-MX"/>
        </w:rPr>
      </w:pPr>
    </w:p>
    <w:p w14:paraId="48A5711D" w14:textId="77777777" w:rsidR="00E00B8D" w:rsidRDefault="00E00B8D" w:rsidP="005171FE">
      <w:pPr>
        <w:spacing w:after="0" w:line="240" w:lineRule="auto"/>
        <w:rPr>
          <w:rFonts w:ascii="Verdana" w:eastAsia="Geomanist Light" w:hAnsi="Verdana" w:cs="Arial"/>
          <w:color w:val="000000" w:themeColor="text1"/>
          <w:lang w:val="es-MX"/>
        </w:rPr>
      </w:pPr>
    </w:p>
    <w:p w14:paraId="7D88DB7B" w14:textId="77777777" w:rsidR="00E00B8D" w:rsidRDefault="00E00B8D" w:rsidP="005171FE">
      <w:pPr>
        <w:spacing w:after="0" w:line="240" w:lineRule="auto"/>
        <w:rPr>
          <w:rFonts w:ascii="Verdana" w:eastAsia="Geomanist Light" w:hAnsi="Verdana" w:cs="Arial"/>
          <w:color w:val="000000" w:themeColor="text1"/>
          <w:lang w:val="es-MX"/>
        </w:rPr>
      </w:pPr>
    </w:p>
    <w:p w14:paraId="1D36747A" w14:textId="77777777" w:rsidR="00E00B8D" w:rsidRDefault="00E00B8D" w:rsidP="005171FE">
      <w:pPr>
        <w:spacing w:after="0" w:line="240" w:lineRule="auto"/>
        <w:rPr>
          <w:rFonts w:ascii="Verdana" w:eastAsia="Geomanist Light" w:hAnsi="Verdana" w:cs="Arial"/>
          <w:color w:val="000000" w:themeColor="text1"/>
          <w:lang w:val="es-MX"/>
        </w:rPr>
      </w:pPr>
    </w:p>
    <w:p w14:paraId="422CD794" w14:textId="77777777" w:rsidR="00E00B8D" w:rsidRDefault="00E00B8D" w:rsidP="005171FE">
      <w:pPr>
        <w:spacing w:after="0" w:line="240" w:lineRule="auto"/>
        <w:rPr>
          <w:rFonts w:ascii="Verdana" w:eastAsia="Geomanist Light" w:hAnsi="Verdana" w:cs="Arial"/>
          <w:color w:val="000000" w:themeColor="text1"/>
          <w:lang w:val="es-MX"/>
        </w:rPr>
      </w:pPr>
    </w:p>
    <w:p w14:paraId="21929499" w14:textId="77777777" w:rsidR="00E00B8D" w:rsidRDefault="00E00B8D" w:rsidP="005171FE">
      <w:pPr>
        <w:spacing w:after="0" w:line="240" w:lineRule="auto"/>
        <w:rPr>
          <w:rFonts w:ascii="Verdana" w:eastAsia="Geomanist Light" w:hAnsi="Verdana" w:cs="Arial"/>
          <w:color w:val="000000" w:themeColor="text1"/>
          <w:lang w:val="es-MX"/>
        </w:rPr>
      </w:pPr>
    </w:p>
    <w:p w14:paraId="40FB99B7" w14:textId="77777777" w:rsidR="00E00B8D" w:rsidRDefault="00E00B8D" w:rsidP="005171FE">
      <w:pPr>
        <w:spacing w:after="0" w:line="240" w:lineRule="auto"/>
        <w:rPr>
          <w:rFonts w:ascii="Verdana" w:eastAsia="Geomanist Light" w:hAnsi="Verdana" w:cs="Arial"/>
          <w:color w:val="000000" w:themeColor="text1"/>
          <w:lang w:val="es-MX"/>
        </w:rPr>
      </w:pPr>
    </w:p>
    <w:p w14:paraId="5FA74A12" w14:textId="77777777" w:rsidR="00E00B8D" w:rsidRDefault="00E00B8D" w:rsidP="005171FE">
      <w:pPr>
        <w:spacing w:after="0" w:line="240" w:lineRule="auto"/>
        <w:rPr>
          <w:rFonts w:ascii="Verdana" w:eastAsia="Geomanist Light" w:hAnsi="Verdana" w:cs="Arial"/>
          <w:color w:val="000000" w:themeColor="text1"/>
          <w:lang w:val="es-MX"/>
        </w:rPr>
      </w:pPr>
    </w:p>
    <w:p w14:paraId="145884D0" w14:textId="77777777" w:rsidR="00E00B8D" w:rsidRDefault="00E00B8D" w:rsidP="005171FE">
      <w:pPr>
        <w:spacing w:after="0" w:line="240" w:lineRule="auto"/>
        <w:rPr>
          <w:rFonts w:ascii="Verdana" w:eastAsia="Geomanist Light" w:hAnsi="Verdana" w:cs="Arial"/>
          <w:color w:val="000000" w:themeColor="text1"/>
          <w:lang w:val="es-MX"/>
        </w:rPr>
      </w:pPr>
    </w:p>
    <w:p w14:paraId="4E1A00A3" w14:textId="77777777" w:rsidR="00E00B8D" w:rsidRDefault="00E00B8D" w:rsidP="005171FE">
      <w:pPr>
        <w:spacing w:after="0" w:line="240" w:lineRule="auto"/>
        <w:rPr>
          <w:rFonts w:ascii="Verdana" w:eastAsia="Geomanist Light" w:hAnsi="Verdana" w:cs="Arial"/>
          <w:color w:val="000000" w:themeColor="text1"/>
          <w:lang w:val="es-MX"/>
        </w:rPr>
      </w:pPr>
    </w:p>
    <w:p w14:paraId="06737FE8" w14:textId="77777777" w:rsidR="00E00B8D" w:rsidRDefault="00E00B8D" w:rsidP="005171FE">
      <w:pPr>
        <w:spacing w:after="0" w:line="240" w:lineRule="auto"/>
        <w:rPr>
          <w:rFonts w:ascii="Verdana" w:eastAsia="Geomanist Light" w:hAnsi="Verdana" w:cs="Arial"/>
          <w:color w:val="000000" w:themeColor="text1"/>
          <w:lang w:val="es-MX"/>
        </w:rPr>
      </w:pPr>
    </w:p>
    <w:p w14:paraId="1C8F8125" w14:textId="77777777" w:rsidR="00E00B8D" w:rsidRDefault="00E00B8D" w:rsidP="005171FE">
      <w:pPr>
        <w:spacing w:after="0" w:line="240" w:lineRule="auto"/>
        <w:rPr>
          <w:rFonts w:ascii="Verdana" w:eastAsia="Geomanist Light" w:hAnsi="Verdana" w:cs="Arial"/>
          <w:color w:val="000000" w:themeColor="text1"/>
          <w:lang w:val="es-MX"/>
        </w:rPr>
      </w:pPr>
    </w:p>
    <w:p w14:paraId="449D3027" w14:textId="77777777" w:rsidR="00E00B8D" w:rsidRDefault="00E00B8D" w:rsidP="005171FE">
      <w:pPr>
        <w:spacing w:after="0" w:line="240" w:lineRule="auto"/>
        <w:rPr>
          <w:rFonts w:ascii="Verdana" w:eastAsia="Geomanist Light" w:hAnsi="Verdana" w:cs="Arial"/>
          <w:color w:val="000000" w:themeColor="text1"/>
          <w:lang w:val="es-MX"/>
        </w:rPr>
      </w:pPr>
    </w:p>
    <w:p w14:paraId="759F7B8E" w14:textId="77777777" w:rsidR="00E00B8D" w:rsidRDefault="00E00B8D" w:rsidP="005171FE">
      <w:pPr>
        <w:spacing w:after="0" w:line="240" w:lineRule="auto"/>
        <w:rPr>
          <w:rFonts w:ascii="Verdana" w:eastAsia="Geomanist Light" w:hAnsi="Verdana" w:cs="Arial"/>
          <w:color w:val="000000" w:themeColor="text1"/>
          <w:lang w:val="es-MX"/>
        </w:rPr>
      </w:pPr>
    </w:p>
    <w:p w14:paraId="6A6052DB" w14:textId="77777777" w:rsidR="00E00B8D" w:rsidRDefault="00E00B8D" w:rsidP="005171FE">
      <w:pPr>
        <w:spacing w:after="0" w:line="240" w:lineRule="auto"/>
        <w:rPr>
          <w:rFonts w:ascii="Verdana" w:eastAsia="Geomanist Light" w:hAnsi="Verdana" w:cs="Arial"/>
          <w:color w:val="000000" w:themeColor="text1"/>
          <w:lang w:val="es-MX"/>
        </w:rPr>
      </w:pPr>
    </w:p>
    <w:p w14:paraId="6784B063" w14:textId="0253F811" w:rsidR="005171FE" w:rsidRPr="00593A5F" w:rsidRDefault="005171FE" w:rsidP="005171FE">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0F7710">
        <w:rPr>
          <w:rFonts w:ascii="Verdana" w:eastAsia="Geomanist Light" w:hAnsi="Verdana" w:cs="Arial"/>
          <w:color w:val="000000" w:themeColor="text1"/>
          <w:lang w:val="es-MX"/>
        </w:rPr>
        <w:t>27 de Marzo de 2026</w:t>
      </w:r>
    </w:p>
    <w:p w14:paraId="686FC112" w14:textId="77777777" w:rsidR="005171FE" w:rsidRDefault="005171FE" w:rsidP="005171FE">
      <w:pPr>
        <w:spacing w:after="0" w:line="240" w:lineRule="auto"/>
        <w:jc w:val="both"/>
        <w:rPr>
          <w:rFonts w:ascii="Verdana" w:eastAsia="Calibri" w:hAnsi="Verdana" w:cs="Arial"/>
          <w:color w:val="000000"/>
          <w:lang w:val="es-ES"/>
        </w:rPr>
      </w:pPr>
    </w:p>
    <w:p w14:paraId="224EBA17" w14:textId="6A9CF663" w:rsidR="005171FE" w:rsidRDefault="005171FE" w:rsidP="00DE7FCF">
      <w:pPr>
        <w:spacing w:after="0" w:line="240" w:lineRule="auto"/>
        <w:jc w:val="right"/>
        <w:rPr>
          <w:rFonts w:ascii="Verdana" w:eastAsia="Calibri" w:hAnsi="Verdana" w:cs="Arial"/>
          <w:color w:val="000000"/>
          <w:lang w:val="es-ES"/>
        </w:rPr>
      </w:pPr>
    </w:p>
    <w:p w14:paraId="39C92C3F" w14:textId="4652358A" w:rsidR="00DE7FCF" w:rsidRPr="00593A5F" w:rsidRDefault="00DE7FCF" w:rsidP="005171FE">
      <w:pPr>
        <w:spacing w:after="0" w:line="240" w:lineRule="auto"/>
        <w:jc w:val="both"/>
        <w:rPr>
          <w:rFonts w:ascii="Verdana" w:eastAsia="Calibri" w:hAnsi="Verdana" w:cs="Arial"/>
          <w:color w:val="000000"/>
          <w:lang w:val="es-ES"/>
        </w:rPr>
      </w:pPr>
    </w:p>
    <w:p w14:paraId="4145C312" w14:textId="22A516CC" w:rsidR="005171FE" w:rsidRPr="00B96799" w:rsidRDefault="00786404" w:rsidP="005171FE">
      <w:pPr>
        <w:spacing w:after="0" w:line="240" w:lineRule="auto"/>
        <w:jc w:val="both"/>
        <w:rPr>
          <w:rFonts w:ascii="Verdana" w:eastAsia="Calibri" w:hAnsi="Verdana" w:cs="Arial"/>
          <w:lang w:val="es-ES" w:eastAsia="es-ES"/>
        </w:rPr>
      </w:pPr>
      <w:r w:rsidRPr="00DE7FCF">
        <w:rPr>
          <w:rFonts w:ascii="Verdana" w:eastAsia="Calibri" w:hAnsi="Verdana" w:cs="Arial"/>
          <w:noProof/>
          <w:color w:val="000000"/>
          <w:lang w:val="es-ES"/>
        </w:rPr>
        <w:drawing>
          <wp:anchor distT="0" distB="0" distL="114300" distR="114300" simplePos="0" relativeHeight="251658240" behindDoc="0" locked="0" layoutInCell="1" allowOverlap="1" wp14:anchorId="49364085" wp14:editId="326859FD">
            <wp:simplePos x="0" y="0"/>
            <wp:positionH relativeFrom="margin">
              <wp:align>right</wp:align>
            </wp:positionH>
            <wp:positionV relativeFrom="paragraph">
              <wp:posOffset>13942</wp:posOffset>
            </wp:positionV>
            <wp:extent cx="2400300" cy="622300"/>
            <wp:effectExtent l="0" t="0" r="0" b="6350"/>
            <wp:wrapSquare wrapText="bothSides"/>
            <wp:docPr id="18268598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859844"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622300"/>
                    </a:xfrm>
                    <a:prstGeom prst="rect">
                      <a:avLst/>
                    </a:prstGeom>
                  </pic:spPr>
                </pic:pic>
              </a:graphicData>
            </a:graphic>
          </wp:anchor>
        </w:drawing>
      </w:r>
      <w:r w:rsidR="005171FE">
        <w:rPr>
          <w:rFonts w:ascii="Verdana" w:eastAsia="Calibri" w:hAnsi="Verdana" w:cs="Arial"/>
          <w:lang w:val="es-ES" w:eastAsia="es-ES"/>
        </w:rPr>
        <w:t>Señor</w:t>
      </w:r>
    </w:p>
    <w:p w14:paraId="2C5964A7" w14:textId="77777777" w:rsidR="005171FE" w:rsidRPr="0085423D" w:rsidRDefault="005171FE" w:rsidP="005171FE">
      <w:pPr>
        <w:spacing w:after="0" w:line="240" w:lineRule="auto"/>
        <w:rPr>
          <w:rFonts w:ascii="Verdana" w:eastAsia="Calibri" w:hAnsi="Verdana" w:cs="Arial"/>
          <w:b/>
          <w:lang w:val="es-ES_tradnl" w:eastAsia="es-ES_tradnl"/>
        </w:rPr>
      </w:pPr>
      <w:bookmarkStart w:id="1" w:name="OLE_LINK1"/>
      <w:r w:rsidRPr="000847D7">
        <w:rPr>
          <w:rFonts w:ascii="Verdana" w:eastAsia="Calibri" w:hAnsi="Verdana" w:cs="Arial"/>
          <w:b/>
          <w:lang w:val="es-ES_tradnl" w:eastAsia="es-ES_tradnl"/>
        </w:rPr>
        <w:t>Hernán Felipe Pineda Medina</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1"/>
    <w:p w14:paraId="7C772FB5" w14:textId="77777777" w:rsidR="005171FE" w:rsidRPr="00A804BA" w:rsidRDefault="005171FE" w:rsidP="005171FE">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434E80">
        <w:rPr>
          <w:rFonts w:ascii="Verdana" w:hAnsi="Verdana"/>
        </w:rPr>
        <w:instrText>hernan.p</w:instrText>
      </w:r>
      <w:r>
        <w:rPr>
          <w:rFonts w:ascii="Verdana" w:hAnsi="Verdana"/>
        </w:rPr>
        <w:instrText>i</w:instrText>
      </w:r>
      <w:r w:rsidRPr="00434E80">
        <w:rPr>
          <w:rFonts w:ascii="Verdana" w:hAnsi="Verdana"/>
        </w:rPr>
        <w:instrText>neda@segurosaurora.com</w:instrText>
      </w:r>
      <w:r>
        <w:rPr>
          <w:rFonts w:ascii="Verdana" w:hAnsi="Verdana"/>
        </w:rPr>
        <w:instrText>"</w:instrText>
      </w:r>
      <w:r>
        <w:rPr>
          <w:rFonts w:ascii="Verdana" w:hAnsi="Verdana"/>
        </w:rPr>
      </w:r>
      <w:r>
        <w:rPr>
          <w:rFonts w:ascii="Verdana" w:hAnsi="Verdana"/>
        </w:rPr>
        <w:fldChar w:fldCharType="separate"/>
      </w:r>
      <w:r w:rsidRPr="00C409DB">
        <w:rPr>
          <w:rStyle w:val="Hipervnculo"/>
          <w:rFonts w:ascii="Verdana" w:hAnsi="Verdana"/>
        </w:rPr>
        <w:t>hernan.pineda@segurosaurora.com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036E392E" w14:textId="77777777" w:rsidR="005171FE" w:rsidRDefault="005171FE" w:rsidP="005171FE">
      <w:pPr>
        <w:spacing w:after="0" w:line="240" w:lineRule="auto"/>
        <w:rPr>
          <w:rFonts w:ascii="Verdana" w:eastAsia="Calibri" w:hAnsi="Verdana" w:cs="Arial"/>
          <w:lang w:val="es-ES" w:eastAsia="es-ES"/>
        </w:rPr>
      </w:pPr>
      <w:r w:rsidRPr="007F4FE4">
        <w:rPr>
          <w:rFonts w:ascii="Verdana" w:eastAsia="Calibri" w:hAnsi="Verdana" w:cs="Arial"/>
          <w:lang w:val="es-ES" w:eastAsia="es-ES"/>
        </w:rPr>
        <w:t>Bogotá D.C.</w:t>
      </w:r>
      <w:r>
        <w:rPr>
          <w:rFonts w:ascii="Verdana" w:eastAsia="Calibri" w:hAnsi="Verdana" w:cs="Arial"/>
          <w:lang w:val="es-ES" w:eastAsia="es-ES"/>
        </w:rPr>
        <w:t xml:space="preserve"> </w:t>
      </w:r>
    </w:p>
    <w:p w14:paraId="369447F1" w14:textId="77777777" w:rsidR="005171FE" w:rsidRPr="00593A5F" w:rsidRDefault="005171FE" w:rsidP="005171FE">
      <w:pPr>
        <w:spacing w:after="0" w:line="240" w:lineRule="auto"/>
        <w:rPr>
          <w:rFonts w:ascii="Verdana" w:eastAsia="Calibri" w:hAnsi="Verdana" w:cs="Arial"/>
          <w:b/>
          <w:bCs/>
          <w:color w:val="000000"/>
          <w:lang w:val="es-ES_tradnl" w:eastAsia="es-ES_tradnl"/>
        </w:rPr>
      </w:pPr>
    </w:p>
    <w:p w14:paraId="7198C529" w14:textId="77777777" w:rsidR="005171FE" w:rsidRPr="00593A5F" w:rsidRDefault="005171FE" w:rsidP="005171F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171FE" w:rsidRPr="00593A5F" w14:paraId="487D9EED" w14:textId="77777777" w:rsidTr="0071798F">
        <w:trPr>
          <w:trHeight w:val="884"/>
        </w:trPr>
        <w:tc>
          <w:tcPr>
            <w:tcW w:w="2689" w:type="dxa"/>
          </w:tcPr>
          <w:p w14:paraId="0CD0A338" w14:textId="77777777" w:rsidR="005171FE" w:rsidRPr="00C00976" w:rsidRDefault="005171FE" w:rsidP="0071798F">
            <w:pPr>
              <w:jc w:val="both"/>
              <w:rPr>
                <w:rFonts w:ascii="Verdana" w:eastAsia="Calibri" w:hAnsi="Verdana" w:cs="Arial"/>
                <w:b/>
                <w:bCs/>
                <w:color w:val="7030A0"/>
                <w:lang w:val="es-ES_tradnl" w:eastAsia="es-ES_tradnl"/>
              </w:rPr>
            </w:pPr>
          </w:p>
        </w:tc>
        <w:tc>
          <w:tcPr>
            <w:tcW w:w="6100" w:type="dxa"/>
          </w:tcPr>
          <w:p w14:paraId="3B124F6B" w14:textId="77777777" w:rsidR="005171FE" w:rsidRPr="00C00976" w:rsidRDefault="005171FE" w:rsidP="0071798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401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5171FE" w:rsidRPr="00593A5F" w14:paraId="271F3CAC" w14:textId="77777777" w:rsidTr="0071798F">
        <w:trPr>
          <w:trHeight w:val="884"/>
        </w:trPr>
        <w:tc>
          <w:tcPr>
            <w:tcW w:w="2689" w:type="dxa"/>
          </w:tcPr>
          <w:p w14:paraId="1646C8E3" w14:textId="77777777" w:rsidR="005171FE" w:rsidRPr="00593A5F" w:rsidRDefault="005171FE" w:rsidP="0071798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4955753" w14:textId="77777777" w:rsidR="005171FE" w:rsidRPr="00F90929" w:rsidRDefault="005171FE" w:rsidP="0071798F">
            <w:pPr>
              <w:spacing w:line="276" w:lineRule="auto"/>
              <w:jc w:val="both"/>
              <w:rPr>
                <w:rFonts w:ascii="Verdana" w:eastAsia="Calibri" w:hAnsi="Verdana" w:cs="Arial"/>
                <w:lang w:val="es-ES" w:eastAsia="es-ES"/>
              </w:rPr>
            </w:pPr>
            <w:r w:rsidRPr="00AF085A">
              <w:rPr>
                <w:rFonts w:ascii="Verdana" w:eastAsia="Calibri" w:hAnsi="Verdana" w:cs="Arial"/>
                <w:lang w:val="es-ES" w:eastAsia="es-ES"/>
              </w:rPr>
              <w:t>LICITACIÓN PÚBLICA – Regla general</w:t>
            </w:r>
            <w:r>
              <w:rPr>
                <w:rFonts w:ascii="Verdana" w:eastAsia="Calibri" w:hAnsi="Verdana" w:cs="Arial"/>
                <w:lang w:val="es-ES" w:eastAsia="es-ES"/>
              </w:rPr>
              <w:t xml:space="preserve"> / </w:t>
            </w:r>
            <w:r w:rsidRPr="00AF085A">
              <w:rPr>
                <w:rFonts w:ascii="Verdana" w:eastAsia="Calibri" w:hAnsi="Verdana" w:cs="Arial"/>
                <w:lang w:val="es-ES" w:eastAsia="es-ES"/>
              </w:rPr>
              <w:t xml:space="preserve">SELECCIÓN ABREVIADA DE MENOR CUANTÍA – Características </w:t>
            </w:r>
            <w:r>
              <w:rPr>
                <w:rFonts w:ascii="Verdana" w:eastAsia="Calibri" w:hAnsi="Verdana" w:cs="Arial"/>
                <w:lang w:val="es-ES" w:eastAsia="es-ES"/>
              </w:rPr>
              <w:t xml:space="preserve">/ </w:t>
            </w:r>
            <w:r w:rsidRPr="00F90929">
              <w:rPr>
                <w:rFonts w:ascii="Verdana" w:eastAsia="Calibri" w:hAnsi="Verdana" w:cs="Arial"/>
                <w:lang w:val="es-ES" w:eastAsia="es-ES"/>
              </w:rPr>
              <w:t>MÍNIMA CUANTÍA – Fundamento normativo</w:t>
            </w:r>
            <w:r>
              <w:rPr>
                <w:rFonts w:ascii="Verdana" w:eastAsia="Calibri" w:hAnsi="Verdana" w:cs="Arial"/>
                <w:lang w:val="es-ES" w:eastAsia="es-ES"/>
              </w:rPr>
              <w:t xml:space="preserve"> / </w:t>
            </w:r>
            <w:r w:rsidRPr="00142C17">
              <w:rPr>
                <w:rFonts w:ascii="Verdana" w:eastAsia="Calibri" w:hAnsi="Verdana" w:cs="Arial"/>
                <w:lang w:val="es-ES" w:eastAsia="es-ES"/>
              </w:rPr>
              <w:t>SELECCIÓN OBJETIVA – Oferta más favorable – Marco jurídico</w:t>
            </w:r>
            <w:r>
              <w:rPr>
                <w:rFonts w:ascii="Verdana" w:eastAsia="Calibri" w:hAnsi="Verdana" w:cs="Arial"/>
                <w:lang w:val="es-ES" w:eastAsia="es-ES"/>
              </w:rPr>
              <w:t xml:space="preserve"> / </w:t>
            </w:r>
            <w:r w:rsidRPr="00142C17">
              <w:rPr>
                <w:rFonts w:ascii="Verdana" w:eastAsia="Calibri" w:hAnsi="Verdana" w:cs="Arial"/>
                <w:lang w:val="es-ES" w:eastAsia="es-ES"/>
              </w:rPr>
              <w:t>PLIEGO DE CONDICIONES O DOCUMENTO EQUIVALENTE – Expedición – Discrecionalidad – Proporcionalidad – Fuerza vinculante</w:t>
            </w:r>
          </w:p>
          <w:p w14:paraId="6043E118" w14:textId="77777777" w:rsidR="005171FE" w:rsidRPr="00593A5F" w:rsidRDefault="005171FE" w:rsidP="0071798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171FE" w:rsidRPr="008E6AD9" w14:paraId="1EF8B4E1" w14:textId="77777777" w:rsidTr="0071798F">
        <w:tc>
          <w:tcPr>
            <w:tcW w:w="2689" w:type="dxa"/>
          </w:tcPr>
          <w:p w14:paraId="74675BFC" w14:textId="77777777" w:rsidR="005171FE" w:rsidRPr="008E6AD9" w:rsidRDefault="005171FE" w:rsidP="0071798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C40DA05" w14:textId="77777777" w:rsidR="005171FE" w:rsidRPr="00B92340" w:rsidRDefault="005171FE" w:rsidP="0071798F">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t xml:space="preserve"> </w:t>
            </w:r>
            <w:r w:rsidRPr="00F61813">
              <w:rPr>
                <w:rFonts w:ascii="Verdana" w:eastAsia="Calibri" w:hAnsi="Verdana" w:cs="Arial"/>
                <w:lang w:val="es-ES_tradnl" w:eastAsia="es-ES_tradnl"/>
              </w:rPr>
              <w:t>1_2026_03_11_003427</w:t>
            </w:r>
            <w:r>
              <w:rPr>
                <w:rFonts w:ascii="Verdana" w:eastAsia="Calibri" w:hAnsi="Verdana" w:cs="Arial"/>
                <w:lang w:val="es-ES_tradnl" w:eastAsia="es-ES_tradnl"/>
              </w:rPr>
              <w:t xml:space="preserve">                                   </w:t>
            </w:r>
          </w:p>
        </w:tc>
      </w:tr>
    </w:tbl>
    <w:p w14:paraId="463FE505" w14:textId="77777777" w:rsidR="005171FE" w:rsidRPr="00593A5F" w:rsidRDefault="005171FE" w:rsidP="005171FE">
      <w:pPr>
        <w:spacing w:after="0" w:line="240" w:lineRule="auto"/>
        <w:jc w:val="both"/>
        <w:rPr>
          <w:rFonts w:ascii="Verdana" w:eastAsia="Calibri" w:hAnsi="Verdana" w:cs="Arial"/>
          <w:color w:val="000000"/>
          <w:lang w:val="es-ES_tradnl" w:eastAsia="es-ES_tradnl"/>
        </w:rPr>
      </w:pPr>
    </w:p>
    <w:p w14:paraId="1C41BD05" w14:textId="77777777" w:rsidR="005171FE" w:rsidRPr="00593A5F" w:rsidRDefault="005171FE" w:rsidP="005171FE">
      <w:pPr>
        <w:spacing w:after="0" w:line="240" w:lineRule="auto"/>
        <w:jc w:val="both"/>
        <w:rPr>
          <w:rFonts w:ascii="Verdana" w:eastAsia="Calibri" w:hAnsi="Verdana" w:cs="Arial"/>
          <w:color w:val="000000"/>
          <w:lang w:val="es-ES_tradnl" w:eastAsia="es-ES_tradnl"/>
        </w:rPr>
      </w:pPr>
    </w:p>
    <w:p w14:paraId="20FD383E" w14:textId="77777777" w:rsidR="005171FE" w:rsidRPr="008E6AD9" w:rsidRDefault="005171FE" w:rsidP="005171FE">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DB0C3E">
        <w:rPr>
          <w:rFonts w:ascii="Verdana" w:eastAsia="Calibri" w:hAnsi="Verdana" w:cs="Arial"/>
          <w:lang w:val="es-ES" w:eastAsia="es-ES"/>
        </w:rPr>
        <w:t>Pineda Medina</w:t>
      </w:r>
      <w:r w:rsidRPr="008E6AD9">
        <w:rPr>
          <w:rFonts w:ascii="Verdana" w:eastAsia="Calibri" w:hAnsi="Verdana" w:cs="Arial"/>
          <w:lang w:val="es-ES" w:eastAsia="es-ES"/>
        </w:rPr>
        <w:t xml:space="preserve">: </w:t>
      </w:r>
    </w:p>
    <w:p w14:paraId="2D636AAE" w14:textId="77777777" w:rsidR="005171FE" w:rsidRDefault="005171FE" w:rsidP="005171F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A006BFA" w14:textId="77777777" w:rsidR="005171FE" w:rsidRPr="00593A5F" w:rsidRDefault="005171FE" w:rsidP="005171FE">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6C27D4">
        <w:rPr>
          <w:rFonts w:ascii="Verdana" w:hAnsi="Verdana" w:cs="Arial"/>
        </w:rPr>
        <w:t>así como lo establecido en el artículo 4 de la Resolución 469 de 2025 expedida por esta Entidad</w:t>
      </w:r>
      <w:r w:rsidRPr="00593A5F">
        <w:rPr>
          <w:rFonts w:ascii="Verdana" w:hAnsi="Verdana" w:cs="Arial"/>
        </w:rPr>
        <w:t xml:space="preserve">, </w:t>
      </w:r>
      <w:r w:rsidRPr="000623DD">
        <w:rPr>
          <w:rFonts w:ascii="Verdana" w:eastAsia="Calibri" w:hAnsi="Verdana" w:cs="Arial"/>
          <w:color w:val="000000" w:themeColor="text1"/>
          <w:lang w:val="es-ES" w:eastAsia="es-ES"/>
        </w:rPr>
        <w:t>la Agencia Nacional de Contratación Pública – Colombia Compra Eficiente responde la petición enviada</w:t>
      </w:r>
      <w:r>
        <w:rPr>
          <w:rFonts w:ascii="Verdana" w:eastAsia="Calibri" w:hAnsi="Verdana" w:cs="Arial"/>
          <w:color w:val="000000" w:themeColor="text1"/>
          <w:lang w:val="es-ES" w:eastAsia="es-ES"/>
        </w:rPr>
        <w:t xml:space="preserve"> el 11 de marzo de 2026</w:t>
      </w:r>
      <w:r>
        <w:rPr>
          <w:rFonts w:ascii="Verdana" w:eastAsia="Calibri" w:hAnsi="Verdana" w:cs="Arial"/>
          <w:lang w:val="es-ES" w:eastAsia="es-ES"/>
        </w:rPr>
        <w:t>, donde solicita lo siguiente</w:t>
      </w:r>
      <w:r w:rsidRPr="008E6AD9">
        <w:rPr>
          <w:rFonts w:ascii="Verdana" w:eastAsia="Calibri" w:hAnsi="Verdana" w:cs="Arial"/>
          <w:lang w:val="es-ES" w:eastAsia="es-ES"/>
        </w:rPr>
        <w:t xml:space="preserve">: </w:t>
      </w:r>
    </w:p>
    <w:p w14:paraId="5D3B3CB2" w14:textId="77777777" w:rsidR="005171FE" w:rsidRPr="00272A7B" w:rsidRDefault="005171FE" w:rsidP="005171FE">
      <w:pPr>
        <w:pStyle w:val="Prrafodelista"/>
        <w:tabs>
          <w:tab w:val="left" w:pos="142"/>
          <w:tab w:val="left" w:pos="284"/>
        </w:tabs>
        <w:spacing w:after="0" w:line="276" w:lineRule="auto"/>
        <w:ind w:left="0"/>
        <w:jc w:val="both"/>
        <w:rPr>
          <w:rFonts w:ascii="Verdana" w:eastAsia="Century Gothic" w:hAnsi="Verdana" w:cs="Century Gothic"/>
          <w:b/>
          <w:bCs/>
        </w:rPr>
      </w:pPr>
    </w:p>
    <w:p w14:paraId="44946190" w14:textId="77777777" w:rsidR="005171FE" w:rsidRPr="00DB0C3E" w:rsidRDefault="005171FE" w:rsidP="005171FE">
      <w:pPr>
        <w:spacing w:after="120" w:line="240" w:lineRule="auto"/>
        <w:ind w:left="709" w:right="709"/>
        <w:jc w:val="both"/>
        <w:rPr>
          <w:rFonts w:ascii="Verdana" w:eastAsia="Century Gothic" w:hAnsi="Verdana" w:cs="Century Gothic"/>
          <w:sz w:val="20"/>
          <w:szCs w:val="20"/>
          <w:lang w:val="es-ES"/>
        </w:rPr>
      </w:pPr>
      <w:bookmarkStart w:id="2" w:name="_Hlk95313578"/>
      <w:r w:rsidRPr="00AA6517">
        <w:rPr>
          <w:rFonts w:ascii="Verdana" w:eastAsia="Century Gothic" w:hAnsi="Verdana" w:cs="Century Gothic"/>
          <w:sz w:val="20"/>
          <w:szCs w:val="20"/>
          <w:lang w:val="es-ES"/>
        </w:rPr>
        <w:t>“</w:t>
      </w:r>
      <w:bookmarkEnd w:id="2"/>
      <w:r w:rsidRPr="00DB0C3E">
        <w:rPr>
          <w:rFonts w:ascii="Verdana" w:eastAsia="Century Gothic" w:hAnsi="Verdana" w:cs="Century Gothic"/>
          <w:sz w:val="20"/>
          <w:szCs w:val="20"/>
          <w:lang w:val="es-ES"/>
        </w:rPr>
        <w:t>1. Emitir concepto sobre el factor económico para el proceso de mínima cuantía, selección abreviada y licitación pública con el fin de establecer al mejor proponente</w:t>
      </w:r>
    </w:p>
    <w:p w14:paraId="0B6FB68B" w14:textId="77777777" w:rsidR="005171FE" w:rsidRPr="00AA6517" w:rsidRDefault="005171FE" w:rsidP="005171FE">
      <w:pPr>
        <w:spacing w:after="0" w:line="240" w:lineRule="auto"/>
        <w:ind w:left="709" w:right="709"/>
        <w:jc w:val="both"/>
        <w:rPr>
          <w:rFonts w:ascii="Verdana" w:eastAsia="Century Gothic" w:hAnsi="Verdana" w:cs="Century Gothic"/>
          <w:sz w:val="20"/>
          <w:szCs w:val="20"/>
          <w:lang w:val="es-ES"/>
        </w:rPr>
      </w:pPr>
      <w:r w:rsidRPr="00DB0C3E">
        <w:rPr>
          <w:rFonts w:ascii="Verdana" w:eastAsia="Century Gothic" w:hAnsi="Verdana" w:cs="Century Gothic"/>
          <w:sz w:val="20"/>
          <w:szCs w:val="20"/>
          <w:lang w:val="es-ES"/>
        </w:rPr>
        <w:t>2.Recomendar a las entidades: usar criterios de proporcionalidad dando cumplimiento a sus propios pliegos</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57BAB52E" w14:textId="77777777" w:rsidR="005171FE" w:rsidRPr="008E6AD9" w:rsidRDefault="005171FE" w:rsidP="005171FE">
      <w:pPr>
        <w:pStyle w:val="Prrafodelista"/>
        <w:tabs>
          <w:tab w:val="left" w:pos="142"/>
          <w:tab w:val="left" w:pos="284"/>
        </w:tabs>
        <w:spacing w:after="0" w:line="276" w:lineRule="auto"/>
        <w:ind w:left="0"/>
        <w:jc w:val="both"/>
        <w:rPr>
          <w:rFonts w:ascii="Verdana" w:eastAsia="Century Gothic" w:hAnsi="Verdana" w:cs="Century Gothic"/>
          <w:b/>
          <w:bCs/>
        </w:rPr>
      </w:pPr>
    </w:p>
    <w:p w14:paraId="30C598E1" w14:textId="77777777" w:rsidR="005171FE" w:rsidRPr="00A652FF" w:rsidRDefault="005171FE" w:rsidP="005171FE">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786AA2F" w14:textId="77777777" w:rsidR="005171FE" w:rsidRDefault="005171FE" w:rsidP="005171FE">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43B9A9F" w14:textId="77777777" w:rsidR="005171FE" w:rsidRPr="00593A5F" w:rsidRDefault="005171FE" w:rsidP="005171FE">
      <w:pPr>
        <w:spacing w:after="0" w:line="276" w:lineRule="auto"/>
        <w:ind w:firstLine="709"/>
        <w:jc w:val="both"/>
        <w:rPr>
          <w:rFonts w:ascii="Verdana" w:eastAsia="Calibri" w:hAnsi="Verdana" w:cs="Arial"/>
          <w:color w:val="000000"/>
          <w:lang w:val="es-ES" w:eastAsia="es-ES"/>
        </w:rPr>
      </w:pPr>
    </w:p>
    <w:p w14:paraId="2DA7C5E4" w14:textId="77777777" w:rsidR="005171FE" w:rsidRPr="00593A5F" w:rsidRDefault="005171FE" w:rsidP="005171F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85F8689" w14:textId="77777777" w:rsidR="005171FE" w:rsidRPr="00593A5F" w:rsidRDefault="005171FE" w:rsidP="005171FE">
      <w:pPr>
        <w:tabs>
          <w:tab w:val="left" w:pos="426"/>
        </w:tabs>
        <w:spacing w:after="0" w:line="276" w:lineRule="auto"/>
        <w:jc w:val="both"/>
        <w:rPr>
          <w:rFonts w:ascii="Verdana" w:eastAsia="Century Gothic" w:hAnsi="Verdana" w:cs="Century Gothic"/>
          <w:lang w:val="es-ES"/>
        </w:rPr>
      </w:pPr>
    </w:p>
    <w:p w14:paraId="23B8ECEB" w14:textId="77777777" w:rsidR="005171FE" w:rsidRPr="00593A5F" w:rsidRDefault="005171FE" w:rsidP="005171FE">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el marco normativo para la selección de la oferta más favorable en los procedimientos de selección de las entidades sometidas al EGCAP</w:t>
      </w:r>
      <w:r w:rsidRPr="00003E83">
        <w:rPr>
          <w:rFonts w:ascii="Verdana" w:eastAsia="Times New Roman" w:hAnsi="Verdana" w:cs="Arial"/>
          <w:kern w:val="2"/>
          <w:lang w:val="es-ES_tradnl" w:eastAsia="es-ES_tradnl"/>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865C13A" w14:textId="77777777" w:rsidR="005171FE" w:rsidRPr="004B140F" w:rsidRDefault="005171FE" w:rsidP="005171FE">
      <w:pPr>
        <w:spacing w:after="0" w:line="276" w:lineRule="auto"/>
        <w:jc w:val="both"/>
        <w:rPr>
          <w:rFonts w:ascii="Verdana" w:eastAsia="Calibri" w:hAnsi="Verdana" w:cs="Arial"/>
          <w:color w:val="7030A0"/>
        </w:rPr>
      </w:pPr>
    </w:p>
    <w:p w14:paraId="42B276FB" w14:textId="77777777" w:rsidR="005171FE" w:rsidRPr="00593A5F" w:rsidRDefault="005171FE" w:rsidP="005171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38B5BC4" w14:textId="77777777" w:rsidR="005171FE" w:rsidRPr="00593A5F" w:rsidRDefault="005171FE" w:rsidP="005171F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171FE" w:rsidRPr="00593A5F" w14:paraId="62271700" w14:textId="77777777" w:rsidTr="0071798F">
        <w:trPr>
          <w:jc w:val="center"/>
        </w:trPr>
        <w:tc>
          <w:tcPr>
            <w:tcW w:w="8828" w:type="dxa"/>
          </w:tcPr>
          <w:p w14:paraId="244C4D37" w14:textId="77777777" w:rsidR="005171FE" w:rsidRPr="00504165" w:rsidRDefault="005171FE" w:rsidP="0071798F">
            <w:pPr>
              <w:tabs>
                <w:tab w:val="left" w:pos="0"/>
              </w:tabs>
              <w:spacing w:after="120" w:line="276" w:lineRule="auto"/>
              <w:jc w:val="both"/>
              <w:rPr>
                <w:rFonts w:ascii="Verdana" w:hAnsi="Verdana"/>
              </w:rPr>
            </w:pPr>
            <w:bookmarkStart w:id="3" w:name="_Hlk171694685"/>
            <w:r>
              <w:rPr>
                <w:rFonts w:ascii="Verdana" w:eastAsia="Calibri" w:hAnsi="Verdana" w:cs="Arial"/>
                <w:bCs/>
                <w:color w:val="000000" w:themeColor="text1"/>
              </w:rPr>
              <w:t xml:space="preserve">Conforme a la interpretación general de las normas del sistema de compras públicas, </w:t>
            </w:r>
            <w:r>
              <w:rPr>
                <w:rFonts w:ascii="Verdana" w:eastAsia="Calibri" w:hAnsi="Verdana" w:cs="Arial"/>
                <w:color w:val="000000" w:themeColor="text1"/>
                <w:lang w:val="es-MX"/>
              </w:rPr>
              <w:t>de acuerdo</w:t>
            </w:r>
            <w:r w:rsidRPr="007D48B0">
              <w:rPr>
                <w:rFonts w:ascii="Verdana" w:eastAsia="Calibri" w:hAnsi="Verdana" w:cs="Arial"/>
                <w:color w:val="000000" w:themeColor="text1"/>
                <w:lang w:val="es-MX"/>
              </w:rPr>
              <w:t xml:space="preserve"> </w:t>
            </w:r>
            <w:r>
              <w:rPr>
                <w:rFonts w:ascii="Verdana" w:eastAsia="Calibri" w:hAnsi="Verdana" w:cs="Arial"/>
                <w:color w:val="000000" w:themeColor="text1"/>
                <w:lang w:val="es-MX"/>
              </w:rPr>
              <w:t>con el</w:t>
            </w:r>
            <w:r w:rsidRPr="007D48B0">
              <w:rPr>
                <w:rFonts w:ascii="Verdana" w:eastAsia="Calibri" w:hAnsi="Verdana" w:cs="Arial"/>
                <w:color w:val="000000" w:themeColor="text1"/>
                <w:lang w:val="es-MX"/>
              </w:rPr>
              <w:t xml:space="preserve"> literal b) del artículo 2.2 de la Ley 1150 de 2007, una de las causales de selección abreviada es la de menor cuantía. Esta se refiere a los procesos contractuales cuyo su valor es inferior a los topes que la norma señala respecto de su presupuesto anual, y se desarrolla en el Decreto único Reglamentario del Sector Planeación donde se establece su procedimiento</w:t>
            </w:r>
            <w:r>
              <w:rPr>
                <w:rFonts w:ascii="Verdana" w:eastAsia="Calibri" w:hAnsi="Verdana" w:cs="Arial"/>
                <w:color w:val="000000" w:themeColor="text1"/>
                <w:lang w:val="es-MX"/>
              </w:rPr>
              <w:t xml:space="preserve">. Asimismo, </w:t>
            </w:r>
            <w:r w:rsidRPr="008E1809">
              <w:rPr>
                <w:rFonts w:ascii="Verdana" w:eastAsia="Calibri" w:hAnsi="Verdana" w:cs="Arial"/>
                <w:color w:val="000000" w:themeColor="text1"/>
              </w:rPr>
              <w:t xml:space="preserve">es necesario tener en cuenta que </w:t>
            </w:r>
            <w:r>
              <w:rPr>
                <w:rFonts w:ascii="Verdana" w:eastAsia="Calibri" w:hAnsi="Verdana" w:cs="Arial"/>
                <w:color w:val="000000" w:themeColor="text1"/>
              </w:rPr>
              <w:t>e</w:t>
            </w:r>
            <w:r w:rsidRPr="008E1809">
              <w:rPr>
                <w:rFonts w:ascii="Verdana" w:hAnsi="Verdana"/>
              </w:rPr>
              <w:t>l artículo 30 de la Ley 2069 de 2020 modifica el numeral 5 del artículo 2 de la</w:t>
            </w:r>
            <w:r w:rsidRPr="008E1809">
              <w:rPr>
                <w:rFonts w:ascii="Verdana" w:hAnsi="Verdana"/>
                <w:spacing w:val="1"/>
              </w:rPr>
              <w:t xml:space="preserve"> </w:t>
            </w:r>
            <w:r w:rsidRPr="008E1809">
              <w:rPr>
                <w:rFonts w:ascii="Verdana" w:hAnsi="Verdana"/>
              </w:rPr>
              <w:t>Ley</w:t>
            </w:r>
            <w:r w:rsidRPr="008E1809">
              <w:rPr>
                <w:rFonts w:ascii="Verdana" w:hAnsi="Verdana"/>
                <w:spacing w:val="-3"/>
              </w:rPr>
              <w:t xml:space="preserve"> </w:t>
            </w:r>
            <w:r w:rsidRPr="008E1809">
              <w:rPr>
                <w:rFonts w:ascii="Verdana" w:hAnsi="Verdana"/>
              </w:rPr>
              <w:t>1150</w:t>
            </w:r>
            <w:r w:rsidRPr="008E1809">
              <w:rPr>
                <w:rFonts w:ascii="Verdana" w:hAnsi="Verdana"/>
                <w:spacing w:val="-2"/>
              </w:rPr>
              <w:t xml:space="preserve"> </w:t>
            </w:r>
            <w:r w:rsidRPr="008E1809">
              <w:rPr>
                <w:rFonts w:ascii="Verdana" w:hAnsi="Verdana"/>
              </w:rPr>
              <w:t>de</w:t>
            </w:r>
            <w:r w:rsidRPr="008E1809">
              <w:rPr>
                <w:rFonts w:ascii="Verdana" w:hAnsi="Verdana"/>
                <w:spacing w:val="-2"/>
              </w:rPr>
              <w:t xml:space="preserve"> </w:t>
            </w:r>
            <w:r w:rsidRPr="008E1809">
              <w:rPr>
                <w:rFonts w:ascii="Verdana" w:hAnsi="Verdana"/>
              </w:rPr>
              <w:t>2007,</w:t>
            </w:r>
            <w:r w:rsidRPr="008E1809">
              <w:rPr>
                <w:rFonts w:ascii="Verdana" w:hAnsi="Verdana"/>
                <w:spacing w:val="-2"/>
              </w:rPr>
              <w:t xml:space="preserve"> </w:t>
            </w:r>
            <w:r w:rsidRPr="008E1809">
              <w:rPr>
                <w:rFonts w:ascii="Verdana" w:hAnsi="Verdana"/>
              </w:rPr>
              <w:t>el</w:t>
            </w:r>
            <w:r w:rsidRPr="008E1809">
              <w:rPr>
                <w:rFonts w:ascii="Verdana" w:hAnsi="Verdana"/>
                <w:spacing w:val="-3"/>
              </w:rPr>
              <w:t xml:space="preserve"> </w:t>
            </w:r>
            <w:r w:rsidRPr="008E1809">
              <w:rPr>
                <w:rFonts w:ascii="Verdana" w:hAnsi="Verdana"/>
              </w:rPr>
              <w:t>cual</w:t>
            </w:r>
            <w:r w:rsidRPr="008E1809">
              <w:rPr>
                <w:rFonts w:ascii="Verdana" w:hAnsi="Verdana"/>
                <w:spacing w:val="-2"/>
              </w:rPr>
              <w:t xml:space="preserve"> </w:t>
            </w:r>
            <w:r w:rsidRPr="008E1809">
              <w:rPr>
                <w:rFonts w:ascii="Verdana" w:hAnsi="Verdana"/>
              </w:rPr>
              <w:t>regula</w:t>
            </w:r>
            <w:r w:rsidRPr="008E1809">
              <w:rPr>
                <w:rFonts w:ascii="Verdana" w:hAnsi="Verdana"/>
                <w:spacing w:val="-2"/>
              </w:rPr>
              <w:t xml:space="preserve"> </w:t>
            </w:r>
            <w:r w:rsidRPr="008E1809">
              <w:rPr>
                <w:rFonts w:ascii="Verdana" w:hAnsi="Verdana"/>
              </w:rPr>
              <w:t>la</w:t>
            </w:r>
            <w:r w:rsidRPr="008E1809">
              <w:rPr>
                <w:rFonts w:ascii="Verdana" w:hAnsi="Verdana"/>
                <w:spacing w:val="-2"/>
              </w:rPr>
              <w:t xml:space="preserve"> </w:t>
            </w:r>
            <w:r w:rsidRPr="008E1809">
              <w:rPr>
                <w:rFonts w:ascii="Verdana" w:hAnsi="Verdana"/>
              </w:rPr>
              <w:t>mínima</w:t>
            </w:r>
            <w:r w:rsidRPr="008E1809">
              <w:rPr>
                <w:rFonts w:ascii="Verdana" w:hAnsi="Verdana"/>
                <w:spacing w:val="-3"/>
              </w:rPr>
              <w:t xml:space="preserve"> </w:t>
            </w:r>
            <w:r w:rsidRPr="008E1809">
              <w:rPr>
                <w:rFonts w:ascii="Verdana" w:hAnsi="Verdana"/>
              </w:rPr>
              <w:t>cuantía.</w:t>
            </w:r>
            <w:r w:rsidRPr="008E1809">
              <w:rPr>
                <w:rFonts w:ascii="Verdana" w:hAnsi="Verdana"/>
                <w:spacing w:val="-2"/>
              </w:rPr>
              <w:t xml:space="preserve"> </w:t>
            </w:r>
            <w:r w:rsidRPr="008E1809">
              <w:rPr>
                <w:rFonts w:ascii="Verdana" w:hAnsi="Verdana"/>
              </w:rPr>
              <w:t>En</w:t>
            </w:r>
            <w:r w:rsidRPr="008E1809">
              <w:rPr>
                <w:rFonts w:ascii="Verdana" w:hAnsi="Verdana"/>
                <w:spacing w:val="-2"/>
              </w:rPr>
              <w:t xml:space="preserve"> </w:t>
            </w:r>
            <w:r w:rsidRPr="008E1809">
              <w:rPr>
                <w:rFonts w:ascii="Verdana" w:hAnsi="Verdana"/>
              </w:rPr>
              <w:t>esta</w:t>
            </w:r>
            <w:r w:rsidRPr="008E1809">
              <w:rPr>
                <w:rFonts w:ascii="Verdana" w:hAnsi="Verdana"/>
                <w:spacing w:val="-2"/>
              </w:rPr>
              <w:t xml:space="preserve"> </w:t>
            </w:r>
            <w:r w:rsidRPr="008E1809">
              <w:rPr>
                <w:rFonts w:ascii="Verdana" w:hAnsi="Verdana"/>
              </w:rPr>
              <w:t>modalidad</w:t>
            </w:r>
            <w:r w:rsidRPr="008E1809">
              <w:rPr>
                <w:rFonts w:ascii="Verdana" w:hAnsi="Verdana"/>
                <w:spacing w:val="-2"/>
              </w:rPr>
              <w:t xml:space="preserve"> </w:t>
            </w:r>
            <w:r w:rsidRPr="008E1809">
              <w:rPr>
                <w:rFonts w:ascii="Verdana" w:hAnsi="Verdana"/>
              </w:rPr>
              <w:t>de</w:t>
            </w:r>
            <w:r w:rsidRPr="008E1809">
              <w:rPr>
                <w:rFonts w:ascii="Verdana" w:hAnsi="Verdana"/>
                <w:spacing w:val="-3"/>
              </w:rPr>
              <w:t xml:space="preserve"> </w:t>
            </w:r>
            <w:r w:rsidRPr="008E1809">
              <w:rPr>
                <w:rFonts w:ascii="Verdana" w:hAnsi="Verdana"/>
              </w:rPr>
              <w:t>selección,</w:t>
            </w:r>
            <w:r w:rsidRPr="008E1809">
              <w:rPr>
                <w:rFonts w:ascii="Verdana" w:hAnsi="Verdana"/>
                <w:spacing w:val="-2"/>
              </w:rPr>
              <w:t xml:space="preserve"> </w:t>
            </w:r>
            <w:r w:rsidRPr="008E1809">
              <w:rPr>
                <w:rFonts w:ascii="Verdana" w:hAnsi="Verdana"/>
              </w:rPr>
              <w:t>la</w:t>
            </w:r>
            <w:r w:rsidRPr="008E1809">
              <w:rPr>
                <w:rFonts w:ascii="Verdana" w:hAnsi="Verdana"/>
                <w:spacing w:val="-59"/>
              </w:rPr>
              <w:t xml:space="preserve"> </w:t>
            </w:r>
            <w:r>
              <w:rPr>
                <w:rFonts w:ascii="Verdana" w:hAnsi="Verdana"/>
                <w:spacing w:val="-59"/>
              </w:rPr>
              <w:t xml:space="preserve"> </w:t>
            </w:r>
            <w:r w:rsidRPr="008E1809">
              <w:rPr>
                <w:rFonts w:ascii="Verdana" w:hAnsi="Verdana"/>
              </w:rPr>
              <w:lastRenderedPageBreak/>
              <w:t>entidad</w:t>
            </w:r>
            <w:r w:rsidRPr="008E1809">
              <w:rPr>
                <w:rFonts w:ascii="Verdana" w:hAnsi="Verdana"/>
                <w:spacing w:val="-15"/>
              </w:rPr>
              <w:t xml:space="preserve"> </w:t>
            </w:r>
            <w:r w:rsidRPr="008E1809">
              <w:rPr>
                <w:rFonts w:ascii="Verdana" w:hAnsi="Verdana"/>
              </w:rPr>
              <w:t>estatal</w:t>
            </w:r>
            <w:r w:rsidRPr="008E1809">
              <w:rPr>
                <w:rFonts w:ascii="Verdana" w:hAnsi="Verdana"/>
                <w:spacing w:val="-15"/>
              </w:rPr>
              <w:t xml:space="preserve"> </w:t>
            </w:r>
            <w:r w:rsidRPr="008E1809">
              <w:rPr>
                <w:rFonts w:ascii="Verdana" w:hAnsi="Verdana"/>
              </w:rPr>
              <w:t>realiza</w:t>
            </w:r>
            <w:r w:rsidRPr="008E1809">
              <w:rPr>
                <w:rFonts w:ascii="Verdana" w:hAnsi="Verdana"/>
                <w:spacing w:val="-15"/>
              </w:rPr>
              <w:t xml:space="preserve"> </w:t>
            </w:r>
            <w:r w:rsidRPr="008E1809">
              <w:rPr>
                <w:rFonts w:ascii="Verdana" w:hAnsi="Verdana"/>
              </w:rPr>
              <w:t>una</w:t>
            </w:r>
            <w:r w:rsidRPr="008E1809">
              <w:rPr>
                <w:rFonts w:ascii="Verdana" w:hAnsi="Verdana"/>
                <w:spacing w:val="-14"/>
              </w:rPr>
              <w:t xml:space="preserve"> </w:t>
            </w:r>
            <w:r w:rsidRPr="008E1809">
              <w:rPr>
                <w:rFonts w:ascii="Verdana" w:hAnsi="Verdana"/>
              </w:rPr>
              <w:t>convocatoria</w:t>
            </w:r>
            <w:r w:rsidRPr="008E1809">
              <w:rPr>
                <w:rFonts w:ascii="Verdana" w:hAnsi="Verdana"/>
                <w:spacing w:val="-15"/>
              </w:rPr>
              <w:t xml:space="preserve"> </w:t>
            </w:r>
            <w:r w:rsidRPr="008E1809">
              <w:rPr>
                <w:rFonts w:ascii="Verdana" w:hAnsi="Verdana"/>
              </w:rPr>
              <w:t>pública</w:t>
            </w:r>
            <w:r w:rsidRPr="008E1809">
              <w:rPr>
                <w:rFonts w:ascii="Verdana" w:hAnsi="Verdana"/>
                <w:spacing w:val="-15"/>
              </w:rPr>
              <w:t xml:space="preserve"> </w:t>
            </w:r>
            <w:r w:rsidRPr="008E1809">
              <w:rPr>
                <w:rFonts w:ascii="Verdana" w:hAnsi="Verdana"/>
              </w:rPr>
              <w:t>para</w:t>
            </w:r>
            <w:r w:rsidRPr="008E1809">
              <w:rPr>
                <w:rFonts w:ascii="Verdana" w:hAnsi="Verdana"/>
                <w:spacing w:val="-15"/>
              </w:rPr>
              <w:t xml:space="preserve"> </w:t>
            </w:r>
            <w:r w:rsidRPr="008E1809">
              <w:rPr>
                <w:rFonts w:ascii="Verdana" w:hAnsi="Verdana"/>
              </w:rPr>
              <w:t>recibir</w:t>
            </w:r>
            <w:r w:rsidRPr="008E1809">
              <w:rPr>
                <w:rFonts w:ascii="Verdana" w:hAnsi="Verdana"/>
                <w:spacing w:val="-14"/>
              </w:rPr>
              <w:t xml:space="preserve"> </w:t>
            </w:r>
            <w:r w:rsidRPr="008E1809">
              <w:rPr>
                <w:rFonts w:ascii="Verdana" w:hAnsi="Verdana"/>
              </w:rPr>
              <w:t>ofertas</w:t>
            </w:r>
            <w:r w:rsidRPr="008E1809">
              <w:rPr>
                <w:rFonts w:ascii="Verdana" w:hAnsi="Verdana"/>
                <w:spacing w:val="-15"/>
              </w:rPr>
              <w:t xml:space="preserve"> </w:t>
            </w:r>
            <w:r w:rsidRPr="008E1809">
              <w:rPr>
                <w:rFonts w:ascii="Verdana" w:hAnsi="Verdana"/>
              </w:rPr>
              <w:t>de</w:t>
            </w:r>
            <w:r w:rsidRPr="008E1809">
              <w:rPr>
                <w:rFonts w:ascii="Verdana" w:hAnsi="Verdana"/>
                <w:spacing w:val="-15"/>
              </w:rPr>
              <w:t xml:space="preserve"> </w:t>
            </w:r>
            <w:r w:rsidRPr="008E1809">
              <w:rPr>
                <w:rFonts w:ascii="Verdana" w:hAnsi="Verdana"/>
              </w:rPr>
              <w:t>bienes</w:t>
            </w:r>
            <w:r w:rsidRPr="008E1809">
              <w:rPr>
                <w:rFonts w:ascii="Verdana" w:hAnsi="Verdana"/>
                <w:spacing w:val="-15"/>
              </w:rPr>
              <w:t xml:space="preserve"> </w:t>
            </w:r>
            <w:r w:rsidRPr="008E1809">
              <w:rPr>
                <w:rFonts w:ascii="Verdana" w:hAnsi="Verdana"/>
              </w:rPr>
              <w:t>o</w:t>
            </w:r>
            <w:r w:rsidRPr="008E1809">
              <w:rPr>
                <w:rFonts w:ascii="Verdana" w:hAnsi="Verdana"/>
                <w:spacing w:val="-14"/>
              </w:rPr>
              <w:t xml:space="preserve"> </w:t>
            </w:r>
            <w:r w:rsidRPr="008E1809">
              <w:rPr>
                <w:rFonts w:ascii="Verdana" w:hAnsi="Verdana"/>
              </w:rPr>
              <w:t>servicios</w:t>
            </w:r>
            <w:r w:rsidRPr="008E1809">
              <w:rPr>
                <w:rFonts w:ascii="Verdana" w:hAnsi="Verdana"/>
                <w:spacing w:val="-59"/>
              </w:rPr>
              <w:t xml:space="preserve"> </w:t>
            </w:r>
            <w:r w:rsidRPr="008E1809">
              <w:rPr>
                <w:rFonts w:ascii="Verdana" w:hAnsi="Verdana"/>
              </w:rPr>
              <w:t>cuyo valor no excede el diez por ciento –10%– de la menor cuantía</w:t>
            </w:r>
            <w:r>
              <w:rPr>
                <w:rFonts w:ascii="Verdana" w:hAnsi="Verdana"/>
              </w:rPr>
              <w:t>. Para lo que no esté dentro de los umbrales correspondientes a alguna de estas dos (2) modalidades de selección, debe aplicarse la regla del inciso primero del artículo 2.1 de la Ley 1150 de 2007; razón por la cual, “</w:t>
            </w:r>
            <w:r w:rsidRPr="000933C7">
              <w:rPr>
                <w:rFonts w:ascii="Verdana" w:hAnsi="Verdana"/>
              </w:rPr>
              <w:t>La escogencia del contratista se efectuará por regla general a través de licitación pública, con las excepciones que se señalan en los numerales 2, 3 y 4 del presente artículo</w:t>
            </w:r>
            <w:r>
              <w:rPr>
                <w:rFonts w:ascii="Verdana" w:hAnsi="Verdana"/>
              </w:rPr>
              <w:t>”</w:t>
            </w:r>
            <w:r w:rsidRPr="000933C7">
              <w:rPr>
                <w:rFonts w:ascii="Verdana" w:hAnsi="Verdana"/>
              </w:rPr>
              <w:t>.</w:t>
            </w:r>
          </w:p>
          <w:p w14:paraId="1E3AF6BF" w14:textId="77777777" w:rsidR="005171FE" w:rsidRDefault="005171FE" w:rsidP="0071798F">
            <w:pPr>
              <w:pStyle w:val="Textoindependiente"/>
              <w:ind w:firstLine="709"/>
              <w:jc w:val="both"/>
              <w:rPr>
                <w:rFonts w:ascii="Verdana" w:eastAsia="Arial" w:hAnsi="Verdana" w:cs="Arial"/>
                <w:color w:val="000000"/>
              </w:rPr>
            </w:pPr>
            <w:r>
              <w:rPr>
                <w:rFonts w:ascii="Verdana" w:hAnsi="Verdana"/>
              </w:rPr>
              <w:t xml:space="preserve">Ahora bien, </w:t>
            </w:r>
            <w:r w:rsidRPr="003F4A18">
              <w:rPr>
                <w:rFonts w:ascii="Verdana" w:eastAsia="Arial" w:hAnsi="Verdana" w:cs="Arial"/>
                <w:color w:val="000000"/>
              </w:rPr>
              <w:t>el artículo 5 de la Ley 1150 de 2007, alude a diferentes conceptos como factores de escogencia, de calificación, técnicos y económicos de escogencia, de evaluación y calificación. Además, el artículo alude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 Todas estas categorías designan los “[…] factores a los cuales cabe otorgarles puntajes o que pueden ser ponderados, precisamente, pues estos son los factores que en últimas permiten una comparación de ofertas y una diferenciación entre ellas”</w:t>
            </w:r>
            <w:r>
              <w:rPr>
                <w:rFonts w:ascii="Verdana" w:eastAsia="Arial" w:hAnsi="Verdana" w:cs="Arial"/>
                <w:color w:val="000000"/>
              </w:rPr>
              <w:t>.</w:t>
            </w:r>
          </w:p>
          <w:p w14:paraId="5718C6F7" w14:textId="77777777" w:rsidR="005171FE" w:rsidRDefault="005171FE" w:rsidP="0071798F">
            <w:pPr>
              <w:pStyle w:val="Textoindependiente"/>
              <w:ind w:firstLine="709"/>
              <w:jc w:val="both"/>
              <w:rPr>
                <w:rFonts w:ascii="Verdana" w:eastAsia="Arial" w:hAnsi="Verdana" w:cs="Arial"/>
                <w:color w:val="000000"/>
              </w:rPr>
            </w:pPr>
            <w:r w:rsidRPr="003F4A18">
              <w:rPr>
                <w:rFonts w:ascii="Verdana" w:eastAsia="Arial" w:hAnsi="Verdana" w:cs="Arial"/>
                <w:color w:val="000000"/>
              </w:rPr>
              <w:t xml:space="preserve">En ese sentido, la asignación de puntaje es un mecanismo mediante el cual las entidades ponderan los factores de calificación </w:t>
            </w:r>
            <w:r w:rsidRPr="003F4A18">
              <w:rPr>
                <w:rFonts w:ascii="Tahoma" w:eastAsia="Tahoma" w:hAnsi="Tahoma" w:cs="Tahoma"/>
                <w:color w:val="000000"/>
              </w:rPr>
              <w:t>ꟷ</w:t>
            </w:r>
            <w:r w:rsidRPr="003F4A18">
              <w:rPr>
                <w:rFonts w:ascii="Verdana" w:eastAsia="Arial" w:hAnsi="Verdana" w:cs="Arial"/>
                <w:i/>
                <w:color w:val="000000"/>
              </w:rPr>
              <w:t>v.g.</w:t>
            </w:r>
            <w:r w:rsidRPr="003F4A18">
              <w:rPr>
                <w:rFonts w:ascii="Verdana" w:eastAsia="Arial" w:hAnsi="Verdana" w:cs="Arial"/>
                <w:color w:val="000000"/>
              </w:rPr>
              <w:t xml:space="preserve"> técnicos y económicos, de calidad y precio, etc.</w:t>
            </w:r>
            <w:r w:rsidRPr="003F4A18">
              <w:rPr>
                <w:rFonts w:ascii="Tahoma" w:eastAsia="Tahoma" w:hAnsi="Tahoma" w:cs="Tahoma"/>
                <w:color w:val="000000"/>
              </w:rPr>
              <w:t>ꟷ</w:t>
            </w:r>
            <w:r w:rsidRPr="003F4A18">
              <w:rPr>
                <w:rFonts w:ascii="Verdana" w:eastAsia="Arial" w:hAnsi="Verdana" w:cs="Arial"/>
                <w:color w:val="000000"/>
              </w:rPr>
              <w:t xml:space="preserve"> en un determinado proceso de selección, como se desprende del </w:t>
            </w:r>
            <w:r>
              <w:rPr>
                <w:rFonts w:ascii="Verdana" w:eastAsia="Arial" w:hAnsi="Verdana" w:cs="Arial"/>
                <w:color w:val="000000"/>
              </w:rPr>
              <w:t>literal a) del numeral 2 del artículo 5 de la Ley 1150 de 2007</w:t>
            </w:r>
            <w:r w:rsidRPr="003F4A18">
              <w:rPr>
                <w:rFonts w:ascii="Verdana" w:eastAsia="Arial" w:hAnsi="Verdana" w:cs="Arial"/>
                <w:color w:val="000000"/>
              </w:rPr>
              <w:t xml:space="preserve">. Sin embargo, no es este el único mecanismo de ponderación que tienen a su alcance las entidades estatales para determinar el ofrecimiento más favorable, pues el propio literal b) del artículo 5.2 posibilita que el ofrecimiento más favorable se determine con un análisis de la relación </w:t>
            </w:r>
            <w:r>
              <w:rPr>
                <w:rFonts w:ascii="Verdana" w:eastAsia="Arial" w:hAnsi="Verdana" w:cs="Arial"/>
                <w:color w:val="000000"/>
              </w:rPr>
              <w:t>costo-beneficio</w:t>
            </w:r>
            <w:r w:rsidRPr="003F4A18">
              <w:rPr>
                <w:rFonts w:ascii="Verdana" w:eastAsia="Arial" w:hAnsi="Verdana" w:cs="Arial"/>
                <w:color w:val="000000"/>
              </w:rPr>
              <w:t xml:space="preserve">. </w:t>
            </w:r>
          </w:p>
          <w:p w14:paraId="6C95D9CE" w14:textId="77777777" w:rsidR="005171FE" w:rsidRDefault="005171FE" w:rsidP="0071798F">
            <w:pPr>
              <w:pStyle w:val="Textoindependiente"/>
              <w:ind w:firstLine="709"/>
              <w:jc w:val="both"/>
              <w:rPr>
                <w:rFonts w:ascii="Verdana" w:eastAsia="Arial" w:hAnsi="Verdana" w:cs="Arial"/>
                <w:color w:val="000000"/>
              </w:rPr>
            </w:pPr>
            <w:r w:rsidRPr="003F4A18">
              <w:rPr>
                <w:rFonts w:ascii="Verdana" w:eastAsia="Arial" w:hAnsi="Verdana" w:cs="Arial"/>
                <w:color w:val="000000"/>
              </w:rPr>
              <w:t xml:space="preserve">A estos se suman, los procesos de selección de bienes y servicios de características técnicas uniformes y de común utilización, así como los de mínima cuantía, en los que –según los artículos 5.3 y 2.5 de la Ley 1150 de 2007– el único factor de selección </w:t>
            </w:r>
            <w:r>
              <w:rPr>
                <w:rFonts w:ascii="Verdana" w:eastAsia="Arial" w:hAnsi="Verdana" w:cs="Arial"/>
                <w:color w:val="000000"/>
              </w:rPr>
              <w:t xml:space="preserve">es el menor precio ofertado. </w:t>
            </w:r>
            <w:r w:rsidRPr="003F4A18">
              <w:rPr>
                <w:rFonts w:ascii="Verdana" w:eastAsia="Arial" w:hAnsi="Verdana" w:cs="Arial"/>
                <w:color w:val="000000"/>
              </w:rPr>
              <w:t xml:space="preserve">Conforme a lo anterior, el deber de selección objetiva está ligado a la determinación del ofrecimiento más favorable, cuyo contenido debe ser precisado a partir de las diferentes alternativas del artículo 5 de la Ley 1150 de 2007, reglamentado </w:t>
            </w:r>
            <w:r w:rsidRPr="003F4A18">
              <w:rPr>
                <w:rFonts w:ascii="Verdana" w:eastAsia="Arial" w:hAnsi="Verdana" w:cs="Arial"/>
                <w:color w:val="000000"/>
              </w:rPr>
              <w:lastRenderedPageBreak/>
              <w:t xml:space="preserve">por el artículo 2.2.1.1.2.2.2 del Decreto 1082 de 2015, que en todo caso deben reflejarse en el pliego de condiciones o documento equivalente para el respectivo proceso de selección. </w:t>
            </w:r>
          </w:p>
          <w:p w14:paraId="4BD19923" w14:textId="77777777" w:rsidR="005171FE" w:rsidRDefault="005171FE" w:rsidP="0071798F">
            <w:pPr>
              <w:pStyle w:val="Textoindependiente"/>
              <w:ind w:firstLine="743"/>
              <w:jc w:val="both"/>
              <w:rPr>
                <w:rFonts w:ascii="Verdana" w:hAnsi="Verdana"/>
                <w:lang w:val="es-ES_tradnl"/>
              </w:rPr>
            </w:pPr>
            <w:r w:rsidRPr="00064FD7">
              <w:rPr>
                <w:rFonts w:ascii="Verdana" w:hAnsi="Verdana"/>
                <w:lang w:val="es-ES_tradnl"/>
              </w:rPr>
              <w:t xml:space="preserve">Con excepción de los procedimientos regidos por documentos tipo, </w:t>
            </w:r>
            <w:r>
              <w:rPr>
                <w:rFonts w:ascii="Verdana" w:hAnsi="Verdana"/>
                <w:lang w:val="es-ES_tradnl"/>
              </w:rPr>
              <w:t>existe un margen</w:t>
            </w:r>
            <w:r w:rsidRPr="00064FD7">
              <w:rPr>
                <w:rFonts w:ascii="Verdana" w:hAnsi="Verdana"/>
                <w:lang w:val="es-ES_tradnl"/>
              </w:rPr>
              <w:t xml:space="preserve"> de discrecionalidad para definir el contenido del pliego de condiciones o documento </w:t>
            </w:r>
            <w:r w:rsidRPr="00120430">
              <w:rPr>
                <w:rFonts w:ascii="Verdana" w:hAnsi="Verdana"/>
                <w:lang w:val="es-ES_tradnl"/>
              </w:rPr>
              <w:t>equivalente. Salvo</w:t>
            </w:r>
            <w:r w:rsidRPr="00064FD7">
              <w:rPr>
                <w:rFonts w:ascii="Verdana" w:hAnsi="Verdana"/>
                <w:lang w:val="es-ES_tradnl"/>
              </w:rPr>
              <w:t xml:space="preserve"> los </w:t>
            </w:r>
            <w:r>
              <w:rPr>
                <w:rFonts w:ascii="Verdana" w:hAnsi="Verdana"/>
                <w:lang w:val="es-ES_tradnl"/>
              </w:rPr>
              <w:t>detalles que se encuentren reglados</w:t>
            </w:r>
            <w:r w:rsidRPr="00064FD7">
              <w:rPr>
                <w:rFonts w:ascii="Verdana" w:hAnsi="Verdana"/>
                <w:lang w:val="es-ES_tradnl"/>
              </w:rPr>
              <w:t xml:space="preserve"> en la actuación administrativa, esto implica libertad de las entidades para determinar </w:t>
            </w:r>
            <w:r>
              <w:rPr>
                <w:rFonts w:ascii="Verdana" w:hAnsi="Verdana"/>
                <w:lang w:val="es-ES_tradnl"/>
              </w:rPr>
              <w:t>varios aspectos del proceso de selección</w:t>
            </w:r>
            <w:r w:rsidRPr="00064FD7">
              <w:rPr>
                <w:rFonts w:ascii="Verdana" w:hAnsi="Verdana"/>
                <w:lang w:val="es-ES_tradnl"/>
              </w:rPr>
              <w:t>. Lo anterior en la medida que no existen potestades completamente discrecionales, por lo que dichos elementos reglados son una limitación efectiva a la libertad de configuración.</w:t>
            </w:r>
          </w:p>
          <w:p w14:paraId="42ECC3BC" w14:textId="77777777" w:rsidR="005171FE" w:rsidRPr="003365BE" w:rsidRDefault="005171FE" w:rsidP="0071798F">
            <w:pPr>
              <w:spacing w:after="120" w:line="276" w:lineRule="auto"/>
              <w:ind w:firstLine="709"/>
              <w:jc w:val="both"/>
              <w:rPr>
                <w:rFonts w:ascii="Verdana" w:eastAsia="Arial" w:hAnsi="Verdana" w:cs="Arial"/>
                <w:color w:val="000000"/>
              </w:rPr>
            </w:pPr>
            <w:r>
              <w:rPr>
                <w:rFonts w:ascii="Verdana" w:hAnsi="Verdana"/>
                <w:lang w:val="es-ES_tradnl"/>
              </w:rPr>
              <w:t xml:space="preserve">Conforme </w:t>
            </w:r>
            <w:r>
              <w:rPr>
                <w:rFonts w:ascii="Verdana" w:eastAsia="Calibri" w:hAnsi="Verdana" w:cs="Arial"/>
                <w:color w:val="000000" w:themeColor="text1"/>
              </w:rPr>
              <w:t xml:space="preserve">al inciso final del artículo 2 de la Ley 1437 de 2011 y la remisión del inciso primero del artículo 77 de la Ley 80 de 1993 a </w:t>
            </w:r>
            <w:r w:rsidRPr="00120430">
              <w:rPr>
                <w:rFonts w:ascii="Verdana" w:eastAsia="Calibri" w:hAnsi="Verdana" w:cs="Arial"/>
                <w:color w:val="000000" w:themeColor="text1"/>
              </w:rPr>
              <w:t>las normas que rigen los procedimientos y actuaciones en la función administrativa</w:t>
            </w:r>
            <w:r>
              <w:rPr>
                <w:rFonts w:ascii="Verdana" w:eastAsia="Calibri" w:hAnsi="Verdana" w:cs="Arial"/>
                <w:color w:val="000000" w:themeColor="text1"/>
              </w:rPr>
              <w:t>, es necesario tener cuenta que el artículo 44 del Código de Procedimiento Administrativo y de lo Contencioso Administrativo dispone lo siguiente: “</w:t>
            </w:r>
            <w:r w:rsidRPr="00A87044">
              <w:rPr>
                <w:rFonts w:ascii="Verdana" w:eastAsia="Calibri" w:hAnsi="Verdana" w:cs="Arial"/>
                <w:color w:val="000000" w:themeColor="text1"/>
              </w:rPr>
              <w:t>En la medida en que el contenido de una decisión de carácter general o particular sea discrecional, debe ser adecuada a los fines de la norma que la autoriza, y proporcional a los hechos que le sirven de causa</w:t>
            </w:r>
            <w:r>
              <w:rPr>
                <w:rFonts w:ascii="Verdana" w:eastAsia="Calibri" w:hAnsi="Verdana" w:cs="Arial"/>
                <w:color w:val="000000" w:themeColor="text1"/>
              </w:rPr>
              <w:t>”. Asimismo, dado que el pliego de condiciones establece las bases del proceso de selección, tiene fuerza vinculante respecto a la entidad que lo expide por su naturaleza jurídica como acto administrativo.</w:t>
            </w:r>
          </w:p>
          <w:p w14:paraId="101DCBFB" w14:textId="77777777" w:rsidR="005171FE" w:rsidRPr="001941FD" w:rsidRDefault="005171FE" w:rsidP="0071798F">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1941FD">
              <w:rPr>
                <w:rStyle w:val="s15"/>
                <w:rFonts w:ascii="Verdana" w:hAnsi="Verdana"/>
                <w:color w:val="000000"/>
              </w:rPr>
              <w:t>.</w:t>
            </w:r>
          </w:p>
        </w:tc>
      </w:tr>
    </w:tbl>
    <w:p w14:paraId="10AA4B65" w14:textId="77777777" w:rsidR="005171FE" w:rsidRPr="00593A5F" w:rsidRDefault="005171FE" w:rsidP="005171FE">
      <w:pPr>
        <w:tabs>
          <w:tab w:val="left" w:pos="142"/>
          <w:tab w:val="left" w:pos="284"/>
        </w:tabs>
        <w:spacing w:after="0" w:line="276" w:lineRule="auto"/>
        <w:jc w:val="both"/>
        <w:rPr>
          <w:rFonts w:ascii="Verdana" w:eastAsia="Century Gothic" w:hAnsi="Verdana" w:cs="Century Gothic"/>
          <w:b/>
          <w:bCs/>
          <w:lang w:val="es-ES"/>
        </w:rPr>
      </w:pPr>
    </w:p>
    <w:bookmarkEnd w:id="3"/>
    <w:p w14:paraId="701B26D9" w14:textId="77777777" w:rsidR="005171FE" w:rsidRPr="00593A5F" w:rsidRDefault="005171FE" w:rsidP="005171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CAE45C5" w14:textId="77777777" w:rsidR="005171FE" w:rsidRPr="00593A5F" w:rsidRDefault="005171FE" w:rsidP="005171FE">
      <w:pPr>
        <w:spacing w:after="0" w:line="276" w:lineRule="auto"/>
        <w:jc w:val="both"/>
        <w:rPr>
          <w:rFonts w:ascii="Verdana" w:eastAsia="Calibri" w:hAnsi="Verdana" w:cs="Arial"/>
          <w:color w:val="7030A0"/>
          <w:lang w:val="es-ES"/>
        </w:rPr>
      </w:pPr>
    </w:p>
    <w:p w14:paraId="24B788D6" w14:textId="77777777" w:rsidR="005171FE" w:rsidRDefault="005171FE" w:rsidP="005171FE">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0092D4B" w14:textId="77777777" w:rsidR="005171FE" w:rsidRPr="008305C9" w:rsidRDefault="005171FE" w:rsidP="005171FE">
      <w:pPr>
        <w:spacing w:after="0" w:line="276" w:lineRule="auto"/>
        <w:jc w:val="both"/>
        <w:rPr>
          <w:rFonts w:ascii="Verdana" w:eastAsia="Calibri" w:hAnsi="Verdana" w:cs="Arial"/>
          <w:lang w:val="es-ES"/>
        </w:rPr>
      </w:pPr>
    </w:p>
    <w:p w14:paraId="6B1B6EE2" w14:textId="77777777" w:rsidR="005171FE" w:rsidRPr="007D48B0" w:rsidRDefault="005171FE" w:rsidP="005171FE">
      <w:pPr>
        <w:spacing w:after="120" w:line="276" w:lineRule="auto"/>
        <w:jc w:val="both"/>
        <w:rPr>
          <w:rFonts w:ascii="Verdana" w:hAnsi="Verdana" w:cs="Arial"/>
          <w:bCs/>
          <w:sz w:val="21"/>
          <w:szCs w:val="21"/>
          <w:lang w:val="es-ES_tradnl"/>
        </w:rPr>
      </w:pPr>
      <w:r>
        <w:rPr>
          <w:rFonts w:ascii="Verdana" w:hAnsi="Verdana" w:cs="Arial"/>
          <w:bCs/>
          <w:lang w:val="es-ES_tradnl"/>
        </w:rPr>
        <w:t xml:space="preserve">i. </w:t>
      </w:r>
      <w:r w:rsidRPr="007D48B0">
        <w:rPr>
          <w:rFonts w:ascii="Verdana" w:hAnsi="Verdana" w:cs="Arial"/>
          <w:bCs/>
          <w:lang w:val="es-ES_tradnl"/>
        </w:rPr>
        <w:t>La contratación pública comprende, entre otros aspectos, la toma de decisiones del gasto que las entidades realizan como ejecución de los recursos públicos asignados para adquirir bienes, obras o servicios que satisfacen sus necesidades, y en esa medida cumplen el interés general, que es la finalidad que la ley les confía a través de las funciones que se les encomiendan. Para las adquisiciones, las entidades estructuran procedimientos de contratación previamente definidos por la ley, consultando las normas que los rigen para determinar la forma que el ordenamiento prevé para adelantarlos. En esta medida, conforme el artículo 29 de la Constitución Política, los procesos de selección son una manifestación de la legalidad de las formas de cada proceso en sede administrativa</w:t>
      </w:r>
      <w:r w:rsidRPr="007D48B0">
        <w:rPr>
          <w:rStyle w:val="Refdenotaalpie"/>
          <w:rFonts w:ascii="Verdana" w:hAnsi="Verdana" w:cs="Arial"/>
          <w:bCs/>
          <w:sz w:val="21"/>
          <w:szCs w:val="21"/>
          <w:lang w:val="es-ES_tradnl"/>
        </w:rPr>
        <w:footnoteReference w:id="1"/>
      </w:r>
      <w:r w:rsidRPr="007D48B0">
        <w:rPr>
          <w:rFonts w:ascii="Verdana" w:hAnsi="Verdana" w:cs="Arial"/>
          <w:bCs/>
          <w:sz w:val="21"/>
          <w:szCs w:val="21"/>
          <w:lang w:val="es-ES_tradnl"/>
        </w:rPr>
        <w:t>.</w:t>
      </w:r>
    </w:p>
    <w:p w14:paraId="1679CFBC" w14:textId="77777777" w:rsidR="005171FE" w:rsidRPr="007D48B0" w:rsidRDefault="005171FE" w:rsidP="005171FE">
      <w:pPr>
        <w:spacing w:after="120" w:line="276" w:lineRule="auto"/>
        <w:jc w:val="both"/>
        <w:rPr>
          <w:rFonts w:ascii="Verdana" w:hAnsi="Verdana" w:cs="Arial"/>
          <w:bCs/>
          <w:lang w:val="es-ES_tradnl"/>
        </w:rPr>
      </w:pPr>
      <w:r w:rsidRPr="007D48B0">
        <w:rPr>
          <w:rFonts w:ascii="Verdana" w:hAnsi="Verdana" w:cs="Arial"/>
          <w:bCs/>
          <w:lang w:val="es-ES_tradnl"/>
        </w:rPr>
        <w:tab/>
        <w:t xml:space="preserve">Inicialmente, la Ley 80 de 1993 estableció tres (3) procedimientos de selección: i) licitación o concurso público, </w:t>
      </w:r>
      <w:proofErr w:type="spellStart"/>
      <w:r w:rsidRPr="007D48B0">
        <w:rPr>
          <w:rFonts w:ascii="Verdana" w:hAnsi="Verdana" w:cs="Arial"/>
          <w:bCs/>
          <w:lang w:val="es-ES_tradnl"/>
        </w:rPr>
        <w:t>ii</w:t>
      </w:r>
      <w:proofErr w:type="spellEnd"/>
      <w:r w:rsidRPr="007D48B0">
        <w:rPr>
          <w:rFonts w:ascii="Verdana" w:hAnsi="Verdana" w:cs="Arial"/>
          <w:bCs/>
          <w:lang w:val="es-ES_tradnl"/>
        </w:rPr>
        <w:t xml:space="preserve">) contratación sin formalidades plenas y </w:t>
      </w:r>
      <w:proofErr w:type="spellStart"/>
      <w:r w:rsidRPr="007D48B0">
        <w:rPr>
          <w:rFonts w:ascii="Verdana" w:hAnsi="Verdana" w:cs="Arial"/>
          <w:bCs/>
          <w:lang w:val="es-ES_tradnl"/>
        </w:rPr>
        <w:t>iii</w:t>
      </w:r>
      <w:proofErr w:type="spellEnd"/>
      <w:r w:rsidRPr="007D48B0">
        <w:rPr>
          <w:rFonts w:ascii="Verdana" w:hAnsi="Verdana" w:cs="Arial"/>
          <w:bCs/>
          <w:lang w:val="es-ES_tradnl"/>
        </w:rPr>
        <w:t>) contratación directa. Dentro de este esquema, el primero era y continúa siendo la regla general, pues sólo es posible acudir a los demás frente a la configuración de las causales previamente establecidas por el ordenamiento, razón por la cual la Administración carece de discrecionalidad para establecer procedimientos</w:t>
      </w:r>
      <w:r w:rsidRPr="007D48B0">
        <w:rPr>
          <w:rStyle w:val="Refdenotaalpie"/>
          <w:rFonts w:ascii="Verdana" w:hAnsi="Verdana" w:cs="Arial"/>
          <w:bCs/>
          <w:lang w:val="es-ES_tradnl"/>
        </w:rPr>
        <w:footnoteReference w:id="2"/>
      </w:r>
      <w:r w:rsidRPr="007D48B0">
        <w:rPr>
          <w:rFonts w:ascii="Verdana" w:hAnsi="Verdana" w:cs="Arial"/>
          <w:bCs/>
          <w:lang w:val="es-ES_tradnl"/>
        </w:rPr>
        <w:t xml:space="preserve">. </w:t>
      </w:r>
    </w:p>
    <w:p w14:paraId="5A232DE5" w14:textId="77777777" w:rsidR="005171FE" w:rsidRPr="00FC0529" w:rsidRDefault="005171FE" w:rsidP="005171FE">
      <w:pPr>
        <w:spacing w:after="120" w:line="276" w:lineRule="auto"/>
        <w:jc w:val="both"/>
        <w:rPr>
          <w:rFonts w:ascii="Verdana" w:hAnsi="Verdana" w:cs="Arial"/>
          <w:bCs/>
          <w:lang w:val="es-ES_tradnl"/>
        </w:rPr>
      </w:pPr>
      <w:r w:rsidRPr="007D48B0">
        <w:rPr>
          <w:rFonts w:ascii="Verdana" w:hAnsi="Verdana" w:cs="Arial"/>
          <w:bCs/>
          <w:lang w:val="es-ES_tradnl"/>
        </w:rPr>
        <w:tab/>
        <w:t xml:space="preserve">No obstante, después del 2007, el ordenamiento reguló nuevos procesos de selección. En efecto, con el artículo 2 de la Ley 1150 la licitación pública no solo es un procedimiento independiente del concurso de méritos, sino que también se creó el procedimiento de selección de selección abreviada. Finalmente, teniendo en cuenta la reforma introducida con la Ley 1474 de 2011, los procedimientos actualmente regulados son los siguientes: i) licitación </w:t>
      </w:r>
      <w:r w:rsidRPr="007D48B0">
        <w:rPr>
          <w:rFonts w:ascii="Verdana" w:hAnsi="Verdana" w:cs="Arial"/>
          <w:bCs/>
          <w:lang w:val="es-ES_tradnl"/>
        </w:rPr>
        <w:lastRenderedPageBreak/>
        <w:t xml:space="preserve">pública, </w:t>
      </w:r>
      <w:proofErr w:type="spellStart"/>
      <w:r w:rsidRPr="007D48B0">
        <w:rPr>
          <w:rFonts w:ascii="Verdana" w:hAnsi="Verdana" w:cs="Arial"/>
          <w:bCs/>
          <w:lang w:val="es-ES_tradnl"/>
        </w:rPr>
        <w:t>ii</w:t>
      </w:r>
      <w:proofErr w:type="spellEnd"/>
      <w:r w:rsidRPr="007D48B0">
        <w:rPr>
          <w:rFonts w:ascii="Verdana" w:hAnsi="Verdana" w:cs="Arial"/>
          <w:bCs/>
          <w:lang w:val="es-ES_tradnl"/>
        </w:rPr>
        <w:t xml:space="preserve">) selección abreviada, </w:t>
      </w:r>
      <w:proofErr w:type="spellStart"/>
      <w:r w:rsidRPr="007D48B0">
        <w:rPr>
          <w:rFonts w:ascii="Verdana" w:hAnsi="Verdana" w:cs="Arial"/>
          <w:bCs/>
          <w:lang w:val="es-ES_tradnl"/>
        </w:rPr>
        <w:t>iii</w:t>
      </w:r>
      <w:proofErr w:type="spellEnd"/>
      <w:r w:rsidRPr="007D48B0">
        <w:rPr>
          <w:rFonts w:ascii="Verdana" w:hAnsi="Verdana" w:cs="Arial"/>
          <w:bCs/>
          <w:lang w:val="es-ES_tradnl"/>
        </w:rPr>
        <w:t xml:space="preserve">) concurso de méritos, </w:t>
      </w:r>
      <w:proofErr w:type="spellStart"/>
      <w:r w:rsidRPr="007D48B0">
        <w:rPr>
          <w:rFonts w:ascii="Verdana" w:hAnsi="Verdana" w:cs="Arial"/>
          <w:bCs/>
          <w:lang w:val="es-ES_tradnl"/>
        </w:rPr>
        <w:t>iv</w:t>
      </w:r>
      <w:proofErr w:type="spellEnd"/>
      <w:r w:rsidRPr="007D48B0">
        <w:rPr>
          <w:rFonts w:ascii="Verdana" w:hAnsi="Verdana" w:cs="Arial"/>
          <w:bCs/>
          <w:lang w:val="es-ES_tradnl"/>
        </w:rPr>
        <w:t>) mínima cuantía y v) contratación directa.</w:t>
      </w:r>
      <w:r>
        <w:rPr>
          <w:rFonts w:ascii="Verdana" w:hAnsi="Verdana" w:cs="Arial"/>
          <w:bCs/>
          <w:lang w:val="es-ES_tradnl"/>
        </w:rPr>
        <w:t xml:space="preserve"> </w:t>
      </w:r>
      <w:r w:rsidRPr="007D48B0">
        <w:rPr>
          <w:rFonts w:ascii="Verdana" w:hAnsi="Verdana" w:cs="Arial"/>
          <w:bCs/>
          <w:lang w:val="es-ES_tradnl"/>
        </w:rPr>
        <w:t xml:space="preserve">En dichos procedimientos constan </w:t>
      </w:r>
      <w:r w:rsidRPr="007D48B0">
        <w:rPr>
          <w:rFonts w:ascii="Verdana" w:eastAsia="Calibri" w:hAnsi="Verdana" w:cs="Arial"/>
        </w:rPr>
        <w:t>las etapas para la adquisición de obras, bienes y servicios, por lo que cada entidad es responsable de estructurar los procedimientos de contratación, siempre que respete el principio de legalidad.</w:t>
      </w:r>
      <w:bookmarkStart w:id="5" w:name="_Hlk39596760"/>
    </w:p>
    <w:p w14:paraId="12A498CA" w14:textId="77777777" w:rsidR="005171FE" w:rsidRPr="00C11001" w:rsidRDefault="005171FE" w:rsidP="005171FE">
      <w:pPr>
        <w:spacing w:after="120" w:line="276" w:lineRule="auto"/>
        <w:ind w:firstLine="709"/>
        <w:jc w:val="both"/>
        <w:rPr>
          <w:rFonts w:ascii="Verdana" w:hAnsi="Verdana" w:cs="Arial"/>
          <w:bCs/>
          <w:lang w:val="es-MX"/>
        </w:rPr>
      </w:pPr>
      <w:r>
        <w:rPr>
          <w:rFonts w:ascii="Verdana" w:hAnsi="Verdana" w:cs="Arial"/>
          <w:lang w:val="es-ES"/>
        </w:rPr>
        <w:t>En este contexto, p</w:t>
      </w:r>
      <w:r w:rsidRPr="00B47324">
        <w:rPr>
          <w:rFonts w:ascii="Verdana" w:hAnsi="Verdana" w:cs="Arial"/>
          <w:lang w:val="es-ES"/>
        </w:rPr>
        <w:t xml:space="preserve">ara las entidades </w:t>
      </w:r>
      <w:r>
        <w:rPr>
          <w:rFonts w:ascii="Verdana" w:hAnsi="Verdana" w:cs="Arial"/>
          <w:lang w:val="es-ES"/>
        </w:rPr>
        <w:t>sometidas a la Ley 80 de 1993,</w:t>
      </w:r>
      <w:r w:rsidRPr="00B47324">
        <w:rPr>
          <w:rFonts w:ascii="Verdana" w:hAnsi="Verdana" w:cs="Arial"/>
          <w:lang w:val="es-ES"/>
        </w:rPr>
        <w:t xml:space="preserve"> los procesos de selección se rigen por el artículo 2 de la Ley 1150 de 2007. El </w:t>
      </w:r>
      <w:r w:rsidRPr="00B47324">
        <w:rPr>
          <w:rFonts w:ascii="Verdana" w:hAnsi="Verdana" w:cs="Arial"/>
          <w:bCs/>
          <w:lang w:val="es-MX"/>
        </w:rPr>
        <w:t>numeral</w:t>
      </w:r>
      <w:r w:rsidRPr="00666B6A">
        <w:rPr>
          <w:rFonts w:ascii="Verdana" w:hAnsi="Verdana" w:cs="Arial"/>
          <w:bCs/>
          <w:lang w:val="es-MX"/>
        </w:rPr>
        <w:t xml:space="preserve">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3"/>
      </w:r>
      <w:r w:rsidRPr="00666B6A">
        <w:rPr>
          <w:rFonts w:ascii="Verdana" w:hAnsi="Verdana" w:cs="Arial"/>
          <w:bCs/>
          <w:lang w:val="es-MX"/>
        </w:rPr>
        <w:t xml:space="preserve">. </w:t>
      </w:r>
      <w:r>
        <w:rPr>
          <w:rFonts w:ascii="Verdana" w:hAnsi="Verdana" w:cs="Arial"/>
          <w:bCs/>
          <w:lang w:val="es-MX"/>
        </w:rPr>
        <w:t>Así</w:t>
      </w:r>
      <w:r w:rsidRPr="00666B6A">
        <w:rPr>
          <w:rFonts w:ascii="Verdana" w:hAnsi="Verdana" w:cs="Arial"/>
          <w:bCs/>
          <w:lang w:val="es-MX"/>
        </w:rPr>
        <w:t>, salvo norma especial que ordene la celebración del negocio jurídico por selección abreviada, concurso de méritos, mínima cuantía o contratación directa, debe aplicarse la regla general de licitación pública</w:t>
      </w:r>
      <w:r w:rsidRPr="00666B6A">
        <w:rPr>
          <w:rFonts w:ascii="Verdana" w:hAnsi="Verdana" w:cs="Arial"/>
          <w:bCs/>
          <w:vertAlign w:val="superscript"/>
          <w:lang w:val="es-MX"/>
        </w:rPr>
        <w:footnoteReference w:id="4"/>
      </w:r>
      <w:r w:rsidRPr="00666B6A">
        <w:rPr>
          <w:rFonts w:ascii="Verdana" w:hAnsi="Verdana" w:cs="Arial"/>
          <w:bCs/>
          <w:lang w:val="es-MX"/>
        </w:rPr>
        <w:t>.</w:t>
      </w:r>
    </w:p>
    <w:p w14:paraId="4F8634C1" w14:textId="77777777" w:rsidR="005171FE" w:rsidRPr="004F0676" w:rsidRDefault="005171FE" w:rsidP="005171FE">
      <w:pPr>
        <w:spacing w:after="120" w:line="276" w:lineRule="auto"/>
        <w:ind w:firstLine="708"/>
        <w:jc w:val="both"/>
        <w:rPr>
          <w:rFonts w:ascii="Verdana" w:hAnsi="Verdana" w:cs="Arial"/>
          <w:bCs/>
          <w:lang w:val="es-ES_tradnl"/>
        </w:rPr>
      </w:pPr>
      <w:r w:rsidRPr="007D48B0">
        <w:rPr>
          <w:rFonts w:ascii="Verdana" w:eastAsia="Calibri" w:hAnsi="Verdana" w:cs="Arial"/>
        </w:rPr>
        <w:t xml:space="preserve">Respecto a la selección abreviada, </w:t>
      </w:r>
      <w:bookmarkStart w:id="6" w:name="_Hlk39070608"/>
      <w:r w:rsidRPr="007D48B0">
        <w:rPr>
          <w:rFonts w:ascii="Verdana" w:eastAsia="Calibri" w:hAnsi="Verdana" w:cs="Arial"/>
        </w:rPr>
        <w:t>el numeral 2 del artículo 2 de la Ley 1150 de 2007</w:t>
      </w:r>
      <w:bookmarkEnd w:id="6"/>
      <w:r w:rsidRPr="007D48B0">
        <w:rPr>
          <w:rFonts w:ascii="Verdana" w:eastAsia="Calibri" w:hAnsi="Verdana" w:cs="Arial"/>
        </w:rPr>
        <w:t xml:space="preserve"> dispone que </w:t>
      </w:r>
      <w:r>
        <w:rPr>
          <w:rFonts w:ascii="Verdana" w:eastAsia="Calibri" w:hAnsi="Verdana" w:cs="Arial"/>
        </w:rPr>
        <w:t>“</w:t>
      </w:r>
      <w:r w:rsidRPr="007D48B0">
        <w:rPr>
          <w:rFonts w:ascii="Verdana" w:eastAsia="Calibri" w:hAnsi="Verdana" w:cs="Arial"/>
        </w:rPr>
        <w:t xml:space="preserve">[…] corresponde a la modalidad de selección objetiva prevista para aquellos casos en que por las características del objeto a contratar, las circunstancias de la contratación o la cuantía o destinación del bien, obra o </w:t>
      </w:r>
      <w:r w:rsidRPr="007D48B0">
        <w:rPr>
          <w:rFonts w:ascii="Verdana" w:eastAsia="Calibri" w:hAnsi="Verdana" w:cs="Arial"/>
        </w:rPr>
        <w:lastRenderedPageBreak/>
        <w:t>servicio, puedan adelantarse procesos simplificados para garantizar la eficiencia de la gestión contractual</w:t>
      </w:r>
      <w:r>
        <w:rPr>
          <w:rFonts w:ascii="Verdana" w:eastAsia="Calibri" w:hAnsi="Verdana" w:cs="Arial"/>
        </w:rPr>
        <w:t>”</w:t>
      </w:r>
      <w:r w:rsidRPr="007D48B0">
        <w:rPr>
          <w:rFonts w:ascii="Verdana" w:eastAsia="Calibri" w:hAnsi="Verdana" w:cs="Arial"/>
        </w:rPr>
        <w:t>, regulando cada una de las causales</w:t>
      </w:r>
      <w:r w:rsidRPr="007D48B0">
        <w:rPr>
          <w:rStyle w:val="Refdenotaalpie"/>
          <w:rFonts w:ascii="Verdana" w:eastAsia="Calibri" w:hAnsi="Verdana" w:cs="Arial"/>
        </w:rPr>
        <w:footnoteReference w:id="5"/>
      </w:r>
      <w:r w:rsidRPr="007D48B0">
        <w:rPr>
          <w:rFonts w:ascii="Verdana" w:eastAsia="Calibri" w:hAnsi="Verdana" w:cs="Arial"/>
        </w:rPr>
        <w:t xml:space="preserve">. </w:t>
      </w:r>
    </w:p>
    <w:p w14:paraId="6AA2B2DE" w14:textId="77777777" w:rsidR="005171FE" w:rsidRPr="007D48B0" w:rsidRDefault="005171FE" w:rsidP="005171FE">
      <w:pPr>
        <w:spacing w:after="0" w:line="276" w:lineRule="auto"/>
        <w:ind w:firstLine="708"/>
        <w:jc w:val="both"/>
        <w:rPr>
          <w:rFonts w:ascii="Verdana" w:eastAsia="Calibri" w:hAnsi="Verdana" w:cs="Arial"/>
        </w:rPr>
      </w:pPr>
      <w:bookmarkStart w:id="7" w:name="_Hlk39174727"/>
      <w:r w:rsidRPr="007D48B0">
        <w:rPr>
          <w:rFonts w:ascii="Verdana" w:eastAsia="Calibri" w:hAnsi="Verdana" w:cs="Arial"/>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5"/>
      <w:bookmarkEnd w:id="7"/>
      <w:r w:rsidRPr="007D48B0">
        <w:rPr>
          <w:rFonts w:ascii="Verdana" w:eastAsia="Calibri" w:hAnsi="Verdana" w:cs="Arial"/>
        </w:rPr>
        <w:t>. En la exposición de motivos se explica lo siguiente:</w:t>
      </w:r>
    </w:p>
    <w:p w14:paraId="7EB4D7EB" w14:textId="77777777" w:rsidR="005171FE" w:rsidRPr="007D48B0" w:rsidRDefault="005171FE" w:rsidP="005171FE">
      <w:pPr>
        <w:spacing w:after="0" w:line="276" w:lineRule="auto"/>
        <w:jc w:val="both"/>
        <w:rPr>
          <w:rFonts w:ascii="Verdana" w:eastAsia="Calibri" w:hAnsi="Verdana" w:cs="Arial"/>
        </w:rPr>
      </w:pPr>
    </w:p>
    <w:p w14:paraId="7ACC5A70" w14:textId="77777777" w:rsidR="005171FE" w:rsidRPr="00C11001" w:rsidRDefault="005171FE" w:rsidP="005171FE">
      <w:pPr>
        <w:spacing w:after="120" w:line="240" w:lineRule="auto"/>
        <w:ind w:left="709" w:right="709"/>
        <w:jc w:val="both"/>
        <w:rPr>
          <w:rFonts w:ascii="Verdana" w:eastAsia="Calibri" w:hAnsi="Verdana" w:cs="Arial"/>
          <w:sz w:val="20"/>
          <w:szCs w:val="20"/>
        </w:rPr>
      </w:pPr>
      <w:r w:rsidRPr="00C11001">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0CB67580" w14:textId="77777777" w:rsidR="005171FE" w:rsidRPr="00C11001" w:rsidRDefault="005171FE" w:rsidP="005171FE">
      <w:pPr>
        <w:spacing w:after="120" w:line="240" w:lineRule="auto"/>
        <w:ind w:left="709" w:right="709"/>
        <w:jc w:val="both"/>
        <w:rPr>
          <w:rFonts w:ascii="Verdana" w:eastAsia="Calibri" w:hAnsi="Verdana" w:cs="Arial"/>
          <w:sz w:val="20"/>
          <w:szCs w:val="20"/>
        </w:rPr>
      </w:pPr>
      <w:r w:rsidRPr="00C11001">
        <w:rPr>
          <w:rFonts w:ascii="Verdana" w:eastAsia="Calibri" w:hAnsi="Verdana" w:cs="Arial"/>
          <w:sz w:val="20"/>
          <w:szCs w:val="20"/>
        </w:rPr>
        <w:t xml:space="preserve">– Se crea la llamada </w:t>
      </w:r>
      <w:r>
        <w:rPr>
          <w:rFonts w:ascii="Verdana" w:eastAsia="Calibri" w:hAnsi="Verdana" w:cs="Arial"/>
          <w:sz w:val="20"/>
          <w:szCs w:val="20"/>
        </w:rPr>
        <w:t>‘</w:t>
      </w:r>
      <w:r w:rsidRPr="00C11001">
        <w:rPr>
          <w:rFonts w:ascii="Verdana" w:eastAsia="Calibri" w:hAnsi="Verdana" w:cs="Arial"/>
          <w:sz w:val="20"/>
          <w:szCs w:val="20"/>
        </w:rPr>
        <w:t>selección abreviada</w:t>
      </w:r>
      <w:r>
        <w:rPr>
          <w:rFonts w:ascii="Verdana" w:eastAsia="Calibri" w:hAnsi="Verdana" w:cs="Arial"/>
          <w:sz w:val="20"/>
          <w:szCs w:val="20"/>
        </w:rPr>
        <w:t>’</w:t>
      </w:r>
      <w:r w:rsidRPr="00C11001">
        <w:rPr>
          <w:rFonts w:ascii="Verdana" w:eastAsia="Calibri" w:hAnsi="Verdana" w:cs="Arial"/>
          <w:sz w:val="20"/>
          <w:szCs w:val="20"/>
        </w:rPr>
        <w:t>, para permitir la existencia de procedimientos de selección que, basados estrictamente en los principios cardinales de la contratación pública, permitan de manera ágil la adopción de decisiones de selección. En el sentido antedicho, las innovaciones del proceso de selección abreviada empiezan por una medida trascendental, para llevar a sólo horas los contratos referidos a la adquisición bienes de “características técnicas uniformes y de común utilización” […].</w:t>
      </w:r>
    </w:p>
    <w:p w14:paraId="4EC657E3" w14:textId="77777777" w:rsidR="005171FE" w:rsidRPr="007D48B0" w:rsidRDefault="005171FE" w:rsidP="005171FE">
      <w:pPr>
        <w:spacing w:after="0" w:line="240" w:lineRule="auto"/>
        <w:ind w:left="709" w:right="709"/>
        <w:jc w:val="both"/>
        <w:rPr>
          <w:rFonts w:ascii="Verdana" w:eastAsia="Calibri" w:hAnsi="Verdana" w:cs="Arial"/>
          <w:sz w:val="21"/>
          <w:szCs w:val="21"/>
        </w:rPr>
      </w:pPr>
      <w:r w:rsidRPr="00C11001">
        <w:rPr>
          <w:rFonts w:ascii="Verdana" w:eastAsia="Calibri" w:hAnsi="Verdana" w:cs="Arial"/>
          <w:sz w:val="20"/>
          <w:szCs w:val="20"/>
        </w:rPr>
        <w:t xml:space="preserve">– Adicionalmente en esta categoría se recoge la llamada </w:t>
      </w:r>
      <w:r>
        <w:rPr>
          <w:rFonts w:ascii="Verdana" w:eastAsia="Calibri" w:hAnsi="Verdana" w:cs="Arial"/>
          <w:sz w:val="20"/>
          <w:szCs w:val="20"/>
        </w:rPr>
        <w:t>‘</w:t>
      </w:r>
      <w:r w:rsidRPr="00C11001">
        <w:rPr>
          <w:rFonts w:ascii="Verdana" w:eastAsia="Calibri" w:hAnsi="Verdana" w:cs="Arial"/>
          <w:sz w:val="20"/>
          <w:szCs w:val="20"/>
        </w:rPr>
        <w:t>menor cuantía</w:t>
      </w:r>
      <w:r>
        <w:rPr>
          <w:rFonts w:ascii="Verdana" w:eastAsia="Calibri" w:hAnsi="Verdana" w:cs="Arial"/>
          <w:sz w:val="20"/>
          <w:szCs w:val="20"/>
        </w:rPr>
        <w:t>’</w:t>
      </w:r>
      <w:r w:rsidRPr="00C11001">
        <w:rPr>
          <w:rFonts w:ascii="Verdana" w:eastAsia="Calibri" w:hAnsi="Verdana" w:cs="Arial"/>
          <w:sz w:val="20"/>
          <w:szCs w:val="20"/>
        </w:rPr>
        <w:t xml:space="preserve"> (sólo aplicable en lo sucesivo a bienes o servicios diferentes de los anteriores), así como otros procesos que por su naturaleza o circunstancias deben ser objeto de tratamiento expedido, tales como la defensa y seguridad nacional, entre otras”</w:t>
      </w:r>
      <w:r w:rsidRPr="00C11001">
        <w:rPr>
          <w:rStyle w:val="Refdenotaalpie"/>
          <w:rFonts w:ascii="Verdana" w:eastAsia="Calibri" w:hAnsi="Verdana" w:cs="Arial"/>
          <w:sz w:val="20"/>
          <w:szCs w:val="20"/>
        </w:rPr>
        <w:footnoteReference w:id="6"/>
      </w:r>
      <w:r w:rsidRPr="00C11001">
        <w:rPr>
          <w:rFonts w:ascii="Verdana" w:eastAsia="Calibri" w:hAnsi="Verdana" w:cs="Arial"/>
          <w:sz w:val="20"/>
          <w:szCs w:val="20"/>
        </w:rPr>
        <w:t>.</w:t>
      </w:r>
    </w:p>
    <w:p w14:paraId="2A2675A2" w14:textId="77777777" w:rsidR="005171FE" w:rsidRPr="007D48B0" w:rsidRDefault="005171FE" w:rsidP="005171FE">
      <w:pPr>
        <w:spacing w:after="0" w:line="276" w:lineRule="auto"/>
        <w:jc w:val="both"/>
        <w:rPr>
          <w:rFonts w:ascii="Verdana" w:eastAsia="Calibri" w:hAnsi="Verdana" w:cs="Arial"/>
        </w:rPr>
      </w:pPr>
    </w:p>
    <w:p w14:paraId="207B9D59" w14:textId="77777777" w:rsidR="005171FE" w:rsidRDefault="005171FE" w:rsidP="005171FE">
      <w:pPr>
        <w:spacing w:after="120" w:line="276" w:lineRule="auto"/>
        <w:ind w:firstLine="709"/>
        <w:jc w:val="both"/>
        <w:rPr>
          <w:rFonts w:ascii="Verdana" w:eastAsia="Calibri" w:hAnsi="Verdana" w:cs="Arial"/>
        </w:rPr>
      </w:pPr>
      <w:r w:rsidRPr="007D48B0">
        <w:rPr>
          <w:rFonts w:ascii="Verdana" w:eastAsia="Calibri" w:hAnsi="Verdana" w:cs="Arial"/>
        </w:rPr>
        <w:t xml:space="preserve">De esta manera, 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A continuación, el Decreto 1082 de 2015 desarrolla las causales, regulando el pliego de condiciones, el procedimiento, las etapas, entre otros. Según el Consejo de Estado, el propósito del legislador es </w:t>
      </w:r>
      <w:r>
        <w:rPr>
          <w:rFonts w:ascii="Verdana" w:eastAsia="Calibri" w:hAnsi="Verdana" w:cs="Arial"/>
        </w:rPr>
        <w:t>“</w:t>
      </w:r>
      <w:r w:rsidRPr="007D48B0">
        <w:rPr>
          <w:rFonts w:ascii="Verdana" w:eastAsia="Calibri" w:hAnsi="Verdana" w:cs="Arial"/>
        </w:rPr>
        <w:t>[…] proveer de mayor agilidad y eficiencia la contratación de algunos bienes o servicios, en los que es deseable la concurrencia de oferentes, pero no en los términos y condiciones de una licitación pública, sino de manera abreviada o, en términos de la ley, simplificada</w:t>
      </w:r>
      <w:r>
        <w:rPr>
          <w:rFonts w:ascii="Verdana" w:eastAsia="Calibri" w:hAnsi="Verdana" w:cs="Arial"/>
        </w:rPr>
        <w:t>”</w:t>
      </w:r>
      <w:r w:rsidRPr="007D48B0">
        <w:rPr>
          <w:rStyle w:val="Refdenotaalpie"/>
          <w:rFonts w:ascii="Verdana" w:eastAsia="Calibri" w:hAnsi="Verdana" w:cs="Arial"/>
        </w:rPr>
        <w:footnoteReference w:id="7"/>
      </w:r>
      <w:r w:rsidRPr="007D48B0">
        <w:rPr>
          <w:rFonts w:ascii="Verdana" w:eastAsia="Calibri" w:hAnsi="Verdana" w:cs="Arial"/>
        </w:rPr>
        <w:t xml:space="preserve">. </w:t>
      </w:r>
    </w:p>
    <w:p w14:paraId="41501C79" w14:textId="77777777" w:rsidR="005171FE" w:rsidRDefault="005171FE" w:rsidP="005171FE">
      <w:pPr>
        <w:spacing w:after="0" w:line="276" w:lineRule="auto"/>
        <w:ind w:firstLine="708"/>
        <w:jc w:val="both"/>
        <w:rPr>
          <w:rFonts w:ascii="Verdana" w:eastAsia="Calibri" w:hAnsi="Verdana" w:cs="Arial"/>
          <w:color w:val="000000" w:themeColor="text1"/>
          <w:lang w:val="es-MX"/>
        </w:rPr>
      </w:pPr>
      <w:r w:rsidRPr="007D48B0">
        <w:rPr>
          <w:rFonts w:ascii="Verdana" w:eastAsia="Calibri" w:hAnsi="Verdana" w:cs="Arial"/>
          <w:color w:val="000000" w:themeColor="text1"/>
          <w:lang w:val="es-MX"/>
        </w:rPr>
        <w:t>Conforme al literal b) del artículo 2.2 de la Ley 1150 de 2007, una de las causales de selección abreviada es la de menor cuantía. Esta se refiere a los procesos contractuales cuyo su valor es inferior a los topes que la norma señala respecto de su presupuesto anual, y se desarrolla en el Decreto único Reglamentario del Sector Planeación donde se establece su procedimiento</w:t>
      </w:r>
      <w:r>
        <w:rPr>
          <w:rFonts w:ascii="Verdana" w:eastAsia="Calibri" w:hAnsi="Verdana" w:cs="Arial"/>
          <w:color w:val="000000" w:themeColor="text1"/>
          <w:lang w:val="es-MX"/>
        </w:rPr>
        <w:t xml:space="preserve">. </w:t>
      </w:r>
      <w:r>
        <w:rPr>
          <w:rFonts w:ascii="Verdana" w:eastAsia="Calibri" w:hAnsi="Verdana" w:cs="Arial"/>
          <w:color w:val="000000" w:themeColor="text1"/>
          <w:lang w:val="es-MX"/>
        </w:rPr>
        <w:lastRenderedPageBreak/>
        <w:t>Conforme a la norma precitada, los rangos de la menor cuantía son los siguientes:</w:t>
      </w:r>
    </w:p>
    <w:p w14:paraId="39613030" w14:textId="77777777" w:rsidR="005171FE" w:rsidRDefault="005171FE" w:rsidP="005171FE">
      <w:pPr>
        <w:spacing w:after="0" w:line="276" w:lineRule="auto"/>
        <w:ind w:firstLine="708"/>
        <w:jc w:val="both"/>
        <w:rPr>
          <w:rFonts w:ascii="Verdana" w:eastAsia="Calibri" w:hAnsi="Verdana" w:cs="Arial"/>
          <w:color w:val="000000" w:themeColor="text1"/>
          <w:lang w:val="es-MX"/>
        </w:rPr>
      </w:pPr>
    </w:p>
    <w:p w14:paraId="6082804C" w14:textId="77777777" w:rsidR="005171FE" w:rsidRPr="00A14076" w:rsidRDefault="005171FE" w:rsidP="005171FE">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t>“[…]</w:t>
      </w:r>
    </w:p>
    <w:p w14:paraId="0980BBCE" w14:textId="77777777" w:rsidR="005171FE" w:rsidRPr="00A14076" w:rsidRDefault="005171FE" w:rsidP="005171FE">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t>Para las entidades que tengan un presupuesto anual superior o igual a 1.200.000 salarios mínimos legales mensuales, la menor cuantía será hasta 1.000 salarios mínimos legales mensuales.</w:t>
      </w:r>
    </w:p>
    <w:p w14:paraId="2AB1794C" w14:textId="77777777" w:rsidR="005171FE" w:rsidRPr="00A14076" w:rsidRDefault="005171FE" w:rsidP="005171FE">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t>Las que tengan un presupuesto anual superior o igual a 850.000 salarios mínimos legales mensuales e inferiores a 1.200.000 salarios mínimos legales mensuales, la menor cuantía será hasta 850 salarios mínimos legales mensuales.</w:t>
      </w:r>
    </w:p>
    <w:p w14:paraId="75871992" w14:textId="77777777" w:rsidR="005171FE" w:rsidRPr="00A14076" w:rsidRDefault="005171FE" w:rsidP="005171FE">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t>Las que tengan un presupuesto anual superior o igual a 400.000 salarios mínimos legales mensuales e inferior a 850.000 salarios mínimos legales mensuales, la menor cuantía será hasta 650 salarios mínimos legales mensuales.</w:t>
      </w:r>
    </w:p>
    <w:p w14:paraId="5AECE262" w14:textId="77777777" w:rsidR="005171FE" w:rsidRPr="00A14076" w:rsidRDefault="005171FE" w:rsidP="005171FE">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t>Las que tengan un presupuesto anual superior o igual a 120.000 salarios mínimos legales mensuales e inferior a 400.000 salarios mínimos legales mensuales, la menor cuantía será hasta 450 salarios mínimos legales mensuales.</w:t>
      </w:r>
    </w:p>
    <w:p w14:paraId="4CB5BC77" w14:textId="77777777" w:rsidR="005171FE" w:rsidRPr="00A14076" w:rsidRDefault="005171FE" w:rsidP="005171FE">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t>Las que tengan un presupuesto anual inferior a 120.000 salarios mínimos legales mensuales, la menor cuantía será hasta 280 salarios mínimos legales mensuales;</w:t>
      </w:r>
    </w:p>
    <w:p w14:paraId="730C0C86" w14:textId="77777777" w:rsidR="005171FE" w:rsidRDefault="005171FE" w:rsidP="005171FE">
      <w:pPr>
        <w:spacing w:after="0" w:line="240" w:lineRule="auto"/>
        <w:ind w:left="709" w:right="709"/>
        <w:jc w:val="both"/>
        <w:rPr>
          <w:rFonts w:ascii="Verdana" w:hAnsi="Verdana" w:cs="Arial"/>
          <w:color w:val="000000" w:themeColor="text1"/>
        </w:rPr>
      </w:pPr>
      <w:r w:rsidRPr="00A14076">
        <w:rPr>
          <w:rFonts w:ascii="Verdana" w:hAnsi="Verdana" w:cs="Arial"/>
          <w:color w:val="000000" w:themeColor="text1"/>
          <w:sz w:val="20"/>
          <w:szCs w:val="20"/>
        </w:rPr>
        <w:t>[…]”.</w:t>
      </w:r>
    </w:p>
    <w:p w14:paraId="30497514" w14:textId="77777777" w:rsidR="005171FE" w:rsidRDefault="005171FE" w:rsidP="005171FE">
      <w:pPr>
        <w:spacing w:after="0" w:line="276" w:lineRule="auto"/>
        <w:jc w:val="both"/>
        <w:rPr>
          <w:rFonts w:ascii="Verdana" w:hAnsi="Verdana" w:cs="Arial"/>
          <w:color w:val="000000" w:themeColor="text1"/>
        </w:rPr>
      </w:pPr>
    </w:p>
    <w:p w14:paraId="0D1D589C" w14:textId="77777777" w:rsidR="005171FE" w:rsidRDefault="005171FE" w:rsidP="005171FE">
      <w:pPr>
        <w:pStyle w:val="Textoindependiente"/>
        <w:ind w:firstLine="709"/>
        <w:jc w:val="both"/>
        <w:rPr>
          <w:rFonts w:ascii="Verdana" w:hAnsi="Verdana"/>
        </w:rPr>
      </w:pPr>
      <w:r>
        <w:rPr>
          <w:rFonts w:ascii="Verdana" w:hAnsi="Verdana" w:cs="Arial"/>
          <w:color w:val="000000" w:themeColor="text1"/>
        </w:rPr>
        <w:t xml:space="preserve">Asimismo, </w:t>
      </w:r>
      <w:r w:rsidRPr="008E1809">
        <w:rPr>
          <w:rFonts w:ascii="Verdana" w:eastAsia="Calibri" w:hAnsi="Verdana" w:cs="Arial"/>
          <w:color w:val="000000" w:themeColor="text1"/>
        </w:rPr>
        <w:t xml:space="preserve">es necesario tener en cuenta que </w:t>
      </w:r>
      <w:r>
        <w:rPr>
          <w:rFonts w:ascii="Verdana" w:eastAsia="Calibri" w:hAnsi="Verdana" w:cs="Arial"/>
          <w:color w:val="000000" w:themeColor="text1"/>
        </w:rPr>
        <w:t>e</w:t>
      </w:r>
      <w:r w:rsidRPr="008E1809">
        <w:rPr>
          <w:rFonts w:ascii="Verdana" w:hAnsi="Verdana"/>
        </w:rPr>
        <w:t>l artículo 30 de la Ley 2069 de 2020 modifica el numeral 5 del artículo 2 de la</w:t>
      </w:r>
      <w:r w:rsidRPr="008E1809">
        <w:rPr>
          <w:rFonts w:ascii="Verdana" w:hAnsi="Verdana"/>
          <w:spacing w:val="1"/>
        </w:rPr>
        <w:t xml:space="preserve"> </w:t>
      </w:r>
      <w:r w:rsidRPr="008E1809">
        <w:rPr>
          <w:rFonts w:ascii="Verdana" w:hAnsi="Verdana"/>
        </w:rPr>
        <w:t>Ley</w:t>
      </w:r>
      <w:r w:rsidRPr="008E1809">
        <w:rPr>
          <w:rFonts w:ascii="Verdana" w:hAnsi="Verdana"/>
          <w:spacing w:val="-3"/>
        </w:rPr>
        <w:t xml:space="preserve"> </w:t>
      </w:r>
      <w:r w:rsidRPr="008E1809">
        <w:rPr>
          <w:rFonts w:ascii="Verdana" w:hAnsi="Verdana"/>
        </w:rPr>
        <w:t>1150</w:t>
      </w:r>
      <w:r w:rsidRPr="008E1809">
        <w:rPr>
          <w:rFonts w:ascii="Verdana" w:hAnsi="Verdana"/>
          <w:spacing w:val="-2"/>
        </w:rPr>
        <w:t xml:space="preserve"> </w:t>
      </w:r>
      <w:r w:rsidRPr="008E1809">
        <w:rPr>
          <w:rFonts w:ascii="Verdana" w:hAnsi="Verdana"/>
        </w:rPr>
        <w:t>de</w:t>
      </w:r>
      <w:r w:rsidRPr="008E1809">
        <w:rPr>
          <w:rFonts w:ascii="Verdana" w:hAnsi="Verdana"/>
          <w:spacing w:val="-2"/>
        </w:rPr>
        <w:t xml:space="preserve"> </w:t>
      </w:r>
      <w:r w:rsidRPr="008E1809">
        <w:rPr>
          <w:rFonts w:ascii="Verdana" w:hAnsi="Verdana"/>
        </w:rPr>
        <w:t>2007,</w:t>
      </w:r>
      <w:r w:rsidRPr="008E1809">
        <w:rPr>
          <w:rFonts w:ascii="Verdana" w:hAnsi="Verdana"/>
          <w:spacing w:val="-2"/>
        </w:rPr>
        <w:t xml:space="preserve"> </w:t>
      </w:r>
      <w:r w:rsidRPr="008E1809">
        <w:rPr>
          <w:rFonts w:ascii="Verdana" w:hAnsi="Verdana"/>
        </w:rPr>
        <w:t>el</w:t>
      </w:r>
      <w:r w:rsidRPr="008E1809">
        <w:rPr>
          <w:rFonts w:ascii="Verdana" w:hAnsi="Verdana"/>
          <w:spacing w:val="-3"/>
        </w:rPr>
        <w:t xml:space="preserve"> </w:t>
      </w:r>
      <w:r w:rsidRPr="008E1809">
        <w:rPr>
          <w:rFonts w:ascii="Verdana" w:hAnsi="Verdana"/>
        </w:rPr>
        <w:t>cual</w:t>
      </w:r>
      <w:r w:rsidRPr="008E1809">
        <w:rPr>
          <w:rFonts w:ascii="Verdana" w:hAnsi="Verdana"/>
          <w:spacing w:val="-2"/>
        </w:rPr>
        <w:t xml:space="preserve"> </w:t>
      </w:r>
      <w:r w:rsidRPr="008E1809">
        <w:rPr>
          <w:rFonts w:ascii="Verdana" w:hAnsi="Verdana"/>
        </w:rPr>
        <w:t>regula</w:t>
      </w:r>
      <w:r w:rsidRPr="008E1809">
        <w:rPr>
          <w:rFonts w:ascii="Verdana" w:hAnsi="Verdana"/>
          <w:spacing w:val="-2"/>
        </w:rPr>
        <w:t xml:space="preserve"> </w:t>
      </w:r>
      <w:r w:rsidRPr="008E1809">
        <w:rPr>
          <w:rFonts w:ascii="Verdana" w:hAnsi="Verdana"/>
        </w:rPr>
        <w:t>la</w:t>
      </w:r>
      <w:r w:rsidRPr="008E1809">
        <w:rPr>
          <w:rFonts w:ascii="Verdana" w:hAnsi="Verdana"/>
          <w:spacing w:val="-2"/>
        </w:rPr>
        <w:t xml:space="preserve"> </w:t>
      </w:r>
      <w:r w:rsidRPr="008E1809">
        <w:rPr>
          <w:rFonts w:ascii="Verdana" w:hAnsi="Verdana"/>
        </w:rPr>
        <w:t>mínima</w:t>
      </w:r>
      <w:r w:rsidRPr="008E1809">
        <w:rPr>
          <w:rFonts w:ascii="Verdana" w:hAnsi="Verdana"/>
          <w:spacing w:val="-3"/>
        </w:rPr>
        <w:t xml:space="preserve"> </w:t>
      </w:r>
      <w:r w:rsidRPr="008E1809">
        <w:rPr>
          <w:rFonts w:ascii="Verdana" w:hAnsi="Verdana"/>
        </w:rPr>
        <w:t>cuantía.</w:t>
      </w:r>
      <w:r w:rsidRPr="008E1809">
        <w:rPr>
          <w:rFonts w:ascii="Verdana" w:hAnsi="Verdana"/>
          <w:spacing w:val="-2"/>
        </w:rPr>
        <w:t xml:space="preserve"> </w:t>
      </w:r>
      <w:r w:rsidRPr="008E1809">
        <w:rPr>
          <w:rFonts w:ascii="Verdana" w:hAnsi="Verdana"/>
        </w:rPr>
        <w:t>En</w:t>
      </w:r>
      <w:r>
        <w:rPr>
          <w:rFonts w:ascii="Verdana" w:hAnsi="Verdana"/>
          <w:spacing w:val="-2"/>
        </w:rPr>
        <w:t xml:space="preserve"> </w:t>
      </w:r>
      <w:r w:rsidRPr="008E1809">
        <w:rPr>
          <w:rFonts w:ascii="Verdana" w:hAnsi="Verdana"/>
        </w:rPr>
        <w:t>esta</w:t>
      </w:r>
      <w:r w:rsidRPr="008E1809">
        <w:rPr>
          <w:rFonts w:ascii="Verdana" w:hAnsi="Verdana"/>
          <w:spacing w:val="-2"/>
        </w:rPr>
        <w:t xml:space="preserve"> </w:t>
      </w:r>
      <w:r w:rsidRPr="008E1809">
        <w:rPr>
          <w:rFonts w:ascii="Verdana" w:hAnsi="Verdana"/>
        </w:rPr>
        <w:t>modalidad</w:t>
      </w:r>
      <w:r w:rsidRPr="008E1809">
        <w:rPr>
          <w:rFonts w:ascii="Verdana" w:hAnsi="Verdana"/>
          <w:spacing w:val="-2"/>
        </w:rPr>
        <w:t xml:space="preserve"> </w:t>
      </w:r>
      <w:r w:rsidRPr="008E1809">
        <w:rPr>
          <w:rFonts w:ascii="Verdana" w:hAnsi="Verdana"/>
        </w:rPr>
        <w:t>de</w:t>
      </w:r>
      <w:r w:rsidRPr="008E1809">
        <w:rPr>
          <w:rFonts w:ascii="Verdana" w:hAnsi="Verdana"/>
          <w:spacing w:val="-3"/>
        </w:rPr>
        <w:t xml:space="preserve"> </w:t>
      </w:r>
      <w:r w:rsidRPr="008E1809">
        <w:rPr>
          <w:rFonts w:ascii="Verdana" w:hAnsi="Verdana"/>
        </w:rPr>
        <w:t>selección,</w:t>
      </w:r>
      <w:r w:rsidRPr="008E1809">
        <w:rPr>
          <w:rFonts w:ascii="Verdana" w:hAnsi="Verdana"/>
          <w:spacing w:val="-2"/>
        </w:rPr>
        <w:t xml:space="preserve"> </w:t>
      </w:r>
      <w:r w:rsidRPr="008E1809">
        <w:rPr>
          <w:rFonts w:ascii="Verdana" w:hAnsi="Verdana"/>
        </w:rPr>
        <w:t>la</w:t>
      </w:r>
      <w:r w:rsidRPr="008E1809">
        <w:rPr>
          <w:rFonts w:ascii="Verdana" w:hAnsi="Verdana"/>
          <w:spacing w:val="-59"/>
        </w:rPr>
        <w:t xml:space="preserve"> </w:t>
      </w:r>
      <w:r w:rsidRPr="008E1809">
        <w:rPr>
          <w:rFonts w:ascii="Verdana" w:hAnsi="Verdana"/>
        </w:rPr>
        <w:t>entidad</w:t>
      </w:r>
      <w:r w:rsidRPr="008E1809">
        <w:rPr>
          <w:rFonts w:ascii="Verdana" w:hAnsi="Verdana"/>
          <w:spacing w:val="-15"/>
        </w:rPr>
        <w:t xml:space="preserve"> </w:t>
      </w:r>
      <w:r w:rsidRPr="008E1809">
        <w:rPr>
          <w:rFonts w:ascii="Verdana" w:hAnsi="Verdana"/>
        </w:rPr>
        <w:t>estatal</w:t>
      </w:r>
      <w:r w:rsidRPr="008E1809">
        <w:rPr>
          <w:rFonts w:ascii="Verdana" w:hAnsi="Verdana"/>
          <w:spacing w:val="-15"/>
        </w:rPr>
        <w:t xml:space="preserve"> </w:t>
      </w:r>
      <w:r w:rsidRPr="008E1809">
        <w:rPr>
          <w:rFonts w:ascii="Verdana" w:hAnsi="Verdana"/>
        </w:rPr>
        <w:t>realiza</w:t>
      </w:r>
      <w:r w:rsidRPr="008E1809">
        <w:rPr>
          <w:rFonts w:ascii="Verdana" w:hAnsi="Verdana"/>
          <w:spacing w:val="-15"/>
        </w:rPr>
        <w:t xml:space="preserve"> </w:t>
      </w:r>
      <w:r w:rsidRPr="008E1809">
        <w:rPr>
          <w:rFonts w:ascii="Verdana" w:hAnsi="Verdana"/>
        </w:rPr>
        <w:t>una</w:t>
      </w:r>
      <w:r w:rsidRPr="008E1809">
        <w:rPr>
          <w:rFonts w:ascii="Verdana" w:hAnsi="Verdana"/>
          <w:spacing w:val="-14"/>
        </w:rPr>
        <w:t xml:space="preserve"> </w:t>
      </w:r>
      <w:r w:rsidRPr="008E1809">
        <w:rPr>
          <w:rFonts w:ascii="Verdana" w:hAnsi="Verdana"/>
        </w:rPr>
        <w:t>convocatoria</w:t>
      </w:r>
      <w:r w:rsidRPr="008E1809">
        <w:rPr>
          <w:rFonts w:ascii="Verdana" w:hAnsi="Verdana"/>
          <w:spacing w:val="-15"/>
        </w:rPr>
        <w:t xml:space="preserve"> </w:t>
      </w:r>
      <w:r w:rsidRPr="008E1809">
        <w:rPr>
          <w:rFonts w:ascii="Verdana" w:hAnsi="Verdana"/>
        </w:rPr>
        <w:t>pública</w:t>
      </w:r>
      <w:r w:rsidRPr="008E1809">
        <w:rPr>
          <w:rFonts w:ascii="Verdana" w:hAnsi="Verdana"/>
          <w:spacing w:val="-15"/>
        </w:rPr>
        <w:t xml:space="preserve"> </w:t>
      </w:r>
      <w:r w:rsidRPr="008E1809">
        <w:rPr>
          <w:rFonts w:ascii="Verdana" w:hAnsi="Verdana"/>
        </w:rPr>
        <w:t>para</w:t>
      </w:r>
      <w:r w:rsidRPr="008E1809">
        <w:rPr>
          <w:rFonts w:ascii="Verdana" w:hAnsi="Verdana"/>
          <w:spacing w:val="-15"/>
        </w:rPr>
        <w:t xml:space="preserve"> </w:t>
      </w:r>
      <w:r w:rsidRPr="008E1809">
        <w:rPr>
          <w:rFonts w:ascii="Verdana" w:hAnsi="Verdana"/>
        </w:rPr>
        <w:t>recibir</w:t>
      </w:r>
      <w:r w:rsidRPr="008E1809">
        <w:rPr>
          <w:rFonts w:ascii="Verdana" w:hAnsi="Verdana"/>
          <w:spacing w:val="-14"/>
        </w:rPr>
        <w:t xml:space="preserve"> </w:t>
      </w:r>
      <w:r w:rsidRPr="008E1809">
        <w:rPr>
          <w:rFonts w:ascii="Verdana" w:hAnsi="Verdana"/>
        </w:rPr>
        <w:t>ofertas</w:t>
      </w:r>
      <w:r w:rsidRPr="008E1809">
        <w:rPr>
          <w:rFonts w:ascii="Verdana" w:hAnsi="Verdana"/>
          <w:spacing w:val="-15"/>
        </w:rPr>
        <w:t xml:space="preserve"> </w:t>
      </w:r>
      <w:r w:rsidRPr="008E1809">
        <w:rPr>
          <w:rFonts w:ascii="Verdana" w:hAnsi="Verdana"/>
        </w:rPr>
        <w:t>de</w:t>
      </w:r>
      <w:r w:rsidRPr="008E1809">
        <w:rPr>
          <w:rFonts w:ascii="Verdana" w:hAnsi="Verdana"/>
          <w:spacing w:val="-15"/>
        </w:rPr>
        <w:t xml:space="preserve"> </w:t>
      </w:r>
      <w:r w:rsidRPr="008E1809">
        <w:rPr>
          <w:rFonts w:ascii="Verdana" w:hAnsi="Verdana"/>
        </w:rPr>
        <w:t>bienes</w:t>
      </w:r>
      <w:r w:rsidRPr="008E1809">
        <w:rPr>
          <w:rFonts w:ascii="Verdana" w:hAnsi="Verdana"/>
          <w:spacing w:val="-15"/>
        </w:rPr>
        <w:t xml:space="preserve"> </w:t>
      </w:r>
      <w:r w:rsidRPr="008E1809">
        <w:rPr>
          <w:rFonts w:ascii="Verdana" w:hAnsi="Verdana"/>
        </w:rPr>
        <w:t>o</w:t>
      </w:r>
      <w:r w:rsidRPr="008E1809">
        <w:rPr>
          <w:rFonts w:ascii="Verdana" w:hAnsi="Verdana"/>
          <w:spacing w:val="-14"/>
        </w:rPr>
        <w:t xml:space="preserve"> </w:t>
      </w:r>
      <w:r w:rsidRPr="008E1809">
        <w:rPr>
          <w:rFonts w:ascii="Verdana" w:hAnsi="Verdana"/>
        </w:rPr>
        <w:t>servicios</w:t>
      </w:r>
      <w:r w:rsidRPr="008E1809">
        <w:rPr>
          <w:rFonts w:ascii="Verdana" w:hAnsi="Verdana"/>
          <w:spacing w:val="-59"/>
        </w:rPr>
        <w:t xml:space="preserve"> </w:t>
      </w:r>
      <w:r w:rsidRPr="008E1809">
        <w:rPr>
          <w:rFonts w:ascii="Verdana" w:hAnsi="Verdana"/>
        </w:rPr>
        <w:t>cuyo valor no excede el diez por ciento –10%– de la menor cuantía. Fue creada por el</w:t>
      </w:r>
      <w:r w:rsidRPr="008E1809">
        <w:rPr>
          <w:rFonts w:ascii="Verdana" w:hAnsi="Verdana"/>
          <w:spacing w:val="1"/>
        </w:rPr>
        <w:t xml:space="preserve"> </w:t>
      </w:r>
      <w:r w:rsidRPr="008E1809">
        <w:rPr>
          <w:rFonts w:ascii="Verdana" w:hAnsi="Verdana"/>
        </w:rPr>
        <w:t>artículo 274 de la Ley 1450 de 2011 y modificada por el artículo 94 de la Ley 1474 de</w:t>
      </w:r>
      <w:r w:rsidRPr="008E1809">
        <w:rPr>
          <w:rFonts w:ascii="Verdana" w:hAnsi="Verdana"/>
          <w:spacing w:val="1"/>
        </w:rPr>
        <w:t xml:space="preserve"> </w:t>
      </w:r>
      <w:r w:rsidRPr="008E1809">
        <w:rPr>
          <w:rFonts w:ascii="Verdana" w:hAnsi="Verdana"/>
        </w:rPr>
        <w:t>2011,</w:t>
      </w:r>
      <w:r w:rsidRPr="008E1809">
        <w:rPr>
          <w:rFonts w:ascii="Verdana" w:hAnsi="Verdana"/>
          <w:spacing w:val="1"/>
        </w:rPr>
        <w:t xml:space="preserve"> </w:t>
      </w:r>
      <w:r w:rsidRPr="008E1809">
        <w:rPr>
          <w:rFonts w:ascii="Verdana" w:hAnsi="Verdana"/>
        </w:rPr>
        <w:t>disponiendo</w:t>
      </w:r>
      <w:r w:rsidRPr="008E1809">
        <w:rPr>
          <w:rFonts w:ascii="Verdana" w:hAnsi="Verdana"/>
          <w:spacing w:val="1"/>
        </w:rPr>
        <w:t xml:space="preserve"> </w:t>
      </w:r>
      <w:r w:rsidRPr="008E1809">
        <w:rPr>
          <w:rFonts w:ascii="Verdana" w:hAnsi="Verdana"/>
        </w:rPr>
        <w:t>que</w:t>
      </w:r>
      <w:r w:rsidRPr="008E1809">
        <w:rPr>
          <w:rFonts w:ascii="Verdana" w:hAnsi="Verdana"/>
          <w:spacing w:val="1"/>
        </w:rPr>
        <w:t xml:space="preserve"> </w:t>
      </w:r>
      <w:r w:rsidRPr="008E1809">
        <w:rPr>
          <w:rFonts w:ascii="Verdana" w:hAnsi="Verdana"/>
        </w:rPr>
        <w:t>el</w:t>
      </w:r>
      <w:r w:rsidRPr="008E1809">
        <w:rPr>
          <w:rFonts w:ascii="Verdana" w:hAnsi="Verdana"/>
          <w:spacing w:val="1"/>
        </w:rPr>
        <w:t xml:space="preserve"> </w:t>
      </w:r>
      <w:r w:rsidRPr="008E1809">
        <w:rPr>
          <w:rFonts w:ascii="Verdana" w:hAnsi="Verdana"/>
        </w:rPr>
        <w:t>factor</w:t>
      </w:r>
      <w:r w:rsidRPr="008E1809">
        <w:rPr>
          <w:rFonts w:ascii="Verdana" w:hAnsi="Verdana"/>
          <w:spacing w:val="1"/>
        </w:rPr>
        <w:t xml:space="preserve"> </w:t>
      </w:r>
      <w:r w:rsidRPr="008E1809">
        <w:rPr>
          <w:rFonts w:ascii="Verdana" w:hAnsi="Verdana"/>
        </w:rPr>
        <w:t>determinante</w:t>
      </w:r>
      <w:r w:rsidRPr="008E1809">
        <w:rPr>
          <w:rFonts w:ascii="Verdana" w:hAnsi="Verdana"/>
          <w:spacing w:val="1"/>
        </w:rPr>
        <w:t xml:space="preserve"> </w:t>
      </w:r>
      <w:r w:rsidRPr="008E1809">
        <w:rPr>
          <w:rFonts w:ascii="Verdana" w:hAnsi="Verdana"/>
        </w:rPr>
        <w:t>para</w:t>
      </w:r>
      <w:r w:rsidRPr="008E1809">
        <w:rPr>
          <w:rFonts w:ascii="Verdana" w:hAnsi="Verdana"/>
          <w:spacing w:val="1"/>
        </w:rPr>
        <w:t xml:space="preserve"> </w:t>
      </w:r>
      <w:r w:rsidRPr="008E1809">
        <w:rPr>
          <w:rFonts w:ascii="Verdana" w:hAnsi="Verdana"/>
        </w:rPr>
        <w:t>adelantarla</w:t>
      </w:r>
      <w:r w:rsidRPr="008E1809">
        <w:rPr>
          <w:rFonts w:ascii="Verdana" w:hAnsi="Verdana"/>
          <w:spacing w:val="1"/>
        </w:rPr>
        <w:t xml:space="preserve"> </w:t>
      </w:r>
      <w:r w:rsidRPr="008E1809">
        <w:rPr>
          <w:rFonts w:ascii="Verdana" w:hAnsi="Verdana"/>
        </w:rPr>
        <w:t>es</w:t>
      </w:r>
      <w:r w:rsidRPr="008E1809">
        <w:rPr>
          <w:rFonts w:ascii="Verdana" w:hAnsi="Verdana"/>
          <w:spacing w:val="1"/>
        </w:rPr>
        <w:t xml:space="preserve"> </w:t>
      </w:r>
      <w:r w:rsidRPr="008E1809">
        <w:rPr>
          <w:rFonts w:ascii="Verdana" w:hAnsi="Verdana"/>
        </w:rPr>
        <w:t>el</w:t>
      </w:r>
      <w:r w:rsidRPr="008E1809">
        <w:rPr>
          <w:rFonts w:ascii="Verdana" w:hAnsi="Verdana"/>
          <w:spacing w:val="1"/>
        </w:rPr>
        <w:t xml:space="preserve"> </w:t>
      </w:r>
      <w:r w:rsidRPr="008E1809">
        <w:rPr>
          <w:rFonts w:ascii="Verdana" w:hAnsi="Verdana"/>
        </w:rPr>
        <w:t>valor</w:t>
      </w:r>
      <w:r w:rsidRPr="008E1809">
        <w:rPr>
          <w:rFonts w:ascii="Verdana" w:hAnsi="Verdana"/>
          <w:spacing w:val="1"/>
        </w:rPr>
        <w:t xml:space="preserve"> </w:t>
      </w:r>
      <w:r w:rsidRPr="008E1809">
        <w:rPr>
          <w:rFonts w:ascii="Verdana" w:hAnsi="Verdana"/>
        </w:rPr>
        <w:t>del</w:t>
      </w:r>
      <w:r w:rsidRPr="008E1809">
        <w:rPr>
          <w:rFonts w:ascii="Verdana" w:hAnsi="Verdana"/>
          <w:spacing w:val="1"/>
        </w:rPr>
        <w:t xml:space="preserve"> </w:t>
      </w:r>
      <w:r w:rsidRPr="008E1809">
        <w:rPr>
          <w:rFonts w:ascii="Verdana" w:hAnsi="Verdana"/>
        </w:rPr>
        <w:t>presupuesto oficial con independencia de su objeto. Por lo demás, como en este</w:t>
      </w:r>
      <w:r w:rsidRPr="008E1809">
        <w:rPr>
          <w:rFonts w:ascii="Verdana" w:hAnsi="Verdana"/>
          <w:spacing w:val="1"/>
        </w:rPr>
        <w:t xml:space="preserve"> </w:t>
      </w:r>
      <w:r w:rsidRPr="008E1809">
        <w:rPr>
          <w:rFonts w:ascii="Verdana" w:hAnsi="Verdana"/>
        </w:rPr>
        <w:t>procedimiento</w:t>
      </w:r>
      <w:r w:rsidRPr="008E1809">
        <w:rPr>
          <w:rFonts w:ascii="Verdana" w:hAnsi="Verdana"/>
          <w:spacing w:val="-9"/>
        </w:rPr>
        <w:t xml:space="preserve"> </w:t>
      </w:r>
      <w:r w:rsidRPr="008E1809">
        <w:rPr>
          <w:rFonts w:ascii="Verdana" w:hAnsi="Verdana"/>
        </w:rPr>
        <w:t>el</w:t>
      </w:r>
      <w:r w:rsidRPr="008E1809">
        <w:rPr>
          <w:rFonts w:ascii="Verdana" w:hAnsi="Verdana"/>
          <w:spacing w:val="-9"/>
        </w:rPr>
        <w:t xml:space="preserve"> </w:t>
      </w:r>
      <w:r w:rsidRPr="008E1809">
        <w:rPr>
          <w:rFonts w:ascii="Verdana" w:hAnsi="Verdana"/>
        </w:rPr>
        <w:t>contrato</w:t>
      </w:r>
      <w:r w:rsidRPr="008E1809">
        <w:rPr>
          <w:rFonts w:ascii="Verdana" w:hAnsi="Verdana"/>
          <w:spacing w:val="-9"/>
        </w:rPr>
        <w:t xml:space="preserve"> </w:t>
      </w:r>
      <w:r w:rsidRPr="008E1809">
        <w:rPr>
          <w:rFonts w:ascii="Verdana" w:hAnsi="Verdana"/>
        </w:rPr>
        <w:t>se</w:t>
      </w:r>
      <w:r w:rsidRPr="008E1809">
        <w:rPr>
          <w:rFonts w:ascii="Verdana" w:hAnsi="Verdana"/>
          <w:spacing w:val="-9"/>
        </w:rPr>
        <w:t xml:space="preserve"> </w:t>
      </w:r>
      <w:r w:rsidRPr="008E1809">
        <w:rPr>
          <w:rFonts w:ascii="Verdana" w:hAnsi="Verdana"/>
        </w:rPr>
        <w:t>perfecciona</w:t>
      </w:r>
      <w:r w:rsidRPr="008E1809">
        <w:rPr>
          <w:rFonts w:ascii="Verdana" w:hAnsi="Verdana"/>
          <w:spacing w:val="-8"/>
        </w:rPr>
        <w:t xml:space="preserve"> </w:t>
      </w:r>
      <w:r w:rsidRPr="008E1809">
        <w:rPr>
          <w:rFonts w:ascii="Verdana" w:hAnsi="Verdana"/>
        </w:rPr>
        <w:t>con</w:t>
      </w:r>
      <w:r w:rsidRPr="008E1809">
        <w:rPr>
          <w:rFonts w:ascii="Verdana" w:hAnsi="Verdana"/>
          <w:spacing w:val="-9"/>
        </w:rPr>
        <w:t xml:space="preserve"> </w:t>
      </w:r>
      <w:r w:rsidRPr="008E1809">
        <w:rPr>
          <w:rFonts w:ascii="Verdana" w:hAnsi="Verdana"/>
        </w:rPr>
        <w:t>la</w:t>
      </w:r>
      <w:r w:rsidRPr="008E1809">
        <w:rPr>
          <w:rFonts w:ascii="Verdana" w:hAnsi="Verdana"/>
          <w:spacing w:val="-9"/>
        </w:rPr>
        <w:t xml:space="preserve"> </w:t>
      </w:r>
      <w:r w:rsidRPr="008E1809">
        <w:rPr>
          <w:rFonts w:ascii="Verdana" w:hAnsi="Verdana"/>
        </w:rPr>
        <w:t>aceptación</w:t>
      </w:r>
      <w:r w:rsidRPr="008E1809">
        <w:rPr>
          <w:rFonts w:ascii="Verdana" w:hAnsi="Verdana"/>
          <w:spacing w:val="-8"/>
        </w:rPr>
        <w:t xml:space="preserve"> </w:t>
      </w:r>
      <w:r w:rsidRPr="008E1809">
        <w:rPr>
          <w:rFonts w:ascii="Verdana" w:hAnsi="Verdana"/>
        </w:rPr>
        <w:t>de</w:t>
      </w:r>
      <w:r w:rsidRPr="008E1809">
        <w:rPr>
          <w:rFonts w:ascii="Verdana" w:hAnsi="Verdana"/>
          <w:spacing w:val="-9"/>
        </w:rPr>
        <w:t xml:space="preserve"> </w:t>
      </w:r>
      <w:r w:rsidRPr="008E1809">
        <w:rPr>
          <w:rFonts w:ascii="Verdana" w:hAnsi="Verdana"/>
        </w:rPr>
        <w:t>la</w:t>
      </w:r>
      <w:r w:rsidRPr="008E1809">
        <w:rPr>
          <w:rFonts w:ascii="Verdana" w:hAnsi="Verdana"/>
          <w:spacing w:val="-9"/>
        </w:rPr>
        <w:t xml:space="preserve"> </w:t>
      </w:r>
      <w:r w:rsidRPr="008E1809">
        <w:rPr>
          <w:rFonts w:ascii="Verdana" w:hAnsi="Verdana"/>
        </w:rPr>
        <w:t>oferta,</w:t>
      </w:r>
      <w:r w:rsidRPr="008E1809">
        <w:rPr>
          <w:rFonts w:ascii="Verdana" w:hAnsi="Verdana"/>
          <w:spacing w:val="-9"/>
        </w:rPr>
        <w:t xml:space="preserve"> </w:t>
      </w:r>
      <w:r w:rsidRPr="008E1809">
        <w:rPr>
          <w:rFonts w:ascii="Verdana" w:hAnsi="Verdana"/>
        </w:rPr>
        <w:t>se</w:t>
      </w:r>
      <w:r w:rsidRPr="008E1809">
        <w:rPr>
          <w:rFonts w:ascii="Verdana" w:hAnsi="Verdana"/>
          <w:spacing w:val="-10"/>
        </w:rPr>
        <w:t xml:space="preserve"> </w:t>
      </w:r>
      <w:r w:rsidRPr="008E1809">
        <w:rPr>
          <w:rFonts w:ascii="Verdana" w:hAnsi="Verdana"/>
        </w:rPr>
        <w:t>considera</w:t>
      </w:r>
      <w:r w:rsidRPr="008E1809">
        <w:rPr>
          <w:rFonts w:ascii="Verdana" w:hAnsi="Verdana"/>
          <w:spacing w:val="-9"/>
        </w:rPr>
        <w:t xml:space="preserve"> </w:t>
      </w:r>
      <w:r w:rsidRPr="008E1809">
        <w:rPr>
          <w:rFonts w:ascii="Verdana" w:hAnsi="Verdana"/>
        </w:rPr>
        <w:t>un</w:t>
      </w:r>
      <w:r w:rsidRPr="008E1809">
        <w:rPr>
          <w:rFonts w:ascii="Verdana" w:hAnsi="Verdana"/>
          <w:spacing w:val="-58"/>
        </w:rPr>
        <w:t xml:space="preserve"> </w:t>
      </w:r>
      <w:r w:rsidRPr="008E1809">
        <w:rPr>
          <w:rFonts w:ascii="Verdana" w:hAnsi="Verdana"/>
        </w:rPr>
        <w:t>sucedáneo</w:t>
      </w:r>
      <w:r w:rsidRPr="008E1809">
        <w:rPr>
          <w:rFonts w:ascii="Verdana" w:hAnsi="Verdana"/>
          <w:spacing w:val="-2"/>
        </w:rPr>
        <w:t xml:space="preserve"> </w:t>
      </w:r>
      <w:r w:rsidRPr="008E1809">
        <w:rPr>
          <w:rFonts w:ascii="Verdana" w:hAnsi="Verdana"/>
        </w:rPr>
        <w:t>de</w:t>
      </w:r>
      <w:r w:rsidRPr="008E1809">
        <w:rPr>
          <w:rFonts w:ascii="Verdana" w:hAnsi="Verdana"/>
          <w:spacing w:val="-2"/>
        </w:rPr>
        <w:t xml:space="preserve"> </w:t>
      </w:r>
      <w:r w:rsidRPr="008E1809">
        <w:rPr>
          <w:rFonts w:ascii="Verdana" w:hAnsi="Verdana"/>
        </w:rPr>
        <w:t>los</w:t>
      </w:r>
      <w:r w:rsidRPr="008E1809">
        <w:rPr>
          <w:rFonts w:ascii="Verdana" w:hAnsi="Verdana"/>
          <w:spacing w:val="-1"/>
        </w:rPr>
        <w:t xml:space="preserve"> </w:t>
      </w:r>
      <w:r w:rsidRPr="008E1809">
        <w:rPr>
          <w:rFonts w:ascii="Verdana" w:hAnsi="Verdana"/>
        </w:rPr>
        <w:t>denominados</w:t>
      </w:r>
      <w:r w:rsidRPr="008E1809">
        <w:rPr>
          <w:rFonts w:ascii="Verdana" w:hAnsi="Verdana"/>
          <w:spacing w:val="-2"/>
        </w:rPr>
        <w:t xml:space="preserve"> </w:t>
      </w:r>
      <w:r>
        <w:rPr>
          <w:rFonts w:ascii="Verdana" w:hAnsi="Verdana"/>
        </w:rPr>
        <w:t>“</w:t>
      </w:r>
      <w:r w:rsidRPr="008E1809">
        <w:rPr>
          <w:rFonts w:ascii="Verdana" w:hAnsi="Verdana"/>
        </w:rPr>
        <w:t>contratos</w:t>
      </w:r>
      <w:r w:rsidRPr="008E1809">
        <w:rPr>
          <w:rFonts w:ascii="Verdana" w:hAnsi="Verdana"/>
          <w:spacing w:val="-1"/>
        </w:rPr>
        <w:t xml:space="preserve"> </w:t>
      </w:r>
      <w:r w:rsidRPr="008E1809">
        <w:rPr>
          <w:rFonts w:ascii="Verdana" w:hAnsi="Verdana"/>
        </w:rPr>
        <w:t>sin</w:t>
      </w:r>
      <w:r w:rsidRPr="008E1809">
        <w:rPr>
          <w:rFonts w:ascii="Verdana" w:hAnsi="Verdana"/>
          <w:spacing w:val="-2"/>
        </w:rPr>
        <w:t xml:space="preserve"> </w:t>
      </w:r>
      <w:r w:rsidRPr="008E1809">
        <w:rPr>
          <w:rFonts w:ascii="Verdana" w:hAnsi="Verdana"/>
        </w:rPr>
        <w:t>formalidades</w:t>
      </w:r>
      <w:r w:rsidRPr="008E1809">
        <w:rPr>
          <w:rFonts w:ascii="Verdana" w:hAnsi="Verdana"/>
          <w:spacing w:val="-1"/>
        </w:rPr>
        <w:t xml:space="preserve"> </w:t>
      </w:r>
      <w:r w:rsidRPr="008E1809">
        <w:rPr>
          <w:rFonts w:ascii="Verdana" w:hAnsi="Verdana"/>
        </w:rPr>
        <w:t>plenas</w:t>
      </w:r>
      <w:r>
        <w:rPr>
          <w:rFonts w:ascii="Verdana" w:hAnsi="Verdana"/>
        </w:rPr>
        <w:t>”</w:t>
      </w:r>
      <w:r>
        <w:rPr>
          <w:rStyle w:val="Refdenotaalpie"/>
          <w:rFonts w:ascii="Verdana" w:hAnsi="Verdana"/>
        </w:rPr>
        <w:footnoteReference w:id="8"/>
      </w:r>
      <w:r w:rsidRPr="008E1809">
        <w:rPr>
          <w:rFonts w:ascii="Verdana" w:hAnsi="Verdana"/>
        </w:rPr>
        <w:t>.</w:t>
      </w:r>
    </w:p>
    <w:p w14:paraId="39DD1211" w14:textId="77777777" w:rsidR="005171FE" w:rsidRDefault="005171FE" w:rsidP="005171FE">
      <w:pPr>
        <w:pStyle w:val="Textoindependiente"/>
        <w:ind w:firstLine="709"/>
        <w:jc w:val="both"/>
        <w:rPr>
          <w:rFonts w:ascii="Verdana" w:hAnsi="Verdana"/>
        </w:rPr>
      </w:pPr>
      <w:r>
        <w:rPr>
          <w:rFonts w:ascii="Verdana" w:hAnsi="Verdana"/>
        </w:rPr>
        <w:lastRenderedPageBreak/>
        <w:t xml:space="preserve">Para la estimación de la menor cuantía, así como para calcular diez por ciento –10%– de la mínima cuantía, es necesario el dato del salario mínimo legal mensual vigente. El artículo 1 del </w:t>
      </w:r>
      <w:r w:rsidRPr="00CF43AF">
        <w:rPr>
          <w:rFonts w:ascii="Verdana" w:hAnsi="Verdana"/>
        </w:rPr>
        <w:t>Decreto 1469 de 2025</w:t>
      </w:r>
      <w:r>
        <w:rPr>
          <w:rFonts w:ascii="Verdana" w:hAnsi="Verdana"/>
        </w:rPr>
        <w:t xml:space="preserve"> fijó dicho valor por la suma de </w:t>
      </w:r>
      <w:r w:rsidRPr="00CF43AF">
        <w:rPr>
          <w:rFonts w:ascii="Verdana" w:hAnsi="Verdana"/>
        </w:rPr>
        <w:t>$1.750.905</w:t>
      </w:r>
      <w:r>
        <w:rPr>
          <w:rFonts w:ascii="Verdana" w:hAnsi="Verdana"/>
        </w:rPr>
        <w:t xml:space="preserve"> para el 2026. Sin embargo, la Subsección A de la Sección Segunda del Consejo de Estado –mediante Auto del 12 de febrero de 2026 con ponencia del Consejero </w:t>
      </w:r>
      <w:r w:rsidRPr="00977A26">
        <w:rPr>
          <w:rFonts w:ascii="Verdana" w:hAnsi="Verdana"/>
        </w:rPr>
        <w:t>Juan Camilo Morales Trujillo</w:t>
      </w:r>
      <w:r>
        <w:rPr>
          <w:rFonts w:ascii="Verdana" w:hAnsi="Verdana"/>
        </w:rPr>
        <w:t xml:space="preserve">– suspendió provisionalmente el mencionado acto administrativo. Por ello, ordenó a las entidades demandadas que “[…] </w:t>
      </w:r>
      <w:r w:rsidRPr="00977A26">
        <w:rPr>
          <w:rFonts w:ascii="Verdana" w:hAnsi="Verdana"/>
        </w:rPr>
        <w:t>dentro de los ocho (8) días calendario contados a partir del día siguiente a la notificación de esta providencia, realicen, expidan y publiquen un decreto en el que se fije el porcentaje transitorio de aumento del salario mínimo legal para el año 2026 y el consecuente valor total del mismo para esta vigencia, que regirá hasta tanto se dicte sentencia en el proceso</w:t>
      </w:r>
      <w:r>
        <w:rPr>
          <w:rFonts w:ascii="Verdana" w:hAnsi="Verdana"/>
        </w:rPr>
        <w:t>”</w:t>
      </w:r>
      <w:r w:rsidRPr="00977A26">
        <w:rPr>
          <w:rFonts w:ascii="Verdana" w:hAnsi="Verdana"/>
        </w:rPr>
        <w:t>.</w:t>
      </w:r>
    </w:p>
    <w:p w14:paraId="710AF542" w14:textId="77777777" w:rsidR="005171FE" w:rsidRDefault="005171FE" w:rsidP="005171FE">
      <w:pPr>
        <w:pStyle w:val="Textoindependiente"/>
        <w:ind w:firstLine="709"/>
        <w:jc w:val="both"/>
        <w:rPr>
          <w:rFonts w:ascii="Verdana" w:hAnsi="Verdana"/>
        </w:rPr>
      </w:pPr>
      <w:r>
        <w:rPr>
          <w:rFonts w:ascii="Verdana" w:hAnsi="Verdana"/>
        </w:rPr>
        <w:t>Ahora bien, el numeral cuarto de la providencia judicial precisó lo siguiente: “</w:t>
      </w:r>
      <w:r w:rsidRPr="006E56BD">
        <w:rPr>
          <w:rFonts w:ascii="Verdana" w:hAnsi="Verdana"/>
          <w:b/>
          <w:bCs/>
        </w:rPr>
        <w:t>DIFERIR</w:t>
      </w:r>
      <w:r w:rsidRPr="006E56BD">
        <w:rPr>
          <w:rFonts w:ascii="Verdana" w:hAnsi="Verdana"/>
        </w:rPr>
        <w:t xml:space="preserve"> los efectos de la suspensión provisional, que se hará efectiva únicamente a partir de la fecha en que se publique el decreto de que trata el numeral anterior mediante el cual se determine la cifra transitoria. </w:t>
      </w:r>
      <w:r w:rsidRPr="006E56BD">
        <w:rPr>
          <w:rFonts w:ascii="Verdana" w:hAnsi="Verdana"/>
          <w:i/>
          <w:iCs/>
        </w:rPr>
        <w:t>Durante el lapso comprendido entre la notificación de esta providencia y la fecha de publicación del referido acto administrativo, el valor del salario mínimo para la vigencia 2026 seguirá correspondiendo al establecido en el Decreto 1469 de 2025</w:t>
      </w:r>
      <w:r>
        <w:rPr>
          <w:rFonts w:ascii="Verdana" w:hAnsi="Verdana"/>
        </w:rPr>
        <w:t xml:space="preserve">” (Cursivas fuera de texto). Esto significa que, durante el mencionado periodo, la suma de </w:t>
      </w:r>
      <w:r w:rsidRPr="00CF43AF">
        <w:rPr>
          <w:rFonts w:ascii="Verdana" w:hAnsi="Verdana"/>
        </w:rPr>
        <w:t>$1.750.905</w:t>
      </w:r>
      <w:r>
        <w:rPr>
          <w:rFonts w:ascii="Verdana" w:hAnsi="Verdana"/>
        </w:rPr>
        <w:t xml:space="preserve"> fue el salario mínimo mensual vigente para todos los efectos legales, lo que incluye también la influencia de este valor en el cálculo de la menor y mínima cuantía para efectos de la contratación de las entidades sometidas a la Ley 80 de 1993.</w:t>
      </w:r>
    </w:p>
    <w:p w14:paraId="4C6FD212" w14:textId="77777777" w:rsidR="005171FE" w:rsidRDefault="005171FE" w:rsidP="005171FE">
      <w:pPr>
        <w:pStyle w:val="Textoindependiente"/>
        <w:spacing w:after="0"/>
        <w:ind w:firstLine="709"/>
        <w:jc w:val="both"/>
        <w:rPr>
          <w:rFonts w:ascii="Verdana" w:hAnsi="Verdana"/>
        </w:rPr>
      </w:pPr>
      <w:r>
        <w:rPr>
          <w:rFonts w:ascii="Verdana" w:hAnsi="Verdana"/>
        </w:rPr>
        <w:t xml:space="preserve">Por lo demás, el artículo 1 del Decreto 159 de 2026 –acto administrativo expedido por el Gobierno Nacional conforme a lo ordenado por el máximo órgano de la jurisdicción contenciosa administrativa– mantuvo la suma de </w:t>
      </w:r>
      <w:r w:rsidRPr="00CF43AF">
        <w:rPr>
          <w:rFonts w:ascii="Verdana" w:hAnsi="Verdana"/>
        </w:rPr>
        <w:t>$1.750.905</w:t>
      </w:r>
      <w:r>
        <w:rPr>
          <w:rFonts w:ascii="Verdana" w:hAnsi="Verdana"/>
        </w:rPr>
        <w:t xml:space="preserve"> con valor del salario mínimo legal mensual para el 2026. Luego, dicha cifra </w:t>
      </w:r>
      <w:r>
        <w:rPr>
          <w:rFonts w:ascii="Verdana" w:hAnsi="Verdana"/>
        </w:rPr>
        <w:lastRenderedPageBreak/>
        <w:t>continúa siendo la base para estimar el monto de la menor cuantía en función del presupuesto oficial y, a partir de allí, calcular el diez por ciento –10%– de la mínima cuantía: para lo que no esté dentro de los umbrales correspondientes a alguna de estas dos (2) modalidades de selección, debe aplicarse la regla del inciso primero del artículo 2.1 de la Ley 1150 de 2007; razón por la cual, “</w:t>
      </w:r>
      <w:r w:rsidRPr="000933C7">
        <w:rPr>
          <w:rFonts w:ascii="Verdana" w:hAnsi="Verdana"/>
        </w:rPr>
        <w:t>La escogencia del contratista se efectuará por regla general a través de licitación pública, con las excepciones que se señalan en los numerales 2, 3 y 4 del presente artículo</w:t>
      </w:r>
      <w:r>
        <w:rPr>
          <w:rFonts w:ascii="Verdana" w:hAnsi="Verdana"/>
        </w:rPr>
        <w:t>”</w:t>
      </w:r>
      <w:r w:rsidRPr="000933C7">
        <w:rPr>
          <w:rFonts w:ascii="Verdana" w:hAnsi="Verdana"/>
        </w:rPr>
        <w:t>.</w:t>
      </w:r>
    </w:p>
    <w:p w14:paraId="78DAE85C" w14:textId="77777777" w:rsidR="005171FE" w:rsidRDefault="005171FE" w:rsidP="005171FE">
      <w:pPr>
        <w:pStyle w:val="Textoindependiente"/>
        <w:spacing w:after="0"/>
        <w:ind w:firstLine="709"/>
        <w:jc w:val="both"/>
        <w:rPr>
          <w:rFonts w:ascii="Verdana" w:hAnsi="Verdana"/>
        </w:rPr>
      </w:pPr>
    </w:p>
    <w:p w14:paraId="0110F9E0" w14:textId="77777777" w:rsidR="005171FE" w:rsidRPr="003F4A18" w:rsidRDefault="005171FE" w:rsidP="005171FE">
      <w:pPr>
        <w:spacing w:after="0" w:line="276" w:lineRule="auto"/>
        <w:jc w:val="both"/>
        <w:rPr>
          <w:rFonts w:ascii="Verdana" w:eastAsia="Arial" w:hAnsi="Verdana" w:cs="Arial"/>
          <w:color w:val="000000"/>
        </w:rPr>
      </w:pPr>
      <w:proofErr w:type="spellStart"/>
      <w:r w:rsidRPr="003F4A18">
        <w:rPr>
          <w:rFonts w:ascii="Verdana" w:hAnsi="Verdana"/>
        </w:rPr>
        <w:t>ii</w:t>
      </w:r>
      <w:proofErr w:type="spellEnd"/>
      <w:r w:rsidRPr="003F4A18">
        <w:rPr>
          <w:rFonts w:ascii="Verdana" w:hAnsi="Verdana"/>
        </w:rPr>
        <w:t xml:space="preserve">. </w:t>
      </w:r>
      <w:r w:rsidRPr="003F4A18">
        <w:rPr>
          <w:rFonts w:ascii="Verdana" w:eastAsia="Arial" w:hAnsi="Verdana" w:cs="Arial"/>
          <w:color w:val="000000"/>
        </w:rPr>
        <w:t xml:space="preserve">Ahora bien, uno de los principios transversales de los procedimientos de selección es el de </w:t>
      </w:r>
      <w:r w:rsidRPr="003F4A18">
        <w:rPr>
          <w:rFonts w:ascii="Verdana" w:eastAsia="Arial" w:hAnsi="Verdana" w:cs="Arial"/>
          <w:i/>
          <w:color w:val="000000"/>
        </w:rPr>
        <w:t>selección objetiva</w:t>
      </w:r>
      <w:r w:rsidRPr="003F4A18">
        <w:rPr>
          <w:rFonts w:ascii="Verdana" w:eastAsia="Arial" w:hAnsi="Verdana" w:cs="Arial"/>
          <w:color w:val="000000"/>
        </w:rPr>
        <w:t>. Se trata del postulado que exige que la escogencia de la oferta ganadora deba fundamentarse en factores objetivos, de carácter técnico, jurídico y financiero, y no en criterios subjetivos, como el afecto, la amistad, el ánimo de ayuda, el interés personal, etc. Si bien dentro de la historia de la contratación pública en Colombia se vislumbran antecedentes normativos que consagraban dicho principio</w:t>
      </w:r>
      <w:r w:rsidRPr="003F4A18">
        <w:rPr>
          <w:rFonts w:ascii="Verdana" w:eastAsia="Arial" w:hAnsi="Verdana" w:cs="Arial"/>
          <w:color w:val="000000"/>
          <w:vertAlign w:val="superscript"/>
        </w:rPr>
        <w:footnoteReference w:id="9"/>
      </w:r>
      <w:r w:rsidRPr="003F4A18">
        <w:rPr>
          <w:rFonts w:ascii="Verdana" w:eastAsia="Arial" w:hAnsi="Verdana" w:cs="Arial"/>
          <w:color w:val="000000"/>
        </w:rPr>
        <w:t xml:space="preserve">, en la actualidad la disposición legal que lo prevé de manera más clara y contundente es el artículo 5 de la Ley 1150 de 2007, modificado por el artículo 88 de la Ley 1474 de 2011 y por el artículo 5 de la Ley 1882 de 2018. Esta norma prescribe lo siguiente: </w:t>
      </w:r>
    </w:p>
    <w:p w14:paraId="034EC1CC" w14:textId="77777777" w:rsidR="005171FE" w:rsidRPr="003F4A18" w:rsidRDefault="005171FE" w:rsidP="005171FE">
      <w:pPr>
        <w:spacing w:after="0" w:line="276" w:lineRule="auto"/>
        <w:jc w:val="both"/>
        <w:rPr>
          <w:rFonts w:ascii="Verdana" w:eastAsia="Arial" w:hAnsi="Verdana" w:cs="Arial"/>
          <w:color w:val="000000"/>
        </w:rPr>
      </w:pPr>
    </w:p>
    <w:p w14:paraId="7F6D6428"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 xml:space="preserve">“ARTÍCULO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w:t>
      </w:r>
      <w:r w:rsidRPr="003F4A18">
        <w:rPr>
          <w:rFonts w:ascii="Verdana" w:eastAsia="Arial" w:hAnsi="Verdana" w:cs="Arial"/>
          <w:color w:val="000000"/>
          <w:sz w:val="20"/>
          <w:szCs w:val="20"/>
        </w:rPr>
        <w:lastRenderedPageBreak/>
        <w:t>entidades en los pliegos de condiciones o sus equivalentes, tendrán en cuenta los siguientes criterios:</w:t>
      </w:r>
    </w:p>
    <w:p w14:paraId="22A84EF3"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2DE98789"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730162A4"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En los procesos de selección en los que se tenga en cuenta los factores técnicos y económicos, la oferta más ventajosa será la que resulte de aplicar alguna de las siguientes alternativas:</w:t>
      </w:r>
    </w:p>
    <w:p w14:paraId="17321F8C"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a) La ponderación de los elementos de calidad y precio soportados en puntajes o fórmulas señaladas en el pliego de condiciones; o</w:t>
      </w:r>
    </w:p>
    <w:p w14:paraId="78F0FBF9"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b) La ponderación de los elementos de calidad y precio que representen la mejor relación de costo-beneficio para la entidad.</w:t>
      </w:r>
    </w:p>
    <w:p w14:paraId="4FFF6F8D"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156743E0"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35A39F13"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lastRenderedPageBreak/>
        <w:t>En ningún caso se podrá incluir el precio, como factor de escogencia para la selección de consultores.</w:t>
      </w:r>
    </w:p>
    <w:p w14:paraId="611A664E"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4CD3A656"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Durante el término otorgado para subsanar las ofertas, los proponentes no podrán acreditar circunstancias ocurridas con posterioridad al cierre del proceso.</w:t>
      </w:r>
    </w:p>
    <w:p w14:paraId="6EA10F93"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PARÁGRAFO 2o. Las certificaciones de sistemas de gestión de calidad no serán objeto de calificación, ni podrán establecerse como documento habilitante para participar en licitaciones o concursos.</w:t>
      </w:r>
    </w:p>
    <w:p w14:paraId="33DF6E8B"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PARÁGRAFO 3o. &lt;Parágrafo adicionado por el artículo 5 de la Ley 1882 de 2018. El nuevo texto es el siguiente:&gt; La no entrega de la garantía de seriedad junto con la propuesta no será subsanable y será causal de rechazo de la misma.</w:t>
      </w:r>
    </w:p>
    <w:p w14:paraId="1DA092CE" w14:textId="77777777" w:rsidR="005171FE" w:rsidRPr="003F4A18" w:rsidRDefault="005171FE" w:rsidP="005171FE">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p>
    <w:p w14:paraId="342CA72D" w14:textId="77777777" w:rsidR="005171FE" w:rsidRPr="003F4A18" w:rsidRDefault="005171FE" w:rsidP="005171FE">
      <w:pPr>
        <w:spacing w:after="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 xml:space="preserve">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w:t>
      </w:r>
    </w:p>
    <w:p w14:paraId="301647FC" w14:textId="77777777" w:rsidR="005171FE" w:rsidRPr="003F4A18" w:rsidRDefault="005171FE" w:rsidP="005171FE">
      <w:pPr>
        <w:spacing w:after="0" w:line="276" w:lineRule="auto"/>
        <w:jc w:val="both"/>
        <w:rPr>
          <w:rFonts w:ascii="Verdana" w:eastAsia="Arial" w:hAnsi="Verdana" w:cs="Arial"/>
          <w:color w:val="000000"/>
        </w:rPr>
      </w:pPr>
    </w:p>
    <w:p w14:paraId="61D451D5" w14:textId="77777777" w:rsidR="005171FE" w:rsidRPr="003F4A18" w:rsidRDefault="005171FE" w:rsidP="005171FE">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De acuerdo con el artículo 5 de la Ley 1150 de 2007, conforme con lo expresado en el Concepto C-166 del 23 de abril de 2021, el deber de selección objetiva supone que las entidades escojan en los procesos de selección el “[…] ofrecimiento más favorable a la entidad y a los fines que ella busca […]”. Tal favorabilidad debe determinarse a partir de criterios que pueden variar de </w:t>
      </w:r>
      <w:r w:rsidRPr="003F4A18">
        <w:rPr>
          <w:rFonts w:ascii="Verdana" w:eastAsia="Arial" w:hAnsi="Verdana" w:cs="Arial"/>
          <w:color w:val="000000"/>
        </w:rPr>
        <w:lastRenderedPageBreak/>
        <w:t xml:space="preserve">acuerdo con el objeto contractual o la modalidad de selección aplicable, los cuales, en todo caso, para que la selección sea objetiva, deben señalarse en el pliego de condiciones o documento equivalente. </w:t>
      </w:r>
    </w:p>
    <w:p w14:paraId="29543691" w14:textId="77777777" w:rsidR="005171FE" w:rsidRPr="003F4A18" w:rsidRDefault="005171FE" w:rsidP="005171FE">
      <w:pPr>
        <w:tabs>
          <w:tab w:val="left" w:pos="0"/>
        </w:tabs>
        <w:spacing w:after="120" w:line="276" w:lineRule="auto"/>
        <w:jc w:val="both"/>
        <w:rPr>
          <w:rFonts w:ascii="Verdana" w:eastAsia="Arial" w:hAnsi="Verdana" w:cs="Arial"/>
          <w:color w:val="000000"/>
        </w:rPr>
      </w:pPr>
      <w:bookmarkStart w:id="8" w:name="_1fob9te" w:colFirst="0" w:colLast="0"/>
      <w:bookmarkEnd w:id="8"/>
      <w:r w:rsidRPr="003F4A18">
        <w:rPr>
          <w:rFonts w:ascii="Verdana" w:eastAsia="Arial" w:hAnsi="Verdana" w:cs="Arial"/>
          <w:color w:val="000000"/>
        </w:rPr>
        <w:tab/>
        <w:t>Al respecto,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sidRPr="003F4A18">
        <w:rPr>
          <w:rFonts w:ascii="Verdana" w:eastAsia="Arial" w:hAnsi="Verdana" w:cs="Arial"/>
          <w:color w:val="000000"/>
          <w:vertAlign w:val="superscript"/>
        </w:rPr>
        <w:footnoteReference w:id="10"/>
      </w:r>
      <w:r w:rsidRPr="003F4A18">
        <w:rPr>
          <w:rFonts w:ascii="Verdana" w:eastAsia="Arial" w:hAnsi="Verdana" w:cs="Arial"/>
          <w:color w:val="000000"/>
        </w:rPr>
        <w:t xml:space="preserve">. Los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requisitos </w:t>
      </w:r>
      <w:r w:rsidRPr="003F4A18">
        <w:rPr>
          <w:rFonts w:ascii="Verdana" w:eastAsia="Arial" w:hAnsi="Verdana" w:cs="Arial"/>
          <w:i/>
          <w:color w:val="000000"/>
        </w:rPr>
        <w:t xml:space="preserve">habilitantes </w:t>
      </w:r>
      <w:r w:rsidRPr="003F4A18">
        <w:rPr>
          <w:rFonts w:ascii="Verdana" w:eastAsia="Arial" w:hAnsi="Verdana" w:cs="Arial"/>
          <w:color w:val="000000"/>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p>
    <w:p w14:paraId="1EBE1884" w14:textId="77777777" w:rsidR="005171FE" w:rsidRPr="003F4A18" w:rsidRDefault="005171FE" w:rsidP="005171FE">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El numeral 2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2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w:t>
      </w:r>
      <w:r w:rsidRPr="003F4A18">
        <w:rPr>
          <w:rFonts w:ascii="Verdana" w:eastAsia="Arial" w:hAnsi="Verdana" w:cs="Arial"/>
          <w:color w:val="000000"/>
        </w:rPr>
        <w:lastRenderedPageBreak/>
        <w:t xml:space="preserve">b) se refiere la elección de la oferta que represente la mejor relación costo – beneficio para la entidad. </w:t>
      </w:r>
    </w:p>
    <w:p w14:paraId="7DBF507F" w14:textId="77777777" w:rsidR="005171FE" w:rsidRPr="003F4A18" w:rsidRDefault="005171FE" w:rsidP="005171FE">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Por su parte, el numeral 3 establece que en los procesos de selección de bienes y servicios de características técnicas uniformes y de común utilización el único factor de evaluación consiste en el menor precio. Por último, el numeral 4, referente a procedimientos para selección de consultores, señala que debe hacerse uso de factores de calificación, para valorar los aspectos técnicos de la oferta, permitiendo que entre ellos se pondere la experiencia.</w:t>
      </w:r>
    </w:p>
    <w:p w14:paraId="2F802275" w14:textId="77777777" w:rsidR="005171FE" w:rsidRPr="003F4A18" w:rsidRDefault="005171FE" w:rsidP="005171FE">
      <w:pPr>
        <w:tabs>
          <w:tab w:val="left" w:pos="0"/>
        </w:tabs>
        <w:spacing w:after="0" w:line="276" w:lineRule="auto"/>
        <w:jc w:val="both"/>
        <w:rPr>
          <w:rFonts w:ascii="Verdana" w:eastAsia="Arial" w:hAnsi="Verdana" w:cs="Arial"/>
          <w:color w:val="000000"/>
        </w:rPr>
      </w:pPr>
      <w:r w:rsidRPr="003F4A18">
        <w:rPr>
          <w:rFonts w:ascii="Verdana" w:eastAsia="Arial" w:hAnsi="Verdana" w:cs="Arial"/>
          <w:color w:val="000000"/>
        </w:rPr>
        <w:tab/>
        <w:t xml:space="preserve">Conforme a lo anterior, el artículo 5 de la Ley 1150 de 2007, alude a diferentes conceptos como factores de escogencia, de calificación, técnicos y económicos de escogencia, de evaluación y calificación. Además, el artículo alude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 </w:t>
      </w:r>
      <w:r w:rsidRPr="003F4A18">
        <w:rPr>
          <w:rFonts w:ascii="Verdana" w:eastAsia="Arial" w:hAnsi="Verdana" w:cs="Arial"/>
          <w:color w:val="000000"/>
          <w:vertAlign w:val="superscript"/>
        </w:rPr>
        <w:footnoteReference w:id="11"/>
      </w:r>
      <w:r w:rsidRPr="003F4A18">
        <w:rPr>
          <w:rFonts w:ascii="Verdana" w:eastAsia="Arial" w:hAnsi="Verdana" w:cs="Arial"/>
          <w:color w:val="000000"/>
        </w:rPr>
        <w:t>. Todas estas categorías designan los “[…] factores a los cuales cabe otorgarles puntajes o que pueden ser ponderados, precisamente, pues estos son los factores que en últimas permiten una comparación de ofertas y una diferenciación entre ellas”</w:t>
      </w:r>
      <w:r w:rsidRPr="003F4A18">
        <w:rPr>
          <w:rFonts w:ascii="Verdana" w:eastAsia="Arial" w:hAnsi="Verdana" w:cs="Arial"/>
          <w:color w:val="000000"/>
          <w:vertAlign w:val="superscript"/>
        </w:rPr>
        <w:footnoteReference w:id="12"/>
      </w:r>
      <w:r w:rsidRPr="003F4A18">
        <w:rPr>
          <w:rFonts w:ascii="Verdana" w:eastAsia="Arial" w:hAnsi="Verdana" w:cs="Arial"/>
          <w:color w:val="000000"/>
        </w:rPr>
        <w:t>. Conforme a esto, la doctrina explica que:</w:t>
      </w:r>
    </w:p>
    <w:p w14:paraId="61B6A1D1" w14:textId="77777777" w:rsidR="005171FE" w:rsidRPr="003F4A18" w:rsidRDefault="005171FE" w:rsidP="005171FE">
      <w:pPr>
        <w:tabs>
          <w:tab w:val="left" w:pos="0"/>
        </w:tabs>
        <w:spacing w:after="0" w:line="276" w:lineRule="auto"/>
        <w:ind w:left="709" w:right="709"/>
        <w:jc w:val="both"/>
        <w:rPr>
          <w:rFonts w:ascii="Verdana" w:eastAsia="Arial" w:hAnsi="Verdana" w:cs="Arial"/>
          <w:color w:val="000000"/>
          <w:sz w:val="21"/>
          <w:szCs w:val="21"/>
        </w:rPr>
      </w:pPr>
    </w:p>
    <w:p w14:paraId="366ABB6C" w14:textId="77777777" w:rsidR="005171FE" w:rsidRPr="003F4A18" w:rsidRDefault="005171FE" w:rsidP="005171FE">
      <w:pPr>
        <w:tabs>
          <w:tab w:val="left" w:pos="0"/>
        </w:tabs>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 xml:space="preserve">“De acuerdo con ese entendimiento, el numeral 2 del artículo 5.° de la Ley  1150 de 2007, modificado por el artículo 88 de la Ley 1474 de 2011, comienza por señalar que </w:t>
      </w:r>
      <w:r>
        <w:rPr>
          <w:rFonts w:ascii="Verdana" w:eastAsia="Arial" w:hAnsi="Verdana" w:cs="Arial"/>
          <w:color w:val="000000"/>
          <w:sz w:val="20"/>
          <w:szCs w:val="20"/>
        </w:rPr>
        <w:t>‘</w:t>
      </w:r>
      <w:r w:rsidRPr="003F4A18">
        <w:rPr>
          <w:rFonts w:ascii="Verdana" w:eastAsia="Arial" w:hAnsi="Verdana" w:cs="Arial"/>
          <w:color w:val="000000"/>
          <w:sz w:val="20"/>
          <w:szCs w:val="20"/>
        </w:rPr>
        <w:t>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w:t>
      </w:r>
      <w:r>
        <w:rPr>
          <w:rFonts w:ascii="Verdana" w:eastAsia="Arial" w:hAnsi="Verdana" w:cs="Arial"/>
          <w:color w:val="000000"/>
          <w:sz w:val="20"/>
          <w:szCs w:val="20"/>
        </w:rPr>
        <w:t>’</w:t>
      </w:r>
      <w:r w:rsidRPr="003F4A18">
        <w:rPr>
          <w:rFonts w:ascii="Verdana" w:eastAsia="Arial" w:hAnsi="Verdana" w:cs="Arial"/>
          <w:color w:val="000000"/>
          <w:sz w:val="20"/>
          <w:szCs w:val="20"/>
        </w:rPr>
        <w:t xml:space="preserve">.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w:t>
      </w:r>
      <w:r w:rsidRPr="003F4A18">
        <w:rPr>
          <w:rFonts w:ascii="Verdana" w:eastAsia="Arial" w:hAnsi="Verdana" w:cs="Arial"/>
          <w:color w:val="000000"/>
          <w:sz w:val="20"/>
          <w:szCs w:val="20"/>
        </w:rPr>
        <w:lastRenderedPageBreak/>
        <w:t xml:space="preserve">habilitantes se entiende que es suficientemente idóneo para la ejecución del objeto contractual.  </w:t>
      </w:r>
    </w:p>
    <w:p w14:paraId="37A4F8AC" w14:textId="77777777" w:rsidR="005171FE" w:rsidRPr="003F4A18" w:rsidRDefault="005171FE" w:rsidP="005171FE">
      <w:pPr>
        <w:tabs>
          <w:tab w:val="left" w:pos="0"/>
        </w:tabs>
        <w:spacing w:after="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4EE4C18A" w14:textId="77777777" w:rsidR="005171FE" w:rsidRPr="003F4A18" w:rsidRDefault="005171FE" w:rsidP="005171FE">
      <w:pPr>
        <w:tabs>
          <w:tab w:val="left" w:pos="0"/>
        </w:tabs>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w:t>
      </w:r>
    </w:p>
    <w:p w14:paraId="38E1A9EB" w14:textId="77777777" w:rsidR="005171FE" w:rsidRPr="003F4A18" w:rsidRDefault="005171FE" w:rsidP="005171FE">
      <w:pPr>
        <w:tabs>
          <w:tab w:val="left" w:pos="0"/>
        </w:tabs>
        <w:spacing w:after="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3F4A18">
        <w:rPr>
          <w:rFonts w:ascii="Verdana" w:eastAsia="Arial" w:hAnsi="Verdana" w:cs="Arial"/>
          <w:color w:val="000000"/>
          <w:sz w:val="20"/>
          <w:szCs w:val="20"/>
          <w:vertAlign w:val="superscript"/>
        </w:rPr>
        <w:footnoteReference w:id="13"/>
      </w:r>
      <w:r w:rsidRPr="003F4A18">
        <w:rPr>
          <w:rFonts w:ascii="Verdana" w:eastAsia="Arial" w:hAnsi="Verdana" w:cs="Arial"/>
          <w:color w:val="000000"/>
          <w:sz w:val="20"/>
          <w:szCs w:val="20"/>
        </w:rPr>
        <w:t>.</w:t>
      </w:r>
    </w:p>
    <w:p w14:paraId="44406D98" w14:textId="77777777" w:rsidR="005171FE" w:rsidRPr="003F4A18" w:rsidRDefault="005171FE" w:rsidP="005171FE">
      <w:pPr>
        <w:tabs>
          <w:tab w:val="left" w:pos="0"/>
        </w:tabs>
        <w:spacing w:after="0" w:line="276" w:lineRule="auto"/>
        <w:ind w:left="709" w:right="709"/>
        <w:jc w:val="both"/>
        <w:rPr>
          <w:rFonts w:ascii="Verdana" w:eastAsia="Arial" w:hAnsi="Verdana" w:cs="Arial"/>
          <w:color w:val="000000"/>
          <w:sz w:val="21"/>
          <w:szCs w:val="21"/>
        </w:rPr>
      </w:pPr>
    </w:p>
    <w:p w14:paraId="76B93629" w14:textId="77777777" w:rsidR="005171FE" w:rsidRPr="003F4A18" w:rsidRDefault="005171FE" w:rsidP="005171FE">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De acuerdo con lo anterior,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3A5FA9D9" w14:textId="77777777" w:rsidR="005171FE" w:rsidRPr="003F4A18" w:rsidRDefault="005171FE" w:rsidP="005171FE">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En ese sentido, la asignación de puntaje es un mecanismo mediante el cual las entidades ponderan los factores de calificación </w:t>
      </w:r>
      <w:r w:rsidRPr="003F4A18">
        <w:rPr>
          <w:rFonts w:ascii="Tahoma" w:eastAsia="Tahoma" w:hAnsi="Tahoma" w:cs="Tahoma"/>
          <w:color w:val="000000"/>
        </w:rPr>
        <w:t>ꟷ</w:t>
      </w:r>
      <w:r w:rsidRPr="003F4A18">
        <w:rPr>
          <w:rFonts w:ascii="Verdana" w:eastAsia="Arial" w:hAnsi="Verdana" w:cs="Arial"/>
          <w:i/>
          <w:color w:val="000000"/>
        </w:rPr>
        <w:t>v.g.</w:t>
      </w:r>
      <w:r w:rsidRPr="003F4A18">
        <w:rPr>
          <w:rFonts w:ascii="Verdana" w:eastAsia="Arial" w:hAnsi="Verdana" w:cs="Arial"/>
          <w:color w:val="000000"/>
        </w:rPr>
        <w:t xml:space="preserve"> técnicos y económicos, de calidad y precio, etc.</w:t>
      </w:r>
      <w:r w:rsidRPr="003F4A18">
        <w:rPr>
          <w:rFonts w:ascii="Tahoma" w:eastAsia="Tahoma" w:hAnsi="Tahoma" w:cs="Tahoma"/>
          <w:color w:val="000000"/>
        </w:rPr>
        <w:t>ꟷ</w:t>
      </w:r>
      <w:r w:rsidRPr="003F4A18">
        <w:rPr>
          <w:rFonts w:ascii="Verdana" w:eastAsia="Arial" w:hAnsi="Verdana" w:cs="Arial"/>
          <w:color w:val="000000"/>
        </w:rPr>
        <w:t xml:space="preserve"> en un determinado proceso de selección, como se desprende del </w:t>
      </w:r>
      <w:r>
        <w:rPr>
          <w:rFonts w:ascii="Verdana" w:eastAsia="Arial" w:hAnsi="Verdana" w:cs="Arial"/>
          <w:color w:val="000000"/>
        </w:rPr>
        <w:t>literal a) del numeral 2 del artículo 5 de la Ley 1150 de 2007</w:t>
      </w:r>
      <w:r w:rsidRPr="003F4A18">
        <w:rPr>
          <w:rFonts w:ascii="Verdana" w:eastAsia="Arial" w:hAnsi="Verdana" w:cs="Arial"/>
          <w:color w:val="000000"/>
        </w:rPr>
        <w:t xml:space="preserve">. Sin embargo, no es este el único mecanismo de ponderación que tienen a su alcance las entidades estatales para determinar el ofrecimiento más favorable, pues el propio literal b) del artículo 5.2 posibilita que el ofrecimiento más favorable se determine con un análisis de la relación </w:t>
      </w:r>
      <w:r>
        <w:rPr>
          <w:rFonts w:ascii="Verdana" w:eastAsia="Arial" w:hAnsi="Verdana" w:cs="Arial"/>
          <w:color w:val="000000"/>
        </w:rPr>
        <w:t>costo-beneficio</w:t>
      </w:r>
      <w:r w:rsidRPr="003F4A18">
        <w:rPr>
          <w:rFonts w:ascii="Verdana" w:eastAsia="Arial" w:hAnsi="Verdana" w:cs="Arial"/>
          <w:color w:val="000000"/>
        </w:rPr>
        <w:t xml:space="preserve">. A estos se suman, los procesos de selección de bienes y servicios de características técnicas uniformes y de común utilización, así como los de mínima cuantía, en </w:t>
      </w:r>
      <w:r w:rsidRPr="003F4A18">
        <w:rPr>
          <w:rFonts w:ascii="Verdana" w:eastAsia="Arial" w:hAnsi="Verdana" w:cs="Arial"/>
          <w:color w:val="000000"/>
        </w:rPr>
        <w:lastRenderedPageBreak/>
        <w:t xml:space="preserve">los que –según los artículos 5.3 y 2.5 de la Ley 1150 de 2007– el único factor de selección </w:t>
      </w:r>
      <w:r>
        <w:rPr>
          <w:rFonts w:ascii="Verdana" w:eastAsia="Arial" w:hAnsi="Verdana" w:cs="Arial"/>
          <w:color w:val="000000"/>
        </w:rPr>
        <w:t>es el menor precio ofertado.</w:t>
      </w:r>
    </w:p>
    <w:p w14:paraId="0303B357" w14:textId="77777777" w:rsidR="005171FE" w:rsidRPr="003F4A18" w:rsidRDefault="005171FE" w:rsidP="005171FE">
      <w:pPr>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Es necesario destacar que las reglas para establecer la oferta más favorable conforme al artículo 5 de la Ley 1150 de 2007, se encuentran reglamentadas en el artículo 2.2.1.1.2.2.2 del Decreto 1082 de 2015, modificado recientemente por el Decreto 142 de 2023.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3F4A18">
        <w:rPr>
          <w:rFonts w:ascii="Verdana" w:eastAsia="Arial" w:hAnsi="Verdana" w:cs="Arial"/>
          <w:color w:val="000000"/>
        </w:rPr>
        <w:t>ii</w:t>
      </w:r>
      <w:proofErr w:type="spellEnd"/>
      <w:r w:rsidRPr="003F4A18">
        <w:rPr>
          <w:rFonts w:ascii="Verdana" w:eastAsia="Arial" w:hAnsi="Verdana" w:cs="Arial"/>
          <w:color w:val="000000"/>
        </w:rPr>
        <w:t xml:space="preserve">) las condiciones técnicas adicionales que representan ventajas de calidad o de funcionamiento; </w:t>
      </w:r>
      <w:proofErr w:type="spellStart"/>
      <w:r w:rsidRPr="003F4A18">
        <w:rPr>
          <w:rFonts w:ascii="Verdana" w:eastAsia="Arial" w:hAnsi="Verdana" w:cs="Arial"/>
          <w:color w:val="000000"/>
        </w:rPr>
        <w:t>iii</w:t>
      </w:r>
      <w:proofErr w:type="spellEnd"/>
      <w:r w:rsidRPr="003F4A18">
        <w:rPr>
          <w:rFonts w:ascii="Verdana" w:eastAsia="Arial" w:hAnsi="Verdana" w:cs="Arial"/>
          <w:color w:val="000000"/>
        </w:rPr>
        <w:t xml:space="preserve">) las condiciones económicas adicionales que representen ventajas en términos de economía, eficiencia y eficacia; y </w:t>
      </w:r>
      <w:proofErr w:type="spellStart"/>
      <w:r w:rsidRPr="003F4A18">
        <w:rPr>
          <w:rFonts w:ascii="Verdana" w:eastAsia="Arial" w:hAnsi="Verdana" w:cs="Arial"/>
          <w:color w:val="000000"/>
        </w:rPr>
        <w:t>iv</w:t>
      </w:r>
      <w:proofErr w:type="spellEnd"/>
      <w:r w:rsidRPr="003F4A18">
        <w:rPr>
          <w:rFonts w:ascii="Verdana" w:eastAsia="Arial" w:hAnsi="Verdana" w:cs="Arial"/>
          <w:color w:val="000000"/>
        </w:rPr>
        <w:t>)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r w:rsidRPr="003F4A18">
        <w:rPr>
          <w:rFonts w:ascii="Verdana" w:eastAsia="Arial" w:hAnsi="Verdana" w:cs="Arial"/>
          <w:color w:val="000000"/>
          <w:vertAlign w:val="superscript"/>
        </w:rPr>
        <w:footnoteReference w:id="14"/>
      </w:r>
      <w:r w:rsidRPr="003F4A18">
        <w:rPr>
          <w:rFonts w:ascii="Verdana" w:eastAsia="Arial" w:hAnsi="Verdana" w:cs="Arial"/>
          <w:color w:val="000000"/>
        </w:rPr>
        <w:t>.</w:t>
      </w:r>
    </w:p>
    <w:p w14:paraId="4003CB59" w14:textId="77777777" w:rsidR="005171FE" w:rsidRPr="003F4A18" w:rsidRDefault="005171FE" w:rsidP="005171FE">
      <w:pPr>
        <w:spacing w:after="120" w:line="276" w:lineRule="auto"/>
        <w:ind w:firstLine="709"/>
        <w:jc w:val="both"/>
        <w:rPr>
          <w:rFonts w:ascii="Verdana" w:eastAsia="Arial" w:hAnsi="Verdana" w:cs="Arial"/>
          <w:color w:val="000000"/>
        </w:rPr>
      </w:pPr>
      <w:r w:rsidRPr="003F4A18">
        <w:rPr>
          <w:rFonts w:ascii="Verdana" w:eastAsia="Arial" w:hAnsi="Verdana" w:cs="Arial"/>
          <w:color w:val="000000"/>
        </w:rPr>
        <w:lastRenderedPageBreak/>
        <w:t>Conforme a lo anterior,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Estas disposiciones establecen que en los procesos de selección deben evaluarse, fuera de los requisitos habilitantes, los factores de calificación, valoración o evaluación. Estos pueden ponderarse mediante la asignación de puntaje, por lo que la norma se refiere a factores que no otorgan puntaje para diferenciar los requisitos habilitantes de los mencionados factores de calificación. Lo anterior, bajo el entendido que son estos últimos los que determinan la oferta más favorable para la entidad y la que en consecuencia debe elegirse.</w:t>
      </w:r>
    </w:p>
    <w:p w14:paraId="6C9CFEC2" w14:textId="77777777" w:rsidR="005171FE" w:rsidRPr="003F4A18" w:rsidRDefault="005171FE" w:rsidP="005171FE">
      <w:pPr>
        <w:spacing w:after="120" w:line="276" w:lineRule="auto"/>
        <w:ind w:firstLine="709"/>
        <w:jc w:val="both"/>
        <w:rPr>
          <w:rFonts w:ascii="Verdana" w:eastAsia="Arial" w:hAnsi="Verdana" w:cs="Arial"/>
          <w:color w:val="000000"/>
        </w:rPr>
      </w:pPr>
      <w:r w:rsidRPr="003F4A18">
        <w:rPr>
          <w:rFonts w:ascii="Verdana" w:eastAsia="Arial" w:hAnsi="Verdana" w:cs="Arial"/>
          <w:color w:val="000000"/>
        </w:rPr>
        <w:t xml:space="preserve">Retomando otros fundamentos jurídicos del deber de “selección objetiva” distintos al artículo 5 de la Ley 1150 de 2007, la Ley 80 de 1993 se refiere a ella en varios apartados, como: i) el primer inciso del artículo 21, que obliga a las entidades estatales a tener en cuenta la selección objetiva, al garantizar la participación de los oferentes de bienes y servicios de origen nacional, </w:t>
      </w:r>
      <w:proofErr w:type="spellStart"/>
      <w:r w:rsidRPr="003F4A18">
        <w:rPr>
          <w:rFonts w:ascii="Verdana" w:eastAsia="Arial" w:hAnsi="Verdana" w:cs="Arial"/>
          <w:color w:val="000000"/>
        </w:rPr>
        <w:t>ii</w:t>
      </w:r>
      <w:proofErr w:type="spellEnd"/>
      <w:r w:rsidRPr="003F4A18">
        <w:rPr>
          <w:rFonts w:ascii="Verdana" w:eastAsia="Arial" w:hAnsi="Verdana" w:cs="Arial"/>
          <w:color w:val="000000"/>
        </w:rPr>
        <w:t xml:space="preserve">) el artículo 24, numeral 5º, literal a), que manda que en los pliegos de condiciones se indiquen “[…] los requisitos objetivos necesarios para participar en el correspondiente proceso de selección”, </w:t>
      </w:r>
      <w:proofErr w:type="spellStart"/>
      <w:r w:rsidRPr="003F4A18">
        <w:rPr>
          <w:rFonts w:ascii="Verdana" w:eastAsia="Arial" w:hAnsi="Verdana" w:cs="Arial"/>
          <w:color w:val="000000"/>
        </w:rPr>
        <w:t>iii</w:t>
      </w:r>
      <w:proofErr w:type="spellEnd"/>
      <w:r w:rsidRPr="003F4A18">
        <w:rPr>
          <w:rFonts w:ascii="Verdana" w:eastAsia="Arial" w:hAnsi="Verdana" w:cs="Arial"/>
          <w:color w:val="000000"/>
        </w:rPr>
        <w:t xml:space="preserve">) el artículo 24, numeral 5º, literal b), que establece que en los pliegos de condiciones se deben definir “[…] reglas objetivas, justas, claras y completas que permitan la confección de ofrecimientos de la misma índole, aseguren una escogencia objetiva y eviten la declaratoria de desierta de la licitación”, </w:t>
      </w:r>
      <w:proofErr w:type="spellStart"/>
      <w:r w:rsidRPr="003F4A18">
        <w:rPr>
          <w:rFonts w:ascii="Verdana" w:eastAsia="Arial" w:hAnsi="Verdana" w:cs="Arial"/>
          <w:color w:val="000000"/>
        </w:rPr>
        <w:t>iv</w:t>
      </w:r>
      <w:proofErr w:type="spellEnd"/>
      <w:r w:rsidRPr="003F4A18">
        <w:rPr>
          <w:rFonts w:ascii="Verdana" w:eastAsia="Arial" w:hAnsi="Verdana" w:cs="Arial"/>
          <w:color w:val="000000"/>
        </w:rPr>
        <w:t xml:space="preserve">) el artículo 24, numeral 8º, según el cual “Las autoridades no actuarán con desviación o abuso de poder y ejercerán sus competencias exclusivamente para los fines previstos en la ley. Igualmente, les </w:t>
      </w:r>
      <w:r w:rsidRPr="003F4A18">
        <w:rPr>
          <w:rFonts w:ascii="Verdana" w:eastAsia="Arial" w:hAnsi="Verdana" w:cs="Arial"/>
          <w:color w:val="000000"/>
        </w:rPr>
        <w:lastRenderedPageBreak/>
        <w:t xml:space="preserve">será prohibido eludir los procedimientos de selección objetiva y los demás requisitos previstos en el presente estatuto”, v) el segundo inciso del parágrafo 3º del artículo 24, que exige tener en cuenta la selección objetiva de la entidad veedora para el procedimiento de venta de bienes de las entidades estatales por el sistema de martillo; vi) el numeral 18 del artículo 25, el cual señala que “La declaratoria de desierta de la licitación únicamente procederá por motivos o causas que impidan la escogencia objetiva”, </w:t>
      </w:r>
      <w:proofErr w:type="spellStart"/>
      <w:r w:rsidRPr="003F4A18">
        <w:rPr>
          <w:rFonts w:ascii="Verdana" w:eastAsia="Arial" w:hAnsi="Verdana" w:cs="Arial"/>
          <w:color w:val="000000"/>
        </w:rPr>
        <w:t>vii</w:t>
      </w:r>
      <w:proofErr w:type="spellEnd"/>
      <w:r w:rsidRPr="003F4A18">
        <w:rPr>
          <w:rFonts w:ascii="Verdana" w:eastAsia="Arial" w:hAnsi="Verdana" w:cs="Arial"/>
          <w:color w:val="000000"/>
        </w:rPr>
        <w:t xml:space="preserve">) el numeral 2 del artículo 30, que dispone que “La entidad interesada elaborará los correspondientes pliegos de condiciones […]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 </w:t>
      </w:r>
      <w:proofErr w:type="spellStart"/>
      <w:r w:rsidRPr="003F4A18">
        <w:rPr>
          <w:rFonts w:ascii="Verdana" w:eastAsia="Arial" w:hAnsi="Verdana" w:cs="Arial"/>
          <w:color w:val="000000"/>
        </w:rPr>
        <w:t>viii</w:t>
      </w:r>
      <w:proofErr w:type="spellEnd"/>
      <w:r w:rsidRPr="003F4A18">
        <w:rPr>
          <w:rFonts w:ascii="Verdana" w:eastAsia="Arial" w:hAnsi="Verdana" w:cs="Arial"/>
          <w:color w:val="000000"/>
        </w:rPr>
        <w:t xml:space="preserve">) el inciso final del artículo 38, que obliga a las entidades estatales que tengan como objeto la prestación de servicios y actividades de telecomunicaciones a respetar el principio de selección objetiva, y </w:t>
      </w:r>
      <w:proofErr w:type="spellStart"/>
      <w:r w:rsidRPr="003F4A18">
        <w:rPr>
          <w:rFonts w:ascii="Verdana" w:eastAsia="Arial" w:hAnsi="Verdana" w:cs="Arial"/>
          <w:color w:val="000000"/>
        </w:rPr>
        <w:t>ix</w:t>
      </w:r>
      <w:proofErr w:type="spellEnd"/>
      <w:r w:rsidRPr="003F4A18">
        <w:rPr>
          <w:rFonts w:ascii="Verdana" w:eastAsia="Arial" w:hAnsi="Verdana" w:cs="Arial"/>
          <w:color w:val="000000"/>
        </w:rPr>
        <w:t xml:space="preserve">) el segundo inciso del artículo 76, que ordena cumplir también con dicho principio a las entidades que tengan por objeto la exploración, explotación y comercialización de recursos naturales renovables y no renovables. </w:t>
      </w:r>
    </w:p>
    <w:p w14:paraId="5DE638C2" w14:textId="77777777" w:rsidR="005171FE" w:rsidRPr="003F4A18" w:rsidRDefault="005171FE" w:rsidP="005171FE">
      <w:pPr>
        <w:spacing w:after="120" w:line="276" w:lineRule="auto"/>
        <w:ind w:firstLine="709"/>
        <w:jc w:val="both"/>
        <w:rPr>
          <w:rFonts w:ascii="Verdana" w:eastAsia="Arial" w:hAnsi="Verdana" w:cs="Arial"/>
          <w:color w:val="000000"/>
        </w:rPr>
      </w:pPr>
      <w:r w:rsidRPr="003F4A18">
        <w:rPr>
          <w:rFonts w:ascii="Verdana" w:eastAsia="Arial" w:hAnsi="Verdana" w:cs="Arial"/>
          <w:color w:val="000000"/>
        </w:rPr>
        <w:t xml:space="preserve">Por su parte, a nivel reglamentario, el Decreto 1082 de 2015 también hace referencia a la selección objetiva como postulado esencial al interior de los procedimientos de selección. Así se infiere de enunciados como: i) el numeral 4º del artículo 2.2.1.1.2.1.3, que indica que dentro de la información del pliego de condiciones se deben definir “Las condiciones de costo y/o calidad que la Entidad Estatal debe tener en cuenta para la selección objetiva, de acuerdo con la modalidad de selección del contratista”; o </w:t>
      </w:r>
      <w:proofErr w:type="spellStart"/>
      <w:r w:rsidRPr="003F4A18">
        <w:rPr>
          <w:rFonts w:ascii="Verdana" w:eastAsia="Arial" w:hAnsi="Verdana" w:cs="Arial"/>
          <w:color w:val="000000"/>
        </w:rPr>
        <w:t>ii</w:t>
      </w:r>
      <w:proofErr w:type="spellEnd"/>
      <w:r w:rsidRPr="003F4A18">
        <w:rPr>
          <w:rFonts w:ascii="Verdana" w:eastAsia="Arial" w:hAnsi="Verdana" w:cs="Arial"/>
          <w:color w:val="000000"/>
        </w:rPr>
        <w:t>) el numeral 8º del artículo 2.2.1.2.1.3.13, que establece como obligación del jurado calificador en los concursos de méritos para la selección de consultores de diseño, planos, anteproyectos y proyectos arquitectónicos, “Manifestar a la Entidad Estatal promotora la declaratoria de desierto el concurso de arquitectura, en caso que se presente el impedimento de la escogencia objetiva de que trata el numeral 18 del artículo 25 de la Ley 80 de 1993”.</w:t>
      </w:r>
    </w:p>
    <w:p w14:paraId="641C540C" w14:textId="77777777" w:rsidR="005171FE" w:rsidRDefault="005171FE" w:rsidP="005171FE">
      <w:pPr>
        <w:spacing w:after="0" w:line="276" w:lineRule="auto"/>
        <w:ind w:firstLine="709"/>
        <w:jc w:val="both"/>
        <w:rPr>
          <w:rFonts w:ascii="Verdana" w:eastAsia="Arial" w:hAnsi="Verdana" w:cs="Arial"/>
          <w:color w:val="000000"/>
        </w:rPr>
      </w:pPr>
      <w:r w:rsidRPr="003F4A18">
        <w:rPr>
          <w:rFonts w:ascii="Verdana" w:eastAsia="Arial" w:hAnsi="Verdana" w:cs="Arial"/>
          <w:color w:val="000000"/>
        </w:rPr>
        <w:t xml:space="preserve">La jurisprudencia también ha reconocido la preponderancia de este deber en la etapa precontractual, indicando que su garantía es imprescindible para satisfacer adecuadamente las necesidades de la sociedad a través del contrato. A este respecto, la Sección Tercera del Consejo de Estado ha dicho que “la </w:t>
      </w:r>
      <w:r w:rsidRPr="003F4A18">
        <w:rPr>
          <w:rFonts w:ascii="Verdana" w:eastAsia="Arial" w:hAnsi="Verdana" w:cs="Arial"/>
          <w:color w:val="000000"/>
        </w:rPr>
        <w:lastRenderedPageBreak/>
        <w:t>selección de contratistas, para cumplir con el requisito de objetividad, debe caracterizarse por: 1. Ausencia total de subjetividad; 2. Estar determinada por la comparación de distintos factores, establecidos con anterioridad por la Administración en el pliego de condiciones; 3. Estar determinada la forma como los factores de selección serán evaluados y el valor que corresponde a cada uno de ellos en el pliego de condiciones y 4. Estar determinada la adjudicación y celebración del negocio jurídico por un análisis, comparación y evaluación objetiva de las propuestas presentadas”</w:t>
      </w:r>
      <w:r w:rsidRPr="003F4A18">
        <w:rPr>
          <w:rFonts w:ascii="Verdana" w:eastAsia="Arial" w:hAnsi="Verdana" w:cs="Arial"/>
          <w:color w:val="000000"/>
          <w:vertAlign w:val="superscript"/>
        </w:rPr>
        <w:footnoteReference w:id="15"/>
      </w:r>
      <w:r w:rsidRPr="003F4A18">
        <w:rPr>
          <w:rFonts w:ascii="Verdana" w:eastAsia="Arial" w:hAnsi="Verdana" w:cs="Arial"/>
          <w:color w:val="000000"/>
        </w:rPr>
        <w:t>. Igualmente, ha señalado que “el principio de escogencia o selección objetiva de los contratistas fundamenta uno de los principales deberes de todos los responsables de la contratación estatal en el derecho colombiano, cual es el de mantener intacta la institucionalidad por encima de los intereses personales, individuales o subjetivos cuando se trate de escoger al contratista, al margen del procedimiento utilizado, con miras a evitar el actuar arbitrario, abusivo o violatorio de norma superior (numeral 8, art. 24, ley 80) por parte de los servidores públicos”</w:t>
      </w:r>
      <w:r w:rsidRPr="003F4A18">
        <w:rPr>
          <w:rFonts w:ascii="Verdana" w:eastAsia="Arial" w:hAnsi="Verdana" w:cs="Arial"/>
          <w:color w:val="000000"/>
          <w:vertAlign w:val="superscript"/>
        </w:rPr>
        <w:footnoteReference w:id="16"/>
      </w:r>
      <w:r w:rsidRPr="003F4A18">
        <w:rPr>
          <w:rFonts w:ascii="Verdana" w:eastAsia="Arial" w:hAnsi="Verdana" w:cs="Arial"/>
          <w:color w:val="000000"/>
        </w:rPr>
        <w:t>.</w:t>
      </w:r>
    </w:p>
    <w:p w14:paraId="2DD14DF1" w14:textId="77777777" w:rsidR="005171FE" w:rsidRPr="003F4A18" w:rsidRDefault="005171FE" w:rsidP="005171FE">
      <w:pPr>
        <w:spacing w:after="0" w:line="276" w:lineRule="auto"/>
        <w:ind w:firstLine="709"/>
        <w:jc w:val="both"/>
        <w:rPr>
          <w:rFonts w:ascii="Verdana" w:eastAsia="Arial" w:hAnsi="Verdana" w:cs="Arial"/>
          <w:color w:val="000000"/>
        </w:rPr>
      </w:pPr>
    </w:p>
    <w:p w14:paraId="51A7DA83" w14:textId="77777777" w:rsidR="005171FE" w:rsidRDefault="005171FE" w:rsidP="005171FE">
      <w:pPr>
        <w:pStyle w:val="Textoindependiente"/>
        <w:jc w:val="both"/>
        <w:rPr>
          <w:rFonts w:ascii="Verdana" w:hAnsi="Verdana"/>
          <w:lang w:val="es-ES_tradnl"/>
        </w:rPr>
      </w:pPr>
      <w:proofErr w:type="spellStart"/>
      <w:r>
        <w:rPr>
          <w:rFonts w:ascii="Verdana" w:hAnsi="Verdana"/>
          <w:lang w:val="es-ES_tradnl"/>
        </w:rPr>
        <w:t>iii</w:t>
      </w:r>
      <w:proofErr w:type="spellEnd"/>
      <w:r>
        <w:rPr>
          <w:rFonts w:ascii="Verdana" w:hAnsi="Verdana"/>
          <w:lang w:val="es-ES_tradnl"/>
        </w:rPr>
        <w:t xml:space="preserve">. </w:t>
      </w:r>
      <w:r w:rsidRPr="00064FD7">
        <w:rPr>
          <w:rFonts w:ascii="Verdana" w:hAnsi="Verdana"/>
          <w:lang w:val="es-ES_tradnl"/>
        </w:rPr>
        <w:t xml:space="preserve">Con excepción de los procedimientos regidos por documentos tipo, </w:t>
      </w:r>
      <w:r>
        <w:rPr>
          <w:rFonts w:ascii="Verdana" w:hAnsi="Verdana"/>
          <w:lang w:val="es-ES_tradnl"/>
        </w:rPr>
        <w:t>existe un margen</w:t>
      </w:r>
      <w:r w:rsidRPr="00064FD7">
        <w:rPr>
          <w:rFonts w:ascii="Verdana" w:hAnsi="Verdana"/>
          <w:lang w:val="es-ES_tradnl"/>
        </w:rPr>
        <w:t xml:space="preserve"> de discrecionalidad para definir el contenido del pliego de condiciones o documento </w:t>
      </w:r>
      <w:r w:rsidRPr="00120430">
        <w:rPr>
          <w:rFonts w:ascii="Verdana" w:hAnsi="Verdana"/>
          <w:lang w:val="es-ES_tradnl"/>
        </w:rPr>
        <w:t>equivalente</w:t>
      </w:r>
      <w:r w:rsidRPr="00120430">
        <w:rPr>
          <w:rStyle w:val="Refdenotaalpie"/>
          <w:rFonts w:ascii="Verdana" w:eastAsia="Times New Roman" w:hAnsi="Verdana" w:cs="Arial"/>
          <w:color w:val="000000" w:themeColor="text1"/>
        </w:rPr>
        <w:footnoteReference w:id="17"/>
      </w:r>
      <w:r w:rsidRPr="00120430">
        <w:rPr>
          <w:rFonts w:ascii="Verdana" w:hAnsi="Verdana"/>
          <w:lang w:val="es-ES_tradnl"/>
        </w:rPr>
        <w:t>. Salvo</w:t>
      </w:r>
      <w:r w:rsidRPr="00064FD7">
        <w:rPr>
          <w:rFonts w:ascii="Verdana" w:hAnsi="Verdana"/>
          <w:lang w:val="es-ES_tradnl"/>
        </w:rPr>
        <w:t xml:space="preserve"> los </w:t>
      </w:r>
      <w:r>
        <w:rPr>
          <w:rFonts w:ascii="Verdana" w:hAnsi="Verdana"/>
          <w:lang w:val="es-ES_tradnl"/>
        </w:rPr>
        <w:t>detalles que se encuentren reglados</w:t>
      </w:r>
      <w:r w:rsidRPr="00064FD7">
        <w:rPr>
          <w:rFonts w:ascii="Verdana" w:hAnsi="Verdana"/>
          <w:lang w:val="es-ES_tradnl"/>
        </w:rPr>
        <w:t xml:space="preserve"> en la actuación administrativa, esto implica libertad de las entidades para determinar </w:t>
      </w:r>
      <w:r>
        <w:rPr>
          <w:rFonts w:ascii="Verdana" w:hAnsi="Verdana"/>
          <w:lang w:val="es-ES_tradnl"/>
        </w:rPr>
        <w:t>varios aspectos del proceso de selección</w:t>
      </w:r>
      <w:r w:rsidRPr="00064FD7">
        <w:rPr>
          <w:rFonts w:ascii="Verdana" w:hAnsi="Verdana"/>
          <w:lang w:val="es-ES_tradnl"/>
        </w:rPr>
        <w:t xml:space="preserve">. Lo anterior en la medida que no existen </w:t>
      </w:r>
      <w:r w:rsidRPr="00064FD7">
        <w:rPr>
          <w:rFonts w:ascii="Verdana" w:hAnsi="Verdana"/>
          <w:lang w:val="es-ES_tradnl"/>
        </w:rPr>
        <w:lastRenderedPageBreak/>
        <w:t>potestades completamente discrecionales, por lo que dichos elementos reglados son una limitación efectiva a la libertad de configuración.</w:t>
      </w:r>
    </w:p>
    <w:p w14:paraId="2F76A3C4" w14:textId="77777777" w:rsidR="005171FE" w:rsidRDefault="005171FE" w:rsidP="005171FE">
      <w:pPr>
        <w:pStyle w:val="Textoindependiente"/>
        <w:ind w:firstLine="709"/>
        <w:jc w:val="both"/>
        <w:rPr>
          <w:rFonts w:ascii="Verdana" w:eastAsia="Calibri" w:hAnsi="Verdana" w:cs="Arial"/>
          <w:color w:val="000000" w:themeColor="text1"/>
        </w:rPr>
      </w:pPr>
      <w:r>
        <w:rPr>
          <w:rFonts w:ascii="Verdana" w:hAnsi="Verdana"/>
          <w:lang w:val="es-ES_tradnl"/>
        </w:rPr>
        <w:t xml:space="preserve">Conforme </w:t>
      </w:r>
      <w:r>
        <w:rPr>
          <w:rFonts w:ascii="Verdana" w:eastAsia="Calibri" w:hAnsi="Verdana" w:cs="Arial"/>
          <w:color w:val="000000" w:themeColor="text1"/>
        </w:rPr>
        <w:t xml:space="preserve">al inciso final del artículo 2 de la Ley 1437 de 2011 y la remisión del inciso primero del artículo 77 de la Ley 80 de 1993 a </w:t>
      </w:r>
      <w:r w:rsidRPr="00120430">
        <w:rPr>
          <w:rFonts w:ascii="Verdana" w:eastAsia="Calibri" w:hAnsi="Verdana" w:cs="Arial"/>
          <w:color w:val="000000" w:themeColor="text1"/>
        </w:rPr>
        <w:t>las normas que rigen los procedimientos y actuaciones en la función administrativa</w:t>
      </w:r>
      <w:r>
        <w:rPr>
          <w:rFonts w:ascii="Verdana" w:eastAsia="Calibri" w:hAnsi="Verdana" w:cs="Arial"/>
          <w:color w:val="000000" w:themeColor="text1"/>
        </w:rPr>
        <w:t>, es necesario tener cuenta que el artículo 44 del Código de Procedimiento Administrativo y de lo Contencioso Administrativo dispone lo siguiente: “</w:t>
      </w:r>
      <w:r w:rsidRPr="00A87044">
        <w:rPr>
          <w:rFonts w:ascii="Verdana" w:eastAsia="Calibri" w:hAnsi="Verdana" w:cs="Arial"/>
          <w:color w:val="000000" w:themeColor="text1"/>
        </w:rPr>
        <w:t>En la medida en que el contenido de una decisión de carácter general o particular sea discrecional, debe ser adecuada a los fines de la norma que la autoriza, y proporcional a los hechos que le sirven de causa</w:t>
      </w:r>
      <w:r>
        <w:rPr>
          <w:rFonts w:ascii="Verdana" w:eastAsia="Calibri" w:hAnsi="Verdana" w:cs="Arial"/>
          <w:color w:val="000000" w:themeColor="text1"/>
        </w:rPr>
        <w:t>”. Asimismo, dado que el pliego de condiciones establece las bases del proceso de selección, tiene fuerza vinculante respecto a la entidad que lo expide por su naturaleza jurídica como acto administrativo</w:t>
      </w:r>
      <w:r>
        <w:rPr>
          <w:rStyle w:val="Refdenotaalpie"/>
          <w:rFonts w:ascii="Verdana" w:eastAsia="Calibri" w:hAnsi="Verdana" w:cs="Arial"/>
          <w:color w:val="000000" w:themeColor="text1"/>
        </w:rPr>
        <w:footnoteReference w:id="18"/>
      </w:r>
      <w:r>
        <w:rPr>
          <w:rFonts w:ascii="Verdana" w:eastAsia="Calibri" w:hAnsi="Verdana" w:cs="Arial"/>
          <w:color w:val="000000" w:themeColor="text1"/>
        </w:rPr>
        <w:t xml:space="preserve">. </w:t>
      </w:r>
    </w:p>
    <w:p w14:paraId="75755750" w14:textId="77777777" w:rsidR="005171FE" w:rsidRDefault="005171FE" w:rsidP="005171FE">
      <w:pPr>
        <w:widowControl w:val="0"/>
        <w:autoSpaceDE w:val="0"/>
        <w:autoSpaceDN w:val="0"/>
        <w:spacing w:after="120" w:line="276" w:lineRule="auto"/>
        <w:ind w:firstLine="708"/>
        <w:jc w:val="both"/>
        <w:rPr>
          <w:rFonts w:ascii="Verdana" w:hAnsi="Verdana" w:cs="Arial"/>
          <w:lang w:eastAsia="es-ES"/>
        </w:rPr>
      </w:pPr>
      <w:r w:rsidRPr="006539F8">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1A39259" w14:textId="77777777" w:rsidR="005171FE" w:rsidRPr="00301910" w:rsidRDefault="005171FE" w:rsidP="005171FE">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301910">
        <w:rPr>
          <w:rFonts w:ascii="Verdana" w:hAnsi="Verdana" w:cs="Arial"/>
          <w:lang w:eastAsia="es-ES"/>
        </w:rPr>
        <w:t>.</w:t>
      </w:r>
    </w:p>
    <w:p w14:paraId="6B322497" w14:textId="77777777" w:rsidR="005171FE" w:rsidRPr="00182C89" w:rsidRDefault="005171FE" w:rsidP="005171FE">
      <w:pPr>
        <w:tabs>
          <w:tab w:val="left" w:pos="709"/>
        </w:tabs>
        <w:spacing w:after="0" w:line="276" w:lineRule="auto"/>
        <w:jc w:val="both"/>
        <w:rPr>
          <w:rFonts w:ascii="Verdana" w:eastAsia="Calibri" w:hAnsi="Verdana" w:cs="Arial"/>
          <w:color w:val="000000" w:themeColor="text1"/>
        </w:rPr>
      </w:pPr>
    </w:p>
    <w:p w14:paraId="7DB2A0E6" w14:textId="77777777" w:rsidR="005171FE" w:rsidRPr="00AE65D5" w:rsidRDefault="005171FE" w:rsidP="005171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8D394E9" w14:textId="77777777" w:rsidR="005171FE" w:rsidRPr="00593A5F" w:rsidRDefault="005171FE" w:rsidP="005171F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171FE" w:rsidRPr="002407CE" w14:paraId="68E19365" w14:textId="77777777" w:rsidTr="0071798F">
        <w:trPr>
          <w:trHeight w:val="870"/>
          <w:jc w:val="center"/>
        </w:trPr>
        <w:tc>
          <w:tcPr>
            <w:tcW w:w="8647" w:type="dxa"/>
          </w:tcPr>
          <w:p w14:paraId="78048422" w14:textId="77777777" w:rsidR="005171FE" w:rsidRDefault="005171FE" w:rsidP="005171F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21, 24, 25, 30, 38, 76 y 77.</w:t>
            </w:r>
          </w:p>
          <w:p w14:paraId="604E1638" w14:textId="77777777" w:rsidR="005171FE" w:rsidRDefault="005171FE" w:rsidP="005171F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y 5.</w:t>
            </w:r>
          </w:p>
          <w:p w14:paraId="2EB74493" w14:textId="77777777" w:rsidR="005171FE" w:rsidRDefault="005171FE" w:rsidP="005171F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artículos 2 y 44.</w:t>
            </w:r>
          </w:p>
          <w:p w14:paraId="47CE9A43" w14:textId="77777777" w:rsidR="005171FE" w:rsidRDefault="005171FE" w:rsidP="005171F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rPr>
              <w:t xml:space="preserve">Decreto 1082 de 2015, artículos </w:t>
            </w:r>
            <w:r w:rsidRPr="003F4A18">
              <w:rPr>
                <w:rFonts w:ascii="Verdana" w:eastAsia="Arial" w:hAnsi="Verdana" w:cs="Arial"/>
                <w:color w:val="000000"/>
              </w:rPr>
              <w:t>2.2.1.1.2.1.3</w:t>
            </w:r>
            <w:r>
              <w:rPr>
                <w:rFonts w:ascii="Verdana" w:eastAsia="Arial" w:hAnsi="Verdana" w:cs="Arial"/>
                <w:color w:val="000000"/>
              </w:rPr>
              <w:t>,</w:t>
            </w:r>
            <w:r>
              <w:rPr>
                <w:rFonts w:ascii="Verdana" w:hAnsi="Verdana"/>
              </w:rPr>
              <w:t xml:space="preserve"> </w:t>
            </w:r>
            <w:r w:rsidRPr="00CD2CDF">
              <w:rPr>
                <w:rFonts w:ascii="Verdana" w:hAnsi="Verdana"/>
              </w:rPr>
              <w:t>2.2.1.1.2.2.2</w:t>
            </w:r>
            <w:r>
              <w:rPr>
                <w:rFonts w:ascii="Verdana" w:hAnsi="Verdana"/>
              </w:rPr>
              <w:t xml:space="preserve">, </w:t>
            </w:r>
            <w:r w:rsidRPr="003F4A18">
              <w:rPr>
                <w:rFonts w:ascii="Verdana" w:eastAsia="Arial" w:hAnsi="Verdana" w:cs="Arial"/>
                <w:color w:val="000000"/>
              </w:rPr>
              <w:t>2.2.1.2.1.3.13</w:t>
            </w:r>
            <w:r>
              <w:rPr>
                <w:rFonts w:ascii="Verdana" w:hAnsi="Verdana"/>
              </w:rPr>
              <w:t>.</w:t>
            </w:r>
          </w:p>
          <w:p w14:paraId="5C00D487" w14:textId="77777777" w:rsidR="005171FE" w:rsidRPr="00F90929" w:rsidRDefault="005171FE" w:rsidP="005171F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F43AF">
              <w:rPr>
                <w:rFonts w:ascii="Verdana" w:hAnsi="Verdana"/>
              </w:rPr>
              <w:t>Decreto 1469 de 2025</w:t>
            </w:r>
            <w:r>
              <w:rPr>
                <w:rFonts w:ascii="Verdana" w:hAnsi="Verdana"/>
              </w:rPr>
              <w:t>, artículo 1.</w:t>
            </w:r>
          </w:p>
          <w:p w14:paraId="26E6373B" w14:textId="77777777" w:rsidR="005171FE" w:rsidRPr="00D01DA8" w:rsidRDefault="005171FE" w:rsidP="005171FE">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rPr>
              <w:t>Decreto 159 de 2026, artículo 1.</w:t>
            </w:r>
          </w:p>
        </w:tc>
      </w:tr>
    </w:tbl>
    <w:p w14:paraId="30E0760A" w14:textId="77777777" w:rsidR="005171FE" w:rsidRPr="002407CE" w:rsidRDefault="005171FE" w:rsidP="005171FE">
      <w:pPr>
        <w:widowControl w:val="0"/>
        <w:autoSpaceDE w:val="0"/>
        <w:autoSpaceDN w:val="0"/>
        <w:spacing w:after="0" w:line="276" w:lineRule="auto"/>
        <w:jc w:val="both"/>
        <w:rPr>
          <w:rFonts w:ascii="Verdana" w:hAnsi="Verdana" w:cs="Arial"/>
        </w:rPr>
      </w:pPr>
    </w:p>
    <w:p w14:paraId="2E1D2A23" w14:textId="77777777" w:rsidR="005171FE" w:rsidRPr="00593A5F" w:rsidRDefault="005171FE" w:rsidP="005171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FE645A6" w14:textId="77777777" w:rsidR="005171FE" w:rsidRPr="00593A5F" w:rsidRDefault="005171FE" w:rsidP="005171FE">
      <w:pPr>
        <w:widowControl w:val="0"/>
        <w:autoSpaceDE w:val="0"/>
        <w:autoSpaceDN w:val="0"/>
        <w:spacing w:after="0" w:line="276" w:lineRule="auto"/>
        <w:jc w:val="both"/>
        <w:rPr>
          <w:rFonts w:ascii="Verdana" w:hAnsi="Verdana" w:cs="Arial"/>
        </w:rPr>
      </w:pPr>
    </w:p>
    <w:p w14:paraId="300ACF57" w14:textId="77777777" w:rsidR="005171FE" w:rsidRPr="007E4299" w:rsidRDefault="005171FE" w:rsidP="005171FE">
      <w:pPr>
        <w:widowControl w:val="0"/>
        <w:autoSpaceDE w:val="0"/>
        <w:autoSpaceDN w:val="0"/>
        <w:spacing w:after="0" w:line="276" w:lineRule="auto"/>
        <w:jc w:val="both"/>
        <w:rPr>
          <w:rStyle w:val="normaltextrun"/>
          <w:rFonts w:ascii="Verdana" w:hAnsi="Verdana"/>
        </w:rPr>
      </w:pPr>
      <w:r>
        <w:rPr>
          <w:rFonts w:ascii="Verdana" w:eastAsia="Calibri" w:hAnsi="Verdana" w:cs="Arial"/>
          <w:shd w:val="clear" w:color="auto" w:fill="FFFFFF"/>
        </w:rPr>
        <w:t>E</w:t>
      </w:r>
      <w:r w:rsidRPr="00DD0AFF">
        <w:rPr>
          <w:rFonts w:ascii="Verdana" w:hAnsi="Verdana" w:cs="Arial"/>
          <w:shd w:val="clear" w:color="auto" w:fill="FFFFFF"/>
        </w:rPr>
        <w:t>st</w:t>
      </w:r>
      <w:r>
        <w:rPr>
          <w:rFonts w:ascii="Verdana" w:hAnsi="Verdana" w:cs="Arial"/>
          <w:shd w:val="clear" w:color="auto" w:fill="FFFFFF"/>
        </w:rPr>
        <w:t>e</w:t>
      </w:r>
      <w:r w:rsidRPr="00DD0AFF">
        <w:rPr>
          <w:rFonts w:ascii="Verdana" w:hAnsi="Verdana" w:cs="Arial"/>
          <w:shd w:val="clear" w:color="auto" w:fill="FFFFFF"/>
        </w:rPr>
        <w:t xml:space="preserve"> y otros</w:t>
      </w:r>
      <w:r>
        <w:rPr>
          <w:rFonts w:ascii="Verdana" w:hAnsi="Verdana" w:cs="Arial"/>
          <w:shd w:val="clear" w:color="auto" w:fill="FFFFFF"/>
        </w:rPr>
        <w:t xml:space="preserve"> de la Subdirección de Gestión Contractual</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9C114DF" w14:textId="77777777" w:rsidR="005171FE" w:rsidRPr="00096788" w:rsidRDefault="005171FE" w:rsidP="005171FE">
      <w:pPr>
        <w:widowControl w:val="0"/>
        <w:autoSpaceDE w:val="0"/>
        <w:autoSpaceDN w:val="0"/>
        <w:spacing w:after="0" w:line="276" w:lineRule="auto"/>
        <w:jc w:val="both"/>
        <w:rPr>
          <w:rFonts w:ascii="Verdana" w:hAnsi="Verdana" w:cs="Arial"/>
          <w:color w:val="000000" w:themeColor="text1"/>
          <w:shd w:val="clear" w:color="auto" w:fill="FFFFFF"/>
        </w:rPr>
      </w:pPr>
    </w:p>
    <w:p w14:paraId="6F4A87CD" w14:textId="77777777" w:rsidR="005171FE" w:rsidRDefault="005171FE" w:rsidP="005171FE">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1948A6AE" w14:textId="77777777" w:rsidR="005171FE" w:rsidRPr="009A385A" w:rsidRDefault="005171FE" w:rsidP="005171FE">
      <w:pPr>
        <w:spacing w:after="0"/>
        <w:jc w:val="both"/>
        <w:rPr>
          <w:rFonts w:ascii="Verdana" w:hAnsi="Verdana"/>
        </w:rPr>
      </w:pPr>
    </w:p>
    <w:p w14:paraId="132F2792" w14:textId="77777777" w:rsidR="005171FE" w:rsidRDefault="005171FE" w:rsidP="005171FE">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635F16">
        <w:rPr>
          <w:rFonts w:ascii="Verdana" w:hAnsi="Verdana"/>
        </w:rPr>
        <w:lastRenderedPageBreak/>
        <w:t xml:space="preserve">Consulta y descarga los documentos aquí: </w:t>
      </w:r>
      <w:hyperlink r:id="rId13" w:tgtFrame="_new" w:history="1">
        <w:r w:rsidRPr="00635F16">
          <w:rPr>
            <w:rStyle w:val="Hipervnculo"/>
            <w:rFonts w:ascii="Verdana" w:hAnsi="Verdana"/>
          </w:rPr>
          <w:t>https://www.colombiacompra.gov.co/normativa-y-relatoria/documentos-tipo</w:t>
        </w:r>
      </w:hyperlink>
    </w:p>
    <w:p w14:paraId="130DD506" w14:textId="77777777" w:rsidR="005171FE" w:rsidRDefault="005171FE" w:rsidP="005171FE">
      <w:pPr>
        <w:spacing w:after="0"/>
        <w:jc w:val="both"/>
        <w:rPr>
          <w:rFonts w:ascii="Verdana" w:hAnsi="Verdana"/>
        </w:rPr>
      </w:pPr>
    </w:p>
    <w:p w14:paraId="14B1F783" w14:textId="77777777" w:rsidR="005171FE" w:rsidRPr="008E1CD7" w:rsidRDefault="005171FE" w:rsidP="005171FE">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A711623" w14:textId="77777777" w:rsidR="005171FE" w:rsidRDefault="005171FE" w:rsidP="005171FE">
      <w:pPr>
        <w:shd w:val="clear" w:color="auto" w:fill="FFFFFF"/>
        <w:spacing w:after="0" w:line="276" w:lineRule="auto"/>
        <w:jc w:val="both"/>
        <w:rPr>
          <w:rFonts w:ascii="Verdana" w:hAnsi="Verdana"/>
          <w:color w:val="000000"/>
          <w:u w:val="single"/>
        </w:rPr>
      </w:pPr>
    </w:p>
    <w:p w14:paraId="2F6B0360" w14:textId="77777777" w:rsidR="005171FE" w:rsidRPr="0038088D" w:rsidRDefault="005171FE" w:rsidP="005171FE">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376D385E" w14:textId="77777777" w:rsidR="005171FE" w:rsidRPr="0038088D" w:rsidRDefault="005171FE" w:rsidP="005171FE">
      <w:pPr>
        <w:spacing w:after="0"/>
        <w:jc w:val="both"/>
        <w:rPr>
          <w:rFonts w:ascii="Verdana" w:hAnsi="Verdana"/>
        </w:rPr>
      </w:pPr>
    </w:p>
    <w:p w14:paraId="7418345A" w14:textId="77777777" w:rsidR="005171FE" w:rsidRPr="0038088D" w:rsidRDefault="005171FE" w:rsidP="005171FE">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5F9D6877" w14:textId="77777777" w:rsidR="005171FE" w:rsidRPr="0038088D" w:rsidRDefault="005171FE" w:rsidP="005171FE">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r w:rsidRPr="0038088D">
        <w:rPr>
          <w:rStyle w:val="Hipervnculo"/>
          <w:rFonts w:ascii="Verdana" w:hAnsi="Verdana"/>
        </w:rPr>
        <w:t>+57 601 7456788</w:t>
      </w:r>
    </w:p>
    <w:p w14:paraId="34BD7C2A" w14:textId="77777777" w:rsidR="005171FE" w:rsidRPr="0038088D" w:rsidRDefault="005171FE" w:rsidP="005171FE">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6451366A" w14:textId="77777777" w:rsidR="005171FE" w:rsidRPr="0038088D" w:rsidRDefault="005171FE" w:rsidP="005171FE">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1AA17493" w14:textId="77777777" w:rsidR="005171FE" w:rsidRPr="0038088D" w:rsidRDefault="005171FE" w:rsidP="005171FE">
      <w:pPr>
        <w:spacing w:after="0" w:line="240" w:lineRule="auto"/>
        <w:ind w:left="720"/>
        <w:jc w:val="both"/>
        <w:rPr>
          <w:rFonts w:ascii="Verdana" w:hAnsi="Verdana"/>
        </w:rPr>
      </w:pPr>
    </w:p>
    <w:p w14:paraId="3F01ECBD" w14:textId="77777777" w:rsidR="005171FE" w:rsidRPr="0038088D" w:rsidRDefault="005171FE" w:rsidP="005171FE">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47E3F77C" w14:textId="77777777" w:rsidR="005171FE" w:rsidRPr="0038088D" w:rsidRDefault="005171FE" w:rsidP="005171FE">
      <w:pPr>
        <w:spacing w:after="0" w:line="240" w:lineRule="auto"/>
        <w:rPr>
          <w:rFonts w:ascii="Verdana" w:hAnsi="Verdana"/>
        </w:rPr>
      </w:pPr>
    </w:p>
    <w:p w14:paraId="0F9A2E4F" w14:textId="77777777" w:rsidR="005171FE" w:rsidRPr="0038088D" w:rsidRDefault="005171FE" w:rsidP="005171FE">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28EF5382" w14:textId="77777777" w:rsidR="005171FE" w:rsidRPr="00116940" w:rsidRDefault="005171FE" w:rsidP="005171FE">
      <w:pPr>
        <w:spacing w:after="0" w:line="240" w:lineRule="auto"/>
        <w:jc w:val="both"/>
        <w:rPr>
          <w:rFonts w:ascii="Verdana" w:hAnsi="Verdana"/>
        </w:rPr>
      </w:pPr>
    </w:p>
    <w:p w14:paraId="00636EA8" w14:textId="77777777" w:rsidR="005171FE" w:rsidRPr="00116940" w:rsidRDefault="005171FE" w:rsidP="005171FE">
      <w:pPr>
        <w:spacing w:after="0" w:line="240" w:lineRule="auto"/>
        <w:jc w:val="both"/>
        <w:rPr>
          <w:rFonts w:ascii="Verdana" w:hAnsi="Verdana"/>
        </w:rPr>
      </w:pPr>
      <w:r w:rsidRPr="00116940">
        <w:rPr>
          <w:rFonts w:ascii="Verdana" w:hAnsi="Verdana"/>
        </w:rPr>
        <w:lastRenderedPageBreak/>
        <w:t xml:space="preserve">Twitter: </w:t>
      </w:r>
      <w:r w:rsidRPr="00116940">
        <w:rPr>
          <w:rStyle w:val="Hipervnculo"/>
          <w:rFonts w:ascii="Verdana" w:hAnsi="Verdana"/>
        </w:rPr>
        <w:t>@colombiacompra</w:t>
      </w:r>
      <w:r w:rsidRPr="00116940">
        <w:rPr>
          <w:rFonts w:ascii="Verdana" w:hAnsi="Verdana"/>
        </w:rPr>
        <w:t xml:space="preserve"> </w:t>
      </w:r>
    </w:p>
    <w:p w14:paraId="0198E100" w14:textId="77777777" w:rsidR="005171FE" w:rsidRPr="00116940" w:rsidRDefault="005171FE" w:rsidP="005171FE">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0FC78CB" w14:textId="77777777" w:rsidR="005171FE" w:rsidRPr="00E22E6E" w:rsidRDefault="005171FE" w:rsidP="005171FE">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0B2EA02" w14:textId="77777777" w:rsidR="005171FE" w:rsidRPr="009C4035" w:rsidRDefault="005171FE" w:rsidP="005171FE">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7AC84137" w14:textId="77777777" w:rsidR="005171FE" w:rsidRPr="00593A5F" w:rsidRDefault="005171FE" w:rsidP="005171FE">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F7AC9CC" w14:textId="77777777" w:rsidR="005171FE" w:rsidRPr="00593A5F" w:rsidRDefault="005171FE" w:rsidP="005171FE">
      <w:pPr>
        <w:widowControl w:val="0"/>
        <w:autoSpaceDE w:val="0"/>
        <w:autoSpaceDN w:val="0"/>
        <w:spacing w:after="0" w:line="276" w:lineRule="auto"/>
        <w:jc w:val="both"/>
        <w:rPr>
          <w:rFonts w:ascii="Verdana" w:hAnsi="Verdana" w:cs="Arial"/>
        </w:rPr>
      </w:pPr>
    </w:p>
    <w:p w14:paraId="549C89D3" w14:textId="77777777" w:rsidR="005171FE" w:rsidRPr="00593A5F" w:rsidRDefault="005171FE" w:rsidP="005171FE">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4604117" w14:textId="249D1E3A" w:rsidR="005171FE" w:rsidRPr="00593A5F" w:rsidRDefault="000F7710" w:rsidP="005171FE">
      <w:pPr>
        <w:spacing w:line="276" w:lineRule="auto"/>
        <w:jc w:val="center"/>
        <w:rPr>
          <w:rFonts w:ascii="Verdana" w:hAnsi="Verdana" w:cs="Arial"/>
          <w:color w:val="000000"/>
          <w:lang w:val="es-ES_tradnl" w:eastAsia="es-CO"/>
        </w:rPr>
      </w:pPr>
      <w:r>
        <w:rPr>
          <w:noProof/>
        </w:rPr>
        <w:drawing>
          <wp:inline distT="0" distB="0" distL="0" distR="0" wp14:anchorId="3A9D6572" wp14:editId="4349A01A">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171FE" w:rsidRPr="00593A5F" w14:paraId="788C9646" w14:textId="77777777" w:rsidTr="0071798F">
        <w:trPr>
          <w:trHeight w:val="315"/>
        </w:trPr>
        <w:tc>
          <w:tcPr>
            <w:tcW w:w="893" w:type="dxa"/>
            <w:vAlign w:val="center"/>
            <w:hideMark/>
          </w:tcPr>
          <w:p w14:paraId="4BADD63D" w14:textId="77777777" w:rsidR="005171FE" w:rsidRPr="003751C7" w:rsidRDefault="005171FE" w:rsidP="0071798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00B58E" w14:textId="77777777" w:rsidR="005171FE" w:rsidRPr="00254A7A" w:rsidRDefault="005171FE" w:rsidP="0071798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2141E8CC" w14:textId="77777777" w:rsidR="005171FE" w:rsidRPr="00254A7A" w:rsidRDefault="005171FE" w:rsidP="0071798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5171FE" w:rsidRPr="00593A5F" w14:paraId="26ACD6F7" w14:textId="77777777" w:rsidTr="0071798F">
        <w:trPr>
          <w:trHeight w:val="330"/>
        </w:trPr>
        <w:tc>
          <w:tcPr>
            <w:tcW w:w="893" w:type="dxa"/>
            <w:vAlign w:val="center"/>
            <w:hideMark/>
          </w:tcPr>
          <w:p w14:paraId="446DF62A" w14:textId="77777777" w:rsidR="005171FE" w:rsidRPr="003751C7" w:rsidRDefault="005171FE" w:rsidP="0071798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98970F7" w14:textId="77777777" w:rsidR="005171FE" w:rsidRPr="004A0809" w:rsidRDefault="005171FE" w:rsidP="0071798F">
            <w:pPr>
              <w:pStyle w:val="paragraph"/>
              <w:spacing w:after="0"/>
              <w:contextualSpacing/>
              <w:textAlignment w:val="baseline"/>
              <w:rPr>
                <w:rStyle w:val="normaltextrun"/>
                <w:rFonts w:ascii="Verdana" w:hAnsi="Verdana" w:cs="Arial"/>
                <w:sz w:val="16"/>
                <w:szCs w:val="16"/>
                <w:lang w:val="es-ES_tradnl"/>
              </w:rPr>
            </w:pPr>
            <w:r w:rsidRPr="004A0809">
              <w:rPr>
                <w:rStyle w:val="normaltextrun"/>
                <w:rFonts w:ascii="Verdana" w:hAnsi="Verdana" w:cs="Arial"/>
                <w:sz w:val="16"/>
                <w:szCs w:val="16"/>
                <w:lang w:val="es-ES_tradnl"/>
              </w:rPr>
              <w:t>Diana Lucia Saavedra Castañeda</w:t>
            </w:r>
          </w:p>
          <w:p w14:paraId="38BF870D" w14:textId="77777777" w:rsidR="005171FE" w:rsidRPr="00254A7A" w:rsidRDefault="005171FE" w:rsidP="0071798F">
            <w:pPr>
              <w:pStyle w:val="paragraph"/>
              <w:spacing w:before="0" w:beforeAutospacing="0" w:after="0" w:afterAutospacing="0"/>
              <w:contextualSpacing/>
              <w:textAlignment w:val="baseline"/>
              <w:rPr>
                <w:rFonts w:ascii="Verdana" w:hAnsi="Verdana" w:cs="Segoe UI"/>
                <w:sz w:val="16"/>
                <w:szCs w:val="16"/>
              </w:rPr>
            </w:pPr>
            <w:r w:rsidRPr="004A0809">
              <w:rPr>
                <w:rStyle w:val="normaltextrun"/>
                <w:rFonts w:ascii="Verdana" w:hAnsi="Verdana" w:cs="Arial"/>
                <w:sz w:val="16"/>
                <w:szCs w:val="16"/>
                <w:lang w:val="es-ES_tradnl"/>
              </w:rPr>
              <w:t>Contratista de la Subdirección de Gestión Contractua</w:t>
            </w:r>
            <w:r>
              <w:rPr>
                <w:rStyle w:val="normaltextrun"/>
                <w:rFonts w:ascii="Verdana" w:hAnsi="Verdana" w:cs="Arial"/>
                <w:sz w:val="16"/>
                <w:szCs w:val="16"/>
                <w:lang w:val="es-ES_tradnl"/>
              </w:rPr>
              <w:t>l</w:t>
            </w:r>
          </w:p>
        </w:tc>
      </w:tr>
      <w:tr w:rsidR="005171FE" w:rsidRPr="00593A5F" w14:paraId="4324804F" w14:textId="77777777" w:rsidTr="0071798F">
        <w:trPr>
          <w:trHeight w:val="300"/>
        </w:trPr>
        <w:tc>
          <w:tcPr>
            <w:tcW w:w="893" w:type="dxa"/>
            <w:vAlign w:val="center"/>
          </w:tcPr>
          <w:p w14:paraId="4FBF8205" w14:textId="77777777" w:rsidR="005171FE" w:rsidRPr="003751C7" w:rsidRDefault="005171FE" w:rsidP="0071798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0EBCDD1" w14:textId="77777777" w:rsidR="005171FE" w:rsidRPr="001133D2" w:rsidRDefault="005171FE" w:rsidP="0071798F">
            <w:pPr>
              <w:contextualSpacing/>
              <w:rPr>
                <w:rFonts w:ascii="Verdana" w:eastAsia="Calibri" w:hAnsi="Verdana" w:cs="Arial"/>
                <w:sz w:val="16"/>
                <w:szCs w:val="16"/>
                <w:lang w:val="es-ES_tradnl" w:eastAsia="es-ES"/>
              </w:rPr>
            </w:pPr>
            <w:r w:rsidRPr="001133D2">
              <w:rPr>
                <w:rFonts w:ascii="Verdana" w:eastAsia="Calibri" w:hAnsi="Verdana" w:cs="Arial"/>
                <w:sz w:val="16"/>
                <w:szCs w:val="16"/>
                <w:lang w:val="es-ES_tradnl" w:eastAsia="es-ES"/>
              </w:rPr>
              <w:t>Carolina Quintero Gacharná</w:t>
            </w:r>
          </w:p>
          <w:p w14:paraId="71436FCA" w14:textId="77777777" w:rsidR="005171FE" w:rsidRPr="003751C7" w:rsidRDefault="005171FE" w:rsidP="0071798F">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6A5B3987" w14:textId="77777777" w:rsidR="005171FE" w:rsidRDefault="005171FE" w:rsidP="005171FE"/>
    <w:p w14:paraId="48BAE049" w14:textId="2ACA1218" w:rsidR="005171FE" w:rsidRPr="00543BFE" w:rsidRDefault="005171FE" w:rsidP="005171FE"/>
    <w:p w14:paraId="443B2E1B" w14:textId="77777777" w:rsidR="005171FE" w:rsidRPr="00543BFE" w:rsidRDefault="005171FE" w:rsidP="005171FE"/>
    <w:p w14:paraId="0F293BF4" w14:textId="6D833C3B" w:rsidR="00127233" w:rsidRPr="00802AC9" w:rsidRDefault="00127233" w:rsidP="00802AC9"/>
    <w:sectPr w:rsidR="00127233" w:rsidRPr="00802AC9"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B49B3A" w14:textId="77777777" w:rsidR="005C4486" w:rsidRDefault="005C4486" w:rsidP="004A1847">
      <w:pPr>
        <w:spacing w:after="0" w:line="240" w:lineRule="auto"/>
      </w:pPr>
      <w:r>
        <w:separator/>
      </w:r>
    </w:p>
  </w:endnote>
  <w:endnote w:type="continuationSeparator" w:id="0">
    <w:p w14:paraId="5ABB65CE" w14:textId="77777777" w:rsidR="005C4486" w:rsidRDefault="005C448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5234B" w14:textId="77777777" w:rsidR="005C4486" w:rsidRDefault="005C4486" w:rsidP="004A1847">
      <w:pPr>
        <w:spacing w:after="0" w:line="240" w:lineRule="auto"/>
      </w:pPr>
      <w:r>
        <w:separator/>
      </w:r>
    </w:p>
  </w:footnote>
  <w:footnote w:type="continuationSeparator" w:id="0">
    <w:p w14:paraId="6728953B" w14:textId="77777777" w:rsidR="005C4486" w:rsidRDefault="005C4486" w:rsidP="004A1847">
      <w:pPr>
        <w:spacing w:after="0" w:line="240" w:lineRule="auto"/>
      </w:pPr>
      <w:r>
        <w:continuationSeparator/>
      </w:r>
    </w:p>
  </w:footnote>
  <w:footnote w:id="1">
    <w:p w14:paraId="45BECD80" w14:textId="77777777" w:rsidR="005171FE" w:rsidRPr="00E12E59" w:rsidRDefault="005171FE" w:rsidP="005171FE">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Al respecto, la jurisprudencia explica que la garantía del debido proceso “[…]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(CONSEJO DE ESTADO. Sección Tercera. Sentencia del 23 de junio de 2010. Rad. 16.367. C.P. Enrique Gil Botero). </w:t>
      </w:r>
    </w:p>
  </w:footnote>
  <w:footnote w:id="2">
    <w:p w14:paraId="43DE72F4" w14:textId="77777777" w:rsidR="005171FE" w:rsidRPr="00E12E59" w:rsidRDefault="005171FE" w:rsidP="005171FE">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De hecho, en la exposición de motivos se explicó lo siguiente: “El proyecto mantiene como regla general la utilización de procedimientos reglados de selección objetiva del contratista [...], lo que afirma la ordenación que sobre la materia ha mantenido nuestra legislación desde el Código Fiscal de 1873 en cuanto que su justificación estriba, esencialmente, en los conceptos de seguridad, corrección y moralidad administrativas, así como en el principio de igualdad de oportunidades para que cualquier persona que esté en posibilidad de contratar con la administración tenga acceso a ella” (</w:t>
      </w:r>
      <w:bookmarkStart w:id="4" w:name="_Hlk39067926"/>
      <w:r w:rsidRPr="00E12E59">
        <w:rPr>
          <w:rFonts w:ascii="Verdana" w:hAnsi="Verdana" w:cs="Arial"/>
          <w:sz w:val="16"/>
          <w:szCs w:val="16"/>
        </w:rPr>
        <w:t>CONGRESO DE LA REPÚBLICA. Exposición de motivos de la Ley 80 de 1993. Gaceta del Congreso No. 75 del 23 de septiembre de 1992</w:t>
      </w:r>
      <w:bookmarkEnd w:id="4"/>
      <w:r w:rsidRPr="00E12E59">
        <w:rPr>
          <w:rFonts w:ascii="Verdana" w:hAnsi="Verdana" w:cs="Arial"/>
          <w:sz w:val="16"/>
          <w:szCs w:val="16"/>
        </w:rPr>
        <w:t>).</w:t>
      </w:r>
    </w:p>
  </w:footnote>
  <w:footnote w:id="3">
    <w:p w14:paraId="47ECD11C" w14:textId="77777777" w:rsidR="005171FE" w:rsidRPr="00E12E59" w:rsidRDefault="005171FE" w:rsidP="005171FE">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El inciso primero de norma disponía que, conforme al principio de transparencia, “</w:t>
      </w:r>
      <w:r w:rsidRPr="00E12E59">
        <w:rPr>
          <w:rFonts w:ascii="Verdana" w:hAnsi="Verdana" w:cs="Arial"/>
          <w:i/>
          <w:iCs/>
          <w:sz w:val="16"/>
          <w:szCs w:val="16"/>
        </w:rPr>
        <w:t>La escogencia del contratista se efectuará siempre a través de licitación o concurso públicos</w:t>
      </w:r>
      <w:r w:rsidRPr="00E12E59">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14:paraId="631EEA2C" w14:textId="77777777" w:rsidR="005171FE" w:rsidRPr="00E12E59" w:rsidRDefault="005171FE" w:rsidP="005171FE">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E12E59">
        <w:rPr>
          <w:rFonts w:ascii="Verdana" w:hAnsi="Verdana" w:cs="Arial"/>
          <w:i/>
          <w:iCs/>
          <w:sz w:val="16"/>
          <w:szCs w:val="16"/>
        </w:rPr>
        <w:t>Presentación de la oferta de manera dinámica</w:t>
      </w:r>
      <w:r w:rsidRPr="00E12E59">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14:paraId="340A935F" w14:textId="77777777" w:rsidR="005171FE" w:rsidRPr="00E12E59" w:rsidRDefault="005171FE" w:rsidP="005171FE">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El numeral 2 del artículo 2 de la Ley 1150 de 2007 prescribe: “[…] Serán causales de selección abreviada las siguientes:</w:t>
      </w:r>
    </w:p>
    <w:p w14:paraId="14C460E2"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4CC56883"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4C473C16"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63D8F14E"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w:t>
      </w:r>
    </w:p>
    <w:p w14:paraId="14AE2AF6"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78B2C8E0"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7DD12B56"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e) La enajenación de bienes del Estado, con excepción de aquellos a que se refiere la Ley 226 de 1995.</w:t>
      </w:r>
    </w:p>
    <w:p w14:paraId="5C788D15"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 xml:space="preserve">[…]; </w:t>
      </w:r>
    </w:p>
    <w:p w14:paraId="17C94ECD"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 xml:space="preserve">f) Productos de origen o destinación agropecuarios que se ofrezcan en las bolsas de productos legalmente constituidas; </w:t>
      </w:r>
    </w:p>
    <w:p w14:paraId="20E0BEBB"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6901BE82"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02F6725F"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i) La contratación de bienes y servicios que se requieran para la defensa y seguridad nacional.</w:t>
      </w:r>
    </w:p>
    <w:p w14:paraId="438E64A1" w14:textId="77777777" w:rsidR="005171FE" w:rsidRPr="00E12E59" w:rsidRDefault="005171FE" w:rsidP="005171FE">
      <w:pPr>
        <w:pStyle w:val="Textonotapie"/>
        <w:ind w:firstLine="708"/>
        <w:jc w:val="both"/>
        <w:rPr>
          <w:rFonts w:ascii="Verdana" w:hAnsi="Verdana" w:cs="Arial"/>
          <w:sz w:val="16"/>
          <w:szCs w:val="16"/>
        </w:rPr>
      </w:pPr>
      <w:r w:rsidRPr="00E12E59">
        <w:rPr>
          <w:rFonts w:ascii="Verdana" w:hAnsi="Verdana" w:cs="Arial"/>
          <w:sz w:val="16"/>
          <w:szCs w:val="16"/>
        </w:rPr>
        <w:t>j) Los bienes y servicios no uniformes de común utilización por parte de las entidades públicas, para lo cual la Agencia Nacional de Contratación Pública Colombia Compra Eficiente-podrá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6">
    <w:p w14:paraId="48B73E38" w14:textId="77777777" w:rsidR="005171FE" w:rsidRPr="00E12E59" w:rsidRDefault="005171FE" w:rsidP="005171FE">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CONGRESO DE LA REPÚBLICA. Exposición de motivos de la Ley 1150 de 2007. Gaceta del Congreso No. 458 del 1º de agosto de 2005. p. 8. </w:t>
      </w:r>
    </w:p>
  </w:footnote>
  <w:footnote w:id="7">
    <w:p w14:paraId="38DAD0FF" w14:textId="77777777" w:rsidR="005171FE" w:rsidRPr="00E12E59" w:rsidRDefault="005171FE" w:rsidP="005171FE">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CONSEJO DE ESTADO. Sección Tercera. Subsección A. Sentencia del 23 de julio de 2015. Exp. 36.805. C. P. Hernán Andrade Rincón. </w:t>
      </w:r>
    </w:p>
  </w:footnote>
  <w:footnote w:id="8">
    <w:p w14:paraId="3D909AA2" w14:textId="77777777" w:rsidR="005171FE" w:rsidRPr="00E12E59" w:rsidRDefault="005171FE" w:rsidP="005171FE">
      <w:pPr>
        <w:pStyle w:val="Textonotapie"/>
        <w:ind w:firstLine="708"/>
        <w:jc w:val="both"/>
        <w:rPr>
          <w:rFonts w:ascii="Verdana" w:hAnsi="Verdana"/>
          <w:sz w:val="16"/>
          <w:szCs w:val="16"/>
        </w:rPr>
      </w:pPr>
      <w:r w:rsidRPr="00E12E59">
        <w:rPr>
          <w:rStyle w:val="Refdenotaalpie"/>
          <w:rFonts w:ascii="Verdana" w:hAnsi="Verdana"/>
          <w:sz w:val="16"/>
          <w:szCs w:val="16"/>
        </w:rPr>
        <w:footnoteRef/>
      </w:r>
      <w:r w:rsidRPr="00E12E59">
        <w:rPr>
          <w:rFonts w:ascii="Verdana" w:hAnsi="Verdana"/>
          <w:sz w:val="16"/>
          <w:szCs w:val="16"/>
        </w:rPr>
        <w:t xml:space="preserve"> Al respecto, la jurisprudencia explica que “[…] los contratos sin formalidades plenas no están previstos por la legislación nacional, pues […] el parágrafo del artículo 39 de la Ley 80 de 1993 fue derogado por el artículo 32 de la Ley 1150 de 2007. Ahora se les denomina contratos de mínima cuantía y se encuentran regulados por los artículos 2 de la Ley 1150 de 2007 y 94 de la Ley 1474 de 2011 […]; no obstante la denominación que reciban, realmente los contratos de mínima cuantía están desprovistos de algunas formalidades, como la instrumentación por escrito del acto contractual y ello hace que el tratamiento sea muy similar al que reciben los denominados contratos sin formalidades plenas; sin embargo, es de anotar que en el proceso de formación del consentimiento en los contratos de mínima cuantía, quien presenta la oferta es quien tiene la expectativa de contratar con la entidad estatal y ésta, a su turno, es la que acepta, de manera expresa e incondicional, la oferta presentada por el particular, sin que en estos casos pueda darse el perfeccionamiento del contrato por el consentimiento tácito de los intervinientes, contrario a lo que sucedía en los contratos sin formalidades plenas” (CONSEJO DE ESTADO. Sección Tercera. Subsección A. Sentencia del 3 de octubre de 2012. Exp. 26.140. C.P. Carlos Alberto Zambrano Barrera).</w:t>
      </w:r>
    </w:p>
  </w:footnote>
  <w:footnote w:id="9">
    <w:p w14:paraId="6F890414" w14:textId="77777777" w:rsidR="005171FE" w:rsidRPr="00E12E59" w:rsidRDefault="005171FE" w:rsidP="005171F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766E5B30" w14:textId="77777777" w:rsidR="005171FE" w:rsidRPr="00E12E59" w:rsidRDefault="005171FE" w:rsidP="005171F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02AD3E3F" w14:textId="77777777" w:rsidR="005171FE" w:rsidRPr="00E12E59" w:rsidRDefault="005171FE" w:rsidP="005171F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 .</w:t>
      </w:r>
    </w:p>
    <w:p w14:paraId="4B39A977" w14:textId="77777777" w:rsidR="005171FE" w:rsidRPr="00E12E59" w:rsidRDefault="005171FE" w:rsidP="005171F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7E270502" w14:textId="77777777" w:rsidR="005171FE" w:rsidRPr="00E12E59" w:rsidRDefault="005171FE" w:rsidP="005171F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10">
    <w:p w14:paraId="39F81936" w14:textId="77777777" w:rsidR="005171FE" w:rsidRPr="00E12E59" w:rsidRDefault="005171FE" w:rsidP="005171FE">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color w:val="000000"/>
          <w:sz w:val="16"/>
          <w:szCs w:val="16"/>
        </w:rPr>
        <w:t xml:space="preserve"> DÁVILA VINUEZA, Luis Guillermo. Régimen jurídico de la contratación estatal. Tercera edición, Bogotá: Legis, 2016. p. 355.</w:t>
      </w:r>
    </w:p>
  </w:footnote>
  <w:footnote w:id="11">
    <w:p w14:paraId="7DEBED47" w14:textId="77777777" w:rsidR="005171FE" w:rsidRPr="00E12E59" w:rsidRDefault="005171FE" w:rsidP="005171FE">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footnote>
  <w:footnote w:id="12">
    <w:p w14:paraId="5EFAB3A1" w14:textId="77777777" w:rsidR="005171FE" w:rsidRPr="00E12E59" w:rsidRDefault="005171FE" w:rsidP="005171FE">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color w:val="000000"/>
          <w:sz w:val="16"/>
          <w:szCs w:val="16"/>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 w:id="13">
    <w:p w14:paraId="52CA0479" w14:textId="77777777" w:rsidR="005171FE" w:rsidRPr="00E12E59" w:rsidRDefault="005171FE" w:rsidP="005171FE">
      <w:pPr>
        <w:pBdr>
          <w:top w:val="nil"/>
          <w:left w:val="nil"/>
          <w:bottom w:val="nil"/>
          <w:right w:val="nil"/>
          <w:between w:val="nil"/>
        </w:pBdr>
        <w:spacing w:after="0" w:line="240" w:lineRule="auto"/>
        <w:ind w:firstLine="708"/>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i/>
          <w:color w:val="000000"/>
          <w:sz w:val="16"/>
          <w:szCs w:val="16"/>
        </w:rPr>
        <w:t xml:space="preserve"> Ibídem.</w:t>
      </w:r>
    </w:p>
  </w:footnote>
  <w:footnote w:id="14">
    <w:p w14:paraId="2B1A7FC2" w14:textId="77777777" w:rsidR="005171FE" w:rsidRPr="00E12E59" w:rsidRDefault="005171FE" w:rsidP="005171FE">
      <w:pPr>
        <w:spacing w:after="0" w:line="240" w:lineRule="auto"/>
        <w:ind w:firstLine="708"/>
        <w:jc w:val="both"/>
        <w:rPr>
          <w:rFonts w:ascii="Verdana" w:eastAsia="Arial" w:hAnsi="Verdana" w:cs="Arial"/>
          <w:sz w:val="16"/>
          <w:szCs w:val="16"/>
          <w:lang w:val="es-MX"/>
        </w:rPr>
      </w:pPr>
      <w:r w:rsidRPr="00E12E59">
        <w:rPr>
          <w:rFonts w:ascii="Verdana" w:hAnsi="Verdana" w:cs="Arial"/>
          <w:sz w:val="16"/>
          <w:szCs w:val="16"/>
          <w:vertAlign w:val="superscript"/>
        </w:rPr>
        <w:footnoteRef/>
      </w:r>
      <w:r w:rsidRPr="00E12E59">
        <w:rPr>
          <w:rFonts w:ascii="Verdana" w:eastAsia="Arial" w:hAnsi="Verdana" w:cs="Arial"/>
          <w:sz w:val="16"/>
          <w:szCs w:val="16"/>
        </w:rPr>
        <w:t xml:space="preserve"> Decreto 1082 de 2015 “Artículo 2.2.1.1.2.2.2. </w:t>
      </w:r>
      <w:bookmarkStart w:id="9" w:name="_Hlk127183858"/>
      <w:r w:rsidRPr="00E12E59">
        <w:rPr>
          <w:rFonts w:ascii="Verdana" w:eastAsia="Arial" w:hAnsi="Verdana" w:cs="Arial"/>
          <w:sz w:val="16"/>
          <w:szCs w:val="16"/>
        </w:rPr>
        <w:t>Modificado por el </w:t>
      </w:r>
      <w:bookmarkEnd w:id="9"/>
      <w:r w:rsidRPr="00E12E59">
        <w:rPr>
          <w:rFonts w:ascii="Verdana" w:eastAsia="Arial" w:hAnsi="Verdana" w:cs="Arial"/>
          <w:sz w:val="16"/>
          <w:szCs w:val="16"/>
        </w:rPr>
        <w:t>Decreto 142 de 2023, artículo 4º. Ofrecimiento más favorable.</w:t>
      </w:r>
      <w:r w:rsidRPr="00E12E59">
        <w:rPr>
          <w:rFonts w:ascii="Verdana" w:eastAsia="Arial" w:hAnsi="Verdana" w:cs="Arial"/>
          <w:b/>
          <w:bCs/>
          <w:sz w:val="16"/>
          <w:szCs w:val="16"/>
        </w:rPr>
        <w:t xml:space="preserve"> </w:t>
      </w:r>
      <w:r w:rsidRPr="00E12E59">
        <w:rPr>
          <w:rFonts w:ascii="Verdana" w:eastAsia="Arial" w:hAnsi="Verdana" w:cs="Arial"/>
          <w:sz w:val="16"/>
          <w:szCs w:val="16"/>
          <w:lang w:val="es-MX"/>
        </w:rPr>
        <w:t>La Entidad Estatal debe determinar la oferta más favorable teniendo en cuenta las normas aplicables a cada modalidad de selección del contratista.</w:t>
      </w:r>
    </w:p>
    <w:p w14:paraId="32A3FB3C" w14:textId="77777777" w:rsidR="005171FE" w:rsidRPr="00E12E59" w:rsidRDefault="005171FE" w:rsidP="005171FE">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 Si la Entidad Estatal decide determinar la oferta de acuerdo con el literal (b) anterior debe señalar en los pliegos de condiciones:</w:t>
      </w:r>
    </w:p>
    <w:p w14:paraId="57EA0AC1" w14:textId="77777777" w:rsidR="005171FE" w:rsidRPr="00E12E59" w:rsidRDefault="005171FE" w:rsidP="005171FE">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1. Las condiciones técnicas y económicas mínimas de la oferta.</w:t>
      </w:r>
    </w:p>
    <w:p w14:paraId="48AB85C6" w14:textId="77777777" w:rsidR="005171FE" w:rsidRPr="00E12E59" w:rsidRDefault="005171FE" w:rsidP="005171FE">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2. Las condiciones técnicas adicionales que representan ventajas de calidad o de funcionamiento, tales como el uso de tecnología o materiales que generen mayor eficiencia, rendimiento o duración del bien, obra o servicio.</w:t>
      </w:r>
    </w:p>
    <w:p w14:paraId="7737D9D6" w14:textId="77777777" w:rsidR="005171FE" w:rsidRPr="00E12E59" w:rsidRDefault="005171FE" w:rsidP="005171FE">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w:t>
      </w:r>
    </w:p>
    <w:p w14:paraId="34ACEFF0" w14:textId="77777777" w:rsidR="005171FE" w:rsidRPr="00E12E59" w:rsidRDefault="005171FE" w:rsidP="005171FE">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4. El valor en dinero que la Entidad Estatal asigna a cada ofrecimiento técnico o económico adicional, para permitir la ponderación de las ofertas presentadas.</w:t>
      </w:r>
    </w:p>
    <w:p w14:paraId="697D9424" w14:textId="77777777" w:rsidR="005171FE" w:rsidRPr="00E12E59" w:rsidRDefault="005171FE" w:rsidP="005171FE">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p>
    <w:p w14:paraId="11A90DA3" w14:textId="77777777" w:rsidR="005171FE" w:rsidRPr="00E12E59" w:rsidRDefault="005171FE" w:rsidP="005171FE">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La Entidad Estatal debe adjudicar al oferente que presentó la oferta con la mejor relación costo-beneficio y suscribir el contrato por el precio total ofrecido.</w:t>
      </w:r>
    </w:p>
    <w:p w14:paraId="1D7CD08D" w14:textId="77777777" w:rsidR="005171FE" w:rsidRPr="00E12E59" w:rsidRDefault="005171FE" w:rsidP="005171FE">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Para la adquisición de Bienes y Servicios de Características Técnicas No Uniformes a través de Acuerdos Marco de Precios e Instrumentos de Agregación de Demanda, el ofrecimiento más favorable parte de la definición que la Entidad Estatal que estructura el Instrumento de Agregación de Demanda o Acuerdo Marco de Precios hace en la Operación Principal de las condiciones técnicas y económicas mínimas del bien o servicio.</w:t>
      </w:r>
    </w:p>
    <w:p w14:paraId="58597CC0" w14:textId="77777777" w:rsidR="005171FE" w:rsidRPr="00E12E59" w:rsidRDefault="005171FE" w:rsidP="005171FE">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Las Entidades Estatales que compren en la operación secundaria de un Acuerdo Marco de Precios o Instrumento de Agregación de Demanda, deben evaluar las cotizaciones de los proveedores bajo las condiciones que el instrumento fija para definir la oferta más favorable.</w:t>
      </w:r>
    </w:p>
    <w:p w14:paraId="7C13AF2F" w14:textId="77777777" w:rsidR="005171FE" w:rsidRPr="00E12E59" w:rsidRDefault="005171FE" w:rsidP="005171FE">
      <w:pPr>
        <w:spacing w:after="0" w:line="240" w:lineRule="auto"/>
        <w:ind w:firstLine="708"/>
        <w:jc w:val="both"/>
        <w:rPr>
          <w:rFonts w:ascii="Verdana" w:eastAsia="Arial" w:hAnsi="Verdana" w:cs="Arial"/>
          <w:sz w:val="16"/>
          <w:szCs w:val="16"/>
        </w:rPr>
      </w:pPr>
      <w:r w:rsidRPr="00E12E59">
        <w:rPr>
          <w:rFonts w:ascii="Verdana" w:eastAsia="Arial" w:hAnsi="Verdana" w:cs="Arial"/>
          <w:sz w:val="16"/>
          <w:szCs w:val="16"/>
        </w:rPr>
        <w:t>[…]”. </w:t>
      </w:r>
    </w:p>
  </w:footnote>
  <w:footnote w:id="15">
    <w:p w14:paraId="1A348B53" w14:textId="77777777" w:rsidR="005171FE" w:rsidRPr="00E12E59" w:rsidRDefault="005171FE" w:rsidP="005171F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color w:val="000000"/>
          <w:sz w:val="16"/>
          <w:szCs w:val="16"/>
        </w:rPr>
        <w:t xml:space="preserve"> Consejo de Estado. Sección Tercera. Subsección A. Sentencia del 25 de octubre de 2019. Exp. 39.945. Consejera Ponente: María Adriana Marín.</w:t>
      </w:r>
    </w:p>
  </w:footnote>
  <w:footnote w:id="16">
    <w:p w14:paraId="6CD19C2F" w14:textId="77777777" w:rsidR="005171FE" w:rsidRPr="00E12E59" w:rsidRDefault="005171FE" w:rsidP="005171F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color w:val="000000"/>
          <w:sz w:val="16"/>
          <w:szCs w:val="16"/>
          <w:vertAlign w:val="superscript"/>
        </w:rPr>
        <w:t xml:space="preserve"> </w:t>
      </w:r>
      <w:r w:rsidRPr="00E12E59">
        <w:rPr>
          <w:rFonts w:ascii="Verdana" w:eastAsia="Arial" w:hAnsi="Verdana" w:cs="Arial"/>
          <w:color w:val="000000"/>
          <w:sz w:val="16"/>
          <w:szCs w:val="16"/>
        </w:rPr>
        <w:t>Consejo de Estado. Sección Tercera. Subsección A. Sentencia del 5 de julio de 2018. Exp. 37.834. Consejero Ponente: Carlos Alberto Zambrano Barrera.</w:t>
      </w:r>
    </w:p>
  </w:footnote>
  <w:footnote w:id="17">
    <w:p w14:paraId="40619748" w14:textId="77777777" w:rsidR="005171FE" w:rsidRPr="004F6999" w:rsidRDefault="005171FE" w:rsidP="005171FE">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w:t>
      </w:r>
      <w:r>
        <w:rPr>
          <w:rFonts w:ascii="Verdana" w:hAnsi="Verdana" w:cs="Arial"/>
          <w:sz w:val="16"/>
          <w:szCs w:val="16"/>
        </w:rPr>
        <w:t>Para la doctrina, “</w:t>
      </w:r>
      <w:r w:rsidRPr="004F6999">
        <w:rPr>
          <w:rFonts w:ascii="Verdana" w:hAnsi="Verdana" w:cs="Arial"/>
          <w:sz w:val="16"/>
          <w:szCs w:val="16"/>
        </w:rPr>
        <w:t xml:space="preserve">La administración dispone de libertad de valoración para la configuración del pliego de condiciones, dentro de los parámetros generales señalados en la ley y en el reglamento, y conforme a los requerimientos específicos de cada proceso de selección. </w:t>
      </w:r>
    </w:p>
    <w:p w14:paraId="7AF587AF" w14:textId="77777777" w:rsidR="005171FE" w:rsidRPr="004F6999" w:rsidRDefault="005171FE" w:rsidP="005171FE">
      <w:pPr>
        <w:pStyle w:val="Textonotapie"/>
        <w:ind w:firstLine="708"/>
        <w:jc w:val="both"/>
        <w:rPr>
          <w:rFonts w:ascii="Verdana" w:hAnsi="Verdana" w:cs="Arial"/>
          <w:sz w:val="16"/>
          <w:szCs w:val="16"/>
        </w:rPr>
      </w:pPr>
      <w:r w:rsidRPr="004F6999">
        <w:rPr>
          <w:rFonts w:ascii="Verdana" w:hAnsi="Verdana" w:cs="Arial"/>
          <w:sz w:val="16"/>
          <w:szCs w:val="16"/>
        </w:rPr>
        <w:t xml:space="preserve">Por tal razón, se ha señalado que la administración ejerce y mantiene una facultad discrecional para su configuración, para ponderar los hechos, intereses, derechos y principios jurídicos comprometidos en un caso concreto y para una determinada solución. La administración tiene un espacio libre para elegir como posible cualquiera de las alternativas que resuelvan el caso, con un margen de libertad de valoración para que, en cada caso concreto, establezca el contenido del pliego de condiciones y los criterios y reglas que orientarán el proceso de selección. </w:t>
      </w:r>
    </w:p>
    <w:p w14:paraId="38633F4F" w14:textId="77777777" w:rsidR="005171FE" w:rsidRPr="00E12E59" w:rsidRDefault="005171FE" w:rsidP="005171FE">
      <w:pPr>
        <w:pStyle w:val="Textonotapie"/>
        <w:ind w:firstLine="708"/>
        <w:jc w:val="both"/>
        <w:rPr>
          <w:rFonts w:ascii="Verdana" w:hAnsi="Verdana" w:cs="Arial"/>
          <w:sz w:val="16"/>
          <w:szCs w:val="16"/>
        </w:rPr>
      </w:pPr>
      <w:r w:rsidRPr="004F6999">
        <w:rPr>
          <w:rFonts w:ascii="Verdana" w:hAnsi="Verdana" w:cs="Arial"/>
          <w:sz w:val="16"/>
          <w:szCs w:val="16"/>
        </w:rPr>
        <w:t>La ley no determina ni puede determinar el contenido preciso y detallado de los pliegos de condiciones, por razones de eficacia y por la imposibilidad de prever con exactitud los derechos, reglas y obligaciones propios de las particularidades del objeto por contratar. Por ello, se otorga una facultad discrecional para incluir en el proceso y en los contratos las condiciones lícitas que considere convenientes y necesarias, con guarda del principio de legalidad, es decir, que no estén prohibidas por reglamento o por ley</w:t>
      </w:r>
      <w:r>
        <w:rPr>
          <w:rFonts w:ascii="Verdana" w:hAnsi="Verdana" w:cs="Arial"/>
          <w:sz w:val="16"/>
          <w:szCs w:val="16"/>
        </w:rPr>
        <w:t>” (</w:t>
      </w:r>
      <w:r w:rsidRPr="00E12E59">
        <w:rPr>
          <w:rFonts w:ascii="Verdana" w:hAnsi="Verdana" w:cs="Arial"/>
          <w:sz w:val="16"/>
          <w:szCs w:val="16"/>
        </w:rPr>
        <w:t>Cfr. GONZÁLEZ LÓPEZ, Edgar. El pliego de condiciones en la contratación estatal: la reforma consagrada en la Ley 1150 de 2007 y sus decretos reglamentarios. Bogotá: Universidad Externando de Colombia, 2012. p. 87</w:t>
      </w:r>
      <w:r>
        <w:rPr>
          <w:rFonts w:ascii="Verdana" w:hAnsi="Verdana" w:cs="Arial"/>
          <w:sz w:val="16"/>
          <w:szCs w:val="16"/>
        </w:rPr>
        <w:t>)</w:t>
      </w:r>
      <w:r w:rsidRPr="00E12E59">
        <w:rPr>
          <w:rFonts w:ascii="Verdana" w:hAnsi="Verdana" w:cs="Arial"/>
          <w:sz w:val="16"/>
          <w:szCs w:val="16"/>
        </w:rPr>
        <w:t>.</w:t>
      </w:r>
    </w:p>
  </w:footnote>
  <w:footnote w:id="18">
    <w:p w14:paraId="52808168" w14:textId="77777777" w:rsidR="005171FE" w:rsidRPr="000E397A" w:rsidRDefault="005171FE" w:rsidP="005171FE">
      <w:pPr>
        <w:pStyle w:val="Textonotapie"/>
        <w:ind w:firstLine="708"/>
        <w:jc w:val="both"/>
        <w:rPr>
          <w:rFonts w:ascii="Verdana" w:hAnsi="Verdana"/>
          <w:sz w:val="16"/>
          <w:szCs w:val="16"/>
          <w:lang w:val="es-CO"/>
        </w:rPr>
      </w:pPr>
      <w:r w:rsidRPr="000E397A">
        <w:rPr>
          <w:rStyle w:val="Refdenotaalpie"/>
          <w:rFonts w:ascii="Verdana" w:hAnsi="Verdana"/>
          <w:sz w:val="16"/>
          <w:szCs w:val="16"/>
        </w:rPr>
        <w:footnoteRef/>
      </w:r>
      <w:r w:rsidRPr="000E397A">
        <w:rPr>
          <w:rFonts w:ascii="Verdana" w:hAnsi="Verdana"/>
          <w:sz w:val="16"/>
          <w:szCs w:val="16"/>
        </w:rPr>
        <w:t xml:space="preserve"> En este contexto, “Los pliegos de condiciones por su carácter de acto administrativo gozan de la presunción de legalidad y son de obligatorio cumplimiento para la Administración Pública y los licitantes y contratistas, que deberán respetarlos durante la formación de la voluntad contractual y la ejecución del vínculo jurídico”</w:t>
      </w:r>
      <w:r>
        <w:rPr>
          <w:rFonts w:ascii="Verdana" w:hAnsi="Verdana"/>
          <w:sz w:val="16"/>
          <w:szCs w:val="16"/>
        </w:rPr>
        <w:t xml:space="preserve"> (Cfr. </w:t>
      </w:r>
      <w:r w:rsidRPr="005C303C">
        <w:rPr>
          <w:rFonts w:ascii="Verdana" w:hAnsi="Verdana" w:cs="Arial"/>
          <w:color w:val="000000" w:themeColor="text1"/>
          <w:sz w:val="16"/>
          <w:szCs w:val="16"/>
        </w:rPr>
        <w:t xml:space="preserve">ESCOBAR GIL, Rodrigo. Teoría general de los contratos de la Administración pública. Bogotá: Legis, 2000. </w:t>
      </w:r>
      <w:r>
        <w:rPr>
          <w:rFonts w:ascii="Verdana" w:hAnsi="Verdana"/>
          <w:sz w:val="16"/>
          <w:szCs w:val="16"/>
        </w:rPr>
        <w:t>p. 86)</w:t>
      </w:r>
      <w:r w:rsidRPr="000E397A">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1BBB"/>
    <w:rsid w:val="00061B2A"/>
    <w:rsid w:val="00082362"/>
    <w:rsid w:val="000A683E"/>
    <w:rsid w:val="000B19B9"/>
    <w:rsid w:val="000D0334"/>
    <w:rsid w:val="000D5DA7"/>
    <w:rsid w:val="000F6486"/>
    <w:rsid w:val="000F7710"/>
    <w:rsid w:val="00116940"/>
    <w:rsid w:val="00125105"/>
    <w:rsid w:val="00127233"/>
    <w:rsid w:val="0015699B"/>
    <w:rsid w:val="001A33BF"/>
    <w:rsid w:val="001E4177"/>
    <w:rsid w:val="001F0B24"/>
    <w:rsid w:val="001F7DC6"/>
    <w:rsid w:val="0022400B"/>
    <w:rsid w:val="002421BB"/>
    <w:rsid w:val="0025796E"/>
    <w:rsid w:val="002707A2"/>
    <w:rsid w:val="00286B93"/>
    <w:rsid w:val="002951A0"/>
    <w:rsid w:val="002962BC"/>
    <w:rsid w:val="002A093D"/>
    <w:rsid w:val="002A0DD0"/>
    <w:rsid w:val="002A49AC"/>
    <w:rsid w:val="002A64FD"/>
    <w:rsid w:val="002C7A84"/>
    <w:rsid w:val="002E2BF8"/>
    <w:rsid w:val="002E4FD9"/>
    <w:rsid w:val="0030657A"/>
    <w:rsid w:val="00322A85"/>
    <w:rsid w:val="00324168"/>
    <w:rsid w:val="00330834"/>
    <w:rsid w:val="00340F2C"/>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171FE"/>
    <w:rsid w:val="005352FE"/>
    <w:rsid w:val="005566E8"/>
    <w:rsid w:val="00574867"/>
    <w:rsid w:val="00591460"/>
    <w:rsid w:val="005A65E0"/>
    <w:rsid w:val="005C3777"/>
    <w:rsid w:val="005C4486"/>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73D2D"/>
    <w:rsid w:val="007833AC"/>
    <w:rsid w:val="00786404"/>
    <w:rsid w:val="007B268C"/>
    <w:rsid w:val="007B7171"/>
    <w:rsid w:val="007C0C0F"/>
    <w:rsid w:val="007C3DC2"/>
    <w:rsid w:val="007E5497"/>
    <w:rsid w:val="00802AC9"/>
    <w:rsid w:val="00806F5F"/>
    <w:rsid w:val="00820278"/>
    <w:rsid w:val="008258C9"/>
    <w:rsid w:val="00844AE9"/>
    <w:rsid w:val="00862A8B"/>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1450"/>
    <w:rsid w:val="00A66919"/>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74BC"/>
    <w:rsid w:val="00D361FD"/>
    <w:rsid w:val="00D423A2"/>
    <w:rsid w:val="00D44E26"/>
    <w:rsid w:val="00D520D8"/>
    <w:rsid w:val="00D63AC2"/>
    <w:rsid w:val="00D7383B"/>
    <w:rsid w:val="00D7788A"/>
    <w:rsid w:val="00DA231B"/>
    <w:rsid w:val="00DC39FC"/>
    <w:rsid w:val="00DE7FCF"/>
    <w:rsid w:val="00DF5254"/>
    <w:rsid w:val="00E00B8D"/>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081A"/>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171F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171FE"/>
    <w:rPr>
      <w:rFonts w:ascii="Geomanist Light" w:hAnsi="Geomanist Light"/>
      <w:lang w:val="es-ES"/>
    </w:rPr>
  </w:style>
  <w:style w:type="paragraph" w:styleId="Textoindependiente">
    <w:name w:val="Body Text"/>
    <w:basedOn w:val="Normal"/>
    <w:link w:val="TextoindependienteCar"/>
    <w:uiPriority w:val="99"/>
    <w:unhideWhenUsed/>
    <w:rsid w:val="005171FE"/>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5171FE"/>
    <w:rPr>
      <w:rFonts w:eastAsiaTheme="minorEastAsia"/>
      <w:lang w:eastAsia="es-CO"/>
    </w:rPr>
  </w:style>
  <w:style w:type="character" w:customStyle="1" w:styleId="s15">
    <w:name w:val="s15"/>
    <w:basedOn w:val="Fuentedeprrafopredeter"/>
    <w:rsid w:val="005171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69AC4C7-15DB-4F9B-A371-B4E7125E1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27</Pages>
  <Words>8565</Words>
  <Characters>46085</Characters>
  <Application>Microsoft Office Word</Application>
  <DocSecurity>0</DocSecurity>
  <Lines>903</Lines>
  <Paragraphs>159</Paragraphs>
  <ScaleCrop>false</ScaleCrop>
  <Company/>
  <LinksUpToDate>false</LinksUpToDate>
  <CharactersWithSpaces>54491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2026-03-27T15:12:00Z</dcterms:created>
  <dcterms:modified xsi:type="dcterms:W3CDTF">2026-03-30T20:22:00Z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