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9215"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215"/>
      </w:tblGrid>
      <w:tr w:rsidR="000B56AF" w:rsidRPr="003A37DA" w14:paraId="5D9B8AD1" w14:textId="77777777" w:rsidTr="000B56AF">
        <w:trPr>
          <w:trHeight w:val="884"/>
        </w:trPr>
        <w:tc>
          <w:tcPr>
            <w:tcW w:w="9215" w:type="dxa"/>
            <w:hideMark/>
          </w:tcPr>
          <w:p w14:paraId="3F3DA45B" w14:textId="77777777" w:rsidR="000B56AF" w:rsidRPr="00023F53" w:rsidRDefault="000B56AF" w:rsidP="000B56AF">
            <w:pPr>
              <w:jc w:val="both"/>
              <w:rPr>
                <w:rFonts w:ascii="Verdana" w:hAnsi="Verdana" w:cs="Arial"/>
                <w:b/>
                <w:color w:val="000000" w:themeColor="text1"/>
                <w:lang w:val="es-ES_tradnl"/>
              </w:rPr>
            </w:pPr>
            <w:bookmarkStart w:id="0" w:name="_Hlk143780582"/>
            <w:r w:rsidRPr="00023F53">
              <w:rPr>
                <w:rFonts w:ascii="Verdana" w:hAnsi="Verdana" w:cs="Arial"/>
                <w:b/>
                <w:color w:val="000000" w:themeColor="text1"/>
                <w:lang w:val="es-ES_tradnl"/>
              </w:rPr>
              <w:t xml:space="preserve">LEY DE GARANTÍAS ELECTORALES ‒ Finalidad </w:t>
            </w:r>
          </w:p>
          <w:p w14:paraId="3AD70536" w14:textId="77777777" w:rsidR="000B56AF" w:rsidRDefault="000B56AF" w:rsidP="000B56AF">
            <w:pPr>
              <w:jc w:val="both"/>
              <w:rPr>
                <w:rFonts w:ascii="Verdana" w:hAnsi="Verdana" w:cs="Arial"/>
                <w:bCs/>
                <w:color w:val="000000" w:themeColor="text1"/>
                <w:lang w:val="es-ES_tradnl"/>
              </w:rPr>
            </w:pPr>
          </w:p>
          <w:p w14:paraId="65EFAD66" w14:textId="77777777" w:rsidR="000B56AF" w:rsidRPr="00023F53" w:rsidRDefault="000B56AF" w:rsidP="000B56AF">
            <w:pPr>
              <w:tabs>
                <w:tab w:val="left" w:pos="426"/>
              </w:tabs>
              <w:spacing w:after="120"/>
              <w:jc w:val="both"/>
              <w:rPr>
                <w:rFonts w:ascii="Verdana" w:eastAsia="Calibri" w:hAnsi="Verdana" w:cs="Arial"/>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36DC1884" w14:textId="77777777" w:rsidR="000B56AF" w:rsidRDefault="000B56AF" w:rsidP="000B56AF">
            <w:pPr>
              <w:jc w:val="both"/>
              <w:rPr>
                <w:rFonts w:ascii="Verdana" w:eastAsia="Arial" w:hAnsi="Verdana" w:cs="Arial"/>
                <w:b/>
                <w:lang w:val="es-ES" w:eastAsia="es-ES"/>
              </w:rPr>
            </w:pPr>
            <w:r w:rsidRPr="00023F53">
              <w:rPr>
                <w:rFonts w:ascii="Verdana" w:hAnsi="Verdana" w:cs="Arial"/>
                <w:b/>
                <w:color w:val="000000" w:themeColor="text1"/>
                <w:lang w:val="es-ES_tradnl"/>
              </w:rPr>
              <w:t xml:space="preserve">LEY DE GARANTÍAS ELECTORALES ‒ Tipos de restricciones – </w:t>
            </w:r>
            <w:r w:rsidRPr="00023F53">
              <w:rPr>
                <w:rFonts w:ascii="Verdana" w:eastAsia="Arial" w:hAnsi="Verdana" w:cs="Arial"/>
                <w:b/>
                <w:lang w:val="es-ES" w:eastAsia="es-ES"/>
              </w:rPr>
              <w:t>Instituciones Educativas</w:t>
            </w:r>
          </w:p>
          <w:p w14:paraId="34A56076" w14:textId="77777777" w:rsidR="000B56AF" w:rsidRDefault="000B56AF" w:rsidP="000B56AF">
            <w:pPr>
              <w:jc w:val="both"/>
              <w:rPr>
                <w:rFonts w:ascii="Verdana" w:eastAsia="Arial" w:hAnsi="Verdana" w:cs="Arial"/>
                <w:b/>
                <w:lang w:val="es-ES" w:eastAsia="es-ES"/>
              </w:rPr>
            </w:pPr>
          </w:p>
          <w:p w14:paraId="477266E8" w14:textId="77777777" w:rsidR="000B56AF" w:rsidRPr="00072C23" w:rsidRDefault="000B56AF" w:rsidP="000B56AF">
            <w:pPr>
              <w:jc w:val="both"/>
              <w:rPr>
                <w:rFonts w:ascii="Verdana" w:eastAsia="Arial" w:hAnsi="Verdana" w:cs="Arial"/>
                <w:color w:val="000000"/>
                <w:lang w:eastAsia="es-CO"/>
              </w:rPr>
            </w:pPr>
            <w:r w:rsidRPr="00072C23">
              <w:rPr>
                <w:rFonts w:ascii="Verdana" w:eastAsia="Arial" w:hAnsi="Verdana" w:cs="Arial"/>
                <w:color w:val="000000" w:themeColor="text1"/>
                <w:lang w:eastAsia="es-MX"/>
              </w:rPr>
              <w:t xml:space="preserve">En este contexto, para la restricción del artículo 33 de la </w:t>
            </w:r>
            <w:r w:rsidRPr="00072C23">
              <w:rPr>
                <w:rFonts w:ascii="Verdana" w:eastAsia="Arial" w:hAnsi="Verdana" w:cs="Arial"/>
                <w:color w:val="000000" w:themeColor="text1"/>
                <w:lang w:eastAsia="es-CO"/>
              </w:rPr>
              <w:t xml:space="preserve">Ley 996 de 2005 es necesario considerar que </w:t>
            </w:r>
            <w:r w:rsidRPr="00072C23">
              <w:rPr>
                <w:rFonts w:ascii="Verdana" w:eastAsia="Arial" w:hAnsi="Verdana" w:cs="Arial"/>
                <w:lang w:val="es-ES" w:eastAsia="es-MX"/>
              </w:rPr>
              <w:t xml:space="preserve">el artículo </w:t>
            </w:r>
            <w:r w:rsidRPr="00072C23">
              <w:rPr>
                <w:rFonts w:ascii="Verdana" w:eastAsia="Arial" w:hAnsi="Verdana" w:cs="Arial"/>
                <w:lang w:eastAsia="es-MX"/>
              </w:rPr>
              <w:t>13 de la Ley 715 de 2001</w:t>
            </w:r>
            <w:r w:rsidRPr="00072C23">
              <w:rPr>
                <w:rFonts w:ascii="Verdana" w:eastAsia="Arial" w:hAnsi="Verdana" w:cs="Arial"/>
                <w:color w:val="000000" w:themeColor="text1"/>
                <w:lang w:eastAsia="es-CO"/>
              </w:rPr>
              <w:t xml:space="preserve"> consagra un régimen jurídico que exceptúa la aplicación del Estatuto General de Contratación de la Administración Pública en los contratos de los fondos de servicios educativos inferiores a veinte (20) SMLMV con el objetivo de flexibilizar el régimen contractual aplicable. Pese a lo anterior, la prohibición de contratación directa de la Ley de Garantías es independiente del régimen contractual, por lo que se extiende a los contratos celebrados con cargo a los fondos de servicios educativos.</w:t>
            </w:r>
          </w:p>
          <w:p w14:paraId="0AE2BC88" w14:textId="77777777" w:rsidR="000B56AF" w:rsidRPr="00023F53" w:rsidRDefault="000B56AF" w:rsidP="000B56AF">
            <w:pPr>
              <w:jc w:val="both"/>
              <w:rPr>
                <w:rFonts w:ascii="Verdana" w:eastAsia="Arial" w:hAnsi="Verdana" w:cs="Arial"/>
                <w:b/>
                <w:lang w:val="es-ES" w:eastAsia="es-ES"/>
              </w:rPr>
            </w:pPr>
          </w:p>
          <w:p w14:paraId="3767769D" w14:textId="77777777" w:rsidR="000B56AF" w:rsidRPr="00023F53" w:rsidRDefault="000B56AF" w:rsidP="000B56AF">
            <w:pPr>
              <w:jc w:val="both"/>
              <w:rPr>
                <w:rFonts w:ascii="Verdana" w:hAnsi="Verdana" w:cs="Arial"/>
                <w:b/>
                <w:bCs/>
                <w:color w:val="000000" w:themeColor="text1"/>
                <w:lang w:val="es-ES_tradnl"/>
              </w:rPr>
            </w:pPr>
            <w:r w:rsidRPr="00023F53">
              <w:rPr>
                <w:rFonts w:ascii="Verdana" w:eastAsia="Arial" w:hAnsi="Verdana" w:cs="Arial"/>
                <w:b/>
                <w:bCs/>
              </w:rPr>
              <w:t>INSTITUCIONES EDUCATIVAS OFICIALES – Naturaleza jurídica – Capacidad para contratar</w:t>
            </w:r>
          </w:p>
          <w:p w14:paraId="173E2A46" w14:textId="77777777" w:rsidR="000B56AF" w:rsidRPr="003A37DA" w:rsidRDefault="000B56AF" w:rsidP="000B56AF">
            <w:pPr>
              <w:jc w:val="both"/>
              <w:rPr>
                <w:rFonts w:ascii="Verdana" w:hAnsi="Verdana" w:cs="Arial"/>
                <w:bCs/>
                <w:color w:val="000000" w:themeColor="text1"/>
                <w:lang w:val="es-ES_tradnl"/>
              </w:rPr>
            </w:pPr>
          </w:p>
          <w:p w14:paraId="46E86C9D" w14:textId="77777777" w:rsidR="000B56AF" w:rsidRPr="003A37DA" w:rsidRDefault="000B56AF" w:rsidP="000B56AF">
            <w:pPr>
              <w:jc w:val="both"/>
              <w:rPr>
                <w:rFonts w:ascii="Verdana" w:eastAsia="Calibri" w:hAnsi="Verdana" w:cs="Arial"/>
                <w:lang w:val="es-ES" w:eastAsia="es-ES"/>
              </w:rPr>
            </w:pPr>
          </w:p>
        </w:tc>
      </w:tr>
    </w:tbl>
    <w:p w14:paraId="33294E37" w14:textId="77777777" w:rsidR="000B56AF" w:rsidRDefault="000B56AF" w:rsidP="000B56AF">
      <w:pPr>
        <w:spacing w:before="120" w:after="120" w:line="240" w:lineRule="auto"/>
        <w:jc w:val="both"/>
        <w:rPr>
          <w:rFonts w:ascii="Verdana" w:eastAsia="Arial" w:hAnsi="Verdana" w:cs="Arial"/>
          <w:lang w:eastAsia="es-MX"/>
        </w:rPr>
      </w:pPr>
      <w:r w:rsidRPr="00135015">
        <w:rPr>
          <w:rFonts w:ascii="Verdana" w:eastAsia="Arial" w:hAnsi="Verdana" w:cs="Arial"/>
          <w:color w:val="000000" w:themeColor="text1"/>
          <w:lang w:eastAsia="es-MX"/>
        </w:rPr>
        <w:t>[…] se resalta que las instituciones educativas pertenecen a la entidad territorial</w:t>
      </w:r>
      <w:r w:rsidRPr="00072C23">
        <w:rPr>
          <w:rFonts w:ascii="Verdana" w:eastAsia="Arial" w:hAnsi="Verdana" w:cs="Arial"/>
          <w:lang w:eastAsia="es-MX"/>
        </w:rPr>
        <w:t xml:space="preserve"> que haya efectuado su reconocimiento de carácter oficial. </w:t>
      </w:r>
      <w:r w:rsidRPr="00A16162">
        <w:rPr>
          <w:rFonts w:ascii="Verdana" w:eastAsia="Arial" w:hAnsi="Verdana" w:cs="Arial"/>
          <w:lang w:eastAsia="es-MX"/>
        </w:rPr>
        <w:t>Es decir, el sistema educativo está descentralizado</w:t>
      </w:r>
      <w:r>
        <w:rPr>
          <w:rFonts w:ascii="Verdana" w:eastAsia="Arial" w:hAnsi="Verdana" w:cs="Arial"/>
          <w:lang w:eastAsia="es-MX"/>
        </w:rPr>
        <w:t xml:space="preserve"> </w:t>
      </w:r>
      <w:r w:rsidRPr="00A16162">
        <w:rPr>
          <w:rFonts w:ascii="Verdana" w:eastAsia="Arial" w:hAnsi="Verdana" w:cs="Arial"/>
          <w:lang w:eastAsia="es-MX"/>
        </w:rPr>
        <w:t>por las competencias propias que se les ha otorgado a las entidades territoriales</w:t>
      </w:r>
      <w:r>
        <w:rPr>
          <w:rFonts w:ascii="Verdana" w:eastAsia="Arial" w:hAnsi="Verdana" w:cs="Arial"/>
          <w:lang w:eastAsia="es-MX"/>
        </w:rPr>
        <w:t xml:space="preserve"> (Departamentos, Municipios, Distritos)</w:t>
      </w:r>
      <w:r w:rsidRPr="00A16162">
        <w:rPr>
          <w:rFonts w:ascii="Verdana" w:eastAsia="Arial" w:hAnsi="Verdana" w:cs="Arial"/>
          <w:lang w:eastAsia="es-MX"/>
        </w:rPr>
        <w:t xml:space="preserve"> para</w:t>
      </w:r>
      <w:r>
        <w:rPr>
          <w:rFonts w:ascii="Verdana" w:eastAsia="Arial" w:hAnsi="Verdana" w:cs="Arial"/>
          <w:lang w:eastAsia="es-MX"/>
        </w:rPr>
        <w:t xml:space="preserve"> </w:t>
      </w:r>
      <w:r w:rsidRPr="00A16162">
        <w:rPr>
          <w:rFonts w:ascii="Verdana" w:eastAsia="Arial" w:hAnsi="Verdana" w:cs="Arial"/>
          <w:lang w:eastAsia="es-MX"/>
        </w:rPr>
        <w:t>administrar las instituciones educativas, que pueden ser de los diferentes niveles, pero</w:t>
      </w:r>
      <w:r>
        <w:rPr>
          <w:rFonts w:ascii="Verdana" w:eastAsia="Arial" w:hAnsi="Verdana" w:cs="Arial"/>
          <w:lang w:eastAsia="es-MX"/>
        </w:rPr>
        <w:t xml:space="preserve"> </w:t>
      </w:r>
      <w:r w:rsidRPr="00A16162">
        <w:rPr>
          <w:rFonts w:ascii="Verdana" w:eastAsia="Arial" w:hAnsi="Verdana" w:cs="Arial"/>
          <w:lang w:eastAsia="es-MX"/>
        </w:rPr>
        <w:t>estas no son entidades descentralizadas.</w:t>
      </w:r>
    </w:p>
    <w:p w14:paraId="52AA6919" w14:textId="77777777" w:rsidR="000B56AF" w:rsidRPr="00072C23" w:rsidRDefault="000B56AF" w:rsidP="000B56AF">
      <w:pPr>
        <w:spacing w:before="120" w:after="120" w:line="240" w:lineRule="auto"/>
        <w:jc w:val="both"/>
        <w:rPr>
          <w:rFonts w:ascii="Verdana" w:eastAsia="Arial" w:hAnsi="Verdana" w:cs="Arial"/>
          <w:lang w:eastAsia="es-MX"/>
        </w:rPr>
      </w:pPr>
      <w:r>
        <w:rPr>
          <w:rFonts w:ascii="Verdana" w:eastAsia="Arial" w:hAnsi="Verdana" w:cs="Arial"/>
          <w:lang w:eastAsia="es-MX"/>
        </w:rPr>
        <w:t>Así, las instituciones educativas</w:t>
      </w:r>
      <w:r w:rsidRPr="00072C23">
        <w:rPr>
          <w:rFonts w:ascii="Verdana" w:eastAsia="Arial" w:hAnsi="Verdana" w:cs="Arial"/>
          <w:lang w:eastAsia="es-MX"/>
        </w:rPr>
        <w:t xml:space="preserve"> carecen de personería jurídica, pero tienen capacidad para contratar y se concreta en la competencia que le otorgó el legislador en la Ley 715 de 2001 para administrar los fondos de servicios educativos. Estas son cuentas contables que le permiten a las instituciones realizar la gestión y ejecución presupuestal de los recursos que reciben los establecimientos educativos.</w:t>
      </w:r>
    </w:p>
    <w:p w14:paraId="2FC2685B" w14:textId="77777777" w:rsidR="000B56AF" w:rsidRPr="000B56AF" w:rsidRDefault="000B56AF" w:rsidP="000B56AF">
      <w:pPr>
        <w:pStyle w:val="Textoindependiente"/>
        <w:spacing w:before="21"/>
        <w:ind w:right="5534"/>
        <w:rPr>
          <w:lang w:val="es-CO"/>
        </w:rPr>
      </w:pPr>
    </w:p>
    <w:p w14:paraId="33EA6716" w14:textId="0B29DD60" w:rsidR="000B56AF" w:rsidRDefault="000B56AF" w:rsidP="000B56AF">
      <w:pPr>
        <w:pStyle w:val="Textoindependiente"/>
        <w:spacing w:before="21" w:line="530" w:lineRule="atLeast"/>
        <w:ind w:right="5534"/>
      </w:pPr>
      <w:r>
        <w:rPr>
          <w:noProof/>
        </w:rPr>
        <w:lastRenderedPageBreak/>
        <w:drawing>
          <wp:anchor distT="0" distB="0" distL="0" distR="0" simplePos="0" relativeHeight="251659264" behindDoc="0" locked="0" layoutInCell="1" allowOverlap="1" wp14:anchorId="428196D3" wp14:editId="008402B5">
            <wp:simplePos x="0" y="0"/>
            <wp:positionH relativeFrom="page">
              <wp:posOffset>4291965</wp:posOffset>
            </wp:positionH>
            <wp:positionV relativeFrom="paragraph">
              <wp:posOffset>181615</wp:posOffset>
            </wp:positionV>
            <wp:extent cx="2400300" cy="615950"/>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2400300" cy="615950"/>
                    </a:xfrm>
                    <a:prstGeom prst="rect">
                      <a:avLst/>
                    </a:prstGeom>
                  </pic:spPr>
                </pic:pic>
              </a:graphicData>
            </a:graphic>
          </wp:anchor>
        </w:drawing>
      </w:r>
      <w:r>
        <w:t>Bogotá</w:t>
      </w:r>
      <w:r>
        <w:rPr>
          <w:spacing w:val="-12"/>
        </w:rPr>
        <w:t xml:space="preserve"> </w:t>
      </w:r>
      <w:r>
        <w:t>D.C.,</w:t>
      </w:r>
      <w:r>
        <w:rPr>
          <w:spacing w:val="-10"/>
        </w:rPr>
        <w:t xml:space="preserve"> </w:t>
      </w:r>
      <w:r>
        <w:t>10</w:t>
      </w:r>
      <w:r>
        <w:rPr>
          <w:spacing w:val="-9"/>
        </w:rPr>
        <w:t xml:space="preserve"> </w:t>
      </w:r>
      <w:r w:rsidR="003F3092">
        <w:t>abril</w:t>
      </w:r>
      <w:r>
        <w:rPr>
          <w:spacing w:val="-9"/>
        </w:rPr>
        <w:t xml:space="preserve"> </w:t>
      </w:r>
      <w:r>
        <w:t xml:space="preserve">2026 </w:t>
      </w:r>
    </w:p>
    <w:p w14:paraId="099657DB" w14:textId="164D70BB" w:rsidR="001C6DCC" w:rsidRPr="00C21522" w:rsidRDefault="00C15139" w:rsidP="00B96E97">
      <w:pPr>
        <w:spacing w:after="0" w:line="240" w:lineRule="auto"/>
        <w:rPr>
          <w:rFonts w:ascii="Verdana" w:eastAsia="Verdana" w:hAnsi="Verdana" w:cs="Verdana"/>
        </w:rPr>
      </w:pPr>
      <w:r w:rsidRPr="00B96E97">
        <w:rPr>
          <w:rFonts w:ascii="Verdana" w:hAnsi="Verdana"/>
        </w:rPr>
        <w:tab/>
      </w:r>
    </w:p>
    <w:p w14:paraId="67B51372" w14:textId="77777777" w:rsidR="001C6DCC" w:rsidRPr="00C21522" w:rsidRDefault="001C6DCC" w:rsidP="00C21522">
      <w:pPr>
        <w:spacing w:after="0" w:line="240" w:lineRule="auto"/>
        <w:jc w:val="both"/>
        <w:rPr>
          <w:rFonts w:ascii="Verdana" w:eastAsia="Calibri" w:hAnsi="Verdana" w:cs="Arial"/>
          <w:lang w:val="es-ES" w:eastAsia="es-ES"/>
        </w:rPr>
      </w:pPr>
      <w:r w:rsidRPr="00C21522">
        <w:rPr>
          <w:rFonts w:ascii="Verdana" w:eastAsia="Calibri" w:hAnsi="Verdana" w:cs="Arial"/>
          <w:lang w:val="es-ES" w:eastAsia="es-ES"/>
        </w:rPr>
        <w:t>Señor</w:t>
      </w:r>
    </w:p>
    <w:p w14:paraId="28B7E0AB" w14:textId="77777777" w:rsidR="001C6DCC" w:rsidRPr="00C21522" w:rsidRDefault="001C6DCC" w:rsidP="00C21522">
      <w:pPr>
        <w:spacing w:after="0" w:line="240" w:lineRule="auto"/>
        <w:rPr>
          <w:rFonts w:ascii="Verdana" w:eastAsia="Calibri" w:hAnsi="Verdana" w:cs="Arial"/>
          <w:b/>
          <w:lang w:val="es-ES_tradnl" w:eastAsia="es-ES_tradnl"/>
        </w:rPr>
      </w:pPr>
      <w:r w:rsidRPr="00C21522">
        <w:rPr>
          <w:rFonts w:ascii="Verdana" w:eastAsia="Calibri" w:hAnsi="Verdana" w:cs="Arial"/>
          <w:b/>
          <w:lang w:val="es-ES_tradnl" w:eastAsia="es-ES_tradnl"/>
        </w:rPr>
        <w:t xml:space="preserve">Víctor López Díaz </w:t>
      </w:r>
    </w:p>
    <w:p w14:paraId="3132DB4F" w14:textId="77777777" w:rsidR="001C6DCC" w:rsidRPr="00C21522" w:rsidRDefault="001C6DCC" w:rsidP="00C21522">
      <w:pPr>
        <w:spacing w:after="0" w:line="240" w:lineRule="auto"/>
        <w:rPr>
          <w:rFonts w:ascii="Verdana" w:eastAsia="Calibri" w:hAnsi="Verdana" w:cs="Arial"/>
          <w:u w:val="single"/>
          <w:lang w:val="es-ES" w:eastAsia="es-ES"/>
        </w:rPr>
      </w:pPr>
      <w:hyperlink r:id="rId11" w:history="1">
        <w:r w:rsidRPr="00C21522">
          <w:rPr>
            <w:rStyle w:val="Hipervnculo"/>
            <w:rFonts w:ascii="Verdana" w:eastAsia="Calibri" w:hAnsi="Verdana" w:cs="Arial"/>
            <w:lang w:val="es-ES" w:eastAsia="es-ES"/>
          </w:rPr>
          <w:t>asesoresintegralesf@gmail.com</w:t>
        </w:r>
      </w:hyperlink>
      <w:r w:rsidRPr="00C21522">
        <w:rPr>
          <w:rFonts w:ascii="Verdana" w:eastAsia="Calibri" w:hAnsi="Verdana" w:cs="Arial"/>
          <w:u w:val="single"/>
          <w:lang w:val="es-ES" w:eastAsia="es-ES"/>
        </w:rPr>
        <w:t xml:space="preserve"> </w:t>
      </w:r>
    </w:p>
    <w:p w14:paraId="071441B7" w14:textId="77777777" w:rsidR="001C6DCC" w:rsidRPr="00C21522" w:rsidRDefault="001C6DCC" w:rsidP="00C21522">
      <w:pPr>
        <w:spacing w:after="0" w:line="240" w:lineRule="auto"/>
        <w:rPr>
          <w:rFonts w:ascii="Verdana" w:eastAsia="Calibri" w:hAnsi="Verdana" w:cs="Arial"/>
          <w:b/>
          <w:bCs/>
          <w:lang w:val="es-ES" w:eastAsia="es-ES"/>
        </w:rPr>
      </w:pPr>
      <w:r w:rsidRPr="00C21522">
        <w:rPr>
          <w:rFonts w:ascii="Verdana" w:eastAsia="Calibri" w:hAnsi="Verdana" w:cs="Arial"/>
          <w:lang w:val="es-ES" w:eastAsia="es-ES"/>
        </w:rPr>
        <w:t>Cartagena, Bolívar</w:t>
      </w:r>
    </w:p>
    <w:p w14:paraId="2F29BF0E" w14:textId="77777777" w:rsidR="001C6DCC" w:rsidRPr="00C21522" w:rsidRDefault="001C6DCC" w:rsidP="00C21522">
      <w:pPr>
        <w:spacing w:after="0" w:line="240" w:lineRule="auto"/>
        <w:rPr>
          <w:rFonts w:ascii="Verdana" w:eastAsia="Calibri" w:hAnsi="Verdana" w:cs="Arial"/>
          <w:b/>
          <w:bCs/>
          <w:color w:val="000000"/>
          <w:lang w:val="es-ES_tradnl" w:eastAsia="es-ES_tradnl"/>
        </w:rPr>
      </w:pPr>
    </w:p>
    <w:p w14:paraId="6F93510D" w14:textId="77777777" w:rsidR="001C6DCC" w:rsidRPr="00C21522" w:rsidRDefault="001C6DCC" w:rsidP="00C21522">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2"/>
        <w:gridCol w:w="5387"/>
      </w:tblGrid>
      <w:tr w:rsidR="001C6DCC" w:rsidRPr="00C21522" w14:paraId="372893EC" w14:textId="77777777" w:rsidTr="00B96E97">
        <w:trPr>
          <w:trHeight w:val="74"/>
        </w:trPr>
        <w:tc>
          <w:tcPr>
            <w:tcW w:w="3402" w:type="dxa"/>
          </w:tcPr>
          <w:p w14:paraId="01995F2E" w14:textId="77777777" w:rsidR="001C6DCC" w:rsidRPr="00C21522" w:rsidRDefault="001C6DCC" w:rsidP="00C21522">
            <w:pPr>
              <w:jc w:val="both"/>
              <w:rPr>
                <w:rFonts w:ascii="Verdana" w:eastAsia="Calibri" w:hAnsi="Verdana" w:cs="Arial"/>
                <w:b/>
                <w:bCs/>
                <w:color w:val="7030A0"/>
                <w:lang w:val="es-ES_tradnl" w:eastAsia="es-ES_tradnl"/>
              </w:rPr>
            </w:pPr>
          </w:p>
        </w:tc>
        <w:tc>
          <w:tcPr>
            <w:tcW w:w="5387" w:type="dxa"/>
          </w:tcPr>
          <w:p w14:paraId="7D864AF7" w14:textId="77777777" w:rsidR="001C6DCC" w:rsidRDefault="001C6DCC" w:rsidP="00C21522">
            <w:pPr>
              <w:jc w:val="both"/>
              <w:rPr>
                <w:rFonts w:ascii="Verdana" w:eastAsia="Calibri" w:hAnsi="Verdana" w:cs="Arial"/>
                <w:b/>
                <w:bCs/>
                <w:lang w:val="es-ES" w:eastAsia="es-ES"/>
              </w:rPr>
            </w:pPr>
            <w:r w:rsidRPr="00C21522">
              <w:rPr>
                <w:rFonts w:ascii="Verdana" w:eastAsia="Calibri" w:hAnsi="Verdana" w:cs="Arial"/>
                <w:b/>
                <w:bCs/>
                <w:lang w:val="es-ES" w:eastAsia="es-ES"/>
              </w:rPr>
              <w:t>Concepto C- 102</w:t>
            </w:r>
            <w:r w:rsidRPr="00C21522">
              <w:rPr>
                <w:rFonts w:ascii="Verdana" w:eastAsia="Calibri" w:hAnsi="Verdana" w:cs="Arial"/>
                <w:b/>
                <w:bCs/>
                <w:color w:val="7030A0"/>
                <w:lang w:val="es-ES" w:eastAsia="es-ES"/>
              </w:rPr>
              <w:t xml:space="preserve"> </w:t>
            </w:r>
            <w:r w:rsidRPr="00C21522">
              <w:rPr>
                <w:rFonts w:ascii="Verdana" w:eastAsia="Calibri" w:hAnsi="Verdana" w:cs="Arial"/>
                <w:b/>
                <w:bCs/>
                <w:lang w:val="es-ES" w:eastAsia="es-ES"/>
              </w:rPr>
              <w:t>de 2025</w:t>
            </w:r>
          </w:p>
          <w:p w14:paraId="73E51A23" w14:textId="77777777" w:rsidR="00C21522" w:rsidRPr="00C21522" w:rsidRDefault="00C21522" w:rsidP="00C21522">
            <w:pPr>
              <w:jc w:val="both"/>
              <w:rPr>
                <w:rFonts w:ascii="Verdana" w:eastAsia="Calibri" w:hAnsi="Verdana" w:cs="Arial"/>
                <w:b/>
                <w:bCs/>
                <w:color w:val="7030A0"/>
                <w:lang w:val="es-ES" w:eastAsia="es-ES"/>
              </w:rPr>
            </w:pPr>
          </w:p>
        </w:tc>
      </w:tr>
      <w:tr w:rsidR="001C6DCC" w:rsidRPr="00C21522" w14:paraId="195DF6FB" w14:textId="77777777" w:rsidTr="0031322D">
        <w:trPr>
          <w:trHeight w:val="884"/>
        </w:trPr>
        <w:tc>
          <w:tcPr>
            <w:tcW w:w="3402" w:type="dxa"/>
          </w:tcPr>
          <w:p w14:paraId="2ABF96A2" w14:textId="77777777" w:rsidR="001C6DCC" w:rsidRPr="00C21522" w:rsidRDefault="001C6DCC" w:rsidP="00C21522">
            <w:pPr>
              <w:jc w:val="both"/>
              <w:rPr>
                <w:rFonts w:ascii="Verdana" w:eastAsia="Calibri" w:hAnsi="Verdana" w:cs="Arial"/>
                <w:color w:val="000000" w:themeColor="text1"/>
                <w:lang w:val="es-ES_tradnl" w:eastAsia="es-ES_tradnl"/>
              </w:rPr>
            </w:pPr>
            <w:r w:rsidRPr="00C21522">
              <w:rPr>
                <w:rFonts w:ascii="Verdana" w:eastAsia="Calibri" w:hAnsi="Verdana" w:cs="Arial"/>
                <w:b/>
                <w:color w:val="000000" w:themeColor="text1"/>
                <w:lang w:val="es-ES_tradnl" w:eastAsia="es-ES_tradnl"/>
              </w:rPr>
              <w:t>Temas:</w:t>
            </w:r>
            <w:r w:rsidRPr="00C21522">
              <w:rPr>
                <w:rFonts w:ascii="Verdana" w:eastAsia="Calibri" w:hAnsi="Verdana" w:cs="Arial"/>
                <w:color w:val="000000" w:themeColor="text1"/>
                <w:lang w:val="es-ES_tradnl" w:eastAsia="es-ES_tradnl"/>
              </w:rPr>
              <w:t xml:space="preserve">                   </w:t>
            </w:r>
          </w:p>
        </w:tc>
        <w:tc>
          <w:tcPr>
            <w:tcW w:w="5387" w:type="dxa"/>
          </w:tcPr>
          <w:p w14:paraId="1A760A8D" w14:textId="5350FA89" w:rsidR="00330C97" w:rsidRPr="00B96E97" w:rsidRDefault="001C6DCC" w:rsidP="00C21522">
            <w:pPr>
              <w:jc w:val="both"/>
              <w:rPr>
                <w:rFonts w:ascii="Verdana" w:eastAsia="Arial" w:hAnsi="Verdana" w:cs="Arial"/>
                <w:color w:val="000000" w:themeColor="text1"/>
              </w:rPr>
            </w:pPr>
            <w:r w:rsidRPr="00C21522">
              <w:rPr>
                <w:rFonts w:ascii="Verdana" w:hAnsi="Verdana" w:cs="Arial"/>
                <w:bCs/>
                <w:color w:val="000000" w:themeColor="text1"/>
                <w:lang w:val="es-ES_tradnl"/>
              </w:rPr>
              <w:t xml:space="preserve">LEY DE GARANTÍAS ELECTORALES ‒ Finalidad / LEY DE GARANTÍAS ELECTORALES ‒ Tipos de restricciones – </w:t>
            </w:r>
            <w:r w:rsidR="00CE1500">
              <w:rPr>
                <w:rFonts w:ascii="Verdana" w:eastAsia="Arial" w:hAnsi="Verdana" w:cs="Arial"/>
                <w:color w:val="000000" w:themeColor="text1"/>
                <w:lang w:val="es-ES" w:eastAsia="es-ES"/>
              </w:rPr>
              <w:t xml:space="preserve">Contratación directa – Convenios interadministrativos </w:t>
            </w:r>
            <w:r w:rsidRPr="00C21522">
              <w:rPr>
                <w:rFonts w:ascii="Verdana" w:eastAsia="Arial" w:hAnsi="Verdana" w:cs="Arial"/>
                <w:color w:val="000000" w:themeColor="text1"/>
                <w:lang w:val="es-ES" w:eastAsia="es-ES"/>
              </w:rPr>
              <w:t xml:space="preserve">/ </w:t>
            </w:r>
            <w:r w:rsidRPr="00C21522">
              <w:rPr>
                <w:rFonts w:ascii="Verdana" w:eastAsia="Arial" w:hAnsi="Verdana" w:cs="Arial"/>
                <w:color w:val="000000" w:themeColor="text1"/>
              </w:rPr>
              <w:t>INSTITUCIONES EDUCATIVAS OFICIALES – Naturaleza jurídica – Capacidad para contratar</w:t>
            </w:r>
            <w:r w:rsidR="00CE1500">
              <w:rPr>
                <w:rFonts w:ascii="Verdana" w:eastAsia="Arial" w:hAnsi="Verdana" w:cs="Arial"/>
                <w:color w:val="000000" w:themeColor="text1"/>
              </w:rPr>
              <w:t xml:space="preserve"> </w:t>
            </w:r>
            <w:r w:rsidR="00CE1500" w:rsidRPr="00C21522">
              <w:rPr>
                <w:rFonts w:ascii="Verdana" w:eastAsia="Arial" w:hAnsi="Verdana" w:cs="Arial"/>
                <w:color w:val="000000" w:themeColor="text1"/>
                <w:lang w:val="es-ES" w:eastAsia="es-ES"/>
              </w:rPr>
              <w:t xml:space="preserve">/ </w:t>
            </w:r>
            <w:r w:rsidR="00CE1500" w:rsidRPr="00C21522">
              <w:rPr>
                <w:rFonts w:ascii="Verdana" w:eastAsia="Arial" w:hAnsi="Verdana" w:cs="Arial"/>
                <w:color w:val="000000" w:themeColor="text1"/>
              </w:rPr>
              <w:t>INSTITUCIONES EDUCATIVAS OFICIALES –</w:t>
            </w:r>
            <w:r w:rsidR="00CE1500">
              <w:rPr>
                <w:rFonts w:ascii="Verdana" w:eastAsia="Arial" w:hAnsi="Verdana" w:cs="Arial"/>
                <w:color w:val="000000" w:themeColor="text1"/>
              </w:rPr>
              <w:t xml:space="preserve"> </w:t>
            </w:r>
            <w:r w:rsidR="00594150">
              <w:rPr>
                <w:rFonts w:ascii="Verdana" w:eastAsia="Arial" w:hAnsi="Verdana" w:cs="Arial"/>
                <w:color w:val="000000" w:themeColor="text1"/>
              </w:rPr>
              <w:t xml:space="preserve">Ley de Garantías Electorales – </w:t>
            </w:r>
            <w:r w:rsidR="00CE1500">
              <w:rPr>
                <w:rFonts w:ascii="Verdana" w:eastAsia="Arial" w:hAnsi="Verdana" w:cs="Arial"/>
                <w:color w:val="000000" w:themeColor="text1"/>
              </w:rPr>
              <w:t>Aplicaci</w:t>
            </w:r>
            <w:r w:rsidR="00330C97">
              <w:rPr>
                <w:rFonts w:ascii="Verdana" w:eastAsia="Arial" w:hAnsi="Verdana" w:cs="Arial"/>
                <w:color w:val="000000" w:themeColor="text1"/>
              </w:rPr>
              <w:t>ón</w:t>
            </w:r>
            <w:r w:rsidR="00594150">
              <w:rPr>
                <w:rFonts w:ascii="Verdana" w:eastAsia="Arial" w:hAnsi="Verdana" w:cs="Arial"/>
                <w:color w:val="000000" w:themeColor="text1"/>
              </w:rPr>
              <w:t xml:space="preserve"> </w:t>
            </w:r>
            <w:r w:rsidR="00330C97">
              <w:rPr>
                <w:rFonts w:ascii="Verdana" w:eastAsia="Arial" w:hAnsi="Verdana" w:cs="Arial"/>
                <w:color w:val="000000" w:themeColor="text1"/>
              </w:rPr>
              <w:t xml:space="preserve"> </w:t>
            </w:r>
          </w:p>
          <w:p w14:paraId="63DFBCE1" w14:textId="77777777" w:rsidR="001C6DCC" w:rsidRPr="00C21522" w:rsidRDefault="001C6DCC" w:rsidP="00B96E97">
            <w:pPr>
              <w:jc w:val="both"/>
              <w:rPr>
                <w:rFonts w:ascii="Verdana" w:eastAsia="Calibri" w:hAnsi="Verdana" w:cs="Arial"/>
                <w:color w:val="000000" w:themeColor="text1"/>
                <w:lang w:val="es-ES" w:eastAsia="es-ES"/>
              </w:rPr>
            </w:pPr>
          </w:p>
        </w:tc>
      </w:tr>
      <w:tr w:rsidR="001C6DCC" w:rsidRPr="00C21522" w14:paraId="1928643B" w14:textId="77777777" w:rsidTr="000B56AF">
        <w:trPr>
          <w:trHeight w:val="386"/>
        </w:trPr>
        <w:tc>
          <w:tcPr>
            <w:tcW w:w="3402" w:type="dxa"/>
          </w:tcPr>
          <w:p w14:paraId="44D8BC99" w14:textId="77777777" w:rsidR="001C6DCC" w:rsidRPr="00C21522" w:rsidRDefault="001C6DCC" w:rsidP="00C21522">
            <w:pPr>
              <w:jc w:val="both"/>
              <w:rPr>
                <w:rFonts w:ascii="Verdana" w:eastAsia="Calibri" w:hAnsi="Verdana" w:cs="Arial"/>
                <w:b/>
                <w:color w:val="000000" w:themeColor="text1"/>
                <w:lang w:val="es-ES_tradnl" w:eastAsia="es-ES_tradnl"/>
              </w:rPr>
            </w:pPr>
            <w:r w:rsidRPr="00C21522">
              <w:rPr>
                <w:rFonts w:ascii="Verdana" w:eastAsia="Calibri" w:hAnsi="Verdana" w:cs="Arial"/>
                <w:b/>
                <w:color w:val="000000" w:themeColor="text1"/>
                <w:lang w:val="es-ES_tradnl" w:eastAsia="es-ES_tradnl"/>
              </w:rPr>
              <w:t>Radicación:</w:t>
            </w:r>
            <w:r w:rsidRPr="00C21522">
              <w:rPr>
                <w:rFonts w:ascii="Verdana" w:eastAsia="Calibri" w:hAnsi="Verdana" w:cs="Arial"/>
                <w:color w:val="000000" w:themeColor="text1"/>
                <w:lang w:val="es-ES_tradnl" w:eastAsia="es-ES_tradnl"/>
              </w:rPr>
              <w:t xml:space="preserve">               </w:t>
            </w:r>
          </w:p>
        </w:tc>
        <w:tc>
          <w:tcPr>
            <w:tcW w:w="5387" w:type="dxa"/>
          </w:tcPr>
          <w:p w14:paraId="49C80303" w14:textId="77777777" w:rsidR="001C6DCC" w:rsidRPr="00C21522" w:rsidRDefault="001C6DCC" w:rsidP="00C21522">
            <w:pPr>
              <w:jc w:val="both"/>
              <w:rPr>
                <w:rFonts w:ascii="Verdana" w:eastAsia="Calibri" w:hAnsi="Verdana" w:cs="Arial"/>
                <w:color w:val="000000" w:themeColor="text1"/>
                <w:lang w:val="es-ES_tradnl" w:eastAsia="es-ES_tradnl"/>
              </w:rPr>
            </w:pPr>
            <w:r w:rsidRPr="00C21522">
              <w:rPr>
                <w:rFonts w:ascii="Verdana" w:eastAsia="Calibri" w:hAnsi="Verdana" w:cs="Arial"/>
                <w:color w:val="000000" w:themeColor="text1"/>
                <w:lang w:val="es-ES_tradnl" w:eastAsia="es-ES_tradnl"/>
              </w:rPr>
              <w:t xml:space="preserve">Respuesta a consulta con radicado No. </w:t>
            </w:r>
            <w:r w:rsidRPr="00C21522">
              <w:rPr>
                <w:rFonts w:ascii="Verdana" w:hAnsi="Verdana"/>
                <w:color w:val="000000" w:themeColor="text1"/>
                <w:shd w:val="clear" w:color="auto" w:fill="FFFFFF"/>
              </w:rPr>
              <w:t>1_2026_03_01_002810</w:t>
            </w:r>
          </w:p>
        </w:tc>
      </w:tr>
    </w:tbl>
    <w:p w14:paraId="55FD604D" w14:textId="77777777" w:rsidR="001C6DCC" w:rsidRPr="00593A5F" w:rsidRDefault="001C6DCC" w:rsidP="001C6DCC">
      <w:pPr>
        <w:spacing w:after="0" w:line="240" w:lineRule="auto"/>
        <w:jc w:val="both"/>
        <w:rPr>
          <w:rFonts w:ascii="Verdana" w:eastAsia="Calibri" w:hAnsi="Verdana" w:cs="Arial"/>
          <w:color w:val="000000"/>
          <w:lang w:val="es-ES_tradnl" w:eastAsia="es-ES_tradnl"/>
        </w:rPr>
      </w:pPr>
    </w:p>
    <w:p w14:paraId="7464600F" w14:textId="77777777" w:rsidR="001C6DCC" w:rsidRPr="004A7101" w:rsidRDefault="001C6DCC" w:rsidP="001C6DCC">
      <w:pPr>
        <w:spacing w:after="0" w:line="276" w:lineRule="auto"/>
        <w:jc w:val="both"/>
        <w:rPr>
          <w:rFonts w:ascii="Verdana" w:eastAsia="Calibri" w:hAnsi="Verdana" w:cs="Arial"/>
          <w:color w:val="000000" w:themeColor="text1"/>
          <w:lang w:val="es-ES" w:eastAsia="es-ES"/>
        </w:rPr>
      </w:pPr>
      <w:r w:rsidRPr="004A7101">
        <w:rPr>
          <w:rFonts w:ascii="Verdana" w:eastAsia="Calibri" w:hAnsi="Verdana" w:cs="Arial"/>
          <w:color w:val="000000" w:themeColor="text1"/>
          <w:lang w:val="es-ES" w:eastAsia="es-ES"/>
        </w:rPr>
        <w:t xml:space="preserve">Estimado señor López, </w:t>
      </w:r>
    </w:p>
    <w:p w14:paraId="49C6037A" w14:textId="77777777" w:rsidR="001C6DCC" w:rsidRDefault="001C6DCC" w:rsidP="001C6DCC">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C804C0A" w14:textId="77777777" w:rsidR="001C6DCC" w:rsidRDefault="001C6DCC" w:rsidP="001C6DCC">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fecha </w:t>
      </w:r>
      <w:r w:rsidRPr="004A7101">
        <w:rPr>
          <w:rFonts w:ascii="Verdana" w:eastAsia="Calibri" w:hAnsi="Verdana" w:cs="Arial"/>
          <w:color w:val="000000" w:themeColor="text1"/>
          <w:lang w:val="es-ES" w:eastAsia="es-ES"/>
        </w:rPr>
        <w:t>01 de marzo de 2026, en la cual manifiesta lo siguiente:</w:t>
      </w:r>
    </w:p>
    <w:p w14:paraId="70F20AF9" w14:textId="77777777" w:rsidR="001C6DCC" w:rsidRPr="00716422" w:rsidRDefault="001C6DCC" w:rsidP="001C6DCC">
      <w:pPr>
        <w:spacing w:after="0" w:line="276" w:lineRule="auto"/>
        <w:jc w:val="both"/>
        <w:rPr>
          <w:rFonts w:ascii="Verdana" w:eastAsia="Century Gothic" w:hAnsi="Verdana" w:cs="Century Gothic"/>
          <w:color w:val="7030A0"/>
          <w:sz w:val="20"/>
          <w:szCs w:val="20"/>
          <w:lang w:val="es-ES"/>
        </w:rPr>
      </w:pPr>
    </w:p>
    <w:p w14:paraId="109BEF84" w14:textId="77777777" w:rsidR="001C6DCC" w:rsidRPr="00716422" w:rsidRDefault="001C6DCC" w:rsidP="001C6DCC">
      <w:pPr>
        <w:spacing w:after="0" w:line="240" w:lineRule="auto"/>
        <w:ind w:left="709" w:right="709"/>
        <w:jc w:val="both"/>
        <w:rPr>
          <w:rFonts w:ascii="Verdana" w:eastAsia="Century Gothic" w:hAnsi="Verdana" w:cs="Century Gothic"/>
          <w:color w:val="7030A0"/>
          <w:sz w:val="20"/>
          <w:szCs w:val="20"/>
          <w:lang w:val="es-ES"/>
        </w:rPr>
      </w:pPr>
      <w:r w:rsidRPr="00716422">
        <w:rPr>
          <w:rFonts w:ascii="Verdana" w:hAnsi="Verdana"/>
          <w:sz w:val="20"/>
          <w:szCs w:val="20"/>
        </w:rPr>
        <w:t>“¿pueden las instituciones educativas continuar contratando bienes y servicios mediante su: reglamento para los procedimientos, formalidades y garantías para la contratación con los recursos de los fondos de servicios educativos cuya cuantía no supere los veinte (20) salarios mínimos mensuales legales vigentes, en el fondo de servicios educativo de la institución educativa, durante la vigencia de las restricciones de la ley 996 de 2005 (ley de garantías)”</w:t>
      </w:r>
    </w:p>
    <w:p w14:paraId="49405493" w14:textId="77777777" w:rsidR="001C6DCC" w:rsidRPr="00593A5F" w:rsidRDefault="001C6DCC" w:rsidP="001C6DCC">
      <w:pPr>
        <w:pStyle w:val="Prrafodelista"/>
        <w:tabs>
          <w:tab w:val="left" w:pos="142"/>
          <w:tab w:val="left" w:pos="284"/>
        </w:tabs>
        <w:spacing w:line="276" w:lineRule="auto"/>
        <w:ind w:left="0"/>
        <w:jc w:val="both"/>
        <w:rPr>
          <w:rFonts w:ascii="Verdana" w:eastAsia="Century Gothic" w:hAnsi="Verdana" w:cs="Century Gothic"/>
          <w:b/>
          <w:bCs/>
        </w:rPr>
      </w:pPr>
    </w:p>
    <w:p w14:paraId="43F95907" w14:textId="77777777" w:rsidR="001C6DCC" w:rsidRDefault="001C6DCC" w:rsidP="001C6DCC">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FD94246" w14:textId="77777777" w:rsidR="001C6DCC" w:rsidRDefault="001C6DCC" w:rsidP="001C6DCC">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w:t>
      </w:r>
      <w:r>
        <w:rPr>
          <w:rFonts w:ascii="Verdana" w:eastAsia="Calibri" w:hAnsi="Verdana" w:cs="Arial"/>
          <w:color w:val="000000"/>
          <w:lang w:val="es-ES" w:eastAsia="es-ES"/>
        </w:rPr>
        <w:t xml:space="preserve"> señalando</w:t>
      </w:r>
      <w:r w:rsidRPr="00593A5F">
        <w:rPr>
          <w:rFonts w:ascii="Verdana" w:eastAsia="Calibri" w:hAnsi="Verdana" w:cs="Arial"/>
          <w:color w:val="000000"/>
          <w:lang w:val="es-ES" w:eastAsia="es-ES"/>
        </w:rPr>
        <w:t xml:space="preserve">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5CD06460" w14:textId="77777777" w:rsidR="001C6DCC" w:rsidRPr="00593A5F" w:rsidRDefault="001C6DCC" w:rsidP="001C6DCC">
      <w:pPr>
        <w:spacing w:after="0" w:line="276" w:lineRule="auto"/>
        <w:ind w:firstLine="709"/>
        <w:jc w:val="both"/>
        <w:rPr>
          <w:rFonts w:ascii="Verdana" w:eastAsia="Calibri" w:hAnsi="Verdana" w:cs="Arial"/>
          <w:color w:val="000000"/>
          <w:lang w:val="es-ES" w:eastAsia="es-ES"/>
        </w:rPr>
      </w:pPr>
    </w:p>
    <w:p w14:paraId="41A794C3" w14:textId="77777777" w:rsidR="001C6DCC" w:rsidRPr="00593A5F" w:rsidRDefault="001C6DCC" w:rsidP="001C6DC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5502C72B" w14:textId="77777777" w:rsidR="001C6DCC" w:rsidRPr="00593A5F" w:rsidRDefault="001C6DCC" w:rsidP="001C6DCC">
      <w:pPr>
        <w:tabs>
          <w:tab w:val="left" w:pos="426"/>
        </w:tabs>
        <w:spacing w:after="0" w:line="276" w:lineRule="auto"/>
        <w:jc w:val="both"/>
        <w:rPr>
          <w:rFonts w:ascii="Verdana" w:eastAsia="Century Gothic" w:hAnsi="Verdana" w:cs="Century Gothic"/>
          <w:lang w:val="es-ES"/>
        </w:rPr>
      </w:pPr>
    </w:p>
    <w:p w14:paraId="669F9DA7" w14:textId="77777777" w:rsidR="001C6DCC" w:rsidRDefault="001C6DCC" w:rsidP="001C6DCC">
      <w:pPr>
        <w:spacing w:after="0" w:line="276" w:lineRule="auto"/>
        <w:jc w:val="both"/>
        <w:rPr>
          <w:rFonts w:ascii="Verdana" w:eastAsia="Century Gothic" w:hAnsi="Verdana" w:cs="Century Gothic"/>
        </w:rPr>
      </w:pPr>
      <w:r w:rsidRPr="1F9252E4">
        <w:rPr>
          <w:rFonts w:ascii="Verdana" w:eastAsia="Century Gothic" w:hAnsi="Verdana" w:cs="Century Gothic"/>
        </w:rPr>
        <w:t>De acuerdo con el contenido de su solicitud, esta Agencia resolverá el siguient</w:t>
      </w:r>
      <w:r>
        <w:rPr>
          <w:rFonts w:ascii="Verdana" w:eastAsia="Century Gothic" w:hAnsi="Verdana" w:cs="Century Gothic"/>
        </w:rPr>
        <w:t>e</w:t>
      </w:r>
      <w:r w:rsidRPr="1F9252E4">
        <w:rPr>
          <w:rFonts w:ascii="Verdana" w:eastAsia="Century Gothic" w:hAnsi="Verdana" w:cs="Century Gothic"/>
        </w:rPr>
        <w:t xml:space="preserve"> problema</w:t>
      </w:r>
      <w:r>
        <w:rPr>
          <w:rFonts w:ascii="Verdana" w:eastAsia="Century Gothic" w:hAnsi="Verdana" w:cs="Century Gothic"/>
        </w:rPr>
        <w:t xml:space="preserve"> </w:t>
      </w:r>
      <w:r w:rsidRPr="1F9252E4">
        <w:rPr>
          <w:rFonts w:ascii="Verdana" w:eastAsia="Century Gothic" w:hAnsi="Verdana" w:cs="Century Gothic"/>
        </w:rPr>
        <w:t>jurídico:</w:t>
      </w:r>
      <w:r>
        <w:rPr>
          <w:rFonts w:ascii="Verdana" w:eastAsia="Century Gothic" w:hAnsi="Verdana" w:cs="Century Gothic"/>
        </w:rPr>
        <w:t xml:space="preserve"> </w:t>
      </w:r>
      <w:r w:rsidRPr="005649AA">
        <w:rPr>
          <w:rFonts w:ascii="Verdana" w:eastAsia="Century Gothic" w:hAnsi="Verdana" w:cs="Century Gothic"/>
        </w:rPr>
        <w:t xml:space="preserve">¿Las restricciones contenidas en la Ley de Garantías Electorales en materia de contratación estatal son aplicables a </w:t>
      </w:r>
      <w:r w:rsidRPr="0088710E">
        <w:rPr>
          <w:rFonts w:ascii="Verdana" w:eastAsia="Century Gothic" w:hAnsi="Verdana" w:cs="Century Gothic"/>
        </w:rPr>
        <w:t>las Instituciones Educativas Oficiales - Régimen Especial</w:t>
      </w:r>
      <w:r w:rsidRPr="005649AA">
        <w:rPr>
          <w:rFonts w:ascii="Verdana" w:eastAsia="Century Gothic" w:hAnsi="Verdana" w:cs="Century Gothic"/>
        </w:rPr>
        <w:t>?</w:t>
      </w:r>
    </w:p>
    <w:p w14:paraId="146FF220" w14:textId="77777777" w:rsidR="001C6DCC" w:rsidRPr="00593A5F" w:rsidRDefault="001C6DCC" w:rsidP="001C6DCC">
      <w:pPr>
        <w:spacing w:after="0" w:line="276" w:lineRule="auto"/>
        <w:jc w:val="both"/>
        <w:rPr>
          <w:rFonts w:ascii="Verdana" w:eastAsia="Calibri" w:hAnsi="Verdana" w:cs="Arial"/>
          <w:color w:val="7030A0"/>
          <w:lang w:val="es-ES"/>
        </w:rPr>
      </w:pPr>
    </w:p>
    <w:p w14:paraId="25A88307" w14:textId="77777777" w:rsidR="001C6DCC" w:rsidRPr="00593A5F" w:rsidRDefault="001C6DCC" w:rsidP="001C6DC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CB76F5F" w14:textId="77777777" w:rsidR="001C6DCC" w:rsidRPr="00593A5F" w:rsidRDefault="001C6DCC" w:rsidP="001C6DC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C6DCC" w:rsidRPr="00593A5F" w14:paraId="6BB6AEFE" w14:textId="77777777" w:rsidTr="0031322D">
        <w:tc>
          <w:tcPr>
            <w:tcW w:w="8828" w:type="dxa"/>
          </w:tcPr>
          <w:p w14:paraId="34386275" w14:textId="77777777" w:rsidR="001C6DCC" w:rsidRDefault="001C6DCC" w:rsidP="0031322D">
            <w:pPr>
              <w:spacing w:after="120" w:line="276" w:lineRule="auto"/>
              <w:jc w:val="both"/>
              <w:rPr>
                <w:rFonts w:ascii="Verdana" w:eastAsia="Times New Roman" w:hAnsi="Verdana" w:cs="Open Sans"/>
                <w:lang w:eastAsia="es-CO"/>
              </w:rPr>
            </w:pPr>
            <w:r w:rsidRPr="00DE5508">
              <w:rPr>
                <w:rFonts w:ascii="Verdana" w:eastAsia="Times New Roman" w:hAnsi="Verdana" w:cs="Open Sans"/>
                <w:lang w:eastAsia="es-CO"/>
              </w:rPr>
              <w:t xml:space="preserve">El artículo 33 de la Ley 996 de 2205 prohíbe la contratación directa por parte de todos los entes estatales durante los cuatro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w:t>
            </w:r>
            <w:r w:rsidRPr="485EFC16">
              <w:rPr>
                <w:rFonts w:ascii="Verdana" w:eastAsia="Times New Roman" w:hAnsi="Verdana" w:cs="Open Sans"/>
                <w:lang w:eastAsia="es-CO"/>
              </w:rPr>
              <w:t>se refiere a</w:t>
            </w:r>
            <w:r w:rsidRPr="00DE5508">
              <w:rPr>
                <w:rFonts w:ascii="Verdana" w:eastAsia="Times New Roman" w:hAnsi="Verdana" w:cs="Open Sans"/>
                <w:lang w:eastAsia="es-CO"/>
              </w:rPr>
              <w:t xml:space="preserve"> cualquier sistema de selección o procedimiento de contratación utilizado por las entidades estatales que no </w:t>
            </w:r>
            <w:r w:rsidRPr="00DE5508">
              <w:rPr>
                <w:rFonts w:ascii="Verdana" w:eastAsia="Times New Roman" w:hAnsi="Verdana" w:cs="Open Sans"/>
                <w:lang w:eastAsia="es-CO"/>
              </w:rPr>
              <w:lastRenderedPageBreak/>
              <w:t xml:space="preserve">incluya la convocatoria pública en alguna de sus etapas, ni permita la participación de una pluralidad de oferentes. </w:t>
            </w:r>
          </w:p>
          <w:p w14:paraId="7225FF43" w14:textId="77777777" w:rsidR="001C6DCC" w:rsidRDefault="001C6DCC" w:rsidP="0031322D">
            <w:pPr>
              <w:spacing w:after="120" w:line="276" w:lineRule="auto"/>
              <w:ind w:firstLine="708"/>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36BEA899" w14:textId="77777777" w:rsidR="001C6DCC" w:rsidRDefault="001C6DCC" w:rsidP="0031322D">
            <w:pPr>
              <w:spacing w:after="120" w:line="276" w:lineRule="auto"/>
              <w:ind w:firstLine="708"/>
              <w:jc w:val="both"/>
              <w:rPr>
                <w:rFonts w:ascii="Verdana" w:eastAsia="Arial" w:hAnsi="Verdana" w:cs="Arial"/>
                <w:color w:val="000000"/>
                <w:lang w:eastAsia="es-CO"/>
              </w:rPr>
            </w:pPr>
            <w:r w:rsidRPr="00072C23">
              <w:rPr>
                <w:rFonts w:ascii="Verdana" w:eastAsia="Arial" w:hAnsi="Verdana" w:cs="Arial"/>
                <w:color w:val="000000" w:themeColor="text1"/>
                <w:lang w:eastAsia="es-MX"/>
              </w:rPr>
              <w:t xml:space="preserve">En este contexto, para la restricción del artículo 33 de la </w:t>
            </w:r>
            <w:r w:rsidRPr="00072C23">
              <w:rPr>
                <w:rFonts w:ascii="Verdana" w:eastAsia="Arial" w:hAnsi="Verdana" w:cs="Arial"/>
                <w:color w:val="000000" w:themeColor="text1"/>
                <w:lang w:eastAsia="es-CO"/>
              </w:rPr>
              <w:t xml:space="preserve">Ley 996 de 2005 es necesario considerar que </w:t>
            </w:r>
            <w:r w:rsidRPr="00072C23">
              <w:rPr>
                <w:rFonts w:ascii="Verdana" w:eastAsia="Arial" w:hAnsi="Verdana" w:cs="Arial"/>
                <w:lang w:val="es-ES" w:eastAsia="es-MX"/>
              </w:rPr>
              <w:t xml:space="preserve">el artículo </w:t>
            </w:r>
            <w:r w:rsidRPr="00072C23">
              <w:rPr>
                <w:rFonts w:ascii="Verdana" w:eastAsia="Arial" w:hAnsi="Verdana" w:cs="Arial"/>
                <w:lang w:eastAsia="es-MX"/>
              </w:rPr>
              <w:t>13 de la Ley 715 de 2001</w:t>
            </w:r>
            <w:r w:rsidRPr="00072C23">
              <w:rPr>
                <w:rFonts w:ascii="Verdana" w:eastAsia="Arial" w:hAnsi="Verdana" w:cs="Arial"/>
                <w:color w:val="000000" w:themeColor="text1"/>
                <w:lang w:eastAsia="es-CO"/>
              </w:rPr>
              <w:t xml:space="preserve"> consagra un régimen jurídico que exceptúa la aplicación del Estatuto General de Contratación de la Administración Pública en los contratos de los fondos de servicios educativos inferiores a veinte (20) SMLMV con el objetivo de flexibilizar el régimen contractual aplicable. Pese a lo anterior, la prohibición de contratación directa de la Ley de Garantías es independiente del régimen contractual, por lo que se extiende a los contratos celebrados con cargo a los fondos de servicios educativos.</w:t>
            </w:r>
            <w:r w:rsidRPr="00072C23">
              <w:rPr>
                <w:rFonts w:ascii="Verdana" w:eastAsia="Arial" w:hAnsi="Verdana" w:cs="Arial"/>
                <w:color w:val="000000"/>
                <w:lang w:eastAsia="es-CO"/>
              </w:rPr>
              <w:t xml:space="preserve"> </w:t>
            </w:r>
          </w:p>
          <w:p w14:paraId="4B56C7C7" w14:textId="77777777" w:rsidR="001C6DCC" w:rsidRDefault="001C6DCC" w:rsidP="0031322D">
            <w:pPr>
              <w:spacing w:after="120" w:line="276" w:lineRule="auto"/>
              <w:ind w:firstLine="708"/>
              <w:jc w:val="both"/>
              <w:rPr>
                <w:rFonts w:ascii="Verdana" w:eastAsia="Times New Roman" w:hAnsi="Verdana" w:cs="Open Sans"/>
                <w:lang w:eastAsia="es-CO"/>
              </w:rPr>
            </w:pPr>
            <w:r w:rsidRPr="00072C23">
              <w:rPr>
                <w:rFonts w:ascii="Verdana" w:eastAsia="Arial" w:hAnsi="Verdana" w:cs="Arial"/>
                <w:color w:val="000000"/>
                <w:lang w:eastAsia="es-CO"/>
              </w:rPr>
              <w:t xml:space="preserve">En conclusión, la prohibición del artículo 33 de la Ley 996 de 2005 se extiende a cualquier contrato realizado con recursos de fondos de servicios educativos, sean inferiores o superiores a 20 SMLMV siempre que el contrato se celebre sin que esté antecedido de un procedimiento que admita la posible participación de una pluralidad de oferentes, toda vez que la prohibición recae sobre la </w:t>
            </w:r>
            <w:r w:rsidRPr="00072C23">
              <w:rPr>
                <w:rFonts w:ascii="Verdana" w:eastAsia="Arial" w:hAnsi="Verdana" w:cs="Arial"/>
                <w:i/>
                <w:iCs/>
                <w:color w:val="000000"/>
                <w:lang w:eastAsia="es-CO"/>
              </w:rPr>
              <w:t>contratación directa</w:t>
            </w:r>
            <w:r w:rsidRPr="00072C23">
              <w:rPr>
                <w:rFonts w:ascii="Verdana" w:eastAsia="Arial" w:hAnsi="Verdana" w:cs="Arial"/>
                <w:color w:val="000000"/>
                <w:lang w:eastAsia="es-CO"/>
              </w:rPr>
              <w:t xml:space="preserve">.  </w:t>
            </w:r>
            <w:r w:rsidRPr="006A640E">
              <w:rPr>
                <w:rFonts w:ascii="Verdana" w:eastAsia="Times New Roman" w:hAnsi="Verdana" w:cs="Open Sans"/>
                <w:lang w:eastAsia="es-CO"/>
              </w:rPr>
              <w:t>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materia de la prohibición </w:t>
            </w:r>
            <w:r>
              <w:rPr>
                <w:rFonts w:ascii="Verdana" w:eastAsia="Times New Roman" w:hAnsi="Verdana" w:cs="Open Sans"/>
                <w:lang w:eastAsia="es-CO"/>
              </w:rPr>
              <w:t xml:space="preserve">los procesos que estén antecedidos por la participación de una pluralidad de oferentes y </w:t>
            </w:r>
            <w:r w:rsidRPr="006A640E">
              <w:rPr>
                <w:rFonts w:ascii="Verdana" w:eastAsia="Times New Roman" w:hAnsi="Verdana" w:cs="Open Sans"/>
                <w:lang w:eastAsia="es-CO"/>
              </w:rPr>
              <w:t>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5B3B0119" w14:textId="77777777" w:rsidR="001C6DCC" w:rsidRPr="00DE5508" w:rsidRDefault="001C6DCC" w:rsidP="0031322D">
            <w:pPr>
              <w:pStyle w:val="Prrafodelista"/>
              <w:spacing w:line="276" w:lineRule="auto"/>
              <w:ind w:left="0" w:firstLine="709"/>
              <w:jc w:val="both"/>
              <w:rPr>
                <w:rFonts w:ascii="Verdana" w:eastAsia="Times New Roman" w:hAnsi="Verdana" w:cs="Arial"/>
                <w:lang w:val="es-MX" w:eastAsia="es-CO"/>
              </w:rPr>
            </w:pPr>
            <w:r w:rsidRPr="00DE5508">
              <w:rPr>
                <w:rFonts w:ascii="Verdana" w:hAnsi="Verdana" w:cs="BCDHEE+Verdana"/>
                <w:color w:val="000000"/>
              </w:rPr>
              <w:t xml:space="preserve">Para las elecciones presidenciales, el Consejo Nacional Electoral mediante Resolución No. 2580 del 5 de marzo de 2025 fijó el calendario </w:t>
            </w:r>
            <w:r w:rsidRPr="00DE5508">
              <w:rPr>
                <w:rFonts w:ascii="Verdana" w:hAnsi="Verdana" w:cs="BCDHEE+Verdana"/>
                <w:color w:val="000000"/>
              </w:rPr>
              <w:lastRenderedPageBreak/>
              <w:t>electoral para las elecciones de Presidente y Vicepresidente de la República en primera vuelta que se celebrarán el 31 de mayo de 2026, por lo que las restricciones a aplicar son las del artículo 33 de la Ley 996 de 2005 que dispone que dentro de los 4 meses anteriores a la elección presidencial, es decir desde el 31 de enero de 2026 y hasta el momento de la celebración de la segunda vuelta, si fuere el caso, queda prohibida la contratación directa por parte de todos los entes del Estado</w:t>
            </w:r>
            <w:r>
              <w:rPr>
                <w:rFonts w:ascii="Verdana" w:hAnsi="Verdana" w:cs="BCDHEE+Verdana"/>
                <w:color w:val="000000"/>
              </w:rPr>
              <w:t>.</w:t>
            </w:r>
          </w:p>
          <w:p w14:paraId="01A5F3D4" w14:textId="77777777" w:rsidR="001C6DCC" w:rsidRDefault="001C6DCC" w:rsidP="0031322D">
            <w:pPr>
              <w:spacing w:after="120" w:line="276" w:lineRule="auto"/>
              <w:ind w:firstLine="708"/>
              <w:jc w:val="both"/>
              <w:rPr>
                <w:rFonts w:ascii="Verdana" w:hAnsi="Verdana" w:cs="BCDHEE+Verdana"/>
                <w:color w:val="000000"/>
              </w:rPr>
            </w:pPr>
            <w:r w:rsidRPr="00DE5508">
              <w:rPr>
                <w:rFonts w:ascii="Verdana" w:hAnsi="Verdana" w:cs="BCDHEE+Verdana"/>
                <w:color w:val="000000"/>
              </w:rPr>
              <w:t>Finalmente, para las elecciones al Congreso de la República que serán el 8 de marzo de 2026,</w:t>
            </w:r>
            <w:r>
              <w:rPr>
                <w:rFonts w:ascii="Verdana" w:hAnsi="Verdana" w:cs="BCDHEE+Verdana"/>
                <w:color w:val="000000"/>
              </w:rPr>
              <w:t xml:space="preserve"> según calendario electoral fijado por </w:t>
            </w:r>
            <w:r w:rsidRPr="00DE5508">
              <w:rPr>
                <w:rFonts w:ascii="Verdana" w:hAnsi="Verdana" w:cs="BCDHEE+Verdana"/>
                <w:color w:val="000000"/>
              </w:rPr>
              <w:t xml:space="preserve">el Consejo Nacional Electoral mediante Resolución No. 2581 del 5 de marzo de 2025, de acuerdo con el artículo 38 de la Ley 996 de 2005, las restricciones que se aplican son que prohíbe a los gobernadores, alcaldes municipales o distritales, secretarios, gerentes y directores de entidades descentralizadas del orden municipal, departamental o distrital </w:t>
            </w:r>
            <w:r w:rsidRPr="007A3B8C">
              <w:rPr>
                <w:rFonts w:ascii="Verdana" w:eastAsia="Arial" w:hAnsi="Verdana" w:cs="Arial"/>
                <w:color w:val="000000"/>
              </w:rPr>
              <w:t>“[…]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Arial" w:hAnsi="Verdana" w:cs="Arial"/>
                <w:color w:val="000000"/>
              </w:rPr>
              <w:t xml:space="preserve"> </w:t>
            </w:r>
            <w:r>
              <w:rPr>
                <w:rFonts w:ascii="Verdana" w:hAnsi="Verdana" w:cs="BCDHEE+Verdana"/>
                <w:color w:val="000000"/>
              </w:rPr>
              <w:t>Dichas</w:t>
            </w:r>
            <w:r w:rsidRPr="00DE5508">
              <w:rPr>
                <w:rFonts w:ascii="Verdana" w:hAnsi="Verdana" w:cs="BCDHEE+Verdana"/>
                <w:color w:val="000000"/>
              </w:rPr>
              <w:t xml:space="preserve"> restricci</w:t>
            </w:r>
            <w:r>
              <w:rPr>
                <w:rFonts w:ascii="Verdana" w:hAnsi="Verdana" w:cs="BCDHEE+Verdana"/>
                <w:color w:val="000000"/>
              </w:rPr>
              <w:t>ones</w:t>
            </w:r>
            <w:r w:rsidRPr="00DE5508">
              <w:rPr>
                <w:rFonts w:ascii="Verdana" w:hAnsi="Verdana" w:cs="BCDHEE+Verdana"/>
                <w:color w:val="000000"/>
              </w:rPr>
              <w:t xml:space="preserve"> iniciar</w:t>
            </w:r>
            <w:r>
              <w:rPr>
                <w:rFonts w:ascii="Verdana" w:hAnsi="Verdana" w:cs="BCDHEE+Verdana"/>
                <w:color w:val="000000"/>
              </w:rPr>
              <w:t>on</w:t>
            </w:r>
            <w:r w:rsidRPr="00DE5508">
              <w:rPr>
                <w:rFonts w:ascii="Verdana" w:hAnsi="Verdana" w:cs="BCDHEE+Verdana"/>
                <w:color w:val="000000"/>
              </w:rPr>
              <w:t xml:space="preserve"> el 8 de noviembre de 2025, es decir, 4 meses antes de la fecha de las elecciones</w:t>
            </w:r>
            <w:r>
              <w:rPr>
                <w:rFonts w:ascii="Verdana" w:hAnsi="Verdana" w:cs="BCDHEE+Verdana"/>
                <w:color w:val="000000"/>
              </w:rPr>
              <w:t>.</w:t>
            </w:r>
          </w:p>
          <w:p w14:paraId="5687B407" w14:textId="77777777" w:rsidR="001C6DCC" w:rsidRPr="00DC450A" w:rsidRDefault="001C6DCC" w:rsidP="0031322D">
            <w:pPr>
              <w:spacing w:before="120" w:after="120" w:line="276" w:lineRule="auto"/>
              <w:ind w:firstLine="709"/>
              <w:jc w:val="both"/>
              <w:rPr>
                <w:rFonts w:ascii="Verdana" w:eastAsia="Arial" w:hAnsi="Verdana" w:cs="Arial"/>
                <w:lang w:eastAsia="es-MX"/>
              </w:rPr>
            </w:pPr>
            <w:r w:rsidRPr="32DD78C2">
              <w:rPr>
                <w:rFonts w:ascii="Verdana" w:hAnsi="Verdana" w:cs="BCDHEE+Verdana"/>
                <w:color w:val="000000" w:themeColor="text1"/>
              </w:rPr>
              <w:t xml:space="preserve"> Por lo que,</w:t>
            </w:r>
            <w:r>
              <w:rPr>
                <w:rFonts w:ascii="Verdana" w:hAnsi="Verdana" w:cs="BCDHEE+Verdana"/>
                <w:color w:val="000000" w:themeColor="text1"/>
              </w:rPr>
              <w:t xml:space="preserve"> teniendo en cuenta</w:t>
            </w:r>
            <w:r w:rsidRPr="00072C23">
              <w:rPr>
                <w:rFonts w:ascii="Verdana" w:eastAsia="Calibri" w:hAnsi="Verdana" w:cs="Arial"/>
              </w:rPr>
              <w:t xml:space="preserve"> que </w:t>
            </w:r>
            <w:r w:rsidRPr="00072C23">
              <w:rPr>
                <w:rFonts w:ascii="Verdana" w:eastAsia="Arial" w:hAnsi="Verdana" w:cs="Arial"/>
                <w:lang w:eastAsia="es-MX"/>
              </w:rPr>
              <w:t xml:space="preserve">las instituciones educativas </w:t>
            </w:r>
            <w:r>
              <w:rPr>
                <w:rFonts w:ascii="Verdana" w:eastAsia="Arial" w:hAnsi="Verdana" w:cs="Arial"/>
                <w:lang w:eastAsia="es-MX"/>
              </w:rPr>
              <w:t xml:space="preserve">no son entidades descentralizadas aun cuando </w:t>
            </w:r>
            <w:r w:rsidRPr="00072C23">
              <w:rPr>
                <w:rFonts w:ascii="Verdana" w:eastAsia="Arial" w:hAnsi="Verdana" w:cs="Arial"/>
                <w:lang w:eastAsia="es-MX"/>
              </w:rPr>
              <w:t>pertenecen a la entidad territorial que haya efectuado su reconocimiento de carácter oficial</w:t>
            </w:r>
            <w:r>
              <w:rPr>
                <w:rFonts w:ascii="Verdana" w:eastAsia="Arial" w:hAnsi="Verdana" w:cs="Arial"/>
                <w:lang w:eastAsia="es-MX"/>
              </w:rPr>
              <w:t xml:space="preserve">, estas no se encuentran dentro de las entidades descritas en la restricción del artículo 38 antes mencionado. Sin embargo, </w:t>
            </w:r>
            <w:r w:rsidRPr="32DD78C2">
              <w:rPr>
                <w:rFonts w:ascii="Verdana" w:hAnsi="Verdana" w:cs="BCDHEE+Verdana"/>
                <w:color w:val="000000" w:themeColor="text1"/>
              </w:rPr>
              <w:t xml:space="preserve">en virtud </w:t>
            </w:r>
            <w:r w:rsidRPr="00FE3C27">
              <w:rPr>
                <w:rFonts w:ascii="Verdana" w:eastAsia="Calibri" w:hAnsi="Verdana" w:cs="Arial"/>
                <w:lang w:eastAsia="es-MX"/>
              </w:rPr>
              <w:t xml:space="preserve">del artículo 38 no podrán celebrar </w:t>
            </w:r>
            <w:r w:rsidRPr="00FE3C27">
              <w:rPr>
                <w:rFonts w:ascii="Verdana" w:eastAsia="Calibri" w:hAnsi="Verdana" w:cs="Arial"/>
                <w:i/>
                <w:iCs/>
                <w:lang w:eastAsia="es-MX"/>
              </w:rPr>
              <w:t>convenios interadministrativos</w:t>
            </w:r>
            <w:r w:rsidRPr="00FE3C27">
              <w:rPr>
                <w:rFonts w:ascii="Verdana" w:eastAsia="Calibri" w:hAnsi="Verdana" w:cs="Arial"/>
                <w:lang w:eastAsia="es-MX"/>
              </w:rPr>
              <w:t xml:space="preserve"> para la ejecución de recursos públicos si la otra parte de la relación contractual es una entidad de aquellas descritas en el parágrafo </w:t>
            </w:r>
            <w:r w:rsidRPr="00131D34">
              <w:rPr>
                <w:rFonts w:ascii="Verdana" w:eastAsia="Calibri" w:hAnsi="Verdana" w:cs="Arial"/>
                <w:i/>
                <w:iCs/>
                <w:lang w:eastAsia="es-MX"/>
              </w:rPr>
              <w:t>ibidem</w:t>
            </w:r>
            <w:r>
              <w:rPr>
                <w:rFonts w:ascii="Verdana" w:eastAsia="Calibri" w:hAnsi="Verdana" w:cs="Arial"/>
                <w:i/>
                <w:iCs/>
                <w:lang w:eastAsia="es-MX"/>
              </w:rPr>
              <w:t>.</w:t>
            </w:r>
          </w:p>
          <w:p w14:paraId="2F124A3C" w14:textId="77777777" w:rsidR="001C6DCC" w:rsidRPr="00716422" w:rsidRDefault="001C6DCC" w:rsidP="0031322D">
            <w:pPr>
              <w:spacing w:line="276" w:lineRule="auto"/>
              <w:jc w:val="both"/>
              <w:rPr>
                <w:rFonts w:ascii="Verdana" w:eastAsia="Calibri" w:hAnsi="Verdana" w:cs="Arial"/>
              </w:rPr>
            </w:pPr>
            <w:r w:rsidRPr="00DE5508">
              <w:rPr>
                <w:rFonts w:ascii="Verdana" w:hAnsi="Verdana"/>
              </w:rPr>
              <w:t xml:space="preserve">Dentro de este marco, corresponde a cada entidad pública, en ejercicio de su competencia y previa valoración de los elementos fácticos y jurídicos, así como de las disposiciones legales mencionadas, determinar su gestión contractual durante la aplicación de las restricciones de la Ley de Garantías Electorales.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w:t>
            </w:r>
            <w:r w:rsidRPr="00DE5508">
              <w:rPr>
                <w:rFonts w:ascii="Verdana" w:hAnsi="Verdana"/>
              </w:rPr>
              <w:lastRenderedPageBreak/>
              <w:t>que corresponda, lo cual es acorde con el principio de juridicidad. Así, cada Entidad definirá la forma de adelantar su gestión contractual, sin que sea atribución de Colombia Compra Eficiente validar sus actuaciones.</w:t>
            </w:r>
          </w:p>
        </w:tc>
      </w:tr>
    </w:tbl>
    <w:p w14:paraId="5A644640" w14:textId="77777777" w:rsidR="001C6DCC" w:rsidRPr="00593A5F" w:rsidRDefault="001C6DCC" w:rsidP="00E629A2">
      <w:pPr>
        <w:tabs>
          <w:tab w:val="left" w:pos="142"/>
          <w:tab w:val="left" w:pos="284"/>
        </w:tabs>
        <w:spacing w:after="0" w:line="276" w:lineRule="auto"/>
        <w:jc w:val="both"/>
        <w:rPr>
          <w:rFonts w:ascii="Verdana" w:eastAsia="Century Gothic" w:hAnsi="Verdana" w:cs="Century Gothic"/>
          <w:b/>
          <w:bCs/>
          <w:lang w:val="es-ES"/>
        </w:rPr>
      </w:pPr>
    </w:p>
    <w:p w14:paraId="53E7E861" w14:textId="77777777" w:rsidR="001C6DCC" w:rsidRPr="00593A5F" w:rsidRDefault="001C6DCC" w:rsidP="00E629A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2CAB6FF" w14:textId="77777777" w:rsidR="001C6DCC" w:rsidRDefault="001C6DCC" w:rsidP="00E629A2">
      <w:pPr>
        <w:spacing w:after="0" w:line="276" w:lineRule="auto"/>
        <w:jc w:val="both"/>
        <w:rPr>
          <w:rFonts w:ascii="Verdana" w:eastAsia="Calibri" w:hAnsi="Verdana" w:cs="Arial"/>
          <w:color w:val="7030A0"/>
          <w:lang w:val="es-ES"/>
        </w:rPr>
      </w:pPr>
    </w:p>
    <w:p w14:paraId="35DAFB60" w14:textId="77777777" w:rsidR="001C6DCC" w:rsidRDefault="001C6DCC" w:rsidP="00E629A2">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2CEA6832" w14:textId="77777777" w:rsidR="001C6DCC" w:rsidRDefault="001C6DCC" w:rsidP="00E629A2">
      <w:pPr>
        <w:widowControl w:val="0"/>
        <w:autoSpaceDE w:val="0"/>
        <w:autoSpaceDN w:val="0"/>
        <w:spacing w:after="0" w:line="276" w:lineRule="auto"/>
        <w:ind w:right="176"/>
        <w:jc w:val="both"/>
        <w:rPr>
          <w:rFonts w:ascii="Verdana" w:eastAsia="Calibri" w:hAnsi="Verdana" w:cs="Arial"/>
          <w:lang w:val="es-ES"/>
        </w:rPr>
      </w:pPr>
    </w:p>
    <w:p w14:paraId="37AC1A3C" w14:textId="77777777" w:rsidR="001C6DCC" w:rsidRDefault="001C6DCC" w:rsidP="001C6DCC">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1"/>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607741FE" w14:textId="77777777" w:rsidR="001C6DCC" w:rsidRPr="006B14B5" w:rsidRDefault="001C6DCC" w:rsidP="001C6DCC">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5A2B9114" w14:textId="77777777" w:rsidR="001C6DCC" w:rsidRPr="00E2397D" w:rsidRDefault="001C6DCC" w:rsidP="001C6DCC">
      <w:pPr>
        <w:spacing w:after="0" w:line="276" w:lineRule="auto"/>
        <w:ind w:right="709"/>
        <w:contextualSpacing/>
        <w:jc w:val="both"/>
        <w:rPr>
          <w:rFonts w:ascii="Verdana" w:eastAsia="Times New Roman" w:hAnsi="Verdana" w:cs="Arial"/>
          <w:lang w:val="es-ES" w:eastAsia="es-CO"/>
        </w:rPr>
      </w:pPr>
    </w:p>
    <w:p w14:paraId="54698401" w14:textId="77777777" w:rsidR="001C6DCC" w:rsidRPr="00E2397D" w:rsidRDefault="001C6DCC" w:rsidP="001C6DCC">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6EFA0F19" w14:textId="77777777" w:rsidR="001C6DCC" w:rsidRPr="00E2397D" w:rsidRDefault="001C6DCC" w:rsidP="001C6DCC">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0A223223" w14:textId="77777777" w:rsidR="001C6DCC" w:rsidRPr="00E2397D" w:rsidRDefault="001C6DCC" w:rsidP="001C6DCC">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2"/>
      </w:r>
    </w:p>
    <w:p w14:paraId="5CEA2C86" w14:textId="77777777" w:rsidR="001C6DCC" w:rsidRPr="00E2397D" w:rsidRDefault="001C6DCC" w:rsidP="00EB265D">
      <w:pPr>
        <w:spacing w:after="0" w:line="276" w:lineRule="auto"/>
        <w:ind w:firstLine="709"/>
        <w:jc w:val="both"/>
        <w:rPr>
          <w:rFonts w:ascii="Verdana" w:eastAsia="Times New Roman" w:hAnsi="Verdana" w:cs="Arial"/>
          <w:lang w:val="es-MX" w:eastAsia="es-CO"/>
        </w:rPr>
      </w:pPr>
    </w:p>
    <w:p w14:paraId="16E19AC4" w14:textId="77777777" w:rsidR="00B603B0" w:rsidRDefault="001C6DCC" w:rsidP="00B96E97">
      <w:pPr>
        <w:spacing w:after="12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w:t>
      </w:r>
    </w:p>
    <w:p w14:paraId="1EBAF948" w14:textId="2B3E7A2B" w:rsidR="001C6DCC" w:rsidRPr="00E2397D" w:rsidRDefault="001C6DCC" w:rsidP="00EB265D">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05FA0884" w14:textId="77777777" w:rsidR="001C6DCC" w:rsidRPr="00886C02" w:rsidRDefault="001C6DCC" w:rsidP="00EB265D">
      <w:pPr>
        <w:spacing w:after="0" w:line="276" w:lineRule="auto"/>
        <w:ind w:firstLine="709"/>
        <w:jc w:val="both"/>
        <w:rPr>
          <w:rFonts w:ascii="Verdana" w:eastAsia="Times New Roman" w:hAnsi="Verdana" w:cs="Arial"/>
          <w:lang w:val="es-MX" w:eastAsia="es-CO"/>
        </w:rPr>
      </w:pPr>
    </w:p>
    <w:p w14:paraId="64255CC2" w14:textId="77777777" w:rsidR="001C6DCC" w:rsidRPr="00E2397D" w:rsidRDefault="001C6DCC" w:rsidP="001C6DCC">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r>
        <w:rPr>
          <w:rFonts w:ascii="Verdana" w:eastAsia="Times New Roman" w:hAnsi="Verdana" w:cs="Arial"/>
          <w:sz w:val="20"/>
          <w:szCs w:val="20"/>
          <w:lang w:val="es-MX" w:eastAsia="es-CO"/>
        </w:rPr>
        <w:t xml:space="preserve"> </w:t>
      </w: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3"/>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w:t>
      </w:r>
    </w:p>
    <w:p w14:paraId="08647026" w14:textId="77777777" w:rsidR="001C6DCC" w:rsidRPr="00E2397D" w:rsidRDefault="001C6DCC" w:rsidP="001C6DCC">
      <w:pPr>
        <w:spacing w:after="0" w:line="276" w:lineRule="auto"/>
        <w:jc w:val="both"/>
        <w:rPr>
          <w:rFonts w:ascii="Verdana" w:eastAsia="Calibri" w:hAnsi="Verdana" w:cs="Arial"/>
          <w:bCs/>
          <w:lang w:val="es-ES_tradnl"/>
        </w:rPr>
      </w:pPr>
    </w:p>
    <w:p w14:paraId="102F03FA" w14:textId="77777777" w:rsidR="001C6DCC" w:rsidRPr="00B3605D" w:rsidRDefault="001C6DCC" w:rsidP="001C6DCC">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76B83AB3" w14:textId="77777777" w:rsidR="001C6DCC" w:rsidRDefault="001C6DCC" w:rsidP="001C6DCC">
      <w:pPr>
        <w:spacing w:after="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14B0DDAA" w14:textId="77777777" w:rsidR="001C6DCC" w:rsidRDefault="001C6DCC" w:rsidP="001C6DCC">
      <w:pPr>
        <w:spacing w:after="0" w:line="276" w:lineRule="auto"/>
        <w:ind w:firstLine="709"/>
        <w:jc w:val="both"/>
        <w:rPr>
          <w:rFonts w:ascii="Verdana" w:eastAsia="Arial" w:hAnsi="Verdana" w:cs="Arial"/>
          <w:lang w:val="es-ES" w:eastAsia="es-ES" w:bidi="es-ES"/>
        </w:rPr>
      </w:pPr>
    </w:p>
    <w:p w14:paraId="6034872A" w14:textId="77777777" w:rsidR="001C6DCC" w:rsidRPr="00B96E97" w:rsidRDefault="001C6DCC" w:rsidP="001C6DCC">
      <w:pPr>
        <w:pStyle w:val="Prrafodelista"/>
        <w:numPr>
          <w:ilvl w:val="0"/>
          <w:numId w:val="18"/>
        </w:numPr>
        <w:spacing w:after="0" w:line="276" w:lineRule="auto"/>
        <w:jc w:val="both"/>
        <w:rPr>
          <w:rFonts w:ascii="Verdana" w:eastAsia="Arial" w:hAnsi="Verdana" w:cs="Arial"/>
          <w:i/>
          <w:iCs/>
          <w:lang w:eastAsia="es-ES" w:bidi="es-ES"/>
        </w:rPr>
      </w:pPr>
      <w:r w:rsidRPr="00B96E97">
        <w:rPr>
          <w:rFonts w:ascii="Verdana" w:eastAsia="Arial" w:hAnsi="Verdana" w:cs="Arial"/>
          <w:i/>
          <w:iCs/>
          <w:lang w:eastAsia="es-ES" w:bidi="es-ES"/>
        </w:rPr>
        <w:t xml:space="preserve">Restricciones elecciones presidenciales </w:t>
      </w:r>
    </w:p>
    <w:p w14:paraId="5A32503D" w14:textId="77777777" w:rsidR="001C6DCC" w:rsidRPr="00A545DE" w:rsidRDefault="001C6DCC" w:rsidP="001C6DCC">
      <w:pPr>
        <w:pStyle w:val="Prrafodelista"/>
        <w:spacing w:after="0" w:line="276" w:lineRule="auto"/>
        <w:ind w:left="1080"/>
        <w:jc w:val="both"/>
        <w:rPr>
          <w:rFonts w:ascii="Verdana" w:eastAsia="Arial" w:hAnsi="Verdana" w:cs="Arial"/>
          <w:lang w:eastAsia="es-ES" w:bidi="es-ES"/>
        </w:rPr>
      </w:pPr>
    </w:p>
    <w:p w14:paraId="573D2946" w14:textId="77777777" w:rsidR="001C6DCC" w:rsidRPr="00FC54ED" w:rsidRDefault="001C6DCC" w:rsidP="00B96E97">
      <w:pPr>
        <w:spacing w:after="0" w:line="240" w:lineRule="auto"/>
        <w:ind w:left="708" w:right="709"/>
        <w:jc w:val="both"/>
        <w:rPr>
          <w:rFonts w:ascii="Verdana" w:eastAsia="Times New Roman" w:hAnsi="Verdana" w:cs="Open Sans"/>
          <w:sz w:val="20"/>
          <w:szCs w:val="20"/>
          <w:lang w:eastAsia="es-CO"/>
        </w:rPr>
      </w:pPr>
      <w:bookmarkStart w:id="1" w:name="33"/>
      <w:r>
        <w:rPr>
          <w:rFonts w:ascii="Verdana" w:eastAsia="Times New Roman" w:hAnsi="Verdana" w:cs="Open Sans"/>
          <w:b/>
          <w:bCs/>
          <w:sz w:val="20"/>
          <w:szCs w:val="20"/>
          <w:lang w:eastAsia="es-CO"/>
        </w:rPr>
        <w:t>“</w:t>
      </w:r>
      <w:r w:rsidRPr="00FC54ED">
        <w:rPr>
          <w:rFonts w:ascii="Verdana" w:eastAsia="Times New Roman" w:hAnsi="Verdana" w:cs="Open Sans"/>
          <w:b/>
          <w:bCs/>
          <w:sz w:val="20"/>
          <w:szCs w:val="20"/>
          <w:lang w:eastAsia="es-CO"/>
        </w:rPr>
        <w:t>ARTÍCULO 33. RESTRICCIONES A LA CONTRATACIÓN PÚBLICA.</w:t>
      </w:r>
      <w:bookmarkEnd w:id="1"/>
      <w:r w:rsidRPr="00FC54ED">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60653898" w14:textId="77777777" w:rsidR="001C6DCC" w:rsidRPr="00FC54ED" w:rsidRDefault="001C6DCC" w:rsidP="00B96E97">
      <w:pPr>
        <w:spacing w:after="0" w:line="240" w:lineRule="auto"/>
        <w:ind w:left="708" w:right="709"/>
        <w:jc w:val="both"/>
        <w:rPr>
          <w:rFonts w:ascii="Verdana" w:eastAsia="Times New Roman" w:hAnsi="Verdana" w:cs="Open Sans"/>
          <w:sz w:val="20"/>
          <w:szCs w:val="20"/>
          <w:lang w:eastAsia="es-CO"/>
        </w:rPr>
      </w:pPr>
    </w:p>
    <w:p w14:paraId="26391B14" w14:textId="77777777" w:rsidR="001C6DCC" w:rsidRPr="00B3605D" w:rsidRDefault="001C6DCC" w:rsidP="00B96E97">
      <w:pPr>
        <w:spacing w:after="0" w:line="240" w:lineRule="auto"/>
        <w:ind w:left="708" w:right="709"/>
        <w:jc w:val="both"/>
        <w:rPr>
          <w:rFonts w:ascii="Verdana" w:eastAsia="Times New Roman" w:hAnsi="Verdana" w:cs="Open Sans"/>
          <w:sz w:val="20"/>
          <w:szCs w:val="20"/>
          <w:lang w:eastAsia="es-CO"/>
        </w:rPr>
      </w:pPr>
      <w:r w:rsidRPr="00FC54ED">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Times New Roman" w:hAnsi="Verdana" w:cs="Open Sans"/>
          <w:sz w:val="20"/>
          <w:szCs w:val="20"/>
          <w:lang w:eastAsia="es-CO"/>
        </w:rPr>
        <w:t>”</w:t>
      </w:r>
      <w:r w:rsidRPr="00FC54ED">
        <w:rPr>
          <w:rFonts w:ascii="Verdana" w:eastAsia="Times New Roman" w:hAnsi="Verdana" w:cs="Open Sans"/>
          <w:sz w:val="20"/>
          <w:szCs w:val="20"/>
          <w:lang w:eastAsia="es-CO"/>
        </w:rPr>
        <w:t>.</w:t>
      </w:r>
    </w:p>
    <w:p w14:paraId="77D08B67" w14:textId="77777777" w:rsidR="001C6DCC" w:rsidRDefault="001C6DCC" w:rsidP="001C6DCC">
      <w:pPr>
        <w:spacing w:after="0" w:line="276" w:lineRule="auto"/>
        <w:ind w:right="618" w:firstLine="708"/>
        <w:jc w:val="both"/>
        <w:rPr>
          <w:rFonts w:ascii="Verdana" w:eastAsia="Times New Roman" w:hAnsi="Verdana" w:cs="Open Sans"/>
          <w:lang w:eastAsia="es-CO"/>
        </w:rPr>
      </w:pPr>
    </w:p>
    <w:p w14:paraId="1680F704" w14:textId="77777777" w:rsidR="001C6DCC" w:rsidRDefault="001C6DCC" w:rsidP="00416C7D">
      <w:pPr>
        <w:spacing w:after="120" w:line="276" w:lineRule="auto"/>
        <w:ind w:firstLine="708"/>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de contratación utilizado por las entidades estatales </w:t>
      </w:r>
      <w:r w:rsidRPr="006A640E">
        <w:rPr>
          <w:rFonts w:ascii="Verdana" w:eastAsia="Times New Roman" w:hAnsi="Verdana" w:cs="Open Sans"/>
          <w:lang w:eastAsia="es-CO"/>
        </w:rPr>
        <w:lastRenderedPageBreak/>
        <w:t>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6"/>
      </w:r>
      <w:r>
        <w:rPr>
          <w:rFonts w:ascii="Verdana" w:eastAsia="Times New Roman" w:hAnsi="Verdana" w:cs="Open Sans"/>
          <w:lang w:eastAsia="es-CO"/>
        </w:rPr>
        <w:t>.</w:t>
      </w:r>
    </w:p>
    <w:p w14:paraId="6C910D06" w14:textId="77777777" w:rsidR="001C6DCC" w:rsidRDefault="001C6DCC" w:rsidP="00416C7D">
      <w:pPr>
        <w:spacing w:after="120" w:line="276" w:lineRule="auto"/>
        <w:ind w:firstLine="708"/>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13AD7E57" w14:textId="77777777" w:rsidR="001C6DCC" w:rsidRDefault="001C6DCC" w:rsidP="00416C7D">
      <w:pPr>
        <w:spacing w:after="120" w:line="276" w:lineRule="auto"/>
        <w:ind w:firstLine="708"/>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365E9587" w14:textId="77777777" w:rsidR="005916BD" w:rsidRDefault="001C6DCC" w:rsidP="00416C7D">
      <w:pPr>
        <w:spacing w:after="120" w:line="276" w:lineRule="auto"/>
        <w:ind w:firstLine="708"/>
        <w:jc w:val="both"/>
        <w:rPr>
          <w:rFonts w:ascii="Verdana" w:hAnsi="Verdana"/>
        </w:rPr>
      </w:pPr>
      <w:r w:rsidRPr="005916BD">
        <w:rPr>
          <w:rFonts w:ascii="Verdana" w:hAnsi="Verdana"/>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5916BD">
        <w:rPr>
          <w:rFonts w:ascii="Verdana" w:hAnsi="Verdana"/>
        </w:rPr>
        <w:t>ii</w:t>
      </w:r>
      <w:proofErr w:type="spellEnd"/>
      <w:r w:rsidRPr="005916BD">
        <w:rPr>
          <w:rFonts w:ascii="Verdana" w:hAnsi="Verdana"/>
        </w:rPr>
        <w:t xml:space="preserve">) los contratos de crédito público; </w:t>
      </w:r>
      <w:proofErr w:type="spellStart"/>
      <w:r w:rsidRPr="005916BD">
        <w:rPr>
          <w:rFonts w:ascii="Verdana" w:hAnsi="Verdana"/>
        </w:rPr>
        <w:t>iii</w:t>
      </w:r>
      <w:proofErr w:type="spellEnd"/>
      <w:r w:rsidRPr="005916BD">
        <w:rPr>
          <w:rFonts w:ascii="Verdana" w:hAnsi="Verdana"/>
        </w:rPr>
        <w:t xml:space="preserve">) los requeridos para cubrir las emergencias educativas, sanitarias y desastres; </w:t>
      </w:r>
      <w:proofErr w:type="spellStart"/>
      <w:r w:rsidRPr="005916BD">
        <w:rPr>
          <w:rFonts w:ascii="Verdana" w:hAnsi="Verdana"/>
        </w:rPr>
        <w:t>iv</w:t>
      </w:r>
      <w:proofErr w:type="spellEnd"/>
      <w:r w:rsidRPr="005916BD">
        <w:rPr>
          <w:rFonts w:ascii="Verdana" w:hAnsi="Verdana"/>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01D49D4F" w14:textId="0E5A3073" w:rsidR="001C6DCC" w:rsidRDefault="001C6DCC" w:rsidP="00B96E97">
      <w:pPr>
        <w:spacing w:after="120" w:line="276" w:lineRule="auto"/>
        <w:ind w:firstLine="708"/>
        <w:jc w:val="both"/>
        <w:rPr>
          <w:rFonts w:ascii="Verdana" w:hAnsi="Verdana"/>
        </w:rPr>
      </w:pPr>
      <w:r w:rsidRPr="005916BD">
        <w:rPr>
          <w:rFonts w:ascii="Verdana" w:hAnsi="Verdana"/>
        </w:rPr>
        <w:lastRenderedPageBreak/>
        <w:t>E</w:t>
      </w:r>
      <w:r w:rsidR="005916BD">
        <w:rPr>
          <w:rFonts w:ascii="Verdana" w:hAnsi="Verdana"/>
        </w:rPr>
        <w:t>n este contexto e</w:t>
      </w:r>
      <w:r w:rsidRPr="005916BD">
        <w:rPr>
          <w:rFonts w:ascii="Verdana" w:hAnsi="Verdana"/>
        </w:rPr>
        <w:t>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4A3A109" w14:textId="77777777" w:rsidR="001C6DCC" w:rsidRDefault="001C6DCC" w:rsidP="00B96E97">
      <w:pPr>
        <w:spacing w:after="120" w:line="276" w:lineRule="auto"/>
        <w:ind w:firstLine="709"/>
        <w:jc w:val="both"/>
        <w:rPr>
          <w:rFonts w:ascii="Verdana" w:eastAsia="Arial" w:hAnsi="Verdana" w:cs="Arial"/>
          <w:lang w:eastAsia="es-MX"/>
        </w:rPr>
      </w:pPr>
      <w:r w:rsidRPr="00072C23">
        <w:rPr>
          <w:rFonts w:ascii="Verdana" w:eastAsia="Calibri" w:hAnsi="Verdana" w:cs="Arial"/>
        </w:rPr>
        <w:t xml:space="preserve">Precisado lo anterior, en relación con el problema jurídico planteado, se resalta que </w:t>
      </w:r>
      <w:bookmarkStart w:id="2" w:name="_Hlk100224224"/>
      <w:r w:rsidRPr="00072C23">
        <w:rPr>
          <w:rFonts w:ascii="Verdana" w:eastAsia="Arial" w:hAnsi="Verdana" w:cs="Arial"/>
          <w:lang w:eastAsia="es-MX"/>
        </w:rPr>
        <w:t xml:space="preserve">las instituciones educativas pertenecen a la entidad territorial que haya efectuado su reconocimiento de carácter oficial. </w:t>
      </w:r>
      <w:r w:rsidRPr="00A16162">
        <w:rPr>
          <w:rFonts w:ascii="Verdana" w:eastAsia="Arial" w:hAnsi="Verdana" w:cs="Arial"/>
          <w:lang w:eastAsia="es-MX"/>
        </w:rPr>
        <w:t>Es decir, el sistema educativo está descentralizado</w:t>
      </w:r>
      <w:r>
        <w:rPr>
          <w:rStyle w:val="Refdenotaalpie"/>
          <w:rFonts w:ascii="Verdana" w:eastAsia="Arial" w:hAnsi="Verdana" w:cs="Arial"/>
          <w:lang w:eastAsia="es-MX"/>
        </w:rPr>
        <w:footnoteReference w:id="7"/>
      </w:r>
      <w:r>
        <w:rPr>
          <w:rFonts w:ascii="Verdana" w:eastAsia="Arial" w:hAnsi="Verdana" w:cs="Arial"/>
          <w:lang w:eastAsia="es-MX"/>
        </w:rPr>
        <w:t xml:space="preserve"> </w:t>
      </w:r>
      <w:r w:rsidRPr="00A16162">
        <w:rPr>
          <w:rFonts w:ascii="Verdana" w:eastAsia="Arial" w:hAnsi="Verdana" w:cs="Arial"/>
          <w:lang w:eastAsia="es-MX"/>
        </w:rPr>
        <w:t>por las competencias propias que se les ha otorgado a las entidades territoriales</w:t>
      </w:r>
      <w:r>
        <w:rPr>
          <w:rFonts w:ascii="Verdana" w:eastAsia="Arial" w:hAnsi="Verdana" w:cs="Arial"/>
          <w:lang w:eastAsia="es-MX"/>
        </w:rPr>
        <w:t xml:space="preserve"> (Departamentos, Municipios, Distritos)</w:t>
      </w:r>
      <w:r w:rsidRPr="00A16162">
        <w:rPr>
          <w:rFonts w:ascii="Verdana" w:eastAsia="Arial" w:hAnsi="Verdana" w:cs="Arial"/>
          <w:lang w:eastAsia="es-MX"/>
        </w:rPr>
        <w:t xml:space="preserve"> para</w:t>
      </w:r>
      <w:r>
        <w:rPr>
          <w:rFonts w:ascii="Verdana" w:eastAsia="Arial" w:hAnsi="Verdana" w:cs="Arial"/>
          <w:lang w:eastAsia="es-MX"/>
        </w:rPr>
        <w:t xml:space="preserve"> </w:t>
      </w:r>
      <w:r w:rsidRPr="00A16162">
        <w:rPr>
          <w:rFonts w:ascii="Verdana" w:eastAsia="Arial" w:hAnsi="Verdana" w:cs="Arial"/>
          <w:lang w:eastAsia="es-MX"/>
        </w:rPr>
        <w:t>administrar las instituciones educativas, que pueden ser de los diferentes niveles, pero</w:t>
      </w:r>
      <w:r>
        <w:rPr>
          <w:rFonts w:ascii="Verdana" w:eastAsia="Arial" w:hAnsi="Verdana" w:cs="Arial"/>
          <w:lang w:eastAsia="es-MX"/>
        </w:rPr>
        <w:t xml:space="preserve"> </w:t>
      </w:r>
      <w:r w:rsidRPr="00A16162">
        <w:rPr>
          <w:rFonts w:ascii="Verdana" w:eastAsia="Arial" w:hAnsi="Verdana" w:cs="Arial"/>
          <w:lang w:eastAsia="es-MX"/>
        </w:rPr>
        <w:t>estas no son entidades descentralizadas.</w:t>
      </w:r>
    </w:p>
    <w:p w14:paraId="2465BF19" w14:textId="77777777" w:rsidR="001C6DCC" w:rsidRPr="00072C23" w:rsidRDefault="001C6DCC" w:rsidP="00B96E97">
      <w:pPr>
        <w:spacing w:after="120" w:line="276" w:lineRule="auto"/>
        <w:ind w:firstLine="709"/>
        <w:jc w:val="both"/>
        <w:rPr>
          <w:rFonts w:ascii="Verdana" w:eastAsia="Arial" w:hAnsi="Verdana" w:cs="Arial"/>
          <w:lang w:eastAsia="es-MX"/>
        </w:rPr>
      </w:pPr>
      <w:r>
        <w:rPr>
          <w:rFonts w:ascii="Verdana" w:eastAsia="Arial" w:hAnsi="Verdana" w:cs="Arial"/>
          <w:lang w:eastAsia="es-MX"/>
        </w:rPr>
        <w:t>Así, las instituciones educativas</w:t>
      </w:r>
      <w:r w:rsidRPr="00072C23">
        <w:rPr>
          <w:rFonts w:ascii="Verdana" w:eastAsia="Arial" w:hAnsi="Verdana" w:cs="Arial"/>
          <w:lang w:eastAsia="es-MX"/>
        </w:rPr>
        <w:t xml:space="preserve"> carecen de personería jurídica, pero tienen capacidad para contratar y se concreta en la competencia que le otorgó el legislador en la Ley 715 de 2001 para administrar los fondos de servicios educativos. Estas son cuentas contables que le permiten a las instituciones realizar la gestión y ejecución presupuestal de los recursos que reciben los establecimientos educativos</w:t>
      </w:r>
      <w:bookmarkEnd w:id="2"/>
      <w:r w:rsidRPr="00072C23">
        <w:rPr>
          <w:rFonts w:ascii="Verdana" w:eastAsia="Arial" w:hAnsi="Verdana" w:cs="Arial"/>
          <w:vertAlign w:val="superscript"/>
          <w:lang w:eastAsia="es-MX"/>
        </w:rPr>
        <w:footnoteReference w:id="8"/>
      </w:r>
      <w:r w:rsidRPr="00072C23">
        <w:rPr>
          <w:rFonts w:ascii="Verdana" w:eastAsia="Arial" w:hAnsi="Verdana" w:cs="Arial"/>
          <w:lang w:eastAsia="es-MX"/>
        </w:rPr>
        <w:t xml:space="preserve"> </w:t>
      </w:r>
      <w:r w:rsidRPr="00072C23">
        <w:rPr>
          <w:rFonts w:ascii="Verdana" w:eastAsia="Arial" w:hAnsi="Verdana" w:cs="Arial"/>
          <w:vertAlign w:val="superscript"/>
          <w:lang w:eastAsia="es-MX"/>
        </w:rPr>
        <w:footnoteReference w:id="9"/>
      </w:r>
      <w:r w:rsidRPr="00072C23">
        <w:rPr>
          <w:rFonts w:ascii="Verdana" w:eastAsia="Arial" w:hAnsi="Verdana" w:cs="Arial"/>
          <w:lang w:eastAsia="es-MX"/>
        </w:rPr>
        <w:t>.</w:t>
      </w:r>
    </w:p>
    <w:p w14:paraId="6E60F0FB" w14:textId="77777777" w:rsidR="001C6DCC" w:rsidRDefault="001C6DCC" w:rsidP="00B96E97">
      <w:pPr>
        <w:spacing w:after="0" w:line="276" w:lineRule="auto"/>
        <w:ind w:firstLine="709"/>
        <w:jc w:val="both"/>
        <w:rPr>
          <w:rFonts w:ascii="Verdana" w:eastAsia="Arial" w:hAnsi="Verdana" w:cs="Arial"/>
          <w:lang w:eastAsia="es-MX"/>
        </w:rPr>
      </w:pPr>
      <w:r w:rsidRPr="00072C23">
        <w:rPr>
          <w:rFonts w:ascii="Verdana" w:eastAsia="Arial" w:hAnsi="Verdana" w:cs="Arial"/>
          <w:lang w:eastAsia="es-MX"/>
        </w:rPr>
        <w:t>Los fondos de servicios educativos tampoco cuentan con personería jurídica según lo previsto en el artículo 2.3.1.6.3.4 del Decreto 1075 de 2015, Decreto Único Reglamentario del Sector Educación:</w:t>
      </w:r>
    </w:p>
    <w:p w14:paraId="7B33E261" w14:textId="77777777" w:rsidR="00151D87" w:rsidRPr="00072C23" w:rsidRDefault="00151D87" w:rsidP="00B96E97">
      <w:pPr>
        <w:spacing w:after="0" w:line="276" w:lineRule="auto"/>
        <w:ind w:firstLine="709"/>
        <w:jc w:val="both"/>
        <w:rPr>
          <w:rFonts w:ascii="Verdana" w:eastAsia="Arial" w:hAnsi="Verdana" w:cs="Arial"/>
          <w:lang w:eastAsia="es-MX"/>
        </w:rPr>
      </w:pPr>
    </w:p>
    <w:p w14:paraId="1809B14A" w14:textId="1EB3DEA6" w:rsidR="001C6DCC" w:rsidRDefault="00151D87" w:rsidP="00151D87">
      <w:pPr>
        <w:spacing w:after="0" w:line="240" w:lineRule="auto"/>
        <w:ind w:left="709" w:right="709"/>
        <w:jc w:val="both"/>
        <w:rPr>
          <w:rFonts w:ascii="Verdana" w:eastAsia="Arial" w:hAnsi="Verdana" w:cs="Arial"/>
          <w:sz w:val="20"/>
          <w:szCs w:val="20"/>
          <w:lang w:eastAsia="es-MX"/>
        </w:rPr>
      </w:pPr>
      <w:r>
        <w:rPr>
          <w:rFonts w:ascii="Verdana" w:eastAsia="Arial" w:hAnsi="Verdana" w:cs="Arial"/>
          <w:sz w:val="20"/>
          <w:szCs w:val="20"/>
          <w:lang w:eastAsia="es-MX"/>
        </w:rPr>
        <w:t>“</w:t>
      </w:r>
      <w:r w:rsidR="001C6DCC" w:rsidRPr="00072C23">
        <w:rPr>
          <w:rFonts w:ascii="Verdana" w:eastAsia="Arial" w:hAnsi="Verdana" w:cs="Arial"/>
          <w:sz w:val="20"/>
          <w:szCs w:val="20"/>
          <w:lang w:eastAsia="es-MX"/>
        </w:rPr>
        <w:t>Artículo 2.3.1.6.3.4. Ordenación del gasto. Los fondos de servicios educativos carecen de personería jurídica. El rector o director rural es el ordenador del gasto del Fondo de Servicios Educativos y su ejercicio no implica representación legal</w:t>
      </w:r>
      <w:r>
        <w:rPr>
          <w:rFonts w:ascii="Verdana" w:eastAsia="Arial" w:hAnsi="Verdana" w:cs="Arial"/>
          <w:sz w:val="20"/>
          <w:szCs w:val="20"/>
          <w:lang w:eastAsia="es-MX"/>
        </w:rPr>
        <w:t>”</w:t>
      </w:r>
      <w:r w:rsidR="001C6DCC" w:rsidRPr="00072C23">
        <w:rPr>
          <w:rFonts w:ascii="Verdana" w:eastAsia="Arial" w:hAnsi="Verdana" w:cs="Arial"/>
          <w:sz w:val="20"/>
          <w:szCs w:val="20"/>
          <w:lang w:eastAsia="es-MX"/>
        </w:rPr>
        <w:t>.</w:t>
      </w:r>
    </w:p>
    <w:p w14:paraId="17D6855D" w14:textId="77777777" w:rsidR="00151D87" w:rsidRPr="00B96E97" w:rsidRDefault="00151D87" w:rsidP="00B96E97">
      <w:pPr>
        <w:spacing w:after="0" w:line="276" w:lineRule="auto"/>
        <w:ind w:left="709" w:right="709"/>
        <w:jc w:val="both"/>
        <w:rPr>
          <w:rFonts w:ascii="Verdana" w:eastAsia="Arial" w:hAnsi="Verdana" w:cs="Arial"/>
          <w:lang w:eastAsia="es-MX"/>
        </w:rPr>
      </w:pPr>
    </w:p>
    <w:p w14:paraId="46E33122" w14:textId="77777777" w:rsidR="001C6DCC" w:rsidRDefault="001C6DCC" w:rsidP="00203A50">
      <w:pPr>
        <w:spacing w:after="0" w:line="276" w:lineRule="auto"/>
        <w:ind w:firstLine="709"/>
        <w:jc w:val="both"/>
        <w:rPr>
          <w:rFonts w:ascii="Verdana" w:eastAsia="Arial" w:hAnsi="Verdana" w:cs="Arial"/>
          <w:lang w:eastAsia="es-MX"/>
        </w:rPr>
      </w:pPr>
      <w:r w:rsidRPr="00072C23">
        <w:rPr>
          <w:rFonts w:ascii="Verdana" w:eastAsia="Arial" w:hAnsi="Verdana" w:cs="Arial"/>
          <w:lang w:eastAsia="es-MX"/>
        </w:rPr>
        <w:t xml:space="preserve">En relación con la capacidad para contratar con la que cuentan las instituciones educativas por medio de los fondos de servicios educativos, es </w:t>
      </w:r>
      <w:r w:rsidRPr="00072C23">
        <w:rPr>
          <w:rFonts w:ascii="Verdana" w:eastAsia="Arial" w:hAnsi="Verdana" w:cs="Arial"/>
          <w:lang w:eastAsia="es-MX"/>
        </w:rPr>
        <w:lastRenderedPageBreak/>
        <w:t>necesario precisar que cuando se trate de actos y contratos cuya cuantía no exceda los veinte (20) salarios mínimos mensuales legales vigentes, se sujetarán a las condiciones previstas en el reglamento de contratación que expida el consejo directivo de la institución, de conformidad con lo dispuesto en el artículo 13 de la Ley 715 de 2001</w:t>
      </w:r>
      <w:r w:rsidRPr="00072C23">
        <w:rPr>
          <w:rFonts w:ascii="Verdana" w:eastAsia="Arial" w:hAnsi="Verdana" w:cs="Arial"/>
          <w:vertAlign w:val="superscript"/>
          <w:lang w:eastAsia="es-MX"/>
        </w:rPr>
        <w:footnoteReference w:id="10"/>
      </w:r>
      <w:r w:rsidRPr="00072C23">
        <w:rPr>
          <w:rFonts w:ascii="Verdana" w:eastAsia="Arial" w:hAnsi="Verdana" w:cs="Arial"/>
          <w:lang w:eastAsia="es-MX"/>
        </w:rPr>
        <w:t>. Para estos efectos, el artículo 2.3.1.6.3.17. del Decreto 1075 de 2015 dispone lo siguiente:</w:t>
      </w:r>
    </w:p>
    <w:p w14:paraId="282EAAC2" w14:textId="77777777" w:rsidR="00203A50" w:rsidRPr="00072C23" w:rsidRDefault="00203A50" w:rsidP="00B96E97">
      <w:pPr>
        <w:spacing w:after="0" w:line="276" w:lineRule="auto"/>
        <w:ind w:firstLine="709"/>
        <w:jc w:val="both"/>
        <w:rPr>
          <w:rFonts w:ascii="Verdana" w:eastAsia="Arial" w:hAnsi="Verdana" w:cs="Arial"/>
          <w:lang w:eastAsia="es-MX"/>
        </w:rPr>
      </w:pPr>
    </w:p>
    <w:p w14:paraId="14E0C99C" w14:textId="2E04595F" w:rsidR="001C6DCC" w:rsidRPr="003A37DA" w:rsidRDefault="00203A50" w:rsidP="00B96E97">
      <w:pPr>
        <w:spacing w:after="0" w:line="240" w:lineRule="auto"/>
        <w:ind w:left="709" w:right="709"/>
        <w:jc w:val="both"/>
        <w:textAlignment w:val="baseline"/>
        <w:rPr>
          <w:rFonts w:ascii="Verdana" w:eastAsia="Arial" w:hAnsi="Verdana" w:cs="Arial"/>
          <w:sz w:val="20"/>
          <w:szCs w:val="20"/>
          <w:lang w:val="es-ES" w:eastAsia="es-ES"/>
        </w:rPr>
      </w:pPr>
      <w:r>
        <w:rPr>
          <w:rFonts w:ascii="Verdana" w:eastAsia="Arial" w:hAnsi="Verdana" w:cs="Arial"/>
          <w:color w:val="000000" w:themeColor="text1"/>
          <w:sz w:val="20"/>
          <w:szCs w:val="20"/>
          <w:lang w:val="es-ES" w:eastAsia="es-ES"/>
        </w:rPr>
        <w:t>“</w:t>
      </w:r>
      <w:r w:rsidR="001C6DCC" w:rsidRPr="003A37DA">
        <w:rPr>
          <w:rFonts w:ascii="Verdana" w:eastAsia="Arial" w:hAnsi="Verdana" w:cs="Arial"/>
          <w:color w:val="000000" w:themeColor="text1"/>
          <w:sz w:val="20"/>
          <w:szCs w:val="20"/>
          <w:lang w:val="es-ES" w:eastAsia="es-ES"/>
        </w:rPr>
        <w:t>La celebración de contratos a que haya lugar con recursos del Fondo de Servicios Educativos, debe realizarse con estricta sujeción a lo dispuesto en el estatuto contractual de la administración pública, cuando supere la cuantía de veinte (20) salarios mínimos legales mensuales vigentes.  </w:t>
      </w:r>
    </w:p>
    <w:p w14:paraId="0EA31A80" w14:textId="61A9D024" w:rsidR="001C6DCC" w:rsidRDefault="001C6DCC" w:rsidP="00203A50">
      <w:pPr>
        <w:spacing w:after="0" w:line="240" w:lineRule="auto"/>
        <w:ind w:left="709" w:right="709"/>
        <w:jc w:val="both"/>
        <w:textAlignment w:val="baseline"/>
        <w:rPr>
          <w:rFonts w:ascii="Verdana" w:eastAsia="Arial" w:hAnsi="Verdana" w:cs="Arial"/>
          <w:color w:val="000000" w:themeColor="text1"/>
          <w:sz w:val="20"/>
          <w:szCs w:val="20"/>
          <w:lang w:val="es-ES" w:eastAsia="es-ES"/>
        </w:rPr>
      </w:pPr>
      <w:r w:rsidRPr="003A37DA">
        <w:rPr>
          <w:rFonts w:ascii="Verdana" w:eastAsia="Arial" w:hAnsi="Verdana" w:cs="Arial"/>
          <w:color w:val="000000" w:themeColor="text1"/>
          <w:sz w:val="20"/>
          <w:szCs w:val="20"/>
          <w:lang w:val="es-ES" w:eastAsia="es-ES"/>
        </w:rPr>
        <w:t>Si la cuantía es inferior a los veinte (20) salarios mínimos legales mensuales vigentes se deben seguir los procedimientos establecidos en el reglamento expedido por el consejo directivo, de conformidad con lo dispuesto en el artículo 13 de la Ley 715 de 2001, y en todo caso siguiendo los principios de transparencia, economía, publicidad, y responsabilidad, de conformidad con los postulados de la función administrativa</w:t>
      </w:r>
      <w:r w:rsidR="0087520A">
        <w:rPr>
          <w:rFonts w:ascii="Verdana" w:eastAsia="Arial" w:hAnsi="Verdana" w:cs="Arial"/>
          <w:color w:val="000000" w:themeColor="text1"/>
          <w:sz w:val="20"/>
          <w:szCs w:val="20"/>
          <w:lang w:val="es-ES" w:eastAsia="es-ES"/>
        </w:rPr>
        <w:t>”</w:t>
      </w:r>
      <w:r w:rsidRPr="003A37DA">
        <w:rPr>
          <w:rFonts w:ascii="Verdana" w:eastAsia="Arial" w:hAnsi="Verdana" w:cs="Arial"/>
          <w:color w:val="000000" w:themeColor="text1"/>
          <w:sz w:val="20"/>
          <w:szCs w:val="20"/>
          <w:lang w:val="es-ES" w:eastAsia="es-ES"/>
        </w:rPr>
        <w:t>.  </w:t>
      </w:r>
    </w:p>
    <w:p w14:paraId="095D185E" w14:textId="77777777" w:rsidR="00203A50" w:rsidRPr="003A37DA" w:rsidRDefault="00203A50" w:rsidP="00B96E97">
      <w:pPr>
        <w:spacing w:after="0" w:line="240" w:lineRule="auto"/>
        <w:ind w:left="709" w:right="709"/>
        <w:jc w:val="both"/>
        <w:textAlignment w:val="baseline"/>
        <w:rPr>
          <w:rFonts w:ascii="Verdana" w:eastAsia="Arial" w:hAnsi="Verdana" w:cs="Arial"/>
          <w:sz w:val="20"/>
          <w:szCs w:val="20"/>
          <w:lang w:val="es-ES" w:eastAsia="es-ES"/>
        </w:rPr>
      </w:pPr>
    </w:p>
    <w:p w14:paraId="223C5627" w14:textId="77777777" w:rsidR="001C6DCC" w:rsidRPr="00072C23" w:rsidRDefault="001C6DCC" w:rsidP="001C6DCC">
      <w:pPr>
        <w:spacing w:after="120" w:line="276" w:lineRule="auto"/>
        <w:ind w:firstLine="709"/>
        <w:jc w:val="both"/>
        <w:rPr>
          <w:rFonts w:ascii="Verdana" w:eastAsia="Arial" w:hAnsi="Verdana" w:cs="Arial"/>
          <w:lang w:eastAsia="es-MX"/>
        </w:rPr>
      </w:pPr>
      <w:r w:rsidRPr="00072C23">
        <w:rPr>
          <w:rFonts w:ascii="Verdana" w:eastAsia="Arial" w:hAnsi="Verdana" w:cs="Arial"/>
          <w:lang w:eastAsia="es-MX"/>
        </w:rPr>
        <w:t xml:space="preserve">Esto significa que la contratación que realicen las instituciones educativas, siempre que se ubique por debajo del referido umbral, no deberá ceñirse a las reglas del Estatuto General de Contratación de la Administración Pública, sino a las determinadas por el reglamento expedido por el consejo directivo de la </w:t>
      </w:r>
      <w:r w:rsidRPr="00072C23">
        <w:rPr>
          <w:rFonts w:ascii="Verdana" w:eastAsia="Arial" w:hAnsi="Verdana" w:cs="Arial"/>
          <w:lang w:eastAsia="es-MX"/>
        </w:rPr>
        <w:lastRenderedPageBreak/>
        <w:t xml:space="preserve">institución educativa conforme al </w:t>
      </w:r>
      <w:bookmarkStart w:id="4" w:name="_Hlk61284209"/>
      <w:r w:rsidRPr="00072C23">
        <w:rPr>
          <w:rFonts w:ascii="Verdana" w:eastAsia="Arial" w:hAnsi="Verdana" w:cs="Arial"/>
          <w:lang w:eastAsia="es-MX"/>
        </w:rPr>
        <w:t>artículo 13 de la Ley 715 de 2001</w:t>
      </w:r>
      <w:bookmarkEnd w:id="4"/>
      <w:r w:rsidRPr="00072C23">
        <w:rPr>
          <w:rFonts w:ascii="Verdana" w:eastAsia="Arial" w:hAnsi="Verdana" w:cs="Arial"/>
          <w:lang w:eastAsia="es-MX"/>
        </w:rPr>
        <w:t xml:space="preserve">. Los reglamentos que se expidan de conformidad con los principios de igualdad, moralidad, imparcialidad y publicidad, así como de acuerdo con la experiencia y el análisis concreto de las necesidades del establecimiento, deben definir los trámites, garantías y constancias que deben cumplirse para que el rector o director celebre cualquier acto o contrato que cree, extinga o modifique obligaciones con cargo al respectivo fondo de servicios educativos. </w:t>
      </w:r>
    </w:p>
    <w:p w14:paraId="7FC1CBBD" w14:textId="449117F0" w:rsidR="001C6DCC" w:rsidRPr="00072C23" w:rsidRDefault="001C6DCC" w:rsidP="001C6DCC">
      <w:pPr>
        <w:spacing w:line="276" w:lineRule="auto"/>
        <w:ind w:firstLine="709"/>
        <w:jc w:val="both"/>
        <w:rPr>
          <w:rFonts w:ascii="Verdana" w:eastAsia="Arial" w:hAnsi="Verdana" w:cs="Arial"/>
          <w:color w:val="000000"/>
          <w:lang w:eastAsia="es-CO"/>
        </w:rPr>
      </w:pPr>
      <w:r w:rsidRPr="00072C23">
        <w:rPr>
          <w:rFonts w:ascii="Verdana" w:eastAsia="Arial" w:hAnsi="Verdana" w:cs="Arial"/>
          <w:color w:val="000000" w:themeColor="text1"/>
          <w:lang w:eastAsia="es-MX"/>
        </w:rPr>
        <w:t xml:space="preserve">En este contexto, </w:t>
      </w:r>
      <w:r w:rsidR="00F943BF">
        <w:rPr>
          <w:rFonts w:ascii="Verdana" w:eastAsia="Arial" w:hAnsi="Verdana" w:cs="Arial"/>
          <w:color w:val="000000" w:themeColor="text1"/>
          <w:lang w:eastAsia="es-MX"/>
        </w:rPr>
        <w:t>respecto del análisis sobre la aplicación a</w:t>
      </w:r>
      <w:r w:rsidRPr="00072C23">
        <w:rPr>
          <w:rFonts w:ascii="Verdana" w:eastAsia="Arial" w:hAnsi="Verdana" w:cs="Arial"/>
          <w:color w:val="000000" w:themeColor="text1"/>
          <w:lang w:eastAsia="es-MX"/>
        </w:rPr>
        <w:t xml:space="preserve"> la restricción del artículo 33 de la </w:t>
      </w:r>
      <w:r w:rsidRPr="00072C23">
        <w:rPr>
          <w:rFonts w:ascii="Verdana" w:eastAsia="Arial" w:hAnsi="Verdana" w:cs="Arial"/>
          <w:color w:val="000000" w:themeColor="text1"/>
          <w:lang w:eastAsia="es-CO"/>
        </w:rPr>
        <w:t>Ley 996 de 2005 es necesario considerar que</w:t>
      </w:r>
      <w:r w:rsidR="007D693D">
        <w:rPr>
          <w:rFonts w:ascii="Verdana" w:eastAsia="Arial" w:hAnsi="Verdana" w:cs="Arial"/>
          <w:color w:val="000000" w:themeColor="text1"/>
          <w:lang w:eastAsia="es-CO"/>
        </w:rPr>
        <w:t>, si bien</w:t>
      </w:r>
      <w:r w:rsidRPr="00072C23">
        <w:rPr>
          <w:rFonts w:ascii="Verdana" w:eastAsia="Arial" w:hAnsi="Verdana" w:cs="Arial"/>
          <w:color w:val="000000" w:themeColor="text1"/>
          <w:lang w:eastAsia="es-CO"/>
        </w:rPr>
        <w:t xml:space="preserve"> </w:t>
      </w:r>
      <w:r w:rsidRPr="00072C23">
        <w:rPr>
          <w:rFonts w:ascii="Verdana" w:eastAsia="Arial" w:hAnsi="Verdana" w:cs="Arial"/>
          <w:lang w:val="es-ES" w:eastAsia="es-MX"/>
        </w:rPr>
        <w:t xml:space="preserve">el artículo </w:t>
      </w:r>
      <w:r w:rsidRPr="00072C23">
        <w:rPr>
          <w:rFonts w:ascii="Verdana" w:eastAsia="Arial" w:hAnsi="Verdana" w:cs="Arial"/>
          <w:lang w:eastAsia="es-MX"/>
        </w:rPr>
        <w:t>13 de la Ley 715 de 2001</w:t>
      </w:r>
      <w:r w:rsidRPr="00072C23">
        <w:rPr>
          <w:rFonts w:ascii="Verdana" w:eastAsia="Arial" w:hAnsi="Verdana" w:cs="Arial"/>
          <w:color w:val="000000" w:themeColor="text1"/>
          <w:lang w:eastAsia="es-CO"/>
        </w:rPr>
        <w:t xml:space="preserve"> consagra un régimen jurídico que exceptúa la aplicación del Estatuto General de Contratación de la Administración Pública en los contratos de los fondos de servicios educativos inferiores a veinte (20) SMLMV con el objetivo de flexibilizar el régimen contractual aplicable</w:t>
      </w:r>
      <w:r w:rsidR="007D693D">
        <w:rPr>
          <w:rFonts w:ascii="Verdana" w:eastAsia="Arial" w:hAnsi="Verdana" w:cs="Arial"/>
          <w:color w:val="000000" w:themeColor="text1"/>
          <w:lang w:eastAsia="es-CO"/>
        </w:rPr>
        <w:t xml:space="preserve">, lo cierto es que </w:t>
      </w:r>
      <w:r w:rsidRPr="00072C23">
        <w:rPr>
          <w:rFonts w:ascii="Verdana" w:eastAsia="Arial" w:hAnsi="Verdana" w:cs="Arial"/>
          <w:color w:val="000000" w:themeColor="text1"/>
          <w:lang w:eastAsia="es-CO"/>
        </w:rPr>
        <w:t>la prohibición de contratación directa de la Ley de Garantías</w:t>
      </w:r>
      <w:r w:rsidR="000B5AE6">
        <w:rPr>
          <w:rFonts w:ascii="Verdana" w:eastAsia="Arial" w:hAnsi="Verdana" w:cs="Arial"/>
          <w:color w:val="000000" w:themeColor="text1"/>
          <w:lang w:eastAsia="es-CO"/>
        </w:rPr>
        <w:t xml:space="preserve"> Electorales aplica</w:t>
      </w:r>
      <w:r w:rsidRPr="00072C23">
        <w:rPr>
          <w:rFonts w:ascii="Verdana" w:eastAsia="Arial" w:hAnsi="Verdana" w:cs="Arial"/>
          <w:color w:val="000000" w:themeColor="text1"/>
          <w:lang w:eastAsia="es-CO"/>
        </w:rPr>
        <w:t xml:space="preserve"> independiente</w:t>
      </w:r>
      <w:r w:rsidR="00935D53">
        <w:rPr>
          <w:rFonts w:ascii="Verdana" w:eastAsia="Arial" w:hAnsi="Verdana" w:cs="Arial"/>
          <w:color w:val="000000" w:themeColor="text1"/>
          <w:lang w:eastAsia="es-CO"/>
        </w:rPr>
        <w:t>mente</w:t>
      </w:r>
      <w:r w:rsidRPr="00072C23">
        <w:rPr>
          <w:rFonts w:ascii="Verdana" w:eastAsia="Arial" w:hAnsi="Verdana" w:cs="Arial"/>
          <w:color w:val="000000" w:themeColor="text1"/>
          <w:lang w:eastAsia="es-CO"/>
        </w:rPr>
        <w:t xml:space="preserve"> del régimen contractual, por lo que se extiende a los contratos celebrados con cargo a los fondos de servicios educativos</w:t>
      </w:r>
      <w:r w:rsidR="003630A2">
        <w:rPr>
          <w:rFonts w:ascii="Verdana" w:eastAsia="Arial" w:hAnsi="Verdana" w:cs="Arial"/>
          <w:color w:val="000000" w:themeColor="text1"/>
          <w:lang w:eastAsia="es-CO"/>
        </w:rPr>
        <w:t>, por ser Entes del Estado</w:t>
      </w:r>
      <w:r w:rsidRPr="00072C23">
        <w:rPr>
          <w:rFonts w:ascii="Verdana" w:eastAsia="Arial" w:hAnsi="Verdana" w:cs="Arial"/>
          <w:color w:val="000000" w:themeColor="text1"/>
          <w:lang w:eastAsia="es-CO"/>
        </w:rPr>
        <w:t>.</w:t>
      </w:r>
    </w:p>
    <w:p w14:paraId="33760C0C" w14:textId="0D503D43" w:rsidR="001A3504" w:rsidRDefault="003630A2" w:rsidP="001C6DCC">
      <w:pPr>
        <w:spacing w:line="276" w:lineRule="auto"/>
        <w:ind w:firstLine="709"/>
        <w:jc w:val="both"/>
        <w:rPr>
          <w:rFonts w:ascii="Verdana" w:eastAsia="Arial" w:hAnsi="Verdana" w:cs="Arial"/>
          <w:color w:val="000000"/>
          <w:lang w:eastAsia="es-CO"/>
        </w:rPr>
      </w:pPr>
      <w:r>
        <w:rPr>
          <w:rFonts w:ascii="Verdana" w:eastAsia="Arial" w:hAnsi="Verdana" w:cs="Arial"/>
          <w:color w:val="000000"/>
          <w:lang w:eastAsia="es-CO"/>
        </w:rPr>
        <w:t>Sobre el alcance de la prohibición</w:t>
      </w:r>
      <w:r w:rsidR="001C6DCC" w:rsidRPr="00072C23">
        <w:rPr>
          <w:rFonts w:ascii="Verdana" w:eastAsia="Arial" w:hAnsi="Verdana" w:cs="Arial"/>
          <w:color w:val="000000"/>
          <w:lang w:eastAsia="es-CO"/>
        </w:rPr>
        <w:t>,</w:t>
      </w:r>
      <w:r>
        <w:rPr>
          <w:rFonts w:ascii="Verdana" w:eastAsia="Arial" w:hAnsi="Verdana" w:cs="Arial"/>
          <w:color w:val="000000"/>
          <w:lang w:eastAsia="es-CO"/>
        </w:rPr>
        <w:t xml:space="preserve"> debe tenerse en cuenta que</w:t>
      </w:r>
      <w:r w:rsidR="001C6DCC" w:rsidRPr="00072C23">
        <w:rPr>
          <w:rFonts w:ascii="Verdana" w:eastAsia="Arial" w:hAnsi="Verdana" w:cs="Arial"/>
          <w:color w:val="000000"/>
          <w:lang w:eastAsia="es-CO"/>
        </w:rPr>
        <w:t xml:space="preserve"> la Sala de Consulta y Servicio Civil del Consejo de Estado explica que “La prohibición contenida en el artículo 33, desde el punto de vista objetivo o material, comprende la contratación directa, entendida como cualquier mecanismo de escogencia del contratista en el que se prescinde de la licitación o concurso, </w:t>
      </w:r>
      <w:r w:rsidR="001C6DCC" w:rsidRPr="00072C23">
        <w:rPr>
          <w:rFonts w:ascii="Verdana" w:eastAsia="Arial" w:hAnsi="Verdana" w:cs="Arial"/>
          <w:i/>
          <w:iCs/>
          <w:color w:val="000000"/>
          <w:lang w:eastAsia="es-CO"/>
        </w:rPr>
        <w:t>sin que se tenga en cuenta por el legislador estatutario el régimen de contratación aplicable, ya sea contenido en el Estatuto General de Contratación de la Administración Pública o uno especial en razón del objeto, del contrato o del órgano que contrata</w:t>
      </w:r>
      <w:r w:rsidR="001C6DCC" w:rsidRPr="00072C23">
        <w:rPr>
          <w:rFonts w:ascii="Verdana" w:eastAsia="Arial" w:hAnsi="Verdana" w:cs="Arial"/>
          <w:color w:val="000000"/>
          <w:lang w:eastAsia="es-CO"/>
        </w:rPr>
        <w:t>”</w:t>
      </w:r>
      <w:r w:rsidR="001C6DCC" w:rsidRPr="00072C23">
        <w:rPr>
          <w:rFonts w:ascii="Verdana" w:eastAsia="Arial" w:hAnsi="Verdana" w:cs="Arial"/>
          <w:color w:val="000000"/>
          <w:vertAlign w:val="superscript"/>
          <w:lang w:eastAsia="es-CO"/>
        </w:rPr>
        <w:footnoteReference w:id="11"/>
      </w:r>
      <w:r w:rsidR="001C6DCC" w:rsidRPr="00072C23">
        <w:rPr>
          <w:rFonts w:ascii="Verdana" w:eastAsia="Arial" w:hAnsi="Verdana" w:cs="Arial"/>
          <w:color w:val="000000"/>
          <w:lang w:eastAsia="es-CO"/>
        </w:rPr>
        <w:t xml:space="preserve"> (Énfasis fuera de texto). </w:t>
      </w:r>
    </w:p>
    <w:p w14:paraId="48B20CFE" w14:textId="5A4AFC78" w:rsidR="001C6DCC" w:rsidRDefault="001C6DCC" w:rsidP="005916BD">
      <w:pPr>
        <w:spacing w:after="0" w:line="276" w:lineRule="auto"/>
        <w:ind w:firstLine="709"/>
        <w:jc w:val="both"/>
        <w:rPr>
          <w:rFonts w:ascii="Verdana" w:eastAsia="Arial" w:hAnsi="Verdana" w:cs="Arial"/>
          <w:color w:val="000000"/>
          <w:lang w:eastAsia="es-CO"/>
        </w:rPr>
      </w:pPr>
      <w:r w:rsidRPr="00072C23">
        <w:rPr>
          <w:rFonts w:ascii="Verdana" w:eastAsia="Arial" w:hAnsi="Verdana" w:cs="Arial"/>
          <w:color w:val="000000"/>
          <w:lang w:eastAsia="es-CO"/>
        </w:rPr>
        <w:t xml:space="preserve">Por tanto, durante la vigencia de la prohibición del artículo 33 de la Ley 996 de 2005 está restringida </w:t>
      </w:r>
      <w:r w:rsidRPr="00072C23">
        <w:rPr>
          <w:rFonts w:ascii="Verdana" w:eastAsia="Arial" w:hAnsi="Verdana" w:cs="Arial"/>
          <w:i/>
          <w:iCs/>
          <w:color w:val="000000"/>
          <w:lang w:eastAsia="es-CO"/>
        </w:rPr>
        <w:t>cualquier modalidad de selección que excluya la pluralidad de oferentes</w:t>
      </w:r>
      <w:r w:rsidRPr="00072C23">
        <w:rPr>
          <w:rFonts w:ascii="Verdana" w:eastAsia="Arial" w:hAnsi="Verdana" w:cs="Arial"/>
          <w:color w:val="000000"/>
          <w:lang w:eastAsia="es-CO"/>
        </w:rPr>
        <w:t xml:space="preserve">, incluso aunque se realice con fundamento en el régimen especial de contratación realizado con recursos de los fondos de servicios educativos por valor inferior a veinte (20) SMLMV, por implicar una forma de contratación directa. </w:t>
      </w:r>
      <w:r w:rsidR="00CC5E6B">
        <w:rPr>
          <w:rFonts w:ascii="Verdana" w:eastAsia="Arial" w:hAnsi="Verdana" w:cs="Arial"/>
          <w:color w:val="000000"/>
          <w:lang w:eastAsia="es-CO"/>
        </w:rPr>
        <w:t>Ahora bien</w:t>
      </w:r>
      <w:r w:rsidRPr="00072C23">
        <w:rPr>
          <w:rFonts w:ascii="Verdana" w:eastAsia="Arial" w:hAnsi="Verdana" w:cs="Arial"/>
          <w:color w:val="000000"/>
          <w:lang w:eastAsia="es-CO"/>
        </w:rPr>
        <w:t>,</w:t>
      </w:r>
      <w:r w:rsidR="00CC5E6B">
        <w:rPr>
          <w:rFonts w:ascii="Verdana" w:eastAsia="Arial" w:hAnsi="Verdana" w:cs="Arial"/>
          <w:color w:val="000000"/>
          <w:lang w:eastAsia="es-CO"/>
        </w:rPr>
        <w:t xml:space="preserve"> en vigencia de la Ley de</w:t>
      </w:r>
      <w:r w:rsidRPr="00072C23">
        <w:rPr>
          <w:rFonts w:ascii="Verdana" w:eastAsia="Arial" w:hAnsi="Verdana" w:cs="Arial"/>
          <w:color w:val="000000"/>
          <w:lang w:eastAsia="es-CO"/>
        </w:rPr>
        <w:t xml:space="preserve"> será posible realizar </w:t>
      </w:r>
      <w:r w:rsidRPr="00072C23">
        <w:rPr>
          <w:rFonts w:ascii="Verdana" w:eastAsia="Arial" w:hAnsi="Verdana" w:cs="Arial"/>
          <w:color w:val="000000"/>
          <w:lang w:eastAsia="es-CO"/>
        </w:rPr>
        <w:lastRenderedPageBreak/>
        <w:t xml:space="preserve">procesos contractuales, siempre que estos incluyan la posibilidad de participación de una pluralidad de oferentes, ya que estos no implicarían una contratación </w:t>
      </w:r>
      <w:r w:rsidRPr="00072C23">
        <w:rPr>
          <w:rFonts w:ascii="Verdana" w:eastAsia="Arial" w:hAnsi="Verdana" w:cs="Arial"/>
          <w:i/>
          <w:iCs/>
          <w:color w:val="000000"/>
          <w:lang w:eastAsia="es-CO"/>
        </w:rPr>
        <w:t>directa.</w:t>
      </w:r>
      <w:r w:rsidRPr="00072C23">
        <w:rPr>
          <w:rFonts w:ascii="Verdana" w:eastAsia="Arial" w:hAnsi="Verdana" w:cs="Arial"/>
          <w:color w:val="000000"/>
          <w:lang w:eastAsia="es-CO"/>
        </w:rPr>
        <w:t xml:space="preserve"> En conclusión, la prohibición del artículo 33 de la Ley 996 de 2005 se extiende a cualquier contrato realizado con recursos de fondos de servicios educativos, sean inferiores o superiores a </w:t>
      </w:r>
      <w:r w:rsidR="00F4472D">
        <w:rPr>
          <w:rFonts w:ascii="Verdana" w:eastAsia="Arial" w:hAnsi="Verdana" w:cs="Arial"/>
          <w:color w:val="000000"/>
          <w:lang w:eastAsia="es-CO"/>
        </w:rPr>
        <w:t>veinte (</w:t>
      </w:r>
      <w:r w:rsidRPr="00072C23">
        <w:rPr>
          <w:rFonts w:ascii="Verdana" w:eastAsia="Arial" w:hAnsi="Verdana" w:cs="Arial"/>
          <w:color w:val="000000"/>
          <w:lang w:eastAsia="es-CO"/>
        </w:rPr>
        <w:t>20</w:t>
      </w:r>
      <w:r w:rsidR="00F4472D">
        <w:rPr>
          <w:rFonts w:ascii="Verdana" w:eastAsia="Arial" w:hAnsi="Verdana" w:cs="Arial"/>
          <w:color w:val="000000"/>
          <w:lang w:eastAsia="es-CO"/>
        </w:rPr>
        <w:t>)</w:t>
      </w:r>
      <w:r w:rsidRPr="00072C23">
        <w:rPr>
          <w:rFonts w:ascii="Verdana" w:eastAsia="Arial" w:hAnsi="Verdana" w:cs="Arial"/>
          <w:color w:val="000000"/>
          <w:lang w:eastAsia="es-CO"/>
        </w:rPr>
        <w:t xml:space="preserve"> SMLMV siempre que el contrato se celebre sin que esté antecedido de un procedimiento que admita la posible participación de una pluralidad de oferentes, toda vez que la prohibición recae sobre la </w:t>
      </w:r>
      <w:r w:rsidRPr="00072C23">
        <w:rPr>
          <w:rFonts w:ascii="Verdana" w:eastAsia="Arial" w:hAnsi="Verdana" w:cs="Arial"/>
          <w:i/>
          <w:iCs/>
          <w:color w:val="000000"/>
          <w:lang w:eastAsia="es-CO"/>
        </w:rPr>
        <w:t>contratación directa</w:t>
      </w:r>
      <w:r w:rsidRPr="00072C23">
        <w:rPr>
          <w:rFonts w:ascii="Verdana" w:eastAsia="Arial" w:hAnsi="Verdana" w:cs="Arial"/>
          <w:color w:val="000000"/>
          <w:lang w:eastAsia="es-CO"/>
        </w:rPr>
        <w:t xml:space="preserve">.  </w:t>
      </w:r>
    </w:p>
    <w:p w14:paraId="6E599715" w14:textId="77777777" w:rsidR="005916BD" w:rsidRPr="00072C23" w:rsidRDefault="005916BD" w:rsidP="00B96E97">
      <w:pPr>
        <w:spacing w:after="0" w:line="276" w:lineRule="auto"/>
        <w:ind w:firstLine="709"/>
        <w:jc w:val="both"/>
        <w:rPr>
          <w:rFonts w:ascii="Verdana" w:eastAsia="Arial" w:hAnsi="Verdana" w:cs="Arial"/>
          <w:color w:val="000000"/>
          <w:lang w:eastAsia="es-CO"/>
        </w:rPr>
      </w:pPr>
    </w:p>
    <w:p w14:paraId="71A9455C" w14:textId="77777777" w:rsidR="001C6DCC" w:rsidRPr="00A545DE" w:rsidRDefault="001C6DCC" w:rsidP="005916BD">
      <w:pPr>
        <w:pStyle w:val="Prrafodelista"/>
        <w:numPr>
          <w:ilvl w:val="0"/>
          <w:numId w:val="18"/>
        </w:numPr>
        <w:spacing w:after="0" w:line="276" w:lineRule="auto"/>
        <w:contextualSpacing w:val="0"/>
        <w:jc w:val="both"/>
        <w:rPr>
          <w:rFonts w:ascii="Verdana" w:eastAsia="Times New Roman" w:hAnsi="Verdana" w:cs="Open Sans"/>
          <w:lang w:eastAsia="es-CO"/>
        </w:rPr>
      </w:pPr>
      <w:r>
        <w:rPr>
          <w:rFonts w:ascii="Verdana" w:eastAsia="Times New Roman" w:hAnsi="Verdana" w:cs="Open Sans"/>
          <w:lang w:eastAsia="es-CO"/>
        </w:rPr>
        <w:t xml:space="preserve">Restricciones demás elecciones </w:t>
      </w:r>
    </w:p>
    <w:p w14:paraId="05D6D981" w14:textId="77777777" w:rsidR="001C6DCC" w:rsidRDefault="001C6DCC" w:rsidP="005916BD">
      <w:pPr>
        <w:spacing w:after="0" w:line="270" w:lineRule="atLeast"/>
        <w:jc w:val="both"/>
        <w:rPr>
          <w:rFonts w:ascii="Verdana" w:eastAsia="Times New Roman" w:hAnsi="Verdana" w:cs="Open Sans"/>
          <w:lang w:eastAsia="es-CO"/>
        </w:rPr>
      </w:pPr>
    </w:p>
    <w:p w14:paraId="1E62DFBD" w14:textId="77777777" w:rsidR="001C6DCC" w:rsidRPr="00D61E29" w:rsidRDefault="001C6DCC" w:rsidP="005916BD">
      <w:pPr>
        <w:spacing w:after="0" w:line="270" w:lineRule="atLeast"/>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522E2023" w14:textId="77777777" w:rsidR="001C6DCC" w:rsidRDefault="001C6DCC" w:rsidP="00B96E97">
      <w:pPr>
        <w:pStyle w:val="NormalWeb"/>
        <w:spacing w:before="0" w:beforeAutospacing="0" w:after="0" w:afterAutospacing="0" w:line="270" w:lineRule="atLeast"/>
        <w:ind w:left="709" w:right="616"/>
        <w:jc w:val="both"/>
        <w:rPr>
          <w:rStyle w:val="baj"/>
          <w:rFonts w:ascii="Verdana" w:eastAsiaTheme="minorHAnsi" w:hAnsi="Verdana" w:cs="Open Sans"/>
          <w:b/>
          <w:bCs/>
          <w:sz w:val="20"/>
          <w:szCs w:val="20"/>
          <w:lang w:eastAsia="en-US"/>
        </w:rPr>
      </w:pPr>
    </w:p>
    <w:p w14:paraId="4E93CDAF" w14:textId="77777777" w:rsidR="001C6DCC" w:rsidRDefault="001C6DCC" w:rsidP="005916BD">
      <w:pPr>
        <w:pStyle w:val="NormalWeb"/>
        <w:spacing w:before="0" w:beforeAutospacing="0" w:after="0" w:afterAutospacing="0"/>
        <w:ind w:left="709" w:right="709"/>
        <w:jc w:val="both"/>
        <w:rPr>
          <w:rFonts w:ascii="Verdana" w:hAnsi="Verdana" w:cs="Open Sans"/>
          <w:sz w:val="20"/>
          <w:szCs w:val="20"/>
        </w:rPr>
      </w:pPr>
      <w:r>
        <w:rPr>
          <w:rStyle w:val="baj"/>
          <w:rFonts w:ascii="Verdana" w:hAnsi="Verdana" w:cs="Open Sans"/>
          <w:b/>
          <w:bCs/>
          <w:sz w:val="20"/>
          <w:szCs w:val="20"/>
        </w:rPr>
        <w:t>“</w:t>
      </w:r>
      <w:r w:rsidRPr="00D61E29">
        <w:rPr>
          <w:rStyle w:val="baj"/>
          <w:rFonts w:ascii="Verdana" w:hAnsi="Verdana" w:cs="Open Sans"/>
          <w:b/>
          <w:bCs/>
          <w:sz w:val="20"/>
          <w:szCs w:val="20"/>
        </w:rPr>
        <w:t>PARÁGRAFO.</w:t>
      </w:r>
      <w:r w:rsidRPr="00D61E29">
        <w:rPr>
          <w:rFonts w:ascii="Verdana" w:hAnsi="Verdana" w:cs="Open Sans"/>
          <w:sz w:val="20"/>
          <w:szCs w:val="20"/>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0984C8DB" w14:textId="77777777" w:rsidR="005916BD" w:rsidRPr="00D61E29" w:rsidRDefault="005916BD" w:rsidP="00B96E97">
      <w:pPr>
        <w:pStyle w:val="NormalWeb"/>
        <w:spacing w:before="0" w:beforeAutospacing="0" w:after="0" w:afterAutospacing="0"/>
        <w:ind w:left="709" w:right="709"/>
        <w:jc w:val="both"/>
        <w:rPr>
          <w:rFonts w:ascii="Verdana" w:hAnsi="Verdana" w:cs="Open Sans"/>
          <w:sz w:val="20"/>
          <w:szCs w:val="20"/>
        </w:rPr>
      </w:pPr>
    </w:p>
    <w:p w14:paraId="17468CCA" w14:textId="77777777" w:rsidR="001C6DCC" w:rsidRPr="00D61E29" w:rsidRDefault="001C6DCC" w:rsidP="00B96E97">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Tampoco podrán inaugurar obras públicas o dar inicio a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3C3BB3EA" w14:textId="77777777" w:rsidR="005916BD" w:rsidRDefault="005916BD" w:rsidP="005916BD">
      <w:pPr>
        <w:pStyle w:val="NormalWeb"/>
        <w:spacing w:before="0" w:beforeAutospacing="0" w:after="0" w:afterAutospacing="0"/>
        <w:ind w:left="709" w:right="709"/>
        <w:jc w:val="both"/>
        <w:rPr>
          <w:rFonts w:ascii="Verdana" w:hAnsi="Verdana" w:cs="Open Sans"/>
          <w:sz w:val="20"/>
          <w:szCs w:val="20"/>
        </w:rPr>
      </w:pPr>
    </w:p>
    <w:p w14:paraId="0893EF89" w14:textId="71614908" w:rsidR="001C6DCC" w:rsidRPr="00D61E29" w:rsidRDefault="001C6DCC" w:rsidP="00B96E97">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1D61BA68" w14:textId="77777777" w:rsidR="005916BD" w:rsidRDefault="005916BD" w:rsidP="005916BD">
      <w:pPr>
        <w:pStyle w:val="NormalWeb"/>
        <w:spacing w:before="0" w:beforeAutospacing="0" w:after="0" w:afterAutospacing="0"/>
        <w:ind w:left="709" w:right="709"/>
        <w:jc w:val="both"/>
        <w:rPr>
          <w:rFonts w:ascii="Verdana" w:hAnsi="Verdana" w:cs="Open Sans"/>
          <w:sz w:val="20"/>
          <w:szCs w:val="20"/>
        </w:rPr>
      </w:pPr>
    </w:p>
    <w:p w14:paraId="2E591F8E" w14:textId="40A537FD" w:rsidR="001C6DCC" w:rsidRPr="00D61E29" w:rsidRDefault="001C6DCC" w:rsidP="00B96E97">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p>
    <w:p w14:paraId="2C1C5AB0" w14:textId="77777777" w:rsidR="001C6DCC" w:rsidRDefault="001C6DCC" w:rsidP="001C6DCC">
      <w:pPr>
        <w:widowControl w:val="0"/>
        <w:autoSpaceDE w:val="0"/>
        <w:autoSpaceDN w:val="0"/>
        <w:spacing w:after="0" w:line="276" w:lineRule="auto"/>
        <w:ind w:right="113"/>
        <w:contextualSpacing/>
        <w:jc w:val="both"/>
      </w:pPr>
    </w:p>
    <w:p w14:paraId="56CFCC15" w14:textId="77777777" w:rsidR="001C6DCC" w:rsidRDefault="001C6DCC" w:rsidP="001C6DCC">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lastRenderedPageBreak/>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w:t>
      </w:r>
      <w:bookmarkStart w:id="5"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5"/>
    </w:p>
    <w:p w14:paraId="7CD519AB" w14:textId="77777777" w:rsidR="001C6DCC" w:rsidRPr="00D61E29" w:rsidRDefault="001C6DCC" w:rsidP="001C6DCC">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D61E2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16469F5F" w14:textId="77777777" w:rsidR="001C6DCC" w:rsidRPr="00D61E29" w:rsidRDefault="001C6DCC" w:rsidP="001C6DCC">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2E5CC8B8" w14:textId="77777777" w:rsidR="001C6DCC" w:rsidRPr="00D61E29" w:rsidRDefault="001C6DCC" w:rsidP="001C6DCC">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D61E29">
        <w:rPr>
          <w:rFonts w:ascii="Verdana" w:eastAsia="Arial" w:hAnsi="Verdana" w:cs="Arial"/>
          <w:sz w:val="20"/>
          <w:szCs w:val="20"/>
          <w:lang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D61E29">
        <w:rPr>
          <w:rFonts w:ascii="Verdana" w:eastAsia="Arial" w:hAnsi="Verdana" w:cs="Arial"/>
          <w:sz w:val="20"/>
          <w:szCs w:val="20"/>
          <w:vertAlign w:val="superscript"/>
          <w:lang w:eastAsia="es-ES" w:bidi="es-ES"/>
        </w:rPr>
        <w:footnoteReference w:id="12"/>
      </w:r>
    </w:p>
    <w:p w14:paraId="388D0014" w14:textId="77777777" w:rsidR="001C6DCC" w:rsidRPr="00D61E29" w:rsidRDefault="001C6DCC" w:rsidP="001C6DCC">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1448D2D0" w14:textId="77777777" w:rsidR="001C6DCC" w:rsidRPr="00B3605D" w:rsidRDefault="001C6DCC" w:rsidP="001C6DCC">
      <w:pPr>
        <w:tabs>
          <w:tab w:val="left" w:pos="8080"/>
        </w:tabs>
        <w:spacing w:after="0" w:line="276" w:lineRule="auto"/>
        <w:ind w:firstLine="709"/>
        <w:jc w:val="both"/>
        <w:rPr>
          <w:rFonts w:ascii="Verdana" w:hAnsi="Verdana"/>
        </w:rPr>
      </w:pPr>
      <w:r>
        <w:rPr>
          <w:rFonts w:ascii="Verdana" w:eastAsia="Times New Roman" w:hAnsi="Verdana" w:cs="Arial"/>
          <w:lang w:val="es-ES" w:eastAsia="es-ES_tradnl"/>
        </w:rPr>
        <w:t xml:space="preserve">Adicionalmente, en relación con las modificaciones contractuales </w:t>
      </w:r>
      <w:r w:rsidRPr="00B3605D">
        <w:rPr>
          <w:rFonts w:ascii="Verdana" w:eastAsia="Times New Roman" w:hAnsi="Verdana" w:cs="Open Sans"/>
          <w:lang w:eastAsia="es-CO"/>
        </w:rPr>
        <w:t>se resalta el numeral 16.5 de la Circular Externa Única</w:t>
      </w:r>
      <w:r w:rsidRPr="00B3605D">
        <w:rPr>
          <w:rStyle w:val="Refdenotaalpie"/>
          <w:rFonts w:ascii="Verdana" w:eastAsia="Times New Roman" w:hAnsi="Verdana" w:cs="Open Sans"/>
          <w:lang w:eastAsia="es-CO"/>
        </w:rPr>
        <w:footnoteReference w:id="13"/>
      </w:r>
      <w:r w:rsidRPr="00B3605D">
        <w:rPr>
          <w:rFonts w:ascii="Verdana" w:eastAsia="Times New Roman" w:hAnsi="Verdana" w:cs="Open Sans"/>
          <w:lang w:eastAsia="es-CO"/>
        </w:rPr>
        <w:t xml:space="preserve"> de la </w:t>
      </w:r>
      <w:r w:rsidRPr="00B3605D">
        <w:rPr>
          <w:rFonts w:ascii="Verdana" w:hAnsi="Verdana"/>
        </w:rPr>
        <w:t>Agencia Nacional de Contratación Pública -Colombia Compra Eficiente, como sigue:</w:t>
      </w:r>
    </w:p>
    <w:p w14:paraId="48CC3D58" w14:textId="77777777" w:rsidR="001C6DCC" w:rsidRPr="00C05384" w:rsidRDefault="001C6DCC" w:rsidP="001C6DCC">
      <w:pPr>
        <w:spacing w:after="0" w:line="276" w:lineRule="auto"/>
        <w:ind w:left="708" w:right="616"/>
        <w:jc w:val="both"/>
        <w:rPr>
          <w:rFonts w:ascii="Verdana" w:hAnsi="Verdana"/>
        </w:rPr>
      </w:pPr>
    </w:p>
    <w:p w14:paraId="5E5A3341" w14:textId="77777777" w:rsidR="001C6DCC" w:rsidRPr="00B3605D" w:rsidRDefault="001C6DCC" w:rsidP="001C6DCC">
      <w:pPr>
        <w:spacing w:after="0" w:line="240" w:lineRule="auto"/>
        <w:ind w:left="709" w:right="709"/>
        <w:jc w:val="both"/>
        <w:rPr>
          <w:rFonts w:ascii="Verdana" w:hAnsi="Verdana"/>
          <w:sz w:val="20"/>
          <w:szCs w:val="20"/>
        </w:rPr>
      </w:pPr>
      <w:r w:rsidRPr="00B3605D">
        <w:rPr>
          <w:rFonts w:ascii="Verdana" w:hAnsi="Verdana"/>
          <w:sz w:val="20"/>
          <w:szCs w:val="20"/>
        </w:rPr>
        <w:lastRenderedPageBreak/>
        <w:t xml:space="preserve">La Ley de Garantías no establece restricciones para las prórrogas, modificaciones o adiciones, y la cesión de los contratos suscritos antes del periodo electoral, siempre que tales prórrogas, modificaciones, adiciones y cesiones cumplan los principios de planeación, transparencia y responsabilidad. </w:t>
      </w:r>
    </w:p>
    <w:p w14:paraId="456D4018" w14:textId="77777777" w:rsidR="001C6DCC" w:rsidRDefault="001C6DCC" w:rsidP="001C6DCC">
      <w:pPr>
        <w:spacing w:after="0" w:line="240" w:lineRule="auto"/>
        <w:ind w:left="709" w:right="709"/>
        <w:jc w:val="both"/>
        <w:rPr>
          <w:rFonts w:ascii="Verdana" w:hAnsi="Verdana"/>
          <w:sz w:val="20"/>
          <w:szCs w:val="20"/>
        </w:rPr>
      </w:pPr>
      <w:r w:rsidRPr="00B3605D">
        <w:rPr>
          <w:rFonts w:ascii="Verdana" w:hAnsi="Verdana"/>
          <w:sz w:val="20"/>
          <w:szCs w:val="20"/>
        </w:rPr>
        <w:t>En este sentido,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p w14:paraId="0B40BFC0" w14:textId="77777777" w:rsidR="001C6DCC" w:rsidRPr="00FC54ED" w:rsidRDefault="001C6DCC" w:rsidP="001C6DCC">
      <w:pPr>
        <w:spacing w:after="0" w:line="240" w:lineRule="auto"/>
        <w:ind w:left="709" w:right="709"/>
        <w:jc w:val="both"/>
        <w:rPr>
          <w:rFonts w:ascii="Verdana" w:eastAsia="Times New Roman" w:hAnsi="Verdana" w:cs="Open Sans"/>
          <w:sz w:val="20"/>
          <w:szCs w:val="20"/>
          <w:lang w:eastAsia="es-CO"/>
        </w:rPr>
      </w:pPr>
    </w:p>
    <w:p w14:paraId="4E08D2DC" w14:textId="77777777" w:rsidR="001C6DCC" w:rsidRDefault="001C6DCC" w:rsidP="00C21522">
      <w:pPr>
        <w:spacing w:after="120" w:line="276" w:lineRule="auto"/>
        <w:ind w:firstLine="708"/>
        <w:jc w:val="both"/>
        <w:rPr>
          <w:rFonts w:ascii="Verdana" w:eastAsia="Times New Roman" w:hAnsi="Verdana" w:cs="Arial"/>
          <w:bCs/>
          <w:lang w:val="es-MX" w:eastAsia="es-CO"/>
        </w:rPr>
      </w:pPr>
      <w:r w:rsidRPr="00B3605D">
        <w:rPr>
          <w:rFonts w:ascii="Verdana" w:eastAsia="Arial" w:hAnsi="Verdana" w:cs="Arial"/>
          <w:lang w:val="es-ES" w:eastAsia="es-ES" w:bidi="es-ES"/>
        </w:rPr>
        <w:t xml:space="preserve">En conclusión, </w:t>
      </w:r>
      <w:r w:rsidRPr="00B3605D">
        <w:rPr>
          <w:rFonts w:ascii="Verdana" w:eastAsia="Times New Roman" w:hAnsi="Verdana" w:cs="Arial"/>
          <w:bCs/>
          <w:lang w:val="es-MX" w:eastAsia="es-CO"/>
        </w:rPr>
        <w:t xml:space="preserve">como en otras oportunidades </w:t>
      </w:r>
      <w:r w:rsidRPr="00894384">
        <w:rPr>
          <w:rFonts w:ascii="Verdana" w:eastAsia="Times New Roman" w:hAnsi="Verdana" w:cs="Arial"/>
          <w:bCs/>
          <w:lang w:val="es-MX" w:eastAsia="es-CO"/>
        </w:rPr>
        <w:t>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w:t>
      </w:r>
      <w:r>
        <w:rPr>
          <w:rFonts w:ascii="Verdana" w:eastAsia="Times New Roman" w:hAnsi="Verdana" w:cs="Arial"/>
          <w:bCs/>
          <w:lang w:val="es-MX" w:eastAsia="es-CO"/>
        </w:rPr>
        <w:t xml:space="preserve"> las disposiciones que rigen dichas actuaciones así como</w:t>
      </w:r>
      <w:r w:rsidRPr="00894384">
        <w:rPr>
          <w:rFonts w:ascii="Verdana" w:eastAsia="Times New Roman" w:hAnsi="Verdana" w:cs="Arial"/>
          <w:bCs/>
          <w:lang w:val="es-MX" w:eastAsia="es-CO"/>
        </w:rPr>
        <w:t xml:space="preserve"> los principios de planeación, transparencia y responsabilidad. </w:t>
      </w:r>
    </w:p>
    <w:p w14:paraId="438E1EE8" w14:textId="77777777" w:rsidR="001C6DCC" w:rsidRDefault="001C6DCC" w:rsidP="00B96E97">
      <w:pPr>
        <w:autoSpaceDE w:val="0"/>
        <w:autoSpaceDN w:val="0"/>
        <w:adjustRightInd w:val="0"/>
        <w:spacing w:after="0" w:line="276" w:lineRule="auto"/>
        <w:ind w:firstLine="708"/>
        <w:jc w:val="both"/>
        <w:rPr>
          <w:rFonts w:ascii="Verdana" w:hAnsi="Verdana" w:cs="BCDHEE+Verdana"/>
          <w:color w:val="000000"/>
        </w:rPr>
      </w:pPr>
      <w:r w:rsidRPr="00947721">
        <w:rPr>
          <w:rFonts w:ascii="Verdana" w:hAnsi="Verdana" w:cs="BCDHEE+Verdana"/>
          <w:color w:val="000000"/>
        </w:rPr>
        <w:t>Fi</w:t>
      </w:r>
      <w:r>
        <w:rPr>
          <w:rFonts w:ascii="Verdana" w:hAnsi="Verdana" w:cs="BCDHEE+Verdana"/>
          <w:color w:val="000000"/>
        </w:rPr>
        <w:t>nalmente</w:t>
      </w:r>
      <w:r w:rsidRPr="00947721">
        <w:rPr>
          <w:rFonts w:ascii="Verdana" w:hAnsi="Verdana" w:cs="BCDHEE+Verdana"/>
          <w:color w:val="000000"/>
        </w:rPr>
        <w:t xml:space="preserve">, sobre las fechas en que aplica la Ley de garantías, se debe tener en cuenta que el Consejo Nacional Electoral mediante Resolución No. 2581 del 5 de marzo de 2025 fijó el calendario electoral para las elecciones al Congreso de la República que serán el 8 de marzo de 2026, en esa medida, de acuerdo con el artículo 38 de la Ley 996 de 2005, la restricción iniciaría el 8 de noviembre de 2025, es decir, 4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3E449415" w14:textId="77777777" w:rsidR="001C6DCC" w:rsidRPr="00947721" w:rsidRDefault="001C6DCC" w:rsidP="002F478A">
      <w:pPr>
        <w:autoSpaceDE w:val="0"/>
        <w:autoSpaceDN w:val="0"/>
        <w:adjustRightInd w:val="0"/>
        <w:spacing w:after="0" w:line="240" w:lineRule="auto"/>
        <w:ind w:firstLine="708"/>
        <w:jc w:val="both"/>
        <w:rPr>
          <w:rFonts w:ascii="Verdana" w:hAnsi="Verdana" w:cs="BCDHEE+Verdana"/>
          <w:color w:val="000000"/>
        </w:rPr>
      </w:pPr>
    </w:p>
    <w:p w14:paraId="67F1AF63" w14:textId="77777777" w:rsidR="001C6DCC" w:rsidRPr="00BF374E" w:rsidRDefault="001C6DCC" w:rsidP="00B96E97">
      <w:pPr>
        <w:spacing w:after="0" w:line="276" w:lineRule="auto"/>
        <w:ind w:firstLine="708"/>
        <w:jc w:val="both"/>
        <w:rPr>
          <w:rFonts w:ascii="BCDHEE+Verdana" w:hAnsi="BCDHEE+Verdana" w:cs="BCDHEE+Verdana"/>
          <w:color w:val="000000"/>
        </w:rPr>
      </w:pPr>
      <w:r w:rsidRPr="00DE5508">
        <w:rPr>
          <w:rFonts w:ascii="Verdana" w:hAnsi="Verdana" w:cs="BCDHEE+Verdana"/>
          <w:color w:val="000000"/>
        </w:rPr>
        <w:t xml:space="preserve">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4 meses anteriores a la elección presidencial, es decir desde el 31 de enero de 2026 y </w:t>
      </w:r>
      <w:r w:rsidRPr="00DE5508">
        <w:rPr>
          <w:rFonts w:ascii="Verdana" w:hAnsi="Verdana" w:cs="BCDHEE+Verdana"/>
          <w:color w:val="000000"/>
        </w:rPr>
        <w:lastRenderedPageBreak/>
        <w:t>hasta el momento de la celebración de la segunda vuelta, si fuere el caso, queda prohibida la contratación directa por parte de todos los entes del Estado</w:t>
      </w:r>
      <w:r>
        <w:rPr>
          <w:rFonts w:ascii="BCDHEE+Verdana" w:hAnsi="BCDHEE+Verdana" w:cs="BCDHEE+Verdana"/>
          <w:color w:val="000000"/>
        </w:rPr>
        <w:t>.</w:t>
      </w:r>
    </w:p>
    <w:p w14:paraId="3DE246ED" w14:textId="77777777" w:rsidR="001C6DCC" w:rsidRPr="00D40A4B" w:rsidRDefault="001C6DCC" w:rsidP="001C6DCC">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durante la aplicación de las restricciones de la Ley de Garantías Electorales.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Pr>
          <w:rFonts w:ascii="Verdana" w:hAnsi="Verdana"/>
          <w:sz w:val="20"/>
          <w:szCs w:val="20"/>
        </w:rPr>
        <w:tab/>
      </w:r>
    </w:p>
    <w:p w14:paraId="2CC7C365" w14:textId="77777777" w:rsidR="001C6DCC" w:rsidRPr="00C21522" w:rsidRDefault="001C6DCC" w:rsidP="00C21522">
      <w:pPr>
        <w:widowControl w:val="0"/>
        <w:autoSpaceDE w:val="0"/>
        <w:autoSpaceDN w:val="0"/>
        <w:spacing w:after="0" w:line="276" w:lineRule="auto"/>
        <w:jc w:val="both"/>
        <w:rPr>
          <w:rFonts w:ascii="Verdana" w:hAnsi="Verdana" w:cs="Arial"/>
        </w:rPr>
      </w:pPr>
    </w:p>
    <w:p w14:paraId="069FD69B" w14:textId="77777777" w:rsidR="001C6DCC" w:rsidRPr="00C21522" w:rsidRDefault="001C6DCC" w:rsidP="00C2152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21522">
        <w:rPr>
          <w:rFonts w:ascii="Verdana" w:eastAsia="Century Gothic" w:hAnsi="Verdana" w:cs="Century Gothic"/>
          <w:b/>
          <w:bCs/>
        </w:rPr>
        <w:t>Referencias normativas, jurisprudenciales y otras fuentes:</w:t>
      </w:r>
    </w:p>
    <w:p w14:paraId="3CF8B4C7" w14:textId="77777777" w:rsidR="001C6DCC" w:rsidRPr="00C21522" w:rsidRDefault="001C6DCC" w:rsidP="00C21522">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C6DCC" w:rsidRPr="00C21522" w14:paraId="2947F6DC" w14:textId="77777777" w:rsidTr="0031322D">
        <w:trPr>
          <w:trHeight w:val="870"/>
        </w:trPr>
        <w:tc>
          <w:tcPr>
            <w:tcW w:w="8647" w:type="dxa"/>
          </w:tcPr>
          <w:p w14:paraId="5853D7EF" w14:textId="35B4434D" w:rsidR="00104FCB" w:rsidRPr="00C21522" w:rsidRDefault="00104FCB" w:rsidP="00104FCB">
            <w:pPr>
              <w:widowControl w:val="0"/>
              <w:numPr>
                <w:ilvl w:val="0"/>
                <w:numId w:val="17"/>
              </w:numPr>
              <w:autoSpaceDE w:val="0"/>
              <w:autoSpaceDN w:val="0"/>
              <w:spacing w:line="276" w:lineRule="auto"/>
              <w:jc w:val="both"/>
              <w:rPr>
                <w:rFonts w:ascii="Verdana" w:eastAsia="Arial MT" w:hAnsi="Verdana" w:cs="Arial"/>
                <w:lang w:val="es-ES" w:eastAsia="es-ES" w:bidi="es-ES"/>
              </w:rPr>
            </w:pPr>
            <w:r w:rsidRPr="00C21522">
              <w:rPr>
                <w:rFonts w:ascii="Verdana" w:eastAsia="Arial" w:hAnsi="Verdana" w:cs="Arial"/>
                <w:lang w:eastAsia="es-MX"/>
              </w:rPr>
              <w:t>Ley 715 de 2001. Artículos 11 y 13</w:t>
            </w:r>
            <w:r>
              <w:rPr>
                <w:rFonts w:ascii="Verdana" w:eastAsia="Arial" w:hAnsi="Verdana" w:cs="Arial"/>
                <w:lang w:eastAsia="es-MX"/>
              </w:rPr>
              <w:t>.</w:t>
            </w:r>
          </w:p>
          <w:p w14:paraId="2C3C002C" w14:textId="77777777" w:rsidR="001C6DCC" w:rsidRPr="00C21522" w:rsidRDefault="001C6DCC" w:rsidP="00B96E97">
            <w:pPr>
              <w:widowControl w:val="0"/>
              <w:numPr>
                <w:ilvl w:val="0"/>
                <w:numId w:val="17"/>
              </w:numPr>
              <w:autoSpaceDE w:val="0"/>
              <w:autoSpaceDN w:val="0"/>
              <w:spacing w:line="276" w:lineRule="auto"/>
              <w:jc w:val="both"/>
              <w:rPr>
                <w:rFonts w:ascii="Verdana" w:eastAsia="Arial MT" w:hAnsi="Verdana" w:cs="Arial"/>
                <w:lang w:val="es-ES" w:eastAsia="es-ES" w:bidi="es-ES"/>
              </w:rPr>
            </w:pPr>
            <w:r w:rsidRPr="00C21522">
              <w:rPr>
                <w:rFonts w:ascii="Verdana" w:eastAsia="Arial MT" w:hAnsi="Verdana" w:cs="Arial"/>
                <w:bCs/>
                <w:lang w:val="es-ES" w:eastAsia="es-ES" w:bidi="es-ES"/>
              </w:rPr>
              <w:t>Ley 996 de 2005. Artículos 33 y 38 parágrafo.</w:t>
            </w:r>
          </w:p>
          <w:p w14:paraId="5BAE36DB" w14:textId="77777777" w:rsidR="001C6DCC" w:rsidRPr="00C21522" w:rsidRDefault="001C6DCC" w:rsidP="00B96E97">
            <w:pPr>
              <w:widowControl w:val="0"/>
              <w:numPr>
                <w:ilvl w:val="0"/>
                <w:numId w:val="17"/>
              </w:numPr>
              <w:autoSpaceDE w:val="0"/>
              <w:autoSpaceDN w:val="0"/>
              <w:spacing w:line="276" w:lineRule="auto"/>
              <w:jc w:val="both"/>
              <w:rPr>
                <w:rFonts w:ascii="Verdana" w:eastAsia="Calibri" w:hAnsi="Verdana" w:cs="Arial"/>
                <w:lang w:val="es-ES"/>
              </w:rPr>
            </w:pPr>
            <w:r w:rsidRPr="00C21522">
              <w:rPr>
                <w:rFonts w:ascii="Verdana" w:eastAsia="Calibri" w:hAnsi="Verdana" w:cs="Arial"/>
                <w:lang w:val="pt-BR"/>
              </w:rPr>
              <w:t xml:space="preserve">Corte Constitucional. Sentencia C -1153 de 2005. </w:t>
            </w:r>
            <w:r w:rsidRPr="00C21522">
              <w:rPr>
                <w:rFonts w:ascii="Verdana" w:eastAsia="Calibri" w:hAnsi="Verdana" w:cs="Arial"/>
                <w:lang w:val="es-ES"/>
              </w:rPr>
              <w:t xml:space="preserve">M.P. Marco Gerardo Monroy Cabra. </w:t>
            </w:r>
          </w:p>
          <w:p w14:paraId="457B6113" w14:textId="77777777" w:rsidR="001C6DCC" w:rsidRPr="00C21522" w:rsidRDefault="001C6DCC" w:rsidP="00B96E97">
            <w:pPr>
              <w:pStyle w:val="Prrafodelista"/>
              <w:widowControl w:val="0"/>
              <w:numPr>
                <w:ilvl w:val="0"/>
                <w:numId w:val="17"/>
              </w:numPr>
              <w:autoSpaceDE w:val="0"/>
              <w:autoSpaceDN w:val="0"/>
              <w:spacing w:line="276" w:lineRule="auto"/>
              <w:contextualSpacing w:val="0"/>
              <w:jc w:val="both"/>
              <w:rPr>
                <w:rFonts w:ascii="Verdana" w:hAnsi="Verdana" w:cs="Arial"/>
              </w:rPr>
            </w:pPr>
            <w:r w:rsidRPr="00C21522">
              <w:rPr>
                <w:rFonts w:ascii="Verdana" w:eastAsia="Arial MT" w:hAnsi="Verdana" w:cs="Arial"/>
                <w:lang w:eastAsia="es-ES" w:bidi="es-ES"/>
              </w:rPr>
              <w:t xml:space="preserve">Consejo de Estado, Sala de Consulta y Servicio Civil de fecha 24 de julio de 2013, Rad. 2166, C. P. Álvaro Namén Vargas.  </w:t>
            </w:r>
          </w:p>
        </w:tc>
      </w:tr>
    </w:tbl>
    <w:p w14:paraId="48D63169" w14:textId="77777777" w:rsidR="001C6DCC" w:rsidRPr="00C21522" w:rsidRDefault="001C6DCC" w:rsidP="00C21522">
      <w:pPr>
        <w:widowControl w:val="0"/>
        <w:autoSpaceDE w:val="0"/>
        <w:autoSpaceDN w:val="0"/>
        <w:spacing w:after="0" w:line="276" w:lineRule="auto"/>
        <w:jc w:val="both"/>
        <w:rPr>
          <w:rFonts w:ascii="Verdana" w:hAnsi="Verdana" w:cs="Arial"/>
        </w:rPr>
      </w:pPr>
    </w:p>
    <w:p w14:paraId="5C325AAA" w14:textId="77777777" w:rsidR="001C6DCC" w:rsidRPr="00C21522" w:rsidRDefault="001C6DCC" w:rsidP="00C2152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21522">
        <w:rPr>
          <w:rFonts w:ascii="Verdana" w:eastAsia="Century Gothic" w:hAnsi="Verdana" w:cs="Century Gothic"/>
          <w:b/>
          <w:bCs/>
        </w:rPr>
        <w:t>Doctrina de la Agencia Nacional de Contratación Pública:</w:t>
      </w:r>
    </w:p>
    <w:p w14:paraId="12CD1D94" w14:textId="77777777" w:rsidR="001C6DCC" w:rsidRPr="00C21522" w:rsidRDefault="001C6DCC" w:rsidP="00C2152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1F466DE" w14:textId="77777777" w:rsidR="001C6DCC" w:rsidRPr="00C21522" w:rsidRDefault="001C6DCC" w:rsidP="00C21522">
      <w:pPr>
        <w:widowControl w:val="0"/>
        <w:autoSpaceDE w:val="0"/>
        <w:autoSpaceDN w:val="0"/>
        <w:spacing w:after="0" w:line="276" w:lineRule="auto"/>
        <w:jc w:val="both"/>
        <w:rPr>
          <w:rStyle w:val="normaltextrun"/>
          <w:rFonts w:ascii="Verdana" w:hAnsi="Verdana"/>
          <w:color w:val="FF0000"/>
          <w:shd w:val="clear" w:color="auto" w:fill="FFFFFF"/>
          <w:lang w:val="es-ES"/>
        </w:rPr>
      </w:pPr>
      <w:r w:rsidRPr="00C21522">
        <w:rPr>
          <w:rStyle w:val="normaltextrun"/>
          <w:rFonts w:ascii="Verdana" w:hAnsi="Verdana" w:cs="Arial"/>
          <w:shd w:val="clear" w:color="auto" w:fill="FFFFFF"/>
          <w:lang w:val="es-ES"/>
        </w:rPr>
        <w:t xml:space="preserve">Sobre la aplicación de la Ley de Garantías Electorales, esta Subdirección se ha pronunciado en los conceptos </w:t>
      </w:r>
      <w:r w:rsidRPr="00C21522">
        <w:rPr>
          <w:rFonts w:ascii="Verdana" w:hAnsi="Verdana" w:cs="Arial"/>
          <w:shd w:val="clear" w:color="auto" w:fill="FFFFFF"/>
          <w:lang w:val="es-ES"/>
        </w:rPr>
        <w:t xml:space="preserve">C-636 del 16 de noviembre de 2021, 681 del 7 de diciembre de 2021, C-686 del 21 de diciembre de 2021, C-697 del 3 de enero de 2022, </w:t>
      </w:r>
      <w:r w:rsidRPr="00C21522">
        <w:rPr>
          <w:rStyle w:val="normaltextrun"/>
          <w:rFonts w:ascii="Verdana" w:hAnsi="Verdana" w:cs="Arial"/>
          <w:shd w:val="clear" w:color="auto" w:fill="FFFFFF"/>
          <w:lang w:val="es-ES"/>
        </w:rPr>
        <w:t xml:space="preserve">C-329 del 24 de mayo de 2022, C-255 del 4 de julio de 2023, </w:t>
      </w:r>
      <w:r w:rsidRPr="00C21522">
        <w:rPr>
          <w:rFonts w:ascii="Verdana" w:hAnsi="Verdana" w:cs="Arial"/>
          <w:shd w:val="clear" w:color="auto" w:fill="FFFFFF"/>
          <w:lang w:val="es-ES"/>
        </w:rPr>
        <w:t>C-180 del 21 de marzo de 2025, C-317 del 25 de abril de 2025, C-510 del 4 de junio de 2025, C-856 del 11 de agosto de 2025 y C-1072 del 24 de diciembre de 2025, entre otros.</w:t>
      </w:r>
      <w:r w:rsidRPr="00C21522">
        <w:rPr>
          <w:rStyle w:val="normaltextrun"/>
          <w:rFonts w:ascii="Verdana" w:hAnsi="Verdana" w:cs="Arial"/>
          <w:shd w:val="clear" w:color="auto" w:fill="FFFFFF"/>
          <w:lang w:val="es-ES"/>
        </w:rPr>
        <w:t xml:space="preserve"> Es</w:t>
      </w:r>
      <w:r w:rsidRPr="00C21522">
        <w:rPr>
          <w:rFonts w:ascii="Verdana" w:hAnsi="Verdana"/>
        </w:rPr>
        <w:t>tos y otros conceptos se encuentran disponibles para consulta en el Sistema de relatoría de la Agencia, al cual se puede acceder a través del siguiente enlace:</w:t>
      </w:r>
      <w:r w:rsidRPr="00C21522">
        <w:rPr>
          <w:rStyle w:val="normaltextrun"/>
          <w:rFonts w:ascii="Verdana" w:hAnsi="Verdana" w:cs="Arial"/>
          <w:shd w:val="clear" w:color="auto" w:fill="FFFFFF"/>
          <w:lang w:val="es-ES"/>
        </w:rPr>
        <w:t xml:space="preserve"> </w:t>
      </w:r>
      <w:hyperlink r:id="rId12" w:history="1">
        <w:r w:rsidRPr="00C21522">
          <w:rPr>
            <w:rStyle w:val="Hipervnculo"/>
            <w:rFonts w:ascii="Verdana" w:hAnsi="Verdana" w:cs="Arial"/>
            <w:shd w:val="clear" w:color="auto" w:fill="FFFFFF"/>
            <w:lang w:val="es-ES"/>
          </w:rPr>
          <w:t>https://relatoria.colombiacompra.gov.co/busqueda/conceptos</w:t>
        </w:r>
      </w:hyperlink>
      <w:r w:rsidRPr="00C21522">
        <w:rPr>
          <w:rStyle w:val="normaltextrun"/>
          <w:rFonts w:ascii="Verdana" w:hAnsi="Verdana" w:cs="Arial"/>
          <w:color w:val="FF0000"/>
          <w:shd w:val="clear" w:color="auto" w:fill="FFFFFF"/>
          <w:lang w:val="es-ES"/>
        </w:rPr>
        <w:t xml:space="preserve">. </w:t>
      </w:r>
    </w:p>
    <w:p w14:paraId="781B4403" w14:textId="77777777" w:rsidR="001C6DCC" w:rsidRPr="00C21522" w:rsidRDefault="001C6DCC" w:rsidP="00C2152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90D2079" w14:textId="77777777" w:rsidR="001C6DCC" w:rsidRPr="00C21522" w:rsidRDefault="001C6DCC" w:rsidP="00B96E97">
      <w:pPr>
        <w:spacing w:after="0" w:line="276" w:lineRule="auto"/>
        <w:jc w:val="both"/>
        <w:rPr>
          <w:rFonts w:ascii="Verdana" w:hAnsi="Verdana"/>
        </w:rPr>
      </w:pPr>
      <w:r w:rsidRPr="00C21522">
        <w:rPr>
          <w:rFonts w:ascii="Verdana" w:hAnsi="Verdana"/>
        </w:rPr>
        <w:lastRenderedPageBreak/>
        <w:t xml:space="preserve">La sostenibilidad no es una opción, es una obligación. Por ello, la Agencia Nacional de Contratación Pública –Colombia Compra Eficiente– te invita a realizar el </w:t>
      </w:r>
      <w:r w:rsidRPr="00C21522">
        <w:rPr>
          <w:rFonts w:ascii="Verdana" w:hAnsi="Verdana"/>
          <w:b/>
          <w:bCs/>
        </w:rPr>
        <w:t>Curso de Contratación Pública Sostenible y Socialmente Responsable</w:t>
      </w:r>
      <w:r w:rsidRPr="00C21522">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21522">
        <w:rPr>
          <w:rFonts w:ascii="Verdana" w:hAnsi="Verdana"/>
        </w:rPr>
        <w:br/>
      </w:r>
      <w:hyperlink r:id="rId13" w:tgtFrame="_new" w:history="1">
        <w:r w:rsidRPr="00C21522">
          <w:rPr>
            <w:rStyle w:val="Hipervnculo"/>
            <w:rFonts w:ascii="Verdana" w:hAnsi="Verdana"/>
          </w:rPr>
          <w:t>https://formacionvirtual.colombiacompra.gov.co/mod/page/view.php?id=3718</w:t>
        </w:r>
      </w:hyperlink>
    </w:p>
    <w:p w14:paraId="642634D0" w14:textId="77777777" w:rsidR="00104FCB" w:rsidRDefault="00104FCB" w:rsidP="00C21522">
      <w:pPr>
        <w:spacing w:after="0" w:line="276" w:lineRule="auto"/>
        <w:jc w:val="both"/>
        <w:rPr>
          <w:rFonts w:ascii="Verdana" w:hAnsi="Verdana"/>
        </w:rPr>
      </w:pPr>
    </w:p>
    <w:p w14:paraId="17A3A5B0" w14:textId="7761206F" w:rsidR="001C6DCC" w:rsidRPr="00C21522" w:rsidRDefault="001C6DCC" w:rsidP="00B96E97">
      <w:pPr>
        <w:spacing w:after="0" w:line="276" w:lineRule="auto"/>
        <w:jc w:val="both"/>
        <w:rPr>
          <w:rFonts w:ascii="Verdana" w:hAnsi="Verdana"/>
        </w:rPr>
      </w:pPr>
      <w:r w:rsidRPr="00C21522">
        <w:rPr>
          <w:rFonts w:ascii="Verdana" w:hAnsi="Verdana"/>
        </w:rPr>
        <w:t xml:space="preserve">De otro lado, te contamos que esta Agencia ha dado un paso decisivo en la estandarización y modernización del </w:t>
      </w:r>
      <w:r w:rsidRPr="00C21522">
        <w:rPr>
          <w:rFonts w:ascii="Verdana" w:hAnsi="Verdana"/>
          <w:b/>
          <w:bCs/>
        </w:rPr>
        <w:t>sector social</w:t>
      </w:r>
      <w:r w:rsidRPr="00C21522">
        <w:rPr>
          <w:rFonts w:ascii="Verdana" w:hAnsi="Verdana"/>
        </w:rPr>
        <w:t xml:space="preserve"> con la expedición de las </w:t>
      </w:r>
      <w:r w:rsidRPr="00C21522">
        <w:rPr>
          <w:rFonts w:ascii="Verdana" w:hAnsi="Verdana"/>
          <w:b/>
          <w:bCs/>
        </w:rPr>
        <w:t>Resoluciones 539, 540, 541, 952 y 953 de 2025</w:t>
      </w:r>
      <w:r w:rsidRPr="00C21522">
        <w:rPr>
          <w:rFonts w:ascii="Verdana" w:hAnsi="Verdana"/>
        </w:rPr>
        <w:t xml:space="preserve">, </w:t>
      </w:r>
      <w:r w:rsidRPr="00C21522">
        <w:rPr>
          <w:rFonts w:ascii="Verdana" w:hAnsi="Verdana"/>
          <w:b/>
          <w:bCs/>
        </w:rPr>
        <w:t>mediante las cuales adoptó Documentos Tipo</w:t>
      </w:r>
      <w:r w:rsidRPr="00C21522">
        <w:rPr>
          <w:rFonts w:ascii="Verdana" w:hAnsi="Verdana"/>
        </w:rPr>
        <w:t xml:space="preserve"> para las modalidades de selección de</w:t>
      </w:r>
      <w:r w:rsidRPr="00C21522">
        <w:rPr>
          <w:rFonts w:ascii="Verdana" w:hAnsi="Verdana"/>
          <w:b/>
          <w:bCs/>
        </w:rPr>
        <w:t xml:space="preserve"> licitación pública (versión 2), selección abreviada de menor cuantía, mínima cuantía, consultoría e interventoría</w:t>
      </w:r>
      <w:r w:rsidRPr="00C21522">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C21522">
          <w:rPr>
            <w:rStyle w:val="Hipervnculo"/>
            <w:rFonts w:ascii="Verdana" w:hAnsi="Verdana"/>
          </w:rPr>
          <w:t>https://www.colombiacompra.gov.co/normativa-y-relatoria/documentos-tipo</w:t>
        </w:r>
      </w:hyperlink>
    </w:p>
    <w:p w14:paraId="7007109E" w14:textId="77777777" w:rsidR="00104FCB" w:rsidRDefault="00104FCB" w:rsidP="00C21522">
      <w:pPr>
        <w:spacing w:after="0" w:line="276" w:lineRule="auto"/>
        <w:jc w:val="both"/>
        <w:rPr>
          <w:rFonts w:ascii="Verdana" w:hAnsi="Verdana"/>
        </w:rPr>
      </w:pPr>
    </w:p>
    <w:p w14:paraId="7C1821B5" w14:textId="66554363" w:rsidR="001C6DCC" w:rsidRDefault="001C6DCC" w:rsidP="00C21522">
      <w:pPr>
        <w:spacing w:after="0" w:line="276" w:lineRule="auto"/>
        <w:jc w:val="both"/>
        <w:rPr>
          <w:rFonts w:ascii="Verdana" w:hAnsi="Verdana"/>
        </w:rPr>
      </w:pPr>
      <w:r w:rsidRPr="00C21522">
        <w:rPr>
          <w:rFonts w:ascii="Verdana" w:hAnsi="Verdana"/>
        </w:rPr>
        <w:t xml:space="preserve">Si quieres conocer más sobre la aplicación de Documentos Tipo puedes consultar la última versión de la </w:t>
      </w:r>
      <w:r w:rsidRPr="00C21522">
        <w:rPr>
          <w:rFonts w:ascii="Verdana" w:hAnsi="Verdana"/>
          <w:b/>
          <w:bCs/>
        </w:rPr>
        <w:t>Guía para la comprensión e implementación de los Documentos Tipo de obra pública de infraestructura de transporte</w:t>
      </w:r>
      <w:r w:rsidRPr="00C21522">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21522">
        <w:rPr>
          <w:rFonts w:ascii="Verdana" w:hAnsi="Verdana"/>
        </w:rPr>
        <w:br/>
      </w:r>
      <w:hyperlink r:id="rId15" w:tgtFrame="_new" w:history="1">
        <w:r w:rsidRPr="00C21522">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35486A62" w14:textId="77777777" w:rsidR="00104FCB" w:rsidRPr="00C21522" w:rsidRDefault="00104FCB" w:rsidP="00B96E97">
      <w:pPr>
        <w:spacing w:after="0" w:line="276" w:lineRule="auto"/>
        <w:jc w:val="both"/>
        <w:rPr>
          <w:rFonts w:ascii="Verdana" w:hAnsi="Verdana"/>
        </w:rPr>
      </w:pPr>
    </w:p>
    <w:p w14:paraId="44D2159D" w14:textId="77777777" w:rsidR="001C6DCC" w:rsidRPr="00C21522" w:rsidRDefault="001C6DCC" w:rsidP="00B96E97">
      <w:pPr>
        <w:spacing w:after="0" w:line="276" w:lineRule="auto"/>
        <w:jc w:val="both"/>
        <w:rPr>
          <w:rFonts w:ascii="Verdana" w:hAnsi="Verdana"/>
        </w:rPr>
      </w:pPr>
      <w:r w:rsidRPr="00C21522">
        <w:rPr>
          <w:rFonts w:ascii="Verdana" w:hAnsi="Verdana"/>
        </w:rPr>
        <w:t xml:space="preserve">Por último, lo invitamos a seguirnos en las redes sociales en las cuales se difunde información institucional: </w:t>
      </w:r>
    </w:p>
    <w:p w14:paraId="4A94016D" w14:textId="77777777" w:rsidR="001C6DCC" w:rsidRPr="00C21522" w:rsidRDefault="001C6DCC" w:rsidP="00B96E97">
      <w:pPr>
        <w:spacing w:after="0" w:line="276" w:lineRule="auto"/>
        <w:jc w:val="both"/>
        <w:rPr>
          <w:rFonts w:ascii="Verdana" w:hAnsi="Verdana"/>
        </w:rPr>
      </w:pPr>
    </w:p>
    <w:p w14:paraId="2B0780D3" w14:textId="77777777" w:rsidR="001C6DCC" w:rsidRPr="00C21522" w:rsidRDefault="001C6DCC" w:rsidP="00B96E97">
      <w:pPr>
        <w:spacing w:after="0" w:line="276" w:lineRule="auto"/>
        <w:jc w:val="both"/>
        <w:rPr>
          <w:rFonts w:ascii="Verdana" w:hAnsi="Verdana"/>
        </w:rPr>
      </w:pPr>
      <w:r w:rsidRPr="00C21522">
        <w:rPr>
          <w:rFonts w:ascii="Verdana" w:hAnsi="Verdana"/>
        </w:rPr>
        <w:t xml:space="preserve">Twitter: </w:t>
      </w:r>
      <w:r w:rsidRPr="00C21522">
        <w:rPr>
          <w:rStyle w:val="Hipervnculo"/>
          <w:rFonts w:ascii="Verdana" w:hAnsi="Verdana"/>
          <w:color w:val="4472C4" w:themeColor="accent1"/>
        </w:rPr>
        <w:t>@colombiacompra</w:t>
      </w:r>
      <w:r w:rsidRPr="00C21522">
        <w:rPr>
          <w:rFonts w:ascii="Verdana" w:hAnsi="Verdana"/>
          <w:color w:val="4472C4" w:themeColor="accent1"/>
        </w:rPr>
        <w:t xml:space="preserve"> </w:t>
      </w:r>
    </w:p>
    <w:p w14:paraId="59E5EA67" w14:textId="77777777" w:rsidR="001C6DCC" w:rsidRPr="00C21522" w:rsidRDefault="001C6DCC" w:rsidP="00B96E97">
      <w:pPr>
        <w:spacing w:after="0" w:line="276" w:lineRule="auto"/>
        <w:jc w:val="both"/>
        <w:rPr>
          <w:rFonts w:ascii="Verdana" w:hAnsi="Verdana"/>
        </w:rPr>
      </w:pPr>
      <w:r w:rsidRPr="00C21522">
        <w:rPr>
          <w:rFonts w:ascii="Verdana" w:hAnsi="Verdana"/>
        </w:rPr>
        <w:t xml:space="preserve">Facebook: </w:t>
      </w:r>
      <w:proofErr w:type="spellStart"/>
      <w:r w:rsidRPr="00C21522">
        <w:rPr>
          <w:rStyle w:val="Hipervnculo"/>
          <w:rFonts w:ascii="Verdana" w:hAnsi="Verdana"/>
          <w:color w:val="4472C4" w:themeColor="accent1"/>
        </w:rPr>
        <w:t>ColombiaCompraEficiente</w:t>
      </w:r>
      <w:proofErr w:type="spellEnd"/>
    </w:p>
    <w:p w14:paraId="645E63C2" w14:textId="77777777" w:rsidR="001C6DCC" w:rsidRPr="00C21522" w:rsidRDefault="001C6DCC" w:rsidP="00B96E97">
      <w:pPr>
        <w:spacing w:after="0" w:line="276" w:lineRule="auto"/>
        <w:jc w:val="both"/>
        <w:rPr>
          <w:rFonts w:ascii="Verdana" w:hAnsi="Verdana"/>
        </w:rPr>
      </w:pPr>
      <w:r w:rsidRPr="00C21522">
        <w:rPr>
          <w:rFonts w:ascii="Verdana" w:hAnsi="Verdana"/>
        </w:rPr>
        <w:t xml:space="preserve">LinkedIn: </w:t>
      </w:r>
      <w:r w:rsidRPr="00C21522">
        <w:rPr>
          <w:rStyle w:val="Hipervnculo"/>
          <w:rFonts w:ascii="Verdana" w:hAnsi="Verdana"/>
          <w:color w:val="4472C4" w:themeColor="accent1"/>
        </w:rPr>
        <w:t>Agencia Nacional de Contratación Pública - Colombia Compra Eficiente</w:t>
      </w:r>
      <w:r w:rsidRPr="00C21522">
        <w:rPr>
          <w:rFonts w:ascii="Verdana" w:hAnsi="Verdana"/>
          <w:color w:val="4472C4" w:themeColor="accent1"/>
        </w:rPr>
        <w:t xml:space="preserve"> </w:t>
      </w:r>
      <w:r w:rsidRPr="00C21522">
        <w:rPr>
          <w:rFonts w:ascii="Verdana" w:hAnsi="Verdana"/>
        </w:rPr>
        <w:t xml:space="preserve">Instagram: </w:t>
      </w:r>
      <w:r w:rsidRPr="00C21522">
        <w:rPr>
          <w:rStyle w:val="Hipervnculo"/>
          <w:rFonts w:ascii="Verdana" w:hAnsi="Verdana"/>
          <w:color w:val="4472C4" w:themeColor="accent1"/>
        </w:rPr>
        <w:t>@colombiacompraeficiente_cce</w:t>
      </w:r>
    </w:p>
    <w:p w14:paraId="1425EA5D" w14:textId="77777777" w:rsidR="001C6DCC" w:rsidRPr="00C21522" w:rsidRDefault="001C6DCC" w:rsidP="00C21522">
      <w:pPr>
        <w:widowControl w:val="0"/>
        <w:autoSpaceDE w:val="0"/>
        <w:autoSpaceDN w:val="0"/>
        <w:spacing w:after="0" w:line="276" w:lineRule="auto"/>
        <w:jc w:val="both"/>
        <w:rPr>
          <w:rFonts w:ascii="Verdana" w:hAnsi="Verdana" w:cs="Arial"/>
        </w:rPr>
      </w:pPr>
    </w:p>
    <w:p w14:paraId="0D9C9FF2" w14:textId="77777777" w:rsidR="001C6DCC" w:rsidRPr="00C21522" w:rsidRDefault="001C6DCC" w:rsidP="00C21522">
      <w:pPr>
        <w:widowControl w:val="0"/>
        <w:autoSpaceDE w:val="0"/>
        <w:autoSpaceDN w:val="0"/>
        <w:spacing w:after="0" w:line="276" w:lineRule="auto"/>
        <w:jc w:val="both"/>
        <w:rPr>
          <w:rFonts w:ascii="Verdana" w:hAnsi="Verdana" w:cs="Arial"/>
          <w:lang w:val="es-ES_tradnl"/>
        </w:rPr>
      </w:pPr>
      <w:r w:rsidRPr="00C21522">
        <w:rPr>
          <w:rFonts w:ascii="Verdana" w:hAnsi="Verdana" w:cs="Arial"/>
        </w:rPr>
        <w:t xml:space="preserve">Este concepto tiene el alcance previsto en el artículo 28 del Código de Procedimiento Administrativo y de lo Contencioso Administrativo </w:t>
      </w:r>
      <w:r w:rsidRPr="00C21522">
        <w:rPr>
          <w:rFonts w:ascii="Verdana" w:hAnsi="Verdana" w:cs="Arial"/>
          <w:lang w:val="es-ES_tradnl"/>
        </w:rPr>
        <w:t>y las expresiones aquí utilizadas con mayúscula inicial deben ser entendidas con el significado que les otorga el artículo 2.2.1.1.1.3.1. del Decreto 1082 de 2015.</w:t>
      </w:r>
    </w:p>
    <w:p w14:paraId="4CB0B632" w14:textId="77777777" w:rsidR="001C6DCC" w:rsidRPr="00C21522" w:rsidRDefault="001C6DCC" w:rsidP="00C21522">
      <w:pPr>
        <w:widowControl w:val="0"/>
        <w:autoSpaceDE w:val="0"/>
        <w:autoSpaceDN w:val="0"/>
        <w:spacing w:after="0" w:line="276" w:lineRule="auto"/>
        <w:jc w:val="both"/>
        <w:rPr>
          <w:rFonts w:ascii="Verdana" w:hAnsi="Verdana" w:cs="Arial"/>
        </w:rPr>
      </w:pPr>
    </w:p>
    <w:p w14:paraId="324A673E" w14:textId="77777777" w:rsidR="001C6DCC" w:rsidRPr="00C21522" w:rsidRDefault="001C6DCC" w:rsidP="00B96E97">
      <w:pPr>
        <w:spacing w:after="0" w:line="276" w:lineRule="auto"/>
        <w:rPr>
          <w:rFonts w:ascii="Verdana" w:hAnsi="Verdana" w:cs="Arial"/>
          <w:lang w:eastAsia="es-CO"/>
        </w:rPr>
      </w:pPr>
      <w:r w:rsidRPr="00C21522">
        <w:rPr>
          <w:rFonts w:ascii="Verdana" w:eastAsia="Times New Roman" w:hAnsi="Verdana" w:cs="Arial"/>
          <w:lang w:eastAsia="es-CO"/>
        </w:rPr>
        <w:t>Atentamente,</w:t>
      </w:r>
      <w:r w:rsidRPr="00C21522">
        <w:rPr>
          <w:rFonts w:ascii="Verdana" w:hAnsi="Verdana" w:cs="Arial"/>
          <w:lang w:eastAsia="es-CO"/>
        </w:rPr>
        <w:t xml:space="preserve"> </w:t>
      </w:r>
    </w:p>
    <w:p w14:paraId="3D2E5D30" w14:textId="0F65C431" w:rsidR="001A5C53" w:rsidRPr="00593A5F" w:rsidRDefault="000B56AF" w:rsidP="00B96E97">
      <w:pPr>
        <w:spacing w:line="276" w:lineRule="auto"/>
        <w:jc w:val="center"/>
        <w:rPr>
          <w:rFonts w:ascii="Verdana" w:hAnsi="Verdana" w:cs="Arial"/>
          <w:color w:val="000000"/>
          <w:lang w:val="es-ES_tradnl" w:eastAsia="es-CO"/>
        </w:rPr>
      </w:pPr>
      <w:r w:rsidRPr="004D5C25">
        <w:rPr>
          <w:rFonts w:ascii="Century Gothic" w:hAnsi="Century Gothic"/>
          <w:noProof/>
        </w:rPr>
        <w:drawing>
          <wp:inline distT="0" distB="0" distL="0" distR="0" wp14:anchorId="4E2437EF" wp14:editId="5E82A523">
            <wp:extent cx="3385733" cy="1453515"/>
            <wp:effectExtent l="0" t="0" r="571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394701" cy="1457365"/>
                    </a:xfrm>
                    <a:prstGeom prst="rect">
                      <a:avLst/>
                    </a:prstGeom>
                  </pic:spPr>
                </pic:pic>
              </a:graphicData>
            </a:graphic>
          </wp:inline>
        </w:drawing>
      </w:r>
    </w:p>
    <w:tbl>
      <w:tblPr>
        <w:tblStyle w:val="Tablaconcuadrcula"/>
        <w:tblW w:w="6521" w:type="dxa"/>
        <w:tblLook w:val="04A0" w:firstRow="1" w:lastRow="0" w:firstColumn="1" w:lastColumn="0" w:noHBand="0" w:noVBand="1"/>
      </w:tblPr>
      <w:tblGrid>
        <w:gridCol w:w="893"/>
        <w:gridCol w:w="5628"/>
      </w:tblGrid>
      <w:tr w:rsidR="001C6DCC" w:rsidRPr="00D37EBD" w14:paraId="5E3268D6" w14:textId="77777777" w:rsidTr="0031322D">
        <w:trPr>
          <w:trHeight w:val="315"/>
        </w:trPr>
        <w:tc>
          <w:tcPr>
            <w:tcW w:w="893" w:type="dxa"/>
            <w:tcBorders>
              <w:top w:val="nil"/>
              <w:left w:val="nil"/>
              <w:bottom w:val="nil"/>
              <w:right w:val="nil"/>
            </w:tcBorders>
            <w:vAlign w:val="center"/>
            <w:hideMark/>
          </w:tcPr>
          <w:p w14:paraId="637350E5" w14:textId="77777777" w:rsidR="001C6DCC" w:rsidRPr="00D37EBD" w:rsidRDefault="001C6DCC" w:rsidP="0031322D">
            <w:pPr>
              <w:spacing w:line="276" w:lineRule="auto"/>
              <w:contextualSpacing/>
              <w:rPr>
                <w:rFonts w:ascii="Verdana" w:hAnsi="Verdana" w:cs="Arial"/>
                <w:sz w:val="16"/>
                <w:szCs w:val="16"/>
                <w:lang w:val="es-ES" w:eastAsia="es-ES"/>
              </w:rPr>
            </w:pPr>
            <w:r w:rsidRPr="00D37EBD">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9F3533B" w14:textId="77777777" w:rsidR="001C6DCC" w:rsidRPr="00D37EBD" w:rsidRDefault="001C6DCC" w:rsidP="0031322D">
            <w:pPr>
              <w:spacing w:line="276" w:lineRule="auto"/>
              <w:contextualSpacing/>
              <w:rPr>
                <w:rStyle w:val="normaltextrun"/>
                <w:rFonts w:ascii="Verdana" w:eastAsia="Arial" w:hAnsi="Verdana" w:cs="Arial"/>
                <w:sz w:val="16"/>
                <w:szCs w:val="16"/>
              </w:rPr>
            </w:pPr>
            <w:r w:rsidRPr="00D37EBD">
              <w:rPr>
                <w:rStyle w:val="normaltextrun"/>
                <w:rFonts w:ascii="Verdana" w:eastAsia="Arial" w:hAnsi="Verdana" w:cs="Arial"/>
                <w:sz w:val="16"/>
                <w:szCs w:val="16"/>
              </w:rPr>
              <w:t>Andrea del Pilar Garzón Sánchez.</w:t>
            </w:r>
          </w:p>
          <w:p w14:paraId="66CCE9CE" w14:textId="77777777" w:rsidR="001C6DCC" w:rsidRPr="00D37EBD" w:rsidRDefault="001C6DCC" w:rsidP="0031322D">
            <w:pPr>
              <w:spacing w:line="276" w:lineRule="auto"/>
              <w:contextualSpacing/>
              <w:rPr>
                <w:rFonts w:ascii="Verdana" w:eastAsia="Arial" w:hAnsi="Verdana" w:cs="Arial"/>
                <w:color w:val="7030A0"/>
                <w:sz w:val="16"/>
                <w:szCs w:val="16"/>
              </w:rPr>
            </w:pPr>
            <w:r w:rsidRPr="00D37EBD">
              <w:rPr>
                <w:rStyle w:val="normaltextrun"/>
                <w:rFonts w:ascii="Verdana" w:eastAsia="Arial" w:hAnsi="Verdana" w:cs="Arial"/>
                <w:sz w:val="16"/>
                <w:szCs w:val="16"/>
              </w:rPr>
              <w:t>Contratista de la Subdirección de Gestión Contractual</w:t>
            </w:r>
          </w:p>
        </w:tc>
      </w:tr>
      <w:tr w:rsidR="001C6DCC" w:rsidRPr="00D37EBD" w14:paraId="6AE0BDFD" w14:textId="77777777" w:rsidTr="0031322D">
        <w:trPr>
          <w:trHeight w:val="330"/>
        </w:trPr>
        <w:tc>
          <w:tcPr>
            <w:tcW w:w="893" w:type="dxa"/>
            <w:tcBorders>
              <w:top w:val="nil"/>
              <w:left w:val="nil"/>
              <w:bottom w:val="nil"/>
              <w:right w:val="nil"/>
            </w:tcBorders>
            <w:vAlign w:val="center"/>
            <w:hideMark/>
          </w:tcPr>
          <w:p w14:paraId="4EECD440" w14:textId="77777777" w:rsidR="001C6DCC" w:rsidRPr="00D37EBD" w:rsidRDefault="001C6DCC" w:rsidP="0031322D">
            <w:pPr>
              <w:spacing w:line="276" w:lineRule="auto"/>
              <w:contextualSpacing/>
              <w:rPr>
                <w:rFonts w:ascii="Verdana" w:hAnsi="Verdana" w:cs="Arial"/>
                <w:sz w:val="16"/>
                <w:szCs w:val="16"/>
                <w:lang w:val="es-ES" w:eastAsia="es-ES"/>
              </w:rPr>
            </w:pPr>
            <w:r w:rsidRPr="00D37EBD">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E97746A" w14:textId="77777777" w:rsidR="001C6DCC" w:rsidRPr="00D37EBD" w:rsidRDefault="001C6DCC" w:rsidP="0031322D">
            <w:pPr>
              <w:pStyle w:val="paragraph"/>
              <w:spacing w:before="0" w:beforeAutospacing="0" w:after="0" w:afterAutospacing="0" w:line="276" w:lineRule="auto"/>
              <w:contextualSpacing/>
              <w:textAlignment w:val="baseline"/>
              <w:rPr>
                <w:rStyle w:val="normaltextrun"/>
                <w:rFonts w:ascii="Verdana" w:hAnsi="Verdana" w:cs="Arial"/>
                <w:sz w:val="16"/>
                <w:szCs w:val="16"/>
                <w:lang w:val="es-ES"/>
              </w:rPr>
            </w:pPr>
            <w:r w:rsidRPr="00D37EBD">
              <w:rPr>
                <w:rStyle w:val="normaltextrun"/>
                <w:rFonts w:ascii="Verdana" w:hAnsi="Verdana" w:cs="Arial"/>
                <w:sz w:val="16"/>
                <w:szCs w:val="16"/>
                <w:lang w:val="es-ES"/>
              </w:rPr>
              <w:t xml:space="preserve">Diana Lucia Saavedra </w:t>
            </w:r>
          </w:p>
          <w:p w14:paraId="4359E631" w14:textId="77777777" w:rsidR="001C6DCC" w:rsidRPr="00D37EBD" w:rsidRDefault="001C6DCC" w:rsidP="0031322D">
            <w:pPr>
              <w:pStyle w:val="paragraph"/>
              <w:spacing w:before="0" w:beforeAutospacing="0" w:after="0" w:afterAutospacing="0" w:line="276" w:lineRule="auto"/>
              <w:contextualSpacing/>
              <w:textAlignment w:val="baseline"/>
              <w:rPr>
                <w:rFonts w:ascii="Verdana" w:hAnsi="Verdana" w:cs="Segoe UI"/>
                <w:sz w:val="16"/>
                <w:szCs w:val="16"/>
              </w:rPr>
            </w:pPr>
            <w:r w:rsidRPr="00D37EBD">
              <w:rPr>
                <w:rStyle w:val="normaltextrun"/>
                <w:rFonts w:ascii="Verdana" w:hAnsi="Verdana" w:cs="Arial"/>
                <w:sz w:val="16"/>
                <w:szCs w:val="16"/>
                <w:lang w:val="es-ES"/>
              </w:rPr>
              <w:t>Contratista de la Subdirección de Gestión Contractual</w:t>
            </w:r>
            <w:r w:rsidRPr="00D37EBD">
              <w:rPr>
                <w:rStyle w:val="eop"/>
                <w:rFonts w:ascii="Verdana" w:hAnsi="Verdana" w:cs="Arial"/>
                <w:sz w:val="16"/>
                <w:szCs w:val="16"/>
              </w:rPr>
              <w:t> </w:t>
            </w:r>
          </w:p>
        </w:tc>
      </w:tr>
      <w:tr w:rsidR="001C6DCC" w:rsidRPr="00D37EBD" w14:paraId="63993D78" w14:textId="77777777" w:rsidTr="0031322D">
        <w:trPr>
          <w:trHeight w:val="300"/>
        </w:trPr>
        <w:tc>
          <w:tcPr>
            <w:tcW w:w="893" w:type="dxa"/>
            <w:tcBorders>
              <w:top w:val="nil"/>
              <w:left w:val="nil"/>
              <w:bottom w:val="nil"/>
              <w:right w:val="nil"/>
            </w:tcBorders>
            <w:vAlign w:val="center"/>
          </w:tcPr>
          <w:p w14:paraId="4AE58B18" w14:textId="77777777" w:rsidR="001C6DCC" w:rsidRPr="00D37EBD" w:rsidRDefault="001C6DCC" w:rsidP="0031322D">
            <w:pPr>
              <w:spacing w:line="276" w:lineRule="auto"/>
              <w:contextualSpacing/>
              <w:rPr>
                <w:rFonts w:ascii="Verdana" w:hAnsi="Verdana" w:cs="Arial"/>
                <w:sz w:val="16"/>
                <w:szCs w:val="16"/>
                <w:lang w:val="es-ES" w:eastAsia="es-ES"/>
              </w:rPr>
            </w:pPr>
            <w:r w:rsidRPr="00D37EBD">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315FF0B" w14:textId="77777777" w:rsidR="001C6DCC" w:rsidRPr="00D37EBD" w:rsidRDefault="001C6DCC" w:rsidP="0031322D">
            <w:pPr>
              <w:spacing w:line="276" w:lineRule="auto"/>
              <w:contextualSpacing/>
              <w:rPr>
                <w:rFonts w:ascii="Verdana" w:eastAsia="Calibri" w:hAnsi="Verdana" w:cs="Arial"/>
                <w:sz w:val="16"/>
                <w:szCs w:val="16"/>
                <w:lang w:val="pt-BR" w:eastAsia="es-ES"/>
              </w:rPr>
            </w:pPr>
            <w:r w:rsidRPr="00D37EBD">
              <w:rPr>
                <w:rFonts w:ascii="Verdana" w:eastAsia="Calibri" w:hAnsi="Verdana" w:cs="Arial"/>
                <w:sz w:val="16"/>
                <w:szCs w:val="16"/>
                <w:lang w:val="pt-BR" w:eastAsia="es-ES"/>
              </w:rPr>
              <w:t xml:space="preserve">Carolina Quintero </w:t>
            </w:r>
            <w:proofErr w:type="spellStart"/>
            <w:r w:rsidRPr="00D37EBD">
              <w:rPr>
                <w:rFonts w:ascii="Verdana" w:eastAsia="Calibri" w:hAnsi="Verdana" w:cs="Arial"/>
                <w:sz w:val="16"/>
                <w:szCs w:val="16"/>
                <w:lang w:val="pt-BR" w:eastAsia="es-ES"/>
              </w:rPr>
              <w:t>Gacharná</w:t>
            </w:r>
            <w:proofErr w:type="spellEnd"/>
          </w:p>
          <w:p w14:paraId="5DE63557" w14:textId="77777777" w:rsidR="001C6DCC" w:rsidRPr="00D37EBD" w:rsidRDefault="001C6DCC" w:rsidP="0031322D">
            <w:pPr>
              <w:spacing w:line="276" w:lineRule="auto"/>
              <w:contextualSpacing/>
              <w:rPr>
                <w:rFonts w:ascii="Verdana" w:eastAsia="Calibri" w:hAnsi="Verdana" w:cs="Arial"/>
                <w:sz w:val="16"/>
                <w:szCs w:val="16"/>
                <w:lang w:val="pt-BR" w:eastAsia="es-ES"/>
              </w:rPr>
            </w:pPr>
            <w:r w:rsidRPr="00D37EBD">
              <w:rPr>
                <w:rFonts w:ascii="Verdana" w:eastAsia="Calibri" w:hAnsi="Verdana" w:cs="Arial"/>
                <w:sz w:val="16"/>
                <w:szCs w:val="16"/>
                <w:lang w:eastAsia="es-ES"/>
              </w:rPr>
              <w:t>Subdirectora</w:t>
            </w:r>
            <w:r w:rsidRPr="00D37EBD">
              <w:rPr>
                <w:rFonts w:ascii="Verdana" w:eastAsia="Calibri" w:hAnsi="Verdana" w:cs="Arial"/>
                <w:sz w:val="16"/>
                <w:szCs w:val="16"/>
                <w:lang w:val="pt-BR" w:eastAsia="es-ES"/>
              </w:rPr>
              <w:t xml:space="preserve"> de Gestión </w:t>
            </w:r>
            <w:proofErr w:type="spellStart"/>
            <w:r w:rsidRPr="00D37EBD">
              <w:rPr>
                <w:rFonts w:ascii="Verdana" w:eastAsia="Calibri" w:hAnsi="Verdana" w:cs="Arial"/>
                <w:sz w:val="16"/>
                <w:szCs w:val="16"/>
                <w:lang w:val="pt-BR" w:eastAsia="es-ES"/>
              </w:rPr>
              <w:t>Contractual</w:t>
            </w:r>
            <w:proofErr w:type="spellEnd"/>
            <w:r w:rsidRPr="00D37EBD">
              <w:rPr>
                <w:rFonts w:ascii="Verdana" w:eastAsia="Calibri" w:hAnsi="Verdana" w:cs="Arial"/>
                <w:sz w:val="16"/>
                <w:szCs w:val="16"/>
                <w:lang w:val="pt-BR" w:eastAsia="es-ES"/>
              </w:rPr>
              <w:t xml:space="preserve"> ANCP – CCE</w:t>
            </w:r>
          </w:p>
        </w:tc>
      </w:tr>
    </w:tbl>
    <w:p w14:paraId="08D80FE5" w14:textId="77777777" w:rsidR="001C6DCC" w:rsidRPr="00593A5F" w:rsidRDefault="001C6DCC" w:rsidP="001C6DCC">
      <w:pPr>
        <w:spacing w:after="0" w:line="240" w:lineRule="auto"/>
        <w:rPr>
          <w:rFonts w:ascii="Verdana" w:eastAsia="Times New Roman" w:hAnsi="Verdana" w:cs="Arial"/>
          <w:sz w:val="24"/>
          <w:szCs w:val="24"/>
          <w:lang w:eastAsia="es-ES"/>
        </w:rPr>
      </w:pPr>
    </w:p>
    <w:p w14:paraId="63E67BDC" w14:textId="1E09D4DB" w:rsidR="001C6DCC" w:rsidRPr="00871B59" w:rsidRDefault="001C6DCC" w:rsidP="001C6DCC"/>
    <w:p w14:paraId="1C2AA58E" w14:textId="77777777" w:rsidR="001C6DCC" w:rsidRPr="00593A5F" w:rsidRDefault="001C6DCC" w:rsidP="001C6DCC">
      <w:pPr>
        <w:spacing w:after="0" w:line="240" w:lineRule="auto"/>
        <w:rPr>
          <w:rFonts w:ascii="Verdana" w:eastAsia="Times New Roman" w:hAnsi="Verdana" w:cs="Arial"/>
          <w:sz w:val="24"/>
          <w:szCs w:val="24"/>
          <w:lang w:eastAsia="es-ES"/>
        </w:rPr>
      </w:pPr>
    </w:p>
    <w:p w14:paraId="2B1DEB04" w14:textId="77777777" w:rsidR="001C6DCC" w:rsidRPr="00871B59" w:rsidRDefault="001C6DCC" w:rsidP="001C6DCC"/>
    <w:p w14:paraId="12443EE0" w14:textId="77777777" w:rsidR="00C15139" w:rsidRPr="0024624F" w:rsidRDefault="00C15139" w:rsidP="30821638">
      <w:pPr>
        <w:spacing w:after="0"/>
        <w:rPr>
          <w:rFonts w:ascii="Verdana" w:eastAsia="Verdana" w:hAnsi="Verdana" w:cs="Verdana"/>
        </w:rPr>
      </w:pPr>
    </w:p>
    <w:p w14:paraId="3B27AFCD" w14:textId="77777777" w:rsidR="002A0DD0" w:rsidRPr="00E02524" w:rsidRDefault="002A0DD0" w:rsidP="30821638">
      <w:pPr>
        <w:spacing w:after="0" w:line="240" w:lineRule="auto"/>
        <w:jc w:val="both"/>
        <w:rPr>
          <w:rFonts w:ascii="Verdana" w:eastAsia="Verdana" w:hAnsi="Verdana" w:cs="Verdana"/>
          <w:b/>
          <w:bCs/>
          <w:lang w:val="es-MX"/>
        </w:rPr>
      </w:pPr>
    </w:p>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7CCDA3E9"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34FDB2" w14:textId="77777777" w:rsidR="0015346F" w:rsidRDefault="0015346F" w:rsidP="004A1847">
      <w:pPr>
        <w:spacing w:after="0" w:line="240" w:lineRule="auto"/>
      </w:pPr>
      <w:r>
        <w:separator/>
      </w:r>
    </w:p>
  </w:endnote>
  <w:endnote w:type="continuationSeparator" w:id="0">
    <w:p w14:paraId="696446C8" w14:textId="77777777" w:rsidR="0015346F" w:rsidRDefault="0015346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BCDHEE+Verdana">
    <w:altName w:val="Verdana"/>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045123" w14:textId="77777777" w:rsidR="0015346F" w:rsidRDefault="0015346F" w:rsidP="004A1847">
      <w:pPr>
        <w:spacing w:after="0" w:line="240" w:lineRule="auto"/>
      </w:pPr>
      <w:r>
        <w:separator/>
      </w:r>
    </w:p>
  </w:footnote>
  <w:footnote w:type="continuationSeparator" w:id="0">
    <w:p w14:paraId="5D94B1D0" w14:textId="77777777" w:rsidR="0015346F" w:rsidRDefault="0015346F" w:rsidP="004A1847">
      <w:pPr>
        <w:spacing w:after="0" w:line="240" w:lineRule="auto"/>
      </w:pPr>
      <w:r>
        <w:continuationSeparator/>
      </w:r>
    </w:p>
  </w:footnote>
  <w:footnote w:id="1">
    <w:p w14:paraId="0AF0B099" w14:textId="77777777" w:rsidR="001C6DCC" w:rsidRPr="00104FCB" w:rsidRDefault="001C6DCC" w:rsidP="00104FCB">
      <w:pPr>
        <w:pStyle w:val="Textonotapie"/>
        <w:ind w:firstLine="709"/>
        <w:jc w:val="both"/>
        <w:rPr>
          <w:rFonts w:ascii="Verdana" w:hAnsi="Verdana" w:cs="Arial"/>
          <w:sz w:val="16"/>
          <w:szCs w:val="16"/>
        </w:rPr>
      </w:pPr>
      <w:r w:rsidRPr="00104FCB">
        <w:rPr>
          <w:rStyle w:val="Refdenotaalpie"/>
          <w:rFonts w:ascii="Verdana" w:hAnsi="Verdana" w:cs="Arial"/>
          <w:sz w:val="16"/>
          <w:szCs w:val="16"/>
        </w:rPr>
        <w:footnoteRef/>
      </w:r>
      <w:r w:rsidRPr="00104FCB">
        <w:rPr>
          <w:rFonts w:ascii="Verdana" w:hAnsi="Verdana" w:cs="Arial"/>
          <w:sz w:val="16"/>
          <w:szCs w:val="16"/>
        </w:rPr>
        <w:t xml:space="preserve"> Gaceta del Congreso de la República No. 71 del 2005.</w:t>
      </w:r>
    </w:p>
    <w:p w14:paraId="4EB39720" w14:textId="77777777" w:rsidR="001C6DCC" w:rsidRPr="00104FCB" w:rsidRDefault="001C6DCC" w:rsidP="00104FCB">
      <w:pPr>
        <w:pStyle w:val="Textonotapie"/>
        <w:ind w:firstLine="709"/>
        <w:jc w:val="both"/>
        <w:rPr>
          <w:rFonts w:ascii="Verdana" w:hAnsi="Verdana" w:cs="Arial"/>
          <w:sz w:val="16"/>
          <w:szCs w:val="16"/>
        </w:rPr>
      </w:pPr>
    </w:p>
  </w:footnote>
  <w:footnote w:id="2">
    <w:p w14:paraId="5AB993A5" w14:textId="77777777" w:rsidR="001C6DCC" w:rsidRPr="00104FCB" w:rsidRDefault="001C6DCC" w:rsidP="00104FCB">
      <w:pPr>
        <w:pStyle w:val="Textonotapie"/>
        <w:ind w:firstLine="709"/>
        <w:jc w:val="both"/>
        <w:rPr>
          <w:rFonts w:ascii="Verdana" w:hAnsi="Verdana" w:cs="Arial"/>
          <w:sz w:val="16"/>
          <w:szCs w:val="16"/>
          <w:lang w:val="pt-BR"/>
        </w:rPr>
      </w:pPr>
      <w:r w:rsidRPr="00104FCB">
        <w:rPr>
          <w:rStyle w:val="Refdenotaalpie"/>
          <w:rFonts w:ascii="Verdana" w:hAnsi="Verdana" w:cs="Arial"/>
          <w:sz w:val="16"/>
          <w:szCs w:val="16"/>
        </w:rPr>
        <w:footnoteRef/>
      </w:r>
      <w:r w:rsidRPr="00104FCB">
        <w:rPr>
          <w:rFonts w:ascii="Verdana" w:hAnsi="Verdana" w:cs="Arial"/>
          <w:sz w:val="16"/>
          <w:szCs w:val="16"/>
          <w:lang w:val="pt-BR"/>
        </w:rPr>
        <w:t xml:space="preserve"> Corte Constitucional, Sentencia C- 1153 de 2005, M.P. Marco Gerardo </w:t>
      </w:r>
      <w:proofErr w:type="spellStart"/>
      <w:r w:rsidRPr="00104FCB">
        <w:rPr>
          <w:rFonts w:ascii="Verdana" w:hAnsi="Verdana" w:cs="Arial"/>
          <w:sz w:val="16"/>
          <w:szCs w:val="16"/>
          <w:lang w:val="pt-BR"/>
        </w:rPr>
        <w:t>Monroy</w:t>
      </w:r>
      <w:proofErr w:type="spellEnd"/>
      <w:r w:rsidRPr="00104FCB">
        <w:rPr>
          <w:rFonts w:ascii="Verdana" w:hAnsi="Verdana" w:cs="Arial"/>
          <w:sz w:val="16"/>
          <w:szCs w:val="16"/>
          <w:lang w:val="pt-BR"/>
        </w:rPr>
        <w:t xml:space="preserve"> Cabra.</w:t>
      </w:r>
    </w:p>
    <w:p w14:paraId="1849151C" w14:textId="77777777" w:rsidR="00104FCB" w:rsidRPr="00104FCB" w:rsidRDefault="00104FCB" w:rsidP="00104FCB">
      <w:pPr>
        <w:pStyle w:val="Textonotapie"/>
        <w:ind w:firstLine="709"/>
        <w:jc w:val="both"/>
        <w:rPr>
          <w:rFonts w:ascii="Verdana" w:hAnsi="Verdana" w:cs="Arial"/>
          <w:sz w:val="16"/>
          <w:szCs w:val="16"/>
          <w:lang w:val="pt-BR"/>
        </w:rPr>
      </w:pPr>
    </w:p>
  </w:footnote>
  <w:footnote w:id="3">
    <w:p w14:paraId="1C6205CC" w14:textId="77777777" w:rsidR="001C6DCC" w:rsidRPr="00104FCB" w:rsidRDefault="001C6DCC" w:rsidP="00104FCB">
      <w:pPr>
        <w:pStyle w:val="Textonotapie"/>
        <w:ind w:firstLine="709"/>
        <w:jc w:val="both"/>
        <w:rPr>
          <w:rFonts w:ascii="Verdana" w:hAnsi="Verdana" w:cs="Arial"/>
          <w:sz w:val="16"/>
          <w:szCs w:val="16"/>
          <w:lang w:val="pt-BR"/>
        </w:rPr>
      </w:pPr>
      <w:r w:rsidRPr="00104FCB">
        <w:rPr>
          <w:rStyle w:val="Refdenotaalpie"/>
          <w:rFonts w:ascii="Verdana" w:hAnsi="Verdana" w:cs="Arial"/>
          <w:sz w:val="16"/>
          <w:szCs w:val="16"/>
        </w:rPr>
        <w:footnoteRef/>
      </w:r>
      <w:r w:rsidRPr="00104FCB">
        <w:rPr>
          <w:rFonts w:ascii="Verdana" w:hAnsi="Verdana" w:cs="Arial"/>
          <w:sz w:val="16"/>
          <w:szCs w:val="16"/>
          <w:lang w:val="pt-BR"/>
        </w:rPr>
        <w:t xml:space="preserve"> Corte Constitucional. Sentencias: C-233 de 4 de abril de 2002, expediente: D-3704; C-551 de 9 de </w:t>
      </w:r>
      <w:proofErr w:type="spellStart"/>
      <w:r w:rsidRPr="00104FCB">
        <w:rPr>
          <w:rFonts w:ascii="Verdana" w:hAnsi="Verdana" w:cs="Arial"/>
          <w:sz w:val="16"/>
          <w:szCs w:val="16"/>
          <w:lang w:val="pt-BR"/>
        </w:rPr>
        <w:t>julio</w:t>
      </w:r>
      <w:proofErr w:type="spellEnd"/>
      <w:r w:rsidRPr="00104FCB">
        <w:rPr>
          <w:rFonts w:ascii="Verdana" w:hAnsi="Verdana" w:cs="Arial"/>
          <w:sz w:val="16"/>
          <w:szCs w:val="16"/>
          <w:lang w:val="pt-BR"/>
        </w:rPr>
        <w:t xml:space="preserve"> de 2003, expediente: CRF-001 de 9 de </w:t>
      </w:r>
      <w:proofErr w:type="spellStart"/>
      <w:r w:rsidRPr="00104FCB">
        <w:rPr>
          <w:rFonts w:ascii="Verdana" w:hAnsi="Verdana" w:cs="Arial"/>
          <w:sz w:val="16"/>
          <w:szCs w:val="16"/>
          <w:lang w:val="pt-BR"/>
        </w:rPr>
        <w:t>julio</w:t>
      </w:r>
      <w:proofErr w:type="spellEnd"/>
      <w:r w:rsidRPr="00104FCB">
        <w:rPr>
          <w:rFonts w:ascii="Verdana" w:hAnsi="Verdana" w:cs="Arial"/>
          <w:sz w:val="16"/>
          <w:szCs w:val="16"/>
          <w:lang w:val="pt-BR"/>
        </w:rPr>
        <w:t xml:space="preserve"> de 2003; C-652 de 5 de agosto de 2003, expediente: D-4330; C-353 de 20 de </w:t>
      </w:r>
      <w:proofErr w:type="spellStart"/>
      <w:r w:rsidRPr="00104FCB">
        <w:rPr>
          <w:rFonts w:ascii="Verdana" w:hAnsi="Verdana" w:cs="Arial"/>
          <w:sz w:val="16"/>
          <w:szCs w:val="16"/>
          <w:lang w:val="pt-BR"/>
        </w:rPr>
        <w:t>mayo</w:t>
      </w:r>
      <w:proofErr w:type="spellEnd"/>
      <w:r w:rsidRPr="00104FCB">
        <w:rPr>
          <w:rFonts w:ascii="Verdana" w:hAnsi="Verdana" w:cs="Arial"/>
          <w:sz w:val="16"/>
          <w:szCs w:val="16"/>
          <w:lang w:val="pt-BR"/>
        </w:rPr>
        <w:t xml:space="preserve"> de 2009, expediente: D-7518, C-541 de 30 de </w:t>
      </w:r>
      <w:proofErr w:type="spellStart"/>
      <w:r w:rsidRPr="00104FCB">
        <w:rPr>
          <w:rFonts w:ascii="Verdana" w:hAnsi="Verdana" w:cs="Arial"/>
          <w:sz w:val="16"/>
          <w:szCs w:val="16"/>
          <w:lang w:val="pt-BR"/>
        </w:rPr>
        <w:t>junio</w:t>
      </w:r>
      <w:proofErr w:type="spellEnd"/>
      <w:r w:rsidRPr="00104FCB">
        <w:rPr>
          <w:rFonts w:ascii="Verdana" w:hAnsi="Verdana" w:cs="Arial"/>
          <w:sz w:val="16"/>
          <w:szCs w:val="16"/>
          <w:lang w:val="pt-BR"/>
        </w:rPr>
        <w:t xml:space="preserve"> de 2010, expediente: DD7966; entre </w:t>
      </w:r>
      <w:proofErr w:type="spellStart"/>
      <w:r w:rsidRPr="00104FCB">
        <w:rPr>
          <w:rFonts w:ascii="Verdana" w:hAnsi="Verdana" w:cs="Arial"/>
          <w:sz w:val="16"/>
          <w:szCs w:val="16"/>
          <w:lang w:val="pt-BR"/>
        </w:rPr>
        <w:t>otras</w:t>
      </w:r>
      <w:proofErr w:type="spellEnd"/>
      <w:r w:rsidRPr="00104FCB">
        <w:rPr>
          <w:rFonts w:ascii="Verdana" w:hAnsi="Verdana" w:cs="Arial"/>
          <w:sz w:val="16"/>
          <w:szCs w:val="16"/>
          <w:lang w:val="pt-BR"/>
        </w:rPr>
        <w:t>.</w:t>
      </w:r>
    </w:p>
    <w:p w14:paraId="4A11FE2B" w14:textId="77777777" w:rsidR="00104FCB" w:rsidRPr="00104FCB" w:rsidRDefault="00104FCB" w:rsidP="00104FCB">
      <w:pPr>
        <w:pStyle w:val="Textonotapie"/>
        <w:ind w:firstLine="709"/>
        <w:jc w:val="both"/>
        <w:rPr>
          <w:rFonts w:ascii="Verdana" w:hAnsi="Verdana" w:cs="Arial"/>
          <w:sz w:val="16"/>
          <w:szCs w:val="16"/>
          <w:lang w:val="pt-BR"/>
        </w:rPr>
      </w:pPr>
    </w:p>
  </w:footnote>
  <w:footnote w:id="4">
    <w:p w14:paraId="77852950" w14:textId="77777777" w:rsidR="001C6DCC" w:rsidRPr="00104FCB" w:rsidRDefault="001C6DCC" w:rsidP="00104FCB">
      <w:pPr>
        <w:pStyle w:val="Textonotapie"/>
        <w:ind w:firstLine="709"/>
        <w:jc w:val="both"/>
        <w:rPr>
          <w:rFonts w:ascii="Verdana" w:hAnsi="Verdana" w:cs="Arial"/>
          <w:sz w:val="16"/>
          <w:szCs w:val="16"/>
          <w:lang w:val="es-CO"/>
        </w:rPr>
      </w:pPr>
      <w:r w:rsidRPr="00104FCB">
        <w:rPr>
          <w:rStyle w:val="Refdenotaalpie"/>
          <w:rFonts w:ascii="Verdana" w:hAnsi="Verdana" w:cs="Arial"/>
          <w:sz w:val="16"/>
          <w:szCs w:val="16"/>
        </w:rPr>
        <w:footnoteRef/>
      </w:r>
      <w:r w:rsidRPr="00104FCB">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784B3C2F" w14:textId="77777777" w:rsidR="00104FCB" w:rsidRPr="00104FCB" w:rsidRDefault="00104FCB" w:rsidP="00104FCB">
      <w:pPr>
        <w:pStyle w:val="Textonotapie"/>
        <w:ind w:firstLine="709"/>
        <w:jc w:val="both"/>
        <w:rPr>
          <w:rFonts w:ascii="Verdana" w:hAnsi="Verdana" w:cs="Arial"/>
          <w:sz w:val="16"/>
          <w:szCs w:val="16"/>
          <w:lang w:val="es-CO"/>
        </w:rPr>
      </w:pPr>
    </w:p>
  </w:footnote>
  <w:footnote w:id="5">
    <w:p w14:paraId="4A8EE9D5" w14:textId="77777777" w:rsidR="001C6DCC" w:rsidRPr="00104FCB" w:rsidRDefault="001C6DCC" w:rsidP="00104FCB">
      <w:pPr>
        <w:pStyle w:val="Textonotapie"/>
        <w:ind w:firstLine="709"/>
        <w:jc w:val="both"/>
        <w:rPr>
          <w:rFonts w:ascii="Verdana" w:hAnsi="Verdana" w:cs="Arial"/>
          <w:sz w:val="16"/>
          <w:szCs w:val="16"/>
        </w:rPr>
      </w:pPr>
      <w:r w:rsidRPr="00104FCB">
        <w:rPr>
          <w:rStyle w:val="Refdenotaalpie"/>
          <w:rFonts w:ascii="Verdana" w:hAnsi="Verdana" w:cs="Arial"/>
          <w:sz w:val="16"/>
          <w:szCs w:val="16"/>
        </w:rPr>
        <w:footnoteRef/>
      </w:r>
      <w:r w:rsidRPr="00104FCB">
        <w:rPr>
          <w:rFonts w:ascii="Verdana" w:hAnsi="Verdana" w:cs="Arial"/>
          <w:sz w:val="16"/>
          <w:szCs w:val="16"/>
        </w:rPr>
        <w:t xml:space="preserve"> Consejo de Estado, Sala de Consulta y Servicio Civil de fecha 24 de julio de 2013, Rad. 2166, C. P. Álvaro Namén Vargas.  </w:t>
      </w:r>
    </w:p>
    <w:p w14:paraId="3A779E89" w14:textId="77777777" w:rsidR="00104FCB" w:rsidRPr="00104FCB" w:rsidRDefault="00104FCB" w:rsidP="00104FCB">
      <w:pPr>
        <w:pStyle w:val="Textonotapie"/>
        <w:ind w:firstLine="709"/>
        <w:jc w:val="both"/>
        <w:rPr>
          <w:rFonts w:ascii="Verdana" w:hAnsi="Verdana" w:cs="Arial"/>
          <w:sz w:val="16"/>
          <w:szCs w:val="16"/>
        </w:rPr>
      </w:pPr>
    </w:p>
  </w:footnote>
  <w:footnote w:id="6">
    <w:p w14:paraId="67AD6F50" w14:textId="77777777" w:rsidR="001C6DCC" w:rsidRPr="00104FCB" w:rsidRDefault="001C6DCC" w:rsidP="00104FCB">
      <w:pPr>
        <w:pStyle w:val="Textonotapie"/>
        <w:ind w:firstLine="709"/>
        <w:jc w:val="both"/>
        <w:rPr>
          <w:rFonts w:ascii="Verdana" w:hAnsi="Verdana"/>
          <w:sz w:val="16"/>
          <w:szCs w:val="16"/>
        </w:rPr>
      </w:pPr>
      <w:r w:rsidRPr="00104FCB">
        <w:rPr>
          <w:rStyle w:val="Refdenotaalpie"/>
          <w:rFonts w:ascii="Verdana" w:hAnsi="Verdana"/>
          <w:sz w:val="16"/>
          <w:szCs w:val="16"/>
        </w:rPr>
        <w:footnoteRef/>
      </w:r>
      <w:r w:rsidRPr="00104FCB">
        <w:rPr>
          <w:rFonts w:ascii="Verdana" w:hAnsi="Verdana"/>
          <w:sz w:val="16"/>
          <w:szCs w:val="16"/>
        </w:rPr>
        <w:t xml:space="preserve"> Consejo de Estado. Sala de Consulta y Servicio Civil. Concepto del 08 de mayo de 2018. Exp. 2.382. C.P. Álvaro Namén Vargas.</w:t>
      </w:r>
    </w:p>
    <w:p w14:paraId="6AECC2C8" w14:textId="77777777" w:rsidR="00104FCB" w:rsidRPr="00104FCB" w:rsidRDefault="00104FCB" w:rsidP="00104FCB">
      <w:pPr>
        <w:pStyle w:val="Textonotapie"/>
        <w:ind w:firstLine="709"/>
        <w:jc w:val="both"/>
        <w:rPr>
          <w:rFonts w:ascii="Verdana" w:hAnsi="Verdana"/>
          <w:sz w:val="16"/>
          <w:szCs w:val="16"/>
          <w:lang w:val="es-ES"/>
        </w:rPr>
      </w:pPr>
    </w:p>
  </w:footnote>
  <w:footnote w:id="7">
    <w:p w14:paraId="03942F3A" w14:textId="5F5F22F9" w:rsidR="001C6DCC" w:rsidRPr="00B96E97" w:rsidRDefault="001C6DCC" w:rsidP="00B96E97">
      <w:pPr>
        <w:pStyle w:val="Textonotapie"/>
        <w:ind w:firstLine="708"/>
        <w:jc w:val="both"/>
        <w:rPr>
          <w:rFonts w:ascii="Verdana" w:hAnsi="Verdana"/>
          <w:sz w:val="16"/>
          <w:szCs w:val="16"/>
          <w:lang w:val="es-ES"/>
        </w:rPr>
      </w:pPr>
      <w:r w:rsidRPr="00B96E97">
        <w:rPr>
          <w:rStyle w:val="Refdenotaalpie"/>
          <w:rFonts w:ascii="Verdana" w:hAnsi="Verdana"/>
          <w:sz w:val="16"/>
          <w:szCs w:val="16"/>
        </w:rPr>
        <w:footnoteRef/>
      </w:r>
      <w:r w:rsidRPr="00B96E97">
        <w:rPr>
          <w:rFonts w:ascii="Verdana" w:hAnsi="Verdana"/>
          <w:sz w:val="16"/>
          <w:szCs w:val="16"/>
        </w:rPr>
        <w:t xml:space="preserve"> </w:t>
      </w:r>
      <w:r w:rsidRPr="00B96E97">
        <w:rPr>
          <w:rFonts w:ascii="Verdana" w:hAnsi="Verdana"/>
          <w:sz w:val="16"/>
          <w:szCs w:val="16"/>
          <w:lang w:val="es-ES"/>
        </w:rPr>
        <w:t>Ley 60 de 1993 y Ley 715 de 2001</w:t>
      </w:r>
      <w:r w:rsidR="00154E40" w:rsidRPr="00B96E97">
        <w:rPr>
          <w:rFonts w:ascii="Verdana" w:hAnsi="Verdana"/>
          <w:sz w:val="16"/>
          <w:szCs w:val="16"/>
          <w:lang w:val="es-ES"/>
        </w:rPr>
        <w:t xml:space="preserve">. </w:t>
      </w:r>
    </w:p>
    <w:p w14:paraId="1CA9CB25" w14:textId="77777777" w:rsidR="00154E40" w:rsidRPr="00B96E97" w:rsidRDefault="00154E40" w:rsidP="00B96E97">
      <w:pPr>
        <w:pStyle w:val="Textonotapie"/>
        <w:jc w:val="both"/>
        <w:rPr>
          <w:rFonts w:ascii="Verdana" w:hAnsi="Verdana"/>
          <w:sz w:val="16"/>
          <w:szCs w:val="16"/>
          <w:lang w:val="es-ES"/>
        </w:rPr>
      </w:pPr>
    </w:p>
  </w:footnote>
  <w:footnote w:id="8">
    <w:p w14:paraId="66E46B68" w14:textId="77777777" w:rsidR="001C6DCC" w:rsidRPr="00104FCB" w:rsidRDefault="001C6DCC" w:rsidP="00104FCB">
      <w:pPr>
        <w:pStyle w:val="Textonotapie"/>
        <w:ind w:firstLine="708"/>
        <w:jc w:val="both"/>
        <w:rPr>
          <w:rFonts w:ascii="Verdana" w:hAnsi="Verdana" w:cs="Arial"/>
          <w:color w:val="000000" w:themeColor="text1"/>
          <w:sz w:val="16"/>
          <w:szCs w:val="16"/>
        </w:rPr>
      </w:pPr>
      <w:r w:rsidRPr="00104FCB">
        <w:rPr>
          <w:rStyle w:val="Refdenotaalpie"/>
          <w:rFonts w:ascii="Verdana" w:hAnsi="Verdana" w:cs="Arial"/>
          <w:color w:val="000000" w:themeColor="text1"/>
          <w:sz w:val="16"/>
          <w:szCs w:val="16"/>
        </w:rPr>
        <w:footnoteRef/>
      </w:r>
      <w:r w:rsidRPr="00104FCB">
        <w:rPr>
          <w:rFonts w:ascii="Verdana" w:hAnsi="Verdana" w:cs="Arial"/>
          <w:color w:val="000000" w:themeColor="text1"/>
          <w:sz w:val="16"/>
          <w:szCs w:val="16"/>
        </w:rPr>
        <w:t xml:space="preserve"> “Artículo 11. Fondos De Servicios Educativos. Las instituciones educativas estatales podrán administrar Fondos de Servicios Educativos en los cuales se manejarán los recursos destinados a financiar gastos distintos a los de personal, que faciliten el funcionamiento de la institución”.</w:t>
      </w:r>
    </w:p>
  </w:footnote>
  <w:footnote w:id="9">
    <w:p w14:paraId="63F95C7B" w14:textId="77777777" w:rsidR="001C6DCC" w:rsidRPr="00104FCB" w:rsidRDefault="001C6DCC" w:rsidP="00104FCB">
      <w:pPr>
        <w:pStyle w:val="Textonotapie"/>
        <w:ind w:firstLine="708"/>
        <w:jc w:val="both"/>
        <w:rPr>
          <w:rFonts w:ascii="Verdana" w:hAnsi="Verdana" w:cs="Arial"/>
          <w:color w:val="000000" w:themeColor="text1"/>
          <w:sz w:val="16"/>
          <w:szCs w:val="16"/>
        </w:rPr>
      </w:pPr>
    </w:p>
    <w:p w14:paraId="705DC381" w14:textId="77777777" w:rsidR="001C6DCC" w:rsidRPr="00104FCB" w:rsidRDefault="001C6DCC" w:rsidP="00104FCB">
      <w:pPr>
        <w:pStyle w:val="Textonotapie"/>
        <w:ind w:firstLine="708"/>
        <w:jc w:val="both"/>
        <w:rPr>
          <w:rFonts w:ascii="Verdana" w:hAnsi="Verdana" w:cs="Arial"/>
          <w:color w:val="000000" w:themeColor="text1"/>
          <w:sz w:val="16"/>
          <w:szCs w:val="16"/>
        </w:rPr>
      </w:pPr>
      <w:r w:rsidRPr="00104FCB">
        <w:rPr>
          <w:rStyle w:val="Refdenotaalpie"/>
          <w:rFonts w:ascii="Verdana" w:hAnsi="Verdana" w:cs="Arial"/>
          <w:color w:val="000000" w:themeColor="text1"/>
          <w:sz w:val="16"/>
          <w:szCs w:val="16"/>
        </w:rPr>
        <w:footnoteRef/>
      </w:r>
      <w:r w:rsidRPr="00104FCB">
        <w:rPr>
          <w:rStyle w:val="Refdenotaalpie"/>
          <w:rFonts w:ascii="Verdana" w:hAnsi="Verdana" w:cs="Arial"/>
          <w:color w:val="000000" w:themeColor="text1"/>
          <w:sz w:val="16"/>
          <w:szCs w:val="16"/>
        </w:rPr>
        <w:t xml:space="preserve"> </w:t>
      </w:r>
      <w:r w:rsidRPr="00104FCB">
        <w:rPr>
          <w:rFonts w:ascii="Verdana" w:hAnsi="Verdana" w:cs="Arial"/>
          <w:color w:val="000000" w:themeColor="text1"/>
          <w:sz w:val="16"/>
          <w:szCs w:val="16"/>
        </w:rPr>
        <w:t>Consejo de Estado. Sección Tercera Subsección A. Sentencia del 12 de octubre de 2017. Consejera Ponente: Marta Nubia Velásquez Rico. Radicación número: 68001-23-31-000-2005-03845-01(51.634).</w:t>
      </w:r>
    </w:p>
    <w:p w14:paraId="4D33BE01" w14:textId="77777777" w:rsidR="00104FCB" w:rsidRPr="00104FCB" w:rsidRDefault="00104FCB" w:rsidP="00104FCB">
      <w:pPr>
        <w:pStyle w:val="Textonotapie"/>
        <w:ind w:firstLine="708"/>
        <w:jc w:val="both"/>
        <w:rPr>
          <w:rFonts w:ascii="Verdana" w:hAnsi="Verdana" w:cs="Arial"/>
          <w:color w:val="000000" w:themeColor="text1"/>
          <w:sz w:val="16"/>
          <w:szCs w:val="16"/>
        </w:rPr>
      </w:pPr>
    </w:p>
  </w:footnote>
  <w:footnote w:id="10">
    <w:p w14:paraId="5822307C" w14:textId="77777777" w:rsidR="001C6DCC" w:rsidRPr="00104FCB" w:rsidRDefault="001C6DCC" w:rsidP="00B96E97">
      <w:pPr>
        <w:pStyle w:val="NormalWeb"/>
        <w:spacing w:before="0" w:beforeAutospacing="0" w:after="0" w:afterAutospacing="0"/>
        <w:ind w:firstLine="708"/>
        <w:jc w:val="both"/>
        <w:rPr>
          <w:rFonts w:ascii="Verdana" w:hAnsi="Verdana" w:cs="Arial"/>
          <w:sz w:val="16"/>
          <w:szCs w:val="16"/>
        </w:rPr>
      </w:pPr>
      <w:r w:rsidRPr="00104FCB">
        <w:rPr>
          <w:rStyle w:val="Refdenotaalpie"/>
          <w:rFonts w:ascii="Verdana" w:hAnsi="Verdana" w:cs="Arial"/>
          <w:sz w:val="16"/>
          <w:szCs w:val="16"/>
        </w:rPr>
        <w:footnoteRef/>
      </w:r>
      <w:r w:rsidRPr="00104FCB">
        <w:rPr>
          <w:rStyle w:val="Refdenotaalpie"/>
          <w:rFonts w:ascii="Verdana" w:hAnsi="Verdana" w:cs="Arial"/>
          <w:sz w:val="16"/>
          <w:szCs w:val="16"/>
        </w:rPr>
        <w:t xml:space="preserve"> </w:t>
      </w:r>
      <w:r w:rsidRPr="00104FCB">
        <w:rPr>
          <w:rFonts w:ascii="Verdana" w:hAnsi="Verdana" w:cs="Arial"/>
          <w:sz w:val="16"/>
          <w:szCs w:val="16"/>
        </w:rPr>
        <w:t>“Artículo 13. Procedimientos de contratación de los fondos de servicios educativos. Todos los actos y contratos que tengan por objeto bienes y obligaciones que hayan de registrarse en la contabilidad de los Fondos de servicios educativos a los que se refiere el artículo anterior, se harán respetando los principios de igualdad, moralidad, imparcialidad y publicidad, aplicados en forma razonable a las circunstancias concretas en las que hayan de celebrarse. Se harán con el propósito fundamental de proteger los derechos de los niños y de los jóvenes, y de conseguir eficacia y celeridad en la atención del servicio educativo, y economía en el uso de los recursos públicos.</w:t>
      </w:r>
    </w:p>
    <w:p w14:paraId="32AAF238" w14:textId="77777777" w:rsidR="001C6DCC" w:rsidRPr="00104FCB" w:rsidRDefault="001C6DCC" w:rsidP="00B96E97">
      <w:pPr>
        <w:spacing w:after="0" w:line="240" w:lineRule="auto"/>
        <w:ind w:firstLine="708"/>
        <w:jc w:val="both"/>
        <w:rPr>
          <w:rFonts w:ascii="Verdana" w:hAnsi="Verdana" w:cs="Arial"/>
          <w:sz w:val="16"/>
          <w:szCs w:val="16"/>
          <w:lang w:eastAsia="es-CO"/>
        </w:rPr>
      </w:pPr>
      <w:r w:rsidRPr="00104FCB">
        <w:rPr>
          <w:rFonts w:ascii="Verdana" w:hAnsi="Verdana" w:cs="Arial"/>
          <w:sz w:val="16"/>
          <w:szCs w:val="16"/>
          <w:lang w:eastAsia="es-CO"/>
        </w:rPr>
        <w:t xml:space="preserve">“Los actos y contratos de cuantía superior a veinte (20) salarios mínimos mensuales se regirán por las reglas de la contratación estatal, teniendo en cuenta su valor y naturaleza, y las circunstancias en las que se celebren. El Gobierno Nacional podrá indicar los casos en los cuales la cuantía señalada en el presente inciso será menor. </w:t>
      </w:r>
    </w:p>
    <w:p w14:paraId="631B1AC5" w14:textId="77777777" w:rsidR="001C6DCC" w:rsidRPr="00104FCB" w:rsidRDefault="001C6DCC" w:rsidP="00B96E97">
      <w:pPr>
        <w:spacing w:after="0" w:line="240" w:lineRule="auto"/>
        <w:ind w:firstLine="708"/>
        <w:jc w:val="both"/>
        <w:rPr>
          <w:rFonts w:ascii="Verdana" w:hAnsi="Verdana" w:cs="Arial"/>
          <w:sz w:val="16"/>
          <w:szCs w:val="16"/>
          <w:lang w:eastAsia="es-CO"/>
        </w:rPr>
      </w:pPr>
      <w:r w:rsidRPr="00104FCB">
        <w:rPr>
          <w:rFonts w:ascii="Verdana" w:hAnsi="Verdana" w:cs="Arial"/>
          <w:sz w:val="16"/>
          <w:szCs w:val="16"/>
          <w:lang w:eastAsia="es-CO"/>
        </w:rPr>
        <w:t>“El rector o director celebrará los contratos que hayan de pagarse con cargo a los recursos vinculados a los Fondos, en las condiciones y dentro de los límites que fijen los reglamentos.</w:t>
      </w:r>
    </w:p>
    <w:p w14:paraId="21DEDBE6" w14:textId="77777777" w:rsidR="001C6DCC" w:rsidRPr="00104FCB" w:rsidRDefault="001C6DCC" w:rsidP="00B96E97">
      <w:pPr>
        <w:spacing w:after="0" w:line="240" w:lineRule="auto"/>
        <w:ind w:firstLine="708"/>
        <w:jc w:val="both"/>
        <w:rPr>
          <w:rFonts w:ascii="Verdana" w:hAnsi="Verdana" w:cs="Arial"/>
          <w:sz w:val="16"/>
          <w:szCs w:val="16"/>
          <w:lang w:eastAsia="es-CO"/>
        </w:rPr>
      </w:pPr>
      <w:r w:rsidRPr="00104FCB">
        <w:rPr>
          <w:rFonts w:ascii="Verdana" w:hAnsi="Verdana" w:cs="Arial"/>
          <w:sz w:val="16"/>
          <w:szCs w:val="16"/>
          <w:lang w:eastAsia="es-CO"/>
        </w:rPr>
        <w:t>“</w:t>
      </w:r>
      <w:r w:rsidRPr="00104FCB">
        <w:rPr>
          <w:rFonts w:ascii="Verdana" w:hAnsi="Verdana" w:cs="Arial"/>
          <w:i/>
          <w:iCs/>
          <w:sz w:val="16"/>
          <w:szCs w:val="16"/>
          <w:lang w:eastAsia="es-CO"/>
        </w:rPr>
        <w:t xml:space="preserve">Con estricta sujeción a los principios y propósitos enunciados en el primer inciso de este artículo, y a los reglamentos de esta Ley, el Consejo Directivo de cada establecimiento podrá señalar, con base en la experiencia y en el análisis concreto de las necesidades del establecimiento, </w:t>
      </w:r>
      <w:bookmarkStart w:id="3" w:name="_Hlk61284561"/>
      <w:r w:rsidRPr="00104FCB">
        <w:rPr>
          <w:rFonts w:ascii="Verdana" w:hAnsi="Verdana" w:cs="Arial"/>
          <w:i/>
          <w:iCs/>
          <w:sz w:val="16"/>
          <w:szCs w:val="16"/>
          <w:lang w:eastAsia="es-CO"/>
        </w:rPr>
        <w:t>los trámites, garantías y constancias que deben cumplirse para que el rector o director celebre cualquier acto o contrato que cree, extinga o modifique obligaciones que deban registrarse en el Fondo</w:t>
      </w:r>
      <w:bookmarkEnd w:id="3"/>
      <w:r w:rsidRPr="00104FCB">
        <w:rPr>
          <w:rFonts w:ascii="Verdana" w:hAnsi="Verdana" w:cs="Arial"/>
          <w:i/>
          <w:iCs/>
          <w:sz w:val="16"/>
          <w:szCs w:val="16"/>
          <w:lang w:eastAsia="es-CO"/>
        </w:rPr>
        <w:t>, y cuya cuantía sea inferior a veinte (20) salarios mínimos mensuales. El Consejo puede exigir, además, que ciertos actos o contratos requieran una autorización suya específica</w:t>
      </w:r>
      <w:r w:rsidRPr="00104FCB">
        <w:rPr>
          <w:rFonts w:ascii="Verdana" w:hAnsi="Verdana" w:cs="Arial"/>
          <w:sz w:val="16"/>
          <w:szCs w:val="16"/>
          <w:lang w:eastAsia="es-CO"/>
        </w:rPr>
        <w:t>.</w:t>
      </w:r>
    </w:p>
    <w:p w14:paraId="7DA6C258" w14:textId="77777777" w:rsidR="001C6DCC" w:rsidRPr="00104FCB" w:rsidRDefault="001C6DCC" w:rsidP="00104FCB">
      <w:pPr>
        <w:spacing w:after="0" w:line="240" w:lineRule="auto"/>
        <w:ind w:firstLine="708"/>
        <w:jc w:val="both"/>
        <w:rPr>
          <w:rFonts w:ascii="Verdana" w:hAnsi="Verdana" w:cs="Arial"/>
          <w:sz w:val="16"/>
          <w:szCs w:val="16"/>
          <w:lang w:eastAsia="es-CO"/>
        </w:rPr>
      </w:pPr>
      <w:r w:rsidRPr="00104FCB">
        <w:rPr>
          <w:rFonts w:ascii="Verdana" w:hAnsi="Verdana" w:cs="Arial"/>
          <w:sz w:val="16"/>
          <w:szCs w:val="16"/>
          <w:lang w:eastAsia="es-CO"/>
        </w:rPr>
        <w:t>[…]” (Énfasis fuera de texto).</w:t>
      </w:r>
    </w:p>
    <w:p w14:paraId="44644DA7" w14:textId="77777777" w:rsidR="00104FCB" w:rsidRPr="00104FCB" w:rsidRDefault="00104FCB" w:rsidP="00B96E97">
      <w:pPr>
        <w:spacing w:after="0" w:line="240" w:lineRule="auto"/>
        <w:ind w:firstLine="708"/>
        <w:jc w:val="both"/>
        <w:rPr>
          <w:rFonts w:ascii="Verdana" w:hAnsi="Verdana" w:cs="Arial"/>
          <w:sz w:val="16"/>
          <w:szCs w:val="16"/>
          <w:lang w:eastAsia="es-CO"/>
        </w:rPr>
      </w:pPr>
    </w:p>
    <w:p w14:paraId="017AA83A" w14:textId="77777777" w:rsidR="001C6DCC" w:rsidRPr="00104FCB" w:rsidRDefault="001C6DCC" w:rsidP="00104FCB">
      <w:pPr>
        <w:pStyle w:val="Textonotapie"/>
        <w:ind w:firstLine="708"/>
        <w:jc w:val="both"/>
        <w:rPr>
          <w:rFonts w:ascii="Verdana" w:hAnsi="Verdana" w:cs="Arial"/>
          <w:color w:val="000000" w:themeColor="text1"/>
          <w:sz w:val="16"/>
          <w:szCs w:val="16"/>
        </w:rPr>
      </w:pPr>
      <w:r w:rsidRPr="00104FCB">
        <w:rPr>
          <w:rFonts w:ascii="Verdana" w:hAnsi="Verdana" w:cs="Arial"/>
          <w:color w:val="000000" w:themeColor="text1"/>
          <w:sz w:val="16"/>
          <w:szCs w:val="16"/>
        </w:rPr>
        <w:t>Decreto 1075 de 2015: “Artículo 2.3.1.6.3.5. Funciones del Consejo Directivo. (…) 6. Reglamentar mediante acuerdo los procedimientos, formalidades y garantías para toda contratación que no supere los veinte (20) salarios mínimos legales mensuales vigentes (SMLMV)”.</w:t>
      </w:r>
    </w:p>
  </w:footnote>
  <w:footnote w:id="11">
    <w:p w14:paraId="59946F18" w14:textId="77777777" w:rsidR="001C6DCC" w:rsidRPr="00104FCB" w:rsidRDefault="001C6DCC" w:rsidP="00104FCB">
      <w:pPr>
        <w:pStyle w:val="Textonotapie"/>
        <w:ind w:firstLine="708"/>
        <w:jc w:val="both"/>
        <w:rPr>
          <w:rFonts w:ascii="Verdana" w:hAnsi="Verdana" w:cs="Arial"/>
          <w:sz w:val="16"/>
          <w:szCs w:val="16"/>
        </w:rPr>
      </w:pPr>
      <w:r w:rsidRPr="00104FCB">
        <w:rPr>
          <w:rStyle w:val="Refdenotaalpie"/>
          <w:rFonts w:ascii="Verdana" w:hAnsi="Verdana" w:cs="Arial"/>
          <w:sz w:val="16"/>
          <w:szCs w:val="16"/>
        </w:rPr>
        <w:footnoteRef/>
      </w:r>
      <w:r w:rsidRPr="00104FCB">
        <w:rPr>
          <w:rFonts w:ascii="Verdana" w:hAnsi="Verdana" w:cs="Arial"/>
          <w:sz w:val="16"/>
          <w:szCs w:val="16"/>
        </w:rPr>
        <w:t xml:space="preserve"> CONSEJO DE ESTADO. Sala de Consulta y Servicio Civil. Concepto del 27 de abril de 2006. Rad:1712. C.P. Enrique José Arboleda Perdomo.</w:t>
      </w:r>
    </w:p>
    <w:p w14:paraId="208FA822" w14:textId="77777777" w:rsidR="00104FCB" w:rsidRPr="00104FCB" w:rsidRDefault="00104FCB" w:rsidP="00104FCB">
      <w:pPr>
        <w:pStyle w:val="Textonotapie"/>
        <w:ind w:firstLine="708"/>
        <w:jc w:val="both"/>
        <w:rPr>
          <w:rFonts w:ascii="Verdana" w:hAnsi="Verdana" w:cs="Arial"/>
          <w:sz w:val="16"/>
          <w:szCs w:val="16"/>
        </w:rPr>
      </w:pPr>
    </w:p>
  </w:footnote>
  <w:footnote w:id="12">
    <w:p w14:paraId="2E76C423" w14:textId="77777777" w:rsidR="001C6DCC" w:rsidRPr="00104FCB" w:rsidRDefault="001C6DCC" w:rsidP="00104FCB">
      <w:pPr>
        <w:spacing w:after="0" w:line="240" w:lineRule="auto"/>
        <w:ind w:left="100" w:right="244" w:firstLine="709"/>
        <w:jc w:val="both"/>
        <w:rPr>
          <w:rFonts w:ascii="Verdana" w:hAnsi="Verdana" w:cs="Arial"/>
          <w:sz w:val="16"/>
          <w:szCs w:val="16"/>
        </w:rPr>
      </w:pPr>
      <w:r w:rsidRPr="00104FCB">
        <w:rPr>
          <w:rStyle w:val="Refdenotaalpie"/>
          <w:rFonts w:ascii="Verdana" w:hAnsi="Verdana" w:cs="Arial"/>
          <w:sz w:val="16"/>
          <w:szCs w:val="16"/>
        </w:rPr>
        <w:footnoteRef/>
      </w:r>
      <w:r w:rsidRPr="00104FCB">
        <w:rPr>
          <w:rFonts w:ascii="Verdana" w:hAnsi="Verdana" w:cs="Arial"/>
          <w:sz w:val="16"/>
          <w:szCs w:val="16"/>
        </w:rPr>
        <w:t xml:space="preserve"> Consejo de Estado. Sala de Consulta y Servicio Civil. Concepto del 17 de febrero de 2015. C.P. William Zambrano Cetina. Radicación No. 11001-03-06-000-2015-00164-00(2269).</w:t>
      </w:r>
    </w:p>
    <w:p w14:paraId="2D09DAD5" w14:textId="77777777" w:rsidR="00104FCB" w:rsidRPr="00104FCB" w:rsidRDefault="00104FCB" w:rsidP="00104FCB">
      <w:pPr>
        <w:spacing w:after="0" w:line="240" w:lineRule="auto"/>
        <w:ind w:left="100" w:right="244" w:firstLine="709"/>
        <w:jc w:val="both"/>
        <w:rPr>
          <w:rFonts w:ascii="Verdana" w:hAnsi="Verdana" w:cs="Arial"/>
          <w:sz w:val="16"/>
          <w:szCs w:val="16"/>
          <w:lang w:val="es-ES"/>
        </w:rPr>
      </w:pPr>
    </w:p>
  </w:footnote>
  <w:footnote w:id="13">
    <w:p w14:paraId="1D4F3E8B" w14:textId="223AE3AC" w:rsidR="001C6DCC" w:rsidRPr="00104FCB" w:rsidRDefault="001C6DCC" w:rsidP="00104FCB">
      <w:pPr>
        <w:pStyle w:val="Textonotapie"/>
        <w:ind w:firstLine="709"/>
        <w:jc w:val="both"/>
        <w:rPr>
          <w:rFonts w:ascii="Verdana" w:hAnsi="Verdana"/>
          <w:sz w:val="16"/>
          <w:szCs w:val="16"/>
          <w:lang w:val="es-ES"/>
        </w:rPr>
      </w:pPr>
      <w:r w:rsidRPr="00104FCB">
        <w:rPr>
          <w:rStyle w:val="Refdenotaalpie"/>
          <w:rFonts w:ascii="Verdana" w:hAnsi="Verdana"/>
          <w:sz w:val="16"/>
          <w:szCs w:val="16"/>
        </w:rPr>
        <w:footnoteRef/>
      </w:r>
      <w:r w:rsidRPr="00104FCB">
        <w:rPr>
          <w:rFonts w:ascii="Verdana" w:hAnsi="Verdana"/>
          <w:sz w:val="16"/>
          <w:szCs w:val="16"/>
        </w:rPr>
        <w:t xml:space="preserve"> </w:t>
      </w:r>
      <w:r w:rsidR="00104FCB" w:rsidRPr="00B96E97">
        <w:rPr>
          <w:rFonts w:ascii="Verdana" w:hAnsi="Verdana"/>
          <w:sz w:val="16"/>
          <w:szCs w:val="16"/>
        </w:rPr>
        <w:t>Agencia Nacional de Contratación Pública -Colombia Compra Eficiente</w:t>
      </w:r>
      <w:r w:rsidR="00104FCB" w:rsidRPr="00B96E97">
        <w:rPr>
          <w:rFonts w:ascii="Verdana" w:eastAsia="Times New Roman" w:hAnsi="Verdana" w:cs="Open Sans"/>
          <w:sz w:val="16"/>
          <w:szCs w:val="16"/>
          <w:lang w:eastAsia="es-CO"/>
        </w:rPr>
        <w:t xml:space="preserve">. Circular Externa Única: </w:t>
      </w:r>
      <w:hyperlink r:id="rId1" w:history="1">
        <w:r w:rsidRPr="00104FCB">
          <w:rPr>
            <w:rStyle w:val="Hipervnculo"/>
            <w:rFonts w:ascii="Verdana" w:hAnsi="Verdana"/>
            <w:sz w:val="16"/>
            <w:szCs w:val="16"/>
          </w:rPr>
          <w:t>https://www.colombiacompra.gov.co/wp-content/uploads/2024/08/circular_externa_unica_version_3_vf49-1.pdf</w:t>
        </w:r>
      </w:hyperlink>
      <w:r w:rsidRPr="00104FCB">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5pt;height:11.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176005614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58B9"/>
    <w:rsid w:val="000A683E"/>
    <w:rsid w:val="000B19B9"/>
    <w:rsid w:val="000B56AF"/>
    <w:rsid w:val="000B5AE6"/>
    <w:rsid w:val="000D0334"/>
    <w:rsid w:val="000D5DA7"/>
    <w:rsid w:val="000F6486"/>
    <w:rsid w:val="00104FCB"/>
    <w:rsid w:val="00116940"/>
    <w:rsid w:val="00125105"/>
    <w:rsid w:val="00127233"/>
    <w:rsid w:val="00135015"/>
    <w:rsid w:val="00151D87"/>
    <w:rsid w:val="0015346F"/>
    <w:rsid w:val="00154E40"/>
    <w:rsid w:val="0015699B"/>
    <w:rsid w:val="001A33BF"/>
    <w:rsid w:val="001A3504"/>
    <w:rsid w:val="001A5C53"/>
    <w:rsid w:val="001C6DCC"/>
    <w:rsid w:val="001E4177"/>
    <w:rsid w:val="001F0B24"/>
    <w:rsid w:val="001F7DC6"/>
    <w:rsid w:val="00203A50"/>
    <w:rsid w:val="0022400B"/>
    <w:rsid w:val="002421BB"/>
    <w:rsid w:val="0025796E"/>
    <w:rsid w:val="002707A2"/>
    <w:rsid w:val="002951A0"/>
    <w:rsid w:val="002962BC"/>
    <w:rsid w:val="002A093D"/>
    <w:rsid w:val="002A0DD0"/>
    <w:rsid w:val="002A49AC"/>
    <w:rsid w:val="002A64FD"/>
    <w:rsid w:val="002C7A84"/>
    <w:rsid w:val="002D2F9C"/>
    <w:rsid w:val="002E2BF8"/>
    <w:rsid w:val="002E4FD9"/>
    <w:rsid w:val="002F478A"/>
    <w:rsid w:val="0030657A"/>
    <w:rsid w:val="00322A85"/>
    <w:rsid w:val="00324168"/>
    <w:rsid w:val="00330834"/>
    <w:rsid w:val="00330C97"/>
    <w:rsid w:val="003448F4"/>
    <w:rsid w:val="00357771"/>
    <w:rsid w:val="003630A2"/>
    <w:rsid w:val="00374F5E"/>
    <w:rsid w:val="00377E3E"/>
    <w:rsid w:val="003A779E"/>
    <w:rsid w:val="003D0F4D"/>
    <w:rsid w:val="003D5B0D"/>
    <w:rsid w:val="003E0499"/>
    <w:rsid w:val="003E4F80"/>
    <w:rsid w:val="003E6439"/>
    <w:rsid w:val="003F3092"/>
    <w:rsid w:val="003F3941"/>
    <w:rsid w:val="00406575"/>
    <w:rsid w:val="00414C74"/>
    <w:rsid w:val="00416C7D"/>
    <w:rsid w:val="0042722E"/>
    <w:rsid w:val="0044528D"/>
    <w:rsid w:val="00466E39"/>
    <w:rsid w:val="004A1847"/>
    <w:rsid w:val="004A305D"/>
    <w:rsid w:val="004F21C4"/>
    <w:rsid w:val="004F685F"/>
    <w:rsid w:val="005566E8"/>
    <w:rsid w:val="00574867"/>
    <w:rsid w:val="00591460"/>
    <w:rsid w:val="005916BD"/>
    <w:rsid w:val="00594150"/>
    <w:rsid w:val="005A65E0"/>
    <w:rsid w:val="005C3777"/>
    <w:rsid w:val="005C5CDC"/>
    <w:rsid w:val="005D476C"/>
    <w:rsid w:val="005F4E9B"/>
    <w:rsid w:val="005F5BCB"/>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D693D"/>
    <w:rsid w:val="007E5497"/>
    <w:rsid w:val="00806F5F"/>
    <w:rsid w:val="00820278"/>
    <w:rsid w:val="008258C9"/>
    <w:rsid w:val="00844AE9"/>
    <w:rsid w:val="00867F95"/>
    <w:rsid w:val="0087520A"/>
    <w:rsid w:val="00881642"/>
    <w:rsid w:val="008843B6"/>
    <w:rsid w:val="00891928"/>
    <w:rsid w:val="008A446D"/>
    <w:rsid w:val="008B25F1"/>
    <w:rsid w:val="008C30F3"/>
    <w:rsid w:val="008D180B"/>
    <w:rsid w:val="008F0EA7"/>
    <w:rsid w:val="00923EEF"/>
    <w:rsid w:val="00935D53"/>
    <w:rsid w:val="009419F9"/>
    <w:rsid w:val="0095685E"/>
    <w:rsid w:val="00961B09"/>
    <w:rsid w:val="00965334"/>
    <w:rsid w:val="0097093E"/>
    <w:rsid w:val="009A0DFA"/>
    <w:rsid w:val="009A1C6F"/>
    <w:rsid w:val="009A7A9B"/>
    <w:rsid w:val="009B2D26"/>
    <w:rsid w:val="009C6E43"/>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603B0"/>
    <w:rsid w:val="00B65CC4"/>
    <w:rsid w:val="00B72CD3"/>
    <w:rsid w:val="00B72FFF"/>
    <w:rsid w:val="00B96E97"/>
    <w:rsid w:val="00BC3D36"/>
    <w:rsid w:val="00BD54A6"/>
    <w:rsid w:val="00BD7F72"/>
    <w:rsid w:val="00BF7425"/>
    <w:rsid w:val="00C04FB3"/>
    <w:rsid w:val="00C11D8B"/>
    <w:rsid w:val="00C15139"/>
    <w:rsid w:val="00C21522"/>
    <w:rsid w:val="00C330EB"/>
    <w:rsid w:val="00C50D69"/>
    <w:rsid w:val="00C5365C"/>
    <w:rsid w:val="00C754BE"/>
    <w:rsid w:val="00C76B1C"/>
    <w:rsid w:val="00C925AC"/>
    <w:rsid w:val="00CB6357"/>
    <w:rsid w:val="00CC1B26"/>
    <w:rsid w:val="00CC5E6B"/>
    <w:rsid w:val="00CE1500"/>
    <w:rsid w:val="00D361FD"/>
    <w:rsid w:val="00D423A2"/>
    <w:rsid w:val="00D44E26"/>
    <w:rsid w:val="00D520D8"/>
    <w:rsid w:val="00D54FAD"/>
    <w:rsid w:val="00D63AC2"/>
    <w:rsid w:val="00D7383B"/>
    <w:rsid w:val="00D7788A"/>
    <w:rsid w:val="00DA231B"/>
    <w:rsid w:val="00DA43D8"/>
    <w:rsid w:val="00DC39FC"/>
    <w:rsid w:val="00DF5254"/>
    <w:rsid w:val="00E02524"/>
    <w:rsid w:val="00E16408"/>
    <w:rsid w:val="00E20894"/>
    <w:rsid w:val="00E245AB"/>
    <w:rsid w:val="00E2764C"/>
    <w:rsid w:val="00E27F2E"/>
    <w:rsid w:val="00E50AFE"/>
    <w:rsid w:val="00E629A2"/>
    <w:rsid w:val="00E75C92"/>
    <w:rsid w:val="00E771DC"/>
    <w:rsid w:val="00E8772A"/>
    <w:rsid w:val="00E90F6B"/>
    <w:rsid w:val="00E92C27"/>
    <w:rsid w:val="00EA0E3D"/>
    <w:rsid w:val="00EB265D"/>
    <w:rsid w:val="00EC38A7"/>
    <w:rsid w:val="00EE1AA8"/>
    <w:rsid w:val="00F23FEA"/>
    <w:rsid w:val="00F2456D"/>
    <w:rsid w:val="00F31EDC"/>
    <w:rsid w:val="00F4472D"/>
    <w:rsid w:val="00F462B3"/>
    <w:rsid w:val="00F5664F"/>
    <w:rsid w:val="00F666C4"/>
    <w:rsid w:val="00F76AFC"/>
    <w:rsid w:val="00F8230B"/>
    <w:rsid w:val="00F943BF"/>
    <w:rsid w:val="00FA47C0"/>
    <w:rsid w:val="00FB5DD1"/>
    <w:rsid w:val="00FC2B5D"/>
    <w:rsid w:val="00FC7001"/>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C6DC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1C6DCC"/>
    <w:rPr>
      <w:rFonts w:ascii="Geomanist Light" w:hAnsi="Geomanist Light"/>
      <w:lang w:val="es-ES"/>
    </w:rPr>
  </w:style>
  <w:style w:type="character" w:customStyle="1" w:styleId="baj">
    <w:name w:val="b_aj"/>
    <w:basedOn w:val="Fuentedeprrafopredeter"/>
    <w:rsid w:val="001C6DCC"/>
  </w:style>
  <w:style w:type="character" w:customStyle="1" w:styleId="NormalWebCar">
    <w:name w:val="Normal (Web) Car"/>
    <w:link w:val="NormalWeb"/>
    <w:uiPriority w:val="99"/>
    <w:rsid w:val="001C6DCC"/>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1"/>
    <w:qFormat/>
    <w:rsid w:val="000B56AF"/>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0B56AF"/>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sesoresintegralesf@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circular_externa_unica_version_3_vf49-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FDD8C7A4-537E-44A4-BAE5-6417CFA308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18</Pages>
  <Words>5895</Words>
  <Characters>32426</Characters>
  <Application>Microsoft Office Word</Application>
  <DocSecurity>0</DocSecurity>
  <Lines>270</Lines>
  <Paragraphs>76</Paragraphs>
  <ScaleCrop>false</ScaleCrop>
  <Company/>
  <LinksUpToDate>false</LinksUpToDate>
  <CharactersWithSpaces>38245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5</cp:revision>
  <cp:lastPrinted>2023-01-10T21:18:00Z</cp:lastPrinted>
  <dcterms:created xsi:type="dcterms:W3CDTF">2026-04-14T22:34:00Z</dcterms:created>
  <dcterms:modified xsi:type="dcterms:W3CDTF">2026-04-23T14:47:00Z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