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52F7C" w:rsidR="005936CA" w:rsidP="005936CA" w:rsidRDefault="005936CA" w14:paraId="3158C366" w14:textId="77777777">
      <w:pPr>
        <w:spacing w:after="0" w:line="240" w:lineRule="auto"/>
        <w:contextualSpacing/>
        <w:jc w:val="both"/>
        <w:rPr>
          <w:rFonts w:ascii="Verdana" w:hAnsi="Verdana" w:eastAsia="Calibri" w:cs="Arial"/>
          <w:b/>
          <w:bCs/>
          <w:lang w:val="es-ES_tradnl"/>
        </w:rPr>
      </w:pPr>
      <w:r w:rsidRPr="00052F7C">
        <w:rPr>
          <w:rFonts w:ascii="Verdana" w:hAnsi="Verdana" w:eastAsia="Calibri" w:cs="Arial"/>
          <w:b/>
          <w:bCs/>
        </w:rPr>
        <w:t xml:space="preserve">CONTRATO DE PRESTACIÓN DE SERVICIOS – Concepto </w:t>
      </w:r>
      <w:r w:rsidRPr="00052F7C">
        <w:rPr>
          <w:rFonts w:ascii="Verdana" w:hAnsi="Verdana" w:eastAsia="Calibri" w:cs="Arial"/>
          <w:b/>
          <w:bCs/>
          <w:lang w:val="es-ES_tradnl"/>
        </w:rPr>
        <w:t xml:space="preserve"> </w:t>
      </w:r>
    </w:p>
    <w:p w:rsidRPr="00052F7C" w:rsidR="005936CA" w:rsidP="005936CA" w:rsidRDefault="005936CA" w14:paraId="354CE284" w14:textId="77777777">
      <w:pPr>
        <w:spacing w:after="0" w:line="240" w:lineRule="auto"/>
        <w:contextualSpacing/>
        <w:jc w:val="both"/>
        <w:rPr>
          <w:rFonts w:ascii="Verdana" w:hAnsi="Verdana" w:eastAsia="Calibri" w:cs="Arial"/>
          <w:sz w:val="20"/>
          <w:szCs w:val="20"/>
          <w:lang w:val="es-ES_tradnl"/>
        </w:rPr>
      </w:pPr>
    </w:p>
    <w:p w:rsidRPr="00052F7C" w:rsidR="005936CA" w:rsidP="005936CA" w:rsidRDefault="005936CA" w14:paraId="619AC036" w14:textId="77777777">
      <w:pPr>
        <w:spacing w:after="0" w:line="240" w:lineRule="auto"/>
        <w:contextualSpacing/>
        <w:jc w:val="both"/>
        <w:rPr>
          <w:rFonts w:ascii="Verdana" w:hAnsi="Verdana" w:eastAsia="Calibri" w:cs="Arial"/>
          <w:sz w:val="20"/>
          <w:szCs w:val="20"/>
          <w:lang w:val="es-ES_tradnl"/>
        </w:rPr>
      </w:pPr>
      <w:r w:rsidRPr="00052F7C">
        <w:rPr>
          <w:rFonts w:ascii="Verdana" w:hAnsi="Verdana" w:eastAsia="Calibri"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hAnsi="Verdana" w:eastAsia="Calibri" w:cs="Arial"/>
          <w:sz w:val="20"/>
          <w:szCs w:val="20"/>
          <w:lang w:val="es-ES_tradnl"/>
        </w:rPr>
        <w:t xml:space="preserve"> </w:t>
      </w:r>
      <w:r w:rsidRPr="00052F7C">
        <w:rPr>
          <w:rFonts w:ascii="Verdana" w:hAnsi="Verdana" w:eastAsia="Calibri"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hAnsi="Verdana" w:eastAsia="Calibri" w:cs="Arial"/>
          <w:sz w:val="20"/>
          <w:szCs w:val="20"/>
          <w:lang w:val="es-ES_tradnl"/>
        </w:rPr>
        <w:t xml:space="preserve"> </w:t>
      </w:r>
      <w:r w:rsidRPr="00052F7C">
        <w:rPr>
          <w:rFonts w:ascii="Verdana" w:hAnsi="Verdana" w:eastAsia="Calibri" w:cs="Arial"/>
          <w:sz w:val="20"/>
          <w:szCs w:val="20"/>
        </w:rPr>
        <w:t>En ningún caso estos contratos generan relación laboral ni prestaciones sociales y se celebrarán por el término estrictamente indispensable.</w:t>
      </w:r>
    </w:p>
    <w:p w:rsidRPr="00941309" w:rsidR="005936CA" w:rsidP="005936CA" w:rsidRDefault="005936CA" w14:paraId="08CCC4CB" w14:textId="77777777">
      <w:pPr>
        <w:spacing w:after="0" w:line="240" w:lineRule="auto"/>
        <w:contextualSpacing/>
        <w:jc w:val="both"/>
        <w:rPr>
          <w:rFonts w:ascii="Verdana" w:hAnsi="Verdana" w:eastAsia="Calibri" w:cs="Arial"/>
          <w:b/>
          <w:bCs/>
          <w:color w:val="4472C4" w:themeColor="accent1"/>
          <w:sz w:val="20"/>
          <w:szCs w:val="20"/>
          <w:lang w:val="es-ES_tradnl"/>
        </w:rPr>
      </w:pPr>
    </w:p>
    <w:p w:rsidRPr="00592DC4" w:rsidR="005936CA" w:rsidP="005936CA" w:rsidRDefault="005936CA" w14:paraId="32A645D0" w14:textId="77777777">
      <w:pPr>
        <w:spacing w:after="0" w:line="240" w:lineRule="auto"/>
        <w:contextualSpacing/>
        <w:jc w:val="both"/>
        <w:rPr>
          <w:rFonts w:ascii="Verdana" w:hAnsi="Verdana" w:eastAsia="Calibri" w:cs="Arial"/>
          <w:b/>
          <w:bCs/>
          <w:lang w:val="es-ES_tradnl"/>
        </w:rPr>
      </w:pPr>
      <w:r w:rsidRPr="00592DC4">
        <w:rPr>
          <w:rFonts w:ascii="Verdana" w:hAnsi="Verdana" w:eastAsia="Calibri" w:cs="Arial"/>
          <w:b/>
          <w:bCs/>
          <w:lang w:val="es-ES_tradnl"/>
        </w:rPr>
        <w:t>CONTRATO DE PRESTACIÓN DE SERVICIOS – Características</w:t>
      </w:r>
    </w:p>
    <w:p w:rsidRPr="00592DC4" w:rsidR="005936CA" w:rsidP="005936CA" w:rsidRDefault="005936CA" w14:paraId="2FD0FA88" w14:textId="77777777">
      <w:pPr>
        <w:spacing w:after="0" w:line="240" w:lineRule="auto"/>
        <w:contextualSpacing/>
        <w:jc w:val="both"/>
        <w:rPr>
          <w:rFonts w:ascii="Verdana" w:hAnsi="Verdana" w:eastAsia="Calibri" w:cs="Arial"/>
          <w:b/>
          <w:bCs/>
          <w:sz w:val="20"/>
          <w:szCs w:val="20"/>
          <w:lang w:val="es-ES_tradnl"/>
        </w:rPr>
      </w:pPr>
    </w:p>
    <w:p w:rsidR="005936CA" w:rsidP="005936CA" w:rsidRDefault="005936CA" w14:paraId="7F27EF32" w14:textId="77777777">
      <w:pPr>
        <w:spacing w:after="0" w:line="240" w:lineRule="auto"/>
        <w:jc w:val="both"/>
        <w:rPr>
          <w:rFonts w:ascii="Verdana" w:hAnsi="Verdana" w:eastAsia="Times New Roman" w:cs="Times New Roman"/>
          <w:sz w:val="20"/>
          <w:szCs w:val="20"/>
          <w:lang w:val="es-ES_tradnl" w:eastAsia="es-ES_tradnl"/>
        </w:rPr>
      </w:pPr>
      <w:r w:rsidRPr="00592DC4">
        <w:rPr>
          <w:rFonts w:ascii="Verdana" w:hAnsi="Verdana" w:eastAsia="Times New Roman"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rsidR="005936CA" w:rsidP="005936CA" w:rsidRDefault="005936CA" w14:paraId="3A104F6B" w14:textId="77777777">
      <w:pPr>
        <w:spacing w:after="0" w:line="240" w:lineRule="auto"/>
        <w:jc w:val="both"/>
        <w:rPr>
          <w:rFonts w:ascii="Verdana" w:hAnsi="Verdana" w:eastAsia="Times New Roman" w:cs="Times New Roman"/>
          <w:sz w:val="20"/>
          <w:szCs w:val="20"/>
          <w:lang w:val="es-ES_tradnl" w:eastAsia="es-ES_tradnl"/>
        </w:rPr>
      </w:pPr>
    </w:p>
    <w:p w:rsidRPr="009143F1" w:rsidR="005936CA" w:rsidP="005936CA" w:rsidRDefault="005936CA" w14:paraId="1EC39843" w14:textId="77777777">
      <w:pPr>
        <w:jc w:val="both"/>
        <w:rPr>
          <w:rFonts w:ascii="Verdana" w:hAnsi="Verdana" w:cs="Arial"/>
          <w:b/>
          <w:bCs/>
          <w:color w:val="000000" w:themeColor="text1"/>
          <w:lang w:val="es-ES_tradnl"/>
        </w:rPr>
      </w:pPr>
      <w:r>
        <w:rPr>
          <w:rFonts w:ascii="Verdana" w:hAnsi="Verdana" w:cs="Arial"/>
          <w:b/>
          <w:bCs/>
          <w:color w:val="000000" w:themeColor="text1"/>
          <w:lang w:val="es-ES_tradnl"/>
        </w:rPr>
        <w:t>C</w:t>
      </w:r>
      <w:r w:rsidRPr="009143F1">
        <w:rPr>
          <w:rFonts w:ascii="Verdana" w:hAnsi="Verdana" w:cs="Arial"/>
          <w:b/>
          <w:bCs/>
          <w:color w:val="000000" w:themeColor="text1"/>
          <w:lang w:val="es-ES_tradnl"/>
        </w:rPr>
        <w:t xml:space="preserve">ONTRATO DE PRESTACIÓN DE SERVICIOS PROFESIONALES </w:t>
      </w:r>
      <w:r w:rsidRPr="009143F1">
        <w:rPr>
          <w:rFonts w:ascii="Verdana" w:hAnsi="Verdana" w:eastAsia="Calibri" w:cs="Arial"/>
          <w:b/>
          <w:color w:val="000000" w:themeColor="text1"/>
        </w:rPr>
        <w:t>–</w:t>
      </w:r>
      <w:r>
        <w:rPr>
          <w:rFonts w:ascii="Verdana" w:hAnsi="Verdana" w:eastAsia="Calibri" w:cs="Arial"/>
          <w:b/>
          <w:color w:val="000000" w:themeColor="text1"/>
        </w:rPr>
        <w:t xml:space="preserve"> Obligaciones </w:t>
      </w:r>
      <w:r w:rsidRPr="009143F1">
        <w:rPr>
          <w:rFonts w:ascii="Verdana" w:hAnsi="Verdana" w:eastAsia="Calibri" w:cs="Arial"/>
          <w:b/>
          <w:color w:val="000000" w:themeColor="text1"/>
        </w:rPr>
        <w:t>–</w:t>
      </w:r>
      <w:r>
        <w:rPr>
          <w:rFonts w:ascii="Verdana" w:hAnsi="Verdana" w:eastAsia="Calibri" w:cs="Arial"/>
          <w:b/>
          <w:color w:val="000000" w:themeColor="text1"/>
        </w:rPr>
        <w:t xml:space="preserve"> Cláusulas amplias </w:t>
      </w:r>
      <w:r w:rsidRPr="009143F1">
        <w:rPr>
          <w:rFonts w:ascii="Verdana" w:hAnsi="Verdana" w:eastAsia="Calibri" w:cs="Arial"/>
          <w:b/>
          <w:color w:val="000000" w:themeColor="text1"/>
        </w:rPr>
        <w:t>–</w:t>
      </w:r>
      <w:r>
        <w:rPr>
          <w:rFonts w:ascii="Verdana" w:hAnsi="Verdana" w:eastAsia="Calibri" w:cs="Arial"/>
          <w:b/>
          <w:color w:val="000000" w:themeColor="text1"/>
        </w:rPr>
        <w:t xml:space="preserve"> Interpretación</w:t>
      </w:r>
    </w:p>
    <w:p w:rsidRPr="00C0517E" w:rsidR="005936CA" w:rsidP="005936CA" w:rsidRDefault="005936CA" w14:paraId="50B4F464" w14:textId="77777777">
      <w:pPr>
        <w:spacing w:after="0" w:line="240" w:lineRule="auto"/>
        <w:jc w:val="both"/>
        <w:rPr>
          <w:rFonts w:ascii="Verdana" w:hAnsi="Verdana" w:eastAsia="Times New Roman" w:cs="Times New Roman"/>
          <w:sz w:val="20"/>
          <w:szCs w:val="20"/>
          <w:lang w:val="es-ES_tradnl" w:eastAsia="es-ES_tradnl"/>
        </w:rPr>
      </w:pPr>
      <w:r w:rsidRPr="00C0517E">
        <w:rPr>
          <w:rFonts w:ascii="Verdana" w:hAnsi="Verdana" w:eastAsia="Times New Roman" w:cs="Times New Roman"/>
          <w:sz w:val="20"/>
          <w:szCs w:val="20"/>
          <w:lang w:val="es-ES_tradnl" w:eastAsia="es-ES_tradnl"/>
        </w:rPr>
        <w:t xml:space="preserve">De esta forma, el uso de cláusulas amplias o de obligaciones indeterminadas en los contratos de prestación de servicios debe analizarse de acuerdo con las características que se expondrán en el presente concepto. Así las cosas, los contratos de prestación de servicios solo pueden celebrarse para realizar “actividades relacionadas con la administración o funcionamiento de la entidad”. En ese sentido, las cláusulas que se incluyan en los contratos deben guardar conexidad con el objeto contractual pactado. </w:t>
      </w:r>
    </w:p>
    <w:p w:rsidR="005936CA" w:rsidP="005936CA" w:rsidRDefault="005936CA" w14:paraId="4910870E" w14:textId="77777777">
      <w:pPr>
        <w:spacing w:after="0" w:line="240" w:lineRule="auto"/>
        <w:jc w:val="both"/>
        <w:rPr>
          <w:rFonts w:ascii="Verdana" w:hAnsi="Verdana" w:eastAsia="Times New Roman" w:cs="Times New Roman"/>
          <w:sz w:val="20"/>
          <w:szCs w:val="20"/>
          <w:lang w:val="es-ES_tradnl" w:eastAsia="es-ES_tradnl"/>
        </w:rPr>
      </w:pPr>
    </w:p>
    <w:p w:rsidR="005936CA" w:rsidP="42CD1CDF" w:rsidRDefault="005936CA" w14:paraId="1A19FF0D" w14:textId="77777777">
      <w:pPr>
        <w:spacing w:after="0" w:line="240" w:lineRule="auto"/>
        <w:jc w:val="both"/>
        <w:rPr>
          <w:rFonts w:ascii="Verdana" w:hAnsi="Verdana" w:eastAsia="Times New Roman" w:cs="Times New Roman"/>
          <w:sz w:val="20"/>
          <w:szCs w:val="20"/>
          <w:lang w:val="es-ES" w:eastAsia="es-ES"/>
        </w:rPr>
      </w:pPr>
      <w:r w:rsidRPr="42CD1CDF" w:rsidR="005936CA">
        <w:rPr>
          <w:rFonts w:ascii="Verdana" w:hAnsi="Verdana" w:eastAsia="Times New Roman" w:cs="Times New Roman"/>
          <w:sz w:val="20"/>
          <w:szCs w:val="20"/>
          <w:lang w:val="es-ES" w:eastAsia="es-ES"/>
        </w:rPr>
        <w:t>En consecuencia, las cláusulas que se incluyan en el contrato deben interpretarse conforme al objeto contractual definido a partir de los estudios previos, los cuales determinan tanto el propósito de la contratación como la forma en que se espera que el contratista ejecute el objeto y cumpla las obligaciones derivadas del contrato.</w:t>
      </w:r>
      <w:r w:rsidRPr="42CD1CDF" w:rsidR="005936CA">
        <w:rPr>
          <w:rFonts w:ascii="Verdana" w:hAnsi="Verdana" w:eastAsia="Times New Roman" w:cs="Times New Roman"/>
          <w:sz w:val="20"/>
          <w:szCs w:val="20"/>
          <w:lang w:val="es-ES" w:eastAsia="es-ES"/>
        </w:rPr>
        <w:t xml:space="preserve"> De este modo, las obligaciones que se incluyan en el contrato, o que señale el supervisor </w:t>
      </w:r>
      <w:r w:rsidRPr="42CD1CDF" w:rsidR="005936CA">
        <w:rPr>
          <w:rFonts w:ascii="Verdana" w:hAnsi="Verdana" w:eastAsia="Times New Roman" w:cs="Times New Roman"/>
          <w:sz w:val="20"/>
          <w:szCs w:val="20"/>
          <w:lang w:val="es-ES" w:eastAsia="es-ES"/>
        </w:rPr>
        <w:t xml:space="preserve">del </w:t>
      </w:r>
      <w:r w:rsidRPr="42CD1CDF" w:rsidR="005936CA">
        <w:rPr>
          <w:rFonts w:ascii="Verdana" w:hAnsi="Verdana" w:eastAsia="Times New Roman" w:cs="Times New Roman"/>
          <w:sz w:val="20"/>
          <w:szCs w:val="20"/>
          <w:lang w:val="es-ES" w:eastAsia="es-ES"/>
        </w:rPr>
        <w:t>mismo</w:t>
      </w:r>
      <w:r w:rsidRPr="42CD1CDF" w:rsidR="005936CA">
        <w:rPr>
          <w:rFonts w:ascii="Verdana" w:hAnsi="Verdana" w:eastAsia="Times New Roman" w:cs="Times New Roman"/>
          <w:sz w:val="20"/>
          <w:szCs w:val="20"/>
          <w:lang w:val="es-ES" w:eastAsia="es-ES"/>
        </w:rPr>
        <w:t xml:space="preserve"> deben restringirse al objeto del contrato conforme al principio de planeación y a la autonomía de la voluntad de las partes.</w:t>
      </w:r>
    </w:p>
    <w:p w:rsidRPr="00C0517E" w:rsidR="005936CA" w:rsidP="005936CA" w:rsidRDefault="005936CA" w14:paraId="725A5CD4"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0FA81952" w14:textId="77777777">
      <w:pPr>
        <w:spacing w:after="0" w:line="240" w:lineRule="auto"/>
        <w:jc w:val="both"/>
        <w:rPr>
          <w:rFonts w:ascii="Verdana" w:hAnsi="Verdana" w:eastAsia="Times New Roman" w:cs="Times New Roman"/>
          <w:sz w:val="20"/>
          <w:szCs w:val="20"/>
          <w:lang w:val="es-ES_tradnl" w:eastAsia="es-ES_tradnl"/>
        </w:rPr>
      </w:pPr>
      <w:r w:rsidRPr="00C0517E">
        <w:rPr>
          <w:rFonts w:ascii="Verdana" w:hAnsi="Verdana" w:eastAsia="Times New Roman" w:cs="Times New Roman"/>
          <w:sz w:val="20"/>
          <w:szCs w:val="20"/>
          <w:lang w:val="es-ES_tradnl" w:eastAsia="es-ES_tradnl"/>
        </w:rPr>
        <w:t>Lo anterior implica que, si bien es posible y recomendable pactar cláusulas amplias o indeterminadas, como “otras obligaciones relacionadas con el objeto” o “las demás obligaciones que asigne el supervisor” en los contratos de prestación de servicios, lo cierto es que, el supervisor no puede fijar obligaciones que amplíen el objeto del contrato ni imponer tareas que lo desborden. Esto, puesto que tales actuaciones desconocerían la naturaleza jurídica del contrato de prestación de servicios y podrían generar riesgos como la desnaturalización del vínculo contractual.</w:t>
      </w:r>
    </w:p>
    <w:p w:rsidR="005936CA" w:rsidP="005936CA" w:rsidRDefault="005936CA" w14:paraId="3EE00C45"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344396B9"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1FFA0104"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505A6B5"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4D946B1"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2E79E572"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15640488"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390E9F23"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00FBD15E"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79BB9D8"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0C35843E"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7C1EE542"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84E11A8"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76083D75"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352AB321"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226DC1E"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67D750A6"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A3DE3C5"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357D2E2"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1B420B89"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FC13BAB"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31AF21A"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7BC6A742"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0F0B8AB0"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8D43138"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0F70FC6D"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7C909538"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1B98B51"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6227392"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02B89D61"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7F7A56F2"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1366716A"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C199E7D"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5DE1F6FA" w14:textId="77777777">
      <w:pPr>
        <w:spacing w:after="0" w:line="240" w:lineRule="auto"/>
        <w:jc w:val="both"/>
        <w:rPr>
          <w:rFonts w:ascii="Verdana" w:hAnsi="Verdana" w:eastAsia="Times New Roman" w:cs="Times New Roman"/>
          <w:sz w:val="20"/>
          <w:szCs w:val="20"/>
          <w:lang w:val="es-ES_tradnl" w:eastAsia="es-ES_tradnl"/>
        </w:rPr>
      </w:pPr>
    </w:p>
    <w:p w:rsidR="005936CA" w:rsidP="005936CA" w:rsidRDefault="005936CA" w14:paraId="40CCBF4B" w14:textId="77777777">
      <w:pPr>
        <w:spacing w:after="0" w:line="240" w:lineRule="auto"/>
        <w:jc w:val="both"/>
        <w:rPr>
          <w:rFonts w:ascii="Verdana" w:hAnsi="Verdana" w:eastAsia="Times New Roman" w:cs="Times New Roman"/>
          <w:sz w:val="20"/>
          <w:szCs w:val="20"/>
          <w:lang w:val="es-ES_tradnl" w:eastAsia="es-ES_tradnl"/>
        </w:rPr>
      </w:pPr>
    </w:p>
    <w:p w:rsidRPr="00EF7FE3" w:rsidR="005936CA" w:rsidP="005936CA" w:rsidRDefault="005936CA" w14:paraId="09D37E5C" w14:textId="77777777">
      <w:pPr>
        <w:spacing w:after="0" w:line="240" w:lineRule="auto"/>
        <w:jc w:val="both"/>
        <w:rPr>
          <w:rFonts w:ascii="Verdana" w:hAnsi="Verdana" w:eastAsia="Times New Roman" w:cs="Arial"/>
          <w:noProof/>
          <w:lang w:eastAsia="es-ES_tradnl"/>
        </w:rPr>
      </w:pPr>
    </w:p>
    <w:p w:rsidR="005936CA" w:rsidP="005936CA" w:rsidRDefault="005936CA" w14:paraId="11A3484C" w14:textId="64F994FC">
      <w:pPr>
        <w:spacing w:after="0"/>
        <w:rPr>
          <w:rFonts w:ascii="Verdana" w:hAnsi="Verdana"/>
        </w:rPr>
      </w:pPr>
      <w:r w:rsidRPr="00AB7877">
        <w:rPr>
          <w:rFonts w:ascii="Verdana" w:hAnsi="Verdana"/>
        </w:rPr>
        <w:lastRenderedPageBreak/>
        <w:t xml:space="preserve">Bogotá D.C., </w:t>
      </w:r>
      <w:r w:rsidR="007F7FC9">
        <w:rPr>
          <w:rFonts w:ascii="Verdana" w:hAnsi="Verdana"/>
        </w:rPr>
        <w:t>20 de febrero de 2026</w:t>
      </w:r>
    </w:p>
    <w:p w:rsidR="007F7FC9" w:rsidP="005936CA" w:rsidRDefault="007F7FC9" w14:paraId="779572A8" w14:textId="77777777">
      <w:pPr>
        <w:spacing w:after="0"/>
        <w:rPr>
          <w:rFonts w:ascii="Verdana" w:hAnsi="Verdana"/>
        </w:rPr>
      </w:pPr>
    </w:p>
    <w:p w:rsidR="007F7FC9" w:rsidP="007F7FC9" w:rsidRDefault="007F7FC9" w14:paraId="6A7606B7" w14:textId="399C5BB3">
      <w:pPr>
        <w:spacing w:after="0"/>
        <w:jc w:val="right"/>
        <w:rPr>
          <w:rFonts w:ascii="Verdana" w:hAnsi="Verdana"/>
        </w:rPr>
      </w:pPr>
      <w:r w:rsidRPr="007F7FC9">
        <w:rPr>
          <w:rFonts w:ascii="Verdana" w:hAnsi="Verdana"/>
        </w:rPr>
        <w:drawing>
          <wp:inline distT="0" distB="0" distL="0" distR="0" wp14:anchorId="3E76B92B" wp14:editId="6BAA89F9">
            <wp:extent cx="3629532" cy="962159"/>
            <wp:effectExtent l="0" t="0" r="9525" b="9525"/>
            <wp:docPr id="12664826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482666" name=""/>
                    <pic:cNvPicPr/>
                  </pic:nvPicPr>
                  <pic:blipFill>
                    <a:blip r:embed="rId10"/>
                    <a:stretch>
                      <a:fillRect/>
                    </a:stretch>
                  </pic:blipFill>
                  <pic:spPr>
                    <a:xfrm>
                      <a:off x="0" y="0"/>
                      <a:ext cx="3629532" cy="962159"/>
                    </a:xfrm>
                    <a:prstGeom prst="rect">
                      <a:avLst/>
                    </a:prstGeom>
                  </pic:spPr>
                </pic:pic>
              </a:graphicData>
            </a:graphic>
          </wp:inline>
        </w:drawing>
      </w:r>
    </w:p>
    <w:p w:rsidRPr="00A240C3" w:rsidR="005936CA" w:rsidP="005936CA" w:rsidRDefault="005936CA" w14:paraId="401939EA" w14:textId="77777777">
      <w:pPr>
        <w:spacing w:after="0"/>
        <w:rPr>
          <w:rFonts w:ascii="Verdana" w:hAnsi="Verdana"/>
          <w:lang w:val="es-ES"/>
        </w:rPr>
      </w:pPr>
    </w:p>
    <w:p w:rsidRPr="00A240C3" w:rsidR="005936CA" w:rsidP="005936CA" w:rsidRDefault="005936CA" w14:paraId="22CFA997" w14:textId="77777777">
      <w:pPr>
        <w:spacing w:after="0" w:line="240" w:lineRule="auto"/>
        <w:rPr>
          <w:rFonts w:ascii="Verdana" w:hAnsi="Verdana"/>
          <w:lang w:val="es-ES"/>
        </w:rPr>
      </w:pPr>
      <w:bookmarkStart w:name="_Hlk143780582" w:id="0"/>
      <w:r w:rsidRPr="00A240C3">
        <w:rPr>
          <w:rFonts w:ascii="Verdana" w:hAnsi="Verdana" w:eastAsia="Calibri" w:cs="Arial"/>
          <w:lang w:val="es-ES" w:eastAsia="es-ES"/>
        </w:rPr>
        <w:t>Señor</w:t>
      </w:r>
    </w:p>
    <w:p w:rsidRPr="00AD6474" w:rsidR="005936CA" w:rsidP="005936CA" w:rsidRDefault="005936CA" w14:paraId="13A9C8B2" w14:textId="77777777">
      <w:pPr>
        <w:spacing w:after="0"/>
        <w:rPr>
          <w:rFonts w:ascii="Verdana" w:hAnsi="Verdana" w:eastAsia="Calibri" w:cs="Arial"/>
          <w:b/>
          <w:bCs/>
          <w:lang w:eastAsia="es-ES"/>
        </w:rPr>
      </w:pPr>
      <w:r w:rsidRPr="00AD6474">
        <w:rPr>
          <w:rFonts w:ascii="Verdana" w:hAnsi="Verdana" w:eastAsia="Calibri" w:cs="Arial"/>
          <w:b/>
          <w:bCs/>
          <w:lang w:eastAsia="es-ES"/>
        </w:rPr>
        <w:t>Ronal Herminso González Aguirre</w:t>
      </w:r>
    </w:p>
    <w:p w:rsidRPr="00AD6474" w:rsidR="005936CA" w:rsidP="005936CA" w:rsidRDefault="005936CA" w14:paraId="73850909" w14:textId="77777777">
      <w:pPr>
        <w:spacing w:after="0"/>
        <w:rPr>
          <w:rFonts w:ascii="Verdana" w:hAnsi="Verdana" w:eastAsia="Calibri" w:cs="Arial"/>
          <w:b/>
          <w:bCs/>
          <w:lang w:eastAsia="es-ES"/>
        </w:rPr>
      </w:pPr>
      <w:r w:rsidRPr="0045253C">
        <w:rPr>
          <w:rFonts w:ascii="Verdana" w:hAnsi="Verdana" w:eastAsia="Calibri" w:cs="Arial"/>
          <w:b/>
          <w:bCs/>
          <w:lang w:eastAsia="es-ES"/>
        </w:rPr>
        <w:t>SER EQUIPO DE SOLUCIONES S</w:t>
      </w:r>
      <w:r>
        <w:rPr>
          <w:rFonts w:ascii="Verdana" w:hAnsi="Verdana" w:eastAsia="Calibri" w:cs="Arial"/>
          <w:b/>
          <w:bCs/>
          <w:lang w:eastAsia="es-ES"/>
        </w:rPr>
        <w:t>.</w:t>
      </w:r>
      <w:r w:rsidRPr="0045253C">
        <w:rPr>
          <w:rFonts w:ascii="Verdana" w:hAnsi="Verdana" w:eastAsia="Calibri" w:cs="Arial"/>
          <w:b/>
          <w:bCs/>
          <w:lang w:eastAsia="es-ES"/>
        </w:rPr>
        <w:t>A</w:t>
      </w:r>
      <w:r>
        <w:rPr>
          <w:rFonts w:ascii="Verdana" w:hAnsi="Verdana" w:eastAsia="Calibri" w:cs="Arial"/>
          <w:b/>
          <w:bCs/>
          <w:lang w:eastAsia="es-ES"/>
        </w:rPr>
        <w:t>.</w:t>
      </w:r>
      <w:r w:rsidRPr="0045253C">
        <w:rPr>
          <w:rFonts w:ascii="Verdana" w:hAnsi="Verdana" w:eastAsia="Calibri" w:cs="Arial"/>
          <w:b/>
          <w:bCs/>
          <w:lang w:eastAsia="es-ES"/>
        </w:rPr>
        <w:t>S</w:t>
      </w:r>
      <w:r>
        <w:rPr>
          <w:rFonts w:ascii="Verdana" w:hAnsi="Verdana" w:eastAsia="Calibri" w:cs="Arial"/>
          <w:b/>
          <w:bCs/>
          <w:lang w:eastAsia="es-ES"/>
        </w:rPr>
        <w:t>.</w:t>
      </w:r>
    </w:p>
    <w:p w:rsidR="005936CA" w:rsidP="005936CA" w:rsidRDefault="005936CA" w14:paraId="51B89D33" w14:textId="77777777">
      <w:pPr>
        <w:spacing w:after="0"/>
        <w:rPr>
          <w:rFonts w:ascii="Verdana" w:hAnsi="Verdana" w:eastAsia="Calibri" w:cs="Arial"/>
          <w:b/>
          <w:bCs/>
          <w:lang w:eastAsia="es-ES"/>
        </w:rPr>
      </w:pPr>
      <w:hyperlink w:history="1" r:id="rId11">
        <w:r w:rsidRPr="0074570E">
          <w:rPr>
            <w:rStyle w:val="Hipervnculo"/>
            <w:rFonts w:ascii="Verdana" w:hAnsi="Verdana" w:eastAsia="Calibri" w:cs="Arial"/>
            <w:b/>
            <w:bCs/>
            <w:lang w:eastAsia="es-ES"/>
          </w:rPr>
          <w:t>serequipogerencia@gmail.com</w:t>
        </w:r>
      </w:hyperlink>
    </w:p>
    <w:p w:rsidRPr="00A240C3" w:rsidR="005936CA" w:rsidP="005936CA" w:rsidRDefault="005936CA" w14:paraId="32737BFA" w14:textId="77777777">
      <w:pPr>
        <w:spacing w:after="0"/>
        <w:rPr>
          <w:rFonts w:ascii="Verdana" w:hAnsi="Verdana" w:eastAsia="Calibri" w:cs="Arial"/>
          <w:lang w:val="es-ES" w:eastAsia="es-ES"/>
        </w:rPr>
      </w:pPr>
      <w:r>
        <w:rPr>
          <w:rFonts w:ascii="Verdana" w:hAnsi="Verdana" w:eastAsia="Calibri" w:cs="Arial"/>
          <w:lang w:val="es-ES" w:eastAsia="es-ES"/>
        </w:rPr>
        <w:t>Ibagué, Tolima</w:t>
      </w:r>
    </w:p>
    <w:p w:rsidRPr="009F4646" w:rsidR="005936CA" w:rsidP="005936CA" w:rsidRDefault="005936CA" w14:paraId="1368067B" w14:textId="77777777">
      <w:pPr>
        <w:spacing w:after="0"/>
        <w:rPr>
          <w:rFonts w:ascii="Verdana" w:hAnsi="Verdana" w:eastAsia="Calibri" w:cs="Arial"/>
          <w:color w:val="EE0000"/>
          <w:lang w:val="es-ES" w:eastAsia="es-ES"/>
        </w:rPr>
      </w:pPr>
    </w:p>
    <w:p w:rsidRPr="009F4646" w:rsidR="005936CA" w:rsidP="005936CA" w:rsidRDefault="005936CA" w14:paraId="18CD5C4D" w14:textId="77777777">
      <w:pPr>
        <w:spacing w:after="0" w:line="240" w:lineRule="auto"/>
        <w:rPr>
          <w:rFonts w:ascii="Verdana" w:hAnsi="Verdana" w:eastAsia="Calibri" w:cs="Arial"/>
          <w:b/>
          <w:bCs/>
          <w:color w:val="EE0000"/>
          <w:lang w:val="es-ES" w:eastAsia="es-ES"/>
        </w:rPr>
      </w:pPr>
    </w:p>
    <w:tbl>
      <w:tblPr>
        <w:tblStyle w:val="Tablaconcuadrcula"/>
        <w:tblW w:w="8510" w:type="dxa"/>
        <w:tblInd w:w="-1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410"/>
        <w:gridCol w:w="6100"/>
      </w:tblGrid>
      <w:tr w:rsidRPr="009F4646" w:rsidR="005936CA" w:rsidTr="00C55E59" w14:paraId="1E9B88F3" w14:textId="77777777">
        <w:trPr>
          <w:trHeight w:val="300"/>
        </w:trPr>
        <w:tc>
          <w:tcPr>
            <w:tcW w:w="2410" w:type="dxa"/>
          </w:tcPr>
          <w:p w:rsidRPr="009F4646" w:rsidR="005936CA" w:rsidP="00C55E59" w:rsidRDefault="005936CA" w14:paraId="195AB19E" w14:textId="77777777">
            <w:pPr>
              <w:ind w:left="-142"/>
              <w:jc w:val="both"/>
              <w:rPr>
                <w:rFonts w:ascii="Verdana" w:hAnsi="Verdana" w:eastAsia="Calibri" w:cs="Arial"/>
                <w:b/>
                <w:bCs/>
                <w:color w:val="EE0000"/>
                <w:lang w:val="es-ES" w:eastAsia="es-ES_tradnl"/>
              </w:rPr>
            </w:pPr>
          </w:p>
        </w:tc>
        <w:tc>
          <w:tcPr>
            <w:tcW w:w="6100" w:type="dxa"/>
          </w:tcPr>
          <w:p w:rsidRPr="00502DE0" w:rsidR="005936CA" w:rsidP="00C55E59" w:rsidRDefault="005936CA" w14:paraId="475CC45A" w14:textId="77777777">
            <w:pPr>
              <w:ind w:left="3"/>
              <w:jc w:val="both"/>
              <w:rPr>
                <w:rFonts w:ascii="Verdana" w:hAnsi="Verdana" w:eastAsia="Calibri" w:cs="Arial"/>
                <w:b/>
                <w:bCs/>
                <w:lang w:val="es-ES" w:eastAsia="es-ES"/>
              </w:rPr>
            </w:pPr>
            <w:r w:rsidRPr="00502DE0">
              <w:rPr>
                <w:rFonts w:ascii="Verdana" w:hAnsi="Verdana" w:eastAsia="Calibri" w:cs="Arial"/>
                <w:b/>
                <w:bCs/>
                <w:lang w:val="es-ES" w:eastAsia="es-ES"/>
              </w:rPr>
              <w:t>Concepto C-188 de 202</w:t>
            </w:r>
            <w:r>
              <w:rPr>
                <w:rFonts w:ascii="Verdana" w:hAnsi="Verdana" w:eastAsia="Calibri" w:cs="Arial"/>
                <w:b/>
                <w:bCs/>
                <w:lang w:val="es-ES" w:eastAsia="es-ES"/>
              </w:rPr>
              <w:t>6</w:t>
            </w:r>
          </w:p>
          <w:p w:rsidRPr="009F4646" w:rsidR="005936CA" w:rsidP="00C55E59" w:rsidRDefault="005936CA" w14:paraId="4CE59540" w14:textId="77777777">
            <w:pPr>
              <w:ind w:left="3"/>
              <w:jc w:val="both"/>
              <w:rPr>
                <w:rFonts w:ascii="Verdana" w:hAnsi="Verdana" w:eastAsia="Calibri" w:cs="Arial"/>
                <w:b/>
                <w:bCs/>
                <w:color w:val="EE0000"/>
                <w:lang w:val="es-ES" w:eastAsia="es-ES"/>
              </w:rPr>
            </w:pPr>
          </w:p>
        </w:tc>
      </w:tr>
      <w:tr w:rsidRPr="009F4646" w:rsidR="005936CA" w:rsidTr="00C55E59" w14:paraId="02D73176" w14:textId="77777777">
        <w:trPr>
          <w:trHeight w:val="300"/>
        </w:trPr>
        <w:tc>
          <w:tcPr>
            <w:tcW w:w="2410" w:type="dxa"/>
          </w:tcPr>
          <w:p w:rsidRPr="00E65794" w:rsidR="005936CA" w:rsidP="00C55E59" w:rsidRDefault="005936CA" w14:paraId="4FE19DCE" w14:textId="77777777">
            <w:pPr>
              <w:ind w:left="424" w:firstLine="142"/>
              <w:jc w:val="both"/>
              <w:rPr>
                <w:rFonts w:ascii="Verdana" w:hAnsi="Verdana" w:eastAsia="Calibri" w:cs="Arial"/>
                <w:lang w:val="es-ES" w:eastAsia="es-ES_tradnl"/>
              </w:rPr>
            </w:pPr>
            <w:r w:rsidRPr="00E65794">
              <w:rPr>
                <w:rFonts w:ascii="Verdana" w:hAnsi="Verdana" w:eastAsia="Calibri" w:cs="Arial"/>
                <w:b/>
                <w:lang w:val="es-ES" w:eastAsia="es-ES_tradnl"/>
              </w:rPr>
              <w:t>Temas:</w:t>
            </w:r>
            <w:r w:rsidRPr="00E65794">
              <w:rPr>
                <w:rFonts w:ascii="Verdana" w:hAnsi="Verdana" w:eastAsia="Calibri" w:cs="Arial"/>
                <w:lang w:val="es-ES" w:eastAsia="es-ES_tradnl"/>
              </w:rPr>
              <w:t xml:space="preserve">                  </w:t>
            </w:r>
          </w:p>
        </w:tc>
        <w:tc>
          <w:tcPr>
            <w:tcW w:w="6100" w:type="dxa"/>
          </w:tcPr>
          <w:p w:rsidRPr="00E65794" w:rsidR="005936CA" w:rsidP="00C55E59" w:rsidRDefault="005936CA" w14:paraId="1D6FC546" w14:textId="77777777">
            <w:pPr>
              <w:jc w:val="both"/>
              <w:rPr>
                <w:rFonts w:ascii="Verdana" w:hAnsi="Verdana" w:eastAsia="Calibri" w:cs="Arial"/>
                <w:b/>
                <w:bCs/>
                <w:lang w:val="es-ES_tradnl"/>
              </w:rPr>
            </w:pPr>
            <w:r w:rsidRPr="00E65794">
              <w:rPr>
                <w:rFonts w:ascii="Verdana" w:hAnsi="Verdana" w:eastAsia="Calibri" w:cs="Arial"/>
              </w:rPr>
              <w:t>CONTRATO DE PRESTACIÓN DE SERVICIOS – Concepto</w:t>
            </w:r>
            <w:r w:rsidRPr="00E65794">
              <w:rPr>
                <w:rFonts w:ascii="Verdana" w:hAnsi="Verdana" w:eastAsia="Calibri" w:cs="Arial"/>
                <w:b/>
                <w:bCs/>
              </w:rPr>
              <w:t xml:space="preserve"> </w:t>
            </w:r>
            <w:r w:rsidRPr="00E65794">
              <w:rPr>
                <w:rFonts w:ascii="Verdana" w:hAnsi="Verdana" w:eastAsia="Calibri" w:cs="Arial"/>
              </w:rPr>
              <w:t xml:space="preserve">/ CONTRATO DE PRESTACIÓN DE SERVICIOS – Características / </w:t>
            </w:r>
            <w:r w:rsidRPr="00E65794">
              <w:rPr>
                <w:rFonts w:ascii="Verdana" w:hAnsi="Verdana" w:cs="Arial"/>
                <w:color w:val="000000" w:themeColor="text1"/>
                <w:lang w:val="es-ES_tradnl"/>
              </w:rPr>
              <w:t>CONTRATO DE PRESTACIÓN DE SERVICIOS PROFESIONALES – Obligaciones – Cláusulas amplias – Interpretación</w:t>
            </w:r>
          </w:p>
          <w:p w:rsidRPr="00E65794" w:rsidR="005936CA" w:rsidP="00C55E59" w:rsidRDefault="005936CA" w14:paraId="63EFD54F" w14:textId="77777777">
            <w:pPr>
              <w:tabs>
                <w:tab w:val="left" w:pos="3374"/>
              </w:tabs>
              <w:jc w:val="both"/>
              <w:rPr>
                <w:rFonts w:ascii="Verdana" w:hAnsi="Verdana" w:eastAsia="Calibri" w:cs="Arial"/>
              </w:rPr>
            </w:pPr>
          </w:p>
        </w:tc>
      </w:tr>
      <w:tr w:rsidRPr="009F4646" w:rsidR="005936CA" w:rsidTr="00C55E59" w14:paraId="53CFF0AD" w14:textId="77777777">
        <w:trPr>
          <w:trHeight w:val="350"/>
        </w:trPr>
        <w:tc>
          <w:tcPr>
            <w:tcW w:w="2410" w:type="dxa"/>
          </w:tcPr>
          <w:p w:rsidRPr="00502DE0" w:rsidR="005936CA" w:rsidP="00C55E59" w:rsidRDefault="005936CA" w14:paraId="149135B7" w14:textId="77777777">
            <w:pPr>
              <w:ind w:left="561"/>
              <w:jc w:val="both"/>
              <w:rPr>
                <w:rFonts w:ascii="Verdana" w:hAnsi="Verdana" w:eastAsia="Calibri" w:cs="Arial"/>
                <w:b/>
                <w:lang w:val="es-ES" w:eastAsia="es-ES_tradnl"/>
              </w:rPr>
            </w:pPr>
            <w:r w:rsidRPr="00502DE0">
              <w:rPr>
                <w:rFonts w:ascii="Verdana" w:hAnsi="Verdana" w:eastAsia="Calibri" w:cs="Arial"/>
                <w:b/>
                <w:lang w:val="es-ES" w:eastAsia="es-ES_tradnl"/>
              </w:rPr>
              <w:t>Radicación:</w:t>
            </w:r>
            <w:r w:rsidRPr="00502DE0">
              <w:rPr>
                <w:rFonts w:ascii="Verdana" w:hAnsi="Verdana" w:eastAsia="Calibri" w:cs="Arial"/>
                <w:lang w:val="es-ES" w:eastAsia="es-ES_tradnl"/>
              </w:rPr>
              <w:t xml:space="preserve">              </w:t>
            </w:r>
          </w:p>
        </w:tc>
        <w:tc>
          <w:tcPr>
            <w:tcW w:w="6100" w:type="dxa"/>
          </w:tcPr>
          <w:p w:rsidRPr="00502DE0" w:rsidR="005936CA" w:rsidP="00C55E59" w:rsidRDefault="005936CA" w14:paraId="21C669A7" w14:textId="77777777">
            <w:pPr>
              <w:ind w:left="3"/>
              <w:jc w:val="both"/>
              <w:rPr>
                <w:rFonts w:ascii="Verdana" w:hAnsi="Verdana"/>
                <w:lang w:val="es-ES"/>
              </w:rPr>
            </w:pPr>
            <w:r w:rsidRPr="00502DE0">
              <w:rPr>
                <w:rFonts w:ascii="Verdana" w:hAnsi="Verdana" w:eastAsia="Calibri" w:cs="Arial"/>
                <w:lang w:val="es-ES" w:eastAsia="es-ES"/>
              </w:rPr>
              <w:t xml:space="preserve">Respuesta a consulta con radicado No. </w:t>
            </w:r>
            <w:r w:rsidRPr="0001026B">
              <w:rPr>
                <w:rFonts w:ascii="Verdana" w:hAnsi="Verdana" w:eastAsia="Calibri" w:cs="Arial"/>
                <w:lang w:val="es-ES" w:eastAsia="es-ES"/>
              </w:rPr>
              <w:t>1_2026_02_09_001640</w:t>
            </w:r>
          </w:p>
        </w:tc>
      </w:tr>
    </w:tbl>
    <w:p w:rsidRPr="009F4646" w:rsidR="005936CA" w:rsidP="005936CA" w:rsidRDefault="005936CA" w14:paraId="6B5101D9" w14:textId="77777777">
      <w:pPr>
        <w:spacing w:after="0" w:line="276" w:lineRule="auto"/>
        <w:jc w:val="both"/>
        <w:rPr>
          <w:rFonts w:ascii="Verdana" w:hAnsi="Verdana" w:eastAsia="Calibri" w:cs="Arial"/>
          <w:color w:val="EE0000"/>
          <w:lang w:val="es-ES" w:eastAsia="es-ES"/>
        </w:rPr>
      </w:pPr>
    </w:p>
    <w:p w:rsidRPr="009F4646" w:rsidR="005936CA" w:rsidP="005936CA" w:rsidRDefault="005936CA" w14:paraId="1DC0DC58" w14:textId="77777777">
      <w:pPr>
        <w:spacing w:after="0" w:line="276" w:lineRule="auto"/>
        <w:jc w:val="both"/>
        <w:rPr>
          <w:rFonts w:ascii="Verdana" w:hAnsi="Verdana" w:eastAsia="Calibri" w:cs="Arial"/>
          <w:color w:val="EE0000"/>
          <w:lang w:val="es-ES" w:eastAsia="es-ES"/>
        </w:rPr>
      </w:pPr>
    </w:p>
    <w:p w:rsidRPr="006176CE" w:rsidR="005936CA" w:rsidP="005936CA" w:rsidRDefault="005936CA" w14:paraId="0AD1CED9" w14:textId="77777777">
      <w:pPr>
        <w:spacing w:after="0" w:line="276" w:lineRule="auto"/>
        <w:jc w:val="both"/>
        <w:rPr>
          <w:rFonts w:ascii="Verdana" w:hAnsi="Verdana" w:eastAsia="Calibri" w:cs="Arial"/>
          <w:lang w:val="es-ES" w:eastAsia="es-ES"/>
        </w:rPr>
      </w:pPr>
      <w:r w:rsidRPr="006176CE">
        <w:rPr>
          <w:rFonts w:ascii="Verdana" w:hAnsi="Verdana" w:eastAsia="Calibri" w:cs="Arial"/>
          <w:lang w:val="es-ES" w:eastAsia="es-ES"/>
        </w:rPr>
        <w:t xml:space="preserve">Estimado Señor </w:t>
      </w:r>
      <w:r>
        <w:rPr>
          <w:rFonts w:ascii="Verdana" w:hAnsi="Verdana" w:eastAsia="Calibri" w:cs="Arial"/>
          <w:lang w:val="es-ES" w:eastAsia="es-ES"/>
        </w:rPr>
        <w:t>Gonzalez</w:t>
      </w:r>
      <w:r w:rsidRPr="006176CE">
        <w:rPr>
          <w:rFonts w:ascii="Verdana" w:hAnsi="Verdana" w:eastAsia="Calibri" w:cs="Arial"/>
          <w:lang w:val="es-ES" w:eastAsia="es-ES"/>
        </w:rPr>
        <w:t>,</w:t>
      </w:r>
    </w:p>
    <w:p w:rsidRPr="006176CE" w:rsidR="005936CA" w:rsidP="005936CA" w:rsidRDefault="005936CA" w14:paraId="2DF91B1F" w14:textId="77777777">
      <w:pPr>
        <w:tabs>
          <w:tab w:val="left" w:pos="3768"/>
        </w:tabs>
        <w:spacing w:after="0" w:line="276" w:lineRule="auto"/>
        <w:jc w:val="both"/>
        <w:rPr>
          <w:rFonts w:ascii="Verdana" w:hAnsi="Verdana" w:eastAsia="Calibri" w:cs="Arial"/>
          <w:lang w:val="es-ES" w:eastAsia="es-ES"/>
        </w:rPr>
      </w:pPr>
      <w:r w:rsidRPr="006176CE">
        <w:rPr>
          <w:rFonts w:ascii="Verdana" w:hAnsi="Verdana" w:eastAsia="Calibri" w:cs="Arial"/>
          <w:lang w:val="es-ES" w:eastAsia="es-ES"/>
        </w:rPr>
        <w:tab/>
      </w:r>
    </w:p>
    <w:p w:rsidRPr="006176CE" w:rsidR="005936CA" w:rsidP="005936CA" w:rsidRDefault="005936CA" w14:paraId="48924842" w14:textId="77777777">
      <w:pPr>
        <w:spacing w:after="0" w:line="276" w:lineRule="auto"/>
        <w:jc w:val="both"/>
        <w:rPr>
          <w:rFonts w:ascii="Verdana" w:hAnsi="Verdana" w:eastAsia="Calibri" w:cs="Arial"/>
          <w:lang w:val="es-ES" w:eastAsia="es-ES"/>
        </w:rPr>
      </w:pPr>
      <w:r w:rsidRPr="006176CE">
        <w:rPr>
          <w:rFonts w:ascii="Verdana" w:hAnsi="Verdana" w:eastAsia="Calibri" w:cs="Arial"/>
          <w:lang w:val="es-ES" w:eastAsia="es-ES"/>
        </w:rPr>
        <w:t>En ejercicio de la competencia otorgada por los artículos 3, numeral 5º, y 11, numeral 8º, del Decreto Ley 4170 de 2011,</w:t>
      </w:r>
      <w:r w:rsidRPr="006176CE">
        <w:rPr>
          <w:rFonts w:ascii="Verdana" w:hAnsi="Verdana" w:eastAsia="Arial MT" w:cs="Arial MT"/>
          <w:lang w:val="es-ES" w:eastAsia="es-ES"/>
        </w:rPr>
        <w:t xml:space="preserve"> </w:t>
      </w:r>
      <w:r w:rsidRPr="006176CE">
        <w:rPr>
          <w:rFonts w:ascii="Verdana" w:hAnsi="Verdana" w:cs="Arial"/>
          <w:lang w:val="es-ES"/>
        </w:rPr>
        <w:t xml:space="preserve">así como lo establecido en la Resolución </w:t>
      </w:r>
      <w:r>
        <w:rPr>
          <w:rFonts w:ascii="Verdana" w:hAnsi="Verdana" w:cs="Arial"/>
          <w:lang w:val="es-ES"/>
        </w:rPr>
        <w:t>469</w:t>
      </w:r>
      <w:r w:rsidRPr="006176CE">
        <w:rPr>
          <w:rFonts w:ascii="Verdana" w:hAnsi="Verdana" w:cs="Arial"/>
          <w:lang w:val="es-ES"/>
        </w:rPr>
        <w:t xml:space="preserve"> de 20</w:t>
      </w:r>
      <w:r>
        <w:rPr>
          <w:rFonts w:ascii="Verdana" w:hAnsi="Verdana" w:cs="Arial"/>
          <w:lang w:val="es-ES"/>
        </w:rPr>
        <w:t>25</w:t>
      </w:r>
      <w:r w:rsidRPr="006176CE">
        <w:rPr>
          <w:rFonts w:ascii="Verdana" w:hAnsi="Verdana" w:cs="Arial"/>
          <w:lang w:val="es-ES"/>
        </w:rPr>
        <w:t xml:space="preserve"> expedida por esta Entidad, </w:t>
      </w:r>
      <w:r w:rsidRPr="006176CE">
        <w:rPr>
          <w:rFonts w:ascii="Verdana" w:hAnsi="Verdana" w:eastAsia="Calibri" w:cs="Arial"/>
          <w:lang w:val="es-ES" w:eastAsia="es-ES"/>
        </w:rPr>
        <w:t>la Agencia Nacional de Contratación Pública – Colombia Compra Eficiente– responde su solicitud de consulta de fecha</w:t>
      </w:r>
      <w:r>
        <w:rPr>
          <w:rFonts w:ascii="Verdana" w:hAnsi="Verdana" w:eastAsia="Calibri" w:cs="Arial"/>
          <w:lang w:val="es-ES" w:eastAsia="es-ES"/>
        </w:rPr>
        <w:t xml:space="preserve"> 9</w:t>
      </w:r>
      <w:r w:rsidRPr="006176CE">
        <w:rPr>
          <w:rFonts w:ascii="Verdana" w:hAnsi="Verdana" w:eastAsia="Calibri" w:cs="Arial"/>
          <w:lang w:val="es-ES" w:eastAsia="es-ES"/>
        </w:rPr>
        <w:t xml:space="preserve"> de </w:t>
      </w:r>
      <w:r>
        <w:rPr>
          <w:rFonts w:ascii="Verdana" w:hAnsi="Verdana" w:eastAsia="Calibri" w:cs="Arial"/>
          <w:lang w:val="es-ES" w:eastAsia="es-ES"/>
        </w:rPr>
        <w:t>fe</w:t>
      </w:r>
      <w:r w:rsidRPr="006176CE">
        <w:rPr>
          <w:rFonts w:ascii="Verdana" w:hAnsi="Verdana" w:eastAsia="Calibri" w:cs="Arial"/>
          <w:lang w:val="es-ES" w:eastAsia="es-ES"/>
        </w:rPr>
        <w:t>bre</w:t>
      </w:r>
      <w:r>
        <w:rPr>
          <w:rFonts w:ascii="Verdana" w:hAnsi="Verdana" w:eastAsia="Calibri" w:cs="Arial"/>
          <w:lang w:val="es-ES" w:eastAsia="es-ES"/>
        </w:rPr>
        <w:t>ro</w:t>
      </w:r>
      <w:r w:rsidRPr="006176CE">
        <w:rPr>
          <w:rFonts w:ascii="Verdana" w:hAnsi="Verdana" w:eastAsia="Calibri" w:cs="Arial"/>
          <w:lang w:val="es-ES" w:eastAsia="es-ES"/>
        </w:rPr>
        <w:t xml:space="preserve"> de 202</w:t>
      </w:r>
      <w:r>
        <w:rPr>
          <w:rFonts w:ascii="Verdana" w:hAnsi="Verdana" w:eastAsia="Calibri" w:cs="Arial"/>
          <w:lang w:val="es-ES" w:eastAsia="es-ES"/>
        </w:rPr>
        <w:t>6</w:t>
      </w:r>
      <w:r w:rsidRPr="006176CE">
        <w:rPr>
          <w:rFonts w:ascii="Verdana" w:hAnsi="Verdana" w:eastAsia="Calibri" w:cs="Arial"/>
          <w:lang w:val="es-ES" w:eastAsia="es-ES"/>
        </w:rPr>
        <w:t xml:space="preserve">, en la cual manifiesta lo siguiente: </w:t>
      </w:r>
    </w:p>
    <w:p w:rsidRPr="009F4646" w:rsidR="005936CA" w:rsidP="005936CA" w:rsidRDefault="005936CA" w14:paraId="2EEAD735" w14:textId="77777777">
      <w:pPr>
        <w:tabs>
          <w:tab w:val="left" w:pos="142"/>
          <w:tab w:val="left" w:pos="284"/>
        </w:tabs>
        <w:spacing w:after="0" w:line="276" w:lineRule="auto"/>
        <w:contextualSpacing/>
        <w:jc w:val="both"/>
        <w:rPr>
          <w:rFonts w:ascii="Verdana" w:hAnsi="Verdana" w:eastAsia="Century Gothic" w:cs="Century Gothic"/>
          <w:b/>
          <w:bCs/>
          <w:color w:val="EE0000"/>
          <w:lang w:val="es-ES"/>
        </w:rPr>
      </w:pPr>
    </w:p>
    <w:p w:rsidR="005936CA" w:rsidP="005936CA" w:rsidRDefault="005936CA" w14:paraId="024ECDD2" w14:textId="77777777">
      <w:pPr>
        <w:spacing w:before="120" w:after="120" w:line="240" w:lineRule="auto"/>
        <w:ind w:left="709" w:right="709"/>
        <w:contextualSpacing/>
        <w:jc w:val="both"/>
        <w:rPr>
          <w:rFonts w:ascii="Verdana" w:hAnsi="Verdana" w:eastAsia="Century Gothic" w:cs="Century Gothic"/>
          <w:i/>
          <w:iCs/>
          <w:sz w:val="20"/>
          <w:szCs w:val="20"/>
          <w:lang w:val="es-ES"/>
        </w:rPr>
      </w:pPr>
      <w:r w:rsidRPr="00905247">
        <w:rPr>
          <w:rFonts w:ascii="Verdana" w:hAnsi="Verdana" w:eastAsia="Century Gothic" w:cs="Century Gothic"/>
          <w:i/>
          <w:iCs/>
          <w:sz w:val="20"/>
          <w:szCs w:val="20"/>
          <w:lang w:val="es-ES"/>
        </w:rPr>
        <w:t>“</w:t>
      </w:r>
      <w:r w:rsidRPr="00F30956">
        <w:rPr>
          <w:rFonts w:ascii="Verdana" w:hAnsi="Verdana" w:eastAsia="Century Gothic" w:cs="Century Gothic"/>
          <w:i/>
          <w:iCs/>
          <w:sz w:val="20"/>
          <w:szCs w:val="20"/>
          <w:lang w:val="es-ES"/>
        </w:rPr>
        <w:t>Respetuosamente, se eleva consulta en relación con la conveniencia y legalidad de</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incluir, dentro de los contratos de prestación de servicios profesionales o de apoyo</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a la gestión, obligaciones generales o específicas formuladas en los siguientes</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 xml:space="preserve">términos: “Las demás que por la naturaleza </w:t>
      </w:r>
      <w:r w:rsidRPr="00F30956">
        <w:rPr>
          <w:rFonts w:ascii="Verdana" w:hAnsi="Verdana" w:eastAsia="Century Gothic" w:cs="Century Gothic"/>
          <w:i/>
          <w:iCs/>
          <w:sz w:val="20"/>
          <w:szCs w:val="20"/>
          <w:lang w:val="es-ES"/>
        </w:rPr>
        <w:lastRenderedPageBreak/>
        <w:t>del contrato le sean asignadas por el</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supervisor y tengan relación con el objeto”, o “Las demás que sean asignadas en el</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desarrollo del contrato o por el supervisor del contrato”.</w:t>
      </w:r>
    </w:p>
    <w:p w:rsidR="005936CA" w:rsidP="005936CA" w:rsidRDefault="005936CA" w14:paraId="243AA24B" w14:textId="77777777">
      <w:pPr>
        <w:spacing w:before="120" w:after="120" w:line="240" w:lineRule="auto"/>
        <w:ind w:left="709" w:right="709"/>
        <w:contextualSpacing/>
        <w:jc w:val="both"/>
        <w:rPr>
          <w:rFonts w:ascii="Verdana" w:hAnsi="Verdana" w:eastAsia="Century Gothic" w:cs="Century Gothic"/>
          <w:i/>
          <w:iCs/>
          <w:sz w:val="20"/>
          <w:szCs w:val="20"/>
          <w:lang w:val="es-ES"/>
        </w:rPr>
      </w:pPr>
    </w:p>
    <w:p w:rsidR="005936CA" w:rsidP="005936CA" w:rsidRDefault="005936CA" w14:paraId="7870E924" w14:textId="77777777">
      <w:pPr>
        <w:spacing w:before="120" w:after="120" w:line="240" w:lineRule="auto"/>
        <w:ind w:left="709" w:right="709"/>
        <w:contextualSpacing/>
        <w:jc w:val="both"/>
        <w:rPr>
          <w:rFonts w:ascii="Verdana" w:hAnsi="Verdana" w:eastAsia="Century Gothic" w:cs="Century Gothic"/>
          <w:i/>
          <w:iCs/>
          <w:sz w:val="20"/>
          <w:szCs w:val="20"/>
          <w:lang w:val="es-ES"/>
        </w:rPr>
      </w:pPr>
      <w:r w:rsidRPr="00F30956">
        <w:rPr>
          <w:rFonts w:ascii="Verdana" w:hAnsi="Verdana" w:eastAsia="Century Gothic" w:cs="Century Gothic"/>
          <w:i/>
          <w:iCs/>
          <w:sz w:val="20"/>
          <w:szCs w:val="20"/>
          <w:lang w:val="es-ES"/>
        </w:rPr>
        <w:t>Lo anterior, considerando que este tipo de cláusulas abiertas e indeterminadas</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podrían resultar excesivas o lo acordado entre las partes y contrarias a lo dispuesto</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en el artículo 24, numeral 5, literal e), de la Ley 80 de 1993, según el cual: “Se</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definirán reglas que no induzcan a error a los proponentes y contratistas y que</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impidan la formulación de ofrecimientos de extensión ilimitada o que dependan de</w:t>
      </w:r>
      <w:r>
        <w:rPr>
          <w:rFonts w:ascii="Verdana" w:hAnsi="Verdana" w:eastAsia="Century Gothic" w:cs="Century Gothic"/>
          <w:i/>
          <w:iCs/>
          <w:sz w:val="20"/>
          <w:szCs w:val="20"/>
          <w:lang w:val="es-ES"/>
        </w:rPr>
        <w:t xml:space="preserve"> </w:t>
      </w:r>
      <w:r w:rsidRPr="00F30956">
        <w:rPr>
          <w:rFonts w:ascii="Verdana" w:hAnsi="Verdana" w:eastAsia="Century Gothic" w:cs="Century Gothic"/>
          <w:i/>
          <w:iCs/>
          <w:sz w:val="20"/>
          <w:szCs w:val="20"/>
          <w:lang w:val="es-ES"/>
        </w:rPr>
        <w:t>la voluntad exclusiva de la entidad</w:t>
      </w:r>
      <w:r>
        <w:rPr>
          <w:rFonts w:ascii="Verdana" w:hAnsi="Verdana" w:eastAsia="Century Gothic" w:cs="Century Gothic"/>
          <w:i/>
          <w:iCs/>
          <w:sz w:val="20"/>
          <w:szCs w:val="20"/>
          <w:lang w:val="es-ES"/>
        </w:rPr>
        <w:t>”.</w:t>
      </w:r>
    </w:p>
    <w:p w:rsidRPr="00905247" w:rsidR="005936CA" w:rsidP="005936CA" w:rsidRDefault="005936CA" w14:paraId="1EAD0F61" w14:textId="77777777">
      <w:pPr>
        <w:spacing w:before="120" w:after="120" w:line="240" w:lineRule="auto"/>
        <w:ind w:left="709" w:right="709"/>
        <w:contextualSpacing/>
        <w:jc w:val="both"/>
        <w:rPr>
          <w:rFonts w:ascii="Verdana" w:hAnsi="Verdana" w:eastAsia="Century Gothic" w:cs="Century Gothic"/>
          <w:i/>
          <w:iCs/>
          <w:sz w:val="20"/>
          <w:szCs w:val="20"/>
          <w:lang w:val="es-ES"/>
        </w:rPr>
      </w:pPr>
    </w:p>
    <w:p w:rsidRPr="00E55B80" w:rsidR="005936CA" w:rsidP="005936CA" w:rsidRDefault="005936CA" w14:paraId="7033B51B" w14:textId="77777777">
      <w:pPr>
        <w:spacing w:after="120" w:line="276" w:lineRule="auto"/>
        <w:ind w:firstLine="708"/>
        <w:jc w:val="both"/>
        <w:rPr>
          <w:rFonts w:ascii="Verdana" w:hAnsi="Verdana" w:eastAsia="Calibri" w:cs="Arial"/>
          <w:lang w:val="es-ES" w:eastAsia="es-ES"/>
        </w:rPr>
      </w:pPr>
      <w:r w:rsidRPr="00E55B80">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eastAsia="Calibri" w:cs="Arial"/>
          <w:lang w:val="es-ES" w:eastAsia="es-ES"/>
        </w:rPr>
        <w:t xml:space="preserve">la Agencia Nacional de Contratación Pública - </w:t>
      </w:r>
      <w:r w:rsidRPr="00E55B80">
        <w:rPr>
          <w:rFonts w:ascii="Verdana" w:hAnsi="Verdana" w:eastAsia="Calibri"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5B80">
        <w:rPr>
          <w:rFonts w:ascii="Verdana" w:hAnsi="Verdana"/>
          <w:lang w:val="es-ES"/>
        </w:rPr>
        <w:tab/>
      </w:r>
    </w:p>
    <w:p w:rsidRPr="00E55B80" w:rsidR="005936CA" w:rsidP="005936CA" w:rsidRDefault="005936CA" w14:paraId="0AB7C7D8" w14:textId="77777777">
      <w:pPr>
        <w:spacing w:after="0" w:line="276" w:lineRule="auto"/>
        <w:ind w:firstLine="709"/>
        <w:jc w:val="both"/>
        <w:rPr>
          <w:rFonts w:ascii="Verdana" w:hAnsi="Verdana" w:eastAsia="Calibri" w:cs="Arial"/>
          <w:lang w:val="es-ES" w:eastAsia="es-ES"/>
        </w:rPr>
      </w:pPr>
      <w:r w:rsidRPr="00E55B80">
        <w:rPr>
          <w:rFonts w:ascii="Verdana" w:hAnsi="Verdana" w:eastAsia="Calibri"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Pr="00E55B80" w:rsidR="005936CA" w:rsidP="005936CA" w:rsidRDefault="005936CA" w14:paraId="477A66D6" w14:textId="77777777">
      <w:pPr>
        <w:spacing w:after="0" w:line="276" w:lineRule="auto"/>
        <w:ind w:firstLine="709"/>
        <w:jc w:val="both"/>
        <w:rPr>
          <w:rFonts w:ascii="Verdana" w:hAnsi="Verdana" w:eastAsia="Calibri" w:cs="Arial"/>
          <w:lang w:val="es-ES" w:eastAsia="es-ES"/>
        </w:rPr>
      </w:pPr>
    </w:p>
    <w:p w:rsidRPr="00E55B80" w:rsidR="005936CA" w:rsidP="005936CA" w:rsidRDefault="005936CA" w14:paraId="3DC7F084" w14:textId="77777777">
      <w:pPr>
        <w:tabs>
          <w:tab w:val="left" w:pos="142"/>
          <w:tab w:val="left" w:pos="284"/>
        </w:tabs>
        <w:spacing w:after="0" w:line="276" w:lineRule="auto"/>
        <w:contextualSpacing/>
        <w:jc w:val="both"/>
        <w:rPr>
          <w:rFonts w:ascii="Verdana" w:hAnsi="Verdana" w:eastAsia="Century Gothic" w:cs="Century Gothic"/>
          <w:b/>
          <w:lang w:val="es-ES"/>
        </w:rPr>
      </w:pPr>
      <w:r w:rsidRPr="00E55B80">
        <w:rPr>
          <w:rFonts w:ascii="Verdana" w:hAnsi="Verdana" w:eastAsia="Century Gothic" w:cs="Century Gothic"/>
          <w:b/>
          <w:lang w:val="es-ES"/>
        </w:rPr>
        <w:t>1. Problema planteado:</w:t>
      </w:r>
    </w:p>
    <w:p w:rsidRPr="009F4646" w:rsidR="005936CA" w:rsidP="005936CA" w:rsidRDefault="005936CA" w14:paraId="3A62CA73" w14:textId="77777777">
      <w:pPr>
        <w:tabs>
          <w:tab w:val="left" w:pos="426"/>
        </w:tabs>
        <w:spacing w:after="0" w:line="276" w:lineRule="auto"/>
        <w:jc w:val="both"/>
        <w:rPr>
          <w:rFonts w:ascii="Verdana" w:hAnsi="Verdana" w:eastAsia="Century Gothic" w:cs="Century Gothic"/>
          <w:color w:val="EE0000"/>
          <w:lang w:val="es-ES"/>
        </w:rPr>
      </w:pPr>
    </w:p>
    <w:p w:rsidRPr="009F4646" w:rsidR="005936CA" w:rsidP="005936CA" w:rsidRDefault="005936CA" w14:paraId="7AFD7717" w14:textId="77777777">
      <w:pPr>
        <w:spacing w:after="0" w:line="276" w:lineRule="auto"/>
        <w:jc w:val="both"/>
        <w:rPr>
          <w:rFonts w:ascii="Verdana" w:hAnsi="Verdana" w:eastAsia="Century Gothic" w:cs="Century Gothic"/>
          <w:i/>
          <w:iCs/>
          <w:color w:val="EE0000"/>
        </w:rPr>
      </w:pPr>
      <w:r w:rsidRPr="00FB5D18">
        <w:rPr>
          <w:rFonts w:ascii="Verdana" w:hAnsi="Verdana" w:eastAsia="Century Gothic" w:cs="Century Gothic"/>
          <w:lang w:val="es-ES"/>
        </w:rPr>
        <w:t>De acuerdo con el contenido de su solicitud, esta Agencia resolverá el siguiente problema jurídico:</w:t>
      </w:r>
      <w:r w:rsidRPr="00FB5D18">
        <w:rPr>
          <w:rFonts w:ascii="Verdana" w:hAnsi="Verdana" w:eastAsia="Century Gothic" w:cs="Century Gothic"/>
        </w:rPr>
        <w:t xml:space="preserve"> </w:t>
      </w:r>
      <w:r w:rsidRPr="00AF4F48">
        <w:rPr>
          <w:rFonts w:ascii="Verdana" w:hAnsi="Verdana" w:eastAsia="Century Gothic" w:cs="Century Gothic"/>
        </w:rPr>
        <w:t>¿</w:t>
      </w:r>
      <w:r>
        <w:rPr>
          <w:rFonts w:ascii="Verdana" w:hAnsi="Verdana" w:eastAsia="Century Gothic" w:cs="Century Gothic"/>
        </w:rPr>
        <w:t>En</w:t>
      </w:r>
      <w:r w:rsidRPr="00AF4F48">
        <w:rPr>
          <w:rFonts w:ascii="Verdana" w:hAnsi="Verdana" w:eastAsia="Century Gothic" w:cs="Century Gothic"/>
        </w:rPr>
        <w:t xml:space="preserve"> la contratación por prestación de servicios en una entidad pública</w:t>
      </w:r>
      <w:r>
        <w:rPr>
          <w:rFonts w:ascii="Verdana" w:hAnsi="Verdana" w:eastAsia="Century Gothic" w:cs="Century Gothic"/>
        </w:rPr>
        <w:t xml:space="preserve"> se pueden incluir cláusulas amplias o indeterminadas?</w:t>
      </w:r>
    </w:p>
    <w:p w:rsidRPr="009F4646" w:rsidR="005936CA" w:rsidP="005936CA" w:rsidRDefault="005936CA" w14:paraId="68CE9AF9" w14:textId="77777777">
      <w:pPr>
        <w:spacing w:after="0" w:line="276" w:lineRule="auto"/>
        <w:jc w:val="both"/>
        <w:rPr>
          <w:rFonts w:ascii="Verdana" w:hAnsi="Verdana" w:eastAsia="Century Gothic" w:cs="Century Gothic"/>
          <w:color w:val="EE0000"/>
        </w:rPr>
      </w:pPr>
    </w:p>
    <w:p w:rsidRPr="00FB6874" w:rsidR="005936CA" w:rsidP="005936CA" w:rsidRDefault="005936CA" w14:paraId="591C38C5" w14:textId="77777777">
      <w:pPr>
        <w:tabs>
          <w:tab w:val="left" w:pos="142"/>
          <w:tab w:val="left" w:pos="284"/>
        </w:tabs>
        <w:spacing w:after="0" w:line="276" w:lineRule="auto"/>
        <w:jc w:val="both"/>
        <w:rPr>
          <w:rFonts w:ascii="Verdana" w:hAnsi="Verdana" w:eastAsia="Century Gothic" w:cs="Century Gothic"/>
          <w:b/>
          <w:lang w:val="es-ES"/>
        </w:rPr>
      </w:pPr>
      <w:r w:rsidRPr="00FB6874">
        <w:rPr>
          <w:rFonts w:ascii="Verdana" w:hAnsi="Verdana" w:eastAsia="Century Gothic" w:cs="Century Gothic"/>
          <w:b/>
          <w:lang w:val="es-ES"/>
        </w:rPr>
        <w:t>2. Respuesta:</w:t>
      </w:r>
    </w:p>
    <w:p w:rsidRPr="009F4646" w:rsidR="005936CA" w:rsidP="005936CA" w:rsidRDefault="005936CA" w14:paraId="2ABAB024" w14:textId="77777777">
      <w:pPr>
        <w:tabs>
          <w:tab w:val="left" w:pos="142"/>
          <w:tab w:val="left" w:pos="284"/>
        </w:tabs>
        <w:spacing w:after="0" w:line="276" w:lineRule="auto"/>
        <w:jc w:val="both"/>
        <w:rPr>
          <w:rFonts w:ascii="Verdana" w:hAnsi="Verdana" w:eastAsia="Century Gothic" w:cs="Century Gothic"/>
          <w:b/>
          <w:bCs/>
          <w:color w:val="EE0000"/>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9F4646" w:rsidR="005936CA" w:rsidTr="00C55E59" w14:paraId="64E9D6E5" w14:textId="77777777">
        <w:tc>
          <w:tcPr>
            <w:tcW w:w="8828" w:type="dxa"/>
          </w:tcPr>
          <w:p w:rsidRPr="00D14454" w:rsidR="005936CA" w:rsidP="00C55E59" w:rsidRDefault="005936CA" w14:paraId="57040EFF" w14:textId="77777777">
            <w:pPr>
              <w:spacing w:after="120" w:line="276" w:lineRule="auto"/>
              <w:jc w:val="both"/>
              <w:rPr>
                <w:rFonts w:ascii="Verdana" w:hAnsi="Verdana" w:eastAsia="Calibri" w:cs="Arial"/>
                <w:lang w:eastAsia="es-CO"/>
              </w:rPr>
            </w:pPr>
            <w:r w:rsidRPr="007F2E96">
              <w:rPr>
                <w:rFonts w:ascii="Verdana" w:hAnsi="Verdana" w:eastAsia="Calibri" w:cs="Arial"/>
                <w:lang w:eastAsia="es-CO"/>
              </w:rPr>
              <w:t>De conformidad con el numeral 3° del artículo 32 de la Ley 80 de 1993, el contrato de prestación de servicios es uno de los tipos contractuales previstos en el Estatuto General de Contratación de la Administración Pública – EGCAP</w:t>
            </w:r>
            <w:r>
              <w:rPr>
                <w:rFonts w:ascii="Verdana" w:hAnsi="Verdana" w:eastAsia="Calibri" w:cs="Arial"/>
                <w:lang w:eastAsia="es-CO"/>
              </w:rPr>
              <w:t xml:space="preserve">, </w:t>
            </w:r>
            <w:r w:rsidRPr="007F2E96">
              <w:rPr>
                <w:rFonts w:ascii="Verdana" w:hAnsi="Verdana" w:eastAsia="Calibri" w:cs="Arial"/>
                <w:lang w:eastAsia="es-CO"/>
              </w:rPr>
              <w:t xml:space="preserve">que puede ser celebrado por las entidades estatales para desarrollar actividades relacionadas con su administración o funcionamiento, </w:t>
            </w:r>
            <w:r w:rsidRPr="00072FBB">
              <w:rPr>
                <w:rFonts w:ascii="Verdana" w:hAnsi="Verdana" w:eastAsia="Calibri" w:cs="Arial"/>
                <w:lang w:eastAsia="es-CO"/>
              </w:rPr>
              <w:t>siempre que, dichas actividades no puedan ser atendidas con personal de planta o requieran conocimientos especializados, en cuyo caso podrán contratarse personas naturales</w:t>
            </w:r>
            <w:r w:rsidRPr="007F2E96">
              <w:rPr>
                <w:rFonts w:ascii="Verdana" w:hAnsi="Verdana" w:eastAsia="Calibri" w:cs="Arial"/>
                <w:lang w:eastAsia="es-CO"/>
              </w:rPr>
              <w:t>, sin que estos contratos generen relación laboral ni prestaciones sociales y debiendo celebrarse únicamente por el término estrictamente indispensable.</w:t>
            </w:r>
          </w:p>
          <w:p w:rsidRPr="00E400DC" w:rsidR="005936CA" w:rsidP="00C55E59" w:rsidRDefault="005936CA" w14:paraId="51C03623" w14:textId="77777777">
            <w:pPr>
              <w:autoSpaceDE w:val="0"/>
              <w:autoSpaceDN w:val="0"/>
              <w:adjustRightInd w:val="0"/>
              <w:spacing w:after="120" w:line="276" w:lineRule="auto"/>
              <w:ind w:firstLine="709"/>
              <w:jc w:val="both"/>
              <w:rPr>
                <w:rFonts w:ascii="Verdana" w:hAnsi="Verdana" w:cs="Arial"/>
                <w:i/>
                <w:iCs/>
              </w:rPr>
            </w:pPr>
            <w:r w:rsidRPr="00EA4DC1">
              <w:rPr>
                <w:rFonts w:ascii="Verdana" w:hAnsi="Verdana" w:cs="Arial"/>
              </w:rPr>
              <w:t>En lo relativo a</w:t>
            </w:r>
            <w:r>
              <w:rPr>
                <w:rFonts w:ascii="Verdana" w:hAnsi="Verdana" w:cs="Arial"/>
              </w:rPr>
              <w:t xml:space="preserve"> </w:t>
            </w:r>
            <w:r w:rsidRPr="00EA4DC1">
              <w:rPr>
                <w:rFonts w:ascii="Verdana" w:hAnsi="Verdana" w:cs="Arial"/>
              </w:rPr>
              <w:t>l</w:t>
            </w:r>
            <w:r>
              <w:rPr>
                <w:rFonts w:ascii="Verdana" w:hAnsi="Verdana" w:cs="Arial"/>
              </w:rPr>
              <w:t xml:space="preserve">as obligaciones pactadas dentro </w:t>
            </w:r>
            <w:r w:rsidRPr="00EA4DC1">
              <w:rPr>
                <w:rFonts w:ascii="Verdana" w:hAnsi="Verdana" w:cs="Arial"/>
              </w:rPr>
              <w:t>de los contratos de prestación de servicios</w:t>
            </w:r>
            <w:r>
              <w:rPr>
                <w:rFonts w:ascii="Verdana" w:hAnsi="Verdana" w:cs="Arial"/>
              </w:rPr>
              <w:t>,</w:t>
            </w:r>
            <w:r w:rsidRPr="00EA4DC1">
              <w:rPr>
                <w:rFonts w:ascii="Verdana" w:hAnsi="Verdana" w:cs="Arial"/>
              </w:rPr>
              <w:t xml:space="preserve"> debe destacarse lo señalado en el inciso segundo del numeral 3 del artículo 32 de la Ley 80 de 1993, el cual dispone que: </w:t>
            </w:r>
            <w:r w:rsidRPr="00E400DC">
              <w:rPr>
                <w:rFonts w:ascii="Verdana" w:hAnsi="Verdana" w:cs="Arial"/>
                <w:i/>
                <w:iCs/>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rsidR="005936CA" w:rsidP="00C55E59" w:rsidRDefault="005936CA" w14:paraId="55E9ACF6" w14:textId="77777777">
            <w:pPr>
              <w:spacing w:after="120" w:line="276" w:lineRule="auto"/>
              <w:ind w:firstLine="709"/>
              <w:jc w:val="both"/>
              <w:rPr>
                <w:rFonts w:ascii="Verdana" w:hAnsi="Verdana" w:eastAsia="Calibri" w:cs="Arial"/>
                <w:color w:val="000000"/>
              </w:rPr>
            </w:pPr>
            <w:r>
              <w:rPr>
                <w:rFonts w:ascii="Verdana" w:hAnsi="Verdana" w:eastAsia="Calibri" w:cs="Arial"/>
                <w:color w:val="000000"/>
              </w:rPr>
              <w:t>De esta forma,</w:t>
            </w:r>
            <w:r w:rsidRPr="008D2E7A">
              <w:t xml:space="preserve"> </w:t>
            </w:r>
            <w:r>
              <w:rPr>
                <w:rFonts w:ascii="Verdana" w:hAnsi="Verdana"/>
              </w:rPr>
              <w:t>el uso de</w:t>
            </w:r>
            <w:r>
              <w:rPr>
                <w:rFonts w:ascii="Verdana" w:hAnsi="Verdana" w:eastAsia="Calibri" w:cs="Arial"/>
                <w:color w:val="000000"/>
              </w:rPr>
              <w:t xml:space="preserve"> cláusulas amplias o de obligaciones indeterminadas en</w:t>
            </w:r>
            <w:r w:rsidRPr="008D2E7A">
              <w:rPr>
                <w:rFonts w:ascii="Verdana" w:hAnsi="Verdana" w:eastAsia="Calibri" w:cs="Arial"/>
                <w:color w:val="000000"/>
              </w:rPr>
              <w:t xml:space="preserve"> los contratos de prestación de servicios</w:t>
            </w:r>
            <w:r>
              <w:rPr>
                <w:rFonts w:ascii="Verdana" w:hAnsi="Verdana" w:eastAsia="Calibri" w:cs="Arial"/>
                <w:color w:val="000000"/>
              </w:rPr>
              <w:t xml:space="preserve"> debe analizarse</w:t>
            </w:r>
            <w:r w:rsidRPr="008D2E7A">
              <w:rPr>
                <w:rFonts w:ascii="Verdana" w:hAnsi="Verdana" w:eastAsia="Calibri" w:cs="Arial"/>
                <w:color w:val="000000"/>
              </w:rPr>
              <w:t xml:space="preserve"> </w:t>
            </w:r>
            <w:r>
              <w:rPr>
                <w:rFonts w:ascii="Verdana" w:hAnsi="Verdana" w:eastAsia="Calibri" w:cs="Arial"/>
                <w:color w:val="000000"/>
              </w:rPr>
              <w:t xml:space="preserve">de acuerdo con las características que se expondrán en el presente concepto. Así las cosas, los contratos de prestación de servicios solo pueden celebrarse </w:t>
            </w:r>
            <w:r w:rsidRPr="00D14454">
              <w:rPr>
                <w:rFonts w:ascii="Verdana" w:hAnsi="Verdana" w:eastAsia="Calibri" w:cs="Arial"/>
                <w:color w:val="000000"/>
              </w:rPr>
              <w:t>para realizar “actividades relacionadas con la administración o funcionamiento de la entidad”</w:t>
            </w:r>
            <w:r>
              <w:rPr>
                <w:rFonts w:ascii="Verdana" w:hAnsi="Verdana" w:eastAsia="Calibri" w:cs="Arial"/>
                <w:color w:val="000000"/>
              </w:rPr>
              <w:t xml:space="preserve">. En ese sentido, las cláusulas que se incluyan en los contratos deben guardar conexidad con el objeto contractual pactado. </w:t>
            </w:r>
          </w:p>
          <w:p w:rsidRPr="00E400DC" w:rsidR="005936CA" w:rsidP="00C55E59" w:rsidRDefault="005936CA" w14:paraId="009D47D1" w14:textId="77777777">
            <w:pPr>
              <w:spacing w:after="120" w:line="276" w:lineRule="auto"/>
              <w:ind w:firstLine="709"/>
              <w:jc w:val="both"/>
              <w:rPr>
                <w:rFonts w:ascii="Verdana" w:hAnsi="Verdana" w:eastAsia="Calibri" w:cs="Arial"/>
                <w:color w:val="000000"/>
              </w:rPr>
            </w:pPr>
            <w:r w:rsidRPr="009B4DB8">
              <w:rPr>
                <w:rFonts w:ascii="Verdana" w:hAnsi="Verdana" w:eastAsia="Calibri" w:cs="Arial"/>
                <w:color w:val="000000"/>
              </w:rPr>
              <w:t>En consecuencia, las cláusulas</w:t>
            </w:r>
            <w:r w:rsidRPr="00DF64E0">
              <w:rPr>
                <w:rFonts w:ascii="Verdana" w:hAnsi="Verdana" w:eastAsia="Calibri" w:cs="Arial"/>
                <w:color w:val="000000"/>
              </w:rPr>
              <w:t xml:space="preserve"> que se incluyan en el contrato deben interpretarse con</w:t>
            </w:r>
            <w:r w:rsidRPr="00E400DC">
              <w:rPr>
                <w:rFonts w:ascii="Verdana" w:hAnsi="Verdana" w:eastAsia="Calibri" w:cs="Arial"/>
                <w:color w:val="000000"/>
              </w:rPr>
              <w:t xml:space="preserve">forme al objeto contractual definido a partir de los estudios previos, los cuales determinan tanto el propósito de la contratación como la forma en que se espera que el contratista ejecute el objeto y cumpla las obligaciones derivadas del contrato. De este modo, las obligaciones que se incluyan en el contrato, o que señale el supervisor </w:t>
            </w:r>
            <w:proofErr w:type="gramStart"/>
            <w:r w:rsidRPr="00E400DC">
              <w:rPr>
                <w:rFonts w:ascii="Verdana" w:hAnsi="Verdana" w:eastAsia="Calibri" w:cs="Arial"/>
                <w:color w:val="000000"/>
              </w:rPr>
              <w:t>del mismo</w:t>
            </w:r>
            <w:proofErr w:type="gramEnd"/>
            <w:r w:rsidRPr="00E400DC">
              <w:rPr>
                <w:rFonts w:ascii="Verdana" w:hAnsi="Verdana" w:eastAsia="Calibri" w:cs="Arial"/>
                <w:color w:val="000000"/>
              </w:rPr>
              <w:t xml:space="preserve"> deben restringirse al objeto del contrato conforme al principio de planeación y a la autonomía de la voluntad de las partes.</w:t>
            </w:r>
          </w:p>
          <w:p w:rsidRPr="009B4DB8" w:rsidR="005936CA" w:rsidP="00C55E59" w:rsidRDefault="005936CA" w14:paraId="2CD8C65D" w14:textId="77777777">
            <w:pPr>
              <w:spacing w:after="120" w:line="276" w:lineRule="auto"/>
              <w:ind w:firstLine="709"/>
              <w:jc w:val="both"/>
              <w:rPr>
                <w:rFonts w:ascii="Verdana" w:hAnsi="Verdana" w:eastAsia="Calibri" w:cs="Arial"/>
                <w:color w:val="000000"/>
              </w:rPr>
            </w:pPr>
            <w:r w:rsidRPr="00E400DC">
              <w:rPr>
                <w:rFonts w:ascii="Verdana" w:hAnsi="Verdana" w:eastAsia="Times New Roman" w:cs="Segoe UI"/>
                <w:lang w:eastAsia="es-ES_tradnl"/>
              </w:rPr>
              <w:lastRenderedPageBreak/>
              <w:t xml:space="preserve">Lo anterior implica que, si bien </w:t>
            </w:r>
            <w:r w:rsidRPr="00E400DC">
              <w:rPr>
                <w:rFonts w:ascii="Verdana" w:hAnsi="Verdana" w:eastAsia="Times New Roman" w:cs="Arial"/>
                <w:color w:val="0A0A0A"/>
                <w:shd w:val="clear" w:color="auto" w:fill="FFFFFF"/>
                <w:lang w:eastAsia="es-ES_tradnl"/>
              </w:rPr>
              <w:t xml:space="preserve">es posible y recomendable pactar cláusulas amplias o indeterminadas, como “otras obligaciones relacionadas con el objeto” o “las demás obligaciones que asigne el supervisor” en los contratos de prestación de servicios, lo cierto es que, </w:t>
            </w:r>
            <w:r>
              <w:rPr>
                <w:rFonts w:ascii="Verdana" w:hAnsi="Verdana" w:eastAsia="Times New Roman" w:cs="Arial"/>
                <w:color w:val="0A0A0A"/>
                <w:shd w:val="clear" w:color="auto" w:fill="FFFFFF"/>
                <w:lang w:eastAsia="es-ES_tradnl"/>
              </w:rPr>
              <w:t xml:space="preserve">el </w:t>
            </w:r>
            <w:r w:rsidRPr="00E400DC">
              <w:rPr>
                <w:rFonts w:ascii="Verdana" w:hAnsi="Verdana" w:eastAsia="Times New Roman" w:cs="Segoe UI"/>
                <w:lang w:eastAsia="es-ES_tradnl"/>
              </w:rPr>
              <w:t xml:space="preserve">supervisor no puede </w:t>
            </w:r>
            <w:r>
              <w:rPr>
                <w:rFonts w:ascii="Verdana" w:hAnsi="Verdana" w:eastAsia="Times New Roman" w:cs="Segoe UI"/>
                <w:lang w:eastAsia="es-ES_tradnl"/>
              </w:rPr>
              <w:t xml:space="preserve">fijar obligaciones que </w:t>
            </w:r>
            <w:r w:rsidRPr="00E400DC">
              <w:rPr>
                <w:rFonts w:ascii="Verdana" w:hAnsi="Verdana" w:eastAsia="Times New Roman" w:cs="Segoe UI"/>
                <w:lang w:eastAsia="es-ES_tradnl"/>
              </w:rPr>
              <w:t>amplí</w:t>
            </w:r>
            <w:r>
              <w:rPr>
                <w:rFonts w:ascii="Verdana" w:hAnsi="Verdana" w:eastAsia="Times New Roman" w:cs="Segoe UI"/>
                <w:lang w:eastAsia="es-ES_tradnl"/>
              </w:rPr>
              <w:t>en</w:t>
            </w:r>
            <w:r w:rsidRPr="00E400DC">
              <w:rPr>
                <w:rFonts w:ascii="Verdana" w:hAnsi="Verdana" w:eastAsia="Times New Roman" w:cs="Segoe UI"/>
                <w:lang w:eastAsia="es-ES_tradnl"/>
              </w:rPr>
              <w:t xml:space="preserve"> el objeto del contrato ni imponer tareas que lo desborden</w:t>
            </w:r>
            <w:r>
              <w:rPr>
                <w:rFonts w:ascii="Verdana" w:hAnsi="Verdana" w:eastAsia="Times New Roman" w:cs="Segoe UI"/>
                <w:lang w:eastAsia="es-ES_tradnl"/>
              </w:rPr>
              <w:t xml:space="preserve">. Esto, </w:t>
            </w:r>
            <w:r w:rsidRPr="00E400DC">
              <w:rPr>
                <w:rFonts w:ascii="Verdana" w:hAnsi="Verdana" w:eastAsia="Times New Roman" w:cs="Segoe UI"/>
                <w:lang w:eastAsia="es-ES_tradnl"/>
              </w:rPr>
              <w:t>puesto que tales actuaciones desconocerían la naturaleza jurídica del contrato de prestación de servicios y podrían generar riesgos como la desnaturalización del vínculo contractual.</w:t>
            </w:r>
          </w:p>
          <w:p w:rsidRPr="009F4646" w:rsidR="005936CA" w:rsidP="00C55E59" w:rsidRDefault="005936CA" w14:paraId="133EA26C" w14:textId="77777777">
            <w:pPr>
              <w:spacing w:line="276" w:lineRule="auto"/>
              <w:ind w:firstLine="709"/>
              <w:jc w:val="both"/>
              <w:rPr>
                <w:rFonts w:ascii="Verdana" w:hAnsi="Verdana" w:eastAsia="Calibri" w:cs="Arial"/>
                <w:color w:val="EE0000"/>
              </w:rPr>
            </w:pPr>
            <w:r>
              <w:rPr>
                <w:rFonts w:ascii="Verdana" w:hAnsi="Verdana" w:eastAsia="Calibri" w:cs="Arial"/>
                <w:bCs/>
                <w:color w:val="000000" w:themeColor="text1"/>
              </w:rPr>
              <w:t>Finalmente, a</w:t>
            </w:r>
            <w:r w:rsidRPr="00CA001D">
              <w:rPr>
                <w:rFonts w:ascii="Verdana" w:hAnsi="Verdana" w:eastAsia="Calibri" w:cs="Arial"/>
                <w:bCs/>
                <w:color w:val="000000" w:themeColor="text1"/>
              </w:rPr>
              <w:t xml:space="preserve">l margen de la explicación precedente debe advertirse que </w:t>
            </w:r>
            <w:r w:rsidRPr="00CA001D">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CA001D">
              <w:rPr>
                <w:rStyle w:val="apple-converted-space"/>
                <w:rFonts w:ascii="Verdana" w:hAnsi="Verdana"/>
                <w:color w:val="000000" w:themeColor="text1"/>
              </w:rPr>
              <w:t> </w:t>
            </w:r>
            <w:r w:rsidRPr="00CA001D">
              <w:rPr>
                <w:rStyle w:val="s15"/>
                <w:rFonts w:ascii="Verdana" w:hAnsi="Verdana"/>
                <w:color w:val="000000" w:themeColor="text1"/>
              </w:rPr>
              <w:t>Por lo anterior, previo</w:t>
            </w:r>
            <w:r w:rsidRPr="00CA001D">
              <w:rPr>
                <w:rStyle w:val="apple-converted-space"/>
                <w:rFonts w:ascii="Verdana" w:hAnsi="Verdana"/>
                <w:color w:val="000000" w:themeColor="text1"/>
              </w:rPr>
              <w:t> </w:t>
            </w:r>
            <w:r w:rsidRPr="00CA001D">
              <w:rPr>
                <w:rStyle w:val="s15"/>
                <w:rFonts w:ascii="Verdana" w:hAnsi="Verdana"/>
                <w:color w:val="000000" w:themeColor="text1"/>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rsidRPr="009F4646" w:rsidR="005936CA" w:rsidP="005936CA" w:rsidRDefault="005936CA" w14:paraId="79E60696" w14:textId="77777777">
      <w:pPr>
        <w:tabs>
          <w:tab w:val="left" w:pos="142"/>
          <w:tab w:val="left" w:pos="284"/>
        </w:tabs>
        <w:spacing w:after="0" w:line="276" w:lineRule="auto"/>
        <w:jc w:val="both"/>
        <w:rPr>
          <w:rFonts w:ascii="Verdana" w:hAnsi="Verdana" w:eastAsia="Century Gothic" w:cs="Century Gothic"/>
          <w:b/>
          <w:bCs/>
          <w:color w:val="EE0000"/>
          <w:lang w:val="es-ES"/>
        </w:rPr>
      </w:pPr>
    </w:p>
    <w:p w:rsidR="005936CA" w:rsidP="005936CA" w:rsidRDefault="005936CA" w14:paraId="0897A686" w14:textId="77777777">
      <w:pPr>
        <w:tabs>
          <w:tab w:val="left" w:pos="142"/>
          <w:tab w:val="left" w:pos="284"/>
        </w:tabs>
        <w:spacing w:after="0" w:line="276" w:lineRule="auto"/>
        <w:jc w:val="both"/>
        <w:rPr>
          <w:rFonts w:ascii="Verdana" w:hAnsi="Verdana" w:eastAsia="Century Gothic" w:cs="Century Gothic"/>
          <w:b/>
          <w:lang w:val="es-ES"/>
        </w:rPr>
      </w:pPr>
      <w:r w:rsidRPr="00FB6874">
        <w:rPr>
          <w:rFonts w:ascii="Verdana" w:hAnsi="Verdana" w:eastAsia="Century Gothic" w:cs="Century Gothic"/>
          <w:b/>
          <w:lang w:val="es-ES"/>
        </w:rPr>
        <w:t>3. Razones de la respuesta:</w:t>
      </w:r>
    </w:p>
    <w:p w:rsidR="005936CA" w:rsidP="005936CA" w:rsidRDefault="005936CA" w14:paraId="3CDC2A3D" w14:textId="77777777">
      <w:pPr>
        <w:tabs>
          <w:tab w:val="left" w:pos="142"/>
          <w:tab w:val="left" w:pos="284"/>
        </w:tabs>
        <w:spacing w:after="0" w:line="276" w:lineRule="auto"/>
        <w:jc w:val="both"/>
        <w:rPr>
          <w:rFonts w:ascii="Verdana" w:hAnsi="Verdana" w:eastAsia="Century Gothic" w:cs="Century Gothic"/>
          <w:b/>
          <w:lang w:val="es-ES"/>
        </w:rPr>
      </w:pPr>
    </w:p>
    <w:p w:rsidR="005936CA" w:rsidP="005936CA" w:rsidRDefault="005936CA" w14:paraId="654D2B8B" w14:textId="77777777">
      <w:pPr>
        <w:spacing w:after="0" w:line="276" w:lineRule="auto"/>
        <w:jc w:val="both"/>
        <w:rPr>
          <w:rFonts w:ascii="Verdana" w:hAnsi="Verdana" w:eastAsia="Calibri" w:cs="Arial"/>
        </w:rPr>
      </w:pPr>
      <w:r w:rsidRPr="009C2CE9">
        <w:rPr>
          <w:rFonts w:ascii="Verdana" w:hAnsi="Verdana" w:eastAsia="Calibri" w:cs="Arial"/>
        </w:rPr>
        <w:t>Lo anterior se sustenta en las siguientes consideraciones:</w:t>
      </w:r>
    </w:p>
    <w:p w:rsidRPr="002C6628" w:rsidR="005936CA" w:rsidP="005936CA" w:rsidRDefault="005936CA" w14:paraId="5C8C54FA" w14:textId="77777777">
      <w:pPr>
        <w:spacing w:after="0" w:line="276" w:lineRule="auto"/>
        <w:jc w:val="both"/>
        <w:rPr>
          <w:rFonts w:ascii="Verdana" w:hAnsi="Verdana" w:eastAsia="Calibri" w:cs="Arial"/>
        </w:rPr>
      </w:pPr>
    </w:p>
    <w:p w:rsidRPr="009C2CE9" w:rsidR="005936CA" w:rsidP="005936CA" w:rsidRDefault="005936CA" w14:paraId="0EA4E0BA" w14:textId="77777777">
      <w:pPr>
        <w:spacing w:after="0" w:line="276" w:lineRule="auto"/>
        <w:jc w:val="both"/>
        <w:rPr>
          <w:rFonts w:ascii="Verdana" w:hAnsi="Verdana" w:eastAsia="Calibri" w:cs="Arial"/>
          <w:color w:val="000000"/>
        </w:rPr>
      </w:pPr>
      <w:bookmarkStart w:name="_Hlk102983874" w:id="1"/>
      <w:bookmarkStart w:name="_Hlk102388095" w:id="2"/>
      <w:r w:rsidRPr="00890A2D">
        <w:rPr>
          <w:rFonts w:ascii="Verdana" w:hAnsi="Verdana" w:eastAsia="Calibri" w:cs="Arial"/>
          <w:lang w:val="es-ES"/>
        </w:rPr>
        <w:t>i)</w:t>
      </w:r>
      <w:r w:rsidRPr="00890A2D">
        <w:rPr>
          <w:rFonts w:ascii="Verdana" w:hAnsi="Verdana" w:eastAsia="Verdana" w:cs="Verdana"/>
          <w:lang w:val="es-ES"/>
        </w:rPr>
        <w:t xml:space="preserve"> </w:t>
      </w:r>
      <w:bookmarkStart w:name="_Hlk218602419" w:id="3"/>
      <w:r w:rsidRPr="00890A2D">
        <w:rPr>
          <w:rFonts w:ascii="Verdana" w:hAnsi="Verdana" w:eastAsia="Calibri" w:cs="Arial"/>
        </w:rPr>
        <w:t>El</w:t>
      </w:r>
      <w:r w:rsidRPr="00053937">
        <w:rPr>
          <w:rFonts w:ascii="Verdana" w:hAnsi="Verdana" w:eastAsia="Calibri" w:cs="Arial"/>
        </w:rPr>
        <w:t xml:space="preserve"> </w:t>
      </w:r>
      <w:r w:rsidRPr="009C2CE9">
        <w:rPr>
          <w:rFonts w:ascii="Verdana" w:hAnsi="Verdana" w:eastAsia="Calibri" w:cs="Arial"/>
          <w:color w:val="000000"/>
        </w:rPr>
        <w:t>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rsidRPr="009C2CE9" w:rsidR="005936CA" w:rsidP="005936CA" w:rsidRDefault="005936CA" w14:paraId="664DF43E" w14:textId="77777777">
      <w:pPr>
        <w:spacing w:after="0" w:line="276" w:lineRule="auto"/>
        <w:jc w:val="both"/>
        <w:rPr>
          <w:rFonts w:ascii="Verdana" w:hAnsi="Verdana" w:eastAsia="Calibri" w:cs="Arial"/>
          <w:color w:val="000000"/>
        </w:rPr>
      </w:pPr>
    </w:p>
    <w:p w:rsidRPr="009C2CE9" w:rsidR="005936CA" w:rsidP="005936CA" w:rsidRDefault="005936CA" w14:paraId="579FE2F6" w14:textId="77777777">
      <w:pPr>
        <w:spacing w:after="0" w:line="240" w:lineRule="auto"/>
        <w:ind w:left="709" w:right="709"/>
        <w:jc w:val="both"/>
        <w:rPr>
          <w:rFonts w:ascii="Verdana" w:hAnsi="Verdana" w:eastAsia="Calibri" w:cs="Arial"/>
          <w:color w:val="000000"/>
          <w:sz w:val="20"/>
          <w:szCs w:val="20"/>
        </w:rPr>
      </w:pPr>
      <w:r>
        <w:rPr>
          <w:rFonts w:ascii="Verdana" w:hAnsi="Verdana" w:eastAsia="Calibri" w:cs="Arial"/>
          <w:color w:val="000000"/>
          <w:sz w:val="20"/>
          <w:szCs w:val="20"/>
        </w:rPr>
        <w:t>“</w:t>
      </w:r>
      <w:r w:rsidRPr="009C2CE9">
        <w:rPr>
          <w:rFonts w:ascii="Verdana" w:hAnsi="Verdana" w:eastAsia="Calibri"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rsidRPr="009C2CE9" w:rsidR="005936CA" w:rsidP="005936CA" w:rsidRDefault="005936CA" w14:paraId="2BD2DB8C" w14:textId="77777777">
      <w:pPr>
        <w:spacing w:after="0" w:line="240" w:lineRule="auto"/>
        <w:ind w:left="709" w:right="709"/>
        <w:jc w:val="both"/>
        <w:rPr>
          <w:rFonts w:ascii="Verdana" w:hAnsi="Verdana" w:eastAsia="Calibri" w:cs="Arial"/>
          <w:color w:val="000000"/>
          <w:sz w:val="20"/>
          <w:szCs w:val="20"/>
        </w:rPr>
      </w:pPr>
    </w:p>
    <w:p w:rsidR="005936CA" w:rsidP="005936CA" w:rsidRDefault="005936CA" w14:paraId="533D5E14"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En ningún caso estos contratos generan relación laboral ni prestaciones sociales y se celebrarán por el término estrictamente indispensable.</w:t>
      </w:r>
      <w:r>
        <w:rPr>
          <w:rFonts w:ascii="Verdana" w:hAnsi="Verdana" w:eastAsia="Calibri" w:cs="Arial"/>
          <w:color w:val="000000"/>
          <w:sz w:val="20"/>
          <w:szCs w:val="20"/>
        </w:rPr>
        <w:t>”</w:t>
      </w:r>
    </w:p>
    <w:p w:rsidR="005936CA" w:rsidP="005936CA" w:rsidRDefault="005936CA" w14:paraId="744F0565" w14:textId="77777777">
      <w:pPr>
        <w:spacing w:after="0" w:line="276" w:lineRule="auto"/>
        <w:ind w:left="709" w:right="709"/>
        <w:jc w:val="both"/>
        <w:rPr>
          <w:rFonts w:ascii="Verdana" w:hAnsi="Verdana" w:eastAsia="Calibri" w:cs="Arial"/>
          <w:color w:val="000000"/>
          <w:sz w:val="20"/>
          <w:szCs w:val="20"/>
        </w:rPr>
      </w:pPr>
    </w:p>
    <w:p w:rsidR="005936CA" w:rsidP="005936CA" w:rsidRDefault="005936CA" w14:paraId="168EF59F"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lastRenderedPageBreak/>
        <w:t>De otro lado, la celebración de dicho contrato debe efectuarse mediante la modalidad de la contratación directa. Así lo prevé el artículo 2, numeral 4º, literal h) de la Ley 1150 de 2007, que dispone:</w:t>
      </w:r>
    </w:p>
    <w:p w:rsidRPr="009C2CE9" w:rsidR="005936CA" w:rsidP="005936CA" w:rsidRDefault="005936CA" w14:paraId="0571870B" w14:textId="77777777">
      <w:pPr>
        <w:spacing w:after="0" w:line="276" w:lineRule="auto"/>
        <w:ind w:firstLine="709"/>
        <w:jc w:val="both"/>
        <w:rPr>
          <w:rFonts w:ascii="Verdana" w:hAnsi="Verdana" w:eastAsia="Calibri" w:cs="Arial"/>
          <w:color w:val="000000"/>
        </w:rPr>
      </w:pPr>
    </w:p>
    <w:p w:rsidRPr="009C2CE9" w:rsidR="005936CA" w:rsidP="005936CA" w:rsidRDefault="005936CA" w14:paraId="6F565FE6" w14:textId="77777777">
      <w:pPr>
        <w:spacing w:after="0" w:line="240" w:lineRule="auto"/>
        <w:ind w:left="709" w:right="709"/>
        <w:jc w:val="both"/>
        <w:rPr>
          <w:rFonts w:ascii="Verdana" w:hAnsi="Verdana" w:eastAsia="Calibri" w:cs="Arial"/>
          <w:color w:val="000000"/>
          <w:sz w:val="20"/>
          <w:szCs w:val="20"/>
        </w:rPr>
      </w:pPr>
      <w:r>
        <w:rPr>
          <w:rFonts w:ascii="Verdana" w:hAnsi="Verdana" w:eastAsia="Calibri" w:cs="Arial"/>
          <w:color w:val="000000"/>
          <w:sz w:val="20"/>
          <w:szCs w:val="20"/>
        </w:rPr>
        <w:t>“</w:t>
      </w:r>
      <w:r w:rsidRPr="009C2CE9">
        <w:rPr>
          <w:rFonts w:ascii="Verdana" w:hAnsi="Verdana" w:eastAsia="Calibri" w:cs="Arial"/>
          <w:color w:val="000000"/>
          <w:sz w:val="20"/>
          <w:szCs w:val="20"/>
        </w:rPr>
        <w:t>[…]</w:t>
      </w:r>
    </w:p>
    <w:p w:rsidRPr="009C2CE9" w:rsidR="005936CA" w:rsidP="005936CA" w:rsidRDefault="005936CA" w14:paraId="5FA9EF84"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Contratación directa. La modalidad de selección de contratación directa solamente procederá en los siguientes casos:</w:t>
      </w:r>
    </w:p>
    <w:p w:rsidRPr="009C2CE9" w:rsidR="005936CA" w:rsidP="005936CA" w:rsidRDefault="005936CA" w14:paraId="155689A0"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w:t>
      </w:r>
    </w:p>
    <w:p w:rsidRPr="009C2CE9" w:rsidR="005936CA" w:rsidP="005936CA" w:rsidRDefault="005936CA" w14:paraId="33EA7D77"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h) Para la prestación de servicios profesionales y de apoyo a la gestión, o para la ejecución de trabajos artísticos que sólo puedan encomendarse a determinadas personas naturales;</w:t>
      </w:r>
      <w:r>
        <w:rPr>
          <w:rFonts w:ascii="Verdana" w:hAnsi="Verdana" w:eastAsia="Calibri" w:cs="Arial"/>
          <w:color w:val="000000"/>
          <w:sz w:val="20"/>
          <w:szCs w:val="20"/>
        </w:rPr>
        <w:t>”</w:t>
      </w:r>
    </w:p>
    <w:p w:rsidRPr="00072FBB" w:rsidR="005936CA" w:rsidP="005936CA" w:rsidRDefault="005936CA" w14:paraId="45DC1CDD" w14:textId="77777777">
      <w:pPr>
        <w:spacing w:after="0" w:line="276" w:lineRule="auto"/>
        <w:ind w:right="709"/>
        <w:jc w:val="both"/>
        <w:rPr>
          <w:rFonts w:ascii="Verdana" w:hAnsi="Verdana" w:eastAsia="Calibri" w:cs="Arial"/>
          <w:color w:val="000000"/>
        </w:rPr>
      </w:pPr>
    </w:p>
    <w:p w:rsidRPr="00F9262C" w:rsidR="005936CA" w:rsidP="005936CA" w:rsidRDefault="005936CA" w14:paraId="284C33F0"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rsidRPr="009C2CE9" w:rsidR="005936CA" w:rsidP="005936CA" w:rsidRDefault="005936CA" w14:paraId="0E713603"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a) Solo puede celebrarse para realizar “actividades relacionadas con la administración o funcionamiento de la entidad”, es decir, que hagan parte de su giro ordinario o quehacer cotidiano.</w:t>
      </w:r>
    </w:p>
    <w:p w:rsidRPr="009C2CE9" w:rsidR="005936CA" w:rsidP="005936CA" w:rsidRDefault="005936CA" w14:paraId="2831D0EE"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rsidR="005936CA" w:rsidP="005936CA" w:rsidRDefault="005936CA" w14:paraId="1A290B03"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c) Si bien se celebran para obtener la prestación personal de un servicio, se diferencian del contrato de trabajo</w:t>
      </w:r>
      <w:r w:rsidRPr="009C2CE9">
        <w:rPr>
          <w:rFonts w:ascii="Verdana" w:hAnsi="Verdana" w:eastAsia="Calibri" w:cs="Arial"/>
          <w:color w:val="000000"/>
          <w:vertAlign w:val="superscript"/>
        </w:rPr>
        <w:footnoteReference w:id="1"/>
      </w:r>
      <w:r w:rsidRPr="009C2CE9">
        <w:rPr>
          <w:rFonts w:ascii="Verdana" w:hAnsi="Verdana" w:eastAsia="Calibri" w:cs="Arial"/>
          <w:color w:val="000000"/>
        </w:rPr>
        <w:t xml:space="preserve"> en que quien celebra el contrato de </w:t>
      </w:r>
      <w:r w:rsidRPr="009C2CE9">
        <w:rPr>
          <w:rFonts w:ascii="Verdana" w:hAnsi="Verdana" w:eastAsia="Calibri" w:cs="Arial"/>
          <w:color w:val="000000"/>
        </w:rPr>
        <w:lastRenderedPageBreak/>
        <w:t xml:space="preserve">prestación de servicios profesionales debe mantener autonomía e independencia en la ejecución de la labor, lo que significa que no puede existir la </w:t>
      </w:r>
      <w:r w:rsidRPr="009C2CE9">
        <w:rPr>
          <w:rFonts w:ascii="Verdana" w:hAnsi="Verdana" w:eastAsia="Calibri" w:cs="Arial"/>
          <w:i/>
          <w:color w:val="000000"/>
        </w:rPr>
        <w:t>subordinación y dependencia</w:t>
      </w:r>
      <w:r w:rsidRPr="009C2CE9">
        <w:rPr>
          <w:rFonts w:ascii="Verdana" w:hAnsi="Verdana" w:eastAsia="Calibri" w:cs="Arial"/>
          <w:iCs/>
          <w:color w:val="000000"/>
        </w:rPr>
        <w:t>,</w:t>
      </w:r>
      <w:r w:rsidRPr="009C2CE9">
        <w:rPr>
          <w:rFonts w:ascii="Verdana" w:hAnsi="Verdana" w:eastAsia="Calibri"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9C2CE9">
        <w:rPr>
          <w:rFonts w:ascii="Verdana" w:hAnsi="Verdana" w:eastAsia="Calibri" w:cs="Arial"/>
          <w:i/>
          <w:color w:val="000000"/>
        </w:rPr>
        <w:t>no pueden</w:t>
      </w:r>
      <w:r w:rsidRPr="009C2CE9">
        <w:rPr>
          <w:rFonts w:ascii="Verdana" w:hAnsi="Verdana" w:eastAsia="Calibri" w:cs="Arial"/>
          <w:color w:val="000000"/>
        </w:rPr>
        <w:t xml:space="preserve"> generar relación laboral, ni dar lugar a que las entidades estatales paguen por su cuenta los aportes al Sistema de Seguridad Social Integral del contratista. </w:t>
      </w:r>
    </w:p>
    <w:p w:rsidR="005936CA" w:rsidP="005936CA" w:rsidRDefault="005936CA" w14:paraId="33982FAF" w14:textId="77777777">
      <w:pPr>
        <w:spacing w:after="120" w:line="276" w:lineRule="auto"/>
        <w:ind w:firstLine="709"/>
        <w:jc w:val="both"/>
        <w:rPr>
          <w:rFonts w:ascii="Verdana" w:hAnsi="Verdana" w:eastAsia="Calibri" w:cs="Arial"/>
          <w:color w:val="000000"/>
        </w:rPr>
      </w:pPr>
      <w:r>
        <w:rPr>
          <w:rFonts w:ascii="Verdana" w:hAnsi="Verdana" w:eastAsia="Calibri" w:cs="Arial"/>
          <w:color w:val="000000"/>
        </w:rPr>
        <w:t>Lo anterior</w:t>
      </w:r>
      <w:r w:rsidRPr="009C2CE9">
        <w:rPr>
          <w:rFonts w:ascii="Verdana" w:hAnsi="Verdana" w:eastAsia="Calibri" w:cs="Arial"/>
          <w:color w:val="000000"/>
        </w:rPr>
        <w:t xml:space="preserve">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9C2CE9">
        <w:rPr>
          <w:rFonts w:ascii="Verdana" w:hAnsi="Verdana" w:eastAsia="Calibri" w:cs="Arial"/>
          <w:color w:val="000000"/>
          <w:vertAlign w:val="superscript"/>
        </w:rPr>
        <w:footnoteReference w:id="2"/>
      </w:r>
      <w:r w:rsidRPr="009C2CE9">
        <w:rPr>
          <w:rFonts w:ascii="Verdana" w:hAnsi="Verdana" w:eastAsia="Calibri" w:cs="Arial"/>
          <w:color w:val="000000"/>
        </w:rPr>
        <w:t xml:space="preserve">. </w:t>
      </w:r>
    </w:p>
    <w:p w:rsidR="005936CA" w:rsidP="005936CA" w:rsidRDefault="005936CA" w14:paraId="706A0BE3"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 xml:space="preserve">Pero es posible que, a pesar de este mandato deontológico, en la práctica surja la relación laboral, pues, como se sabe, el contrato de trabajo es un </w:t>
      </w:r>
      <w:r w:rsidRPr="009C2CE9">
        <w:rPr>
          <w:rFonts w:ascii="Verdana" w:hAnsi="Verdana" w:eastAsia="Calibri" w:cs="Arial"/>
          <w:i/>
          <w:color w:val="000000"/>
        </w:rPr>
        <w:t>contrato realidad</w:t>
      </w:r>
      <w:r w:rsidRPr="009C2CE9">
        <w:rPr>
          <w:rFonts w:ascii="Verdana" w:hAnsi="Verdana" w:eastAsia="Calibri" w:cs="Arial"/>
          <w:color w:val="000000"/>
        </w:rPr>
        <w:t xml:space="preserve">, ya que para su perfeccionamiento rige el principio de la prevalencia de la realidad sobre las formalidades. </w:t>
      </w:r>
    </w:p>
    <w:p w:rsidRPr="009C2CE9" w:rsidR="005936CA" w:rsidP="005936CA" w:rsidRDefault="005936CA" w14:paraId="2F56EFF6"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d) Deben ser temporales. Así lo señaló la Corte Constitucional en la misma providencia a la que se aludió previamente, expresando que:</w:t>
      </w:r>
    </w:p>
    <w:p w:rsidRPr="009C2CE9" w:rsidR="005936CA" w:rsidP="005936CA" w:rsidRDefault="005936CA" w14:paraId="35408ACE" w14:textId="77777777">
      <w:pPr>
        <w:spacing w:after="0" w:line="276" w:lineRule="auto"/>
        <w:ind w:firstLine="709"/>
        <w:jc w:val="both"/>
        <w:rPr>
          <w:rFonts w:ascii="Verdana" w:hAnsi="Verdana" w:eastAsia="Calibri" w:cs="Arial"/>
          <w:color w:val="000000"/>
        </w:rPr>
      </w:pPr>
    </w:p>
    <w:p w:rsidRPr="009C2CE9" w:rsidR="005936CA" w:rsidP="005936CA" w:rsidRDefault="005936CA" w14:paraId="0819E3E5" w14:textId="77777777">
      <w:pPr>
        <w:spacing w:after="0" w:line="240" w:lineRule="auto"/>
        <w:ind w:left="709" w:right="709"/>
        <w:jc w:val="both"/>
        <w:rPr>
          <w:rFonts w:ascii="Verdana" w:hAnsi="Verdana" w:eastAsia="Calibri" w:cs="Arial"/>
          <w:color w:val="000000"/>
          <w:sz w:val="21"/>
          <w:szCs w:val="21"/>
        </w:rPr>
      </w:pPr>
      <w:r>
        <w:rPr>
          <w:rFonts w:ascii="Verdana" w:hAnsi="Verdana" w:eastAsia="Calibri" w:cs="Arial"/>
          <w:color w:val="000000"/>
          <w:sz w:val="20"/>
          <w:szCs w:val="20"/>
        </w:rPr>
        <w:lastRenderedPageBreak/>
        <w:t>“</w:t>
      </w:r>
      <w:r w:rsidRPr="009C2CE9">
        <w:rPr>
          <w:rFonts w:ascii="Verdana" w:hAnsi="Verdana" w:eastAsia="Calibri"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Pr>
          <w:rFonts w:ascii="Verdana" w:hAnsi="Verdana" w:eastAsia="Calibri" w:cs="Arial"/>
          <w:color w:val="000000"/>
          <w:sz w:val="20"/>
          <w:szCs w:val="20"/>
        </w:rPr>
        <w:t>”</w:t>
      </w:r>
      <w:r w:rsidRPr="009C2CE9">
        <w:rPr>
          <w:rFonts w:ascii="Verdana" w:hAnsi="Verdana" w:eastAsia="Calibri" w:cs="Arial"/>
          <w:color w:val="000000"/>
          <w:sz w:val="21"/>
          <w:szCs w:val="21"/>
          <w:vertAlign w:val="superscript"/>
        </w:rPr>
        <w:footnoteReference w:id="3"/>
      </w:r>
      <w:r w:rsidRPr="009C2CE9">
        <w:rPr>
          <w:rFonts w:ascii="Verdana" w:hAnsi="Verdana" w:eastAsia="Calibri" w:cs="Arial"/>
          <w:color w:val="000000"/>
          <w:sz w:val="21"/>
          <w:szCs w:val="21"/>
        </w:rPr>
        <w:t>.</w:t>
      </w:r>
    </w:p>
    <w:p w:rsidRPr="009C2CE9" w:rsidR="005936CA" w:rsidP="005936CA" w:rsidRDefault="005936CA" w14:paraId="6448809C" w14:textId="77777777">
      <w:pPr>
        <w:spacing w:after="0" w:line="276" w:lineRule="auto"/>
        <w:ind w:firstLine="709"/>
        <w:jc w:val="both"/>
        <w:rPr>
          <w:rFonts w:ascii="Verdana" w:hAnsi="Verdana" w:eastAsia="Calibri" w:cs="Arial"/>
          <w:color w:val="000000"/>
        </w:rPr>
      </w:pPr>
    </w:p>
    <w:p w:rsidRPr="009C2CE9" w:rsidR="005936CA" w:rsidP="005936CA" w:rsidRDefault="005936CA" w14:paraId="4C7AD842"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 xml:space="preserve">e) Los contratos de prestación </w:t>
      </w:r>
      <w:r>
        <w:rPr>
          <w:rFonts w:ascii="Verdana" w:hAnsi="Verdana" w:eastAsia="Calibri" w:cs="Arial"/>
          <w:color w:val="000000"/>
        </w:rPr>
        <w:t xml:space="preserve">es el </w:t>
      </w:r>
      <w:proofErr w:type="spellStart"/>
      <w:r>
        <w:rPr>
          <w:rFonts w:ascii="Verdana" w:hAnsi="Verdana" w:eastAsia="Calibri" w:cs="Arial"/>
          <w:color w:val="000000"/>
        </w:rPr>
        <w:t>genero</w:t>
      </w:r>
      <w:proofErr w:type="spellEnd"/>
      <w:r>
        <w:rPr>
          <w:rFonts w:ascii="Verdana" w:hAnsi="Verdana" w:eastAsia="Calibri" w:cs="Arial"/>
          <w:color w:val="000000"/>
        </w:rPr>
        <w:t>, y dentro de él se encuentran diferentes especies o clases, tales como el contrato de prestación de</w:t>
      </w:r>
      <w:r w:rsidRPr="009C2CE9">
        <w:rPr>
          <w:rFonts w:ascii="Verdana" w:hAnsi="Verdana" w:eastAsia="Calibri" w:cs="Arial"/>
          <w:color w:val="000000"/>
        </w:rPr>
        <w:t xml:space="preserve"> servicios profesionales</w:t>
      </w:r>
      <w:r>
        <w:rPr>
          <w:rFonts w:ascii="Verdana" w:hAnsi="Verdana" w:eastAsia="Calibri" w:cs="Arial"/>
          <w:color w:val="000000"/>
        </w:rPr>
        <w:t xml:space="preserve">, </w:t>
      </w:r>
      <w:r w:rsidRPr="009C2CE9">
        <w:rPr>
          <w:rFonts w:ascii="Verdana" w:hAnsi="Verdana" w:eastAsia="Calibri" w:cs="Arial"/>
          <w:color w:val="000000"/>
        </w:rPr>
        <w:t>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9C2CE9">
        <w:rPr>
          <w:rFonts w:ascii="Verdana" w:hAnsi="Verdana" w:eastAsia="Calibri" w:cs="Arial"/>
          <w:color w:val="000000"/>
          <w:vertAlign w:val="superscript"/>
        </w:rPr>
        <w:footnoteReference w:id="4"/>
      </w:r>
      <w:r w:rsidRPr="009C2CE9">
        <w:rPr>
          <w:rFonts w:ascii="Verdana" w:hAnsi="Verdana" w:eastAsia="Calibri" w:cs="Arial"/>
          <w:color w:val="000000"/>
        </w:rPr>
        <w:t xml:space="preserve">. La diferencia entre el contrato de prestación de servicios </w:t>
      </w:r>
      <w:r w:rsidRPr="009C2CE9">
        <w:rPr>
          <w:rFonts w:ascii="Verdana" w:hAnsi="Verdana" w:eastAsia="Calibri" w:cs="Arial"/>
          <w:i/>
          <w:color w:val="000000"/>
        </w:rPr>
        <w:t>profesionales</w:t>
      </w:r>
      <w:r w:rsidRPr="009C2CE9">
        <w:rPr>
          <w:rFonts w:ascii="Verdana" w:hAnsi="Verdana" w:eastAsia="Calibri"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w:t>
      </w:r>
      <w:r>
        <w:rPr>
          <w:rFonts w:ascii="Verdana" w:hAnsi="Verdana" w:eastAsia="Calibri" w:cs="Arial"/>
          <w:color w:val="000000"/>
        </w:rPr>
        <w:t>,</w:t>
      </w:r>
      <w:r w:rsidRPr="009C2CE9">
        <w:rPr>
          <w:rFonts w:ascii="Verdana" w:hAnsi="Verdana" w:eastAsia="Calibri" w:cs="Arial"/>
          <w:color w:val="000000"/>
        </w:rPr>
        <w:t xml:space="preserve"> en sentencia de unificación jurisprudencial del 2 de diciembre de 2013, al indicar, respecto del contrato de prestación de servicios profesionales, que:</w:t>
      </w:r>
    </w:p>
    <w:p w:rsidRPr="009C2CE9" w:rsidR="005936CA" w:rsidP="005936CA" w:rsidRDefault="005936CA" w14:paraId="1FC731EC" w14:textId="77777777">
      <w:pPr>
        <w:spacing w:after="0" w:line="276" w:lineRule="auto"/>
        <w:ind w:firstLine="709"/>
        <w:jc w:val="both"/>
        <w:rPr>
          <w:rFonts w:ascii="Verdana" w:hAnsi="Verdana" w:eastAsia="Calibri" w:cs="Arial"/>
          <w:color w:val="000000"/>
        </w:rPr>
      </w:pPr>
    </w:p>
    <w:p w:rsidRPr="00072FBB" w:rsidR="005936CA" w:rsidP="005936CA" w:rsidRDefault="005936CA" w14:paraId="37D2EB53" w14:textId="77777777">
      <w:pPr>
        <w:spacing w:after="0" w:line="240" w:lineRule="auto"/>
        <w:ind w:left="709" w:right="709"/>
        <w:jc w:val="both"/>
        <w:rPr>
          <w:rFonts w:ascii="Verdana" w:hAnsi="Verdana" w:eastAsia="Calibri" w:cs="Arial"/>
          <w:color w:val="000000"/>
          <w:sz w:val="20"/>
          <w:szCs w:val="20"/>
        </w:rPr>
      </w:pPr>
      <w:r w:rsidRPr="0070352A">
        <w:rPr>
          <w:rFonts w:ascii="Verdana" w:hAnsi="Verdana" w:eastAsia="Calibri" w:cs="Arial"/>
          <w:color w:val="000000"/>
          <w:sz w:val="20"/>
          <w:szCs w:val="20"/>
        </w:rPr>
        <w:t>“</w:t>
      </w:r>
      <w:r w:rsidRPr="009C2CE9">
        <w:rPr>
          <w:rFonts w:ascii="Verdana" w:hAnsi="Verdana" w:eastAsia="Calibri" w:cs="Arial"/>
          <w:color w:val="000000"/>
          <w:sz w:val="20"/>
          <w:szCs w:val="20"/>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w:t>
      </w:r>
      <w:r w:rsidRPr="009C2CE9">
        <w:rPr>
          <w:rFonts w:ascii="Verdana" w:hAnsi="Verdana" w:eastAsia="Calibri" w:cs="Arial"/>
          <w:color w:val="000000"/>
          <w:sz w:val="20"/>
          <w:szCs w:val="20"/>
        </w:rPr>
        <w:lastRenderedPageBreak/>
        <w:t>Se caracteriza por demandar un conocimiento intelectivo cualificado: el saber profesional</w:t>
      </w:r>
      <w:r w:rsidRPr="003925DB">
        <w:rPr>
          <w:rFonts w:ascii="Verdana" w:hAnsi="Verdana" w:eastAsia="Calibri" w:cs="Arial"/>
          <w:color w:val="000000"/>
          <w:sz w:val="20"/>
          <w:szCs w:val="20"/>
        </w:rPr>
        <w:t>”</w:t>
      </w:r>
      <w:r w:rsidRPr="00072FBB">
        <w:rPr>
          <w:rFonts w:ascii="Verdana" w:hAnsi="Verdana" w:eastAsia="Calibri" w:cs="Arial"/>
          <w:color w:val="000000"/>
          <w:sz w:val="20"/>
          <w:szCs w:val="20"/>
          <w:vertAlign w:val="superscript"/>
        </w:rPr>
        <w:footnoteReference w:id="5"/>
      </w:r>
      <w:r w:rsidRPr="00072FBB">
        <w:rPr>
          <w:rFonts w:ascii="Verdana" w:hAnsi="Verdana" w:eastAsia="Calibri" w:cs="Arial"/>
          <w:color w:val="000000"/>
          <w:sz w:val="20"/>
          <w:szCs w:val="20"/>
        </w:rPr>
        <w:t>.</w:t>
      </w:r>
    </w:p>
    <w:p w:rsidRPr="009C2CE9" w:rsidR="005936CA" w:rsidP="005936CA" w:rsidRDefault="005936CA" w14:paraId="319A98A9" w14:textId="77777777">
      <w:pPr>
        <w:spacing w:after="0" w:line="276" w:lineRule="auto"/>
        <w:ind w:firstLine="709"/>
        <w:jc w:val="both"/>
        <w:rPr>
          <w:rFonts w:ascii="Verdana" w:hAnsi="Verdana" w:eastAsia="Calibri" w:cs="Arial"/>
          <w:color w:val="000000"/>
        </w:rPr>
      </w:pPr>
    </w:p>
    <w:p w:rsidRPr="009C2CE9" w:rsidR="005936CA" w:rsidP="005936CA" w:rsidRDefault="005936CA" w14:paraId="12DF4624"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Objeto que, según la sentencia que se cita, se diferencia del objeto del contrato de prestación de servicios de apoyo a la gestión, porque en este:</w:t>
      </w:r>
    </w:p>
    <w:p w:rsidRPr="009C2CE9" w:rsidR="005936CA" w:rsidP="005936CA" w:rsidRDefault="005936CA" w14:paraId="1A929624" w14:textId="77777777">
      <w:pPr>
        <w:spacing w:after="0" w:line="276" w:lineRule="auto"/>
        <w:ind w:firstLine="709"/>
        <w:jc w:val="both"/>
        <w:rPr>
          <w:rFonts w:ascii="Verdana" w:hAnsi="Verdana" w:eastAsia="Calibri" w:cs="Arial"/>
          <w:color w:val="000000"/>
        </w:rPr>
      </w:pPr>
    </w:p>
    <w:p w:rsidRPr="009C2CE9" w:rsidR="005936CA" w:rsidP="005936CA" w:rsidRDefault="005936CA" w14:paraId="0496AC5D"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rsidRPr="009C2CE9" w:rsidR="005936CA" w:rsidP="005936CA" w:rsidRDefault="005936CA" w14:paraId="235F11A0" w14:textId="77777777">
      <w:pPr>
        <w:spacing w:after="0" w:line="240" w:lineRule="auto"/>
        <w:ind w:left="709" w:right="709"/>
        <w:jc w:val="both"/>
        <w:rPr>
          <w:rFonts w:ascii="Verdana" w:hAnsi="Verdana" w:eastAsia="Calibri" w:cs="Arial"/>
          <w:color w:val="000000"/>
          <w:sz w:val="20"/>
          <w:szCs w:val="20"/>
        </w:rPr>
      </w:pPr>
    </w:p>
    <w:p w:rsidRPr="009C2CE9" w:rsidR="005936CA" w:rsidP="005936CA" w:rsidRDefault="005936CA" w14:paraId="1133F68D"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 xml:space="preserve">Aunque también se caracteriza por el desempeño de actividad intelectiva, ésta </w:t>
      </w:r>
      <w:proofErr w:type="gramStart"/>
      <w:r w:rsidRPr="009C2CE9">
        <w:rPr>
          <w:rFonts w:ascii="Verdana" w:hAnsi="Verdana" w:eastAsia="Calibri" w:cs="Arial"/>
          <w:color w:val="000000"/>
          <w:sz w:val="20"/>
          <w:szCs w:val="20"/>
        </w:rPr>
        <w:t>se enmarca dentro de</w:t>
      </w:r>
      <w:proofErr w:type="gramEnd"/>
      <w:r w:rsidRPr="009C2CE9">
        <w:rPr>
          <w:rFonts w:ascii="Verdana" w:hAnsi="Verdana" w:eastAsia="Calibri" w:cs="Arial"/>
          <w:color w:val="000000"/>
          <w:sz w:val="20"/>
          <w:szCs w:val="20"/>
        </w:rPr>
        <w:t xml:space="preserve"> un saber propiamente técnico; igualmente involucra actividades en donde prima el esfuerzo físico o mecánico, en donde no se requiere de personal profesional.</w:t>
      </w:r>
    </w:p>
    <w:p w:rsidRPr="009C2CE9" w:rsidR="005936CA" w:rsidP="005936CA" w:rsidRDefault="005936CA" w14:paraId="11864762" w14:textId="77777777">
      <w:pPr>
        <w:spacing w:after="0" w:line="240" w:lineRule="auto"/>
        <w:ind w:left="709" w:right="709"/>
        <w:jc w:val="both"/>
        <w:rPr>
          <w:rFonts w:ascii="Verdana" w:hAnsi="Verdana" w:eastAsia="Calibri" w:cs="Arial"/>
          <w:color w:val="000000"/>
          <w:sz w:val="20"/>
          <w:szCs w:val="20"/>
        </w:rPr>
      </w:pPr>
    </w:p>
    <w:p w:rsidRPr="009C2CE9" w:rsidR="005936CA" w:rsidP="005936CA" w:rsidRDefault="005936CA" w14:paraId="676D2B01"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rsidRPr="009C2CE9" w:rsidR="005936CA" w:rsidP="005936CA" w:rsidRDefault="005936CA" w14:paraId="6217AC3D" w14:textId="77777777">
      <w:pPr>
        <w:spacing w:after="0" w:line="240" w:lineRule="auto"/>
        <w:ind w:left="709" w:right="709"/>
        <w:jc w:val="both"/>
        <w:rPr>
          <w:rFonts w:ascii="Verdana" w:hAnsi="Verdana" w:eastAsia="Calibri" w:cs="Arial"/>
          <w:color w:val="000000"/>
          <w:sz w:val="20"/>
          <w:szCs w:val="20"/>
        </w:rPr>
      </w:pPr>
    </w:p>
    <w:p w:rsidRPr="00072FBB" w:rsidR="005936CA" w:rsidP="005936CA" w:rsidRDefault="005936CA" w14:paraId="4137890F"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072FBB">
        <w:rPr>
          <w:rFonts w:ascii="Verdana" w:hAnsi="Verdana" w:eastAsia="Calibri" w:cs="Arial"/>
          <w:color w:val="000000"/>
          <w:sz w:val="20"/>
          <w:szCs w:val="20"/>
          <w:vertAlign w:val="superscript"/>
        </w:rPr>
        <w:footnoteReference w:id="6"/>
      </w:r>
      <w:r w:rsidRPr="00072FBB">
        <w:rPr>
          <w:rFonts w:ascii="Verdana" w:hAnsi="Verdana" w:eastAsia="Calibri" w:cs="Arial"/>
          <w:color w:val="000000"/>
          <w:sz w:val="20"/>
          <w:szCs w:val="20"/>
        </w:rPr>
        <w:t>.</w:t>
      </w:r>
    </w:p>
    <w:p w:rsidRPr="009C2CE9" w:rsidR="005936CA" w:rsidP="005936CA" w:rsidRDefault="005936CA" w14:paraId="0A91E9AE" w14:textId="77777777">
      <w:pPr>
        <w:spacing w:after="0" w:line="276" w:lineRule="auto"/>
        <w:ind w:firstLine="709"/>
        <w:jc w:val="both"/>
        <w:rPr>
          <w:rFonts w:ascii="Verdana" w:hAnsi="Verdana" w:eastAsia="Calibri" w:cs="Arial"/>
          <w:color w:val="000000"/>
        </w:rPr>
      </w:pPr>
    </w:p>
    <w:p w:rsidRPr="009C2CE9" w:rsidR="005936CA" w:rsidP="005936CA" w:rsidRDefault="005936CA" w14:paraId="1ABE7AE6"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f) Su celebración debe realizarse a través de la modalidad de contratación directa, independientemente de la cuantía y del tipo de servicio profesional, siempre que este no ingrese dentro del objeto del contrato de consultoría</w:t>
      </w:r>
      <w:r>
        <w:rPr>
          <w:rFonts w:ascii="Verdana" w:hAnsi="Verdana" w:eastAsia="Calibri" w:cs="Arial"/>
          <w:color w:val="000000"/>
        </w:rPr>
        <w:t>. C</w:t>
      </w:r>
      <w:r w:rsidRPr="009C2CE9">
        <w:rPr>
          <w:rFonts w:ascii="Verdana" w:hAnsi="Verdana" w:eastAsia="Calibri" w:cs="Arial"/>
          <w:color w:val="000000"/>
        </w:rPr>
        <w:t>omo lo indicó el Consejo de Estado</w:t>
      </w:r>
      <w:r>
        <w:rPr>
          <w:rFonts w:ascii="Verdana" w:hAnsi="Verdana" w:eastAsia="Calibri" w:cs="Arial"/>
          <w:color w:val="000000"/>
        </w:rPr>
        <w:t>,</w:t>
      </w:r>
      <w:r w:rsidRPr="009C2CE9">
        <w:rPr>
          <w:rFonts w:ascii="Verdana" w:hAnsi="Verdana" w:eastAsia="Calibri" w:cs="Arial"/>
          <w:color w:val="000000"/>
        </w:rPr>
        <w:t xml:space="preserve">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C2CE9">
        <w:rPr>
          <w:rFonts w:ascii="Verdana" w:hAnsi="Verdana" w:eastAsia="Calibri" w:cs="Arial"/>
          <w:color w:val="000000"/>
          <w:vertAlign w:val="superscript"/>
        </w:rPr>
        <w:footnoteReference w:id="7"/>
      </w:r>
      <w:r w:rsidRPr="009C2CE9">
        <w:rPr>
          <w:rFonts w:ascii="Verdana" w:hAnsi="Verdana" w:eastAsia="Calibri" w:cs="Arial"/>
          <w:color w:val="000000"/>
        </w:rPr>
        <w:t xml:space="preserve">. Pero, </w:t>
      </w:r>
      <w:r w:rsidRPr="009C2CE9">
        <w:rPr>
          <w:rFonts w:ascii="Verdana" w:hAnsi="Verdana" w:eastAsia="Calibri" w:cs="Arial"/>
          <w:color w:val="000000"/>
        </w:rPr>
        <w:lastRenderedPageBreak/>
        <w:t xml:space="preserve">tampoco puede suscribirse un contrato de prestación de servicios profesionales para que el contratista ejecute labores que </w:t>
      </w:r>
      <w:proofErr w:type="gramStart"/>
      <w:r w:rsidRPr="009C2CE9">
        <w:rPr>
          <w:rFonts w:ascii="Verdana" w:hAnsi="Verdana" w:eastAsia="Calibri" w:cs="Arial"/>
          <w:color w:val="000000"/>
        </w:rPr>
        <w:t>se enmarcan dentro de</w:t>
      </w:r>
      <w:proofErr w:type="gramEnd"/>
      <w:r w:rsidRPr="009C2CE9">
        <w:rPr>
          <w:rFonts w:ascii="Verdana" w:hAnsi="Verdana" w:eastAsia="Calibri" w:cs="Arial"/>
          <w:color w:val="000000"/>
        </w:rPr>
        <w:t xml:space="preserve"> los otros contratos tipificados en el artículo 32 de la Ley 80 de 1993, como, por ejemplo, para que el contratista de prestación de servicios construya una obra.</w:t>
      </w:r>
    </w:p>
    <w:p w:rsidRPr="009C2CE9" w:rsidR="005936CA" w:rsidP="005936CA" w:rsidRDefault="005936CA" w14:paraId="187D965C"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g) Para su celebración no se requiere la expedición del acto administrativo de justificación de la contratación directa</w:t>
      </w:r>
      <w:r w:rsidRPr="009C2CE9">
        <w:rPr>
          <w:rFonts w:ascii="Verdana" w:hAnsi="Verdana" w:eastAsia="Calibri" w:cs="Arial"/>
          <w:color w:val="000000"/>
          <w:vertAlign w:val="superscript"/>
        </w:rPr>
        <w:footnoteReference w:id="8"/>
      </w:r>
      <w:r w:rsidRPr="009C2CE9">
        <w:rPr>
          <w:rFonts w:ascii="Verdana" w:hAnsi="Verdana" w:eastAsia="Calibri" w:cs="Arial"/>
          <w:color w:val="000000"/>
        </w:rPr>
        <w:t xml:space="preserve">. </w:t>
      </w:r>
    </w:p>
    <w:p w:rsidRPr="009C2CE9" w:rsidR="005936CA" w:rsidP="005936CA" w:rsidRDefault="005936CA" w14:paraId="24FE01DE"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h) Admiten el pacto de cláusulas excepcionales. Es decir, en los contratos de prestación de servicios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C2CE9">
        <w:rPr>
          <w:rFonts w:ascii="Verdana" w:hAnsi="Verdana" w:eastAsia="Calibri" w:cs="Arial"/>
          <w:color w:val="000000"/>
          <w:vertAlign w:val="superscript"/>
        </w:rPr>
        <w:footnoteReference w:id="9"/>
      </w:r>
      <w:r w:rsidRPr="009C2CE9">
        <w:rPr>
          <w:rFonts w:ascii="Verdana" w:hAnsi="Verdana" w:eastAsia="Calibri" w:cs="Arial"/>
          <w:color w:val="000000"/>
        </w:rPr>
        <w:t>.</w:t>
      </w:r>
    </w:p>
    <w:p w:rsidRPr="009C2CE9" w:rsidR="005936CA" w:rsidP="005936CA" w:rsidRDefault="005936CA" w14:paraId="3F9A6F33"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i) En ellos no es obligatoria la liquidación, pues así lo estableció el artículo 217 del Decreto 019 de 2012, que modificó el artículo 60 de la Ley 80 de 1993</w:t>
      </w:r>
      <w:r w:rsidRPr="009C2CE9">
        <w:rPr>
          <w:rFonts w:ascii="Verdana" w:hAnsi="Verdana" w:eastAsia="Calibri" w:cs="Arial"/>
          <w:color w:val="000000"/>
          <w:vertAlign w:val="superscript"/>
        </w:rPr>
        <w:footnoteReference w:id="10"/>
      </w:r>
      <w:r w:rsidRPr="009C2CE9">
        <w:rPr>
          <w:rFonts w:ascii="Verdana" w:hAnsi="Verdana" w:eastAsia="Calibri" w:cs="Arial"/>
          <w:color w:val="000000"/>
        </w:rPr>
        <w:t xml:space="preserve">, </w:t>
      </w:r>
      <w:r w:rsidRPr="009C2CE9">
        <w:rPr>
          <w:rFonts w:ascii="Verdana" w:hAnsi="Verdana" w:eastAsia="Calibri" w:cs="Arial"/>
          <w:color w:val="000000"/>
          <w:lang w:val="es-ES" w:eastAsia="es-ES"/>
        </w:rPr>
        <w:lastRenderedPageBreak/>
        <w:t>refiriéndose expresamente a los contratos de prestación de servicios profesionales y de apoyo a la gestión.</w:t>
      </w:r>
    </w:p>
    <w:p w:rsidRPr="009C2CE9" w:rsidR="005936CA" w:rsidP="005936CA" w:rsidRDefault="005936CA" w14:paraId="22A8D14B"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j) Para su celebración no se requiere inscripción en el Registro Único de Proponentes (RUP), según lo prevé el artículo 6 de la Ley 1150 de 2007</w:t>
      </w:r>
      <w:r w:rsidRPr="009C2CE9">
        <w:rPr>
          <w:rFonts w:ascii="Verdana" w:hAnsi="Verdana" w:eastAsia="Calibri" w:cs="Arial"/>
          <w:color w:val="000000"/>
          <w:vertAlign w:val="superscript"/>
        </w:rPr>
        <w:footnoteReference w:id="11"/>
      </w:r>
      <w:r w:rsidRPr="009C2CE9">
        <w:rPr>
          <w:rFonts w:ascii="Verdana" w:hAnsi="Verdana" w:eastAsia="Calibri" w:cs="Arial"/>
          <w:color w:val="000000"/>
        </w:rPr>
        <w:t>.</w:t>
      </w:r>
    </w:p>
    <w:p w:rsidRPr="009C2CE9" w:rsidR="005936CA" w:rsidP="005936CA" w:rsidRDefault="005936CA" w14:paraId="4171F4F3"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k) En ellos no son necesarias las garantías</w:t>
      </w:r>
      <w:r w:rsidRPr="009C2CE9">
        <w:rPr>
          <w:rFonts w:ascii="Verdana" w:hAnsi="Verdana" w:eastAsia="Calibri" w:cs="Arial"/>
          <w:color w:val="000000"/>
          <w:vertAlign w:val="superscript"/>
        </w:rPr>
        <w:footnoteReference w:id="12"/>
      </w:r>
      <w:r w:rsidRPr="009C2CE9">
        <w:rPr>
          <w:rFonts w:ascii="Verdana" w:hAnsi="Verdana" w:eastAsia="Calibri" w:cs="Arial"/>
          <w:color w:val="000000"/>
        </w:rPr>
        <w:t>.</w:t>
      </w:r>
    </w:p>
    <w:p w:rsidR="005936CA" w:rsidP="005936CA" w:rsidRDefault="005936CA" w14:paraId="4BCEEBCA" w14:textId="77777777">
      <w:pPr>
        <w:spacing w:after="0" w:line="276" w:lineRule="auto"/>
        <w:ind w:firstLine="709"/>
        <w:jc w:val="both"/>
        <w:rPr>
          <w:rFonts w:ascii="Verdana" w:hAnsi="Verdana" w:eastAsia="Calibri" w:cs="Arial"/>
          <w:i/>
          <w:color w:val="000000"/>
        </w:rPr>
      </w:pPr>
      <w:r w:rsidRPr="009C2CE9">
        <w:rPr>
          <w:rFonts w:ascii="Verdana" w:hAnsi="Verdana"/>
        </w:rPr>
        <w:t>Lo expuesto constituye</w:t>
      </w:r>
      <w:r w:rsidRPr="009C2CE9">
        <w:rPr>
          <w:rFonts w:ascii="Verdana" w:hAnsi="Verdana" w:eastAsia="Calibri" w:cs="Arial"/>
          <w:color w:val="000000"/>
        </w:rPr>
        <w:t xml:space="preserve"> el marco jurídico de los contratos de prestación de servicios y su aplicación es obligatoria para las entidades sometidas al Estatuto General de Contratación de la Administración Pública establecidas en el artículo 1 de la Ley 80 de 1993, como son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así como las entidades señaladas en el numeral b</w:t>
      </w:r>
      <w:r>
        <w:rPr>
          <w:rFonts w:ascii="Verdana" w:hAnsi="Verdana" w:eastAsia="Calibri" w:cs="Arial"/>
          <w:color w:val="000000"/>
        </w:rPr>
        <w:t>)</w:t>
      </w:r>
      <w:r w:rsidRPr="009C2CE9">
        <w:rPr>
          <w:rFonts w:ascii="Verdana" w:hAnsi="Verdana" w:eastAsia="Calibri" w:cs="Arial"/>
          <w:color w:val="000000"/>
        </w:rPr>
        <w:t xml:space="preserve"> </w:t>
      </w:r>
      <w:r w:rsidRPr="009C2CE9">
        <w:rPr>
          <w:rFonts w:ascii="Verdana" w:hAnsi="Verdana" w:eastAsia="Calibri" w:cs="Arial"/>
          <w:i/>
          <w:iCs/>
          <w:color w:val="000000"/>
        </w:rPr>
        <w:t>ibidem.</w:t>
      </w:r>
    </w:p>
    <w:p w:rsidR="005936CA" w:rsidP="005936CA" w:rsidRDefault="005936CA" w14:paraId="5C38723B" w14:textId="77777777">
      <w:pPr>
        <w:spacing w:after="0" w:line="276" w:lineRule="auto"/>
        <w:ind w:firstLine="709"/>
        <w:jc w:val="both"/>
        <w:rPr>
          <w:rFonts w:ascii="Verdana" w:hAnsi="Verdana" w:eastAsia="Calibri" w:cs="Arial"/>
          <w:color w:val="000000"/>
          <w:lang w:val="es-ES_tradnl" w:eastAsia="es-ES_tradnl"/>
        </w:rPr>
      </w:pPr>
    </w:p>
    <w:p w:rsidRPr="00072FBB" w:rsidR="005936CA" w:rsidP="005936CA" w:rsidRDefault="005936CA" w14:paraId="7C833711" w14:textId="77777777">
      <w:pPr>
        <w:autoSpaceDE w:val="0"/>
        <w:autoSpaceDN w:val="0"/>
        <w:adjustRightInd w:val="0"/>
        <w:spacing w:after="120" w:line="276" w:lineRule="auto"/>
        <w:jc w:val="both"/>
        <w:rPr>
          <w:rFonts w:ascii="Verdana" w:hAnsi="Verdana" w:cs="Arial"/>
          <w:i/>
        </w:rPr>
      </w:pPr>
      <w:proofErr w:type="spellStart"/>
      <w:r w:rsidRPr="00890A2D">
        <w:rPr>
          <w:rFonts w:ascii="Verdana" w:hAnsi="Verdana" w:eastAsia="Calibri" w:cs="Arial"/>
          <w:color w:val="000000"/>
          <w:lang w:val="es-ES_tradnl" w:eastAsia="es-ES_tradnl"/>
        </w:rPr>
        <w:t>ii</w:t>
      </w:r>
      <w:proofErr w:type="spellEnd"/>
      <w:r w:rsidRPr="00890A2D">
        <w:rPr>
          <w:rFonts w:ascii="Verdana" w:hAnsi="Verdana" w:eastAsia="Calibri" w:cs="Arial"/>
          <w:color w:val="000000"/>
          <w:lang w:val="es-ES_tradnl" w:eastAsia="es-ES_tradnl"/>
        </w:rPr>
        <w:t>)</w:t>
      </w:r>
      <w:r>
        <w:rPr>
          <w:rFonts w:ascii="Verdana" w:hAnsi="Verdana" w:eastAsia="Calibri" w:cs="Arial"/>
          <w:color w:val="000000"/>
          <w:lang w:val="es-ES_tradnl" w:eastAsia="es-ES_tradnl"/>
        </w:rPr>
        <w:t xml:space="preserve"> </w:t>
      </w:r>
      <w:r w:rsidRPr="00EA4DC1">
        <w:rPr>
          <w:rFonts w:ascii="Verdana" w:hAnsi="Verdana" w:cs="Arial"/>
        </w:rPr>
        <w:t>En lo relativo a</w:t>
      </w:r>
      <w:r>
        <w:rPr>
          <w:rFonts w:ascii="Verdana" w:hAnsi="Verdana" w:cs="Arial"/>
        </w:rPr>
        <w:t xml:space="preserve"> </w:t>
      </w:r>
      <w:r w:rsidRPr="00EA4DC1">
        <w:rPr>
          <w:rFonts w:ascii="Verdana" w:hAnsi="Verdana" w:cs="Arial"/>
        </w:rPr>
        <w:t>l</w:t>
      </w:r>
      <w:r>
        <w:rPr>
          <w:rFonts w:ascii="Verdana" w:hAnsi="Verdana" w:cs="Arial"/>
        </w:rPr>
        <w:t xml:space="preserve">as obligaciones pactadas dentro </w:t>
      </w:r>
      <w:r w:rsidRPr="00EA4DC1">
        <w:rPr>
          <w:rFonts w:ascii="Verdana" w:hAnsi="Verdana" w:cs="Arial"/>
        </w:rPr>
        <w:t>de los contratos de prestación de servicios</w:t>
      </w:r>
      <w:r>
        <w:rPr>
          <w:rFonts w:ascii="Verdana" w:hAnsi="Verdana" w:cs="Arial"/>
        </w:rPr>
        <w:t>,</w:t>
      </w:r>
      <w:r w:rsidRPr="00EA4DC1">
        <w:rPr>
          <w:rFonts w:ascii="Verdana" w:hAnsi="Verdana" w:cs="Arial"/>
        </w:rPr>
        <w:t xml:space="preserve"> debe destacarse lo señalado en el inciso segundo del numeral 3 del artículo 32 de la Ley 80 de 1993, el cual dispone que: </w:t>
      </w:r>
      <w:r w:rsidRPr="00072FBB">
        <w:rPr>
          <w:rFonts w:ascii="Verdana" w:hAnsi="Verdana" w:cs="Arial"/>
          <w:i/>
        </w:rPr>
        <w:t xml:space="preserve">“Estos contratos sólo </w:t>
      </w:r>
      <w:r w:rsidRPr="00072FBB">
        <w:rPr>
          <w:rFonts w:ascii="Verdana" w:hAnsi="Verdana" w:cs="Arial"/>
          <w:i/>
        </w:rPr>
        <w:lastRenderedPageBreak/>
        <w:t>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rsidR="005936CA" w:rsidP="005936CA" w:rsidRDefault="005936CA" w14:paraId="50E48E1F" w14:textId="77777777">
      <w:pPr>
        <w:spacing w:after="120" w:line="276" w:lineRule="auto"/>
        <w:ind w:firstLine="709"/>
        <w:jc w:val="both"/>
        <w:rPr>
          <w:rFonts w:ascii="Verdana" w:hAnsi="Verdana" w:eastAsia="Calibri" w:cs="Arial"/>
          <w:color w:val="000000"/>
        </w:rPr>
      </w:pPr>
      <w:r>
        <w:rPr>
          <w:rFonts w:ascii="Verdana" w:hAnsi="Verdana" w:eastAsia="Calibri" w:cs="Arial"/>
          <w:color w:val="000000"/>
        </w:rPr>
        <w:t>De esta forma,</w:t>
      </w:r>
      <w:r w:rsidRPr="008D2E7A">
        <w:t xml:space="preserve"> </w:t>
      </w:r>
      <w:r>
        <w:rPr>
          <w:rFonts w:ascii="Verdana" w:hAnsi="Verdana"/>
        </w:rPr>
        <w:t>el uso de</w:t>
      </w:r>
      <w:r>
        <w:rPr>
          <w:rFonts w:ascii="Verdana" w:hAnsi="Verdana" w:eastAsia="Calibri" w:cs="Arial"/>
          <w:color w:val="000000"/>
        </w:rPr>
        <w:t xml:space="preserve"> cláusulas amplias o de obligaciones indeterminadas en</w:t>
      </w:r>
      <w:r w:rsidRPr="008D2E7A">
        <w:rPr>
          <w:rFonts w:ascii="Verdana" w:hAnsi="Verdana" w:eastAsia="Calibri" w:cs="Arial"/>
          <w:color w:val="000000"/>
        </w:rPr>
        <w:t xml:space="preserve"> los contratos de prestación de servicios</w:t>
      </w:r>
      <w:r>
        <w:rPr>
          <w:rFonts w:ascii="Verdana" w:hAnsi="Verdana" w:eastAsia="Calibri" w:cs="Arial"/>
          <w:color w:val="000000"/>
        </w:rPr>
        <w:t xml:space="preserve"> debe analizarse</w:t>
      </w:r>
      <w:r w:rsidRPr="008D2E7A">
        <w:rPr>
          <w:rFonts w:ascii="Verdana" w:hAnsi="Verdana" w:eastAsia="Calibri" w:cs="Arial"/>
          <w:color w:val="000000"/>
        </w:rPr>
        <w:t xml:space="preserve"> </w:t>
      </w:r>
      <w:r>
        <w:rPr>
          <w:rFonts w:ascii="Verdana" w:hAnsi="Verdana" w:eastAsia="Calibri" w:cs="Arial"/>
          <w:color w:val="000000"/>
        </w:rPr>
        <w:t xml:space="preserve">de acuerdo con las características enlistadas anteriormente. Así, los contratos de prestación de servicios solo pueden celebrarse </w:t>
      </w:r>
      <w:r w:rsidRPr="00D14454">
        <w:rPr>
          <w:rFonts w:ascii="Verdana" w:hAnsi="Verdana" w:eastAsia="Calibri" w:cs="Arial"/>
          <w:color w:val="000000"/>
        </w:rPr>
        <w:t>para realizar “actividades relacionadas con la administración o funcionamiento de la entidad”</w:t>
      </w:r>
      <w:r>
        <w:rPr>
          <w:rFonts w:ascii="Verdana" w:hAnsi="Verdana" w:eastAsia="Calibri" w:cs="Arial"/>
          <w:color w:val="000000"/>
        </w:rPr>
        <w:t xml:space="preserve">. En ese sentido, las cláusulas que se incluyan en los contratos deben guardar conexidad con el objeto contractual pactado. </w:t>
      </w:r>
    </w:p>
    <w:p w:rsidRPr="009B4DB8" w:rsidR="005936CA" w:rsidP="005936CA" w:rsidRDefault="005936CA" w14:paraId="6B2D1A58" w14:textId="77777777">
      <w:pPr>
        <w:spacing w:after="120" w:line="276" w:lineRule="auto"/>
        <w:ind w:firstLine="709"/>
        <w:jc w:val="both"/>
        <w:rPr>
          <w:rFonts w:ascii="Verdana" w:hAnsi="Verdana" w:eastAsia="Calibri" w:cs="Arial"/>
          <w:color w:val="000000"/>
        </w:rPr>
      </w:pPr>
      <w:r w:rsidRPr="009B4DB8">
        <w:rPr>
          <w:rFonts w:ascii="Verdana" w:hAnsi="Verdana" w:eastAsia="Calibri" w:cs="Arial"/>
          <w:color w:val="000000"/>
        </w:rPr>
        <w:t xml:space="preserve">En consecuencia, las </w:t>
      </w:r>
      <w:proofErr w:type="gramStart"/>
      <w:r w:rsidRPr="009B4DB8">
        <w:rPr>
          <w:rFonts w:ascii="Verdana" w:hAnsi="Verdana" w:eastAsia="Calibri" w:cs="Arial"/>
          <w:color w:val="000000"/>
        </w:rPr>
        <w:t>cláusulas</w:t>
      </w:r>
      <w:r w:rsidRPr="00DF64E0">
        <w:rPr>
          <w:rFonts w:ascii="Verdana" w:hAnsi="Verdana" w:eastAsia="Calibri" w:cs="Arial"/>
          <w:color w:val="000000"/>
        </w:rPr>
        <w:t xml:space="preserve">  que</w:t>
      </w:r>
      <w:proofErr w:type="gramEnd"/>
      <w:r w:rsidRPr="00DF64E0">
        <w:rPr>
          <w:rFonts w:ascii="Verdana" w:hAnsi="Verdana" w:eastAsia="Calibri" w:cs="Arial"/>
          <w:color w:val="000000"/>
        </w:rPr>
        <w:t xml:space="preserve"> se incluyan en el contrato deben interpretarse con</w:t>
      </w:r>
      <w:r w:rsidRPr="009B4DB8">
        <w:rPr>
          <w:rFonts w:ascii="Verdana" w:hAnsi="Verdana" w:eastAsia="Calibri" w:cs="Arial"/>
          <w:color w:val="000000"/>
        </w:rPr>
        <w:t xml:space="preserve">forme al objeto contractual definido a partir de los estudios previos, los cuales determinan tanto el propósito de la contratación como la forma en que se espera que el contratista ejecute el objeto y cumpla las obligaciones derivadas del contrato. De este modo, las obligaciones que se incluyan en el contrato, o que señale el supervisor </w:t>
      </w:r>
      <w:proofErr w:type="gramStart"/>
      <w:r w:rsidRPr="009B4DB8">
        <w:rPr>
          <w:rFonts w:ascii="Verdana" w:hAnsi="Verdana" w:eastAsia="Calibri" w:cs="Arial"/>
          <w:color w:val="000000"/>
        </w:rPr>
        <w:t>del mismo</w:t>
      </w:r>
      <w:proofErr w:type="gramEnd"/>
      <w:r w:rsidRPr="009B4DB8">
        <w:rPr>
          <w:rFonts w:ascii="Verdana" w:hAnsi="Verdana" w:eastAsia="Calibri" w:cs="Arial"/>
          <w:color w:val="000000"/>
        </w:rPr>
        <w:t xml:space="preserve"> deben restringirse al objeto del contrato conforme al principio de planeación y a la autonomía de la voluntad de las partes.</w:t>
      </w:r>
    </w:p>
    <w:p w:rsidRPr="009B4DB8" w:rsidR="005936CA" w:rsidP="005936CA" w:rsidRDefault="005936CA" w14:paraId="3C588F11" w14:textId="77777777">
      <w:pPr>
        <w:spacing w:after="120" w:line="276" w:lineRule="auto"/>
        <w:ind w:firstLine="709"/>
        <w:jc w:val="both"/>
        <w:rPr>
          <w:rFonts w:ascii="Verdana" w:hAnsi="Verdana" w:eastAsia="Calibri" w:cs="Arial"/>
          <w:color w:val="000000"/>
        </w:rPr>
      </w:pPr>
      <w:r w:rsidRPr="00072FBB">
        <w:rPr>
          <w:rFonts w:ascii="Verdana" w:hAnsi="Verdana" w:eastAsia="Times New Roman" w:cs="Segoe UI"/>
          <w:lang w:eastAsia="es-ES_tradnl"/>
        </w:rPr>
        <w:t xml:space="preserve">Lo anterior implica que, si bien </w:t>
      </w:r>
      <w:r w:rsidRPr="00072FBB">
        <w:rPr>
          <w:rFonts w:ascii="Verdana" w:hAnsi="Verdana" w:eastAsia="Times New Roman" w:cs="Arial"/>
          <w:color w:val="0A0A0A"/>
          <w:shd w:val="clear" w:color="auto" w:fill="FFFFFF"/>
          <w:lang w:eastAsia="es-ES_tradnl"/>
        </w:rPr>
        <w:t xml:space="preserve">es posible y recomendable pactar cláusulas amplias o indeterminadas, como “otras obligaciones relacionadas con el objeto” o “las demás obligaciones que asigne el supervisor” en los contratos de prestación de servicios, lo cierto es que, </w:t>
      </w:r>
      <w:r>
        <w:rPr>
          <w:rFonts w:ascii="Verdana" w:hAnsi="Verdana" w:eastAsia="Times New Roman" w:cs="Arial"/>
          <w:color w:val="0A0A0A"/>
          <w:shd w:val="clear" w:color="auto" w:fill="FFFFFF"/>
          <w:lang w:eastAsia="es-ES_tradnl"/>
        </w:rPr>
        <w:t xml:space="preserve">el </w:t>
      </w:r>
      <w:r w:rsidRPr="00072FBB">
        <w:rPr>
          <w:rFonts w:ascii="Verdana" w:hAnsi="Verdana" w:eastAsia="Times New Roman" w:cs="Segoe UI"/>
          <w:lang w:eastAsia="es-ES_tradnl"/>
        </w:rPr>
        <w:t xml:space="preserve">supervisor no puede </w:t>
      </w:r>
      <w:r>
        <w:rPr>
          <w:rFonts w:ascii="Verdana" w:hAnsi="Verdana" w:eastAsia="Times New Roman" w:cs="Segoe UI"/>
          <w:lang w:eastAsia="es-ES_tradnl"/>
        </w:rPr>
        <w:t xml:space="preserve">fijar obligaciones que </w:t>
      </w:r>
      <w:r w:rsidRPr="003925DB">
        <w:rPr>
          <w:rFonts w:ascii="Verdana" w:hAnsi="Verdana" w:eastAsia="Times New Roman" w:cs="Segoe UI"/>
          <w:lang w:eastAsia="es-ES_tradnl"/>
        </w:rPr>
        <w:t>amplí</w:t>
      </w:r>
      <w:r>
        <w:rPr>
          <w:rFonts w:ascii="Verdana" w:hAnsi="Verdana" w:eastAsia="Times New Roman" w:cs="Segoe UI"/>
          <w:lang w:eastAsia="es-ES_tradnl"/>
        </w:rPr>
        <w:t>en</w:t>
      </w:r>
      <w:r w:rsidRPr="00072FBB">
        <w:rPr>
          <w:rFonts w:ascii="Verdana" w:hAnsi="Verdana" w:eastAsia="Times New Roman" w:cs="Segoe UI"/>
          <w:lang w:eastAsia="es-ES_tradnl"/>
        </w:rPr>
        <w:t xml:space="preserve"> el objeto del contrato ni imponer tareas que lo desborden</w:t>
      </w:r>
      <w:r>
        <w:rPr>
          <w:rFonts w:ascii="Verdana" w:hAnsi="Verdana" w:eastAsia="Times New Roman" w:cs="Segoe UI"/>
          <w:lang w:eastAsia="es-ES_tradnl"/>
        </w:rPr>
        <w:t xml:space="preserve">. Esto, </w:t>
      </w:r>
      <w:r w:rsidRPr="00072FBB">
        <w:rPr>
          <w:rFonts w:ascii="Verdana" w:hAnsi="Verdana" w:eastAsia="Times New Roman" w:cs="Segoe UI"/>
          <w:lang w:eastAsia="es-ES_tradnl"/>
        </w:rPr>
        <w:t>puesto que tales actuaciones desconocerían la naturaleza jurídica del contrato de prestación de servicios y podrían generar riesgos como la desnaturalización del vínculo contractual.</w:t>
      </w:r>
    </w:p>
    <w:bookmarkEnd w:id="3"/>
    <w:p w:rsidRPr="008A301C" w:rsidR="005936CA" w:rsidP="005936CA" w:rsidRDefault="005936CA" w14:paraId="2C7544A3" w14:textId="77777777">
      <w:pPr>
        <w:tabs>
          <w:tab w:val="left" w:pos="709"/>
        </w:tabs>
        <w:spacing w:after="0" w:line="276" w:lineRule="auto"/>
        <w:jc w:val="both"/>
        <w:rPr>
          <w:rFonts w:ascii="Verdana" w:hAnsi="Verdana" w:eastAsia="Calibri" w:cs="Arial"/>
          <w:color w:val="000000" w:themeColor="text1"/>
          <w:lang w:val="es-ES" w:eastAsia="es-ES"/>
        </w:rPr>
      </w:pPr>
      <w:r w:rsidRPr="009F4646">
        <w:rPr>
          <w:rFonts w:ascii="Verdana" w:hAnsi="Verdana" w:eastAsia="Calibri" w:cs="Arial"/>
          <w:color w:val="EE0000"/>
          <w:lang w:eastAsia="es-ES"/>
        </w:rPr>
        <w:tab/>
      </w:r>
      <w:r w:rsidRPr="008A301C">
        <w:rPr>
          <w:rFonts w:ascii="Verdana" w:hAnsi="Verdana" w:eastAsia="Calibri" w:cs="Arial"/>
          <w:bCs/>
          <w:color w:val="000000" w:themeColor="text1"/>
        </w:rPr>
        <w:t xml:space="preserve">Al margen de la explicación precedente debe advertirse que </w:t>
      </w:r>
      <w:r w:rsidRPr="008A301C">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8A301C">
        <w:rPr>
          <w:rFonts w:ascii="Verdana" w:hAnsi="Verdana" w:eastAsia="Calibri" w:cs="Arial"/>
          <w:bCs/>
          <w:color w:val="000000" w:themeColor="text1"/>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8A301C">
        <w:rPr>
          <w:rFonts w:ascii="Verdana" w:hAnsi="Verdana" w:eastAsia="Calibri" w:cs="Arial"/>
          <w:bCs/>
          <w:color w:val="000000" w:themeColor="text1"/>
        </w:rPr>
        <w:lastRenderedPageBreak/>
        <w:t>correspondiente y, en caso de conflicto, a las autoridades judiciales, fiscales y disciplinarias.</w:t>
      </w:r>
    </w:p>
    <w:p w:rsidRPr="009F4646" w:rsidR="005936CA" w:rsidP="005936CA" w:rsidRDefault="005936CA" w14:paraId="29D6E34E" w14:textId="77777777">
      <w:pPr>
        <w:spacing w:after="0" w:line="276" w:lineRule="auto"/>
        <w:jc w:val="both"/>
        <w:rPr>
          <w:rFonts w:ascii="Verdana" w:hAnsi="Verdana" w:eastAsia="Calibri" w:cs="Arial"/>
          <w:bCs/>
          <w:color w:val="EE0000"/>
        </w:rPr>
      </w:pPr>
    </w:p>
    <w:bookmarkEnd w:id="1"/>
    <w:bookmarkEnd w:id="2"/>
    <w:p w:rsidRPr="00B73E02" w:rsidR="005936CA" w:rsidP="005936CA" w:rsidRDefault="005936CA" w14:paraId="33DAE2C1" w14:textId="77777777">
      <w:pPr>
        <w:spacing w:after="0" w:line="276" w:lineRule="auto"/>
        <w:jc w:val="both"/>
        <w:rPr>
          <w:rFonts w:ascii="Verdana" w:hAnsi="Verdana" w:eastAsia="Century Gothic" w:cs="Century Gothic"/>
          <w:b/>
          <w:lang w:val="es-ES"/>
        </w:rPr>
      </w:pPr>
      <w:r w:rsidRPr="00B73E02">
        <w:rPr>
          <w:rFonts w:ascii="Verdana" w:hAnsi="Verdana" w:eastAsia="Century Gothic" w:cs="Century Gothic"/>
          <w:b/>
          <w:lang w:val="es-ES"/>
        </w:rPr>
        <w:t>4. Referencias normativas, jurisprudenciales y otras fuentes:</w:t>
      </w:r>
    </w:p>
    <w:p w:rsidRPr="00DF64E0" w:rsidR="005936CA" w:rsidP="005936CA" w:rsidRDefault="005936CA" w14:paraId="6F39E186" w14:textId="77777777">
      <w:pPr>
        <w:spacing w:after="0" w:line="276" w:lineRule="auto"/>
        <w:jc w:val="both"/>
        <w:rPr>
          <w:rFonts w:ascii="Verdana" w:hAnsi="Verdana" w:eastAsia="Century Gothic" w:cs="Century Gothic"/>
          <w:b/>
          <w:lang w:val="es-ES"/>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9F4646" w:rsidR="005936CA" w:rsidTr="00C55E59" w14:paraId="6F364B7B" w14:textId="77777777">
        <w:trPr>
          <w:trHeight w:val="870"/>
        </w:trPr>
        <w:tc>
          <w:tcPr>
            <w:tcW w:w="8647" w:type="dxa"/>
          </w:tcPr>
          <w:p w:rsidR="005936CA" w:rsidP="005936CA" w:rsidRDefault="005936CA" w14:paraId="1A8DC299"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80 de 1993. Artículo 32 y 40.</w:t>
            </w:r>
          </w:p>
          <w:p w:rsidR="005936CA" w:rsidP="005936CA" w:rsidRDefault="005936CA" w14:paraId="4B6F373B"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1150 de 2007. Artículo 2.</w:t>
            </w:r>
          </w:p>
          <w:p w:rsidRPr="002935D8" w:rsidR="005936CA" w:rsidP="005936CA" w:rsidRDefault="005936CA" w14:paraId="04A6AF80"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1437 de 2011. Artículo 91.</w:t>
            </w:r>
          </w:p>
          <w:p w:rsidR="005936CA" w:rsidP="005936CA" w:rsidRDefault="005936CA" w14:paraId="09A7658B"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1955 de 2015. Artículo 244.</w:t>
            </w:r>
          </w:p>
          <w:p w:rsidR="005936CA" w:rsidP="005936CA" w:rsidRDefault="005936CA" w14:paraId="75EF4721"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Decreto 1082 de 2015. Artículo 2.2.1.2.1.4.1, 2.2.1.2.1.4.5, 2.2.1.2.1.4.9.</w:t>
            </w:r>
          </w:p>
          <w:p w:rsidRPr="005408F8" w:rsidR="005936CA" w:rsidP="005936CA" w:rsidRDefault="005936CA" w14:paraId="7788C1AF"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sz w:val="32"/>
                <w:szCs w:val="32"/>
              </w:rPr>
            </w:pPr>
            <w:r w:rsidRPr="00373AD7">
              <w:rPr>
                <w:rFonts w:ascii="Verdana" w:hAnsi="Verdana" w:cs="Arial"/>
                <w:color w:val="000000"/>
              </w:rPr>
              <w:t>Corte Constitucional. Sentencia C-154 de 1997. Magistrado Ponente: Hernando Herrera Vergara.</w:t>
            </w:r>
          </w:p>
          <w:p w:rsidRPr="005408F8" w:rsidR="005936CA" w:rsidP="005936CA" w:rsidRDefault="005936CA" w14:paraId="547B4AC9"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sz w:val="44"/>
                <w:szCs w:val="44"/>
              </w:rPr>
            </w:pPr>
            <w:r w:rsidRPr="005408F8">
              <w:rPr>
                <w:rFonts w:ascii="Verdana" w:hAnsi="Verdana" w:cs="Arial"/>
                <w:color w:val="000000"/>
              </w:rPr>
              <w:t xml:space="preserve">Consejo de Estado. Sección Tercera. Subsección C. Sentencia del 2 de diciembre de 2013. </w:t>
            </w:r>
            <w:proofErr w:type="spellStart"/>
            <w:r w:rsidRPr="005408F8">
              <w:rPr>
                <w:rFonts w:ascii="Verdana" w:hAnsi="Verdana" w:cs="Arial"/>
                <w:color w:val="000000"/>
              </w:rPr>
              <w:t>Exp</w:t>
            </w:r>
            <w:proofErr w:type="spellEnd"/>
            <w:r w:rsidRPr="005408F8">
              <w:rPr>
                <w:rFonts w:ascii="Verdana" w:hAnsi="Verdana" w:cs="Arial"/>
                <w:color w:val="000000"/>
              </w:rPr>
              <w:t>. 41719. Consejero Ponente: Jaime Orlando Santofimio Gamboa.</w:t>
            </w:r>
          </w:p>
          <w:p w:rsidRPr="001E2C05" w:rsidR="005936CA" w:rsidP="005936CA" w:rsidRDefault="005936CA" w14:paraId="18F0F6BC" w14:textId="77777777">
            <w:pPr>
              <w:pStyle w:val="Prrafodelista"/>
              <w:widowControl w:val="0"/>
              <w:numPr>
                <w:ilvl w:val="0"/>
                <w:numId w:val="16"/>
              </w:numPr>
              <w:autoSpaceDE w:val="0"/>
              <w:autoSpaceDN w:val="0"/>
              <w:spacing w:line="276" w:lineRule="auto"/>
              <w:ind w:left="360"/>
              <w:contextualSpacing w:val="0"/>
              <w:jc w:val="both"/>
              <w:rPr>
                <w:rFonts w:ascii="Verdana" w:hAnsi="Verdana" w:cs="Arial"/>
              </w:rPr>
            </w:pPr>
            <w:r w:rsidRPr="008C6D04">
              <w:rPr>
                <w:rFonts w:ascii="Verdana" w:hAnsi="Verdana" w:cs="Arial"/>
              </w:rPr>
              <w:t>Consejo de Estado. Sección Segunda. Sentencia de Unificación Jurisprudencial SUJ-025-CE-S2-2021. Radicado (1317-2016)</w:t>
            </w:r>
            <w:r>
              <w:rPr>
                <w:rFonts w:ascii="Verdana" w:hAnsi="Verdana" w:cs="Arial"/>
              </w:rPr>
              <w:t>.</w:t>
            </w:r>
          </w:p>
        </w:tc>
      </w:tr>
    </w:tbl>
    <w:p w:rsidRPr="002B5409" w:rsidR="005936CA" w:rsidP="005936CA" w:rsidRDefault="005936CA" w14:paraId="10FAAEF0" w14:textId="77777777">
      <w:pPr>
        <w:widowControl w:val="0"/>
        <w:autoSpaceDE w:val="0"/>
        <w:autoSpaceDN w:val="0"/>
        <w:spacing w:after="0" w:line="276" w:lineRule="auto"/>
        <w:jc w:val="both"/>
        <w:rPr>
          <w:rFonts w:ascii="Verdana" w:hAnsi="Verdana" w:cs="Arial"/>
          <w:lang w:val="es-ES"/>
        </w:rPr>
      </w:pPr>
    </w:p>
    <w:p w:rsidRPr="002B5409" w:rsidR="005936CA" w:rsidP="005936CA" w:rsidRDefault="005936CA" w14:paraId="7C15ED66" w14:textId="77777777">
      <w:pPr>
        <w:tabs>
          <w:tab w:val="left" w:pos="142"/>
          <w:tab w:val="left" w:pos="284"/>
        </w:tabs>
        <w:spacing w:after="0" w:line="276" w:lineRule="auto"/>
        <w:jc w:val="both"/>
        <w:rPr>
          <w:rFonts w:ascii="Verdana" w:hAnsi="Verdana" w:eastAsia="Century Gothic" w:cs="Century Gothic"/>
          <w:b/>
          <w:lang w:val="es-ES"/>
        </w:rPr>
      </w:pPr>
      <w:r w:rsidRPr="002B5409">
        <w:rPr>
          <w:rFonts w:ascii="Verdana" w:hAnsi="Verdana" w:eastAsia="Century Gothic" w:cs="Century Gothic"/>
          <w:b/>
          <w:lang w:val="es-ES"/>
        </w:rPr>
        <w:t>5. Doctrina de la Agencia Nacional de Contratación Pública:</w:t>
      </w:r>
    </w:p>
    <w:p w:rsidRPr="009F4646" w:rsidR="005936CA" w:rsidP="005936CA" w:rsidRDefault="005936CA" w14:paraId="70415571" w14:textId="77777777">
      <w:pPr>
        <w:widowControl w:val="0"/>
        <w:autoSpaceDE w:val="0"/>
        <w:autoSpaceDN w:val="0"/>
        <w:spacing w:after="0" w:line="276" w:lineRule="auto"/>
        <w:jc w:val="both"/>
        <w:rPr>
          <w:rFonts w:ascii="Verdana" w:hAnsi="Verdana" w:cs="Arial"/>
          <w:color w:val="EE0000"/>
          <w:lang w:val="es-ES"/>
        </w:rPr>
      </w:pPr>
    </w:p>
    <w:p w:rsidRPr="002B5409" w:rsidR="005936CA" w:rsidP="005936CA" w:rsidRDefault="005936CA" w14:paraId="1577C5C4" w14:textId="77777777">
      <w:pPr>
        <w:spacing w:after="0" w:line="276" w:lineRule="auto"/>
        <w:jc w:val="both"/>
        <w:rPr>
          <w:rFonts w:ascii="Verdana" w:hAnsi="Verdana"/>
          <w:color w:val="0000FF"/>
          <w:lang w:val="es-ES"/>
        </w:rPr>
      </w:pPr>
      <w:r w:rsidRPr="006903C3">
        <w:rPr>
          <w:rFonts w:ascii="Verdana" w:hAnsi="Verdana" w:eastAsia="Calibri" w:cs="Arial"/>
          <w:lang w:val="es-ES"/>
        </w:rPr>
        <w:t xml:space="preserve">La Agencia Nacional de Contratación Pública – Colombia Compra Eficiente se ha referido </w:t>
      </w:r>
      <w:r w:rsidRPr="006903C3">
        <w:rPr>
          <w:rFonts w:ascii="Verdana" w:hAnsi="Verdana" w:cs="Arial"/>
          <w:shd w:val="clear" w:color="auto" w:fill="FFFFFF"/>
          <w:lang w:val="es-ES"/>
        </w:rPr>
        <w:t xml:space="preserve">sobre </w:t>
      </w:r>
      <w:r w:rsidRPr="009C2CE9">
        <w:rPr>
          <w:rFonts w:ascii="Verdana" w:hAnsi="Verdana" w:cs="Arial"/>
          <w:shd w:val="clear" w:color="auto" w:fill="FFFFFF"/>
          <w:lang w:val="es-ES"/>
        </w:rPr>
        <w:t xml:space="preserve">los contratos de prestación de servicios, así como los requisitos para su </w:t>
      </w:r>
      <w:r w:rsidRPr="004E5317">
        <w:rPr>
          <w:rFonts w:ascii="Verdana" w:hAnsi="Verdana" w:cs="Arial"/>
          <w:shd w:val="clear" w:color="auto" w:fill="FFFFFF"/>
          <w:lang w:val="es-ES"/>
        </w:rPr>
        <w:t xml:space="preserve">celebración en los conceptos con radicado C-414 </w:t>
      </w:r>
      <w:r w:rsidRPr="009C2CE9">
        <w:rPr>
          <w:rFonts w:ascii="Verdana" w:hAnsi="Verdana" w:cs="Arial"/>
          <w:shd w:val="clear" w:color="auto" w:fill="FFFFFF"/>
          <w:lang w:val="es-ES"/>
        </w:rPr>
        <w:t>del 30 de junio de 2020,C-661 del 17 de noviembre de 2020 C−685 del 18 de diciembre de 2020, C-004 del 12 de febrero de 2021, C</w:t>
      </w:r>
      <w:r>
        <w:rPr>
          <w:rFonts w:ascii="Verdana" w:hAnsi="Verdana" w:cs="Arial"/>
          <w:shd w:val="clear" w:color="auto" w:fill="FFFFFF"/>
          <w:lang w:val="es-ES"/>
        </w:rPr>
        <w:t>-</w:t>
      </w:r>
      <w:r w:rsidRPr="009C2CE9">
        <w:rPr>
          <w:rFonts w:ascii="Verdana" w:hAnsi="Verdana" w:cs="Arial"/>
          <w:shd w:val="clear" w:color="auto" w:fill="FFFFFF"/>
          <w:lang w:val="es-ES"/>
        </w:rPr>
        <w:t>106 del 7 de abril de 2021, C-181 del 07 de abril de 2022, C-214 del 22 de abril de 2022</w:t>
      </w:r>
      <w:r>
        <w:rPr>
          <w:rFonts w:ascii="Verdana" w:hAnsi="Verdana" w:cs="Arial"/>
          <w:shd w:val="clear" w:color="auto" w:fill="FFFFFF"/>
          <w:lang w:val="es-ES"/>
        </w:rPr>
        <w:t xml:space="preserve">, </w:t>
      </w:r>
      <w:r w:rsidRPr="009C2CE9">
        <w:rPr>
          <w:rFonts w:ascii="Verdana" w:hAnsi="Verdana" w:cs="Arial"/>
          <w:shd w:val="clear" w:color="auto" w:fill="FFFFFF"/>
          <w:lang w:val="es-ES"/>
        </w:rPr>
        <w:t>C-491 de 01 de agosto de 2022, C-008 del 20 de febrero de 2023, C-009 del 20 de febrero de 2023, C-286 del 2023, C-351 del 30 de agosto de 2024</w:t>
      </w:r>
      <w:r>
        <w:rPr>
          <w:rFonts w:ascii="Verdana" w:hAnsi="Verdana" w:cs="Arial"/>
          <w:shd w:val="clear" w:color="auto" w:fill="FFFFFF"/>
          <w:lang w:val="es-ES"/>
        </w:rPr>
        <w:t xml:space="preserve">, </w:t>
      </w:r>
      <w:r w:rsidRPr="009C2CE9">
        <w:rPr>
          <w:rFonts w:ascii="Verdana" w:hAnsi="Verdana" w:cs="Arial"/>
          <w:shd w:val="clear" w:color="auto" w:fill="FFFFFF"/>
          <w:lang w:val="es-ES"/>
        </w:rPr>
        <w:t xml:space="preserve">C-372 del 26 de Agosto 2024, C-904 del 9 de diciembre de 2024 </w:t>
      </w:r>
      <w:r>
        <w:rPr>
          <w:rFonts w:ascii="Verdana" w:hAnsi="Verdana" w:cs="Arial"/>
          <w:shd w:val="clear" w:color="auto" w:fill="FFFFFF"/>
          <w:lang w:val="es-ES"/>
        </w:rPr>
        <w:t xml:space="preserve">, </w:t>
      </w:r>
      <w:r w:rsidRPr="009C2CE9">
        <w:rPr>
          <w:rFonts w:ascii="Verdana" w:hAnsi="Verdana" w:cs="Arial"/>
          <w:shd w:val="clear" w:color="auto" w:fill="FFFFFF"/>
          <w:lang w:val="es-ES"/>
        </w:rPr>
        <w:t>C-363 del 15 de abril de 2025</w:t>
      </w:r>
      <w:r>
        <w:rPr>
          <w:rFonts w:ascii="Verdana" w:hAnsi="Verdana" w:cs="Arial"/>
          <w:shd w:val="clear" w:color="auto" w:fill="FFFFFF"/>
          <w:lang w:val="es-ES"/>
        </w:rPr>
        <w:t xml:space="preserve">, C-652 del 04 de julio de 2025 y C-706 del 15 de julio de 2025, </w:t>
      </w:r>
      <w:r w:rsidRPr="00ED7C2F">
        <w:rPr>
          <w:rFonts w:ascii="Verdana" w:hAnsi="Verdana" w:cs="Arial"/>
          <w:shd w:val="clear" w:color="auto" w:fill="FFFFFF"/>
          <w:lang w:val="es-ES"/>
        </w:rPr>
        <w:t>C-1838 de</w:t>
      </w:r>
      <w:r>
        <w:rPr>
          <w:rFonts w:ascii="Verdana" w:hAnsi="Verdana" w:cs="Arial"/>
          <w:shd w:val="clear" w:color="auto" w:fill="FFFFFF"/>
          <w:lang w:val="es-ES"/>
        </w:rPr>
        <w:t>l 23 de enero de</w:t>
      </w:r>
      <w:r w:rsidRPr="00ED7C2F">
        <w:rPr>
          <w:rFonts w:ascii="Verdana" w:hAnsi="Verdana" w:cs="Arial"/>
          <w:shd w:val="clear" w:color="auto" w:fill="FFFFFF"/>
          <w:lang w:val="es-ES"/>
        </w:rPr>
        <w:t xml:space="preserve"> 2026</w:t>
      </w:r>
      <w:r>
        <w:rPr>
          <w:rFonts w:ascii="Verdana" w:hAnsi="Verdana" w:cs="Arial"/>
          <w:shd w:val="clear" w:color="auto" w:fill="FFFFFF"/>
          <w:lang w:val="es-ES"/>
        </w:rPr>
        <w:t xml:space="preserve">, </w:t>
      </w:r>
      <w:r w:rsidRPr="009C2CE9">
        <w:rPr>
          <w:rFonts w:ascii="Verdana" w:hAnsi="Verdana" w:cs="Arial"/>
          <w:shd w:val="clear" w:color="auto" w:fill="FFFFFF"/>
          <w:lang w:val="es-ES"/>
        </w:rPr>
        <w:t>entre otros</w:t>
      </w:r>
      <w:r w:rsidRPr="009C2CE9">
        <w:rPr>
          <w:rFonts w:ascii="Verdana" w:hAnsi="Verdana" w:eastAsia="Aptos" w:cs="Segoe UI"/>
          <w:kern w:val="2"/>
          <w14:ligatures w14:val="standardContextual"/>
        </w:rPr>
        <w:t>.</w:t>
      </w:r>
      <w:r>
        <w:rPr>
          <w:rFonts w:ascii="Verdana" w:hAnsi="Verdana" w:eastAsia="Aptos" w:cs="Segoe UI"/>
          <w:kern w:val="2"/>
          <w14:ligatures w14:val="standardContextual"/>
        </w:rPr>
        <w:t xml:space="preserve"> </w:t>
      </w:r>
      <w:r w:rsidRPr="002B5409">
        <w:rPr>
          <w:rFonts w:ascii="Verdana" w:hAnsi="Verdana" w:cs="Arial"/>
          <w:shd w:val="clear" w:color="auto" w:fill="FFFFFF"/>
          <w:lang w:val="es-ES"/>
        </w:rPr>
        <w:t>Estos</w:t>
      </w:r>
      <w:r w:rsidRPr="002B5409">
        <w:rPr>
          <w:rFonts w:ascii="Verdana" w:hAnsi="Verdana"/>
          <w:lang w:val="es-ES"/>
        </w:rPr>
        <w:t xml:space="preserve"> y otros se encuentran disponibles para consulta en el Sistema de relatoría de la Agencia, al cual se puede acceder a través del siguiente enlace:</w:t>
      </w:r>
      <w:r w:rsidRPr="002B5409">
        <w:rPr>
          <w:rFonts w:ascii="Verdana" w:hAnsi="Verdana" w:cs="Arial"/>
          <w:shd w:val="clear" w:color="auto" w:fill="FFFFFF"/>
          <w:lang w:val="es-ES"/>
        </w:rPr>
        <w:t xml:space="preserve"> </w:t>
      </w:r>
      <w:hyperlink w:history="1" r:id="rId12">
        <w:r w:rsidRPr="00DF64E0">
          <w:rPr>
            <w:rStyle w:val="Hipervnculo"/>
            <w:rFonts w:ascii="Verdana" w:hAnsi="Verdana" w:cs="Arial"/>
            <w:shd w:val="clear" w:color="auto" w:fill="FFFFFF"/>
            <w:lang w:val="es-ES"/>
          </w:rPr>
          <w:t>https://relatoria.colombiacompra.gov.co/busqueda/conceptos</w:t>
        </w:r>
      </w:hyperlink>
    </w:p>
    <w:p w:rsidRPr="002B5409" w:rsidR="005936CA" w:rsidP="005936CA" w:rsidRDefault="005936CA" w14:paraId="2EEAB178" w14:textId="77777777">
      <w:pPr>
        <w:spacing w:after="0" w:line="276" w:lineRule="auto"/>
        <w:jc w:val="both"/>
        <w:rPr>
          <w:rFonts w:ascii="Verdana" w:hAnsi="Verdana" w:cs="Arial"/>
          <w:shd w:val="clear" w:color="auto" w:fill="FFFFFF"/>
        </w:rPr>
      </w:pPr>
    </w:p>
    <w:p w:rsidRPr="002B5409" w:rsidR="005936CA" w:rsidP="005936CA" w:rsidRDefault="005936CA" w14:paraId="7CA70415" w14:textId="77777777">
      <w:pPr>
        <w:spacing w:after="0" w:line="276" w:lineRule="auto"/>
        <w:jc w:val="both"/>
        <w:rPr>
          <w:rFonts w:ascii="Verdana" w:hAnsi="Verdana" w:cs="Arial"/>
          <w:shd w:val="clear" w:color="auto" w:fill="FFFFFF"/>
        </w:rPr>
      </w:pPr>
      <w:r w:rsidRPr="002B5409">
        <w:rPr>
          <w:rFonts w:ascii="Verdana" w:hAnsi="Verdana" w:cs="Arial"/>
          <w:shd w:val="clear" w:color="auto" w:fill="FFFFFF"/>
        </w:rPr>
        <w:lastRenderedPageBreak/>
        <w:t xml:space="preserve">Por último, lo invitamos a seguirnos en las redes sociales en las cuales se difunde información institucional: </w:t>
      </w:r>
    </w:p>
    <w:p w:rsidRPr="002B5409" w:rsidR="005936CA" w:rsidP="005936CA" w:rsidRDefault="005936CA" w14:paraId="2E54A260" w14:textId="77777777">
      <w:pPr>
        <w:spacing w:after="0" w:line="276" w:lineRule="auto"/>
        <w:jc w:val="both"/>
        <w:rPr>
          <w:rFonts w:ascii="Verdana" w:hAnsi="Verdana" w:cs="Arial"/>
          <w:shd w:val="clear" w:color="auto" w:fill="FFFFFF"/>
        </w:rPr>
      </w:pPr>
    </w:p>
    <w:p w:rsidRPr="002B5409" w:rsidR="005936CA" w:rsidP="005936CA" w:rsidRDefault="005936CA" w14:paraId="7FE60361" w14:textId="77777777">
      <w:pPr>
        <w:spacing w:after="0" w:line="276" w:lineRule="auto"/>
        <w:jc w:val="both"/>
        <w:rPr>
          <w:rFonts w:ascii="Verdana" w:hAnsi="Verdana" w:cs="Arial"/>
          <w:shd w:val="clear" w:color="auto" w:fill="FFFFFF"/>
        </w:rPr>
      </w:pPr>
      <w:r w:rsidRPr="002B5409">
        <w:rPr>
          <w:rFonts w:ascii="Verdana" w:hAnsi="Verdana" w:cs="Arial"/>
          <w:shd w:val="clear" w:color="auto" w:fill="FFFFFF"/>
        </w:rPr>
        <w:t xml:space="preserve">Twitter: </w:t>
      </w:r>
      <w:r w:rsidRPr="002B5409">
        <w:rPr>
          <w:rStyle w:val="Hipervnculo"/>
          <w:rFonts w:ascii="Verdana" w:hAnsi="Verdana"/>
          <w:lang w:val="es-ES"/>
        </w:rPr>
        <w:t xml:space="preserve">@colombiacompra </w:t>
      </w:r>
    </w:p>
    <w:p w:rsidRPr="002B5409" w:rsidR="005936CA" w:rsidP="005936CA" w:rsidRDefault="005936CA" w14:paraId="361C9D85" w14:textId="77777777">
      <w:pPr>
        <w:spacing w:after="0" w:line="276" w:lineRule="auto"/>
        <w:jc w:val="both"/>
        <w:rPr>
          <w:rFonts w:ascii="Verdana" w:hAnsi="Verdana" w:cs="Arial"/>
          <w:shd w:val="clear" w:color="auto" w:fill="FFFFFF"/>
        </w:rPr>
      </w:pPr>
      <w:r w:rsidRPr="002B5409">
        <w:rPr>
          <w:rFonts w:ascii="Verdana" w:hAnsi="Verdana" w:cs="Arial"/>
          <w:shd w:val="clear" w:color="auto" w:fill="FFFFFF"/>
        </w:rPr>
        <w:t>Facebook:</w:t>
      </w:r>
      <w:r w:rsidRPr="002B5409">
        <w:rPr>
          <w:rStyle w:val="Hipervnculo"/>
          <w:rFonts w:ascii="Verdana" w:hAnsi="Verdana"/>
          <w:color w:val="auto"/>
          <w:lang w:val="es-ES"/>
        </w:rPr>
        <w:t xml:space="preserve"> </w:t>
      </w:r>
      <w:proofErr w:type="spellStart"/>
      <w:r w:rsidRPr="002B5409">
        <w:rPr>
          <w:rStyle w:val="Hipervnculo"/>
          <w:rFonts w:ascii="Verdana" w:hAnsi="Verdana"/>
          <w:lang w:val="es-ES"/>
        </w:rPr>
        <w:t>ColombiaCompraEficiente</w:t>
      </w:r>
      <w:proofErr w:type="spellEnd"/>
    </w:p>
    <w:p w:rsidRPr="002B5409" w:rsidR="005936CA" w:rsidP="005936CA" w:rsidRDefault="005936CA" w14:paraId="02D3C5C5" w14:textId="77777777">
      <w:pPr>
        <w:spacing w:after="0" w:line="276" w:lineRule="auto"/>
        <w:jc w:val="both"/>
        <w:rPr>
          <w:rFonts w:ascii="Verdana" w:hAnsi="Verdana" w:cs="Arial"/>
          <w:shd w:val="clear" w:color="auto" w:fill="FFFFFF"/>
        </w:rPr>
      </w:pPr>
      <w:r w:rsidRPr="002B5409">
        <w:rPr>
          <w:rFonts w:ascii="Verdana" w:hAnsi="Verdana" w:cs="Arial"/>
          <w:shd w:val="clear" w:color="auto" w:fill="FFFFFF"/>
        </w:rPr>
        <w:t xml:space="preserve">LinkedIn: </w:t>
      </w:r>
      <w:r w:rsidRPr="002B5409">
        <w:rPr>
          <w:rStyle w:val="Hipervnculo"/>
          <w:rFonts w:ascii="Verdana" w:hAnsi="Verdana"/>
          <w:lang w:val="es-ES"/>
        </w:rPr>
        <w:t xml:space="preserve">Agencia Nacional de Contratación Pública </w:t>
      </w:r>
      <w:r>
        <w:rPr>
          <w:rStyle w:val="Hipervnculo"/>
          <w:rFonts w:ascii="Verdana" w:hAnsi="Verdana"/>
          <w:lang w:val="es-ES"/>
        </w:rPr>
        <w:t>–</w:t>
      </w:r>
      <w:r w:rsidRPr="002B5409">
        <w:rPr>
          <w:rStyle w:val="Hipervnculo"/>
          <w:rFonts w:ascii="Verdana" w:hAnsi="Verdana"/>
          <w:lang w:val="es-ES"/>
        </w:rPr>
        <w:t xml:space="preserve"> Colombia Compra Eficiente</w:t>
      </w:r>
      <w:r w:rsidRPr="002B5409">
        <w:rPr>
          <w:rFonts w:ascii="Verdana" w:hAnsi="Verdana" w:cs="Arial"/>
          <w:color w:val="0000FF"/>
          <w:shd w:val="clear" w:color="auto" w:fill="FFFFFF"/>
        </w:rPr>
        <w:t xml:space="preserve"> </w:t>
      </w:r>
    </w:p>
    <w:p w:rsidRPr="002B5409" w:rsidR="005936CA" w:rsidP="005936CA" w:rsidRDefault="005936CA" w14:paraId="1156D0DD" w14:textId="77777777">
      <w:pPr>
        <w:spacing w:after="0" w:line="276" w:lineRule="auto"/>
        <w:jc w:val="both"/>
        <w:rPr>
          <w:rFonts w:ascii="Verdana" w:hAnsi="Verdana" w:cs="Arial"/>
          <w:shd w:val="clear" w:color="auto" w:fill="FFFFFF"/>
        </w:rPr>
      </w:pPr>
      <w:r w:rsidRPr="002B5409">
        <w:rPr>
          <w:rFonts w:ascii="Verdana" w:hAnsi="Verdana" w:cs="Arial"/>
          <w:shd w:val="clear" w:color="auto" w:fill="FFFFFF"/>
        </w:rPr>
        <w:t xml:space="preserve">Instagram: </w:t>
      </w:r>
      <w:r w:rsidRPr="002B5409">
        <w:rPr>
          <w:rStyle w:val="Hipervnculo"/>
          <w:rFonts w:ascii="Verdana" w:hAnsi="Verdana"/>
          <w:lang w:val="es-ES"/>
        </w:rPr>
        <w:t>@colombiacompraeficiente_cce</w:t>
      </w:r>
    </w:p>
    <w:p w:rsidRPr="009F4646" w:rsidR="005936CA" w:rsidP="005936CA" w:rsidRDefault="005936CA" w14:paraId="4A976DE7" w14:textId="77777777">
      <w:pPr>
        <w:widowControl w:val="0"/>
        <w:autoSpaceDE w:val="0"/>
        <w:autoSpaceDN w:val="0"/>
        <w:spacing w:after="0" w:line="276" w:lineRule="auto"/>
        <w:jc w:val="both"/>
        <w:rPr>
          <w:rFonts w:ascii="Verdana" w:hAnsi="Verdana" w:cs="Arial"/>
          <w:color w:val="EE0000"/>
          <w:lang w:val="es-ES"/>
        </w:rPr>
      </w:pPr>
    </w:p>
    <w:p w:rsidRPr="002B5409" w:rsidR="005936CA" w:rsidP="005936CA" w:rsidRDefault="005936CA" w14:paraId="2E600991" w14:textId="77777777">
      <w:pPr>
        <w:widowControl w:val="0"/>
        <w:autoSpaceDE w:val="0"/>
        <w:autoSpaceDN w:val="0"/>
        <w:spacing w:after="0" w:line="276" w:lineRule="auto"/>
        <w:jc w:val="both"/>
        <w:rPr>
          <w:rFonts w:ascii="Verdana" w:hAnsi="Verdana" w:cs="Arial"/>
          <w:lang w:val="es-ES"/>
        </w:rPr>
      </w:pPr>
      <w:r w:rsidRPr="002B540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2B5409" w:rsidR="005936CA" w:rsidP="005936CA" w:rsidRDefault="005936CA" w14:paraId="355BC091" w14:textId="77777777">
      <w:pPr>
        <w:widowControl w:val="0"/>
        <w:autoSpaceDE w:val="0"/>
        <w:autoSpaceDN w:val="0"/>
        <w:spacing w:after="0" w:line="276" w:lineRule="auto"/>
        <w:jc w:val="both"/>
        <w:rPr>
          <w:rFonts w:ascii="Verdana" w:hAnsi="Verdana" w:cs="Arial"/>
          <w:lang w:val="es-ES"/>
        </w:rPr>
      </w:pPr>
    </w:p>
    <w:p w:rsidRPr="00D02915" w:rsidR="005936CA" w:rsidP="005936CA" w:rsidRDefault="005936CA" w14:paraId="1BF739B1" w14:textId="77777777">
      <w:pPr>
        <w:spacing w:after="0" w:line="276" w:lineRule="auto"/>
        <w:rPr>
          <w:rFonts w:ascii="Verdana" w:hAnsi="Verdana" w:eastAsia="Calibri" w:cs="Times New Roman"/>
          <w:noProof/>
          <w:color w:val="EE0000"/>
          <w14:ligatures w14:val="standardContextual"/>
        </w:rPr>
      </w:pPr>
      <w:r w:rsidRPr="002B5409">
        <w:rPr>
          <w:rFonts w:ascii="Verdana" w:hAnsi="Verdana" w:eastAsia="Times New Roman" w:cs="Arial"/>
          <w:lang w:val="es-ES" w:eastAsia="es-CO"/>
        </w:rPr>
        <w:t>Atentamente,</w:t>
      </w:r>
      <w:r w:rsidRPr="002B5409">
        <w:rPr>
          <w:rFonts w:ascii="Verdana" w:hAnsi="Verdana" w:cs="Arial"/>
          <w:lang w:val="es-ES" w:eastAsia="es-CO"/>
        </w:rPr>
        <w:t xml:space="preserve"> </w:t>
      </w:r>
    </w:p>
    <w:p w:rsidRPr="00D02915" w:rsidR="005936CA" w:rsidP="005936CA" w:rsidRDefault="00C654EE" w14:paraId="766D0BEC" w14:textId="0636F563">
      <w:pPr>
        <w:spacing w:after="0" w:line="276" w:lineRule="auto"/>
        <w:jc w:val="center"/>
        <w:rPr>
          <w:rFonts w:ascii="Verdana" w:hAnsi="Verdana"/>
          <w:noProof/>
          <w:color w:val="EE0000"/>
        </w:rPr>
      </w:pPr>
      <w:r>
        <w:rPr>
          <w:noProof/>
        </w:rPr>
        <w:drawing>
          <wp:inline distT="0" distB="0" distL="0" distR="0" wp14:anchorId="057097A2" wp14:editId="4B75CBF6">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9F79FE" w:rsidR="005936CA" w:rsidTr="00C55E59" w14:paraId="0862FC99" w14:textId="77777777">
        <w:trPr>
          <w:trHeight w:val="315"/>
        </w:trPr>
        <w:tc>
          <w:tcPr>
            <w:tcW w:w="893" w:type="dxa"/>
            <w:vAlign w:val="center"/>
            <w:hideMark/>
          </w:tcPr>
          <w:p w:rsidRPr="009F79FE" w:rsidR="005936CA" w:rsidP="00C55E59" w:rsidRDefault="005936CA" w14:paraId="506F47A8" w14:textId="77777777">
            <w:pPr>
              <w:contextualSpacing/>
              <w:rPr>
                <w:rFonts w:ascii="Verdana" w:hAnsi="Verdana" w:cs="Arial"/>
                <w:sz w:val="16"/>
                <w:szCs w:val="16"/>
                <w:lang w:val="es-ES" w:eastAsia="es-ES"/>
              </w:rPr>
            </w:pPr>
            <w:r w:rsidRPr="009F79FE">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9F79FE" w:rsidR="005936CA" w:rsidP="00C55E59" w:rsidRDefault="005936CA" w14:paraId="581CD9A9" w14:textId="77777777">
            <w:pPr>
              <w:rPr>
                <w:rFonts w:ascii="Verdana" w:hAnsi="Verdana" w:eastAsia="Times New Roman" w:cs="Arial"/>
                <w:sz w:val="16"/>
                <w:szCs w:val="16"/>
                <w:lang w:eastAsia="es-ES"/>
              </w:rPr>
            </w:pPr>
            <w:r w:rsidRPr="00DC69C2">
              <w:rPr>
                <w:rFonts w:ascii="Verdana" w:hAnsi="Verdana" w:eastAsia="Times New Roman" w:cs="Arial"/>
                <w:sz w:val="16"/>
                <w:szCs w:val="16"/>
                <w:lang w:eastAsia="es-ES"/>
              </w:rPr>
              <w:t>Ximena Ríos López</w:t>
            </w:r>
          </w:p>
          <w:p w:rsidRPr="009F79FE" w:rsidR="005936CA" w:rsidP="00C55E59" w:rsidRDefault="005936CA" w14:paraId="65D71C3B" w14:textId="77777777">
            <w:pPr>
              <w:contextualSpacing/>
              <w:rPr>
                <w:rFonts w:ascii="Verdana" w:hAnsi="Verdana" w:eastAsia="Arial" w:cs="Arial"/>
                <w:sz w:val="16"/>
                <w:szCs w:val="16"/>
                <w:lang w:val="es-ES"/>
              </w:rPr>
            </w:pPr>
            <w:r w:rsidRPr="009F79FE">
              <w:rPr>
                <w:rFonts w:ascii="Verdana" w:hAnsi="Verdana" w:cs="Arial"/>
                <w:sz w:val="16"/>
                <w:szCs w:val="16"/>
                <w:lang w:eastAsia="es-ES"/>
              </w:rPr>
              <w:t>Gestor T1 ‒ 1</w:t>
            </w:r>
            <w:r>
              <w:rPr>
                <w:rFonts w:ascii="Verdana" w:hAnsi="Verdana" w:cs="Arial"/>
                <w:sz w:val="16"/>
                <w:szCs w:val="16"/>
                <w:lang w:eastAsia="es-ES"/>
              </w:rPr>
              <w:t>1</w:t>
            </w:r>
            <w:r w:rsidRPr="009F79FE">
              <w:rPr>
                <w:rFonts w:ascii="Verdana" w:hAnsi="Verdana" w:cs="Arial"/>
                <w:sz w:val="16"/>
                <w:szCs w:val="16"/>
                <w:lang w:eastAsia="es-ES"/>
              </w:rPr>
              <w:t xml:space="preserve"> </w:t>
            </w:r>
            <w:r w:rsidRPr="009F79FE">
              <w:rPr>
                <w:rFonts w:ascii="Verdana" w:hAnsi="Verdana" w:eastAsia="Times New Roman" w:cs="Arial"/>
                <w:sz w:val="16"/>
                <w:szCs w:val="16"/>
                <w:lang w:eastAsia="es-ES"/>
              </w:rPr>
              <w:t>de la Subdirección de Gestión Contractual</w:t>
            </w:r>
          </w:p>
        </w:tc>
      </w:tr>
      <w:tr w:rsidRPr="009F79FE" w:rsidR="005936CA" w:rsidTr="00C55E59" w14:paraId="6E71C73C" w14:textId="77777777">
        <w:trPr>
          <w:trHeight w:val="330"/>
        </w:trPr>
        <w:tc>
          <w:tcPr>
            <w:tcW w:w="893" w:type="dxa"/>
            <w:vAlign w:val="center"/>
            <w:hideMark/>
          </w:tcPr>
          <w:p w:rsidRPr="009F79FE" w:rsidR="005936CA" w:rsidP="00C55E59" w:rsidRDefault="005936CA" w14:paraId="5881220B" w14:textId="77777777">
            <w:pPr>
              <w:contextualSpacing/>
              <w:rPr>
                <w:rFonts w:ascii="Verdana" w:hAnsi="Verdana" w:cs="Arial"/>
                <w:sz w:val="16"/>
                <w:szCs w:val="16"/>
                <w:lang w:val="es-ES" w:eastAsia="es-ES"/>
              </w:rPr>
            </w:pPr>
            <w:r w:rsidRPr="009F79FE">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9F79FE" w:rsidR="005936CA" w:rsidP="00C55E59" w:rsidRDefault="005936CA" w14:paraId="6D03DD21" w14:textId="77777777">
            <w:pPr>
              <w:rPr>
                <w:rFonts w:ascii="Verdana" w:hAnsi="Verdana" w:eastAsia="Times New Roman" w:cs="Arial"/>
                <w:sz w:val="16"/>
                <w:szCs w:val="16"/>
                <w:lang w:eastAsia="es-ES"/>
              </w:rPr>
            </w:pPr>
            <w:r>
              <w:rPr>
                <w:rFonts w:ascii="Verdana" w:hAnsi="Verdana" w:eastAsia="Times New Roman" w:cs="Arial"/>
                <w:sz w:val="16"/>
                <w:szCs w:val="16"/>
                <w:lang w:eastAsia="es-ES"/>
              </w:rPr>
              <w:t>Diana Lucia Saavedra Castañeda</w:t>
            </w:r>
          </w:p>
          <w:p w:rsidRPr="009F79FE" w:rsidR="005936CA" w:rsidP="00C55E59" w:rsidRDefault="005936CA" w14:paraId="484732B9" w14:textId="77777777">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eastAsia="es-ES"/>
              </w:rPr>
              <w:t>Contratista</w:t>
            </w:r>
            <w:r w:rsidRPr="009F79FE">
              <w:rPr>
                <w:rFonts w:ascii="Verdana" w:hAnsi="Verdana" w:cs="Arial"/>
                <w:sz w:val="16"/>
                <w:szCs w:val="16"/>
                <w:lang w:eastAsia="es-ES"/>
              </w:rPr>
              <w:t xml:space="preserve"> de la Subdirección de Gestión Contractual</w:t>
            </w:r>
          </w:p>
        </w:tc>
      </w:tr>
      <w:tr w:rsidRPr="009F79FE" w:rsidR="005936CA" w:rsidTr="00C55E59" w14:paraId="37BEB776" w14:textId="77777777">
        <w:trPr>
          <w:trHeight w:val="300"/>
        </w:trPr>
        <w:tc>
          <w:tcPr>
            <w:tcW w:w="893" w:type="dxa"/>
            <w:vAlign w:val="center"/>
          </w:tcPr>
          <w:p w:rsidRPr="009F79FE" w:rsidR="005936CA" w:rsidP="00C55E59" w:rsidRDefault="005936CA" w14:paraId="1DF53572" w14:textId="77777777">
            <w:pPr>
              <w:contextualSpacing/>
              <w:rPr>
                <w:rFonts w:ascii="Verdana" w:hAnsi="Verdana" w:cs="Arial"/>
                <w:sz w:val="16"/>
                <w:szCs w:val="16"/>
                <w:lang w:val="es-ES" w:eastAsia="es-ES"/>
              </w:rPr>
            </w:pPr>
            <w:r w:rsidRPr="009F79FE">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9F79FE" w:rsidR="005936CA" w:rsidP="00C55E59" w:rsidRDefault="005936CA" w14:paraId="63101893" w14:textId="77777777">
            <w:pPr>
              <w:contextualSpacing/>
              <w:rPr>
                <w:rFonts w:ascii="Verdana" w:hAnsi="Verdana" w:eastAsia="Calibri" w:cs="Arial"/>
                <w:sz w:val="16"/>
                <w:szCs w:val="16"/>
                <w:lang w:val="es-ES" w:eastAsia="es-ES"/>
              </w:rPr>
            </w:pPr>
            <w:r w:rsidRPr="009F79FE">
              <w:rPr>
                <w:rFonts w:ascii="Verdana" w:hAnsi="Verdana" w:eastAsia="Calibri" w:cs="Arial"/>
                <w:sz w:val="16"/>
                <w:szCs w:val="16"/>
                <w:lang w:val="es-ES" w:eastAsia="es-ES"/>
              </w:rPr>
              <w:t>Carolina Quintero Gacharná</w:t>
            </w:r>
          </w:p>
          <w:p w:rsidRPr="009F79FE" w:rsidR="005936CA" w:rsidP="00C55E59" w:rsidRDefault="005936CA" w14:paraId="7B8BA826" w14:textId="77777777">
            <w:pPr>
              <w:contextualSpacing/>
              <w:rPr>
                <w:rFonts w:ascii="Verdana" w:hAnsi="Verdana" w:eastAsia="Calibri" w:cs="Arial"/>
                <w:sz w:val="16"/>
                <w:szCs w:val="16"/>
                <w:lang w:val="es-ES" w:eastAsia="es-ES"/>
              </w:rPr>
            </w:pPr>
            <w:r w:rsidRPr="009F79FE">
              <w:rPr>
                <w:rFonts w:ascii="Verdana" w:hAnsi="Verdana" w:eastAsia="Calibri" w:cs="Arial"/>
                <w:sz w:val="16"/>
                <w:szCs w:val="16"/>
                <w:lang w:val="es-ES" w:eastAsia="es-ES"/>
              </w:rPr>
              <w:t>Subdirectora de Gestión Contractual ANCP – CCE</w:t>
            </w:r>
          </w:p>
        </w:tc>
      </w:tr>
    </w:tbl>
    <w:bookmarkEnd w:id="0"/>
    <w:p w:rsidRPr="004A5DD1" w:rsidR="005936CA" w:rsidP="005936CA" w:rsidRDefault="005936CA" w14:paraId="2A90F4DF" w14:textId="77777777">
      <w:pPr>
        <w:rPr>
          <w:lang w:val="es-ES"/>
        </w:rPr>
      </w:pPr>
      <w:r>
        <w:rPr>
          <w:noProof/>
        </w:rPr>
        <w:drawing>
          <wp:inline distT="0" distB="0" distL="0" distR="0" wp14:anchorId="61EF9568" wp14:editId="3F43902C">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888066" name="Imagen 2" descr="--Grafo--"/>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rsidRPr="00F9128C" w:rsidR="005936CA" w:rsidP="005936CA" w:rsidRDefault="005936CA" w14:paraId="160EE209" w14:textId="77777777">
      <w:pPr>
        <w:rPr>
          <w:lang w:val="es-ES"/>
        </w:rPr>
      </w:pPr>
    </w:p>
    <w:p w:rsidRPr="005936CA" w:rsidR="00127233" w:rsidP="005936CA" w:rsidRDefault="00127233" w14:paraId="0F293BF4" w14:textId="538D1404"/>
    <w:sectPr w:rsidRPr="005936CA" w:rsidR="00127233"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204DB" w:rsidP="004A1847" w:rsidRDefault="005204DB" w14:paraId="2C47455E" w14:textId="77777777">
      <w:pPr>
        <w:spacing w:after="0" w:line="240" w:lineRule="auto"/>
      </w:pPr>
      <w:r>
        <w:separator/>
      </w:r>
    </w:p>
  </w:endnote>
  <w:endnote w:type="continuationSeparator" w:id="0">
    <w:p w:rsidR="005204DB" w:rsidP="004A1847" w:rsidRDefault="005204DB" w14:paraId="50F6F49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pPr>
    <w:r w:rsidRPr="356CEDFD">
      <w:rPr>
        <w:rFonts w:ascii="Century Gothic" w:hAnsi="Century Gothic" w:eastAsia="Geo" w:cs="Geo"/>
        <w:b/>
        <w:bCs/>
        <w:color w:val="000000" w:themeColor="text1"/>
        <w:sz w:val="16"/>
        <w:szCs w:val="16"/>
        <w:lang w:eastAsia="es-CO"/>
      </w:rPr>
      <w:t xml:space="preserve">Código: </w:t>
    </w:r>
    <w:r w:rsidRPr="356CEDFD">
      <w:rPr>
        <w:rFonts w:ascii="Century Gothic" w:hAnsi="Century Gothic" w:eastAsia="Geo" w:cs="Geo"/>
        <w:color w:val="000000" w:themeColor="text1"/>
        <w:sz w:val="16"/>
        <w:szCs w:val="16"/>
        <w:lang w:eastAsia="es-CO"/>
      </w:rPr>
      <w:t xml:space="preserve">CCE-REC-FM-17 </w:t>
    </w:r>
    <w:r w:rsidRPr="356CEDFD">
      <w:rPr>
        <w:rFonts w:ascii="Century Gothic" w:hAnsi="Century Gothic" w:eastAsia="Geo" w:cs="Geo"/>
        <w:b/>
        <w:bCs/>
        <w:color w:val="000000" w:themeColor="text1"/>
        <w:sz w:val="16"/>
        <w:szCs w:val="16"/>
        <w:lang w:eastAsia="es-CO"/>
      </w:rPr>
      <w:t>V</w:t>
    </w:r>
    <w:r w:rsidRPr="356CEDFD">
      <w:rPr>
        <w:rFonts w:ascii="Century Gothic" w:hAnsi="Century Gothic" w:eastAsia="Arial Nova" w:cs="Arial Nova"/>
        <w:b/>
        <w:bCs/>
        <w:color w:val="000000" w:themeColor="text1"/>
        <w:sz w:val="16"/>
        <w:szCs w:val="16"/>
        <w:lang w:eastAsia="es-CO"/>
      </w:rPr>
      <w:t xml:space="preserve">: </w:t>
    </w:r>
    <w:r w:rsidRPr="356CEDFD">
      <w:rPr>
        <w:rFonts w:ascii="Century Gothic" w:hAnsi="Century Gothic" w:eastAsia="Geo"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204DB" w:rsidP="004A1847" w:rsidRDefault="005204DB" w14:paraId="74DCEB89" w14:textId="77777777">
      <w:pPr>
        <w:spacing w:after="0" w:line="240" w:lineRule="auto"/>
      </w:pPr>
      <w:r>
        <w:separator/>
      </w:r>
    </w:p>
  </w:footnote>
  <w:footnote w:type="continuationSeparator" w:id="0">
    <w:p w:rsidR="005204DB" w:rsidP="004A1847" w:rsidRDefault="005204DB" w14:paraId="1DFC4BA0" w14:textId="77777777">
      <w:pPr>
        <w:spacing w:after="0" w:line="240" w:lineRule="auto"/>
      </w:pPr>
      <w:r>
        <w:continuationSeparator/>
      </w:r>
    </w:p>
  </w:footnote>
  <w:footnote w:id="1">
    <w:p w:rsidR="005936CA" w:rsidP="005936CA" w:rsidRDefault="005936CA" w14:paraId="1DFEB636" w14:textId="77777777">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rsidRPr="00373AD7" w:rsidR="005936CA" w:rsidP="005936CA" w:rsidRDefault="005936CA" w14:paraId="4FA1015E" w14:textId="77777777">
      <w:pPr>
        <w:pStyle w:val="Textonotapie"/>
        <w:ind w:firstLine="709"/>
        <w:jc w:val="both"/>
        <w:rPr>
          <w:rFonts w:ascii="Verdana" w:hAnsi="Verdana" w:cs="Arial"/>
          <w:color w:val="000000"/>
          <w:sz w:val="16"/>
          <w:szCs w:val="16"/>
          <w:lang w:val="es-ES"/>
        </w:rPr>
      </w:pPr>
    </w:p>
  </w:footnote>
  <w:footnote w:id="2">
    <w:p w:rsidRPr="00373AD7" w:rsidR="005936CA" w:rsidP="005936CA" w:rsidRDefault="005936CA" w14:paraId="6EBE657D" w14:textId="77777777">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rsidRPr="00AD7D22" w:rsidR="005936CA" w:rsidP="005936CA" w:rsidRDefault="005936CA" w14:paraId="19484D4C" w14:textId="77777777">
      <w:pPr>
        <w:pStyle w:val="Textonotapie"/>
        <w:ind w:firstLine="709"/>
        <w:jc w:val="both"/>
        <w:rPr>
          <w:rFonts w:ascii="Verdana" w:hAnsi="Verdana" w:cs="Arial"/>
          <w:color w:val="000000"/>
          <w:sz w:val="16"/>
          <w:szCs w:val="16"/>
          <w:lang w:val="es-ES"/>
        </w:rPr>
      </w:pPr>
      <w:r w:rsidRPr="00373AD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w:t>
      </w:r>
      <w:r w:rsidRPr="00AD7D22">
        <w:rPr>
          <w:rFonts w:ascii="Verdana" w:hAnsi="Verdana" w:cs="Arial"/>
          <w:color w:val="000000"/>
          <w:sz w:val="16"/>
          <w:szCs w:val="16"/>
          <w:lang w:val="es-ES"/>
        </w:rPr>
        <w:t xml:space="preserve">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rsidRPr="00AD7D22" w:rsidR="005936CA" w:rsidP="005936CA" w:rsidRDefault="005936CA" w14:paraId="05CA0AD8"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El Gobierno nacional reglamentará el mecanismo para realizar la mensualización de que trata el presente artículo.</w:t>
      </w:r>
    </w:p>
    <w:p w:rsidR="005936CA" w:rsidP="005936CA" w:rsidRDefault="005936CA" w14:paraId="330EB6B8"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rsidRPr="00AD7D22" w:rsidR="005936CA" w:rsidP="005936CA" w:rsidRDefault="005936CA" w14:paraId="568477CD" w14:textId="77777777">
      <w:pPr>
        <w:pStyle w:val="Textonotapie"/>
        <w:ind w:firstLine="709"/>
        <w:jc w:val="both"/>
        <w:rPr>
          <w:rFonts w:ascii="Verdana" w:hAnsi="Verdana" w:cs="Arial"/>
          <w:color w:val="000000"/>
          <w:sz w:val="16"/>
          <w:szCs w:val="16"/>
          <w:lang w:val="es-ES"/>
        </w:rPr>
      </w:pPr>
    </w:p>
  </w:footnote>
  <w:footnote w:id="3">
    <w:p w:rsidR="005936CA" w:rsidP="005936CA" w:rsidRDefault="005936CA" w14:paraId="32F4CDD6" w14:textId="77777777">
      <w:pPr>
        <w:pStyle w:val="Textonotapie"/>
        <w:ind w:firstLine="709"/>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Corte Constitucional. Sentencia C-154 de 1997. Magistrado Ponente: Hernando Herrera Vergara.</w:t>
      </w:r>
    </w:p>
    <w:p w:rsidRPr="004D29E2" w:rsidR="005936CA" w:rsidP="005936CA" w:rsidRDefault="005936CA" w14:paraId="748966D4" w14:textId="77777777">
      <w:pPr>
        <w:pStyle w:val="Textonotapie"/>
        <w:ind w:firstLine="709"/>
        <w:rPr>
          <w:rFonts w:ascii="Verdana" w:hAnsi="Verdana" w:cs="Arial"/>
          <w:color w:val="000000"/>
          <w:sz w:val="16"/>
          <w:szCs w:val="16"/>
          <w:lang w:val="es-ES"/>
        </w:rPr>
      </w:pPr>
    </w:p>
  </w:footnote>
  <w:footnote w:id="4">
    <w:p w:rsidR="005936CA" w:rsidP="005936CA" w:rsidRDefault="005936CA" w14:paraId="563AB5EC"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rsidRPr="003917D2" w:rsidR="005936CA" w:rsidP="005936CA" w:rsidRDefault="005936CA" w14:paraId="2561EF95" w14:textId="77777777">
      <w:pPr>
        <w:pStyle w:val="Textonotapie"/>
        <w:ind w:firstLine="709"/>
        <w:jc w:val="both"/>
        <w:rPr>
          <w:rFonts w:ascii="Verdana" w:hAnsi="Verdana" w:cs="Arial"/>
          <w:color w:val="000000"/>
          <w:sz w:val="16"/>
          <w:szCs w:val="16"/>
          <w:lang w:val="es-ES"/>
        </w:rPr>
      </w:pPr>
    </w:p>
  </w:footnote>
  <w:footnote w:id="5">
    <w:p w:rsidR="005936CA" w:rsidP="005936CA" w:rsidRDefault="005936CA" w14:paraId="39310098"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Consejo de Estado. Sección Tercera. Subsección C. Sentencia del 2 de diciembre de 2013. Exp. 41719. Consejero Ponente: Jaime Orlando Santofimio Gamboa.</w:t>
      </w:r>
    </w:p>
    <w:p w:rsidRPr="00515310" w:rsidR="005936CA" w:rsidP="005936CA" w:rsidRDefault="005936CA" w14:paraId="27F09C6A" w14:textId="77777777">
      <w:pPr>
        <w:pStyle w:val="Textonotapie"/>
        <w:ind w:firstLine="709"/>
        <w:jc w:val="both"/>
        <w:rPr>
          <w:rFonts w:ascii="Verdana" w:hAnsi="Verdana" w:cs="Arial"/>
          <w:color w:val="000000"/>
          <w:sz w:val="16"/>
          <w:szCs w:val="16"/>
          <w:lang w:val="es-ES"/>
        </w:rPr>
      </w:pPr>
    </w:p>
  </w:footnote>
  <w:footnote w:id="6">
    <w:p w:rsidR="005936CA" w:rsidP="005936CA" w:rsidRDefault="005936CA" w14:paraId="54AD5623" w14:textId="77777777">
      <w:pPr>
        <w:pStyle w:val="Textonotapie"/>
        <w:ind w:firstLine="709"/>
        <w:rPr>
          <w:rFonts w:ascii="Verdana" w:hAnsi="Verdana"/>
          <w:sz w:val="16"/>
          <w:szCs w:val="16"/>
        </w:rPr>
      </w:pPr>
      <w:r w:rsidRPr="00AD7D22">
        <w:rPr>
          <w:rStyle w:val="Refdenotaalpie"/>
          <w:rFonts w:ascii="Verdana" w:hAnsi="Verdana"/>
          <w:sz w:val="16"/>
          <w:szCs w:val="16"/>
        </w:rPr>
        <w:footnoteRef/>
      </w:r>
      <w:r w:rsidRPr="00AD7D22">
        <w:rPr>
          <w:rFonts w:ascii="Verdana" w:hAnsi="Verdana"/>
          <w:sz w:val="16"/>
          <w:szCs w:val="16"/>
        </w:rPr>
        <w:t xml:space="preserve"> Ibid. </w:t>
      </w:r>
    </w:p>
    <w:p w:rsidRPr="00AD7D22" w:rsidR="005936CA" w:rsidP="005936CA" w:rsidRDefault="005936CA" w14:paraId="18CE6F6F" w14:textId="77777777">
      <w:pPr>
        <w:pStyle w:val="Textonotapie"/>
        <w:ind w:firstLine="709"/>
        <w:rPr>
          <w:rFonts w:ascii="Verdana" w:hAnsi="Verdana"/>
          <w:sz w:val="16"/>
          <w:szCs w:val="16"/>
          <w:lang w:val="es-ES"/>
        </w:rPr>
      </w:pPr>
    </w:p>
  </w:footnote>
  <w:footnote w:id="7">
    <w:p w:rsidRPr="00AD7D22" w:rsidR="005936CA" w:rsidP="005936CA" w:rsidRDefault="005936CA" w14:paraId="4295AC52"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Ibid.</w:t>
      </w:r>
      <w:r>
        <w:rPr>
          <w:rFonts w:ascii="Verdana" w:hAnsi="Verdana" w:cs="Arial"/>
          <w:color w:val="000000"/>
          <w:sz w:val="16"/>
          <w:szCs w:val="16"/>
          <w:lang w:val="es-ES"/>
        </w:rPr>
        <w:t>-</w:t>
      </w:r>
      <w:r w:rsidRPr="00AD7D22">
        <w:rPr>
          <w:rFonts w:ascii="Verdana" w:hAnsi="Verdana" w:cs="Arial"/>
          <w:color w:val="000000"/>
          <w:sz w:val="16"/>
          <w:szCs w:val="16"/>
          <w:lang w:val="es-ES"/>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rsidRPr="00AD7D22" w:rsidR="005936CA" w:rsidP="005936CA" w:rsidRDefault="005936CA" w14:paraId="0300AC12"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rsidR="005936CA" w:rsidP="005936CA" w:rsidRDefault="005936CA" w14:paraId="4BD5DFB1"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rsidRPr="00B356F2" w:rsidR="005936CA" w:rsidP="005936CA" w:rsidRDefault="005936CA" w14:paraId="66F36922" w14:textId="77777777">
      <w:pPr>
        <w:pStyle w:val="Textonotapie"/>
        <w:ind w:firstLine="709"/>
        <w:jc w:val="both"/>
        <w:rPr>
          <w:rFonts w:ascii="Verdana" w:hAnsi="Verdana" w:cs="Arial"/>
          <w:color w:val="000000"/>
          <w:sz w:val="16"/>
          <w:szCs w:val="16"/>
          <w:lang w:val="es-ES"/>
        </w:rPr>
      </w:pPr>
    </w:p>
  </w:footnote>
  <w:footnote w:id="8">
    <w:p w:rsidRPr="00AD7D22" w:rsidR="005936CA" w:rsidP="005936CA" w:rsidRDefault="005936CA" w14:paraId="23153A69"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rsidRPr="00AD7D22" w:rsidR="005936CA" w:rsidP="005936CA" w:rsidRDefault="005936CA" w14:paraId="006E87B2"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1. La causal que invoca para contratar directamente.</w:t>
      </w:r>
    </w:p>
    <w:p w:rsidRPr="00AD7D22" w:rsidR="005936CA" w:rsidP="005936CA" w:rsidRDefault="005936CA" w14:paraId="2B5857F6"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 El objeto del contrato.</w:t>
      </w:r>
    </w:p>
    <w:p w:rsidRPr="00AD7D22" w:rsidR="005936CA" w:rsidP="005936CA" w:rsidRDefault="005936CA" w14:paraId="773336DB"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3. El presupuesto para la contratación y las condiciones que exigirá al contratista.</w:t>
      </w:r>
    </w:p>
    <w:p w:rsidRPr="00AD7D22" w:rsidR="005936CA" w:rsidP="005936CA" w:rsidRDefault="005936CA" w14:paraId="02CC67A3"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4. El lugar en el cual los interesados pueden consultar los estudios y documentos previos.</w:t>
      </w:r>
    </w:p>
    <w:p w:rsidR="005936CA" w:rsidP="005936CA" w:rsidRDefault="005936CA" w14:paraId="76B07BA7"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rsidRPr="00B31452" w:rsidR="005936CA" w:rsidP="005936CA" w:rsidRDefault="005936CA" w14:paraId="6B84B2A6" w14:textId="77777777">
      <w:pPr>
        <w:pStyle w:val="Textonotapie"/>
        <w:ind w:firstLine="709"/>
        <w:jc w:val="both"/>
        <w:rPr>
          <w:rFonts w:ascii="Verdana" w:hAnsi="Verdana" w:cs="Arial"/>
          <w:color w:val="000000"/>
          <w:sz w:val="16"/>
          <w:szCs w:val="16"/>
          <w:lang w:val="es-ES"/>
        </w:rPr>
      </w:pPr>
    </w:p>
  </w:footnote>
  <w:footnote w:id="9">
    <w:p w:rsidRPr="00AD7D22" w:rsidR="005936CA" w:rsidP="005936CA" w:rsidRDefault="005936CA" w14:paraId="5CC67A52"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Esta norma expresa: “</w:t>
      </w:r>
      <w:r w:rsidRPr="00AD7D22">
        <w:rPr>
          <w:rFonts w:ascii="Verdana" w:hAnsi="Verdana" w:cs="Arial"/>
          <w:color w:val="000000"/>
          <w:sz w:val="16"/>
          <w:szCs w:val="16"/>
        </w:rPr>
        <w:t>P</w:t>
      </w:r>
      <w:r w:rsidRPr="00AD7D22">
        <w:rPr>
          <w:rFonts w:ascii="Verdana" w:hAnsi="Verdana" w:cs="Arial"/>
          <w:color w:val="000000"/>
          <w:sz w:val="16"/>
          <w:szCs w:val="16"/>
          <w:lang w:val="es-ES"/>
        </w:rPr>
        <w:t>ara el cumplimiento de los fines de la contratación, las entidades estatales al celebrar un contrato:</w:t>
      </w:r>
    </w:p>
    <w:p w:rsidRPr="00AD7D22" w:rsidR="005936CA" w:rsidP="005936CA" w:rsidRDefault="005936CA" w14:paraId="454F8AE8"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rsidRPr="00AD7D22" w:rsidR="005936CA" w:rsidP="005936CA" w:rsidRDefault="005936CA" w14:paraId="1790CE6F"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rsidRPr="00AD7D22" w:rsidR="005936CA" w:rsidP="005936CA" w:rsidRDefault="005936CA" w14:paraId="294C3E3C"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Las entidades estatales podrán pactar estas cláusulas en los contratos de suministro y de prestación de servicios.</w:t>
      </w:r>
    </w:p>
    <w:p w:rsidR="005936CA" w:rsidP="005936CA" w:rsidRDefault="005936CA" w14:paraId="6CFC4954"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rsidRPr="00B356F2" w:rsidR="005936CA" w:rsidP="005936CA" w:rsidRDefault="005936CA" w14:paraId="25960AF0" w14:textId="77777777">
      <w:pPr>
        <w:pStyle w:val="Textonotapie"/>
        <w:ind w:firstLine="709"/>
        <w:jc w:val="both"/>
        <w:rPr>
          <w:rFonts w:ascii="Verdana" w:hAnsi="Verdana" w:cs="Arial"/>
          <w:color w:val="000000"/>
          <w:sz w:val="16"/>
          <w:szCs w:val="16"/>
          <w:lang w:val="es-ES"/>
        </w:rPr>
      </w:pPr>
    </w:p>
  </w:footnote>
  <w:footnote w:id="10">
    <w:p w:rsidR="005936CA" w:rsidP="005936CA" w:rsidRDefault="005936CA" w14:paraId="082E5090" w14:textId="77777777">
      <w:pPr>
        <w:pStyle w:val="Textonotapie"/>
        <w:ind w:firstLine="709"/>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rsidRPr="00B356F2" w:rsidR="005936CA" w:rsidP="005936CA" w:rsidRDefault="005936CA" w14:paraId="73D560B4" w14:textId="77777777">
      <w:pPr>
        <w:pStyle w:val="Textonotapie"/>
        <w:ind w:firstLine="709"/>
        <w:rPr>
          <w:rFonts w:ascii="Verdana" w:hAnsi="Verdana" w:cs="Arial"/>
          <w:color w:val="000000"/>
          <w:sz w:val="16"/>
          <w:szCs w:val="16"/>
          <w:lang w:val="es-ES"/>
        </w:rPr>
      </w:pPr>
    </w:p>
  </w:footnote>
  <w:footnote w:id="11">
    <w:p w:rsidRPr="00AD7D22" w:rsidR="005936CA" w:rsidP="005936CA" w:rsidRDefault="005936CA" w14:paraId="5BEBC2AA" w14:textId="77777777">
      <w:pPr>
        <w:pStyle w:val="Textonotapie"/>
        <w:ind w:firstLine="709"/>
        <w:jc w:val="both"/>
        <w:rPr>
          <w:rFonts w:ascii="Verdana" w:hAnsi="Verdana" w:cs="Arial"/>
          <w:color w:val="000000"/>
          <w:sz w:val="16"/>
          <w:szCs w:val="16"/>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rsidRPr="00AD7D22" w:rsidR="005936CA" w:rsidP="005936CA" w:rsidRDefault="005936CA" w14:paraId="7E97D589" w14:textId="77777777">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rsidR="005936CA" w:rsidP="005936CA" w:rsidRDefault="005936CA" w14:paraId="21E7EA8C" w14:textId="77777777">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w:t>
      </w:r>
    </w:p>
    <w:p w:rsidRPr="00B356F2" w:rsidR="005936CA" w:rsidP="005936CA" w:rsidRDefault="005936CA" w14:paraId="591DC769" w14:textId="77777777">
      <w:pPr>
        <w:pStyle w:val="Textonotapie"/>
        <w:ind w:firstLine="709"/>
        <w:jc w:val="both"/>
        <w:rPr>
          <w:rFonts w:ascii="Verdana" w:hAnsi="Verdana" w:cs="Arial"/>
          <w:color w:val="000000"/>
          <w:sz w:val="16"/>
          <w:szCs w:val="16"/>
        </w:rPr>
      </w:pPr>
    </w:p>
  </w:footnote>
  <w:footnote w:id="12">
    <w:p w:rsidRPr="00AD7D22" w:rsidR="005936CA" w:rsidP="005936CA" w:rsidRDefault="005936CA" w14:paraId="6677FD14"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rsidRPr="00AD7D22" w:rsidR="005936CA" w:rsidP="005936CA" w:rsidRDefault="005936CA" w14:paraId="2434E4B9" w14:textId="77777777">
      <w:pPr>
        <w:pStyle w:val="Textonotapie"/>
        <w:ind w:firstLine="709"/>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pt;height:12pt" o:bullet="t" type="#_x0000_t75">
        <v:imagedata o:title="mso1B13" r:id="rId1"/>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702A54A0"/>
    <w:lvl w:ilvl="0" w:tplc="040A0001">
      <w:start w:val="1"/>
      <w:numFmt w:val="bullet"/>
      <w:lvlText w:val=""/>
      <w:lvlJc w:val="left"/>
      <w:pPr>
        <w:ind w:left="720" w:hanging="360"/>
      </w:pPr>
      <w:rPr>
        <w:rFonts w:hint="default" w:ascii="Symbol" w:hAnsi="Symbol"/>
        <w:sz w:val="22"/>
        <w:szCs w:val="22"/>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26B"/>
    <w:rsid w:val="00016F78"/>
    <w:rsid w:val="00046945"/>
    <w:rsid w:val="00061B2A"/>
    <w:rsid w:val="000626B0"/>
    <w:rsid w:val="00082362"/>
    <w:rsid w:val="0008260C"/>
    <w:rsid w:val="000A683E"/>
    <w:rsid w:val="000B0C5B"/>
    <w:rsid w:val="000B19B9"/>
    <w:rsid w:val="000D0334"/>
    <w:rsid w:val="000D5DA7"/>
    <w:rsid w:val="000E343E"/>
    <w:rsid w:val="000F6486"/>
    <w:rsid w:val="00116940"/>
    <w:rsid w:val="00125105"/>
    <w:rsid w:val="00127233"/>
    <w:rsid w:val="0013279A"/>
    <w:rsid w:val="001500B1"/>
    <w:rsid w:val="0015699B"/>
    <w:rsid w:val="001715AD"/>
    <w:rsid w:val="001A33BF"/>
    <w:rsid w:val="001E4177"/>
    <w:rsid w:val="001F0B24"/>
    <w:rsid w:val="001F7DC6"/>
    <w:rsid w:val="00212BC9"/>
    <w:rsid w:val="0022400B"/>
    <w:rsid w:val="00235FF3"/>
    <w:rsid w:val="002421BB"/>
    <w:rsid w:val="0025796E"/>
    <w:rsid w:val="002707A2"/>
    <w:rsid w:val="00274161"/>
    <w:rsid w:val="002951A0"/>
    <w:rsid w:val="002962BC"/>
    <w:rsid w:val="002A093D"/>
    <w:rsid w:val="002A0DD0"/>
    <w:rsid w:val="002A49AC"/>
    <w:rsid w:val="002A64FD"/>
    <w:rsid w:val="002C7A84"/>
    <w:rsid w:val="002D020F"/>
    <w:rsid w:val="002E2BF8"/>
    <w:rsid w:val="002E4FD9"/>
    <w:rsid w:val="0030657A"/>
    <w:rsid w:val="00311878"/>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5DD1"/>
    <w:rsid w:val="004F21C4"/>
    <w:rsid w:val="004F5804"/>
    <w:rsid w:val="004F685F"/>
    <w:rsid w:val="005204DB"/>
    <w:rsid w:val="005566E8"/>
    <w:rsid w:val="00574867"/>
    <w:rsid w:val="00591460"/>
    <w:rsid w:val="005936CA"/>
    <w:rsid w:val="005A65E0"/>
    <w:rsid w:val="005C3777"/>
    <w:rsid w:val="005C5CDC"/>
    <w:rsid w:val="005D476C"/>
    <w:rsid w:val="006200BF"/>
    <w:rsid w:val="00620CFA"/>
    <w:rsid w:val="006219F8"/>
    <w:rsid w:val="006302F7"/>
    <w:rsid w:val="00631CCB"/>
    <w:rsid w:val="00646B9F"/>
    <w:rsid w:val="0064742E"/>
    <w:rsid w:val="00665032"/>
    <w:rsid w:val="00665D70"/>
    <w:rsid w:val="006900D9"/>
    <w:rsid w:val="00694A9C"/>
    <w:rsid w:val="006A6A24"/>
    <w:rsid w:val="006B201F"/>
    <w:rsid w:val="006D2C8F"/>
    <w:rsid w:val="006E1528"/>
    <w:rsid w:val="00706C16"/>
    <w:rsid w:val="007340C3"/>
    <w:rsid w:val="0074789D"/>
    <w:rsid w:val="0075235A"/>
    <w:rsid w:val="00756841"/>
    <w:rsid w:val="007649AB"/>
    <w:rsid w:val="00771D0C"/>
    <w:rsid w:val="007833AC"/>
    <w:rsid w:val="007B268C"/>
    <w:rsid w:val="007B7171"/>
    <w:rsid w:val="007C0C0F"/>
    <w:rsid w:val="007C3DC2"/>
    <w:rsid w:val="007E5497"/>
    <w:rsid w:val="007F7FC9"/>
    <w:rsid w:val="00806F5F"/>
    <w:rsid w:val="00820278"/>
    <w:rsid w:val="008258C9"/>
    <w:rsid w:val="00844AE9"/>
    <w:rsid w:val="008552F6"/>
    <w:rsid w:val="00867F95"/>
    <w:rsid w:val="008843B6"/>
    <w:rsid w:val="00891928"/>
    <w:rsid w:val="008A446D"/>
    <w:rsid w:val="008B25F1"/>
    <w:rsid w:val="008D180B"/>
    <w:rsid w:val="008F0EA7"/>
    <w:rsid w:val="009110BA"/>
    <w:rsid w:val="0091455D"/>
    <w:rsid w:val="00923EEF"/>
    <w:rsid w:val="009419F9"/>
    <w:rsid w:val="0095685E"/>
    <w:rsid w:val="00961B09"/>
    <w:rsid w:val="00963493"/>
    <w:rsid w:val="00965334"/>
    <w:rsid w:val="0097093E"/>
    <w:rsid w:val="009A0DFA"/>
    <w:rsid w:val="009A1C6F"/>
    <w:rsid w:val="009B2D26"/>
    <w:rsid w:val="009B7FC0"/>
    <w:rsid w:val="009C71FA"/>
    <w:rsid w:val="009C72E7"/>
    <w:rsid w:val="009C7F7E"/>
    <w:rsid w:val="009D3058"/>
    <w:rsid w:val="009F3A13"/>
    <w:rsid w:val="00A122D3"/>
    <w:rsid w:val="00A14468"/>
    <w:rsid w:val="00A17F13"/>
    <w:rsid w:val="00A20739"/>
    <w:rsid w:val="00A23AF9"/>
    <w:rsid w:val="00A33C78"/>
    <w:rsid w:val="00A4436D"/>
    <w:rsid w:val="00A92CFF"/>
    <w:rsid w:val="00AB0ADB"/>
    <w:rsid w:val="00AB26E3"/>
    <w:rsid w:val="00AB7877"/>
    <w:rsid w:val="00AD6474"/>
    <w:rsid w:val="00AE21D9"/>
    <w:rsid w:val="00B00C0E"/>
    <w:rsid w:val="00B01B1A"/>
    <w:rsid w:val="00B0381D"/>
    <w:rsid w:val="00B44A47"/>
    <w:rsid w:val="00B72CD3"/>
    <w:rsid w:val="00B72FFF"/>
    <w:rsid w:val="00B83E5B"/>
    <w:rsid w:val="00BC3D36"/>
    <w:rsid w:val="00BD54A6"/>
    <w:rsid w:val="00BD7F72"/>
    <w:rsid w:val="00BF7425"/>
    <w:rsid w:val="00C04FB3"/>
    <w:rsid w:val="00C11D8B"/>
    <w:rsid w:val="00C15139"/>
    <w:rsid w:val="00C246A6"/>
    <w:rsid w:val="00C330EB"/>
    <w:rsid w:val="00C50D69"/>
    <w:rsid w:val="00C5365C"/>
    <w:rsid w:val="00C654EE"/>
    <w:rsid w:val="00C754BE"/>
    <w:rsid w:val="00C76B1C"/>
    <w:rsid w:val="00C925AC"/>
    <w:rsid w:val="00CB6357"/>
    <w:rsid w:val="00CC1B26"/>
    <w:rsid w:val="00CC4410"/>
    <w:rsid w:val="00D02915"/>
    <w:rsid w:val="00D33260"/>
    <w:rsid w:val="00D361FD"/>
    <w:rsid w:val="00D423A2"/>
    <w:rsid w:val="00D44E26"/>
    <w:rsid w:val="00D520D8"/>
    <w:rsid w:val="00D63AC2"/>
    <w:rsid w:val="00D71D38"/>
    <w:rsid w:val="00D7383B"/>
    <w:rsid w:val="00D7788A"/>
    <w:rsid w:val="00DA231B"/>
    <w:rsid w:val="00DC39FC"/>
    <w:rsid w:val="00DC69C2"/>
    <w:rsid w:val="00DF5254"/>
    <w:rsid w:val="00E02524"/>
    <w:rsid w:val="00E16408"/>
    <w:rsid w:val="00E20894"/>
    <w:rsid w:val="00E2338B"/>
    <w:rsid w:val="00E245AB"/>
    <w:rsid w:val="00E2764C"/>
    <w:rsid w:val="00E27F2E"/>
    <w:rsid w:val="00E50AFE"/>
    <w:rsid w:val="00E54BB3"/>
    <w:rsid w:val="00E65794"/>
    <w:rsid w:val="00E75C92"/>
    <w:rsid w:val="00E76E65"/>
    <w:rsid w:val="00E771DC"/>
    <w:rsid w:val="00E8772A"/>
    <w:rsid w:val="00E90F6B"/>
    <w:rsid w:val="00E92C27"/>
    <w:rsid w:val="00EA0E3D"/>
    <w:rsid w:val="00EC38A7"/>
    <w:rsid w:val="00ED7C2F"/>
    <w:rsid w:val="00EE1AA8"/>
    <w:rsid w:val="00EF7FE3"/>
    <w:rsid w:val="00F07631"/>
    <w:rsid w:val="00F23133"/>
    <w:rsid w:val="00F23FEA"/>
    <w:rsid w:val="00F30956"/>
    <w:rsid w:val="00F31EDC"/>
    <w:rsid w:val="00F462B3"/>
    <w:rsid w:val="00F47676"/>
    <w:rsid w:val="00F5664F"/>
    <w:rsid w:val="00F64B56"/>
    <w:rsid w:val="00F666C4"/>
    <w:rsid w:val="00F76AFC"/>
    <w:rsid w:val="00F82828"/>
    <w:rsid w:val="00FA47C0"/>
    <w:rsid w:val="00FB1A22"/>
    <w:rsid w:val="00FB5DD1"/>
    <w:rsid w:val="00FC2B5D"/>
    <w:rsid w:val="00FF1449"/>
    <w:rsid w:val="00FF7963"/>
    <w:rsid w:val="071B8F93"/>
    <w:rsid w:val="09908A09"/>
    <w:rsid w:val="0FF4CCA8"/>
    <w:rsid w:val="13CFC91B"/>
    <w:rsid w:val="19A2EC2C"/>
    <w:rsid w:val="2859CA1B"/>
    <w:rsid w:val="32A4F9CF"/>
    <w:rsid w:val="356CEDFD"/>
    <w:rsid w:val="42CD1CDF"/>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4A5DD1"/>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5DD1"/>
    <w:rPr>
      <w:rFonts w:ascii="Geomanist Light" w:hAnsi="Geomanist Light"/>
      <w:lang w:val="es-ES"/>
    </w:rPr>
  </w:style>
  <w:style w:type="character" w:styleId="s15" w:customStyle="1">
    <w:name w:val="s15"/>
    <w:basedOn w:val="Fuentedeprrafopredeter"/>
    <w:rsid w:val="004A5DD1"/>
  </w:style>
  <w:style w:type="character" w:styleId="apple-converted-space" w:customStyle="1">
    <w:name w:val="apple-converted-space"/>
    <w:basedOn w:val="Fuentedeprrafopredeter"/>
    <w:rsid w:val="004A5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3.png"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serequipogerencia@gmail.com" TargetMode="External" Id="rId11" /><Relationship Type="http://schemas.openxmlformats.org/officeDocument/2006/relationships/styles" Target="styles.xml" Id="rId5" /><Relationship Type="http://schemas.openxmlformats.org/officeDocument/2006/relationships/header" Target="header1.xml" Id="rId1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4.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CE710CF-D6A7-41ED-A2E9-75B4F13661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Gloria Elizabeth Arango Builes</lastModifiedBy>
  <revision>40</revision>
  <lastPrinted>2023-01-10T21:18:00.0000000Z</lastPrinted>
  <dcterms:created xsi:type="dcterms:W3CDTF">2026-02-16T22:02:00.0000000Z</dcterms:created>
  <dcterms:modified xsi:type="dcterms:W3CDTF">2026-03-09T23:38:54.9218061Z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