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1BD3D1" w14:textId="2C6AB693" w:rsidR="0097287D" w:rsidRPr="008E1524" w:rsidRDefault="0097287D" w:rsidP="008E1524">
      <w:pPr>
        <w:spacing w:line="240" w:lineRule="auto"/>
        <w:jc w:val="both"/>
        <w:rPr>
          <w:rFonts w:ascii="Verdana" w:eastAsia="Arial" w:hAnsi="Verdana" w:cs="Arial"/>
          <w:b/>
          <w:bCs/>
          <w:sz w:val="20"/>
          <w:szCs w:val="20"/>
          <w:lang w:val="es-ES" w:eastAsia="es-ES" w:bidi="es-ES"/>
        </w:rPr>
      </w:pPr>
      <w:bookmarkStart w:id="0" w:name="_Hlk143780582"/>
      <w:r w:rsidRPr="008E1524">
        <w:rPr>
          <w:rFonts w:ascii="Verdana" w:eastAsia="Arial" w:hAnsi="Verdana" w:cs="Arial"/>
          <w:b/>
          <w:bCs/>
          <w:sz w:val="20"/>
          <w:szCs w:val="20"/>
          <w:lang w:val="es-ES" w:eastAsia="es-ES" w:bidi="es-ES"/>
        </w:rPr>
        <w:t xml:space="preserve">LEY DE GARANTÍAS ELECTORALES ‒ Finalidad </w:t>
      </w:r>
    </w:p>
    <w:p w14:paraId="3C4EC0D3" w14:textId="77777777" w:rsidR="00040988" w:rsidRPr="008E1524" w:rsidRDefault="00040988" w:rsidP="008E1524">
      <w:pPr>
        <w:spacing w:line="240" w:lineRule="auto"/>
        <w:jc w:val="both"/>
        <w:rPr>
          <w:rFonts w:ascii="Verdana" w:eastAsia="Times New Roman" w:hAnsi="Verdana" w:cs="Arial"/>
          <w:sz w:val="20"/>
          <w:szCs w:val="20"/>
          <w:lang w:eastAsia="es-CO"/>
        </w:rPr>
      </w:pPr>
      <w:r w:rsidRPr="008E1524">
        <w:rPr>
          <w:rFonts w:ascii="Verdana" w:eastAsia="Times New Roman" w:hAnsi="Verdana" w:cs="Arial"/>
          <w:sz w:val="20"/>
          <w:szCs w:val="20"/>
          <w:lang w:val="es-MX" w:eastAsia="es-CO"/>
        </w:rPr>
        <w:t>El ordenamiento jurídico</w:t>
      </w:r>
      <w:r w:rsidRPr="008E1524">
        <w:rPr>
          <w:rFonts w:ascii="Verdana" w:eastAsia="Calibri" w:hAnsi="Verdana" w:cs="Arial"/>
          <w:sz w:val="20"/>
          <w:szCs w:val="20"/>
        </w:rPr>
        <w:t xml:space="preserve"> colombiano contempla previsiones claras para evitar la obtención de beneficios personales en asuntos propios de la administración pública</w:t>
      </w:r>
      <w:r w:rsidRPr="008E1524">
        <w:rPr>
          <w:rFonts w:ascii="Verdana" w:eastAsia="Calibri" w:hAnsi="Verdana" w:cs="Arial"/>
          <w:i/>
          <w:sz w:val="20"/>
          <w:szCs w:val="20"/>
        </w:rPr>
        <w:t xml:space="preserve">. </w:t>
      </w:r>
      <w:r w:rsidRPr="008E1524">
        <w:rPr>
          <w:rFonts w:ascii="Verdana" w:eastAsia="Calibri" w:hAnsi="Verdana" w:cs="Arial"/>
          <w:sz w:val="20"/>
          <w:szCs w:val="20"/>
        </w:rPr>
        <w:t xml:space="preserve">Por ejemplo, el artículo 127 de la Constitución Política establece una prohibición contractual a los servidores públicos y, en cuanto a aspectos políticos, establece restricciones a ciertos empleados del Estado, incluso en época no electoral. </w:t>
      </w:r>
    </w:p>
    <w:p w14:paraId="6051C711" w14:textId="5E2C9FBA" w:rsidR="00040988" w:rsidRPr="008E1524" w:rsidRDefault="00040988" w:rsidP="00554B11">
      <w:pPr>
        <w:spacing w:line="240" w:lineRule="auto"/>
        <w:jc w:val="both"/>
        <w:rPr>
          <w:rFonts w:ascii="Verdana" w:eastAsia="Arial" w:hAnsi="Verdana" w:cs="Arial"/>
          <w:sz w:val="20"/>
          <w:szCs w:val="20"/>
          <w:lang w:val="es-ES" w:eastAsia="es-ES" w:bidi="es-ES"/>
        </w:rPr>
      </w:pPr>
      <w:r w:rsidRPr="008E1524">
        <w:rPr>
          <w:rFonts w:ascii="Verdana" w:eastAsia="Times New Roman" w:hAnsi="Verdana" w:cs="Arial"/>
          <w:sz w:val="20"/>
          <w:szCs w:val="20"/>
          <w:lang w:val="es-MX" w:eastAsia="es-CO"/>
        </w:rPr>
        <w:t xml:space="preserve">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w:t>
      </w:r>
      <w:r w:rsidRPr="008E1524">
        <w:rPr>
          <w:rFonts w:ascii="Verdana" w:eastAsia="Arial" w:hAnsi="Verdana" w:cs="Arial"/>
          <w:sz w:val="20"/>
          <w:szCs w:val="20"/>
          <w:lang w:val="es-ES" w:eastAsia="es-ES" w:bidi="es-ES"/>
        </w:rPr>
        <w:t>Estatales.</w:t>
      </w:r>
    </w:p>
    <w:p w14:paraId="0D95A892" w14:textId="2A2B4B69" w:rsidR="0097287D" w:rsidRPr="008E1524" w:rsidRDefault="0097287D" w:rsidP="00554B11">
      <w:pPr>
        <w:spacing w:line="240" w:lineRule="auto"/>
        <w:jc w:val="both"/>
        <w:rPr>
          <w:rFonts w:ascii="Verdana" w:eastAsia="Arial" w:hAnsi="Verdana" w:cs="Arial"/>
          <w:b/>
          <w:bCs/>
          <w:sz w:val="20"/>
          <w:szCs w:val="20"/>
          <w:lang w:val="es-ES" w:eastAsia="es-ES" w:bidi="es-ES"/>
        </w:rPr>
      </w:pPr>
      <w:r w:rsidRPr="008E1524">
        <w:rPr>
          <w:rFonts w:ascii="Verdana" w:eastAsia="Arial" w:hAnsi="Verdana" w:cs="Arial"/>
          <w:b/>
          <w:bCs/>
          <w:sz w:val="20"/>
          <w:szCs w:val="20"/>
          <w:lang w:val="es-ES" w:eastAsia="es-ES" w:bidi="es-ES"/>
        </w:rPr>
        <w:t xml:space="preserve">LEY DE GARANTÍAS ELECTORALES ‒ Tipos de restricciones ‒ Ámbito temporal – Celebración </w:t>
      </w:r>
      <w:r w:rsidR="007B5C64" w:rsidRPr="008E1524">
        <w:rPr>
          <w:rFonts w:ascii="Verdana" w:eastAsia="Arial" w:hAnsi="Verdana" w:cs="Arial"/>
          <w:b/>
          <w:bCs/>
          <w:sz w:val="20"/>
          <w:szCs w:val="20"/>
          <w:lang w:val="es-ES" w:eastAsia="es-ES" w:bidi="es-ES"/>
        </w:rPr>
        <w:t>–</w:t>
      </w:r>
      <w:r w:rsidRPr="008E1524">
        <w:rPr>
          <w:rFonts w:ascii="Verdana" w:eastAsia="Arial" w:hAnsi="Verdana" w:cs="Arial"/>
          <w:b/>
          <w:bCs/>
          <w:sz w:val="20"/>
          <w:szCs w:val="20"/>
          <w:lang w:val="es-ES" w:eastAsia="es-ES" w:bidi="es-ES"/>
        </w:rPr>
        <w:t xml:space="preserve"> Límite</w:t>
      </w:r>
    </w:p>
    <w:p w14:paraId="3A23B850" w14:textId="1403C196" w:rsidR="007B5C64" w:rsidRPr="008E1524" w:rsidRDefault="007B5C64" w:rsidP="007C5B57">
      <w:pPr>
        <w:spacing w:line="240" w:lineRule="auto"/>
        <w:jc w:val="both"/>
        <w:rPr>
          <w:rFonts w:ascii="Verdana" w:eastAsia="Arial" w:hAnsi="Verdana" w:cs="Arial"/>
          <w:sz w:val="20"/>
          <w:szCs w:val="20"/>
          <w:lang w:val="es-ES" w:eastAsia="es-ES" w:bidi="es-ES"/>
        </w:rPr>
      </w:pPr>
      <w:r w:rsidRPr="008E1524">
        <w:rPr>
          <w:rFonts w:ascii="Verdana" w:eastAsia="Arial" w:hAnsi="Verdana" w:cs="Arial"/>
          <w:sz w:val="20"/>
          <w:szCs w:val="20"/>
          <w:lang w:val="es-ES" w:eastAsia="es-ES" w:bidi="es-ES"/>
        </w:rPr>
        <w:t xml:space="preserve">De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0762B7F9" w14:textId="77777777" w:rsidR="007B5C64" w:rsidRPr="008E1524" w:rsidRDefault="007B5C64" w:rsidP="007C5B57">
      <w:pPr>
        <w:spacing w:after="120" w:line="240" w:lineRule="auto"/>
        <w:jc w:val="both"/>
        <w:rPr>
          <w:rFonts w:ascii="Verdana" w:eastAsia="Arial" w:hAnsi="Verdana" w:cs="Arial"/>
          <w:sz w:val="20"/>
          <w:szCs w:val="20"/>
          <w:lang w:val="es-ES" w:eastAsia="es-ES" w:bidi="es-ES"/>
        </w:rPr>
      </w:pPr>
      <w:r w:rsidRPr="008E1524">
        <w:rPr>
          <w:rFonts w:ascii="Verdana" w:eastAsia="Arial" w:hAnsi="Verdana" w:cs="Arial"/>
          <w:sz w:val="20"/>
          <w:szCs w:val="20"/>
          <w:lang w:val="es-ES" w:eastAsia="es-ES" w:bidi="es-ES"/>
        </w:rPr>
        <w:t>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p>
    <w:p w14:paraId="713875F0" w14:textId="77777777" w:rsidR="007B5C64" w:rsidRPr="008E1524" w:rsidRDefault="007B5C64" w:rsidP="007C5B57">
      <w:pPr>
        <w:spacing w:after="120" w:line="240" w:lineRule="auto"/>
        <w:jc w:val="both"/>
        <w:rPr>
          <w:rFonts w:ascii="Verdana" w:eastAsia="Calibri" w:hAnsi="Verdana" w:cs="Arial"/>
          <w:sz w:val="20"/>
          <w:szCs w:val="20"/>
        </w:rPr>
      </w:pPr>
      <w:r w:rsidRPr="008E1524">
        <w:rPr>
          <w:rFonts w:ascii="Verdana" w:eastAsia="Calibri" w:hAnsi="Verdana" w:cs="Arial"/>
          <w:sz w:val="20"/>
          <w:szCs w:val="20"/>
        </w:rPr>
        <w:t>Por un lado,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7738BB93" w14:textId="392A1159" w:rsidR="007B5C64" w:rsidRPr="008E1524" w:rsidRDefault="007B5C64" w:rsidP="001F69F4">
      <w:pPr>
        <w:spacing w:line="240" w:lineRule="auto"/>
        <w:jc w:val="both"/>
        <w:rPr>
          <w:rFonts w:cs="Arial"/>
          <w:b/>
          <w:bCs/>
          <w:sz w:val="20"/>
          <w:szCs w:val="20"/>
          <w:lang w:val="es-MX" w:eastAsia="es-ES"/>
        </w:rPr>
      </w:pPr>
      <w:r w:rsidRPr="008E1524">
        <w:rPr>
          <w:rFonts w:ascii="Verdana" w:eastAsia="Calibri" w:hAnsi="Verdana" w:cs="Arial"/>
          <w:sz w:val="20"/>
          <w:szCs w:val="20"/>
        </w:rPr>
        <w:t xml:space="preserve">Por otro lado, </w:t>
      </w:r>
      <w:r w:rsidRPr="008E1524">
        <w:rPr>
          <w:rFonts w:ascii="Verdana" w:eastAsia="Calibri" w:hAnsi="Verdana" w:cs="Arial"/>
          <w:i/>
          <w:iCs/>
          <w:sz w:val="20"/>
          <w:szCs w:val="20"/>
        </w:rPr>
        <w:t>el parágrafo del artículo 38 de la Ley 996 de 2005</w:t>
      </w:r>
      <w:r w:rsidRPr="008E1524">
        <w:rPr>
          <w:rFonts w:ascii="Verdana" w:eastAsia="Calibri" w:hAnsi="Verdana" w:cs="Arial"/>
          <w:sz w:val="20"/>
          <w:szCs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8E1524">
        <w:rPr>
          <w:rFonts w:ascii="Verdana" w:eastAsia="Calibri" w:hAnsi="Verdana" w:cs="Arial"/>
          <w:sz w:val="20"/>
          <w:szCs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6DB67CE2" w14:textId="77777777" w:rsidR="001F69F4" w:rsidRPr="008E1524" w:rsidRDefault="0097287D" w:rsidP="008E1524">
      <w:pPr>
        <w:spacing w:line="240" w:lineRule="auto"/>
        <w:jc w:val="both"/>
        <w:rPr>
          <w:rFonts w:ascii="Verdana" w:eastAsia="Arial" w:hAnsi="Verdana" w:cs="Arial"/>
          <w:b/>
          <w:bCs/>
          <w:sz w:val="20"/>
          <w:szCs w:val="20"/>
          <w:lang w:val="es-ES" w:eastAsia="es-ES" w:bidi="es-ES"/>
        </w:rPr>
      </w:pPr>
      <w:r w:rsidRPr="008E1524">
        <w:rPr>
          <w:rFonts w:ascii="Verdana" w:eastAsia="Arial" w:hAnsi="Verdana" w:cs="Arial"/>
          <w:b/>
          <w:bCs/>
          <w:sz w:val="20"/>
          <w:szCs w:val="20"/>
          <w:lang w:val="es-ES" w:eastAsia="es-ES" w:bidi="es-ES"/>
        </w:rPr>
        <w:lastRenderedPageBreak/>
        <w:t>LEY DE GARANTÍAS ELECTORALES – Prohibición – Artículo 33 – Contratación directa – Alcance</w:t>
      </w:r>
    </w:p>
    <w:p w14:paraId="21E6AABC" w14:textId="27B1DEA1" w:rsidR="000230C0" w:rsidRPr="008E1524" w:rsidRDefault="000230C0" w:rsidP="008E1524">
      <w:pPr>
        <w:spacing w:line="240" w:lineRule="auto"/>
        <w:jc w:val="both"/>
        <w:rPr>
          <w:rFonts w:ascii="Verdana" w:eastAsia="Verdana" w:hAnsi="Verdana" w:cs="Arial"/>
          <w:b/>
          <w:bCs/>
          <w:sz w:val="20"/>
          <w:szCs w:val="20"/>
          <w:lang w:val="es-MX" w:eastAsia="es-ES"/>
        </w:rPr>
      </w:pPr>
      <w:r w:rsidRPr="008E1524">
        <w:rPr>
          <w:rFonts w:ascii="Verdana" w:eastAsia="Arial" w:hAnsi="Verdana" w:cs="Arial"/>
          <w:sz w:val="20"/>
          <w:szCs w:val="20"/>
          <w:lang w:val="es-ES" w:eastAsia="es-ES" w:bidi="es-ES"/>
        </w:rPr>
        <w:t xml:space="preserve">La Ley 996 de 2005 establece dos (2) tipos de restricciones en materia de contratación, las cuales coinciden parcialmente. </w:t>
      </w:r>
      <w:r w:rsidRPr="008E1524">
        <w:rPr>
          <w:rFonts w:ascii="Verdana" w:eastAsia="Arial" w:hAnsi="Verdana" w:cs="Arial"/>
          <w:i/>
          <w:iCs/>
          <w:sz w:val="20"/>
          <w:szCs w:val="20"/>
          <w:lang w:val="es-ES" w:eastAsia="es-ES" w:bidi="es-ES"/>
        </w:rPr>
        <w:t>En primer lugar</w:t>
      </w:r>
      <w:r w:rsidRPr="008E1524">
        <w:rPr>
          <w:rFonts w:ascii="Verdana" w:eastAsia="Arial" w:hAnsi="Verdana" w:cs="Arial"/>
          <w:sz w:val="20"/>
          <w:szCs w:val="20"/>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8E1524">
        <w:rPr>
          <w:rFonts w:ascii="Verdana" w:eastAsia="Arial" w:hAnsi="Verdana" w:cs="Arial"/>
          <w:i/>
          <w:iCs/>
          <w:sz w:val="20"/>
          <w:szCs w:val="20"/>
          <w:lang w:val="es-ES" w:eastAsia="es-ES" w:bidi="es-ES"/>
        </w:rPr>
        <w:t>En segundo lugar</w:t>
      </w:r>
      <w:r w:rsidRPr="008E1524">
        <w:rPr>
          <w:rFonts w:ascii="Verdana" w:eastAsia="Arial" w:hAnsi="Verdana" w:cs="Arial"/>
          <w:sz w:val="20"/>
          <w:szCs w:val="20"/>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2040C229" w14:textId="2BEF138D" w:rsidR="000230C0" w:rsidRPr="008E1524" w:rsidRDefault="000230C0" w:rsidP="008E1524">
      <w:pPr>
        <w:spacing w:after="120" w:line="240" w:lineRule="auto"/>
        <w:jc w:val="both"/>
        <w:rPr>
          <w:rFonts w:ascii="Verdana" w:eastAsia="Calibri" w:hAnsi="Verdana" w:cs="Arial"/>
          <w:sz w:val="20"/>
          <w:szCs w:val="20"/>
          <w:lang w:val="es-MX"/>
        </w:rPr>
      </w:pPr>
      <w:r w:rsidRPr="008E1524">
        <w:rPr>
          <w:rFonts w:ascii="Verdana" w:eastAsia="Arial" w:hAnsi="Verdana" w:cs="Arial"/>
          <w:sz w:val="20"/>
          <w:szCs w:val="20"/>
          <w:lang w:val="es-ES" w:eastAsia="es-ES" w:bidi="es-ES"/>
        </w:rPr>
        <w:t xml:space="preserve">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w:t>
      </w:r>
      <w:r w:rsidRPr="008E1524">
        <w:rPr>
          <w:rFonts w:ascii="Verdana" w:eastAsia="Calibri" w:hAnsi="Verdana" w:cs="Arial"/>
          <w:sz w:val="20"/>
          <w:szCs w:val="20"/>
          <w:lang w:val="es-MX"/>
        </w:rPr>
        <w:t>allí mencionadas sólo deben aplicar las restricciones contenidas en el parágrafo del artículo 38</w:t>
      </w:r>
      <w:r w:rsidRPr="008E1524">
        <w:rPr>
          <w:rFonts w:ascii="Verdana" w:eastAsia="Calibri" w:hAnsi="Verdana" w:cs="Arial"/>
          <w:sz w:val="20"/>
          <w:szCs w:val="20"/>
          <w:lang w:val="es-MX"/>
        </w:rPr>
        <w:t>.</w:t>
      </w:r>
    </w:p>
    <w:p w14:paraId="1C27AF11" w14:textId="4181D9E4" w:rsidR="0097287D" w:rsidRPr="008E1524" w:rsidRDefault="0097287D" w:rsidP="008E1524">
      <w:pPr>
        <w:spacing w:after="120" w:line="240" w:lineRule="auto"/>
        <w:jc w:val="both"/>
        <w:rPr>
          <w:rFonts w:ascii="Verdana" w:eastAsia="Calibri" w:hAnsi="Verdana" w:cs="Arial"/>
          <w:b/>
          <w:bCs/>
          <w:sz w:val="20"/>
          <w:szCs w:val="20"/>
          <w:lang w:val="es-MX"/>
        </w:rPr>
      </w:pPr>
      <w:r w:rsidRPr="008E1524">
        <w:rPr>
          <w:rFonts w:ascii="Verdana" w:eastAsia="Calibri" w:hAnsi="Verdana" w:cs="Arial"/>
          <w:b/>
          <w:bCs/>
          <w:sz w:val="20"/>
          <w:szCs w:val="20"/>
          <w:lang w:val="es-MX"/>
        </w:rPr>
        <w:t>LEY DE GARANTÍAS ELECTORALES – Excepciones</w:t>
      </w:r>
    </w:p>
    <w:p w14:paraId="1B9ABD04" w14:textId="31DC9C70" w:rsidR="0016083D" w:rsidRPr="008E1524" w:rsidRDefault="0016083D" w:rsidP="008E1524">
      <w:pPr>
        <w:spacing w:line="240" w:lineRule="auto"/>
        <w:jc w:val="both"/>
        <w:rPr>
          <w:rFonts w:ascii="Verdana" w:eastAsia="Times New Roman" w:hAnsi="Verdana" w:cs="Arial"/>
          <w:sz w:val="20"/>
          <w:szCs w:val="20"/>
          <w:lang w:val="es-MX" w:eastAsia="es-CO"/>
        </w:rPr>
      </w:pPr>
      <w:r w:rsidRPr="008E1524">
        <w:rPr>
          <w:rFonts w:ascii="Verdana" w:eastAsia="Times New Roman" w:hAnsi="Verdana" w:cs="Arial"/>
          <w:sz w:val="20"/>
          <w:szCs w:val="20"/>
          <w:lang w:val="es-MX"/>
        </w:rPr>
        <w:t>L</w:t>
      </w:r>
      <w:r w:rsidRPr="008E1524">
        <w:rPr>
          <w:rFonts w:ascii="Verdana" w:eastAsia="Times New Roman" w:hAnsi="Verdana" w:cs="Arial"/>
          <w:sz w:val="20"/>
          <w:szCs w:val="20"/>
          <w:lang w:val="es-MX"/>
        </w:rPr>
        <w:t xml:space="preserve">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8E1524">
        <w:rPr>
          <w:rFonts w:ascii="Verdana" w:eastAsia="Times New Roman" w:hAnsi="Verdana" w:cs="Arial"/>
          <w:sz w:val="20"/>
          <w:szCs w:val="20"/>
          <w:lang w:val="es-MX"/>
        </w:rPr>
        <w:t>ii</w:t>
      </w:r>
      <w:proofErr w:type="spellEnd"/>
      <w:r w:rsidRPr="008E1524">
        <w:rPr>
          <w:rFonts w:ascii="Verdana" w:eastAsia="Times New Roman" w:hAnsi="Verdana" w:cs="Arial"/>
          <w:sz w:val="20"/>
          <w:szCs w:val="20"/>
          <w:lang w:val="es-MX"/>
        </w:rPr>
        <w:t xml:space="preserve">) los contratos de crédito público; </w:t>
      </w:r>
      <w:proofErr w:type="spellStart"/>
      <w:r w:rsidRPr="008E1524">
        <w:rPr>
          <w:rFonts w:ascii="Verdana" w:eastAsia="Times New Roman" w:hAnsi="Verdana" w:cs="Arial"/>
          <w:sz w:val="20"/>
          <w:szCs w:val="20"/>
          <w:lang w:val="es-MX"/>
        </w:rPr>
        <w:t>iii</w:t>
      </w:r>
      <w:proofErr w:type="spellEnd"/>
      <w:r w:rsidRPr="008E1524">
        <w:rPr>
          <w:rFonts w:ascii="Verdana" w:eastAsia="Times New Roman" w:hAnsi="Verdana" w:cs="Arial"/>
          <w:sz w:val="20"/>
          <w:szCs w:val="20"/>
          <w:lang w:val="es-MX"/>
        </w:rPr>
        <w:t xml:space="preserve">) los requeridos para cubrir las emergencias educativas, sanitarias y desastres; </w:t>
      </w:r>
      <w:proofErr w:type="spellStart"/>
      <w:r w:rsidRPr="008E1524">
        <w:rPr>
          <w:rFonts w:ascii="Verdana" w:eastAsia="Times New Roman" w:hAnsi="Verdana" w:cs="Arial"/>
          <w:sz w:val="20"/>
          <w:szCs w:val="20"/>
          <w:lang w:val="es-MX"/>
        </w:rPr>
        <w:t>iv</w:t>
      </w:r>
      <w:proofErr w:type="spellEnd"/>
      <w:r w:rsidRPr="008E1524">
        <w:rPr>
          <w:rFonts w:ascii="Verdana" w:eastAsia="Times New Roman" w:hAnsi="Verdana" w:cs="Arial"/>
          <w:sz w:val="20"/>
          <w:szCs w:val="20"/>
          <w:lang w:val="es-MX"/>
        </w:rPr>
        <w:t xml:space="preserve">) los utilizados para la reconstrucción de vías, puentes, carreteras, infraestructura energética y de comunicaciones, en caso de que hayan sido objeto de atentados, acciones terroristas, desastres naturales o casos de fuerza mayor; y, v) </w:t>
      </w:r>
      <w:r w:rsidRPr="008E1524">
        <w:rPr>
          <w:rFonts w:ascii="Verdana" w:eastAsia="Times New Roman" w:hAnsi="Verdana" w:cs="Arial"/>
          <w:i/>
          <w:sz w:val="20"/>
          <w:szCs w:val="20"/>
          <w:lang w:val="es-MX"/>
        </w:rPr>
        <w:t>los que deban realizar las entidades sanitarias y hospitalarias.</w:t>
      </w:r>
      <w:r w:rsidRPr="008E1524">
        <w:rPr>
          <w:rFonts w:ascii="Verdana" w:eastAsia="Times New Roman" w:hAnsi="Verdana" w:cs="Arial"/>
          <w:bCs/>
          <w:sz w:val="20"/>
          <w:szCs w:val="20"/>
          <w:lang w:val="es-MX" w:eastAsia="es-CO"/>
        </w:rPr>
        <w:t xml:space="preserve"> </w:t>
      </w:r>
    </w:p>
    <w:p w14:paraId="1A520644" w14:textId="77777777" w:rsidR="0016083D" w:rsidRPr="008E1524" w:rsidRDefault="0016083D" w:rsidP="0016083D">
      <w:pPr>
        <w:spacing w:after="120" w:line="240" w:lineRule="auto"/>
        <w:jc w:val="both"/>
        <w:rPr>
          <w:rFonts w:ascii="Verdana" w:hAnsi="Verdana" w:cs="Arial"/>
          <w:color w:val="000000" w:themeColor="text1"/>
          <w:sz w:val="20"/>
          <w:szCs w:val="20"/>
          <w:lang w:val="es-ES"/>
        </w:rPr>
      </w:pPr>
      <w:r w:rsidRPr="008E1524">
        <w:rPr>
          <w:rFonts w:ascii="Verdana" w:eastAsia="Times New Roman" w:hAnsi="Verdana" w:cs="Arial"/>
          <w:sz w:val="20"/>
          <w:szCs w:val="20"/>
          <w:lang w:val="es-MX" w:eastAsia="es-CO"/>
        </w:rPr>
        <w:t>Conforme a las anteriores excepciones, es</w:t>
      </w:r>
      <w:r w:rsidRPr="008E1524">
        <w:rPr>
          <w:rFonts w:ascii="Verdana" w:eastAsia="Times New Roman" w:hAnsi="Verdana" w:cs="Arial"/>
          <w:bCs/>
          <w:sz w:val="20"/>
          <w:szCs w:val="20"/>
          <w:lang w:val="es-MX" w:eastAsia="es-CO"/>
        </w:rPr>
        <w:t xml:space="preserve"> </w:t>
      </w:r>
      <w:r w:rsidRPr="008E1524">
        <w:rPr>
          <w:rFonts w:ascii="Verdana" w:eastAsia="Calibri" w:hAnsi="Verdana" w:cs="Arial"/>
          <w:sz w:val="20"/>
          <w:szCs w:val="20"/>
          <w:lang w:val="es-MX"/>
        </w:rPr>
        <w:t>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2EAEC574" w14:textId="42100C4E" w:rsidR="007C5B57" w:rsidRPr="008E1524" w:rsidRDefault="0097287D" w:rsidP="007C5B57">
      <w:pPr>
        <w:tabs>
          <w:tab w:val="left" w:pos="426"/>
        </w:tabs>
        <w:spacing w:after="120" w:line="276" w:lineRule="auto"/>
        <w:jc w:val="both"/>
        <w:rPr>
          <w:rFonts w:ascii="Verdana" w:hAnsi="Verdana" w:cs="Arial"/>
          <w:color w:val="000000" w:themeColor="text1"/>
          <w:sz w:val="20"/>
          <w:szCs w:val="20"/>
          <w:lang w:val="es-ES"/>
        </w:rPr>
      </w:pPr>
      <w:r w:rsidRPr="008E1524">
        <w:rPr>
          <w:rFonts w:ascii="Verdana" w:eastAsia="Verdana" w:hAnsi="Verdana" w:cs="Arial"/>
          <w:b/>
          <w:bCs/>
          <w:sz w:val="20"/>
          <w:szCs w:val="20"/>
          <w:lang w:val="es-MX" w:eastAsia="es-ES"/>
        </w:rPr>
        <w:t>LEY DE GARANTÍAS ELECTORALES – Excepciones – Destinatarios - Entidades sanitarias y hospitalarias</w:t>
      </w:r>
      <w:r w:rsidR="00707310" w:rsidRPr="008E1524">
        <w:rPr>
          <w:rFonts w:ascii="Verdana" w:hAnsi="Verdana" w:cs="Arial"/>
          <w:color w:val="000000" w:themeColor="text1"/>
          <w:sz w:val="20"/>
          <w:szCs w:val="20"/>
          <w:lang w:val="es-ES"/>
        </w:rPr>
        <w:t xml:space="preserve"> </w:t>
      </w:r>
    </w:p>
    <w:p w14:paraId="10632AAD" w14:textId="42BA699A" w:rsidR="00707310" w:rsidRPr="008E1524" w:rsidRDefault="007C5B57" w:rsidP="007C5B57">
      <w:pPr>
        <w:tabs>
          <w:tab w:val="left" w:pos="426"/>
        </w:tabs>
        <w:spacing w:after="120" w:line="240" w:lineRule="auto"/>
        <w:jc w:val="both"/>
        <w:rPr>
          <w:rFonts w:ascii="Verdana" w:eastAsia="Calibri" w:hAnsi="Verdana" w:cs="Arial"/>
          <w:sz w:val="20"/>
          <w:szCs w:val="20"/>
          <w:lang w:val="es-MX"/>
        </w:rPr>
      </w:pPr>
      <w:r w:rsidRPr="008E1524">
        <w:rPr>
          <w:rFonts w:ascii="Verdana" w:eastAsia="Calibri" w:hAnsi="Verdana" w:cs="Arial"/>
          <w:sz w:val="20"/>
          <w:szCs w:val="20"/>
          <w:lang w:val="es-MX"/>
        </w:rPr>
        <w:t>[…]</w:t>
      </w:r>
      <w:r w:rsidR="008E1524" w:rsidRPr="008E1524">
        <w:rPr>
          <w:rFonts w:ascii="Verdana" w:eastAsia="Calibri" w:hAnsi="Verdana" w:cs="Arial"/>
          <w:sz w:val="20"/>
          <w:szCs w:val="20"/>
          <w:lang w:val="es-MX"/>
        </w:rPr>
        <w:t xml:space="preserve"> </w:t>
      </w:r>
      <w:r w:rsidR="00707310" w:rsidRPr="008E1524">
        <w:rPr>
          <w:rFonts w:ascii="Verdana" w:eastAsia="Calibri" w:hAnsi="Verdana" w:cs="Arial"/>
          <w:sz w:val="20"/>
          <w:szCs w:val="20"/>
          <w:lang w:val="es-MX"/>
        </w:rPr>
        <w:t xml:space="preserve">para la autoridad administrativa del sector salud, las Empresas Sociales del Estado son las entidades hospitalarias de que trata la excepción a la prohibición establecida en </w:t>
      </w:r>
      <w:r w:rsidR="00707310" w:rsidRPr="008E1524">
        <w:rPr>
          <w:rFonts w:ascii="Verdana" w:eastAsia="Calibri" w:hAnsi="Verdana" w:cs="Arial"/>
          <w:sz w:val="20"/>
          <w:szCs w:val="20"/>
          <w:lang w:val="es-MX"/>
        </w:rPr>
        <w:lastRenderedPageBreak/>
        <w:t xml:space="preserve">el artículo 33 de la ley de Garantías Electorales. De igual forma, incluyen también dentro de esta excepción a la prohibición, a aquellas instituciones públicas que, aunque no cumplieron con el deber de reestructuración establecido en el artículo 197 de la Ley 100 de 1993, prestan un servicio de salud directo como entidad hospitalaria. </w:t>
      </w:r>
    </w:p>
    <w:p w14:paraId="4768EAB7" w14:textId="77777777" w:rsidR="00707310" w:rsidRPr="008E1524" w:rsidRDefault="00707310" w:rsidP="007C5B57">
      <w:pPr>
        <w:tabs>
          <w:tab w:val="left" w:pos="426"/>
        </w:tabs>
        <w:spacing w:before="120" w:line="240" w:lineRule="auto"/>
        <w:jc w:val="both"/>
        <w:rPr>
          <w:rFonts w:ascii="Verdana" w:eastAsia="Calibri" w:hAnsi="Verdana" w:cs="Arial"/>
          <w:sz w:val="20"/>
          <w:szCs w:val="20"/>
          <w:lang w:val="es-MX"/>
        </w:rPr>
      </w:pPr>
      <w:r w:rsidRPr="008E1524">
        <w:rPr>
          <w:rFonts w:ascii="Verdana" w:eastAsia="Calibri" w:hAnsi="Verdana" w:cs="Arial"/>
          <w:sz w:val="20"/>
          <w:szCs w:val="20"/>
          <w:lang w:val="es-MX"/>
        </w:rPr>
        <w:t xml:space="preserve">Por tanto, las Empresas Sociales del Estado podrían suscribir contratos bajo la modalidad de contratación directa, porque el inciso segundo del artículo 33 de la Ley 996 de 2005 exceptuó de la prohibición de contratación bajo la modalidad referida a las entidades hospitalarias, categoría dentro de las cuales se incluye a las Empresas Sociales del Estado y, en consecuencia, podrán suscribir sus contratos en la forma establecida en sus manuales de contratación, sin que les resulte aplicable la prohibición establecida en el artículo 33 de la Ley 996 de 2005. </w:t>
      </w:r>
    </w:p>
    <w:p w14:paraId="1E42B830" w14:textId="1F014D58" w:rsidR="0097287D" w:rsidRPr="0097287D" w:rsidRDefault="0097287D" w:rsidP="00707310">
      <w:pPr>
        <w:pStyle w:val="Textoindependiente"/>
        <w:spacing w:after="240"/>
        <w:ind w:right="102" w:firstLine="0"/>
        <w:jc w:val="both"/>
        <w:rPr>
          <w:rFonts w:cs="Arial"/>
          <w:b/>
          <w:bCs/>
          <w:color w:val="000000" w:themeColor="text1"/>
          <w:lang w:val="es-ES_tradnl"/>
        </w:rPr>
      </w:pPr>
    </w:p>
    <w:p w14:paraId="1FDC5F2D" w14:textId="77777777" w:rsidR="0097287D" w:rsidRDefault="0097287D">
      <w:pPr>
        <w:rPr>
          <w:rFonts w:ascii="Verdana" w:eastAsia="Verdana" w:hAnsi="Verdana" w:cs="Verdana"/>
        </w:rPr>
      </w:pPr>
      <w:r>
        <w:rPr>
          <w:rFonts w:ascii="Verdana" w:eastAsia="Verdana" w:hAnsi="Verdana" w:cs="Verdana"/>
        </w:rPr>
        <w:br w:type="page"/>
      </w:r>
    </w:p>
    <w:p w14:paraId="1468C46D" w14:textId="46434B3C" w:rsidR="00C15139" w:rsidRPr="00A77871" w:rsidRDefault="00903BD2" w:rsidP="30821638">
      <w:pPr>
        <w:spacing w:after="0"/>
        <w:rPr>
          <w:rFonts w:ascii="Verdana" w:eastAsia="Verdana" w:hAnsi="Verdana" w:cs="Verdana"/>
        </w:rPr>
      </w:pPr>
      <w:r w:rsidRPr="00903BD2">
        <w:rPr>
          <w:rFonts w:ascii="Verdana" w:eastAsia="Calibri" w:hAnsi="Verdana" w:cs="Arial"/>
          <w:lang w:eastAsia="es-ES"/>
        </w:rPr>
        <w:lastRenderedPageBreak/>
        <w:drawing>
          <wp:anchor distT="0" distB="0" distL="114300" distR="114300" simplePos="0" relativeHeight="251659264" behindDoc="1" locked="0" layoutInCell="1" allowOverlap="1" wp14:anchorId="6FCC67B6" wp14:editId="074321F0">
            <wp:simplePos x="0" y="0"/>
            <wp:positionH relativeFrom="column">
              <wp:posOffset>3362648</wp:posOffset>
            </wp:positionH>
            <wp:positionV relativeFrom="paragraph">
              <wp:posOffset>8530</wp:posOffset>
            </wp:positionV>
            <wp:extent cx="2239273" cy="614365"/>
            <wp:effectExtent l="0" t="0" r="0" b="0"/>
            <wp:wrapNone/>
            <wp:docPr id="100230143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301434" name=""/>
                    <pic:cNvPicPr/>
                  </pic:nvPicPr>
                  <pic:blipFill>
                    <a:blip r:embed="rId10">
                      <a:extLst>
                        <a:ext uri="{28A0092B-C50C-407E-A947-70E740481C1C}">
                          <a14:useLocalDpi xmlns:a14="http://schemas.microsoft.com/office/drawing/2010/main" val="0"/>
                        </a:ext>
                      </a:extLst>
                    </a:blip>
                    <a:stretch>
                      <a:fillRect/>
                    </a:stretch>
                  </pic:blipFill>
                  <pic:spPr>
                    <a:xfrm>
                      <a:off x="0" y="0"/>
                      <a:ext cx="2239273" cy="614365"/>
                    </a:xfrm>
                    <a:prstGeom prst="rect">
                      <a:avLst/>
                    </a:prstGeom>
                  </pic:spPr>
                </pic:pic>
              </a:graphicData>
            </a:graphic>
            <wp14:sizeRelH relativeFrom="margin">
              <wp14:pctWidth>0</wp14:pctWidth>
            </wp14:sizeRelH>
            <wp14:sizeRelV relativeFrom="margin">
              <wp14:pctHeight>0</wp14:pctHeight>
            </wp14:sizeRelV>
          </wp:anchor>
        </w:drawing>
      </w:r>
      <w:r w:rsidR="00C15139" w:rsidRPr="00A77871">
        <w:rPr>
          <w:rFonts w:ascii="Verdana" w:eastAsia="Verdana" w:hAnsi="Verdana" w:cs="Verdana"/>
        </w:rPr>
        <w:t xml:space="preserve">Bogotá D.C., </w:t>
      </w:r>
      <w:r w:rsidR="00884CCA">
        <w:rPr>
          <w:rFonts w:ascii="Verdana" w:eastAsia="Verdana" w:hAnsi="Verdana" w:cs="Verdana"/>
        </w:rPr>
        <w:t>25 Marzo 2026</w:t>
      </w:r>
      <w:r w:rsidR="00C15139" w:rsidRPr="00A77871">
        <w:rPr>
          <w:rFonts w:ascii="Verdana" w:hAnsi="Verdana"/>
        </w:rPr>
        <w:br/>
      </w:r>
      <w:r w:rsidR="00C15139" w:rsidRPr="00A77871">
        <w:rPr>
          <w:rFonts w:ascii="Verdana" w:hAnsi="Verdana"/>
        </w:rPr>
        <w:tab/>
      </w:r>
    </w:p>
    <w:p w14:paraId="12443EE0" w14:textId="767A20A5" w:rsidR="00C15139" w:rsidRPr="00A77871" w:rsidRDefault="00C15139" w:rsidP="30821638">
      <w:pPr>
        <w:spacing w:after="0"/>
        <w:rPr>
          <w:rFonts w:ascii="Verdana" w:eastAsia="Verdana" w:hAnsi="Verdana" w:cs="Verdana"/>
        </w:rPr>
      </w:pPr>
    </w:p>
    <w:p w14:paraId="20C1E94D" w14:textId="19FCAB4B" w:rsidR="00CB0665" w:rsidRPr="00A77871" w:rsidRDefault="00CB0665" w:rsidP="00CB0665">
      <w:pPr>
        <w:pStyle w:val="Sinespaciado"/>
        <w:rPr>
          <w:rFonts w:ascii="Verdana" w:hAnsi="Verdana"/>
          <w:lang w:eastAsia="es-ES"/>
        </w:rPr>
      </w:pPr>
      <w:bookmarkStart w:id="1" w:name="_Hlk186494164"/>
      <w:r w:rsidRPr="00A77871">
        <w:rPr>
          <w:rFonts w:ascii="Verdana" w:hAnsi="Verdana"/>
          <w:lang w:eastAsia="es-ES"/>
        </w:rPr>
        <w:t>Señor</w:t>
      </w:r>
    </w:p>
    <w:p w14:paraId="4A1FE1D9" w14:textId="716D3CD1" w:rsidR="00CB0665" w:rsidRPr="00A77871" w:rsidRDefault="00F3505B" w:rsidP="00CB0665">
      <w:pPr>
        <w:pStyle w:val="Sinespaciado"/>
        <w:rPr>
          <w:rFonts w:ascii="Verdana" w:hAnsi="Verdana" w:cs="Times New Roman"/>
          <w:b/>
          <w:bCs/>
        </w:rPr>
      </w:pPr>
      <w:r w:rsidRPr="00A77871">
        <w:rPr>
          <w:rFonts w:ascii="Verdana" w:hAnsi="Verdana" w:cs="Times New Roman"/>
          <w:b/>
          <w:bCs/>
        </w:rPr>
        <w:t>Anónimo</w:t>
      </w:r>
    </w:p>
    <w:p w14:paraId="7243C451" w14:textId="4E901849" w:rsidR="00F3505B" w:rsidRPr="00A77871" w:rsidRDefault="00F3505B" w:rsidP="00CB0665">
      <w:pPr>
        <w:pStyle w:val="Sinespaciado"/>
        <w:rPr>
          <w:rFonts w:ascii="Verdana" w:hAnsi="Verdana"/>
        </w:rPr>
      </w:pPr>
      <w:hyperlink r:id="rId11" w:history="1">
        <w:r w:rsidRPr="00A77871">
          <w:rPr>
            <w:rStyle w:val="Hipervnculo"/>
            <w:rFonts w:ascii="Verdana" w:hAnsi="Verdana"/>
          </w:rPr>
          <w:t>hary25980@gmail.com</w:t>
        </w:r>
      </w:hyperlink>
    </w:p>
    <w:p w14:paraId="53A5F10A" w14:textId="59BA154C" w:rsidR="00CB0665" w:rsidRPr="00A77871" w:rsidRDefault="00CB0665" w:rsidP="00CB0665">
      <w:pPr>
        <w:pStyle w:val="Sinespaciado"/>
        <w:rPr>
          <w:rFonts w:ascii="Verdana" w:hAnsi="Verdana" w:cs="Times New Roman"/>
        </w:rPr>
      </w:pPr>
      <w:r w:rsidRPr="00A77871">
        <w:rPr>
          <w:rFonts w:ascii="Verdana" w:hAnsi="Verdana" w:cs="Times New Roman"/>
        </w:rPr>
        <w:t>Ciudad</w:t>
      </w:r>
    </w:p>
    <w:p w14:paraId="201CFE3A" w14:textId="34224838" w:rsidR="00CB0665" w:rsidRPr="00A77871" w:rsidRDefault="00CB0665" w:rsidP="00CB0665">
      <w:pPr>
        <w:spacing w:after="0" w:line="276" w:lineRule="auto"/>
        <w:rPr>
          <w:rFonts w:ascii="Verdana" w:eastAsia="Calibri" w:hAnsi="Verdana" w:cs="Arial"/>
          <w:lang w:eastAsia="es-ES"/>
        </w:rPr>
      </w:pPr>
    </w:p>
    <w:p w14:paraId="1351B8A3" w14:textId="77777777" w:rsidR="00CB0665" w:rsidRPr="00A77871" w:rsidRDefault="00CB0665" w:rsidP="00CB0665">
      <w:pPr>
        <w:spacing w:after="0" w:line="276" w:lineRule="auto"/>
        <w:ind w:left="2124" w:firstLine="708"/>
        <w:rPr>
          <w:rFonts w:ascii="Verdana" w:eastAsia="Calibri" w:hAnsi="Verdana" w:cs="Arial"/>
          <w:b/>
          <w:bCs/>
          <w:color w:val="000000"/>
          <w:lang w:eastAsia="es-ES_tradnl"/>
        </w:rPr>
      </w:pPr>
    </w:p>
    <w:p w14:paraId="4124F638" w14:textId="33F7A5F7" w:rsidR="00CB0665" w:rsidRPr="00A77871" w:rsidRDefault="00CB0665" w:rsidP="00CB0665">
      <w:pPr>
        <w:spacing w:after="0" w:line="276" w:lineRule="auto"/>
        <w:rPr>
          <w:rFonts w:ascii="Verdana" w:eastAsia="Calibri" w:hAnsi="Verdana" w:cs="Arial"/>
          <w:b/>
          <w:bCs/>
          <w:lang w:eastAsia="es-ES"/>
        </w:rPr>
      </w:pPr>
      <w:r w:rsidRPr="00A77871">
        <w:rPr>
          <w:rFonts w:ascii="Verdana" w:eastAsia="Calibri" w:hAnsi="Verdana" w:cs="Arial"/>
          <w:b/>
          <w:bCs/>
          <w:lang w:eastAsia="es-ES"/>
        </w:rPr>
        <w:t xml:space="preserve">                                    Concepto </w:t>
      </w:r>
      <w:r w:rsidR="00AB1127" w:rsidRPr="00A77871">
        <w:rPr>
          <w:rFonts w:ascii="Verdana" w:eastAsia="Calibri" w:hAnsi="Verdana" w:cs="Arial"/>
          <w:b/>
          <w:bCs/>
          <w:lang w:eastAsia="es-ES"/>
        </w:rPr>
        <w:t xml:space="preserve">C-206 </w:t>
      </w:r>
      <w:r w:rsidRPr="00A77871">
        <w:rPr>
          <w:rFonts w:ascii="Verdana" w:eastAsia="Calibri" w:hAnsi="Verdana" w:cs="Arial"/>
          <w:b/>
          <w:bCs/>
          <w:lang w:eastAsia="es-ES"/>
        </w:rPr>
        <w:t>de 2026</w:t>
      </w:r>
    </w:p>
    <w:p w14:paraId="4206943E" w14:textId="77777777" w:rsidR="00CB0665" w:rsidRPr="00A77871" w:rsidRDefault="00CB0665" w:rsidP="00CB0665">
      <w:pPr>
        <w:spacing w:after="0" w:line="276"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B0665" w:rsidRPr="00A77871" w14:paraId="74C75C6E" w14:textId="77777777" w:rsidTr="006D487B">
        <w:trPr>
          <w:trHeight w:val="884"/>
        </w:trPr>
        <w:tc>
          <w:tcPr>
            <w:tcW w:w="2689" w:type="dxa"/>
          </w:tcPr>
          <w:p w14:paraId="1171D675" w14:textId="77777777" w:rsidR="00CB0665" w:rsidRPr="00A77871" w:rsidRDefault="00CB0665" w:rsidP="006D487B">
            <w:pPr>
              <w:spacing w:line="276" w:lineRule="auto"/>
              <w:jc w:val="both"/>
              <w:rPr>
                <w:rFonts w:ascii="Verdana" w:eastAsia="Calibri" w:hAnsi="Verdana" w:cs="Arial"/>
                <w:color w:val="000000"/>
                <w:lang w:eastAsia="es-ES_tradnl"/>
              </w:rPr>
            </w:pPr>
            <w:r w:rsidRPr="00A77871">
              <w:rPr>
                <w:rFonts w:ascii="Verdana" w:eastAsia="Calibri" w:hAnsi="Verdana" w:cs="Arial"/>
                <w:b/>
                <w:color w:val="000000"/>
                <w:lang w:eastAsia="es-ES_tradnl"/>
              </w:rPr>
              <w:t>Temas:</w:t>
            </w:r>
            <w:r w:rsidRPr="00A77871">
              <w:rPr>
                <w:rFonts w:ascii="Verdana" w:eastAsia="Calibri" w:hAnsi="Verdana" w:cs="Arial"/>
                <w:color w:val="000000"/>
                <w:lang w:eastAsia="es-ES_tradnl"/>
              </w:rPr>
              <w:t xml:space="preserve">                   </w:t>
            </w:r>
          </w:p>
        </w:tc>
        <w:tc>
          <w:tcPr>
            <w:tcW w:w="6100" w:type="dxa"/>
          </w:tcPr>
          <w:p w14:paraId="573D085D" w14:textId="285C4314" w:rsidR="00CB0665" w:rsidRPr="00A77871" w:rsidRDefault="00DB503B" w:rsidP="006D487B">
            <w:pPr>
              <w:pStyle w:val="Textoindependiente"/>
              <w:ind w:right="102" w:firstLine="0"/>
              <w:jc w:val="both"/>
              <w:rPr>
                <w:rFonts w:cs="Arial"/>
                <w:b/>
                <w:color w:val="000000" w:themeColor="text1"/>
                <w:lang w:val="es-ES_tradnl"/>
              </w:rPr>
            </w:pPr>
            <w:r w:rsidRPr="00A77871">
              <w:rPr>
                <w:rFonts w:cs="Arial"/>
                <w:lang w:val="es-MX" w:eastAsia="es-ES"/>
              </w:rPr>
              <w:t xml:space="preserve">LEY DE GARANTÍAS ELECTORALES ‒ Finalidad / LEY DE GARANTÍAS ELECTORALES ‒ Tipos de restricciones ‒ Ámbito temporal – Celebración - Límite / LEY DE GARANTÍAS ELECTORALES – Prohibición – Artículo 33 – Contratación directa – Alcance / LEY DE GARANTÍAS ELECTORALES – Excepciones / </w:t>
            </w:r>
            <w:r w:rsidRPr="00A77871">
              <w:rPr>
                <w:rFonts w:eastAsiaTheme="minorEastAsia" w:cs="Arial"/>
                <w:color w:val="000000" w:themeColor="text1"/>
              </w:rPr>
              <w:t>LEY DE GARANTÍAS ELECTORALES – Excepciones – Destinatarios - Entidades sanitarias y hospitalarias</w:t>
            </w:r>
          </w:p>
          <w:p w14:paraId="77578CF4" w14:textId="77777777" w:rsidR="00CB0665" w:rsidRPr="00A77871" w:rsidRDefault="00CB0665" w:rsidP="006D487B">
            <w:pPr>
              <w:spacing w:line="276" w:lineRule="auto"/>
              <w:jc w:val="both"/>
              <w:rPr>
                <w:rFonts w:ascii="Verdana" w:eastAsia="Calibri" w:hAnsi="Verdana" w:cs="Arial"/>
                <w:lang w:eastAsia="es-ES"/>
              </w:rPr>
            </w:pPr>
          </w:p>
        </w:tc>
      </w:tr>
      <w:tr w:rsidR="00CB0665" w:rsidRPr="00A77871" w14:paraId="6EDD5F48" w14:textId="77777777" w:rsidTr="006D487B">
        <w:tc>
          <w:tcPr>
            <w:tcW w:w="2689" w:type="dxa"/>
          </w:tcPr>
          <w:p w14:paraId="1F31E877" w14:textId="77777777" w:rsidR="00CB0665" w:rsidRPr="00A77871" w:rsidRDefault="00CB0665" w:rsidP="006D487B">
            <w:pPr>
              <w:spacing w:line="276" w:lineRule="auto"/>
              <w:jc w:val="both"/>
              <w:rPr>
                <w:rFonts w:ascii="Verdana" w:eastAsia="Calibri" w:hAnsi="Verdana" w:cs="Arial"/>
                <w:b/>
                <w:lang w:eastAsia="es-ES_tradnl"/>
              </w:rPr>
            </w:pPr>
            <w:r w:rsidRPr="00A77871">
              <w:rPr>
                <w:rFonts w:ascii="Verdana" w:eastAsia="Calibri" w:hAnsi="Verdana" w:cs="Arial"/>
                <w:b/>
                <w:lang w:eastAsia="es-ES_tradnl"/>
              </w:rPr>
              <w:t xml:space="preserve"> Radicación:</w:t>
            </w:r>
            <w:r w:rsidRPr="00A77871">
              <w:rPr>
                <w:rFonts w:ascii="Verdana" w:eastAsia="Calibri" w:hAnsi="Verdana" w:cs="Arial"/>
                <w:lang w:eastAsia="es-ES_tradnl"/>
              </w:rPr>
              <w:t xml:space="preserve">               </w:t>
            </w:r>
          </w:p>
        </w:tc>
        <w:tc>
          <w:tcPr>
            <w:tcW w:w="6100" w:type="dxa"/>
          </w:tcPr>
          <w:p w14:paraId="58AFE47C" w14:textId="3E2B55FB" w:rsidR="00CB0665" w:rsidRPr="00A77871" w:rsidRDefault="00CB0665" w:rsidP="006D487B">
            <w:pPr>
              <w:spacing w:line="276" w:lineRule="auto"/>
              <w:jc w:val="both"/>
              <w:rPr>
                <w:rFonts w:ascii="Verdana" w:eastAsia="Calibri" w:hAnsi="Verdana" w:cs="Arial"/>
                <w:lang w:eastAsia="es-ES_tradnl"/>
              </w:rPr>
            </w:pPr>
            <w:r w:rsidRPr="00A77871">
              <w:rPr>
                <w:rFonts w:ascii="Verdana" w:eastAsia="Calibri" w:hAnsi="Verdana" w:cs="Arial"/>
                <w:lang w:eastAsia="es-ES_tradnl"/>
              </w:rPr>
              <w:t xml:space="preserve">Respuesta a consultas con radicado No. </w:t>
            </w:r>
            <w:r w:rsidR="00E253DE" w:rsidRPr="00A77871">
              <w:rPr>
                <w:rFonts w:ascii="Verdana" w:eastAsia="Calibri" w:hAnsi="Verdana" w:cs="Arial"/>
                <w:lang w:eastAsia="es-ES_tradnl"/>
              </w:rPr>
              <w:t>1_2026_02_13_001848</w:t>
            </w:r>
          </w:p>
        </w:tc>
      </w:tr>
    </w:tbl>
    <w:p w14:paraId="3D9D3F1F" w14:textId="77777777" w:rsidR="00CB0665" w:rsidRPr="00A77871" w:rsidRDefault="00CB0665" w:rsidP="00CB0665">
      <w:pPr>
        <w:spacing w:after="0" w:line="276" w:lineRule="auto"/>
        <w:jc w:val="both"/>
        <w:rPr>
          <w:rFonts w:ascii="Verdana" w:eastAsia="Calibri" w:hAnsi="Verdana" w:cs="Arial"/>
          <w:color w:val="000000"/>
          <w:lang w:eastAsia="es-ES_tradnl"/>
        </w:rPr>
      </w:pPr>
    </w:p>
    <w:p w14:paraId="548B6CBD" w14:textId="77777777" w:rsidR="00CB0665" w:rsidRPr="00A77871" w:rsidRDefault="00CB0665" w:rsidP="00CB0665">
      <w:pPr>
        <w:spacing w:after="0" w:line="276" w:lineRule="auto"/>
        <w:jc w:val="both"/>
        <w:rPr>
          <w:rFonts w:ascii="Verdana" w:eastAsia="Calibri" w:hAnsi="Verdana" w:cs="Arial"/>
          <w:color w:val="000000"/>
          <w:lang w:eastAsia="es-ES_tradnl"/>
        </w:rPr>
      </w:pPr>
    </w:p>
    <w:p w14:paraId="03D77EC2" w14:textId="12FB640B" w:rsidR="00CB0665" w:rsidRPr="00A77871" w:rsidRDefault="00E72FD5" w:rsidP="00CB0665">
      <w:pPr>
        <w:spacing w:after="0" w:line="276" w:lineRule="auto"/>
        <w:jc w:val="both"/>
        <w:rPr>
          <w:rFonts w:ascii="Verdana" w:eastAsia="Calibri" w:hAnsi="Verdana" w:cs="Arial"/>
          <w:lang w:eastAsia="es-ES"/>
        </w:rPr>
      </w:pPr>
      <w:r w:rsidRPr="00A77871">
        <w:rPr>
          <w:rFonts w:ascii="Verdana" w:eastAsia="Calibri" w:hAnsi="Verdana" w:cs="Arial"/>
          <w:lang w:eastAsia="es-ES"/>
        </w:rPr>
        <w:t>Estimado ciudadano anónimo</w:t>
      </w:r>
      <w:r w:rsidR="00CB0665" w:rsidRPr="00A77871">
        <w:rPr>
          <w:rFonts w:ascii="Verdana" w:eastAsia="Calibri" w:hAnsi="Verdana" w:cs="Arial"/>
          <w:lang w:eastAsia="es-ES"/>
        </w:rPr>
        <w:t>, cordial saludo</w:t>
      </w:r>
    </w:p>
    <w:p w14:paraId="7D2681C2" w14:textId="77777777" w:rsidR="00CB0665" w:rsidRPr="00A77871" w:rsidRDefault="00CB0665" w:rsidP="00CB0665">
      <w:pPr>
        <w:tabs>
          <w:tab w:val="left" w:pos="3768"/>
        </w:tabs>
        <w:spacing w:after="0" w:line="276" w:lineRule="auto"/>
        <w:jc w:val="both"/>
        <w:rPr>
          <w:rFonts w:ascii="Verdana" w:eastAsia="Calibri" w:hAnsi="Verdana" w:cs="Arial"/>
          <w:color w:val="000000"/>
          <w:lang w:eastAsia="es-ES"/>
        </w:rPr>
      </w:pPr>
      <w:r w:rsidRPr="00A77871">
        <w:rPr>
          <w:rFonts w:ascii="Verdana" w:eastAsia="Calibri" w:hAnsi="Verdana" w:cs="Arial"/>
          <w:color w:val="000000"/>
          <w:lang w:eastAsia="es-ES"/>
        </w:rPr>
        <w:tab/>
      </w:r>
    </w:p>
    <w:p w14:paraId="494CF2E7" w14:textId="7090394F" w:rsidR="00CB0665" w:rsidRPr="00A77871" w:rsidRDefault="00CB0665" w:rsidP="00CB0665">
      <w:pPr>
        <w:spacing w:line="276" w:lineRule="auto"/>
        <w:jc w:val="both"/>
        <w:rPr>
          <w:rFonts w:ascii="Verdana" w:eastAsia="Calibri" w:hAnsi="Verdana" w:cs="Arial"/>
          <w:i/>
          <w:iCs/>
          <w:lang w:eastAsia="es-ES"/>
        </w:rPr>
      </w:pPr>
      <w:r w:rsidRPr="00A77871">
        <w:rPr>
          <w:rFonts w:ascii="Verdana" w:eastAsia="Calibri" w:hAnsi="Verdana" w:cs="Arial"/>
          <w:color w:val="000000"/>
          <w:lang w:eastAsia="es-ES"/>
        </w:rPr>
        <w:t>En ejercicio de la competencia otorgada por los artículos 3, numeral 5º, y 11, numeral 8º, del Decreto Ley 4170 de 2011,</w:t>
      </w:r>
      <w:r w:rsidRPr="00A77871">
        <w:rPr>
          <w:rFonts w:ascii="Verdana" w:eastAsia="Arial MT" w:hAnsi="Verdana" w:cs="Arial MT"/>
          <w:lang w:eastAsia="es-ES"/>
        </w:rPr>
        <w:t xml:space="preserve"> </w:t>
      </w:r>
      <w:r w:rsidRPr="00A77871">
        <w:rPr>
          <w:rFonts w:ascii="Verdana" w:eastAsia="Calibri" w:hAnsi="Verdana" w:cs="Arial"/>
        </w:rPr>
        <w:t xml:space="preserve">así como lo establecido en el artículo 4 de la Resolución 1707 de 2018 expedida por esta Entidad, </w:t>
      </w:r>
      <w:r w:rsidRPr="00A77871">
        <w:rPr>
          <w:rFonts w:ascii="Verdana" w:eastAsia="Calibri" w:hAnsi="Verdana" w:cs="Arial"/>
          <w:color w:val="000000"/>
          <w:lang w:eastAsia="es-ES"/>
        </w:rPr>
        <w:t xml:space="preserve">la Agencia Nacional de Contratación Pública – Colombia Compra Eficiente responde su solicitud de concepto del </w:t>
      </w:r>
      <w:r w:rsidR="00A61907" w:rsidRPr="00A77871">
        <w:rPr>
          <w:rFonts w:ascii="Verdana" w:eastAsia="Calibri" w:hAnsi="Verdana" w:cs="Arial"/>
          <w:color w:val="000000"/>
          <w:lang w:eastAsia="es-ES"/>
        </w:rPr>
        <w:t>13</w:t>
      </w:r>
      <w:r w:rsidRPr="00A77871">
        <w:rPr>
          <w:rFonts w:ascii="Verdana" w:eastAsia="Calibri" w:hAnsi="Verdana" w:cs="Arial"/>
          <w:color w:val="000000"/>
          <w:lang w:eastAsia="es-ES"/>
        </w:rPr>
        <w:t xml:space="preserve"> de febrero de 2026,</w:t>
      </w:r>
      <w:r w:rsidRPr="00A77871">
        <w:rPr>
          <w:rFonts w:ascii="Verdana" w:eastAsia="Calibri" w:hAnsi="Verdana" w:cs="Arial"/>
          <w:lang w:eastAsia="es-ES"/>
        </w:rPr>
        <w:t xml:space="preserve"> en la que manifiesta lo siguiente:</w:t>
      </w:r>
      <w:r w:rsidRPr="00A77871">
        <w:rPr>
          <w:rFonts w:ascii="Verdana" w:eastAsia="Calibri" w:hAnsi="Verdana" w:cs="Arial"/>
          <w:i/>
          <w:iCs/>
          <w:lang w:eastAsia="es-ES"/>
        </w:rPr>
        <w:t xml:space="preserve"> </w:t>
      </w:r>
      <w:bookmarkStart w:id="2" w:name="_Hlk95313578"/>
    </w:p>
    <w:bookmarkEnd w:id="2"/>
    <w:p w14:paraId="2A5F3628" w14:textId="306BF280" w:rsidR="00193B04" w:rsidRPr="00193B04" w:rsidRDefault="00193B04" w:rsidP="00193B04">
      <w:pPr>
        <w:spacing w:after="0" w:line="240" w:lineRule="auto"/>
        <w:ind w:left="851" w:right="709"/>
        <w:jc w:val="both"/>
        <w:rPr>
          <w:rFonts w:ascii="Verdana" w:eastAsia="Aptos" w:hAnsi="Verdana" w:cs="Times New Roman"/>
          <w:kern w:val="2"/>
          <w:sz w:val="20"/>
          <w:szCs w:val="20"/>
          <w14:ligatures w14:val="standardContextual"/>
        </w:rPr>
      </w:pPr>
      <w:r w:rsidRPr="00B923DC">
        <w:rPr>
          <w:rFonts w:ascii="Verdana" w:eastAsia="Aptos" w:hAnsi="Verdana" w:cs="Times New Roman"/>
          <w:i/>
          <w:iCs/>
          <w:kern w:val="2"/>
          <w:sz w:val="20"/>
          <w:szCs w:val="20"/>
          <w14:ligatures w14:val="standardContextual"/>
        </w:rPr>
        <w:t>“</w:t>
      </w:r>
      <w:r w:rsidRPr="00193B04">
        <w:rPr>
          <w:rFonts w:ascii="Verdana" w:eastAsia="Aptos" w:hAnsi="Verdana" w:cs="Times New Roman"/>
          <w:i/>
          <w:iCs/>
          <w:kern w:val="2"/>
          <w:sz w:val="20"/>
          <w:szCs w:val="20"/>
          <w14:ligatures w14:val="standardContextual"/>
        </w:rPr>
        <w:t xml:space="preserve">Cordial saludo; Solicito su colaboración en relación con las siguientes consultas: 1. ¿Una ESE HOSPITAL MUNICIPAL puede contratar (médicos, jefes de enfermería, auxiliares de enfermería, </w:t>
      </w:r>
      <w:proofErr w:type="spellStart"/>
      <w:r w:rsidRPr="00193B04">
        <w:rPr>
          <w:rFonts w:ascii="Verdana" w:eastAsia="Aptos" w:hAnsi="Verdana" w:cs="Times New Roman"/>
          <w:i/>
          <w:iCs/>
          <w:kern w:val="2"/>
          <w:sz w:val="20"/>
          <w:szCs w:val="20"/>
          <w14:ligatures w14:val="standardContextual"/>
        </w:rPr>
        <w:t>psicologos</w:t>
      </w:r>
      <w:proofErr w:type="spellEnd"/>
      <w:r w:rsidRPr="00193B04">
        <w:rPr>
          <w:rFonts w:ascii="Verdana" w:eastAsia="Aptos" w:hAnsi="Verdana" w:cs="Times New Roman"/>
          <w:i/>
          <w:iCs/>
          <w:kern w:val="2"/>
          <w:sz w:val="20"/>
          <w:szCs w:val="20"/>
          <w14:ligatures w14:val="standardContextual"/>
        </w:rPr>
        <w:t xml:space="preserve"> y gestores comunitarios, facturadores, transporte, apoyos administrativos) a través de contratos de prestación de</w:t>
      </w:r>
      <w:r w:rsidRPr="00B923DC">
        <w:rPr>
          <w:rFonts w:ascii="Verdana" w:eastAsia="Aptos" w:hAnsi="Verdana" w:cs="Times New Roman"/>
          <w:i/>
          <w:iCs/>
          <w:kern w:val="2"/>
          <w:sz w:val="20"/>
          <w:szCs w:val="20"/>
          <w14:ligatures w14:val="standardContextual"/>
        </w:rPr>
        <w:t xml:space="preserve"> </w:t>
      </w:r>
      <w:r w:rsidRPr="00193B04">
        <w:rPr>
          <w:rFonts w:ascii="Verdana" w:eastAsia="Aptos" w:hAnsi="Verdana" w:cs="Times New Roman"/>
          <w:i/>
          <w:iCs/>
          <w:kern w:val="2"/>
          <w:sz w:val="20"/>
          <w:szCs w:val="20"/>
          <w14:ligatures w14:val="standardContextual"/>
        </w:rPr>
        <w:t>servicios y el suministro de papelería y otros, para desarrollar el programa APS y PIC en salud en su territorio, haciendo uso de las excepciones consagradas en el artículo 33 de la</w:t>
      </w:r>
      <w:r w:rsidRPr="00B923DC">
        <w:rPr>
          <w:rFonts w:ascii="Verdana" w:eastAsia="Aptos" w:hAnsi="Verdana" w:cs="Times New Roman"/>
          <w:i/>
          <w:iCs/>
          <w:kern w:val="2"/>
          <w:sz w:val="20"/>
          <w:szCs w:val="20"/>
          <w14:ligatures w14:val="standardContextual"/>
        </w:rPr>
        <w:t xml:space="preserve"> </w:t>
      </w:r>
      <w:r w:rsidRPr="00193B04">
        <w:rPr>
          <w:rFonts w:ascii="Verdana" w:eastAsia="Aptos" w:hAnsi="Verdana" w:cs="Times New Roman"/>
          <w:i/>
          <w:iCs/>
          <w:kern w:val="2"/>
          <w:sz w:val="20"/>
          <w:szCs w:val="20"/>
          <w14:ligatures w14:val="standardContextual"/>
        </w:rPr>
        <w:t xml:space="preserve">ley </w:t>
      </w:r>
      <w:r w:rsidRPr="00193B04">
        <w:rPr>
          <w:rFonts w:ascii="Verdana" w:eastAsia="Aptos" w:hAnsi="Verdana" w:cs="Times New Roman"/>
          <w:i/>
          <w:iCs/>
          <w:kern w:val="2"/>
          <w:sz w:val="20"/>
          <w:szCs w:val="20"/>
          <w14:ligatures w14:val="standardContextual"/>
        </w:rPr>
        <w:lastRenderedPageBreak/>
        <w:t>996 de 2005, a pesar de encontrarse limitada la contratación directa por ser época electoral?”. (sic)</w:t>
      </w:r>
    </w:p>
    <w:p w14:paraId="064F6CC1" w14:textId="77777777" w:rsidR="00CB0665" w:rsidRPr="00A77871" w:rsidRDefault="00CB0665" w:rsidP="00CB0665">
      <w:pPr>
        <w:spacing w:after="0" w:line="276" w:lineRule="auto"/>
        <w:ind w:right="709"/>
        <w:jc w:val="both"/>
        <w:rPr>
          <w:rFonts w:ascii="Verdana" w:eastAsia="Aptos" w:hAnsi="Verdana" w:cs="Times New Roman"/>
          <w:kern w:val="2"/>
          <w14:ligatures w14:val="standardContextual"/>
        </w:rPr>
      </w:pPr>
    </w:p>
    <w:p w14:paraId="300BE674" w14:textId="77777777" w:rsidR="00CB0665" w:rsidRPr="00A77871" w:rsidRDefault="00CB0665" w:rsidP="00CB0665">
      <w:pPr>
        <w:spacing w:after="120" w:line="276" w:lineRule="auto"/>
        <w:jc w:val="both"/>
        <w:rPr>
          <w:rFonts w:ascii="Verdana" w:eastAsia="Calibri" w:hAnsi="Verdana" w:cs="Arial"/>
          <w:color w:val="000000"/>
          <w:lang w:eastAsia="es-ES"/>
        </w:rPr>
      </w:pPr>
      <w:r w:rsidRPr="00A77871">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77871">
        <w:rPr>
          <w:rFonts w:ascii="Verdana" w:eastAsia="Calibri" w:hAnsi="Verdana" w:cs="Arial"/>
          <w:color w:val="000000"/>
          <w:lang w:eastAsia="es-ES_tradnl"/>
        </w:rPr>
        <w:tab/>
      </w:r>
    </w:p>
    <w:p w14:paraId="5394CEC6" w14:textId="77777777" w:rsidR="00CB0665" w:rsidRPr="00A77871" w:rsidRDefault="00CB0665" w:rsidP="00CB0665">
      <w:pPr>
        <w:spacing w:line="276" w:lineRule="auto"/>
        <w:jc w:val="both"/>
        <w:rPr>
          <w:rFonts w:ascii="Verdana" w:eastAsia="Calibri" w:hAnsi="Verdana" w:cs="Arial"/>
          <w:b/>
          <w:bCs/>
          <w:color w:val="000000"/>
          <w:lang w:eastAsia="es-ES"/>
        </w:rPr>
      </w:pPr>
      <w:r w:rsidRPr="00A77871">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A77871">
        <w:rPr>
          <w:rFonts w:ascii="Verdana" w:eastAsia="Calibri" w:hAnsi="Verdana" w:cs="Arial"/>
          <w:color w:val="7030A0"/>
          <w:lang w:eastAsia="es-ES"/>
        </w:rPr>
        <w:t xml:space="preserve"> </w:t>
      </w:r>
      <w:r w:rsidRPr="00A77871">
        <w:rPr>
          <w:rFonts w:ascii="Verdana" w:eastAsia="Calibri" w:hAnsi="Verdana" w:cs="Arial"/>
          <w:color w:val="000000"/>
          <w:lang w:eastAsia="es-ES"/>
        </w:rPr>
        <w:t>problemas</w:t>
      </w:r>
      <w:r w:rsidRPr="00A77871">
        <w:rPr>
          <w:rFonts w:ascii="Verdana" w:eastAsia="Calibri" w:hAnsi="Verdana" w:cs="Arial"/>
          <w:color w:val="7030A0"/>
          <w:lang w:eastAsia="es-ES"/>
        </w:rPr>
        <w:t xml:space="preserve"> </w:t>
      </w:r>
      <w:r w:rsidRPr="00A77871">
        <w:rPr>
          <w:rFonts w:ascii="Verdana" w:eastAsia="Calibri" w:hAnsi="Verdana" w:cs="Arial"/>
          <w:color w:val="000000"/>
          <w:lang w:eastAsia="es-ES"/>
        </w:rPr>
        <w:t>jurídicos</w:t>
      </w:r>
      <w:r w:rsidRPr="00A77871">
        <w:rPr>
          <w:rFonts w:ascii="Verdana" w:eastAsia="Calibri" w:hAnsi="Verdana" w:cs="Arial"/>
          <w:color w:val="7030A0"/>
          <w:lang w:eastAsia="es-ES"/>
        </w:rPr>
        <w:t xml:space="preserve"> </w:t>
      </w:r>
      <w:r w:rsidRPr="00A77871">
        <w:rPr>
          <w:rFonts w:ascii="Verdana" w:eastAsia="Calibri" w:hAnsi="Verdana" w:cs="Arial"/>
          <w:color w:val="000000"/>
          <w:lang w:eastAsia="es-ES"/>
        </w:rPr>
        <w:t>de su consulta.</w:t>
      </w:r>
      <w:r w:rsidRPr="00A77871">
        <w:rPr>
          <w:rFonts w:ascii="Verdana" w:eastAsia="Calibri" w:hAnsi="Verdana" w:cs="Arial"/>
          <w:b/>
          <w:bCs/>
          <w:color w:val="000000"/>
          <w:lang w:eastAsia="es-ES"/>
        </w:rPr>
        <w:t xml:space="preserve"> </w:t>
      </w:r>
    </w:p>
    <w:p w14:paraId="42022960" w14:textId="2A3677FD" w:rsidR="001B415F" w:rsidRPr="001B415F" w:rsidRDefault="00CB0665" w:rsidP="00CD271C">
      <w:pPr>
        <w:numPr>
          <w:ilvl w:val="0"/>
          <w:numId w:val="16"/>
        </w:numPr>
        <w:tabs>
          <w:tab w:val="left" w:pos="142"/>
          <w:tab w:val="left" w:pos="284"/>
        </w:tabs>
        <w:spacing w:before="240" w:after="0" w:line="276" w:lineRule="auto"/>
        <w:contextualSpacing/>
        <w:jc w:val="both"/>
        <w:rPr>
          <w:rFonts w:ascii="Verdana" w:eastAsia="Century Gothic" w:hAnsi="Verdana" w:cs="Century Gothic"/>
        </w:rPr>
      </w:pPr>
      <w:r w:rsidRPr="001B415F">
        <w:rPr>
          <w:rFonts w:ascii="Verdana" w:eastAsia="Century Gothic" w:hAnsi="Verdana" w:cs="Century Gothic"/>
          <w:b/>
          <w:bCs/>
        </w:rPr>
        <w:t>Problema planteado:</w:t>
      </w:r>
    </w:p>
    <w:p w14:paraId="14851F89" w14:textId="18E2C518" w:rsidR="00DB251B" w:rsidRPr="00A77871" w:rsidRDefault="00CB0665" w:rsidP="001B415F">
      <w:pPr>
        <w:spacing w:before="240" w:line="276" w:lineRule="auto"/>
        <w:jc w:val="both"/>
        <w:rPr>
          <w:rFonts w:ascii="Verdana" w:eastAsia="Century Gothic" w:hAnsi="Verdana" w:cs="Century Gothic"/>
        </w:rPr>
      </w:pPr>
      <w:r w:rsidRPr="00A77871">
        <w:rPr>
          <w:rFonts w:ascii="Verdana" w:eastAsia="Century Gothic" w:hAnsi="Verdana" w:cs="Century Gothic"/>
        </w:rPr>
        <w:t>De acuerdo con el contenido de su solicitud, esta Agencia resolverá el siguiente problema jurídico</w:t>
      </w:r>
      <w:r w:rsidR="00DB251B" w:rsidRPr="00DB251B">
        <w:rPr>
          <w:rFonts w:ascii="Verdana" w:eastAsia="Calibri" w:hAnsi="Verdana" w:cs="Arial"/>
          <w:color w:val="000000"/>
          <w:lang w:eastAsia="es-ES"/>
        </w:rPr>
        <w:t xml:space="preserve"> </w:t>
      </w:r>
      <w:r w:rsidR="00DB251B">
        <w:rPr>
          <w:rFonts w:ascii="Verdana" w:eastAsia="Calibri" w:hAnsi="Verdana" w:cs="Arial"/>
          <w:color w:val="000000"/>
          <w:lang w:eastAsia="es-ES"/>
        </w:rPr>
        <w:t>¿</w:t>
      </w:r>
      <w:r w:rsidR="00DB251B" w:rsidRPr="00343E12">
        <w:rPr>
          <w:rFonts w:ascii="Verdana" w:eastAsia="Calibri" w:hAnsi="Verdana" w:cs="Arial"/>
          <w:color w:val="000000"/>
          <w:lang w:eastAsia="es-ES"/>
        </w:rPr>
        <w:t xml:space="preserve">Cuáles son las restricciones aplicables, en materia de contratación estatal, a las Empresas Sociales del Estado durante </w:t>
      </w:r>
      <w:r w:rsidR="00DB251B">
        <w:rPr>
          <w:rFonts w:ascii="Verdana" w:eastAsia="Calibri" w:hAnsi="Verdana" w:cs="Arial"/>
          <w:color w:val="000000"/>
          <w:lang w:eastAsia="es-ES"/>
        </w:rPr>
        <w:t xml:space="preserve">los </w:t>
      </w:r>
      <w:r w:rsidR="00DB251B" w:rsidRPr="00343E12">
        <w:rPr>
          <w:rFonts w:ascii="Verdana" w:eastAsia="Calibri" w:hAnsi="Verdana" w:cs="Arial"/>
          <w:color w:val="000000"/>
          <w:lang w:eastAsia="es-ES"/>
        </w:rPr>
        <w:t>periodo</w:t>
      </w:r>
      <w:r w:rsidR="00DB251B">
        <w:rPr>
          <w:rFonts w:ascii="Verdana" w:eastAsia="Calibri" w:hAnsi="Verdana" w:cs="Arial"/>
          <w:color w:val="000000"/>
          <w:lang w:eastAsia="es-ES"/>
        </w:rPr>
        <w:t>s</w:t>
      </w:r>
      <w:r w:rsidR="00DB251B" w:rsidRPr="00343E12">
        <w:rPr>
          <w:rFonts w:ascii="Verdana" w:eastAsia="Calibri" w:hAnsi="Verdana" w:cs="Arial"/>
          <w:color w:val="000000"/>
          <w:lang w:eastAsia="es-ES"/>
        </w:rPr>
        <w:t xml:space="preserve"> en que rige la Ley de Garantías Electorales</w:t>
      </w:r>
    </w:p>
    <w:p w14:paraId="2727093C" w14:textId="6AE4B2BE" w:rsidR="00CB0665" w:rsidRPr="00A77871" w:rsidRDefault="00CB0665" w:rsidP="00DB251B">
      <w:pPr>
        <w:spacing w:before="240" w:line="276" w:lineRule="auto"/>
        <w:jc w:val="both"/>
        <w:rPr>
          <w:rFonts w:ascii="Verdana" w:eastAsia="Century Gothic" w:hAnsi="Verdana" w:cs="Century Gothic"/>
          <w:b/>
          <w:bCs/>
        </w:rPr>
      </w:pPr>
      <w:r w:rsidRPr="00A77871">
        <w:rPr>
          <w:rFonts w:ascii="Verdana" w:eastAsia="Century Gothic" w:hAnsi="Verdana" w:cs="Century Gothic"/>
          <w:b/>
          <w:bCs/>
        </w:rPr>
        <w:t>Respuesta:</w:t>
      </w:r>
    </w:p>
    <w:p w14:paraId="1F9A0064" w14:textId="77777777" w:rsidR="00CB0665" w:rsidRPr="00A77871" w:rsidRDefault="00CB0665" w:rsidP="00CB0665">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B0665" w:rsidRPr="00A77871" w14:paraId="7C4449EE" w14:textId="77777777" w:rsidTr="006D487B">
        <w:trPr>
          <w:jc w:val="center"/>
        </w:trPr>
        <w:tc>
          <w:tcPr>
            <w:tcW w:w="8828" w:type="dxa"/>
          </w:tcPr>
          <w:p w14:paraId="70BF7D3B" w14:textId="2DC79882" w:rsidR="006D487B" w:rsidRDefault="006D487B" w:rsidP="006D487B">
            <w:pPr>
              <w:spacing w:after="120" w:line="276" w:lineRule="auto"/>
              <w:ind w:firstLine="709"/>
              <w:jc w:val="both"/>
              <w:rPr>
                <w:rFonts w:ascii="Verdana" w:eastAsia="Arial" w:hAnsi="Verdana" w:cs="Arial"/>
                <w:lang w:eastAsia="es-ES" w:bidi="es-ES"/>
              </w:rPr>
            </w:pPr>
            <w:bookmarkStart w:id="3" w:name="_Hlk171694685"/>
            <w:r>
              <w:rPr>
                <w:rFonts w:ascii="Verdana" w:eastAsia="Arial" w:hAnsi="Verdana" w:cs="Arial"/>
                <w:lang w:eastAsia="es-ES" w:bidi="es-ES"/>
              </w:rPr>
              <w:t>L</w:t>
            </w:r>
            <w:r w:rsidRPr="00FF007A">
              <w:rPr>
                <w:rFonts w:ascii="Verdana" w:eastAsia="Arial" w:hAnsi="Verdana" w:cs="Arial"/>
                <w:lang w:eastAsia="es-ES" w:bidi="es-ES"/>
              </w:rPr>
              <w:t>a Ley de Garantías se dirige a dos (2) tipos de campañas electorales diferenciadas</w:t>
            </w:r>
            <w:r>
              <w:rPr>
                <w:rFonts w:ascii="Verdana" w:eastAsia="Arial" w:hAnsi="Verdana" w:cs="Arial"/>
                <w:lang w:eastAsia="es-ES" w:bidi="es-ES"/>
              </w:rPr>
              <w:t xml:space="preserve">: i) </w:t>
            </w:r>
            <w:r w:rsidRPr="00FF007A">
              <w:rPr>
                <w:rFonts w:ascii="Verdana" w:eastAsia="Arial" w:hAnsi="Verdana" w:cs="Arial"/>
                <w:lang w:eastAsia="es-ES" w:bidi="es-ES"/>
              </w:rPr>
              <w:t xml:space="preserve">la del artículo 33 que </w:t>
            </w:r>
            <w:r w:rsidR="00DD7D85" w:rsidRPr="00FF007A">
              <w:rPr>
                <w:rFonts w:ascii="Verdana" w:eastAsia="Arial" w:hAnsi="Verdana" w:cs="Arial"/>
                <w:lang w:eastAsia="es-ES" w:bidi="es-ES"/>
              </w:rPr>
              <w:t>aplica respecto</w:t>
            </w:r>
            <w:r w:rsidRPr="00FF007A">
              <w:rPr>
                <w:rFonts w:ascii="Verdana" w:eastAsia="Arial" w:hAnsi="Verdana" w:cs="Arial"/>
                <w:lang w:eastAsia="es-ES" w:bidi="es-ES"/>
              </w:rPr>
              <w:t xml:space="preserve">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w:t>
            </w:r>
            <w:r w:rsidRPr="00FF007A">
              <w:rPr>
                <w:rFonts w:ascii="Verdana" w:eastAsia="Arial" w:hAnsi="Verdana" w:cs="Arial"/>
                <w:lang w:eastAsia="es-ES" w:bidi="es-ES"/>
              </w:rPr>
              <w:lastRenderedPageBreak/>
              <w:t>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w:t>
            </w:r>
            <w:r>
              <w:rPr>
                <w:rFonts w:ascii="Verdana" w:eastAsia="Arial" w:hAnsi="Verdana" w:cs="Arial"/>
                <w:lang w:eastAsia="es-ES" w:bidi="es-ES"/>
              </w:rPr>
              <w:t xml:space="preserve">; </w:t>
            </w:r>
            <w:proofErr w:type="spellStart"/>
            <w:r>
              <w:rPr>
                <w:rFonts w:ascii="Verdana" w:eastAsia="Arial" w:hAnsi="Verdana" w:cs="Arial"/>
                <w:lang w:eastAsia="es-ES" w:bidi="es-ES"/>
              </w:rPr>
              <w:t>ii</w:t>
            </w:r>
            <w:proofErr w:type="spellEnd"/>
            <w:r>
              <w:rPr>
                <w:rFonts w:ascii="Verdana" w:eastAsia="Arial" w:hAnsi="Verdana" w:cs="Arial"/>
                <w:lang w:eastAsia="es-ES" w:bidi="es-ES"/>
              </w:rPr>
              <w:t xml:space="preserve">) </w:t>
            </w:r>
            <w:r w:rsidRPr="00FF007A">
              <w:rPr>
                <w:rFonts w:ascii="Verdana" w:eastAsia="Arial" w:hAnsi="Verdana" w:cs="Arial"/>
                <w:lang w:eastAsia="es-ES" w:bidi="es-ES"/>
              </w:rPr>
              <w:t>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r>
              <w:rPr>
                <w:rFonts w:ascii="Verdana" w:eastAsia="Arial" w:hAnsi="Verdana" w:cs="Arial"/>
                <w:lang w:eastAsia="es-ES" w:bidi="es-ES"/>
              </w:rPr>
              <w:t>.</w:t>
            </w:r>
          </w:p>
          <w:p w14:paraId="7D344008" w14:textId="77777777" w:rsidR="006D487B" w:rsidRDefault="006D487B" w:rsidP="006D487B">
            <w:pPr>
              <w:spacing w:after="120" w:line="276" w:lineRule="auto"/>
              <w:ind w:firstLine="709"/>
              <w:jc w:val="both"/>
              <w:rPr>
                <w:rFonts w:ascii="Verdana" w:eastAsia="Arial" w:hAnsi="Verdana" w:cs="Arial"/>
                <w:lang w:eastAsia="es-ES" w:bidi="es-ES"/>
              </w:rPr>
            </w:pPr>
            <w:r w:rsidRPr="00FF007A">
              <w:rPr>
                <w:rFonts w:ascii="Verdana" w:eastAsia="Arial" w:hAnsi="Verdana" w:cs="Arial"/>
                <w:lang w:eastAsia="es-ES" w:bidi="es-ES"/>
              </w:rPr>
              <w:t>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las autoridades allí mencionadas sólo deben aplicar las restricciones contenidas en el parágrafo del artículo 38.</w:t>
            </w:r>
          </w:p>
          <w:p w14:paraId="2E0034AD" w14:textId="77777777" w:rsidR="006D487B" w:rsidRDefault="006D487B" w:rsidP="006D487B">
            <w:pPr>
              <w:spacing w:after="120" w:line="276" w:lineRule="auto"/>
              <w:ind w:firstLine="709"/>
              <w:jc w:val="both"/>
              <w:rPr>
                <w:rFonts w:ascii="Verdana" w:eastAsia="Calibri" w:hAnsi="Verdana" w:cs="Arial"/>
              </w:rPr>
            </w:pPr>
            <w:r>
              <w:rPr>
                <w:rFonts w:ascii="Verdana" w:eastAsia="Calibri" w:hAnsi="Verdana" w:cs="Arial"/>
              </w:rPr>
              <w:t>P</w:t>
            </w:r>
            <w:r w:rsidRPr="000C5BB0">
              <w:rPr>
                <w:rFonts w:ascii="Verdana" w:eastAsia="Calibri" w:hAnsi="Verdana" w:cs="Arial"/>
              </w:rPr>
              <w:t xml:space="preserve">ara las elecciones presidenciales, </w:t>
            </w:r>
            <w:r>
              <w:rPr>
                <w:rFonts w:ascii="Verdana" w:eastAsia="Calibri" w:hAnsi="Verdana" w:cs="Arial"/>
              </w:rPr>
              <w:t>las restricciones a aplicar son las del artículo 33 de la Ley 996 de 2005, por lo cual, dentro de los 4 meses anteriores a la elección presidencial, es decir desde el 31 de enero de 2026, y hasta el momento de la celebración de la segunda vuelta, si fuere el caso, q</w:t>
            </w:r>
            <w:r w:rsidRPr="008772F9">
              <w:rPr>
                <w:rFonts w:ascii="Verdana" w:eastAsia="Calibri" w:hAnsi="Verdana" w:cs="Arial"/>
              </w:rPr>
              <w:t>ueda prohibida la contratación directa por parte de todos los entes del Estado</w:t>
            </w:r>
            <w:r>
              <w:rPr>
                <w:rFonts w:ascii="Verdana" w:eastAsia="Calibri" w:hAnsi="Verdana" w:cs="Arial"/>
              </w:rPr>
              <w:t>, dentro de lo cual se incluye los contratos de prestación de servicios profesionales y de apoyo a la gestión</w:t>
            </w:r>
            <w:r w:rsidRPr="008772F9">
              <w:rPr>
                <w:rFonts w:ascii="Verdana" w:eastAsia="Calibri" w:hAnsi="Verdana" w:cs="Arial"/>
              </w:rPr>
              <w:t>.</w:t>
            </w:r>
          </w:p>
          <w:p w14:paraId="58F19EEC" w14:textId="77777777" w:rsidR="006D487B" w:rsidRDefault="006D487B" w:rsidP="006D487B">
            <w:pPr>
              <w:spacing w:after="120" w:line="276" w:lineRule="auto"/>
              <w:ind w:firstLine="709"/>
              <w:jc w:val="both"/>
              <w:rPr>
                <w:rFonts w:ascii="Verdana" w:eastAsia="Times New Roman" w:hAnsi="Verdana" w:cs="Arial"/>
              </w:rPr>
            </w:pPr>
            <w:r w:rsidRPr="00FF007A">
              <w:rPr>
                <w:rFonts w:ascii="Verdana" w:eastAsia="Arial" w:hAnsi="Verdana" w:cs="Arial"/>
                <w:lang w:eastAsia="es-ES" w:bidi="es-ES"/>
              </w:rPr>
              <w:t xml:space="preserve">Ahora bien, </w:t>
            </w:r>
            <w:r w:rsidRPr="00FF007A">
              <w:rPr>
                <w:rFonts w:ascii="Verdana" w:eastAsia="Calibri" w:hAnsi="Verdana" w:cs="Arial"/>
                <w:lang w:eastAsia="es-ES" w:bidi="es-ES"/>
              </w:rPr>
              <w:t xml:space="preserve">es necesario precisar el alcance de la prohibición </w:t>
            </w:r>
            <w:r w:rsidRPr="00FF007A">
              <w:rPr>
                <w:rFonts w:ascii="Verdana" w:eastAsia="Arial" w:hAnsi="Verdana" w:cs="Arial"/>
                <w:lang w:eastAsia="es-ES" w:bidi="es-ES"/>
              </w:rPr>
              <w:t>establecida en e</w:t>
            </w:r>
            <w:r w:rsidRPr="00FF007A">
              <w:rPr>
                <w:rFonts w:ascii="Verdana" w:eastAsia="Calibri" w:hAnsi="Verdana" w:cs="Arial"/>
              </w:rPr>
              <w:t xml:space="preserve">l </w:t>
            </w:r>
            <w:r w:rsidRPr="00FF007A">
              <w:rPr>
                <w:rFonts w:ascii="Verdana" w:eastAsia="Times New Roman" w:hAnsi="Verdana" w:cs="Arial"/>
              </w:rPr>
              <w:t>artículo 33 de la Ley 996 de 2005.</w:t>
            </w:r>
            <w:r>
              <w:rPr>
                <w:rFonts w:ascii="Verdana" w:eastAsia="Times New Roman" w:hAnsi="Verdana" w:cs="Arial"/>
              </w:rPr>
              <w:t xml:space="preserve"> Esta restricción </w:t>
            </w:r>
            <w:r w:rsidRPr="00FF007A">
              <w:rPr>
                <w:rFonts w:ascii="Verdana" w:eastAsia="Times New Roman" w:hAnsi="Verdana" w:cs="Arial"/>
                <w:bCs/>
                <w:lang w:eastAsia="es-CO"/>
              </w:rPr>
              <w:t>no solo aplica frente a las entidades sometidas al Estatuto general de Contratación de la Administración Pública</w:t>
            </w:r>
            <w:r w:rsidRPr="00FF007A">
              <w:rPr>
                <w:rFonts w:ascii="Verdana" w:eastAsia="Times New Roman" w:hAnsi="Verdana" w:cs="Arial"/>
                <w:bCs/>
                <w:i/>
                <w:iCs/>
                <w:lang w:eastAsia="es-CO"/>
              </w:rPr>
              <w:t>, sino también frente a las entidades que tengan un régimen especial de contratación</w:t>
            </w:r>
            <w:r w:rsidRPr="00FF007A">
              <w:rPr>
                <w:rFonts w:ascii="Verdana" w:eastAsia="Times New Roman" w:hAnsi="Verdana" w:cs="Arial"/>
                <w:bCs/>
                <w:lang w:eastAsia="es-CO"/>
              </w:rPr>
              <w:t xml:space="preserve">. No obstante, también se observa que luego de la expedición de Ley 1150 de 2007, el Consejo de Estado comenzó a delimitar con mayor precisión el término de “contratación directa”. </w:t>
            </w:r>
            <w:r w:rsidRPr="00FF007A">
              <w:rPr>
                <w:rFonts w:ascii="Verdana" w:eastAsia="Times New Roman" w:hAnsi="Verdana" w:cs="Arial"/>
              </w:rPr>
              <w:t>Así,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Pr>
                <w:rFonts w:ascii="Verdana" w:eastAsia="Times New Roman" w:hAnsi="Verdana" w:cs="Arial"/>
              </w:rPr>
              <w:t>.</w:t>
            </w:r>
          </w:p>
          <w:p w14:paraId="486AA7EA" w14:textId="77777777" w:rsidR="006D487B" w:rsidRDefault="006D487B" w:rsidP="006D487B">
            <w:pPr>
              <w:tabs>
                <w:tab w:val="left" w:pos="426"/>
              </w:tabs>
              <w:spacing w:before="120" w:line="276" w:lineRule="auto"/>
              <w:ind w:firstLine="709"/>
              <w:jc w:val="both"/>
              <w:rPr>
                <w:rFonts w:ascii="Verdana" w:hAnsi="Verdana" w:cs="Arial"/>
                <w:bCs/>
                <w:color w:val="000000" w:themeColor="text1"/>
              </w:rPr>
            </w:pPr>
            <w:r>
              <w:rPr>
                <w:rFonts w:ascii="Verdana" w:hAnsi="Verdana" w:cs="Arial"/>
                <w:bCs/>
                <w:color w:val="000000" w:themeColor="text1"/>
              </w:rPr>
              <w:lastRenderedPageBreak/>
              <w:t xml:space="preserve">En ese sentido, </w:t>
            </w:r>
            <w:r w:rsidRPr="00FF007A">
              <w:rPr>
                <w:rFonts w:ascii="Verdana" w:hAnsi="Verdana" w:cs="Arial"/>
                <w:bCs/>
                <w:color w:val="000000" w:themeColor="text1"/>
              </w:rPr>
              <w:t>es pertinente analizar el quinto evento exceptuado de la prohibición</w:t>
            </w:r>
            <w:r>
              <w:rPr>
                <w:rFonts w:ascii="Verdana" w:hAnsi="Verdana" w:cs="Arial"/>
                <w:bCs/>
                <w:color w:val="000000" w:themeColor="text1"/>
              </w:rPr>
              <w:t xml:space="preserve"> contemplada en el inciso segundo del artículo 33 de la Ley 996 de 2005</w:t>
            </w:r>
            <w:r w:rsidRPr="00FF007A">
              <w:rPr>
                <w:rFonts w:ascii="Verdana" w:hAnsi="Verdana" w:cs="Arial"/>
                <w:bCs/>
                <w:color w:val="000000" w:themeColor="text1"/>
              </w:rPr>
              <w:t xml:space="preserve">, relacionado con la contratación por parte de entidades sanitarias y hospitalarias. Para ello, el artículo 94 de la Ley 100 de 1993 dispone que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3EB8903A" w14:textId="77777777" w:rsidR="006D487B" w:rsidRDefault="006D487B" w:rsidP="006D487B">
            <w:pPr>
              <w:tabs>
                <w:tab w:val="left" w:pos="426"/>
              </w:tabs>
              <w:spacing w:before="120" w:line="276" w:lineRule="auto"/>
              <w:ind w:firstLine="709"/>
              <w:jc w:val="both"/>
              <w:rPr>
                <w:rFonts w:ascii="Verdana" w:hAnsi="Verdana" w:cs="Arial"/>
                <w:color w:val="000000" w:themeColor="text1"/>
              </w:rPr>
            </w:pPr>
            <w:r w:rsidRPr="00FF007A">
              <w:rPr>
                <w:rFonts w:ascii="Verdana" w:hAnsi="Verdana" w:cs="Arial"/>
                <w:color w:val="000000" w:themeColor="text1"/>
              </w:rPr>
              <w:t>De lo anterior se desprende que, bajo la Ley 100 de 1993, dentro de la estructura de la administración pública las Empresas Sociales del Estado</w:t>
            </w:r>
            <w:r>
              <w:rPr>
                <w:rFonts w:ascii="Verdana" w:hAnsi="Verdana" w:cs="Arial"/>
                <w:color w:val="000000" w:themeColor="text1"/>
              </w:rPr>
              <w:t>, según lo dispuesto en el artículo 194 de la Ley 100 de 1993,</w:t>
            </w:r>
            <w:r w:rsidRPr="00FF007A">
              <w:rPr>
                <w:rFonts w:ascii="Verdana" w:hAnsi="Verdana" w:cs="Arial"/>
                <w:color w:val="000000" w:themeColor="text1"/>
              </w:rPr>
              <w:t xml:space="preserve"> son las entidades encargadas de prestar el servicio de salud de manera directa</w:t>
            </w:r>
            <w:r>
              <w:rPr>
                <w:rFonts w:ascii="Verdana" w:hAnsi="Verdana" w:cs="Arial"/>
                <w:color w:val="000000" w:themeColor="text1"/>
              </w:rPr>
              <w:t>.</w:t>
            </w:r>
          </w:p>
          <w:p w14:paraId="4981E134" w14:textId="77777777" w:rsidR="006D487B" w:rsidRDefault="006D487B" w:rsidP="006D487B">
            <w:pPr>
              <w:spacing w:before="120"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De otro lado, el artículo 2.8.8.1.1.3 del Decreto 780 de 2016, </w:t>
            </w:r>
            <w:r>
              <w:rPr>
                <w:rFonts w:ascii="Verdana" w:eastAsia="Arial" w:hAnsi="Verdana" w:cs="Arial"/>
                <w:bCs/>
                <w:color w:val="000000" w:themeColor="text1"/>
              </w:rPr>
              <w:t>“</w:t>
            </w:r>
            <w:r w:rsidRPr="00FF007A">
              <w:rPr>
                <w:rFonts w:ascii="Verdana" w:eastAsia="Arial" w:hAnsi="Verdana" w:cs="Arial"/>
                <w:bCs/>
                <w:color w:val="000000" w:themeColor="text1"/>
              </w:rPr>
              <w:t>Por medio del cual se expide el Decreto Único Reglamentario del Sector Salud y Protección Social</w:t>
            </w:r>
            <w:r>
              <w:rPr>
                <w:rFonts w:ascii="Verdana" w:eastAsia="Arial" w:hAnsi="Verdana" w:cs="Arial"/>
                <w:bCs/>
                <w:color w:val="000000" w:themeColor="text1"/>
              </w:rPr>
              <w:t>”</w:t>
            </w:r>
            <w:r w:rsidRPr="00FF007A">
              <w:rPr>
                <w:rFonts w:ascii="Verdana" w:eastAsia="Arial" w:hAnsi="Verdana" w:cs="Arial"/>
                <w:bCs/>
                <w:color w:val="000000" w:themeColor="text1"/>
              </w:rPr>
              <w:t xml:space="preserve">, definió a las </w:t>
            </w:r>
            <w:r w:rsidRPr="00FF007A">
              <w:rPr>
                <w:rFonts w:ascii="Verdana" w:eastAsia="Arial" w:hAnsi="Verdana" w:cs="Arial"/>
                <w:bCs/>
                <w:i/>
                <w:iCs/>
                <w:color w:val="000000" w:themeColor="text1"/>
              </w:rPr>
              <w:t>entidades sanitarias</w:t>
            </w:r>
            <w:r w:rsidRPr="00FF007A">
              <w:rPr>
                <w:rFonts w:ascii="Verdana" w:eastAsia="Arial" w:hAnsi="Verdana" w:cs="Arial"/>
                <w:bCs/>
                <w:color w:val="000000" w:themeColor="text1"/>
              </w:rPr>
              <w:t xml:space="preserve"> como</w:t>
            </w:r>
            <w:r>
              <w:rPr>
                <w:rFonts w:ascii="Verdana" w:eastAsia="Arial" w:hAnsi="Verdana" w:cs="Arial"/>
                <w:bCs/>
                <w:color w:val="000000" w:themeColor="text1"/>
              </w:rPr>
              <w:t xml:space="preserve"> las</w:t>
            </w:r>
            <w:r w:rsidRPr="00FF007A">
              <w:rPr>
                <w:rFonts w:ascii="Verdana" w:eastAsia="Arial" w:hAnsi="Verdana" w:cs="Arial"/>
                <w:bCs/>
                <w:color w:val="000000" w:themeColor="text1"/>
              </w:rPr>
              <w:t xml:space="preserve"> “Entidades del Estado que prestan servicios sanitarios o de sanidad con el propósito de preservar la salud humana y la salud pública”. El artículo citado también define las </w:t>
            </w:r>
            <w:r w:rsidRPr="00FF007A">
              <w:rPr>
                <w:rFonts w:ascii="Verdana" w:eastAsia="Arial" w:hAnsi="Verdana" w:cs="Arial"/>
                <w:bCs/>
                <w:i/>
                <w:iCs/>
                <w:color w:val="000000" w:themeColor="text1"/>
              </w:rPr>
              <w:t>autoridades sanitarias</w:t>
            </w:r>
            <w:r w:rsidRPr="00FF007A">
              <w:rPr>
                <w:rFonts w:ascii="Verdana" w:eastAsia="Arial" w:hAnsi="Verdana" w:cs="Arial"/>
                <w:bCs/>
                <w:color w:val="000000" w:themeColor="text1"/>
              </w:rPr>
              <w:t xml:space="preserve"> como </w:t>
            </w:r>
            <w:r>
              <w:rPr>
                <w:rFonts w:ascii="Verdana" w:eastAsia="Arial" w:hAnsi="Verdana" w:cs="Arial"/>
                <w:bCs/>
                <w:color w:val="000000" w:themeColor="text1"/>
              </w:rPr>
              <w:t xml:space="preserve">las </w:t>
            </w:r>
            <w:r w:rsidRPr="00FF007A">
              <w:rPr>
                <w:rFonts w:ascii="Verdana" w:eastAsia="Arial" w:hAnsi="Verdana" w:cs="Arial"/>
                <w:bCs/>
                <w:color w:val="000000" w:themeColor="text1"/>
              </w:rPr>
              <w:t xml:space="preserve">“Entidades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 De esta forma, </w:t>
            </w:r>
            <w:r>
              <w:rPr>
                <w:rFonts w:ascii="Verdana" w:eastAsia="Arial" w:hAnsi="Verdana" w:cs="Arial"/>
                <w:bCs/>
                <w:color w:val="000000" w:themeColor="text1"/>
              </w:rPr>
              <w:t xml:space="preserve">para efectos de la aplicación de la excepción, se debe verificar que se cumplan los requisitos del </w:t>
            </w:r>
            <w:r w:rsidRPr="00FF007A">
              <w:rPr>
                <w:rFonts w:ascii="Verdana" w:eastAsia="Arial" w:hAnsi="Verdana" w:cs="Arial"/>
                <w:bCs/>
                <w:color w:val="000000" w:themeColor="text1"/>
              </w:rPr>
              <w:t xml:space="preserve">artículo 33 de la Ley </w:t>
            </w:r>
            <w:r>
              <w:rPr>
                <w:rFonts w:ascii="Verdana" w:eastAsia="Arial" w:hAnsi="Verdana" w:cs="Arial"/>
                <w:bCs/>
                <w:color w:val="000000" w:themeColor="text1"/>
              </w:rPr>
              <w:t xml:space="preserve">996 de 2005. </w:t>
            </w:r>
          </w:p>
          <w:p w14:paraId="16A96375" w14:textId="77777777" w:rsidR="006D487B" w:rsidRDefault="006D487B" w:rsidP="006D487B">
            <w:pPr>
              <w:spacing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Conforme con lo expuesto, las entidades que requieran adelantar procesos de contratación directa durante el periodo de garantías electorales deberán analizar, primero, si se configuran los supuestos establecidos en </w:t>
            </w:r>
            <w:r w:rsidRPr="00FF007A">
              <w:rPr>
                <w:rFonts w:ascii="Verdana" w:eastAsia="Arial" w:hAnsi="Verdana" w:cs="Arial"/>
                <w:bCs/>
                <w:i/>
                <w:iCs/>
                <w:color w:val="000000" w:themeColor="text1"/>
              </w:rPr>
              <w:t>el artículo 33</w:t>
            </w:r>
            <w:r w:rsidRPr="00FF007A">
              <w:rPr>
                <w:rFonts w:ascii="Verdana" w:eastAsia="Arial" w:hAnsi="Verdana" w:cs="Arial"/>
                <w:bCs/>
                <w:color w:val="000000" w:themeColor="text1"/>
              </w:rPr>
              <w:t xml:space="preserve"> de la Ley 996 de 2005, es decir, si se trata de cualquier entidad pública que pretenda adelantar un proceso no competitivo. Adicionalmente, será pertinente analizar </w:t>
            </w:r>
            <w:r w:rsidRPr="4D902665">
              <w:rPr>
                <w:rFonts w:ascii="Verdana" w:eastAsia="Arial" w:hAnsi="Verdana" w:cs="Arial"/>
                <w:color w:val="000000" w:themeColor="text1"/>
              </w:rPr>
              <w:t>y verificar si</w:t>
            </w:r>
            <w:r w:rsidRPr="00FF007A">
              <w:rPr>
                <w:rFonts w:ascii="Verdana" w:eastAsia="Arial" w:hAnsi="Verdana" w:cs="Arial"/>
                <w:bCs/>
                <w:color w:val="000000" w:themeColor="text1"/>
              </w:rPr>
              <w:t xml:space="preserve"> se configura alguna de las excepciones previstas en la norma. En este caso, será relevante determinar si la contratación del</w:t>
            </w:r>
            <w:r>
              <w:rPr>
                <w:rFonts w:ascii="Verdana" w:eastAsia="Arial" w:hAnsi="Verdana" w:cs="Arial"/>
                <w:bCs/>
                <w:color w:val="000000" w:themeColor="text1"/>
              </w:rPr>
              <w:t xml:space="preserve"> Plan de Salud Pública de Intervenciones Colectivas </w:t>
            </w:r>
            <w:r w:rsidRPr="00FF007A">
              <w:rPr>
                <w:rFonts w:ascii="Verdana" w:eastAsia="Arial" w:hAnsi="Verdana" w:cs="Arial"/>
                <w:bCs/>
                <w:color w:val="000000" w:themeColor="text1"/>
              </w:rPr>
              <w:t>se realiza con ocasión a una “emergencia sanitaria” o si es llevada a cabo por “entidades sanitarias u hospitalarias”. De ser así, la entidad</w:t>
            </w:r>
            <w:r>
              <w:rPr>
                <w:rFonts w:ascii="Verdana" w:eastAsia="Arial" w:hAnsi="Verdana" w:cs="Arial"/>
                <w:bCs/>
                <w:color w:val="000000" w:themeColor="text1"/>
              </w:rPr>
              <w:t>,</w:t>
            </w:r>
            <w:r w:rsidRPr="00FF007A">
              <w:rPr>
                <w:rFonts w:ascii="Verdana" w:eastAsia="Arial" w:hAnsi="Verdana" w:cs="Arial"/>
                <w:bCs/>
                <w:color w:val="000000" w:themeColor="text1"/>
              </w:rPr>
              <w:t xml:space="preserve"> </w:t>
            </w:r>
            <w:r>
              <w:rPr>
                <w:rFonts w:ascii="Verdana" w:eastAsia="Arial" w:hAnsi="Verdana" w:cs="Arial"/>
                <w:bCs/>
                <w:color w:val="000000" w:themeColor="text1"/>
              </w:rPr>
              <w:t xml:space="preserve">previo análisis de las </w:t>
            </w:r>
            <w:r>
              <w:rPr>
                <w:rFonts w:ascii="Verdana" w:eastAsia="Arial" w:hAnsi="Verdana" w:cs="Arial"/>
                <w:bCs/>
                <w:color w:val="000000" w:themeColor="text1"/>
              </w:rPr>
              <w:lastRenderedPageBreak/>
              <w:t xml:space="preserve">excepciones, podrá proceder en tal sentido y contratar directamente </w:t>
            </w:r>
            <w:r w:rsidRPr="00FF007A">
              <w:rPr>
                <w:rFonts w:ascii="Verdana" w:eastAsia="Arial" w:hAnsi="Verdana" w:cs="Arial"/>
                <w:bCs/>
                <w:color w:val="000000" w:themeColor="text1"/>
              </w:rPr>
              <w:t>a pesar de que haya iniciado el periodo de garantías electorales correspondiente al artículo 33 de la Ley 996 de 2005.</w:t>
            </w:r>
          </w:p>
          <w:p w14:paraId="0741A42F" w14:textId="77777777" w:rsidR="00CB0665" w:rsidRPr="00A77871" w:rsidRDefault="00CB0665" w:rsidP="00DA755D">
            <w:pPr>
              <w:spacing w:after="120" w:line="276" w:lineRule="auto"/>
              <w:ind w:firstLine="709"/>
              <w:jc w:val="both"/>
              <w:rPr>
                <w:rFonts w:ascii="Verdana" w:eastAsia="Calibri" w:hAnsi="Verdana" w:cs="Arial"/>
              </w:rPr>
            </w:pPr>
            <w:r w:rsidRPr="00A77871">
              <w:rPr>
                <w:rFonts w:ascii="Verdana" w:eastAsia="Calibri" w:hAnsi="Verdana" w:cs="Arial"/>
              </w:rPr>
              <w:t>Sin perjuicio de lo anterior, es deber de cada entidad pública efectuar un análisis serio, objetivo y debidamente motivado de la naturaleza y finalidad del contrato que pretende celebrar, a fin de constatar que este se enmarca efectivamente dentro de las excepciones legales previstas. Solo en la medida en que se cumpla dicho examen resultará procedente la contratación directa, en observancia de los principios de legalidad, necesidad, proporcionalidad y responsabilidad que rigen la función administrativa.</w:t>
            </w:r>
          </w:p>
        </w:tc>
      </w:tr>
    </w:tbl>
    <w:bookmarkEnd w:id="3"/>
    <w:p w14:paraId="26FCE53B" w14:textId="2EDAB616" w:rsidR="00CB0665" w:rsidRPr="00A77871" w:rsidRDefault="00CB0665" w:rsidP="002267F0">
      <w:pPr>
        <w:numPr>
          <w:ilvl w:val="0"/>
          <w:numId w:val="16"/>
        </w:numPr>
        <w:tabs>
          <w:tab w:val="left" w:pos="142"/>
          <w:tab w:val="left" w:pos="284"/>
        </w:tabs>
        <w:spacing w:before="240" w:line="276" w:lineRule="auto"/>
        <w:jc w:val="both"/>
        <w:rPr>
          <w:rFonts w:ascii="Verdana" w:eastAsia="Century Gothic" w:hAnsi="Verdana" w:cs="Century Gothic"/>
          <w:b/>
          <w:bCs/>
        </w:rPr>
      </w:pPr>
      <w:r w:rsidRPr="00A77871">
        <w:rPr>
          <w:rFonts w:ascii="Verdana" w:eastAsia="Century Gothic" w:hAnsi="Verdana" w:cs="Century Gothic"/>
          <w:b/>
          <w:bCs/>
        </w:rPr>
        <w:lastRenderedPageBreak/>
        <w:t>Razones de la respuesta:</w:t>
      </w:r>
    </w:p>
    <w:p w14:paraId="55781944" w14:textId="65FBA737" w:rsidR="00CB0665" w:rsidRPr="00A77871" w:rsidRDefault="00CB0665" w:rsidP="00D472C7">
      <w:pPr>
        <w:pStyle w:val="Prrafodelista"/>
        <w:spacing w:line="276" w:lineRule="auto"/>
        <w:ind w:left="360"/>
        <w:jc w:val="both"/>
        <w:rPr>
          <w:rFonts w:ascii="Verdana" w:eastAsia="Calibri" w:hAnsi="Verdana" w:cs="Arial"/>
        </w:rPr>
      </w:pPr>
      <w:r w:rsidRPr="00A77871">
        <w:rPr>
          <w:rFonts w:ascii="Verdana" w:eastAsia="Calibri" w:hAnsi="Verdana" w:cs="Arial"/>
        </w:rPr>
        <w:t xml:space="preserve">Lo anterior se sustenta en las siguientes consideraciones: </w:t>
      </w:r>
    </w:p>
    <w:p w14:paraId="7B6E2F80" w14:textId="77777777" w:rsidR="00CB0665" w:rsidRPr="00A77871" w:rsidRDefault="00CB0665" w:rsidP="00CB0665">
      <w:pPr>
        <w:tabs>
          <w:tab w:val="left" w:pos="426"/>
        </w:tabs>
        <w:spacing w:after="120" w:line="276" w:lineRule="auto"/>
        <w:ind w:firstLine="709"/>
        <w:jc w:val="both"/>
        <w:rPr>
          <w:rFonts w:ascii="Verdana" w:eastAsia="Times New Roman" w:hAnsi="Verdana" w:cs="Arial"/>
          <w:lang w:eastAsia="es-CO"/>
        </w:rPr>
      </w:pPr>
      <w:r w:rsidRPr="00A77871">
        <w:rPr>
          <w:rFonts w:ascii="Verdana" w:eastAsia="Calibri" w:hAnsi="Verdana" w:cs="Arial"/>
        </w:rPr>
        <w:t>El ordenamiento jurídico colombiano contempla previsiones claras para evitar la obtención de beneficios personales en asuntos propios de la administración pública</w:t>
      </w:r>
      <w:r w:rsidRPr="00A77871">
        <w:rPr>
          <w:rFonts w:ascii="Verdana" w:eastAsia="Calibri" w:hAnsi="Verdana" w:cs="Arial"/>
          <w:i/>
        </w:rPr>
        <w:t xml:space="preserve">. </w:t>
      </w:r>
      <w:r w:rsidRPr="00A77871">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A77871">
        <w:rPr>
          <w:rFonts w:ascii="Verdana" w:hAnsi="Verdana"/>
          <w:vertAlign w:val="superscript"/>
        </w:rPr>
        <w:footnoteReference w:id="2"/>
      </w:r>
      <w:r w:rsidRPr="00A77871">
        <w:rPr>
          <w:rFonts w:ascii="Verdana" w:eastAsia="Calibri" w:hAnsi="Verdana" w:cs="Arial"/>
        </w:rPr>
        <w:t xml:space="preserve">. </w:t>
      </w:r>
    </w:p>
    <w:p w14:paraId="4D212D9F" w14:textId="77777777" w:rsidR="00CB0665" w:rsidRPr="00A77871" w:rsidRDefault="00CB0665" w:rsidP="00CB0665">
      <w:pPr>
        <w:tabs>
          <w:tab w:val="left" w:pos="426"/>
        </w:tabs>
        <w:spacing w:after="120" w:line="276" w:lineRule="auto"/>
        <w:ind w:firstLine="709"/>
        <w:jc w:val="both"/>
        <w:rPr>
          <w:rFonts w:ascii="Verdana" w:eastAsia="Calibri" w:hAnsi="Verdana" w:cs="Arial"/>
          <w:lang w:val="es-ES"/>
        </w:rPr>
      </w:pPr>
      <w:bookmarkStart w:id="4" w:name="_Hlk99576829"/>
      <w:r w:rsidRPr="00A77871">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A77871">
        <w:rPr>
          <w:rFonts w:ascii="Verdana" w:eastAsia="Times New Roman" w:hAnsi="Verdana" w:cs="Arial"/>
          <w:vertAlign w:val="superscript"/>
          <w:lang w:val="es-MX" w:eastAsia="es-CO"/>
        </w:rPr>
        <w:footnoteReference w:id="3"/>
      </w:r>
      <w:r w:rsidRPr="00A77871">
        <w:rPr>
          <w:rFonts w:ascii="Verdana" w:eastAsia="Times New Roman" w:hAnsi="Verdana" w:cs="Arial"/>
          <w:lang w:val="es-MX" w:eastAsia="es-CO"/>
        </w:rPr>
        <w:t xml:space="preserve">. En esta medida, introduce limitaciones para realizar nombramientos, postulaciones, contrataciones o </w:t>
      </w:r>
      <w:r w:rsidRPr="00A77871">
        <w:rPr>
          <w:rFonts w:ascii="Verdana" w:eastAsia="Times New Roman" w:hAnsi="Verdana" w:cs="Arial"/>
          <w:lang w:val="es-MX" w:eastAsia="es-CO"/>
        </w:rPr>
        <w:lastRenderedPageBreak/>
        <w:t>cualquier otro tipo de actividad que implique destinación de recursos públicos bajo el devenir propio de las Entidades Estatales.</w:t>
      </w:r>
      <w:r w:rsidRPr="00A77871">
        <w:rPr>
          <w:rFonts w:ascii="Verdana" w:eastAsia="Calibri" w:hAnsi="Verdana" w:cs="Arial"/>
          <w:lang w:val="es-ES"/>
        </w:rPr>
        <w:t xml:space="preserve"> </w:t>
      </w:r>
      <w:bookmarkEnd w:id="4"/>
    </w:p>
    <w:p w14:paraId="0CE00ACD" w14:textId="77777777" w:rsidR="00CB0665" w:rsidRPr="00A77871" w:rsidRDefault="00CB0665" w:rsidP="00CB0665">
      <w:pPr>
        <w:tabs>
          <w:tab w:val="left" w:pos="426"/>
        </w:tabs>
        <w:spacing w:after="0" w:line="276" w:lineRule="auto"/>
        <w:ind w:firstLine="709"/>
        <w:jc w:val="both"/>
        <w:rPr>
          <w:rFonts w:ascii="Verdana" w:eastAsia="Calibri" w:hAnsi="Verdana" w:cs="Arial"/>
          <w:lang w:val="es-ES_tradnl"/>
        </w:rPr>
      </w:pPr>
      <w:r w:rsidRPr="00A77871">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0A0B0C61" w14:textId="77777777" w:rsidR="00CB0665" w:rsidRPr="00A77871" w:rsidRDefault="00CB0665" w:rsidP="00CB0665">
      <w:pPr>
        <w:spacing w:after="0" w:line="276" w:lineRule="auto"/>
        <w:ind w:right="709"/>
        <w:contextualSpacing/>
        <w:jc w:val="both"/>
        <w:rPr>
          <w:rFonts w:ascii="Verdana" w:eastAsia="Times New Roman" w:hAnsi="Verdana" w:cs="Arial"/>
          <w:lang w:val="es-ES" w:eastAsia="es-CO"/>
        </w:rPr>
      </w:pPr>
    </w:p>
    <w:p w14:paraId="64E697AA" w14:textId="77777777" w:rsidR="00CB0665" w:rsidRPr="00D472C7" w:rsidRDefault="00CB0665" w:rsidP="00D472C7">
      <w:pPr>
        <w:spacing w:after="0" w:line="240" w:lineRule="auto"/>
        <w:ind w:left="709" w:right="709"/>
        <w:contextualSpacing/>
        <w:jc w:val="both"/>
        <w:rPr>
          <w:rFonts w:ascii="Verdana" w:eastAsia="Times New Roman" w:hAnsi="Verdana" w:cs="Arial"/>
          <w:sz w:val="20"/>
          <w:szCs w:val="20"/>
          <w:lang w:val="es-MX" w:eastAsia="es-CO"/>
        </w:rPr>
      </w:pPr>
      <w:r w:rsidRPr="00D472C7">
        <w:rPr>
          <w:rFonts w:ascii="Verdana" w:eastAsia="Times New Roman" w:hAnsi="Verdana" w:cs="Arial"/>
          <w:sz w:val="20"/>
          <w:szCs w:val="20"/>
          <w:lang w:val="es-ES" w:eastAsia="es-CO"/>
        </w:rPr>
        <w:t xml:space="preserve">“[…] </w:t>
      </w:r>
      <w:r w:rsidRPr="00D472C7">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7D5537F6" w14:textId="77777777" w:rsidR="00CB0665" w:rsidRPr="00D472C7" w:rsidRDefault="00CB0665" w:rsidP="00D472C7">
      <w:pPr>
        <w:spacing w:after="0" w:line="240" w:lineRule="auto"/>
        <w:ind w:left="709" w:right="709"/>
        <w:contextualSpacing/>
        <w:jc w:val="both"/>
        <w:rPr>
          <w:rFonts w:ascii="Verdana" w:eastAsia="Times New Roman" w:hAnsi="Verdana" w:cs="Arial"/>
          <w:sz w:val="20"/>
          <w:szCs w:val="20"/>
          <w:lang w:val="es-MX" w:eastAsia="es-CO"/>
        </w:rPr>
      </w:pPr>
      <w:r w:rsidRPr="00D472C7">
        <w:rPr>
          <w:rFonts w:ascii="Verdana" w:eastAsia="Times New Roman" w:hAnsi="Verdana" w:cs="Arial"/>
          <w:sz w:val="20"/>
          <w:szCs w:val="20"/>
          <w:lang w:val="es-MX" w:eastAsia="es-CO"/>
        </w:rPr>
        <w:t xml:space="preserve">[…] </w:t>
      </w:r>
    </w:p>
    <w:p w14:paraId="4950C517" w14:textId="77777777" w:rsidR="00CB0665" w:rsidRPr="00D472C7" w:rsidRDefault="00CB0665" w:rsidP="00D472C7">
      <w:pPr>
        <w:spacing w:after="0" w:line="240" w:lineRule="auto"/>
        <w:ind w:left="709" w:right="709"/>
        <w:contextualSpacing/>
        <w:jc w:val="both"/>
        <w:rPr>
          <w:rFonts w:ascii="Verdana" w:eastAsia="Times New Roman" w:hAnsi="Verdana" w:cs="Arial"/>
          <w:sz w:val="20"/>
          <w:szCs w:val="20"/>
          <w:lang w:val="es-MX" w:eastAsia="es-CO"/>
        </w:rPr>
      </w:pPr>
      <w:r w:rsidRPr="00D472C7">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D472C7">
        <w:rPr>
          <w:rFonts w:ascii="Verdana" w:eastAsia="Calibri" w:hAnsi="Verdana" w:cs="Arial"/>
          <w:sz w:val="20"/>
          <w:szCs w:val="20"/>
          <w:vertAlign w:val="superscript"/>
          <w:lang w:val="es-MX"/>
        </w:rPr>
        <w:footnoteReference w:id="4"/>
      </w:r>
    </w:p>
    <w:p w14:paraId="3AA5CC69" w14:textId="77777777" w:rsidR="00CB0665" w:rsidRPr="00A77871" w:rsidRDefault="00CB0665" w:rsidP="00CB0665">
      <w:pPr>
        <w:spacing w:after="0" w:line="276" w:lineRule="auto"/>
        <w:ind w:firstLine="709"/>
        <w:jc w:val="both"/>
        <w:rPr>
          <w:rFonts w:ascii="Verdana" w:eastAsia="Times New Roman" w:hAnsi="Verdana" w:cs="Arial"/>
          <w:lang w:val="es-MX" w:eastAsia="es-CO"/>
        </w:rPr>
      </w:pPr>
      <w:bookmarkStart w:id="5" w:name="_Hlk78818186"/>
    </w:p>
    <w:p w14:paraId="059FB5CF" w14:textId="77777777" w:rsidR="00CB0665" w:rsidRPr="00A77871" w:rsidRDefault="00CB0665" w:rsidP="00CB0665">
      <w:pPr>
        <w:spacing w:after="0" w:line="276" w:lineRule="auto"/>
        <w:ind w:firstLine="709"/>
        <w:jc w:val="both"/>
        <w:rPr>
          <w:rFonts w:ascii="Verdana" w:eastAsia="Times New Roman" w:hAnsi="Verdana" w:cs="Arial"/>
          <w:lang w:val="es-MX" w:eastAsia="es-CO"/>
        </w:rPr>
      </w:pPr>
      <w:r w:rsidRPr="00A77871">
        <w:rPr>
          <w:rFonts w:ascii="Verdana" w:eastAsia="Times New Roman" w:hAnsi="Verdana" w:cs="Arial"/>
          <w:lang w:val="es-MX" w:eastAsia="es-CO"/>
        </w:rPr>
        <w:t xml:space="preserve">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w:t>
      </w:r>
      <w:bookmarkEnd w:id="5"/>
      <w:r w:rsidRPr="00A77871">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w:t>
      </w:r>
    </w:p>
    <w:p w14:paraId="5B0E7B9F" w14:textId="77777777" w:rsidR="00CB0665" w:rsidRPr="00A77871" w:rsidRDefault="00CB0665" w:rsidP="00CB0665">
      <w:pPr>
        <w:spacing w:after="0" w:line="276" w:lineRule="auto"/>
        <w:ind w:firstLine="709"/>
        <w:jc w:val="both"/>
        <w:rPr>
          <w:rFonts w:ascii="Verdana" w:eastAsia="Times New Roman" w:hAnsi="Verdana" w:cs="Arial"/>
          <w:lang w:val="es-MX" w:eastAsia="es-CO"/>
        </w:rPr>
      </w:pPr>
    </w:p>
    <w:p w14:paraId="55A97028" w14:textId="77777777" w:rsidR="00CB0665" w:rsidRPr="00D472C7" w:rsidRDefault="00CB0665" w:rsidP="00D472C7">
      <w:pPr>
        <w:spacing w:after="0" w:line="240" w:lineRule="auto"/>
        <w:ind w:left="709" w:right="709"/>
        <w:contextualSpacing/>
        <w:jc w:val="both"/>
        <w:rPr>
          <w:rFonts w:ascii="Verdana" w:eastAsia="Times New Roman" w:hAnsi="Verdana" w:cs="Arial"/>
          <w:sz w:val="20"/>
          <w:szCs w:val="20"/>
          <w:lang w:val="es-MX" w:eastAsia="es-CO"/>
        </w:rPr>
      </w:pPr>
      <w:r w:rsidRPr="00D472C7">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D472C7">
        <w:rPr>
          <w:rFonts w:ascii="Verdana" w:eastAsia="Times New Roman" w:hAnsi="Verdana" w:cs="Arial"/>
          <w:sz w:val="20"/>
          <w:szCs w:val="20"/>
          <w:lang w:val="es-MX" w:eastAsia="es-CO"/>
        </w:rPr>
        <w:t>legis</w:t>
      </w:r>
      <w:proofErr w:type="spellEnd"/>
      <w:r w:rsidRPr="00D472C7">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w:t>
      </w:r>
      <w:r w:rsidRPr="00D472C7">
        <w:rPr>
          <w:rFonts w:ascii="Verdana" w:eastAsia="Times New Roman" w:hAnsi="Verdana" w:cs="Arial"/>
          <w:sz w:val="20"/>
          <w:szCs w:val="20"/>
          <w:lang w:val="es-MX" w:eastAsia="es-CO"/>
        </w:rPr>
        <w:lastRenderedPageBreak/>
        <w:t>disponibles ni pueden ser derogadas, modificadas, ampliadas o adicionadas por acuerdo o convenio o acto unilateral.</w:t>
      </w:r>
    </w:p>
    <w:p w14:paraId="60408FDD" w14:textId="77777777" w:rsidR="00CB0665" w:rsidRPr="00D472C7" w:rsidRDefault="00CB0665" w:rsidP="00D472C7">
      <w:pPr>
        <w:spacing w:after="0" w:line="240" w:lineRule="auto"/>
        <w:ind w:right="709"/>
        <w:contextualSpacing/>
        <w:jc w:val="both"/>
        <w:rPr>
          <w:rFonts w:ascii="Verdana" w:eastAsia="Times New Roman" w:hAnsi="Verdana" w:cs="Arial"/>
          <w:sz w:val="20"/>
          <w:szCs w:val="20"/>
          <w:lang w:val="es-MX" w:eastAsia="es-CO"/>
        </w:rPr>
      </w:pPr>
    </w:p>
    <w:p w14:paraId="27DBE941" w14:textId="77777777" w:rsidR="00CB0665" w:rsidRPr="00D472C7" w:rsidRDefault="00CB0665" w:rsidP="00D472C7">
      <w:pPr>
        <w:spacing w:after="0" w:line="240" w:lineRule="auto"/>
        <w:ind w:left="709" w:right="709"/>
        <w:contextualSpacing/>
        <w:jc w:val="both"/>
        <w:rPr>
          <w:rFonts w:ascii="Verdana" w:eastAsia="Times New Roman" w:hAnsi="Verdana" w:cs="Arial"/>
          <w:sz w:val="20"/>
          <w:szCs w:val="20"/>
          <w:lang w:val="es-MX" w:eastAsia="es-CO"/>
        </w:rPr>
      </w:pPr>
      <w:r w:rsidRPr="00D472C7">
        <w:rPr>
          <w:rFonts w:ascii="Verdana" w:eastAsia="Times New Roman" w:hAnsi="Verdana" w:cs="Arial"/>
          <w:sz w:val="20"/>
          <w:szCs w:val="20"/>
          <w:lang w:val="es-MX" w:eastAsia="es-CO"/>
        </w:rPr>
        <w:t>La jurisprudencia de la Corte Constitucional</w:t>
      </w:r>
      <w:r w:rsidRPr="00D472C7">
        <w:rPr>
          <w:rFonts w:ascii="Verdana" w:eastAsia="Times New Roman" w:hAnsi="Verdana" w:cs="Arial"/>
          <w:sz w:val="20"/>
          <w:szCs w:val="20"/>
          <w:vertAlign w:val="superscript"/>
          <w:lang w:val="es-MX" w:eastAsia="es-CO"/>
        </w:rPr>
        <w:footnoteReference w:id="5"/>
      </w:r>
      <w:r w:rsidRPr="00D472C7">
        <w:rPr>
          <w:rFonts w:ascii="Verdana" w:eastAsia="Times New Roman" w:hAnsi="Verdana" w:cs="Arial"/>
          <w:sz w:val="20"/>
          <w:szCs w:val="20"/>
          <w:lang w:val="es-MX" w:eastAsia="es-CO"/>
        </w:rPr>
        <w:t> y del Consejo de Estado</w:t>
      </w:r>
      <w:r w:rsidRPr="00D472C7">
        <w:rPr>
          <w:rFonts w:ascii="Verdana" w:eastAsia="Times New Roman" w:hAnsi="Verdana" w:cs="Arial"/>
          <w:sz w:val="20"/>
          <w:szCs w:val="20"/>
          <w:vertAlign w:val="superscript"/>
          <w:lang w:val="es-MX" w:eastAsia="es-CO"/>
        </w:rPr>
        <w:footnoteReference w:id="6"/>
      </w:r>
      <w:r w:rsidRPr="00D472C7">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D472C7">
        <w:rPr>
          <w:rFonts w:ascii="Verdana" w:eastAsia="Times New Roman" w:hAnsi="Verdana" w:cs="Arial"/>
          <w:sz w:val="20"/>
          <w:szCs w:val="20"/>
          <w:vertAlign w:val="superscript"/>
          <w:lang w:val="es-MX" w:eastAsia="es-CO"/>
        </w:rPr>
        <w:footnoteReference w:id="7"/>
      </w:r>
      <w:r w:rsidRPr="00D472C7">
        <w:rPr>
          <w:rFonts w:ascii="Verdana" w:eastAsia="Times New Roman" w:hAnsi="Verdana" w:cs="Arial"/>
          <w:sz w:val="20"/>
          <w:szCs w:val="20"/>
          <w:lang w:val="es-MX" w:eastAsia="es-CO"/>
        </w:rPr>
        <w:t>.</w:t>
      </w:r>
    </w:p>
    <w:p w14:paraId="3A901F88" w14:textId="77777777" w:rsidR="00CB0665" w:rsidRPr="00A77871" w:rsidRDefault="00CB0665" w:rsidP="00CB0665">
      <w:pPr>
        <w:spacing w:after="0" w:line="276" w:lineRule="auto"/>
        <w:jc w:val="both"/>
        <w:rPr>
          <w:rFonts w:ascii="Verdana" w:eastAsia="Calibri" w:hAnsi="Verdana" w:cs="Arial"/>
          <w:bCs/>
          <w:lang w:val="es-ES_tradnl"/>
        </w:rPr>
      </w:pPr>
    </w:p>
    <w:p w14:paraId="461671BB" w14:textId="77777777" w:rsidR="00CB0665" w:rsidRPr="00A77871" w:rsidRDefault="00CB0665" w:rsidP="00CB0665">
      <w:pPr>
        <w:spacing w:line="276" w:lineRule="auto"/>
        <w:ind w:firstLine="709"/>
        <w:jc w:val="both"/>
        <w:rPr>
          <w:rFonts w:ascii="Verdana" w:eastAsia="Arial" w:hAnsi="Verdana" w:cs="Arial"/>
          <w:lang w:val="es-ES" w:eastAsia="es-ES" w:bidi="es-ES"/>
        </w:rPr>
      </w:pPr>
      <w:r w:rsidRPr="00A77871">
        <w:rPr>
          <w:rFonts w:ascii="Verdana" w:eastAsia="Times New Roman" w:hAnsi="Verdana" w:cs="Arial"/>
          <w:lang w:val="es-MX" w:eastAsia="es-CO"/>
        </w:rPr>
        <w:t>De</w:t>
      </w:r>
      <w:r w:rsidRPr="00A77871">
        <w:rPr>
          <w:rFonts w:ascii="Verdana" w:eastAsia="Arial" w:hAnsi="Verdana" w:cs="Arial"/>
          <w:lang w:val="es-ES" w:eastAsia="es-ES" w:bidi="es-ES"/>
        </w:rPr>
        <w:t xml:space="preserve"> conformidad con lo anterior, </w:t>
      </w:r>
      <w:bookmarkStart w:id="6" w:name="_Hlk77236098"/>
      <w:bookmarkStart w:id="7" w:name="_Hlk100679383"/>
      <w:r w:rsidRPr="00A77871">
        <w:rPr>
          <w:rFonts w:ascii="Verdana" w:eastAsia="Arial" w:hAnsi="Verdana" w:cs="Arial"/>
          <w:lang w:val="es-ES" w:eastAsia="es-ES" w:bidi="es-ES"/>
        </w:rPr>
        <w:t xml:space="preserve">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6615FE27" w14:textId="77777777" w:rsidR="00CB0665" w:rsidRPr="00A77871" w:rsidRDefault="00CB0665" w:rsidP="00CB0665">
      <w:pPr>
        <w:spacing w:line="276" w:lineRule="auto"/>
        <w:ind w:firstLine="709"/>
        <w:jc w:val="both"/>
        <w:rPr>
          <w:rFonts w:ascii="Verdana" w:eastAsia="Arial" w:hAnsi="Verdana" w:cs="Arial"/>
          <w:lang w:val="es-ES" w:eastAsia="es-ES" w:bidi="es-ES"/>
        </w:rPr>
      </w:pPr>
      <w:r w:rsidRPr="00A77871">
        <w:rPr>
          <w:rFonts w:ascii="Verdana" w:eastAsia="Arial" w:hAnsi="Verdana" w:cs="Arial"/>
          <w:lang w:val="es-ES" w:eastAsia="es-ES" w:bidi="es-ES"/>
        </w:rPr>
        <w:t>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6"/>
    </w:p>
    <w:p w14:paraId="74C41B98" w14:textId="06D8CCB8" w:rsidR="00CB0665" w:rsidRPr="00A77871" w:rsidRDefault="00972278" w:rsidP="00CB0665">
      <w:pPr>
        <w:spacing w:line="276" w:lineRule="auto"/>
        <w:ind w:firstLine="709"/>
        <w:jc w:val="both"/>
        <w:rPr>
          <w:rFonts w:ascii="Verdana" w:eastAsia="Calibri" w:hAnsi="Verdana" w:cs="Arial"/>
        </w:rPr>
      </w:pPr>
      <w:r>
        <w:rPr>
          <w:rFonts w:ascii="Verdana" w:eastAsia="Calibri" w:hAnsi="Verdana" w:cs="Arial"/>
        </w:rPr>
        <w:t>De una parte</w:t>
      </w:r>
      <w:r w:rsidR="00CB0665" w:rsidRPr="00A77871">
        <w:rPr>
          <w:rFonts w:ascii="Verdana" w:eastAsia="Calibri" w:hAnsi="Verdana" w:cs="Arial"/>
        </w:rPr>
        <w:t xml:space="preserve">, el </w:t>
      </w:r>
      <w:r w:rsidR="00CB0665" w:rsidRPr="00A77871">
        <w:rPr>
          <w:rFonts w:ascii="Verdana" w:eastAsia="Calibri" w:hAnsi="Verdana" w:cs="Arial"/>
          <w:i/>
          <w:iCs/>
        </w:rPr>
        <w:t>artículo 33 de la Ley 996 de 2005</w:t>
      </w:r>
      <w:r w:rsidR="00CB0665" w:rsidRPr="00A77871">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w:t>
      </w:r>
      <w:r w:rsidR="00CB0665" w:rsidRPr="00A77871">
        <w:rPr>
          <w:rFonts w:ascii="Verdana" w:eastAsia="Calibri" w:hAnsi="Verdana" w:cs="Arial"/>
        </w:rPr>
        <w:lastRenderedPageBreak/>
        <w:t>energética y de comunicaciones, en caso de que hayan sido objeto de atentados, acciones terroristas, desastres naturales o casos de fuerza mayor, y los que deban realizar las entidades sanitarias y hospitalarias”</w:t>
      </w:r>
      <w:r w:rsidR="00CB0665" w:rsidRPr="00A77871">
        <w:rPr>
          <w:rFonts w:ascii="Verdana" w:eastAsia="Calibri" w:hAnsi="Verdana" w:cs="Arial"/>
          <w:vertAlign w:val="superscript"/>
        </w:rPr>
        <w:footnoteReference w:id="8"/>
      </w:r>
      <w:r w:rsidR="00CB0665" w:rsidRPr="00A77871">
        <w:rPr>
          <w:rFonts w:ascii="Verdana" w:eastAsia="Calibri" w:hAnsi="Verdana" w:cs="Arial"/>
        </w:rPr>
        <w:t>.</w:t>
      </w:r>
    </w:p>
    <w:p w14:paraId="226398F9" w14:textId="77777777" w:rsidR="00CB0665" w:rsidRPr="00A77871" w:rsidRDefault="00CB0665" w:rsidP="00CB0665">
      <w:pPr>
        <w:widowControl w:val="0"/>
        <w:autoSpaceDE w:val="0"/>
        <w:autoSpaceDN w:val="0"/>
        <w:spacing w:after="120" w:line="276" w:lineRule="auto"/>
        <w:ind w:right="113" w:firstLine="709"/>
        <w:jc w:val="both"/>
        <w:rPr>
          <w:rFonts w:ascii="Verdana" w:eastAsia="Arial" w:hAnsi="Verdana" w:cs="Arial"/>
          <w:lang w:val="es-ES" w:eastAsia="es-ES" w:bidi="es-ES"/>
        </w:rPr>
      </w:pPr>
      <w:r w:rsidRPr="00A77871">
        <w:rPr>
          <w:rFonts w:ascii="Verdana" w:eastAsia="Calibri" w:hAnsi="Verdana" w:cs="Arial"/>
        </w:rPr>
        <w:t xml:space="preserve">Por otro lado, </w:t>
      </w:r>
      <w:r w:rsidRPr="00A77871">
        <w:rPr>
          <w:rFonts w:ascii="Verdana" w:eastAsia="Calibri" w:hAnsi="Verdana" w:cs="Arial"/>
          <w:i/>
          <w:iCs/>
        </w:rPr>
        <w:t>el parágrafo del artículo 38 de la Ley 996 de 2005</w:t>
      </w:r>
      <w:r w:rsidRPr="00A77871">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A77871">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A77871">
        <w:rPr>
          <w:rFonts w:ascii="Verdana" w:eastAsia="Calibri" w:hAnsi="Verdana" w:cs="Arial"/>
        </w:rPr>
        <w:t>”</w:t>
      </w:r>
      <w:bookmarkEnd w:id="7"/>
      <w:r w:rsidRPr="00A77871">
        <w:rPr>
          <w:rFonts w:ascii="Verdana" w:eastAsia="Calibri" w:hAnsi="Verdana" w:cs="Arial"/>
          <w:vertAlign w:val="superscript"/>
        </w:rPr>
        <w:footnoteReference w:id="9"/>
      </w:r>
      <w:r w:rsidRPr="00A77871">
        <w:rPr>
          <w:rFonts w:ascii="Verdana" w:eastAsia="Calibri" w:hAnsi="Verdana" w:cs="Arial"/>
          <w:lang w:val="es-MX"/>
        </w:rPr>
        <w:t>.</w:t>
      </w:r>
      <w:r w:rsidRPr="00A77871">
        <w:rPr>
          <w:rFonts w:ascii="Verdana" w:eastAsia="Arial" w:hAnsi="Verdana" w:cs="Arial"/>
          <w:lang w:val="es-ES" w:eastAsia="es-ES" w:bidi="es-ES"/>
        </w:rPr>
        <w:t xml:space="preserve"> </w:t>
      </w:r>
    </w:p>
    <w:p w14:paraId="61F03A95" w14:textId="77777777" w:rsidR="00CB0665" w:rsidRPr="00A77871" w:rsidRDefault="00CB0665" w:rsidP="00CB0665">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A77871">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580453D3" w14:textId="77777777" w:rsidR="00CB0665" w:rsidRPr="00A77871" w:rsidRDefault="00CB0665" w:rsidP="00CB0665">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39109C7F" w14:textId="77777777" w:rsidR="00CB0665" w:rsidRPr="00D472C7" w:rsidRDefault="00CB0665" w:rsidP="00D472C7">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D472C7">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w:t>
      </w:r>
      <w:r w:rsidRPr="00D472C7">
        <w:rPr>
          <w:rFonts w:ascii="Verdana" w:eastAsia="Arial" w:hAnsi="Verdana" w:cs="Arial"/>
          <w:sz w:val="20"/>
          <w:szCs w:val="20"/>
          <w:lang w:eastAsia="es-ES" w:bidi="es-ES"/>
        </w:rPr>
        <w:lastRenderedPageBreak/>
        <w:t>autoridades territoriales allí mencionadas sólo se aplican las restricciones contenidas en el parágrafo del artículo 38”.</w:t>
      </w:r>
      <w:r w:rsidRPr="00D472C7">
        <w:rPr>
          <w:rFonts w:ascii="Verdana" w:eastAsia="Arial" w:hAnsi="Verdana" w:cs="Arial"/>
          <w:sz w:val="20"/>
          <w:szCs w:val="20"/>
          <w:vertAlign w:val="superscript"/>
          <w:lang w:eastAsia="es-ES" w:bidi="es-ES"/>
        </w:rPr>
        <w:footnoteReference w:id="10"/>
      </w:r>
    </w:p>
    <w:p w14:paraId="4D507B9E" w14:textId="77777777" w:rsidR="00CB0665" w:rsidRPr="00A77871" w:rsidRDefault="00CB0665" w:rsidP="00CB0665">
      <w:pPr>
        <w:widowControl w:val="0"/>
        <w:autoSpaceDE w:val="0"/>
        <w:autoSpaceDN w:val="0"/>
        <w:spacing w:after="0" w:line="276" w:lineRule="auto"/>
        <w:contextualSpacing/>
        <w:rPr>
          <w:rFonts w:ascii="Verdana" w:eastAsia="Arial" w:hAnsi="Verdana" w:cs="Arial"/>
          <w:lang w:val="es-ES" w:eastAsia="es-ES" w:bidi="es-ES"/>
        </w:rPr>
      </w:pPr>
    </w:p>
    <w:p w14:paraId="23A3412E" w14:textId="77777777" w:rsidR="00CB0665" w:rsidRPr="00A77871" w:rsidRDefault="00CB0665" w:rsidP="00CB0665">
      <w:pPr>
        <w:spacing w:after="120" w:line="276" w:lineRule="auto"/>
        <w:ind w:firstLine="709"/>
        <w:jc w:val="both"/>
        <w:rPr>
          <w:rFonts w:ascii="Verdana" w:eastAsia="Arial" w:hAnsi="Verdana" w:cs="Arial"/>
          <w:lang w:val="es-ES" w:eastAsia="es-ES" w:bidi="es-ES"/>
        </w:rPr>
      </w:pPr>
      <w:r w:rsidRPr="00A77871">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A77871">
        <w:rPr>
          <w:rFonts w:ascii="Verdana" w:eastAsia="Arial" w:hAnsi="Verdana" w:cs="Arial"/>
          <w:i/>
          <w:iCs/>
          <w:lang w:val="es-ES" w:eastAsia="es-ES" w:bidi="es-ES"/>
        </w:rPr>
        <w:t>En primer lugar</w:t>
      </w:r>
      <w:r w:rsidRPr="00A77871">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A77871">
        <w:rPr>
          <w:rFonts w:ascii="Verdana" w:eastAsia="Arial" w:hAnsi="Verdana" w:cs="Arial"/>
          <w:i/>
          <w:iCs/>
          <w:lang w:val="es-ES" w:eastAsia="es-ES" w:bidi="es-ES"/>
        </w:rPr>
        <w:t>En segundo lugar</w:t>
      </w:r>
      <w:r w:rsidRPr="00A77871">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490840F3" w14:textId="77777777" w:rsidR="00CB0665" w:rsidRPr="00A77871" w:rsidRDefault="00CB0665" w:rsidP="00CB0665">
      <w:pPr>
        <w:spacing w:after="120" w:line="276" w:lineRule="auto"/>
        <w:ind w:firstLine="709"/>
        <w:jc w:val="both"/>
        <w:rPr>
          <w:rFonts w:ascii="Verdana" w:eastAsia="Arial" w:hAnsi="Verdana" w:cs="Arial"/>
          <w:lang w:val="es-ES" w:eastAsia="es-ES" w:bidi="es-ES"/>
        </w:rPr>
      </w:pPr>
      <w:r w:rsidRPr="00A77871">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p w14:paraId="5CB08FCE" w14:textId="77777777" w:rsidR="00CB0665" w:rsidRPr="00A77871" w:rsidRDefault="00CB0665" w:rsidP="00CB0665">
      <w:pPr>
        <w:spacing w:after="120" w:line="276" w:lineRule="auto"/>
        <w:ind w:firstLine="709"/>
        <w:jc w:val="both"/>
        <w:rPr>
          <w:rFonts w:ascii="Verdana" w:eastAsia="Arial" w:hAnsi="Verdana" w:cs="Arial"/>
          <w:lang w:val="es-ES" w:eastAsia="es-ES" w:bidi="es-ES"/>
        </w:rPr>
      </w:pPr>
      <w:r w:rsidRPr="00A77871">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w:t>
      </w:r>
      <w:r w:rsidRPr="00A77871">
        <w:rPr>
          <w:rFonts w:ascii="Verdana" w:eastAsia="Arial" w:hAnsi="Verdana" w:cs="Arial"/>
          <w:lang w:val="es-ES" w:eastAsia="es-ES" w:bidi="es-ES"/>
        </w:rPr>
        <w:lastRenderedPageBreak/>
        <w:t>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w:t>
      </w:r>
    </w:p>
    <w:p w14:paraId="7C89B064" w14:textId="77777777" w:rsidR="00CB0665" w:rsidRPr="00A77871" w:rsidRDefault="00CB0665" w:rsidP="00CB0665">
      <w:pPr>
        <w:widowControl w:val="0"/>
        <w:spacing w:after="120" w:line="276" w:lineRule="auto"/>
        <w:ind w:right="113" w:firstLine="709"/>
        <w:jc w:val="both"/>
        <w:rPr>
          <w:rFonts w:ascii="Verdana" w:eastAsia="Times New Roman" w:hAnsi="Verdana" w:cs="Arial"/>
          <w:bCs/>
          <w:lang w:eastAsia="es-CO"/>
        </w:rPr>
      </w:pPr>
      <w:r w:rsidRPr="00A77871">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 “</w:t>
      </w:r>
      <w:r w:rsidRPr="00A77871">
        <w:rPr>
          <w:rFonts w:ascii="Verdana" w:eastAsia="Times New Roman" w:hAnsi="Verdana" w:cs="Arial"/>
          <w:bCs/>
          <w:lang w:eastAsia="es-CO"/>
        </w:rPr>
        <w:t>1. </w:t>
      </w:r>
      <w:r w:rsidRPr="00A77871">
        <w:rPr>
          <w:rFonts w:ascii="Verdana" w:eastAsia="Times New Roman" w:hAnsi="Verdana" w:cs="Arial"/>
          <w:bCs/>
          <w:i/>
          <w:iCs/>
          <w:lang w:eastAsia="es-CO"/>
        </w:rPr>
        <w:t>Gral.</w:t>
      </w:r>
      <w:r w:rsidRPr="00A77871">
        <w:rPr>
          <w:rFonts w:ascii="Verdana" w:eastAsia="Times New Roman" w:hAnsi="Verdana" w:cs="Arial"/>
          <w:bCs/>
          <w:lang w:eastAsia="es-CO"/>
        </w:rPr>
        <w:t xml:space="preserve"> Otorgar o firmar un contrato. 2. </w:t>
      </w:r>
      <w:proofErr w:type="spellStart"/>
      <w:r w:rsidRPr="00A77871">
        <w:rPr>
          <w:rFonts w:ascii="Verdana" w:eastAsia="Times New Roman" w:hAnsi="Verdana" w:cs="Arial"/>
          <w:bCs/>
          <w:i/>
          <w:iCs/>
          <w:lang w:eastAsia="es-CO"/>
        </w:rPr>
        <w:t>Proc</w:t>
      </w:r>
      <w:proofErr w:type="spellEnd"/>
      <w:r w:rsidRPr="00A77871">
        <w:rPr>
          <w:rFonts w:ascii="Verdana" w:eastAsia="Times New Roman" w:hAnsi="Verdana" w:cs="Arial"/>
          <w:bCs/>
          <w:i/>
          <w:iCs/>
          <w:lang w:eastAsia="es-CO"/>
        </w:rPr>
        <w:t>.</w:t>
      </w:r>
      <w:r w:rsidRPr="00A77871">
        <w:rPr>
          <w:rFonts w:ascii="Verdana" w:eastAsia="Times New Roman" w:hAnsi="Verdana" w:cs="Arial"/>
          <w:bCs/>
          <w:lang w:eastAsia="es-CO"/>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4940F55F" w14:textId="77777777" w:rsidR="00CB0665" w:rsidRPr="00A77871" w:rsidRDefault="00CB0665" w:rsidP="00CB0665">
      <w:pPr>
        <w:spacing w:after="120" w:line="276" w:lineRule="auto"/>
        <w:ind w:firstLine="708"/>
        <w:jc w:val="both"/>
        <w:rPr>
          <w:rFonts w:ascii="Verdana" w:eastAsia="Times New Roman" w:hAnsi="Verdana" w:cs="Arial"/>
          <w:bCs/>
          <w:lang w:val="es-ES" w:eastAsia="es-CO"/>
        </w:rPr>
      </w:pPr>
      <w:r w:rsidRPr="00A77871">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A77871">
        <w:rPr>
          <w:rFonts w:ascii="Verdana" w:eastAsia="Times New Roman" w:hAnsi="Verdana" w:cs="Arial"/>
          <w:bCs/>
          <w:lang w:val="es-ES" w:eastAsia="es-CO"/>
        </w:rPr>
        <w:t xml:space="preserve">la existencia de los contratos estatales, es decir, la producción de efectos jurídicos en los términos del artículo 1501 </w:t>
      </w:r>
      <w:proofErr w:type="spellStart"/>
      <w:r w:rsidRPr="00A77871">
        <w:rPr>
          <w:rFonts w:ascii="Verdana" w:eastAsia="Times New Roman" w:hAnsi="Verdana" w:cs="Arial"/>
          <w:bCs/>
          <w:i/>
          <w:lang w:val="es-ES" w:eastAsia="es-CO"/>
        </w:rPr>
        <w:t>ibídem</w:t>
      </w:r>
      <w:proofErr w:type="spellEnd"/>
      <w:r w:rsidRPr="00A77871">
        <w:rPr>
          <w:rFonts w:ascii="Verdana" w:eastAsia="Times New Roman" w:hAnsi="Verdana" w:cs="Arial"/>
          <w:bCs/>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5C121FE4" w14:textId="77777777" w:rsidR="00CB0665" w:rsidRPr="00A77871" w:rsidRDefault="00CB0665" w:rsidP="00CB0665">
      <w:pPr>
        <w:spacing w:after="120" w:line="276" w:lineRule="auto"/>
        <w:ind w:firstLine="708"/>
        <w:jc w:val="both"/>
        <w:rPr>
          <w:rFonts w:ascii="Verdana" w:eastAsia="Times New Roman" w:hAnsi="Verdana" w:cs="Arial"/>
          <w:bCs/>
          <w:lang w:val="es-ES" w:eastAsia="es-CO"/>
        </w:rPr>
      </w:pPr>
      <w:r w:rsidRPr="00A77871">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3E5E5AA0" w14:textId="77777777" w:rsidR="00CB0665" w:rsidRPr="00A77871" w:rsidRDefault="00CB0665" w:rsidP="00CB0665">
      <w:pPr>
        <w:spacing w:after="0" w:line="276" w:lineRule="auto"/>
        <w:ind w:firstLine="708"/>
        <w:jc w:val="both"/>
        <w:rPr>
          <w:rFonts w:ascii="Verdana" w:eastAsia="Times New Roman" w:hAnsi="Verdana" w:cs="Arial"/>
          <w:bCs/>
          <w:lang w:val="es-ES" w:eastAsia="es-CO"/>
        </w:rPr>
      </w:pPr>
      <w:r w:rsidRPr="00A77871">
        <w:rPr>
          <w:rFonts w:ascii="Verdana" w:eastAsia="Times New Roman" w:hAnsi="Verdana" w:cs="Arial"/>
          <w:bCs/>
          <w:lang w:val="es-ES" w:eastAsia="es-CO"/>
        </w:rPr>
        <w:t xml:space="preserve">Así mismo, </w:t>
      </w:r>
      <w:r w:rsidRPr="00A77871">
        <w:rPr>
          <w:rFonts w:ascii="Verdana" w:eastAsia="Times New Roman" w:hAnsi="Verdana" w:cs="Arial"/>
          <w:bCs/>
          <w:lang w:val="es-MX" w:eastAsia="es-CO"/>
        </w:rPr>
        <w:t xml:space="preserve">como en otras oportunidades lo ha manifestado esta Agencia, las prórrogas, modificaciones o adiciones de los contratos suscritos antes de la </w:t>
      </w:r>
      <w:proofErr w:type="gramStart"/>
      <w:r w:rsidRPr="00A77871">
        <w:rPr>
          <w:rFonts w:ascii="Verdana" w:eastAsia="Times New Roman" w:hAnsi="Verdana" w:cs="Arial"/>
          <w:bCs/>
          <w:lang w:val="es-MX" w:eastAsia="es-CO"/>
        </w:rPr>
        <w:lastRenderedPageBreak/>
        <w:t>entrada en vigencia</w:t>
      </w:r>
      <w:proofErr w:type="gramEnd"/>
      <w:r w:rsidRPr="00A77871">
        <w:rPr>
          <w:rFonts w:ascii="Verdana" w:eastAsia="Times New Roman" w:hAnsi="Verdana" w:cs="Arial"/>
          <w:bCs/>
          <w:lang w:val="es-MX" w:eastAsia="es-CO"/>
        </w:rPr>
        <w:t xml:space="preserve"> de las prohibiciones anotadas, así como la cesión de </w:t>
      </w:r>
      <w:proofErr w:type="gramStart"/>
      <w:r w:rsidRPr="00A77871">
        <w:rPr>
          <w:rFonts w:ascii="Verdana" w:eastAsia="Times New Roman" w:hAnsi="Verdana" w:cs="Arial"/>
          <w:bCs/>
          <w:lang w:val="es-MX" w:eastAsia="es-CO"/>
        </w:rPr>
        <w:t>los mismos</w:t>
      </w:r>
      <w:proofErr w:type="gramEnd"/>
      <w:r w:rsidRPr="00A77871">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A77871">
        <w:rPr>
          <w:rFonts w:ascii="Verdana" w:eastAsia="Times New Roman" w:hAnsi="Verdana" w:cs="Arial"/>
          <w:bCs/>
          <w:vertAlign w:val="superscript"/>
          <w:lang w:val="es-MX" w:eastAsia="es-CO"/>
        </w:rPr>
        <w:footnoteReference w:id="11"/>
      </w:r>
      <w:r w:rsidRPr="00A77871">
        <w:rPr>
          <w:rFonts w:ascii="Verdana" w:eastAsia="Times New Roman" w:hAnsi="Verdana" w:cs="Arial"/>
          <w:bCs/>
          <w:lang w:val="es-MX" w:eastAsia="es-CO"/>
        </w:rPr>
        <w:t xml:space="preserve">. </w:t>
      </w:r>
    </w:p>
    <w:p w14:paraId="44C77C13" w14:textId="77777777" w:rsidR="00CB0665" w:rsidRPr="00A77871" w:rsidRDefault="00CB0665" w:rsidP="00CB0665">
      <w:pPr>
        <w:widowControl w:val="0"/>
        <w:autoSpaceDE w:val="0"/>
        <w:autoSpaceDN w:val="0"/>
        <w:spacing w:after="0" w:line="276" w:lineRule="auto"/>
        <w:ind w:right="113"/>
        <w:contextualSpacing/>
        <w:jc w:val="both"/>
        <w:rPr>
          <w:rFonts w:ascii="Verdana" w:eastAsia="Arial" w:hAnsi="Verdana" w:cs="Arial"/>
          <w:lang w:val="es-ES" w:eastAsia="es-ES" w:bidi="es-ES"/>
        </w:rPr>
      </w:pPr>
    </w:p>
    <w:p w14:paraId="33EFB779" w14:textId="77777777" w:rsidR="00CB0665" w:rsidRPr="00A77871" w:rsidRDefault="00CB0665" w:rsidP="0029279E">
      <w:pPr>
        <w:spacing w:after="0" w:line="276" w:lineRule="auto"/>
        <w:ind w:firstLine="709"/>
        <w:jc w:val="both"/>
        <w:rPr>
          <w:rFonts w:ascii="Verdana" w:eastAsia="Times New Roman" w:hAnsi="Verdana" w:cs="Arial"/>
          <w:i/>
          <w:lang w:val="es-MX" w:eastAsia="es-CO" w:bidi="es-ES"/>
        </w:rPr>
      </w:pPr>
      <w:r w:rsidRPr="00A77871">
        <w:rPr>
          <w:rFonts w:ascii="Verdana" w:eastAsia="Arial" w:hAnsi="Verdana" w:cs="Arial"/>
          <w:lang w:val="es-ES" w:eastAsia="es-ES" w:bidi="es-ES"/>
        </w:rPr>
        <w:t xml:space="preserve">Ahora bien, </w:t>
      </w:r>
      <w:r w:rsidRPr="00A77871">
        <w:rPr>
          <w:rFonts w:ascii="Verdana" w:eastAsia="Calibri" w:hAnsi="Verdana" w:cs="Arial"/>
          <w:lang w:eastAsia="es-ES" w:bidi="es-ES"/>
        </w:rPr>
        <w:t xml:space="preserve">para responder al problema jurídico planteado resulta necesario precisar el alcance de la prohibición </w:t>
      </w:r>
      <w:r w:rsidRPr="00A77871">
        <w:rPr>
          <w:rFonts w:ascii="Verdana" w:eastAsia="Arial" w:hAnsi="Verdana" w:cs="Arial"/>
          <w:lang w:val="es-ES" w:eastAsia="es-ES" w:bidi="es-ES"/>
        </w:rPr>
        <w:t>establecida en e</w:t>
      </w:r>
      <w:r w:rsidRPr="00A77871">
        <w:rPr>
          <w:rFonts w:ascii="Verdana" w:eastAsia="Calibri" w:hAnsi="Verdana" w:cs="Arial"/>
        </w:rPr>
        <w:t xml:space="preserve">l </w:t>
      </w:r>
      <w:r w:rsidRPr="00A77871">
        <w:rPr>
          <w:rFonts w:ascii="Verdana" w:eastAsia="Times New Roman" w:hAnsi="Verdana" w:cs="Arial"/>
          <w:lang w:val="es-MX"/>
        </w:rPr>
        <w:t>artículo 33 de la Ley 996 de 2005.</w:t>
      </w:r>
      <w:bookmarkStart w:id="10" w:name="_Hlk78820161"/>
      <w:r w:rsidRPr="00A77871">
        <w:rPr>
          <w:rFonts w:ascii="Verdana" w:eastAsia="Times New Roman" w:hAnsi="Verdana" w:cs="Arial"/>
          <w:lang w:val="es-MX"/>
        </w:rPr>
        <w:t xml:space="preserve"> El ámbito material de la prohibición contenida en esta disposición está delimitado por la expresión </w:t>
      </w:r>
      <w:r w:rsidRPr="00A77871">
        <w:rPr>
          <w:rFonts w:ascii="Verdana" w:eastAsia="Calibri" w:hAnsi="Verdana" w:cs="Arial"/>
          <w:lang w:val="es-MX"/>
        </w:rPr>
        <w:t>“</w:t>
      </w:r>
      <w:r w:rsidRPr="00A77871">
        <w:rPr>
          <w:rFonts w:ascii="Verdana" w:eastAsia="Times New Roman" w:hAnsi="Verdana" w:cs="Arial"/>
          <w:lang w:val="es-MX"/>
        </w:rPr>
        <w:t>queda prohibida la contratación directa</w:t>
      </w:r>
      <w:r w:rsidRPr="00A77871">
        <w:rPr>
          <w:rFonts w:ascii="Verdana" w:eastAsia="Calibri" w:hAnsi="Verdana" w:cs="Arial"/>
          <w:lang w:val="es-MX"/>
        </w:rPr>
        <w:t>”</w:t>
      </w:r>
      <w:r w:rsidRPr="00A77871">
        <w:rPr>
          <w:rFonts w:ascii="Verdana" w:eastAsia="Times New Roman" w:hAnsi="Verdana" w:cs="Arial"/>
          <w:lang w:val="es-MX"/>
        </w:rPr>
        <w:t xml:space="preserve">. </w:t>
      </w:r>
      <w:r w:rsidRPr="00A77871">
        <w:rPr>
          <w:rFonts w:ascii="Verdana" w:eastAsia="Times New Roman" w:hAnsi="Verdana" w:cs="Arial"/>
          <w:lang w:val="es-MX" w:eastAsia="es-CO"/>
        </w:rPr>
        <w:t xml:space="preserve">A propósito de </w:t>
      </w:r>
      <w:r w:rsidRPr="00A77871">
        <w:rPr>
          <w:rFonts w:ascii="Verdana" w:eastAsia="Times New Roman" w:hAnsi="Verdana" w:cs="Arial"/>
          <w:lang w:eastAsia="es-CO"/>
        </w:rPr>
        <w:t>esta restricción de la Ley de Garantías Electorales, la Sala de Consulta y Servicio Civil del Consejo de Estado ha considerado que:</w:t>
      </w:r>
    </w:p>
    <w:p w14:paraId="0E5E7D3E" w14:textId="77777777" w:rsidR="00CB0665" w:rsidRPr="00A77871" w:rsidRDefault="00CB0665" w:rsidP="00CB0665">
      <w:pPr>
        <w:spacing w:after="0" w:line="276" w:lineRule="auto"/>
        <w:ind w:left="708" w:right="709"/>
        <w:jc w:val="both"/>
        <w:rPr>
          <w:rFonts w:ascii="Verdana" w:eastAsia="Calibri" w:hAnsi="Verdana" w:cs="Arial"/>
          <w:lang w:val="es-MX"/>
        </w:rPr>
      </w:pPr>
    </w:p>
    <w:p w14:paraId="59F776A8" w14:textId="77777777" w:rsidR="00CB0665" w:rsidRPr="00B923DC" w:rsidRDefault="00CB0665" w:rsidP="0029279E">
      <w:pPr>
        <w:spacing w:after="0" w:line="240" w:lineRule="auto"/>
        <w:ind w:left="709" w:right="709"/>
        <w:jc w:val="both"/>
        <w:rPr>
          <w:rFonts w:ascii="Verdana" w:eastAsia="Calibri" w:hAnsi="Verdana" w:cs="Arial"/>
          <w:sz w:val="20"/>
          <w:szCs w:val="20"/>
          <w:lang w:val="es-MX"/>
        </w:rPr>
      </w:pPr>
      <w:r w:rsidRPr="00B923DC">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B923DC">
        <w:rPr>
          <w:rFonts w:ascii="Verdana" w:eastAsia="Times New Roman" w:hAnsi="Verdana" w:cs="Arial"/>
          <w:sz w:val="20"/>
          <w:szCs w:val="20"/>
          <w:vertAlign w:val="superscript"/>
          <w:lang w:eastAsia="es-CO"/>
        </w:rPr>
        <w:footnoteReference w:id="12"/>
      </w:r>
      <w:r w:rsidRPr="00B923DC">
        <w:rPr>
          <w:rFonts w:ascii="Verdana" w:eastAsia="Calibri" w:hAnsi="Verdana" w:cs="Arial"/>
          <w:sz w:val="20"/>
          <w:szCs w:val="20"/>
          <w:lang w:val="es-MX"/>
        </w:rPr>
        <w:t>.</w:t>
      </w:r>
    </w:p>
    <w:p w14:paraId="059001A6" w14:textId="77777777" w:rsidR="00CB0665" w:rsidRPr="00B923DC" w:rsidRDefault="00CB0665" w:rsidP="0029279E">
      <w:pPr>
        <w:spacing w:after="0" w:line="240" w:lineRule="auto"/>
        <w:ind w:left="709" w:right="709"/>
        <w:jc w:val="both"/>
        <w:rPr>
          <w:rFonts w:ascii="Verdana" w:eastAsia="Calibri" w:hAnsi="Verdana" w:cs="Arial"/>
          <w:sz w:val="20"/>
          <w:szCs w:val="20"/>
          <w:lang w:val="es-MX"/>
        </w:rPr>
      </w:pPr>
    </w:p>
    <w:p w14:paraId="009BDF07" w14:textId="77777777" w:rsidR="00CB0665" w:rsidRPr="00B923DC" w:rsidRDefault="00CB0665" w:rsidP="0029279E">
      <w:pPr>
        <w:spacing w:after="0" w:line="240" w:lineRule="auto"/>
        <w:ind w:left="709" w:right="709"/>
        <w:jc w:val="both"/>
        <w:rPr>
          <w:rFonts w:ascii="Verdana" w:eastAsia="Calibri" w:hAnsi="Verdana" w:cs="Arial"/>
          <w:sz w:val="20"/>
          <w:szCs w:val="20"/>
          <w:lang w:val="es-MX"/>
        </w:rPr>
      </w:pPr>
      <w:r w:rsidRPr="00B923DC">
        <w:rPr>
          <w:rFonts w:ascii="Verdana" w:eastAsia="Calibri" w:hAnsi="Verdana" w:cs="Arial"/>
          <w:sz w:val="20"/>
          <w:szCs w:val="20"/>
          <w:lang w:val="es-MX"/>
        </w:rPr>
        <w:t xml:space="preserve">Esta Sala ha entendido </w:t>
      </w:r>
      <w:proofErr w:type="gramStart"/>
      <w:r w:rsidRPr="00B923DC">
        <w:rPr>
          <w:rFonts w:ascii="Verdana" w:eastAsia="Calibri" w:hAnsi="Verdana" w:cs="Arial"/>
          <w:sz w:val="20"/>
          <w:szCs w:val="20"/>
          <w:lang w:val="es-MX"/>
        </w:rPr>
        <w:t>que</w:t>
      </w:r>
      <w:proofErr w:type="gramEnd"/>
      <w:r w:rsidRPr="00B923DC">
        <w:rPr>
          <w:rFonts w:ascii="Verdana" w:eastAsia="Calibri" w:hAnsi="Verdana" w:cs="Arial"/>
          <w:sz w:val="20"/>
          <w:szCs w:val="20"/>
          <w:lang w:val="es-MX"/>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B923DC">
        <w:rPr>
          <w:rFonts w:ascii="Verdana" w:eastAsia="Times New Roman" w:hAnsi="Verdana" w:cs="Arial"/>
          <w:sz w:val="20"/>
          <w:szCs w:val="20"/>
          <w:vertAlign w:val="superscript"/>
          <w:lang w:val="es-MX"/>
        </w:rPr>
        <w:footnoteReference w:id="13"/>
      </w:r>
      <w:r w:rsidRPr="00B923DC">
        <w:rPr>
          <w:rFonts w:ascii="Verdana" w:eastAsia="Times New Roman" w:hAnsi="Verdana" w:cs="Arial"/>
          <w:sz w:val="20"/>
          <w:szCs w:val="20"/>
          <w:vertAlign w:val="superscript"/>
          <w:lang w:val="es-MX"/>
        </w:rPr>
        <w:t>.</w:t>
      </w:r>
      <w:r w:rsidRPr="00B923DC">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B923DC">
        <w:rPr>
          <w:rFonts w:ascii="Verdana" w:eastAsia="Times New Roman" w:hAnsi="Verdana" w:cs="Arial"/>
          <w:sz w:val="20"/>
          <w:szCs w:val="20"/>
          <w:vertAlign w:val="superscript"/>
          <w:lang w:eastAsia="es-CO"/>
        </w:rPr>
        <w:footnoteReference w:id="14"/>
      </w:r>
      <w:r w:rsidRPr="00B923DC">
        <w:rPr>
          <w:rFonts w:ascii="Verdana" w:eastAsia="Calibri" w:hAnsi="Verdana" w:cs="Arial"/>
          <w:sz w:val="20"/>
          <w:szCs w:val="20"/>
          <w:lang w:val="es-MX"/>
        </w:rPr>
        <w:t xml:space="preserve"> .</w:t>
      </w:r>
    </w:p>
    <w:p w14:paraId="76C7B8FA" w14:textId="77777777" w:rsidR="00CB0665" w:rsidRPr="00A77871" w:rsidRDefault="00CB0665" w:rsidP="00CB0665">
      <w:pPr>
        <w:shd w:val="clear" w:color="auto" w:fill="FFFFFF"/>
        <w:spacing w:after="0" w:line="276" w:lineRule="auto"/>
        <w:ind w:firstLine="709"/>
        <w:jc w:val="both"/>
        <w:rPr>
          <w:rFonts w:ascii="Verdana" w:eastAsia="Times New Roman" w:hAnsi="Verdana" w:cs="Arial"/>
          <w:lang w:eastAsia="x-none"/>
        </w:rPr>
      </w:pPr>
    </w:p>
    <w:p w14:paraId="671039D1" w14:textId="77777777" w:rsidR="00CB0665" w:rsidRPr="00A77871" w:rsidRDefault="00CB0665" w:rsidP="00CB0665">
      <w:pPr>
        <w:spacing w:after="120" w:line="276" w:lineRule="auto"/>
        <w:ind w:firstLine="708"/>
        <w:jc w:val="both"/>
        <w:rPr>
          <w:rFonts w:ascii="Verdana" w:eastAsia="Times New Roman" w:hAnsi="Verdana" w:cs="Arial"/>
          <w:bCs/>
          <w:lang w:eastAsia="x-none"/>
        </w:rPr>
      </w:pPr>
      <w:r w:rsidRPr="00A77871">
        <w:rPr>
          <w:rFonts w:ascii="Verdana" w:eastAsia="Times New Roman" w:hAnsi="Verdana" w:cs="Arial"/>
          <w:lang w:eastAsia="x-none"/>
        </w:rPr>
        <w:t xml:space="preserve">De acuerdo con el citado concepto, la prohibición del artículo 33 de la Ley de Garantías Electorales se refiere a </w:t>
      </w:r>
      <w:r w:rsidRPr="00A77871">
        <w:rPr>
          <w:rFonts w:ascii="Verdana" w:eastAsia="Times New Roman" w:hAnsi="Verdana" w:cs="Arial"/>
          <w:lang w:eastAsia="en-GB"/>
        </w:rPr>
        <w:t>“</w:t>
      </w:r>
      <w:r w:rsidRPr="00A77871">
        <w:rPr>
          <w:rFonts w:ascii="Verdana" w:eastAsia="Times New Roman" w:hAnsi="Verdana" w:cs="Arial"/>
          <w:lang w:eastAsia="x-none"/>
        </w:rPr>
        <w:t>cualquier sistema que no implique convocatoria pública y posibilidad de pluralidad de oferentes</w:t>
      </w:r>
      <w:r w:rsidRPr="00A77871">
        <w:rPr>
          <w:rFonts w:ascii="Verdana" w:eastAsia="Times New Roman" w:hAnsi="Verdana" w:cs="Arial"/>
          <w:lang w:eastAsia="en-GB"/>
        </w:rPr>
        <w:t>”</w:t>
      </w:r>
      <w:r w:rsidRPr="00A77871">
        <w:rPr>
          <w:rFonts w:ascii="Verdana" w:eastAsia="Times New Roman" w:hAnsi="Verdana" w:cs="Arial"/>
          <w:lang w:eastAsia="x-none"/>
        </w:rPr>
        <w:t xml:space="preserve">, por lo que excluye </w:t>
      </w:r>
      <w:r w:rsidRPr="00A77871">
        <w:rPr>
          <w:rFonts w:ascii="Verdana" w:eastAsia="Times New Roman" w:hAnsi="Verdana" w:cs="Arial"/>
          <w:lang w:eastAsia="x-none"/>
        </w:rPr>
        <w:lastRenderedPageBreak/>
        <w:t xml:space="preserve">las demás modalidades de contratación previstas en la Ley 1150 de 2007, es decir, la licitación pública, la selección abreviada, el concurso de méritos </w:t>
      </w:r>
      <w:r w:rsidRPr="00A77871">
        <w:rPr>
          <w:rFonts w:ascii="Verdana" w:eastAsia="Times New Roman" w:hAnsi="Verdana" w:cs="Arial"/>
          <w:lang w:val="es-ES_tradnl" w:eastAsia="x-none"/>
        </w:rPr>
        <w:t>y la mínima cuantía</w:t>
      </w:r>
      <w:r w:rsidRPr="00A77871" w:rsidDel="00A85D9F">
        <w:rPr>
          <w:rFonts w:ascii="Verdana" w:eastAsia="Times New Roman" w:hAnsi="Verdana" w:cs="Arial"/>
          <w:lang w:eastAsia="x-none"/>
        </w:rPr>
        <w:t xml:space="preserve"> </w:t>
      </w:r>
      <w:r w:rsidRPr="00A77871">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A77871">
        <w:rPr>
          <w:rFonts w:ascii="Verdana" w:eastAsia="Times New Roman" w:hAnsi="Verdana" w:cs="Arial"/>
          <w:vertAlign w:val="superscript"/>
          <w:lang w:val="en-GB" w:eastAsia="x-none"/>
        </w:rPr>
        <w:footnoteReference w:id="15"/>
      </w:r>
      <w:r w:rsidRPr="00A77871">
        <w:rPr>
          <w:rFonts w:ascii="Verdana" w:eastAsia="Times New Roman" w:hAnsi="Verdana" w:cs="Arial"/>
          <w:lang w:eastAsia="x-none"/>
        </w:rPr>
        <w:t xml:space="preserve"> y sistematizó las causales de contratación directa</w:t>
      </w:r>
      <w:r w:rsidRPr="00A77871">
        <w:rPr>
          <w:rFonts w:ascii="Verdana" w:eastAsia="Times New Roman" w:hAnsi="Verdana" w:cs="Arial"/>
          <w:vertAlign w:val="superscript"/>
          <w:lang w:val="en-GB" w:eastAsia="x-none"/>
        </w:rPr>
        <w:footnoteReference w:id="16"/>
      </w:r>
      <w:r w:rsidRPr="00A77871">
        <w:rPr>
          <w:rFonts w:ascii="Verdana" w:eastAsia="Times New Roman" w:hAnsi="Verdana" w:cs="Arial"/>
          <w:lang w:eastAsia="x-none"/>
        </w:rPr>
        <w:t xml:space="preserve">, </w:t>
      </w:r>
      <w:r w:rsidRPr="00A77871">
        <w:rPr>
          <w:rFonts w:ascii="Verdana" w:eastAsia="Calibri" w:hAnsi="Verdana" w:cs="Arial"/>
          <w:lang w:eastAsia="x-none"/>
        </w:rPr>
        <w:t>además lo es con la posterior creación de la modalidad de mínima cuantía establecida actualmente en el numeral 5 del artículo 2 de la Ley 1150 de 2007, de acuerdo con las modificaciones realizadas por leyes posteriores.</w:t>
      </w:r>
    </w:p>
    <w:p w14:paraId="7486FAFD" w14:textId="2B16D035" w:rsidR="00CB0665" w:rsidRPr="00A77871" w:rsidRDefault="00CB0665" w:rsidP="00CB0665">
      <w:pPr>
        <w:spacing w:after="120" w:line="276" w:lineRule="auto"/>
        <w:ind w:firstLine="708"/>
        <w:jc w:val="both"/>
        <w:rPr>
          <w:rFonts w:ascii="Verdana" w:eastAsia="Times New Roman" w:hAnsi="Verdana" w:cs="Arial"/>
          <w:lang w:val="es-MX"/>
        </w:rPr>
      </w:pPr>
      <w:r w:rsidRPr="00A77871">
        <w:rPr>
          <w:rFonts w:ascii="Verdana" w:eastAsia="Times New Roman" w:hAnsi="Verdana" w:cs="Arial"/>
          <w:lang w:eastAsia="x-none"/>
        </w:rPr>
        <w:t xml:space="preserve">De esta forma, con fundamento en la evolución de la normativa sobre la contratación pública, se ha depurado la noción de </w:t>
      </w:r>
      <w:r w:rsidRPr="00A77871">
        <w:rPr>
          <w:rFonts w:ascii="Verdana" w:eastAsia="Times New Roman" w:hAnsi="Verdana" w:cs="Arial"/>
          <w:lang w:eastAsia="en-GB"/>
        </w:rPr>
        <w:t>“</w:t>
      </w:r>
      <w:r w:rsidRPr="00A77871">
        <w:rPr>
          <w:rFonts w:ascii="Verdana" w:eastAsia="Times New Roman" w:hAnsi="Verdana" w:cs="Arial"/>
          <w:lang w:eastAsia="x-none"/>
        </w:rPr>
        <w:t>contratación directa</w:t>
      </w:r>
      <w:r w:rsidRPr="00A77871">
        <w:rPr>
          <w:rFonts w:ascii="Verdana" w:eastAsia="Times New Roman" w:hAnsi="Verdana" w:cs="Arial"/>
          <w:lang w:eastAsia="en-GB"/>
        </w:rPr>
        <w:t>”</w:t>
      </w:r>
      <w:r w:rsidRPr="00A77871">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A77871">
        <w:rPr>
          <w:rFonts w:ascii="Verdana" w:eastAsia="Times New Roman" w:hAnsi="Verdana" w:cs="Arial"/>
          <w:vertAlign w:val="superscript"/>
          <w:lang w:val="en-GB"/>
        </w:rPr>
        <w:footnoteReference w:id="17"/>
      </w:r>
      <w:r w:rsidRPr="00A77871">
        <w:rPr>
          <w:rFonts w:ascii="Verdana" w:eastAsia="Times New Roman" w:hAnsi="Verdana" w:cs="Arial"/>
          <w:lang w:eastAsia="x-none"/>
        </w:rPr>
        <w:t>, han establecido sistemas de contratación que implican convocatoria pública y participación de varios oferentes</w:t>
      </w:r>
      <w:r w:rsidRPr="00A77871">
        <w:rPr>
          <w:rFonts w:ascii="Verdana" w:eastAsia="Times New Roman" w:hAnsi="Verdana" w:cs="Arial"/>
          <w:lang w:eastAsia="en-GB"/>
        </w:rPr>
        <w:t>”</w:t>
      </w:r>
      <w:r w:rsidRPr="00A77871">
        <w:rPr>
          <w:rFonts w:ascii="Verdana" w:eastAsia="Times New Roman" w:hAnsi="Verdana" w:cs="Arial"/>
          <w:lang w:eastAsia="x-none"/>
        </w:rPr>
        <w:t xml:space="preserve">. </w:t>
      </w:r>
    </w:p>
    <w:p w14:paraId="7957A39C" w14:textId="77777777" w:rsidR="00CB0665" w:rsidRPr="00A77871" w:rsidRDefault="00CB0665" w:rsidP="00CB0665">
      <w:pPr>
        <w:spacing w:after="120" w:line="276" w:lineRule="auto"/>
        <w:ind w:firstLine="708"/>
        <w:jc w:val="both"/>
        <w:rPr>
          <w:rFonts w:ascii="Verdana" w:eastAsia="Times New Roman" w:hAnsi="Verdana" w:cs="Arial"/>
          <w:bCs/>
          <w:lang w:val="es-MX" w:eastAsia="es-CO"/>
        </w:rPr>
      </w:pPr>
      <w:r w:rsidRPr="00A77871">
        <w:rPr>
          <w:rFonts w:ascii="Verdana" w:eastAsia="Times New Roman" w:hAnsi="Verdana" w:cs="Arial"/>
          <w:lang w:val="es-MX"/>
        </w:rPr>
        <w:t>E</w:t>
      </w:r>
      <w:r w:rsidRPr="00A77871">
        <w:rPr>
          <w:rFonts w:ascii="Verdana" w:eastAsia="Times New Roman"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A77871">
        <w:rPr>
          <w:rFonts w:ascii="Verdana" w:eastAsia="Times New Roman" w:hAnsi="Verdana" w:cs="Arial"/>
          <w:vertAlign w:val="superscript"/>
          <w:lang w:eastAsia="x-none"/>
        </w:rPr>
        <w:footnoteReference w:id="18"/>
      </w:r>
      <w:r w:rsidRPr="00A77871">
        <w:rPr>
          <w:rFonts w:ascii="Verdana" w:eastAsia="Times New Roman" w:hAnsi="Verdana" w:cs="Arial"/>
          <w:lang w:eastAsia="x-none"/>
        </w:rPr>
        <w:t xml:space="preserve">. </w:t>
      </w:r>
    </w:p>
    <w:p w14:paraId="322C807F" w14:textId="77777777" w:rsidR="00CB0665" w:rsidRPr="00A77871" w:rsidRDefault="00CB0665" w:rsidP="00CB0665">
      <w:pPr>
        <w:spacing w:after="120" w:line="276" w:lineRule="auto"/>
        <w:ind w:firstLine="708"/>
        <w:jc w:val="both"/>
        <w:rPr>
          <w:rFonts w:ascii="Verdana" w:eastAsia="Times New Roman" w:hAnsi="Verdana" w:cs="Arial"/>
          <w:bCs/>
          <w:lang w:val="es-MX" w:eastAsia="es-CO"/>
        </w:rPr>
      </w:pPr>
      <w:r w:rsidRPr="00A77871">
        <w:rPr>
          <w:rFonts w:ascii="Verdana" w:eastAsia="Times New Roman" w:hAnsi="Verdana" w:cs="Arial"/>
          <w:bCs/>
          <w:lang w:val="es-MX" w:eastAsia="es-CO"/>
        </w:rPr>
        <w:t xml:space="preserve">Como se advierte de lo anterior, el Consejo de Estado realiza una interpretación amplia de la contratación directa, para efectos de aplicar las </w:t>
      </w:r>
      <w:r w:rsidRPr="00A77871">
        <w:rPr>
          <w:rFonts w:ascii="Verdana" w:eastAsia="Times New Roman" w:hAnsi="Verdana" w:cs="Arial"/>
          <w:bCs/>
          <w:lang w:val="es-MX" w:eastAsia="es-CO"/>
        </w:rPr>
        <w:lastRenderedPageBreak/>
        <w:t>restricciones establecidas en la Ley de Garantías</w:t>
      </w:r>
      <w:r w:rsidRPr="00A77871">
        <w:rPr>
          <w:rFonts w:ascii="Verdana" w:eastAsia="Times New Roman" w:hAnsi="Verdana" w:cs="Arial"/>
          <w:lang w:val="es-MX" w:eastAsia="es-CO"/>
        </w:rPr>
        <w:t xml:space="preserve"> Electorales</w:t>
      </w:r>
      <w:r w:rsidRPr="00A77871">
        <w:rPr>
          <w:rFonts w:ascii="Verdana" w:eastAsia="Times New Roman" w:hAnsi="Verdana" w:cs="Arial"/>
          <w:bCs/>
          <w:lang w:val="es-MX" w:eastAsia="es-CO"/>
        </w:rPr>
        <w:t xml:space="preserve">,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A77871">
        <w:rPr>
          <w:rFonts w:ascii="Verdana" w:eastAsia="Times New Roman" w:hAnsi="Verdana" w:cs="Arial"/>
          <w:lang w:val="es-MX" w:eastAsia="es-CO"/>
        </w:rPr>
        <w:t>“</w:t>
      </w:r>
      <w:r w:rsidRPr="00A77871">
        <w:rPr>
          <w:rFonts w:ascii="Verdana" w:eastAsia="Times New Roman" w:hAnsi="Verdana" w:cs="Arial"/>
          <w:bCs/>
          <w:lang w:val="es-MX" w:eastAsia="es-CO"/>
        </w:rPr>
        <w:t>contratación directa</w:t>
      </w:r>
      <w:r w:rsidRPr="00A77871">
        <w:rPr>
          <w:rFonts w:ascii="Verdana" w:eastAsia="Times New Roman" w:hAnsi="Verdana" w:cs="Arial"/>
          <w:lang w:val="es-MX" w:eastAsia="es-CO"/>
        </w:rPr>
        <w:t>”.</w:t>
      </w:r>
    </w:p>
    <w:p w14:paraId="704A6678" w14:textId="77777777" w:rsidR="00CB0665" w:rsidRPr="00A77871" w:rsidRDefault="00CB0665" w:rsidP="00CB0665">
      <w:pPr>
        <w:spacing w:after="120" w:line="276" w:lineRule="auto"/>
        <w:ind w:firstLine="708"/>
        <w:jc w:val="both"/>
        <w:rPr>
          <w:rFonts w:ascii="Verdana" w:eastAsia="Times New Roman" w:hAnsi="Verdana" w:cs="Arial"/>
          <w:bCs/>
          <w:lang w:val="es-MX" w:eastAsia="x-none"/>
        </w:rPr>
      </w:pPr>
      <w:r w:rsidRPr="00A77871">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A77871">
        <w:rPr>
          <w:rFonts w:ascii="Verdana" w:eastAsia="Times New Roman" w:hAnsi="Verdana" w:cs="Arial"/>
          <w:vertAlign w:val="superscript"/>
          <w:lang w:eastAsia="x-none"/>
        </w:rPr>
        <w:footnoteReference w:id="19"/>
      </w:r>
      <w:r w:rsidRPr="00A77871">
        <w:rPr>
          <w:rFonts w:ascii="Verdana" w:eastAsia="Times New Roman" w:hAnsi="Verdana" w:cs="Arial"/>
          <w:bCs/>
          <w:lang w:val="es-MX" w:eastAsia="x-none"/>
        </w:rPr>
        <w:t>.</w:t>
      </w:r>
      <w:r w:rsidRPr="00A77871">
        <w:rPr>
          <w:rFonts w:ascii="Verdana" w:eastAsia="Times New Roman" w:hAnsi="Verdana" w:cs="Arial"/>
          <w:vertAlign w:val="superscript"/>
          <w:lang w:eastAsia="x-none"/>
        </w:rPr>
        <w:t xml:space="preserve"> </w:t>
      </w:r>
    </w:p>
    <w:p w14:paraId="7149FDBB" w14:textId="77777777" w:rsidR="00CB0665" w:rsidRPr="00A77871" w:rsidRDefault="00CB0665" w:rsidP="00CB0665">
      <w:pPr>
        <w:spacing w:after="120" w:line="276" w:lineRule="auto"/>
        <w:ind w:firstLine="708"/>
        <w:jc w:val="both"/>
        <w:rPr>
          <w:rFonts w:ascii="Verdana" w:eastAsia="Times New Roman" w:hAnsi="Verdana" w:cs="Arial"/>
          <w:lang w:eastAsia="x-none"/>
        </w:rPr>
      </w:pPr>
      <w:r w:rsidRPr="00A77871">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A77871">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3E97DDC1" w14:textId="77777777" w:rsidR="00CB0665" w:rsidRPr="00A77871" w:rsidRDefault="00CB0665" w:rsidP="00CB0665">
      <w:pPr>
        <w:spacing w:after="120" w:line="276" w:lineRule="auto"/>
        <w:ind w:firstLine="708"/>
        <w:jc w:val="both"/>
        <w:rPr>
          <w:rFonts w:ascii="Verdana" w:eastAsia="Times New Roman" w:hAnsi="Verdana" w:cs="Arial"/>
          <w:bCs/>
          <w:lang w:val="es-MX" w:eastAsia="es-CO"/>
        </w:rPr>
      </w:pPr>
      <w:r w:rsidRPr="00A77871">
        <w:rPr>
          <w:rFonts w:ascii="Verdana" w:eastAsia="Times New Roman" w:hAnsi="Verdana" w:cs="Arial"/>
          <w:bCs/>
          <w:lang w:val="es-MX" w:eastAsia="es-CO"/>
        </w:rPr>
        <w:t xml:space="preserve">Como en otras oportunidades lo ha manifestado esta Agencia, las prórrogas, modificaciones o adiciones de los contratos suscritos antes de la </w:t>
      </w:r>
      <w:proofErr w:type="gramStart"/>
      <w:r w:rsidRPr="00A77871">
        <w:rPr>
          <w:rFonts w:ascii="Verdana" w:eastAsia="Times New Roman" w:hAnsi="Verdana" w:cs="Arial"/>
          <w:bCs/>
          <w:lang w:val="es-MX" w:eastAsia="es-CO"/>
        </w:rPr>
        <w:t>entrada en vigencia</w:t>
      </w:r>
      <w:proofErr w:type="gramEnd"/>
      <w:r w:rsidRPr="00A77871">
        <w:rPr>
          <w:rFonts w:ascii="Verdana" w:eastAsia="Times New Roman" w:hAnsi="Verdana" w:cs="Arial"/>
          <w:bCs/>
          <w:lang w:val="es-MX" w:eastAsia="es-CO"/>
        </w:rPr>
        <w:t xml:space="preserve"> de las prohibiciones anotadas, así como la cesión de </w:t>
      </w:r>
      <w:proofErr w:type="gramStart"/>
      <w:r w:rsidRPr="00A77871">
        <w:rPr>
          <w:rFonts w:ascii="Verdana" w:eastAsia="Times New Roman" w:hAnsi="Verdana" w:cs="Arial"/>
          <w:bCs/>
          <w:lang w:val="es-MX" w:eastAsia="es-CO"/>
        </w:rPr>
        <w:t>los mismos</w:t>
      </w:r>
      <w:proofErr w:type="gramEnd"/>
      <w:r w:rsidRPr="00A77871">
        <w:rPr>
          <w:rFonts w:ascii="Verdana" w:eastAsia="Times New Roman" w:hAnsi="Verdana" w:cs="Arial"/>
          <w:bCs/>
          <w:lang w:val="es-MX" w:eastAsia="es-CO"/>
        </w:rPr>
        <w:t>, pueden tener lugar en el período de aplicación de la Ley de Garantías</w:t>
      </w:r>
      <w:r w:rsidRPr="00A77871">
        <w:rPr>
          <w:rFonts w:ascii="Verdana" w:eastAsia="Times New Roman" w:hAnsi="Verdana" w:cs="Arial"/>
          <w:lang w:val="es-MX" w:eastAsia="es-CO"/>
        </w:rPr>
        <w:t xml:space="preserve"> Electorales</w:t>
      </w:r>
      <w:r w:rsidRPr="00A77871">
        <w:rPr>
          <w:rFonts w:ascii="Verdana" w:eastAsia="Times New Roman" w:hAnsi="Verdana" w:cs="Arial"/>
          <w:bCs/>
          <w:lang w:val="es-MX" w:eastAsia="es-CO"/>
        </w:rPr>
        <w:t>, sin que ello haga nugatoria la restricción de la contratación directa y siempre que cumplan los principios de planeación, transparencia y responsabilidad</w:t>
      </w:r>
      <w:r w:rsidRPr="00A77871">
        <w:rPr>
          <w:rFonts w:ascii="Verdana" w:eastAsia="Times New Roman" w:hAnsi="Verdana" w:cs="Arial"/>
          <w:bCs/>
          <w:vertAlign w:val="superscript"/>
          <w:lang w:val="es-MX" w:eastAsia="es-CO"/>
        </w:rPr>
        <w:footnoteReference w:id="20"/>
      </w:r>
      <w:r w:rsidRPr="00A77871">
        <w:rPr>
          <w:rFonts w:ascii="Verdana" w:eastAsia="Times New Roman" w:hAnsi="Verdana" w:cs="Arial"/>
          <w:bCs/>
          <w:lang w:val="es-MX" w:eastAsia="es-CO"/>
        </w:rPr>
        <w:t xml:space="preserve">. Además, también es posible que contratos celebrados previamente se continúen ejecutando con normalidad. </w:t>
      </w:r>
    </w:p>
    <w:p w14:paraId="63230177" w14:textId="77777777" w:rsidR="00CB0665" w:rsidRPr="00A77871" w:rsidRDefault="00CB0665" w:rsidP="00CB0665">
      <w:pPr>
        <w:spacing w:after="120" w:line="276" w:lineRule="auto"/>
        <w:ind w:firstLine="708"/>
        <w:jc w:val="both"/>
        <w:rPr>
          <w:rFonts w:ascii="Verdana" w:eastAsia="Times New Roman" w:hAnsi="Verdana" w:cs="Arial"/>
          <w:lang w:val="es-MX" w:eastAsia="es-CO"/>
        </w:rPr>
      </w:pPr>
      <w:r w:rsidRPr="00A77871">
        <w:rPr>
          <w:rFonts w:ascii="Verdana" w:eastAsia="Times New Roman" w:hAnsi="Verdana" w:cs="Arial"/>
          <w:lang w:val="es-MX"/>
        </w:rPr>
        <w:lastRenderedPageBreak/>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A77871">
        <w:rPr>
          <w:rFonts w:ascii="Verdana" w:eastAsia="Times New Roman" w:hAnsi="Verdana" w:cs="Arial"/>
          <w:lang w:val="es-MX"/>
        </w:rPr>
        <w:t>ii</w:t>
      </w:r>
      <w:proofErr w:type="spellEnd"/>
      <w:r w:rsidRPr="00A77871">
        <w:rPr>
          <w:rFonts w:ascii="Verdana" w:eastAsia="Times New Roman" w:hAnsi="Verdana" w:cs="Arial"/>
          <w:lang w:val="es-MX"/>
        </w:rPr>
        <w:t xml:space="preserve">) los contratos de crédito público; </w:t>
      </w:r>
      <w:proofErr w:type="spellStart"/>
      <w:r w:rsidRPr="00A77871">
        <w:rPr>
          <w:rFonts w:ascii="Verdana" w:eastAsia="Times New Roman" w:hAnsi="Verdana" w:cs="Arial"/>
          <w:lang w:val="es-MX"/>
        </w:rPr>
        <w:t>iii</w:t>
      </w:r>
      <w:proofErr w:type="spellEnd"/>
      <w:r w:rsidRPr="00A77871">
        <w:rPr>
          <w:rFonts w:ascii="Verdana" w:eastAsia="Times New Roman" w:hAnsi="Verdana" w:cs="Arial"/>
          <w:lang w:val="es-MX"/>
        </w:rPr>
        <w:t xml:space="preserve">) los requeridos para cubrir las emergencias educativas, sanitarias y desastres; </w:t>
      </w:r>
      <w:proofErr w:type="spellStart"/>
      <w:r w:rsidRPr="00A77871">
        <w:rPr>
          <w:rFonts w:ascii="Verdana" w:eastAsia="Times New Roman" w:hAnsi="Verdana" w:cs="Arial"/>
          <w:lang w:val="es-MX"/>
        </w:rPr>
        <w:t>iv</w:t>
      </w:r>
      <w:proofErr w:type="spellEnd"/>
      <w:r w:rsidRPr="00A77871">
        <w:rPr>
          <w:rFonts w:ascii="Verdana" w:eastAsia="Times New Roman" w:hAnsi="Verdana" w:cs="Arial"/>
          <w:lang w:val="es-MX"/>
        </w:rPr>
        <w:t xml:space="preserve">) los utilizados para la reconstrucción de vías, puentes, carreteras, infraestructura energética y de comunicaciones, en caso de que hayan sido objeto de atentados, acciones terroristas, desastres naturales o casos de fuerza mayor; y, v) </w:t>
      </w:r>
      <w:r w:rsidRPr="00A77871">
        <w:rPr>
          <w:rFonts w:ascii="Verdana" w:eastAsia="Times New Roman" w:hAnsi="Verdana" w:cs="Arial"/>
          <w:i/>
          <w:lang w:val="es-MX"/>
        </w:rPr>
        <w:t>los que deban realizar las entidades sanitarias y hospitalarias.</w:t>
      </w:r>
      <w:r w:rsidRPr="00A77871">
        <w:rPr>
          <w:rFonts w:ascii="Verdana" w:eastAsia="Times New Roman" w:hAnsi="Verdana" w:cs="Arial"/>
          <w:bCs/>
          <w:lang w:val="es-MX" w:eastAsia="es-CO"/>
        </w:rPr>
        <w:t xml:space="preserve"> </w:t>
      </w:r>
    </w:p>
    <w:p w14:paraId="50FC0F97" w14:textId="77777777" w:rsidR="00CB0665" w:rsidRPr="00A77871" w:rsidRDefault="00CB0665" w:rsidP="00CB0665">
      <w:pPr>
        <w:spacing w:after="120" w:line="276" w:lineRule="auto"/>
        <w:ind w:firstLine="708"/>
        <w:jc w:val="both"/>
        <w:rPr>
          <w:rFonts w:ascii="Verdana" w:eastAsia="Times New Roman" w:hAnsi="Verdana" w:cs="Arial"/>
          <w:bCs/>
          <w:lang w:val="es-MX" w:eastAsia="es-CO"/>
        </w:rPr>
      </w:pPr>
      <w:r w:rsidRPr="00A77871">
        <w:rPr>
          <w:rFonts w:ascii="Verdana" w:eastAsia="Times New Roman" w:hAnsi="Verdana" w:cs="Arial"/>
          <w:lang w:val="es-MX" w:eastAsia="es-CO"/>
        </w:rPr>
        <w:t>Conforme a las anteriores excepciones, es</w:t>
      </w:r>
      <w:r w:rsidRPr="00A77871">
        <w:rPr>
          <w:rFonts w:ascii="Verdana" w:eastAsia="Times New Roman" w:hAnsi="Verdana" w:cs="Arial"/>
          <w:bCs/>
          <w:lang w:val="es-MX" w:eastAsia="es-CO"/>
        </w:rPr>
        <w:t xml:space="preserve">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70EEFA21" w14:textId="77777777" w:rsidR="00CB0665" w:rsidRPr="00A77871" w:rsidRDefault="00CB0665" w:rsidP="00CB0665">
      <w:pPr>
        <w:spacing w:after="120" w:line="276" w:lineRule="auto"/>
        <w:ind w:firstLine="709"/>
        <w:jc w:val="both"/>
        <w:rPr>
          <w:rFonts w:ascii="Verdana" w:eastAsia="Times New Roman" w:hAnsi="Verdana" w:cs="Arial"/>
          <w:lang w:val="es-MX"/>
        </w:rPr>
      </w:pPr>
      <w:r w:rsidRPr="00A77871">
        <w:rPr>
          <w:rFonts w:ascii="Verdana" w:eastAsia="Times New Roman" w:hAnsi="Verdana" w:cs="Arial"/>
          <w:lang w:val="es-MX"/>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A77871">
        <w:rPr>
          <w:rFonts w:ascii="Verdana" w:eastAsia="Calibri" w:hAnsi="Verdana" w:cs="Arial"/>
          <w:vertAlign w:val="superscript"/>
          <w:lang w:val="es-MX"/>
        </w:rPr>
        <w:footnoteReference w:id="21"/>
      </w:r>
      <w:r w:rsidRPr="00A77871">
        <w:rPr>
          <w:rFonts w:ascii="Verdana" w:eastAsia="Times New Roman" w:hAnsi="Verdana" w:cs="Arial"/>
          <w:lang w:val="es-MX"/>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1AFEC1DF" w14:textId="77777777" w:rsidR="00CB0665" w:rsidRPr="00A77871" w:rsidRDefault="00CB0665" w:rsidP="00CB0665">
      <w:pPr>
        <w:tabs>
          <w:tab w:val="left" w:pos="426"/>
        </w:tabs>
        <w:spacing w:after="120" w:line="276" w:lineRule="auto"/>
        <w:ind w:firstLine="709"/>
        <w:jc w:val="both"/>
        <w:rPr>
          <w:rFonts w:ascii="Verdana" w:hAnsi="Verdana" w:cs="Arial"/>
          <w:color w:val="000000" w:themeColor="text1"/>
          <w:lang w:val="es-ES"/>
        </w:rPr>
      </w:pPr>
      <w:r w:rsidRPr="00A77871">
        <w:rPr>
          <w:rFonts w:ascii="Verdana" w:hAnsi="Verdana" w:cs="Arial"/>
          <w:color w:val="000000" w:themeColor="text1"/>
          <w:lang w:val="es-ES"/>
        </w:rPr>
        <w:t>En este punto, es pertinente analizar el quinto evento</w:t>
      </w:r>
      <w:r w:rsidRPr="00A77871">
        <w:rPr>
          <w:rFonts w:ascii="Verdana" w:hAnsi="Verdana" w:cs="Arial"/>
          <w:i/>
          <w:iCs/>
          <w:color w:val="000000" w:themeColor="text1"/>
          <w:lang w:val="es-ES"/>
        </w:rPr>
        <w:t xml:space="preserve"> </w:t>
      </w:r>
      <w:r w:rsidRPr="00A77871">
        <w:rPr>
          <w:rFonts w:ascii="Verdana" w:hAnsi="Verdana" w:cs="Arial"/>
          <w:color w:val="000000" w:themeColor="text1"/>
          <w:lang w:val="es-ES"/>
        </w:rPr>
        <w:t xml:space="preserve">exceptuado de la prohibición, relacionado con la contratación por parte de las entidades sanitarias y hospitalarias. Para ello, debe tenerse en cuenta el artículo 94 de la Ley 100 de 1993, que dispone </w:t>
      </w:r>
      <w:r w:rsidRPr="00A77871">
        <w:rPr>
          <w:rFonts w:ascii="Verdana" w:hAnsi="Verdana" w:cs="Arial"/>
          <w:color w:val="000000" w:themeColor="text1"/>
          <w:lang w:val="es-ES" w:eastAsia="es-CO"/>
        </w:rPr>
        <w:t>“</w:t>
      </w:r>
      <w:r w:rsidRPr="00A77871">
        <w:rPr>
          <w:rFonts w:ascii="Verdana" w:hAnsi="Verdana" w:cs="Arial"/>
          <w:color w:val="000000" w:themeColor="text1"/>
          <w:lang w:val="es-ES"/>
        </w:rPr>
        <w:t xml:space="preserve">la prestación de servicios de salud en forma directa por la nación o por las entidades territoriales, se hará principalmente a través de las </w:t>
      </w:r>
      <w:r w:rsidRPr="00A77871">
        <w:rPr>
          <w:rFonts w:ascii="Verdana" w:hAnsi="Verdana" w:cs="Arial"/>
          <w:color w:val="000000" w:themeColor="text1"/>
          <w:lang w:val="es-ES"/>
        </w:rPr>
        <w:lastRenderedPageBreak/>
        <w:t xml:space="preserve">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3A60417B" w14:textId="77777777" w:rsidR="00CB0665" w:rsidRPr="00A77871" w:rsidRDefault="00CB0665" w:rsidP="00CB0665">
      <w:pPr>
        <w:tabs>
          <w:tab w:val="left" w:pos="426"/>
        </w:tabs>
        <w:spacing w:after="120" w:line="276" w:lineRule="auto"/>
        <w:ind w:firstLine="709"/>
        <w:jc w:val="both"/>
        <w:rPr>
          <w:rFonts w:ascii="Verdana" w:hAnsi="Verdana" w:cs="Arial"/>
          <w:color w:val="000000" w:themeColor="text1"/>
        </w:rPr>
      </w:pPr>
      <w:r w:rsidRPr="00A77871">
        <w:rPr>
          <w:rFonts w:ascii="Verdana" w:hAnsi="Verdana" w:cs="Arial"/>
          <w:color w:val="000000" w:themeColor="text1"/>
          <w:lang w:val="es-ES"/>
        </w:rPr>
        <w:t xml:space="preserve">Es decir que, a partir de la </w:t>
      </w:r>
      <w:proofErr w:type="gramStart"/>
      <w:r w:rsidRPr="00A77871">
        <w:rPr>
          <w:rFonts w:ascii="Verdana" w:hAnsi="Verdana" w:cs="Arial"/>
          <w:color w:val="000000" w:themeColor="text1"/>
          <w:lang w:val="es-ES"/>
        </w:rPr>
        <w:t>entrada en vigencia</w:t>
      </w:r>
      <w:proofErr w:type="gramEnd"/>
      <w:r w:rsidRPr="00A77871">
        <w:rPr>
          <w:rFonts w:ascii="Verdana" w:hAnsi="Verdana" w:cs="Arial"/>
          <w:color w:val="000000" w:themeColor="text1"/>
          <w:lang w:val="es-ES"/>
        </w:rPr>
        <w:t xml:space="preserve"> de la Ley 100 de 1993, las Empresas Sociales del Estado son las entidades públicas que tienen a su cargo la prestación de servicios de salud de manera directa. Igualmente, el artículo 197 de la misma disposición</w:t>
      </w:r>
      <w:r w:rsidRPr="00A77871">
        <w:rPr>
          <w:rFonts w:ascii="Verdana" w:hAnsi="Verdana" w:cs="Arial"/>
          <w:color w:val="000000" w:themeColor="text1"/>
          <w:vertAlign w:val="superscript"/>
          <w:lang w:val="es-ES_tradnl"/>
        </w:rPr>
        <w:footnoteReference w:id="22"/>
      </w:r>
      <w:r w:rsidRPr="00A77871">
        <w:rPr>
          <w:rFonts w:ascii="Verdana" w:hAnsi="Verdana" w:cs="Arial"/>
          <w:color w:val="000000" w:themeColor="text1"/>
          <w:lang w:val="es-ES"/>
        </w:rPr>
        <w:t xml:space="preserve"> otorgó un término de seis (6) meses a las entidades territoriales prestadoras del servicio de salud para restructurarlas en Empresas Sociales del Estado. </w:t>
      </w:r>
    </w:p>
    <w:p w14:paraId="19BCF1BD" w14:textId="77777777" w:rsidR="00CB0665" w:rsidRPr="00A77871" w:rsidRDefault="00CB0665" w:rsidP="00CB0665">
      <w:pPr>
        <w:tabs>
          <w:tab w:val="left" w:pos="426"/>
        </w:tabs>
        <w:spacing w:after="120" w:line="276" w:lineRule="auto"/>
        <w:ind w:firstLine="709"/>
        <w:jc w:val="both"/>
        <w:rPr>
          <w:rFonts w:ascii="Verdana" w:hAnsi="Verdana" w:cs="Arial"/>
          <w:color w:val="000000" w:themeColor="text1"/>
          <w:lang w:val="es-ES"/>
        </w:rPr>
      </w:pPr>
      <w:r w:rsidRPr="00A77871">
        <w:rPr>
          <w:rFonts w:ascii="Verdana" w:hAnsi="Verdana" w:cs="Arial"/>
          <w:color w:val="000000" w:themeColor="text1"/>
          <w:lang w:val="es-ES"/>
        </w:rPr>
        <w:t xml:space="preserve">De lo anterior se desprende que, bajo la Ley 100 de 1993, dentro de la estructura de la administración pública las entidades encargadas de prestar el servicio de salud de manera directa son las Empresas Sociales del Estado. Además, el mismo artículo 197 de la disposición referida estableció el deber de reestructurar y transformar en Empresas Sociales del Estado a las entidades descentralizadas que, al momento de entrada en vigor de la ley referida, prestaban directamente este servicio.  </w:t>
      </w:r>
    </w:p>
    <w:p w14:paraId="0092A247" w14:textId="77777777" w:rsidR="00CB0665" w:rsidRPr="00A77871" w:rsidRDefault="00CB0665" w:rsidP="00CB0665">
      <w:pPr>
        <w:tabs>
          <w:tab w:val="left" w:pos="426"/>
        </w:tabs>
        <w:spacing w:after="120" w:line="276" w:lineRule="auto"/>
        <w:ind w:firstLine="709"/>
        <w:jc w:val="both"/>
        <w:rPr>
          <w:rFonts w:ascii="Verdana" w:hAnsi="Verdana" w:cs="Arial"/>
          <w:color w:val="000000" w:themeColor="text1"/>
          <w:lang w:val="es-ES"/>
        </w:rPr>
      </w:pPr>
      <w:r w:rsidRPr="00A77871">
        <w:rPr>
          <w:rFonts w:ascii="Verdana" w:hAnsi="Verdana" w:cs="Arial"/>
          <w:color w:val="000000" w:themeColor="text1"/>
          <w:lang w:val="es-ES"/>
        </w:rPr>
        <w:t xml:space="preserve">Así, se observa que la voluntad del legislador plasmada en la Ley 100 de 1993 fue homogeneizar o unificar la naturaleza jurídica de las entidades públicas descentralizadas prestadoras del servicio de salud, en Empresas Sociales del Estado. De ello da cuenta, no solo la creación de la institución jurídica referida sino además la imposición del mandato de reestructuración de aquellas entidades en Empresas Sociales del Estado. </w:t>
      </w:r>
    </w:p>
    <w:p w14:paraId="79377844" w14:textId="02150995" w:rsidR="00CB0665" w:rsidRPr="00A77871" w:rsidRDefault="00CB0665" w:rsidP="00CB0665">
      <w:pPr>
        <w:tabs>
          <w:tab w:val="left" w:pos="426"/>
        </w:tabs>
        <w:spacing w:after="0" w:line="276" w:lineRule="auto"/>
        <w:ind w:firstLine="709"/>
        <w:jc w:val="both"/>
        <w:rPr>
          <w:rFonts w:ascii="Verdana" w:hAnsi="Verdana" w:cs="Arial"/>
          <w:color w:val="000000" w:themeColor="text1"/>
          <w:lang w:val="es-ES"/>
        </w:rPr>
      </w:pPr>
      <w:r w:rsidRPr="00A77871">
        <w:rPr>
          <w:rFonts w:ascii="Verdana" w:hAnsi="Verdana" w:cs="Arial"/>
          <w:color w:val="000000" w:themeColor="text1"/>
          <w:lang w:val="es-ES"/>
        </w:rPr>
        <w:t xml:space="preserve">Este proceso de reestructuración, dada las implicaciones administrativas que suponen, no ha sido inmediato, según se observa de lo señalado por el Ministerio de la Protección Social como cabeza del sector salud del orden nacional. En este sentido, en concepto del 14 de marzo de 2006, identificado con radicación No. 38644, al pronunciarse sobre el alcance de la regla de excepción establecida en el inciso 2 del artículo 33 de la Ley de Garantías Electorales, frente a las entidades sanitarias y hospitalarias, puso de presente el retardo en el proceso de reestructuración mencionado en la Ley 100 de 1993, así: </w:t>
      </w:r>
    </w:p>
    <w:p w14:paraId="600DC7BE" w14:textId="77777777" w:rsidR="00CB0665" w:rsidRPr="0029279E" w:rsidRDefault="00CB0665" w:rsidP="0029279E">
      <w:pPr>
        <w:tabs>
          <w:tab w:val="left" w:pos="426"/>
        </w:tabs>
        <w:spacing w:after="0" w:line="240" w:lineRule="auto"/>
        <w:ind w:left="709" w:right="709"/>
        <w:jc w:val="both"/>
        <w:rPr>
          <w:rFonts w:ascii="Verdana" w:hAnsi="Verdana" w:cs="Arial"/>
          <w:color w:val="000000" w:themeColor="text1"/>
          <w:sz w:val="20"/>
          <w:szCs w:val="20"/>
          <w:shd w:val="clear" w:color="auto" w:fill="FFFFFF"/>
          <w:lang w:val="es-ES"/>
        </w:rPr>
      </w:pPr>
      <w:r w:rsidRPr="0029279E">
        <w:rPr>
          <w:rFonts w:ascii="Verdana" w:hAnsi="Verdana" w:cs="Arial"/>
          <w:color w:val="000000" w:themeColor="text1"/>
          <w:sz w:val="20"/>
          <w:szCs w:val="20"/>
          <w:shd w:val="clear" w:color="auto" w:fill="FFFFFF"/>
          <w:lang w:val="es-ES"/>
        </w:rPr>
        <w:lastRenderedPageBreak/>
        <w:t xml:space="preserve">“[…] se encuentran cubiertos por la excepción contemplada en el inciso 2 del artículo 33 de la Ley de Garantías Electorales, las entidades hospitalarias que a la luz de las normas vigentes </w:t>
      </w:r>
      <w:r w:rsidRPr="0029279E">
        <w:rPr>
          <w:rFonts w:ascii="Verdana" w:hAnsi="Verdana" w:cs="Arial"/>
          <w:i/>
          <w:iCs/>
          <w:color w:val="000000" w:themeColor="text1"/>
          <w:sz w:val="20"/>
          <w:szCs w:val="20"/>
          <w:shd w:val="clear" w:color="auto" w:fill="FFFFFF"/>
          <w:lang w:val="es-ES"/>
        </w:rPr>
        <w:t xml:space="preserve">no son otras distintas que las Empresas Sociales del estado y todas aquellas instituciones públicas </w:t>
      </w:r>
      <w:proofErr w:type="gramStart"/>
      <w:r w:rsidRPr="0029279E">
        <w:rPr>
          <w:rFonts w:ascii="Verdana" w:hAnsi="Verdana" w:cs="Arial"/>
          <w:i/>
          <w:iCs/>
          <w:color w:val="000000" w:themeColor="text1"/>
          <w:sz w:val="20"/>
          <w:szCs w:val="20"/>
          <w:shd w:val="clear" w:color="auto" w:fill="FFFFFF"/>
          <w:lang w:val="es-ES"/>
        </w:rPr>
        <w:t>que</w:t>
      </w:r>
      <w:proofErr w:type="gramEnd"/>
      <w:r w:rsidRPr="0029279E">
        <w:rPr>
          <w:rFonts w:ascii="Verdana" w:hAnsi="Verdana" w:cs="Arial"/>
          <w:i/>
          <w:iCs/>
          <w:color w:val="000000" w:themeColor="text1"/>
          <w:sz w:val="20"/>
          <w:szCs w:val="20"/>
          <w:shd w:val="clear" w:color="auto" w:fill="FFFFFF"/>
          <w:lang w:val="es-ES"/>
        </w:rPr>
        <w:t xml:space="preserve"> a pesar de no haberse transformado en Empresas Sociales del Estado, prestan un servicio de salud directo sobre el usuario en su carácter general de entidad hospitalaria</w:t>
      </w:r>
      <w:r w:rsidRPr="0029279E">
        <w:rPr>
          <w:rFonts w:ascii="Verdana" w:hAnsi="Verdana" w:cs="Arial"/>
          <w:color w:val="000000" w:themeColor="text1"/>
          <w:sz w:val="20"/>
          <w:szCs w:val="20"/>
          <w:shd w:val="clear" w:color="auto" w:fill="FFFFFF"/>
          <w:lang w:val="es-ES"/>
        </w:rPr>
        <w:t xml:space="preserve"> […]”. (Énfasis fuera de texto) </w:t>
      </w:r>
    </w:p>
    <w:p w14:paraId="0BB4B000" w14:textId="77777777" w:rsidR="00CB0665" w:rsidRPr="00A77871" w:rsidRDefault="00CB0665" w:rsidP="00CB0665">
      <w:pPr>
        <w:tabs>
          <w:tab w:val="left" w:pos="426"/>
        </w:tabs>
        <w:spacing w:after="0" w:line="276" w:lineRule="auto"/>
        <w:ind w:left="709" w:right="709"/>
        <w:jc w:val="both"/>
        <w:rPr>
          <w:rFonts w:ascii="Verdana" w:hAnsi="Verdana" w:cs="Arial"/>
          <w:color w:val="000000" w:themeColor="text1"/>
          <w:lang w:val="es-ES"/>
        </w:rPr>
      </w:pPr>
    </w:p>
    <w:p w14:paraId="2DD099A9" w14:textId="77777777" w:rsidR="00CB0665" w:rsidRPr="00A77871" w:rsidRDefault="00CB0665" w:rsidP="00CB0665">
      <w:pPr>
        <w:tabs>
          <w:tab w:val="left" w:pos="426"/>
        </w:tabs>
        <w:spacing w:after="120" w:line="276" w:lineRule="auto"/>
        <w:ind w:firstLine="709"/>
        <w:jc w:val="both"/>
        <w:rPr>
          <w:rFonts w:ascii="Verdana" w:hAnsi="Verdana" w:cs="Arial"/>
          <w:color w:val="000000" w:themeColor="text1"/>
          <w:lang w:val="es-ES"/>
        </w:rPr>
      </w:pPr>
      <w:r w:rsidRPr="00A77871">
        <w:rPr>
          <w:rFonts w:ascii="Verdana" w:hAnsi="Verdana" w:cs="Arial"/>
          <w:color w:val="000000" w:themeColor="text1"/>
          <w:lang w:val="es-ES"/>
        </w:rPr>
        <w:t xml:space="preserve">Del aparte transcrito se desprende que, para la autoridad administrativa del sector salud, las Empresas Sociales del Estado son las entidades hospitalarias de que trata la excepción a la prohibición establecida en el artículo 33 de la ley de Garantías Electorales. De igual forma, incluyen también dentro de esta excepción a la prohibición, a aquellas instituciones públicas que, aunque no cumplieron con el deber de reestructuración establecido en el artículo 197 de la Ley 100 de 1993, prestan un servicio de salud directo como entidad hospitalaria. </w:t>
      </w:r>
    </w:p>
    <w:p w14:paraId="36A3C1EF" w14:textId="77777777" w:rsidR="00CB0665" w:rsidRPr="00A77871" w:rsidRDefault="00CB0665" w:rsidP="00CB0665">
      <w:pPr>
        <w:tabs>
          <w:tab w:val="left" w:pos="426"/>
        </w:tabs>
        <w:spacing w:before="120" w:line="276" w:lineRule="auto"/>
        <w:ind w:firstLine="709"/>
        <w:jc w:val="both"/>
        <w:rPr>
          <w:rFonts w:ascii="Verdana" w:hAnsi="Verdana" w:cs="Arial"/>
          <w:color w:val="000000" w:themeColor="text1"/>
          <w:lang w:val="es-ES"/>
        </w:rPr>
      </w:pPr>
      <w:r w:rsidRPr="00A77871">
        <w:rPr>
          <w:rFonts w:ascii="Verdana" w:hAnsi="Verdana" w:cs="Arial"/>
          <w:color w:val="000000" w:themeColor="text1"/>
          <w:lang w:val="es-ES"/>
        </w:rPr>
        <w:t xml:space="preserve">Por tanto, las Empresas Sociales del Estado podrían suscribir contratos bajo la modalidad de contratación directa, porque el inciso segundo del artículo 33 de la Ley 996 de 2005 exceptuó de la prohibición de contratación bajo la modalidad referida a las entidades hospitalarias, categoría dentro de las cuales se incluye a las Empresas Sociales del Estado y, en consecuencia, podrán suscribir sus contratos en la forma establecida en sus manuales de contratación, sin que les resulte aplicable la prohibición establecida en el artículo 33 de la Ley 996 de 2005. </w:t>
      </w:r>
    </w:p>
    <w:p w14:paraId="4353C9FC" w14:textId="77777777" w:rsidR="00CB0665" w:rsidRPr="00A77871" w:rsidRDefault="00CB0665" w:rsidP="00CB0665">
      <w:pPr>
        <w:spacing w:before="120" w:after="120" w:line="276" w:lineRule="auto"/>
        <w:ind w:firstLine="709"/>
        <w:jc w:val="both"/>
        <w:rPr>
          <w:rFonts w:ascii="Verdana" w:eastAsia="Arial" w:hAnsi="Verdana" w:cs="Arial"/>
          <w:color w:val="000000" w:themeColor="text1"/>
          <w:lang w:val="es-ES"/>
        </w:rPr>
      </w:pPr>
      <w:r w:rsidRPr="00A77871">
        <w:rPr>
          <w:rFonts w:ascii="Verdana" w:eastAsia="Arial" w:hAnsi="Verdana" w:cs="Arial"/>
          <w:color w:val="000000" w:themeColor="text1"/>
        </w:rPr>
        <w:t xml:space="preserve">De otro lado, en relación con las entidades sanitarias, conviene diferenciar los conceptos de entidad sanitaria y autoridad sanitara. En efecto, el artículo 2.8.8.1.1.3 del Decreto 780 de 2016, “Por medio del cual se expide el Decreto Único Reglamentario del Sector Salud y Protección Social”, define las </w:t>
      </w:r>
      <w:r w:rsidRPr="00A77871">
        <w:rPr>
          <w:rFonts w:ascii="Verdana" w:eastAsia="Arial" w:hAnsi="Verdana" w:cs="Arial"/>
          <w:i/>
          <w:iCs/>
          <w:color w:val="000000" w:themeColor="text1"/>
        </w:rPr>
        <w:t>entidades sanitarias</w:t>
      </w:r>
      <w:r w:rsidRPr="00A77871">
        <w:rPr>
          <w:rFonts w:ascii="Verdana" w:eastAsia="Arial" w:hAnsi="Verdana" w:cs="Arial"/>
          <w:color w:val="000000" w:themeColor="text1"/>
        </w:rPr>
        <w:t xml:space="preserve"> como “Entidades del Estado que prestan servicios sanitarios o de sanidad con el propósito de preservar la salud humana y la salud pública”. Así mismo, el artículo citado también define las </w:t>
      </w:r>
      <w:r w:rsidRPr="00A77871">
        <w:rPr>
          <w:rFonts w:ascii="Verdana" w:eastAsia="Arial" w:hAnsi="Verdana" w:cs="Arial"/>
          <w:i/>
          <w:iCs/>
          <w:color w:val="000000" w:themeColor="text1"/>
        </w:rPr>
        <w:t>autoridades sanitarias</w:t>
      </w:r>
      <w:r w:rsidRPr="00A77871">
        <w:rPr>
          <w:rFonts w:ascii="Verdana" w:eastAsia="Arial" w:hAnsi="Verdana" w:cs="Arial"/>
          <w:color w:val="000000" w:themeColor="text1"/>
        </w:rPr>
        <w:t xml:space="preserve"> como “Entidades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w:t>
      </w:r>
      <w:r w:rsidRPr="00A77871">
        <w:rPr>
          <w:rFonts w:ascii="Verdana" w:eastAsia="Arial" w:hAnsi="Verdana" w:cs="Arial"/>
          <w:bCs/>
          <w:color w:val="000000" w:themeColor="text1"/>
          <w:vertAlign w:val="superscript"/>
        </w:rPr>
        <w:footnoteReference w:id="23"/>
      </w:r>
      <w:r w:rsidRPr="00A77871">
        <w:rPr>
          <w:rFonts w:ascii="Verdana" w:eastAsia="Arial" w:hAnsi="Verdana" w:cs="Arial"/>
          <w:color w:val="000000" w:themeColor="text1"/>
        </w:rPr>
        <w:t xml:space="preserve">. Sin embargo, es necesario tener en cuenta </w:t>
      </w:r>
      <w:r w:rsidRPr="00A77871">
        <w:rPr>
          <w:rFonts w:ascii="Verdana" w:eastAsia="Arial" w:hAnsi="Verdana" w:cs="Arial"/>
          <w:color w:val="000000" w:themeColor="text1"/>
        </w:rPr>
        <w:lastRenderedPageBreak/>
        <w:t xml:space="preserve">que la excepción del artículo 33 de la Ley de Garantías Electorales solo aplica a las </w:t>
      </w:r>
      <w:r w:rsidRPr="00A77871">
        <w:rPr>
          <w:rFonts w:ascii="Verdana" w:eastAsia="Arial" w:hAnsi="Verdana" w:cs="Arial"/>
          <w:i/>
          <w:iCs/>
          <w:color w:val="000000" w:themeColor="text1"/>
        </w:rPr>
        <w:t>entidades sanitarias</w:t>
      </w:r>
      <w:r w:rsidRPr="00A77871">
        <w:rPr>
          <w:rFonts w:ascii="Verdana" w:eastAsia="Arial" w:hAnsi="Verdana" w:cs="Arial"/>
          <w:color w:val="000000" w:themeColor="text1"/>
        </w:rPr>
        <w:t xml:space="preserve">, no a las </w:t>
      </w:r>
      <w:r w:rsidRPr="00A77871">
        <w:rPr>
          <w:rFonts w:ascii="Verdana" w:eastAsia="Arial" w:hAnsi="Verdana" w:cs="Arial"/>
          <w:i/>
          <w:iCs/>
          <w:color w:val="000000" w:themeColor="text1"/>
        </w:rPr>
        <w:t>autoridades sanitarias</w:t>
      </w:r>
      <w:r w:rsidRPr="00A77871">
        <w:rPr>
          <w:rFonts w:ascii="Verdana" w:eastAsia="Arial" w:hAnsi="Verdana" w:cs="Arial"/>
          <w:color w:val="000000" w:themeColor="text1"/>
        </w:rPr>
        <w:t xml:space="preserve">. </w:t>
      </w:r>
      <w:r w:rsidRPr="00A77871">
        <w:rPr>
          <w:rFonts w:ascii="Verdana" w:eastAsia="Arial" w:hAnsi="Verdana" w:cs="Arial"/>
          <w:color w:val="000000" w:themeColor="text1"/>
          <w:lang w:val="es-ES"/>
        </w:rPr>
        <w:t xml:space="preserve">Así las cosas, para efectos de la excepción del artículo 33 es indiferente que la entidad estatal tenga funciones de </w:t>
      </w:r>
      <w:r w:rsidRPr="00A77871">
        <w:rPr>
          <w:rFonts w:ascii="Verdana" w:eastAsia="Arial" w:hAnsi="Verdana" w:cs="Arial"/>
          <w:i/>
          <w:iCs/>
          <w:color w:val="000000" w:themeColor="text1"/>
          <w:lang w:val="es-ES"/>
        </w:rPr>
        <w:t>autoridad sanitaria</w:t>
      </w:r>
      <w:r w:rsidRPr="00A77871">
        <w:rPr>
          <w:rFonts w:ascii="Verdana" w:eastAsia="Arial" w:hAnsi="Verdana" w:cs="Arial"/>
          <w:color w:val="000000" w:themeColor="text1"/>
          <w:lang w:val="es-ES"/>
        </w:rPr>
        <w:t xml:space="preserve">, pues lo relevante para determinar si la contratación está exceptuada de la prohibición general no es el carácter de autoridad sanitaria, sino que se trate de una </w:t>
      </w:r>
      <w:r w:rsidRPr="00A77871">
        <w:rPr>
          <w:rFonts w:ascii="Verdana" w:eastAsia="Arial" w:hAnsi="Verdana" w:cs="Arial"/>
          <w:i/>
          <w:iCs/>
          <w:color w:val="000000" w:themeColor="text1"/>
          <w:lang w:val="es-ES"/>
        </w:rPr>
        <w:t>entidad sanitaria</w:t>
      </w:r>
      <w:r w:rsidRPr="00A77871">
        <w:rPr>
          <w:rFonts w:ascii="Verdana" w:eastAsia="Arial" w:hAnsi="Verdana" w:cs="Arial"/>
          <w:color w:val="000000" w:themeColor="text1"/>
          <w:lang w:val="es-ES"/>
        </w:rPr>
        <w:t xml:space="preserve">. </w:t>
      </w:r>
    </w:p>
    <w:p w14:paraId="0078B26D" w14:textId="0802BE06" w:rsidR="00CB0665" w:rsidRPr="00A77871" w:rsidRDefault="00CB0665" w:rsidP="00CB0665">
      <w:pPr>
        <w:spacing w:line="276" w:lineRule="auto"/>
        <w:ind w:firstLine="709"/>
        <w:jc w:val="both"/>
        <w:rPr>
          <w:rFonts w:ascii="Verdana" w:eastAsia="Times New Roman" w:hAnsi="Verdana" w:cs="Arial"/>
          <w:lang w:val="es-MX" w:eastAsia="x-none"/>
        </w:rPr>
      </w:pPr>
      <w:r w:rsidRPr="00A77871">
        <w:rPr>
          <w:rFonts w:ascii="Verdana" w:eastAsia="Arial" w:hAnsi="Verdana" w:cs="Arial"/>
          <w:color w:val="000000" w:themeColor="text1"/>
          <w:lang w:val="es-ES"/>
        </w:rPr>
        <w:t>Atendiendo el marco jurídico analizado</w:t>
      </w:r>
      <w:r w:rsidRPr="00A77871">
        <w:rPr>
          <w:rFonts w:ascii="Verdana" w:eastAsia="Times New Roman" w:hAnsi="Verdana" w:cs="Arial"/>
          <w:lang w:val="es-MX"/>
        </w:rPr>
        <w:t xml:space="preserve">, le compete a cada entidad estatal que considera celebrar un contrato específico, definir si este se enmarca en la prohibición establecida en el artículo 33 que restringe la contratación directa en el periodo preelectoral a las elecciones presidenciales. Lo anterior, adicionalmente, teniendo en cuenta las excepciones a la prohibición establecidas en el inciso segundo del mismo artículo 33. Además, se reitera que la restricción aplica frente a la contratación directa, entendida como cualquier sistema de selección o procedimiento de contratación utilizado por las entidades estatales que no incluya la convocatoria pública en alguna de sus etapas, ni permita la participación de una pluralidad de oferentes; por lo que las entidades que se rigen por el derecho privado podrán celebrar contratos de acuerdo con los procedimientos contractuales desarrollados en sus manuales de contratación, bajo el entendido que estos permitan la participación de una pluralidad de oferentes. </w:t>
      </w:r>
    </w:p>
    <w:p w14:paraId="04ACFE0F" w14:textId="77777777" w:rsidR="00E51F64" w:rsidRDefault="00CB0665" w:rsidP="00E51F64">
      <w:pPr>
        <w:spacing w:after="0" w:line="276" w:lineRule="auto"/>
        <w:ind w:firstLine="709"/>
        <w:jc w:val="both"/>
        <w:rPr>
          <w:rFonts w:ascii="Verdana" w:eastAsia="Times New Roman" w:hAnsi="Verdana" w:cs="Arial"/>
          <w:color w:val="000000" w:themeColor="text1"/>
          <w:lang w:val="es-ES" w:eastAsia="es-ES"/>
        </w:rPr>
      </w:pPr>
      <w:r w:rsidRPr="00A77871">
        <w:rPr>
          <w:rFonts w:ascii="Verdana" w:eastAsia="Times New Roman" w:hAnsi="Verdana" w:cs="Arial"/>
          <w:color w:val="000000" w:themeColor="text1"/>
          <w:lang w:val="es-ES" w:eastAsia="es-ES"/>
        </w:rPr>
        <w:t>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w:t>
      </w:r>
    </w:p>
    <w:p w14:paraId="3161A5F6" w14:textId="36E83103" w:rsidR="00CB0665" w:rsidRPr="00A77871" w:rsidRDefault="00CB0665" w:rsidP="00E51F64">
      <w:pPr>
        <w:spacing w:after="0" w:line="276" w:lineRule="auto"/>
        <w:ind w:firstLine="709"/>
        <w:jc w:val="both"/>
        <w:rPr>
          <w:rFonts w:ascii="Verdana" w:eastAsia="Times New Roman" w:hAnsi="Verdana" w:cs="Arial"/>
          <w:color w:val="000000"/>
          <w:lang w:val="es-ES" w:eastAsia="es-ES"/>
        </w:rPr>
      </w:pPr>
      <w:r w:rsidRPr="00A77871">
        <w:rPr>
          <w:rFonts w:ascii="Verdana" w:eastAsia="Times New Roman" w:hAnsi="Verdana" w:cs="Arial"/>
          <w:color w:val="000000" w:themeColor="text1"/>
          <w:lang w:val="es-ES" w:eastAsia="es-ES"/>
        </w:rPr>
        <w:t xml:space="preserve"> </w:t>
      </w:r>
    </w:p>
    <w:bookmarkEnd w:id="10"/>
    <w:p w14:paraId="0A28A836" w14:textId="77777777" w:rsidR="00CB0665" w:rsidRPr="00A77871" w:rsidRDefault="00CB0665" w:rsidP="00CB0665">
      <w:pPr>
        <w:numPr>
          <w:ilvl w:val="0"/>
          <w:numId w:val="16"/>
        </w:numPr>
        <w:tabs>
          <w:tab w:val="left" w:pos="142"/>
          <w:tab w:val="left" w:pos="284"/>
        </w:tabs>
        <w:spacing w:after="0" w:line="276" w:lineRule="auto"/>
        <w:jc w:val="both"/>
        <w:rPr>
          <w:rFonts w:ascii="Verdana" w:eastAsia="Century Gothic" w:hAnsi="Verdana" w:cs="Century Gothic"/>
          <w:b/>
          <w:bCs/>
        </w:rPr>
      </w:pPr>
      <w:r w:rsidRPr="00A77871">
        <w:rPr>
          <w:rFonts w:ascii="Verdana" w:eastAsia="Century Gothic" w:hAnsi="Verdana" w:cs="Century Gothic"/>
          <w:b/>
          <w:bCs/>
        </w:rPr>
        <w:t>Referencias normativas y jurisprudenciales:</w:t>
      </w:r>
    </w:p>
    <w:p w14:paraId="54C9D66D" w14:textId="77777777" w:rsidR="00CB0665" w:rsidRPr="00A77871" w:rsidRDefault="00CB0665" w:rsidP="00CB0665">
      <w:pPr>
        <w:widowControl w:val="0"/>
        <w:autoSpaceDE w:val="0"/>
        <w:autoSpaceDN w:val="0"/>
        <w:spacing w:after="0" w:line="276" w:lineRule="auto"/>
        <w:jc w:val="both"/>
        <w:rPr>
          <w:rFonts w:ascii="Verdana" w:eastAsia="Calibri"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B0665" w:rsidRPr="00A77871" w14:paraId="546AF6B7" w14:textId="77777777" w:rsidTr="006D487B">
        <w:trPr>
          <w:trHeight w:val="410"/>
          <w:jc w:val="center"/>
        </w:trPr>
        <w:tc>
          <w:tcPr>
            <w:tcW w:w="8647" w:type="dxa"/>
          </w:tcPr>
          <w:p w14:paraId="5E33FBA2" w14:textId="77777777" w:rsidR="00CB0665" w:rsidRPr="00A77871" w:rsidRDefault="00CB0665" w:rsidP="00CB0665">
            <w:pPr>
              <w:pStyle w:val="Sinespaciado"/>
              <w:numPr>
                <w:ilvl w:val="0"/>
                <w:numId w:val="17"/>
              </w:numPr>
              <w:spacing w:line="276" w:lineRule="auto"/>
              <w:rPr>
                <w:rFonts w:ascii="Verdana" w:hAnsi="Verdana"/>
                <w:lang w:val="es-ES" w:eastAsia="es-ES" w:bidi="es-ES"/>
              </w:rPr>
            </w:pPr>
            <w:r w:rsidRPr="00A77871">
              <w:rPr>
                <w:rFonts w:ascii="Verdana" w:hAnsi="Verdana"/>
                <w:lang w:eastAsia="es-ES" w:bidi="es-ES"/>
              </w:rPr>
              <w:lastRenderedPageBreak/>
              <w:t>Constitución Política: Artículo 127.</w:t>
            </w:r>
          </w:p>
          <w:p w14:paraId="0B496AE5" w14:textId="77777777" w:rsidR="00CB0665" w:rsidRPr="00A77871" w:rsidRDefault="00CB0665" w:rsidP="00CB0665">
            <w:pPr>
              <w:pStyle w:val="Sinespaciado"/>
              <w:numPr>
                <w:ilvl w:val="0"/>
                <w:numId w:val="17"/>
              </w:numPr>
              <w:spacing w:line="276" w:lineRule="auto"/>
              <w:rPr>
                <w:rFonts w:ascii="Verdana" w:hAnsi="Verdana"/>
                <w:lang w:val="es-ES" w:eastAsia="es-ES" w:bidi="es-ES"/>
              </w:rPr>
            </w:pPr>
            <w:r w:rsidRPr="00A77871">
              <w:rPr>
                <w:rFonts w:ascii="Verdana" w:hAnsi="Verdana"/>
                <w:lang w:val="es-ES" w:eastAsia="es-ES" w:bidi="es-ES"/>
              </w:rPr>
              <w:t xml:space="preserve">Ley 80 de 1993, artículos 39, 41, 44, 46, 49 y 60. </w:t>
            </w:r>
          </w:p>
          <w:p w14:paraId="419539D6" w14:textId="77777777" w:rsidR="00691696" w:rsidRPr="00691696" w:rsidRDefault="00691696" w:rsidP="00691696">
            <w:pPr>
              <w:pStyle w:val="Prrafodelista"/>
              <w:numPr>
                <w:ilvl w:val="0"/>
                <w:numId w:val="17"/>
              </w:numPr>
              <w:rPr>
                <w:rFonts w:ascii="Verdana" w:hAnsi="Verdana"/>
                <w:lang w:eastAsia="es-ES" w:bidi="es-ES"/>
              </w:rPr>
            </w:pPr>
            <w:r w:rsidRPr="00691696">
              <w:rPr>
                <w:rFonts w:ascii="Verdana" w:hAnsi="Verdana"/>
                <w:lang w:eastAsia="es-ES" w:bidi="es-ES"/>
              </w:rPr>
              <w:t>Ley 1150 de 2007, artículo 2, numeral 4</w:t>
            </w:r>
          </w:p>
          <w:p w14:paraId="6B0F970E" w14:textId="466F7D94" w:rsidR="00CB0665" w:rsidRPr="00FC025F" w:rsidRDefault="00CB0665" w:rsidP="00CB0665">
            <w:pPr>
              <w:pStyle w:val="Sinespaciado"/>
              <w:numPr>
                <w:ilvl w:val="0"/>
                <w:numId w:val="17"/>
              </w:numPr>
              <w:spacing w:line="276" w:lineRule="auto"/>
              <w:rPr>
                <w:rFonts w:ascii="Verdana" w:hAnsi="Verdana"/>
                <w:lang w:val="es-ES" w:eastAsia="es-ES" w:bidi="es-ES"/>
              </w:rPr>
            </w:pPr>
            <w:r w:rsidRPr="00A77871">
              <w:rPr>
                <w:rFonts w:ascii="Verdana" w:hAnsi="Verdana"/>
                <w:bCs/>
                <w:lang w:val="es-ES" w:eastAsia="es-ES" w:bidi="es-ES"/>
              </w:rPr>
              <w:t>Ley 996 de 2005: artículos 33 y 38</w:t>
            </w:r>
            <w:r w:rsidR="00AF71EC">
              <w:rPr>
                <w:rFonts w:ascii="Verdana" w:hAnsi="Verdana"/>
                <w:bCs/>
                <w:lang w:val="es-ES" w:eastAsia="es-ES" w:bidi="es-ES"/>
              </w:rPr>
              <w:t>,</w:t>
            </w:r>
            <w:r w:rsidRPr="00A77871">
              <w:rPr>
                <w:rFonts w:ascii="Verdana" w:hAnsi="Verdana"/>
                <w:bCs/>
                <w:lang w:val="es-ES" w:eastAsia="es-ES" w:bidi="es-ES"/>
              </w:rPr>
              <w:t xml:space="preserve"> parágrafo.</w:t>
            </w:r>
          </w:p>
          <w:p w14:paraId="17FA8505" w14:textId="77777777" w:rsidR="00FC025F" w:rsidRPr="00FC025F" w:rsidRDefault="00FC025F" w:rsidP="006D487B">
            <w:pPr>
              <w:pStyle w:val="Prrafodelista"/>
              <w:numPr>
                <w:ilvl w:val="0"/>
                <w:numId w:val="17"/>
              </w:numPr>
              <w:spacing w:after="160" w:line="276" w:lineRule="auto"/>
              <w:rPr>
                <w:rFonts w:ascii="Verdana" w:eastAsia="Calibri" w:hAnsi="Verdana"/>
              </w:rPr>
            </w:pPr>
            <w:r w:rsidRPr="00FC025F">
              <w:rPr>
                <w:rFonts w:ascii="Verdana" w:hAnsi="Verdana"/>
                <w:lang w:eastAsia="es-ES" w:bidi="es-ES"/>
              </w:rPr>
              <w:t>Decreto 780 de 2016, artículo 2.8.8.1.1.3 y 2.8.8.1.4.2</w:t>
            </w:r>
          </w:p>
          <w:p w14:paraId="37BE91B8" w14:textId="77777777" w:rsidR="00CB0665" w:rsidRDefault="00CB0665" w:rsidP="00FC025F">
            <w:pPr>
              <w:pStyle w:val="Prrafodelista"/>
              <w:numPr>
                <w:ilvl w:val="0"/>
                <w:numId w:val="17"/>
              </w:numPr>
              <w:spacing w:after="160" w:line="276" w:lineRule="auto"/>
              <w:rPr>
                <w:rFonts w:ascii="Verdana" w:eastAsia="Calibri" w:hAnsi="Verdana"/>
              </w:rPr>
            </w:pPr>
            <w:r w:rsidRPr="00FC025F">
              <w:rPr>
                <w:rFonts w:ascii="Verdana" w:eastAsia="Calibri" w:hAnsi="Verdana"/>
              </w:rPr>
              <w:t xml:space="preserve">Colombia Compra Eficiente. Circular Externa Única. Numeral 16.5. Disponible en línea: </w:t>
            </w:r>
            <w:hyperlink r:id="rId12" w:history="1">
              <w:r w:rsidRPr="00FC025F">
                <w:rPr>
                  <w:rStyle w:val="Hipervnculo"/>
                  <w:rFonts w:ascii="Verdana" w:eastAsia="Calibri" w:hAnsi="Verdana" w:cs="Arial"/>
                </w:rPr>
                <w:t>https://www.colombiacompra.gov.co/normativa-y-relatoria/circular-unica-externa</w:t>
              </w:r>
            </w:hyperlink>
            <w:r w:rsidRPr="00FC025F">
              <w:rPr>
                <w:rFonts w:ascii="Verdana" w:eastAsia="Calibri" w:hAnsi="Verdana"/>
              </w:rPr>
              <w:t xml:space="preserve"> </w:t>
            </w:r>
          </w:p>
          <w:p w14:paraId="60ADB193" w14:textId="77777777" w:rsidR="002048DF" w:rsidRPr="002048DF" w:rsidRDefault="002048DF" w:rsidP="002048DF">
            <w:pPr>
              <w:pStyle w:val="Prrafodelista"/>
              <w:numPr>
                <w:ilvl w:val="0"/>
                <w:numId w:val="17"/>
              </w:numPr>
              <w:spacing w:line="276" w:lineRule="auto"/>
              <w:rPr>
                <w:rFonts w:ascii="Verdana" w:eastAsia="Calibri" w:hAnsi="Verdana"/>
              </w:rPr>
            </w:pPr>
            <w:r w:rsidRPr="002048DF">
              <w:rPr>
                <w:rFonts w:ascii="Verdana" w:eastAsia="Calibri" w:hAnsi="Verdana"/>
              </w:rPr>
              <w:t>Corte Constitucional, Sentencia C- 1153 de 2005, M.P. Marco Gerardo Monroy Cabra</w:t>
            </w:r>
          </w:p>
          <w:p w14:paraId="02824673" w14:textId="77777777" w:rsidR="002048DF" w:rsidRDefault="002048DF" w:rsidP="002048DF">
            <w:pPr>
              <w:pStyle w:val="Prrafodelista"/>
              <w:numPr>
                <w:ilvl w:val="0"/>
                <w:numId w:val="17"/>
              </w:numPr>
              <w:spacing w:line="276" w:lineRule="auto"/>
              <w:rPr>
                <w:rFonts w:ascii="Verdana" w:eastAsia="Calibri" w:hAnsi="Verdana"/>
              </w:rPr>
            </w:pPr>
            <w:r w:rsidRPr="002048DF">
              <w:rPr>
                <w:rFonts w:ascii="Verdana" w:eastAsia="Calibri" w:hAnsi="Verdana"/>
              </w:rPr>
              <w:t>Consejo de Estado, Sala de Consulta y Servicio Civil de fecha 24 de julio de 2013, radicado 2166, C. P. Álvaro Namén Vargas</w:t>
            </w:r>
          </w:p>
          <w:p w14:paraId="3E49F741" w14:textId="2D0D6201" w:rsidR="002048DF" w:rsidRPr="002048DF" w:rsidRDefault="002048DF" w:rsidP="002048DF">
            <w:pPr>
              <w:pStyle w:val="Prrafodelista"/>
              <w:numPr>
                <w:ilvl w:val="0"/>
                <w:numId w:val="17"/>
              </w:numPr>
              <w:spacing w:line="276" w:lineRule="auto"/>
              <w:rPr>
                <w:rFonts w:ascii="Verdana" w:eastAsia="Calibri" w:hAnsi="Verdana"/>
              </w:rPr>
            </w:pPr>
            <w:r w:rsidRPr="002048DF">
              <w:rPr>
                <w:rFonts w:ascii="Verdana" w:eastAsia="Calibri" w:hAnsi="Verdana"/>
              </w:rPr>
              <w:t>Consejo de Estado. Sala de Consulta y Servicio Civil. Concepto del 2 de septiembre de 2013. Radicación número: 11001-03-06-000-2013-00412-00 (2168). Consejero Ponente: Álvaro Namén Vargas</w:t>
            </w:r>
          </w:p>
          <w:p w14:paraId="5AD5486C" w14:textId="77777777" w:rsidR="002048DF" w:rsidRPr="002048DF" w:rsidRDefault="002048DF" w:rsidP="002048DF">
            <w:pPr>
              <w:pStyle w:val="Prrafodelista"/>
              <w:numPr>
                <w:ilvl w:val="0"/>
                <w:numId w:val="17"/>
              </w:numPr>
              <w:spacing w:line="276" w:lineRule="auto"/>
              <w:rPr>
                <w:rFonts w:ascii="Verdana" w:eastAsia="Calibri" w:hAnsi="Verdana"/>
              </w:rPr>
            </w:pPr>
            <w:r w:rsidRPr="002048DF">
              <w:rPr>
                <w:rFonts w:ascii="Verdana" w:eastAsia="Calibri" w:hAnsi="Verdana"/>
              </w:rPr>
              <w:t>Consejo de Estado. Sala de Consulta y Servicio Civil. Concepto del 17 de febrero de 2015. C.P. William Zambrano Cetina. Radicación No. 11001-03-06-000-2015-00164-00(2269).</w:t>
            </w:r>
          </w:p>
          <w:p w14:paraId="04B2A4DA" w14:textId="4225B733" w:rsidR="00FC025F" w:rsidRPr="002048DF" w:rsidRDefault="002048DF" w:rsidP="002048DF">
            <w:pPr>
              <w:pStyle w:val="Prrafodelista"/>
              <w:numPr>
                <w:ilvl w:val="0"/>
                <w:numId w:val="17"/>
              </w:numPr>
              <w:spacing w:line="276" w:lineRule="auto"/>
              <w:rPr>
                <w:rFonts w:ascii="Verdana" w:eastAsia="Calibri" w:hAnsi="Verdana"/>
              </w:rPr>
            </w:pPr>
            <w:r w:rsidRPr="002048DF">
              <w:rPr>
                <w:rFonts w:ascii="Verdana" w:eastAsia="Calibri" w:hAnsi="Verdana"/>
              </w:rPr>
              <w:t>Consejo de Estado. Sala de Consulta y Servicio Civil, Concepto de 8 de mayo de 2018. Radicación Número: 11001-03-06-000-2018-00095-00(2382). Consejero Ponente: Álvaro Namén Vargas.</w:t>
            </w:r>
          </w:p>
        </w:tc>
      </w:tr>
    </w:tbl>
    <w:p w14:paraId="4FB743E9" w14:textId="41862C7E" w:rsidR="00CB0665" w:rsidRPr="00A77871" w:rsidRDefault="00CB0665" w:rsidP="00DD7D85">
      <w:pPr>
        <w:widowControl w:val="0"/>
        <w:numPr>
          <w:ilvl w:val="0"/>
          <w:numId w:val="16"/>
        </w:numPr>
        <w:tabs>
          <w:tab w:val="left" w:pos="142"/>
          <w:tab w:val="left" w:pos="284"/>
        </w:tabs>
        <w:autoSpaceDE w:val="0"/>
        <w:autoSpaceDN w:val="0"/>
        <w:spacing w:before="240" w:line="276" w:lineRule="auto"/>
        <w:jc w:val="both"/>
        <w:rPr>
          <w:rFonts w:ascii="Verdana" w:eastAsia="Calibri" w:hAnsi="Verdana" w:cs="Arial"/>
          <w:color w:val="000000"/>
          <w:kern w:val="2"/>
          <w:shd w:val="clear" w:color="auto" w:fill="FFFFFF"/>
          <w14:ligatures w14:val="standardContextual"/>
        </w:rPr>
      </w:pPr>
      <w:r w:rsidRPr="00A77871">
        <w:rPr>
          <w:rFonts w:ascii="Verdana" w:eastAsia="Century Gothic" w:hAnsi="Verdana" w:cs="Century Gothic"/>
          <w:b/>
          <w:bCs/>
        </w:rPr>
        <w:t>Doctrina de la Agencia Nacional de Contratación Pública:</w:t>
      </w:r>
    </w:p>
    <w:p w14:paraId="44B50F0C" w14:textId="77777777" w:rsidR="00CB0665" w:rsidRDefault="00CB0665" w:rsidP="00CB0665">
      <w:pPr>
        <w:widowControl w:val="0"/>
        <w:autoSpaceDE w:val="0"/>
        <w:autoSpaceDN w:val="0"/>
        <w:spacing w:line="276" w:lineRule="auto"/>
        <w:jc w:val="both"/>
        <w:rPr>
          <w:rFonts w:ascii="Verdana" w:hAnsi="Verdana" w:cs="Arial"/>
          <w:shd w:val="clear" w:color="auto" w:fill="FFFFFF"/>
        </w:rPr>
      </w:pPr>
      <w:r w:rsidRPr="00A77871">
        <w:rPr>
          <w:rStyle w:val="normaltextrun"/>
          <w:rFonts w:ascii="Verdana" w:hAnsi="Verdana" w:cs="Arial"/>
          <w:shd w:val="clear" w:color="auto" w:fill="FFFFFF"/>
          <w:lang w:val="es-ES_tradnl"/>
        </w:rPr>
        <w:t xml:space="preserve">Esta Subdirección se ha pronunciado sobre </w:t>
      </w:r>
      <w:r w:rsidRPr="00A77871">
        <w:rPr>
          <w:rFonts w:ascii="Verdana" w:hAnsi="Verdana" w:cs="Arial"/>
          <w:shd w:val="clear" w:color="auto" w:fill="FFFFFF"/>
          <w:lang w:val="es-ES"/>
        </w:rPr>
        <w:t xml:space="preserve">la finalidad y propósito de la Ley de Garantías Electorales,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entre otros. </w:t>
      </w:r>
      <w:r w:rsidRPr="00A77871">
        <w:rPr>
          <w:rFonts w:ascii="Verdana" w:hAnsi="Verdana" w:cs="Arial"/>
          <w:shd w:val="clear" w:color="auto" w:fill="FFFFFF"/>
        </w:rPr>
        <w:t xml:space="preserve">Esta </w:t>
      </w:r>
      <w:r w:rsidRPr="00A77871">
        <w:rPr>
          <w:rFonts w:ascii="Verdana" w:hAnsi="Verdana" w:cs="Arial"/>
          <w:shd w:val="clear" w:color="auto" w:fill="FFFFFF"/>
        </w:rPr>
        <w:lastRenderedPageBreak/>
        <w:t xml:space="preserve">Subdirección se ha pronunciado sobre la liquidación en los conceptos 4201912000004908 del 27 de septiembre de 2019, CU-028 de 25 de febrero de 2020, C-221 de 21 de abril de 2020, C-078 del 17 de marzo de 2021, C-220 del 18 de mayo de 2021, C-444 del 23 de julio de 2021, C-747 del 8 de noviembre de 2022, C-739 de del 29 de noviembre de 2022, C- 176 de 3 de mayo de 2023, C-158 del 6 de junio de 2023, C-326 del 15 de agosto de 2024, C-568 del 18 de octubre de 2024 y C-774 del 20 de noviembre de 2024. </w:t>
      </w:r>
      <w:r w:rsidRPr="00A77871">
        <w:rPr>
          <w:rFonts w:ascii="Verdana" w:eastAsia="Aptos" w:hAnsi="Verdana" w:cs="Arial"/>
          <w:shd w:val="clear" w:color="auto" w:fill="FFFFFF"/>
          <w:lang w:val="es-ES"/>
        </w:rPr>
        <w:t xml:space="preserve">Sobre la nulidad de los contratos estatales, esta Subdirección se ha referido en los Conceptos </w:t>
      </w:r>
      <w:r w:rsidRPr="00A77871">
        <w:rPr>
          <w:rFonts w:ascii="Verdana" w:eastAsia="Calibri" w:hAnsi="Verdana" w:cs="Arial"/>
          <w:lang w:val="es-ES_tradnl" w:eastAsia="es-MX"/>
        </w:rPr>
        <w:t>C</w:t>
      </w:r>
      <w:r w:rsidRPr="00A77871">
        <w:rPr>
          <w:rFonts w:ascii="Verdana" w:eastAsia="Aptos" w:hAnsi="Verdana" w:cs="Times New Roman"/>
        </w:rPr>
        <w:t xml:space="preserve"> </w:t>
      </w:r>
      <w:r w:rsidRPr="00A77871">
        <w:rPr>
          <w:rFonts w:ascii="Verdana" w:eastAsia="Calibri" w:hAnsi="Verdana" w:cs="Arial"/>
          <w:lang w:val="es-ES_tradnl" w:eastAsia="es-MX"/>
        </w:rPr>
        <w:t>C-600 del 13 de octubre de 2020, C-378 del 31 de agosto de 2021, C-575 del 13 de octubre de 2021, C-896 del 17 de enero de 2023, C-041 del 20 de febrero de 2025</w:t>
      </w:r>
      <w:r w:rsidRPr="00A77871">
        <w:rPr>
          <w:rFonts w:ascii="Verdana" w:eastAsia="Aptos" w:hAnsi="Verdana" w:cs="Arial"/>
          <w:shd w:val="clear" w:color="auto" w:fill="FFFFFF"/>
          <w:lang w:val="es-ES"/>
        </w:rPr>
        <w:t xml:space="preserve">, C-466 del 16 de mayo de 2025, C-510 del 4 de junio de 2025, C-696 del 11 de julio de 2025, 1868 del 09 de febrero de 2026, entre otros. </w:t>
      </w:r>
      <w:r w:rsidRPr="00A77871">
        <w:rPr>
          <w:rFonts w:ascii="Verdana" w:hAnsi="Verdana" w:cs="Arial"/>
          <w:shd w:val="clear" w:color="auto" w:fill="FFFFFF"/>
        </w:rPr>
        <w:t>E</w:t>
      </w:r>
      <w:proofErr w:type="spellStart"/>
      <w:r w:rsidRPr="00A77871">
        <w:rPr>
          <w:rFonts w:ascii="Verdana" w:hAnsi="Verdana" w:cs="Arial"/>
          <w:shd w:val="clear" w:color="auto" w:fill="FFFFFF"/>
          <w:lang w:val="es-ES"/>
        </w:rPr>
        <w:t>stos</w:t>
      </w:r>
      <w:proofErr w:type="spellEnd"/>
      <w:r w:rsidRPr="00A77871">
        <w:rPr>
          <w:rFonts w:ascii="Verdana" w:hAnsi="Verdana" w:cs="Arial"/>
          <w:shd w:val="clear" w:color="auto" w:fill="FFFFFF"/>
          <w:lang w:val="es-ES"/>
        </w:rPr>
        <w:t xml:space="preserve"> y otros </w:t>
      </w:r>
      <w:r w:rsidRPr="00A77871">
        <w:rPr>
          <w:rFonts w:ascii="Verdana" w:hAnsi="Verdana"/>
        </w:rPr>
        <w:t>conceptos se encuentran disponibles para consulta en el Sistema de relatoría de la Agencia, al cual se puede acceder a través del siguiente enlace:</w:t>
      </w:r>
      <w:r w:rsidRPr="00A77871">
        <w:rPr>
          <w:rFonts w:ascii="Verdana" w:hAnsi="Verdana" w:cs="Arial"/>
          <w:shd w:val="clear" w:color="auto" w:fill="FFFFFF"/>
        </w:rPr>
        <w:t xml:space="preserve"> </w:t>
      </w:r>
      <w:hyperlink r:id="rId13" w:history="1">
        <w:r w:rsidRPr="00A77871">
          <w:rPr>
            <w:rFonts w:ascii="Verdana" w:hAnsi="Verdana" w:cs="Arial"/>
            <w:color w:val="0563C1" w:themeColor="hyperlink"/>
            <w:u w:val="single"/>
            <w:shd w:val="clear" w:color="auto" w:fill="FFFFFF"/>
          </w:rPr>
          <w:t>https://relatoria.colombiacompra.gov.co/busqueda/conceptos</w:t>
        </w:r>
      </w:hyperlink>
      <w:r w:rsidRPr="00A77871">
        <w:rPr>
          <w:rFonts w:ascii="Verdana" w:hAnsi="Verdana" w:cs="Arial"/>
          <w:shd w:val="clear" w:color="auto" w:fill="FFFFFF"/>
        </w:rPr>
        <w:t>.</w:t>
      </w:r>
    </w:p>
    <w:p w14:paraId="7E146980" w14:textId="77777777" w:rsidR="00B923DC" w:rsidRPr="009A385A" w:rsidRDefault="00B923DC" w:rsidP="00B923DC">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9A385A">
          <w:rPr>
            <w:rStyle w:val="Hipervnculo"/>
            <w:rFonts w:ascii="Verdana" w:hAnsi="Verdana"/>
          </w:rPr>
          <w:t>https://formacionvirtual.colombiacompra.gov.co/mod/page/view.php?id=3718</w:t>
        </w:r>
      </w:hyperlink>
    </w:p>
    <w:p w14:paraId="7020604A" w14:textId="77777777" w:rsidR="00B923DC" w:rsidRDefault="00B923DC" w:rsidP="00B923DC">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5" w:tgtFrame="_new" w:history="1">
        <w:r w:rsidRPr="00635F16">
          <w:rPr>
            <w:rStyle w:val="Hipervnculo"/>
            <w:rFonts w:ascii="Verdana" w:hAnsi="Verdana"/>
          </w:rPr>
          <w:t>https://www.colombiacompra.gov.co/normativa-y-relatoria/documentos-tipo</w:t>
        </w:r>
      </w:hyperlink>
    </w:p>
    <w:p w14:paraId="251ADC6A" w14:textId="77777777" w:rsidR="00B923DC" w:rsidRPr="009A385A" w:rsidRDefault="00B923DC" w:rsidP="00B923DC">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lastRenderedPageBreak/>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6"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710F0B2F" w14:textId="77777777" w:rsidR="00CB0665" w:rsidRPr="00A77871" w:rsidRDefault="00CB0665" w:rsidP="0029279E">
      <w:pPr>
        <w:spacing w:line="276" w:lineRule="auto"/>
        <w:jc w:val="both"/>
        <w:rPr>
          <w:rFonts w:ascii="Verdana" w:hAnsi="Verdana"/>
        </w:rPr>
      </w:pPr>
      <w:r w:rsidRPr="00A77871">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692D0362" w14:textId="77777777" w:rsidR="00CB0665" w:rsidRPr="00A77871" w:rsidRDefault="00CB0665" w:rsidP="00CB0665">
      <w:pPr>
        <w:pStyle w:val="Prrafodelista"/>
        <w:numPr>
          <w:ilvl w:val="0"/>
          <w:numId w:val="18"/>
        </w:numPr>
        <w:spacing w:after="0" w:line="276" w:lineRule="auto"/>
        <w:jc w:val="both"/>
        <w:rPr>
          <w:rFonts w:ascii="Verdana" w:eastAsia="Verdana" w:hAnsi="Verdana" w:cs="Verdana"/>
          <w:color w:val="4472C4" w:themeColor="accent1"/>
          <w:u w:val="single"/>
        </w:rPr>
      </w:pPr>
      <w:r w:rsidRPr="00A77871">
        <w:rPr>
          <w:rFonts w:ascii="Verdana" w:eastAsia="Verdana" w:hAnsi="Verdana" w:cs="Verdana"/>
        </w:rPr>
        <w:t xml:space="preserve">Línea nacional gratuita o servicio a la ciudadanía (Mesa de servicio): </w:t>
      </w:r>
      <w:r w:rsidRPr="00A77871">
        <w:rPr>
          <w:rStyle w:val="Hipervnculo"/>
          <w:rFonts w:ascii="Verdana" w:hAnsi="Verdana"/>
          <w:lang w:val="es-CO"/>
        </w:rPr>
        <w:t>01800 0520808</w:t>
      </w:r>
    </w:p>
    <w:p w14:paraId="7EE7A36F" w14:textId="77777777" w:rsidR="00CB0665" w:rsidRPr="00A77871" w:rsidRDefault="00CB0665" w:rsidP="00CB0665">
      <w:pPr>
        <w:pStyle w:val="Prrafodelista"/>
        <w:numPr>
          <w:ilvl w:val="0"/>
          <w:numId w:val="18"/>
        </w:numPr>
        <w:spacing w:after="0" w:line="276" w:lineRule="auto"/>
        <w:rPr>
          <w:rFonts w:ascii="Verdana" w:eastAsia="Verdana" w:hAnsi="Verdana" w:cs="Verdana"/>
          <w:color w:val="4472C4" w:themeColor="accent1"/>
          <w:u w:val="single"/>
          <w:lang w:val="es-CO"/>
        </w:rPr>
      </w:pPr>
      <w:r w:rsidRPr="00A77871">
        <w:rPr>
          <w:rFonts w:ascii="Verdana" w:eastAsia="Verdana" w:hAnsi="Verdana" w:cs="Verdana"/>
          <w:lang w:val="es-CO"/>
        </w:rPr>
        <w:t>Línea en Bogotá (Mesa de servicio</w:t>
      </w:r>
      <w:proofErr w:type="gramStart"/>
      <w:r w:rsidRPr="00A77871">
        <w:rPr>
          <w:rFonts w:ascii="Verdana" w:eastAsia="Verdana" w:hAnsi="Verdana" w:cs="Verdana"/>
          <w:lang w:val="es-CO"/>
        </w:rPr>
        <w:t>):</w:t>
      </w:r>
      <w:r w:rsidRPr="00A77871">
        <w:rPr>
          <w:rStyle w:val="Hipervnculo"/>
          <w:rFonts w:ascii="Verdana" w:hAnsi="Verdana"/>
          <w:lang w:val="es-CO"/>
        </w:rPr>
        <w:t>+</w:t>
      </w:r>
      <w:proofErr w:type="gramEnd"/>
      <w:r w:rsidRPr="00A77871">
        <w:rPr>
          <w:rStyle w:val="Hipervnculo"/>
          <w:rFonts w:ascii="Verdana" w:hAnsi="Verdana"/>
          <w:lang w:val="es-CO"/>
        </w:rPr>
        <w:t>57 601 7456788</w:t>
      </w:r>
    </w:p>
    <w:p w14:paraId="1775DB8D" w14:textId="77777777" w:rsidR="00CB0665" w:rsidRPr="00A77871" w:rsidRDefault="00CB0665" w:rsidP="00CB0665">
      <w:pPr>
        <w:pStyle w:val="Prrafodelista"/>
        <w:numPr>
          <w:ilvl w:val="0"/>
          <w:numId w:val="18"/>
        </w:numPr>
        <w:spacing w:after="0" w:line="276" w:lineRule="auto"/>
        <w:rPr>
          <w:rFonts w:ascii="Verdana" w:eastAsia="Verdana" w:hAnsi="Verdana" w:cs="Verdana"/>
          <w:color w:val="0000FF"/>
          <w:u w:val="single"/>
          <w:lang w:val="es-CO"/>
        </w:rPr>
      </w:pPr>
      <w:r w:rsidRPr="00A77871">
        <w:rPr>
          <w:rFonts w:ascii="Verdana" w:eastAsia="Verdana" w:hAnsi="Verdana" w:cs="Verdana"/>
          <w:lang w:val="es-CO"/>
        </w:rPr>
        <w:t xml:space="preserve">Correo de radicación de correspondencia: </w:t>
      </w:r>
      <w:hyperlink r:id="rId17" w:history="1">
        <w:r w:rsidRPr="00A77871">
          <w:rPr>
            <w:rStyle w:val="Hipervnculo"/>
            <w:rFonts w:ascii="Verdana" w:eastAsia="Verdana" w:hAnsi="Verdana" w:cs="Verdana"/>
            <w:lang w:val="es-CO"/>
          </w:rPr>
          <w:t>ventanilladeradicacion@colombiacompra.gov.co</w:t>
        </w:r>
      </w:hyperlink>
    </w:p>
    <w:p w14:paraId="1F747E60" w14:textId="77777777" w:rsidR="00CB0665" w:rsidRPr="00A77871" w:rsidRDefault="00CB0665" w:rsidP="00CB0665">
      <w:pPr>
        <w:pStyle w:val="Prrafodelista"/>
        <w:numPr>
          <w:ilvl w:val="0"/>
          <w:numId w:val="18"/>
        </w:numPr>
        <w:spacing w:line="276" w:lineRule="auto"/>
        <w:jc w:val="both"/>
        <w:rPr>
          <w:rFonts w:ascii="Verdana" w:hAnsi="Verdana"/>
        </w:rPr>
      </w:pPr>
      <w:r w:rsidRPr="00A77871">
        <w:rPr>
          <w:rFonts w:ascii="Verdana" w:eastAsia="Verdana" w:hAnsi="Verdana" w:cs="Verdana"/>
          <w:lang w:val="es-CO"/>
        </w:rPr>
        <w:t xml:space="preserve">Formulario web para PQRSD: </w:t>
      </w:r>
      <w:hyperlink r:id="rId18" w:history="1">
        <w:r w:rsidRPr="00A77871">
          <w:rPr>
            <w:rStyle w:val="Hipervnculo"/>
            <w:rFonts w:ascii="Verdana" w:eastAsia="Verdana" w:hAnsi="Verdana" w:cs="Verdana"/>
            <w:lang w:val="es-CO"/>
          </w:rPr>
          <w:t>https://www.colombiacompra.gov.co/pqrsd/informacion-importante-antes-de-formular-una-pqrsd</w:t>
        </w:r>
      </w:hyperlink>
    </w:p>
    <w:p w14:paraId="5320EDA9" w14:textId="77777777" w:rsidR="00CB0665" w:rsidRPr="00A77871" w:rsidRDefault="00CB0665" w:rsidP="0029279E">
      <w:pPr>
        <w:spacing w:line="276" w:lineRule="auto"/>
        <w:jc w:val="both"/>
        <w:rPr>
          <w:rFonts w:ascii="Verdana" w:hAnsi="Verdana"/>
        </w:rPr>
      </w:pPr>
      <w:r w:rsidRPr="00A77871">
        <w:rPr>
          <w:rFonts w:ascii="Verdana" w:hAnsi="Verdana"/>
        </w:rPr>
        <w:t xml:space="preserve">Evalúa el servicio que ofrece la Agencia por el canal de atención de PQRSD en el siguiente enlace: </w:t>
      </w:r>
      <w:hyperlink r:id="rId19" w:history="1">
        <w:r w:rsidRPr="00A77871">
          <w:rPr>
            <w:rStyle w:val="Hipervnculo"/>
            <w:rFonts w:ascii="Verdana" w:hAnsi="Verdana"/>
          </w:rPr>
          <w:t>https://forms.office.com/r/pPHyWVs2SZ</w:t>
        </w:r>
      </w:hyperlink>
      <w:r w:rsidRPr="00A77871">
        <w:rPr>
          <w:rFonts w:ascii="Verdana" w:hAnsi="Verdana"/>
        </w:rPr>
        <w:t>. ¡Ayúdanos a mejorar porque el compromiso es de todos!</w:t>
      </w:r>
    </w:p>
    <w:p w14:paraId="16D11193" w14:textId="004B89D4" w:rsidR="0029279E" w:rsidRPr="00A77871" w:rsidRDefault="00CB0665" w:rsidP="0029279E">
      <w:pPr>
        <w:spacing w:line="276" w:lineRule="auto"/>
        <w:jc w:val="both"/>
        <w:rPr>
          <w:rFonts w:ascii="Verdana" w:hAnsi="Verdana"/>
        </w:rPr>
      </w:pPr>
      <w:r w:rsidRPr="00A77871">
        <w:rPr>
          <w:rFonts w:ascii="Verdana" w:hAnsi="Verdana"/>
        </w:rPr>
        <w:t xml:space="preserve">Por último, lo invitamos a seguirnos en las redes sociales en las cuales se difunde información institucional: </w:t>
      </w:r>
    </w:p>
    <w:p w14:paraId="07FF8E49" w14:textId="77777777" w:rsidR="00CB0665" w:rsidRPr="00A77871" w:rsidRDefault="00CB0665" w:rsidP="00CB0665">
      <w:pPr>
        <w:spacing w:after="0" w:line="276" w:lineRule="auto"/>
        <w:jc w:val="both"/>
        <w:rPr>
          <w:rFonts w:ascii="Verdana" w:hAnsi="Verdana"/>
        </w:rPr>
      </w:pPr>
      <w:r w:rsidRPr="00A77871">
        <w:rPr>
          <w:rFonts w:ascii="Verdana" w:hAnsi="Verdana"/>
        </w:rPr>
        <w:t xml:space="preserve">Twitter: </w:t>
      </w:r>
      <w:r w:rsidRPr="00A77871">
        <w:rPr>
          <w:rStyle w:val="Hipervnculo"/>
          <w:rFonts w:ascii="Verdana" w:hAnsi="Verdana"/>
        </w:rPr>
        <w:t>@colombiacompra</w:t>
      </w:r>
      <w:r w:rsidRPr="00A77871">
        <w:rPr>
          <w:rFonts w:ascii="Verdana" w:hAnsi="Verdana"/>
        </w:rPr>
        <w:t xml:space="preserve"> </w:t>
      </w:r>
    </w:p>
    <w:p w14:paraId="72023832" w14:textId="77777777" w:rsidR="00CB0665" w:rsidRPr="00A77871" w:rsidRDefault="00CB0665" w:rsidP="00CB0665">
      <w:pPr>
        <w:spacing w:after="0" w:line="276" w:lineRule="auto"/>
        <w:jc w:val="both"/>
        <w:rPr>
          <w:rFonts w:ascii="Verdana" w:hAnsi="Verdana"/>
        </w:rPr>
      </w:pPr>
      <w:r w:rsidRPr="00A77871">
        <w:rPr>
          <w:rFonts w:ascii="Verdana" w:hAnsi="Verdana"/>
        </w:rPr>
        <w:t xml:space="preserve">Facebook: </w:t>
      </w:r>
      <w:proofErr w:type="spellStart"/>
      <w:r w:rsidRPr="00A77871">
        <w:rPr>
          <w:rStyle w:val="Hipervnculo"/>
          <w:rFonts w:ascii="Verdana" w:hAnsi="Verdana"/>
        </w:rPr>
        <w:t>ColombiaCompraEficiente</w:t>
      </w:r>
      <w:proofErr w:type="spellEnd"/>
    </w:p>
    <w:p w14:paraId="5A32C069" w14:textId="77777777" w:rsidR="00CB0665" w:rsidRPr="00A77871" w:rsidRDefault="00CB0665" w:rsidP="00CB0665">
      <w:pPr>
        <w:spacing w:after="0" w:line="276" w:lineRule="auto"/>
        <w:jc w:val="both"/>
        <w:rPr>
          <w:rFonts w:ascii="Verdana" w:hAnsi="Verdana"/>
        </w:rPr>
      </w:pPr>
      <w:r w:rsidRPr="00A77871">
        <w:rPr>
          <w:rFonts w:ascii="Verdana" w:hAnsi="Verdana"/>
        </w:rPr>
        <w:t xml:space="preserve">LinkedIn: </w:t>
      </w:r>
      <w:r w:rsidRPr="00A77871">
        <w:rPr>
          <w:rStyle w:val="Hipervnculo"/>
          <w:rFonts w:ascii="Verdana" w:hAnsi="Verdana"/>
        </w:rPr>
        <w:t>Agencia Nacional de Contratación Pública - Colombia Compra Eficiente</w:t>
      </w:r>
      <w:r w:rsidRPr="00A77871">
        <w:rPr>
          <w:rFonts w:ascii="Verdana" w:hAnsi="Verdana"/>
        </w:rPr>
        <w:t xml:space="preserve"> </w:t>
      </w:r>
    </w:p>
    <w:p w14:paraId="680C6BDC" w14:textId="77777777" w:rsidR="00CB0665" w:rsidRPr="00A77871" w:rsidRDefault="00CB0665" w:rsidP="00CB0665">
      <w:pPr>
        <w:spacing w:line="276" w:lineRule="auto"/>
        <w:jc w:val="both"/>
        <w:rPr>
          <w:rFonts w:ascii="Verdana" w:hAnsi="Verdana"/>
        </w:rPr>
      </w:pPr>
      <w:r w:rsidRPr="00A77871">
        <w:rPr>
          <w:rFonts w:ascii="Verdana" w:hAnsi="Verdana"/>
        </w:rPr>
        <w:t xml:space="preserve">Instagram: </w:t>
      </w:r>
      <w:r w:rsidRPr="00A77871">
        <w:rPr>
          <w:rStyle w:val="Hipervnculo"/>
          <w:rFonts w:ascii="Verdana" w:hAnsi="Verdana"/>
        </w:rPr>
        <w:t>@colombiacompraeficiente_cce</w:t>
      </w:r>
    </w:p>
    <w:p w14:paraId="3F92D075" w14:textId="77777777" w:rsidR="00CB0665" w:rsidRPr="00A77871" w:rsidRDefault="00CB0665" w:rsidP="00CB0665">
      <w:pPr>
        <w:spacing w:after="0" w:line="276" w:lineRule="auto"/>
        <w:jc w:val="both"/>
        <w:rPr>
          <w:rFonts w:ascii="Verdana" w:eastAsia="Calibri" w:hAnsi="Verdana" w:cs="Times New Roman"/>
          <w:bCs/>
        </w:rPr>
      </w:pPr>
      <w:r w:rsidRPr="00A77871">
        <w:rPr>
          <w:rFonts w:ascii="Verdana" w:eastAsia="Calibri" w:hAnsi="Verdana" w:cs="Times New Roman"/>
        </w:rPr>
        <w:t xml:space="preserve">Este concepto tiene el alcance previsto en el artículo 28 del Código de Procedimiento Administrativo y de lo Contencioso Administrativo y las </w:t>
      </w:r>
      <w:r w:rsidRPr="00A77871">
        <w:rPr>
          <w:rFonts w:ascii="Verdana" w:eastAsia="Calibri" w:hAnsi="Verdana" w:cs="Times New Roman"/>
        </w:rPr>
        <w:lastRenderedPageBreak/>
        <w:t>expresiones utilizadas con mayúscula inicial deben ser entendidas con el significado que les otorga el artículo 2.2.1.1.1.3.1 del Decreto 1082 de 2015.</w:t>
      </w:r>
    </w:p>
    <w:p w14:paraId="7E53E3CE" w14:textId="77777777" w:rsidR="00CB0665" w:rsidRPr="00A77871" w:rsidRDefault="00CB0665" w:rsidP="00CB0665">
      <w:pPr>
        <w:spacing w:after="0" w:line="276" w:lineRule="auto"/>
        <w:jc w:val="both"/>
        <w:rPr>
          <w:rFonts w:ascii="Verdana" w:hAnsi="Verdana"/>
        </w:rPr>
      </w:pPr>
    </w:p>
    <w:p w14:paraId="735744BA" w14:textId="77777777" w:rsidR="00CB0665" w:rsidRPr="00A77871" w:rsidRDefault="00CB0665" w:rsidP="00CB0665">
      <w:pPr>
        <w:spacing w:after="0" w:line="276" w:lineRule="auto"/>
        <w:rPr>
          <w:rFonts w:ascii="Verdana" w:eastAsia="Times New Roman" w:hAnsi="Verdana" w:cs="Arial"/>
          <w:lang w:eastAsia="es-CO"/>
        </w:rPr>
      </w:pPr>
      <w:bookmarkStart w:id="11" w:name="_Hlk117695077"/>
    </w:p>
    <w:p w14:paraId="75F48D2D" w14:textId="285E1CCC" w:rsidR="00CB0665" w:rsidRPr="00A77871" w:rsidRDefault="00CB0665" w:rsidP="00CB0665">
      <w:pPr>
        <w:spacing w:line="276" w:lineRule="auto"/>
        <w:rPr>
          <w:rFonts w:ascii="Verdana" w:eastAsia="Times New Roman" w:hAnsi="Verdana" w:cs="Arial"/>
          <w:lang w:eastAsia="es-CO"/>
        </w:rPr>
      </w:pPr>
      <w:r w:rsidRPr="00A77871">
        <w:rPr>
          <w:rFonts w:ascii="Verdana" w:eastAsia="Times New Roman" w:hAnsi="Verdana" w:cs="Arial"/>
          <w:lang w:eastAsia="es-CO"/>
        </w:rPr>
        <w:t xml:space="preserve">Atentamente, </w:t>
      </w:r>
    </w:p>
    <w:p w14:paraId="41D8F00F" w14:textId="3D83964D" w:rsidR="00CB0665" w:rsidRPr="00A77871" w:rsidRDefault="00772013" w:rsidP="00CB0665">
      <w:pPr>
        <w:spacing w:line="276" w:lineRule="auto"/>
        <w:rPr>
          <w:rFonts w:ascii="Verdana" w:eastAsia="Times New Roman" w:hAnsi="Verdana" w:cs="Arial"/>
          <w:lang w:eastAsia="es-CO"/>
        </w:rPr>
      </w:pPr>
      <w:r w:rsidRPr="00223C47">
        <w:rPr>
          <w:rFonts w:ascii="Verdana" w:eastAsia="Times New Roman" w:hAnsi="Verdana" w:cs="Arial"/>
          <w:lang w:eastAsia="es-CO"/>
        </w:rPr>
        <w:drawing>
          <wp:anchor distT="0" distB="0" distL="114300" distR="114300" simplePos="0" relativeHeight="251658240" behindDoc="1" locked="0" layoutInCell="1" allowOverlap="1" wp14:anchorId="30FFFE7F" wp14:editId="25271625">
            <wp:simplePos x="0" y="0"/>
            <wp:positionH relativeFrom="margin">
              <wp:align>center</wp:align>
            </wp:positionH>
            <wp:positionV relativeFrom="paragraph">
              <wp:posOffset>9525</wp:posOffset>
            </wp:positionV>
            <wp:extent cx="3771900" cy="1400175"/>
            <wp:effectExtent l="0" t="0" r="0" b="9525"/>
            <wp:wrapNone/>
            <wp:docPr id="200221970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771900" cy="1400175"/>
                    </a:xfrm>
                    <a:prstGeom prst="rect">
                      <a:avLst/>
                    </a:prstGeom>
                    <a:noFill/>
                    <a:ln>
                      <a:noFill/>
                    </a:ln>
                  </pic:spPr>
                </pic:pic>
              </a:graphicData>
            </a:graphic>
          </wp:anchor>
        </w:drawing>
      </w:r>
    </w:p>
    <w:p w14:paraId="67D308F4" w14:textId="5D5BE047" w:rsidR="00223C47" w:rsidRPr="00223C47" w:rsidRDefault="00223C47" w:rsidP="00223C47">
      <w:pPr>
        <w:spacing w:line="276" w:lineRule="auto"/>
        <w:rPr>
          <w:rFonts w:ascii="Verdana" w:eastAsia="Times New Roman" w:hAnsi="Verdana" w:cs="Arial"/>
          <w:lang w:eastAsia="es-CO"/>
        </w:rPr>
      </w:pPr>
    </w:p>
    <w:p w14:paraId="3A7E3AE7" w14:textId="77777777" w:rsidR="00CB0665" w:rsidRPr="00A77871" w:rsidRDefault="00CB0665" w:rsidP="00CB0665">
      <w:pPr>
        <w:spacing w:line="276" w:lineRule="auto"/>
        <w:rPr>
          <w:rFonts w:ascii="Verdana" w:eastAsia="Times New Roman" w:hAnsi="Verdana" w:cs="Arial"/>
          <w:lang w:eastAsia="es-CO"/>
        </w:rPr>
      </w:pPr>
    </w:p>
    <w:p w14:paraId="17A68663" w14:textId="77777777" w:rsidR="00CB0665" w:rsidRPr="00A77871" w:rsidRDefault="00CB0665" w:rsidP="00CB0665">
      <w:pPr>
        <w:spacing w:line="276" w:lineRule="auto"/>
        <w:rPr>
          <w:rFonts w:ascii="Verdana" w:eastAsia="Times New Roman" w:hAnsi="Verdana" w:cs="Arial"/>
          <w:lang w:eastAsia="es-CO"/>
        </w:rPr>
      </w:pPr>
    </w:p>
    <w:p w14:paraId="6A7E4EF7" w14:textId="77777777" w:rsidR="00CB0665" w:rsidRPr="00A77871" w:rsidRDefault="00CB0665" w:rsidP="00CB0665">
      <w:pPr>
        <w:spacing w:after="0" w:line="276" w:lineRule="auto"/>
        <w:jc w:val="center"/>
        <w:rPr>
          <w:rFonts w:ascii="Verdana" w:eastAsia="Times New Roman" w:hAnsi="Verdana" w:cs="Arial"/>
          <w:lang w:eastAsia="es-CO"/>
        </w:rPr>
      </w:pPr>
      <w:r w:rsidRPr="00A77871">
        <w:rPr>
          <w:rFonts w:ascii="Verdana" w:eastAsia="Times New Roman" w:hAnsi="Verdana" w:cs="Arial"/>
          <w:lang w:eastAsia="es-CO"/>
        </w:rPr>
        <w:t xml:space="preserve"> </w:t>
      </w:r>
    </w:p>
    <w:bookmarkEnd w:id="11"/>
    <w:p w14:paraId="0AA8531E" w14:textId="77777777" w:rsidR="00CB0665" w:rsidRPr="00A77871" w:rsidRDefault="00CB0665" w:rsidP="00CB0665">
      <w:pPr>
        <w:spacing w:after="0" w:line="276" w:lineRule="auto"/>
        <w:jc w:val="center"/>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B0665" w:rsidRPr="0029279E" w14:paraId="522E14FB" w14:textId="77777777" w:rsidTr="006D487B">
        <w:trPr>
          <w:trHeight w:val="315"/>
        </w:trPr>
        <w:tc>
          <w:tcPr>
            <w:tcW w:w="893" w:type="dxa"/>
            <w:vAlign w:val="center"/>
            <w:hideMark/>
          </w:tcPr>
          <w:p w14:paraId="76896343" w14:textId="77777777" w:rsidR="00CB0665" w:rsidRPr="0029279E" w:rsidRDefault="00CB0665" w:rsidP="006D487B">
            <w:pPr>
              <w:spacing w:line="276" w:lineRule="auto"/>
              <w:rPr>
                <w:rFonts w:ascii="Verdana" w:eastAsia="Times New Roman" w:hAnsi="Verdana" w:cs="Arial"/>
                <w:color w:val="000000"/>
                <w:sz w:val="16"/>
                <w:szCs w:val="16"/>
                <w:lang w:eastAsia="es-ES"/>
              </w:rPr>
            </w:pPr>
            <w:r w:rsidRPr="0029279E">
              <w:rPr>
                <w:rFonts w:ascii="Verdana" w:eastAsia="Times New Roman" w:hAnsi="Verdana" w:cs="Arial"/>
                <w:color w:val="000000"/>
                <w:sz w:val="16"/>
                <w:szCs w:val="16"/>
                <w:lang w:eastAsia="es-ES"/>
              </w:rPr>
              <w:t>Elaboró:</w:t>
            </w:r>
          </w:p>
        </w:tc>
        <w:tc>
          <w:tcPr>
            <w:tcW w:w="5628" w:type="dxa"/>
            <w:tcBorders>
              <w:top w:val="nil"/>
              <w:left w:val="nil"/>
              <w:bottom w:val="dotted" w:sz="4" w:space="0" w:color="7F7F7F"/>
              <w:right w:val="nil"/>
            </w:tcBorders>
            <w:vAlign w:val="center"/>
            <w:hideMark/>
          </w:tcPr>
          <w:p w14:paraId="0FB1F87B" w14:textId="77777777" w:rsidR="00CB0665" w:rsidRPr="0029279E" w:rsidRDefault="00CB0665" w:rsidP="006D487B">
            <w:pPr>
              <w:spacing w:line="276" w:lineRule="auto"/>
              <w:rPr>
                <w:rFonts w:ascii="Verdana" w:eastAsia="Arial" w:hAnsi="Verdana" w:cs="Arial"/>
                <w:color w:val="000000"/>
                <w:sz w:val="16"/>
                <w:szCs w:val="16"/>
              </w:rPr>
            </w:pPr>
            <w:r w:rsidRPr="0029279E">
              <w:rPr>
                <w:rFonts w:ascii="Verdana" w:eastAsia="Arial" w:hAnsi="Verdana" w:cs="Arial"/>
                <w:color w:val="000000"/>
                <w:sz w:val="16"/>
                <w:szCs w:val="16"/>
              </w:rPr>
              <w:t>Ángela María Olmos Andrade</w:t>
            </w:r>
          </w:p>
          <w:p w14:paraId="399632F8" w14:textId="77777777" w:rsidR="00CB0665" w:rsidRPr="0029279E" w:rsidRDefault="00CB0665" w:rsidP="006D487B">
            <w:pPr>
              <w:spacing w:line="276" w:lineRule="auto"/>
              <w:rPr>
                <w:rFonts w:ascii="Verdana" w:eastAsia="Arial" w:hAnsi="Verdana" w:cs="Arial"/>
                <w:color w:val="000000"/>
                <w:sz w:val="16"/>
                <w:szCs w:val="16"/>
              </w:rPr>
            </w:pPr>
            <w:r w:rsidRPr="0029279E">
              <w:rPr>
                <w:rFonts w:ascii="Verdana" w:eastAsia="Arial" w:hAnsi="Verdana" w:cs="Arial"/>
                <w:color w:val="000000"/>
                <w:sz w:val="16"/>
                <w:szCs w:val="16"/>
              </w:rPr>
              <w:t>Analista T2 - 02 de la Subdirección de Gestión Contractual</w:t>
            </w:r>
          </w:p>
        </w:tc>
      </w:tr>
      <w:tr w:rsidR="00CB0665" w:rsidRPr="0029279E" w14:paraId="4AAAD205" w14:textId="77777777" w:rsidTr="006D487B">
        <w:trPr>
          <w:trHeight w:val="330"/>
        </w:trPr>
        <w:tc>
          <w:tcPr>
            <w:tcW w:w="893" w:type="dxa"/>
            <w:vAlign w:val="center"/>
            <w:hideMark/>
          </w:tcPr>
          <w:p w14:paraId="4CE7C690" w14:textId="77777777" w:rsidR="00CB0665" w:rsidRPr="0029279E" w:rsidRDefault="00CB0665" w:rsidP="006D487B">
            <w:pPr>
              <w:spacing w:line="276" w:lineRule="auto"/>
              <w:rPr>
                <w:rFonts w:ascii="Verdana" w:eastAsia="Times New Roman" w:hAnsi="Verdana" w:cs="Arial"/>
                <w:color w:val="000000"/>
                <w:sz w:val="16"/>
                <w:szCs w:val="16"/>
                <w:lang w:eastAsia="es-ES"/>
              </w:rPr>
            </w:pPr>
            <w:r w:rsidRPr="0029279E">
              <w:rPr>
                <w:rFonts w:ascii="Verdana" w:eastAsia="Times New Roman" w:hAnsi="Verdana" w:cs="Arial"/>
                <w:color w:val="000000"/>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72B952EF" w14:textId="7B67FBD9" w:rsidR="00CB0665" w:rsidRPr="0029279E" w:rsidRDefault="00CB0665" w:rsidP="006D487B">
            <w:pPr>
              <w:spacing w:line="276" w:lineRule="auto"/>
              <w:rPr>
                <w:rFonts w:ascii="Verdana" w:eastAsia="Times New Roman" w:hAnsi="Verdana" w:cs="Arial"/>
                <w:color w:val="000000"/>
                <w:sz w:val="16"/>
                <w:szCs w:val="16"/>
              </w:rPr>
            </w:pPr>
            <w:r w:rsidRPr="0029279E">
              <w:rPr>
                <w:rFonts w:ascii="Verdana" w:eastAsia="Times New Roman" w:hAnsi="Verdana" w:cs="Arial"/>
                <w:color w:val="000000"/>
                <w:sz w:val="16"/>
                <w:szCs w:val="16"/>
              </w:rPr>
              <w:t>Adriana Katherine López</w:t>
            </w:r>
            <w:r w:rsidR="00186E3E">
              <w:rPr>
                <w:rFonts w:ascii="Verdana" w:eastAsia="Times New Roman" w:hAnsi="Verdana" w:cs="Arial"/>
                <w:color w:val="000000"/>
                <w:sz w:val="16"/>
                <w:szCs w:val="16"/>
              </w:rPr>
              <w:t xml:space="preserve"> Rodríguez</w:t>
            </w:r>
          </w:p>
          <w:p w14:paraId="4AAF85BF" w14:textId="77777777" w:rsidR="00CB0665" w:rsidRPr="0029279E" w:rsidRDefault="00CB0665" w:rsidP="006D487B">
            <w:pPr>
              <w:spacing w:line="276" w:lineRule="auto"/>
              <w:textAlignment w:val="baseline"/>
              <w:rPr>
                <w:rFonts w:ascii="Verdana" w:eastAsia="Times New Roman" w:hAnsi="Verdana" w:cs="Arial"/>
                <w:color w:val="000000"/>
                <w:sz w:val="16"/>
                <w:szCs w:val="16"/>
              </w:rPr>
            </w:pPr>
            <w:r w:rsidRPr="0029279E">
              <w:rPr>
                <w:rFonts w:ascii="Verdana" w:eastAsia="Times New Roman" w:hAnsi="Verdana" w:cs="Arial"/>
                <w:color w:val="000000"/>
                <w:sz w:val="16"/>
                <w:szCs w:val="16"/>
              </w:rPr>
              <w:t>Contratista de la Subdirección de Gestión Contractual</w:t>
            </w:r>
          </w:p>
        </w:tc>
      </w:tr>
      <w:tr w:rsidR="00CB0665" w:rsidRPr="0029279E" w14:paraId="52B83C6D" w14:textId="77777777" w:rsidTr="006D487B">
        <w:trPr>
          <w:trHeight w:val="300"/>
        </w:trPr>
        <w:tc>
          <w:tcPr>
            <w:tcW w:w="893" w:type="dxa"/>
            <w:vAlign w:val="center"/>
            <w:hideMark/>
          </w:tcPr>
          <w:p w14:paraId="1647D74C" w14:textId="77777777" w:rsidR="00CB0665" w:rsidRPr="0029279E" w:rsidRDefault="00CB0665" w:rsidP="006D487B">
            <w:pPr>
              <w:spacing w:line="276" w:lineRule="auto"/>
              <w:rPr>
                <w:rFonts w:ascii="Verdana" w:eastAsia="Times New Roman" w:hAnsi="Verdana" w:cs="Arial"/>
                <w:color w:val="000000"/>
                <w:sz w:val="16"/>
                <w:szCs w:val="16"/>
                <w:lang w:eastAsia="es-ES"/>
              </w:rPr>
            </w:pPr>
            <w:r w:rsidRPr="0029279E">
              <w:rPr>
                <w:rFonts w:ascii="Verdana" w:eastAsia="Times New Roman" w:hAnsi="Verdana" w:cs="Arial"/>
                <w:color w:val="000000"/>
                <w:sz w:val="16"/>
                <w:szCs w:val="16"/>
                <w:lang w:eastAsia="es-ES"/>
              </w:rPr>
              <w:t>Aprobó:</w:t>
            </w:r>
          </w:p>
        </w:tc>
        <w:tc>
          <w:tcPr>
            <w:tcW w:w="5628" w:type="dxa"/>
            <w:tcBorders>
              <w:top w:val="dotted" w:sz="4" w:space="0" w:color="7F7F7F"/>
              <w:left w:val="nil"/>
              <w:bottom w:val="dotted" w:sz="4" w:space="0" w:color="7F7F7F"/>
              <w:right w:val="nil"/>
            </w:tcBorders>
            <w:vAlign w:val="center"/>
            <w:hideMark/>
          </w:tcPr>
          <w:p w14:paraId="5D1B2B0A" w14:textId="77777777" w:rsidR="00CB0665" w:rsidRPr="0029279E" w:rsidRDefault="00CB0665" w:rsidP="006D487B">
            <w:pPr>
              <w:spacing w:line="276" w:lineRule="auto"/>
              <w:rPr>
                <w:rFonts w:ascii="Verdana" w:eastAsia="Times New Roman" w:hAnsi="Verdana" w:cs="Arial"/>
                <w:color w:val="000000"/>
                <w:sz w:val="16"/>
                <w:szCs w:val="16"/>
              </w:rPr>
            </w:pPr>
            <w:r w:rsidRPr="0029279E">
              <w:rPr>
                <w:rFonts w:ascii="Verdana" w:eastAsia="Times New Roman" w:hAnsi="Verdana" w:cs="Arial"/>
                <w:color w:val="000000"/>
                <w:sz w:val="16"/>
                <w:szCs w:val="16"/>
              </w:rPr>
              <w:t>Carolina Quintero Gacharná</w:t>
            </w:r>
          </w:p>
          <w:p w14:paraId="764F13D1" w14:textId="77777777" w:rsidR="00CB0665" w:rsidRPr="0029279E" w:rsidRDefault="00CB0665" w:rsidP="006D487B">
            <w:pPr>
              <w:spacing w:line="276" w:lineRule="auto"/>
              <w:rPr>
                <w:rFonts w:ascii="Verdana" w:eastAsia="Times New Roman" w:hAnsi="Verdana" w:cs="Arial"/>
                <w:color w:val="000000"/>
                <w:sz w:val="16"/>
                <w:szCs w:val="16"/>
              </w:rPr>
            </w:pPr>
            <w:r w:rsidRPr="0029279E">
              <w:rPr>
                <w:rFonts w:ascii="Verdana" w:eastAsia="Times New Roman" w:hAnsi="Verdana" w:cs="Arial"/>
                <w:color w:val="000000"/>
                <w:sz w:val="16"/>
                <w:szCs w:val="16"/>
              </w:rPr>
              <w:t>Subdirectora de Gestión Contractual ANCP – CCE</w:t>
            </w:r>
          </w:p>
        </w:tc>
      </w:tr>
      <w:bookmarkEnd w:id="1"/>
    </w:tbl>
    <w:p w14:paraId="00F2F30D" w14:textId="77777777" w:rsidR="00CB0665" w:rsidRPr="00A77871" w:rsidRDefault="00CB0665" w:rsidP="00CB0665">
      <w:pPr>
        <w:spacing w:after="0" w:line="276" w:lineRule="auto"/>
        <w:jc w:val="both"/>
        <w:textAlignment w:val="baseline"/>
        <w:rPr>
          <w:rFonts w:ascii="Verdana" w:eastAsia="Times New Roman" w:hAnsi="Verdana" w:cs="Segoe UI"/>
          <w:lang w:eastAsia="es-CO"/>
        </w:rPr>
      </w:pPr>
    </w:p>
    <w:p w14:paraId="3B27AFCD" w14:textId="77777777" w:rsidR="002A0DD0" w:rsidRPr="00A77871" w:rsidRDefault="002A0DD0" w:rsidP="30821638">
      <w:pPr>
        <w:spacing w:after="0" w:line="240" w:lineRule="auto"/>
        <w:jc w:val="both"/>
        <w:rPr>
          <w:rFonts w:ascii="Verdana" w:eastAsia="Verdana" w:hAnsi="Verdana" w:cs="Verdana"/>
          <w:b/>
          <w:bCs/>
          <w:lang w:val="es-MX"/>
        </w:rPr>
      </w:pPr>
    </w:p>
    <w:bookmarkEnd w:id="0"/>
    <w:p w14:paraId="0F293BF4" w14:textId="29BDDFA1" w:rsidR="00127233" w:rsidRPr="00A77871" w:rsidRDefault="00127233" w:rsidP="00B923DC">
      <w:pPr>
        <w:spacing w:after="0" w:line="240" w:lineRule="auto"/>
        <w:jc w:val="both"/>
        <w:rPr>
          <w:rFonts w:ascii="Verdana" w:eastAsia="Verdana" w:hAnsi="Verdana" w:cs="Verdana"/>
          <w:lang w:eastAsia="es-CO"/>
        </w:rPr>
      </w:pPr>
    </w:p>
    <w:sectPr w:rsidR="00127233" w:rsidRPr="00A77871"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B61FF0" w14:textId="77777777" w:rsidR="007507E8" w:rsidRDefault="007507E8" w:rsidP="004A1847">
      <w:pPr>
        <w:spacing w:after="0" w:line="240" w:lineRule="auto"/>
      </w:pPr>
      <w:r>
        <w:separator/>
      </w:r>
    </w:p>
  </w:endnote>
  <w:endnote w:type="continuationSeparator" w:id="0">
    <w:p w14:paraId="7D40B03C" w14:textId="77777777" w:rsidR="007507E8" w:rsidRDefault="007507E8" w:rsidP="004A1847">
      <w:pPr>
        <w:spacing w:after="0" w:line="240" w:lineRule="auto"/>
      </w:pPr>
      <w:r>
        <w:continuationSeparator/>
      </w:r>
    </w:p>
  </w:endnote>
  <w:endnote w:type="continuationNotice" w:id="1">
    <w:p w14:paraId="1FCBA3EC" w14:textId="77777777" w:rsidR="007507E8" w:rsidRDefault="007507E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17D4D7" w14:textId="77777777" w:rsidR="007507E8" w:rsidRDefault="007507E8" w:rsidP="004A1847">
      <w:pPr>
        <w:spacing w:after="0" w:line="240" w:lineRule="auto"/>
      </w:pPr>
      <w:r>
        <w:separator/>
      </w:r>
    </w:p>
  </w:footnote>
  <w:footnote w:type="continuationSeparator" w:id="0">
    <w:p w14:paraId="6548730D" w14:textId="77777777" w:rsidR="007507E8" w:rsidRDefault="007507E8" w:rsidP="004A1847">
      <w:pPr>
        <w:spacing w:after="0" w:line="240" w:lineRule="auto"/>
      </w:pPr>
      <w:r>
        <w:continuationSeparator/>
      </w:r>
    </w:p>
  </w:footnote>
  <w:footnote w:type="continuationNotice" w:id="1">
    <w:p w14:paraId="7625B859" w14:textId="77777777" w:rsidR="007507E8" w:rsidRDefault="007507E8">
      <w:pPr>
        <w:spacing w:after="0" w:line="240" w:lineRule="auto"/>
      </w:pPr>
    </w:p>
  </w:footnote>
  <w:footnote w:id="2">
    <w:p w14:paraId="3B489993" w14:textId="77777777" w:rsidR="00CB0665" w:rsidRPr="002267F0" w:rsidRDefault="00CB0665" w:rsidP="00CB0665">
      <w:pPr>
        <w:pStyle w:val="Textonotapie"/>
        <w:ind w:firstLine="709"/>
        <w:jc w:val="both"/>
        <w:rPr>
          <w:rFonts w:ascii="Verdana" w:hAnsi="Verdana" w:cs="Arial"/>
          <w:sz w:val="14"/>
          <w:szCs w:val="14"/>
        </w:rPr>
      </w:pPr>
      <w:r w:rsidRPr="002267F0">
        <w:rPr>
          <w:rStyle w:val="Refdenotaalpie"/>
          <w:rFonts w:ascii="Verdana" w:hAnsi="Verdana" w:cs="Arial"/>
          <w:sz w:val="14"/>
          <w:szCs w:val="14"/>
        </w:rPr>
        <w:footnoteRef/>
      </w:r>
      <w:r w:rsidRPr="002267F0">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70ABE4C6" w14:textId="5FAC61D9" w:rsidR="00CB0665" w:rsidRPr="002267F0" w:rsidRDefault="00CB0665" w:rsidP="00CB0665">
      <w:pPr>
        <w:pStyle w:val="Textonotapie"/>
        <w:ind w:firstLine="709"/>
        <w:jc w:val="both"/>
        <w:rPr>
          <w:rFonts w:ascii="Verdana" w:hAnsi="Verdana" w:cs="Arial"/>
          <w:sz w:val="14"/>
          <w:szCs w:val="14"/>
        </w:rPr>
      </w:pPr>
      <w:r w:rsidRPr="002267F0">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0D747D70" w14:textId="77777777" w:rsidR="00CB0665" w:rsidRPr="002267F0" w:rsidRDefault="00CB0665" w:rsidP="00CB0665">
      <w:pPr>
        <w:pStyle w:val="Textonotapie"/>
        <w:ind w:firstLine="709"/>
        <w:jc w:val="both"/>
        <w:rPr>
          <w:rFonts w:ascii="Verdana" w:hAnsi="Verdana" w:cs="Arial"/>
          <w:sz w:val="14"/>
          <w:szCs w:val="14"/>
        </w:rPr>
      </w:pPr>
      <w:r w:rsidRPr="002267F0">
        <w:rPr>
          <w:rStyle w:val="Refdenotaalpie"/>
          <w:rFonts w:ascii="Verdana" w:hAnsi="Verdana" w:cs="Arial"/>
          <w:sz w:val="14"/>
          <w:szCs w:val="14"/>
        </w:rPr>
        <w:footnoteRef/>
      </w:r>
      <w:r w:rsidRPr="002267F0">
        <w:rPr>
          <w:rFonts w:ascii="Verdana" w:hAnsi="Verdana" w:cs="Arial"/>
          <w:sz w:val="14"/>
          <w:szCs w:val="14"/>
        </w:rPr>
        <w:t xml:space="preserve"> Gaceta del Congreso de la República No. 71 del 2005.</w:t>
      </w:r>
    </w:p>
    <w:p w14:paraId="48FCEEC1" w14:textId="77777777" w:rsidR="00CB0665" w:rsidRPr="003F2A9C" w:rsidRDefault="00CB0665" w:rsidP="00CB0665">
      <w:pPr>
        <w:pStyle w:val="Textonotapie"/>
        <w:ind w:firstLine="709"/>
        <w:jc w:val="both"/>
        <w:rPr>
          <w:rFonts w:ascii="Verdana" w:hAnsi="Verdana" w:cs="Arial"/>
          <w:sz w:val="16"/>
          <w:szCs w:val="16"/>
        </w:rPr>
      </w:pPr>
    </w:p>
  </w:footnote>
  <w:footnote w:id="4">
    <w:p w14:paraId="2A603D61" w14:textId="77777777" w:rsidR="00CB0665" w:rsidRPr="00690F0F" w:rsidRDefault="00CB0665" w:rsidP="00CB0665">
      <w:pPr>
        <w:pStyle w:val="Textonotapie"/>
        <w:ind w:firstLine="709"/>
        <w:jc w:val="both"/>
        <w:rPr>
          <w:rFonts w:ascii="Verdana" w:hAnsi="Verdana" w:cs="Arial"/>
          <w:sz w:val="14"/>
          <w:szCs w:val="14"/>
          <w:lang w:val="pt-BR"/>
        </w:rPr>
      </w:pPr>
      <w:r w:rsidRPr="003F2A9C">
        <w:rPr>
          <w:rStyle w:val="Refdenotaalpie"/>
          <w:rFonts w:ascii="Verdana" w:hAnsi="Verdana" w:cs="Arial"/>
          <w:sz w:val="16"/>
          <w:szCs w:val="16"/>
        </w:rPr>
        <w:footnoteRef/>
      </w:r>
      <w:r w:rsidRPr="003F2A9C">
        <w:rPr>
          <w:rFonts w:ascii="Verdana" w:hAnsi="Verdana" w:cs="Arial"/>
          <w:sz w:val="16"/>
          <w:szCs w:val="16"/>
          <w:lang w:val="pt-BR"/>
        </w:rPr>
        <w:t xml:space="preserve"> </w:t>
      </w:r>
      <w:r w:rsidRPr="00690F0F">
        <w:rPr>
          <w:rFonts w:ascii="Verdana" w:hAnsi="Verdana" w:cs="Arial"/>
          <w:sz w:val="14"/>
          <w:szCs w:val="14"/>
          <w:lang w:val="pt-BR"/>
        </w:rPr>
        <w:t>Corte Constitucional, Sentencia C- 1153 de 2005, M.P. Marco Gerardo Monroy Cabra.</w:t>
      </w:r>
    </w:p>
  </w:footnote>
  <w:footnote w:id="5">
    <w:p w14:paraId="491F6EDB" w14:textId="77777777" w:rsidR="00CB0665" w:rsidRPr="00690F0F" w:rsidRDefault="00CB0665" w:rsidP="00CB0665">
      <w:pPr>
        <w:pStyle w:val="Textonotapie"/>
        <w:jc w:val="both"/>
        <w:rPr>
          <w:rFonts w:ascii="Verdana" w:hAnsi="Verdana" w:cs="Arial"/>
          <w:sz w:val="14"/>
          <w:szCs w:val="14"/>
          <w:lang w:val="pt-BR"/>
        </w:rPr>
      </w:pPr>
      <w:r w:rsidRPr="00690F0F">
        <w:rPr>
          <w:rStyle w:val="Refdenotaalpie"/>
          <w:rFonts w:ascii="Verdana" w:hAnsi="Verdana" w:cs="Arial"/>
          <w:sz w:val="14"/>
          <w:szCs w:val="14"/>
        </w:rPr>
        <w:footnoteRef/>
      </w:r>
      <w:r w:rsidRPr="00690F0F">
        <w:rPr>
          <w:rFonts w:ascii="Verdana" w:hAnsi="Verdana" w:cs="Arial"/>
          <w:sz w:val="14"/>
          <w:szCs w:val="14"/>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55EC9F60" w14:textId="77777777" w:rsidR="00CB0665" w:rsidRPr="003F2A9C" w:rsidRDefault="00CB0665" w:rsidP="00CB0665">
      <w:pPr>
        <w:pStyle w:val="Textonotapie"/>
        <w:ind w:firstLine="709"/>
        <w:jc w:val="both"/>
        <w:rPr>
          <w:rFonts w:ascii="Verdana" w:hAnsi="Verdana" w:cs="Arial"/>
          <w:sz w:val="16"/>
          <w:szCs w:val="16"/>
          <w:lang w:val="es-CO"/>
        </w:rPr>
      </w:pPr>
      <w:r w:rsidRPr="00690F0F">
        <w:rPr>
          <w:rStyle w:val="Refdenotaalpie"/>
          <w:rFonts w:ascii="Verdana" w:hAnsi="Verdana" w:cs="Arial"/>
          <w:sz w:val="14"/>
          <w:szCs w:val="14"/>
        </w:rPr>
        <w:footnoteRef/>
      </w:r>
      <w:r w:rsidRPr="00690F0F">
        <w:rPr>
          <w:rFonts w:ascii="Verdana" w:hAnsi="Verdana" w:cs="Arial"/>
          <w:sz w:val="14"/>
          <w:szCs w:val="14"/>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71AAFB37" w14:textId="77777777" w:rsidR="00CB0665" w:rsidRPr="00E4735C" w:rsidRDefault="00CB0665" w:rsidP="00CB0665">
      <w:pPr>
        <w:pStyle w:val="Textonotapie"/>
        <w:ind w:firstLine="709"/>
        <w:jc w:val="both"/>
        <w:rPr>
          <w:rFonts w:ascii="Verdana" w:hAnsi="Verdana" w:cs="Arial"/>
          <w:sz w:val="14"/>
          <w:szCs w:val="14"/>
        </w:rPr>
      </w:pPr>
      <w:r w:rsidRPr="00E4735C">
        <w:rPr>
          <w:rStyle w:val="Refdenotaalpie"/>
          <w:rFonts w:ascii="Verdana" w:hAnsi="Verdana" w:cs="Arial"/>
          <w:sz w:val="14"/>
          <w:szCs w:val="14"/>
        </w:rPr>
        <w:footnoteRef/>
      </w:r>
      <w:r w:rsidRPr="00E4735C">
        <w:rPr>
          <w:rFonts w:ascii="Verdana" w:hAnsi="Verdana" w:cs="Arial"/>
          <w:sz w:val="14"/>
          <w:szCs w:val="14"/>
        </w:rPr>
        <w:t xml:space="preserve"> Consejo de Estado, Sala de Consulta y Servicio Civil de fecha 24 de julio de 2013, radicado 2166, C. P. Álvaro Namén Vargas.  </w:t>
      </w:r>
    </w:p>
  </w:footnote>
  <w:footnote w:id="8">
    <w:p w14:paraId="477468E9" w14:textId="77777777" w:rsidR="00CB0665" w:rsidRPr="00E4735C" w:rsidRDefault="00CB0665" w:rsidP="00CB0665">
      <w:pPr>
        <w:spacing w:after="0" w:line="240" w:lineRule="auto"/>
        <w:ind w:firstLine="709"/>
        <w:jc w:val="both"/>
        <w:rPr>
          <w:rFonts w:ascii="Verdana" w:eastAsia="Times New Roman" w:hAnsi="Verdana" w:cs="Arial"/>
          <w:sz w:val="14"/>
          <w:szCs w:val="14"/>
        </w:rPr>
      </w:pPr>
      <w:r w:rsidRPr="00E4735C">
        <w:rPr>
          <w:rStyle w:val="Refdenotaalpie"/>
          <w:rFonts w:ascii="Verdana" w:hAnsi="Verdana" w:cs="Arial"/>
          <w:sz w:val="14"/>
          <w:szCs w:val="14"/>
        </w:rPr>
        <w:footnoteRef/>
      </w:r>
      <w:r w:rsidRPr="00E4735C">
        <w:rPr>
          <w:rFonts w:ascii="Verdana" w:hAnsi="Verdana" w:cs="Arial"/>
          <w:sz w:val="14"/>
          <w:szCs w:val="14"/>
        </w:rPr>
        <w:t xml:space="preserve"> </w:t>
      </w:r>
      <w:bookmarkStart w:id="8" w:name="33"/>
      <w:r w:rsidRPr="00E4735C">
        <w:rPr>
          <w:rFonts w:ascii="Verdana" w:eastAsia="Calibri" w:hAnsi="Verdana" w:cs="Arial"/>
          <w:color w:val="000000"/>
          <w:sz w:val="14"/>
          <w:szCs w:val="14"/>
        </w:rPr>
        <w:t>“</w:t>
      </w:r>
      <w:r w:rsidRPr="00E4735C">
        <w:rPr>
          <w:rFonts w:ascii="Verdana" w:eastAsia="Times New Roman" w:hAnsi="Verdana" w:cs="Arial"/>
          <w:sz w:val="14"/>
          <w:szCs w:val="14"/>
        </w:rPr>
        <w:t>Artículo 33. Restricciones a la contratación pública.</w:t>
      </w:r>
      <w:bookmarkEnd w:id="8"/>
      <w:r w:rsidRPr="00E4735C">
        <w:rPr>
          <w:rFonts w:ascii="Verdana" w:eastAsia="Times New Roman" w:hAnsi="Verdana" w:cs="Arial"/>
          <w:sz w:val="14"/>
          <w:szCs w:val="14"/>
        </w:rPr>
        <w:t> Durante los cuatro (4) meses anteriores a la elección presidencial y hasta la realización de la elección en la segunda vuelta, si fuere el caso, queda prohibida la contratación directa por parte de todos los entes del Estado.</w:t>
      </w:r>
    </w:p>
    <w:p w14:paraId="57E99D44" w14:textId="77777777" w:rsidR="00CB0665" w:rsidRPr="00E4735C" w:rsidRDefault="00CB0665" w:rsidP="00CB0665">
      <w:pPr>
        <w:spacing w:after="0" w:line="240" w:lineRule="auto"/>
        <w:ind w:firstLine="709"/>
        <w:jc w:val="both"/>
        <w:rPr>
          <w:rFonts w:ascii="Verdana" w:eastAsia="Times New Roman" w:hAnsi="Verdana" w:cs="Arial"/>
          <w:sz w:val="14"/>
          <w:szCs w:val="14"/>
        </w:rPr>
      </w:pPr>
      <w:r w:rsidRPr="00E4735C">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4735C">
        <w:rPr>
          <w:rFonts w:ascii="Verdana" w:eastAsia="Calibri" w:hAnsi="Verdana" w:cs="Arial"/>
          <w:color w:val="000000"/>
          <w:sz w:val="14"/>
          <w:szCs w:val="14"/>
        </w:rPr>
        <w:t>”</w:t>
      </w:r>
      <w:r w:rsidRPr="00E4735C">
        <w:rPr>
          <w:rFonts w:ascii="Verdana" w:eastAsia="Times New Roman" w:hAnsi="Verdana" w:cs="Arial"/>
          <w:sz w:val="14"/>
          <w:szCs w:val="14"/>
        </w:rPr>
        <w:t>.</w:t>
      </w:r>
    </w:p>
    <w:p w14:paraId="384325C0" w14:textId="77777777" w:rsidR="00CB0665" w:rsidRPr="003F2A9C" w:rsidRDefault="00CB0665" w:rsidP="00CB0665">
      <w:pPr>
        <w:spacing w:after="0" w:line="240" w:lineRule="auto"/>
        <w:ind w:firstLine="709"/>
        <w:jc w:val="both"/>
        <w:rPr>
          <w:rFonts w:ascii="Verdana" w:eastAsia="Times New Roman" w:hAnsi="Verdana" w:cs="Arial"/>
          <w:sz w:val="16"/>
          <w:szCs w:val="16"/>
        </w:rPr>
      </w:pPr>
    </w:p>
  </w:footnote>
  <w:footnote w:id="9">
    <w:p w14:paraId="030C0DBF" w14:textId="77777777" w:rsidR="00CB0665" w:rsidRPr="00E4735C" w:rsidRDefault="00CB0665" w:rsidP="00CB0665">
      <w:pPr>
        <w:pStyle w:val="NormalWeb"/>
        <w:spacing w:before="0" w:beforeAutospacing="0" w:after="0" w:afterAutospacing="0"/>
        <w:ind w:firstLine="709"/>
        <w:jc w:val="both"/>
        <w:rPr>
          <w:rFonts w:ascii="Verdana" w:hAnsi="Verdana" w:cs="Arial"/>
          <w:sz w:val="14"/>
          <w:szCs w:val="14"/>
          <w:lang w:val="es-MX"/>
        </w:rPr>
      </w:pPr>
      <w:r w:rsidRPr="00E4735C">
        <w:rPr>
          <w:rStyle w:val="Refdenotaalpie"/>
          <w:rFonts w:ascii="Verdana" w:hAnsi="Verdana" w:cs="Arial"/>
          <w:sz w:val="14"/>
          <w:szCs w:val="14"/>
        </w:rPr>
        <w:footnoteRef/>
      </w:r>
      <w:r w:rsidRPr="00E4735C">
        <w:rPr>
          <w:rFonts w:ascii="Verdana" w:hAnsi="Verdana" w:cs="Arial"/>
          <w:sz w:val="14"/>
          <w:szCs w:val="14"/>
        </w:rPr>
        <w:t xml:space="preserve"> </w:t>
      </w:r>
      <w:bookmarkStart w:id="9" w:name="38"/>
      <w:r w:rsidRPr="00E4735C">
        <w:rPr>
          <w:rFonts w:ascii="Verdana" w:eastAsia="Calibri" w:hAnsi="Verdana" w:cs="Arial"/>
          <w:color w:val="000000"/>
          <w:sz w:val="14"/>
          <w:szCs w:val="14"/>
        </w:rPr>
        <w:t>“</w:t>
      </w:r>
      <w:r w:rsidRPr="00E4735C">
        <w:rPr>
          <w:rFonts w:ascii="Verdana" w:hAnsi="Verdana" w:cs="Arial"/>
          <w:sz w:val="14"/>
          <w:szCs w:val="14"/>
          <w:lang w:val="es-MX"/>
        </w:rPr>
        <w:t>Artículo 38. Prohibiciones para los servidores públicos. A los empleados del Estado les está prohibido:</w:t>
      </w:r>
      <w:bookmarkEnd w:id="9"/>
      <w:r w:rsidRPr="00E4735C">
        <w:rPr>
          <w:rFonts w:ascii="Verdana" w:hAnsi="Verdana" w:cs="Arial"/>
          <w:sz w:val="14"/>
          <w:szCs w:val="14"/>
          <w:lang w:val="es-MX"/>
        </w:rPr>
        <w:t xml:space="preserve"> […]</w:t>
      </w:r>
    </w:p>
    <w:p w14:paraId="00780772" w14:textId="77777777" w:rsidR="00CB0665" w:rsidRPr="00E4735C" w:rsidRDefault="00CB0665" w:rsidP="00CB0665">
      <w:pPr>
        <w:pStyle w:val="NormalWeb"/>
        <w:spacing w:before="0" w:beforeAutospacing="0" w:after="0" w:afterAutospacing="0"/>
        <w:ind w:firstLine="709"/>
        <w:jc w:val="both"/>
        <w:rPr>
          <w:rFonts w:ascii="Verdana" w:hAnsi="Verdana" w:cs="Arial"/>
          <w:sz w:val="14"/>
          <w:szCs w:val="14"/>
          <w:lang w:val="es-MX"/>
        </w:rPr>
      </w:pPr>
      <w:r w:rsidRPr="00E4735C">
        <w:rPr>
          <w:rStyle w:val="baj"/>
          <w:rFonts w:ascii="Verdana" w:hAnsi="Verdana" w:cs="Arial"/>
          <w:sz w:val="14"/>
          <w:szCs w:val="14"/>
          <w:lang w:val="es-MX"/>
        </w:rPr>
        <w:t>Parágrafo.</w:t>
      </w:r>
      <w:r w:rsidRPr="00E4735C">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4735C">
        <w:rPr>
          <w:rFonts w:ascii="Verdana" w:eastAsia="Calibri" w:hAnsi="Verdana" w:cs="Arial"/>
          <w:color w:val="000000"/>
          <w:sz w:val="14"/>
          <w:szCs w:val="14"/>
        </w:rPr>
        <w:t>”</w:t>
      </w:r>
      <w:r w:rsidRPr="00E4735C">
        <w:rPr>
          <w:rFonts w:ascii="Verdana" w:hAnsi="Verdana" w:cs="Arial"/>
          <w:sz w:val="14"/>
          <w:szCs w:val="14"/>
          <w:lang w:val="es-MX"/>
        </w:rPr>
        <w:t>.</w:t>
      </w:r>
    </w:p>
  </w:footnote>
  <w:footnote w:id="10">
    <w:p w14:paraId="17C25698" w14:textId="77777777" w:rsidR="00CB0665" w:rsidRPr="008302D6" w:rsidRDefault="00CB0665" w:rsidP="00CB0665">
      <w:pPr>
        <w:spacing w:after="0" w:line="240" w:lineRule="auto"/>
        <w:ind w:left="100" w:right="244" w:firstLine="709"/>
        <w:jc w:val="both"/>
        <w:rPr>
          <w:rFonts w:ascii="Verdana" w:hAnsi="Verdana" w:cs="Arial"/>
          <w:sz w:val="16"/>
          <w:szCs w:val="16"/>
          <w:lang w:val="es-ES"/>
        </w:rPr>
      </w:pPr>
      <w:r w:rsidRPr="00E4735C">
        <w:rPr>
          <w:rStyle w:val="Refdenotaalpie"/>
          <w:rFonts w:ascii="Verdana" w:hAnsi="Verdana" w:cs="Arial"/>
          <w:sz w:val="14"/>
          <w:szCs w:val="14"/>
        </w:rPr>
        <w:footnoteRef/>
      </w:r>
      <w:r w:rsidRPr="00E4735C">
        <w:rPr>
          <w:rFonts w:ascii="Verdana" w:hAnsi="Verdana" w:cs="Arial"/>
          <w:sz w:val="14"/>
          <w:szCs w:val="14"/>
        </w:rPr>
        <w:t xml:space="preserve"> Consejo de Estado. Sala de Consulta y Servicio Civil. Concepto del 17 de febrero de 2015. C.P. William Zambrano Cetina. Radicación No. 11001-03-06-000-2015-00164-00(2269).</w:t>
      </w:r>
    </w:p>
  </w:footnote>
  <w:footnote w:id="11">
    <w:p w14:paraId="1580B5D8" w14:textId="77777777" w:rsidR="00CB0665" w:rsidRPr="00E4735C" w:rsidRDefault="00CB0665" w:rsidP="00CB0665">
      <w:pPr>
        <w:pStyle w:val="Textonotapie"/>
        <w:ind w:firstLine="708"/>
        <w:jc w:val="both"/>
        <w:rPr>
          <w:rFonts w:ascii="Verdana" w:hAnsi="Verdana" w:cs="Arial"/>
          <w:sz w:val="14"/>
          <w:szCs w:val="14"/>
        </w:rPr>
      </w:pPr>
      <w:r w:rsidRPr="003F2A9C">
        <w:rPr>
          <w:rStyle w:val="Refdenotaalpie"/>
          <w:rFonts w:ascii="Verdana" w:hAnsi="Verdana" w:cs="Arial"/>
          <w:sz w:val="16"/>
          <w:szCs w:val="16"/>
        </w:rPr>
        <w:footnoteRef/>
      </w:r>
      <w:r w:rsidRPr="003F2A9C">
        <w:rPr>
          <w:rFonts w:ascii="Verdana" w:hAnsi="Verdana" w:cs="Arial"/>
          <w:sz w:val="16"/>
          <w:szCs w:val="16"/>
        </w:rPr>
        <w:t xml:space="preserve"> </w:t>
      </w:r>
      <w:r w:rsidRPr="00E4735C">
        <w:rPr>
          <w:rFonts w:ascii="Verdana" w:hAnsi="Verdana" w:cs="Arial"/>
          <w:sz w:val="14"/>
          <w:szCs w:val="14"/>
        </w:rPr>
        <w:t xml:space="preserve">Colombia Compra Eficiente. Circular Externa Única. Numeral 16.5. </w:t>
      </w:r>
    </w:p>
  </w:footnote>
  <w:footnote w:id="12">
    <w:p w14:paraId="05CCE1C4" w14:textId="77777777" w:rsidR="00CB0665" w:rsidRPr="00E4735C" w:rsidRDefault="00CB0665" w:rsidP="00CB0665">
      <w:pPr>
        <w:pStyle w:val="Textonotapie"/>
        <w:ind w:right="51" w:firstLine="709"/>
        <w:jc w:val="both"/>
        <w:rPr>
          <w:rFonts w:ascii="Verdana" w:hAnsi="Verdana" w:cs="Arial"/>
          <w:sz w:val="14"/>
          <w:szCs w:val="14"/>
        </w:rPr>
      </w:pPr>
      <w:r w:rsidRPr="00E4735C">
        <w:rPr>
          <w:rStyle w:val="Refdenotaalpie"/>
          <w:rFonts w:ascii="Verdana" w:hAnsi="Verdana" w:cs="Arial"/>
          <w:sz w:val="14"/>
          <w:szCs w:val="14"/>
        </w:rPr>
        <w:footnoteRef/>
      </w:r>
      <w:r w:rsidRPr="00E4735C">
        <w:rPr>
          <w:rFonts w:ascii="Verdana" w:hAnsi="Verdana" w:cs="Arial"/>
          <w:sz w:val="14"/>
          <w:szCs w:val="14"/>
        </w:rPr>
        <w:t xml:space="preserve"> “</w:t>
      </w:r>
      <w:r w:rsidRPr="00E4735C">
        <w:rPr>
          <w:rFonts w:ascii="Verdana" w:hAnsi="Verdana" w:cs="Arial"/>
          <w:sz w:val="14"/>
          <w:szCs w:val="14"/>
          <w:lang w:val="es-ES"/>
        </w:rPr>
        <w:t xml:space="preserve">[25] </w:t>
      </w:r>
      <w:r w:rsidRPr="00E4735C">
        <w:rPr>
          <w:rFonts w:ascii="Verdana" w:hAnsi="Verdana" w:cs="Arial"/>
          <w:sz w:val="14"/>
          <w:szCs w:val="14"/>
        </w:rPr>
        <w:t>Cfr. Consejo de Estado. Sección Tercera. Sentencia de 3 de diciembre de 2007. Radicados: 24.715, 25.206, 25.409, 24.524, 27.834, 25.410, 26.105, 28.244, 31.447 -acumulados-“.</w:t>
      </w:r>
    </w:p>
  </w:footnote>
  <w:footnote w:id="13">
    <w:p w14:paraId="66D522C2" w14:textId="4A8A49F6" w:rsidR="00CB0665" w:rsidRPr="00E4735C" w:rsidRDefault="00CB0665" w:rsidP="00E4735C">
      <w:pPr>
        <w:pStyle w:val="Textonotapie"/>
        <w:ind w:right="51" w:firstLine="709"/>
        <w:jc w:val="both"/>
        <w:rPr>
          <w:rFonts w:ascii="Verdana" w:hAnsi="Verdana" w:cs="Arial"/>
          <w:sz w:val="14"/>
          <w:szCs w:val="14"/>
        </w:rPr>
      </w:pPr>
      <w:r w:rsidRPr="00E4735C">
        <w:rPr>
          <w:rStyle w:val="Refdenotaalpie"/>
          <w:rFonts w:ascii="Verdana" w:hAnsi="Verdana" w:cs="Arial"/>
          <w:sz w:val="14"/>
          <w:szCs w:val="14"/>
        </w:rPr>
        <w:footnoteRef/>
      </w:r>
      <w:r w:rsidRPr="00E4735C">
        <w:rPr>
          <w:rFonts w:ascii="Verdana" w:hAnsi="Verdana" w:cs="Arial"/>
          <w:sz w:val="14"/>
          <w:szCs w:val="14"/>
        </w:rPr>
        <w:t xml:space="preserve"> “</w:t>
      </w:r>
      <w:r w:rsidRPr="00E4735C">
        <w:rPr>
          <w:rFonts w:ascii="Verdana" w:hAnsi="Verdana" w:cs="Arial"/>
          <w:sz w:val="14"/>
          <w:szCs w:val="14"/>
          <w:lang w:val="es-ES"/>
        </w:rPr>
        <w:t xml:space="preserve">[26] </w:t>
      </w:r>
      <w:r w:rsidRPr="00E4735C">
        <w:rPr>
          <w:rFonts w:ascii="Verdana" w:hAnsi="Verdana" w:cs="Arial"/>
          <w:sz w:val="14"/>
          <w:szCs w:val="14"/>
        </w:rPr>
        <w:t>Al respecto ver el concepto 1712 de 2 de febrero de 2006. Consejo de Estado Sala de Consulta y Servicio Civil”.</w:t>
      </w:r>
    </w:p>
  </w:footnote>
  <w:footnote w:id="14">
    <w:p w14:paraId="2B6AF975" w14:textId="030F28F8" w:rsidR="00CB0665" w:rsidRPr="00E4735C" w:rsidRDefault="00CB0665" w:rsidP="00CB0665">
      <w:pPr>
        <w:pStyle w:val="Textonotapie"/>
        <w:ind w:firstLine="709"/>
        <w:jc w:val="both"/>
        <w:rPr>
          <w:rFonts w:ascii="Verdana" w:hAnsi="Verdana" w:cs="Arial"/>
          <w:sz w:val="14"/>
          <w:szCs w:val="14"/>
        </w:rPr>
      </w:pPr>
      <w:r w:rsidRPr="00E4735C">
        <w:rPr>
          <w:rStyle w:val="Refdenotaalpie"/>
          <w:rFonts w:ascii="Verdana" w:hAnsi="Verdana" w:cs="Arial"/>
          <w:sz w:val="14"/>
          <w:szCs w:val="14"/>
        </w:rPr>
        <w:footnoteRef/>
      </w:r>
      <w:r w:rsidRPr="00E4735C">
        <w:rPr>
          <w:rFonts w:ascii="Verdana" w:hAnsi="Verdana" w:cs="Arial"/>
          <w:sz w:val="14"/>
          <w:szCs w:val="14"/>
        </w:rPr>
        <w:t xml:space="preserve"> Consejo de Estado. Sala de Consulta y Servicio Civil. Concepto del 2 de septiembre de 2013. Radicación número: 11001-03-06-000-2013-00412-00 (2168). Consejero Ponente: Álvaro Namén Vargas.</w:t>
      </w:r>
    </w:p>
  </w:footnote>
  <w:footnote w:id="15">
    <w:p w14:paraId="4C0CC479" w14:textId="4854F5C4" w:rsidR="00CB0665" w:rsidRPr="00E4735C" w:rsidRDefault="00CB0665" w:rsidP="00CB0665">
      <w:pPr>
        <w:pStyle w:val="Textonotapie"/>
        <w:ind w:firstLine="709"/>
        <w:jc w:val="both"/>
        <w:rPr>
          <w:rFonts w:ascii="Verdana" w:hAnsi="Verdana" w:cs="Arial"/>
          <w:sz w:val="14"/>
          <w:szCs w:val="14"/>
          <w:lang w:val="es-ES"/>
        </w:rPr>
      </w:pPr>
      <w:r w:rsidRPr="00E4735C">
        <w:rPr>
          <w:rStyle w:val="Refdenotaalpie"/>
          <w:rFonts w:ascii="Verdana" w:hAnsi="Verdana" w:cs="Arial"/>
          <w:sz w:val="14"/>
          <w:szCs w:val="14"/>
        </w:rPr>
        <w:footnoteRef/>
      </w:r>
      <w:r w:rsidRPr="00E4735C">
        <w:rPr>
          <w:rFonts w:ascii="Verdana" w:hAnsi="Verdana" w:cs="Arial"/>
          <w:sz w:val="14"/>
          <w:szCs w:val="14"/>
        </w:rPr>
        <w:t xml:space="preserve"> </w:t>
      </w:r>
      <w:r w:rsidRPr="00E4735C">
        <w:rPr>
          <w:rFonts w:ascii="Verdana" w:hAnsi="Verdana" w:cs="Arial"/>
          <w:sz w:val="14"/>
          <w:szCs w:val="14"/>
          <w:lang w:val="es-ES"/>
        </w:rPr>
        <w:t xml:space="preserve">Artículo 2. </w:t>
      </w:r>
    </w:p>
  </w:footnote>
  <w:footnote w:id="16">
    <w:p w14:paraId="20DA32A5" w14:textId="77777777" w:rsidR="00CB0665" w:rsidRPr="003479E3" w:rsidRDefault="00CB0665" w:rsidP="00CB0665">
      <w:pPr>
        <w:pStyle w:val="Textonotapie"/>
        <w:ind w:firstLine="709"/>
        <w:jc w:val="both"/>
        <w:rPr>
          <w:rFonts w:ascii="Verdana" w:hAnsi="Verdana" w:cs="Arial"/>
          <w:sz w:val="14"/>
          <w:szCs w:val="14"/>
          <w:lang w:val="es-ES"/>
        </w:rPr>
      </w:pPr>
      <w:r w:rsidRPr="00E4735C">
        <w:rPr>
          <w:rStyle w:val="Refdenotaalpie"/>
          <w:rFonts w:ascii="Verdana" w:hAnsi="Verdana" w:cs="Arial"/>
          <w:sz w:val="14"/>
          <w:szCs w:val="14"/>
        </w:rPr>
        <w:footnoteRef/>
      </w:r>
      <w:r w:rsidRPr="00E4735C">
        <w:rPr>
          <w:rFonts w:ascii="Verdana" w:hAnsi="Verdana" w:cs="Arial"/>
          <w:sz w:val="14"/>
          <w:szCs w:val="14"/>
        </w:rPr>
        <w:t xml:space="preserve"> </w:t>
      </w:r>
      <w:r w:rsidRPr="00E4735C">
        <w:rPr>
          <w:rFonts w:ascii="Verdana" w:hAnsi="Verdana" w:cs="Arial"/>
          <w:i/>
          <w:sz w:val="14"/>
          <w:szCs w:val="14"/>
          <w:lang w:val="es-ES"/>
        </w:rPr>
        <w:t>Ídem</w:t>
      </w:r>
      <w:r w:rsidRPr="00E4735C">
        <w:rPr>
          <w:rFonts w:ascii="Verdana" w:hAnsi="Verdana" w:cs="Arial"/>
          <w:sz w:val="14"/>
          <w:szCs w:val="14"/>
          <w:lang w:val="es-ES"/>
        </w:rPr>
        <w:t>.</w:t>
      </w:r>
    </w:p>
  </w:footnote>
  <w:footnote w:id="17">
    <w:p w14:paraId="3A1567E4" w14:textId="3E9045E0" w:rsidR="00CB0665" w:rsidRPr="003479E3" w:rsidRDefault="00CB0665" w:rsidP="00CB0665">
      <w:pPr>
        <w:pStyle w:val="Textonotapie"/>
        <w:ind w:firstLine="709"/>
        <w:jc w:val="both"/>
        <w:rPr>
          <w:rFonts w:ascii="Verdana" w:hAnsi="Verdana" w:cs="Arial"/>
          <w:sz w:val="14"/>
          <w:szCs w:val="14"/>
          <w:lang w:val="es-ES"/>
        </w:rPr>
      </w:pPr>
      <w:r w:rsidRPr="003479E3">
        <w:rPr>
          <w:rStyle w:val="Refdenotaalpie"/>
          <w:rFonts w:ascii="Verdana" w:hAnsi="Verdana" w:cs="Arial"/>
          <w:sz w:val="14"/>
          <w:szCs w:val="14"/>
        </w:rPr>
        <w:footnoteRef/>
      </w:r>
      <w:r w:rsidRPr="003479E3">
        <w:rPr>
          <w:rStyle w:val="Refdenotaalpie"/>
          <w:rFonts w:ascii="Verdana" w:hAnsi="Verdana" w:cs="Arial"/>
          <w:sz w:val="14"/>
          <w:szCs w:val="14"/>
        </w:rPr>
        <w:t xml:space="preserve"> </w:t>
      </w:r>
      <w:r w:rsidRPr="003479E3">
        <w:rPr>
          <w:rFonts w:ascii="Verdana" w:hAnsi="Verdana" w:cs="Arial"/>
          <w:sz w:val="14"/>
          <w:szCs w:val="14"/>
          <w:lang w:val="es-ES"/>
        </w:rPr>
        <w:t xml:space="preserve">“[…] A este respecto, cabe recordar que el artículo 860 del Código de Comercio regula la licitación en el derecho privado”. </w:t>
      </w:r>
    </w:p>
  </w:footnote>
  <w:footnote w:id="18">
    <w:p w14:paraId="623F725D" w14:textId="77777777" w:rsidR="00CB0665" w:rsidRPr="003479E3" w:rsidRDefault="00CB0665" w:rsidP="00CB0665">
      <w:pPr>
        <w:shd w:val="clear" w:color="auto" w:fill="FFFFFF" w:themeFill="background1"/>
        <w:spacing w:after="0" w:line="240" w:lineRule="auto"/>
        <w:ind w:firstLine="709"/>
        <w:jc w:val="both"/>
        <w:rPr>
          <w:rFonts w:ascii="Verdana" w:hAnsi="Verdana" w:cs="Arial"/>
          <w:sz w:val="14"/>
          <w:szCs w:val="14"/>
          <w:lang w:val="es-ES"/>
        </w:rPr>
      </w:pPr>
      <w:r w:rsidRPr="003479E3">
        <w:rPr>
          <w:rStyle w:val="Refdenotaalpie"/>
          <w:rFonts w:ascii="Verdana" w:hAnsi="Verdana" w:cs="Arial"/>
          <w:sz w:val="14"/>
          <w:szCs w:val="14"/>
        </w:rPr>
        <w:footnoteRef/>
      </w:r>
      <w:r w:rsidRPr="003479E3">
        <w:rPr>
          <w:rStyle w:val="Refdenotaalpie"/>
          <w:rFonts w:ascii="Verdana" w:hAnsi="Verdana" w:cs="Arial"/>
          <w:sz w:val="14"/>
          <w:szCs w:val="14"/>
        </w:rPr>
        <w:t xml:space="preserve"> </w:t>
      </w:r>
      <w:r w:rsidRPr="003479E3">
        <w:rPr>
          <w:rFonts w:ascii="Verdana" w:hAnsi="Verdana" w:cs="Arial"/>
          <w:sz w:val="14"/>
          <w:szCs w:val="14"/>
          <w:lang w:val="es-ES"/>
        </w:rPr>
        <w:t>Consejo de Estado. Sala de Consulta y Servicio Civil, Concepto de 8 de mayo de 2018. Radicación Número: 11001-03-06-000-2018-00095-00(2382). Consejero Ponente: Álvaro Namén Vargas.</w:t>
      </w:r>
    </w:p>
  </w:footnote>
  <w:footnote w:id="19">
    <w:p w14:paraId="37134023" w14:textId="77777777" w:rsidR="00CB0665" w:rsidRPr="003F2A9C" w:rsidRDefault="00CB0665" w:rsidP="00CB0665">
      <w:pPr>
        <w:pStyle w:val="Textonotapie"/>
        <w:ind w:firstLine="709"/>
        <w:jc w:val="both"/>
        <w:rPr>
          <w:rFonts w:ascii="Verdana" w:hAnsi="Verdana" w:cs="Arial"/>
          <w:sz w:val="16"/>
          <w:szCs w:val="16"/>
        </w:rPr>
      </w:pPr>
      <w:r w:rsidRPr="003479E3">
        <w:rPr>
          <w:rStyle w:val="Refdenotaalpie"/>
          <w:rFonts w:ascii="Verdana" w:hAnsi="Verdana" w:cs="Arial"/>
          <w:sz w:val="14"/>
          <w:szCs w:val="14"/>
        </w:rPr>
        <w:footnoteRef/>
      </w:r>
      <w:r w:rsidRPr="003479E3">
        <w:rPr>
          <w:rFonts w:ascii="Verdana" w:hAnsi="Verdana" w:cs="Arial"/>
          <w:sz w:val="14"/>
          <w:szCs w:val="14"/>
        </w:rPr>
        <w:t xml:space="preserve"> Consejo de Estado. Sala de Consulta y Servicio Civil. Concepto del 08 de mayo de 2018. Exp. 2.382. C.P. Álvaro Namén Vargas.</w:t>
      </w:r>
    </w:p>
  </w:footnote>
  <w:footnote w:id="20">
    <w:p w14:paraId="78905D32" w14:textId="77777777" w:rsidR="00CB0665" w:rsidRPr="003479E3" w:rsidRDefault="00CB0665" w:rsidP="00CB0665">
      <w:pPr>
        <w:pStyle w:val="Textonotapie"/>
        <w:ind w:firstLine="708"/>
        <w:jc w:val="both"/>
        <w:rPr>
          <w:rFonts w:ascii="Verdana" w:hAnsi="Verdana" w:cs="Arial"/>
          <w:sz w:val="14"/>
          <w:szCs w:val="14"/>
        </w:rPr>
      </w:pPr>
      <w:r w:rsidRPr="003479E3">
        <w:rPr>
          <w:rStyle w:val="Refdenotaalpie"/>
          <w:rFonts w:ascii="Verdana" w:hAnsi="Verdana" w:cs="Arial"/>
          <w:sz w:val="14"/>
          <w:szCs w:val="14"/>
        </w:rPr>
        <w:footnoteRef/>
      </w:r>
      <w:r w:rsidRPr="003479E3">
        <w:rPr>
          <w:rFonts w:ascii="Verdana" w:hAnsi="Verdana" w:cs="Arial"/>
          <w:sz w:val="14"/>
          <w:szCs w:val="14"/>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p w14:paraId="5554493D" w14:textId="77777777" w:rsidR="00CB0665" w:rsidRPr="003F2A9C" w:rsidRDefault="00CB0665" w:rsidP="00CB0665">
      <w:pPr>
        <w:pStyle w:val="Textonotapie"/>
        <w:ind w:firstLine="708"/>
        <w:jc w:val="both"/>
        <w:rPr>
          <w:rFonts w:ascii="Verdana" w:hAnsi="Verdana" w:cs="Arial"/>
          <w:sz w:val="16"/>
          <w:szCs w:val="16"/>
        </w:rPr>
      </w:pPr>
    </w:p>
  </w:footnote>
  <w:footnote w:id="21">
    <w:p w14:paraId="67B352F1" w14:textId="63096246" w:rsidR="00CB0665" w:rsidRPr="003479E3" w:rsidRDefault="00CB0665" w:rsidP="00CB0665">
      <w:pPr>
        <w:pStyle w:val="Textonotapie"/>
        <w:ind w:firstLine="709"/>
        <w:jc w:val="both"/>
        <w:rPr>
          <w:rFonts w:ascii="Verdana" w:hAnsi="Verdana" w:cs="Arial"/>
          <w:sz w:val="14"/>
          <w:szCs w:val="14"/>
        </w:rPr>
      </w:pPr>
      <w:r w:rsidRPr="003479E3">
        <w:rPr>
          <w:rStyle w:val="Refdenotaalpie"/>
          <w:rFonts w:ascii="Verdana" w:hAnsi="Verdana" w:cs="Arial"/>
          <w:sz w:val="14"/>
          <w:szCs w:val="14"/>
        </w:rPr>
        <w:footnoteRef/>
      </w:r>
      <w:r w:rsidRPr="003479E3">
        <w:rPr>
          <w:rFonts w:ascii="Verdana" w:hAnsi="Verdana" w:cs="Arial"/>
          <w:sz w:val="14"/>
          <w:szCs w:val="14"/>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2">
    <w:p w14:paraId="6581E581" w14:textId="77777777" w:rsidR="00CB0665" w:rsidRPr="005F5922" w:rsidRDefault="00CB0665" w:rsidP="00CB0665">
      <w:pPr>
        <w:pStyle w:val="Textonotapie"/>
        <w:ind w:firstLine="708"/>
        <w:jc w:val="both"/>
        <w:rPr>
          <w:rFonts w:ascii="Verdana" w:hAnsi="Verdana" w:cs="Arial"/>
          <w:color w:val="000000" w:themeColor="text1"/>
          <w:sz w:val="16"/>
          <w:szCs w:val="16"/>
          <w:lang w:val="es-ES"/>
        </w:rPr>
      </w:pPr>
      <w:r w:rsidRPr="003479E3">
        <w:rPr>
          <w:rStyle w:val="Refdenotaalpie"/>
          <w:rFonts w:ascii="Verdana" w:hAnsi="Verdana" w:cs="Arial"/>
          <w:color w:val="000000" w:themeColor="text1"/>
          <w:sz w:val="14"/>
          <w:szCs w:val="14"/>
        </w:rPr>
        <w:footnoteRef/>
      </w:r>
      <w:r w:rsidRPr="003479E3">
        <w:rPr>
          <w:rFonts w:ascii="Verdana" w:hAnsi="Verdana" w:cs="Arial"/>
          <w:color w:val="000000" w:themeColor="text1"/>
          <w:sz w:val="14"/>
          <w:szCs w:val="14"/>
        </w:rPr>
        <w:t xml:space="preserve"> </w:t>
      </w:r>
      <w:r w:rsidRPr="003479E3">
        <w:rPr>
          <w:rFonts w:ascii="Verdana" w:hAnsi="Verdana" w:cs="Arial"/>
          <w:color w:val="000000" w:themeColor="text1"/>
          <w:sz w:val="14"/>
          <w:szCs w:val="14"/>
          <w:lang w:val="es-CO"/>
        </w:rPr>
        <w:t>«</w:t>
      </w:r>
      <w:r w:rsidRPr="003479E3">
        <w:rPr>
          <w:rFonts w:ascii="Verdana" w:hAnsi="Verdana" w:cs="Arial"/>
          <w:color w:val="000000" w:themeColor="text1"/>
          <w:sz w:val="14"/>
          <w:szCs w:val="14"/>
        </w:rPr>
        <w:t>Artículo 197. Empresas sociales de salud de carácter territorial. Las entidades territoriales deberán disponer, dentro de los seis (6) meses siguientes a la fecha de vigencia de esta Ley, la reestructuración de las entidades descentralizadas cuyo objeto principal sea la prestación de servicios de salud, con el fin de adecuarlas a lo dispuesto en este capítulo.</w:t>
      </w:r>
    </w:p>
  </w:footnote>
  <w:footnote w:id="23">
    <w:p w14:paraId="434E6CAA" w14:textId="77777777" w:rsidR="00CB0665" w:rsidRPr="003479E3" w:rsidRDefault="00CB0665" w:rsidP="00CB0665">
      <w:pPr>
        <w:pStyle w:val="Textonotapie"/>
        <w:ind w:firstLine="708"/>
        <w:jc w:val="both"/>
        <w:rPr>
          <w:rFonts w:ascii="Verdana" w:hAnsi="Verdana" w:cs="Arial"/>
          <w:color w:val="000000" w:themeColor="text1"/>
          <w:sz w:val="14"/>
          <w:szCs w:val="14"/>
        </w:rPr>
      </w:pPr>
      <w:r w:rsidRPr="003479E3">
        <w:rPr>
          <w:rStyle w:val="Refdenotaalpie"/>
          <w:rFonts w:ascii="Verdana" w:hAnsi="Verdana" w:cs="Arial"/>
          <w:color w:val="000000" w:themeColor="text1"/>
          <w:sz w:val="14"/>
          <w:szCs w:val="14"/>
        </w:rPr>
        <w:footnoteRef/>
      </w:r>
      <w:r w:rsidRPr="003479E3">
        <w:rPr>
          <w:rFonts w:ascii="Verdana" w:hAnsi="Verdana" w:cs="Arial"/>
          <w:color w:val="000000" w:themeColor="text1"/>
          <w:sz w:val="14"/>
          <w:szCs w:val="14"/>
        </w:rPr>
        <w:t xml:space="preserve"> El artículo 2.8.8.1.4.2 del Decreto 780 de 2016 dispone que «Para efectos de la aplicación del presente Capítulo, entiéndase por Autoridades Sanitarias del Sivigila, el Ministerio de Salud y Protección Social; el Instituto Nacional de Salud (INS); el Instituto Nacional de Vigilancia de Medicamentos y Alimentos (Invima), las Direcciones Territoriales de Salud, </w:t>
      </w:r>
      <w:r w:rsidRPr="003479E3">
        <w:rPr>
          <w:rFonts w:ascii="Verdana" w:hAnsi="Verdana" w:cs="Arial"/>
          <w:i/>
          <w:iCs/>
          <w:color w:val="000000" w:themeColor="text1"/>
          <w:sz w:val="14"/>
          <w:szCs w:val="14"/>
        </w:rPr>
        <w:t>y todas aquellas entidades que de acuerdo con la ley ejerzan funciones de vigilancia y control sanitario</w:t>
      </w:r>
      <w:r w:rsidRPr="003479E3">
        <w:rPr>
          <w:rFonts w:ascii="Verdana" w:hAnsi="Verdana" w:cs="Arial"/>
          <w:color w:val="000000" w:themeColor="text1"/>
          <w:sz w:val="14"/>
          <w:szCs w:val="14"/>
        </w:rPr>
        <w:t xml:space="preserve">, las cuales deben adoptar medidas sanitarias que garanticen la protección de la salud pública y el cumplimiento de lo dispuesto en esta norma, así como adelantar los procedimientos y aplicar las sanciones a que hubiere lugar» (Énfasis fuera de texto).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5pt;height:11.5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1934292"/>
    <w:multiLevelType w:val="hybridMultilevel"/>
    <w:tmpl w:val="80909676"/>
    <w:lvl w:ilvl="0" w:tplc="D452D83C">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59AE221C"/>
    <w:multiLevelType w:val="hybridMultilevel"/>
    <w:tmpl w:val="986261F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5F371B4A"/>
    <w:multiLevelType w:val="hybridMultilevel"/>
    <w:tmpl w:val="683407B8"/>
    <w:lvl w:ilvl="0" w:tplc="95964444">
      <w:start w:val="2"/>
      <w:numFmt w:val="decimal"/>
      <w:lvlText w:val="%1."/>
      <w:lvlJc w:val="left"/>
      <w:pPr>
        <w:ind w:left="360" w:hanging="360"/>
      </w:pPr>
      <w:rPr>
        <w:rFonts w:hint="default"/>
        <w:b/>
        <w:bCs/>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08377584">
    <w:abstractNumId w:val="5"/>
  </w:num>
  <w:num w:numId="2" w16cid:durableId="737943048">
    <w:abstractNumId w:val="1"/>
  </w:num>
  <w:num w:numId="3" w16cid:durableId="1283423076">
    <w:abstractNumId w:val="3"/>
  </w:num>
  <w:num w:numId="4" w16cid:durableId="20880256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9444812">
    <w:abstractNumId w:val="1"/>
  </w:num>
  <w:num w:numId="6" w16cid:durableId="1534464576">
    <w:abstractNumId w:val="14"/>
  </w:num>
  <w:num w:numId="7" w16cid:durableId="1557014464">
    <w:abstractNumId w:val="4"/>
  </w:num>
  <w:num w:numId="8" w16cid:durableId="1013652670">
    <w:abstractNumId w:val="13"/>
  </w:num>
  <w:num w:numId="9" w16cid:durableId="1225331161">
    <w:abstractNumId w:val="6"/>
  </w:num>
  <w:num w:numId="10" w16cid:durableId="1419250763">
    <w:abstractNumId w:val="12"/>
  </w:num>
  <w:num w:numId="11" w16cid:durableId="1303651752">
    <w:abstractNumId w:val="7"/>
  </w:num>
  <w:num w:numId="12" w16cid:durableId="1778022596">
    <w:abstractNumId w:val="0"/>
  </w:num>
  <w:num w:numId="13" w16cid:durableId="1425806411">
    <w:abstractNumId w:val="2"/>
  </w:num>
  <w:num w:numId="14" w16cid:durableId="683632257">
    <w:abstractNumId w:val="15"/>
  </w:num>
  <w:num w:numId="15" w16cid:durableId="523637360">
    <w:abstractNumId w:val="11"/>
  </w:num>
  <w:num w:numId="16" w16cid:durableId="2040160837">
    <w:abstractNumId w:val="10"/>
  </w:num>
  <w:num w:numId="17" w16cid:durableId="903610564">
    <w:abstractNumId w:val="9"/>
  </w:num>
  <w:num w:numId="18" w16cid:durableId="13633870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30C0"/>
    <w:rsid w:val="00040988"/>
    <w:rsid w:val="00046945"/>
    <w:rsid w:val="00061B2A"/>
    <w:rsid w:val="00064105"/>
    <w:rsid w:val="00075191"/>
    <w:rsid w:val="00082362"/>
    <w:rsid w:val="000A683E"/>
    <w:rsid w:val="000B19B9"/>
    <w:rsid w:val="000D0334"/>
    <w:rsid w:val="000D5DA7"/>
    <w:rsid w:val="000F6486"/>
    <w:rsid w:val="00116940"/>
    <w:rsid w:val="00125105"/>
    <w:rsid w:val="00127233"/>
    <w:rsid w:val="0015699B"/>
    <w:rsid w:val="0016083D"/>
    <w:rsid w:val="00186E3E"/>
    <w:rsid w:val="00193B04"/>
    <w:rsid w:val="001A33BF"/>
    <w:rsid w:val="001B415F"/>
    <w:rsid w:val="001E4177"/>
    <w:rsid w:val="001F0B24"/>
    <w:rsid w:val="001F69F4"/>
    <w:rsid w:val="001F7DC6"/>
    <w:rsid w:val="002048DF"/>
    <w:rsid w:val="00223C47"/>
    <w:rsid w:val="0022400B"/>
    <w:rsid w:val="002267F0"/>
    <w:rsid w:val="002421BB"/>
    <w:rsid w:val="0025796E"/>
    <w:rsid w:val="002707A2"/>
    <w:rsid w:val="002753C3"/>
    <w:rsid w:val="0029279E"/>
    <w:rsid w:val="002951A0"/>
    <w:rsid w:val="002962BC"/>
    <w:rsid w:val="002A093D"/>
    <w:rsid w:val="002A0DD0"/>
    <w:rsid w:val="002A49AC"/>
    <w:rsid w:val="002A64FD"/>
    <w:rsid w:val="002C7A84"/>
    <w:rsid w:val="002D3F6B"/>
    <w:rsid w:val="002E2BF8"/>
    <w:rsid w:val="002E4FD9"/>
    <w:rsid w:val="0030657A"/>
    <w:rsid w:val="00322A85"/>
    <w:rsid w:val="00324168"/>
    <w:rsid w:val="00330834"/>
    <w:rsid w:val="003448F4"/>
    <w:rsid w:val="00374F5E"/>
    <w:rsid w:val="00377E3E"/>
    <w:rsid w:val="00387460"/>
    <w:rsid w:val="003A779E"/>
    <w:rsid w:val="003D0F4D"/>
    <w:rsid w:val="003D5B0D"/>
    <w:rsid w:val="003E0499"/>
    <w:rsid w:val="003E2F89"/>
    <w:rsid w:val="003E4F80"/>
    <w:rsid w:val="003E6439"/>
    <w:rsid w:val="003F3941"/>
    <w:rsid w:val="00406575"/>
    <w:rsid w:val="00414C74"/>
    <w:rsid w:val="0042722E"/>
    <w:rsid w:val="0044528D"/>
    <w:rsid w:val="00466E39"/>
    <w:rsid w:val="004A1847"/>
    <w:rsid w:val="004A305D"/>
    <w:rsid w:val="004A7BDD"/>
    <w:rsid w:val="004F21C4"/>
    <w:rsid w:val="004F685F"/>
    <w:rsid w:val="00506BDF"/>
    <w:rsid w:val="00554B11"/>
    <w:rsid w:val="005566E8"/>
    <w:rsid w:val="00570850"/>
    <w:rsid w:val="00574867"/>
    <w:rsid w:val="00591460"/>
    <w:rsid w:val="005A65E0"/>
    <w:rsid w:val="005C3777"/>
    <w:rsid w:val="005C5CDC"/>
    <w:rsid w:val="005D476C"/>
    <w:rsid w:val="006148E3"/>
    <w:rsid w:val="006200BF"/>
    <w:rsid w:val="00620E3F"/>
    <w:rsid w:val="006219F8"/>
    <w:rsid w:val="006302F7"/>
    <w:rsid w:val="00646B9F"/>
    <w:rsid w:val="00665D70"/>
    <w:rsid w:val="006900D9"/>
    <w:rsid w:val="00690F0F"/>
    <w:rsid w:val="00691696"/>
    <w:rsid w:val="006D487B"/>
    <w:rsid w:val="00705D52"/>
    <w:rsid w:val="00706C16"/>
    <w:rsid w:val="00707310"/>
    <w:rsid w:val="007340C3"/>
    <w:rsid w:val="007507E8"/>
    <w:rsid w:val="0075235A"/>
    <w:rsid w:val="00756841"/>
    <w:rsid w:val="007576BA"/>
    <w:rsid w:val="007649AB"/>
    <w:rsid w:val="00771D0C"/>
    <w:rsid w:val="00772013"/>
    <w:rsid w:val="007833AC"/>
    <w:rsid w:val="007B268C"/>
    <w:rsid w:val="007B5C64"/>
    <w:rsid w:val="007B7171"/>
    <w:rsid w:val="007C0C0F"/>
    <w:rsid w:val="007C3DC2"/>
    <w:rsid w:val="007C47C6"/>
    <w:rsid w:val="007C5B57"/>
    <w:rsid w:val="007E5497"/>
    <w:rsid w:val="00806F5F"/>
    <w:rsid w:val="00820278"/>
    <w:rsid w:val="008258C9"/>
    <w:rsid w:val="008335A6"/>
    <w:rsid w:val="00844AE9"/>
    <w:rsid w:val="00866DFD"/>
    <w:rsid w:val="00867F95"/>
    <w:rsid w:val="008843B6"/>
    <w:rsid w:val="00884CCA"/>
    <w:rsid w:val="00891928"/>
    <w:rsid w:val="008A446D"/>
    <w:rsid w:val="008B25F1"/>
    <w:rsid w:val="008D180B"/>
    <w:rsid w:val="008E1524"/>
    <w:rsid w:val="008F0EA7"/>
    <w:rsid w:val="00903BD2"/>
    <w:rsid w:val="00923EEF"/>
    <w:rsid w:val="009419F9"/>
    <w:rsid w:val="0095685E"/>
    <w:rsid w:val="00961B09"/>
    <w:rsid w:val="00965334"/>
    <w:rsid w:val="0097093E"/>
    <w:rsid w:val="00970FA5"/>
    <w:rsid w:val="00972278"/>
    <w:rsid w:val="0097287D"/>
    <w:rsid w:val="009A0DFA"/>
    <w:rsid w:val="009A1C6F"/>
    <w:rsid w:val="009A3C5D"/>
    <w:rsid w:val="009B2D26"/>
    <w:rsid w:val="009C71FA"/>
    <w:rsid w:val="009C72E7"/>
    <w:rsid w:val="009C7F7E"/>
    <w:rsid w:val="009D3058"/>
    <w:rsid w:val="009F3A13"/>
    <w:rsid w:val="00A122D3"/>
    <w:rsid w:val="00A14468"/>
    <w:rsid w:val="00A17F13"/>
    <w:rsid w:val="00A20739"/>
    <w:rsid w:val="00A23AF9"/>
    <w:rsid w:val="00A33C78"/>
    <w:rsid w:val="00A61907"/>
    <w:rsid w:val="00A77871"/>
    <w:rsid w:val="00A914C2"/>
    <w:rsid w:val="00AB0ADB"/>
    <w:rsid w:val="00AB1127"/>
    <w:rsid w:val="00AF71EC"/>
    <w:rsid w:val="00B00C0E"/>
    <w:rsid w:val="00B01B1A"/>
    <w:rsid w:val="00B0381D"/>
    <w:rsid w:val="00B44A47"/>
    <w:rsid w:val="00B72CD3"/>
    <w:rsid w:val="00B72FFF"/>
    <w:rsid w:val="00B923DC"/>
    <w:rsid w:val="00BC3D36"/>
    <w:rsid w:val="00BD54A6"/>
    <w:rsid w:val="00BD7F72"/>
    <w:rsid w:val="00BF7425"/>
    <w:rsid w:val="00C04FB3"/>
    <w:rsid w:val="00C11D8B"/>
    <w:rsid w:val="00C15139"/>
    <w:rsid w:val="00C330EB"/>
    <w:rsid w:val="00C50D69"/>
    <w:rsid w:val="00C5365C"/>
    <w:rsid w:val="00C754BE"/>
    <w:rsid w:val="00C76B1C"/>
    <w:rsid w:val="00C925AC"/>
    <w:rsid w:val="00C95F45"/>
    <w:rsid w:val="00CB0665"/>
    <w:rsid w:val="00CB6357"/>
    <w:rsid w:val="00CC1B26"/>
    <w:rsid w:val="00CD271C"/>
    <w:rsid w:val="00CD4DC9"/>
    <w:rsid w:val="00D361FD"/>
    <w:rsid w:val="00D423A2"/>
    <w:rsid w:val="00D44E26"/>
    <w:rsid w:val="00D472C7"/>
    <w:rsid w:val="00D520D8"/>
    <w:rsid w:val="00D63A7A"/>
    <w:rsid w:val="00D63AC2"/>
    <w:rsid w:val="00D7383B"/>
    <w:rsid w:val="00D7788A"/>
    <w:rsid w:val="00DA231B"/>
    <w:rsid w:val="00DA755D"/>
    <w:rsid w:val="00DB251B"/>
    <w:rsid w:val="00DB503B"/>
    <w:rsid w:val="00DC39FC"/>
    <w:rsid w:val="00DC54E0"/>
    <w:rsid w:val="00DD7D85"/>
    <w:rsid w:val="00DF5254"/>
    <w:rsid w:val="00E02524"/>
    <w:rsid w:val="00E06B57"/>
    <w:rsid w:val="00E075C2"/>
    <w:rsid w:val="00E16408"/>
    <w:rsid w:val="00E20894"/>
    <w:rsid w:val="00E245AB"/>
    <w:rsid w:val="00E253DE"/>
    <w:rsid w:val="00E2764C"/>
    <w:rsid w:val="00E27F2E"/>
    <w:rsid w:val="00E4735C"/>
    <w:rsid w:val="00E50AFE"/>
    <w:rsid w:val="00E51F64"/>
    <w:rsid w:val="00E72FD5"/>
    <w:rsid w:val="00E75C92"/>
    <w:rsid w:val="00E771DC"/>
    <w:rsid w:val="00E8772A"/>
    <w:rsid w:val="00E90F6B"/>
    <w:rsid w:val="00E92C27"/>
    <w:rsid w:val="00EA0E3D"/>
    <w:rsid w:val="00EC38A7"/>
    <w:rsid w:val="00EE1AA8"/>
    <w:rsid w:val="00F2326E"/>
    <w:rsid w:val="00F23FEA"/>
    <w:rsid w:val="00F30D57"/>
    <w:rsid w:val="00F31EDC"/>
    <w:rsid w:val="00F3505B"/>
    <w:rsid w:val="00F36ABF"/>
    <w:rsid w:val="00F462B3"/>
    <w:rsid w:val="00F52719"/>
    <w:rsid w:val="00F5664F"/>
    <w:rsid w:val="00F666C4"/>
    <w:rsid w:val="00F76AFC"/>
    <w:rsid w:val="00F93BAE"/>
    <w:rsid w:val="00FA47C0"/>
    <w:rsid w:val="00FB5DD1"/>
    <w:rsid w:val="00FC025F"/>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702E34A0-3D63-486C-BAFD-29A6CE119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B0665"/>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B0665"/>
    <w:rPr>
      <w:rFonts w:ascii="Geomanist Light" w:hAnsi="Geomanist Light"/>
      <w:lang w:val="es-ES"/>
    </w:rPr>
  </w:style>
  <w:style w:type="paragraph" w:styleId="Textoindependiente">
    <w:name w:val="Body Text"/>
    <w:basedOn w:val="Normal"/>
    <w:link w:val="TextoindependienteCar"/>
    <w:uiPriority w:val="1"/>
    <w:qFormat/>
    <w:rsid w:val="00CB0665"/>
    <w:pPr>
      <w:widowControl w:val="0"/>
      <w:autoSpaceDE w:val="0"/>
      <w:autoSpaceDN w:val="0"/>
      <w:spacing w:after="0" w:line="240" w:lineRule="auto"/>
      <w:ind w:firstLine="709"/>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CB0665"/>
    <w:rPr>
      <w:rFonts w:ascii="Verdana" w:eastAsia="Verdana" w:hAnsi="Verdana" w:cs="Verdana"/>
      <w:lang w:val="es-ES"/>
    </w:rPr>
  </w:style>
  <w:style w:type="character" w:customStyle="1" w:styleId="NormalWebCar">
    <w:name w:val="Normal (Web) Car"/>
    <w:link w:val="NormalWeb"/>
    <w:uiPriority w:val="99"/>
    <w:rsid w:val="00CB0665"/>
    <w:rPr>
      <w:rFonts w:ascii="Times New Roman" w:eastAsia="Times New Roman" w:hAnsi="Times New Roman" w:cs="Times New Roman"/>
      <w:sz w:val="24"/>
      <w:szCs w:val="24"/>
      <w:lang w:eastAsia="es-CO"/>
    </w:rPr>
  </w:style>
  <w:style w:type="character" w:customStyle="1" w:styleId="baj">
    <w:name w:val="b_aj"/>
    <w:basedOn w:val="Fuentedeprrafopredeter"/>
    <w:rsid w:val="00CB0665"/>
  </w:style>
  <w:style w:type="paragraph" w:styleId="Sinespaciado">
    <w:name w:val="No Spacing"/>
    <w:uiPriority w:val="1"/>
    <w:qFormat/>
    <w:rsid w:val="00CB066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www.colombiacompra.gov.co/normativa-y-relatoria/circular-unica-externa"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hary25980@gmail.com"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forms.office.com/r/pPHyWVs2SZ"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9B79BAD-1FAC-46B8-8228-D223F74F063D}"/>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27</TotalTime>
  <Pages>24</Pages>
  <Words>8340</Words>
  <Characters>45291</Characters>
  <Application>Microsoft Office Word</Application>
  <DocSecurity>0</DocSecurity>
  <Lines>905</Lines>
  <Paragraphs>184</Paragraphs>
  <ScaleCrop>false</ScaleCrop>
  <Company/>
  <LinksUpToDate>false</LinksUpToDate>
  <CharactersWithSpaces>53447</CharactersWithSpaces>
  <SharedDoc>false</SharedDoc>
  <HLinks>
    <vt:vector size="54" baseType="variant">
      <vt:variant>
        <vt:i4>4456513</vt:i4>
      </vt:variant>
      <vt:variant>
        <vt:i4>24</vt:i4>
      </vt:variant>
      <vt:variant>
        <vt:i4>0</vt:i4>
      </vt:variant>
      <vt:variant>
        <vt:i4>5</vt:i4>
      </vt:variant>
      <vt:variant>
        <vt:lpwstr>https://forms.office.com/r/pPHyWVs2SZ</vt:lpwstr>
      </vt:variant>
      <vt:variant>
        <vt:lpwstr/>
      </vt:variant>
      <vt:variant>
        <vt:i4>3407926</vt:i4>
      </vt:variant>
      <vt:variant>
        <vt:i4>21</vt:i4>
      </vt:variant>
      <vt:variant>
        <vt:i4>0</vt:i4>
      </vt:variant>
      <vt:variant>
        <vt:i4>5</vt:i4>
      </vt:variant>
      <vt:variant>
        <vt:lpwstr>https://www.colombiacompra.gov.co/pqrsd/informacion-importante-antes-de-formular-una-pqrsd</vt:lpwstr>
      </vt:variant>
      <vt:variant>
        <vt:lpwstr/>
      </vt:variant>
      <vt:variant>
        <vt:i4>4980779</vt:i4>
      </vt:variant>
      <vt:variant>
        <vt:i4>18</vt:i4>
      </vt:variant>
      <vt:variant>
        <vt:i4>0</vt:i4>
      </vt:variant>
      <vt:variant>
        <vt:i4>5</vt:i4>
      </vt:variant>
      <vt:variant>
        <vt:lpwstr>mailto:ventanilladeradicacion@colombiacompra.gov.co</vt:lpwstr>
      </vt:variant>
      <vt:variant>
        <vt:lpwstr/>
      </vt:variant>
      <vt:variant>
        <vt:i4>5505101</vt:i4>
      </vt:variant>
      <vt:variant>
        <vt:i4>15</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12</vt:i4>
      </vt:variant>
      <vt:variant>
        <vt:i4>0</vt:i4>
      </vt:variant>
      <vt:variant>
        <vt:i4>5</vt:i4>
      </vt:variant>
      <vt:variant>
        <vt:lpwstr>https://www.colombiacompra.gov.co/normativa-y-relatoria/documentos-tipo</vt:lpwstr>
      </vt:variant>
      <vt:variant>
        <vt:lpwstr/>
      </vt:variant>
      <vt:variant>
        <vt:i4>65544</vt:i4>
      </vt:variant>
      <vt:variant>
        <vt:i4>9</vt:i4>
      </vt:variant>
      <vt:variant>
        <vt:i4>0</vt:i4>
      </vt:variant>
      <vt:variant>
        <vt:i4>5</vt:i4>
      </vt:variant>
      <vt:variant>
        <vt:lpwstr>https://formacionvirtual.colombiacompra.gov.co/mod/page/view.php?id=3718</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3014713</vt:i4>
      </vt:variant>
      <vt:variant>
        <vt:i4>3</vt:i4>
      </vt:variant>
      <vt:variant>
        <vt:i4>0</vt:i4>
      </vt:variant>
      <vt:variant>
        <vt:i4>5</vt:i4>
      </vt:variant>
      <vt:variant>
        <vt:lpwstr>https://www.colombiacompra.gov.co/normativa-y-relatoria/circular-unica-externa</vt:lpwstr>
      </vt:variant>
      <vt:variant>
        <vt:lpwstr/>
      </vt:variant>
      <vt:variant>
        <vt:i4>2555994</vt:i4>
      </vt:variant>
      <vt:variant>
        <vt:i4>0</vt:i4>
      </vt:variant>
      <vt:variant>
        <vt:i4>0</vt:i4>
      </vt:variant>
      <vt:variant>
        <vt:i4>5</vt:i4>
      </vt:variant>
      <vt:variant>
        <vt:lpwstr>mailto:hary25980@gmail.com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Angela Maria Olmos Andrade</cp:lastModifiedBy>
  <cp:revision>19</cp:revision>
  <cp:lastPrinted>2023-01-11T00:18:00Z</cp:lastPrinted>
  <dcterms:created xsi:type="dcterms:W3CDTF">2026-03-24T16:49:00Z</dcterms:created>
  <dcterms:modified xsi:type="dcterms:W3CDTF">2026-03-25T15:22:00Z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