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F4837" w14:textId="77777777" w:rsidR="00362533" w:rsidRPr="00AF1555" w:rsidRDefault="00362533" w:rsidP="00362533">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RÉGIMEN DE INHABILIDADES E INCOMPATIBILIDADES</w:t>
      </w:r>
      <w:r w:rsidRPr="00E95799">
        <w:rPr>
          <w:rFonts w:ascii="Verdana" w:eastAsia="Calibri" w:hAnsi="Verdana" w:cs="Arial"/>
          <w:b/>
          <w:color w:val="000000" w:themeColor="text1"/>
          <w:lang w:val="es-ES"/>
        </w:rPr>
        <w:t xml:space="preserve"> – Definición – </w:t>
      </w:r>
      <w:r>
        <w:rPr>
          <w:rFonts w:ascii="Verdana" w:eastAsia="Calibri" w:hAnsi="Verdana" w:cs="Arial"/>
          <w:b/>
          <w:color w:val="000000" w:themeColor="text1"/>
          <w:lang w:val="es-ES"/>
        </w:rPr>
        <w:t>Taxatividad – Interpretación restrictiva</w:t>
      </w:r>
      <w:r w:rsidRPr="00AF1555">
        <w:rPr>
          <w:rFonts w:ascii="Verdana" w:eastAsia="Calibri" w:hAnsi="Verdana" w:cs="Arial"/>
          <w:b/>
          <w:color w:val="000000" w:themeColor="text1"/>
          <w:lang w:val="es-ES"/>
        </w:rPr>
        <w:t xml:space="preserve"> </w:t>
      </w:r>
    </w:p>
    <w:p w14:paraId="1B8AC165" w14:textId="77777777" w:rsidR="00725D07" w:rsidRDefault="00725D07" w:rsidP="00CD6CC1">
      <w:pPr>
        <w:spacing w:after="0" w:line="240" w:lineRule="auto"/>
        <w:rPr>
          <w:rFonts w:ascii="Verdana" w:eastAsia="Geomanist Light" w:hAnsi="Verdana" w:cs="Arial"/>
          <w:color w:val="000000" w:themeColor="text1"/>
          <w:lang w:val="es-MX"/>
        </w:rPr>
      </w:pPr>
    </w:p>
    <w:p w14:paraId="16A3DB6E" w14:textId="42C55ABA" w:rsidR="00725D07" w:rsidRDefault="009A3DCA" w:rsidP="009A3DCA">
      <w:pPr>
        <w:spacing w:after="0" w:line="240" w:lineRule="auto"/>
        <w:jc w:val="both"/>
        <w:rPr>
          <w:rFonts w:ascii="Verdana" w:hAnsi="Verdana" w:cs="Arial"/>
          <w:color w:val="000000" w:themeColor="text1"/>
          <w:sz w:val="20"/>
          <w:szCs w:val="20"/>
        </w:rPr>
      </w:pPr>
      <w:r w:rsidRPr="00FD0DE3">
        <w:rPr>
          <w:rFonts w:ascii="Verdana" w:hAnsi="Verdana" w:cs="Arial"/>
          <w:color w:val="000000" w:themeColor="text1"/>
          <w:sz w:val="20"/>
          <w:szCs w:val="20"/>
        </w:rPr>
        <w:t>Las inhabilidades e incompatibilidades son circunstancias de naturaleza restrictiva,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Por su parte, el régimen de inhabilidades e incompatibilidades para contratar con el Estado hace referencia a un conjunto de restricciones establecidas por el constituyente o por el legislador, que afectan directamente la capacidad de las personas para establecer una relación jurídica contractual con el Estado, la cuales pueden obedecer a condenas, sanciones o situaciones previamente establecidas por el ordenamiento jurídico.</w:t>
      </w:r>
    </w:p>
    <w:p w14:paraId="69A6F204" w14:textId="39D06108" w:rsidR="00FD0DE3" w:rsidRDefault="00FD0DE3" w:rsidP="009A3DCA">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w:t>
      </w:r>
    </w:p>
    <w:p w14:paraId="6A1336FA" w14:textId="77777777" w:rsidR="00E46F4C" w:rsidRPr="00EA3BD1" w:rsidRDefault="00E46F4C" w:rsidP="00E46F4C">
      <w:pPr>
        <w:spacing w:before="120" w:after="120"/>
        <w:ind w:right="51"/>
        <w:rPr>
          <w:rFonts w:ascii="Verdana" w:hAnsi="Verdana"/>
          <w:color w:val="000000" w:themeColor="text1"/>
        </w:rPr>
      </w:pPr>
      <w:r w:rsidRPr="00EA3BD1">
        <w:rPr>
          <w:rFonts w:ascii="Verdana" w:hAnsi="Verdana"/>
          <w:b/>
          <w:bCs/>
          <w:color w:val="000000" w:themeColor="text1"/>
          <w:lang w:val="es-ES_tradnl"/>
        </w:rPr>
        <w:t>INHABILIDAD – Incumplimiento reiterado</w:t>
      </w:r>
      <w:r w:rsidRPr="00EA3BD1">
        <w:rPr>
          <w:rFonts w:ascii="Verdana" w:hAnsi="Verdana"/>
          <w:color w:val="000000" w:themeColor="text1"/>
        </w:rPr>
        <w:t xml:space="preserve"> </w:t>
      </w:r>
    </w:p>
    <w:p w14:paraId="1D23B00D" w14:textId="77777777" w:rsidR="005B1223" w:rsidRDefault="005B1223" w:rsidP="009A3DCA">
      <w:pPr>
        <w:spacing w:after="0" w:line="240" w:lineRule="auto"/>
        <w:jc w:val="both"/>
        <w:rPr>
          <w:rFonts w:ascii="Verdana" w:eastAsia="Geomanist Light" w:hAnsi="Verdana" w:cs="Arial"/>
          <w:color w:val="000000" w:themeColor="text1"/>
          <w:sz w:val="20"/>
          <w:szCs w:val="20"/>
          <w:lang w:val="es-MX"/>
        </w:rPr>
      </w:pPr>
    </w:p>
    <w:p w14:paraId="2A2D4417" w14:textId="4600D5DD" w:rsidR="005B1223" w:rsidRDefault="005B1223" w:rsidP="009A3DCA">
      <w:pPr>
        <w:spacing w:after="0" w:line="240" w:lineRule="auto"/>
        <w:jc w:val="both"/>
        <w:rPr>
          <w:rFonts w:ascii="Verdana" w:eastAsia="Geomanist Light" w:hAnsi="Verdana" w:cs="Arial"/>
          <w:color w:val="000000" w:themeColor="text1"/>
          <w:sz w:val="20"/>
          <w:szCs w:val="20"/>
          <w:lang w:val="es-MX"/>
        </w:rPr>
      </w:pPr>
      <w:r w:rsidRPr="005B1223">
        <w:rPr>
          <w:rFonts w:ascii="Verdana" w:eastAsia="Geomanist Light" w:hAnsi="Verdana" w:cs="Arial"/>
          <w:color w:val="000000" w:themeColor="text1"/>
          <w:sz w:val="20"/>
          <w:szCs w:val="20"/>
          <w:lang w:val="es-MX"/>
        </w:rPr>
        <w:t>Respecto de régimen de inhabilidades e incompatibilidades, contemplado en el artículo 90 de la Ley 1474 de 2011, específicamente el literal b, resulta oportuno reseñar que este indica unos supuestos bajo los cuales se da aplicación al citado artículo. Al respecto, la norma indica que dicha causal solo opera cuando la declaratoria de incumplimiento se da en por lo menos dos (2) o más contratos, con una (1) o varias entidades, y en los últimos tres (3) años. Por tanto, para que opere la causal deben cumplirse con todos los supuestos de hecho contemplados en la norma, sin que sea posible extender una interpretación amplia a circunstancias taxativamente contempladas, dado el carácter restrictivo. Así las cosas, es necesario que se haya declarado el incumplimiento en al menos dos (2) contratos, lo que excluye que el supuesto se aplique si se han declarado dos (2) incumplimientos en un solo contrato. Igualmente, dichos incumplimientos debieron haberse declarado durante los últimos tres (3) años. Lo que sí es indiferente para aplicación de la inhabilidad respecto al supuesto del literal b) es si los incumplimientos son declarados por una misma Entidad o varias</w:t>
      </w:r>
      <w:r w:rsidR="00E46F4C">
        <w:rPr>
          <w:rFonts w:ascii="Verdana" w:eastAsia="Geomanist Light" w:hAnsi="Verdana" w:cs="Arial"/>
          <w:color w:val="000000" w:themeColor="text1"/>
          <w:sz w:val="20"/>
          <w:szCs w:val="20"/>
          <w:lang w:val="es-MX"/>
        </w:rPr>
        <w:t>.</w:t>
      </w:r>
    </w:p>
    <w:p w14:paraId="4AB3E6DC"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5A4728FC"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43864960"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20154676"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1BAC1C9F"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11E28075"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35409E1D"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65535F18"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6251CA90"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5DC0B426"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603C4D06"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02EB6D67" w14:textId="77777777" w:rsidR="00E46F4C" w:rsidRDefault="00E46F4C" w:rsidP="009A3DCA">
      <w:pPr>
        <w:spacing w:after="0" w:line="240" w:lineRule="auto"/>
        <w:jc w:val="both"/>
        <w:rPr>
          <w:rFonts w:ascii="Verdana" w:eastAsia="Geomanist Light" w:hAnsi="Verdana" w:cs="Arial"/>
          <w:color w:val="000000" w:themeColor="text1"/>
          <w:sz w:val="20"/>
          <w:szCs w:val="20"/>
          <w:lang w:val="es-MX"/>
        </w:rPr>
      </w:pPr>
    </w:p>
    <w:p w14:paraId="0F9F880A" w14:textId="77777777" w:rsidR="00E46F4C" w:rsidRPr="00FD0DE3" w:rsidRDefault="00E46F4C" w:rsidP="009A3DCA">
      <w:pPr>
        <w:spacing w:after="0" w:line="240" w:lineRule="auto"/>
        <w:jc w:val="both"/>
        <w:rPr>
          <w:rFonts w:ascii="Verdana" w:eastAsia="Geomanist Light" w:hAnsi="Verdana" w:cs="Arial"/>
          <w:color w:val="000000" w:themeColor="text1"/>
          <w:sz w:val="20"/>
          <w:szCs w:val="20"/>
          <w:lang w:val="es-MX"/>
        </w:rPr>
      </w:pPr>
    </w:p>
    <w:p w14:paraId="014EAEA8" w14:textId="77777777" w:rsidR="00725D07" w:rsidRDefault="00725D07" w:rsidP="00CD6CC1">
      <w:pPr>
        <w:spacing w:after="0" w:line="240" w:lineRule="auto"/>
        <w:rPr>
          <w:rFonts w:ascii="Verdana" w:eastAsia="Geomanist Light" w:hAnsi="Verdana" w:cs="Arial"/>
          <w:color w:val="000000" w:themeColor="text1"/>
          <w:lang w:val="es-MX"/>
        </w:rPr>
      </w:pPr>
    </w:p>
    <w:p w14:paraId="46A29406" w14:textId="259606AC" w:rsidR="001E1B71" w:rsidRPr="00CD6CC1" w:rsidRDefault="0038737C" w:rsidP="00CD6CC1">
      <w:pPr>
        <w:spacing w:after="0" w:line="240" w:lineRule="auto"/>
        <w:rPr>
          <w:rFonts w:ascii="Verdana" w:eastAsia="Geomanist Light" w:hAnsi="Verdana" w:cs="Arial"/>
          <w:color w:val="201F1E"/>
          <w:lang w:val="es-MX"/>
        </w:rPr>
      </w:pPr>
      <w:r w:rsidRPr="0038737C">
        <w:rPr>
          <w:rFonts w:ascii="Verdana" w:eastAsia="Calibri" w:hAnsi="Verdana" w:cs="Arial"/>
          <w:noProof/>
          <w:color w:val="000000"/>
          <w:lang w:val="es-ES"/>
        </w:rPr>
        <w:lastRenderedPageBreak/>
        <w:drawing>
          <wp:anchor distT="0" distB="0" distL="114300" distR="114300" simplePos="0" relativeHeight="251658240" behindDoc="1" locked="0" layoutInCell="1" allowOverlap="1" wp14:anchorId="0514C85A" wp14:editId="5AD964B5">
            <wp:simplePos x="0" y="0"/>
            <wp:positionH relativeFrom="column">
              <wp:posOffset>3408218</wp:posOffset>
            </wp:positionH>
            <wp:positionV relativeFrom="paragraph">
              <wp:posOffset>289</wp:posOffset>
            </wp:positionV>
            <wp:extent cx="2429214" cy="619211"/>
            <wp:effectExtent l="0" t="0" r="9525" b="9525"/>
            <wp:wrapTight wrapText="bothSides">
              <wp:wrapPolygon edited="0">
                <wp:start x="0" y="0"/>
                <wp:lineTo x="0" y="21268"/>
                <wp:lineTo x="21515" y="21268"/>
                <wp:lineTo x="21515" y="0"/>
                <wp:lineTo x="0" y="0"/>
              </wp:wrapPolygon>
            </wp:wrapTight>
            <wp:docPr id="20146150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615009" name=""/>
                    <pic:cNvPicPr/>
                  </pic:nvPicPr>
                  <pic:blipFill>
                    <a:blip r:embed="rId10">
                      <a:extLst>
                        <a:ext uri="{28A0092B-C50C-407E-A947-70E740481C1C}">
                          <a14:useLocalDpi xmlns:a14="http://schemas.microsoft.com/office/drawing/2010/main" val="0"/>
                        </a:ext>
                      </a:extLst>
                    </a:blip>
                    <a:stretch>
                      <a:fillRect/>
                    </a:stretch>
                  </pic:blipFill>
                  <pic:spPr>
                    <a:xfrm>
                      <a:off x="0" y="0"/>
                      <a:ext cx="2429214" cy="619211"/>
                    </a:xfrm>
                    <a:prstGeom prst="rect">
                      <a:avLst/>
                    </a:prstGeom>
                  </pic:spPr>
                </pic:pic>
              </a:graphicData>
            </a:graphic>
          </wp:anchor>
        </w:drawing>
      </w:r>
      <w:r w:rsidR="001E1B71" w:rsidRPr="00CD6CC1">
        <w:rPr>
          <w:rFonts w:ascii="Verdana" w:eastAsia="Geomanist Light" w:hAnsi="Verdana" w:cs="Arial"/>
          <w:color w:val="000000" w:themeColor="text1"/>
          <w:lang w:val="es-MX"/>
        </w:rPr>
        <w:t>Bogotá D.C., </w:t>
      </w:r>
      <w:r w:rsidR="0066138F">
        <w:rPr>
          <w:rFonts w:ascii="Verdana" w:eastAsia="Geomanist Light" w:hAnsi="Verdana" w:cs="Arial"/>
          <w:color w:val="000000" w:themeColor="text1"/>
        </w:rPr>
        <w:t>26 de marzo de 2026</w:t>
      </w:r>
    </w:p>
    <w:p w14:paraId="2319BF62" w14:textId="77777777" w:rsidR="001E1B71" w:rsidRDefault="001E1B71" w:rsidP="00CD6CC1">
      <w:pPr>
        <w:spacing w:after="0" w:line="240" w:lineRule="auto"/>
        <w:jc w:val="both"/>
        <w:rPr>
          <w:rFonts w:ascii="Verdana" w:eastAsia="Calibri" w:hAnsi="Verdana" w:cs="Arial"/>
          <w:color w:val="000000"/>
          <w:lang w:val="es-ES"/>
        </w:rPr>
      </w:pPr>
    </w:p>
    <w:p w14:paraId="305D26F1" w14:textId="14638AB4" w:rsidR="0038737C" w:rsidRPr="00CD6CC1" w:rsidRDefault="0038737C" w:rsidP="00CD6CC1">
      <w:pPr>
        <w:spacing w:after="0" w:line="240" w:lineRule="auto"/>
        <w:jc w:val="both"/>
        <w:rPr>
          <w:rFonts w:ascii="Verdana" w:eastAsia="Calibri" w:hAnsi="Verdana" w:cs="Arial"/>
          <w:color w:val="000000"/>
          <w:lang w:val="es-ES"/>
        </w:rPr>
      </w:pPr>
    </w:p>
    <w:p w14:paraId="2DCFD750" w14:textId="77777777" w:rsidR="001E1B71" w:rsidRPr="00CD6CC1" w:rsidRDefault="001E1B71" w:rsidP="00CD6CC1">
      <w:pPr>
        <w:spacing w:after="0" w:line="240" w:lineRule="auto"/>
        <w:jc w:val="both"/>
        <w:rPr>
          <w:rFonts w:ascii="Verdana" w:eastAsia="Calibri" w:hAnsi="Verdana" w:cs="Arial"/>
          <w:lang w:val="es-ES" w:eastAsia="es-ES"/>
        </w:rPr>
      </w:pPr>
      <w:r w:rsidRPr="00CD6CC1">
        <w:rPr>
          <w:rFonts w:ascii="Verdana" w:eastAsia="Calibri" w:hAnsi="Verdana" w:cs="Arial"/>
          <w:lang w:val="es-ES" w:eastAsia="es-ES"/>
        </w:rPr>
        <w:t>Señora</w:t>
      </w:r>
    </w:p>
    <w:p w14:paraId="1983E132" w14:textId="77777777" w:rsidR="001E1B71" w:rsidRPr="00CD6CC1" w:rsidRDefault="001E1B71" w:rsidP="00CD6CC1">
      <w:pPr>
        <w:spacing w:after="0" w:line="240" w:lineRule="auto"/>
        <w:rPr>
          <w:rFonts w:ascii="Verdana" w:eastAsia="Calibri" w:hAnsi="Verdana" w:cs="Arial"/>
          <w:b/>
          <w:lang w:val="es-ES_tradnl" w:eastAsia="es-ES_tradnl"/>
        </w:rPr>
      </w:pPr>
      <w:r w:rsidRPr="00CD6CC1">
        <w:rPr>
          <w:rFonts w:ascii="Verdana" w:eastAsia="Calibri" w:hAnsi="Verdana" w:cs="Arial"/>
          <w:b/>
          <w:lang w:val="es-ES_tradnl" w:eastAsia="es-ES_tradnl"/>
        </w:rPr>
        <w:t>Diana Carolina Cuervo Torres</w:t>
      </w:r>
    </w:p>
    <w:p w14:paraId="7362F96D" w14:textId="77777777" w:rsidR="001E1B71" w:rsidRPr="00CD6CC1" w:rsidRDefault="001E1B71" w:rsidP="00CF4568">
      <w:pPr>
        <w:spacing w:after="0" w:line="240" w:lineRule="auto"/>
        <w:jc w:val="both"/>
        <w:rPr>
          <w:rFonts w:ascii="Verdana" w:eastAsia="Calibri" w:hAnsi="Verdana" w:cs="Arial"/>
          <w:b/>
          <w:bCs/>
          <w:lang w:eastAsia="es-ES_tradnl"/>
        </w:rPr>
      </w:pPr>
      <w:r w:rsidRPr="00CD6CC1">
        <w:rPr>
          <w:rFonts w:ascii="Verdana" w:eastAsia="Calibri" w:hAnsi="Verdana" w:cs="Arial"/>
          <w:b/>
          <w:bCs/>
          <w:lang w:eastAsia="es-ES_tradnl"/>
        </w:rPr>
        <w:t>CORPORACION ESTRATEGICA EN GESTION E INTEGRACION</w:t>
      </w:r>
    </w:p>
    <w:p w14:paraId="3707C8A1" w14:textId="77777777" w:rsidR="001E1B71" w:rsidRPr="00CD6CC1" w:rsidRDefault="001E1B71" w:rsidP="00CD6CC1">
      <w:pPr>
        <w:spacing w:after="0" w:line="240" w:lineRule="auto"/>
        <w:rPr>
          <w:rFonts w:ascii="Verdana" w:eastAsia="Calibri" w:hAnsi="Verdana" w:cs="Arial"/>
          <w:b/>
          <w:lang w:val="es-ES_tradnl" w:eastAsia="es-ES_tradnl"/>
        </w:rPr>
      </w:pPr>
      <w:r w:rsidRPr="00CD6CC1">
        <w:rPr>
          <w:rFonts w:ascii="Verdana" w:eastAsia="Calibri" w:hAnsi="Verdana" w:cs="Arial"/>
          <w:b/>
          <w:bCs/>
          <w:lang w:eastAsia="es-ES_tradnl"/>
        </w:rPr>
        <w:t>COLOMBIA - EGESCO</w:t>
      </w:r>
    </w:p>
    <w:p w14:paraId="40A8900C" w14:textId="77777777" w:rsidR="001E1B71" w:rsidRPr="00CD6CC1" w:rsidRDefault="001E1B71" w:rsidP="00CD6CC1">
      <w:pPr>
        <w:spacing w:after="0" w:line="240" w:lineRule="auto"/>
        <w:rPr>
          <w:rFonts w:ascii="Verdana" w:hAnsi="Verdana"/>
        </w:rPr>
      </w:pPr>
      <w:hyperlink r:id="rId11" w:history="1">
        <w:r w:rsidRPr="00CD6CC1">
          <w:rPr>
            <w:rStyle w:val="Hipervnculo"/>
            <w:rFonts w:ascii="Verdana" w:hAnsi="Verdana"/>
          </w:rPr>
          <w:t>juancarlosorozcohernandez4@gmail.com</w:t>
        </w:r>
      </w:hyperlink>
    </w:p>
    <w:p w14:paraId="1DAAE1BF" w14:textId="77777777" w:rsidR="001E1B71" w:rsidRPr="00CD6CC1" w:rsidRDefault="001E1B71" w:rsidP="00CD6CC1">
      <w:pPr>
        <w:spacing w:after="0" w:line="240" w:lineRule="auto"/>
        <w:rPr>
          <w:rFonts w:ascii="Verdana" w:eastAsia="Calibri" w:hAnsi="Verdana" w:cs="Arial"/>
          <w:lang w:val="es-ES" w:eastAsia="es-ES"/>
        </w:rPr>
      </w:pPr>
      <w:r w:rsidRPr="00CD6CC1">
        <w:rPr>
          <w:rFonts w:ascii="Verdana" w:eastAsia="Calibri" w:hAnsi="Verdana" w:cs="Arial"/>
          <w:lang w:val="es-ES" w:eastAsia="es-ES"/>
        </w:rPr>
        <w:t xml:space="preserve">Bogotá D.C. </w:t>
      </w:r>
    </w:p>
    <w:p w14:paraId="6EC995C3" w14:textId="77777777" w:rsidR="001E1B71" w:rsidRPr="00CD6CC1" w:rsidRDefault="001E1B71" w:rsidP="00CD6CC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E1B71" w:rsidRPr="00CD6CC1" w14:paraId="760EDCA1" w14:textId="77777777" w:rsidTr="00CF4568">
        <w:trPr>
          <w:trHeight w:val="312"/>
        </w:trPr>
        <w:tc>
          <w:tcPr>
            <w:tcW w:w="2689" w:type="dxa"/>
          </w:tcPr>
          <w:p w14:paraId="46835B3E" w14:textId="77777777" w:rsidR="001E1B71" w:rsidRPr="00CD6CC1" w:rsidRDefault="001E1B71" w:rsidP="00CD6CC1">
            <w:pPr>
              <w:jc w:val="both"/>
              <w:rPr>
                <w:rFonts w:ascii="Verdana" w:eastAsia="Calibri" w:hAnsi="Verdana" w:cs="Arial"/>
                <w:b/>
                <w:bCs/>
                <w:color w:val="7030A0"/>
                <w:lang w:val="es-ES_tradnl" w:eastAsia="es-ES_tradnl"/>
              </w:rPr>
            </w:pPr>
          </w:p>
        </w:tc>
        <w:tc>
          <w:tcPr>
            <w:tcW w:w="6100" w:type="dxa"/>
          </w:tcPr>
          <w:p w14:paraId="7041282E" w14:textId="099AA5D2" w:rsidR="001E1B71" w:rsidRPr="00CD6CC1" w:rsidRDefault="001E1B71" w:rsidP="00CD6CC1">
            <w:pPr>
              <w:jc w:val="both"/>
              <w:rPr>
                <w:rFonts w:ascii="Verdana" w:eastAsia="Calibri" w:hAnsi="Verdana" w:cs="Arial"/>
                <w:b/>
                <w:bCs/>
                <w:lang w:val="es-ES" w:eastAsia="es-ES"/>
              </w:rPr>
            </w:pPr>
            <w:r w:rsidRPr="00CD6CC1">
              <w:rPr>
                <w:rFonts w:ascii="Verdana" w:eastAsia="Calibri" w:hAnsi="Verdana" w:cs="Arial"/>
                <w:b/>
                <w:bCs/>
                <w:lang w:val="es-ES" w:eastAsia="es-ES"/>
              </w:rPr>
              <w:t>Concepto C – 2</w:t>
            </w:r>
            <w:r w:rsidR="00C60A32">
              <w:rPr>
                <w:rFonts w:ascii="Verdana" w:eastAsia="Calibri" w:hAnsi="Verdana" w:cs="Arial"/>
                <w:b/>
                <w:bCs/>
                <w:lang w:val="es-ES" w:eastAsia="es-ES"/>
              </w:rPr>
              <w:t>14</w:t>
            </w:r>
            <w:r w:rsidRPr="00CD6CC1">
              <w:rPr>
                <w:rFonts w:ascii="Verdana" w:eastAsia="Calibri" w:hAnsi="Verdana" w:cs="Arial"/>
                <w:b/>
                <w:bCs/>
                <w:lang w:val="es-ES" w:eastAsia="es-ES"/>
              </w:rPr>
              <w:t xml:space="preserve"> de 2026</w:t>
            </w:r>
          </w:p>
          <w:p w14:paraId="385027AD" w14:textId="2BBEE66E" w:rsidR="00CD6CC1" w:rsidRPr="00CD6CC1" w:rsidRDefault="00CD6CC1" w:rsidP="00CD6CC1">
            <w:pPr>
              <w:jc w:val="both"/>
              <w:rPr>
                <w:rFonts w:ascii="Verdana" w:eastAsia="Calibri" w:hAnsi="Verdana" w:cs="Arial"/>
                <w:b/>
                <w:bCs/>
                <w:color w:val="7030A0"/>
                <w:lang w:val="es-ES" w:eastAsia="es-ES"/>
              </w:rPr>
            </w:pPr>
          </w:p>
        </w:tc>
      </w:tr>
      <w:tr w:rsidR="001E1B71" w:rsidRPr="00CD6CC1" w14:paraId="3B7F7297" w14:textId="77777777" w:rsidTr="003D2D63">
        <w:trPr>
          <w:trHeight w:val="884"/>
        </w:trPr>
        <w:tc>
          <w:tcPr>
            <w:tcW w:w="2689" w:type="dxa"/>
          </w:tcPr>
          <w:p w14:paraId="333302F3" w14:textId="77777777" w:rsidR="001E1B71" w:rsidRPr="00CD6CC1" w:rsidRDefault="001E1B71" w:rsidP="00CD6CC1">
            <w:pPr>
              <w:jc w:val="both"/>
              <w:rPr>
                <w:rFonts w:ascii="Verdana" w:eastAsia="Calibri" w:hAnsi="Verdana" w:cs="Arial"/>
                <w:color w:val="000000"/>
                <w:lang w:val="es-ES_tradnl" w:eastAsia="es-ES_tradnl"/>
              </w:rPr>
            </w:pPr>
            <w:r w:rsidRPr="00CD6CC1">
              <w:rPr>
                <w:rFonts w:ascii="Verdana" w:eastAsia="Calibri" w:hAnsi="Verdana" w:cs="Arial"/>
                <w:b/>
                <w:color w:val="000000"/>
                <w:lang w:val="es-ES_tradnl" w:eastAsia="es-ES_tradnl"/>
              </w:rPr>
              <w:t>Temas:</w:t>
            </w:r>
            <w:r w:rsidRPr="00CD6CC1">
              <w:rPr>
                <w:rFonts w:ascii="Verdana" w:eastAsia="Calibri" w:hAnsi="Verdana" w:cs="Arial"/>
                <w:color w:val="000000"/>
                <w:lang w:val="es-ES_tradnl" w:eastAsia="es-ES_tradnl"/>
              </w:rPr>
              <w:t xml:space="preserve">                   </w:t>
            </w:r>
          </w:p>
        </w:tc>
        <w:tc>
          <w:tcPr>
            <w:tcW w:w="6100" w:type="dxa"/>
          </w:tcPr>
          <w:p w14:paraId="470504DC" w14:textId="77777777" w:rsidR="001E1B71" w:rsidRPr="00CD6CC1" w:rsidRDefault="001E1B71" w:rsidP="00CF4568">
            <w:pPr>
              <w:jc w:val="both"/>
              <w:rPr>
                <w:rFonts w:ascii="Verdana" w:eastAsia="Calibri" w:hAnsi="Verdana" w:cs="Arial"/>
                <w:lang w:val="es-ES" w:eastAsia="es-ES"/>
              </w:rPr>
            </w:pPr>
            <w:r w:rsidRPr="00CD6CC1">
              <w:rPr>
                <w:rFonts w:ascii="Verdana" w:eastAsia="Calibri" w:hAnsi="Verdana" w:cs="Arial"/>
                <w:lang w:val="es-ES" w:eastAsia="es-ES"/>
              </w:rPr>
              <w:t xml:space="preserve">RÉGIMEN DE INHABILIDADES E INCOMPATIBILIDADES – Definición – Taxatividad – Interpretación restrictiva / INHABILIDADES – Incumplimiento reiterado – Alcance </w:t>
            </w:r>
          </w:p>
          <w:p w14:paraId="26984AEF" w14:textId="77777777" w:rsidR="001E1B71" w:rsidRPr="00CD6CC1" w:rsidRDefault="001E1B71" w:rsidP="00CF4568">
            <w:pPr>
              <w:jc w:val="both"/>
              <w:rPr>
                <w:rFonts w:ascii="Verdana" w:eastAsia="Calibri" w:hAnsi="Verdana" w:cs="Arial"/>
                <w:lang w:val="es-ES" w:eastAsia="es-ES"/>
              </w:rPr>
            </w:pPr>
            <w:r w:rsidRPr="00CD6CC1">
              <w:rPr>
                <w:rFonts w:ascii="Verdana" w:eastAsia="Calibri" w:hAnsi="Verdana" w:cs="Arial"/>
                <w:lang w:val="es-ES" w:eastAsia="es-ES"/>
              </w:rPr>
              <w:t xml:space="preserve">  </w:t>
            </w:r>
          </w:p>
        </w:tc>
      </w:tr>
      <w:tr w:rsidR="001E1B71" w:rsidRPr="00CD6CC1" w14:paraId="11F0C45C" w14:textId="77777777" w:rsidTr="003D2D63">
        <w:tc>
          <w:tcPr>
            <w:tcW w:w="2689" w:type="dxa"/>
          </w:tcPr>
          <w:p w14:paraId="235BD470" w14:textId="77777777" w:rsidR="001E1B71" w:rsidRPr="00CD6CC1" w:rsidRDefault="001E1B71" w:rsidP="00CD6CC1">
            <w:pPr>
              <w:jc w:val="both"/>
              <w:rPr>
                <w:rFonts w:ascii="Verdana" w:eastAsia="Calibri" w:hAnsi="Verdana" w:cs="Arial"/>
                <w:b/>
                <w:lang w:val="es-ES_tradnl" w:eastAsia="es-ES_tradnl"/>
              </w:rPr>
            </w:pPr>
            <w:r w:rsidRPr="00CD6CC1">
              <w:rPr>
                <w:rFonts w:ascii="Verdana" w:eastAsia="Calibri" w:hAnsi="Verdana" w:cs="Arial"/>
                <w:b/>
                <w:lang w:val="es-ES_tradnl" w:eastAsia="es-ES_tradnl"/>
              </w:rPr>
              <w:t>Radicación:</w:t>
            </w:r>
            <w:r w:rsidRPr="00CD6CC1">
              <w:rPr>
                <w:rFonts w:ascii="Verdana" w:eastAsia="Calibri" w:hAnsi="Verdana" w:cs="Arial"/>
                <w:lang w:val="es-ES_tradnl" w:eastAsia="es-ES_tradnl"/>
              </w:rPr>
              <w:t xml:space="preserve">               </w:t>
            </w:r>
          </w:p>
        </w:tc>
        <w:tc>
          <w:tcPr>
            <w:tcW w:w="6100" w:type="dxa"/>
          </w:tcPr>
          <w:p w14:paraId="14F18E67" w14:textId="77777777" w:rsidR="001E1B71" w:rsidRPr="00CD6CC1" w:rsidRDefault="001E1B71" w:rsidP="00CF4568">
            <w:pPr>
              <w:jc w:val="both"/>
              <w:rPr>
                <w:rFonts w:ascii="Verdana" w:eastAsia="Calibri" w:hAnsi="Verdana" w:cs="Arial"/>
                <w:lang w:eastAsia="es-ES_tradnl"/>
              </w:rPr>
            </w:pPr>
            <w:r w:rsidRPr="00CD6CC1">
              <w:rPr>
                <w:rFonts w:ascii="Verdana" w:eastAsia="Calibri" w:hAnsi="Verdana" w:cs="Arial"/>
                <w:lang w:val="es-ES_tradnl" w:eastAsia="es-ES_tradnl"/>
              </w:rPr>
              <w:t xml:space="preserve">Respuesta a la consulta con radicado No. 1_2026_02_13_001890                                </w:t>
            </w:r>
          </w:p>
        </w:tc>
      </w:tr>
    </w:tbl>
    <w:p w14:paraId="5CA9C713" w14:textId="77777777" w:rsidR="001E1B71" w:rsidRPr="00CD6CC1" w:rsidRDefault="001E1B71" w:rsidP="00CD6CC1">
      <w:pPr>
        <w:spacing w:after="0" w:line="240" w:lineRule="auto"/>
        <w:jc w:val="both"/>
        <w:rPr>
          <w:rFonts w:ascii="Verdana" w:eastAsia="Calibri" w:hAnsi="Verdana" w:cs="Arial"/>
          <w:color w:val="000000"/>
          <w:lang w:val="es-ES_tradnl" w:eastAsia="es-ES_tradnl"/>
        </w:rPr>
      </w:pPr>
    </w:p>
    <w:p w14:paraId="784712F1" w14:textId="77777777" w:rsidR="001E1B71" w:rsidRPr="00CD6CC1" w:rsidRDefault="001E1B71" w:rsidP="00CD6CC1">
      <w:pPr>
        <w:spacing w:after="0" w:line="240" w:lineRule="auto"/>
        <w:jc w:val="both"/>
        <w:rPr>
          <w:rFonts w:ascii="Verdana" w:eastAsia="Calibri" w:hAnsi="Verdana" w:cs="Arial"/>
          <w:color w:val="000000"/>
          <w:lang w:val="es-ES_tradnl" w:eastAsia="es-ES_tradnl"/>
        </w:rPr>
      </w:pPr>
    </w:p>
    <w:p w14:paraId="59AEAF18" w14:textId="77777777" w:rsidR="001E1B71" w:rsidRPr="008E6AD9" w:rsidRDefault="001E1B71" w:rsidP="001E1B7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señor</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Cuervo, cordial saludo,</w:t>
      </w:r>
      <w:r w:rsidRPr="008E6AD9">
        <w:rPr>
          <w:rFonts w:ascii="Verdana" w:eastAsia="Calibri" w:hAnsi="Verdana" w:cs="Arial"/>
          <w:lang w:val="es-ES" w:eastAsia="es-ES"/>
        </w:rPr>
        <w:t xml:space="preserve"> </w:t>
      </w:r>
    </w:p>
    <w:p w14:paraId="1D801C30" w14:textId="77777777" w:rsidR="001E1B71" w:rsidRDefault="001E1B71" w:rsidP="001E1B7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6C62990" w14:textId="77777777" w:rsidR="001E1B71" w:rsidRPr="00593A5F" w:rsidRDefault="001E1B71" w:rsidP="001E1B7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febrero de 2026</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 lo siguiente</w:t>
      </w:r>
      <w:r w:rsidRPr="008E6AD9">
        <w:rPr>
          <w:rFonts w:ascii="Verdana" w:eastAsia="Calibri" w:hAnsi="Verdana" w:cs="Arial"/>
          <w:lang w:val="es-ES" w:eastAsia="es-ES"/>
        </w:rPr>
        <w:t xml:space="preserve">: </w:t>
      </w:r>
    </w:p>
    <w:p w14:paraId="0B356823" w14:textId="77777777" w:rsidR="001E1B71" w:rsidRPr="00272A7B" w:rsidRDefault="001E1B71" w:rsidP="001E1B71">
      <w:pPr>
        <w:pStyle w:val="Prrafodelista"/>
        <w:tabs>
          <w:tab w:val="left" w:pos="142"/>
          <w:tab w:val="left" w:pos="284"/>
        </w:tabs>
        <w:spacing w:after="0" w:line="276" w:lineRule="auto"/>
        <w:ind w:left="0"/>
        <w:jc w:val="both"/>
        <w:rPr>
          <w:rFonts w:ascii="Verdana" w:eastAsia="Century Gothic" w:hAnsi="Verdana" w:cs="Century Gothic"/>
          <w:b/>
          <w:bCs/>
        </w:rPr>
      </w:pPr>
    </w:p>
    <w:p w14:paraId="1AE8ACA2"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bookmarkStart w:id="0" w:name="_Hlk95313578"/>
      <w:r w:rsidRPr="00CF4568">
        <w:rPr>
          <w:rFonts w:ascii="Verdana" w:eastAsia="Century Gothic" w:hAnsi="Verdana" w:cs="Century Gothic"/>
          <w:sz w:val="20"/>
          <w:szCs w:val="20"/>
          <w:lang w:val="es-ES"/>
        </w:rPr>
        <w:t>“</w:t>
      </w:r>
      <w:bookmarkEnd w:id="0"/>
      <w:r w:rsidRPr="00CF4568">
        <w:rPr>
          <w:rFonts w:ascii="Verdana" w:eastAsia="Century Gothic" w:hAnsi="Verdana" w:cs="Century Gothic"/>
          <w:sz w:val="20"/>
          <w:szCs w:val="20"/>
        </w:rPr>
        <w:t xml:space="preserve">(…) </w:t>
      </w:r>
    </w:p>
    <w:p w14:paraId="6B3372E1"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p>
    <w:p w14:paraId="2FCB0C23"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Respetuosamente, me permito solicitar su concepto sobre el artículo 90 de la Ley 1474 de 2011 que indica:</w:t>
      </w:r>
    </w:p>
    <w:p w14:paraId="1B9D71DC"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b/>
          <w:bCs/>
          <w:sz w:val="20"/>
          <w:szCs w:val="20"/>
        </w:rPr>
        <w:t xml:space="preserve">“ARTÍCULO 90. INHABILIDAD POR INCUMPLIMIENTO REITERADO. </w:t>
      </w:r>
      <w:r w:rsidRPr="00CF4568">
        <w:rPr>
          <w:rFonts w:ascii="Verdana" w:eastAsia="Century Gothic" w:hAnsi="Verdana" w:cs="Century Gothic"/>
          <w:sz w:val="20"/>
          <w:szCs w:val="20"/>
        </w:rPr>
        <w:t>Quedará inhabilitado el contratista que incurra en alguna de las siguientes conductas:</w:t>
      </w:r>
    </w:p>
    <w:p w14:paraId="0225C1EB"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p>
    <w:p w14:paraId="7D8D024C"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a. Haber sido objeto de imposición de cinco (5) o más multas durante la ejecución de uno o varios contratos, con una o varias entidades estatales, durante los últimos tres (3) años.</w:t>
      </w:r>
    </w:p>
    <w:p w14:paraId="259E2B14"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b. Haber sido objeto de declaratorias de incumplimiento contractual en por lo menos dos (2) contratos, con una o varias entidades estatales, durante los últimos tres (3) años.</w:t>
      </w:r>
    </w:p>
    <w:p w14:paraId="3FE7666C"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lastRenderedPageBreak/>
        <w:t>c. Haber sido objeto de imposición de dos (2) multas y un (1) incumplimiento durante una misma vigencia fiscal, con una o varias entidades estatales. La inhabilidad se extenderá por un término de tres (3) años, contados a partir de la publicación del acto administrativo que impone la inscripción de la última multa o incumplimiento en el Registro Único de Proponentes, de acuerdo con la información remitida por las entidades públicas. La inhabilidad pertinente se hará explícita en el Registro Único de Proponentes cuando a ello haya lugar.</w:t>
      </w:r>
    </w:p>
    <w:p w14:paraId="2B511401"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d. Haber sido objeto de incumplimiento contractual o de imposición de dos (2) o más multas, con una o varias entidades, cuando se trate de contratos cuyo objeto esté relacionado con el Programa de Alimentación Escolar. Esta inhabilidad se extenderá por un término de diez (10) años, contados a partir de la publicación del acto administrativo que impone la inscripción de la última multa o incumplimiento en el Registro Único de Proponentes, de acuerdo con la información remitida por las entidades públicas.</w:t>
      </w:r>
    </w:p>
    <w:p w14:paraId="60792AE0"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La inhabilidad pertinente se hará explícita en el Registro Único de Proponentes cuando a ello haya lugar.</w:t>
      </w:r>
    </w:p>
    <w:p w14:paraId="236EBC47"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p>
    <w:p w14:paraId="6A39AEA8"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(Literal adicionado por el Art. 51 de la Ley 2195 de 2022).</w:t>
      </w:r>
    </w:p>
    <w:p w14:paraId="41EE4C15"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p>
    <w:p w14:paraId="6DE98E6E"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b/>
          <w:bCs/>
          <w:sz w:val="20"/>
          <w:szCs w:val="20"/>
        </w:rPr>
        <w:t xml:space="preserve">PARÁGRAFO. </w:t>
      </w:r>
      <w:r w:rsidRPr="00CF4568">
        <w:rPr>
          <w:rFonts w:ascii="Verdana" w:eastAsia="Century Gothic" w:hAnsi="Verdana" w:cs="Century Gothic"/>
          <w:sz w:val="20"/>
          <w:szCs w:val="20"/>
        </w:rPr>
        <w:t>La inhabilidad a que se refiere el presente artículo se extenderá a los socios de sociedades de personas a las cuales se haya declarado esta inhabilidad, así como las sociedades de personas de las que aquellos formen parte con posterioridad a dicha declaratoria.</w:t>
      </w:r>
    </w:p>
    <w:p w14:paraId="3409F2C5"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p>
    <w:p w14:paraId="7CB33D1D"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r w:rsidRPr="00CF4568">
        <w:rPr>
          <w:rFonts w:ascii="Verdana" w:eastAsia="Century Gothic" w:hAnsi="Verdana" w:cs="Century Gothic"/>
          <w:sz w:val="20"/>
          <w:szCs w:val="20"/>
        </w:rPr>
        <w:t>(Artículo MODIFICADO por el Art. 43 de la Ley 1955 de 2019)”</w:t>
      </w:r>
    </w:p>
    <w:p w14:paraId="033C81AB" w14:textId="77777777" w:rsidR="001E1B71" w:rsidRPr="00CF4568" w:rsidRDefault="001E1B71" w:rsidP="001E1B71">
      <w:pPr>
        <w:spacing w:after="0" w:line="240" w:lineRule="auto"/>
        <w:ind w:left="709" w:right="709"/>
        <w:jc w:val="both"/>
        <w:rPr>
          <w:rFonts w:ascii="Verdana" w:eastAsia="Century Gothic" w:hAnsi="Verdana" w:cs="Century Gothic"/>
          <w:sz w:val="20"/>
          <w:szCs w:val="20"/>
        </w:rPr>
      </w:pPr>
    </w:p>
    <w:p w14:paraId="4347219C" w14:textId="77777777" w:rsidR="001E1B71" w:rsidRPr="00CF4568" w:rsidRDefault="001E1B71" w:rsidP="001E1B71">
      <w:pPr>
        <w:spacing w:after="0" w:line="240" w:lineRule="auto"/>
        <w:ind w:left="709" w:right="709"/>
        <w:jc w:val="both"/>
        <w:rPr>
          <w:rFonts w:ascii="Verdana" w:eastAsia="Century Gothic" w:hAnsi="Verdana" w:cs="Century Gothic"/>
          <w:sz w:val="20"/>
          <w:szCs w:val="20"/>
          <w:lang w:val="es-ES"/>
        </w:rPr>
      </w:pPr>
      <w:r w:rsidRPr="00CF4568">
        <w:rPr>
          <w:rFonts w:ascii="Verdana" w:eastAsia="Century Gothic" w:hAnsi="Verdana" w:cs="Century Gothic"/>
          <w:sz w:val="20"/>
          <w:szCs w:val="20"/>
        </w:rPr>
        <w:t xml:space="preserve">En atención a la norma anterior, respetuosamente nos permitimos solicitar su concepto, si aplica la inhabilidad, específicamente la del literal b, si un contratista tiene </w:t>
      </w:r>
      <w:r w:rsidRPr="00CF4568">
        <w:rPr>
          <w:rFonts w:ascii="Verdana" w:eastAsia="Century Gothic" w:hAnsi="Verdana" w:cs="Century Gothic"/>
          <w:b/>
          <w:bCs/>
          <w:i/>
          <w:iCs/>
          <w:sz w:val="20"/>
          <w:szCs w:val="20"/>
        </w:rPr>
        <w:t>dos incumplimientos en la misma vigencia sobre un mismo contrato.</w:t>
      </w:r>
      <w:r w:rsidRPr="00CF4568">
        <w:rPr>
          <w:rFonts w:ascii="Verdana" w:eastAsia="Century Gothic" w:hAnsi="Verdana" w:cs="Century Gothic"/>
          <w:sz w:val="20"/>
          <w:szCs w:val="20"/>
          <w:lang w:val="es-ES"/>
        </w:rPr>
        <w:t xml:space="preserve">”. </w:t>
      </w:r>
    </w:p>
    <w:p w14:paraId="1AE14920" w14:textId="77777777" w:rsidR="001E1B71" w:rsidRPr="00990C98" w:rsidRDefault="001E1B71" w:rsidP="001E1B71">
      <w:pPr>
        <w:spacing w:after="0" w:line="276" w:lineRule="auto"/>
        <w:ind w:left="709" w:right="709"/>
        <w:jc w:val="both"/>
        <w:rPr>
          <w:rFonts w:ascii="Verdana" w:eastAsia="Century Gothic" w:hAnsi="Verdana" w:cs="Century Gothic"/>
          <w:lang w:val="es-ES"/>
        </w:rPr>
      </w:pPr>
    </w:p>
    <w:p w14:paraId="4FBF06DF" w14:textId="77777777" w:rsidR="001E1B71" w:rsidRPr="00A652FF" w:rsidRDefault="001E1B71" w:rsidP="001E1B7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w:t>
      </w:r>
      <w:r w:rsidRPr="00593A5F">
        <w:rPr>
          <w:rFonts w:ascii="Verdana" w:eastAsia="Calibri" w:hAnsi="Verdana" w:cs="Arial"/>
          <w:color w:val="000000"/>
          <w:lang w:val="es-ES" w:eastAsia="es-ES"/>
        </w:rPr>
        <w:lastRenderedPageBreak/>
        <w:t xml:space="preserve">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E778654" w14:textId="77777777" w:rsidR="001E1B71" w:rsidRDefault="001E1B71" w:rsidP="001E1B7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A69453D" w14:textId="77777777" w:rsidR="001E1B71" w:rsidRPr="00593A5F" w:rsidRDefault="001E1B71" w:rsidP="001E1B71">
      <w:pPr>
        <w:spacing w:after="0" w:line="276" w:lineRule="auto"/>
        <w:ind w:firstLine="709"/>
        <w:jc w:val="both"/>
        <w:rPr>
          <w:rFonts w:ascii="Verdana" w:eastAsia="Calibri" w:hAnsi="Verdana" w:cs="Arial"/>
          <w:color w:val="000000"/>
          <w:lang w:val="es-ES" w:eastAsia="es-ES"/>
        </w:rPr>
      </w:pPr>
    </w:p>
    <w:p w14:paraId="339237C3" w14:textId="77777777" w:rsidR="001E1B71" w:rsidRPr="00593A5F" w:rsidRDefault="001E1B71" w:rsidP="001E1B7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B71FE66" w14:textId="77777777" w:rsidR="001E1B71" w:rsidRPr="00593A5F" w:rsidRDefault="001E1B71" w:rsidP="001E1B71">
      <w:pPr>
        <w:tabs>
          <w:tab w:val="left" w:pos="426"/>
        </w:tabs>
        <w:spacing w:after="0" w:line="276" w:lineRule="auto"/>
        <w:jc w:val="both"/>
        <w:rPr>
          <w:rFonts w:ascii="Verdana" w:eastAsia="Century Gothic" w:hAnsi="Verdana" w:cs="Century Gothic"/>
          <w:lang w:val="es-ES"/>
        </w:rPr>
      </w:pPr>
    </w:p>
    <w:p w14:paraId="2F393844" w14:textId="3E78EEC8" w:rsidR="001E1B71" w:rsidRPr="00593A5F" w:rsidRDefault="001E1B71" w:rsidP="001E1B71">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w:t>
      </w:r>
      <w:r>
        <w:rPr>
          <w:rFonts w:ascii="Verdana" w:eastAsia="Century Gothic" w:hAnsi="Verdana" w:cs="Century Gothic"/>
        </w:rPr>
        <w:t xml:space="preserve"> ¿cuál es el alcance y cómo se interpretan las causales de inhabilidad e incompatibilidad en el sistema de compras y contratación pública respecto de los incumplimientos reiterativos en un mismo contrato </w:t>
      </w:r>
      <w:r w:rsidR="00EF46B5">
        <w:rPr>
          <w:rFonts w:ascii="Verdana" w:eastAsia="Century Gothic" w:hAnsi="Verdana" w:cs="Century Gothic"/>
        </w:rPr>
        <w:t>durante</w:t>
      </w:r>
      <w:r>
        <w:rPr>
          <w:rFonts w:ascii="Verdana" w:eastAsia="Century Gothic" w:hAnsi="Verdana" w:cs="Century Gothic"/>
        </w:rPr>
        <w:t xml:space="preserve"> una misma vigencia?       </w:t>
      </w:r>
      <w:r w:rsidRPr="00C00976">
        <w:rPr>
          <w:rFonts w:ascii="Verdana" w:eastAsia="Century Gothic" w:hAnsi="Verdana" w:cs="Century Gothic"/>
          <w:color w:val="7030A0"/>
        </w:rPr>
        <w:t xml:space="preserve"> </w:t>
      </w:r>
    </w:p>
    <w:p w14:paraId="41305ECC" w14:textId="77777777" w:rsidR="001E1B71" w:rsidRPr="004B140F" w:rsidRDefault="001E1B71" w:rsidP="001E1B71">
      <w:pPr>
        <w:spacing w:after="0" w:line="276" w:lineRule="auto"/>
        <w:jc w:val="both"/>
        <w:rPr>
          <w:rFonts w:ascii="Verdana" w:eastAsia="Calibri" w:hAnsi="Verdana" w:cs="Arial"/>
          <w:color w:val="7030A0"/>
        </w:rPr>
      </w:pPr>
    </w:p>
    <w:p w14:paraId="77B186A2" w14:textId="77777777" w:rsidR="001E1B71" w:rsidRPr="00593A5F" w:rsidRDefault="001E1B71" w:rsidP="001E1B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086DC7A" w14:textId="77777777" w:rsidR="001E1B71" w:rsidRPr="00593A5F" w:rsidRDefault="001E1B71" w:rsidP="001E1B7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E1B71" w:rsidRPr="00593A5F" w14:paraId="0C67C56A" w14:textId="77777777" w:rsidTr="20D805D0">
        <w:trPr>
          <w:jc w:val="center"/>
        </w:trPr>
        <w:tc>
          <w:tcPr>
            <w:tcW w:w="8828" w:type="dxa"/>
          </w:tcPr>
          <w:p w14:paraId="00C51641" w14:textId="77777777" w:rsidR="001E1B71" w:rsidRPr="00C60565" w:rsidRDefault="001E1B71" w:rsidP="00CF4568">
            <w:pPr>
              <w:pBdr>
                <w:top w:val="nil"/>
                <w:left w:val="nil"/>
                <w:bottom w:val="nil"/>
                <w:right w:val="nil"/>
                <w:between w:val="nil"/>
              </w:pBdr>
              <w:spacing w:after="120" w:line="276" w:lineRule="auto"/>
              <w:jc w:val="both"/>
              <w:rPr>
                <w:rFonts w:ascii="Verdana" w:eastAsia="Calibri" w:hAnsi="Verdana" w:cs="Arial"/>
                <w:sz w:val="24"/>
                <w:szCs w:val="24"/>
                <w:lang w:val="es-ES_tradnl"/>
              </w:rPr>
            </w:pPr>
            <w:bookmarkStart w:id="1" w:name="_Hlk171694685"/>
            <w:r>
              <w:rPr>
                <w:rFonts w:ascii="Verdana" w:eastAsia="Calibri" w:hAnsi="Verdana" w:cs="Arial"/>
                <w:lang w:val="es-ES_tradnl"/>
              </w:rPr>
              <w:t xml:space="preserve">Conforme a las disposiciones normativas que establece la legislación colombiana, las inhabilidades e incompatibilidades obedecen a una figura jurídica dispuesta de carácter restrictivo, impuestas </w:t>
            </w:r>
            <w:r w:rsidRPr="00C60565">
              <w:rPr>
                <w:rFonts w:ascii="Verdana" w:eastAsia="Calibri" w:hAnsi="Verdana" w:cs="Arial"/>
                <w:color w:val="000000" w:themeColor="text1"/>
                <w:lang w:eastAsia="es-ES_tradnl"/>
              </w:rPr>
              <w:t>con el objetivo de garantizar la idoneidad, imparcialidad, probidad, transparencia y moralidad de la función pública, garantizando el interés general.</w:t>
            </w:r>
          </w:p>
          <w:p w14:paraId="23F37EAD" w14:textId="58E44DDA" w:rsidR="001E1B71" w:rsidRDefault="001E1B71" w:rsidP="001042B5">
            <w:pPr>
              <w:pBdr>
                <w:top w:val="nil"/>
                <w:left w:val="nil"/>
                <w:bottom w:val="nil"/>
                <w:right w:val="nil"/>
                <w:between w:val="nil"/>
              </w:pBdr>
              <w:spacing w:after="120" w:line="276" w:lineRule="auto"/>
              <w:ind w:firstLine="734"/>
              <w:jc w:val="both"/>
              <w:rPr>
                <w:rFonts w:ascii="Verdana" w:eastAsia="Calibri" w:hAnsi="Verdana" w:cs="Arial"/>
                <w:lang w:val="es-ES"/>
              </w:rPr>
            </w:pPr>
            <w:r w:rsidRPr="20D805D0">
              <w:rPr>
                <w:rFonts w:ascii="Verdana" w:eastAsia="Calibri" w:hAnsi="Verdana" w:cs="Arial"/>
                <w:lang w:val="es-ES"/>
              </w:rPr>
              <w:t>Respecto de régimen de inhabilidades e incompatibilidades, contemplado en el artículo 90 de la Ley 1474 de 201</w:t>
            </w:r>
            <w:r w:rsidR="00332BEF">
              <w:rPr>
                <w:rFonts w:ascii="Verdana" w:eastAsia="Calibri" w:hAnsi="Verdana" w:cs="Arial"/>
                <w:lang w:val="es-ES"/>
              </w:rPr>
              <w:t>1</w:t>
            </w:r>
            <w:r w:rsidRPr="20D805D0">
              <w:rPr>
                <w:rFonts w:ascii="Verdana" w:eastAsia="Calibri" w:hAnsi="Verdana" w:cs="Arial"/>
                <w:lang w:val="es-ES"/>
              </w:rPr>
              <w:t xml:space="preserve">, específicamente el literal b, resulta oportuno reseñar que este indica unos supuestos bajo los cuales se da aplicación </w:t>
            </w:r>
            <w:r w:rsidR="00A01663">
              <w:rPr>
                <w:rFonts w:ascii="Verdana" w:eastAsia="Calibri" w:hAnsi="Verdana" w:cs="Arial"/>
                <w:lang w:val="es-ES"/>
              </w:rPr>
              <w:t>a</w:t>
            </w:r>
            <w:r w:rsidRPr="20D805D0">
              <w:rPr>
                <w:rFonts w:ascii="Verdana" w:eastAsia="Calibri" w:hAnsi="Verdana" w:cs="Arial"/>
                <w:lang w:val="es-ES"/>
              </w:rPr>
              <w:t xml:space="preserve">l citado artículo. </w:t>
            </w:r>
            <w:r w:rsidR="00A01663">
              <w:rPr>
                <w:rFonts w:ascii="Verdana" w:eastAsia="Calibri" w:hAnsi="Verdana" w:cs="Arial"/>
                <w:lang w:val="es-ES"/>
              </w:rPr>
              <w:t>Al respecto</w:t>
            </w:r>
            <w:r w:rsidRPr="20D805D0">
              <w:rPr>
                <w:rFonts w:ascii="Verdana" w:eastAsia="Calibri" w:hAnsi="Verdana" w:cs="Arial"/>
                <w:lang w:val="es-ES"/>
              </w:rPr>
              <w:t xml:space="preserve">, la norma indica que </w:t>
            </w:r>
            <w:r w:rsidR="00EB148B">
              <w:rPr>
                <w:rFonts w:ascii="Verdana" w:eastAsia="Calibri" w:hAnsi="Verdana" w:cs="Arial"/>
                <w:lang w:val="es-ES"/>
              </w:rPr>
              <w:t>dicha</w:t>
            </w:r>
            <w:r w:rsidRPr="20D805D0">
              <w:rPr>
                <w:rFonts w:ascii="Verdana" w:eastAsia="Calibri" w:hAnsi="Verdana" w:cs="Arial"/>
                <w:lang w:val="es-ES"/>
              </w:rPr>
              <w:t xml:space="preserve"> causal solo opera cuando la declaratoria de incumplimiento se da en por lo menos dos (2) o más contratos, con una (1) o varias entidades, y en los últimos tres (3) años. Por tanto, </w:t>
            </w:r>
            <w:r w:rsidR="003C35BF">
              <w:rPr>
                <w:rFonts w:ascii="Verdana" w:eastAsia="Calibri" w:hAnsi="Verdana" w:cs="Arial"/>
                <w:lang w:val="es-ES"/>
              </w:rPr>
              <w:t xml:space="preserve">para que opere la causal deben cumplirse con todos los supuestos de hecho contemplados en la norma, sin que sea posible extender una interpretación amplia a </w:t>
            </w:r>
            <w:r w:rsidR="00A07C00">
              <w:rPr>
                <w:rFonts w:ascii="Verdana" w:eastAsia="Calibri" w:hAnsi="Verdana" w:cs="Arial"/>
                <w:lang w:val="es-ES"/>
              </w:rPr>
              <w:t xml:space="preserve">circunstancias taxativamente contempladas, dado el carácter restrictivo. </w:t>
            </w:r>
            <w:r w:rsidR="00C41D71">
              <w:rPr>
                <w:rFonts w:ascii="Verdana" w:eastAsia="Calibri" w:hAnsi="Verdana" w:cs="Arial"/>
                <w:lang w:val="es-ES"/>
              </w:rPr>
              <w:t xml:space="preserve">Así las cosas, es necesario </w:t>
            </w:r>
            <w:r w:rsidR="001042B5">
              <w:rPr>
                <w:rFonts w:ascii="Verdana" w:eastAsia="Calibri" w:hAnsi="Verdana" w:cs="Arial"/>
                <w:lang w:val="es-ES"/>
              </w:rPr>
              <w:t xml:space="preserve">que se haya declarado el incumplimiento en al menos dos (2) contratos, lo que excluye que el supuesto se aplique si se han declarado dos (2) incumplimientos </w:t>
            </w:r>
            <w:r w:rsidR="001042B5">
              <w:rPr>
                <w:rFonts w:ascii="Verdana" w:eastAsia="Calibri" w:hAnsi="Verdana" w:cs="Arial"/>
                <w:lang w:val="es-ES"/>
              </w:rPr>
              <w:lastRenderedPageBreak/>
              <w:t xml:space="preserve">en un solo contrato. Igualmente, </w:t>
            </w:r>
            <w:r w:rsidR="00E04033">
              <w:rPr>
                <w:rFonts w:ascii="Verdana" w:eastAsia="Calibri" w:hAnsi="Verdana" w:cs="Arial"/>
                <w:lang w:val="es-ES"/>
              </w:rPr>
              <w:t>dichos incum</w:t>
            </w:r>
            <w:r w:rsidR="004A3124">
              <w:rPr>
                <w:rFonts w:ascii="Verdana" w:eastAsia="Calibri" w:hAnsi="Verdana" w:cs="Arial"/>
                <w:lang w:val="es-ES"/>
              </w:rPr>
              <w:t xml:space="preserve">plimientos </w:t>
            </w:r>
            <w:r w:rsidR="006B58D1">
              <w:rPr>
                <w:rFonts w:ascii="Verdana" w:eastAsia="Calibri" w:hAnsi="Verdana" w:cs="Arial"/>
                <w:lang w:val="es-ES"/>
              </w:rPr>
              <w:t xml:space="preserve">debieron haberse declarado durante los últimos tres (3) años. Lo que </w:t>
            </w:r>
            <w:proofErr w:type="spellStart"/>
            <w:r w:rsidR="006B58D1">
              <w:rPr>
                <w:rFonts w:ascii="Verdana" w:eastAsia="Calibri" w:hAnsi="Verdana" w:cs="Arial"/>
                <w:lang w:val="es-ES"/>
              </w:rPr>
              <w:t>si</w:t>
            </w:r>
            <w:proofErr w:type="spellEnd"/>
            <w:r w:rsidR="006B58D1">
              <w:rPr>
                <w:rFonts w:ascii="Verdana" w:eastAsia="Calibri" w:hAnsi="Verdana" w:cs="Arial"/>
                <w:lang w:val="es-ES"/>
              </w:rPr>
              <w:t xml:space="preserve"> es indiferente para </w:t>
            </w:r>
            <w:r w:rsidR="000C5A4B">
              <w:rPr>
                <w:rFonts w:ascii="Verdana" w:eastAsia="Calibri" w:hAnsi="Verdana" w:cs="Arial"/>
                <w:lang w:val="es-ES"/>
              </w:rPr>
              <w:t>aplicación de la inhabilidad respecto al supuesto del literal b) es si l</w:t>
            </w:r>
            <w:r w:rsidR="003D7799">
              <w:rPr>
                <w:rFonts w:ascii="Verdana" w:eastAsia="Calibri" w:hAnsi="Verdana" w:cs="Arial"/>
                <w:lang w:val="es-ES"/>
              </w:rPr>
              <w:t>os</w:t>
            </w:r>
            <w:r w:rsidR="000C5A4B">
              <w:rPr>
                <w:rFonts w:ascii="Verdana" w:eastAsia="Calibri" w:hAnsi="Verdana" w:cs="Arial"/>
                <w:lang w:val="es-ES"/>
              </w:rPr>
              <w:t xml:space="preserve"> incumplimientos</w:t>
            </w:r>
            <w:r w:rsidR="003D7799">
              <w:rPr>
                <w:rFonts w:ascii="Verdana" w:eastAsia="Calibri" w:hAnsi="Verdana" w:cs="Arial"/>
                <w:lang w:val="es-ES"/>
              </w:rPr>
              <w:t xml:space="preserve"> son declarados por una misma Entidad o varias. </w:t>
            </w:r>
          </w:p>
          <w:p w14:paraId="4F4F7C21" w14:textId="498B76D7" w:rsidR="001E1B71" w:rsidRDefault="001E1B71" w:rsidP="003D2D63">
            <w:pPr>
              <w:pBdr>
                <w:top w:val="nil"/>
                <w:left w:val="nil"/>
                <w:bottom w:val="nil"/>
                <w:right w:val="nil"/>
                <w:between w:val="nil"/>
              </w:pBdr>
              <w:spacing w:after="120" w:line="276" w:lineRule="auto"/>
              <w:ind w:firstLine="734"/>
              <w:jc w:val="both"/>
              <w:rPr>
                <w:rFonts w:ascii="Verdana" w:eastAsia="Calibri" w:hAnsi="Verdana" w:cs="Arial"/>
                <w:lang w:val="es-ES_tradnl"/>
              </w:rPr>
            </w:pPr>
            <w:r>
              <w:rPr>
                <w:rFonts w:ascii="Verdana" w:eastAsia="Calibri" w:hAnsi="Verdana" w:cs="Arial"/>
                <w:lang w:val="es-ES_tradnl"/>
              </w:rPr>
              <w:t>Así mismo, resulta relevante determinar los sujetos afectados por las causales del artículo 90 de la Ley 1474 de 2011 –incumplimiento reiterado-. En este sentido, es posible manifestar que</w:t>
            </w:r>
            <w:r>
              <w:rPr>
                <w:rFonts w:ascii="Verdana" w:eastAsia="Calibri" w:hAnsi="Verdana" w:cs="Arial"/>
                <w:lang w:val="es-ES"/>
              </w:rPr>
              <w:t xml:space="preserve"> principalmente se afecta al contratista incumplido. Sin embargo, el parágrafo del </w:t>
            </w:r>
            <w:r>
              <w:rPr>
                <w:rFonts w:ascii="Verdana" w:eastAsia="Calibri" w:hAnsi="Verdana" w:cs="Arial"/>
                <w:lang w:val="es-ES_tradnl"/>
              </w:rPr>
              <w:t xml:space="preserve">mencionado artículo </w:t>
            </w:r>
            <w:r>
              <w:rPr>
                <w:rFonts w:ascii="Verdana" w:eastAsia="Calibri" w:hAnsi="Verdana" w:cs="Arial"/>
                <w:lang w:val="es-ES"/>
              </w:rPr>
              <w:t>prescribe que “</w:t>
            </w:r>
            <w:r w:rsidRPr="00CF0DDC">
              <w:rPr>
                <w:rFonts w:ascii="Verdana" w:eastAsia="Calibri" w:hAnsi="Verdana" w:cs="Arial"/>
                <w:lang w:val="es-ES"/>
              </w:rPr>
              <w:t>La inhabilidad a que se refiere el presente artículo se extenderá a los socios de sociedades de personas a las cuales se haya declarado esta inhabilidad, así como a las sociedades de personas de las que aquellos formen parte con posterioridad a dicha declaratoria</w:t>
            </w:r>
            <w:r>
              <w:rPr>
                <w:rFonts w:ascii="Verdana" w:eastAsia="Calibri" w:hAnsi="Verdana" w:cs="Arial"/>
                <w:lang w:val="es-ES"/>
              </w:rPr>
              <w:t>”</w:t>
            </w:r>
            <w:r w:rsidRPr="00CF0DDC">
              <w:rPr>
                <w:rFonts w:ascii="Verdana" w:eastAsia="Calibri" w:hAnsi="Verdana" w:cs="Arial"/>
                <w:lang w:val="es-ES"/>
              </w:rPr>
              <w:t>.</w:t>
            </w:r>
            <w:r>
              <w:rPr>
                <w:rFonts w:ascii="Verdana" w:eastAsia="Calibri" w:hAnsi="Verdana" w:cs="Arial"/>
                <w:lang w:val="es-ES"/>
              </w:rPr>
              <w:t xml:space="preserve"> Por tanto, pese a la separación de la persona jurídica y quienes la integran</w:t>
            </w:r>
            <w:r>
              <w:rPr>
                <w:rFonts w:ascii="Verdana" w:eastAsia="Calibri" w:hAnsi="Verdana" w:cs="Arial"/>
                <w:lang w:val="es-ES_tradnl"/>
              </w:rPr>
              <w:t xml:space="preserve">, el legislador dispone explícitamente que la restricción para contratar pasa de la sociedad a los socios; asimismo, si estos últimos constituyen nuevas sociedades, también les transmiten dicha limitación. Esta extensión sólo es aplicable a las </w:t>
            </w:r>
            <w:r w:rsidRPr="005B03B5">
              <w:rPr>
                <w:rFonts w:ascii="Verdana" w:eastAsia="Calibri" w:hAnsi="Verdana" w:cs="Arial"/>
                <w:i/>
                <w:iCs/>
                <w:lang w:val="es-ES_tradnl"/>
              </w:rPr>
              <w:t>sociedades de personas</w:t>
            </w:r>
            <w:r>
              <w:rPr>
                <w:rFonts w:ascii="Verdana" w:eastAsia="Calibri" w:hAnsi="Verdana" w:cs="Arial"/>
                <w:lang w:val="es-ES_tradnl"/>
              </w:rPr>
              <w:t xml:space="preserve">, es decir, están excluidas las </w:t>
            </w:r>
            <w:r w:rsidRPr="005B03B5">
              <w:rPr>
                <w:rFonts w:ascii="Verdana" w:eastAsia="Calibri" w:hAnsi="Verdana" w:cs="Arial"/>
                <w:i/>
                <w:iCs/>
                <w:lang w:val="es-ES_tradnl"/>
              </w:rPr>
              <w:t>sociedades de capital</w:t>
            </w:r>
            <w:r>
              <w:rPr>
                <w:rFonts w:ascii="Verdana" w:eastAsia="Calibri" w:hAnsi="Verdana" w:cs="Arial"/>
                <w:lang w:val="es-ES_tradnl"/>
              </w:rPr>
              <w:t>.</w:t>
            </w:r>
          </w:p>
          <w:p w14:paraId="3759D5B1" w14:textId="77777777" w:rsidR="001E1B71" w:rsidRPr="0070663D" w:rsidRDefault="001E1B71" w:rsidP="003D2D63">
            <w:pPr>
              <w:spacing w:line="276" w:lineRule="auto"/>
              <w:ind w:firstLine="709"/>
              <w:jc w:val="both"/>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w:t>
            </w:r>
            <w:r>
              <w:rPr>
                <w:rFonts w:ascii="Verdana" w:eastAsia="Calibri" w:hAnsi="Verdana" w:cs="Arial"/>
                <w:bCs/>
                <w:color w:val="000000" w:themeColor="text1"/>
              </w:rPr>
              <w:t>las inhabilidades e incompatibilidades</w:t>
            </w:r>
            <w:r>
              <w:rPr>
                <w:rFonts w:ascii="Verdana" w:hAnsi="Verdana" w:cs="Arial"/>
                <w:lang w:eastAsia="es-ES"/>
              </w:rPr>
              <w:t xml:space="preserve">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en </w:t>
            </w:r>
            <w:r w:rsidRPr="00301910">
              <w:rPr>
                <w:rFonts w:ascii="Verdana" w:hAnsi="Verdana" w:cs="Arial"/>
                <w:lang w:eastAsia="es-ES"/>
              </w:rPr>
              <w:t>la aclaración preliminar del presente oficio.</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r>
              <w:rPr>
                <w:rFonts w:ascii="Verdana" w:hAnsi="Verdana" w:cs="Arial"/>
                <w:lang w:eastAsia="es-ES"/>
              </w:rPr>
              <w:t xml:space="preserve"> Así</w:t>
            </w:r>
            <w:r w:rsidRPr="00301910">
              <w:rPr>
                <w:rFonts w:ascii="Verdana" w:hAnsi="Verdana" w:cs="Arial"/>
                <w:lang w:eastAsia="es-ES"/>
              </w:rPr>
              <w:t>, cada entidad definirá la forma de adelantar su gestión contractual, sin que sea atribución de Colombia Compra Eficiente validar sus actuaciones.</w:t>
            </w:r>
          </w:p>
        </w:tc>
      </w:tr>
    </w:tbl>
    <w:p w14:paraId="040D2C62" w14:textId="77777777" w:rsidR="001E1B71" w:rsidRPr="00593A5F" w:rsidRDefault="001E1B71" w:rsidP="001E1B71">
      <w:pPr>
        <w:tabs>
          <w:tab w:val="left" w:pos="142"/>
          <w:tab w:val="left" w:pos="284"/>
        </w:tabs>
        <w:spacing w:after="0" w:line="276" w:lineRule="auto"/>
        <w:jc w:val="both"/>
        <w:rPr>
          <w:rFonts w:ascii="Verdana" w:eastAsia="Century Gothic" w:hAnsi="Verdana" w:cs="Century Gothic"/>
          <w:b/>
          <w:bCs/>
          <w:lang w:val="es-ES"/>
        </w:rPr>
      </w:pPr>
    </w:p>
    <w:bookmarkEnd w:id="1"/>
    <w:p w14:paraId="086C59E9" w14:textId="77777777" w:rsidR="001E1B71" w:rsidRPr="00593A5F" w:rsidRDefault="001E1B71" w:rsidP="001E1B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FC1FCDC" w14:textId="77777777" w:rsidR="001E1B71" w:rsidRPr="00593A5F" w:rsidRDefault="001E1B71" w:rsidP="001E1B71">
      <w:pPr>
        <w:spacing w:after="0" w:line="276" w:lineRule="auto"/>
        <w:jc w:val="both"/>
        <w:rPr>
          <w:rFonts w:ascii="Verdana" w:eastAsia="Calibri" w:hAnsi="Verdana" w:cs="Arial"/>
          <w:color w:val="7030A0"/>
          <w:lang w:val="es-ES"/>
        </w:rPr>
      </w:pPr>
    </w:p>
    <w:p w14:paraId="100E6D20" w14:textId="77777777" w:rsidR="001E1B71" w:rsidRDefault="001E1B71" w:rsidP="001E1B7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47D1901" w14:textId="77777777" w:rsidR="001E1B71" w:rsidRPr="000C6D8F" w:rsidRDefault="001E1B71" w:rsidP="001E1B71">
      <w:pPr>
        <w:spacing w:after="0" w:line="276" w:lineRule="auto"/>
        <w:jc w:val="both"/>
        <w:rPr>
          <w:rFonts w:ascii="Verdana" w:eastAsia="Calibri" w:hAnsi="Verdana" w:cs="Arial"/>
          <w:lang w:val="es-ES"/>
        </w:rPr>
      </w:pPr>
    </w:p>
    <w:p w14:paraId="1E34ED91" w14:textId="67731027" w:rsidR="001E1B71" w:rsidRDefault="00EB611C" w:rsidP="00CF4568">
      <w:pPr>
        <w:pStyle w:val="Sinespaciado"/>
        <w:spacing w:after="120" w:line="276" w:lineRule="auto"/>
        <w:jc w:val="both"/>
        <w:rPr>
          <w:rFonts w:ascii="Verdana" w:hAnsi="Verdana" w:cs="Arial"/>
          <w:color w:val="000000" w:themeColor="text1"/>
          <w:sz w:val="22"/>
        </w:rPr>
      </w:pPr>
      <w:r>
        <w:rPr>
          <w:rFonts w:ascii="Verdana" w:hAnsi="Verdana" w:cs="Arial"/>
          <w:color w:val="000000" w:themeColor="text1"/>
          <w:sz w:val="22"/>
        </w:rPr>
        <w:t xml:space="preserve">i. </w:t>
      </w:r>
      <w:r w:rsidR="001E1B71">
        <w:rPr>
          <w:rFonts w:ascii="Verdana" w:hAnsi="Verdana" w:cs="Arial"/>
          <w:color w:val="000000" w:themeColor="text1"/>
          <w:sz w:val="22"/>
        </w:rPr>
        <w:t>L</w:t>
      </w:r>
      <w:r w:rsidR="001E1B71" w:rsidRPr="000C6D8F">
        <w:rPr>
          <w:rFonts w:ascii="Verdana" w:hAnsi="Verdana" w:cs="Arial"/>
          <w:color w:val="000000" w:themeColor="text1"/>
          <w:sz w:val="22"/>
        </w:rPr>
        <w:t xml:space="preserve">as inhabilidades e incompatibilidades son circunstancias </w:t>
      </w:r>
      <w:r w:rsidR="001E1B71">
        <w:rPr>
          <w:rFonts w:ascii="Verdana" w:hAnsi="Verdana" w:cs="Arial"/>
          <w:color w:val="000000" w:themeColor="text1"/>
          <w:sz w:val="22"/>
        </w:rPr>
        <w:t xml:space="preserve">de naturaleza restrictiva, </w:t>
      </w:r>
      <w:r w:rsidR="001E1B71" w:rsidRPr="000C6D8F">
        <w:rPr>
          <w:rFonts w:ascii="Verdana" w:hAnsi="Verdana" w:cs="Arial"/>
          <w:color w:val="000000" w:themeColor="text1"/>
          <w:sz w:val="22"/>
        </w:rPr>
        <w:t>establecidas por la Constitución o la ley</w:t>
      </w:r>
      <w:r w:rsidR="001E1B71">
        <w:rPr>
          <w:rFonts w:ascii="Verdana" w:hAnsi="Verdana" w:cs="Arial"/>
          <w:color w:val="000000" w:themeColor="text1"/>
          <w:sz w:val="22"/>
        </w:rPr>
        <w:t>,</w:t>
      </w:r>
      <w:r w:rsidR="001E1B71" w:rsidRPr="000C6D8F">
        <w:rPr>
          <w:rFonts w:ascii="Verdana" w:hAnsi="Verdana" w:cs="Arial"/>
          <w:color w:val="000000" w:themeColor="text1"/>
          <w:sz w:val="22"/>
        </w:rPr>
        <w:t xml:space="preserve"> que impiden la posibilidad de que ciertas personas sean elegidas o designadas en un cargo público o puedan celebrar contratos con el Estado, con el objetivo de garantizar la </w:t>
      </w:r>
      <w:r w:rsidR="001E1B71" w:rsidRPr="000C6D8F">
        <w:rPr>
          <w:rFonts w:ascii="Verdana" w:hAnsi="Verdana" w:cs="Arial"/>
          <w:color w:val="000000" w:themeColor="text1"/>
          <w:sz w:val="22"/>
        </w:rPr>
        <w:lastRenderedPageBreak/>
        <w:t xml:space="preserve">idoneidad, imparcialidad, probidad, transparencia y moralidad de la gestión pública.  </w:t>
      </w:r>
      <w:r w:rsidR="001E1B71">
        <w:rPr>
          <w:rFonts w:ascii="Verdana" w:hAnsi="Verdana" w:cs="Arial"/>
          <w:color w:val="000000" w:themeColor="text1"/>
          <w:sz w:val="22"/>
        </w:rPr>
        <w:t>Por su parte, e</w:t>
      </w:r>
      <w:r w:rsidR="001E1B71" w:rsidRPr="000C6D8F">
        <w:rPr>
          <w:rFonts w:ascii="Verdana" w:hAnsi="Verdana" w:cs="Arial"/>
          <w:color w:val="000000" w:themeColor="text1"/>
          <w:sz w:val="22"/>
        </w:rPr>
        <w:t xml:space="preserve">l régimen de inhabilidades e incompatibilidades para contratar con el Estado </w:t>
      </w:r>
      <w:r w:rsidR="001E1B71">
        <w:rPr>
          <w:rFonts w:ascii="Verdana" w:hAnsi="Verdana" w:cs="Arial"/>
          <w:color w:val="000000" w:themeColor="text1"/>
          <w:sz w:val="22"/>
        </w:rPr>
        <w:t>hace referencia a</w:t>
      </w:r>
      <w:r w:rsidR="001E1B71" w:rsidRPr="000C6D8F">
        <w:rPr>
          <w:rFonts w:ascii="Verdana" w:hAnsi="Verdana" w:cs="Arial"/>
          <w:color w:val="000000" w:themeColor="text1"/>
          <w:sz w:val="22"/>
        </w:rPr>
        <w:t xml:space="preserve"> un conjunto de restricciones establecidas por el constituyente o por el legislador</w:t>
      </w:r>
      <w:r w:rsidR="001E1B71">
        <w:rPr>
          <w:rFonts w:ascii="Verdana" w:hAnsi="Verdana" w:cs="Arial"/>
          <w:color w:val="000000" w:themeColor="text1"/>
          <w:sz w:val="22"/>
        </w:rPr>
        <w:t>,</w:t>
      </w:r>
      <w:r w:rsidR="001E1B71" w:rsidRPr="000C6D8F">
        <w:rPr>
          <w:rFonts w:ascii="Verdana" w:hAnsi="Verdana" w:cs="Arial"/>
          <w:color w:val="000000" w:themeColor="text1"/>
          <w:sz w:val="22"/>
        </w:rPr>
        <w:t xml:space="preserve"> que afectan directamente la capacidad de las personas para establecer una relación jurídica contractual con el Estado, </w:t>
      </w:r>
      <w:r w:rsidR="001E1B71">
        <w:rPr>
          <w:rFonts w:ascii="Verdana" w:hAnsi="Verdana" w:cs="Arial"/>
          <w:color w:val="000000" w:themeColor="text1"/>
          <w:sz w:val="22"/>
        </w:rPr>
        <w:t xml:space="preserve">la cuales pueden obedecer a </w:t>
      </w:r>
      <w:r w:rsidR="001E1B71" w:rsidRPr="000C6D8F">
        <w:rPr>
          <w:rFonts w:ascii="Verdana" w:hAnsi="Verdana" w:cs="Arial"/>
          <w:color w:val="000000" w:themeColor="text1"/>
          <w:sz w:val="22"/>
        </w:rPr>
        <w:t xml:space="preserve">condenas, sanciones o situaciones previamente establecidas por el ordenamiento jurídico. </w:t>
      </w:r>
    </w:p>
    <w:p w14:paraId="3474C68B" w14:textId="77777777" w:rsidR="001E1B71" w:rsidRDefault="001E1B71" w:rsidP="001E1B71">
      <w:pPr>
        <w:pStyle w:val="Sinespaciado"/>
        <w:spacing w:line="276" w:lineRule="auto"/>
        <w:ind w:firstLine="708"/>
        <w:jc w:val="both"/>
        <w:rPr>
          <w:rFonts w:ascii="Verdana" w:hAnsi="Verdana" w:cs="Arial"/>
          <w:color w:val="000000" w:themeColor="text1"/>
          <w:sz w:val="22"/>
        </w:rPr>
      </w:pPr>
      <w:r w:rsidRPr="000C6D8F">
        <w:rPr>
          <w:rFonts w:ascii="Verdana" w:hAnsi="Verdana" w:cs="Arial"/>
          <w:color w:val="000000" w:themeColor="text1"/>
          <w:sz w:val="22"/>
        </w:rPr>
        <w:t>Estas restricciones que afectan la capacidad jurídica de las personas para contratar</w:t>
      </w:r>
      <w:r>
        <w:rPr>
          <w:rFonts w:ascii="Verdana" w:hAnsi="Verdana" w:cs="Arial"/>
          <w:color w:val="000000" w:themeColor="text1"/>
          <w:sz w:val="22"/>
        </w:rPr>
        <w:t>; observan</w:t>
      </w:r>
      <w:r w:rsidRPr="000C6D8F">
        <w:rPr>
          <w:rFonts w:ascii="Verdana" w:hAnsi="Verdana" w:cs="Arial"/>
          <w:color w:val="000000" w:themeColor="text1"/>
          <w:sz w:val="22"/>
        </w:rPr>
        <w:t xml:space="preserve"> los principios de la función administrativa consagrados en el artículo 209 de la Constitución Política, con especial énfasis el de moralidad</w:t>
      </w:r>
      <w:r>
        <w:rPr>
          <w:rFonts w:ascii="Verdana" w:hAnsi="Verdana" w:cs="Arial"/>
          <w:color w:val="000000" w:themeColor="text1"/>
          <w:sz w:val="22"/>
        </w:rPr>
        <w:t>, y a</w:t>
      </w:r>
      <w:r w:rsidRPr="000C6D8F">
        <w:rPr>
          <w:rFonts w:ascii="Verdana" w:hAnsi="Verdana" w:cs="Arial"/>
          <w:color w:val="000000" w:themeColor="text1"/>
          <w:sz w:val="22"/>
        </w:rPr>
        <w:t xml:space="preserve">sí lo ha entendido el Consejo de Estado: </w:t>
      </w:r>
    </w:p>
    <w:p w14:paraId="7EF18A59" w14:textId="77777777" w:rsidR="001E1B71" w:rsidRPr="00CF4568" w:rsidRDefault="001E1B71" w:rsidP="00CF4568">
      <w:pPr>
        <w:pStyle w:val="Sinespaciado"/>
        <w:jc w:val="both"/>
        <w:rPr>
          <w:rFonts w:ascii="Verdana" w:hAnsi="Verdana" w:cs="Arial"/>
          <w:color w:val="000000" w:themeColor="text1"/>
          <w:sz w:val="20"/>
          <w:szCs w:val="20"/>
          <w:lang w:val="es-ES"/>
        </w:rPr>
      </w:pPr>
    </w:p>
    <w:p w14:paraId="13557FF5" w14:textId="77777777" w:rsidR="001E1B71" w:rsidRDefault="001E1B71" w:rsidP="002D431A">
      <w:pPr>
        <w:pStyle w:val="NormalWeb"/>
        <w:shd w:val="clear" w:color="auto" w:fill="FFFFFF"/>
        <w:spacing w:before="0" w:beforeAutospacing="0" w:after="0" w:afterAutospacing="0"/>
        <w:ind w:left="709" w:right="709"/>
        <w:jc w:val="both"/>
        <w:rPr>
          <w:rFonts w:ascii="Verdana" w:hAnsi="Verdana" w:cs="Arial"/>
          <w:color w:val="000000" w:themeColor="text1"/>
          <w:sz w:val="20"/>
          <w:szCs w:val="20"/>
          <w:lang w:val="es-ES"/>
        </w:rPr>
      </w:pPr>
      <w:r w:rsidRPr="00CF4568">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6F235BB1" w14:textId="77777777" w:rsidR="002D431A" w:rsidRPr="00CF4568" w:rsidRDefault="002D431A" w:rsidP="00CF4568">
      <w:pPr>
        <w:pStyle w:val="NormalWeb"/>
        <w:shd w:val="clear" w:color="auto" w:fill="FFFFFF"/>
        <w:spacing w:before="0" w:beforeAutospacing="0" w:after="0" w:afterAutospacing="0"/>
        <w:ind w:left="709" w:right="709"/>
        <w:jc w:val="both"/>
        <w:rPr>
          <w:rFonts w:ascii="Verdana" w:hAnsi="Verdana" w:cs="Arial"/>
          <w:color w:val="000000" w:themeColor="text1"/>
          <w:sz w:val="20"/>
          <w:szCs w:val="20"/>
          <w:lang w:val="es-ES"/>
        </w:rPr>
      </w:pPr>
    </w:p>
    <w:p w14:paraId="521A84CA" w14:textId="77777777" w:rsidR="001E1B71" w:rsidRPr="00CF4568" w:rsidRDefault="001E1B71" w:rsidP="00CF4568">
      <w:pPr>
        <w:pStyle w:val="NormalWeb"/>
        <w:shd w:val="clear" w:color="auto" w:fill="FFFFFF"/>
        <w:spacing w:before="0" w:beforeAutospacing="0" w:after="0" w:afterAutospacing="0"/>
        <w:ind w:left="709" w:right="709"/>
        <w:jc w:val="both"/>
        <w:rPr>
          <w:rFonts w:ascii="Verdana" w:hAnsi="Verdana" w:cs="Arial"/>
          <w:color w:val="000000" w:themeColor="text1"/>
          <w:sz w:val="20"/>
          <w:szCs w:val="20"/>
          <w:lang w:val="es-ES"/>
        </w:rPr>
      </w:pPr>
      <w:r w:rsidRPr="00CF4568">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CF4568">
        <w:rPr>
          <w:rStyle w:val="Refdenotaalpie"/>
          <w:rFonts w:ascii="Verdana" w:eastAsiaTheme="majorEastAsia" w:hAnsi="Verdana" w:cs="Arial"/>
          <w:color w:val="000000" w:themeColor="text1"/>
          <w:sz w:val="20"/>
          <w:szCs w:val="20"/>
          <w:lang w:val="es-ES"/>
        </w:rPr>
        <w:footnoteReference w:id="1"/>
      </w:r>
      <w:r w:rsidRPr="00CF4568">
        <w:rPr>
          <w:rFonts w:ascii="Verdana" w:hAnsi="Verdana" w:cs="Arial"/>
          <w:color w:val="000000" w:themeColor="text1"/>
          <w:sz w:val="20"/>
          <w:szCs w:val="20"/>
          <w:lang w:val="es-ES"/>
        </w:rPr>
        <w:t xml:space="preserve">. </w:t>
      </w:r>
    </w:p>
    <w:p w14:paraId="72B588F1" w14:textId="77777777" w:rsidR="002D431A" w:rsidRDefault="002D431A" w:rsidP="00CF4568">
      <w:pPr>
        <w:spacing w:after="0" w:line="276" w:lineRule="auto"/>
        <w:ind w:firstLine="708"/>
        <w:jc w:val="both"/>
        <w:rPr>
          <w:rFonts w:ascii="Verdana" w:hAnsi="Verdana" w:cs="Arial"/>
          <w:color w:val="000000" w:themeColor="text1"/>
        </w:rPr>
      </w:pPr>
    </w:p>
    <w:p w14:paraId="6BF20109" w14:textId="77777777" w:rsidR="00ED33A1" w:rsidRDefault="001E1B71" w:rsidP="001E1B71">
      <w:pPr>
        <w:spacing w:after="120" w:line="276" w:lineRule="auto"/>
        <w:ind w:firstLine="708"/>
        <w:jc w:val="both"/>
        <w:rPr>
          <w:rFonts w:ascii="Verdana" w:eastAsia="Calibri" w:hAnsi="Verdana" w:cs="Arial"/>
          <w:color w:val="000000" w:themeColor="text1"/>
          <w:lang w:val="es-ES_tradnl"/>
        </w:rPr>
      </w:pPr>
      <w:r>
        <w:rPr>
          <w:rFonts w:ascii="Verdana" w:hAnsi="Verdana" w:cs="Arial"/>
          <w:color w:val="000000" w:themeColor="text1"/>
        </w:rPr>
        <w:t>Sumado a lo anterior, l</w:t>
      </w:r>
      <w:r w:rsidRPr="000C6D8F">
        <w:rPr>
          <w:rFonts w:ascii="Verdana" w:hAnsi="Verdana" w:cs="Arial"/>
          <w:color w:val="000000" w:themeColor="text1"/>
        </w:rPr>
        <w:t xml:space="preserve">as inhabilidades e incompatibilidades son medios que buscan garantizar la transparencia y eficiencia en la actividad contractual </w:t>
      </w:r>
      <w:r w:rsidRPr="000C6D8F">
        <w:rPr>
          <w:rFonts w:ascii="Verdana" w:hAnsi="Verdana" w:cs="Arial"/>
          <w:color w:val="000000" w:themeColor="text1"/>
        </w:rPr>
        <w:lastRenderedPageBreak/>
        <w:t>del Estado y para ello imponen restricciones en la personalidad jurídica, la igualdad, la libre empresa y, particularmente, el derecho a participar en procesos de selección y celebrar contratos con la Administración</w:t>
      </w:r>
      <w:r>
        <w:rPr>
          <w:rFonts w:ascii="Verdana" w:hAnsi="Verdana" w:cs="Arial"/>
          <w:color w:val="000000" w:themeColor="text1"/>
        </w:rPr>
        <w:t xml:space="preserve"> Pública</w:t>
      </w:r>
      <w:r w:rsidRPr="000C6D8F">
        <w:rPr>
          <w:rFonts w:ascii="Verdana" w:hAnsi="Verdana" w:cs="Arial"/>
          <w:color w:val="000000" w:themeColor="text1"/>
        </w:rPr>
        <w:t>. Asimismo</w:t>
      </w:r>
      <w:r w:rsidRPr="000C6D8F">
        <w:rPr>
          <w:rFonts w:ascii="Verdana" w:eastAsia="Calibri" w:hAnsi="Verdana" w:cs="Arial"/>
          <w:color w:val="000000" w:themeColor="text1"/>
          <w:lang w:val="es-ES_tradnl"/>
        </w:rPr>
        <w:t xml:space="preserve">, el carácter reconocidamente taxativo </w:t>
      </w:r>
      <w:r>
        <w:rPr>
          <w:rFonts w:ascii="Verdana" w:eastAsia="Calibri" w:hAnsi="Verdana" w:cs="Arial"/>
          <w:color w:val="000000" w:themeColor="text1"/>
          <w:lang w:val="es-ES_tradnl"/>
        </w:rPr>
        <w:t>del</w:t>
      </w:r>
      <w:r w:rsidRPr="000C6D8F">
        <w:rPr>
          <w:rFonts w:ascii="Verdana" w:eastAsia="Calibri" w:hAnsi="Verdana" w:cs="Arial"/>
          <w:color w:val="000000" w:themeColor="text1"/>
          <w:lang w:val="es-ES_tradnl"/>
        </w:rPr>
        <w:t xml:space="preserv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w:t>
      </w:r>
    </w:p>
    <w:p w14:paraId="5E65085B" w14:textId="55E92309" w:rsidR="001E1B71" w:rsidRDefault="001E1B71" w:rsidP="001E1B71">
      <w:pPr>
        <w:spacing w:after="120" w:line="276" w:lineRule="auto"/>
        <w:ind w:firstLine="708"/>
        <w:jc w:val="both"/>
        <w:rPr>
          <w:rFonts w:ascii="Verdana" w:hAnsi="Verdana" w:cs="Arial"/>
          <w:color w:val="000000" w:themeColor="text1"/>
        </w:rPr>
      </w:pPr>
      <w:r w:rsidRPr="000C6D8F">
        <w:rPr>
          <w:rFonts w:ascii="Verdana" w:eastAsia="Calibri" w:hAnsi="Verdana" w:cs="Arial"/>
          <w:color w:val="000000" w:themeColor="text1"/>
          <w:lang w:val="es-ES_tradnl"/>
        </w:rPr>
        <w:t xml:space="preserve">Por ello, </w:t>
      </w:r>
      <w:r w:rsidRPr="000C6D8F">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64FE7621" w14:textId="77777777" w:rsidR="001E1B71" w:rsidRDefault="001E1B71" w:rsidP="001E1B71">
      <w:pPr>
        <w:spacing w:after="0" w:line="276" w:lineRule="auto"/>
        <w:ind w:firstLine="709"/>
        <w:jc w:val="both"/>
        <w:rPr>
          <w:rFonts w:ascii="Verdana" w:eastAsia="Calibri" w:hAnsi="Verdana" w:cs="Arial"/>
          <w:lang w:val="es-ES_tradnl"/>
        </w:rPr>
      </w:pPr>
      <w:r>
        <w:rPr>
          <w:rFonts w:ascii="Verdana" w:eastAsia="Calibri" w:hAnsi="Verdana" w:cs="Arial"/>
          <w:lang w:val="es-ES_tradnl"/>
        </w:rPr>
        <w:t>De esta manera</w:t>
      </w:r>
      <w:r w:rsidRPr="000C6D8F">
        <w:rPr>
          <w:rFonts w:ascii="Verdana" w:eastAsia="Calibri" w:hAnsi="Verdana" w:cs="Arial"/>
          <w:lang w:val="es-ES_tradnl"/>
        </w:rPr>
        <w:t>, las inhabilidades e incompatibilidades al ser límites especiales a la capacidad para presentar ofertas y celebrar contratos estatales, solo pueden tipificarse en la ley o la Constitución –</w:t>
      </w:r>
      <w:r>
        <w:rPr>
          <w:rFonts w:ascii="Verdana" w:eastAsia="Calibri" w:hAnsi="Verdana" w:cs="Arial"/>
          <w:lang w:val="es-ES_tradnl"/>
        </w:rPr>
        <w:t xml:space="preserve">es decir, </w:t>
      </w:r>
      <w:r w:rsidRPr="000C6D8F">
        <w:rPr>
          <w:rFonts w:ascii="Verdana" w:eastAsia="Calibri" w:hAnsi="Verdana" w:cs="Arial"/>
          <w:lang w:val="es-ES_tradnl"/>
        </w:rPr>
        <w:t xml:space="preserve">deben satisfacer el principio de legalidad– y su interpretación debe ser </w:t>
      </w:r>
      <w:r w:rsidRPr="000C6D8F">
        <w:rPr>
          <w:rFonts w:ascii="Verdana" w:eastAsia="Calibri" w:hAnsi="Verdana" w:cs="Arial"/>
          <w:i/>
          <w:iCs/>
          <w:lang w:val="es-ES_tradnl"/>
        </w:rPr>
        <w:t>restrictiva</w:t>
      </w:r>
      <w:r w:rsidRPr="000C6D8F">
        <w:rPr>
          <w:rFonts w:ascii="Verdana" w:eastAsia="Calibri" w:hAnsi="Verdana" w:cs="Arial"/>
          <w:lang w:val="es-ES_tradnl"/>
        </w:rPr>
        <w:t>. En contraste, si se admitiera una interpretación amplia, extensiva</w:t>
      </w:r>
      <w:r>
        <w:rPr>
          <w:rFonts w:ascii="Verdana" w:eastAsia="Calibri" w:hAnsi="Verdana" w:cs="Arial"/>
          <w:lang w:val="es-ES_tradnl"/>
        </w:rPr>
        <w:t>, analógica</w:t>
      </w:r>
      <w:r w:rsidRPr="000C6D8F">
        <w:rPr>
          <w:rFonts w:ascii="Verdana" w:eastAsia="Calibri" w:hAnsi="Verdana" w:cs="Arial"/>
          <w:lang w:val="es-ES_tradnl"/>
        </w:rPr>
        <w:t xml:space="preserve">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w:t>
      </w:r>
      <w:r>
        <w:rPr>
          <w:rStyle w:val="Refdenotaalpie"/>
          <w:rFonts w:ascii="Verdana" w:eastAsia="Calibri" w:hAnsi="Verdana" w:cs="Arial"/>
          <w:lang w:val="es-ES_tradnl"/>
        </w:rPr>
        <w:footnoteReference w:id="2"/>
      </w:r>
    </w:p>
    <w:p w14:paraId="1106BF7C" w14:textId="77777777" w:rsidR="001E1B71" w:rsidRDefault="001E1B71" w:rsidP="001E1B71">
      <w:pPr>
        <w:spacing w:after="0" w:line="276" w:lineRule="auto"/>
        <w:ind w:firstLine="709"/>
        <w:jc w:val="both"/>
        <w:rPr>
          <w:rFonts w:ascii="Verdana" w:eastAsia="Calibri" w:hAnsi="Verdana" w:cs="Arial"/>
          <w:lang w:val="es-ES_tradnl"/>
        </w:rPr>
      </w:pPr>
    </w:p>
    <w:p w14:paraId="352C627E" w14:textId="4AB7AAF6" w:rsidR="001E1B71" w:rsidRDefault="001E1B71" w:rsidP="00CF4568">
      <w:pPr>
        <w:pBdr>
          <w:top w:val="nil"/>
          <w:left w:val="nil"/>
          <w:bottom w:val="nil"/>
          <w:right w:val="nil"/>
          <w:between w:val="nil"/>
        </w:pBdr>
        <w:spacing w:after="120" w:line="276" w:lineRule="auto"/>
        <w:jc w:val="both"/>
        <w:rPr>
          <w:rFonts w:ascii="Verdana" w:eastAsia="Arial" w:hAnsi="Verdana" w:cs="Arial"/>
          <w:color w:val="000000" w:themeColor="text1"/>
          <w:lang w:val="es-ES"/>
        </w:rPr>
      </w:pPr>
      <w:proofErr w:type="spellStart"/>
      <w:r>
        <w:rPr>
          <w:rFonts w:ascii="Verdana" w:eastAsia="Calibri" w:hAnsi="Verdana" w:cs="Arial"/>
          <w:lang w:val="es-ES_tradnl"/>
        </w:rPr>
        <w:lastRenderedPageBreak/>
        <w:t>ii</w:t>
      </w:r>
      <w:proofErr w:type="spellEnd"/>
      <w:r>
        <w:rPr>
          <w:rFonts w:ascii="Verdana" w:eastAsia="Calibri" w:hAnsi="Verdana" w:cs="Arial"/>
          <w:lang w:val="es-ES_tradnl"/>
        </w:rPr>
        <w:t xml:space="preserve">. </w:t>
      </w:r>
      <w:r w:rsidR="006236FE">
        <w:rPr>
          <w:rFonts w:ascii="Verdana" w:eastAsia="Calibri" w:hAnsi="Verdana" w:cs="Arial"/>
          <w:lang w:val="es-ES_tradnl"/>
        </w:rPr>
        <w:t>Ahora bien</w:t>
      </w:r>
      <w:r w:rsidRPr="00947630">
        <w:rPr>
          <w:rFonts w:ascii="Verdana" w:eastAsia="Calibri" w:hAnsi="Verdana" w:cs="Arial"/>
          <w:lang w:val="es-ES_tradnl"/>
        </w:rPr>
        <w:t xml:space="preserve">, </w:t>
      </w:r>
      <w:r>
        <w:rPr>
          <w:rFonts w:ascii="Verdana" w:eastAsia="Arial" w:hAnsi="Verdana" w:cs="Arial"/>
          <w:color w:val="000000" w:themeColor="text1"/>
          <w:lang w:val="es-ES"/>
        </w:rPr>
        <w:t>l</w:t>
      </w:r>
      <w:r w:rsidRPr="00947630">
        <w:rPr>
          <w:rFonts w:ascii="Verdana" w:eastAsia="Arial" w:hAnsi="Verdana" w:cs="Arial"/>
          <w:color w:val="000000" w:themeColor="text1"/>
          <w:lang w:val="es-ES"/>
        </w:rPr>
        <w:t>as multas y la declaratoria de incumplimiento son sanciones administrativas impuestas por la entidad en cada contrato, frente a la falta, el retardo y/o imperfectos en la ejecución de las obligaciones pactadas.</w:t>
      </w:r>
    </w:p>
    <w:p w14:paraId="02CB461C" w14:textId="77777777" w:rsidR="001E1B71" w:rsidRPr="00947630" w:rsidRDefault="001E1B71" w:rsidP="001E1B71">
      <w:pPr>
        <w:widowControl w:val="0"/>
        <w:autoSpaceDE w:val="0"/>
        <w:autoSpaceDN w:val="0"/>
        <w:spacing w:after="120" w:line="276" w:lineRule="auto"/>
        <w:ind w:right="49" w:firstLine="708"/>
        <w:jc w:val="both"/>
        <w:rPr>
          <w:rFonts w:ascii="Verdana" w:eastAsia="Arial" w:hAnsi="Verdana" w:cs="Arial"/>
          <w:color w:val="000000" w:themeColor="text1"/>
          <w:lang w:val="es-ES"/>
        </w:rPr>
      </w:pPr>
      <w:r w:rsidRPr="00947630">
        <w:rPr>
          <w:rFonts w:ascii="Verdana" w:eastAsia="Arial" w:hAnsi="Verdana" w:cs="Arial"/>
          <w:color w:val="000000" w:themeColor="text1"/>
          <w:lang w:val="es-ES"/>
        </w:rPr>
        <w:t>En principio, las consecuencias de estas sanciones no se proyectan</w:t>
      </w:r>
      <w:r w:rsidRPr="00947630">
        <w:rPr>
          <w:rFonts w:ascii="Verdana" w:eastAsia="Arial" w:hAnsi="Verdana" w:cs="Arial"/>
          <w:color w:val="000000" w:themeColor="text1"/>
          <w:spacing w:val="34"/>
          <w:lang w:val="es-ES"/>
        </w:rPr>
        <w:t xml:space="preserve"> </w:t>
      </w:r>
      <w:r w:rsidRPr="00947630">
        <w:rPr>
          <w:rFonts w:ascii="Verdana" w:eastAsia="Arial" w:hAnsi="Verdana" w:cs="Arial"/>
          <w:color w:val="000000" w:themeColor="text1"/>
          <w:lang w:val="es-ES"/>
        </w:rPr>
        <w:t>más</w:t>
      </w:r>
      <w:r w:rsidRPr="00947630">
        <w:rPr>
          <w:rFonts w:ascii="Verdana" w:eastAsia="Arial" w:hAnsi="Verdana" w:cs="Arial"/>
          <w:color w:val="000000" w:themeColor="text1"/>
          <w:spacing w:val="35"/>
          <w:lang w:val="es-ES"/>
        </w:rPr>
        <w:t xml:space="preserve"> </w:t>
      </w:r>
      <w:r w:rsidRPr="00947630">
        <w:rPr>
          <w:rFonts w:ascii="Verdana" w:eastAsia="Arial" w:hAnsi="Verdana" w:cs="Arial"/>
          <w:color w:val="000000" w:themeColor="text1"/>
          <w:lang w:val="es-ES"/>
        </w:rPr>
        <w:t>allá</w:t>
      </w:r>
      <w:r w:rsidRPr="00947630">
        <w:rPr>
          <w:rFonts w:ascii="Verdana" w:eastAsia="Arial" w:hAnsi="Verdana" w:cs="Arial"/>
          <w:color w:val="000000" w:themeColor="text1"/>
          <w:spacing w:val="33"/>
          <w:lang w:val="es-ES"/>
        </w:rPr>
        <w:t xml:space="preserve"> </w:t>
      </w:r>
      <w:r w:rsidRPr="00947630">
        <w:rPr>
          <w:rFonts w:ascii="Verdana" w:eastAsia="Arial" w:hAnsi="Verdana" w:cs="Arial"/>
          <w:color w:val="000000" w:themeColor="text1"/>
          <w:lang w:val="es-ES"/>
        </w:rPr>
        <w:t>del</w:t>
      </w:r>
      <w:r w:rsidRPr="00947630">
        <w:rPr>
          <w:rFonts w:ascii="Verdana" w:eastAsia="Arial" w:hAnsi="Verdana" w:cs="Arial"/>
          <w:color w:val="000000" w:themeColor="text1"/>
          <w:spacing w:val="32"/>
          <w:lang w:val="es-ES"/>
        </w:rPr>
        <w:t xml:space="preserve"> </w:t>
      </w:r>
      <w:r w:rsidRPr="00947630">
        <w:rPr>
          <w:rFonts w:ascii="Verdana" w:eastAsia="Arial" w:hAnsi="Verdana" w:cs="Arial"/>
          <w:color w:val="000000" w:themeColor="text1"/>
          <w:lang w:val="es-ES"/>
        </w:rPr>
        <w:t>marco</w:t>
      </w:r>
      <w:r w:rsidRPr="00947630">
        <w:rPr>
          <w:rFonts w:ascii="Verdana" w:eastAsia="Arial" w:hAnsi="Verdana" w:cs="Arial"/>
          <w:color w:val="000000" w:themeColor="text1"/>
          <w:spacing w:val="35"/>
          <w:lang w:val="es-ES"/>
        </w:rPr>
        <w:t xml:space="preserve"> </w:t>
      </w:r>
      <w:r w:rsidRPr="00947630">
        <w:rPr>
          <w:rFonts w:ascii="Verdana" w:eastAsia="Arial" w:hAnsi="Verdana" w:cs="Arial"/>
          <w:color w:val="000000" w:themeColor="text1"/>
          <w:lang w:val="es-ES"/>
        </w:rPr>
        <w:t>del</w:t>
      </w:r>
      <w:r w:rsidRPr="00947630">
        <w:rPr>
          <w:rFonts w:ascii="Verdana" w:eastAsia="Arial" w:hAnsi="Verdana" w:cs="Arial"/>
          <w:color w:val="000000" w:themeColor="text1"/>
          <w:spacing w:val="34"/>
          <w:lang w:val="es-ES"/>
        </w:rPr>
        <w:t xml:space="preserve"> </w:t>
      </w:r>
      <w:r w:rsidRPr="00947630">
        <w:rPr>
          <w:rFonts w:ascii="Verdana" w:eastAsia="Arial" w:hAnsi="Verdana" w:cs="Arial"/>
          <w:color w:val="000000" w:themeColor="text1"/>
          <w:lang w:val="es-ES"/>
        </w:rPr>
        <w:t>contrato</w:t>
      </w:r>
      <w:r w:rsidRPr="00947630">
        <w:rPr>
          <w:rFonts w:ascii="Verdana" w:eastAsia="Arial" w:hAnsi="Verdana" w:cs="Arial"/>
          <w:color w:val="000000" w:themeColor="text1"/>
          <w:spacing w:val="35"/>
          <w:lang w:val="es-ES"/>
        </w:rPr>
        <w:t xml:space="preserve"> </w:t>
      </w:r>
      <w:r w:rsidRPr="00947630">
        <w:rPr>
          <w:rFonts w:ascii="Verdana" w:eastAsia="Arial" w:hAnsi="Verdana" w:cs="Arial"/>
          <w:color w:val="000000" w:themeColor="text1"/>
          <w:lang w:val="es-ES"/>
        </w:rPr>
        <w:t>en</w:t>
      </w:r>
      <w:r w:rsidRPr="00947630">
        <w:rPr>
          <w:rFonts w:ascii="Verdana" w:eastAsia="Arial" w:hAnsi="Verdana" w:cs="Arial"/>
          <w:color w:val="000000" w:themeColor="text1"/>
          <w:spacing w:val="35"/>
          <w:lang w:val="es-ES"/>
        </w:rPr>
        <w:t xml:space="preserve"> </w:t>
      </w:r>
      <w:r w:rsidRPr="00947630">
        <w:rPr>
          <w:rFonts w:ascii="Verdana" w:eastAsia="Arial" w:hAnsi="Verdana" w:cs="Arial"/>
          <w:color w:val="000000" w:themeColor="text1"/>
          <w:lang w:val="es-ES"/>
        </w:rPr>
        <w:t>el</w:t>
      </w:r>
      <w:r w:rsidRPr="00947630">
        <w:rPr>
          <w:rFonts w:ascii="Verdana" w:eastAsia="Arial" w:hAnsi="Verdana" w:cs="Arial"/>
          <w:color w:val="000000" w:themeColor="text1"/>
          <w:spacing w:val="34"/>
          <w:lang w:val="es-ES"/>
        </w:rPr>
        <w:t xml:space="preserve"> </w:t>
      </w:r>
      <w:r w:rsidRPr="00947630">
        <w:rPr>
          <w:rFonts w:ascii="Verdana" w:eastAsia="Arial" w:hAnsi="Verdana" w:cs="Arial"/>
          <w:color w:val="000000" w:themeColor="text1"/>
          <w:lang w:val="es-ES"/>
        </w:rPr>
        <w:t>que</w:t>
      </w:r>
      <w:r w:rsidRPr="00947630">
        <w:rPr>
          <w:rFonts w:ascii="Verdana" w:eastAsia="Arial" w:hAnsi="Verdana" w:cs="Arial"/>
          <w:color w:val="000000" w:themeColor="text1"/>
          <w:spacing w:val="33"/>
          <w:lang w:val="es-ES"/>
        </w:rPr>
        <w:t xml:space="preserve"> </w:t>
      </w:r>
      <w:r w:rsidRPr="00947630">
        <w:rPr>
          <w:rFonts w:ascii="Verdana" w:eastAsia="Arial" w:hAnsi="Verdana" w:cs="Arial"/>
          <w:color w:val="000000" w:themeColor="text1"/>
          <w:lang w:val="es-ES"/>
        </w:rPr>
        <w:t>fueron</w:t>
      </w:r>
      <w:r w:rsidRPr="00947630">
        <w:rPr>
          <w:rFonts w:ascii="Verdana" w:eastAsia="Arial" w:hAnsi="Verdana" w:cs="Arial"/>
          <w:color w:val="000000" w:themeColor="text1"/>
          <w:spacing w:val="35"/>
          <w:lang w:val="es-ES"/>
        </w:rPr>
        <w:t xml:space="preserve"> </w:t>
      </w:r>
      <w:r w:rsidRPr="00947630">
        <w:rPr>
          <w:rFonts w:ascii="Verdana" w:eastAsia="Arial" w:hAnsi="Verdana" w:cs="Arial"/>
          <w:color w:val="000000" w:themeColor="text1"/>
          <w:lang w:val="es-ES"/>
        </w:rPr>
        <w:t>impuestas.</w:t>
      </w:r>
      <w:r w:rsidRPr="00947630">
        <w:rPr>
          <w:rFonts w:ascii="Verdana" w:eastAsia="Arial" w:hAnsi="Verdana" w:cs="Arial"/>
          <w:color w:val="000000" w:themeColor="text1"/>
          <w:spacing w:val="31"/>
          <w:lang w:val="es-ES"/>
        </w:rPr>
        <w:t xml:space="preserve"> </w:t>
      </w:r>
      <w:r w:rsidRPr="00947630">
        <w:rPr>
          <w:rFonts w:ascii="Verdana" w:eastAsia="Arial" w:hAnsi="Verdana" w:cs="Arial"/>
          <w:color w:val="000000" w:themeColor="text1"/>
          <w:lang w:val="es-ES"/>
        </w:rPr>
        <w:t>No</w:t>
      </w:r>
      <w:r w:rsidRPr="00947630">
        <w:rPr>
          <w:rFonts w:ascii="Verdana" w:eastAsia="Arial" w:hAnsi="Verdana" w:cs="Arial"/>
          <w:color w:val="000000" w:themeColor="text1"/>
          <w:spacing w:val="35"/>
          <w:lang w:val="es-ES"/>
        </w:rPr>
        <w:t xml:space="preserve"> </w:t>
      </w:r>
      <w:r w:rsidRPr="00947630">
        <w:rPr>
          <w:rFonts w:ascii="Verdana" w:eastAsia="Arial" w:hAnsi="Verdana" w:cs="Arial"/>
          <w:color w:val="000000" w:themeColor="text1"/>
          <w:lang w:val="es-ES"/>
        </w:rPr>
        <w:t xml:space="preserve">obstante, dada la prevalencia de los principios de probidad, transparencia y eficiencia, en el marco de la respuesta al fenómeno de la corrupción en la contratación estatal, el legislador determinó </w:t>
      </w:r>
      <w:r>
        <w:rPr>
          <w:rFonts w:ascii="Verdana" w:eastAsia="Arial" w:hAnsi="Verdana" w:cs="Arial"/>
          <w:color w:val="000000" w:themeColor="text1"/>
          <w:lang w:val="es-ES"/>
        </w:rPr>
        <w:t xml:space="preserve">en el literal b) de la norma, </w:t>
      </w:r>
      <w:r w:rsidRPr="00947630">
        <w:rPr>
          <w:rFonts w:ascii="Verdana" w:eastAsia="Arial" w:hAnsi="Verdana" w:cs="Arial"/>
          <w:color w:val="000000" w:themeColor="text1"/>
          <w:lang w:val="es-ES"/>
        </w:rPr>
        <w:t>que la declaratoria reiterada de est</w:t>
      </w:r>
      <w:r>
        <w:rPr>
          <w:rFonts w:ascii="Verdana" w:eastAsia="Arial" w:hAnsi="Verdana" w:cs="Arial"/>
          <w:color w:val="000000" w:themeColor="text1"/>
          <w:lang w:val="es-ES"/>
        </w:rPr>
        <w:t>o</w:t>
      </w:r>
      <w:r w:rsidRPr="00947630">
        <w:rPr>
          <w:rFonts w:ascii="Verdana" w:eastAsia="Arial" w:hAnsi="Verdana" w:cs="Arial"/>
          <w:color w:val="000000" w:themeColor="text1"/>
          <w:lang w:val="es-ES"/>
        </w:rPr>
        <w:t xml:space="preserve">s </w:t>
      </w:r>
      <w:r>
        <w:rPr>
          <w:rFonts w:ascii="Verdana" w:eastAsia="Arial" w:hAnsi="Verdana" w:cs="Arial"/>
          <w:color w:val="000000" w:themeColor="text1"/>
          <w:lang w:val="es-ES"/>
        </w:rPr>
        <w:t>incumplimientos</w:t>
      </w:r>
      <w:r w:rsidRPr="00947630">
        <w:rPr>
          <w:rFonts w:ascii="Verdana" w:eastAsia="Arial" w:hAnsi="Verdana" w:cs="Arial"/>
          <w:color w:val="000000" w:themeColor="text1"/>
          <w:lang w:val="es-ES"/>
        </w:rPr>
        <w:t xml:space="preserve">, bien sea por la misma entidad o por varias, en </w:t>
      </w:r>
      <w:r>
        <w:rPr>
          <w:rFonts w:ascii="Verdana" w:eastAsia="Arial" w:hAnsi="Verdana" w:cs="Arial"/>
          <w:color w:val="000000" w:themeColor="text1"/>
          <w:lang w:val="es-ES"/>
        </w:rPr>
        <w:t xml:space="preserve">por lo menos dos (2) </w:t>
      </w:r>
      <w:r w:rsidRPr="00947630">
        <w:rPr>
          <w:rFonts w:ascii="Verdana" w:eastAsia="Arial" w:hAnsi="Verdana" w:cs="Arial"/>
          <w:color w:val="000000" w:themeColor="text1"/>
          <w:lang w:val="es-ES"/>
        </w:rPr>
        <w:t xml:space="preserve">contratos, </w:t>
      </w:r>
      <w:r>
        <w:rPr>
          <w:rFonts w:ascii="Verdana" w:eastAsia="Arial" w:hAnsi="Verdana" w:cs="Arial"/>
          <w:color w:val="000000" w:themeColor="text1"/>
          <w:lang w:val="es-ES"/>
        </w:rPr>
        <w:t xml:space="preserve">y que estas ocurriesen en los últimos tres (3) años, </w:t>
      </w:r>
      <w:r w:rsidRPr="00947630">
        <w:rPr>
          <w:rFonts w:ascii="Verdana" w:eastAsia="Arial" w:hAnsi="Verdana" w:cs="Arial"/>
          <w:color w:val="000000" w:themeColor="text1"/>
          <w:lang w:val="es-ES"/>
        </w:rPr>
        <w:t xml:space="preserve">tuviera consecuencias negativas para el contratista más allá de los incumplimientos contractuales que las generaron. </w:t>
      </w:r>
    </w:p>
    <w:p w14:paraId="4B4D4B7B" w14:textId="77777777" w:rsidR="001E1B71" w:rsidRDefault="001E1B71" w:rsidP="001E1B71">
      <w:pPr>
        <w:pBdr>
          <w:top w:val="nil"/>
          <w:left w:val="nil"/>
          <w:bottom w:val="nil"/>
          <w:right w:val="nil"/>
          <w:between w:val="nil"/>
        </w:pBdr>
        <w:spacing w:after="0" w:line="276" w:lineRule="auto"/>
        <w:ind w:firstLine="708"/>
        <w:jc w:val="both"/>
        <w:rPr>
          <w:rFonts w:ascii="Verdana" w:eastAsia="Arial" w:hAnsi="Verdana" w:cs="Arial"/>
          <w:color w:val="000000" w:themeColor="text1"/>
          <w:lang w:val="es-ES"/>
        </w:rPr>
      </w:pPr>
      <w:r w:rsidRPr="00947630">
        <w:rPr>
          <w:rFonts w:ascii="Verdana" w:eastAsia="Arial" w:hAnsi="Verdana" w:cs="Arial"/>
          <w:color w:val="000000" w:themeColor="text1"/>
          <w:lang w:val="es-ES"/>
        </w:rPr>
        <w:t>En ese sentido, dentro del conjunto de medidas administrativas, fiscales y penales adoptadas por la Ley 1474 de 2011, conocida como Estatuto Anticorrupción, se incluyó la creación de una inhabilidad para contratar por el incumplimiento reiterado en la ejecución de otros contratos estatales.</w:t>
      </w:r>
      <w:r>
        <w:rPr>
          <w:rFonts w:ascii="Verdana" w:eastAsia="Arial" w:hAnsi="Verdana" w:cs="Arial"/>
          <w:color w:val="000000" w:themeColor="text1"/>
          <w:lang w:val="es-ES"/>
        </w:rPr>
        <w:t xml:space="preserve"> El artículo 90, con las modificaciones introducidas por el </w:t>
      </w:r>
      <w:r w:rsidRPr="00947630">
        <w:rPr>
          <w:rFonts w:ascii="Verdana" w:eastAsia="Arial" w:hAnsi="Verdana" w:cs="Arial"/>
          <w:color w:val="000000" w:themeColor="text1"/>
          <w:lang w:val="es-ES"/>
        </w:rPr>
        <w:t>artículo 43 de la Ley 1955 de 2019</w:t>
      </w:r>
      <w:r>
        <w:rPr>
          <w:rFonts w:ascii="Verdana" w:eastAsia="Arial" w:hAnsi="Verdana" w:cs="Arial"/>
          <w:color w:val="000000" w:themeColor="text1"/>
          <w:lang w:val="es-ES"/>
        </w:rPr>
        <w:t xml:space="preserve"> y el </w:t>
      </w:r>
      <w:r w:rsidRPr="00947630">
        <w:rPr>
          <w:rFonts w:ascii="Verdana" w:eastAsia="Arial" w:hAnsi="Verdana" w:cs="Arial"/>
          <w:color w:val="000000" w:themeColor="text1"/>
          <w:lang w:val="es-ES"/>
        </w:rPr>
        <w:t>artículo 51 de la Ley 2195 de 2022</w:t>
      </w:r>
      <w:r>
        <w:rPr>
          <w:rFonts w:ascii="Verdana" w:eastAsia="Arial" w:hAnsi="Verdana" w:cs="Arial"/>
          <w:color w:val="000000" w:themeColor="text1"/>
          <w:lang w:val="es-ES"/>
        </w:rPr>
        <w:t>, dispone lo siguiente:</w:t>
      </w:r>
    </w:p>
    <w:p w14:paraId="6F558713" w14:textId="77777777" w:rsidR="001E1B71" w:rsidRDefault="001E1B71" w:rsidP="001E1B71">
      <w:pPr>
        <w:pBdr>
          <w:top w:val="nil"/>
          <w:left w:val="nil"/>
          <w:bottom w:val="nil"/>
          <w:right w:val="nil"/>
          <w:between w:val="nil"/>
        </w:pBdr>
        <w:spacing w:after="0" w:line="276" w:lineRule="auto"/>
        <w:ind w:firstLine="708"/>
        <w:jc w:val="both"/>
        <w:rPr>
          <w:rFonts w:ascii="Verdana" w:eastAsia="Arial" w:hAnsi="Verdana" w:cs="Arial"/>
          <w:color w:val="000000" w:themeColor="text1"/>
          <w:lang w:val="es-ES"/>
        </w:rPr>
      </w:pPr>
    </w:p>
    <w:p w14:paraId="3F2BC921" w14:textId="77777777" w:rsidR="001E1B71" w:rsidRDefault="001E1B71" w:rsidP="00290026">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“Quedará inhabilitado el contratista que incurra en alguna de las siguientes conductas:</w:t>
      </w:r>
    </w:p>
    <w:p w14:paraId="57F75AC2" w14:textId="77777777" w:rsidR="00290026" w:rsidRPr="00CF4568" w:rsidRDefault="00290026"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0DCFE01E" w14:textId="77777777" w:rsidR="001E1B71" w:rsidRDefault="001E1B71" w:rsidP="00290026">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a) Haber sido objeto de imposición de cinco (5) o más multas durante la ejecución de uno o varios contratos, con una o varias entidades estatales, durante los últimos tres (3) años;</w:t>
      </w:r>
    </w:p>
    <w:p w14:paraId="25120992" w14:textId="77777777" w:rsidR="00290026" w:rsidRPr="00CF4568" w:rsidRDefault="00290026"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7AD58C4D" w14:textId="77777777" w:rsidR="001E1B71" w:rsidRPr="00CF4568" w:rsidRDefault="001E1B71" w:rsidP="00290026">
      <w:pPr>
        <w:pBdr>
          <w:top w:val="nil"/>
          <w:left w:val="nil"/>
          <w:bottom w:val="nil"/>
          <w:right w:val="nil"/>
          <w:between w:val="nil"/>
        </w:pBdr>
        <w:spacing w:after="0" w:line="240" w:lineRule="auto"/>
        <w:ind w:left="709" w:right="709"/>
        <w:jc w:val="both"/>
        <w:rPr>
          <w:rFonts w:ascii="Verdana" w:eastAsia="Calibri" w:hAnsi="Verdana" w:cs="Arial"/>
          <w:i/>
          <w:iCs/>
          <w:sz w:val="20"/>
          <w:szCs w:val="20"/>
          <w:lang w:val="es-ES"/>
        </w:rPr>
      </w:pPr>
      <w:r w:rsidRPr="00CF4568">
        <w:rPr>
          <w:rFonts w:ascii="Verdana" w:eastAsia="Calibri" w:hAnsi="Verdana" w:cs="Arial"/>
          <w:i/>
          <w:iCs/>
          <w:sz w:val="20"/>
          <w:szCs w:val="20"/>
          <w:lang w:val="es-ES"/>
        </w:rPr>
        <w:t>b) Haber sido objeto de declaratorias de incumplimiento contractual en por lo menos dos (2) contratos, con una o varias entidades estatales, durante los últimos tres (3) años;</w:t>
      </w:r>
    </w:p>
    <w:p w14:paraId="5CCB04E0" w14:textId="77777777" w:rsidR="00290026" w:rsidRPr="00CF4568" w:rsidRDefault="00290026"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6D746905" w14:textId="77777777" w:rsidR="001E1B71" w:rsidRDefault="001E1B71" w:rsidP="00290026">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c) Haber sido objeto de imposición de dos (2) multas y un (1) incumplimiento durante una misma vigencia fiscal, con una o varias entidades estatales.</w:t>
      </w:r>
    </w:p>
    <w:p w14:paraId="6753F675" w14:textId="77777777" w:rsidR="00290026" w:rsidRPr="00CF4568" w:rsidRDefault="00290026"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25EDD92F" w14:textId="77777777" w:rsidR="001E1B71" w:rsidRDefault="001E1B71" w:rsidP="00290026">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 xml:space="preserve">d) Haber sido objeto de incumplimiento contractual o de imposición de dos (2) o más multas, con una o varias entidades, cuando se trate de contratos cuyo objeto esté relacionado con el Programa de Alimentación Escolar. Esta inhabilidad se extenderá por un término de diez (10) años, contados a partir de la publicación del acto administrativo que impone la inscripción </w:t>
      </w:r>
      <w:r w:rsidRPr="00CF4568">
        <w:rPr>
          <w:rFonts w:ascii="Verdana" w:eastAsia="Calibri" w:hAnsi="Verdana" w:cs="Arial"/>
          <w:sz w:val="20"/>
          <w:szCs w:val="20"/>
          <w:lang w:val="es-ES"/>
        </w:rPr>
        <w:lastRenderedPageBreak/>
        <w:t>de la última multa o incumplimiento en el Registro Único de Proponentes, de acuerdo con la información remitida por las entidades públicas.</w:t>
      </w:r>
    </w:p>
    <w:p w14:paraId="5FD4E558" w14:textId="77777777" w:rsidR="00290026" w:rsidRPr="00CF4568" w:rsidRDefault="00290026"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30B196FF" w14:textId="77777777" w:rsidR="001E1B71" w:rsidRDefault="001E1B71" w:rsidP="00290026">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La inhabilidad pertinente se hará explícita en el Registro Único de Proponentes cuando a ello haya lugar.</w:t>
      </w:r>
    </w:p>
    <w:p w14:paraId="61836B98" w14:textId="77777777" w:rsidR="00290026" w:rsidRPr="00CF4568" w:rsidRDefault="00290026"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27FA93F3" w14:textId="77777777" w:rsidR="001E1B71" w:rsidRPr="00CF4568" w:rsidRDefault="001E1B71" w:rsidP="00CF456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La inhabilidad se extenderá por un término de tres (3) años, contados a partir de la publicación del acto administrativo que impone la inscripción de la última multa o incumplimiento en el Registro Único de Proponentes, de acuerdo con la información remitida por las entidades públicas. La inhabilidad pertinente se hará explícita en el Registro Único de Proponentes cuando a ello haya lugar.</w:t>
      </w:r>
    </w:p>
    <w:p w14:paraId="530A868D" w14:textId="77777777" w:rsidR="001E1B71" w:rsidRPr="00CF4568" w:rsidRDefault="001E1B71" w:rsidP="00290026">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CF4568">
        <w:rPr>
          <w:rFonts w:ascii="Verdana" w:eastAsia="Calibri" w:hAnsi="Verdana" w:cs="Arial"/>
          <w:sz w:val="20"/>
          <w:szCs w:val="20"/>
          <w:lang w:val="es-ES"/>
        </w:rPr>
        <w:t>[…]”.</w:t>
      </w:r>
    </w:p>
    <w:p w14:paraId="55D8AEAE" w14:textId="77777777" w:rsidR="001E1B71" w:rsidRDefault="001E1B71" w:rsidP="001E1B71">
      <w:pPr>
        <w:pBdr>
          <w:top w:val="nil"/>
          <w:left w:val="nil"/>
          <w:bottom w:val="nil"/>
          <w:right w:val="nil"/>
          <w:between w:val="nil"/>
        </w:pBdr>
        <w:spacing w:after="0" w:line="276" w:lineRule="auto"/>
        <w:jc w:val="both"/>
        <w:rPr>
          <w:rFonts w:ascii="Verdana" w:eastAsia="Calibri" w:hAnsi="Verdana" w:cs="Arial"/>
          <w:lang w:val="es-ES"/>
        </w:rPr>
      </w:pPr>
    </w:p>
    <w:p w14:paraId="74B232C8" w14:textId="77777777" w:rsidR="001E1B71" w:rsidRDefault="001E1B71" w:rsidP="001E1B71">
      <w:pPr>
        <w:pBdr>
          <w:top w:val="nil"/>
          <w:left w:val="nil"/>
          <w:bottom w:val="nil"/>
          <w:right w:val="nil"/>
          <w:between w:val="nil"/>
        </w:pBdr>
        <w:spacing w:after="0" w:line="276" w:lineRule="auto"/>
        <w:jc w:val="both"/>
        <w:rPr>
          <w:rFonts w:ascii="Verdana" w:eastAsia="Calibri" w:hAnsi="Verdana" w:cs="Arial"/>
          <w:lang w:val="es-ES_tradnl"/>
        </w:rPr>
      </w:pPr>
      <w:r>
        <w:rPr>
          <w:rFonts w:ascii="Verdana" w:eastAsia="Calibri" w:hAnsi="Verdana" w:cs="Arial"/>
          <w:lang w:val="es-ES"/>
        </w:rPr>
        <w:tab/>
        <w:t>Como se observa, la causal afecta principalmente al contratista incumplido. Sin embargo, el parágrafo de la norma citada prescribe que “</w:t>
      </w:r>
      <w:r w:rsidRPr="00CF0DDC">
        <w:rPr>
          <w:rFonts w:ascii="Verdana" w:eastAsia="Calibri" w:hAnsi="Verdana" w:cs="Arial"/>
          <w:lang w:val="es-ES"/>
        </w:rPr>
        <w:t>La inhabilidad a que se refiere el presente artículo se extenderá a los socios de sociedades de personas a las cuales se haya declarado esta inhabilidad, así como a las sociedades de personas de las que aquellos formen parte con posterioridad a dicha declaratoria</w:t>
      </w:r>
      <w:r>
        <w:rPr>
          <w:rFonts w:ascii="Verdana" w:eastAsia="Calibri" w:hAnsi="Verdana" w:cs="Arial"/>
          <w:lang w:val="es-ES"/>
        </w:rPr>
        <w:t>”</w:t>
      </w:r>
      <w:r w:rsidRPr="00CF0DDC">
        <w:rPr>
          <w:rFonts w:ascii="Verdana" w:eastAsia="Calibri" w:hAnsi="Verdana" w:cs="Arial"/>
          <w:lang w:val="es-ES"/>
        </w:rPr>
        <w:t>.</w:t>
      </w:r>
      <w:r>
        <w:rPr>
          <w:rFonts w:ascii="Verdana" w:eastAsia="Calibri" w:hAnsi="Verdana" w:cs="Arial"/>
          <w:lang w:val="es-ES"/>
        </w:rPr>
        <w:t xml:space="preserve"> Por tanto, pese a la separación de la persona jurídica y quienes la integran</w:t>
      </w:r>
      <w:r>
        <w:rPr>
          <w:rFonts w:ascii="Verdana" w:eastAsia="Calibri" w:hAnsi="Verdana" w:cs="Arial"/>
          <w:lang w:val="es-ES_tradnl"/>
        </w:rPr>
        <w:t xml:space="preserve">, el legislador dispone explícitamente que la restricción para contratar pasa de la sociedad a los socios; asimismo, si estos últimos constituyen nuevas sociedades, también les transmiten dicha limitación. Esta extensión sólo es aplicable a las </w:t>
      </w:r>
      <w:r w:rsidRPr="005B03B5">
        <w:rPr>
          <w:rFonts w:ascii="Verdana" w:eastAsia="Calibri" w:hAnsi="Verdana" w:cs="Arial"/>
          <w:i/>
          <w:iCs/>
          <w:lang w:val="es-ES_tradnl"/>
        </w:rPr>
        <w:t>sociedades de personas</w:t>
      </w:r>
      <w:r>
        <w:rPr>
          <w:rFonts w:ascii="Verdana" w:eastAsia="Calibri" w:hAnsi="Verdana" w:cs="Arial"/>
          <w:lang w:val="es-ES_tradnl"/>
        </w:rPr>
        <w:t xml:space="preserve">, es decir, están excluidas las </w:t>
      </w:r>
      <w:r w:rsidRPr="005B03B5">
        <w:rPr>
          <w:rFonts w:ascii="Verdana" w:eastAsia="Calibri" w:hAnsi="Verdana" w:cs="Arial"/>
          <w:i/>
          <w:iCs/>
          <w:lang w:val="es-ES_tradnl"/>
        </w:rPr>
        <w:t>sociedades de capital</w:t>
      </w:r>
      <w:r>
        <w:rPr>
          <w:rStyle w:val="Refdenotaalpie"/>
          <w:rFonts w:ascii="Verdana" w:eastAsia="Calibri" w:hAnsi="Verdana" w:cs="Arial"/>
          <w:i/>
          <w:iCs/>
          <w:lang w:val="es-ES_tradnl"/>
        </w:rPr>
        <w:footnoteReference w:id="3"/>
      </w:r>
      <w:r>
        <w:rPr>
          <w:rFonts w:ascii="Verdana" w:eastAsia="Calibri" w:hAnsi="Verdana" w:cs="Arial"/>
          <w:lang w:val="es-ES_tradnl"/>
        </w:rPr>
        <w:t xml:space="preserve">.   </w:t>
      </w:r>
    </w:p>
    <w:p w14:paraId="0F07CF97" w14:textId="77777777" w:rsidR="00F616D6" w:rsidRDefault="00F616D6" w:rsidP="001E1B71">
      <w:pPr>
        <w:pBdr>
          <w:top w:val="nil"/>
          <w:left w:val="nil"/>
          <w:bottom w:val="nil"/>
          <w:right w:val="nil"/>
          <w:between w:val="nil"/>
        </w:pBdr>
        <w:spacing w:after="0" w:line="276" w:lineRule="auto"/>
        <w:jc w:val="both"/>
        <w:rPr>
          <w:rFonts w:ascii="Verdana" w:eastAsia="Calibri" w:hAnsi="Verdana" w:cs="Arial"/>
          <w:lang w:val="es-ES_tradnl"/>
        </w:rPr>
      </w:pPr>
    </w:p>
    <w:p w14:paraId="0025A7F0" w14:textId="5840F917" w:rsidR="007E35C6" w:rsidRDefault="007E35C6" w:rsidP="00CF4568">
      <w:pPr>
        <w:pBdr>
          <w:top w:val="nil"/>
          <w:left w:val="nil"/>
          <w:bottom w:val="nil"/>
          <w:right w:val="nil"/>
          <w:between w:val="nil"/>
        </w:pBdr>
        <w:spacing w:after="0" w:line="276" w:lineRule="auto"/>
        <w:ind w:firstLine="734"/>
        <w:jc w:val="both"/>
        <w:rPr>
          <w:rFonts w:ascii="Verdana" w:eastAsia="Calibri" w:hAnsi="Verdana" w:cs="Arial"/>
          <w:lang w:val="es-ES"/>
        </w:rPr>
      </w:pPr>
      <w:r w:rsidRPr="20D805D0">
        <w:rPr>
          <w:rFonts w:ascii="Verdana" w:eastAsia="Calibri" w:hAnsi="Verdana" w:cs="Arial"/>
          <w:lang w:val="es-ES"/>
        </w:rPr>
        <w:t>Respecto de régimen de inhabilidades e incompatibilidades, contemplado en el artículo 90 de la Ley 1474 de 201</w:t>
      </w:r>
      <w:r>
        <w:rPr>
          <w:rFonts w:ascii="Verdana" w:eastAsia="Calibri" w:hAnsi="Verdana" w:cs="Arial"/>
          <w:lang w:val="es-ES"/>
        </w:rPr>
        <w:t>1</w:t>
      </w:r>
      <w:r w:rsidRPr="20D805D0">
        <w:rPr>
          <w:rFonts w:ascii="Verdana" w:eastAsia="Calibri" w:hAnsi="Verdana" w:cs="Arial"/>
          <w:lang w:val="es-ES"/>
        </w:rPr>
        <w:t xml:space="preserve">, específicamente el literal b, resulta oportuno reseñar que este indica unos supuestos bajo los cuales se da aplicación </w:t>
      </w:r>
      <w:r>
        <w:rPr>
          <w:rFonts w:ascii="Verdana" w:eastAsia="Calibri" w:hAnsi="Verdana" w:cs="Arial"/>
          <w:lang w:val="es-ES"/>
        </w:rPr>
        <w:lastRenderedPageBreak/>
        <w:t>a</w:t>
      </w:r>
      <w:r w:rsidRPr="20D805D0">
        <w:rPr>
          <w:rFonts w:ascii="Verdana" w:eastAsia="Calibri" w:hAnsi="Verdana" w:cs="Arial"/>
          <w:lang w:val="es-ES"/>
        </w:rPr>
        <w:t xml:space="preserve">l citado artículo. </w:t>
      </w:r>
      <w:r>
        <w:rPr>
          <w:rFonts w:ascii="Verdana" w:eastAsia="Calibri" w:hAnsi="Verdana" w:cs="Arial"/>
          <w:lang w:val="es-ES"/>
        </w:rPr>
        <w:t>Al respecto</w:t>
      </w:r>
      <w:r w:rsidRPr="20D805D0">
        <w:rPr>
          <w:rFonts w:ascii="Verdana" w:eastAsia="Calibri" w:hAnsi="Verdana" w:cs="Arial"/>
          <w:lang w:val="es-ES"/>
        </w:rPr>
        <w:t xml:space="preserve">, la norma indica que </w:t>
      </w:r>
      <w:r>
        <w:rPr>
          <w:rFonts w:ascii="Verdana" w:eastAsia="Calibri" w:hAnsi="Verdana" w:cs="Arial"/>
          <w:lang w:val="es-ES"/>
        </w:rPr>
        <w:t>dicha</w:t>
      </w:r>
      <w:r w:rsidRPr="20D805D0">
        <w:rPr>
          <w:rFonts w:ascii="Verdana" w:eastAsia="Calibri" w:hAnsi="Verdana" w:cs="Arial"/>
          <w:lang w:val="es-ES"/>
        </w:rPr>
        <w:t xml:space="preserve"> causal solo opera cuando la declaratoria de incumplimiento se da en por lo menos dos (2) o más contratos, con una (1) o varias entidades, y en los últimos tres (3) años. Por tanto, </w:t>
      </w:r>
      <w:r>
        <w:rPr>
          <w:rFonts w:ascii="Verdana" w:eastAsia="Calibri" w:hAnsi="Verdana" w:cs="Arial"/>
          <w:lang w:val="es-ES"/>
        </w:rPr>
        <w:t xml:space="preserve">para que opere la causal deben cumplirse con todos los supuestos de hecho contemplados en la norma, sin que sea posible extender una interpretación amplia a circunstancias taxativamente contempladas, dado el carácter restrictivo. Así las cosas, es necesario que se haya declarado el incumplimiento en al menos dos (2) contratos, lo que excluye que el supuesto se aplique si se han declarado dos (2) incumplimientos en un solo contrato. Igualmente, dichos incumplimientos debieron haberse declarado durante los últimos tres (3) años. Lo que sí es indiferente para aplicación de la inhabilidad respecto al supuesto del literal b) es si los incumplimientos son declarados por una misma Entidad o varias. </w:t>
      </w:r>
    </w:p>
    <w:p w14:paraId="7353203C" w14:textId="77777777" w:rsidR="001E1B71" w:rsidRDefault="001E1B71" w:rsidP="001E1B71">
      <w:pPr>
        <w:pBdr>
          <w:top w:val="nil"/>
          <w:left w:val="nil"/>
          <w:bottom w:val="nil"/>
          <w:right w:val="nil"/>
          <w:between w:val="nil"/>
        </w:pBdr>
        <w:spacing w:after="0" w:line="276" w:lineRule="auto"/>
        <w:jc w:val="both"/>
        <w:rPr>
          <w:rFonts w:ascii="Verdana" w:eastAsia="Calibri" w:hAnsi="Verdana" w:cs="Arial"/>
          <w:lang w:val="es-ES_tradnl"/>
        </w:rPr>
      </w:pPr>
    </w:p>
    <w:p w14:paraId="5708881E" w14:textId="3B82FAF0" w:rsidR="001E1B71" w:rsidRPr="007A47F9" w:rsidRDefault="001E1B71" w:rsidP="001E1B71">
      <w:pPr>
        <w:widowControl w:val="0"/>
        <w:autoSpaceDE w:val="0"/>
        <w:autoSpaceDN w:val="0"/>
        <w:spacing w:after="0" w:line="276" w:lineRule="auto"/>
        <w:jc w:val="both"/>
        <w:rPr>
          <w:rFonts w:ascii="Verdana" w:hAnsi="Verdana" w:cs="Arial"/>
          <w:lang w:eastAsia="es-ES"/>
        </w:rPr>
      </w:pPr>
      <w:proofErr w:type="spellStart"/>
      <w:r>
        <w:rPr>
          <w:rFonts w:ascii="Verdana" w:eastAsia="Calibri" w:hAnsi="Verdana" w:cs="Arial"/>
          <w:lang w:val="es-ES_tradnl"/>
        </w:rPr>
        <w:t>i</w:t>
      </w:r>
      <w:r w:rsidR="00CA2062">
        <w:rPr>
          <w:rFonts w:ascii="Verdana" w:eastAsia="Calibri" w:hAnsi="Verdana" w:cs="Arial"/>
          <w:lang w:val="es-ES_tradnl"/>
        </w:rPr>
        <w:t>ii</w:t>
      </w:r>
      <w:proofErr w:type="spellEnd"/>
      <w:r>
        <w:rPr>
          <w:rFonts w:ascii="Verdana" w:eastAsia="Calibri" w:hAnsi="Verdana" w:cs="Arial"/>
          <w:lang w:val="es-ES_tradnl"/>
        </w:rPr>
        <w:t xml:space="preserve">. </w:t>
      </w: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w:t>
      </w:r>
      <w:r>
        <w:rPr>
          <w:rFonts w:ascii="Verdana" w:eastAsia="Calibri" w:hAnsi="Verdana" w:cs="Arial"/>
          <w:bCs/>
          <w:color w:val="000000" w:themeColor="text1"/>
        </w:rPr>
        <w:t>las inhabilidades e incompatibilidades</w:t>
      </w:r>
      <w:r>
        <w:rPr>
          <w:rFonts w:ascii="Verdana" w:hAnsi="Verdana" w:cs="Arial"/>
          <w:lang w:eastAsia="es-ES"/>
        </w:rPr>
        <w:t xml:space="preserve">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7D5ADD82" w14:textId="77777777" w:rsidR="001E1B71" w:rsidRPr="006C50AE" w:rsidRDefault="001E1B71" w:rsidP="001E1B71">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21F0B2AC" w14:textId="77777777" w:rsidR="001E1B71" w:rsidRPr="00182C89" w:rsidRDefault="001E1B71" w:rsidP="001E1B71">
      <w:pPr>
        <w:tabs>
          <w:tab w:val="left" w:pos="709"/>
        </w:tabs>
        <w:spacing w:after="0" w:line="276" w:lineRule="auto"/>
        <w:jc w:val="both"/>
        <w:rPr>
          <w:rFonts w:ascii="Verdana" w:eastAsia="Calibri" w:hAnsi="Verdana" w:cs="Arial"/>
          <w:color w:val="000000" w:themeColor="text1"/>
        </w:rPr>
      </w:pPr>
    </w:p>
    <w:p w14:paraId="2A03406F" w14:textId="77777777" w:rsidR="001E1B71" w:rsidRPr="00593A5F" w:rsidRDefault="001E1B71" w:rsidP="001E1B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9CBB4E5" w14:textId="77777777" w:rsidR="001E1B71" w:rsidRPr="00593A5F" w:rsidRDefault="001E1B71" w:rsidP="001E1B7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E1B71" w:rsidRPr="002407CE" w14:paraId="019CE258" w14:textId="77777777" w:rsidTr="003D2D63">
        <w:trPr>
          <w:trHeight w:val="870"/>
          <w:jc w:val="center"/>
        </w:trPr>
        <w:tc>
          <w:tcPr>
            <w:tcW w:w="8647" w:type="dxa"/>
          </w:tcPr>
          <w:p w14:paraId="76E79579" w14:textId="77777777" w:rsidR="001E1B71"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918BA">
              <w:rPr>
                <w:rFonts w:ascii="Verdana" w:hAnsi="Verdana" w:cs="Arial"/>
              </w:rPr>
              <w:lastRenderedPageBreak/>
              <w:t>Constitución Política de 1991, artículo</w:t>
            </w:r>
            <w:r>
              <w:rPr>
                <w:rFonts w:ascii="Verdana" w:hAnsi="Verdana" w:cs="Arial"/>
              </w:rPr>
              <w:t>s 150 y 209</w:t>
            </w:r>
            <w:r w:rsidRPr="007918BA">
              <w:rPr>
                <w:rFonts w:ascii="Verdana" w:hAnsi="Verdana" w:cs="Arial"/>
              </w:rPr>
              <w:t>.</w:t>
            </w:r>
          </w:p>
          <w:p w14:paraId="2D5E2C75" w14:textId="77777777" w:rsidR="001E1B71"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w:t>
            </w:r>
          </w:p>
          <w:p w14:paraId="10DC54C1" w14:textId="77777777" w:rsidR="001E1B71"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610 de 2000, artículo 60.</w:t>
            </w:r>
          </w:p>
          <w:p w14:paraId="6FAC3831" w14:textId="77777777" w:rsidR="001E1B71"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90.</w:t>
            </w:r>
          </w:p>
          <w:p w14:paraId="3CF4A5F7" w14:textId="77777777" w:rsidR="001E1B71"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1952 de 2019, artículo 42.</w:t>
            </w:r>
          </w:p>
          <w:p w14:paraId="108FB971" w14:textId="77777777" w:rsidR="001E1B71" w:rsidRPr="007918BA"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1955 de 2019, artículo 43</w:t>
            </w:r>
          </w:p>
          <w:p w14:paraId="74C9ED2E" w14:textId="77777777" w:rsidR="001E1B71" w:rsidRPr="000A7851" w:rsidRDefault="001E1B71" w:rsidP="001E1B7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918BA">
              <w:rPr>
                <w:rFonts w:ascii="Verdana" w:hAnsi="Verdana" w:cs="Arial"/>
              </w:rPr>
              <w:t>Código Civil, artículo</w:t>
            </w:r>
            <w:r>
              <w:rPr>
                <w:rFonts w:ascii="Verdana" w:hAnsi="Verdana" w:cs="Arial"/>
              </w:rPr>
              <w:t xml:space="preserve"> 633</w:t>
            </w:r>
            <w:r w:rsidRPr="007918BA">
              <w:rPr>
                <w:rFonts w:ascii="Verdana" w:hAnsi="Verdana" w:cs="Arial"/>
              </w:rPr>
              <w:t>.</w:t>
            </w:r>
          </w:p>
        </w:tc>
      </w:tr>
    </w:tbl>
    <w:p w14:paraId="7AA3FB58" w14:textId="77777777" w:rsidR="001E1B71" w:rsidRPr="00CA2062" w:rsidRDefault="001E1B71" w:rsidP="00CA2062">
      <w:pPr>
        <w:widowControl w:val="0"/>
        <w:autoSpaceDE w:val="0"/>
        <w:autoSpaceDN w:val="0"/>
        <w:spacing w:after="0" w:line="276" w:lineRule="auto"/>
        <w:jc w:val="both"/>
        <w:rPr>
          <w:rFonts w:ascii="Verdana" w:hAnsi="Verdana" w:cs="Arial"/>
        </w:rPr>
      </w:pPr>
    </w:p>
    <w:p w14:paraId="7FEE53B4" w14:textId="77777777" w:rsidR="001E1B71" w:rsidRPr="00CA2062" w:rsidRDefault="001E1B71" w:rsidP="00CA206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A2062">
        <w:rPr>
          <w:rFonts w:ascii="Verdana" w:eastAsia="Century Gothic" w:hAnsi="Verdana" w:cs="Century Gothic"/>
          <w:b/>
          <w:bCs/>
        </w:rPr>
        <w:t>Doctrina de la Agencia Nacional de Contratación Pública:</w:t>
      </w:r>
    </w:p>
    <w:p w14:paraId="750E2BFB" w14:textId="77777777" w:rsidR="001E1B71" w:rsidRPr="00CA2062" w:rsidRDefault="001E1B71" w:rsidP="00CA2062">
      <w:pPr>
        <w:widowControl w:val="0"/>
        <w:autoSpaceDE w:val="0"/>
        <w:autoSpaceDN w:val="0"/>
        <w:spacing w:after="0" w:line="276" w:lineRule="auto"/>
        <w:jc w:val="both"/>
        <w:rPr>
          <w:rFonts w:ascii="Verdana" w:hAnsi="Verdana" w:cs="Arial"/>
        </w:rPr>
      </w:pPr>
    </w:p>
    <w:p w14:paraId="3BBA254F" w14:textId="77777777" w:rsidR="001E1B71" w:rsidRPr="00CA2062" w:rsidRDefault="001E1B71" w:rsidP="00CA2062">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A2062">
        <w:rPr>
          <w:rStyle w:val="normaltextrun"/>
          <w:rFonts w:ascii="Verdana" w:hAnsi="Verdana" w:cs="Arial"/>
          <w:shd w:val="clear" w:color="auto" w:fill="FFFFFF"/>
          <w:lang w:val="es-ES"/>
        </w:rPr>
        <w:t>Esta Subdirección se ha pronunciado sobre el régimen de inhabilidades en los Conceptos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2025, y C-1090 del 25 de agosto de 2025</w:t>
      </w:r>
      <w:r w:rsidRPr="00CA2062">
        <w:rPr>
          <w:rStyle w:val="normaltextrun"/>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2" w:history="1">
        <w:r w:rsidRPr="00CA2062">
          <w:rPr>
            <w:rStyle w:val="Hipervnculo"/>
            <w:rFonts w:ascii="Verdana" w:hAnsi="Verdana" w:cs="Arial"/>
            <w:shd w:val="clear" w:color="auto" w:fill="FFFFFF"/>
          </w:rPr>
          <w:t>https://relatoria.colombiacompra.gov.co/busqueda/conceptos</w:t>
        </w:r>
      </w:hyperlink>
      <w:r w:rsidRPr="00CA2062">
        <w:rPr>
          <w:rStyle w:val="normaltextrun"/>
          <w:rFonts w:ascii="Verdana" w:hAnsi="Verdana" w:cs="Arial"/>
          <w:shd w:val="clear" w:color="auto" w:fill="FFFFFF"/>
        </w:rPr>
        <w:t xml:space="preserve">. </w:t>
      </w:r>
      <w:r w:rsidRPr="00CA2062">
        <w:rPr>
          <w:rStyle w:val="normaltextrun"/>
          <w:rFonts w:ascii="Verdana" w:hAnsi="Verdana" w:cs="Arial"/>
          <w:color w:val="FF0000"/>
          <w:shd w:val="clear" w:color="auto" w:fill="FFFFFF"/>
          <w:lang w:val="es-ES"/>
        </w:rPr>
        <w:t xml:space="preserve"> </w:t>
      </w:r>
    </w:p>
    <w:p w14:paraId="6F361B8B" w14:textId="77777777" w:rsidR="001E1B71" w:rsidRPr="00CA2062" w:rsidRDefault="001E1B71" w:rsidP="00CA206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9CB8728" w14:textId="77777777" w:rsidR="001E1B71" w:rsidRDefault="001E1B71" w:rsidP="00CA2062">
      <w:pPr>
        <w:spacing w:after="0" w:line="276" w:lineRule="auto"/>
        <w:jc w:val="both"/>
        <w:rPr>
          <w:rFonts w:ascii="Verdana" w:hAnsi="Verdana"/>
        </w:rPr>
      </w:pPr>
      <w:r w:rsidRPr="00CA2062">
        <w:rPr>
          <w:rFonts w:ascii="Verdana" w:hAnsi="Verdana"/>
        </w:rPr>
        <w:lastRenderedPageBreak/>
        <w:t xml:space="preserve">La sostenibilidad no es una opción, es una obligación. Por ello, la Agencia Nacional de Contratación Pública –Colombia Compra Eficiente– te invita a realizar el </w:t>
      </w:r>
      <w:r w:rsidRPr="00CA2062">
        <w:rPr>
          <w:rFonts w:ascii="Verdana" w:hAnsi="Verdana"/>
          <w:b/>
          <w:bCs/>
        </w:rPr>
        <w:t>Curso de Contratación Pública Sostenible y Socialmente Responsable</w:t>
      </w:r>
      <w:r w:rsidRPr="00CA2062">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A2062">
        <w:rPr>
          <w:rFonts w:ascii="Verdana" w:hAnsi="Verdana"/>
        </w:rPr>
        <w:br/>
      </w:r>
      <w:hyperlink r:id="rId13" w:tgtFrame="_new" w:history="1">
        <w:r w:rsidRPr="00CA2062">
          <w:rPr>
            <w:rStyle w:val="Hipervnculo"/>
            <w:rFonts w:ascii="Verdana" w:hAnsi="Verdana"/>
          </w:rPr>
          <w:t>https://formacionvirtual.colombiacompra.gov.co/mod/page/view.php?id=3718</w:t>
        </w:r>
      </w:hyperlink>
    </w:p>
    <w:p w14:paraId="43E62F66" w14:textId="77777777" w:rsidR="00CA2062" w:rsidRPr="00CA2062" w:rsidRDefault="00CA2062" w:rsidP="00CF4568">
      <w:pPr>
        <w:spacing w:after="0" w:line="276" w:lineRule="auto"/>
        <w:jc w:val="both"/>
        <w:rPr>
          <w:rFonts w:ascii="Verdana" w:hAnsi="Verdana"/>
        </w:rPr>
      </w:pPr>
    </w:p>
    <w:p w14:paraId="600CAD1F" w14:textId="77777777" w:rsidR="001E1B71" w:rsidRDefault="001E1B71" w:rsidP="00CA2062">
      <w:pPr>
        <w:spacing w:after="0" w:line="276" w:lineRule="auto"/>
        <w:jc w:val="both"/>
        <w:rPr>
          <w:rFonts w:ascii="Verdana" w:hAnsi="Verdana"/>
        </w:rPr>
      </w:pPr>
      <w:r w:rsidRPr="00CA2062">
        <w:rPr>
          <w:rFonts w:ascii="Verdana" w:hAnsi="Verdana"/>
        </w:rPr>
        <w:t xml:space="preserve">De otro lado, te contamos que esta Agencia ha da un paso decisivo en la estandarización y modernización del </w:t>
      </w:r>
      <w:r w:rsidRPr="00CA2062">
        <w:rPr>
          <w:rFonts w:ascii="Verdana" w:hAnsi="Verdana"/>
          <w:b/>
          <w:bCs/>
        </w:rPr>
        <w:t>sector  social</w:t>
      </w:r>
      <w:r w:rsidRPr="00CA2062">
        <w:rPr>
          <w:rFonts w:ascii="Verdana" w:hAnsi="Verdana"/>
        </w:rPr>
        <w:t xml:space="preserve"> con la expedición de las </w:t>
      </w:r>
      <w:r w:rsidRPr="00CA2062">
        <w:rPr>
          <w:rFonts w:ascii="Verdana" w:hAnsi="Verdana"/>
          <w:b/>
          <w:bCs/>
        </w:rPr>
        <w:t>Resoluciones 539, 540, 541, 952 y 953 de 2025</w:t>
      </w:r>
      <w:r w:rsidRPr="00CA2062">
        <w:rPr>
          <w:rFonts w:ascii="Verdana" w:hAnsi="Verdana"/>
        </w:rPr>
        <w:t xml:space="preserve">, </w:t>
      </w:r>
      <w:r w:rsidRPr="00CA2062">
        <w:rPr>
          <w:rFonts w:ascii="Verdana" w:hAnsi="Verdana"/>
          <w:b/>
          <w:bCs/>
        </w:rPr>
        <w:t>mediante las cuales adoptó Documentos Tipo</w:t>
      </w:r>
      <w:r w:rsidRPr="00CA2062">
        <w:rPr>
          <w:rFonts w:ascii="Verdana" w:hAnsi="Verdana"/>
        </w:rPr>
        <w:t xml:space="preserve"> para las modalidades de selección de</w:t>
      </w:r>
      <w:r w:rsidRPr="00CA2062">
        <w:rPr>
          <w:rFonts w:ascii="Verdana" w:hAnsi="Verdana"/>
          <w:b/>
          <w:bCs/>
        </w:rPr>
        <w:t xml:space="preserve"> licitación pública (versión 2), selección abreviada de menor cuantía, mínima cuantía, consultoría e interventoría</w:t>
      </w:r>
      <w:r w:rsidRPr="00CA2062">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A2062">
          <w:rPr>
            <w:rStyle w:val="Hipervnculo"/>
            <w:rFonts w:ascii="Verdana" w:hAnsi="Verdana"/>
          </w:rPr>
          <w:t>https://www.colombiacompra.gov.co/normativa-y-relatoria/documentos-tipo</w:t>
        </w:r>
      </w:hyperlink>
    </w:p>
    <w:p w14:paraId="78CCAA98" w14:textId="77777777" w:rsidR="00CA2062" w:rsidRPr="00CA2062" w:rsidRDefault="00CA2062" w:rsidP="00CF4568">
      <w:pPr>
        <w:spacing w:after="0" w:line="276" w:lineRule="auto"/>
        <w:jc w:val="both"/>
        <w:rPr>
          <w:rFonts w:ascii="Verdana" w:hAnsi="Verdana"/>
        </w:rPr>
      </w:pPr>
    </w:p>
    <w:p w14:paraId="615A62D0" w14:textId="77777777" w:rsidR="001E1B71" w:rsidRDefault="001E1B71" w:rsidP="00CA2062">
      <w:pPr>
        <w:spacing w:after="0" w:line="276" w:lineRule="auto"/>
        <w:jc w:val="both"/>
        <w:rPr>
          <w:rFonts w:ascii="Verdana" w:hAnsi="Verdana"/>
        </w:rPr>
      </w:pPr>
      <w:r w:rsidRPr="00CA2062">
        <w:rPr>
          <w:rFonts w:ascii="Verdana" w:hAnsi="Verdana"/>
        </w:rPr>
        <w:t xml:space="preserve">Si quieres conocer más sobre la aplicación de Documentos Tipo puedes consultar la última versión de la </w:t>
      </w:r>
      <w:r w:rsidRPr="00CA2062">
        <w:rPr>
          <w:rFonts w:ascii="Verdana" w:hAnsi="Verdana"/>
          <w:b/>
          <w:bCs/>
        </w:rPr>
        <w:t>Guía para la comprensión e implementación de los Documentos Tipo de obra pública de infraestructura de transporte</w:t>
      </w:r>
      <w:r w:rsidRPr="00CA2062">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A2062">
        <w:rPr>
          <w:rFonts w:ascii="Verdana" w:hAnsi="Verdana"/>
        </w:rPr>
        <w:br/>
      </w:r>
      <w:hyperlink r:id="rId15" w:tgtFrame="_new" w:history="1">
        <w:r w:rsidRPr="00CA2062">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7BE9649" w14:textId="77777777" w:rsidR="00CA2062" w:rsidRPr="00CA2062" w:rsidRDefault="00CA2062" w:rsidP="00CF4568">
      <w:pPr>
        <w:spacing w:after="0" w:line="276" w:lineRule="auto"/>
        <w:jc w:val="both"/>
        <w:rPr>
          <w:rFonts w:ascii="Verdana" w:hAnsi="Verdana"/>
        </w:rPr>
      </w:pPr>
    </w:p>
    <w:p w14:paraId="638DBC9F" w14:textId="77777777" w:rsidR="001E1B71" w:rsidRPr="00CA2062" w:rsidRDefault="001E1B71" w:rsidP="00CA2062">
      <w:pPr>
        <w:widowControl w:val="0"/>
        <w:autoSpaceDE w:val="0"/>
        <w:autoSpaceDN w:val="0"/>
        <w:spacing w:after="0" w:line="276" w:lineRule="auto"/>
        <w:jc w:val="both"/>
        <w:rPr>
          <w:rFonts w:ascii="Verdana" w:hAnsi="Verdana" w:cs="Arial"/>
          <w:lang w:val="es-ES_tradnl"/>
        </w:rPr>
      </w:pPr>
      <w:r w:rsidRPr="00CA2062">
        <w:rPr>
          <w:rFonts w:ascii="Verdana" w:hAnsi="Verdana" w:cs="Arial"/>
        </w:rPr>
        <w:t xml:space="preserve">Este concepto tiene el alcance previsto en el artículo 28 del Código de Procedimiento Administrativo y de lo Contencioso Administrativo </w:t>
      </w:r>
      <w:r w:rsidRPr="00CA2062">
        <w:rPr>
          <w:rFonts w:ascii="Verdana" w:hAnsi="Verdana" w:cs="Arial"/>
          <w:lang w:val="es-ES_tradnl"/>
        </w:rPr>
        <w:t xml:space="preserve">y las </w:t>
      </w:r>
      <w:r w:rsidRPr="00CA2062">
        <w:rPr>
          <w:rFonts w:ascii="Verdana" w:hAnsi="Verdana" w:cs="Arial"/>
          <w:lang w:val="es-ES_tradnl"/>
        </w:rPr>
        <w:lastRenderedPageBreak/>
        <w:t>expresiones aquí utilizadas con mayúscula inicial deben ser entendidas con el significado que les otorga el artículo 2.2.1.1.1.3.1. del Decreto 1082 de 2015.</w:t>
      </w:r>
    </w:p>
    <w:p w14:paraId="4F8A11A7" w14:textId="77777777" w:rsidR="001E1B71" w:rsidRPr="00CA2062" w:rsidRDefault="001E1B71" w:rsidP="00CA2062">
      <w:pPr>
        <w:widowControl w:val="0"/>
        <w:autoSpaceDE w:val="0"/>
        <w:autoSpaceDN w:val="0"/>
        <w:spacing w:after="0" w:line="276" w:lineRule="auto"/>
        <w:jc w:val="both"/>
        <w:rPr>
          <w:rFonts w:ascii="Verdana" w:hAnsi="Verdana" w:cs="Arial"/>
        </w:rPr>
      </w:pPr>
    </w:p>
    <w:p w14:paraId="7ED4111A" w14:textId="77777777" w:rsidR="001E1B71" w:rsidRPr="00CA2062" w:rsidRDefault="001E1B71" w:rsidP="00CF4568">
      <w:pPr>
        <w:spacing w:after="0" w:line="276" w:lineRule="auto"/>
        <w:rPr>
          <w:rFonts w:ascii="Verdana" w:hAnsi="Verdana" w:cs="Arial"/>
          <w:lang w:eastAsia="es-CO"/>
        </w:rPr>
      </w:pPr>
      <w:r w:rsidRPr="00CA2062">
        <w:rPr>
          <w:rFonts w:ascii="Verdana" w:eastAsia="Times New Roman" w:hAnsi="Verdana" w:cs="Arial"/>
          <w:lang w:eastAsia="es-CO"/>
        </w:rPr>
        <w:t>Atentamente,</w:t>
      </w:r>
      <w:r w:rsidRPr="00CA2062">
        <w:rPr>
          <w:rFonts w:ascii="Verdana" w:hAnsi="Verdana" w:cs="Arial"/>
          <w:lang w:eastAsia="es-CO"/>
        </w:rPr>
        <w:t xml:space="preserve"> </w:t>
      </w:r>
    </w:p>
    <w:p w14:paraId="38D7D953" w14:textId="1F290726" w:rsidR="001E1B71" w:rsidRPr="00593A5F" w:rsidRDefault="009042F1" w:rsidP="00CA2062">
      <w:pPr>
        <w:spacing w:line="276" w:lineRule="auto"/>
        <w:jc w:val="center"/>
        <w:rPr>
          <w:rFonts w:ascii="Verdana" w:hAnsi="Verdana" w:cs="Arial"/>
          <w:color w:val="000000"/>
          <w:lang w:val="es-ES_tradnl" w:eastAsia="es-CO"/>
        </w:rPr>
      </w:pPr>
      <w:r w:rsidRPr="001C554B">
        <w:rPr>
          <w:rFonts w:ascii="Verdana" w:hAnsi="Verdana" w:cs="Arial"/>
          <w:noProof/>
          <w:color w:val="000000"/>
          <w:lang w:val="es-ES_tradnl" w:eastAsia="es-CO"/>
        </w:rPr>
        <w:drawing>
          <wp:inline distT="0" distB="0" distL="0" distR="0" wp14:anchorId="040402F9" wp14:editId="28F2CD8F">
            <wp:extent cx="2991267" cy="1381318"/>
            <wp:effectExtent l="0" t="0" r="0" b="9525"/>
            <wp:docPr id="6400155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1559" name="Imagen 1" descr="Texto&#10;&#10;El contenido generado por IA puede ser incorrecto."/>
                    <pic:cNvPicPr/>
                  </pic:nvPicPr>
                  <pic:blipFill>
                    <a:blip r:embed="rId16"/>
                    <a:stretch>
                      <a:fillRect/>
                    </a:stretch>
                  </pic:blipFill>
                  <pic:spPr>
                    <a:xfrm>
                      <a:off x="0" y="0"/>
                      <a:ext cx="2991267" cy="1381318"/>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E1B71" w:rsidRPr="00593A5F" w14:paraId="149389CA" w14:textId="77777777" w:rsidTr="003D2D63">
        <w:trPr>
          <w:trHeight w:val="315"/>
        </w:trPr>
        <w:tc>
          <w:tcPr>
            <w:tcW w:w="893" w:type="dxa"/>
            <w:vAlign w:val="center"/>
            <w:hideMark/>
          </w:tcPr>
          <w:p w14:paraId="4BB91A45" w14:textId="77777777" w:rsidR="001E1B71" w:rsidRPr="003751C7" w:rsidRDefault="001E1B71" w:rsidP="003D2D6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731B018" w14:textId="77777777" w:rsidR="001E1B71" w:rsidRPr="00254A7A" w:rsidRDefault="001E1B71" w:rsidP="003D2D63">
            <w:pPr>
              <w:contextualSpacing/>
              <w:rPr>
                <w:rStyle w:val="normaltextrun"/>
                <w:rFonts w:ascii="Verdana" w:hAnsi="Verdana"/>
                <w:sz w:val="16"/>
                <w:szCs w:val="16"/>
              </w:rPr>
            </w:pPr>
            <w:r>
              <w:rPr>
                <w:rStyle w:val="normaltextrun"/>
                <w:rFonts w:ascii="Verdana" w:hAnsi="Verdana"/>
                <w:sz w:val="16"/>
                <w:szCs w:val="16"/>
              </w:rPr>
              <w:t>Natalia Montoya Jiménez</w:t>
            </w:r>
          </w:p>
          <w:p w14:paraId="683D5931" w14:textId="77777777" w:rsidR="001E1B71" w:rsidRPr="00254A7A" w:rsidRDefault="001E1B71" w:rsidP="003D2D63">
            <w:pPr>
              <w:contextualSpacing/>
              <w:rPr>
                <w:rFonts w:ascii="Verdana" w:eastAsia="Arial" w:hAnsi="Verdana" w:cs="Arial"/>
                <w:sz w:val="16"/>
                <w:szCs w:val="16"/>
              </w:rPr>
            </w:pPr>
            <w:r w:rsidRPr="00254A7A">
              <w:rPr>
                <w:rStyle w:val="normaltextrun"/>
                <w:rFonts w:ascii="Verdana" w:hAnsi="Verdana" w:cs="Arial"/>
                <w:sz w:val="16"/>
                <w:szCs w:val="16"/>
                <w:lang w:val="es-ES"/>
              </w:rPr>
              <w:t xml:space="preserve">Gestor T1 ‒ 15 </w:t>
            </w:r>
            <w:r>
              <w:rPr>
                <w:rStyle w:val="normaltextrun"/>
                <w:rFonts w:ascii="Verdana" w:hAnsi="Verdana" w:cs="Arial"/>
                <w:sz w:val="16"/>
                <w:szCs w:val="16"/>
                <w:lang w:val="es-ES"/>
              </w:rPr>
              <w:t>de</w:t>
            </w:r>
            <w:r w:rsidRPr="00254A7A">
              <w:rPr>
                <w:rStyle w:val="normaltextrun"/>
                <w:rFonts w:ascii="Verdana" w:hAnsi="Verdana"/>
                <w:sz w:val="16"/>
                <w:szCs w:val="16"/>
              </w:rPr>
              <w:t xml:space="preserve"> la Subdirección de Gestión Contractual</w:t>
            </w:r>
          </w:p>
        </w:tc>
      </w:tr>
      <w:tr w:rsidR="001E1B71" w:rsidRPr="00593A5F" w14:paraId="64D76BF4" w14:textId="77777777" w:rsidTr="003D2D63">
        <w:trPr>
          <w:trHeight w:val="330"/>
        </w:trPr>
        <w:tc>
          <w:tcPr>
            <w:tcW w:w="893" w:type="dxa"/>
            <w:vAlign w:val="center"/>
            <w:hideMark/>
          </w:tcPr>
          <w:p w14:paraId="7B19CDD1" w14:textId="77777777" w:rsidR="001E1B71" w:rsidRPr="003751C7" w:rsidRDefault="001E1B71" w:rsidP="003D2D6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F9B70D" w14:textId="77777777" w:rsidR="001E1B71" w:rsidRPr="00254A7A" w:rsidRDefault="001E1B71" w:rsidP="003D2D63">
            <w:pPr>
              <w:pStyle w:val="paragraph"/>
              <w:spacing w:after="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Lucia Saavedra</w:t>
            </w:r>
          </w:p>
          <w:p w14:paraId="31F02565" w14:textId="77777777" w:rsidR="001E1B71" w:rsidRPr="00254A7A" w:rsidRDefault="001E1B71" w:rsidP="003D2D63">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sz w:val="16"/>
                <w:szCs w:val="16"/>
              </w:rPr>
              <w:t>Contratista</w:t>
            </w:r>
            <w:r w:rsidRPr="00254A7A">
              <w:rPr>
                <w:rStyle w:val="normaltextrun"/>
                <w:rFonts w:ascii="Verdana" w:hAnsi="Verdana" w:cs="Arial"/>
                <w:sz w:val="16"/>
                <w:szCs w:val="16"/>
                <w:lang w:val="es-ES"/>
              </w:rPr>
              <w:t xml:space="preserve"> de la Subdirección de Gestión Contractual</w:t>
            </w:r>
            <w:r w:rsidRPr="00254A7A">
              <w:rPr>
                <w:rStyle w:val="eop"/>
                <w:rFonts w:ascii="Verdana" w:hAnsi="Verdana" w:cs="Arial"/>
                <w:sz w:val="16"/>
                <w:szCs w:val="16"/>
              </w:rPr>
              <w:t> </w:t>
            </w:r>
          </w:p>
        </w:tc>
      </w:tr>
      <w:tr w:rsidR="001E1B71" w:rsidRPr="00593A5F" w14:paraId="4B14C7FB" w14:textId="77777777" w:rsidTr="003D2D63">
        <w:trPr>
          <w:trHeight w:val="300"/>
        </w:trPr>
        <w:tc>
          <w:tcPr>
            <w:tcW w:w="893" w:type="dxa"/>
            <w:vAlign w:val="center"/>
          </w:tcPr>
          <w:p w14:paraId="37556ECB" w14:textId="77777777" w:rsidR="001E1B71" w:rsidRPr="003751C7" w:rsidRDefault="001E1B71" w:rsidP="003D2D6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8844F3" w14:textId="77777777" w:rsidR="001E1B71" w:rsidRPr="003751C7" w:rsidRDefault="001E1B71" w:rsidP="003D2D6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DCA0AFF" w14:textId="77777777" w:rsidR="001E1B71" w:rsidRPr="003751C7" w:rsidRDefault="001E1B71" w:rsidP="003D2D6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7748BF06" w14:textId="77777777" w:rsidR="001E1B71" w:rsidRPr="00593A5F" w:rsidRDefault="001E1B71" w:rsidP="001E1B71">
      <w:pPr>
        <w:spacing w:after="0" w:line="240" w:lineRule="auto"/>
        <w:rPr>
          <w:rFonts w:ascii="Verdana" w:eastAsia="Times New Roman" w:hAnsi="Verdana" w:cs="Arial"/>
          <w:sz w:val="24"/>
          <w:szCs w:val="24"/>
          <w:lang w:eastAsia="es-ES"/>
        </w:rPr>
      </w:pPr>
    </w:p>
    <w:p w14:paraId="5AACC61B" w14:textId="10BBD14A" w:rsidR="001E1B71" w:rsidRDefault="001E1B71" w:rsidP="001E1B71"/>
    <w:p w14:paraId="0F293BF4" w14:textId="1E0C9C1D" w:rsidR="00127233" w:rsidRPr="001E1B71" w:rsidRDefault="00127233" w:rsidP="001E1B71"/>
    <w:sectPr w:rsidR="00127233" w:rsidRPr="001E1B7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335BB" w14:textId="77777777" w:rsidR="00CD0D51" w:rsidRDefault="00CD0D51" w:rsidP="004A1847">
      <w:pPr>
        <w:spacing w:after="0" w:line="240" w:lineRule="auto"/>
      </w:pPr>
      <w:r>
        <w:separator/>
      </w:r>
    </w:p>
  </w:endnote>
  <w:endnote w:type="continuationSeparator" w:id="0">
    <w:p w14:paraId="2B17C9A1" w14:textId="77777777" w:rsidR="00CD0D51" w:rsidRDefault="00CD0D5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A591F" w14:textId="77777777" w:rsidR="00CD0D51" w:rsidRDefault="00CD0D51" w:rsidP="004A1847">
      <w:pPr>
        <w:spacing w:after="0" w:line="240" w:lineRule="auto"/>
      </w:pPr>
      <w:r>
        <w:separator/>
      </w:r>
    </w:p>
  </w:footnote>
  <w:footnote w:type="continuationSeparator" w:id="0">
    <w:p w14:paraId="0771F626" w14:textId="77777777" w:rsidR="00CD0D51" w:rsidRDefault="00CD0D51" w:rsidP="004A1847">
      <w:pPr>
        <w:spacing w:after="0" w:line="240" w:lineRule="auto"/>
      </w:pPr>
      <w:r>
        <w:continuationSeparator/>
      </w:r>
    </w:p>
  </w:footnote>
  <w:footnote w:id="1">
    <w:p w14:paraId="662172C9" w14:textId="77777777" w:rsidR="001E1B71" w:rsidRPr="00CF4568" w:rsidRDefault="001E1B71" w:rsidP="00CF4568">
      <w:pPr>
        <w:pStyle w:val="Textonotapie"/>
        <w:ind w:firstLine="709"/>
        <w:jc w:val="both"/>
        <w:rPr>
          <w:rFonts w:ascii="Verdana" w:hAnsi="Verdana" w:cs="Arial"/>
          <w:color w:val="000000" w:themeColor="text1"/>
          <w:sz w:val="16"/>
          <w:szCs w:val="16"/>
        </w:rPr>
      </w:pPr>
      <w:r w:rsidRPr="00CF4568">
        <w:rPr>
          <w:rStyle w:val="Refdenotaalpie"/>
          <w:rFonts w:ascii="Verdana" w:hAnsi="Verdana" w:cs="Arial"/>
          <w:color w:val="000000" w:themeColor="text1"/>
          <w:sz w:val="16"/>
          <w:szCs w:val="16"/>
        </w:rPr>
        <w:footnoteRef/>
      </w:r>
      <w:r w:rsidRPr="00CF4568">
        <w:rPr>
          <w:rFonts w:ascii="Verdana" w:hAnsi="Verdana" w:cs="Arial"/>
          <w:color w:val="000000" w:themeColor="text1"/>
          <w:sz w:val="16"/>
          <w:szCs w:val="16"/>
        </w:rPr>
        <w:t xml:space="preserve"> </w:t>
      </w:r>
      <w:r w:rsidRPr="00CA2062">
        <w:rPr>
          <w:rFonts w:ascii="Verdana" w:hAnsi="Verdana" w:cs="Arial"/>
          <w:color w:val="000000" w:themeColor="text1"/>
          <w:sz w:val="16"/>
          <w:szCs w:val="16"/>
        </w:rPr>
        <w:t>CONSEJO DE ESTADO. Sección Tercera, Subsección A. Sentencia del 13 de noviembre de 2013. Rad. 25.646.C.P. Mauricio Fajardo Gómez.</w:t>
      </w:r>
      <w:r w:rsidRPr="00CF4568">
        <w:rPr>
          <w:rFonts w:ascii="Verdana" w:hAnsi="Verdana" w:cs="Arial"/>
          <w:color w:val="000000" w:themeColor="text1"/>
          <w:sz w:val="16"/>
          <w:szCs w:val="16"/>
        </w:rPr>
        <w:t xml:space="preserve"> </w:t>
      </w:r>
    </w:p>
  </w:footnote>
  <w:footnote w:id="2">
    <w:p w14:paraId="2C3D7298" w14:textId="77777777" w:rsidR="001E1B71" w:rsidRPr="00CA2062" w:rsidRDefault="001E1B71" w:rsidP="00CF4568">
      <w:pPr>
        <w:pStyle w:val="Textonotapie"/>
        <w:ind w:firstLine="709"/>
        <w:jc w:val="both"/>
        <w:rPr>
          <w:rFonts w:ascii="Verdana" w:hAnsi="Verdana"/>
          <w:sz w:val="16"/>
          <w:szCs w:val="16"/>
        </w:rPr>
      </w:pPr>
      <w:r w:rsidRPr="00CA2062">
        <w:rPr>
          <w:rStyle w:val="Refdenotaalpie"/>
          <w:rFonts w:ascii="Verdana" w:hAnsi="Verdana"/>
          <w:sz w:val="16"/>
          <w:szCs w:val="16"/>
        </w:rPr>
        <w:footnoteRef/>
      </w:r>
      <w:r w:rsidRPr="00CA2062">
        <w:rPr>
          <w:rFonts w:ascii="Verdana" w:hAnsi="Verdana"/>
          <w:sz w:val="16"/>
          <w:szCs w:val="16"/>
        </w:rPr>
        <w:t xml:space="preserve"> Por ejemplo,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 (Cfr. CORTE CONSTITUCIONAL. Sentencia T-1039 de 2006. M.P. Humberto Sierra Porto. La Corte Constitucional ha mantenido este criterio en las sentencias: C-903 de 2008. M.P. Jaime Araujo Rentería; C-101 de 2018. M.P. Gloria Stella Ortiz Delgado; entre otras). </w:t>
      </w:r>
    </w:p>
    <w:p w14:paraId="4C62086F" w14:textId="77777777" w:rsidR="001E1B71" w:rsidRPr="00CA2062" w:rsidRDefault="001E1B71" w:rsidP="00CF4568">
      <w:pPr>
        <w:pStyle w:val="Textonotapie"/>
        <w:ind w:firstLine="709"/>
        <w:jc w:val="both"/>
        <w:rPr>
          <w:rFonts w:ascii="Verdana" w:hAnsi="Verdana"/>
          <w:sz w:val="16"/>
          <w:szCs w:val="16"/>
          <w:lang w:val="es-CO"/>
        </w:rPr>
      </w:pPr>
      <w:r w:rsidRPr="00CA2062">
        <w:rPr>
          <w:rFonts w:ascii="Verdana" w:hAnsi="Verdana"/>
          <w:sz w:val="16"/>
          <w:szCs w:val="16"/>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 (Cfr. CONSEJO DE ESTADO. Sala de Consulta y Servicio Civil. Concepto del 30 de abril de 2015. Exp. 2251. C.P. Álvaro Namén Vargas. En un sentido similar, Sección Tercera. Subsección A. Sentencia del 24 de junio de 2015. Exp. 40.635. C.P. Hernán Andrade Rincón (E) y Sección Tercera. Subsección C. Sentencia del 22 de mayo de 2013. Rad. 24.057. C.P. Olga Mélida Valle De De La Hoz).</w:t>
      </w:r>
    </w:p>
  </w:footnote>
  <w:footnote w:id="3">
    <w:p w14:paraId="0176102C" w14:textId="77777777" w:rsidR="001E1B71" w:rsidRPr="00CA2062" w:rsidRDefault="001E1B71" w:rsidP="00CF4568">
      <w:pPr>
        <w:pStyle w:val="Textonotapie"/>
        <w:ind w:firstLine="709"/>
        <w:jc w:val="both"/>
        <w:rPr>
          <w:rFonts w:ascii="Verdana" w:hAnsi="Verdana"/>
          <w:sz w:val="16"/>
          <w:szCs w:val="16"/>
        </w:rPr>
      </w:pPr>
      <w:r w:rsidRPr="00CA2062">
        <w:rPr>
          <w:rStyle w:val="Refdenotaalpie"/>
          <w:rFonts w:ascii="Verdana" w:hAnsi="Verdana"/>
          <w:sz w:val="16"/>
          <w:szCs w:val="16"/>
        </w:rPr>
        <w:footnoteRef/>
      </w:r>
      <w:r w:rsidRPr="00CA2062">
        <w:rPr>
          <w:rFonts w:ascii="Verdana" w:hAnsi="Verdana"/>
          <w:sz w:val="16"/>
          <w:szCs w:val="16"/>
        </w:rPr>
        <w:t xml:space="preserve"> Sobre esta clasificación de la sociedades, la doctrina anota que “El contrato se celebra entre personas ciertas y determinadas, aplicándose lo que decían los juristas romanos ‘</w:t>
      </w:r>
      <w:r w:rsidRPr="00CA2062">
        <w:rPr>
          <w:rFonts w:ascii="Verdana" w:hAnsi="Verdana"/>
          <w:i/>
          <w:iCs/>
          <w:sz w:val="16"/>
          <w:szCs w:val="16"/>
        </w:rPr>
        <w:t>qui contradit societatem certam personarum sibi eligit</w:t>
      </w:r>
      <w:r w:rsidRPr="00CA2062">
        <w:rPr>
          <w:rFonts w:ascii="Verdana" w:hAnsi="Verdana"/>
          <w:sz w:val="16"/>
          <w:szCs w:val="16"/>
        </w:rPr>
        <w:t xml:space="preserve">’ (Gayo, SF, 3, 152), es decir, prima el elemento </w:t>
      </w:r>
      <w:r w:rsidRPr="00CA2062">
        <w:rPr>
          <w:rFonts w:ascii="Verdana" w:hAnsi="Verdana"/>
          <w:i/>
          <w:iCs/>
          <w:sz w:val="16"/>
          <w:szCs w:val="16"/>
        </w:rPr>
        <w:t>intuitu personae</w:t>
      </w:r>
      <w:r w:rsidRPr="00CA2062">
        <w:rPr>
          <w:rFonts w:ascii="Verdana" w:hAnsi="Verdana"/>
          <w:sz w:val="16"/>
          <w:szCs w:val="16"/>
        </w:rPr>
        <w:t>, y por tanto son consideradas organizaciones de carácter cerrado, por cuanto el acceso a la misma es restringido, lo que sugiere que cualquier elemento que altere los atributos personales de uno o varios socios tiene implicaciones en la forma de funcionamiento de la sociedad. La sociedad colectiva es el tipo societario quenmás se asemeja a esta clasificación, por cuanto si se presenta un error en la persona, puedenocasionar nulidad en la totalidad del negocio jurídico, en razón a que su asociación fue ennconsideración de sus calidades y atributos (Código de Comercio, artículo 107).</w:t>
      </w:r>
    </w:p>
    <w:p w14:paraId="2957074E" w14:textId="77777777" w:rsidR="001E1B71" w:rsidRPr="00CA2062" w:rsidRDefault="001E1B71" w:rsidP="00CF4568">
      <w:pPr>
        <w:pStyle w:val="Textonotapie"/>
        <w:ind w:firstLine="709"/>
        <w:jc w:val="both"/>
        <w:rPr>
          <w:rFonts w:ascii="Verdana" w:hAnsi="Verdana"/>
          <w:sz w:val="16"/>
          <w:szCs w:val="16"/>
        </w:rPr>
      </w:pPr>
      <w:r w:rsidRPr="00CA2062">
        <w:rPr>
          <w:rFonts w:ascii="Verdana" w:hAnsi="Verdana"/>
          <w:sz w:val="16"/>
          <w:szCs w:val="16"/>
        </w:rPr>
        <w:t xml:space="preserve">Por su parte, las sociedades de capital se caracterizan porque se constituye el capital sin importar quiénes son los socios y de allí que su responsabilidad es limitada, pues los socios responden por sus obligaciones hasta el monto de sus aportes, es decir, el elemento que prevalece en este tipo de sociedades es el </w:t>
      </w:r>
      <w:r w:rsidRPr="00CA2062">
        <w:rPr>
          <w:rFonts w:ascii="Verdana" w:hAnsi="Verdana"/>
          <w:i/>
          <w:iCs/>
          <w:sz w:val="16"/>
          <w:szCs w:val="16"/>
        </w:rPr>
        <w:t>intuitu rei</w:t>
      </w:r>
      <w:r w:rsidRPr="00CA2062">
        <w:rPr>
          <w:rFonts w:ascii="Verdana" w:hAnsi="Verdana"/>
          <w:sz w:val="16"/>
          <w:szCs w:val="16"/>
        </w:rPr>
        <w:t>, lo que la constituye en una estructura de carácter abierto” (PEÑA NOSSA, Lisandro. De las sociedades comerciales. Novena edición. Bogotá: ECOE, 2022. pp. 33-34).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8A2D5F"/>
    <w:multiLevelType w:val="hybridMultilevel"/>
    <w:tmpl w:val="57641B16"/>
    <w:lvl w:ilvl="0" w:tplc="6686C266">
      <w:start w:val="1"/>
      <w:numFmt w:val="lowerRoman"/>
      <w:lvlText w:val="%1)"/>
      <w:lvlJc w:val="left"/>
      <w:pPr>
        <w:ind w:left="1932" w:hanging="720"/>
      </w:pPr>
      <w:rPr>
        <w:rFonts w:hint="default"/>
      </w:rPr>
    </w:lvl>
    <w:lvl w:ilvl="1" w:tplc="240A0019" w:tentative="1">
      <w:start w:val="1"/>
      <w:numFmt w:val="lowerLetter"/>
      <w:lvlText w:val="%2."/>
      <w:lvlJc w:val="left"/>
      <w:pPr>
        <w:ind w:left="2292" w:hanging="360"/>
      </w:pPr>
    </w:lvl>
    <w:lvl w:ilvl="2" w:tplc="240A001B" w:tentative="1">
      <w:start w:val="1"/>
      <w:numFmt w:val="lowerRoman"/>
      <w:lvlText w:val="%3."/>
      <w:lvlJc w:val="right"/>
      <w:pPr>
        <w:ind w:left="3012" w:hanging="180"/>
      </w:pPr>
    </w:lvl>
    <w:lvl w:ilvl="3" w:tplc="240A000F" w:tentative="1">
      <w:start w:val="1"/>
      <w:numFmt w:val="decimal"/>
      <w:lvlText w:val="%4."/>
      <w:lvlJc w:val="left"/>
      <w:pPr>
        <w:ind w:left="3732" w:hanging="360"/>
      </w:pPr>
    </w:lvl>
    <w:lvl w:ilvl="4" w:tplc="240A0019" w:tentative="1">
      <w:start w:val="1"/>
      <w:numFmt w:val="lowerLetter"/>
      <w:lvlText w:val="%5."/>
      <w:lvlJc w:val="left"/>
      <w:pPr>
        <w:ind w:left="4452" w:hanging="360"/>
      </w:pPr>
    </w:lvl>
    <w:lvl w:ilvl="5" w:tplc="240A001B" w:tentative="1">
      <w:start w:val="1"/>
      <w:numFmt w:val="lowerRoman"/>
      <w:lvlText w:val="%6."/>
      <w:lvlJc w:val="right"/>
      <w:pPr>
        <w:ind w:left="5172" w:hanging="180"/>
      </w:pPr>
    </w:lvl>
    <w:lvl w:ilvl="6" w:tplc="240A000F" w:tentative="1">
      <w:start w:val="1"/>
      <w:numFmt w:val="decimal"/>
      <w:lvlText w:val="%7."/>
      <w:lvlJc w:val="left"/>
      <w:pPr>
        <w:ind w:left="5892" w:hanging="360"/>
      </w:pPr>
    </w:lvl>
    <w:lvl w:ilvl="7" w:tplc="240A0019" w:tentative="1">
      <w:start w:val="1"/>
      <w:numFmt w:val="lowerLetter"/>
      <w:lvlText w:val="%8."/>
      <w:lvlJc w:val="left"/>
      <w:pPr>
        <w:ind w:left="6612" w:hanging="360"/>
      </w:pPr>
    </w:lvl>
    <w:lvl w:ilvl="8" w:tplc="240A001B" w:tentative="1">
      <w:start w:val="1"/>
      <w:numFmt w:val="lowerRoman"/>
      <w:lvlText w:val="%9."/>
      <w:lvlJc w:val="right"/>
      <w:pPr>
        <w:ind w:left="7332" w:hanging="180"/>
      </w:pPr>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2"/>
  </w:num>
  <w:num w:numId="13" w16cid:durableId="1512908409">
    <w:abstractNumId w:val="4"/>
  </w:num>
  <w:num w:numId="14" w16cid:durableId="895897244">
    <w:abstractNumId w:val="15"/>
  </w:num>
  <w:num w:numId="15" w16cid:durableId="390349800">
    <w:abstractNumId w:val="11"/>
  </w:num>
  <w:num w:numId="16" w16cid:durableId="1330140246">
    <w:abstractNumId w:val="1"/>
  </w:num>
  <w:num w:numId="17" w16cid:durableId="679089576">
    <w:abstractNumId w:val="10"/>
  </w:num>
  <w:num w:numId="18" w16cid:durableId="1269848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426"/>
    <w:rsid w:val="00016F78"/>
    <w:rsid w:val="00046945"/>
    <w:rsid w:val="000544C7"/>
    <w:rsid w:val="00061B2A"/>
    <w:rsid w:val="00082362"/>
    <w:rsid w:val="000A683E"/>
    <w:rsid w:val="000B19B9"/>
    <w:rsid w:val="000C5A4B"/>
    <w:rsid w:val="000D0334"/>
    <w:rsid w:val="000D5DA7"/>
    <w:rsid w:val="000F6486"/>
    <w:rsid w:val="001042B5"/>
    <w:rsid w:val="00116940"/>
    <w:rsid w:val="00125105"/>
    <w:rsid w:val="00127233"/>
    <w:rsid w:val="0015699B"/>
    <w:rsid w:val="001A33BF"/>
    <w:rsid w:val="001B38F6"/>
    <w:rsid w:val="001E1B71"/>
    <w:rsid w:val="001E4177"/>
    <w:rsid w:val="001F0B24"/>
    <w:rsid w:val="001F7DC6"/>
    <w:rsid w:val="0022244C"/>
    <w:rsid w:val="0022400B"/>
    <w:rsid w:val="002421BB"/>
    <w:rsid w:val="0025796E"/>
    <w:rsid w:val="002707A2"/>
    <w:rsid w:val="00290026"/>
    <w:rsid w:val="002951A0"/>
    <w:rsid w:val="002962BC"/>
    <w:rsid w:val="002A093D"/>
    <w:rsid w:val="002A0DD0"/>
    <w:rsid w:val="002A49AC"/>
    <w:rsid w:val="002A64FD"/>
    <w:rsid w:val="002C7A84"/>
    <w:rsid w:val="002D431A"/>
    <w:rsid w:val="002D4FC8"/>
    <w:rsid w:val="002E2BF8"/>
    <w:rsid w:val="002E4FD9"/>
    <w:rsid w:val="0030657A"/>
    <w:rsid w:val="00322A85"/>
    <w:rsid w:val="00324168"/>
    <w:rsid w:val="00330834"/>
    <w:rsid w:val="00332BEF"/>
    <w:rsid w:val="003448F4"/>
    <w:rsid w:val="00362533"/>
    <w:rsid w:val="00374F5E"/>
    <w:rsid w:val="00377E3E"/>
    <w:rsid w:val="0038737C"/>
    <w:rsid w:val="003A779E"/>
    <w:rsid w:val="003C35BF"/>
    <w:rsid w:val="003D0F4D"/>
    <w:rsid w:val="003D5B0D"/>
    <w:rsid w:val="003D6444"/>
    <w:rsid w:val="003D7799"/>
    <w:rsid w:val="003E0499"/>
    <w:rsid w:val="003E4F80"/>
    <w:rsid w:val="003E6439"/>
    <w:rsid w:val="003F3941"/>
    <w:rsid w:val="004025F5"/>
    <w:rsid w:val="00406575"/>
    <w:rsid w:val="00414C74"/>
    <w:rsid w:val="0042722E"/>
    <w:rsid w:val="00432FDA"/>
    <w:rsid w:val="0044528D"/>
    <w:rsid w:val="004531B8"/>
    <w:rsid w:val="00466E39"/>
    <w:rsid w:val="004A1847"/>
    <w:rsid w:val="004A305D"/>
    <w:rsid w:val="004A3124"/>
    <w:rsid w:val="004F21C4"/>
    <w:rsid w:val="004F685F"/>
    <w:rsid w:val="005566E8"/>
    <w:rsid w:val="00574867"/>
    <w:rsid w:val="00591460"/>
    <w:rsid w:val="005970B9"/>
    <w:rsid w:val="005A65E0"/>
    <w:rsid w:val="005B1223"/>
    <w:rsid w:val="005C3777"/>
    <w:rsid w:val="005C5CDC"/>
    <w:rsid w:val="005D476C"/>
    <w:rsid w:val="006200BF"/>
    <w:rsid w:val="006219F8"/>
    <w:rsid w:val="006236FE"/>
    <w:rsid w:val="006302F7"/>
    <w:rsid w:val="00646B9F"/>
    <w:rsid w:val="0066138F"/>
    <w:rsid w:val="00665D70"/>
    <w:rsid w:val="006900D9"/>
    <w:rsid w:val="006B58D1"/>
    <w:rsid w:val="00706C16"/>
    <w:rsid w:val="007215E6"/>
    <w:rsid w:val="00725D07"/>
    <w:rsid w:val="007340C3"/>
    <w:rsid w:val="0075235A"/>
    <w:rsid w:val="00756841"/>
    <w:rsid w:val="007649AB"/>
    <w:rsid w:val="00771D0C"/>
    <w:rsid w:val="007833AC"/>
    <w:rsid w:val="00791785"/>
    <w:rsid w:val="00791D30"/>
    <w:rsid w:val="007B268C"/>
    <w:rsid w:val="007B7171"/>
    <w:rsid w:val="007C0C0F"/>
    <w:rsid w:val="007C3DC2"/>
    <w:rsid w:val="007D0A87"/>
    <w:rsid w:val="007E35C6"/>
    <w:rsid w:val="007E5497"/>
    <w:rsid w:val="00804A4A"/>
    <w:rsid w:val="00806F5F"/>
    <w:rsid w:val="00820278"/>
    <w:rsid w:val="008258C9"/>
    <w:rsid w:val="00844AE9"/>
    <w:rsid w:val="00867F95"/>
    <w:rsid w:val="008843B6"/>
    <w:rsid w:val="00891928"/>
    <w:rsid w:val="008A446D"/>
    <w:rsid w:val="008B25F1"/>
    <w:rsid w:val="008D180B"/>
    <w:rsid w:val="008D2B28"/>
    <w:rsid w:val="008D6F00"/>
    <w:rsid w:val="008F0EA7"/>
    <w:rsid w:val="009042F1"/>
    <w:rsid w:val="00923EEF"/>
    <w:rsid w:val="009419F9"/>
    <w:rsid w:val="0095685E"/>
    <w:rsid w:val="00961B09"/>
    <w:rsid w:val="00965334"/>
    <w:rsid w:val="0097093E"/>
    <w:rsid w:val="009A0DFA"/>
    <w:rsid w:val="009A1C6F"/>
    <w:rsid w:val="009A3DCA"/>
    <w:rsid w:val="009A4FFC"/>
    <w:rsid w:val="009B2D26"/>
    <w:rsid w:val="009C71FA"/>
    <w:rsid w:val="009C72E7"/>
    <w:rsid w:val="009C7F7E"/>
    <w:rsid w:val="009D3058"/>
    <w:rsid w:val="009F3A13"/>
    <w:rsid w:val="00A01663"/>
    <w:rsid w:val="00A07C00"/>
    <w:rsid w:val="00A122D3"/>
    <w:rsid w:val="00A14468"/>
    <w:rsid w:val="00A17F13"/>
    <w:rsid w:val="00A20739"/>
    <w:rsid w:val="00A23AF9"/>
    <w:rsid w:val="00A33C78"/>
    <w:rsid w:val="00A33FC7"/>
    <w:rsid w:val="00A85508"/>
    <w:rsid w:val="00AB0ADB"/>
    <w:rsid w:val="00AF38A4"/>
    <w:rsid w:val="00B00C0E"/>
    <w:rsid w:val="00B01B1A"/>
    <w:rsid w:val="00B0381D"/>
    <w:rsid w:val="00B44A47"/>
    <w:rsid w:val="00B72CD3"/>
    <w:rsid w:val="00B72FFF"/>
    <w:rsid w:val="00BA6515"/>
    <w:rsid w:val="00BB5993"/>
    <w:rsid w:val="00BC3D36"/>
    <w:rsid w:val="00BD54A6"/>
    <w:rsid w:val="00BD7F72"/>
    <w:rsid w:val="00BE12CF"/>
    <w:rsid w:val="00BF7425"/>
    <w:rsid w:val="00C04FB3"/>
    <w:rsid w:val="00C11D8B"/>
    <w:rsid w:val="00C15139"/>
    <w:rsid w:val="00C27321"/>
    <w:rsid w:val="00C30917"/>
    <w:rsid w:val="00C330EB"/>
    <w:rsid w:val="00C41D71"/>
    <w:rsid w:val="00C50D69"/>
    <w:rsid w:val="00C5365C"/>
    <w:rsid w:val="00C60A32"/>
    <w:rsid w:val="00C754BE"/>
    <w:rsid w:val="00C76B1C"/>
    <w:rsid w:val="00C925AC"/>
    <w:rsid w:val="00CA2062"/>
    <w:rsid w:val="00CB6357"/>
    <w:rsid w:val="00CC1B26"/>
    <w:rsid w:val="00CC6C27"/>
    <w:rsid w:val="00CD0D51"/>
    <w:rsid w:val="00CD6CC1"/>
    <w:rsid w:val="00CF4568"/>
    <w:rsid w:val="00D361FD"/>
    <w:rsid w:val="00D423A2"/>
    <w:rsid w:val="00D44E26"/>
    <w:rsid w:val="00D520D8"/>
    <w:rsid w:val="00D63AC2"/>
    <w:rsid w:val="00D7383B"/>
    <w:rsid w:val="00D7788A"/>
    <w:rsid w:val="00DA231B"/>
    <w:rsid w:val="00DC111B"/>
    <w:rsid w:val="00DC39FC"/>
    <w:rsid w:val="00DF5254"/>
    <w:rsid w:val="00E02524"/>
    <w:rsid w:val="00E04033"/>
    <w:rsid w:val="00E16408"/>
    <w:rsid w:val="00E20894"/>
    <w:rsid w:val="00E245AB"/>
    <w:rsid w:val="00E2764C"/>
    <w:rsid w:val="00E27F2E"/>
    <w:rsid w:val="00E46F4C"/>
    <w:rsid w:val="00E50AFE"/>
    <w:rsid w:val="00E75C92"/>
    <w:rsid w:val="00E771DC"/>
    <w:rsid w:val="00E8772A"/>
    <w:rsid w:val="00E90B01"/>
    <w:rsid w:val="00E90F6B"/>
    <w:rsid w:val="00E92C27"/>
    <w:rsid w:val="00EA0E3D"/>
    <w:rsid w:val="00EB148B"/>
    <w:rsid w:val="00EB611C"/>
    <w:rsid w:val="00EC38A7"/>
    <w:rsid w:val="00ED33A1"/>
    <w:rsid w:val="00EE1AA8"/>
    <w:rsid w:val="00EF46B5"/>
    <w:rsid w:val="00F23FEA"/>
    <w:rsid w:val="00F31EDC"/>
    <w:rsid w:val="00F462B3"/>
    <w:rsid w:val="00F5664F"/>
    <w:rsid w:val="00F616D6"/>
    <w:rsid w:val="00F666C4"/>
    <w:rsid w:val="00F76AFC"/>
    <w:rsid w:val="00FA47C0"/>
    <w:rsid w:val="00FB5DD1"/>
    <w:rsid w:val="00FC2B5D"/>
    <w:rsid w:val="00FD0DE3"/>
    <w:rsid w:val="00FF1449"/>
    <w:rsid w:val="00FF2031"/>
    <w:rsid w:val="00FF7963"/>
    <w:rsid w:val="071B8F93"/>
    <w:rsid w:val="07C73DD1"/>
    <w:rsid w:val="09908A09"/>
    <w:rsid w:val="0EFE6349"/>
    <w:rsid w:val="0FF4CCA8"/>
    <w:rsid w:val="13CFC91B"/>
    <w:rsid w:val="19A2EC2C"/>
    <w:rsid w:val="20D805D0"/>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E1B7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E1B71"/>
    <w:rPr>
      <w:rFonts w:ascii="Geomanist Light" w:hAnsi="Geomanist Light"/>
      <w:lang w:val="es-ES"/>
    </w:rPr>
  </w:style>
  <w:style w:type="character" w:customStyle="1" w:styleId="NormalWebCar">
    <w:name w:val="Normal (Web) Car"/>
    <w:link w:val="NormalWeb"/>
    <w:uiPriority w:val="99"/>
    <w:rsid w:val="001E1B71"/>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1E1B71"/>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carlosorozcohernandez4@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6876580-330A-4EEB-BD73-5C590E66FA8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13</Pages>
  <Words>4172</Words>
  <Characters>22280</Characters>
  <Application>Microsoft Office Word</Application>
  <DocSecurity>0</DocSecurity>
  <Lines>454</Lines>
  <Paragraphs>94</Paragraphs>
  <ScaleCrop>false</ScaleCrop>
  <Company/>
  <LinksUpToDate>false</LinksUpToDate>
  <CharactersWithSpaces>26358</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1310837</vt:i4>
      </vt:variant>
      <vt:variant>
        <vt:i4>0</vt:i4>
      </vt:variant>
      <vt:variant>
        <vt:i4>0</vt:i4>
      </vt:variant>
      <vt:variant>
        <vt:i4>5</vt:i4>
      </vt:variant>
      <vt:variant>
        <vt:lpwstr>mailto:juancarlosorozcohernandez4@gmail.com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Natalia Montoya Jiménez</cp:lastModifiedBy>
  <cp:revision>14</cp:revision>
  <cp:lastPrinted>2023-01-10T21:18:00Z</cp:lastPrinted>
  <dcterms:created xsi:type="dcterms:W3CDTF">2026-03-26T20:44:00Z</dcterms:created>
  <dcterms:modified xsi:type="dcterms:W3CDTF">2026-04-07T14:41:00Z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