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1818D" w14:textId="0C93BF1D" w:rsidR="00585982" w:rsidRDefault="00585982" w:rsidP="00C0431F">
      <w:pPr>
        <w:spacing w:line="240" w:lineRule="auto"/>
        <w:jc w:val="both"/>
        <w:rPr>
          <w:rFonts w:ascii="Verdana" w:hAnsi="Verdana" w:cs="Arial"/>
          <w:b/>
          <w:lang w:val="es-ES" w:eastAsia="es-ES"/>
        </w:rPr>
      </w:pPr>
      <w:bookmarkStart w:id="0" w:name="_Hlk143780582"/>
      <w:r w:rsidRPr="00585982">
        <w:rPr>
          <w:rFonts w:ascii="Verdana" w:hAnsi="Verdana" w:cs="Arial"/>
          <w:b/>
          <w:lang w:val="es-ES" w:eastAsia="es-ES"/>
        </w:rPr>
        <w:t>CONTRATOS Y CONVENIOS INTERADMINISTRATIVOS – Noción – Diferencias</w:t>
      </w:r>
    </w:p>
    <w:p w14:paraId="52C493D8" w14:textId="77777777" w:rsidR="00585982" w:rsidRPr="00585982" w:rsidRDefault="00585982" w:rsidP="00585982">
      <w:pPr>
        <w:spacing w:after="120" w:line="276" w:lineRule="auto"/>
        <w:jc w:val="both"/>
        <w:rPr>
          <w:rFonts w:ascii="Verdana" w:hAnsi="Verdana"/>
          <w:sz w:val="20"/>
          <w:szCs w:val="20"/>
        </w:rPr>
      </w:pPr>
      <w:r w:rsidRPr="00585982">
        <w:rPr>
          <w:rFonts w:ascii="Verdana" w:hAnsi="Verdana"/>
          <w:sz w:val="20"/>
          <w:szCs w:val="20"/>
        </w:rPr>
        <w:t>Ahora bien, la calidad de contrato o convenio depende del tipo de obligaciones que se adquieren por cada una de las partes de la relación contractual. Por ejemplo, los contratos interadministrativos implican obligaciones de contenido patrimonial, por lo que son onerosos y cada parte asume un gravamen en beneficio de la otra; además, las partes actúan con intereses opuestos: la entidad estatal contratante busca satisfacer el interés público, mientras que la entidad contratista persigue un interés propio de carácter económico. Por otro lado, los convenios no tienen una finalidad lucrativa, pues su objeto es desarrollar actividades que contribuyen directamente a un fin común, de tal forma que las entidades involucradas actúan con intereses convergentes y cooperan para cumplir funciones administrativas o prestar servicios alineados con el interés general, sin que exista una contraprestación propiamente dicha.</w:t>
      </w:r>
    </w:p>
    <w:p w14:paraId="4BBDFDF6" w14:textId="79A63786" w:rsidR="00585982" w:rsidRPr="00585982" w:rsidRDefault="00585982" w:rsidP="00C0431F">
      <w:pPr>
        <w:spacing w:line="240" w:lineRule="auto"/>
        <w:jc w:val="both"/>
        <w:rPr>
          <w:rFonts w:ascii="Verdana" w:eastAsia="Geomanist Light" w:hAnsi="Verdana" w:cs="Arial"/>
          <w:b/>
          <w:color w:val="000000" w:themeColor="text1"/>
        </w:rPr>
      </w:pPr>
      <w:r w:rsidRPr="00585982">
        <w:rPr>
          <w:rFonts w:ascii="Verdana" w:hAnsi="Verdana" w:cs="Arial"/>
          <w:b/>
          <w:lang w:val="es-ES" w:eastAsia="es-ES"/>
        </w:rPr>
        <w:t>CONVENIO INTERADMINISTRATIVO – Naturaleza – Inaplicabilidad – Ley 80 de 1993</w:t>
      </w:r>
    </w:p>
    <w:p w14:paraId="50150DEB" w14:textId="77777777" w:rsidR="00585982" w:rsidRPr="00585982" w:rsidRDefault="00585982" w:rsidP="00585982">
      <w:pPr>
        <w:spacing w:after="120" w:line="276" w:lineRule="auto"/>
        <w:jc w:val="both"/>
        <w:rPr>
          <w:rFonts w:ascii="Verdana" w:eastAsiaTheme="minorEastAsia" w:hAnsi="Verdana" w:cs="Arial"/>
          <w:sz w:val="20"/>
          <w:szCs w:val="20"/>
          <w:lang w:eastAsia="es-CO"/>
        </w:rPr>
      </w:pPr>
      <w:r w:rsidRPr="00585982">
        <w:rPr>
          <w:rFonts w:ascii="Verdana" w:eastAsiaTheme="minorEastAsia" w:hAnsi="Verdana" w:cs="Arial"/>
          <w:sz w:val="20"/>
          <w:szCs w:val="20"/>
          <w:lang w:eastAsia="es-CO"/>
        </w:rPr>
        <w:t>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w:t>
      </w:r>
    </w:p>
    <w:p w14:paraId="14A42DB3" w14:textId="4B649CA7" w:rsidR="00585982" w:rsidRPr="00585982" w:rsidRDefault="00585982" w:rsidP="00585982">
      <w:pPr>
        <w:spacing w:line="240" w:lineRule="auto"/>
        <w:jc w:val="both"/>
        <w:rPr>
          <w:rFonts w:ascii="Verdana" w:eastAsia="Geomanist Light" w:hAnsi="Verdana" w:cs="Arial"/>
          <w:color w:val="000000" w:themeColor="text1"/>
          <w:sz w:val="20"/>
          <w:szCs w:val="20"/>
          <w:lang w:val="es-MX"/>
        </w:rPr>
      </w:pPr>
      <w:r w:rsidRPr="00585982">
        <w:rPr>
          <w:rFonts w:ascii="Verdana" w:eastAsiaTheme="minorEastAsia" w:hAnsi="Verdana" w:cs="Arial"/>
          <w:sz w:val="20"/>
          <w:szCs w:val="20"/>
          <w:lang w:eastAsia="es-CO"/>
        </w:rPr>
        <w:t>Un contrato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 Nótese que, en este caso, lo que cambia es la modalidad de selección y no la naturaleza de contrato</w:t>
      </w:r>
      <w:r w:rsidRPr="00585982">
        <w:rPr>
          <w:rFonts w:ascii="Verdana" w:eastAsiaTheme="minorEastAsia" w:hAnsi="Verdana" w:cs="Arial"/>
          <w:spacing w:val="-18"/>
          <w:sz w:val="20"/>
          <w:szCs w:val="20"/>
          <w:lang w:eastAsia="es-CO"/>
        </w:rPr>
        <w:t xml:space="preserve"> </w:t>
      </w:r>
      <w:r w:rsidRPr="00585982">
        <w:rPr>
          <w:rFonts w:ascii="Verdana" w:eastAsiaTheme="minorEastAsia" w:hAnsi="Verdana" w:cs="Arial"/>
          <w:sz w:val="20"/>
          <w:szCs w:val="20"/>
          <w:lang w:eastAsia="es-CO"/>
        </w:rPr>
        <w:t>interadministrativo</w:t>
      </w:r>
    </w:p>
    <w:p w14:paraId="565A48AF" w14:textId="01628F2D" w:rsidR="00585982" w:rsidRPr="00585982" w:rsidRDefault="00585982" w:rsidP="00C0431F">
      <w:pPr>
        <w:spacing w:line="240" w:lineRule="auto"/>
        <w:jc w:val="both"/>
        <w:rPr>
          <w:rFonts w:ascii="Verdana" w:eastAsia="Geomanist Light" w:hAnsi="Verdana" w:cs="Arial"/>
          <w:b/>
          <w:color w:val="000000" w:themeColor="text1"/>
          <w:lang w:val="es-MX"/>
        </w:rPr>
      </w:pPr>
      <w:r w:rsidRPr="00585982">
        <w:rPr>
          <w:rFonts w:ascii="Verdana" w:hAnsi="Verdana" w:cs="Arial"/>
          <w:b/>
          <w:lang w:val="es-ES" w:eastAsia="es-ES"/>
        </w:rPr>
        <w:t>LEY DE GARANTÍAS ELECTORALES – Restricciones – Artículo 38 – Artículo 33</w:t>
      </w:r>
    </w:p>
    <w:p w14:paraId="7DFBF957" w14:textId="5227B60C" w:rsidR="00DE52CE" w:rsidRPr="00DE52CE" w:rsidRDefault="00DE52CE" w:rsidP="00DE52CE">
      <w:pPr>
        <w:spacing w:after="120" w:line="276" w:lineRule="auto"/>
        <w:jc w:val="both"/>
        <w:rPr>
          <w:rFonts w:ascii="Verdana" w:eastAsia="Calibri" w:hAnsi="Verdana" w:cs="Arial"/>
          <w:sz w:val="20"/>
          <w:szCs w:val="20"/>
        </w:rPr>
      </w:pPr>
      <w:r>
        <w:rPr>
          <w:rFonts w:ascii="Verdana" w:eastAsia="Calibri" w:hAnsi="Verdana" w:cs="Arial"/>
          <w:sz w:val="20"/>
          <w:szCs w:val="20"/>
        </w:rPr>
        <w:t xml:space="preserve">[…] </w:t>
      </w:r>
      <w:r w:rsidRPr="00DE52CE">
        <w:rPr>
          <w:rFonts w:ascii="Verdana" w:eastAsia="Calibri" w:hAnsi="Verdana" w:cs="Arial"/>
          <w:sz w:val="20"/>
          <w:szCs w:val="20"/>
        </w:rPr>
        <w:t xml:space="preserve">el </w:t>
      </w:r>
      <w:r w:rsidRPr="00DE52CE">
        <w:rPr>
          <w:rFonts w:ascii="Verdana" w:eastAsia="Calibri" w:hAnsi="Verdana" w:cs="Arial"/>
          <w:i/>
          <w:iCs/>
          <w:sz w:val="20"/>
          <w:szCs w:val="20"/>
        </w:rPr>
        <w:t>artículo 33 de la Ley 996 de 2005</w:t>
      </w:r>
      <w:r w:rsidRPr="00DE52CE">
        <w:rPr>
          <w:rFonts w:ascii="Verdana" w:eastAsia="Calibri" w:hAnsi="Verdana" w:cs="Arial"/>
          <w:sz w:val="20"/>
          <w:szCs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69978D0" w14:textId="587FC8B1" w:rsidR="00DE52CE" w:rsidRPr="00DE52CE" w:rsidRDefault="00DE52CE" w:rsidP="00DE52CE">
      <w:pPr>
        <w:widowControl w:val="0"/>
        <w:autoSpaceDE w:val="0"/>
        <w:autoSpaceDN w:val="0"/>
        <w:spacing w:after="120" w:line="276" w:lineRule="auto"/>
        <w:ind w:right="113"/>
        <w:jc w:val="both"/>
        <w:rPr>
          <w:rFonts w:ascii="Verdana" w:eastAsia="Arial" w:hAnsi="Verdana" w:cs="Arial"/>
          <w:sz w:val="20"/>
          <w:szCs w:val="20"/>
          <w:lang w:val="es-ES" w:eastAsia="es-ES" w:bidi="es-ES"/>
        </w:rPr>
      </w:pPr>
      <w:r w:rsidRPr="00DE52CE">
        <w:rPr>
          <w:rFonts w:ascii="Verdana" w:eastAsia="Calibri" w:hAnsi="Verdana" w:cs="Arial"/>
          <w:sz w:val="20"/>
          <w:szCs w:val="20"/>
        </w:rPr>
        <w:lastRenderedPageBreak/>
        <w:t xml:space="preserve">Por otro lado, </w:t>
      </w:r>
      <w:r w:rsidRPr="00DE52CE">
        <w:rPr>
          <w:rFonts w:ascii="Verdana" w:eastAsia="Calibri" w:hAnsi="Verdana" w:cs="Arial"/>
          <w:i/>
          <w:iCs/>
          <w:sz w:val="20"/>
          <w:szCs w:val="20"/>
        </w:rPr>
        <w:t>el parágrafo del artículo 38 de la Ley 996 de 2005</w:t>
      </w:r>
      <w:r w:rsidRPr="00DE52CE">
        <w:rPr>
          <w:rFonts w:ascii="Verdana" w:eastAsia="Calibri" w:hAnsi="Verdana" w:cs="Arial"/>
          <w:sz w:val="20"/>
          <w:szCs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DE52CE">
        <w:rPr>
          <w:rFonts w:ascii="Verdana" w:eastAsia="Calibri" w:hAnsi="Verdana" w:cs="Arial"/>
          <w:sz w:val="20"/>
          <w:szCs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DE52CE">
        <w:rPr>
          <w:rFonts w:ascii="Verdana" w:eastAsia="Calibri" w:hAnsi="Verdana" w:cs="Arial"/>
          <w:sz w:val="20"/>
          <w:szCs w:val="20"/>
        </w:rPr>
        <w:t>”</w:t>
      </w:r>
      <w:r w:rsidRPr="00DE52CE">
        <w:rPr>
          <w:rFonts w:ascii="Verdana" w:eastAsia="Calibri" w:hAnsi="Verdana" w:cs="Arial"/>
          <w:sz w:val="20"/>
          <w:szCs w:val="20"/>
          <w:lang w:val="es-MX"/>
        </w:rPr>
        <w:t>.</w:t>
      </w:r>
      <w:r w:rsidRPr="00DE52CE">
        <w:rPr>
          <w:rFonts w:ascii="Verdana" w:eastAsia="Arial" w:hAnsi="Verdana" w:cs="Arial"/>
          <w:sz w:val="20"/>
          <w:szCs w:val="20"/>
          <w:lang w:val="es-ES" w:eastAsia="es-ES" w:bidi="es-ES"/>
        </w:rPr>
        <w:t xml:space="preserve"> </w:t>
      </w:r>
    </w:p>
    <w:p w14:paraId="721CA21D" w14:textId="3E267B7A" w:rsidR="00585982" w:rsidRPr="00DE52CE" w:rsidRDefault="00DE52CE" w:rsidP="00DE52CE">
      <w:pPr>
        <w:spacing w:line="240" w:lineRule="auto"/>
        <w:jc w:val="both"/>
        <w:rPr>
          <w:rFonts w:ascii="Verdana" w:eastAsia="Geomanist Light" w:hAnsi="Verdana" w:cs="Arial"/>
          <w:color w:val="000000" w:themeColor="text1"/>
          <w:sz w:val="20"/>
          <w:szCs w:val="20"/>
          <w:lang w:val="es-MX"/>
        </w:rPr>
      </w:pPr>
      <w:r w:rsidRPr="00DE52CE">
        <w:rPr>
          <w:rFonts w:ascii="Verdana" w:eastAsia="Times New Roman" w:hAnsi="Verdana" w:cs="Arial"/>
          <w:bCs/>
          <w:sz w:val="20"/>
          <w:szCs w:val="20"/>
          <w:lang w:val="es-MX" w:eastAsia="es-CO"/>
        </w:rPr>
        <w:t>Para entender el momento de aplicación de estas restricciones, es preciso señalar que el vocablo “celebrar” es definido por el Diccionario Panhispánico del Español Jurídico como: “</w:t>
      </w:r>
      <w:r w:rsidRPr="00DE52CE">
        <w:rPr>
          <w:rFonts w:ascii="Verdana" w:eastAsia="Times New Roman" w:hAnsi="Verdana" w:cs="Arial"/>
          <w:bCs/>
          <w:sz w:val="20"/>
          <w:szCs w:val="20"/>
          <w:lang w:eastAsia="es-CO"/>
        </w:rPr>
        <w:t>1. </w:t>
      </w:r>
      <w:r w:rsidRPr="00DE52CE">
        <w:rPr>
          <w:rFonts w:ascii="Verdana" w:eastAsia="Times New Roman" w:hAnsi="Verdana" w:cs="Arial"/>
          <w:bCs/>
          <w:i/>
          <w:iCs/>
          <w:sz w:val="20"/>
          <w:szCs w:val="20"/>
          <w:lang w:eastAsia="es-CO"/>
        </w:rPr>
        <w:t>Gral.</w:t>
      </w:r>
      <w:r w:rsidRPr="00DE52CE">
        <w:rPr>
          <w:rFonts w:ascii="Verdana" w:eastAsia="Times New Roman" w:hAnsi="Verdana" w:cs="Arial"/>
          <w:bCs/>
          <w:sz w:val="20"/>
          <w:szCs w:val="20"/>
          <w:lang w:eastAsia="es-CO"/>
        </w:rPr>
        <w:t xml:space="preserve"> Otorgar o firmar un contrato. 2. </w:t>
      </w:r>
      <w:proofErr w:type="spellStart"/>
      <w:r w:rsidRPr="00DE52CE">
        <w:rPr>
          <w:rFonts w:ascii="Verdana" w:eastAsia="Times New Roman" w:hAnsi="Verdana" w:cs="Arial"/>
          <w:bCs/>
          <w:i/>
          <w:iCs/>
          <w:sz w:val="20"/>
          <w:szCs w:val="20"/>
          <w:lang w:eastAsia="es-CO"/>
        </w:rPr>
        <w:t>Proc</w:t>
      </w:r>
      <w:proofErr w:type="spellEnd"/>
      <w:r w:rsidRPr="00DE52CE">
        <w:rPr>
          <w:rFonts w:ascii="Verdana" w:eastAsia="Times New Roman" w:hAnsi="Verdana" w:cs="Arial"/>
          <w:bCs/>
          <w:i/>
          <w:iCs/>
          <w:sz w:val="20"/>
          <w:szCs w:val="20"/>
          <w:lang w:eastAsia="es-CO"/>
        </w:rPr>
        <w:t>.</w:t>
      </w:r>
      <w:r w:rsidRPr="00DE52CE">
        <w:rPr>
          <w:rFonts w:ascii="Verdana" w:eastAsia="Times New Roman" w:hAnsi="Verdana" w:cs="Arial"/>
          <w:bCs/>
          <w:sz w:val="20"/>
          <w:szCs w:val="20"/>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w:t>
      </w:r>
      <w:r>
        <w:rPr>
          <w:rFonts w:ascii="Verdana" w:eastAsia="Times New Roman" w:hAnsi="Verdana" w:cs="Arial"/>
          <w:bCs/>
          <w:sz w:val="20"/>
          <w:szCs w:val="20"/>
          <w:lang w:eastAsia="es-CO"/>
        </w:rPr>
        <w:t>.</w:t>
      </w:r>
    </w:p>
    <w:p w14:paraId="1D3F528C" w14:textId="08B6672A" w:rsidR="00585982" w:rsidRPr="00DE52CE" w:rsidRDefault="00DE52CE" w:rsidP="00C0431F">
      <w:pPr>
        <w:spacing w:line="240" w:lineRule="auto"/>
        <w:jc w:val="both"/>
        <w:rPr>
          <w:rFonts w:ascii="Verdana" w:eastAsia="Geomanist Light" w:hAnsi="Verdana" w:cs="Arial"/>
          <w:b/>
          <w:color w:val="000000" w:themeColor="text1"/>
          <w:lang w:val="es-MX"/>
        </w:rPr>
      </w:pPr>
      <w:r w:rsidRPr="00DE52CE">
        <w:rPr>
          <w:rFonts w:ascii="Verdana" w:hAnsi="Verdana" w:cs="Arial"/>
          <w:b/>
          <w:lang w:val="es-ES" w:eastAsia="es-ES"/>
        </w:rPr>
        <w:t xml:space="preserve">LEY DE GARANTÍAS ELECTORALES – Restricciones </w:t>
      </w:r>
      <w:r w:rsidR="0063701C" w:rsidRPr="0063701C">
        <w:rPr>
          <w:rFonts w:ascii="Verdana" w:hAnsi="Verdana" w:cs="Arial"/>
          <w:b/>
          <w:bCs/>
          <w:lang w:val="es-ES" w:eastAsia="es-ES"/>
        </w:rPr>
        <w:t>–</w:t>
      </w:r>
      <w:r w:rsidRPr="00DE52CE">
        <w:rPr>
          <w:rFonts w:ascii="Verdana" w:hAnsi="Verdana" w:cs="Arial"/>
          <w:b/>
          <w:lang w:val="es-ES" w:eastAsia="es-ES"/>
        </w:rPr>
        <w:t xml:space="preserve"> LEY DE GARANTÍAS ELECTORALES – Posturas del Consejo de Estado</w:t>
      </w:r>
    </w:p>
    <w:p w14:paraId="559A4A96" w14:textId="77777777" w:rsidR="00E17AEA" w:rsidRPr="00E17AEA" w:rsidRDefault="00E17AEA" w:rsidP="00E17AEA">
      <w:pPr>
        <w:spacing w:after="120" w:line="276" w:lineRule="auto"/>
        <w:jc w:val="both"/>
        <w:rPr>
          <w:rFonts w:ascii="Verdana" w:eastAsiaTheme="minorEastAsia" w:hAnsi="Verdana" w:cs="Arial"/>
          <w:sz w:val="20"/>
          <w:szCs w:val="20"/>
          <w:lang w:eastAsia="es-CO"/>
        </w:rPr>
      </w:pPr>
      <w:r w:rsidRPr="00E17AEA">
        <w:rPr>
          <w:rFonts w:ascii="Verdana" w:eastAsiaTheme="minorEastAsia" w:hAnsi="Verdana" w:cs="Arial"/>
          <w:sz w:val="20"/>
          <w:szCs w:val="20"/>
          <w:lang w:eastAsia="es-CO"/>
        </w:rPr>
        <w:t>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pública”</w:t>
      </w:r>
      <w:r w:rsidRPr="00E17AEA">
        <w:rPr>
          <w:rFonts w:ascii="Verdana" w:eastAsiaTheme="minorEastAsia" w:hAnsi="Verdana" w:cs="Arial"/>
          <w:sz w:val="20"/>
          <w:szCs w:val="20"/>
          <w:vertAlign w:val="superscript"/>
          <w:lang w:eastAsia="es-CO"/>
        </w:rPr>
        <w:footnoteReference w:id="1"/>
      </w:r>
      <w:r w:rsidRPr="00E17AEA">
        <w:rPr>
          <w:rFonts w:ascii="Verdana" w:eastAsiaTheme="minorEastAsia" w:hAnsi="Verdana" w:cs="Arial"/>
          <w:sz w:val="20"/>
          <w:szCs w:val="20"/>
          <w:lang w:eastAsia="es-CO"/>
        </w:rPr>
        <w:t xml:space="preserve">. Así las cosas, esta clase de acuerdos de voluntades se definen por un criterio orgánico, por lo que uno de sus elementos esenciales es que en los extremos de la relación jurídico negocial concurran personas de derecho público. 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Al respecto, el Consejo de Estado distingue las dos instituciones, de la siguiente forma: </w:t>
      </w:r>
    </w:p>
    <w:p w14:paraId="1B2C3655" w14:textId="77777777" w:rsidR="00E17AEA" w:rsidRPr="00E17AEA" w:rsidRDefault="00E17AEA" w:rsidP="00E17AEA">
      <w:pPr>
        <w:spacing w:after="0" w:line="276" w:lineRule="auto"/>
        <w:ind w:firstLine="709"/>
        <w:jc w:val="both"/>
        <w:rPr>
          <w:rFonts w:ascii="Verdana" w:eastAsiaTheme="minorEastAsia" w:hAnsi="Verdana" w:cs="Arial"/>
          <w:sz w:val="20"/>
          <w:szCs w:val="20"/>
          <w:lang w:eastAsia="es-CO"/>
        </w:rPr>
      </w:pPr>
    </w:p>
    <w:p w14:paraId="0A2D2C8E" w14:textId="77777777" w:rsidR="00E17AEA" w:rsidRPr="00E17AEA" w:rsidRDefault="00E17AEA" w:rsidP="00E17AEA">
      <w:pPr>
        <w:spacing w:after="0" w:line="240" w:lineRule="auto"/>
        <w:ind w:left="709" w:right="709"/>
        <w:jc w:val="both"/>
        <w:rPr>
          <w:rFonts w:ascii="Verdana" w:eastAsiaTheme="minorEastAsia" w:hAnsi="Verdana" w:cs="Arial"/>
          <w:sz w:val="20"/>
          <w:szCs w:val="20"/>
          <w:lang w:eastAsia="es-CO"/>
        </w:rPr>
      </w:pPr>
      <w:r w:rsidRPr="00E17AEA">
        <w:rPr>
          <w:rFonts w:ascii="Verdana" w:eastAsiaTheme="minorEastAsia" w:hAnsi="Verdana" w:cs="Arial"/>
          <w:sz w:val="20"/>
          <w:szCs w:val="20"/>
          <w:lang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0212F69E" w14:textId="77777777" w:rsidR="00E17AEA" w:rsidRPr="00E17AEA" w:rsidRDefault="00E17AEA" w:rsidP="00E17AEA">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E17AEA">
        <w:rPr>
          <w:rFonts w:ascii="Verdana" w:eastAsiaTheme="minorEastAsia" w:hAnsi="Verdana" w:cs="Arial"/>
          <w:sz w:val="20"/>
          <w:szCs w:val="20"/>
          <w:lang w:val="es-ES" w:eastAsia="es-CO"/>
        </w:rPr>
        <w:t xml:space="preserve">El objeto de los contratos lo constituyen obligaciones de contenido patrimonial y, por </w:t>
      </w:r>
      <w:r w:rsidRPr="00E17AEA">
        <w:rPr>
          <w:rFonts w:ascii="Verdana" w:eastAsiaTheme="minorEastAsia" w:hAnsi="Verdana" w:cs="Arial"/>
          <w:sz w:val="20"/>
          <w:szCs w:val="20"/>
          <w:lang w:eastAsia="es-CO"/>
        </w:rPr>
        <w:t xml:space="preserve">lo mismo, son onerosos, lo que implica el gravamen de cada parte en beneficio de la otra. En el contrato, como verdadero acuerdo de voluntades productor de efectos jurídicos, las partes actúan con intereses disímiles y contrapuestos; la entidad estatal contratante en un </w:t>
      </w:r>
      <w:r w:rsidRPr="00E17AEA">
        <w:rPr>
          <w:rFonts w:ascii="Verdana" w:eastAsiaTheme="minorEastAsia" w:hAnsi="Verdana" w:cs="Arial"/>
          <w:sz w:val="20"/>
          <w:szCs w:val="20"/>
          <w:lang w:eastAsia="es-CO"/>
        </w:rPr>
        <w:lastRenderedPageBreak/>
        <w:t>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2C8BB343" w14:textId="77777777" w:rsidR="00E17AEA" w:rsidRPr="00E17AEA" w:rsidRDefault="00E17AEA" w:rsidP="00E17AEA">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E17AEA">
        <w:rPr>
          <w:rFonts w:ascii="Verdana" w:eastAsiaTheme="minorEastAsia" w:hAnsi="Verdana" w:cs="Arial"/>
          <w:sz w:val="20"/>
          <w:szCs w:val="20"/>
          <w:lang w:eastAsia="es-CO"/>
        </w:rPr>
        <w:t>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0668DD19" w14:textId="28409A77" w:rsidR="00E17AEA" w:rsidRPr="00E17AEA" w:rsidRDefault="00E17AEA" w:rsidP="00E17AEA">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E17AEA">
        <w:rPr>
          <w:rFonts w:ascii="Verdana" w:eastAsiaTheme="minorEastAsia" w:hAnsi="Verdana" w:cs="Arial"/>
          <w:sz w:val="20"/>
          <w:szCs w:val="20"/>
          <w:lang w:eastAsia="es-CO"/>
        </w:rPr>
        <w:t>Los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analizadas, se desarrollan en un ámbito de preeminencia o  superioridad jurídica de la entidad estatal contratante respecto de la entidad contratista y, por lo mismo, podrá haber prerrogativas a favor de una de las partes. De esta manera, en el contrato 'se puede identificar contratante y contratista, y el segundo, aunque persona pública, tiene intereses y está en un mercado de forma similar a como lo hace un particular”.</w:t>
      </w:r>
    </w:p>
    <w:p w14:paraId="7FF6C4B2" w14:textId="77777777" w:rsidR="00E17AEA" w:rsidRPr="00E17AEA" w:rsidRDefault="00E17AEA" w:rsidP="00E17AEA">
      <w:pPr>
        <w:spacing w:after="0" w:line="276" w:lineRule="auto"/>
        <w:ind w:right="709"/>
        <w:jc w:val="both"/>
        <w:rPr>
          <w:rFonts w:ascii="Verdana" w:eastAsia="Times New Roman" w:hAnsi="Verdana" w:cs="Arial"/>
          <w:sz w:val="20"/>
          <w:szCs w:val="20"/>
          <w:lang w:eastAsia="es-ES_tradnl"/>
        </w:rPr>
      </w:pPr>
    </w:p>
    <w:p w14:paraId="5DE944B1" w14:textId="3BC034E5" w:rsidR="00585982" w:rsidRPr="00E17AEA" w:rsidRDefault="00E17AEA" w:rsidP="00E17AEA">
      <w:pPr>
        <w:spacing w:line="240" w:lineRule="auto"/>
        <w:jc w:val="both"/>
        <w:rPr>
          <w:rFonts w:ascii="Verdana" w:eastAsia="Geomanist Light" w:hAnsi="Verdana" w:cs="Arial"/>
          <w:color w:val="000000" w:themeColor="text1"/>
          <w:sz w:val="20"/>
          <w:szCs w:val="20"/>
          <w:lang w:val="es-MX"/>
        </w:rPr>
      </w:pPr>
      <w:r w:rsidRPr="00E17AEA">
        <w:rPr>
          <w:rFonts w:ascii="Verdana" w:eastAsiaTheme="minorEastAsia" w:hAnsi="Verdana" w:cs="Arial"/>
          <w:sz w:val="20"/>
          <w:szCs w:val="20"/>
          <w:lang w:eastAsia="es-CO"/>
        </w:rPr>
        <w:t>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w:t>
      </w:r>
      <w:r>
        <w:rPr>
          <w:rFonts w:ascii="Verdana" w:eastAsiaTheme="minorEastAsia" w:hAnsi="Verdana" w:cs="Arial"/>
          <w:sz w:val="20"/>
          <w:szCs w:val="20"/>
          <w:lang w:eastAsia="es-CO"/>
        </w:rPr>
        <w:t>.</w:t>
      </w:r>
    </w:p>
    <w:p w14:paraId="03503458" w14:textId="277E0A8F" w:rsidR="00585982" w:rsidRPr="00E17AEA" w:rsidRDefault="00E17AEA" w:rsidP="00C0431F">
      <w:pPr>
        <w:spacing w:line="240" w:lineRule="auto"/>
        <w:jc w:val="both"/>
        <w:rPr>
          <w:rFonts w:ascii="Verdana" w:eastAsia="Geomanist Light" w:hAnsi="Verdana" w:cs="Arial"/>
          <w:b/>
          <w:color w:val="000000" w:themeColor="text1"/>
          <w:lang w:val="es-MX"/>
        </w:rPr>
      </w:pPr>
      <w:r w:rsidRPr="00E17AEA">
        <w:rPr>
          <w:rFonts w:ascii="Verdana" w:hAnsi="Verdana" w:cs="Arial"/>
          <w:b/>
          <w:lang w:val="es-ES" w:eastAsia="es-ES"/>
        </w:rPr>
        <w:t>LEY DE GARANTIAS – Restricciones</w:t>
      </w:r>
      <w:r w:rsidR="0063701C">
        <w:rPr>
          <w:rFonts w:ascii="Verdana" w:hAnsi="Verdana" w:cs="Arial"/>
          <w:b/>
          <w:lang w:val="es-ES" w:eastAsia="es-ES"/>
        </w:rPr>
        <w:t xml:space="preserve"> </w:t>
      </w:r>
      <w:r w:rsidR="0063701C" w:rsidRPr="0063701C">
        <w:rPr>
          <w:rFonts w:ascii="Verdana" w:hAnsi="Verdana" w:cs="Arial"/>
          <w:b/>
          <w:bCs/>
          <w:lang w:val="es-ES" w:eastAsia="es-ES"/>
        </w:rPr>
        <w:t>–</w:t>
      </w:r>
      <w:r w:rsidR="0063701C">
        <w:rPr>
          <w:rFonts w:ascii="Verdana" w:hAnsi="Verdana" w:cs="Arial"/>
          <w:b/>
          <w:lang w:val="es-ES" w:eastAsia="es-ES"/>
        </w:rPr>
        <w:t xml:space="preserve"> </w:t>
      </w:r>
      <w:r w:rsidRPr="00E17AEA">
        <w:rPr>
          <w:rFonts w:ascii="Verdana" w:hAnsi="Verdana" w:cs="Arial"/>
          <w:b/>
          <w:lang w:val="es-ES" w:eastAsia="es-ES"/>
        </w:rPr>
        <w:t>Celebración de Contratos y Convenios – Transferencia de recursos</w:t>
      </w:r>
    </w:p>
    <w:p w14:paraId="353F46CB" w14:textId="4152E3CF" w:rsidR="00E17AEA" w:rsidRPr="00E17AEA" w:rsidRDefault="00E17AEA" w:rsidP="00E17AEA">
      <w:pPr>
        <w:spacing w:after="120" w:line="276" w:lineRule="auto"/>
        <w:jc w:val="both"/>
        <w:rPr>
          <w:rFonts w:ascii="Verdana" w:hAnsi="Verdana"/>
          <w:sz w:val="20"/>
          <w:szCs w:val="20"/>
        </w:rPr>
      </w:pPr>
      <w:r>
        <w:rPr>
          <w:rFonts w:ascii="Verdana" w:hAnsi="Verdana"/>
          <w:sz w:val="20"/>
          <w:szCs w:val="20"/>
        </w:rPr>
        <w:t xml:space="preserve">[…] </w:t>
      </w:r>
      <w:r w:rsidRPr="00E17AEA">
        <w:rPr>
          <w:rFonts w:ascii="Verdana" w:hAnsi="Verdana"/>
          <w:sz w:val="20"/>
          <w:szCs w:val="20"/>
        </w:rPr>
        <w:t>la denominación de convenios de transferencia de recursos depende de la naturaleza jurídica de las partes que los suscriben. Cuando una entidad territorial celebra estos acuerdos con una entidad con participación estatal, se configura un contrato o convenio interadministrativo.</w:t>
      </w:r>
    </w:p>
    <w:p w14:paraId="680FCC86" w14:textId="578BB888" w:rsidR="00585982" w:rsidRPr="00E17AEA" w:rsidRDefault="00E17AEA" w:rsidP="00E17AEA">
      <w:pPr>
        <w:spacing w:line="240" w:lineRule="auto"/>
        <w:jc w:val="both"/>
        <w:rPr>
          <w:rFonts w:ascii="Verdana" w:eastAsia="Geomanist Light" w:hAnsi="Verdana" w:cs="Arial"/>
          <w:color w:val="000000" w:themeColor="text1"/>
          <w:sz w:val="20"/>
          <w:szCs w:val="20"/>
          <w:lang w:val="es-MX"/>
        </w:rPr>
      </w:pPr>
      <w:r w:rsidRPr="00E17AEA">
        <w:rPr>
          <w:rFonts w:ascii="Verdana" w:hAnsi="Verdana"/>
          <w:sz w:val="20"/>
          <w:szCs w:val="20"/>
        </w:rPr>
        <w:t xml:space="preserve">Ahora bien, la calidad de contrato o convenio depende del tipo de obligaciones que se adquieren por cada una de las partes de la relación contractual. Por ejemplo, los contratos interadministrativos implican obligaciones de contenido patrimonial, por lo que son onerosos y cada parte asume un gravamen en beneficio de la otra; además, las partes actúan con intereses opuestos: la entidad estatal contratante busca satisfacer el </w:t>
      </w:r>
      <w:r w:rsidRPr="00E17AEA">
        <w:rPr>
          <w:rFonts w:ascii="Verdana" w:hAnsi="Verdana"/>
          <w:sz w:val="20"/>
          <w:szCs w:val="20"/>
        </w:rPr>
        <w:lastRenderedPageBreak/>
        <w:t>interés público, mientras que la entidad contratista persigue un interés propio de carácter económico. Por otro lado, los convenios no tienen una finalidad lucrativa, pues su objeto es desarrollar actividades que contribuyen directamente a un fin común, de tal forma que las entidades involucradas actúan con intereses convergentes y cooperan para cumplir funciones administrativas o prestar servicios alineados con el interés general, sin que exista una contraprestación propiamente dicha.</w:t>
      </w:r>
    </w:p>
    <w:p w14:paraId="710021D7" w14:textId="77777777" w:rsidR="00585982" w:rsidRDefault="00585982" w:rsidP="00C0431F">
      <w:pPr>
        <w:spacing w:line="240" w:lineRule="auto"/>
        <w:jc w:val="both"/>
        <w:rPr>
          <w:rFonts w:ascii="Verdana" w:eastAsia="Geomanist Light" w:hAnsi="Verdana" w:cs="Arial"/>
          <w:color w:val="000000" w:themeColor="text1"/>
          <w:lang w:val="es-MX"/>
        </w:rPr>
      </w:pPr>
    </w:p>
    <w:p w14:paraId="574A7DB7" w14:textId="77777777" w:rsidR="00E17AEA" w:rsidRDefault="00E17AEA" w:rsidP="00C0431F">
      <w:pPr>
        <w:spacing w:line="240" w:lineRule="auto"/>
        <w:jc w:val="both"/>
        <w:rPr>
          <w:rFonts w:ascii="Verdana" w:eastAsia="Geomanist Light" w:hAnsi="Verdana" w:cs="Arial"/>
          <w:color w:val="000000" w:themeColor="text1"/>
          <w:lang w:val="es-MX"/>
        </w:rPr>
      </w:pPr>
    </w:p>
    <w:p w14:paraId="4011555F" w14:textId="77777777" w:rsidR="00E17AEA" w:rsidRDefault="00E17AEA" w:rsidP="00C0431F">
      <w:pPr>
        <w:spacing w:line="240" w:lineRule="auto"/>
        <w:jc w:val="both"/>
        <w:rPr>
          <w:rFonts w:ascii="Verdana" w:eastAsia="Geomanist Light" w:hAnsi="Verdana" w:cs="Arial"/>
          <w:color w:val="000000" w:themeColor="text1"/>
          <w:lang w:val="es-MX"/>
        </w:rPr>
      </w:pPr>
    </w:p>
    <w:p w14:paraId="7E6C7F89" w14:textId="77777777" w:rsidR="00E17AEA" w:rsidRDefault="00E17AEA" w:rsidP="00C0431F">
      <w:pPr>
        <w:spacing w:line="240" w:lineRule="auto"/>
        <w:jc w:val="both"/>
        <w:rPr>
          <w:rFonts w:ascii="Verdana" w:eastAsia="Geomanist Light" w:hAnsi="Verdana" w:cs="Arial"/>
          <w:color w:val="000000" w:themeColor="text1"/>
          <w:lang w:val="es-MX"/>
        </w:rPr>
      </w:pPr>
    </w:p>
    <w:p w14:paraId="0D5FEF97" w14:textId="77777777" w:rsidR="00E17AEA" w:rsidRDefault="00E17AEA" w:rsidP="00C0431F">
      <w:pPr>
        <w:spacing w:line="240" w:lineRule="auto"/>
        <w:jc w:val="both"/>
        <w:rPr>
          <w:rFonts w:ascii="Verdana" w:eastAsia="Geomanist Light" w:hAnsi="Verdana" w:cs="Arial"/>
          <w:color w:val="000000" w:themeColor="text1"/>
          <w:lang w:val="es-MX"/>
        </w:rPr>
      </w:pPr>
    </w:p>
    <w:p w14:paraId="5801F282" w14:textId="77777777" w:rsidR="00E17AEA" w:rsidRDefault="00E17AEA" w:rsidP="00C0431F">
      <w:pPr>
        <w:spacing w:line="240" w:lineRule="auto"/>
        <w:jc w:val="both"/>
        <w:rPr>
          <w:rFonts w:ascii="Verdana" w:eastAsia="Geomanist Light" w:hAnsi="Verdana" w:cs="Arial"/>
          <w:color w:val="000000" w:themeColor="text1"/>
          <w:lang w:val="es-MX"/>
        </w:rPr>
      </w:pPr>
    </w:p>
    <w:p w14:paraId="5DC1F120" w14:textId="77777777" w:rsidR="00E17AEA" w:rsidRDefault="00E17AEA" w:rsidP="00C0431F">
      <w:pPr>
        <w:spacing w:line="240" w:lineRule="auto"/>
        <w:jc w:val="both"/>
        <w:rPr>
          <w:rFonts w:ascii="Verdana" w:eastAsia="Geomanist Light" w:hAnsi="Verdana" w:cs="Arial"/>
          <w:color w:val="000000" w:themeColor="text1"/>
          <w:lang w:val="es-MX"/>
        </w:rPr>
      </w:pPr>
    </w:p>
    <w:p w14:paraId="2C3B59C1" w14:textId="77777777" w:rsidR="00E17AEA" w:rsidRDefault="00E17AEA" w:rsidP="00C0431F">
      <w:pPr>
        <w:spacing w:line="240" w:lineRule="auto"/>
        <w:jc w:val="both"/>
        <w:rPr>
          <w:rFonts w:ascii="Verdana" w:eastAsia="Geomanist Light" w:hAnsi="Verdana" w:cs="Arial"/>
          <w:color w:val="000000" w:themeColor="text1"/>
          <w:lang w:val="es-MX"/>
        </w:rPr>
      </w:pPr>
    </w:p>
    <w:p w14:paraId="1D8B2418" w14:textId="77777777" w:rsidR="00E17AEA" w:rsidRDefault="00E17AEA" w:rsidP="00C0431F">
      <w:pPr>
        <w:spacing w:line="240" w:lineRule="auto"/>
        <w:jc w:val="both"/>
        <w:rPr>
          <w:rFonts w:ascii="Verdana" w:eastAsia="Geomanist Light" w:hAnsi="Verdana" w:cs="Arial"/>
          <w:color w:val="000000" w:themeColor="text1"/>
          <w:lang w:val="es-MX"/>
        </w:rPr>
      </w:pPr>
    </w:p>
    <w:p w14:paraId="23A529A1" w14:textId="77777777" w:rsidR="00E17AEA" w:rsidRDefault="00E17AEA" w:rsidP="00C0431F">
      <w:pPr>
        <w:spacing w:line="240" w:lineRule="auto"/>
        <w:jc w:val="both"/>
        <w:rPr>
          <w:rFonts w:ascii="Verdana" w:eastAsia="Geomanist Light" w:hAnsi="Verdana" w:cs="Arial"/>
          <w:color w:val="000000" w:themeColor="text1"/>
          <w:lang w:val="es-MX"/>
        </w:rPr>
      </w:pPr>
    </w:p>
    <w:p w14:paraId="76A4F60C" w14:textId="77777777" w:rsidR="00E17AEA" w:rsidRDefault="00E17AEA" w:rsidP="00C0431F">
      <w:pPr>
        <w:spacing w:line="240" w:lineRule="auto"/>
        <w:jc w:val="both"/>
        <w:rPr>
          <w:rFonts w:ascii="Verdana" w:eastAsia="Geomanist Light" w:hAnsi="Verdana" w:cs="Arial"/>
          <w:color w:val="000000" w:themeColor="text1"/>
          <w:lang w:val="es-MX"/>
        </w:rPr>
      </w:pPr>
    </w:p>
    <w:p w14:paraId="1CFEE749" w14:textId="77777777" w:rsidR="00E17AEA" w:rsidRDefault="00E17AEA" w:rsidP="00C0431F">
      <w:pPr>
        <w:spacing w:line="240" w:lineRule="auto"/>
        <w:jc w:val="both"/>
        <w:rPr>
          <w:rFonts w:ascii="Verdana" w:eastAsia="Geomanist Light" w:hAnsi="Verdana" w:cs="Arial"/>
          <w:color w:val="000000" w:themeColor="text1"/>
          <w:lang w:val="es-MX"/>
        </w:rPr>
      </w:pPr>
    </w:p>
    <w:p w14:paraId="45AEDB85" w14:textId="77777777" w:rsidR="00E17AEA" w:rsidRDefault="00E17AEA" w:rsidP="00C0431F">
      <w:pPr>
        <w:spacing w:line="240" w:lineRule="auto"/>
        <w:jc w:val="both"/>
        <w:rPr>
          <w:rFonts w:ascii="Verdana" w:eastAsia="Geomanist Light" w:hAnsi="Verdana" w:cs="Arial"/>
          <w:color w:val="000000" w:themeColor="text1"/>
          <w:lang w:val="es-MX"/>
        </w:rPr>
      </w:pPr>
    </w:p>
    <w:p w14:paraId="072E6500" w14:textId="77777777" w:rsidR="00E17AEA" w:rsidRDefault="00E17AEA" w:rsidP="00C0431F">
      <w:pPr>
        <w:spacing w:line="240" w:lineRule="auto"/>
        <w:jc w:val="both"/>
        <w:rPr>
          <w:rFonts w:ascii="Verdana" w:eastAsia="Geomanist Light" w:hAnsi="Verdana" w:cs="Arial"/>
          <w:color w:val="000000" w:themeColor="text1"/>
          <w:lang w:val="es-MX"/>
        </w:rPr>
      </w:pPr>
    </w:p>
    <w:p w14:paraId="0F55391E" w14:textId="77777777" w:rsidR="00E17AEA" w:rsidRDefault="00E17AEA" w:rsidP="00C0431F">
      <w:pPr>
        <w:spacing w:line="240" w:lineRule="auto"/>
        <w:jc w:val="both"/>
        <w:rPr>
          <w:rFonts w:ascii="Verdana" w:eastAsia="Geomanist Light" w:hAnsi="Verdana" w:cs="Arial"/>
          <w:color w:val="000000" w:themeColor="text1"/>
          <w:lang w:val="es-MX"/>
        </w:rPr>
      </w:pPr>
    </w:p>
    <w:p w14:paraId="7B12908B" w14:textId="77777777" w:rsidR="00E17AEA" w:rsidRDefault="00E17AEA" w:rsidP="00C0431F">
      <w:pPr>
        <w:spacing w:line="240" w:lineRule="auto"/>
        <w:jc w:val="both"/>
        <w:rPr>
          <w:rFonts w:ascii="Verdana" w:eastAsia="Geomanist Light" w:hAnsi="Verdana" w:cs="Arial"/>
          <w:color w:val="000000" w:themeColor="text1"/>
          <w:lang w:val="es-MX"/>
        </w:rPr>
      </w:pPr>
    </w:p>
    <w:p w14:paraId="3F151812" w14:textId="77777777" w:rsidR="00E17AEA" w:rsidRDefault="00E17AEA" w:rsidP="00C0431F">
      <w:pPr>
        <w:spacing w:line="240" w:lineRule="auto"/>
        <w:jc w:val="both"/>
        <w:rPr>
          <w:rFonts w:ascii="Verdana" w:eastAsia="Geomanist Light" w:hAnsi="Verdana" w:cs="Arial"/>
          <w:color w:val="000000" w:themeColor="text1"/>
          <w:lang w:val="es-MX"/>
        </w:rPr>
      </w:pPr>
    </w:p>
    <w:p w14:paraId="41C563EB" w14:textId="77777777" w:rsidR="00E17AEA" w:rsidRDefault="00E17AEA" w:rsidP="00C0431F">
      <w:pPr>
        <w:spacing w:line="240" w:lineRule="auto"/>
        <w:jc w:val="both"/>
        <w:rPr>
          <w:rFonts w:ascii="Verdana" w:eastAsia="Geomanist Light" w:hAnsi="Verdana" w:cs="Arial"/>
          <w:color w:val="000000" w:themeColor="text1"/>
          <w:lang w:val="es-MX"/>
        </w:rPr>
      </w:pPr>
    </w:p>
    <w:p w14:paraId="5850FABB" w14:textId="77777777" w:rsidR="00E17AEA" w:rsidRDefault="00E17AEA" w:rsidP="00C0431F">
      <w:pPr>
        <w:spacing w:line="240" w:lineRule="auto"/>
        <w:jc w:val="both"/>
        <w:rPr>
          <w:rFonts w:ascii="Verdana" w:eastAsia="Geomanist Light" w:hAnsi="Verdana" w:cs="Arial"/>
          <w:color w:val="000000" w:themeColor="text1"/>
          <w:lang w:val="es-MX"/>
        </w:rPr>
      </w:pPr>
    </w:p>
    <w:p w14:paraId="2F49B5DB" w14:textId="77777777" w:rsidR="00E17AEA" w:rsidRDefault="00E17AEA" w:rsidP="00C0431F">
      <w:pPr>
        <w:spacing w:line="240" w:lineRule="auto"/>
        <w:jc w:val="both"/>
        <w:rPr>
          <w:rFonts w:ascii="Verdana" w:eastAsia="Geomanist Light" w:hAnsi="Verdana" w:cs="Arial"/>
          <w:color w:val="000000" w:themeColor="text1"/>
          <w:lang w:val="es-MX"/>
        </w:rPr>
      </w:pPr>
    </w:p>
    <w:p w14:paraId="54C122D3" w14:textId="77777777" w:rsidR="00E17AEA" w:rsidRDefault="00E17AEA" w:rsidP="00C0431F">
      <w:pPr>
        <w:spacing w:line="240" w:lineRule="auto"/>
        <w:jc w:val="both"/>
        <w:rPr>
          <w:rFonts w:ascii="Verdana" w:eastAsia="Geomanist Light" w:hAnsi="Verdana" w:cs="Arial"/>
          <w:color w:val="000000" w:themeColor="text1"/>
          <w:lang w:val="es-MX"/>
        </w:rPr>
      </w:pPr>
    </w:p>
    <w:p w14:paraId="17643474" w14:textId="77777777" w:rsidR="00E17AEA" w:rsidRDefault="00E17AEA" w:rsidP="00C0431F">
      <w:pPr>
        <w:spacing w:line="240" w:lineRule="auto"/>
        <w:jc w:val="both"/>
        <w:rPr>
          <w:rFonts w:ascii="Verdana" w:eastAsia="Geomanist Light" w:hAnsi="Verdana" w:cs="Arial"/>
          <w:color w:val="000000" w:themeColor="text1"/>
          <w:lang w:val="es-MX"/>
        </w:rPr>
      </w:pPr>
    </w:p>
    <w:p w14:paraId="3FD1B54D" w14:textId="6C451B14" w:rsidR="00C0431F" w:rsidRPr="00EE700B" w:rsidRDefault="00C0431F" w:rsidP="00C0431F">
      <w:pPr>
        <w:spacing w:line="240" w:lineRule="auto"/>
        <w:jc w:val="both"/>
        <w:rPr>
          <w:rFonts w:ascii="Verdana" w:eastAsia="Geomanist Light" w:hAnsi="Verdana" w:cs="Arial"/>
          <w:color w:val="000000" w:themeColor="text1"/>
          <w:sz w:val="20"/>
          <w:szCs w:val="20"/>
          <w:lang w:val="es-MX"/>
        </w:rPr>
      </w:pPr>
      <w:r w:rsidRPr="00CF64C0">
        <w:rPr>
          <w:rFonts w:ascii="Verdana" w:eastAsia="Geomanist Light" w:hAnsi="Verdana" w:cs="Arial"/>
          <w:color w:val="000000" w:themeColor="text1"/>
          <w:lang w:val="es-MX"/>
        </w:rPr>
        <w:lastRenderedPageBreak/>
        <w:t>Bogotá D.C., </w:t>
      </w:r>
      <w:r w:rsidR="00E17AEA">
        <w:rPr>
          <w:rFonts w:ascii="Verdana" w:eastAsia="Geomanist Light" w:hAnsi="Verdana" w:cs="Arial"/>
          <w:color w:val="201F1E"/>
          <w:lang w:val="es-MX"/>
        </w:rPr>
        <w:t>27</w:t>
      </w:r>
      <w:r w:rsidRPr="00CF64C0">
        <w:rPr>
          <w:rFonts w:ascii="Verdana" w:eastAsia="Geomanist Light" w:hAnsi="Verdana" w:cs="Arial"/>
          <w:color w:val="201F1E"/>
          <w:lang w:val="es-MX"/>
        </w:rPr>
        <w:t xml:space="preserve"> de </w:t>
      </w:r>
      <w:r w:rsidR="00E17AEA">
        <w:rPr>
          <w:rFonts w:ascii="Verdana" w:eastAsia="Geomanist Light" w:hAnsi="Verdana" w:cs="Arial"/>
          <w:color w:val="201F1E"/>
          <w:lang w:val="es-MX"/>
        </w:rPr>
        <w:t>marzo</w:t>
      </w:r>
      <w:r w:rsidRPr="00CF64C0">
        <w:rPr>
          <w:rFonts w:ascii="Verdana" w:eastAsia="Geomanist Light" w:hAnsi="Verdana" w:cs="Arial"/>
          <w:color w:val="201F1E"/>
          <w:lang w:val="es-MX"/>
        </w:rPr>
        <w:t xml:space="preserve"> de </w:t>
      </w:r>
      <w:r w:rsidR="00E17AEA">
        <w:rPr>
          <w:rFonts w:ascii="Verdana" w:eastAsia="Geomanist Light" w:hAnsi="Verdana" w:cs="Arial"/>
          <w:color w:val="201F1E"/>
          <w:lang w:val="es-MX"/>
        </w:rPr>
        <w:t>2026</w:t>
      </w:r>
    </w:p>
    <w:p w14:paraId="4B192D6A" w14:textId="307E7211" w:rsidR="00A7153D" w:rsidRDefault="00A7153D" w:rsidP="00E17AEA">
      <w:pPr>
        <w:spacing w:after="0" w:line="240" w:lineRule="auto"/>
        <w:ind w:left="4956"/>
        <w:rPr>
          <w:rFonts w:ascii="Verdana" w:hAnsi="Verdana"/>
        </w:rPr>
      </w:pPr>
      <w:r>
        <w:tab/>
      </w:r>
      <w:r>
        <w:br/>
      </w:r>
    </w:p>
    <w:p w14:paraId="56AC7D4F" w14:textId="7DEAC346" w:rsidR="00A7153D" w:rsidRPr="00FE5324" w:rsidRDefault="0063701C" w:rsidP="00A7153D">
      <w:pPr>
        <w:spacing w:after="0" w:line="240" w:lineRule="auto"/>
        <w:rPr>
          <w:rFonts w:ascii="Verdana" w:eastAsia="Calibri" w:hAnsi="Verdana" w:cs="Times New Roman"/>
        </w:rPr>
      </w:pPr>
      <w:r w:rsidRPr="00E17AEA">
        <w:rPr>
          <w:rFonts w:ascii="Verdana" w:hAnsi="Verdana"/>
          <w:noProof/>
        </w:rPr>
        <w:drawing>
          <wp:anchor distT="0" distB="0" distL="114300" distR="114300" simplePos="0" relativeHeight="251658240" behindDoc="0" locked="0" layoutInCell="1" allowOverlap="1" wp14:anchorId="30ED1FA8" wp14:editId="5D58BDEB">
            <wp:simplePos x="0" y="0"/>
            <wp:positionH relativeFrom="margin">
              <wp:posOffset>2776220</wp:posOffset>
            </wp:positionH>
            <wp:positionV relativeFrom="paragraph">
              <wp:posOffset>9525</wp:posOffset>
            </wp:positionV>
            <wp:extent cx="2822575" cy="842645"/>
            <wp:effectExtent l="0" t="0" r="0" b="0"/>
            <wp:wrapSquare wrapText="bothSides"/>
            <wp:docPr id="5596478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647881" name=""/>
                    <pic:cNvPicPr/>
                  </pic:nvPicPr>
                  <pic:blipFill>
                    <a:blip r:embed="rId11">
                      <a:extLst>
                        <a:ext uri="{28A0092B-C50C-407E-A947-70E740481C1C}">
                          <a14:useLocalDpi xmlns:a14="http://schemas.microsoft.com/office/drawing/2010/main" val="0"/>
                        </a:ext>
                      </a:extLst>
                    </a:blip>
                    <a:stretch>
                      <a:fillRect/>
                    </a:stretch>
                  </pic:blipFill>
                  <pic:spPr>
                    <a:xfrm>
                      <a:off x="0" y="0"/>
                      <a:ext cx="2822575" cy="842645"/>
                    </a:xfrm>
                    <a:prstGeom prst="rect">
                      <a:avLst/>
                    </a:prstGeom>
                  </pic:spPr>
                </pic:pic>
              </a:graphicData>
            </a:graphic>
            <wp14:sizeRelH relativeFrom="margin">
              <wp14:pctWidth>0</wp14:pctWidth>
            </wp14:sizeRelH>
            <wp14:sizeRelV relativeFrom="margin">
              <wp14:pctHeight>0</wp14:pctHeight>
            </wp14:sizeRelV>
          </wp:anchor>
        </w:drawing>
      </w:r>
      <w:r w:rsidR="00A7153D" w:rsidRPr="00FE5324">
        <w:rPr>
          <w:rFonts w:ascii="Verdana" w:eastAsia="Calibri" w:hAnsi="Verdana" w:cs="Times New Roman"/>
        </w:rPr>
        <w:t>Señor</w:t>
      </w:r>
    </w:p>
    <w:p w14:paraId="325013EB" w14:textId="5F4985D4" w:rsidR="00A7153D" w:rsidRPr="00585982" w:rsidRDefault="00FE5324" w:rsidP="00A7153D">
      <w:pPr>
        <w:spacing w:after="0" w:line="240" w:lineRule="auto"/>
        <w:rPr>
          <w:rFonts w:ascii="Verdana" w:eastAsia="Calibri" w:hAnsi="Verdana" w:cs="Times New Roman"/>
          <w:b/>
          <w:highlight w:val="yellow"/>
        </w:rPr>
      </w:pPr>
      <w:r w:rsidRPr="00585982">
        <w:rPr>
          <w:rFonts w:ascii="Verdana" w:eastAsia="Calibri" w:hAnsi="Verdana" w:cs="Times New Roman"/>
          <w:b/>
        </w:rPr>
        <w:t>Ricardo Peñuela Munevar</w:t>
      </w:r>
    </w:p>
    <w:p w14:paraId="4518FE81" w14:textId="2843E6EF" w:rsidR="00A7153D" w:rsidRPr="00585982" w:rsidRDefault="00FE5324" w:rsidP="00A7153D">
      <w:pPr>
        <w:spacing w:after="0" w:line="240" w:lineRule="auto"/>
        <w:rPr>
          <w:rFonts w:ascii="Verdana" w:hAnsi="Verdana"/>
        </w:rPr>
      </w:pPr>
      <w:hyperlink r:id="rId12" w:history="1">
        <w:r w:rsidRPr="00585982">
          <w:rPr>
            <w:rStyle w:val="Hipervnculo"/>
            <w:rFonts w:ascii="Verdana" w:hAnsi="Verdana"/>
          </w:rPr>
          <w:t>ricardo.penuela@cali.gov.co</w:t>
        </w:r>
      </w:hyperlink>
      <w:r w:rsidR="00A7153D" w:rsidRPr="00585982">
        <w:rPr>
          <w:rFonts w:ascii="Verdana" w:hAnsi="Verdana"/>
        </w:rPr>
        <w:t xml:space="preserve"> </w:t>
      </w:r>
    </w:p>
    <w:p w14:paraId="6AE8766C" w14:textId="54CAC170" w:rsidR="00A7153D" w:rsidRPr="00A33ACC" w:rsidRDefault="00FE5324" w:rsidP="00A7153D">
      <w:pPr>
        <w:spacing w:after="0" w:line="240" w:lineRule="auto"/>
        <w:rPr>
          <w:rFonts w:ascii="Verdana" w:eastAsia="Calibri" w:hAnsi="Verdana" w:cs="Times New Roman"/>
          <w:lang w:val="it-IT"/>
        </w:rPr>
      </w:pPr>
      <w:r>
        <w:rPr>
          <w:rFonts w:ascii="Verdana" w:eastAsia="Calibri" w:hAnsi="Verdana" w:cs="Times New Roman"/>
          <w:lang w:val="it-IT"/>
        </w:rPr>
        <w:t>Cali</w:t>
      </w:r>
      <w:r w:rsidR="00A7153D" w:rsidRPr="00A33ACC">
        <w:rPr>
          <w:rFonts w:ascii="Verdana" w:eastAsia="Calibri" w:hAnsi="Verdana" w:cs="Times New Roman"/>
          <w:lang w:val="it-IT"/>
        </w:rPr>
        <w:t xml:space="preserve">, </w:t>
      </w:r>
      <w:r>
        <w:rPr>
          <w:rFonts w:ascii="Verdana" w:eastAsia="Calibri" w:hAnsi="Verdana" w:cs="Times New Roman"/>
          <w:lang w:val="it-IT"/>
        </w:rPr>
        <w:t>Valle del Cauca</w:t>
      </w:r>
    </w:p>
    <w:p w14:paraId="73140C16" w14:textId="77777777" w:rsidR="00A7153D" w:rsidRPr="00A33ACC" w:rsidRDefault="00A7153D" w:rsidP="00A7153D">
      <w:pPr>
        <w:spacing w:after="0" w:line="240" w:lineRule="auto"/>
        <w:rPr>
          <w:rFonts w:ascii="Verdana" w:eastAsia="Calibri" w:hAnsi="Verdana" w:cs="Times New Roman"/>
          <w:lang w:val="it-IT"/>
        </w:rPr>
      </w:pPr>
    </w:p>
    <w:p w14:paraId="632095C3" w14:textId="77777777" w:rsidR="00A7153D" w:rsidRPr="00A33ACC" w:rsidRDefault="00A7153D" w:rsidP="00A7153D">
      <w:pPr>
        <w:spacing w:after="0" w:line="240" w:lineRule="auto"/>
        <w:rPr>
          <w:rFonts w:ascii="Verdana" w:eastAsia="Calibri" w:hAnsi="Verdana" w:cs="Times New Roman"/>
          <w:lang w:val="it-IT"/>
        </w:rPr>
      </w:pPr>
    </w:p>
    <w:p w14:paraId="741E37B9" w14:textId="64FAD906" w:rsidR="00A7153D" w:rsidRPr="00B57A1B" w:rsidRDefault="00A7153D" w:rsidP="00A7153D">
      <w:pPr>
        <w:spacing w:after="0" w:line="256" w:lineRule="auto"/>
        <w:rPr>
          <w:rFonts w:ascii="Verdana" w:eastAsia="Calibri" w:hAnsi="Verdana" w:cs="Times New Roman"/>
          <w:b/>
          <w:bCs/>
          <w:lang w:val="es-ES"/>
        </w:rPr>
      </w:pPr>
      <w:r w:rsidRPr="00A33ACC">
        <w:rPr>
          <w:rFonts w:ascii="Verdana" w:eastAsia="Calibri" w:hAnsi="Verdana" w:cs="Times New Roman"/>
          <w:b/>
          <w:bCs/>
          <w:lang w:val="it-IT"/>
        </w:rPr>
        <w:t xml:space="preserve">                                    </w:t>
      </w:r>
      <w:r>
        <w:rPr>
          <w:rFonts w:ascii="Verdana" w:eastAsia="Calibri" w:hAnsi="Verdana" w:cs="Times New Roman"/>
          <w:b/>
          <w:bCs/>
          <w:lang w:val="es-ES"/>
        </w:rPr>
        <w:t xml:space="preserve">Concepto </w:t>
      </w:r>
      <w:r w:rsidR="00FE5324" w:rsidRPr="00FE5324">
        <w:rPr>
          <w:rFonts w:ascii="Verdana" w:eastAsia="Calibri" w:hAnsi="Verdana" w:cs="Times New Roman"/>
          <w:b/>
          <w:bCs/>
          <w:lang w:val="es-ES"/>
        </w:rPr>
        <w:t>C-233</w:t>
      </w:r>
      <w:r>
        <w:rPr>
          <w:rFonts w:ascii="Verdana" w:eastAsia="Calibri" w:hAnsi="Verdana" w:cs="Times New Roman"/>
          <w:b/>
          <w:bCs/>
          <w:lang w:val="es-ES"/>
        </w:rPr>
        <w:t xml:space="preserve"> de 2026</w:t>
      </w:r>
    </w:p>
    <w:p w14:paraId="464CA4E6" w14:textId="77777777" w:rsidR="00A7153D" w:rsidRPr="00B57A1B" w:rsidRDefault="00A7153D" w:rsidP="00A7153D">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A7153D" w:rsidRPr="00B57A1B" w14:paraId="3CAB9687" w14:textId="77777777" w:rsidTr="00BE429B">
        <w:trPr>
          <w:trHeight w:val="645"/>
        </w:trPr>
        <w:tc>
          <w:tcPr>
            <w:tcW w:w="2685" w:type="dxa"/>
            <w:hideMark/>
          </w:tcPr>
          <w:p w14:paraId="055EEC97" w14:textId="77777777" w:rsidR="00A7153D" w:rsidRPr="00B57A1B" w:rsidRDefault="00A7153D" w:rsidP="00BE429B">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1674EFAE" w14:textId="0C32A437" w:rsidR="00A7153D" w:rsidRDefault="00A7153D" w:rsidP="00BE429B">
            <w:pPr>
              <w:spacing w:line="276" w:lineRule="auto"/>
              <w:jc w:val="both"/>
              <w:rPr>
                <w:rFonts w:ascii="Verdana" w:hAnsi="Verdana" w:cs="Arial"/>
                <w:bCs/>
                <w:lang w:val="es-ES" w:eastAsia="es-ES"/>
              </w:rPr>
            </w:pPr>
            <w:r w:rsidRPr="0027160D">
              <w:rPr>
                <w:rFonts w:ascii="Verdana" w:hAnsi="Verdana" w:cs="Arial"/>
                <w:bCs/>
                <w:lang w:val="es-ES" w:eastAsia="es-ES"/>
              </w:rPr>
              <w:t>CONTRATOS Y CONVENIOS INTERADMINISTRATIVOS – Noción – Diferencias / CONVENIO INTERADMINISTRATIVO – Naturaleza – Inaplicabilidad – Ley 80 de 1993</w:t>
            </w:r>
            <w:r>
              <w:rPr>
                <w:rFonts w:ascii="Verdana" w:hAnsi="Verdana" w:cs="Arial"/>
                <w:bCs/>
                <w:lang w:val="es-ES" w:eastAsia="es-ES"/>
              </w:rPr>
              <w:t xml:space="preserve"> / LEY DE GARANTÍAS ELECTORALES – Restricciones – Artículo 38 – Artículo 33 / LEY DE GARANTÍAS ELECTORALES – Restricciones / LEY DE GARANTÍAS ELECTORALES – Posturas del Consejo de Estado / LEY DE GARANTIAS – Restricciones-Celebración de Contratos y Convenios – Transferencia de recursos</w:t>
            </w:r>
          </w:p>
          <w:p w14:paraId="5E9EDEF6" w14:textId="77777777" w:rsidR="00FE5324" w:rsidRPr="00D01973" w:rsidRDefault="00FE5324" w:rsidP="00BE429B">
            <w:pPr>
              <w:spacing w:line="276" w:lineRule="auto"/>
              <w:jc w:val="both"/>
              <w:rPr>
                <w:rFonts w:ascii="Verdana" w:hAnsi="Verdana" w:cs="Arial"/>
                <w:lang w:val="es-ES" w:eastAsia="es-ES"/>
              </w:rPr>
            </w:pPr>
          </w:p>
          <w:p w14:paraId="1F1BB20A" w14:textId="77777777" w:rsidR="00A7153D" w:rsidRPr="00B57A1B" w:rsidRDefault="00A7153D" w:rsidP="00BE429B">
            <w:pPr>
              <w:spacing w:line="276" w:lineRule="auto"/>
              <w:jc w:val="both"/>
              <w:rPr>
                <w:rFonts w:ascii="Verdana" w:hAnsi="Verdana" w:cs="Arial"/>
                <w:lang w:val="es-ES" w:eastAsia="es-ES"/>
              </w:rPr>
            </w:pPr>
          </w:p>
        </w:tc>
        <w:tc>
          <w:tcPr>
            <w:tcW w:w="6237" w:type="dxa"/>
          </w:tcPr>
          <w:p w14:paraId="0489FC95" w14:textId="77777777" w:rsidR="00A7153D" w:rsidRPr="002D0E1D" w:rsidRDefault="00A7153D" w:rsidP="00BE429B">
            <w:pPr>
              <w:spacing w:line="256" w:lineRule="auto"/>
              <w:rPr>
                <w:rFonts w:ascii="Verdana" w:hAnsi="Verdana"/>
                <w:lang w:val="es-ES"/>
              </w:rPr>
            </w:pPr>
          </w:p>
        </w:tc>
      </w:tr>
      <w:tr w:rsidR="00A7153D" w:rsidRPr="00B57A1B" w14:paraId="3E87A101" w14:textId="77777777" w:rsidTr="00BE429B">
        <w:tc>
          <w:tcPr>
            <w:tcW w:w="2685" w:type="dxa"/>
          </w:tcPr>
          <w:p w14:paraId="1DBA8DF0" w14:textId="77777777" w:rsidR="00A7153D" w:rsidRPr="00B57A1B" w:rsidRDefault="00A7153D" w:rsidP="00BE429B">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18E40250" w14:textId="5F90C211" w:rsidR="00A7153D" w:rsidRPr="002D0E1D" w:rsidRDefault="00A7153D" w:rsidP="00BE429B">
            <w:pPr>
              <w:spacing w:line="257" w:lineRule="auto"/>
              <w:jc w:val="both"/>
              <w:rPr>
                <w:rFonts w:ascii="Verdana" w:hAnsi="Verdana"/>
                <w:lang w:val="es-ES_tradnl"/>
              </w:rPr>
            </w:pPr>
            <w:r w:rsidRPr="00B57A1B">
              <w:rPr>
                <w:rFonts w:ascii="Verdana" w:hAnsi="Verdana"/>
                <w:lang w:val="es-ES_tradnl"/>
              </w:rPr>
              <w:t>Respue</w:t>
            </w:r>
            <w:r>
              <w:rPr>
                <w:rFonts w:ascii="Verdana" w:hAnsi="Verdana"/>
                <w:lang w:val="es-ES_tradnl"/>
              </w:rPr>
              <w:t xml:space="preserve">sta a consulta con radicado No. </w:t>
            </w:r>
            <w:r w:rsidR="00FE5324" w:rsidRPr="00FE5324">
              <w:rPr>
                <w:rFonts w:ascii="Verdana" w:hAnsi="Verdana"/>
              </w:rPr>
              <w:t>1_2026_02_16_002021</w:t>
            </w:r>
          </w:p>
          <w:p w14:paraId="7E396D88" w14:textId="77777777" w:rsidR="00A7153D" w:rsidRPr="00B57A1B" w:rsidRDefault="00A7153D" w:rsidP="00BE429B">
            <w:pPr>
              <w:spacing w:line="257" w:lineRule="auto"/>
              <w:jc w:val="both"/>
              <w:rPr>
                <w:rFonts w:ascii="Verdana" w:hAnsi="Verdana"/>
              </w:rPr>
            </w:pPr>
          </w:p>
        </w:tc>
        <w:tc>
          <w:tcPr>
            <w:tcW w:w="6237" w:type="dxa"/>
          </w:tcPr>
          <w:p w14:paraId="7C2BFCA1" w14:textId="77777777" w:rsidR="00A7153D" w:rsidRPr="00B57A1B" w:rsidRDefault="00A7153D" w:rsidP="00BE429B">
            <w:pPr>
              <w:spacing w:line="256" w:lineRule="auto"/>
              <w:rPr>
                <w:rFonts w:ascii="Verdana" w:hAnsi="Verdana"/>
                <w:lang w:val="es-ES_tradnl"/>
              </w:rPr>
            </w:pPr>
          </w:p>
        </w:tc>
      </w:tr>
    </w:tbl>
    <w:p w14:paraId="74386838" w14:textId="77777777" w:rsidR="00A7153D" w:rsidRDefault="00A7153D" w:rsidP="00A7153D">
      <w:pPr>
        <w:spacing w:after="0" w:line="256" w:lineRule="auto"/>
        <w:rPr>
          <w:rFonts w:ascii="Verdana" w:eastAsia="Calibri" w:hAnsi="Verdana" w:cs="Times New Roman"/>
          <w:lang w:val="es-ES"/>
        </w:rPr>
      </w:pPr>
    </w:p>
    <w:p w14:paraId="330329C6" w14:textId="0AA9D27B" w:rsidR="00A7153D" w:rsidRPr="00B57A1B" w:rsidRDefault="00A7153D" w:rsidP="00A7153D">
      <w:pPr>
        <w:spacing w:after="0" w:line="256" w:lineRule="auto"/>
        <w:rPr>
          <w:rFonts w:ascii="Verdana" w:eastAsia="Calibri" w:hAnsi="Verdana" w:cs="Times New Roman"/>
          <w:lang w:val="es-ES"/>
        </w:rPr>
      </w:pPr>
      <w:r w:rsidRPr="00B57A1B">
        <w:rPr>
          <w:rFonts w:ascii="Verdana" w:eastAsia="Calibri" w:hAnsi="Verdana" w:cs="Times New Roman"/>
          <w:lang w:val="es-ES"/>
        </w:rPr>
        <w:t>Estimado</w:t>
      </w:r>
      <w:r>
        <w:rPr>
          <w:rFonts w:ascii="Verdana" w:eastAsia="Calibri" w:hAnsi="Verdana" w:cs="Times New Roman"/>
          <w:lang w:val="es-ES"/>
        </w:rPr>
        <w:t xml:space="preserve"> Señor </w:t>
      </w:r>
      <w:r w:rsidR="00FE5324">
        <w:rPr>
          <w:rFonts w:ascii="Verdana" w:eastAsia="Calibri" w:hAnsi="Verdana" w:cs="Times New Roman"/>
          <w:lang w:val="es-ES"/>
        </w:rPr>
        <w:t>Peñuela</w:t>
      </w:r>
      <w:r w:rsidRPr="00B57A1B">
        <w:rPr>
          <w:rFonts w:ascii="Verdana" w:eastAsia="Calibri" w:hAnsi="Verdana" w:cs="Times New Roman"/>
          <w:lang w:val="es-ES"/>
        </w:rPr>
        <w:t xml:space="preserve">: </w:t>
      </w:r>
    </w:p>
    <w:p w14:paraId="1B666D78" w14:textId="77777777" w:rsidR="00A7153D" w:rsidRPr="00B57A1B" w:rsidRDefault="00A7153D" w:rsidP="00A7153D">
      <w:pPr>
        <w:spacing w:after="0" w:line="256" w:lineRule="auto"/>
        <w:rPr>
          <w:rFonts w:ascii="Verdana" w:eastAsia="Calibri" w:hAnsi="Verdana" w:cs="Times New Roman"/>
          <w:lang w:val="es-ES"/>
        </w:rPr>
      </w:pPr>
    </w:p>
    <w:p w14:paraId="43825495" w14:textId="783611B9" w:rsidR="00A7153D" w:rsidRDefault="00A7153D" w:rsidP="00A7153D">
      <w:pPr>
        <w:spacing w:after="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 xml:space="preserve">te– responde la solicitud consulta del </w:t>
      </w:r>
      <w:r w:rsidR="00FE5324">
        <w:rPr>
          <w:rFonts w:ascii="Verdana" w:eastAsia="Calibri" w:hAnsi="Verdana" w:cs="Times New Roman"/>
          <w:bCs/>
          <w:lang w:val="es-ES" w:bidi="es-ES"/>
        </w:rPr>
        <w:t>1</w:t>
      </w:r>
      <w:r>
        <w:rPr>
          <w:rFonts w:ascii="Verdana" w:eastAsia="Calibri" w:hAnsi="Verdana" w:cs="Times New Roman"/>
          <w:bCs/>
          <w:lang w:val="es-ES" w:bidi="es-ES"/>
        </w:rPr>
        <w:t xml:space="preserve">6 de </w:t>
      </w:r>
      <w:r w:rsidR="00FE5324">
        <w:rPr>
          <w:rFonts w:ascii="Verdana" w:eastAsia="Calibri" w:hAnsi="Verdana" w:cs="Times New Roman"/>
          <w:bCs/>
          <w:lang w:val="es-ES" w:bidi="es-ES"/>
        </w:rPr>
        <w:t>febrero</w:t>
      </w:r>
      <w:r>
        <w:rPr>
          <w:rFonts w:ascii="Verdana" w:eastAsia="Calibri" w:hAnsi="Verdana" w:cs="Times New Roman"/>
          <w:bCs/>
          <w:lang w:val="es-ES" w:bidi="es-ES"/>
        </w:rPr>
        <w:t xml:space="preserve"> de 202</w:t>
      </w:r>
      <w:r w:rsidR="00FE5324">
        <w:rPr>
          <w:rFonts w:ascii="Verdana" w:eastAsia="Calibri" w:hAnsi="Verdana" w:cs="Times New Roman"/>
          <w:bCs/>
          <w:lang w:val="es-ES" w:bidi="es-ES"/>
        </w:rPr>
        <w:t>6</w:t>
      </w:r>
      <w:r w:rsidRPr="00B57A1B">
        <w:rPr>
          <w:rFonts w:ascii="Verdana" w:eastAsia="Calibri" w:hAnsi="Verdana" w:cs="Times New Roman"/>
          <w:bCs/>
          <w:lang w:val="es-ES" w:bidi="es-ES"/>
        </w:rPr>
        <w:t xml:space="preserve">, en la cual manifiesta: </w:t>
      </w:r>
    </w:p>
    <w:p w14:paraId="79F3B69C" w14:textId="77777777" w:rsidR="00A7153D" w:rsidRPr="00586328" w:rsidRDefault="00A7153D" w:rsidP="00A7153D">
      <w:pPr>
        <w:spacing w:after="0" w:line="240" w:lineRule="auto"/>
        <w:jc w:val="both"/>
        <w:rPr>
          <w:rFonts w:ascii="Verdana" w:eastAsia="Calibri" w:hAnsi="Verdana" w:cs="Times New Roman"/>
          <w:bCs/>
          <w:lang w:bidi="es-ES"/>
        </w:rPr>
      </w:pPr>
    </w:p>
    <w:p w14:paraId="58291F73" w14:textId="47BCC831" w:rsidR="00FE5324" w:rsidRPr="00FE5324" w:rsidRDefault="00A7153D" w:rsidP="00FE5324">
      <w:pPr>
        <w:spacing w:after="0" w:line="240" w:lineRule="auto"/>
        <w:ind w:left="709" w:right="709"/>
        <w:jc w:val="both"/>
        <w:rPr>
          <w:rFonts w:ascii="Verdana" w:eastAsia="Calibri" w:hAnsi="Verdana" w:cs="Times New Roman"/>
          <w:bCs/>
          <w:sz w:val="21"/>
          <w:szCs w:val="21"/>
          <w:lang w:bidi="es-ES"/>
        </w:rPr>
      </w:pPr>
      <w:r>
        <w:rPr>
          <w:rFonts w:ascii="Verdana" w:eastAsia="Calibri" w:hAnsi="Verdana" w:cs="Times New Roman"/>
          <w:bCs/>
          <w:sz w:val="21"/>
          <w:szCs w:val="21"/>
          <w:lang w:bidi="es-ES"/>
        </w:rPr>
        <w:t>“</w:t>
      </w:r>
      <w:r w:rsidRPr="0071632A">
        <w:rPr>
          <w:rFonts w:ascii="Verdana" w:eastAsia="Calibri" w:hAnsi="Verdana" w:cs="Times New Roman"/>
          <w:bCs/>
          <w:sz w:val="21"/>
          <w:szCs w:val="21"/>
          <w:lang w:bidi="es-ES"/>
        </w:rPr>
        <w:t xml:space="preserve">1. </w:t>
      </w:r>
      <w:r w:rsidR="00FE5324" w:rsidRPr="00FE5324">
        <w:rPr>
          <w:rFonts w:ascii="Verdana" w:eastAsia="Calibri" w:hAnsi="Verdana" w:cs="Times New Roman"/>
          <w:bCs/>
          <w:sz w:val="21"/>
          <w:szCs w:val="21"/>
          <w:lang w:bidi="es-ES"/>
        </w:rPr>
        <w:t>Solicitamos orientación general sobre el alcance del artículo</w:t>
      </w:r>
      <w:r w:rsidR="00FE5324">
        <w:rPr>
          <w:rFonts w:ascii="Verdana" w:eastAsia="Calibri" w:hAnsi="Verdana" w:cs="Times New Roman"/>
          <w:bCs/>
          <w:sz w:val="21"/>
          <w:szCs w:val="21"/>
          <w:lang w:bidi="es-ES"/>
        </w:rPr>
        <w:t xml:space="preserve"> </w:t>
      </w:r>
      <w:r w:rsidR="00FE5324" w:rsidRPr="00FE5324">
        <w:rPr>
          <w:rFonts w:ascii="Verdana" w:eastAsia="Calibri" w:hAnsi="Verdana" w:cs="Times New Roman"/>
          <w:bCs/>
          <w:sz w:val="21"/>
          <w:szCs w:val="21"/>
          <w:lang w:bidi="es-ES"/>
        </w:rPr>
        <w:t>38 de la Ley 996 de 2005 frente a instrumentos jurídicos</w:t>
      </w:r>
      <w:r w:rsidR="00FE5324">
        <w:rPr>
          <w:rFonts w:ascii="Verdana" w:eastAsia="Calibri" w:hAnsi="Verdana" w:cs="Times New Roman"/>
          <w:bCs/>
          <w:sz w:val="21"/>
          <w:szCs w:val="21"/>
          <w:lang w:bidi="es-ES"/>
        </w:rPr>
        <w:t xml:space="preserve"> </w:t>
      </w:r>
      <w:r w:rsidR="00FE5324" w:rsidRPr="00FE5324">
        <w:rPr>
          <w:rFonts w:ascii="Verdana" w:eastAsia="Calibri" w:hAnsi="Verdana" w:cs="Times New Roman"/>
          <w:bCs/>
          <w:sz w:val="21"/>
          <w:szCs w:val="21"/>
          <w:lang w:bidi="es-ES"/>
        </w:rPr>
        <w:t>mediante los cuales una entidad territorial formaliza, a través</w:t>
      </w:r>
      <w:r w:rsidR="00FE5324">
        <w:rPr>
          <w:rFonts w:ascii="Verdana" w:eastAsia="Calibri" w:hAnsi="Verdana" w:cs="Times New Roman"/>
          <w:bCs/>
          <w:sz w:val="21"/>
          <w:szCs w:val="21"/>
          <w:lang w:bidi="es-ES"/>
        </w:rPr>
        <w:t xml:space="preserve"> </w:t>
      </w:r>
      <w:r w:rsidR="00FE5324" w:rsidRPr="00FE5324">
        <w:rPr>
          <w:rFonts w:ascii="Verdana" w:eastAsia="Calibri" w:hAnsi="Verdana" w:cs="Times New Roman"/>
          <w:bCs/>
          <w:sz w:val="21"/>
          <w:szCs w:val="21"/>
          <w:lang w:bidi="es-ES"/>
        </w:rPr>
        <w:t>de un convenio de transferencia, el traslado de recursos</w:t>
      </w:r>
      <w:r w:rsidR="00FE5324">
        <w:rPr>
          <w:rFonts w:ascii="Verdana" w:eastAsia="Calibri" w:hAnsi="Verdana" w:cs="Times New Roman"/>
          <w:bCs/>
          <w:sz w:val="21"/>
          <w:szCs w:val="21"/>
          <w:lang w:bidi="es-ES"/>
        </w:rPr>
        <w:t xml:space="preserve"> </w:t>
      </w:r>
      <w:r w:rsidR="00FE5324" w:rsidRPr="00FE5324">
        <w:rPr>
          <w:rFonts w:ascii="Verdana" w:eastAsia="Calibri" w:hAnsi="Verdana" w:cs="Times New Roman"/>
          <w:bCs/>
          <w:sz w:val="21"/>
          <w:szCs w:val="21"/>
          <w:lang w:bidi="es-ES"/>
        </w:rPr>
        <w:t>provenientes de una sobretasa de destinación específica,</w:t>
      </w:r>
      <w:r w:rsidR="00FE5324">
        <w:rPr>
          <w:rFonts w:ascii="Verdana" w:eastAsia="Calibri" w:hAnsi="Verdana" w:cs="Times New Roman"/>
          <w:bCs/>
          <w:sz w:val="21"/>
          <w:szCs w:val="21"/>
          <w:lang w:bidi="es-ES"/>
        </w:rPr>
        <w:t xml:space="preserve"> </w:t>
      </w:r>
      <w:r w:rsidR="00FE5324" w:rsidRPr="00FE5324">
        <w:rPr>
          <w:rFonts w:ascii="Verdana" w:eastAsia="Calibri" w:hAnsi="Verdana" w:cs="Times New Roman"/>
          <w:bCs/>
          <w:sz w:val="21"/>
          <w:szCs w:val="21"/>
          <w:lang w:bidi="es-ES"/>
        </w:rPr>
        <w:t xml:space="preserve">creada por norma legal y desarrollada por </w:t>
      </w:r>
      <w:r w:rsidR="00FE5324" w:rsidRPr="00FE5324">
        <w:rPr>
          <w:rFonts w:ascii="Verdana" w:eastAsia="Calibri" w:hAnsi="Verdana" w:cs="Times New Roman"/>
          <w:bCs/>
          <w:sz w:val="21"/>
          <w:szCs w:val="21"/>
          <w:lang w:bidi="es-ES"/>
        </w:rPr>
        <w:lastRenderedPageBreak/>
        <w:t>norma territorial</w:t>
      </w:r>
      <w:r w:rsidR="00FE5324">
        <w:rPr>
          <w:rFonts w:ascii="Verdana" w:eastAsia="Calibri" w:hAnsi="Verdana" w:cs="Times New Roman"/>
          <w:bCs/>
          <w:sz w:val="21"/>
          <w:szCs w:val="21"/>
          <w:lang w:bidi="es-ES"/>
        </w:rPr>
        <w:t xml:space="preserve"> </w:t>
      </w:r>
      <w:r w:rsidR="00FE5324" w:rsidRPr="00FE5324">
        <w:rPr>
          <w:rFonts w:ascii="Verdana" w:eastAsia="Calibri" w:hAnsi="Verdana" w:cs="Times New Roman"/>
          <w:bCs/>
          <w:sz w:val="21"/>
          <w:szCs w:val="21"/>
          <w:lang w:bidi="es-ES"/>
        </w:rPr>
        <w:t>que ordena expresamente su entrega a un beneficiario</w:t>
      </w:r>
      <w:r w:rsidR="00FE5324">
        <w:rPr>
          <w:rFonts w:ascii="Verdana" w:eastAsia="Calibri" w:hAnsi="Verdana" w:cs="Times New Roman"/>
          <w:bCs/>
          <w:sz w:val="21"/>
          <w:szCs w:val="21"/>
          <w:lang w:bidi="es-ES"/>
        </w:rPr>
        <w:t xml:space="preserve"> </w:t>
      </w:r>
      <w:r w:rsidR="00FE5324" w:rsidRPr="00FE5324">
        <w:rPr>
          <w:rFonts w:ascii="Verdana" w:eastAsia="Calibri" w:hAnsi="Verdana" w:cs="Times New Roman"/>
          <w:bCs/>
          <w:sz w:val="21"/>
          <w:szCs w:val="21"/>
          <w:lang w:bidi="es-ES"/>
        </w:rPr>
        <w:t>determinado y define su finalidad.</w:t>
      </w:r>
    </w:p>
    <w:p w14:paraId="2855FA38" w14:textId="7EE241D5" w:rsidR="00FE5324" w:rsidRPr="00FE5324" w:rsidRDefault="00FE5324" w:rsidP="00FE5324">
      <w:pPr>
        <w:spacing w:after="0" w:line="240" w:lineRule="auto"/>
        <w:ind w:left="709" w:right="709"/>
        <w:jc w:val="both"/>
        <w:rPr>
          <w:rFonts w:ascii="Verdana" w:eastAsia="Calibri" w:hAnsi="Verdana" w:cs="Times New Roman"/>
          <w:bCs/>
          <w:sz w:val="21"/>
          <w:szCs w:val="21"/>
          <w:lang w:bidi="es-ES"/>
        </w:rPr>
      </w:pPr>
      <w:r w:rsidRPr="00FE5324">
        <w:rPr>
          <w:rFonts w:ascii="Verdana" w:eastAsia="Calibri" w:hAnsi="Verdana" w:cs="Times New Roman"/>
          <w:bCs/>
          <w:sz w:val="21"/>
          <w:szCs w:val="21"/>
          <w:lang w:bidi="es-ES"/>
        </w:rPr>
        <w:t>En este supuesto general, la entidad no adquiere bienes, obras</w:t>
      </w:r>
      <w:r>
        <w:rPr>
          <w:rFonts w:ascii="Verdana" w:eastAsia="Calibri" w:hAnsi="Verdana" w:cs="Times New Roman"/>
          <w:bCs/>
          <w:sz w:val="21"/>
          <w:szCs w:val="21"/>
          <w:lang w:bidi="es-ES"/>
        </w:rPr>
        <w:t xml:space="preserve"> </w:t>
      </w:r>
      <w:r w:rsidRPr="00FE5324">
        <w:rPr>
          <w:rFonts w:ascii="Verdana" w:eastAsia="Calibri" w:hAnsi="Verdana" w:cs="Times New Roman"/>
          <w:bCs/>
          <w:sz w:val="21"/>
          <w:szCs w:val="21"/>
          <w:lang w:bidi="es-ES"/>
        </w:rPr>
        <w:t>o servicios ni ejerce discrecionalidad contractual, sino que</w:t>
      </w:r>
      <w:r>
        <w:rPr>
          <w:rFonts w:ascii="Verdana" w:eastAsia="Calibri" w:hAnsi="Verdana" w:cs="Times New Roman"/>
          <w:bCs/>
          <w:sz w:val="21"/>
          <w:szCs w:val="21"/>
          <w:lang w:bidi="es-ES"/>
        </w:rPr>
        <w:t xml:space="preserve"> </w:t>
      </w:r>
      <w:r w:rsidRPr="00FE5324">
        <w:rPr>
          <w:rFonts w:ascii="Verdana" w:eastAsia="Calibri" w:hAnsi="Verdana" w:cs="Times New Roman"/>
          <w:bCs/>
          <w:sz w:val="21"/>
          <w:szCs w:val="21"/>
          <w:lang w:bidi="es-ES"/>
        </w:rPr>
        <w:t>cumple un mandato legal para financiar un servicio público</w:t>
      </w:r>
      <w:r>
        <w:rPr>
          <w:rFonts w:ascii="Verdana" w:eastAsia="Calibri" w:hAnsi="Verdana" w:cs="Times New Roman"/>
          <w:bCs/>
          <w:sz w:val="21"/>
          <w:szCs w:val="21"/>
          <w:lang w:bidi="es-ES"/>
        </w:rPr>
        <w:t xml:space="preserve"> </w:t>
      </w:r>
      <w:r w:rsidRPr="00FE5324">
        <w:rPr>
          <w:rFonts w:ascii="Verdana" w:eastAsia="Calibri" w:hAnsi="Verdana" w:cs="Times New Roman"/>
          <w:bCs/>
          <w:sz w:val="21"/>
          <w:szCs w:val="21"/>
          <w:lang w:bidi="es-ES"/>
        </w:rPr>
        <w:t>esencial.</w:t>
      </w:r>
    </w:p>
    <w:p w14:paraId="7A17730A" w14:textId="41CD6A6C" w:rsidR="00A7153D" w:rsidRPr="00560ECB" w:rsidRDefault="00FE5324" w:rsidP="00FE5324">
      <w:pPr>
        <w:spacing w:after="0" w:line="240" w:lineRule="auto"/>
        <w:ind w:left="709" w:right="709"/>
        <w:jc w:val="both"/>
        <w:rPr>
          <w:rFonts w:ascii="Verdana" w:eastAsia="Calibri" w:hAnsi="Verdana" w:cs="Times New Roman"/>
          <w:bCs/>
          <w:sz w:val="21"/>
          <w:szCs w:val="21"/>
          <w:lang w:bidi="es-ES"/>
        </w:rPr>
      </w:pPr>
      <w:r w:rsidRPr="00FE5324">
        <w:rPr>
          <w:rFonts w:ascii="Verdana" w:eastAsia="Calibri" w:hAnsi="Verdana" w:cs="Times New Roman"/>
          <w:bCs/>
          <w:sz w:val="21"/>
          <w:szCs w:val="21"/>
          <w:lang w:bidi="es-ES"/>
        </w:rPr>
        <w:t>¿La suscripción de dicho convenio se encuentra comprendida en</w:t>
      </w:r>
      <w:r>
        <w:rPr>
          <w:rFonts w:ascii="Verdana" w:eastAsia="Calibri" w:hAnsi="Verdana" w:cs="Times New Roman"/>
          <w:bCs/>
          <w:sz w:val="21"/>
          <w:szCs w:val="21"/>
          <w:lang w:bidi="es-ES"/>
        </w:rPr>
        <w:t xml:space="preserve"> </w:t>
      </w:r>
      <w:r w:rsidRPr="00FE5324">
        <w:rPr>
          <w:rFonts w:ascii="Verdana" w:eastAsia="Calibri" w:hAnsi="Verdana" w:cs="Times New Roman"/>
          <w:bCs/>
          <w:sz w:val="21"/>
          <w:szCs w:val="21"/>
          <w:lang w:bidi="es-ES"/>
        </w:rPr>
        <w:t>la prohibición del artículo 38, o puede diferenciarse de la</w:t>
      </w:r>
      <w:r>
        <w:rPr>
          <w:rFonts w:ascii="Verdana" w:eastAsia="Calibri" w:hAnsi="Verdana" w:cs="Times New Roman"/>
          <w:bCs/>
          <w:sz w:val="21"/>
          <w:szCs w:val="21"/>
          <w:lang w:bidi="es-ES"/>
        </w:rPr>
        <w:t xml:space="preserve"> </w:t>
      </w:r>
      <w:r w:rsidRPr="00FE5324">
        <w:rPr>
          <w:rFonts w:ascii="Verdana" w:eastAsia="Calibri" w:hAnsi="Verdana" w:cs="Times New Roman"/>
          <w:bCs/>
          <w:sz w:val="21"/>
          <w:szCs w:val="21"/>
          <w:lang w:bidi="es-ES"/>
        </w:rPr>
        <w:t>contratación discrecional sujeta a restricción electoral?</w:t>
      </w:r>
      <w:r w:rsidR="00A7153D">
        <w:rPr>
          <w:rFonts w:ascii="Verdana" w:eastAsia="Calibri" w:hAnsi="Verdana" w:cs="Times New Roman"/>
          <w:bCs/>
          <w:sz w:val="21"/>
          <w:szCs w:val="21"/>
          <w:lang w:bidi="es-ES"/>
        </w:rPr>
        <w:t>”</w:t>
      </w:r>
      <w:r w:rsidR="00A7153D" w:rsidRPr="00812F2C">
        <w:rPr>
          <w:rFonts w:ascii="Verdana" w:eastAsia="Calibri" w:hAnsi="Verdana" w:cs="Times New Roman"/>
          <w:bCs/>
          <w:sz w:val="21"/>
          <w:szCs w:val="21"/>
          <w:lang w:bidi="es-ES"/>
        </w:rPr>
        <w:t>.</w:t>
      </w:r>
    </w:p>
    <w:p w14:paraId="70A52FFB" w14:textId="77777777" w:rsidR="00A7153D" w:rsidRPr="00812F2C" w:rsidRDefault="00A7153D" w:rsidP="00A7153D">
      <w:pPr>
        <w:spacing w:after="0" w:line="240" w:lineRule="auto"/>
        <w:ind w:left="709" w:right="709"/>
        <w:jc w:val="both"/>
        <w:rPr>
          <w:rFonts w:ascii="Verdana" w:eastAsia="Calibri" w:hAnsi="Verdana" w:cs="Times New Roman"/>
          <w:bCs/>
          <w:sz w:val="21"/>
          <w:szCs w:val="21"/>
          <w:lang w:bidi="es-ES"/>
        </w:rPr>
      </w:pPr>
    </w:p>
    <w:p w14:paraId="0C2E9903" w14:textId="77777777" w:rsidR="00A7153D" w:rsidRPr="00B57A1B" w:rsidRDefault="00A7153D" w:rsidP="00A7153D">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72B0C00F" w14:textId="77777777" w:rsidR="00A7153D" w:rsidRPr="00B57A1B" w:rsidRDefault="00A7153D" w:rsidP="00A7153D">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los problemas jurídicos objeto de consulta</w:t>
      </w:r>
      <w:r w:rsidRPr="00B57A1B">
        <w:rPr>
          <w:rFonts w:ascii="Verdana" w:eastAsia="Calibri" w:hAnsi="Verdana" w:cs="Times New Roman"/>
          <w:lang w:val="es-ES"/>
        </w:rPr>
        <w:t xml:space="preserve">. </w:t>
      </w:r>
    </w:p>
    <w:p w14:paraId="01C4F398" w14:textId="77777777" w:rsidR="00A7153D" w:rsidRPr="00B57A1B" w:rsidRDefault="00A7153D" w:rsidP="00A7153D">
      <w:pPr>
        <w:spacing w:after="0" w:line="256" w:lineRule="auto"/>
        <w:rPr>
          <w:rFonts w:ascii="Verdana" w:eastAsia="Calibri" w:hAnsi="Verdana" w:cs="Times New Roman"/>
          <w:lang w:val="es-ES"/>
        </w:rPr>
      </w:pPr>
    </w:p>
    <w:p w14:paraId="7BC1B04F" w14:textId="77777777" w:rsidR="00A7153D" w:rsidRPr="00B57A1B" w:rsidRDefault="00A7153D" w:rsidP="00A7153D">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5095B957" w14:textId="77777777" w:rsidR="00A7153D" w:rsidRPr="00B57A1B" w:rsidRDefault="00A7153D" w:rsidP="00A7153D">
      <w:pPr>
        <w:spacing w:after="0" w:line="256" w:lineRule="auto"/>
        <w:rPr>
          <w:rFonts w:ascii="Verdana" w:eastAsia="Calibri" w:hAnsi="Verdana" w:cs="Times New Roman"/>
        </w:rPr>
      </w:pPr>
    </w:p>
    <w:p w14:paraId="1AF42C14" w14:textId="2E1784D5" w:rsidR="00A7153D" w:rsidRDefault="00A7153D" w:rsidP="00A7153D">
      <w:pPr>
        <w:spacing w:after="0" w:line="276" w:lineRule="auto"/>
        <w:jc w:val="both"/>
        <w:rPr>
          <w:rFonts w:ascii="Verdana" w:eastAsia="Calibri" w:hAnsi="Verdana" w:cs="Times New Roman"/>
          <w:iCs/>
          <w:lang w:val="es-E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los siguientes problemas jurídicos</w:t>
      </w:r>
      <w:r>
        <w:rPr>
          <w:rFonts w:ascii="Verdana" w:eastAsia="Calibri" w:hAnsi="Verdana" w:cs="Times New Roman"/>
          <w:iCs/>
          <w:lang w:val="es-ES"/>
        </w:rPr>
        <w:t xml:space="preserve">: i) </w:t>
      </w:r>
      <w:r w:rsidRPr="00890DF7">
        <w:rPr>
          <w:rFonts w:ascii="Verdana" w:eastAsia="Calibri" w:hAnsi="Verdana" w:cs="Times New Roman"/>
          <w:iCs/>
          <w:lang w:val="es-ES"/>
        </w:rPr>
        <w:t>¿</w:t>
      </w:r>
      <w:r w:rsidRPr="005F1A8F">
        <w:rPr>
          <w:rFonts w:ascii="Verdana" w:eastAsia="Calibri" w:hAnsi="Verdana" w:cs="Times New Roman"/>
          <w:iCs/>
          <w:lang w:val="es-ES"/>
        </w:rPr>
        <w:t>Cuáles son los criterios jurídicos relevantes para definir si el instrumento de transfere</w:t>
      </w:r>
      <w:r>
        <w:rPr>
          <w:rFonts w:ascii="Verdana" w:eastAsia="Calibri" w:hAnsi="Verdana" w:cs="Times New Roman"/>
          <w:iCs/>
          <w:lang w:val="es-ES"/>
        </w:rPr>
        <w:t>ncia de recursos debe clasificarse como convenio o contrato interadministrativo</w:t>
      </w:r>
      <w:r w:rsidRPr="005F1A8F">
        <w:rPr>
          <w:rFonts w:ascii="Verdana" w:eastAsia="Calibri" w:hAnsi="Verdana" w:cs="Times New Roman"/>
          <w:iCs/>
          <w:lang w:val="es-ES"/>
        </w:rPr>
        <w:t>?</w:t>
      </w:r>
      <w:r>
        <w:rPr>
          <w:rFonts w:ascii="Verdana" w:eastAsia="Calibri" w:hAnsi="Verdana" w:cs="Times New Roman"/>
          <w:iCs/>
          <w:lang w:val="es-ES"/>
        </w:rPr>
        <w:t xml:space="preserve">; </w:t>
      </w:r>
      <w:proofErr w:type="spellStart"/>
      <w:r>
        <w:rPr>
          <w:rFonts w:ascii="Verdana" w:eastAsia="Calibri" w:hAnsi="Verdana" w:cs="Times New Roman"/>
          <w:iCs/>
          <w:lang w:val="es-ES"/>
        </w:rPr>
        <w:t>ii</w:t>
      </w:r>
      <w:proofErr w:type="spellEnd"/>
      <w:r>
        <w:rPr>
          <w:rFonts w:ascii="Verdana" w:eastAsia="Calibri" w:hAnsi="Verdana" w:cs="Times New Roman"/>
          <w:iCs/>
          <w:lang w:val="es-ES"/>
        </w:rPr>
        <w:t>)</w:t>
      </w:r>
      <w:r>
        <w:rPr>
          <w:rFonts w:ascii="Verdana" w:eastAsia="Calibri" w:hAnsi="Verdana" w:cs="Times New Roman"/>
          <w:lang w:val="es-ES"/>
        </w:rPr>
        <w:t xml:space="preserve"> </w:t>
      </w:r>
      <w:r w:rsidRPr="006B3110">
        <w:rPr>
          <w:rFonts w:ascii="Verdana" w:eastAsia="Calibri" w:hAnsi="Verdana" w:cs="Times New Roman"/>
          <w:iCs/>
          <w:lang w:val="es-ES"/>
        </w:rPr>
        <w:t xml:space="preserve">¿Bajo qué criterios </w:t>
      </w:r>
      <w:r>
        <w:rPr>
          <w:rFonts w:ascii="Verdana" w:eastAsia="Calibri" w:hAnsi="Verdana" w:cs="Times New Roman"/>
          <w:iCs/>
          <w:lang w:val="es-ES"/>
        </w:rPr>
        <w:lastRenderedPageBreak/>
        <w:t>o condiciones</w:t>
      </w:r>
      <w:r w:rsidRPr="006506D8">
        <w:rPr>
          <w:rFonts w:ascii="Verdana" w:eastAsia="Calibri" w:hAnsi="Verdana" w:cs="Times New Roman"/>
          <w:iCs/>
          <w:lang w:val="es-ES"/>
        </w:rPr>
        <w:t xml:space="preserve"> debe analizarse la aplicabilidad de las restricciones </w:t>
      </w:r>
      <w:r w:rsidRPr="006B3110">
        <w:rPr>
          <w:rFonts w:ascii="Verdana" w:eastAsia="Calibri" w:hAnsi="Verdana" w:cs="Times New Roman"/>
          <w:iCs/>
          <w:lang w:val="es-ES"/>
        </w:rPr>
        <w:t xml:space="preserve">establecidas en </w:t>
      </w:r>
      <w:r w:rsidRPr="006506D8">
        <w:rPr>
          <w:rFonts w:ascii="Verdana" w:eastAsia="Calibri" w:hAnsi="Verdana" w:cs="Times New Roman"/>
          <w:iCs/>
          <w:lang w:val="es-ES"/>
        </w:rPr>
        <w:t xml:space="preserve">la Ley 996 de 2005 frente a </w:t>
      </w:r>
      <w:r w:rsidRPr="006B3110">
        <w:rPr>
          <w:rFonts w:ascii="Verdana" w:eastAsia="Calibri" w:hAnsi="Verdana" w:cs="Times New Roman"/>
          <w:iCs/>
          <w:lang w:val="es-ES"/>
        </w:rPr>
        <w:t>los</w:t>
      </w:r>
      <w:r w:rsidRPr="006506D8">
        <w:rPr>
          <w:rFonts w:ascii="Verdana" w:eastAsia="Calibri" w:hAnsi="Verdana" w:cs="Times New Roman"/>
          <w:iCs/>
          <w:lang w:val="es-ES"/>
        </w:rPr>
        <w:t xml:space="preserve"> i</w:t>
      </w:r>
      <w:r>
        <w:rPr>
          <w:rFonts w:ascii="Verdana" w:eastAsia="Calibri" w:hAnsi="Verdana" w:cs="Times New Roman"/>
          <w:iCs/>
          <w:lang w:val="es-ES"/>
        </w:rPr>
        <w:t>nstrumentos de transferencia de recursos?</w:t>
      </w:r>
    </w:p>
    <w:p w14:paraId="244BBD34" w14:textId="77777777" w:rsidR="00A7153D" w:rsidRPr="00B57A1B" w:rsidRDefault="00A7153D" w:rsidP="00A7153D">
      <w:pPr>
        <w:spacing w:after="0" w:line="276" w:lineRule="auto"/>
        <w:jc w:val="both"/>
        <w:rPr>
          <w:rFonts w:ascii="Verdana" w:eastAsia="Calibri" w:hAnsi="Verdana" w:cs="Times New Roman"/>
          <w:i/>
          <w:iCs/>
          <w:lang w:val="es-ES"/>
        </w:rPr>
      </w:pPr>
    </w:p>
    <w:p w14:paraId="08A647BD" w14:textId="77777777" w:rsidR="00A7153D" w:rsidRPr="00B57A1B" w:rsidRDefault="00A7153D" w:rsidP="00A7153D">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6E1ADAF3" w14:textId="77777777" w:rsidR="00A7153D" w:rsidRPr="00B57A1B" w:rsidRDefault="00A7153D" w:rsidP="00A7153D">
      <w:pPr>
        <w:spacing w:after="0" w:line="276" w:lineRule="auto"/>
        <w:rPr>
          <w:rFonts w:ascii="Verdana" w:eastAsia="Calibri" w:hAnsi="Verdana" w:cs="Times New Roman"/>
          <w:b/>
          <w:bCs/>
          <w:lang w:val="es-ES"/>
        </w:rPr>
      </w:pPr>
    </w:p>
    <w:tbl>
      <w:tblPr>
        <w:tblStyle w:val="Tablaconcuadrcula"/>
        <w:tblW w:w="878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A7153D" w:rsidRPr="00B57A1B" w14:paraId="54488F12" w14:textId="77777777" w:rsidTr="00BE429B">
        <w:trPr>
          <w:trHeight w:val="345"/>
        </w:trPr>
        <w:tc>
          <w:tcPr>
            <w:tcW w:w="8784" w:type="dxa"/>
            <w:tcBorders>
              <w:bottom w:val="single" w:sz="4" w:space="0" w:color="auto"/>
            </w:tcBorders>
          </w:tcPr>
          <w:p w14:paraId="174E8C73" w14:textId="77777777" w:rsidR="00A7153D" w:rsidRDefault="00A7153D" w:rsidP="00BE429B">
            <w:pPr>
              <w:spacing w:line="276" w:lineRule="auto"/>
              <w:jc w:val="both"/>
              <w:rPr>
                <w:rFonts w:ascii="Verdana" w:hAnsi="Verdana" w:cs="Arial"/>
                <w:lang w:val="es-ES" w:eastAsia="es-ES"/>
              </w:rPr>
            </w:pPr>
            <w:r>
              <w:rPr>
                <w:rFonts w:ascii="Verdana" w:hAnsi="Verdana" w:cs="Arial"/>
                <w:lang w:val="es-ES" w:eastAsia="es-ES"/>
              </w:rPr>
              <w:t>De acuerdo con los problemas jurídicos, objeto de consulta, se expresa lo siguiente:</w:t>
            </w:r>
          </w:p>
          <w:p w14:paraId="3B6EC81B" w14:textId="77777777" w:rsidR="00A7153D" w:rsidRDefault="00A7153D" w:rsidP="00BE429B">
            <w:pPr>
              <w:spacing w:line="276" w:lineRule="auto"/>
              <w:jc w:val="both"/>
              <w:rPr>
                <w:rFonts w:ascii="Verdana" w:hAnsi="Verdana" w:cs="Arial"/>
                <w:lang w:val="es-ES" w:eastAsia="es-ES"/>
              </w:rPr>
            </w:pPr>
          </w:p>
          <w:p w14:paraId="23FF93B8" w14:textId="6019250C" w:rsidR="00A7153D" w:rsidRDefault="00A7153D" w:rsidP="00BE429B">
            <w:pPr>
              <w:spacing w:after="120" w:line="276" w:lineRule="auto"/>
              <w:jc w:val="both"/>
              <w:rPr>
                <w:rFonts w:ascii="Verdana" w:hAnsi="Verdana"/>
              </w:rPr>
            </w:pPr>
            <w:r>
              <w:rPr>
                <w:rFonts w:ascii="Verdana" w:hAnsi="Verdana" w:cs="Arial"/>
                <w:lang w:val="es-ES" w:eastAsia="es-ES"/>
              </w:rPr>
              <w:t>i.</w:t>
            </w:r>
            <w:r w:rsidRPr="003C5FD9">
              <w:rPr>
                <w:rFonts w:ascii="Verdana" w:hAnsi="Verdana"/>
              </w:rPr>
              <w:t xml:space="preserve"> </w:t>
            </w:r>
            <w:r>
              <w:rPr>
                <w:rFonts w:ascii="Verdana" w:hAnsi="Verdana"/>
              </w:rPr>
              <w:t xml:space="preserve">De acuerdo con el primer problema jurídico, se destaca que </w:t>
            </w:r>
            <w:r w:rsidRPr="003C5FD9">
              <w:rPr>
                <w:rFonts w:ascii="Verdana" w:hAnsi="Verdana"/>
              </w:rPr>
              <w:t xml:space="preserve">las entidades territoriales realizan giros o transferencias </w:t>
            </w:r>
            <w:r w:rsidR="00FE5324">
              <w:rPr>
                <w:rFonts w:ascii="Verdana" w:hAnsi="Verdana"/>
              </w:rPr>
              <w:t>y que p</w:t>
            </w:r>
            <w:r w:rsidRPr="003C5FD9">
              <w:rPr>
                <w:rFonts w:ascii="Verdana" w:hAnsi="Verdana"/>
              </w:rPr>
              <w:t>ara la ejecución de dichas transferencias, se emplean instrumentos jurídicos como los convenios de transferencia de recursos.</w:t>
            </w:r>
            <w:r>
              <w:rPr>
                <w:rFonts w:ascii="Verdana" w:hAnsi="Verdana"/>
              </w:rPr>
              <w:t xml:space="preserve"> </w:t>
            </w:r>
          </w:p>
          <w:p w14:paraId="4735FB00" w14:textId="77777777" w:rsidR="00747132" w:rsidRDefault="00A7153D" w:rsidP="00747132">
            <w:pPr>
              <w:spacing w:after="120" w:line="276" w:lineRule="auto"/>
              <w:ind w:firstLine="709"/>
              <w:jc w:val="both"/>
              <w:rPr>
                <w:rFonts w:ascii="Verdana" w:hAnsi="Verdana"/>
              </w:rPr>
            </w:pPr>
            <w:r>
              <w:rPr>
                <w:rFonts w:ascii="Verdana" w:hAnsi="Verdana"/>
              </w:rPr>
              <w:t>En este escenario, l</w:t>
            </w:r>
            <w:r w:rsidRPr="00055945">
              <w:rPr>
                <w:rFonts w:ascii="Verdana" w:hAnsi="Verdana"/>
              </w:rPr>
              <w:t xml:space="preserve">a </w:t>
            </w:r>
            <w:r>
              <w:rPr>
                <w:rFonts w:ascii="Verdana" w:hAnsi="Verdana"/>
              </w:rPr>
              <w:t>denominación de</w:t>
            </w:r>
            <w:r w:rsidRPr="00055945">
              <w:rPr>
                <w:rFonts w:ascii="Verdana" w:hAnsi="Verdana"/>
              </w:rPr>
              <w:t xml:space="preserve"> convenios de tra</w:t>
            </w:r>
            <w:r>
              <w:rPr>
                <w:rFonts w:ascii="Verdana" w:hAnsi="Verdana"/>
              </w:rPr>
              <w:t xml:space="preserve">nsferencia de recursos depende de la naturaleza </w:t>
            </w:r>
            <w:r w:rsidRPr="00055945">
              <w:rPr>
                <w:rFonts w:ascii="Verdana" w:hAnsi="Verdana"/>
              </w:rPr>
              <w:t xml:space="preserve">jurídica de las partes que los suscriben. Cuando una entidad territorial celebra estos acuerdos con </w:t>
            </w:r>
            <w:r w:rsidR="00747132">
              <w:rPr>
                <w:rFonts w:ascii="Verdana" w:hAnsi="Verdana"/>
              </w:rPr>
              <w:t xml:space="preserve">una entidad </w:t>
            </w:r>
            <w:r w:rsidRPr="00055945">
              <w:rPr>
                <w:rFonts w:ascii="Verdana" w:hAnsi="Verdana"/>
              </w:rPr>
              <w:t>con participación estatal, se configura un contrato o convenio interadministrativo.</w:t>
            </w:r>
          </w:p>
          <w:p w14:paraId="43CC1044" w14:textId="0209A61B" w:rsidR="00A7153D" w:rsidRDefault="00A7153D" w:rsidP="00747132">
            <w:pPr>
              <w:spacing w:after="120" w:line="276" w:lineRule="auto"/>
              <w:ind w:firstLine="709"/>
              <w:jc w:val="both"/>
              <w:rPr>
                <w:rFonts w:ascii="Verdana" w:hAnsi="Verdana"/>
              </w:rPr>
            </w:pPr>
            <w:r>
              <w:rPr>
                <w:rFonts w:ascii="Verdana" w:hAnsi="Verdana"/>
              </w:rPr>
              <w:t>Ahora bien, la calidad de contrato o convenio depende del tipo de obligaciones que se adquieren por cada una de las partes de la relación contractual. Por ejemplo, l</w:t>
            </w:r>
            <w:r w:rsidRPr="00DF7C2F">
              <w:rPr>
                <w:rFonts w:ascii="Verdana" w:hAnsi="Verdana"/>
              </w:rPr>
              <w:t>os contratos</w:t>
            </w:r>
            <w:r>
              <w:rPr>
                <w:rFonts w:ascii="Verdana" w:hAnsi="Verdana"/>
              </w:rPr>
              <w:t xml:space="preserve"> interadministrativos</w:t>
            </w:r>
            <w:r w:rsidRPr="00DF7C2F">
              <w:rPr>
                <w:rFonts w:ascii="Verdana" w:hAnsi="Verdana"/>
              </w:rPr>
              <w:t xml:space="preserve"> implican obligaciones de contenido patrimonial, por lo que son onerosos y cada parte asume un gravamen en beneficio de la otra; además, las partes actúan con intereses opuestos: la entidad estatal contratante busca satisfacer el interés público, mientras que la entidad contratista</w:t>
            </w:r>
            <w:r>
              <w:rPr>
                <w:rFonts w:ascii="Verdana" w:hAnsi="Verdana"/>
              </w:rPr>
              <w:t xml:space="preserve"> </w:t>
            </w:r>
            <w:r w:rsidRPr="00DF7C2F">
              <w:rPr>
                <w:rFonts w:ascii="Verdana" w:hAnsi="Verdana"/>
              </w:rPr>
              <w:t xml:space="preserve">persigue un interés propio de carácter económico. </w:t>
            </w:r>
            <w:r>
              <w:rPr>
                <w:rFonts w:ascii="Verdana" w:hAnsi="Verdana"/>
              </w:rPr>
              <w:t>Por otro lado</w:t>
            </w:r>
            <w:r w:rsidRPr="00DF7C2F">
              <w:rPr>
                <w:rFonts w:ascii="Verdana" w:hAnsi="Verdana"/>
              </w:rPr>
              <w:t xml:space="preserve">, los convenios no tienen una finalidad lucrativa, pues su objeto es desarrollar actividades que contribuyen directamente a un fin común, de </w:t>
            </w:r>
            <w:r>
              <w:rPr>
                <w:rFonts w:ascii="Verdana" w:hAnsi="Verdana"/>
              </w:rPr>
              <w:t xml:space="preserve">tal forma que </w:t>
            </w:r>
            <w:r w:rsidRPr="00DF7C2F">
              <w:rPr>
                <w:rFonts w:ascii="Verdana" w:hAnsi="Verdana"/>
              </w:rPr>
              <w:t>las entidades involucradas actúan con intereses convergentes y cooperan para cumplir funciones administrativas o prestar servicios alineados con el interés general, sin que exista</w:t>
            </w:r>
            <w:r>
              <w:rPr>
                <w:rFonts w:ascii="Verdana" w:hAnsi="Verdana"/>
              </w:rPr>
              <w:t xml:space="preserve"> una contraprestación propiamente dicha</w:t>
            </w:r>
            <w:r w:rsidRPr="00DF7C2F">
              <w:rPr>
                <w:rFonts w:ascii="Verdana" w:hAnsi="Verdana"/>
              </w:rPr>
              <w:t>.</w:t>
            </w:r>
          </w:p>
          <w:p w14:paraId="32272B1B" w14:textId="77777777" w:rsidR="00A7153D" w:rsidRDefault="00A7153D" w:rsidP="00BE429B">
            <w:pPr>
              <w:spacing w:line="276" w:lineRule="auto"/>
              <w:jc w:val="both"/>
              <w:rPr>
                <w:rFonts w:ascii="Verdana" w:hAnsi="Verdana" w:cs="Arial"/>
                <w:lang w:val="es-ES" w:eastAsia="es-ES"/>
              </w:rPr>
            </w:pPr>
          </w:p>
          <w:p w14:paraId="23AD89F8" w14:textId="77777777" w:rsidR="00A7153D" w:rsidRPr="00E2397D" w:rsidRDefault="00A7153D" w:rsidP="00BE429B">
            <w:pPr>
              <w:spacing w:after="120" w:line="276" w:lineRule="auto"/>
              <w:jc w:val="both"/>
              <w:rPr>
                <w:rFonts w:ascii="Verdana" w:eastAsia="Arial" w:hAnsi="Verdana" w:cs="Arial"/>
                <w:lang w:val="es-ES" w:eastAsia="es-ES" w:bidi="es-ES"/>
              </w:rPr>
            </w:pPr>
            <w:proofErr w:type="spellStart"/>
            <w:r>
              <w:rPr>
                <w:rFonts w:ascii="Verdana" w:hAnsi="Verdana" w:cs="Arial"/>
                <w:lang w:val="es-ES" w:eastAsia="es-ES"/>
              </w:rPr>
              <w:t>ii</w:t>
            </w:r>
            <w:proofErr w:type="spellEnd"/>
            <w:r>
              <w:rPr>
                <w:rFonts w:ascii="Verdana" w:hAnsi="Verdana" w:cs="Arial"/>
                <w:lang w:val="es-ES" w:eastAsia="es-ES"/>
              </w:rPr>
              <w:t xml:space="preserve">. De acuerdo con el segundo problema jurídico, objeto de consulta, se señala que </w:t>
            </w:r>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w:t>
            </w:r>
            <w:r w:rsidRPr="00E2397D">
              <w:rPr>
                <w:rFonts w:ascii="Verdana" w:eastAsia="Arial" w:hAnsi="Verdana" w:cs="Arial"/>
                <w:lang w:val="es-ES" w:eastAsia="es-ES" w:bidi="es-ES"/>
              </w:rPr>
              <w:lastRenderedPageBreak/>
              <w:t xml:space="preserve">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r>
              <w:rPr>
                <w:rFonts w:ascii="Verdana" w:eastAsia="Arial" w:hAnsi="Verdana" w:cs="Arial"/>
                <w:lang w:val="es-ES" w:eastAsia="es-ES" w:bidi="es-ES"/>
              </w:rPr>
              <w:t xml:space="preserve"> </w:t>
            </w: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5392BCCB" w14:textId="77777777" w:rsidR="00A7153D" w:rsidRDefault="00A7153D" w:rsidP="00BE429B">
            <w:pPr>
              <w:spacing w:after="120" w:line="276" w:lineRule="auto"/>
              <w:ind w:firstLine="708"/>
              <w:jc w:val="both"/>
              <w:rPr>
                <w:rFonts w:ascii="Verdana" w:eastAsia="Times New Roman" w:hAnsi="Verdana" w:cs="Times New Roman"/>
                <w:iCs/>
                <w:lang w:val="es-ES" w:eastAsia="es-ES"/>
              </w:rPr>
            </w:pPr>
            <w:r>
              <w:rPr>
                <w:rFonts w:ascii="Verdana" w:eastAsia="Times New Roman" w:hAnsi="Verdana" w:cs="Arial"/>
                <w:bCs/>
                <w:lang w:val="es-MX" w:eastAsia="x-none"/>
              </w:rPr>
              <w:t xml:space="preserve">Es importante señalar que </w:t>
            </w:r>
            <w:r w:rsidRPr="0057193B">
              <w:rPr>
                <w:rFonts w:ascii="Verdana" w:eastAsia="Times New Roman" w:hAnsi="Verdana" w:cs="Arial"/>
                <w:bCs/>
                <w:lang w:val="es-MX" w:eastAsia="x-none"/>
              </w:rPr>
              <w:t>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t xml:space="preserve"> </w:t>
            </w:r>
            <w:r w:rsidRPr="0057193B">
              <w:rPr>
                <w:rFonts w:ascii="Verdana" w:eastAsia="Times New Roman" w:hAnsi="Verdana" w:cs="Arial"/>
                <w:bCs/>
                <w:lang w:val="es-MX" w:eastAsia="x-none"/>
              </w:rPr>
              <w:t xml:space="preserve">De lo anterior se desprende que la restricción </w:t>
            </w:r>
            <w:r>
              <w:rPr>
                <w:rFonts w:ascii="Verdana" w:eastAsia="Times New Roman" w:hAnsi="Verdana" w:cs="Arial"/>
                <w:bCs/>
                <w:lang w:val="es-MX" w:eastAsia="x-none"/>
              </w:rPr>
              <w:t xml:space="preserve">del artículo 33 </w:t>
            </w:r>
            <w:r w:rsidRPr="0057193B">
              <w:rPr>
                <w:rFonts w:ascii="Verdana" w:eastAsia="Times New Roman" w:hAnsi="Verdana" w:cs="Arial"/>
                <w:bCs/>
                <w:lang w:val="es-MX" w:eastAsia="x-none"/>
              </w:rPr>
              <w:t xml:space="preserve">aplica, sin perjuicio de las excepciones establecidas </w:t>
            </w:r>
            <w:r w:rsidRPr="00B2403B">
              <w:rPr>
                <w:rFonts w:ascii="Verdana" w:eastAsia="Times New Roman" w:hAnsi="Verdana" w:cs="Arial"/>
                <w:bCs/>
                <w:lang w:val="es-MX" w:eastAsia="x-none"/>
              </w:rPr>
              <w:t>en el inciso final del</w:t>
            </w:r>
            <w:r>
              <w:rPr>
                <w:rFonts w:ascii="Verdana" w:eastAsia="Times New Roman" w:hAnsi="Verdana" w:cs="Arial"/>
                <w:bCs/>
                <w:lang w:val="es-MX" w:eastAsia="x-none"/>
              </w:rPr>
              <w:t xml:space="preserve"> precitado artículo:</w:t>
            </w:r>
            <w:r w:rsidRPr="00B2403B">
              <w:rPr>
                <w:rFonts w:ascii="Verdana" w:eastAsia="Times New Roman" w:hAnsi="Verdana" w:cs="Arial"/>
                <w:bCs/>
                <w:lang w:val="es-MX" w:eastAsia="x-none"/>
              </w:rPr>
              <w:t xml:space="preserve"> a i) la defensa y seguridad del Estado; </w:t>
            </w:r>
            <w:proofErr w:type="spellStart"/>
            <w:r w:rsidRPr="00B2403B">
              <w:rPr>
                <w:rFonts w:ascii="Verdana" w:eastAsia="Times New Roman" w:hAnsi="Verdana" w:cs="Arial"/>
                <w:bCs/>
                <w:lang w:val="es-MX" w:eastAsia="x-none"/>
              </w:rPr>
              <w:t>ii</w:t>
            </w:r>
            <w:proofErr w:type="spellEnd"/>
            <w:r w:rsidRPr="00B2403B">
              <w:rPr>
                <w:rFonts w:ascii="Verdana" w:eastAsia="Times New Roman" w:hAnsi="Verdana" w:cs="Arial"/>
                <w:bCs/>
                <w:lang w:val="es-MX" w:eastAsia="x-none"/>
              </w:rPr>
              <w:t xml:space="preserve">) los contratos de crédito público; </w:t>
            </w:r>
            <w:proofErr w:type="spellStart"/>
            <w:r w:rsidRPr="00B2403B">
              <w:rPr>
                <w:rFonts w:ascii="Verdana" w:eastAsia="Times New Roman" w:hAnsi="Verdana" w:cs="Arial"/>
                <w:bCs/>
                <w:lang w:val="es-MX" w:eastAsia="x-none"/>
              </w:rPr>
              <w:t>iii</w:t>
            </w:r>
            <w:proofErr w:type="spellEnd"/>
            <w:r w:rsidRPr="00B2403B">
              <w:rPr>
                <w:rFonts w:ascii="Verdana" w:eastAsia="Times New Roman" w:hAnsi="Verdana" w:cs="Arial"/>
                <w:bCs/>
                <w:lang w:val="es-MX" w:eastAsia="x-none"/>
              </w:rPr>
              <w:t xml:space="preserve">) los requeridos para cubrir las emergencias educativas, sanitarias y desastres; </w:t>
            </w:r>
            <w:proofErr w:type="spellStart"/>
            <w:r w:rsidRPr="00B2403B">
              <w:rPr>
                <w:rFonts w:ascii="Verdana" w:eastAsia="Times New Roman" w:hAnsi="Verdana" w:cs="Arial"/>
                <w:bCs/>
                <w:lang w:val="es-MX" w:eastAsia="x-none"/>
              </w:rPr>
              <w:t>iv</w:t>
            </w:r>
            <w:proofErr w:type="spellEnd"/>
            <w:r w:rsidRPr="00B2403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B2403B">
              <w:rPr>
                <w:rFonts w:ascii="Verdana" w:eastAsia="Times New Roman" w:hAnsi="Verdana" w:cs="Arial"/>
                <w:bCs/>
                <w:lang w:val="es-MX" w:eastAsia="es-CO"/>
              </w:rPr>
              <w:t xml:space="preserve"> Así mismo, la Corte Constitucional en la Sentencia C-1153 de 2005 señaló que la expresión </w:t>
            </w:r>
            <w:r w:rsidRPr="00B2403B">
              <w:rPr>
                <w:rFonts w:ascii="Verdana" w:eastAsia="Times New Roman" w:hAnsi="Verdana" w:cs="Times New Roman"/>
                <w:i/>
                <w:iCs/>
                <w:lang w:val="es-ES" w:eastAsia="es-ES"/>
              </w:rPr>
              <w:t>“adicionalmente se exceptúan aquellos gastos inaplazables e imprescindibles que afecten el normal funci</w:t>
            </w:r>
            <w:r>
              <w:rPr>
                <w:rFonts w:ascii="Verdana" w:eastAsia="Times New Roman" w:hAnsi="Verdana" w:cs="Times New Roman"/>
                <w:i/>
                <w:iCs/>
                <w:lang w:val="es-ES" w:eastAsia="es-ES"/>
              </w:rPr>
              <w:t>onamiento de la administración</w:t>
            </w:r>
            <w:r w:rsidRPr="00B2403B">
              <w:rPr>
                <w:rFonts w:ascii="Verdana" w:eastAsia="Times New Roman" w:hAnsi="Verdana" w:cs="Times New Roman"/>
                <w:i/>
                <w:iCs/>
                <w:lang w:val="es-ES" w:eastAsia="es-ES"/>
              </w:rPr>
              <w:t>”</w:t>
            </w:r>
            <w:r>
              <w:rPr>
                <w:rFonts w:ascii="Verdana" w:eastAsia="Times New Roman" w:hAnsi="Verdana" w:cs="Times New Roman"/>
                <w:i/>
                <w:iCs/>
                <w:lang w:val="es-ES" w:eastAsia="es-ES"/>
              </w:rPr>
              <w:t xml:space="preserve"> </w:t>
            </w:r>
            <w:r w:rsidRPr="00B2403B">
              <w:rPr>
                <w:rFonts w:ascii="Verdana" w:eastAsia="Times New Roman" w:hAnsi="Verdana" w:cs="Times New Roman"/>
                <w:iCs/>
                <w:lang w:val="es-ES" w:eastAsia="es-ES"/>
              </w:rPr>
              <w:t xml:space="preserve">regulada como </w:t>
            </w:r>
            <w:r w:rsidRPr="00B2403B">
              <w:rPr>
                <w:rFonts w:ascii="Verdana" w:eastAsia="Times New Roman" w:hAnsi="Verdana" w:cs="Times New Roman"/>
                <w:iCs/>
                <w:lang w:val="es-ES" w:eastAsia="es-ES"/>
              </w:rPr>
              <w:lastRenderedPageBreak/>
              <w:t>excepción en el artículo 33</w:t>
            </w:r>
            <w:r w:rsidRPr="00B2403B">
              <w:rPr>
                <w:rFonts w:ascii="Verdana" w:eastAsia="Times New Roman" w:hAnsi="Verdana" w:cs="Times New Roman"/>
                <w:i/>
                <w:iCs/>
                <w:lang w:val="es-ES" w:eastAsia="es-ES"/>
              </w:rPr>
              <w:t xml:space="preserve"> </w:t>
            </w:r>
            <w:r w:rsidRPr="00B2403B">
              <w:rPr>
                <w:rFonts w:ascii="Verdana" w:eastAsia="Times New Roman" w:hAnsi="Verdana" w:cs="Times New Roman"/>
                <w:iCs/>
                <w:lang w:val="es-ES" w:eastAsia="es-ES"/>
              </w:rPr>
              <w:t>es demasiado amplia y ambigua, pues términos como inaplazable, imprescindible y normal funcionamiento son evaluativos y sujetos a interpretaciones diversas, lo que permitiría introducir mú</w:t>
            </w:r>
            <w:r>
              <w:rPr>
                <w:rFonts w:ascii="Verdana" w:eastAsia="Times New Roman" w:hAnsi="Verdana" w:cs="Times New Roman"/>
                <w:iCs/>
                <w:lang w:val="es-ES" w:eastAsia="es-ES"/>
              </w:rPr>
              <w:t>ltiples excepciones que desfigurarían</w:t>
            </w:r>
            <w:r w:rsidRPr="00B2403B">
              <w:rPr>
                <w:rFonts w:ascii="Verdana" w:eastAsia="Times New Roman" w:hAnsi="Verdana" w:cs="Times New Roman"/>
                <w:iCs/>
                <w:lang w:val="es-ES" w:eastAsia="es-ES"/>
              </w:rPr>
              <w:t xml:space="preserve"> la prohibición original y comp</w:t>
            </w:r>
            <w:r>
              <w:rPr>
                <w:rFonts w:ascii="Verdana" w:eastAsia="Times New Roman" w:hAnsi="Verdana" w:cs="Times New Roman"/>
                <w:iCs/>
                <w:lang w:val="es-ES" w:eastAsia="es-ES"/>
              </w:rPr>
              <w:t>rometerían los fines y propósitos de la Ley de Garantías Electorales</w:t>
            </w:r>
            <w:r w:rsidRPr="00B2403B">
              <w:rPr>
                <w:rFonts w:ascii="Verdana" w:eastAsia="Times New Roman" w:hAnsi="Verdana" w:cs="Times New Roman"/>
                <w:iCs/>
                <w:lang w:val="es-ES" w:eastAsia="es-ES"/>
              </w:rPr>
              <w:t>.</w:t>
            </w:r>
            <w:r w:rsidRPr="00B2403B">
              <w:rPr>
                <w:rFonts w:ascii="Verdana" w:eastAsia="Times New Roman" w:hAnsi="Verdana" w:cs="Times New Roman"/>
                <w:i/>
                <w:iCs/>
                <w:lang w:val="es-ES" w:eastAsia="es-ES"/>
              </w:rPr>
              <w:t xml:space="preserve"> </w:t>
            </w:r>
            <w:r w:rsidRPr="00B95F21">
              <w:rPr>
                <w:rFonts w:ascii="Verdana" w:eastAsia="Times New Roman" w:hAnsi="Verdana" w:cs="Times New Roman"/>
                <w:iCs/>
                <w:lang w:val="es-ES" w:eastAsia="es-ES"/>
              </w:rPr>
              <w:t>Por tanto, dicha expresión fue declarada inexequible, razón por la cual no es posible que las entidades argumenten razones como esta para exceptuar la restricción del artículo 33.</w:t>
            </w:r>
          </w:p>
          <w:p w14:paraId="3F619F72" w14:textId="77777777" w:rsidR="00A7153D" w:rsidRPr="000D3291" w:rsidRDefault="00A7153D" w:rsidP="00BE429B">
            <w:pPr>
              <w:spacing w:after="120" w:line="276" w:lineRule="auto"/>
              <w:ind w:firstLine="709"/>
              <w:jc w:val="both"/>
              <w:rPr>
                <w:rFonts w:ascii="Verdana" w:hAnsi="Verdana"/>
                <w:sz w:val="20"/>
                <w:szCs w:val="20"/>
              </w:rPr>
            </w:pPr>
            <w:r>
              <w:rPr>
                <w:rFonts w:ascii="Verdana" w:eastAsia="Times New Roman" w:hAnsi="Verdana" w:cs="Arial"/>
                <w:bCs/>
                <w:lang w:val="es-MX" w:eastAsia="es-CO"/>
              </w:rPr>
              <w:t xml:space="preserve">Por otro lado, el artículo 38 frente a la prohibición de celebrar convenios interadministrativos para la ejecución de recursos públicos no establece excepciones como el artículo 33, para que puedan adelantarse sin ninguna dificultad. Así mismo, el Consejo de Estado señaló que el concepto de convenio interadministrativo no es aplicable a los contratos interadministrativos, pues son instituciones totalmente diferentes. </w:t>
            </w:r>
          </w:p>
          <w:p w14:paraId="1F2EC13E" w14:textId="77777777" w:rsidR="00A7153D" w:rsidRDefault="00A7153D" w:rsidP="00BE429B">
            <w:pPr>
              <w:spacing w:after="120" w:line="276" w:lineRule="auto"/>
              <w:ind w:firstLine="709"/>
              <w:jc w:val="both"/>
              <w:rPr>
                <w:rFonts w:ascii="Verdana" w:hAnsi="Verdana"/>
                <w:sz w:val="20"/>
                <w:szCs w:val="20"/>
              </w:rPr>
            </w:pPr>
            <w:r>
              <w:rPr>
                <w:rFonts w:ascii="Verdana" w:hAnsi="Verdana"/>
              </w:rPr>
              <w:t xml:space="preserve">Sin perjuicio de lo anterior, Superintendencia de Servicios Públicos en varios conceptos - </w:t>
            </w:r>
            <w:r w:rsidRPr="005D4BFC">
              <w:rPr>
                <w:rFonts w:ascii="Verdana" w:hAnsi="Verdana"/>
              </w:rPr>
              <w:t>C-086 de 2022 y C-194 de 2022</w:t>
            </w:r>
            <w:r>
              <w:rPr>
                <w:rFonts w:ascii="Verdana" w:hAnsi="Verdana"/>
              </w:rPr>
              <w:t>- ha expresado que l</w:t>
            </w:r>
            <w:r w:rsidRPr="00916FC1">
              <w:rPr>
                <w:rFonts w:ascii="Verdana" w:eastAsia="Calibri" w:hAnsi="Verdana" w:cs="Times New Roman"/>
                <w:iCs/>
              </w:rPr>
              <w:t>a celebración de contratos o convenios para la transferencia de recursos destinados a subsidios entre los entes territoriales y los prestadores de servicios públicos constituye una obligación legal esencial</w:t>
            </w:r>
            <w:r>
              <w:rPr>
                <w:rFonts w:ascii="Verdana" w:eastAsia="Calibri" w:hAnsi="Verdana" w:cs="Times New Roman"/>
                <w:iCs/>
              </w:rPr>
              <w:t xml:space="preserve">, exceptuando de la aplicación de la Ley de Garantías. Dicho organismo considera que estos convenios o contratos </w:t>
            </w:r>
            <w:r w:rsidRPr="00916FC1">
              <w:rPr>
                <w:rFonts w:ascii="Verdana" w:eastAsia="Calibri" w:hAnsi="Verdana" w:cs="Times New Roman"/>
                <w:iCs/>
              </w:rPr>
              <w:t>no son opcionales, pues permiten asegurar la continuidad y eficacia en la prestación de los servicios públicos. Por ello, deben interpretarse conforme a los principios y fines superiores del régimen de servicios públicos, los cuales prevalecen sobre las restricciones de la Ley 996 de 2005</w:t>
            </w:r>
            <w:r>
              <w:rPr>
                <w:rFonts w:ascii="Verdana" w:hAnsi="Verdana"/>
                <w:sz w:val="20"/>
                <w:szCs w:val="20"/>
              </w:rPr>
              <w:t xml:space="preserve">. </w:t>
            </w:r>
            <w:r>
              <w:rPr>
                <w:rFonts w:ascii="Verdana" w:eastAsia="Calibri" w:hAnsi="Verdana" w:cs="Times New Roman"/>
                <w:iCs/>
              </w:rPr>
              <w:t xml:space="preserve">Dicha </w:t>
            </w:r>
            <w:r w:rsidRPr="00B2403B">
              <w:rPr>
                <w:rFonts w:ascii="Verdana" w:eastAsia="Calibri" w:hAnsi="Verdana" w:cs="Times New Roman"/>
                <w:iCs/>
              </w:rPr>
              <w:t xml:space="preserve">postura de la Superintendencia de Servicios Públicos Domiciliarios no se basa en las excepciones establecidas en el artículo 33 de la Ley 996 de 2005 o en otras que contemple el ordenamiento jurídico, sino que se basa en el deber constitucional y legal de las entidades territoriales de transferir los subsidios a las empresas de servicios públicos domiciliarios. </w:t>
            </w:r>
          </w:p>
          <w:p w14:paraId="5FB81F6B" w14:textId="77777777" w:rsidR="00A7153D" w:rsidRPr="0046286C" w:rsidRDefault="00A7153D" w:rsidP="00BE429B">
            <w:pPr>
              <w:spacing w:after="120" w:line="276" w:lineRule="auto"/>
              <w:ind w:firstLine="709"/>
              <w:jc w:val="both"/>
              <w:rPr>
                <w:rFonts w:ascii="Verdana" w:eastAsia="Calibri" w:hAnsi="Verdana" w:cs="Arial"/>
                <w:sz w:val="20"/>
                <w:szCs w:val="20"/>
              </w:rPr>
            </w:pPr>
            <w:r w:rsidRPr="0046286C">
              <w:rPr>
                <w:rFonts w:ascii="Verdana" w:eastAsiaTheme="minorEastAsia" w:hAnsi="Verdana" w:cs="Arial"/>
                <w:lang w:eastAsia="es-CO"/>
              </w:rPr>
              <w:t xml:space="preserve">Bajo ese escenario, </w:t>
            </w:r>
            <w:r w:rsidRPr="0046286C">
              <w:rPr>
                <w:rFonts w:ascii="Verdana" w:eastAsia="Arial" w:hAnsi="Verdana" w:cs="Arial"/>
                <w:lang w:val="es-ES" w:eastAsia="es-ES" w:bidi="es-ES"/>
              </w:rPr>
              <w:t>el alcance de esta obligación frente a las restricciones de la Ley de Garantías Electorales, resulta pertinente traer a colación el pronunciamiento de la Sala de Consulta y Servicio Civil del Consejo de Estado</w:t>
            </w:r>
            <w:r w:rsidRPr="0046286C">
              <w:rPr>
                <w:rStyle w:val="Refdenotaalpie"/>
                <w:rFonts w:ascii="Verdana" w:eastAsia="Arial" w:hAnsi="Verdana" w:cs="Arial"/>
                <w:lang w:val="es-ES" w:eastAsia="es-ES" w:bidi="es-ES"/>
              </w:rPr>
              <w:t xml:space="preserve"> </w:t>
            </w:r>
            <w:r w:rsidRPr="0046286C">
              <w:rPr>
                <w:rFonts w:ascii="Verdana" w:hAnsi="Verdana"/>
              </w:rPr>
              <w:t>en Concepto con Radicado 1736</w:t>
            </w:r>
            <w:r w:rsidRPr="0046286C">
              <w:rPr>
                <w:rFonts w:ascii="Verdana" w:eastAsia="Arial" w:hAnsi="Verdana" w:cs="Arial"/>
                <w:lang w:val="es-ES" w:eastAsia="es-ES" w:bidi="es-ES"/>
              </w:rPr>
              <w:t xml:space="preserve">, el cual en un tema concerniente a las restricciones de la Ley de Garantías Electorales expresa que si bien la seguridad social no está expresamente definida como derecho fundamental, </w:t>
            </w:r>
            <w:r w:rsidRPr="0046286C">
              <w:rPr>
                <w:rFonts w:ascii="Verdana" w:eastAsia="Arial" w:hAnsi="Verdana" w:cs="Arial"/>
                <w:lang w:val="es-ES" w:eastAsia="es-ES" w:bidi="es-ES"/>
              </w:rPr>
              <w:lastRenderedPageBreak/>
              <w:t>adquiere ese carácter cuando su protección resulta necesaria para salvaguardar derechos esenciales como la vida, la dignidad o la integridad de las personas mayores, lo que hace imperativo mantener el programa de apoyo a ancianos indigentes mediante subsidio indirecto; por ello, el Administrador Fiduciario puede contratar directamente con los Centros de Bienestar del Adulto Mayor para asegurar la continuidad de los cupos asignados, y los alcaldes, a su vez, pueden celebrar estos mismos acuerdos en representación de sus municipios cuando administran recursos destinados a comunidades indígenas en resguardo, garantizando así la continuidad y eficacia de la protección estatal.</w:t>
            </w:r>
            <w:r w:rsidRPr="0046286C">
              <w:rPr>
                <w:rFonts w:ascii="Verdana" w:eastAsia="Times New Roman" w:hAnsi="Verdana" w:cs="Arial"/>
                <w:bCs/>
                <w:lang w:val="es-ES" w:eastAsia="es-CO"/>
              </w:rPr>
              <w:t xml:space="preserve"> </w:t>
            </w:r>
            <w:r>
              <w:rPr>
                <w:rFonts w:ascii="Verdana" w:eastAsia="Times New Roman" w:hAnsi="Verdana" w:cs="Arial"/>
                <w:bCs/>
                <w:lang w:val="es-ES" w:eastAsia="es-CO"/>
              </w:rPr>
              <w:t>En este contexto, l</w:t>
            </w:r>
            <w:r w:rsidRPr="00C15179">
              <w:rPr>
                <w:rFonts w:ascii="Verdana" w:eastAsia="Times New Roman" w:hAnsi="Verdana" w:cs="Arial"/>
                <w:bCs/>
                <w:lang w:val="es-ES" w:eastAsia="es-CO"/>
              </w:rPr>
              <w:t>a Sala de Consulta y Servicio Civil del Consejo de Estado ha señalado que las restricciones de la Ley de Garantías Electorales deben interpretarse con especial cuidado cuando se trata de Empresas de Servicios Públicos Domiciliarios. En el Concepto 1727 de 2006, la Sala precisó que, aunque la norma limita la contratación directa durante la campaña presidencial, existen excepciones justificadas por razones de orden público social, particularmente en lo relacionado con la prestación de servicios públicos esenciales</w:t>
            </w:r>
            <w:r>
              <w:rPr>
                <w:rFonts w:ascii="Verdana" w:eastAsia="Times New Roman" w:hAnsi="Verdana" w:cs="Arial"/>
                <w:bCs/>
                <w:lang w:val="es-ES" w:eastAsia="es-CO"/>
              </w:rPr>
              <w:t>, que están vinculados a la garantía de derechos fundamentales.</w:t>
            </w:r>
          </w:p>
          <w:p w14:paraId="6DCC5E3F" w14:textId="7CAA366E" w:rsidR="00A7153D" w:rsidRPr="00747132" w:rsidRDefault="00A7153D" w:rsidP="00747132">
            <w:pPr>
              <w:spacing w:after="120" w:line="276" w:lineRule="auto"/>
              <w:ind w:firstLine="708"/>
              <w:jc w:val="both"/>
              <w:rPr>
                <w:rFonts w:ascii="Verdana" w:eastAsia="Times New Roman" w:hAnsi="Verdana" w:cs="Arial"/>
                <w:bCs/>
                <w:lang w:val="es-ES" w:eastAsia="es-CO"/>
              </w:rPr>
            </w:pPr>
            <w:r>
              <w:rPr>
                <w:rFonts w:ascii="Verdana" w:hAnsi="Verdana" w:cs="Arial"/>
                <w:lang w:val="es-ES"/>
              </w:rPr>
              <w:t xml:space="preserve">En todo caso, la Agencia considera que, la posibilidad de suscribir contratos o convenios entre entidades territoriales y empresas de servicios públicos para la transferencia de </w:t>
            </w:r>
            <w:r w:rsidR="00747132">
              <w:rPr>
                <w:rFonts w:ascii="Verdana" w:hAnsi="Verdana" w:cs="Arial"/>
                <w:lang w:val="es-ES"/>
              </w:rPr>
              <w:t>recursos</w:t>
            </w:r>
            <w:r>
              <w:rPr>
                <w:rFonts w:ascii="Verdana" w:hAnsi="Verdana" w:cs="Arial"/>
                <w:lang w:val="es-ES"/>
              </w:rPr>
              <w:t xml:space="preserve"> depende de si </w:t>
            </w:r>
            <w:proofErr w:type="gramStart"/>
            <w:r>
              <w:rPr>
                <w:rFonts w:ascii="Verdana" w:hAnsi="Verdana" w:cs="Arial"/>
                <w:lang w:val="es-ES"/>
              </w:rPr>
              <w:t>se enmarca dentro de</w:t>
            </w:r>
            <w:proofErr w:type="gramEnd"/>
            <w:r>
              <w:rPr>
                <w:rFonts w:ascii="Verdana" w:hAnsi="Verdana" w:cs="Arial"/>
                <w:lang w:val="es-ES"/>
              </w:rPr>
              <w:t xml:space="preserve"> las excepciones reguladas en el artículo 33 de la Ley 996 de 2005, sin perjuicio de lo expresado por la Sala de Consulta y Servicio Civil del Consejo que se expuso previamente. De otra parte, posturas como la de la Superintendencia de Servicios Públicos acogen la posibilidad de celebrar</w:t>
            </w:r>
            <w:r>
              <w:rPr>
                <w:rFonts w:ascii="Verdana" w:eastAsia="Times New Roman" w:hAnsi="Verdana" w:cs="Arial"/>
                <w:bCs/>
                <w:lang w:val="es-ES" w:eastAsia="es-CO"/>
              </w:rPr>
              <w:t xml:space="preserve"> convenios y contratos por parte de las entidades territoriales con las empresas de servicios públicos domiciliarios en periodo preelectoral, basados en el deber de garantizar la prestación efectiva de los servicios públicos de las personas más vulnerables que tienen una estrecha relación con los derechos fundamentales. </w:t>
            </w:r>
            <w:r>
              <w:rPr>
                <w:rFonts w:ascii="Verdana" w:eastAsia="Calibri" w:hAnsi="Verdana" w:cs="Arial"/>
                <w:color w:val="000000"/>
              </w:rPr>
              <w:t xml:space="preserve"> </w:t>
            </w:r>
          </w:p>
        </w:tc>
      </w:tr>
    </w:tbl>
    <w:p w14:paraId="7EA58CDD" w14:textId="77777777" w:rsidR="00A7153D" w:rsidRPr="00B57A1B" w:rsidRDefault="00A7153D" w:rsidP="00A7153D">
      <w:pPr>
        <w:spacing w:after="0" w:line="276" w:lineRule="auto"/>
        <w:jc w:val="both"/>
        <w:rPr>
          <w:rFonts w:ascii="Verdana" w:eastAsia="Calibri" w:hAnsi="Verdana" w:cs="Arial"/>
          <w:bCs/>
          <w:color w:val="000000" w:themeColor="text1"/>
        </w:rPr>
      </w:pPr>
    </w:p>
    <w:p w14:paraId="3019E6A2" w14:textId="77777777" w:rsidR="00A7153D" w:rsidRPr="00B57A1B" w:rsidRDefault="00A7153D" w:rsidP="00A7153D">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6CB1A180" w14:textId="77777777" w:rsidR="00A7153D" w:rsidRPr="00B57A1B" w:rsidRDefault="00A7153D" w:rsidP="00A7153D">
      <w:pPr>
        <w:spacing w:after="0" w:line="256" w:lineRule="auto"/>
        <w:rPr>
          <w:rFonts w:ascii="Verdana" w:eastAsia="Calibri" w:hAnsi="Verdana" w:cs="Times New Roman"/>
          <w:b/>
          <w:bCs/>
          <w:lang w:val="es-ES"/>
        </w:rPr>
      </w:pPr>
    </w:p>
    <w:p w14:paraId="758DA4BB" w14:textId="77777777" w:rsidR="00A7153D" w:rsidRPr="00B57A1B" w:rsidRDefault="00A7153D" w:rsidP="00A7153D">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55F5963D" w14:textId="77777777" w:rsidR="00A7153D" w:rsidRDefault="00A7153D" w:rsidP="00A7153D">
      <w:pPr>
        <w:spacing w:after="0" w:line="276" w:lineRule="auto"/>
        <w:jc w:val="both"/>
        <w:rPr>
          <w:rFonts w:ascii="Verdana" w:hAnsi="Verdana" w:cs="Arial"/>
          <w:bCs/>
          <w:lang w:val="es-MX"/>
        </w:rPr>
      </w:pPr>
      <w:bookmarkStart w:id="1" w:name="_Hlk78820161"/>
    </w:p>
    <w:p w14:paraId="49918930" w14:textId="77777777" w:rsidR="00A7153D" w:rsidRPr="00E0284C" w:rsidRDefault="00A7153D" w:rsidP="00A7153D">
      <w:pPr>
        <w:spacing w:after="120" w:line="276" w:lineRule="auto"/>
        <w:jc w:val="both"/>
        <w:rPr>
          <w:rFonts w:ascii="Verdana" w:hAnsi="Verdana" w:cs="Arial"/>
        </w:rPr>
      </w:pPr>
      <w:r>
        <w:rPr>
          <w:rFonts w:ascii="Verdana" w:hAnsi="Verdana" w:cs="Arial"/>
          <w:bCs/>
          <w:lang w:val="es-MX"/>
        </w:rPr>
        <w:lastRenderedPageBreak/>
        <w:t>i. El inciso segundo del 365 constitucional dispone que “</w:t>
      </w:r>
      <w:r w:rsidRPr="002A30BA">
        <w:rPr>
          <w:rFonts w:ascii="Verdana" w:hAnsi="Verdana" w:cs="Arial"/>
          <w:bCs/>
          <w:lang w:val="es-MX"/>
        </w:rPr>
        <w:t>Los servicios públicos estarán sometidos al régimen jurídico que fije la ley, podrán ser prestados por el Estado, directa o indirectamente, por comunidades organizadas, o por particulares</w:t>
      </w:r>
      <w:r>
        <w:rPr>
          <w:rFonts w:ascii="Verdana" w:hAnsi="Verdana" w:cs="Arial"/>
          <w:bCs/>
          <w:lang w:val="es-MX"/>
        </w:rPr>
        <w:t xml:space="preserve"> […]”. Por ello, </w:t>
      </w:r>
      <w:r w:rsidRPr="002A30BA">
        <w:rPr>
          <w:rFonts w:ascii="Verdana" w:hAnsi="Verdana" w:cs="Arial"/>
          <w:bCs/>
          <w:lang w:val="es-MX"/>
        </w:rPr>
        <w:t xml:space="preserve">el </w:t>
      </w:r>
      <w:r>
        <w:rPr>
          <w:rFonts w:ascii="Verdana" w:hAnsi="Verdana" w:cs="Arial"/>
          <w:bCs/>
          <w:lang w:val="es-MX"/>
        </w:rPr>
        <w:t xml:space="preserve">inciso primero del </w:t>
      </w:r>
      <w:r w:rsidRPr="002A30BA">
        <w:rPr>
          <w:rFonts w:ascii="Verdana" w:hAnsi="Verdana" w:cs="Arial"/>
          <w:bCs/>
          <w:lang w:val="es-MX"/>
        </w:rPr>
        <w:t xml:space="preserve">artículo 31 de la Ley 142 de 1994 </w:t>
      </w:r>
      <w:r>
        <w:rPr>
          <w:rFonts w:ascii="Verdana" w:hAnsi="Verdana" w:cs="Arial"/>
          <w:bCs/>
          <w:lang w:val="es-MX"/>
        </w:rPr>
        <w:t>dispuso expresamente que</w:t>
      </w:r>
      <w:r w:rsidRPr="002A30BA">
        <w:rPr>
          <w:rFonts w:ascii="Verdana" w:hAnsi="Verdana" w:cs="Arial"/>
          <w:bCs/>
          <w:lang w:val="es-MX"/>
        </w:rPr>
        <w:t xml:space="preserve"> </w:t>
      </w:r>
      <w:r>
        <w:rPr>
          <w:rFonts w:ascii="Verdana" w:hAnsi="Verdana" w:cs="Arial"/>
          <w:bCs/>
          <w:lang w:val="es-MX"/>
        </w:rPr>
        <w:t>“</w:t>
      </w:r>
      <w:r w:rsidRPr="002A30BA">
        <w:rPr>
          <w:rFonts w:ascii="Verdana" w:hAnsi="Verdana" w:cs="Arial"/>
          <w:bCs/>
          <w:lang w:val="es-MX"/>
        </w:rPr>
        <w:t xml:space="preserve">Los contratos que celebren las </w:t>
      </w:r>
      <w:r w:rsidRPr="00C87D7C">
        <w:rPr>
          <w:rFonts w:ascii="Verdana" w:hAnsi="Verdana" w:cs="Arial"/>
          <w:bCs/>
          <w:i/>
          <w:iCs/>
          <w:lang w:val="es-MX"/>
        </w:rPr>
        <w:t>entidades estatales que prestan los servicios públicos</w:t>
      </w:r>
      <w:r w:rsidRPr="002A30BA">
        <w:rPr>
          <w:rFonts w:ascii="Verdana" w:hAnsi="Verdana" w:cs="Arial"/>
          <w:bCs/>
          <w:lang w:val="es-MX"/>
        </w:rPr>
        <w:t xml:space="preserve"> a los que se refiere esta ley no estarán sujetos a las disposiciones del Estatuto General de Contratación de la Administración Pública, salvo en lo que la presente ley dispong</w:t>
      </w:r>
      <w:r w:rsidRPr="008638A5">
        <w:rPr>
          <w:rFonts w:ascii="Verdana" w:hAnsi="Verdana" w:cs="Arial"/>
          <w:bCs/>
          <w:lang w:val="es-MX"/>
        </w:rPr>
        <w:t>a otra cosa”</w:t>
      </w:r>
      <w:r>
        <w:rPr>
          <w:rFonts w:ascii="Verdana" w:hAnsi="Verdana" w:cs="Arial"/>
          <w:bCs/>
          <w:lang w:val="es-MX"/>
        </w:rPr>
        <w:t xml:space="preserve"> (Énfasis fuera de texto)</w:t>
      </w:r>
      <w:r w:rsidRPr="008638A5">
        <w:rPr>
          <w:rFonts w:ascii="Verdana" w:hAnsi="Verdana" w:cs="Arial"/>
          <w:bCs/>
          <w:lang w:val="es-MX"/>
        </w:rPr>
        <w:t xml:space="preserve">. </w:t>
      </w:r>
      <w:r>
        <w:rPr>
          <w:rFonts w:ascii="Verdana" w:hAnsi="Verdana" w:cs="Arial"/>
          <w:bCs/>
          <w:lang w:val="es-MX"/>
        </w:rPr>
        <w:t>Asimismo,</w:t>
      </w:r>
      <w:r w:rsidRPr="00C87D7C">
        <w:rPr>
          <w:rFonts w:ascii="Verdana" w:hAnsi="Verdana" w:cs="Arial"/>
          <w:bCs/>
          <w:lang w:val="es-MX"/>
        </w:rPr>
        <w:t xml:space="preserve"> </w:t>
      </w:r>
      <w:r>
        <w:rPr>
          <w:rFonts w:ascii="Verdana" w:hAnsi="Verdana" w:cs="Arial"/>
          <w:bCs/>
          <w:lang w:val="es-MX"/>
        </w:rPr>
        <w:t>el inciso primero del</w:t>
      </w:r>
      <w:r w:rsidRPr="00C87D7C">
        <w:rPr>
          <w:rFonts w:ascii="Verdana" w:hAnsi="Verdana" w:cs="Arial"/>
          <w:bCs/>
          <w:lang w:val="es-MX"/>
        </w:rPr>
        <w:t xml:space="preserve"> artículo 32 </w:t>
      </w:r>
      <w:r w:rsidRPr="00C87D7C">
        <w:rPr>
          <w:rFonts w:ascii="Verdana" w:hAnsi="Verdana" w:cs="Arial"/>
          <w:bCs/>
          <w:i/>
          <w:iCs/>
          <w:lang w:val="es-MX"/>
        </w:rPr>
        <w:t>ibidem</w:t>
      </w:r>
      <w:r>
        <w:rPr>
          <w:rFonts w:ascii="Verdana" w:hAnsi="Verdana" w:cs="Arial"/>
          <w:bCs/>
          <w:lang w:val="es-MX"/>
        </w:rPr>
        <w:t xml:space="preserve"> precisa lo siguiente: “</w:t>
      </w:r>
      <w:r w:rsidRPr="00C87D7C">
        <w:rPr>
          <w:rFonts w:ascii="Verdana" w:hAnsi="Verdana" w:cs="Arial"/>
          <w:bCs/>
          <w:lang w:val="es-MX"/>
        </w:rPr>
        <w:t xml:space="preserve">Salvo en cuanto la Constitución Política o esta Ley dispongan expresamente lo contrario, la constitución, y los actos de todas las </w:t>
      </w:r>
      <w:r w:rsidRPr="00C87D7C">
        <w:rPr>
          <w:rFonts w:ascii="Verdana" w:hAnsi="Verdana" w:cs="Arial"/>
          <w:bCs/>
          <w:i/>
          <w:iCs/>
          <w:lang w:val="es-MX"/>
        </w:rPr>
        <w:t>empresas de servicios públicos</w:t>
      </w:r>
      <w:r w:rsidRPr="00C87D7C">
        <w:rPr>
          <w:rFonts w:ascii="Verdana" w:hAnsi="Verdana" w:cs="Arial"/>
          <w:bCs/>
          <w:lang w:val="es-MX"/>
        </w:rPr>
        <w:t>, así como los requeridos para la administración y el ejercicio de los derechos de todas las personas que sean socias de ellas, en lo no dispuesto en esta Ley, se regirán exclusivamente por las reglas del derecho privado</w:t>
      </w:r>
      <w:r>
        <w:rPr>
          <w:rFonts w:ascii="Verdana" w:hAnsi="Verdana" w:cs="Arial"/>
          <w:bCs/>
          <w:lang w:val="es-MX"/>
        </w:rPr>
        <w:t>” (Énfasis fuera de texto)</w:t>
      </w:r>
      <w:r w:rsidRPr="00C87D7C">
        <w:rPr>
          <w:rFonts w:ascii="Verdana" w:hAnsi="Verdana" w:cs="Arial"/>
          <w:bCs/>
          <w:lang w:val="es-MX"/>
        </w:rPr>
        <w:t>.</w:t>
      </w:r>
      <w:r>
        <w:rPr>
          <w:rFonts w:ascii="Verdana" w:hAnsi="Verdana" w:cs="Arial"/>
          <w:bCs/>
          <w:lang w:val="es-MX"/>
        </w:rPr>
        <w:t xml:space="preserve"> </w:t>
      </w:r>
      <w:r>
        <w:rPr>
          <w:rFonts w:ascii="Verdana" w:eastAsia="Calibri" w:hAnsi="Verdana" w:cs="Arial"/>
          <w:color w:val="000000" w:themeColor="text1"/>
          <w:lang w:val="es-ES"/>
        </w:rPr>
        <w:t>De esta manera, el</w:t>
      </w:r>
      <w:r w:rsidRPr="00060C87">
        <w:rPr>
          <w:rFonts w:ascii="Verdana" w:eastAsia="Calibri" w:hAnsi="Verdana" w:cs="Arial"/>
          <w:color w:val="000000" w:themeColor="text1"/>
          <w:lang w:val="es-ES"/>
        </w:rPr>
        <w:t xml:space="preserve"> máximo órgano de la Jurisdicción de lo Contencioso Administrativo</w:t>
      </w:r>
      <w:r>
        <w:rPr>
          <w:rFonts w:ascii="Verdana" w:eastAsia="Calibri" w:hAnsi="Verdana" w:cs="Arial"/>
          <w:color w:val="000000" w:themeColor="text1"/>
          <w:lang w:val="es-ES"/>
        </w:rPr>
        <w:t xml:space="preserve"> considera que</w:t>
      </w:r>
      <w:r w:rsidRPr="00060C87">
        <w:rPr>
          <w:rFonts w:ascii="Verdana" w:eastAsia="Calibri" w:hAnsi="Verdana" w:cs="Arial"/>
          <w:color w:val="000000" w:themeColor="text1"/>
          <w:lang w:val="es-ES"/>
        </w:rPr>
        <w:t xml:space="preserve">: </w:t>
      </w:r>
    </w:p>
    <w:p w14:paraId="6F48C6E8" w14:textId="77777777" w:rsidR="00A7153D" w:rsidRPr="00060C87" w:rsidRDefault="00A7153D" w:rsidP="00A7153D">
      <w:pPr>
        <w:tabs>
          <w:tab w:val="left" w:pos="426"/>
        </w:tabs>
        <w:spacing w:after="0" w:line="276" w:lineRule="auto"/>
        <w:jc w:val="both"/>
        <w:rPr>
          <w:rFonts w:ascii="Verdana" w:eastAsia="Calibri" w:hAnsi="Verdana" w:cs="Arial"/>
          <w:color w:val="000000" w:themeColor="text1"/>
          <w:lang w:val="es-ES"/>
        </w:rPr>
      </w:pPr>
    </w:p>
    <w:p w14:paraId="5603B5A1" w14:textId="77777777" w:rsidR="00A7153D" w:rsidRPr="00033F5A" w:rsidRDefault="00A7153D" w:rsidP="00A7153D">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033F5A">
        <w:rPr>
          <w:rFonts w:ascii="Verdana" w:eastAsia="Calibri" w:hAnsi="Verdana" w:cs="Arial"/>
          <w:color w:val="000000" w:themeColor="text1"/>
          <w:sz w:val="20"/>
          <w:szCs w:val="20"/>
          <w:lang w:val="es-ES"/>
        </w:rPr>
        <w:t xml:space="preserve">“En este orden de ideas, el régimen jurídico aplicable a las empresas de servicios públicos domiciliarios en materia contractual es el propio del derecho común y sólo excepcionalmente se aplican las reglas del derecho público, es decir, las reglas de la Ley 80 de 1993. </w:t>
      </w:r>
    </w:p>
    <w:p w14:paraId="675BCB5C" w14:textId="77777777" w:rsidR="00A7153D" w:rsidRPr="00033F5A" w:rsidRDefault="00A7153D" w:rsidP="00A7153D">
      <w:pPr>
        <w:tabs>
          <w:tab w:val="left" w:pos="426"/>
        </w:tabs>
        <w:spacing w:after="0" w:line="240" w:lineRule="auto"/>
        <w:ind w:left="709" w:right="709"/>
        <w:jc w:val="both"/>
        <w:rPr>
          <w:rFonts w:ascii="Verdana" w:eastAsia="Calibri" w:hAnsi="Verdana" w:cs="Arial"/>
          <w:color w:val="000000" w:themeColor="text1"/>
          <w:sz w:val="20"/>
          <w:szCs w:val="20"/>
          <w:lang w:val="es-ES"/>
        </w:rPr>
      </w:pPr>
    </w:p>
    <w:p w14:paraId="47957B83" w14:textId="77777777" w:rsidR="00A7153D" w:rsidRPr="00033F5A" w:rsidRDefault="00A7153D" w:rsidP="00A7153D">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033F5A">
        <w:rPr>
          <w:rFonts w:ascii="Verdana" w:eastAsia="Calibri" w:hAnsi="Verdana" w:cs="Arial"/>
          <w:color w:val="000000" w:themeColor="text1"/>
          <w:sz w:val="20"/>
          <w:szCs w:val="20"/>
          <w:lang w:val="es-ES"/>
        </w:rPr>
        <w:t>Dicho de otro modo, la regla general de aplicación del derecho común significa, que para la selección del contratista no se requiere aplicar los procedimientos a los que se refiere la Ley 80 de 1993; que las reglas de existencia del contrato no son las previstas en el artículo 41 del Estatuto General de Contratación Pública; que los requisitos de validez del contrato son los previstos en la legislación civil y comercial; que las cláusulas contractuales son las propias de los contratos entre particulares; que la ejecución del contrato debe realizarse conforme a las reglas ordinarias y no a las administrativas; y que en lo relacionado con la terminación, ampliación y liquidación de los contratos, deben aplicarse las reglas del derecho común”</w:t>
      </w:r>
      <w:r w:rsidRPr="00033F5A">
        <w:rPr>
          <w:rStyle w:val="Refdenotaalpie"/>
          <w:rFonts w:ascii="Verdana" w:eastAsia="Calibri" w:hAnsi="Verdana" w:cs="Arial"/>
          <w:color w:val="000000" w:themeColor="text1"/>
          <w:sz w:val="20"/>
          <w:szCs w:val="20"/>
          <w:lang w:val="es-ES"/>
        </w:rPr>
        <w:footnoteReference w:id="2"/>
      </w:r>
      <w:r w:rsidRPr="00033F5A">
        <w:rPr>
          <w:rFonts w:ascii="Verdana" w:eastAsia="Calibri" w:hAnsi="Verdana" w:cs="Arial"/>
          <w:color w:val="000000" w:themeColor="text1"/>
          <w:sz w:val="20"/>
          <w:szCs w:val="20"/>
          <w:lang w:val="es-ES"/>
        </w:rPr>
        <w:t>.</w:t>
      </w:r>
    </w:p>
    <w:p w14:paraId="4CB02A6E" w14:textId="77777777" w:rsidR="00A7153D" w:rsidRPr="00060C87" w:rsidRDefault="00A7153D" w:rsidP="00A7153D">
      <w:pPr>
        <w:spacing w:after="0" w:line="276" w:lineRule="auto"/>
        <w:jc w:val="both"/>
        <w:rPr>
          <w:rFonts w:ascii="Verdana" w:hAnsi="Verdana" w:cs="Arial"/>
          <w:bCs/>
          <w:lang w:val="es-ES"/>
        </w:rPr>
      </w:pPr>
    </w:p>
    <w:p w14:paraId="7F6800E6" w14:textId="77777777" w:rsidR="00CC1026" w:rsidRDefault="00CC1026" w:rsidP="00CC1026">
      <w:pPr>
        <w:spacing w:after="120" w:line="276" w:lineRule="auto"/>
        <w:ind w:firstLine="709"/>
        <w:jc w:val="both"/>
        <w:rPr>
          <w:rFonts w:ascii="Verdana" w:hAnsi="Verdana"/>
        </w:rPr>
      </w:pPr>
      <w:r>
        <w:rPr>
          <w:rFonts w:ascii="Verdana" w:hAnsi="Verdana"/>
        </w:rPr>
        <w:t>En este escenario, l</w:t>
      </w:r>
      <w:r w:rsidRPr="00055945">
        <w:rPr>
          <w:rFonts w:ascii="Verdana" w:hAnsi="Verdana"/>
        </w:rPr>
        <w:t xml:space="preserve">a </w:t>
      </w:r>
      <w:r>
        <w:rPr>
          <w:rFonts w:ascii="Verdana" w:hAnsi="Verdana"/>
        </w:rPr>
        <w:t>denominación de</w:t>
      </w:r>
      <w:r w:rsidRPr="00055945">
        <w:rPr>
          <w:rFonts w:ascii="Verdana" w:hAnsi="Verdana"/>
        </w:rPr>
        <w:t xml:space="preserve"> convenios de tra</w:t>
      </w:r>
      <w:r>
        <w:rPr>
          <w:rFonts w:ascii="Verdana" w:hAnsi="Verdana"/>
        </w:rPr>
        <w:t xml:space="preserve">nsferencia de recursos depende de la naturaleza </w:t>
      </w:r>
      <w:r w:rsidRPr="00055945">
        <w:rPr>
          <w:rFonts w:ascii="Verdana" w:hAnsi="Verdana"/>
        </w:rPr>
        <w:t xml:space="preserve">jurídica de las partes que los suscriben. </w:t>
      </w:r>
      <w:r w:rsidRPr="00055945">
        <w:rPr>
          <w:rFonts w:ascii="Verdana" w:hAnsi="Verdana"/>
        </w:rPr>
        <w:lastRenderedPageBreak/>
        <w:t xml:space="preserve">Cuando una entidad territorial celebra estos acuerdos con </w:t>
      </w:r>
      <w:r>
        <w:rPr>
          <w:rFonts w:ascii="Verdana" w:hAnsi="Verdana"/>
        </w:rPr>
        <w:t xml:space="preserve">una entidad </w:t>
      </w:r>
      <w:r w:rsidRPr="00055945">
        <w:rPr>
          <w:rFonts w:ascii="Verdana" w:hAnsi="Verdana"/>
        </w:rPr>
        <w:t>con participación estatal, se configura un contrato o convenio interadministrativo.</w:t>
      </w:r>
    </w:p>
    <w:p w14:paraId="58356997" w14:textId="77777777" w:rsidR="00CC1026" w:rsidRDefault="00CC1026" w:rsidP="00CC1026">
      <w:pPr>
        <w:spacing w:after="120" w:line="276" w:lineRule="auto"/>
        <w:ind w:firstLine="709"/>
        <w:jc w:val="both"/>
        <w:rPr>
          <w:rFonts w:ascii="Verdana" w:hAnsi="Verdana"/>
        </w:rPr>
      </w:pPr>
      <w:r>
        <w:rPr>
          <w:rFonts w:ascii="Verdana" w:hAnsi="Verdana"/>
        </w:rPr>
        <w:t>Ahora bien, la calidad de contrato o convenio depende del tipo de obligaciones que se adquieren por cada una de las partes de la relación contractual. Por ejemplo, l</w:t>
      </w:r>
      <w:r w:rsidRPr="00DF7C2F">
        <w:rPr>
          <w:rFonts w:ascii="Verdana" w:hAnsi="Verdana"/>
        </w:rPr>
        <w:t>os contratos</w:t>
      </w:r>
      <w:r>
        <w:rPr>
          <w:rFonts w:ascii="Verdana" w:hAnsi="Verdana"/>
        </w:rPr>
        <w:t xml:space="preserve"> interadministrativos</w:t>
      </w:r>
      <w:r w:rsidRPr="00DF7C2F">
        <w:rPr>
          <w:rFonts w:ascii="Verdana" w:hAnsi="Verdana"/>
        </w:rPr>
        <w:t xml:space="preserve"> implican obligaciones de contenido patrimonial, por lo que son onerosos y cada parte asume un gravamen en beneficio de la otra; además, las partes actúan con intereses opuestos: la entidad estatal contratante busca satisfacer el interés público, mientras que la entidad contratista</w:t>
      </w:r>
      <w:r>
        <w:rPr>
          <w:rFonts w:ascii="Verdana" w:hAnsi="Verdana"/>
        </w:rPr>
        <w:t xml:space="preserve"> </w:t>
      </w:r>
      <w:r w:rsidRPr="00DF7C2F">
        <w:rPr>
          <w:rFonts w:ascii="Verdana" w:hAnsi="Verdana"/>
        </w:rPr>
        <w:t xml:space="preserve">persigue un interés propio de carácter económico. </w:t>
      </w:r>
      <w:r>
        <w:rPr>
          <w:rFonts w:ascii="Verdana" w:hAnsi="Verdana"/>
        </w:rPr>
        <w:t>Por otro lado</w:t>
      </w:r>
      <w:r w:rsidRPr="00DF7C2F">
        <w:rPr>
          <w:rFonts w:ascii="Verdana" w:hAnsi="Verdana"/>
        </w:rPr>
        <w:t xml:space="preserve">, los convenios no tienen una finalidad lucrativa, pues su objeto es desarrollar actividades que contribuyen directamente a un fin común, de </w:t>
      </w:r>
      <w:r>
        <w:rPr>
          <w:rFonts w:ascii="Verdana" w:hAnsi="Verdana"/>
        </w:rPr>
        <w:t xml:space="preserve">tal forma que </w:t>
      </w:r>
      <w:r w:rsidRPr="00DF7C2F">
        <w:rPr>
          <w:rFonts w:ascii="Verdana" w:hAnsi="Verdana"/>
        </w:rPr>
        <w:t>las entidades involucradas actúan con intereses convergentes y cooperan para cumplir funciones administrativas o prestar servicios alineados con el interés general, sin que exista</w:t>
      </w:r>
      <w:r>
        <w:rPr>
          <w:rFonts w:ascii="Verdana" w:hAnsi="Verdana"/>
        </w:rPr>
        <w:t xml:space="preserve"> una contraprestación propiamente dicha</w:t>
      </w:r>
      <w:r w:rsidRPr="00DF7C2F">
        <w:rPr>
          <w:rFonts w:ascii="Verdana" w:hAnsi="Verdana"/>
        </w:rPr>
        <w:t>.</w:t>
      </w:r>
    </w:p>
    <w:p w14:paraId="6B9B1306" w14:textId="5B9E0512" w:rsidR="00A7153D" w:rsidRPr="00CC1026" w:rsidRDefault="00CC1026" w:rsidP="00CC1026">
      <w:pPr>
        <w:spacing w:after="120" w:line="276" w:lineRule="auto"/>
        <w:ind w:firstLine="709"/>
        <w:jc w:val="both"/>
        <w:rPr>
          <w:rFonts w:ascii="Verdana" w:hAnsi="Verdana"/>
        </w:rPr>
      </w:pPr>
      <w:r>
        <w:rPr>
          <w:rFonts w:ascii="Verdana" w:eastAsia="Calibri" w:hAnsi="Verdana" w:cs="Arial"/>
          <w:color w:val="000000" w:themeColor="text1"/>
        </w:rPr>
        <w:t xml:space="preserve">Dicho lo anterior, </w:t>
      </w:r>
      <w:r w:rsidR="00A7153D" w:rsidRPr="00B57A1B">
        <w:rPr>
          <w:rFonts w:ascii="Verdana" w:eastAsiaTheme="minorEastAsia" w:hAnsi="Verdana" w:cs="Arial"/>
          <w:lang w:eastAsia="es-CO"/>
        </w:rPr>
        <w:t>La tipología del contrato interadministrativo fue creada en la Ley 80 de 1993, y el Decreto 1082 de 2015 la califica como aquella contratación entre Entidades Estatales</w:t>
      </w:r>
      <w:r w:rsidR="00A7153D" w:rsidRPr="00B57A1B">
        <w:rPr>
          <w:rFonts w:ascii="Verdana" w:hAnsi="Verdana"/>
          <w:vertAlign w:val="superscript"/>
          <w:lang w:eastAsia="es-CO"/>
        </w:rPr>
        <w:footnoteReference w:id="3"/>
      </w:r>
      <w:r w:rsidR="00A7153D" w:rsidRPr="00B57A1B">
        <w:rPr>
          <w:rFonts w:ascii="Verdana" w:eastAsiaTheme="minorEastAsia" w:hAnsi="Verdana" w:cs="Arial"/>
          <w:lang w:eastAsia="es-CO"/>
        </w:rPr>
        <w:t>.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al ser necesario que los extremos de la relación contractual sean Entidades</w:t>
      </w:r>
      <w:r w:rsidR="00A7153D" w:rsidRPr="00B57A1B">
        <w:rPr>
          <w:rFonts w:ascii="Verdana" w:eastAsiaTheme="minorEastAsia" w:hAnsi="Verdana" w:cs="Arial"/>
          <w:spacing w:val="-6"/>
          <w:lang w:eastAsia="es-CO"/>
        </w:rPr>
        <w:t xml:space="preserve"> </w:t>
      </w:r>
      <w:r w:rsidR="00A7153D" w:rsidRPr="00B57A1B">
        <w:rPr>
          <w:rFonts w:ascii="Verdana" w:eastAsiaTheme="minorEastAsia" w:hAnsi="Verdana" w:cs="Arial"/>
          <w:lang w:eastAsia="es-CO"/>
        </w:rPr>
        <w:t>Estatales.</w:t>
      </w:r>
    </w:p>
    <w:p w14:paraId="3735B0C3" w14:textId="77777777" w:rsidR="00A7153D" w:rsidRPr="00B57A1B" w:rsidRDefault="00A7153D" w:rsidP="00A7153D">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 xml:space="preserve">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w:t>
      </w:r>
      <w:r w:rsidRPr="00B57A1B">
        <w:rPr>
          <w:rFonts w:ascii="Verdana" w:eastAsiaTheme="minorEastAsia" w:hAnsi="Verdana" w:cs="Arial"/>
          <w:lang w:eastAsia="es-CO"/>
        </w:rPr>
        <w:lastRenderedPageBreak/>
        <w:t>Entidad Estatal de régimen especial y no por ello dejará de ser un contrato o convenio interadministrativo.</w:t>
      </w:r>
    </w:p>
    <w:p w14:paraId="21CAEBC1" w14:textId="77777777" w:rsidR="00A7153D" w:rsidRPr="00B57A1B" w:rsidRDefault="00A7153D" w:rsidP="00A7153D">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Un contrato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B57A1B">
        <w:rPr>
          <w:rFonts w:ascii="Verdana" w:eastAsiaTheme="minorEastAsia" w:hAnsi="Verdana" w:cs="Arial"/>
          <w:vertAlign w:val="superscript"/>
          <w:lang w:eastAsia="es-CO"/>
        </w:rPr>
        <w:footnoteReference w:id="4"/>
      </w:r>
      <w:r w:rsidRPr="00B57A1B">
        <w:rPr>
          <w:rFonts w:ascii="Verdana" w:eastAsiaTheme="minorEastAsia" w:hAnsi="Verdana" w:cs="Arial"/>
          <w:lang w:eastAsia="es-CO"/>
        </w:rPr>
        <w:t>. Nótese que, en este caso, lo que cambia es la modalidad de selección y no la naturaleza de contrato</w:t>
      </w:r>
      <w:r w:rsidRPr="00B57A1B">
        <w:rPr>
          <w:rFonts w:ascii="Verdana" w:eastAsiaTheme="minorEastAsia" w:hAnsi="Verdana" w:cs="Arial"/>
          <w:spacing w:val="-18"/>
          <w:lang w:eastAsia="es-CO"/>
        </w:rPr>
        <w:t xml:space="preserve"> </w:t>
      </w:r>
      <w:r w:rsidRPr="00B57A1B">
        <w:rPr>
          <w:rFonts w:ascii="Verdana" w:eastAsiaTheme="minorEastAsia" w:hAnsi="Verdana" w:cs="Arial"/>
          <w:lang w:eastAsia="es-CO"/>
        </w:rPr>
        <w:t>interadministrativo.</w:t>
      </w:r>
    </w:p>
    <w:p w14:paraId="00C30676" w14:textId="77777777" w:rsidR="00A7153D" w:rsidRPr="00B57A1B" w:rsidRDefault="00A7153D" w:rsidP="00A7153D">
      <w:pPr>
        <w:spacing w:after="12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pública”</w:t>
      </w:r>
      <w:r w:rsidRPr="00B57A1B">
        <w:rPr>
          <w:rFonts w:ascii="Verdana" w:eastAsiaTheme="minorEastAsia" w:hAnsi="Verdana" w:cs="Arial"/>
          <w:vertAlign w:val="superscript"/>
          <w:lang w:eastAsia="es-CO"/>
        </w:rPr>
        <w:footnoteReference w:id="5"/>
      </w:r>
      <w:r w:rsidRPr="00B57A1B">
        <w:rPr>
          <w:rFonts w:ascii="Verdana" w:eastAsiaTheme="minorEastAsia" w:hAnsi="Verdana" w:cs="Arial"/>
          <w:lang w:eastAsia="es-CO"/>
        </w:rPr>
        <w:t xml:space="preserve">. Así las cosas, esta clase de acuerdos de voluntades se definen por un criterio orgánico, por lo que uno de sus elementos esenciales es que en los extremos de la relación jurídico negocial concurran personas de derecho público. 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Al respecto, el Consejo de Estado distingue las dos instituciones, de la siguiente forma: </w:t>
      </w:r>
    </w:p>
    <w:p w14:paraId="54DB8AF2" w14:textId="77777777" w:rsidR="00A7153D" w:rsidRPr="00B57A1B" w:rsidRDefault="00A7153D" w:rsidP="00A7153D">
      <w:pPr>
        <w:spacing w:after="0" w:line="276" w:lineRule="auto"/>
        <w:ind w:firstLine="709"/>
        <w:jc w:val="both"/>
        <w:rPr>
          <w:rFonts w:ascii="Verdana" w:eastAsiaTheme="minorEastAsia" w:hAnsi="Verdana" w:cs="Arial"/>
          <w:lang w:eastAsia="es-CO"/>
        </w:rPr>
      </w:pPr>
    </w:p>
    <w:p w14:paraId="056E5AF5" w14:textId="77777777" w:rsidR="00A7153D" w:rsidRPr="000E225C" w:rsidRDefault="00A7153D" w:rsidP="00A7153D">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75A41D4D" w14:textId="77777777" w:rsidR="00A7153D" w:rsidRPr="000E225C" w:rsidRDefault="00A7153D" w:rsidP="00A7153D">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val="es-ES" w:eastAsia="es-CO"/>
        </w:rPr>
        <w:lastRenderedPageBreak/>
        <w:t xml:space="preserve">El objeto de los contratos lo constituyen obligaciones de contenido patrimonial y, por </w:t>
      </w:r>
      <w:r w:rsidRPr="000E225C">
        <w:rPr>
          <w:rFonts w:ascii="Verdana" w:eastAsiaTheme="minorEastAsia" w:hAnsi="Verdana" w:cs="Arial"/>
          <w:sz w:val="20"/>
          <w:szCs w:val="20"/>
          <w:lang w:eastAsia="es-CO"/>
        </w:rPr>
        <w:t>lo mismo, son onerosos, lo que implica el gravamen de cada parte en beneficio de la otra. En el contrato, como verdadero acuerdo 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34050AEF" w14:textId="77777777" w:rsidR="00A7153D" w:rsidRPr="000E225C" w:rsidRDefault="00A7153D" w:rsidP="00A7153D">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eastAsia="es-CO"/>
        </w:rPr>
        <w:t>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40814552" w14:textId="77777777" w:rsidR="00A7153D" w:rsidRPr="000E225C" w:rsidRDefault="00A7153D" w:rsidP="00A7153D">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eastAsia="es-CO"/>
        </w:rPr>
        <w:t>Los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analizadas, se desarrollan en un ámbito de preeminencia o  superioridad jurídica de la entidad estatal contratante respecto de la entidad contratista y, por lo mismo, podrá haber prerrogativas a favor de una de las partes. De esta manera, en el contrato 'se puede identificar contratante y contratista, y el segundo, aunque persona pública, tiene intereses y está en un mercado de forma similar a como lo hace un particular”</w:t>
      </w:r>
      <w:r w:rsidRPr="000E225C">
        <w:rPr>
          <w:rFonts w:ascii="Verdana" w:eastAsiaTheme="minorEastAsia" w:hAnsi="Verdana" w:cs="Arial"/>
          <w:sz w:val="20"/>
          <w:szCs w:val="20"/>
          <w:vertAlign w:val="superscript"/>
          <w:lang w:eastAsia="es-CO"/>
        </w:rPr>
        <w:footnoteReference w:id="6"/>
      </w:r>
      <w:r w:rsidRPr="000E225C">
        <w:rPr>
          <w:rFonts w:ascii="Verdana" w:eastAsiaTheme="minorEastAsia" w:hAnsi="Verdana" w:cs="Arial"/>
          <w:sz w:val="20"/>
          <w:szCs w:val="20"/>
          <w:lang w:eastAsia="es-CO"/>
        </w:rPr>
        <w:t>.</w:t>
      </w:r>
    </w:p>
    <w:p w14:paraId="3A4D341B" w14:textId="77777777" w:rsidR="00A7153D" w:rsidRPr="00B57A1B" w:rsidRDefault="00A7153D" w:rsidP="00A7153D">
      <w:pPr>
        <w:spacing w:after="0" w:line="276" w:lineRule="auto"/>
        <w:ind w:right="709"/>
        <w:jc w:val="both"/>
        <w:rPr>
          <w:rFonts w:ascii="Verdana" w:eastAsia="Times New Roman" w:hAnsi="Verdana" w:cs="Arial"/>
          <w:lang w:eastAsia="es-ES_tradnl"/>
        </w:rPr>
      </w:pPr>
    </w:p>
    <w:p w14:paraId="3ED4B711" w14:textId="77777777" w:rsidR="00A7153D" w:rsidRPr="00B57A1B" w:rsidRDefault="00A7153D" w:rsidP="00A7153D">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Al respecto, la doctrina expresa: </w:t>
      </w:r>
    </w:p>
    <w:p w14:paraId="017FD70E" w14:textId="77777777" w:rsidR="00A7153D" w:rsidRPr="00B57A1B" w:rsidRDefault="00A7153D" w:rsidP="00A7153D">
      <w:pPr>
        <w:spacing w:after="0" w:line="276" w:lineRule="auto"/>
        <w:ind w:firstLine="709"/>
        <w:jc w:val="both"/>
        <w:rPr>
          <w:rFonts w:ascii="Verdana" w:eastAsiaTheme="minorEastAsia" w:hAnsi="Verdana" w:cs="Arial"/>
          <w:lang w:eastAsia="es-CO"/>
        </w:rPr>
      </w:pPr>
    </w:p>
    <w:p w14:paraId="2069D954" w14:textId="77777777" w:rsidR="00A7153D" w:rsidRPr="000E225C" w:rsidRDefault="00A7153D" w:rsidP="00A7153D">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lastRenderedPageBreak/>
        <w:t>“De acuerdo con todo lo anteriormente expuesto, podemos manifestar que el convenio interadministrativo es el negocio jurídico en el cual están presentes dos entidades públicas en desarrollo de relaciones interadministrativas cuyo objeto es coordinar, cooperar, colaborar o distribuir competencias en la realización de funciones administrativas de interés común a los sujetos negociales.</w:t>
      </w:r>
    </w:p>
    <w:p w14:paraId="17C3298F" w14:textId="77777777" w:rsidR="00A7153D" w:rsidRPr="000E225C" w:rsidRDefault="00A7153D" w:rsidP="00A7153D">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w:t>
      </w:r>
    </w:p>
    <w:p w14:paraId="351E2136" w14:textId="77777777" w:rsidR="00A7153D" w:rsidRPr="000E225C" w:rsidRDefault="00A7153D" w:rsidP="00A7153D">
      <w:pPr>
        <w:autoSpaceDE w:val="0"/>
        <w:autoSpaceDN w:val="0"/>
        <w:adjustRightInd w:val="0"/>
        <w:spacing w:after="0" w:line="240" w:lineRule="auto"/>
        <w:ind w:left="709" w:right="709"/>
        <w:jc w:val="both"/>
        <w:rPr>
          <w:rFonts w:ascii="Verdana" w:hAnsi="Verdana" w:cs="Weiss"/>
          <w:sz w:val="20"/>
          <w:szCs w:val="19"/>
        </w:rPr>
      </w:pPr>
      <w:r w:rsidRPr="000E225C">
        <w:rPr>
          <w:rFonts w:ascii="Verdana" w:hAnsi="Verdana" w:cs="Weiss"/>
          <w:sz w:val="20"/>
          <w:szCs w:val="19"/>
        </w:rPr>
        <w:t>El contrato interadministrativo, por su parte, es también celebrado entre dos entidades públicas con capacidad de tener relaciones interadministrativas, con la particularidad de que el contrato es negocio 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0E225C">
        <w:rPr>
          <w:rFonts w:ascii="Verdana" w:hAnsi="Verdana" w:cs="Weiss"/>
          <w:sz w:val="20"/>
          <w:szCs w:val="19"/>
          <w:vertAlign w:val="superscript"/>
        </w:rPr>
        <w:footnoteReference w:id="7"/>
      </w:r>
      <w:r w:rsidRPr="000E225C">
        <w:rPr>
          <w:rFonts w:ascii="Verdana" w:hAnsi="Verdana" w:cs="Weiss"/>
          <w:sz w:val="20"/>
          <w:szCs w:val="19"/>
        </w:rPr>
        <w:t>.</w:t>
      </w:r>
    </w:p>
    <w:p w14:paraId="5FECF709" w14:textId="77777777" w:rsidR="00A7153D" w:rsidRPr="00B57A1B" w:rsidRDefault="00A7153D" w:rsidP="00A7153D">
      <w:pPr>
        <w:spacing w:after="120" w:line="276" w:lineRule="auto"/>
        <w:jc w:val="both"/>
        <w:rPr>
          <w:rFonts w:ascii="Verdana" w:eastAsiaTheme="minorEastAsia" w:hAnsi="Verdana" w:cs="Arial"/>
          <w:lang w:eastAsia="es-CO"/>
        </w:rPr>
      </w:pPr>
    </w:p>
    <w:p w14:paraId="20CDF15F" w14:textId="77777777" w:rsidR="00A7153D" w:rsidRPr="00B57A1B" w:rsidRDefault="00A7153D" w:rsidP="00A7153D">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r w:rsidRPr="00B57A1B">
        <w:rPr>
          <w:rFonts w:ascii="Verdana" w:eastAsiaTheme="minorEastAsia" w:hAnsi="Verdana" w:cs="Arial"/>
          <w:vertAlign w:val="superscript"/>
          <w:lang w:eastAsia="es-CO"/>
        </w:rPr>
        <w:footnoteReference w:id="8"/>
      </w:r>
      <w:r w:rsidRPr="00B57A1B">
        <w:rPr>
          <w:rFonts w:ascii="Verdana" w:eastAsiaTheme="minorEastAsia" w:hAnsi="Verdana" w:cs="Arial"/>
          <w:lang w:eastAsia="es-CO"/>
        </w:rPr>
        <w:t xml:space="preserve">. De esta manera, el Consejo de Estado expresa:  </w:t>
      </w:r>
    </w:p>
    <w:p w14:paraId="17B18442" w14:textId="77777777" w:rsidR="00A7153D" w:rsidRPr="00B57A1B" w:rsidRDefault="00A7153D" w:rsidP="00A7153D">
      <w:pPr>
        <w:widowControl w:val="0"/>
        <w:autoSpaceDE w:val="0"/>
        <w:autoSpaceDN w:val="0"/>
        <w:spacing w:after="120" w:line="276" w:lineRule="auto"/>
        <w:jc w:val="both"/>
        <w:rPr>
          <w:rFonts w:ascii="Verdana" w:eastAsia="Arial MT" w:hAnsi="Verdana" w:cs="Arial MT"/>
        </w:rPr>
      </w:pPr>
    </w:p>
    <w:p w14:paraId="102B9B0A" w14:textId="77777777" w:rsidR="00A7153D" w:rsidRPr="000E225C" w:rsidRDefault="00A7153D" w:rsidP="00A7153D">
      <w:pPr>
        <w:widowControl w:val="0"/>
        <w:autoSpaceDE w:val="0"/>
        <w:autoSpaceDN w:val="0"/>
        <w:spacing w:after="0" w:line="240" w:lineRule="auto"/>
        <w:ind w:left="709" w:right="709"/>
        <w:jc w:val="both"/>
        <w:rPr>
          <w:rFonts w:ascii="Verdana" w:eastAsia="Arial MT" w:hAnsi="Verdana" w:cs="Arial MT"/>
          <w:i/>
          <w:iCs/>
          <w:sz w:val="20"/>
          <w:szCs w:val="19"/>
        </w:rPr>
      </w:pPr>
      <w:r w:rsidRPr="000E225C">
        <w:rPr>
          <w:rFonts w:ascii="Verdana" w:eastAsia="Arial MT" w:hAnsi="Verdana" w:cs="Arial MT"/>
          <w:i/>
          <w:iCs/>
          <w:sz w:val="20"/>
          <w:szCs w:val="19"/>
        </w:rPr>
        <w:t xml:space="preserve">“La finalidad asociativa de los “convenios interadministrativos” previstos en el artículo 95 de la Ley 489 de 1998, en el plano de derecho público en el que se enmarcan, impide una aplicación automática del régimen contractual de los contratos estatales, imbuido por lo demás por las disposiciones civiles y comerciales, salvo las materias especialmente </w:t>
      </w:r>
      <w:r w:rsidRPr="000E225C">
        <w:rPr>
          <w:rFonts w:ascii="Verdana" w:eastAsia="Arial MT" w:hAnsi="Verdana" w:cs="Arial MT"/>
          <w:i/>
          <w:iCs/>
          <w:sz w:val="20"/>
          <w:szCs w:val="19"/>
        </w:rPr>
        <w:lastRenderedPageBreak/>
        <w:t xml:space="preserve">reguladas en el EGCAP. </w:t>
      </w:r>
    </w:p>
    <w:p w14:paraId="73E797E9" w14:textId="77777777" w:rsidR="00A7153D" w:rsidRPr="000E225C" w:rsidRDefault="00A7153D" w:rsidP="00A7153D">
      <w:pPr>
        <w:widowControl w:val="0"/>
        <w:autoSpaceDE w:val="0"/>
        <w:autoSpaceDN w:val="0"/>
        <w:spacing w:after="0" w:line="240" w:lineRule="auto"/>
        <w:ind w:left="709" w:right="709"/>
        <w:jc w:val="both"/>
        <w:rPr>
          <w:rFonts w:ascii="Verdana" w:eastAsia="Arial MT" w:hAnsi="Verdana" w:cs="Arial MT"/>
          <w:sz w:val="20"/>
          <w:szCs w:val="19"/>
        </w:rPr>
      </w:pPr>
    </w:p>
    <w:p w14:paraId="16BBB836" w14:textId="77777777" w:rsidR="00A7153D" w:rsidRPr="000E225C" w:rsidRDefault="00A7153D" w:rsidP="00A7153D">
      <w:pPr>
        <w:widowControl w:val="0"/>
        <w:autoSpaceDE w:val="0"/>
        <w:autoSpaceDN w:val="0"/>
        <w:spacing w:after="0" w:line="240" w:lineRule="auto"/>
        <w:ind w:left="709" w:right="709"/>
        <w:jc w:val="both"/>
        <w:rPr>
          <w:rFonts w:ascii="Verdana" w:eastAsia="Arial MT" w:hAnsi="Verdana" w:cs="Arial MT"/>
          <w:i/>
          <w:iCs/>
          <w:sz w:val="20"/>
          <w:szCs w:val="19"/>
        </w:rPr>
      </w:pPr>
      <w:r w:rsidRPr="000E225C">
        <w:rPr>
          <w:rFonts w:ascii="Verdana" w:eastAsia="Arial MT" w:hAnsi="Verdana" w:cs="Arial MT"/>
          <w:i/>
          <w:iCs/>
          <w:sz w:val="20"/>
          <w:szCs w:val="19"/>
        </w:rPr>
        <w:t xml:space="preserve">En ese sentido, más allá de la concurrencia de voluntades, se trata de la asunción de objetivos comunes orientados predominantemente por una finalidad de derecho público que, además de que justifica la existencia de dichos convenios, rebasa o excede el sentido tradicional del concepto de “contrato”, por lo que, en cuanto a la normativa aplicable se refiere y en el estado actual de las cosas, aquellos deben interpretarse de forma tal que la regulación del EGCAP y del derecho privado sea de aplicación supletoria, esto es, solo en la medida en que exista una verdadera laguna o falta de regulación normativa y/o convencional. </w:t>
      </w:r>
    </w:p>
    <w:p w14:paraId="3A96BF1E" w14:textId="77777777" w:rsidR="00A7153D" w:rsidRPr="000E225C" w:rsidRDefault="00A7153D" w:rsidP="00A7153D">
      <w:pPr>
        <w:widowControl w:val="0"/>
        <w:autoSpaceDE w:val="0"/>
        <w:autoSpaceDN w:val="0"/>
        <w:spacing w:after="0" w:line="240" w:lineRule="auto"/>
        <w:ind w:left="709" w:right="709"/>
        <w:jc w:val="both"/>
        <w:rPr>
          <w:rFonts w:ascii="Verdana" w:eastAsia="Arial MT" w:hAnsi="Verdana" w:cs="Arial MT"/>
          <w:sz w:val="20"/>
          <w:szCs w:val="19"/>
        </w:rPr>
      </w:pPr>
    </w:p>
    <w:p w14:paraId="442EB106" w14:textId="77777777" w:rsidR="00A7153D" w:rsidRPr="000E225C" w:rsidRDefault="00A7153D" w:rsidP="00A7153D">
      <w:pPr>
        <w:widowControl w:val="0"/>
        <w:autoSpaceDE w:val="0"/>
        <w:autoSpaceDN w:val="0"/>
        <w:spacing w:after="0" w:line="240" w:lineRule="auto"/>
        <w:ind w:left="709" w:right="709"/>
        <w:jc w:val="both"/>
        <w:rPr>
          <w:rFonts w:ascii="Verdana" w:eastAsia="Arial MT" w:hAnsi="Verdana" w:cs="Arial MT"/>
          <w:sz w:val="20"/>
          <w:szCs w:val="19"/>
          <w:lang w:val="es-ES"/>
        </w:rPr>
      </w:pPr>
      <w:r w:rsidRPr="000E225C">
        <w:rPr>
          <w:rFonts w:ascii="Verdana" w:eastAsia="Arial MT" w:hAnsi="Verdana" w:cs="Arial MT"/>
          <w:i/>
          <w:iCs/>
          <w:sz w:val="20"/>
          <w:szCs w:val="19"/>
        </w:rPr>
        <w:t>Además, de acuerdo con la Corte Constitucional, el diseño de las normas contenidas en el EGCAP primordialmente ha estado orientado por un criterio del “contrato estatal” como instrumento de aprovisionamiento de bienes y servicios por parte de los órganos públicos para la consecución de los fines del Estado, razón por la cual una aplicación irrestricta de las normas de dicho estatuto, así concebidas, frente a convenios que, según la Corte Constitucional, están ideados esencialmente para concretar la coordinación de las actuaciones entre las autoridades administrativas, conduciría a resultados que malogren y/o desincentiven la cooperación entre ellas, producto de las incompatibilidades que puedan presentarse”</w:t>
      </w:r>
      <w:r w:rsidRPr="000E225C">
        <w:rPr>
          <w:rFonts w:ascii="Verdana" w:eastAsia="Arial MT" w:hAnsi="Verdana" w:cs="Arial MT"/>
          <w:i/>
          <w:iCs/>
          <w:sz w:val="20"/>
          <w:szCs w:val="19"/>
          <w:vertAlign w:val="superscript"/>
        </w:rPr>
        <w:footnoteReference w:id="9"/>
      </w:r>
      <w:r w:rsidRPr="000E225C">
        <w:rPr>
          <w:rFonts w:ascii="Verdana" w:eastAsia="Arial MT" w:hAnsi="Verdana" w:cs="Arial MT"/>
          <w:i/>
          <w:iCs/>
          <w:sz w:val="20"/>
          <w:szCs w:val="19"/>
        </w:rPr>
        <w:t>.</w:t>
      </w:r>
    </w:p>
    <w:p w14:paraId="4E4A05D3" w14:textId="77777777" w:rsidR="00A7153D" w:rsidRDefault="00A7153D" w:rsidP="00A7153D">
      <w:pPr>
        <w:spacing w:after="120" w:line="276" w:lineRule="auto"/>
        <w:jc w:val="both"/>
        <w:rPr>
          <w:rFonts w:ascii="Verdana" w:eastAsia="Calibri" w:hAnsi="Verdana" w:cs="Arial"/>
          <w:color w:val="000000" w:themeColor="text1"/>
          <w:lang w:val="es-ES"/>
        </w:rPr>
      </w:pPr>
    </w:p>
    <w:p w14:paraId="08CE56E8" w14:textId="7C4151BA" w:rsidR="00A7153D" w:rsidRDefault="00A7153D" w:rsidP="00A7153D">
      <w:pPr>
        <w:spacing w:after="0" w:line="276" w:lineRule="auto"/>
        <w:ind w:firstLine="709"/>
        <w:jc w:val="both"/>
        <w:rPr>
          <w:rFonts w:ascii="Verdana" w:eastAsia="Calibri" w:hAnsi="Verdana" w:cs="Times New Roman"/>
          <w:iCs/>
          <w:lang w:val="es-ES"/>
        </w:rPr>
      </w:pPr>
      <w:r w:rsidRPr="00B57A1B">
        <w:rPr>
          <w:rFonts w:ascii="Verdana" w:eastAsiaTheme="minorEastAsia" w:hAnsi="Verdana" w:cs="Arial"/>
          <w:lang w:eastAsia="es-CO"/>
        </w:rPr>
        <w:t xml:space="preserve">Teniendo en cuenta, este entendimiento sobre los </w:t>
      </w:r>
      <w:r w:rsidR="00CC1026" w:rsidRPr="00B57A1B">
        <w:rPr>
          <w:rFonts w:ascii="Verdana" w:eastAsiaTheme="minorEastAsia" w:hAnsi="Verdana" w:cs="Arial"/>
          <w:lang w:eastAsia="es-CO"/>
        </w:rPr>
        <w:t>convenios</w:t>
      </w:r>
      <w:r w:rsidR="00CC1026">
        <w:rPr>
          <w:rFonts w:ascii="Verdana" w:eastAsiaTheme="minorEastAsia" w:hAnsi="Verdana" w:cs="Arial"/>
          <w:lang w:eastAsia="es-CO"/>
        </w:rPr>
        <w:t xml:space="preserve"> y contratos interadministrativos</w:t>
      </w:r>
      <w:r>
        <w:rPr>
          <w:rFonts w:ascii="Verdana" w:eastAsia="Calibri" w:hAnsi="Verdana" w:cs="Times New Roman"/>
          <w:iCs/>
          <w:lang w:val="es-ES"/>
        </w:rPr>
        <w:t xml:space="preserve"> se infiere que su denominación parte de que ambos actores son entidades públicas. Ahora bien, será necesario analizar la posibilidad de celebración de convenios o contratos interadministrativos </w:t>
      </w:r>
      <w:r w:rsidR="00CC1026">
        <w:rPr>
          <w:rFonts w:ascii="Verdana" w:eastAsia="Calibri" w:hAnsi="Verdana" w:cs="Times New Roman"/>
          <w:iCs/>
          <w:lang w:val="es-ES"/>
        </w:rPr>
        <w:t>en cumplimiento de un mandato legal para la efectiva prestación de un servicio público esencial</w:t>
      </w:r>
      <w:r>
        <w:rPr>
          <w:rFonts w:ascii="Verdana" w:eastAsia="Calibri" w:hAnsi="Verdana" w:cs="Times New Roman"/>
          <w:iCs/>
          <w:lang w:val="es-ES"/>
        </w:rPr>
        <w:t xml:space="preserve">. </w:t>
      </w:r>
    </w:p>
    <w:p w14:paraId="6EE8C14B" w14:textId="77777777" w:rsidR="00A7153D" w:rsidRDefault="00A7153D" w:rsidP="00A7153D">
      <w:pPr>
        <w:spacing w:after="0" w:line="276" w:lineRule="auto"/>
        <w:jc w:val="both"/>
        <w:rPr>
          <w:rFonts w:ascii="Verdana" w:eastAsia="Calibri" w:hAnsi="Verdana" w:cs="Times New Roman"/>
          <w:iCs/>
          <w:lang w:val="es-ES"/>
        </w:rPr>
      </w:pPr>
    </w:p>
    <w:p w14:paraId="246BCC87" w14:textId="72075B48" w:rsidR="00A7153D" w:rsidRPr="00CC1026" w:rsidRDefault="00A7153D" w:rsidP="00CC1026">
      <w:pPr>
        <w:spacing w:after="120" w:line="276" w:lineRule="auto"/>
        <w:jc w:val="both"/>
        <w:rPr>
          <w:rFonts w:ascii="Verdana" w:eastAsia="Calibri" w:hAnsi="Verdana" w:cs="Times New Roman"/>
          <w:iCs/>
          <w:lang w:val="es-ES"/>
        </w:rPr>
      </w:pPr>
      <w:r w:rsidRPr="003004D2">
        <w:rPr>
          <w:rFonts w:ascii="Verdana" w:eastAsia="Calibri" w:hAnsi="Verdana" w:cs="Times New Roman"/>
          <w:iCs/>
        </w:rPr>
        <w:tab/>
        <w:t>Para ello, se hace una referencia especial a la Ley 142 de 1994, “</w:t>
      </w:r>
      <w:r w:rsidRPr="003004D2">
        <w:rPr>
          <w:rFonts w:ascii="Verdana" w:eastAsia="Calibri" w:hAnsi="Verdana" w:cs="Times New Roman"/>
          <w:bCs/>
          <w:iCs/>
        </w:rPr>
        <w:t>por la cual se establece el régimen de los servicios públicos domiciliarios y se dictan otras disposiciones”. Dicha Ley en su artículo 3°</w:t>
      </w:r>
      <w:r w:rsidRPr="003004D2">
        <w:rPr>
          <w:rStyle w:val="Refdenotaalpie"/>
          <w:rFonts w:ascii="Verdana" w:eastAsia="Calibri" w:hAnsi="Verdana" w:cs="Times New Roman"/>
          <w:bCs/>
          <w:iCs/>
        </w:rPr>
        <w:footnoteReference w:id="10"/>
      </w:r>
      <w:r w:rsidRPr="003004D2">
        <w:rPr>
          <w:rFonts w:ascii="Verdana" w:eastAsia="Calibri" w:hAnsi="Verdana" w:cs="Times New Roman"/>
          <w:bCs/>
          <w:iCs/>
        </w:rPr>
        <w:t xml:space="preserve"> establece que la intervención </w:t>
      </w:r>
      <w:r w:rsidRPr="003004D2">
        <w:rPr>
          <w:rFonts w:ascii="Verdana" w:eastAsia="Calibri" w:hAnsi="Verdana" w:cs="Times New Roman"/>
          <w:bCs/>
          <w:iCs/>
        </w:rPr>
        <w:lastRenderedPageBreak/>
        <w:t>estatal en los servicios públicos se ejerce a través de diversas funciones asignadas a las entidades competentes, entre ellas: el apoyo a los prestadores, la gestión de recursos, la regulación de eficiencia, cobertura, calidad y tarifas, el control y vigilancia del cumplimiento normativo, la organización de sistemas de información y asistencia técnica, la protección de recursos naturales, el otorgamiento de subsidios a personas de bajos ingresos, el estímulo a la inversión privada y el respeto al principio de neutralidad para evitar prácticas discriminatorias. Todas las decisiones deben fundarse en motivos comprobables previstos por la ley, y los prestadores quedan sujetos a la regulación de las Comisiones, al control de la Superintendencia de Servicios Públicos y a las contribuciones correspondientes.</w:t>
      </w:r>
    </w:p>
    <w:p w14:paraId="32900A31" w14:textId="51D111A2" w:rsidR="00A7153D" w:rsidRPr="003C5FD9" w:rsidRDefault="00A7153D" w:rsidP="00CC1026">
      <w:pPr>
        <w:pStyle w:val="Default"/>
        <w:spacing w:line="276" w:lineRule="auto"/>
        <w:jc w:val="both"/>
        <w:rPr>
          <w:rFonts w:ascii="Verdana" w:hAnsi="Verdana"/>
          <w:color w:val="auto"/>
          <w:sz w:val="22"/>
          <w:szCs w:val="22"/>
        </w:rPr>
      </w:pPr>
    </w:p>
    <w:p w14:paraId="5AE3CF5E" w14:textId="48041DF9" w:rsidR="00A7153D" w:rsidRDefault="00A7153D" w:rsidP="00A7153D">
      <w:pPr>
        <w:spacing w:after="120" w:line="276" w:lineRule="auto"/>
        <w:ind w:firstLine="709"/>
        <w:jc w:val="both"/>
        <w:rPr>
          <w:rFonts w:ascii="Verdana" w:hAnsi="Verdana"/>
        </w:rPr>
      </w:pPr>
      <w:r w:rsidRPr="003C5FD9">
        <w:rPr>
          <w:rFonts w:ascii="Verdana" w:hAnsi="Verdana"/>
        </w:rPr>
        <w:t>En la práctica administrativa,</w:t>
      </w:r>
      <w:r w:rsidR="00CC1026">
        <w:rPr>
          <w:rFonts w:ascii="Verdana" w:hAnsi="Verdana"/>
        </w:rPr>
        <w:t xml:space="preserve"> por ejemplo,</w:t>
      </w:r>
      <w:r w:rsidRPr="003C5FD9">
        <w:rPr>
          <w:rFonts w:ascii="Verdana" w:hAnsi="Verdana"/>
        </w:rPr>
        <w:t xml:space="preserve"> las entidades territoriales realizan giros o transferencias de recursos provenientes del Fondo de Solidaridad y Redistribución de Ingresos, así como de otros mecanismos de subsidio, a favor de los prestadores de servicios públicos domiciliarios. Estos prestadores pueden </w:t>
      </w:r>
      <w:r>
        <w:rPr>
          <w:rFonts w:ascii="Verdana" w:hAnsi="Verdana"/>
        </w:rPr>
        <w:t>ser</w:t>
      </w:r>
      <w:r w:rsidRPr="003C5FD9">
        <w:rPr>
          <w:rFonts w:ascii="Verdana" w:hAnsi="Verdana"/>
        </w:rPr>
        <w:t xml:space="preserve"> </w:t>
      </w:r>
      <w:r>
        <w:rPr>
          <w:rFonts w:ascii="Verdana" w:hAnsi="Verdana"/>
        </w:rPr>
        <w:t xml:space="preserve">una empresa de servicios públicos domiciliarios de </w:t>
      </w:r>
      <w:r w:rsidRPr="003C5FD9">
        <w:rPr>
          <w:rFonts w:ascii="Verdana" w:hAnsi="Verdana"/>
        </w:rPr>
        <w:t>naturaleza públ</w:t>
      </w:r>
      <w:r>
        <w:rPr>
          <w:rFonts w:ascii="Verdana" w:hAnsi="Verdana"/>
        </w:rPr>
        <w:t>ica, mixta o privada -</w:t>
      </w:r>
      <w:r w:rsidRPr="003C5FD9">
        <w:rPr>
          <w:rFonts w:ascii="Verdana" w:hAnsi="Verdana"/>
        </w:rPr>
        <w:t>con o sin participación estatal</w:t>
      </w:r>
      <w:r>
        <w:rPr>
          <w:rFonts w:ascii="Verdana" w:hAnsi="Verdana"/>
        </w:rPr>
        <w:t>-</w:t>
      </w:r>
      <w:r w:rsidRPr="003C5FD9">
        <w:rPr>
          <w:rFonts w:ascii="Verdana" w:hAnsi="Verdana"/>
        </w:rPr>
        <w:t>. Para la ejecución de dichas transferencias, se emplean instrumentos jurídicos como los convenios de transferencia de recursos.</w:t>
      </w:r>
      <w:r>
        <w:rPr>
          <w:rFonts w:ascii="Verdana" w:hAnsi="Verdana"/>
        </w:rPr>
        <w:t xml:space="preserve"> </w:t>
      </w:r>
    </w:p>
    <w:p w14:paraId="7097339E" w14:textId="2A81247E" w:rsidR="00A7153D" w:rsidRDefault="00CC1026" w:rsidP="00A7153D">
      <w:pPr>
        <w:spacing w:after="120" w:line="276" w:lineRule="auto"/>
        <w:ind w:firstLine="709"/>
        <w:jc w:val="both"/>
        <w:rPr>
          <w:rFonts w:ascii="Verdana" w:hAnsi="Verdana"/>
        </w:rPr>
      </w:pPr>
      <w:r>
        <w:rPr>
          <w:rFonts w:ascii="Verdana" w:hAnsi="Verdana"/>
        </w:rPr>
        <w:t>Ahora bien</w:t>
      </w:r>
      <w:r w:rsidR="00A7153D">
        <w:rPr>
          <w:rFonts w:ascii="Verdana" w:hAnsi="Verdana"/>
        </w:rPr>
        <w:t>, l</w:t>
      </w:r>
      <w:r w:rsidR="00A7153D" w:rsidRPr="00055945">
        <w:rPr>
          <w:rFonts w:ascii="Verdana" w:hAnsi="Verdana"/>
        </w:rPr>
        <w:t>a naturaleza de los convenios de tra</w:t>
      </w:r>
      <w:r w:rsidR="00A7153D">
        <w:rPr>
          <w:rFonts w:ascii="Verdana" w:hAnsi="Verdana"/>
        </w:rPr>
        <w:t xml:space="preserve">nsferencia de recursos depende de la naturaleza </w:t>
      </w:r>
      <w:r w:rsidR="00A7153D" w:rsidRPr="00055945">
        <w:rPr>
          <w:rFonts w:ascii="Verdana" w:hAnsi="Verdana"/>
        </w:rPr>
        <w:t>jurídica de las partes que los suscriben. Cuando una entidad territorial celebra estos acuerdos con</w:t>
      </w:r>
      <w:r>
        <w:rPr>
          <w:rFonts w:ascii="Verdana" w:hAnsi="Verdana"/>
        </w:rPr>
        <w:t xml:space="preserve"> otra entidad que garantice </w:t>
      </w:r>
      <w:proofErr w:type="gramStart"/>
      <w:r>
        <w:rPr>
          <w:rFonts w:ascii="Verdana" w:hAnsi="Verdana"/>
        </w:rPr>
        <w:t xml:space="preserve">la </w:t>
      </w:r>
      <w:r w:rsidR="00A7153D" w:rsidRPr="00055945">
        <w:rPr>
          <w:rFonts w:ascii="Verdana" w:hAnsi="Verdana"/>
        </w:rPr>
        <w:t xml:space="preserve"> participación</w:t>
      </w:r>
      <w:proofErr w:type="gramEnd"/>
      <w:r w:rsidR="00A7153D" w:rsidRPr="00055945">
        <w:rPr>
          <w:rFonts w:ascii="Verdana" w:hAnsi="Verdana"/>
        </w:rPr>
        <w:t xml:space="preserve"> estatal, se configura un contrato o convenio interadministrativo. </w:t>
      </w:r>
    </w:p>
    <w:p w14:paraId="73A438DE" w14:textId="77777777" w:rsidR="00A7153D" w:rsidRDefault="00A7153D" w:rsidP="00A7153D">
      <w:pPr>
        <w:spacing w:after="120" w:line="276" w:lineRule="auto"/>
        <w:ind w:firstLine="709"/>
        <w:jc w:val="both"/>
        <w:rPr>
          <w:rFonts w:ascii="Verdana" w:hAnsi="Verdana"/>
        </w:rPr>
      </w:pPr>
      <w:r>
        <w:rPr>
          <w:rFonts w:ascii="Verdana" w:hAnsi="Verdana"/>
        </w:rPr>
        <w:t xml:space="preserve">En torno a este tema, la Superintendencia de Servicios Públicos Domiciliarios ha expresado que dichos negocios jurídicos no son una modalidad </w:t>
      </w:r>
      <w:r>
        <w:rPr>
          <w:rFonts w:ascii="Verdana" w:hAnsi="Verdana"/>
        </w:rPr>
        <w:lastRenderedPageBreak/>
        <w:t xml:space="preserve">tipificada en el Derecho Público y en el Derecho Privado, por lo que corresponde a la autonomía de las partes. Al respecto, señaló: “[…] estos contratos son una modalidad especial que no se encuentra tipificada en el derecho público ni en el derecho privado, y por ende, sus condiciones se encuentran sujetas a la autonomía de la voluntad de las partes que lo suscriben, lo cual debe plasmarse en el texto contractual”. </w:t>
      </w:r>
    </w:p>
    <w:p w14:paraId="7E26A23E" w14:textId="77777777" w:rsidR="00A7153D" w:rsidRDefault="00A7153D" w:rsidP="00A7153D">
      <w:pPr>
        <w:spacing w:after="120" w:line="276" w:lineRule="auto"/>
        <w:ind w:firstLine="709"/>
        <w:jc w:val="both"/>
        <w:rPr>
          <w:rFonts w:ascii="Verdana" w:hAnsi="Verdana"/>
        </w:rPr>
      </w:pPr>
      <w:r>
        <w:rPr>
          <w:rFonts w:ascii="Verdana" w:hAnsi="Verdana"/>
        </w:rPr>
        <w:t>Ahora bien, la calidad de contrato o convenio depende del tipo de obligaciones que se adquieren por cada una de las partes de la relación contractual. Por ejemplo, l</w:t>
      </w:r>
      <w:r w:rsidRPr="00DF7C2F">
        <w:rPr>
          <w:rFonts w:ascii="Verdana" w:hAnsi="Verdana"/>
        </w:rPr>
        <w:t>os contratos</w:t>
      </w:r>
      <w:r>
        <w:rPr>
          <w:rFonts w:ascii="Verdana" w:hAnsi="Verdana"/>
        </w:rPr>
        <w:t xml:space="preserve"> interadministrativos</w:t>
      </w:r>
      <w:r w:rsidRPr="00DF7C2F">
        <w:rPr>
          <w:rFonts w:ascii="Verdana" w:hAnsi="Verdana"/>
        </w:rPr>
        <w:t xml:space="preserve"> implican obligaciones de contenido patrimonial, por lo que son onerosos y cada parte asume un gravamen en beneficio de la otra; además, las partes actúan con intereses opuestos: la entidad estatal contratante busca satisfacer el interés público, mientras que la entidad contratista</w:t>
      </w:r>
      <w:r>
        <w:rPr>
          <w:rFonts w:ascii="Verdana" w:hAnsi="Verdana"/>
        </w:rPr>
        <w:t xml:space="preserve"> </w:t>
      </w:r>
      <w:r w:rsidRPr="00DF7C2F">
        <w:rPr>
          <w:rFonts w:ascii="Verdana" w:hAnsi="Verdana"/>
        </w:rPr>
        <w:t xml:space="preserve">persigue un interés propio de carácter económico. </w:t>
      </w:r>
      <w:r>
        <w:rPr>
          <w:rFonts w:ascii="Verdana" w:hAnsi="Verdana"/>
        </w:rPr>
        <w:t>Por otro lado</w:t>
      </w:r>
      <w:r w:rsidRPr="00DF7C2F">
        <w:rPr>
          <w:rFonts w:ascii="Verdana" w:hAnsi="Verdana"/>
        </w:rPr>
        <w:t xml:space="preserve">, los convenios no tienen una finalidad lucrativa, pues su objeto es desarrollar actividades que contribuyen directamente a un fin común, de </w:t>
      </w:r>
      <w:r>
        <w:rPr>
          <w:rFonts w:ascii="Verdana" w:hAnsi="Verdana"/>
        </w:rPr>
        <w:t xml:space="preserve">tal forma que </w:t>
      </w:r>
      <w:r w:rsidRPr="00DF7C2F">
        <w:rPr>
          <w:rFonts w:ascii="Verdana" w:hAnsi="Verdana"/>
        </w:rPr>
        <w:t>las entidades involucradas actúan con intereses convergentes y cooperan para cumplir funciones administrativas o prestar servicios alineados con el interés general, sin que exista</w:t>
      </w:r>
      <w:r>
        <w:rPr>
          <w:rFonts w:ascii="Verdana" w:hAnsi="Verdana"/>
        </w:rPr>
        <w:t xml:space="preserve"> una contraprestación propiamente dicha</w:t>
      </w:r>
      <w:r w:rsidRPr="00DF7C2F">
        <w:rPr>
          <w:rFonts w:ascii="Verdana" w:hAnsi="Verdana"/>
        </w:rPr>
        <w:t>.</w:t>
      </w:r>
    </w:p>
    <w:p w14:paraId="30694E1D" w14:textId="77777777" w:rsidR="00A7153D" w:rsidRDefault="00A7153D" w:rsidP="00A7153D">
      <w:pPr>
        <w:spacing w:after="0" w:line="276" w:lineRule="auto"/>
        <w:jc w:val="both"/>
        <w:rPr>
          <w:rFonts w:ascii="Verdana" w:hAnsi="Verdana"/>
        </w:rPr>
      </w:pPr>
    </w:p>
    <w:p w14:paraId="52E67438" w14:textId="0D119185" w:rsidR="00A7153D" w:rsidRPr="00E2397D" w:rsidRDefault="00A7153D" w:rsidP="00A7153D">
      <w:pPr>
        <w:spacing w:after="120" w:line="276" w:lineRule="auto"/>
        <w:jc w:val="both"/>
        <w:rPr>
          <w:rFonts w:ascii="Verdana" w:eastAsia="Arial" w:hAnsi="Verdana" w:cs="Arial"/>
          <w:lang w:val="es-ES" w:eastAsia="es-ES" w:bidi="es-ES"/>
        </w:rPr>
      </w:pPr>
      <w:proofErr w:type="spellStart"/>
      <w:r w:rsidRPr="00CC1026">
        <w:rPr>
          <w:rFonts w:ascii="Verdana" w:hAnsi="Verdana"/>
        </w:rPr>
        <w:t>i</w:t>
      </w:r>
      <w:r w:rsidR="00CC1026" w:rsidRPr="00CC1026">
        <w:rPr>
          <w:rFonts w:ascii="Verdana" w:hAnsi="Verdana"/>
        </w:rPr>
        <w:t>i</w:t>
      </w:r>
      <w:proofErr w:type="spellEnd"/>
      <w:r w:rsidRPr="00CC1026">
        <w:rPr>
          <w:rFonts w:ascii="Verdana" w:hAnsi="Verdana"/>
        </w:rPr>
        <w:t xml:space="preserve">. </w:t>
      </w:r>
      <w:r w:rsidR="00CC1026">
        <w:rPr>
          <w:rFonts w:ascii="Verdana" w:eastAsia="Arial" w:hAnsi="Verdana" w:cs="Arial"/>
          <w:lang w:val="es-ES" w:eastAsia="es-ES" w:bidi="es-ES"/>
        </w:rPr>
        <w:t>Ahora bien</w:t>
      </w:r>
      <w:r w:rsidRPr="00E2397D">
        <w:rPr>
          <w:rFonts w:ascii="Verdana" w:eastAsia="Arial" w:hAnsi="Verdana" w:cs="Arial"/>
          <w:lang w:val="es-ES" w:eastAsia="es-ES" w:bidi="es-ES"/>
        </w:rPr>
        <w:t xml:space="preserve">, </w:t>
      </w:r>
      <w:r w:rsidR="00CC1026">
        <w:rPr>
          <w:rFonts w:ascii="Verdana" w:eastAsia="Arial" w:hAnsi="Verdana" w:cs="Arial"/>
          <w:lang w:val="es-ES" w:eastAsia="es-ES" w:bidi="es-ES"/>
        </w:rPr>
        <w:t xml:space="preserve">en torno a la aplicación de la Ley de Garantías a este tipo de negocio jurídico, </w:t>
      </w:r>
      <w:r w:rsidRPr="00E2397D">
        <w:rPr>
          <w:rFonts w:ascii="Verdana" w:eastAsia="Arial" w:hAnsi="Verdana" w:cs="Arial"/>
          <w:lang w:val="es-ES" w:eastAsia="es-ES" w:bidi="es-ES"/>
        </w:rPr>
        <w:t>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6E055F55" w14:textId="77777777" w:rsidR="00A7153D" w:rsidRPr="00E2397D" w:rsidRDefault="00A7153D" w:rsidP="00A7153D">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E2397D">
        <w:rPr>
          <w:rFonts w:ascii="Verdana" w:eastAsia="Calibri" w:hAnsi="Verdana" w:cs="Arial"/>
        </w:rPr>
        <w:lastRenderedPageBreak/>
        <w:t>acciones terroristas, desastres naturales o casos de fuerza mayor, y los que deban realizar las entidades sanitarias y hospitalarias”</w:t>
      </w:r>
      <w:r w:rsidRPr="00E2397D">
        <w:rPr>
          <w:rFonts w:ascii="Verdana" w:eastAsia="Calibri" w:hAnsi="Verdana" w:cs="Arial"/>
          <w:vertAlign w:val="superscript"/>
        </w:rPr>
        <w:footnoteReference w:id="11"/>
      </w:r>
      <w:r w:rsidRPr="00E2397D">
        <w:rPr>
          <w:rFonts w:ascii="Verdana" w:eastAsia="Calibri" w:hAnsi="Verdana" w:cs="Arial"/>
        </w:rPr>
        <w:t>.</w:t>
      </w:r>
    </w:p>
    <w:p w14:paraId="5F273BA9" w14:textId="77777777" w:rsidR="00A7153D" w:rsidRDefault="00A7153D" w:rsidP="00A7153D">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r w:rsidRPr="00E2397D">
        <w:rPr>
          <w:rFonts w:ascii="Verdana" w:eastAsia="Calibri" w:hAnsi="Verdana" w:cs="Arial"/>
          <w:vertAlign w:val="superscript"/>
        </w:rPr>
        <w:footnoteReference w:id="12"/>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7F289EED" w14:textId="77777777" w:rsidR="00A7153D" w:rsidRDefault="00A7153D" w:rsidP="00A7153D">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5465F6D0" w14:textId="77777777" w:rsidR="00A7153D" w:rsidRDefault="00A7153D" w:rsidP="00A7153D">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xml:space="preserve">. Por un lado, “Los contratos </w:t>
      </w:r>
      <w:r w:rsidRPr="00447D82">
        <w:rPr>
          <w:rFonts w:ascii="Verdana" w:eastAsia="Times New Roman" w:hAnsi="Verdana" w:cs="Arial"/>
          <w:bCs/>
          <w:lang w:val="es-ES" w:eastAsia="es-CO"/>
        </w:rPr>
        <w:lastRenderedPageBreak/>
        <w:t>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66BA6832" w14:textId="77777777" w:rsidR="00A7153D" w:rsidRDefault="00A7153D" w:rsidP="00A7153D">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183C2FD1" w14:textId="77777777" w:rsidR="00A7153D" w:rsidRPr="00033988" w:rsidRDefault="00A7153D" w:rsidP="00A7153D">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omo en otras oportunidades lo ha manifestado esta Agencia, las prórrogas, modificaciones o adiciones de los contratos suscritos antes de la entrada en vigor de las prohibiciones anotadas, así como la cesión de estos,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3"/>
      </w:r>
      <w:r w:rsidRPr="00894384">
        <w:rPr>
          <w:rFonts w:ascii="Verdana" w:eastAsia="Times New Roman" w:hAnsi="Verdana" w:cs="Arial"/>
          <w:bCs/>
          <w:lang w:val="es-MX" w:eastAsia="es-CO"/>
        </w:rPr>
        <w:t xml:space="preserve">. </w:t>
      </w: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58031CBF" w14:textId="77777777" w:rsidR="00A7153D" w:rsidRPr="00E2397D" w:rsidRDefault="00A7153D" w:rsidP="00A7153D">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0A72B198" w14:textId="77777777" w:rsidR="00A7153D" w:rsidRPr="00E2397D" w:rsidRDefault="00A7153D" w:rsidP="00A7153D">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4" w:name="_Hlk76109421"/>
      <w:r w:rsidRPr="00E2397D">
        <w:rPr>
          <w:rFonts w:ascii="Verdana" w:eastAsia="Arial" w:hAnsi="Verdana" w:cs="Arial"/>
          <w:sz w:val="20"/>
          <w:szCs w:val="20"/>
          <w:lang w:eastAsia="es-ES" w:bidi="es-ES"/>
        </w:rPr>
        <w:t>se integran parcialmente</w:t>
      </w:r>
      <w:bookmarkEnd w:id="4"/>
      <w:r w:rsidRPr="00E2397D">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w:t>
      </w:r>
      <w:r w:rsidRPr="00E2397D">
        <w:rPr>
          <w:rFonts w:ascii="Verdana" w:eastAsia="Arial" w:hAnsi="Verdana" w:cs="Arial"/>
          <w:sz w:val="20"/>
          <w:szCs w:val="20"/>
          <w:lang w:eastAsia="es-ES" w:bidi="es-ES"/>
        </w:rPr>
        <w:lastRenderedPageBreak/>
        <w:t xml:space="preserve">del parágrafo del artículo 38. En cambio, para elecciones en general, excluyendo las correspondientes a </w:t>
      </w:r>
      <w:proofErr w:type="gramStart"/>
      <w:r w:rsidRPr="00E2397D">
        <w:rPr>
          <w:rFonts w:ascii="Verdana" w:eastAsia="Arial" w:hAnsi="Verdana" w:cs="Arial"/>
          <w:sz w:val="20"/>
          <w:szCs w:val="20"/>
          <w:lang w:eastAsia="es-ES" w:bidi="es-ES"/>
        </w:rPr>
        <w:t>Presidente</w:t>
      </w:r>
      <w:proofErr w:type="gramEnd"/>
      <w:r w:rsidRPr="00E2397D">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4"/>
      </w:r>
    </w:p>
    <w:p w14:paraId="6D13BE67" w14:textId="77777777" w:rsidR="00A7153D" w:rsidRPr="00E2397D" w:rsidRDefault="00A7153D" w:rsidP="00A7153D">
      <w:pPr>
        <w:widowControl w:val="0"/>
        <w:autoSpaceDE w:val="0"/>
        <w:autoSpaceDN w:val="0"/>
        <w:spacing w:after="0" w:line="276" w:lineRule="auto"/>
        <w:contextualSpacing/>
        <w:rPr>
          <w:rFonts w:ascii="Verdana" w:eastAsia="Arial" w:hAnsi="Verdana" w:cs="Arial"/>
          <w:lang w:val="es-ES" w:eastAsia="es-ES" w:bidi="es-ES"/>
        </w:rPr>
      </w:pPr>
    </w:p>
    <w:p w14:paraId="297C5960" w14:textId="77777777" w:rsidR="00A7153D" w:rsidRPr="00E2397D" w:rsidRDefault="00A7153D" w:rsidP="00A7153D">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5" w:name="_Hlk77236420"/>
      <w:bookmarkStart w:id="6" w:name="_Hlk78818435"/>
      <w:bookmarkStart w:id="7"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5"/>
    </w:p>
    <w:bookmarkEnd w:id="6"/>
    <w:p w14:paraId="227D7757" w14:textId="77777777" w:rsidR="00A7153D" w:rsidRPr="00E2397D" w:rsidRDefault="00A7153D" w:rsidP="00A7153D">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7"/>
    <w:p w14:paraId="425818AD" w14:textId="77777777" w:rsidR="00A7153D" w:rsidRDefault="00A7153D" w:rsidP="00A7153D">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o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w:t>
      </w:r>
      <w:r w:rsidRPr="00E2397D">
        <w:rPr>
          <w:rFonts w:ascii="Verdana" w:eastAsia="Arial" w:hAnsi="Verdana" w:cs="Arial"/>
          <w:lang w:val="es-ES" w:eastAsia="es-ES" w:bidi="es-ES"/>
        </w:rPr>
        <w:lastRenderedPageBreak/>
        <w:t xml:space="preserve">condicionamiento impuesto por la Corte Constitucional, relacionado con el momento en que estas restricciones empiezan a regir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y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48B7770B" w14:textId="77777777" w:rsidR="00A7153D" w:rsidRDefault="00A7153D" w:rsidP="00A7153D">
      <w:pPr>
        <w:spacing w:after="120" w:line="276" w:lineRule="auto"/>
        <w:ind w:firstLine="708"/>
        <w:jc w:val="both"/>
        <w:rPr>
          <w:rFonts w:ascii="Verdana" w:eastAsia="Times New Roman" w:hAnsi="Verdana" w:cs="Arial"/>
          <w:bCs/>
          <w:lang w:val="es-MX" w:eastAsia="x-none"/>
        </w:rPr>
      </w:pPr>
      <w:r>
        <w:rPr>
          <w:rFonts w:ascii="Verdana" w:eastAsia="Times New Roman" w:hAnsi="Verdana" w:cs="Arial"/>
          <w:bCs/>
          <w:lang w:val="es-MX" w:eastAsia="x-none"/>
        </w:rPr>
        <w:t xml:space="preserve">Es importante señalar que </w:t>
      </w:r>
      <w:r w:rsidRPr="0057193B">
        <w:rPr>
          <w:rFonts w:ascii="Verdana" w:eastAsia="Times New Roman" w:hAnsi="Verdana" w:cs="Arial"/>
          <w:bCs/>
          <w:lang w:val="es-MX" w:eastAsia="x-none"/>
        </w:rPr>
        <w:t>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5"/>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r w:rsidRPr="0057193B">
        <w:rPr>
          <w:rFonts w:ascii="Verdana" w:eastAsia="Times New Roman" w:hAnsi="Verdana" w:cs="Arial"/>
          <w:bCs/>
          <w:lang w:val="es-MX" w:eastAsia="x-none"/>
        </w:rPr>
        <w:t xml:space="preserve">De lo anterior se desprende que la restricción </w:t>
      </w:r>
      <w:r>
        <w:rPr>
          <w:rFonts w:ascii="Verdana" w:eastAsia="Times New Roman" w:hAnsi="Verdana" w:cs="Arial"/>
          <w:bCs/>
          <w:lang w:val="es-MX" w:eastAsia="x-none"/>
        </w:rPr>
        <w:t xml:space="preserve">del artículo 33 </w:t>
      </w:r>
      <w:r w:rsidRPr="0057193B">
        <w:rPr>
          <w:rFonts w:ascii="Verdana" w:eastAsia="Times New Roman" w:hAnsi="Verdana" w:cs="Arial"/>
          <w:bCs/>
          <w:lang w:val="es-MX" w:eastAsia="x-none"/>
        </w:rPr>
        <w:t>aplica, sin perjuicio de las excepciones establecidas en la misma ley, para celebrar cualquier contrato de forma directa, esto es, sin que exista un proceso abierto y competitivo.</w:t>
      </w:r>
    </w:p>
    <w:p w14:paraId="415EC4CD" w14:textId="77777777" w:rsidR="00A7153D" w:rsidRDefault="00A7153D" w:rsidP="00A7153D">
      <w:pPr>
        <w:spacing w:after="120" w:line="276" w:lineRule="auto"/>
        <w:ind w:firstLine="708"/>
        <w:jc w:val="both"/>
        <w:rPr>
          <w:rFonts w:ascii="Verdana" w:eastAsia="Times New Roman" w:hAnsi="Verdana" w:cs="Times New Roman"/>
          <w:iCs/>
          <w:lang w:val="es-ES" w:eastAsia="es-ES"/>
        </w:rPr>
      </w:pPr>
      <w:r w:rsidRPr="00B2403B">
        <w:rPr>
          <w:rFonts w:ascii="Verdana" w:eastAsia="Calibri" w:hAnsi="Verdana" w:cs="Times New Roman"/>
          <w:iCs/>
        </w:rPr>
        <w:t xml:space="preserve">Las excepciones están </w:t>
      </w:r>
      <w:r>
        <w:rPr>
          <w:rFonts w:ascii="Verdana" w:eastAsia="Times New Roman" w:hAnsi="Verdana" w:cs="Arial"/>
          <w:bCs/>
          <w:lang w:val="es-MX" w:eastAsia="x-none"/>
        </w:rPr>
        <w:t>consagradas de forma expresa</w:t>
      </w:r>
      <w:r w:rsidRPr="00B2403B">
        <w:rPr>
          <w:rFonts w:ascii="Verdana" w:eastAsia="Times New Roman" w:hAnsi="Verdana" w:cs="Arial"/>
          <w:bCs/>
          <w:lang w:val="es-MX" w:eastAsia="x-none"/>
        </w:rPr>
        <w:t xml:space="preserve"> en el inciso final del citado artículo 33 de la Ley 996 de 2005 en lo referente a i) la defensa y seguridad del Estado; </w:t>
      </w:r>
      <w:proofErr w:type="spellStart"/>
      <w:r w:rsidRPr="00B2403B">
        <w:rPr>
          <w:rFonts w:ascii="Verdana" w:eastAsia="Times New Roman" w:hAnsi="Verdana" w:cs="Arial"/>
          <w:bCs/>
          <w:lang w:val="es-MX" w:eastAsia="x-none"/>
        </w:rPr>
        <w:t>ii</w:t>
      </w:r>
      <w:proofErr w:type="spellEnd"/>
      <w:r w:rsidRPr="00B2403B">
        <w:rPr>
          <w:rFonts w:ascii="Verdana" w:eastAsia="Times New Roman" w:hAnsi="Verdana" w:cs="Arial"/>
          <w:bCs/>
          <w:lang w:val="es-MX" w:eastAsia="x-none"/>
        </w:rPr>
        <w:t xml:space="preserve">) los contratos de crédito público; </w:t>
      </w:r>
      <w:proofErr w:type="spellStart"/>
      <w:r w:rsidRPr="00B2403B">
        <w:rPr>
          <w:rFonts w:ascii="Verdana" w:eastAsia="Times New Roman" w:hAnsi="Verdana" w:cs="Arial"/>
          <w:bCs/>
          <w:lang w:val="es-MX" w:eastAsia="x-none"/>
        </w:rPr>
        <w:t>iii</w:t>
      </w:r>
      <w:proofErr w:type="spellEnd"/>
      <w:r w:rsidRPr="00B2403B">
        <w:rPr>
          <w:rFonts w:ascii="Verdana" w:eastAsia="Times New Roman" w:hAnsi="Verdana" w:cs="Arial"/>
          <w:bCs/>
          <w:lang w:val="es-MX" w:eastAsia="x-none"/>
        </w:rPr>
        <w:t xml:space="preserve">) los requeridos para cubrir las emergencias educativas, sanitarias y desastres; </w:t>
      </w:r>
      <w:proofErr w:type="spellStart"/>
      <w:r w:rsidRPr="00B2403B">
        <w:rPr>
          <w:rFonts w:ascii="Verdana" w:eastAsia="Times New Roman" w:hAnsi="Verdana" w:cs="Arial"/>
          <w:bCs/>
          <w:lang w:val="es-MX" w:eastAsia="x-none"/>
        </w:rPr>
        <w:t>iv</w:t>
      </w:r>
      <w:proofErr w:type="spellEnd"/>
      <w:r w:rsidRPr="00B2403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B2403B">
        <w:rPr>
          <w:rFonts w:ascii="Verdana" w:eastAsia="Times New Roman" w:hAnsi="Verdana" w:cs="Arial"/>
          <w:bCs/>
          <w:lang w:val="es-MX" w:eastAsia="es-CO"/>
        </w:rPr>
        <w:t xml:space="preserve"> Así mismo, la Corte Constitucional en la Sentencia C-1153 de 2005 señaló que la expresión </w:t>
      </w:r>
      <w:r w:rsidRPr="00B2403B">
        <w:rPr>
          <w:rFonts w:ascii="Verdana" w:eastAsia="Times New Roman" w:hAnsi="Verdana" w:cs="Times New Roman"/>
          <w:i/>
          <w:iCs/>
          <w:lang w:val="es-ES" w:eastAsia="es-ES"/>
        </w:rPr>
        <w:t>“adicionalmente se exceptúan aquellos gastos inaplazables e imprescindibles que afecten el normal funci</w:t>
      </w:r>
      <w:r>
        <w:rPr>
          <w:rFonts w:ascii="Verdana" w:eastAsia="Times New Roman" w:hAnsi="Verdana" w:cs="Times New Roman"/>
          <w:i/>
          <w:iCs/>
          <w:lang w:val="es-ES" w:eastAsia="es-ES"/>
        </w:rPr>
        <w:t>onamiento de la administración</w:t>
      </w:r>
      <w:r w:rsidRPr="00B2403B">
        <w:rPr>
          <w:rFonts w:ascii="Verdana" w:eastAsia="Times New Roman" w:hAnsi="Verdana" w:cs="Times New Roman"/>
          <w:i/>
          <w:iCs/>
          <w:lang w:val="es-ES" w:eastAsia="es-ES"/>
        </w:rPr>
        <w:t>”</w:t>
      </w:r>
      <w:r>
        <w:rPr>
          <w:rFonts w:ascii="Verdana" w:eastAsia="Times New Roman" w:hAnsi="Verdana" w:cs="Times New Roman"/>
          <w:i/>
          <w:iCs/>
          <w:lang w:val="es-ES" w:eastAsia="es-ES"/>
        </w:rPr>
        <w:t xml:space="preserve"> </w:t>
      </w:r>
      <w:r w:rsidRPr="00B2403B">
        <w:rPr>
          <w:rFonts w:ascii="Verdana" w:eastAsia="Times New Roman" w:hAnsi="Verdana" w:cs="Times New Roman"/>
          <w:iCs/>
          <w:lang w:val="es-ES" w:eastAsia="es-ES"/>
        </w:rPr>
        <w:t>regulada como excepción en el artículo 33</w:t>
      </w:r>
      <w:r w:rsidRPr="00B2403B">
        <w:rPr>
          <w:rFonts w:ascii="Verdana" w:eastAsia="Times New Roman" w:hAnsi="Verdana" w:cs="Times New Roman"/>
          <w:i/>
          <w:iCs/>
          <w:lang w:val="es-ES" w:eastAsia="es-ES"/>
        </w:rPr>
        <w:t xml:space="preserve"> </w:t>
      </w:r>
      <w:r w:rsidRPr="00B2403B">
        <w:rPr>
          <w:rFonts w:ascii="Verdana" w:eastAsia="Times New Roman" w:hAnsi="Verdana" w:cs="Times New Roman"/>
          <w:iCs/>
          <w:lang w:val="es-ES" w:eastAsia="es-ES"/>
        </w:rPr>
        <w:t>es demasiado amplia y ambigua, pues términos como inaplazable, imprescindible y normal funcionamiento son evaluativos y sujetos a interpretaciones diversas, lo que permitiría introducir mú</w:t>
      </w:r>
      <w:r>
        <w:rPr>
          <w:rFonts w:ascii="Verdana" w:eastAsia="Times New Roman" w:hAnsi="Verdana" w:cs="Times New Roman"/>
          <w:iCs/>
          <w:lang w:val="es-ES" w:eastAsia="es-ES"/>
        </w:rPr>
        <w:t>ltiples excepciones que desfigurarían</w:t>
      </w:r>
      <w:r w:rsidRPr="00B2403B">
        <w:rPr>
          <w:rFonts w:ascii="Verdana" w:eastAsia="Times New Roman" w:hAnsi="Verdana" w:cs="Times New Roman"/>
          <w:iCs/>
          <w:lang w:val="es-ES" w:eastAsia="es-ES"/>
        </w:rPr>
        <w:t xml:space="preserve"> la prohibición original y comp</w:t>
      </w:r>
      <w:r>
        <w:rPr>
          <w:rFonts w:ascii="Verdana" w:eastAsia="Times New Roman" w:hAnsi="Verdana" w:cs="Times New Roman"/>
          <w:iCs/>
          <w:lang w:val="es-ES" w:eastAsia="es-ES"/>
        </w:rPr>
        <w:t>rometerían los fines y propósitos de la Ley de Garantías Electorales</w:t>
      </w:r>
      <w:r w:rsidRPr="00B2403B">
        <w:rPr>
          <w:rFonts w:ascii="Verdana" w:eastAsia="Times New Roman" w:hAnsi="Verdana" w:cs="Times New Roman"/>
          <w:iCs/>
          <w:lang w:val="es-ES" w:eastAsia="es-ES"/>
        </w:rPr>
        <w:t>.</w:t>
      </w:r>
      <w:r w:rsidRPr="00B2403B">
        <w:rPr>
          <w:rFonts w:ascii="Verdana" w:eastAsia="Times New Roman" w:hAnsi="Verdana" w:cs="Times New Roman"/>
          <w:i/>
          <w:iCs/>
          <w:lang w:val="es-ES" w:eastAsia="es-ES"/>
        </w:rPr>
        <w:t xml:space="preserve"> </w:t>
      </w:r>
      <w:r w:rsidRPr="00B95F21">
        <w:rPr>
          <w:rFonts w:ascii="Verdana" w:eastAsia="Times New Roman" w:hAnsi="Verdana" w:cs="Times New Roman"/>
          <w:iCs/>
          <w:lang w:val="es-ES" w:eastAsia="es-ES"/>
        </w:rPr>
        <w:t xml:space="preserve">Por tanto, dicha expresión fue declarada </w:t>
      </w:r>
      <w:r w:rsidRPr="00B95F21">
        <w:rPr>
          <w:rFonts w:ascii="Verdana" w:eastAsia="Times New Roman" w:hAnsi="Verdana" w:cs="Times New Roman"/>
          <w:iCs/>
          <w:lang w:val="es-ES" w:eastAsia="es-ES"/>
        </w:rPr>
        <w:lastRenderedPageBreak/>
        <w:t>inexequible, razón por la cual no es posible que las entidades argumenten razones como esta para exceptuar la restricción del artículo 33.</w:t>
      </w:r>
    </w:p>
    <w:p w14:paraId="6BB0C436" w14:textId="77777777" w:rsidR="00A7153D" w:rsidRPr="00FD66D5" w:rsidRDefault="00A7153D" w:rsidP="00A7153D">
      <w:pPr>
        <w:spacing w:after="120" w:line="276" w:lineRule="auto"/>
        <w:ind w:firstLine="709"/>
        <w:jc w:val="both"/>
        <w:rPr>
          <w:rFonts w:ascii="Verdana" w:eastAsia="Times New Roman" w:hAnsi="Verdana" w:cs="Times New Roman"/>
          <w:i/>
          <w:iCs/>
          <w:lang w:val="es-ES" w:eastAsia="es-ES"/>
        </w:rPr>
      </w:pPr>
      <w:r>
        <w:rPr>
          <w:rFonts w:ascii="Verdana" w:eastAsia="Times New Roman" w:hAnsi="Verdana" w:cs="Arial"/>
          <w:bCs/>
          <w:lang w:val="es-MX" w:eastAsia="es-CO"/>
        </w:rPr>
        <w:t>Por otro lado, el artículo 38 frente a la prohibición de celebrar convenios interadministrativos para la ejecución de recursos públicos no establece excepciones como el artículo 33, para que puedan adelantarse sin ninguna dificultad. Así mismo, el Consejo de Estado señaló que el concepto de convenio interadministrativo no es aplicable a los contratos interadministrativos, pues son instituciones totalmente diferentes</w:t>
      </w:r>
      <w:r>
        <w:rPr>
          <w:rStyle w:val="Refdenotaalpie"/>
          <w:rFonts w:ascii="Verdana" w:eastAsia="Times New Roman" w:hAnsi="Verdana" w:cs="Arial"/>
          <w:bCs/>
          <w:lang w:val="es-MX" w:eastAsia="es-CO"/>
        </w:rPr>
        <w:footnoteReference w:id="16"/>
      </w:r>
      <w:r>
        <w:rPr>
          <w:rFonts w:ascii="Verdana" w:eastAsia="Times New Roman" w:hAnsi="Verdana" w:cs="Arial"/>
          <w:bCs/>
          <w:lang w:val="es-MX" w:eastAsia="es-CO"/>
        </w:rPr>
        <w:t xml:space="preserve">. </w:t>
      </w:r>
    </w:p>
    <w:p w14:paraId="7764405A" w14:textId="1C080132" w:rsidR="00A7153D" w:rsidRDefault="00A7153D" w:rsidP="00A7153D">
      <w:pPr>
        <w:spacing w:after="0" w:line="276" w:lineRule="auto"/>
        <w:ind w:firstLine="709"/>
        <w:jc w:val="both"/>
        <w:rPr>
          <w:rFonts w:ascii="Verdana" w:eastAsia="Calibri" w:hAnsi="Verdana" w:cs="Times New Roman"/>
          <w:iCs/>
        </w:rPr>
      </w:pPr>
      <w:r>
        <w:rPr>
          <w:rFonts w:ascii="Verdana" w:hAnsi="Verdana"/>
        </w:rPr>
        <w:t>Teniendo en cuenta lo expuesto, la Superintendencia de Servicios Públicos ha expresado que l</w:t>
      </w:r>
      <w:r w:rsidRPr="00916FC1">
        <w:rPr>
          <w:rFonts w:ascii="Verdana" w:eastAsia="Calibri" w:hAnsi="Verdana" w:cs="Times New Roman"/>
          <w:iCs/>
        </w:rPr>
        <w:t xml:space="preserve">a celebración de contratos o convenios para la transferencia de recursos destinados a </w:t>
      </w:r>
      <w:r w:rsidR="00936528">
        <w:rPr>
          <w:rFonts w:ascii="Verdana" w:eastAsia="Calibri" w:hAnsi="Verdana" w:cs="Times New Roman"/>
          <w:iCs/>
        </w:rPr>
        <w:t>la prestación de servicios públicos esenciales</w:t>
      </w:r>
      <w:r w:rsidRPr="00916FC1">
        <w:rPr>
          <w:rFonts w:ascii="Verdana" w:eastAsia="Calibri" w:hAnsi="Verdana" w:cs="Times New Roman"/>
          <w:iCs/>
        </w:rPr>
        <w:t xml:space="preserve"> entre los entes territoriales y los prestadores de servicios públicos constituye una obligación legal esencial</w:t>
      </w:r>
      <w:r>
        <w:rPr>
          <w:rFonts w:ascii="Verdana" w:eastAsia="Calibri" w:hAnsi="Verdana" w:cs="Times New Roman"/>
          <w:iCs/>
        </w:rPr>
        <w:t xml:space="preserve">, exceptuando de la aplicación de la Ley de Garantías. Este organismo considera que estos convenios o contratos </w:t>
      </w:r>
      <w:r w:rsidRPr="00916FC1">
        <w:rPr>
          <w:rFonts w:ascii="Verdana" w:eastAsia="Calibri" w:hAnsi="Verdana" w:cs="Times New Roman"/>
          <w:iCs/>
        </w:rPr>
        <w:t>no son opcionales, pues permiten asegurar la continuidad y eficacia en la prestación de los servicios públicos. Por ello, deben interpretarse conforme a los principios y fines superiores del régimen de servicios públicos, los cuales prevalecen sobre las restricciones de la Ley 996 de 2005.</w:t>
      </w:r>
      <w:r>
        <w:rPr>
          <w:rFonts w:ascii="Verdana" w:eastAsia="Calibri" w:hAnsi="Verdana" w:cs="Times New Roman"/>
          <w:iCs/>
        </w:rPr>
        <w:t xml:space="preserve"> En tal sentido, la Superintendencia en varios de sus conceptos expresa: </w:t>
      </w:r>
    </w:p>
    <w:p w14:paraId="5C05BCE5" w14:textId="77777777" w:rsidR="00A7153D" w:rsidRDefault="00A7153D" w:rsidP="00A7153D">
      <w:pPr>
        <w:spacing w:after="120" w:line="276" w:lineRule="auto"/>
        <w:jc w:val="both"/>
        <w:rPr>
          <w:rFonts w:ascii="Verdana" w:eastAsia="Calibri" w:hAnsi="Verdana" w:cs="Times New Roman"/>
          <w:iCs/>
        </w:rPr>
      </w:pPr>
    </w:p>
    <w:p w14:paraId="632C954D" w14:textId="77777777" w:rsidR="00A7153D" w:rsidRPr="00B30F07" w:rsidRDefault="00A7153D" w:rsidP="00A7153D">
      <w:pPr>
        <w:spacing w:after="0" w:line="240" w:lineRule="auto"/>
        <w:ind w:left="709" w:right="709"/>
        <w:jc w:val="both"/>
        <w:rPr>
          <w:rFonts w:ascii="Verdana" w:hAnsi="Verdana"/>
          <w:sz w:val="20"/>
          <w:szCs w:val="20"/>
        </w:rPr>
      </w:pPr>
      <w:r w:rsidRPr="00B30F07">
        <w:rPr>
          <w:rFonts w:ascii="Verdana" w:hAnsi="Verdana"/>
          <w:sz w:val="20"/>
          <w:szCs w:val="20"/>
        </w:rPr>
        <w:t xml:space="preserve">Esta Oficina considera que aquellos acuerdos, convenios e instrumentos necesarios para garantizar la prestación de los servicios públicos, así como los contratos que se suscriben entre la empresa y el usuario con el fin de asegurar dicha prestación, deben ser interpretados a la luz de principios y fines que son superiores a los que persigue la propia Ley 996 de 2005, tales como la esencialidad de los servicios públicos domiciliarios, que precisamente busca evitar que la interrupción de esos servicios afecte o vulnere derechos fundamentales de las personas y que se cumplan los cometidos constitucionales y legales'. </w:t>
      </w:r>
    </w:p>
    <w:p w14:paraId="40688B55" w14:textId="77777777" w:rsidR="00A7153D" w:rsidRPr="00B30F07" w:rsidRDefault="00A7153D" w:rsidP="00A7153D">
      <w:pPr>
        <w:spacing w:after="0" w:line="240" w:lineRule="auto"/>
        <w:ind w:left="709" w:right="709"/>
        <w:jc w:val="both"/>
        <w:rPr>
          <w:rFonts w:ascii="Verdana" w:hAnsi="Verdana"/>
          <w:sz w:val="20"/>
          <w:szCs w:val="20"/>
        </w:rPr>
      </w:pPr>
    </w:p>
    <w:p w14:paraId="05B605FD" w14:textId="77777777" w:rsidR="00A7153D" w:rsidRDefault="00A7153D" w:rsidP="00A7153D">
      <w:pPr>
        <w:spacing w:after="0" w:line="240" w:lineRule="auto"/>
        <w:ind w:left="709" w:right="709"/>
        <w:jc w:val="both"/>
        <w:rPr>
          <w:rFonts w:ascii="Verdana" w:hAnsi="Verdana"/>
          <w:sz w:val="20"/>
          <w:szCs w:val="20"/>
        </w:rPr>
      </w:pPr>
      <w:r w:rsidRPr="00B30F07">
        <w:rPr>
          <w:rFonts w:ascii="Verdana" w:hAnsi="Verdana"/>
          <w:sz w:val="20"/>
          <w:szCs w:val="20"/>
        </w:rPr>
        <w:t xml:space="preserve">(…) Conforme con lo señalado, la celebración de los contratos o convenios de transferencia entre los entes territoriales y los prestadores de servicios públicos constituye una obligación legal de la cual no pueden apartarse, acuerdos cuya naturaleza no se encuentra tipificada ni en el derecho </w:t>
      </w:r>
      <w:r w:rsidRPr="00B30F07">
        <w:rPr>
          <w:rFonts w:ascii="Verdana" w:hAnsi="Verdana"/>
          <w:sz w:val="20"/>
          <w:szCs w:val="20"/>
        </w:rPr>
        <w:lastRenderedPageBreak/>
        <w:t xml:space="preserve">público ni en el derecho privado, por lo que constituyen una modalidad especial de contratación. </w:t>
      </w:r>
    </w:p>
    <w:p w14:paraId="331060AD" w14:textId="77777777" w:rsidR="00A7153D" w:rsidRPr="00B30F07" w:rsidRDefault="00A7153D" w:rsidP="00A7153D">
      <w:pPr>
        <w:spacing w:after="0" w:line="240" w:lineRule="auto"/>
        <w:ind w:left="709" w:right="709"/>
        <w:jc w:val="both"/>
        <w:rPr>
          <w:rFonts w:ascii="Verdana" w:hAnsi="Verdana"/>
          <w:sz w:val="20"/>
          <w:szCs w:val="20"/>
        </w:rPr>
      </w:pPr>
    </w:p>
    <w:p w14:paraId="1659954E" w14:textId="77777777" w:rsidR="00A7153D" w:rsidRDefault="00A7153D" w:rsidP="00A7153D">
      <w:pPr>
        <w:spacing w:after="0" w:line="240" w:lineRule="auto"/>
        <w:ind w:left="709" w:right="709"/>
        <w:jc w:val="both"/>
        <w:rPr>
          <w:rFonts w:ascii="Verdana" w:hAnsi="Verdana"/>
          <w:sz w:val="20"/>
          <w:szCs w:val="20"/>
        </w:rPr>
      </w:pPr>
      <w:r w:rsidRPr="00B30F07">
        <w:rPr>
          <w:rFonts w:ascii="Verdana" w:hAnsi="Verdana"/>
          <w:sz w:val="20"/>
          <w:szCs w:val="20"/>
        </w:rPr>
        <w:t>En este sentido, y teniendo en cuenta que la exigencia de la celebración de estos contratos, convenios o acuerdos de transferencia, fue consagrada por el legislador con el propósito de realizar la transferencia de los recursos presupuestales aludidos, para subsidiar a los usuarios de menores recursos, es dable concluir, que ni los contratos de transferencia de recursos para subsidios, ni los contratos de servicios públicos domiciliarios, pueden dejar de ser celebrados, teniendo en cuenta que la esencialidad de dichos servicios tiene su sustento en normas de orden constitucional, prevalentes sobre normas de inferior jerarquía</w:t>
      </w:r>
      <w:r>
        <w:rPr>
          <w:rStyle w:val="Refdenotaalpie"/>
          <w:rFonts w:ascii="Verdana" w:hAnsi="Verdana"/>
          <w:sz w:val="20"/>
          <w:szCs w:val="20"/>
        </w:rPr>
        <w:footnoteReference w:id="17"/>
      </w:r>
      <w:r w:rsidRPr="00B30F07">
        <w:rPr>
          <w:rFonts w:ascii="Verdana" w:hAnsi="Verdana"/>
          <w:sz w:val="20"/>
          <w:szCs w:val="20"/>
        </w:rPr>
        <w:t>.</w:t>
      </w:r>
    </w:p>
    <w:p w14:paraId="05C19D9E" w14:textId="77777777" w:rsidR="00A7153D" w:rsidRPr="00B30F07" w:rsidRDefault="00A7153D" w:rsidP="00A7153D">
      <w:pPr>
        <w:spacing w:after="0" w:line="240" w:lineRule="auto"/>
        <w:ind w:left="709" w:right="709"/>
        <w:jc w:val="both"/>
        <w:rPr>
          <w:rFonts w:ascii="Verdana" w:hAnsi="Verdana"/>
          <w:sz w:val="20"/>
          <w:szCs w:val="20"/>
        </w:rPr>
      </w:pPr>
    </w:p>
    <w:p w14:paraId="6FC8666D" w14:textId="77777777" w:rsidR="00A7153D" w:rsidRPr="00E662F1" w:rsidRDefault="00A7153D" w:rsidP="00A7153D">
      <w:pPr>
        <w:spacing w:after="120" w:line="276" w:lineRule="auto"/>
        <w:ind w:firstLine="709"/>
        <w:jc w:val="both"/>
        <w:rPr>
          <w:rFonts w:ascii="Verdana" w:eastAsia="Calibri" w:hAnsi="Verdana" w:cs="Times New Roman"/>
        </w:rPr>
      </w:pPr>
      <w:r>
        <w:rPr>
          <w:rFonts w:ascii="Verdana" w:eastAsia="Calibri" w:hAnsi="Verdana" w:cs="Times New Roman"/>
          <w:iCs/>
        </w:rPr>
        <w:t>Bajo este escenario, la Superintendencia de Servicios Públicos Domiciliarios expresa que l</w:t>
      </w:r>
      <w:r w:rsidRPr="00916FC1">
        <w:rPr>
          <w:rFonts w:ascii="Verdana" w:eastAsia="Calibri" w:hAnsi="Verdana" w:cs="Times New Roman"/>
          <w:iCs/>
        </w:rPr>
        <w:t>a regulación no contempla causales que permitan a los entes territoriales abstenerse de transferir los subsidios. Por el contrario, su incumplimiento puede constituir una violación al régimen de servicios públicos. Incluso si no se ha suscrito el contrato o convenio correspondiente, esta omisión no exime a las entidades territoriales de cumplir con su deber de transferir los recursos presupuestales necesarios para garantizar el equilibrio financiero del sistema y la adecuada prestación del servicio.</w:t>
      </w:r>
      <w:r>
        <w:rPr>
          <w:rFonts w:ascii="Verdana" w:eastAsia="Calibri" w:hAnsi="Verdana" w:cs="Times New Roman"/>
          <w:iCs/>
        </w:rPr>
        <w:t xml:space="preserve"> Dicha postura de la Superintendencia de Servicios Públicos Domiciliarios no se basa en las excepciones establecidas en el artículo 33 de la Ley 996 de 2005 o en otras que contemple el ordenamiento jurídico, sino que se basa en el deber constitucional y legal de las entidades territoriales de transferir los subsidios a las empresas de servicios públicos domiciliarios. </w:t>
      </w:r>
    </w:p>
    <w:p w14:paraId="00A80B79" w14:textId="77777777" w:rsidR="00A7153D" w:rsidRDefault="00A7153D" w:rsidP="00936528">
      <w:pPr>
        <w:spacing w:after="0" w:line="276" w:lineRule="auto"/>
        <w:ind w:right="709"/>
        <w:jc w:val="both"/>
        <w:rPr>
          <w:rFonts w:ascii="Verdana" w:eastAsia="Calibri" w:hAnsi="Verdana" w:cs="Arial"/>
          <w:sz w:val="20"/>
          <w:szCs w:val="20"/>
        </w:rPr>
      </w:pPr>
    </w:p>
    <w:p w14:paraId="535D2838" w14:textId="7A22900F" w:rsidR="00A7153D" w:rsidRPr="00C15525" w:rsidRDefault="00A7153D" w:rsidP="00936528">
      <w:pPr>
        <w:spacing w:after="120" w:line="276" w:lineRule="auto"/>
        <w:ind w:firstLine="709"/>
        <w:jc w:val="both"/>
        <w:rPr>
          <w:rFonts w:ascii="Verdana" w:eastAsia="Arial" w:hAnsi="Verdana" w:cs="Arial"/>
          <w:lang w:val="es-ES" w:eastAsia="es-ES" w:bidi="es-ES"/>
        </w:rPr>
      </w:pPr>
      <w:r>
        <w:rPr>
          <w:rFonts w:ascii="Verdana" w:hAnsi="Verdana" w:cs="Arial"/>
          <w:lang w:val="es-ES_tradnl"/>
        </w:rPr>
        <w:t xml:space="preserve">En otro asunto, materia de estudio, </w:t>
      </w:r>
      <w:r w:rsidRPr="00C15525">
        <w:rPr>
          <w:rFonts w:ascii="Verdana" w:eastAsia="Calibri" w:hAnsi="Verdana" w:cs="Arial"/>
          <w:color w:val="000000" w:themeColor="text1"/>
        </w:rPr>
        <w:t xml:space="preserve">es importante </w:t>
      </w:r>
      <w:r w:rsidRPr="00C15525">
        <w:rPr>
          <w:rFonts w:ascii="Verdana" w:eastAsia="Calibri" w:hAnsi="Verdana" w:cs="Arial"/>
          <w:bCs/>
          <w:color w:val="000000" w:themeColor="text1"/>
        </w:rPr>
        <w:t xml:space="preserve">tener en cuenta </w:t>
      </w:r>
      <w:r w:rsidRPr="00C15525">
        <w:rPr>
          <w:rFonts w:ascii="Verdana" w:eastAsia="Arial" w:hAnsi="Verdana" w:cs="Arial"/>
          <w:lang w:val="es-ES" w:eastAsia="es-ES" w:bidi="es-ES"/>
        </w:rPr>
        <w:t>el pronunciamiento de la Sala de Consulta y Servicio Civil del Consejo de Estado, el cual precisó, respecto del artículo 5 de la Ley 109 de 1994, que cuando excepcionalmente el contrato o convenio interadministrativo es ordenado por una ley, su celebración no resultaría violatoria de la restricción a la contratación directa contenida en la Ley 996 de 2005:</w:t>
      </w:r>
    </w:p>
    <w:p w14:paraId="37DCCD27" w14:textId="77777777" w:rsidR="00A7153D" w:rsidRPr="00C15525" w:rsidRDefault="00A7153D" w:rsidP="00A7153D">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 xml:space="preserve">Esta norma [artículo 5 de la Ley 109 de 1994], obliga a los “organismos” de la Rama Legislativa, esto es el Congreso de la República, a contratar con la Imprenta Nacional la publicación de la Gaceta del Congreso. Se hace notar, que este contrato regula las relaciones jurídicas entre dos órganos del Estado que desarrollan en ejercicio de sus obligaciones legales, el </w:t>
      </w:r>
      <w:r w:rsidRPr="00C15525">
        <w:rPr>
          <w:rFonts w:ascii="Verdana" w:hAnsi="Verdana" w:cs="Arial"/>
          <w:sz w:val="20"/>
          <w:szCs w:val="20"/>
        </w:rPr>
        <w:lastRenderedPageBreak/>
        <w:t xml:space="preserve">Congreso para cumplir el procedimiento legislativo, y la Imprenta para ejercer su función administrativa de imprimir los actos o documentos oficiales que requieran de este requisito. </w:t>
      </w:r>
    </w:p>
    <w:p w14:paraId="2CB71EB8" w14:textId="77777777" w:rsidR="00A7153D" w:rsidRPr="00C15525" w:rsidRDefault="00A7153D" w:rsidP="00A7153D">
      <w:pPr>
        <w:widowControl w:val="0"/>
        <w:autoSpaceDE w:val="0"/>
        <w:autoSpaceDN w:val="0"/>
        <w:spacing w:after="0" w:line="240" w:lineRule="auto"/>
        <w:ind w:left="709" w:right="709"/>
        <w:jc w:val="both"/>
        <w:rPr>
          <w:rFonts w:ascii="Verdana" w:hAnsi="Verdana" w:cs="Arial"/>
          <w:sz w:val="20"/>
          <w:szCs w:val="20"/>
        </w:rPr>
      </w:pPr>
    </w:p>
    <w:p w14:paraId="0822529D" w14:textId="77777777" w:rsidR="00A7153D" w:rsidRPr="00C15525" w:rsidRDefault="00A7153D" w:rsidP="00A7153D">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 xml:space="preserve">Es claro que la ley ordena que la regulación de dicha relación interadministrativa se efectúe por el mecanismo de una convención, pero también es claro que </w:t>
      </w:r>
      <w:proofErr w:type="gramStart"/>
      <w:r w:rsidRPr="00C15525">
        <w:rPr>
          <w:rFonts w:ascii="Verdana" w:hAnsi="Verdana" w:cs="Arial"/>
          <w:sz w:val="20"/>
          <w:szCs w:val="20"/>
        </w:rPr>
        <w:t>éste</w:t>
      </w:r>
      <w:proofErr w:type="gramEnd"/>
      <w:r w:rsidRPr="00C15525">
        <w:rPr>
          <w:rFonts w:ascii="Verdana" w:hAnsi="Verdana" w:cs="Arial"/>
          <w:sz w:val="20"/>
          <w:szCs w:val="20"/>
        </w:rPr>
        <w:t xml:space="preserve"> contrato no se celebra en ejercicio de la autonomía de la voluntad ni con el fin de cumplir la misión industrial, comercial o de gestión propia de la Imprenta Nacional. En este caso, el contrato se celebra como un mero instrumento que le posibilita el desarrollo de las funciones públicas ordenadas por la ley a ambas entidades Estatales.</w:t>
      </w:r>
    </w:p>
    <w:p w14:paraId="27C7F561" w14:textId="77777777" w:rsidR="00A7153D" w:rsidRPr="00C15525" w:rsidRDefault="00A7153D" w:rsidP="00A7153D">
      <w:pPr>
        <w:widowControl w:val="0"/>
        <w:autoSpaceDE w:val="0"/>
        <w:autoSpaceDN w:val="0"/>
        <w:spacing w:after="0" w:line="240" w:lineRule="auto"/>
        <w:ind w:left="709" w:right="709"/>
        <w:jc w:val="both"/>
        <w:rPr>
          <w:rFonts w:ascii="Verdana" w:hAnsi="Verdana" w:cs="Arial"/>
          <w:sz w:val="20"/>
          <w:szCs w:val="20"/>
        </w:rPr>
      </w:pPr>
    </w:p>
    <w:p w14:paraId="3D1D4163" w14:textId="77777777" w:rsidR="00A7153D" w:rsidRPr="00C15525" w:rsidRDefault="00A7153D" w:rsidP="00A7153D">
      <w:pPr>
        <w:widowControl w:val="0"/>
        <w:autoSpaceDE w:val="0"/>
        <w:autoSpaceDN w:val="0"/>
        <w:spacing w:after="0" w:line="240" w:lineRule="auto"/>
        <w:ind w:left="709" w:right="709"/>
        <w:jc w:val="both"/>
        <w:rPr>
          <w:rFonts w:ascii="Verdana" w:hAnsi="Verdana" w:cs="Arial"/>
        </w:rPr>
      </w:pPr>
      <w:bookmarkStart w:id="8" w:name="_Hlk75761737"/>
      <w:r w:rsidRPr="00C15525">
        <w:rPr>
          <w:rFonts w:ascii="Verdana" w:hAnsi="Verdana" w:cs="Arial"/>
          <w:sz w:val="20"/>
          <w:szCs w:val="20"/>
        </w:rPr>
        <w:t>En este orden de ideas, celebrar o prorrogar el contrato entre la Cámara de Representantes y la Imprenta Nacional no puede ser violatorio de la restricción a la contratación directa contenida por ley 996 de 2005, pues las entidades públicas que lo suscriban están cumpliendo sus funciones y la orden dada por el legislador</w:t>
      </w:r>
      <w:bookmarkEnd w:id="8"/>
      <w:r w:rsidRPr="00C15525">
        <w:rPr>
          <w:rFonts w:ascii="Verdana" w:hAnsi="Verdana" w:cs="Arial"/>
          <w:sz w:val="20"/>
          <w:szCs w:val="20"/>
          <w:vertAlign w:val="superscript"/>
        </w:rPr>
        <w:footnoteReference w:id="18"/>
      </w:r>
      <w:r w:rsidRPr="00C15525">
        <w:rPr>
          <w:rFonts w:ascii="Verdana" w:hAnsi="Verdana" w:cs="Arial"/>
          <w:sz w:val="20"/>
          <w:szCs w:val="20"/>
        </w:rPr>
        <w:t xml:space="preserve">. </w:t>
      </w:r>
    </w:p>
    <w:p w14:paraId="266240D1" w14:textId="77777777" w:rsidR="00A7153D" w:rsidRPr="00C15525" w:rsidRDefault="00A7153D" w:rsidP="00A7153D">
      <w:pPr>
        <w:widowControl w:val="0"/>
        <w:autoSpaceDE w:val="0"/>
        <w:autoSpaceDN w:val="0"/>
        <w:spacing w:after="0" w:line="276" w:lineRule="auto"/>
        <w:jc w:val="both"/>
        <w:rPr>
          <w:rFonts w:ascii="Verdana" w:eastAsia="Arial" w:hAnsi="Verdana" w:cs="Arial"/>
          <w:lang w:val="es-ES" w:eastAsia="es-ES" w:bidi="es-ES"/>
        </w:rPr>
      </w:pPr>
    </w:p>
    <w:p w14:paraId="235D441B" w14:textId="3999F669" w:rsidR="00A7153D" w:rsidRPr="006D07A8" w:rsidRDefault="00A7153D" w:rsidP="00A7153D">
      <w:pPr>
        <w:spacing w:after="120" w:line="276" w:lineRule="auto"/>
        <w:ind w:firstLine="708"/>
        <w:jc w:val="both"/>
        <w:rPr>
          <w:rFonts w:ascii="Verdana" w:hAnsi="Verdana" w:cs="Arial"/>
          <w:lang w:val="es-ES"/>
        </w:rPr>
      </w:pPr>
      <w:r>
        <w:rPr>
          <w:rFonts w:ascii="Verdana" w:hAnsi="Verdana" w:cs="Arial"/>
          <w:lang w:val="es-ES"/>
        </w:rPr>
        <w:t xml:space="preserve">A partir de lo expuesto en las consideraciones previas, la Agencia considera esta Agencia que, la posibilidad de suscribir contratos o convenios entre entidades territoriales y empresas de servicios públicos para la transferencia de recursos en el marco de </w:t>
      </w:r>
      <w:r w:rsidR="00936528">
        <w:rPr>
          <w:rFonts w:ascii="Verdana" w:hAnsi="Verdana" w:cs="Arial"/>
          <w:lang w:val="es-ES"/>
        </w:rPr>
        <w:t>la garantía de l</w:t>
      </w:r>
      <w:r>
        <w:rPr>
          <w:rFonts w:ascii="Verdana" w:hAnsi="Verdana" w:cs="Arial"/>
          <w:lang w:val="es-ES"/>
        </w:rPr>
        <w:t>os servicios públicos domiciliarios, depende de que se enmarque dentro de las excepciones reguladas en el artículo 33 de la Ley 996 de 2005, sin perjuicio de lo expresado por la Sala de Consulta y Servicio Civil del Consejo que se expuso previament</w:t>
      </w:r>
      <w:r w:rsidR="00D01973">
        <w:rPr>
          <w:rFonts w:ascii="Verdana" w:hAnsi="Verdana" w:cs="Arial"/>
          <w:lang w:val="es-ES"/>
        </w:rPr>
        <w:t xml:space="preserve">e. De otra parte, </w:t>
      </w:r>
      <w:r>
        <w:rPr>
          <w:rFonts w:ascii="Verdana" w:hAnsi="Verdana" w:cs="Arial"/>
          <w:lang w:val="es-ES"/>
        </w:rPr>
        <w:t>posturas como la de la Superintendencia de Servicios Públicos acogen la posibilidad de celebrar</w:t>
      </w:r>
      <w:r>
        <w:rPr>
          <w:rFonts w:ascii="Verdana" w:eastAsia="Times New Roman" w:hAnsi="Verdana" w:cs="Arial"/>
          <w:bCs/>
          <w:lang w:val="es-ES" w:eastAsia="es-CO"/>
        </w:rPr>
        <w:t xml:space="preserve"> convenios y contratos por parte de las entidades territoriales con las empresas de servicios públicos domiciliarios en periodo preelectoral, basados en el deber de garantizar la prestación efectiva de los servicios públicos </w:t>
      </w:r>
      <w:r w:rsidR="00936528">
        <w:rPr>
          <w:rFonts w:ascii="Verdana" w:eastAsia="Times New Roman" w:hAnsi="Verdana" w:cs="Arial"/>
          <w:bCs/>
          <w:lang w:val="es-ES" w:eastAsia="es-CO"/>
        </w:rPr>
        <w:t xml:space="preserve">esenciales </w:t>
      </w:r>
      <w:r>
        <w:rPr>
          <w:rFonts w:ascii="Verdana" w:eastAsia="Times New Roman" w:hAnsi="Verdana" w:cs="Arial"/>
          <w:bCs/>
          <w:lang w:val="es-ES" w:eastAsia="es-CO"/>
        </w:rPr>
        <w:t xml:space="preserve">de las personas más vulnerables que tienen una estrecha relación con los derechos fundamentales.  </w:t>
      </w:r>
    </w:p>
    <w:p w14:paraId="78451469" w14:textId="77777777" w:rsidR="00A7153D" w:rsidRPr="00A96668" w:rsidRDefault="00A7153D" w:rsidP="00A7153D">
      <w:pPr>
        <w:spacing w:after="0" w:line="276" w:lineRule="auto"/>
        <w:jc w:val="both"/>
        <w:rPr>
          <w:rFonts w:ascii="Verdana" w:eastAsia="Calibri" w:hAnsi="Verdana" w:cs="Times New Roman"/>
          <w:iCs/>
          <w:lang w:val="es-MX"/>
        </w:rPr>
      </w:pPr>
    </w:p>
    <w:bookmarkEnd w:id="1"/>
    <w:p w14:paraId="190D2524" w14:textId="01B4B5F0" w:rsidR="00A7153D" w:rsidRPr="00B17041" w:rsidRDefault="00A7153D" w:rsidP="00A7153D">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w:t>
      </w:r>
      <w:proofErr w:type="gramStart"/>
      <w:r w:rsidRPr="00B17041">
        <w:rPr>
          <w:rFonts w:ascii="Verdana" w:hAnsi="Verdana" w:cs="Arial"/>
          <w:lang w:val="es-ES" w:eastAsia="es-ES"/>
        </w:rPr>
        <w:t>la entidad</w:t>
      </w:r>
      <w:r w:rsidR="00936528">
        <w:rPr>
          <w:rFonts w:ascii="Verdana" w:hAnsi="Verdana" w:cs="Arial"/>
          <w:lang w:val="es-ES" w:eastAsia="es-ES"/>
        </w:rPr>
        <w:t>es</w:t>
      </w:r>
      <w:r w:rsidRPr="00B17041">
        <w:rPr>
          <w:rFonts w:ascii="Verdana" w:hAnsi="Verdana" w:cs="Arial"/>
          <w:lang w:val="es-ES" w:eastAsia="es-ES"/>
        </w:rPr>
        <w:t xml:space="preserve"> </w:t>
      </w:r>
      <w:r w:rsidRPr="00485C44">
        <w:rPr>
          <w:rFonts w:ascii="Verdana" w:hAnsi="Verdana" w:cs="Arial"/>
          <w:lang w:val="es-ES" w:eastAsia="es-ES"/>
        </w:rPr>
        <w:t>pública</w:t>
      </w:r>
      <w:r w:rsidR="00936528">
        <w:rPr>
          <w:rFonts w:ascii="Verdana" w:hAnsi="Verdana" w:cs="Arial"/>
          <w:lang w:val="es-ES" w:eastAsia="es-ES"/>
        </w:rPr>
        <w:t>s</w:t>
      </w:r>
      <w:proofErr w:type="gramEnd"/>
      <w:r w:rsidRPr="00485C44">
        <w:rPr>
          <w:rFonts w:ascii="Verdana" w:hAnsi="Verdana" w:cs="Arial"/>
          <w:lang w:val="es-ES" w:eastAsia="es-ES"/>
        </w:rPr>
        <w:t xml:space="preserve"> </w:t>
      </w:r>
      <w:r w:rsidR="00936528">
        <w:rPr>
          <w:rFonts w:ascii="Verdana" w:hAnsi="Verdana" w:cs="Arial"/>
          <w:lang w:val="es-ES" w:eastAsia="es-ES"/>
        </w:rPr>
        <w:t>que pretendan celebrar el negocio jurídico</w:t>
      </w:r>
      <w:r>
        <w:rPr>
          <w:rFonts w:ascii="Verdana" w:hAnsi="Verdana" w:cs="Arial"/>
          <w:lang w:val="es-ES" w:eastAsia="es-ES"/>
        </w:rPr>
        <w:t xml:space="preserve"> definirán</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w:t>
      </w:r>
      <w:r w:rsidRPr="00B17041">
        <w:rPr>
          <w:rFonts w:ascii="Verdana" w:hAnsi="Verdana" w:cs="Arial"/>
          <w:lang w:val="es-ES" w:eastAsia="es-ES"/>
        </w:rPr>
        <w:lastRenderedPageBreak/>
        <w:t>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8569026" w14:textId="77777777" w:rsidR="00A7153D" w:rsidRPr="00CD0DCD" w:rsidRDefault="00A7153D" w:rsidP="00A7153D">
      <w:pPr>
        <w:spacing w:after="0" w:line="276" w:lineRule="auto"/>
        <w:jc w:val="both"/>
        <w:rPr>
          <w:rFonts w:ascii="Verdana" w:eastAsia="Calibri" w:hAnsi="Verdana" w:cs="Arial"/>
          <w:lang w:val="es-ES" w:eastAsia="es-MX"/>
        </w:rPr>
      </w:pPr>
    </w:p>
    <w:p w14:paraId="1BE4D2E1" w14:textId="77777777" w:rsidR="00A7153D" w:rsidRPr="00B57A1B" w:rsidRDefault="00A7153D" w:rsidP="00A7153D">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Referencias normativas</w:t>
      </w:r>
      <w:r>
        <w:rPr>
          <w:rFonts w:ascii="Verdana" w:eastAsia="Century Gothic" w:hAnsi="Verdana" w:cs="Century Gothic"/>
          <w:b/>
          <w:bCs/>
          <w:lang w:val="es-ES"/>
        </w:rPr>
        <w:t>:</w:t>
      </w:r>
    </w:p>
    <w:p w14:paraId="347AC9BF" w14:textId="77777777" w:rsidR="00A7153D" w:rsidRPr="00B57A1B" w:rsidRDefault="00A7153D" w:rsidP="00A7153D">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7153D" w:rsidRPr="00B57A1B" w14:paraId="3E7BA6D5" w14:textId="77777777" w:rsidTr="00BE429B">
        <w:trPr>
          <w:trHeight w:val="487"/>
          <w:jc w:val="center"/>
        </w:trPr>
        <w:tc>
          <w:tcPr>
            <w:tcW w:w="8647" w:type="dxa"/>
          </w:tcPr>
          <w:p w14:paraId="659A6D37" w14:textId="77777777" w:rsidR="00A7153D" w:rsidRDefault="00A7153D" w:rsidP="00BE429B">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Constitución Política, artículos 365 y 368. </w:t>
            </w:r>
          </w:p>
          <w:p w14:paraId="705CC619" w14:textId="77777777" w:rsidR="00A7153D" w:rsidRDefault="00A7153D" w:rsidP="00BE429B">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B57A1B">
              <w:rPr>
                <w:rFonts w:ascii="Verdana" w:eastAsia="Arial MT" w:hAnsi="Verdana" w:cs="Arial"/>
                <w:lang w:val="es-ES" w:eastAsia="es-ES" w:bidi="es-ES"/>
              </w:rPr>
              <w:t xml:space="preserve">Ley 80 de 1993, </w:t>
            </w:r>
            <w:r>
              <w:rPr>
                <w:rFonts w:ascii="Verdana" w:eastAsia="Arial MT" w:hAnsi="Verdana" w:cs="Arial"/>
                <w:lang w:val="es-ES" w:eastAsia="es-ES" w:bidi="es-ES"/>
              </w:rPr>
              <w:t xml:space="preserve">artículo 32, 39, 40 y 41. </w:t>
            </w:r>
          </w:p>
          <w:p w14:paraId="3228953C" w14:textId="77777777" w:rsidR="00A7153D" w:rsidRDefault="00A7153D" w:rsidP="00BE429B">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142 de 1994, artículos 3, 14, 17. 31, 32, 39, 99.  </w:t>
            </w:r>
          </w:p>
          <w:p w14:paraId="59F1E4DB" w14:textId="77777777" w:rsidR="00A7153D" w:rsidRDefault="00A7153D" w:rsidP="00BE429B">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489 de 1998, artículos 38 y 68. </w:t>
            </w:r>
          </w:p>
          <w:p w14:paraId="2FE57908" w14:textId="77777777" w:rsidR="00A7153D" w:rsidRDefault="00A7153D" w:rsidP="00BE429B">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996 de 2005, artículos 33 y 38. </w:t>
            </w:r>
          </w:p>
          <w:p w14:paraId="1160E8B9" w14:textId="77777777" w:rsidR="00A7153D" w:rsidRDefault="00A7153D" w:rsidP="00BE429B">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1150 de 2007, artículo 2, 3 y 13.  </w:t>
            </w:r>
          </w:p>
          <w:p w14:paraId="4DCCB941" w14:textId="77777777" w:rsidR="00A7153D" w:rsidRDefault="00A7153D" w:rsidP="00BE429B">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1176 de 2007, artículo 11. </w:t>
            </w:r>
          </w:p>
          <w:p w14:paraId="41EBC75B" w14:textId="77777777" w:rsidR="00A7153D" w:rsidRDefault="00A7153D" w:rsidP="00BE429B">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1712 de 2014, artículos 2, 5 y 11. </w:t>
            </w:r>
          </w:p>
          <w:p w14:paraId="0D4BD89C" w14:textId="77777777" w:rsidR="00A7153D" w:rsidRDefault="00A7153D" w:rsidP="00BE429B">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2195 de 2022, artículo 53. </w:t>
            </w:r>
          </w:p>
          <w:p w14:paraId="31C19763" w14:textId="77777777" w:rsidR="00A7153D" w:rsidRPr="000F740F" w:rsidRDefault="00A7153D" w:rsidP="00BE429B">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Decreto 1077 de 2015, artículos </w:t>
            </w:r>
            <w:r w:rsidRPr="00EF2AE2">
              <w:rPr>
                <w:rFonts w:ascii="Verdana" w:eastAsia="Arial MT" w:hAnsi="Verdana" w:cs="Arial"/>
                <w:bCs/>
                <w:lang w:eastAsia="es-ES" w:bidi="es-ES"/>
              </w:rPr>
              <w:t>2.3.5.1.2.2.14</w:t>
            </w:r>
            <w:r>
              <w:rPr>
                <w:rFonts w:ascii="Verdana" w:eastAsia="Arial MT" w:hAnsi="Verdana" w:cs="Arial"/>
                <w:bCs/>
                <w:lang w:eastAsia="es-ES" w:bidi="es-ES"/>
              </w:rPr>
              <w:t xml:space="preserve"> y </w:t>
            </w:r>
            <w:r w:rsidRPr="00EF2AE2">
              <w:rPr>
                <w:rFonts w:ascii="Verdana" w:eastAsia="Arial MT" w:hAnsi="Verdana" w:cs="Arial"/>
                <w:bCs/>
                <w:lang w:eastAsia="es-ES" w:bidi="es-ES"/>
              </w:rPr>
              <w:t>2.3.4.1.2.11</w:t>
            </w:r>
            <w:r>
              <w:rPr>
                <w:rFonts w:ascii="Verdana" w:eastAsia="Arial MT" w:hAnsi="Verdana" w:cs="Arial"/>
                <w:bCs/>
                <w:lang w:eastAsia="es-ES" w:bidi="es-ES"/>
              </w:rPr>
              <w:t xml:space="preserve">. </w:t>
            </w:r>
          </w:p>
          <w:p w14:paraId="6AD98C13" w14:textId="77777777" w:rsidR="00A7153D" w:rsidRPr="007B7B6A" w:rsidRDefault="00A7153D" w:rsidP="00BE429B">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bCs/>
                <w:lang w:eastAsia="es-ES" w:bidi="es-ES"/>
              </w:rPr>
              <w:t xml:space="preserve">Decreto 1081 de 2015, artículo </w:t>
            </w:r>
            <w:r w:rsidRPr="000F740F">
              <w:rPr>
                <w:rFonts w:ascii="Verdana" w:eastAsia="Arial MT" w:hAnsi="Verdana" w:cs="Arial"/>
                <w:bCs/>
                <w:lang w:eastAsia="es-ES" w:bidi="es-ES"/>
              </w:rPr>
              <w:t>2.1.1.2.1.7.</w:t>
            </w:r>
          </w:p>
          <w:p w14:paraId="36DFB04F" w14:textId="77777777" w:rsidR="00A7153D" w:rsidRPr="00B57A1B" w:rsidRDefault="00A7153D" w:rsidP="00BE429B">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 xml:space="preserve">Decreto 1082 de 2015, artículos </w:t>
            </w:r>
            <w:r w:rsidRPr="009F575B">
              <w:rPr>
                <w:rFonts w:ascii="Verdana" w:eastAsia="Arial MT" w:hAnsi="Verdana" w:cs="Arial"/>
                <w:lang w:eastAsia="es-ES" w:bidi="es-ES"/>
              </w:rPr>
              <w:t>2.2.1.1.1.7.1</w:t>
            </w:r>
            <w:r>
              <w:rPr>
                <w:rFonts w:ascii="Verdana" w:eastAsia="Arial MT" w:hAnsi="Verdana" w:cs="Arial"/>
                <w:lang w:eastAsia="es-ES" w:bidi="es-ES"/>
              </w:rPr>
              <w:t xml:space="preserve">, </w:t>
            </w:r>
            <w:r w:rsidRPr="00EF0BDA">
              <w:rPr>
                <w:rFonts w:ascii="Verdana" w:hAnsi="Verdana" w:cs="Arial"/>
                <w:shd w:val="clear" w:color="auto" w:fill="FFFFFF"/>
              </w:rPr>
              <w:t>2.2.1.1.1.3.1</w:t>
            </w:r>
            <w:r>
              <w:rPr>
                <w:rFonts w:ascii="Verdana" w:hAnsi="Verdana" w:cs="Arial"/>
                <w:shd w:val="clear" w:color="auto" w:fill="FFFFFF"/>
              </w:rPr>
              <w:t xml:space="preserve">. </w:t>
            </w:r>
          </w:p>
        </w:tc>
      </w:tr>
    </w:tbl>
    <w:p w14:paraId="28BC14F1" w14:textId="77777777" w:rsidR="00A7153D" w:rsidRPr="00B57A1B" w:rsidRDefault="00A7153D" w:rsidP="00A7153D">
      <w:pPr>
        <w:widowControl w:val="0"/>
        <w:autoSpaceDE w:val="0"/>
        <w:autoSpaceDN w:val="0"/>
        <w:spacing w:after="0" w:line="276" w:lineRule="auto"/>
        <w:jc w:val="both"/>
        <w:rPr>
          <w:rFonts w:ascii="Verdana" w:hAnsi="Verdana" w:cs="Arial"/>
        </w:rPr>
      </w:pPr>
    </w:p>
    <w:p w14:paraId="527C3A0A" w14:textId="77777777" w:rsidR="00A7153D" w:rsidRPr="00B57A1B" w:rsidRDefault="00A7153D" w:rsidP="00A7153D">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Doctrina de la Agencia Nacional de Contratación Pública:</w:t>
      </w:r>
    </w:p>
    <w:p w14:paraId="02CB7F55" w14:textId="77777777" w:rsidR="00A7153D" w:rsidRPr="00B57A1B" w:rsidRDefault="00A7153D" w:rsidP="00A7153D">
      <w:pPr>
        <w:widowControl w:val="0"/>
        <w:autoSpaceDE w:val="0"/>
        <w:autoSpaceDN w:val="0"/>
        <w:spacing w:after="0" w:line="276" w:lineRule="auto"/>
        <w:jc w:val="both"/>
        <w:rPr>
          <w:rFonts w:ascii="Verdana" w:hAnsi="Verdana" w:cs="Arial"/>
        </w:rPr>
      </w:pPr>
    </w:p>
    <w:p w14:paraId="37452958" w14:textId="77777777" w:rsidR="00936528" w:rsidRPr="00ED0098" w:rsidRDefault="00936528" w:rsidP="00936528">
      <w:pPr>
        <w:widowControl w:val="0"/>
        <w:autoSpaceDE w:val="0"/>
        <w:autoSpaceDN w:val="0"/>
        <w:spacing w:after="0" w:line="276" w:lineRule="auto"/>
        <w:jc w:val="both"/>
        <w:rPr>
          <w:rStyle w:val="normaltextrun"/>
          <w:rFonts w:ascii="Verdana" w:hAnsi="Verdana" w:cs="Arial"/>
          <w:shd w:val="clear" w:color="auto" w:fill="FFFFFF"/>
        </w:rPr>
      </w:pPr>
      <w:r w:rsidRPr="00BC7FC8">
        <w:rPr>
          <w:rFonts w:ascii="Verdana" w:hAnsi="Verdana" w:cs="Arial"/>
          <w:shd w:val="clear" w:color="auto" w:fill="FFFFFF"/>
        </w:rPr>
        <w:t xml:space="preserve">Esta Subdirección se ha pronunciado sobre la finalidad y propósito de la Ley de Garantías Electorales en los </w:t>
      </w:r>
      <w:r>
        <w:rPr>
          <w:rFonts w:ascii="Verdana" w:hAnsi="Verdana" w:cs="Arial"/>
          <w:shd w:val="clear" w:color="auto" w:fill="FFFFFF"/>
        </w:rPr>
        <w:t>C</w:t>
      </w:r>
      <w:r w:rsidRPr="00BC7FC8">
        <w:rPr>
          <w:rFonts w:ascii="Verdana" w:hAnsi="Verdana" w:cs="Arial"/>
          <w:shd w:val="clear" w:color="auto" w:fill="FFFFFF"/>
        </w:rPr>
        <w:t xml:space="preserve">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w:t>
      </w:r>
      <w:r w:rsidRPr="00BC7FC8">
        <w:rPr>
          <w:rFonts w:ascii="Verdana" w:hAnsi="Verdana" w:cs="Arial"/>
          <w:shd w:val="clear" w:color="auto" w:fill="FFFFFF"/>
        </w:rPr>
        <w:lastRenderedPageBreak/>
        <w:t>del 21 de diciembre de 2021, C-054 del 22 de marzo de 2022, C-179 del 8 de abril de 2022, C-161 del 17 de mayo de 2022, C- 180 del 21 de marzo de 2025, C-696 del 11 de julio de 2025, C-708 del 15 de julio de 2025</w:t>
      </w:r>
      <w:r>
        <w:rPr>
          <w:rFonts w:ascii="Verdana" w:hAnsi="Verdana" w:cs="Arial"/>
          <w:shd w:val="clear" w:color="auto" w:fill="FFFFFF"/>
        </w:rPr>
        <w:t>, C-1186 del 17 de septiembre de 2025 y C-1350 del 1˚ de octubre de 2025</w:t>
      </w:r>
      <w:r>
        <w:rPr>
          <w:rFonts w:ascii="Verdana" w:hAnsi="Verdana"/>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3"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7AD6F9B2" w14:textId="77777777" w:rsidR="00A7153D" w:rsidRPr="009037F6" w:rsidRDefault="00A7153D" w:rsidP="00A7153D">
      <w:pPr>
        <w:spacing w:after="0"/>
        <w:jc w:val="both"/>
        <w:rPr>
          <w:rFonts w:ascii="Verdana" w:hAnsi="Verdana"/>
        </w:rPr>
      </w:pPr>
    </w:p>
    <w:p w14:paraId="24362491" w14:textId="77777777" w:rsidR="00A7153D" w:rsidRPr="00231A97" w:rsidRDefault="00A7153D" w:rsidP="00A7153D">
      <w:pPr>
        <w:spacing w:after="0" w:line="256" w:lineRule="auto"/>
        <w:jc w:val="both"/>
        <w:rPr>
          <w:rFonts w:ascii="Verdana" w:eastAsia="Calibri" w:hAnsi="Verdana" w:cs="Times New Roman"/>
        </w:rPr>
      </w:pPr>
      <w:r w:rsidRPr="00231A97">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231A97">
        <w:rPr>
          <w:rFonts w:ascii="Verdana" w:eastAsia="Calibri" w:hAnsi="Verdana" w:cs="Times New Roman"/>
          <w:b/>
          <w:bCs/>
        </w:rPr>
        <w:t>Curso de Contratación Pública Sostenible y Socialmente Responsable</w:t>
      </w:r>
      <w:r w:rsidRPr="00231A97">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31A97">
        <w:rPr>
          <w:rFonts w:ascii="Verdana" w:eastAsia="Calibri" w:hAnsi="Verdana" w:cs="Times New Roman"/>
        </w:rPr>
        <w:br/>
      </w:r>
      <w:hyperlink r:id="rId14" w:tgtFrame="_new" w:history="1">
        <w:r w:rsidRPr="00231A97">
          <w:rPr>
            <w:rStyle w:val="Hipervnculo"/>
            <w:rFonts w:ascii="Verdana" w:eastAsia="Calibri" w:hAnsi="Verdana" w:cs="Times New Roman"/>
          </w:rPr>
          <w:t>https://formacionvirtual.colombiacompra.gov.co/mod/page/view.php?id=3718</w:t>
        </w:r>
      </w:hyperlink>
    </w:p>
    <w:p w14:paraId="4C258EBD" w14:textId="77777777" w:rsidR="00A7153D" w:rsidRPr="00231A97" w:rsidRDefault="00A7153D" w:rsidP="00A7153D">
      <w:pPr>
        <w:spacing w:after="0" w:line="256" w:lineRule="auto"/>
        <w:jc w:val="both"/>
        <w:rPr>
          <w:rFonts w:ascii="Verdana" w:eastAsia="Calibri" w:hAnsi="Verdana" w:cs="Times New Roman"/>
        </w:rPr>
      </w:pPr>
      <w:r w:rsidRPr="00231A97">
        <w:rPr>
          <w:rFonts w:ascii="Verdana" w:eastAsia="Calibri" w:hAnsi="Verdana" w:cs="Times New Roman"/>
        </w:rPr>
        <w:t xml:space="preserve">De otro lado, te contamos que esta Agencia ha da un paso decisivo en la estandarización y modernización del </w:t>
      </w:r>
      <w:r w:rsidRPr="00231A97">
        <w:rPr>
          <w:rFonts w:ascii="Verdana" w:eastAsia="Calibri" w:hAnsi="Verdana" w:cs="Times New Roman"/>
          <w:b/>
          <w:bCs/>
        </w:rPr>
        <w:t>sector  social</w:t>
      </w:r>
      <w:r w:rsidRPr="00231A97">
        <w:rPr>
          <w:rFonts w:ascii="Verdana" w:eastAsia="Calibri" w:hAnsi="Verdana" w:cs="Times New Roman"/>
        </w:rPr>
        <w:t xml:space="preserve"> con la expedición de las </w:t>
      </w:r>
      <w:r w:rsidRPr="00231A97">
        <w:rPr>
          <w:rFonts w:ascii="Verdana" w:eastAsia="Calibri" w:hAnsi="Verdana" w:cs="Times New Roman"/>
          <w:b/>
          <w:bCs/>
        </w:rPr>
        <w:t>Resoluciones 539, 540, 541, 952 y 953 de 2025</w:t>
      </w:r>
      <w:r w:rsidRPr="00231A97">
        <w:rPr>
          <w:rFonts w:ascii="Verdana" w:eastAsia="Calibri" w:hAnsi="Verdana" w:cs="Times New Roman"/>
        </w:rPr>
        <w:t xml:space="preserve">, </w:t>
      </w:r>
      <w:r w:rsidRPr="00231A97">
        <w:rPr>
          <w:rFonts w:ascii="Verdana" w:eastAsia="Calibri" w:hAnsi="Verdana" w:cs="Times New Roman"/>
          <w:b/>
          <w:bCs/>
        </w:rPr>
        <w:t>mediante las cuales adoptó Documentos Tipo</w:t>
      </w:r>
      <w:r w:rsidRPr="00231A97">
        <w:rPr>
          <w:rFonts w:ascii="Verdana" w:eastAsia="Calibri" w:hAnsi="Verdana" w:cs="Times New Roman"/>
        </w:rPr>
        <w:t xml:space="preserve"> para las modalidades de selección de</w:t>
      </w:r>
      <w:r w:rsidRPr="00231A97">
        <w:rPr>
          <w:rFonts w:ascii="Verdana" w:eastAsia="Calibri" w:hAnsi="Verdana" w:cs="Times New Roman"/>
          <w:b/>
          <w:bCs/>
        </w:rPr>
        <w:t xml:space="preserve"> licitación pública (versión 2), selección abreviada de menor cuantía, mínima cuantía, consultoría e interventoría</w:t>
      </w:r>
      <w:r w:rsidRPr="00231A97">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231A97">
          <w:rPr>
            <w:rStyle w:val="Hipervnculo"/>
            <w:rFonts w:ascii="Verdana" w:eastAsia="Calibri" w:hAnsi="Verdana" w:cs="Times New Roman"/>
          </w:rPr>
          <w:t>https://www.colombiacompra.gov.co/normativa-y-relatoria/documentos-tipo</w:t>
        </w:r>
      </w:hyperlink>
    </w:p>
    <w:p w14:paraId="57E1CE1D" w14:textId="77777777" w:rsidR="00A7153D" w:rsidRPr="00231A97" w:rsidRDefault="00A7153D" w:rsidP="00A7153D">
      <w:pPr>
        <w:spacing w:after="0" w:line="256" w:lineRule="auto"/>
        <w:jc w:val="both"/>
        <w:rPr>
          <w:rFonts w:ascii="Verdana" w:eastAsia="Calibri" w:hAnsi="Verdana" w:cs="Times New Roman"/>
        </w:rPr>
      </w:pPr>
      <w:r w:rsidRPr="00231A97">
        <w:rPr>
          <w:rFonts w:ascii="Verdana" w:eastAsia="Calibri" w:hAnsi="Verdana" w:cs="Times New Roman"/>
        </w:rPr>
        <w:t xml:space="preserve">Si quieres conocer más sobre la aplicación de Documentos Tipo puedes consultar la última versión de la </w:t>
      </w:r>
      <w:r w:rsidRPr="00231A97">
        <w:rPr>
          <w:rFonts w:ascii="Verdana" w:eastAsia="Calibri" w:hAnsi="Verdana" w:cs="Times New Roman"/>
          <w:b/>
          <w:bCs/>
        </w:rPr>
        <w:t>Guía para la comprensión e implementación de los Documentos Tipo de obra pública de infraestructura de transporte</w:t>
      </w:r>
      <w:r w:rsidRPr="00231A97">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31A97">
        <w:rPr>
          <w:rFonts w:ascii="Verdana" w:eastAsia="Calibri" w:hAnsi="Verdana" w:cs="Times New Roman"/>
        </w:rPr>
        <w:br/>
      </w:r>
      <w:hyperlink r:id="rId16" w:tgtFrame="_new" w:history="1">
        <w:r w:rsidRPr="00231A97">
          <w:rPr>
            <w:rStyle w:val="Hipervnculo"/>
            <w:rFonts w:ascii="Verdana" w:eastAsia="Calibri" w:hAnsi="Verdana" w:cs="Times New Roman"/>
          </w:rPr>
          <w:t>https://www.colombiacompra.gov.co/archivos/manual/guia-para-la-comprension-e-implementacion-de-los-documentos-tipo-de-obra-publica-de-</w:t>
        </w:r>
        <w:r w:rsidRPr="00231A97">
          <w:rPr>
            <w:rStyle w:val="Hipervnculo"/>
            <w:rFonts w:ascii="Verdana" w:eastAsia="Calibri" w:hAnsi="Verdana" w:cs="Times New Roman"/>
          </w:rPr>
          <w:lastRenderedPageBreak/>
          <w:t>infraestructura-de-transporte-bajo-las-diferentes-modalidades-de-contratacion-vigentes</w:t>
        </w:r>
      </w:hyperlink>
    </w:p>
    <w:p w14:paraId="0CAD0621" w14:textId="77777777" w:rsidR="00A7153D" w:rsidRPr="009037F6" w:rsidRDefault="00A7153D" w:rsidP="00A7153D">
      <w:pPr>
        <w:spacing w:after="0" w:line="240" w:lineRule="auto"/>
        <w:jc w:val="both"/>
        <w:rPr>
          <w:rFonts w:ascii="Verdana" w:hAnsi="Verdana"/>
        </w:rPr>
      </w:pPr>
    </w:p>
    <w:p w14:paraId="64D0E06D" w14:textId="77777777" w:rsidR="00A7153D" w:rsidRPr="00116940" w:rsidRDefault="00A7153D" w:rsidP="00A7153D">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3C3E9788" w14:textId="77777777" w:rsidR="00A7153D" w:rsidRPr="00116940" w:rsidRDefault="00A7153D" w:rsidP="00A7153D">
      <w:pPr>
        <w:spacing w:after="0"/>
        <w:jc w:val="both"/>
        <w:rPr>
          <w:rFonts w:ascii="Verdana" w:hAnsi="Verdana"/>
        </w:rPr>
      </w:pPr>
    </w:p>
    <w:p w14:paraId="4847FF64" w14:textId="77777777" w:rsidR="00A7153D" w:rsidRPr="00116940" w:rsidRDefault="00A7153D" w:rsidP="00A7153D">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0D1D8802" w14:textId="77777777" w:rsidR="00A7153D" w:rsidRPr="00116940" w:rsidRDefault="00A7153D" w:rsidP="00A7153D">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40F75EB0" w14:textId="77777777" w:rsidR="00A7153D" w:rsidRPr="00116940" w:rsidRDefault="00A7153D" w:rsidP="00A7153D">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6CF854FC" w14:textId="77777777" w:rsidR="00A7153D" w:rsidRPr="00116940" w:rsidRDefault="00A7153D" w:rsidP="00A7153D">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0DE13997" w14:textId="77777777" w:rsidR="00A7153D" w:rsidRPr="00116940" w:rsidRDefault="00A7153D" w:rsidP="00A7153D">
      <w:pPr>
        <w:spacing w:after="0" w:line="240" w:lineRule="auto"/>
        <w:ind w:left="720"/>
        <w:jc w:val="both"/>
        <w:rPr>
          <w:rFonts w:ascii="Verdana" w:hAnsi="Verdana"/>
        </w:rPr>
      </w:pPr>
    </w:p>
    <w:p w14:paraId="146B1B04" w14:textId="77777777" w:rsidR="00A7153D" w:rsidRPr="00116940" w:rsidRDefault="00A7153D" w:rsidP="00A7153D">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9"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6BF83507" w14:textId="77777777" w:rsidR="00A7153D" w:rsidRPr="00116940" w:rsidRDefault="00A7153D" w:rsidP="00A7153D">
      <w:pPr>
        <w:spacing w:after="0" w:line="240" w:lineRule="auto"/>
        <w:rPr>
          <w:rFonts w:ascii="Verdana" w:hAnsi="Verdana"/>
        </w:rPr>
      </w:pPr>
    </w:p>
    <w:p w14:paraId="2C173FCF" w14:textId="77777777" w:rsidR="00A7153D" w:rsidRPr="00116940" w:rsidRDefault="00A7153D" w:rsidP="00A7153D">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12F7C231" w14:textId="77777777" w:rsidR="00A7153D" w:rsidRPr="00116940" w:rsidRDefault="00A7153D" w:rsidP="00A7153D">
      <w:pPr>
        <w:spacing w:after="0" w:line="240" w:lineRule="auto"/>
        <w:jc w:val="both"/>
        <w:rPr>
          <w:rFonts w:ascii="Verdana" w:hAnsi="Verdana"/>
        </w:rPr>
      </w:pPr>
    </w:p>
    <w:p w14:paraId="45E18B0C" w14:textId="77777777" w:rsidR="00A7153D" w:rsidRPr="00116940" w:rsidRDefault="00A7153D" w:rsidP="00A7153D">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78A01C81" w14:textId="77777777" w:rsidR="00A7153D" w:rsidRPr="00116940" w:rsidRDefault="00A7153D" w:rsidP="00A7153D">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1727634" w14:textId="77777777" w:rsidR="00A7153D" w:rsidRPr="00116940" w:rsidRDefault="00A7153D" w:rsidP="00A7153D">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0F2D6DC1" w14:textId="77777777" w:rsidR="00A7153D" w:rsidRPr="00116940" w:rsidRDefault="00A7153D" w:rsidP="00A7153D">
      <w:pPr>
        <w:spacing w:after="0" w:line="240" w:lineRule="auto"/>
        <w:jc w:val="both"/>
        <w:rPr>
          <w:rFonts w:ascii="Verdana" w:hAnsi="Verdana"/>
        </w:rPr>
      </w:pPr>
    </w:p>
    <w:p w14:paraId="5CD835D1" w14:textId="77777777" w:rsidR="00A7153D" w:rsidRPr="009037F6" w:rsidRDefault="00A7153D" w:rsidP="00A7153D">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D956F4F" w14:textId="77777777" w:rsidR="00A7153D" w:rsidRPr="00492C4A" w:rsidRDefault="00A7153D" w:rsidP="00A7153D">
      <w:pPr>
        <w:spacing w:after="0" w:line="256" w:lineRule="auto"/>
        <w:jc w:val="both"/>
        <w:rPr>
          <w:rFonts w:ascii="Verdana" w:eastAsia="Calibri" w:hAnsi="Verdana" w:cs="Times New Roman"/>
          <w:lang w:val="es-ES_tradnl"/>
        </w:rPr>
      </w:pPr>
    </w:p>
    <w:p w14:paraId="18DC287B" w14:textId="77777777" w:rsidR="00A7153D" w:rsidRDefault="00A7153D" w:rsidP="00A7153D">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5109B70C" w14:textId="77777777" w:rsidR="00A7153D" w:rsidRPr="002F1956" w:rsidRDefault="00A7153D" w:rsidP="00A7153D">
      <w:pPr>
        <w:spacing w:after="0" w:line="256" w:lineRule="auto"/>
        <w:jc w:val="center"/>
        <w:rPr>
          <w:rFonts w:ascii="Verdana" w:hAnsi="Verdana"/>
          <w:sz w:val="16"/>
          <w:szCs w:val="16"/>
          <w:lang w:val="en-US"/>
        </w:rPr>
      </w:pPr>
    </w:p>
    <w:bookmarkEnd w:id="0"/>
    <w:p w14:paraId="6F9FFB3D" w14:textId="5A8B1FBA" w:rsidR="00C0431F" w:rsidRDefault="00E17AEA" w:rsidP="00C0431F">
      <w:pPr>
        <w:spacing w:after="0" w:line="256" w:lineRule="auto"/>
        <w:jc w:val="center"/>
        <w:rPr>
          <w:noProof/>
          <w:lang w:val="en-US"/>
        </w:rPr>
      </w:pPr>
      <w:r w:rsidRPr="002C3AD6">
        <w:rPr>
          <w:rFonts w:ascii="Century Gothic" w:hAnsi="Century Gothic"/>
          <w:noProof/>
        </w:rPr>
        <w:lastRenderedPageBreak/>
        <w:drawing>
          <wp:inline distT="0" distB="0" distL="0" distR="0" wp14:anchorId="264CF6F1" wp14:editId="71AA4341">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772426" cy="1400370"/>
                    </a:xfrm>
                    <a:prstGeom prst="rect">
                      <a:avLst/>
                    </a:prstGeom>
                  </pic:spPr>
                </pic:pic>
              </a:graphicData>
            </a:graphic>
          </wp:inline>
        </w:drawing>
      </w:r>
    </w:p>
    <w:p w14:paraId="677648F2" w14:textId="77777777" w:rsidR="00C0431F" w:rsidRPr="00881D12" w:rsidRDefault="00C0431F" w:rsidP="00C0431F">
      <w:pPr>
        <w:spacing w:after="0" w:line="256" w:lineRule="auto"/>
        <w:jc w:val="center"/>
        <w:rPr>
          <w:rFonts w:ascii="Verdana" w:eastAsia="Times New Roman" w:hAnsi="Verdana" w:cs="Arial"/>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C0431F" w:rsidRPr="00B57A1B" w14:paraId="6C43D855" w14:textId="77777777" w:rsidTr="002F0D4D">
        <w:trPr>
          <w:trHeight w:val="409"/>
        </w:trPr>
        <w:tc>
          <w:tcPr>
            <w:tcW w:w="817" w:type="dxa"/>
            <w:tcBorders>
              <w:top w:val="nil"/>
              <w:left w:val="nil"/>
              <w:bottom w:val="nil"/>
              <w:right w:val="nil"/>
            </w:tcBorders>
            <w:vAlign w:val="center"/>
            <w:hideMark/>
          </w:tcPr>
          <w:p w14:paraId="3FD95A6F" w14:textId="77777777" w:rsidR="00C0431F" w:rsidRPr="00B57A1B" w:rsidRDefault="00C0431F" w:rsidP="002F0D4D">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106F2B18" w14:textId="77777777" w:rsidR="00C0431F" w:rsidRPr="00B57A1B" w:rsidRDefault="00C0431F" w:rsidP="002F0D4D">
            <w:pPr>
              <w:spacing w:after="0" w:line="256" w:lineRule="auto"/>
              <w:rPr>
                <w:rFonts w:ascii="Verdana" w:eastAsia="Calibri" w:hAnsi="Verdana" w:cs="Times New Roman"/>
                <w:sz w:val="16"/>
                <w:szCs w:val="16"/>
              </w:rPr>
            </w:pPr>
            <w:r>
              <w:rPr>
                <w:rFonts w:ascii="Verdana" w:eastAsia="Calibri" w:hAnsi="Verdana" w:cs="Times New Roman"/>
                <w:sz w:val="16"/>
                <w:szCs w:val="16"/>
              </w:rPr>
              <w:t>Richard Andrés Montenegro Siefken</w:t>
            </w:r>
          </w:p>
          <w:p w14:paraId="13D4F83C" w14:textId="77777777" w:rsidR="00C0431F" w:rsidRPr="00B57A1B" w:rsidRDefault="00C0431F" w:rsidP="002F0D4D">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Contratista de la Subdirección de Gestión Contractual</w:t>
            </w:r>
          </w:p>
        </w:tc>
      </w:tr>
      <w:tr w:rsidR="00C0431F" w:rsidRPr="00B57A1B" w14:paraId="47F664E7" w14:textId="77777777" w:rsidTr="002F0D4D">
        <w:trPr>
          <w:trHeight w:val="409"/>
        </w:trPr>
        <w:tc>
          <w:tcPr>
            <w:tcW w:w="817" w:type="dxa"/>
            <w:tcBorders>
              <w:top w:val="nil"/>
              <w:left w:val="nil"/>
              <w:bottom w:val="nil"/>
              <w:right w:val="nil"/>
            </w:tcBorders>
            <w:vAlign w:val="center"/>
            <w:hideMark/>
          </w:tcPr>
          <w:p w14:paraId="01CF1A1C" w14:textId="77777777" w:rsidR="00C0431F" w:rsidRPr="00B57A1B" w:rsidRDefault="00C0431F" w:rsidP="002F0D4D">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12966F0" w14:textId="77777777" w:rsidR="00C0431F" w:rsidRPr="00B57A1B" w:rsidRDefault="00C0431F" w:rsidP="002F0D4D">
            <w:pPr>
              <w:spacing w:after="0" w:line="256" w:lineRule="auto"/>
              <w:rPr>
                <w:rFonts w:ascii="Verdana" w:eastAsia="Calibri" w:hAnsi="Verdana" w:cs="Times New Roman"/>
                <w:sz w:val="16"/>
                <w:szCs w:val="16"/>
              </w:rPr>
            </w:pPr>
            <w:r>
              <w:rPr>
                <w:rFonts w:ascii="Verdana" w:eastAsia="Calibri" w:hAnsi="Verdana" w:cs="Times New Roman"/>
                <w:sz w:val="16"/>
                <w:szCs w:val="16"/>
              </w:rPr>
              <w:t>Diana Lucia Saavedra Castañeda</w:t>
            </w:r>
          </w:p>
          <w:p w14:paraId="2C5EB299" w14:textId="77777777" w:rsidR="00C0431F" w:rsidRPr="00B57A1B" w:rsidRDefault="00C0431F" w:rsidP="002F0D4D">
            <w:pPr>
              <w:spacing w:after="0" w:line="256" w:lineRule="auto"/>
              <w:rPr>
                <w:rFonts w:ascii="Verdana" w:eastAsia="Calibri" w:hAnsi="Verdana" w:cs="Times New Roman"/>
                <w:sz w:val="16"/>
                <w:szCs w:val="16"/>
              </w:rPr>
            </w:pPr>
            <w:r>
              <w:rPr>
                <w:rFonts w:ascii="Verdana" w:eastAsia="Calibri" w:hAnsi="Verdana" w:cs="Times New Roman"/>
                <w:sz w:val="16"/>
                <w:szCs w:val="16"/>
              </w:rPr>
              <w:t>Contratista</w:t>
            </w:r>
            <w:r w:rsidRPr="00B57A1B">
              <w:rPr>
                <w:rFonts w:ascii="Verdana" w:eastAsia="Calibri" w:hAnsi="Verdana" w:cs="Times New Roman"/>
                <w:sz w:val="16"/>
                <w:szCs w:val="16"/>
              </w:rPr>
              <w:t xml:space="preserve"> de la Subdirección de Gestión Contractual </w:t>
            </w:r>
          </w:p>
        </w:tc>
      </w:tr>
      <w:tr w:rsidR="00C0431F" w:rsidRPr="00B57A1B" w14:paraId="5E4F34AD" w14:textId="77777777" w:rsidTr="002F0D4D">
        <w:trPr>
          <w:trHeight w:val="389"/>
        </w:trPr>
        <w:tc>
          <w:tcPr>
            <w:tcW w:w="817" w:type="dxa"/>
            <w:tcBorders>
              <w:top w:val="nil"/>
              <w:left w:val="nil"/>
              <w:bottom w:val="nil"/>
              <w:right w:val="nil"/>
            </w:tcBorders>
            <w:vAlign w:val="center"/>
            <w:hideMark/>
          </w:tcPr>
          <w:p w14:paraId="5289C9FF" w14:textId="77777777" w:rsidR="00C0431F" w:rsidRPr="00B57A1B" w:rsidRDefault="00C0431F" w:rsidP="002F0D4D">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B171627" w14:textId="77777777" w:rsidR="00C0431F" w:rsidRPr="00B57A1B" w:rsidRDefault="00C0431F" w:rsidP="002F0D4D">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Carolina Quintero Gacharná</w:t>
            </w:r>
          </w:p>
          <w:p w14:paraId="0FB999D5" w14:textId="77777777" w:rsidR="00C0431F" w:rsidRPr="00B57A1B" w:rsidRDefault="00C0431F" w:rsidP="002F0D4D">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Subdirectora de Gestión Contractual ANCP – CCE</w:t>
            </w:r>
          </w:p>
        </w:tc>
      </w:tr>
    </w:tbl>
    <w:p w14:paraId="1FA4C8CF" w14:textId="77777777" w:rsidR="00C0431F" w:rsidRPr="0024624F" w:rsidRDefault="00C0431F" w:rsidP="00C0431F">
      <w:pPr>
        <w:spacing w:after="0"/>
        <w:rPr>
          <w:rFonts w:ascii="Verdana" w:hAnsi="Verdana"/>
        </w:rPr>
      </w:pPr>
    </w:p>
    <w:p w14:paraId="0F293BF4" w14:textId="5BC76369" w:rsidR="00127233" w:rsidRPr="00A7153D" w:rsidRDefault="00127233" w:rsidP="00A7153D"/>
    <w:sectPr w:rsidR="00127233" w:rsidRPr="00A7153D"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1D8D67" w14:textId="77777777" w:rsidR="00082239" w:rsidRDefault="00082239" w:rsidP="004A1847">
      <w:pPr>
        <w:spacing w:after="0" w:line="240" w:lineRule="auto"/>
      </w:pPr>
      <w:r>
        <w:separator/>
      </w:r>
    </w:p>
  </w:endnote>
  <w:endnote w:type="continuationSeparator" w:id="0">
    <w:p w14:paraId="3C1848CB" w14:textId="77777777" w:rsidR="00082239" w:rsidRDefault="0008223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Weiss">
    <w:panose1 w:val="00000000000000000000"/>
    <w:charset w:val="00"/>
    <w:family w:val="roman"/>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BE429B" w:rsidRDefault="00BE429B">
    <w:pPr>
      <w:pStyle w:val="Piedepgina"/>
    </w:pPr>
  </w:p>
  <w:p w14:paraId="594D6D9F" w14:textId="08F10804" w:rsidR="00BE429B" w:rsidRPr="00174B77" w:rsidRDefault="00BE429B"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246CBB" w:rsidRPr="00246CBB">
      <w:rPr>
        <w:rFonts w:ascii="Verdana" w:eastAsiaTheme="minorEastAsia" w:hAnsi="Verdana"/>
        <w:b/>
        <w:bCs/>
        <w:noProof/>
        <w:sz w:val="16"/>
        <w:szCs w:val="16"/>
      </w:rPr>
      <w:t>55</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BE429B" w:rsidRDefault="00BE429B"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BE429B" w:rsidRPr="00E41027" w:rsidRDefault="00BE429B"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BE429B" w:rsidRDefault="00BE429B"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D50203" w14:textId="77777777" w:rsidR="00082239" w:rsidRDefault="00082239" w:rsidP="004A1847">
      <w:pPr>
        <w:spacing w:after="0" w:line="240" w:lineRule="auto"/>
      </w:pPr>
      <w:r>
        <w:separator/>
      </w:r>
    </w:p>
  </w:footnote>
  <w:footnote w:type="continuationSeparator" w:id="0">
    <w:p w14:paraId="0233FF16" w14:textId="77777777" w:rsidR="00082239" w:rsidRDefault="00082239" w:rsidP="004A1847">
      <w:pPr>
        <w:spacing w:after="0" w:line="240" w:lineRule="auto"/>
      </w:pPr>
      <w:r>
        <w:continuationSeparator/>
      </w:r>
    </w:p>
  </w:footnote>
  <w:footnote w:id="1">
    <w:p w14:paraId="3F45D9D0" w14:textId="77777777" w:rsidR="00E17AEA" w:rsidRPr="006366CF" w:rsidRDefault="00E17AEA" w:rsidP="00E17AEA">
      <w:pPr>
        <w:pStyle w:val="Textonotapie"/>
        <w:ind w:firstLine="708"/>
        <w:rPr>
          <w:rFonts w:ascii="Verdana" w:hAnsi="Verdana"/>
          <w:sz w:val="16"/>
          <w:szCs w:val="16"/>
        </w:rPr>
      </w:pPr>
      <w:r w:rsidRPr="006366CF">
        <w:rPr>
          <w:rStyle w:val="Refdenotaalpie"/>
          <w:rFonts w:ascii="Verdana" w:hAnsi="Verdana"/>
          <w:sz w:val="16"/>
          <w:szCs w:val="16"/>
        </w:rPr>
        <w:footnoteRef/>
      </w:r>
      <w:r w:rsidRPr="006366CF">
        <w:rPr>
          <w:rFonts w:ascii="Verdana" w:hAnsi="Verdana"/>
          <w:sz w:val="16"/>
          <w:szCs w:val="16"/>
          <w:lang w:val="pt-BR"/>
        </w:rPr>
        <w:t xml:space="preserve"> Corte Constitucional. Sentencia C-671 de 2005. </w:t>
      </w:r>
      <w:r w:rsidRPr="006366CF">
        <w:rPr>
          <w:rFonts w:ascii="Verdana" w:hAnsi="Verdana"/>
          <w:sz w:val="16"/>
          <w:szCs w:val="16"/>
        </w:rPr>
        <w:t xml:space="preserve">M.P. Álvaro Tafur Galvis. </w:t>
      </w:r>
    </w:p>
  </w:footnote>
  <w:footnote w:id="2">
    <w:p w14:paraId="03741B72" w14:textId="77777777" w:rsidR="00BE429B" w:rsidRPr="00A30929" w:rsidRDefault="00BE429B" w:rsidP="00A7153D">
      <w:pPr>
        <w:pStyle w:val="Textonotapie"/>
        <w:ind w:firstLine="709"/>
        <w:jc w:val="both"/>
        <w:rPr>
          <w:rFonts w:ascii="Verdana" w:hAnsi="Verdana" w:cs="Arial"/>
          <w:color w:val="000000" w:themeColor="text1"/>
          <w:sz w:val="16"/>
          <w:szCs w:val="16"/>
        </w:rPr>
      </w:pPr>
      <w:r w:rsidRPr="00A30929">
        <w:rPr>
          <w:rStyle w:val="Refdenotaalpie"/>
          <w:rFonts w:ascii="Verdana" w:hAnsi="Verdana" w:cs="Arial"/>
          <w:color w:val="000000" w:themeColor="text1"/>
          <w:sz w:val="16"/>
          <w:szCs w:val="16"/>
        </w:rPr>
        <w:footnoteRef/>
      </w:r>
      <w:r w:rsidRPr="00A30929">
        <w:rPr>
          <w:rFonts w:ascii="Verdana" w:hAnsi="Verdana" w:cs="Arial"/>
          <w:color w:val="000000" w:themeColor="text1"/>
          <w:sz w:val="16"/>
          <w:szCs w:val="16"/>
        </w:rPr>
        <w:t xml:space="preserve"> Consejo </w:t>
      </w:r>
      <w:r>
        <w:rPr>
          <w:rFonts w:ascii="Verdana" w:hAnsi="Verdana" w:cs="Arial"/>
          <w:color w:val="000000" w:themeColor="text1"/>
          <w:sz w:val="16"/>
          <w:szCs w:val="16"/>
        </w:rPr>
        <w:t>d</w:t>
      </w:r>
      <w:r w:rsidRPr="00A30929">
        <w:rPr>
          <w:rFonts w:ascii="Verdana" w:hAnsi="Verdana" w:cs="Arial"/>
          <w:color w:val="000000" w:themeColor="text1"/>
          <w:sz w:val="16"/>
          <w:szCs w:val="16"/>
        </w:rPr>
        <w:t xml:space="preserve">e Estado. Sección Tercera. Subsección C. Sentencia del 13 de abril de 2011. Exp. 37423. C.P. Jaime Orlando Santofimio Gamboa. En similar sentido, puede verse: Consejo </w:t>
      </w:r>
      <w:r>
        <w:rPr>
          <w:rFonts w:ascii="Verdana" w:hAnsi="Verdana" w:cs="Arial"/>
          <w:color w:val="000000" w:themeColor="text1"/>
          <w:sz w:val="16"/>
          <w:szCs w:val="16"/>
        </w:rPr>
        <w:t>d</w:t>
      </w:r>
      <w:r w:rsidRPr="00A30929">
        <w:rPr>
          <w:rFonts w:ascii="Verdana" w:hAnsi="Verdana" w:cs="Arial"/>
          <w:color w:val="000000" w:themeColor="text1"/>
          <w:sz w:val="16"/>
          <w:szCs w:val="16"/>
        </w:rPr>
        <w:t>e Estado. Sección Tercera. Subsección B. Sentencia del 15 de noviembre de 2011. Exp. 21178. C.P. Ruth Stella Correa Palacio.</w:t>
      </w:r>
    </w:p>
  </w:footnote>
  <w:footnote w:id="3">
    <w:p w14:paraId="0083B444" w14:textId="77777777" w:rsidR="00BE429B" w:rsidRPr="005D42C1" w:rsidRDefault="00BE429B" w:rsidP="00A7153D">
      <w:pPr>
        <w:spacing w:after="0" w:line="240" w:lineRule="auto"/>
        <w:ind w:firstLine="709"/>
        <w:jc w:val="both"/>
        <w:rPr>
          <w:rFonts w:ascii="Verdana" w:hAnsi="Verdana" w:cs="Arial"/>
          <w:sz w:val="16"/>
          <w:szCs w:val="16"/>
        </w:rPr>
      </w:pPr>
      <w:r w:rsidRPr="005D42C1">
        <w:rPr>
          <w:rStyle w:val="Refdenotaalpie"/>
          <w:rFonts w:ascii="Verdana" w:hAnsi="Verdana" w:cs="Arial"/>
          <w:sz w:val="16"/>
          <w:szCs w:val="16"/>
        </w:rPr>
        <w:footnoteRef/>
      </w:r>
      <w:r w:rsidRPr="005D42C1">
        <w:rPr>
          <w:rFonts w:ascii="Verdana" w:hAnsi="Verdana" w:cs="Arial"/>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57A743FB" w14:textId="77777777" w:rsidR="00BE429B" w:rsidRPr="005D42C1" w:rsidRDefault="00BE429B" w:rsidP="00A7153D">
      <w:pPr>
        <w:spacing w:after="0" w:line="240" w:lineRule="auto"/>
        <w:ind w:firstLine="709"/>
        <w:jc w:val="both"/>
        <w:rPr>
          <w:rFonts w:ascii="Verdana" w:hAnsi="Verdana" w:cs="Arial"/>
          <w:sz w:val="16"/>
          <w:szCs w:val="16"/>
        </w:rPr>
      </w:pPr>
      <w:r w:rsidRPr="005D42C1">
        <w:rPr>
          <w:rFonts w:ascii="Verdana" w:hAnsi="Verdana"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5D42C1">
        <w:rPr>
          <w:rFonts w:ascii="Verdana" w:hAnsi="Verdana" w:cs="Arial"/>
          <w:spacing w:val="-1"/>
          <w:sz w:val="16"/>
          <w:szCs w:val="16"/>
        </w:rPr>
        <w:t xml:space="preserve"> </w:t>
      </w:r>
      <w:r w:rsidRPr="005D42C1">
        <w:rPr>
          <w:rFonts w:ascii="Verdana" w:hAnsi="Verdana" w:cs="Arial"/>
          <w:sz w:val="16"/>
          <w:szCs w:val="16"/>
        </w:rPr>
        <w:t>Estatales”.</w:t>
      </w:r>
    </w:p>
  </w:footnote>
  <w:footnote w:id="4">
    <w:p w14:paraId="46E7E5A0" w14:textId="77777777" w:rsidR="00BE429B" w:rsidRPr="006366CF" w:rsidRDefault="00BE429B" w:rsidP="00A7153D">
      <w:pPr>
        <w:spacing w:after="0" w:line="240" w:lineRule="auto"/>
        <w:ind w:firstLine="709"/>
        <w:jc w:val="both"/>
        <w:rPr>
          <w:rFonts w:ascii="Verdana" w:hAnsi="Verdana" w:cs="Arial"/>
          <w:sz w:val="16"/>
          <w:szCs w:val="16"/>
        </w:rPr>
      </w:pPr>
      <w:r w:rsidRPr="005D42C1">
        <w:rPr>
          <w:rStyle w:val="Refdenotaalpie"/>
          <w:rFonts w:ascii="Verdana" w:hAnsi="Verdana" w:cs="Arial"/>
          <w:sz w:val="16"/>
          <w:szCs w:val="16"/>
        </w:rPr>
        <w:footnoteRef/>
      </w:r>
      <w:r w:rsidRPr="005D42C1">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5D42C1">
        <w:rPr>
          <w:rFonts w:ascii="Verdana" w:hAnsi="Verdana" w:cs="Arial"/>
          <w:spacing w:val="-6"/>
          <w:sz w:val="16"/>
          <w:szCs w:val="16"/>
        </w:rPr>
        <w:t xml:space="preserve"> </w:t>
      </w:r>
      <w:r w:rsidRPr="005D42C1">
        <w:rPr>
          <w:rFonts w:ascii="Verdana" w:hAnsi="Verdana" w:cs="Arial"/>
          <w:sz w:val="16"/>
          <w:szCs w:val="16"/>
        </w:rPr>
        <w:t>artículo”.</w:t>
      </w:r>
    </w:p>
  </w:footnote>
  <w:footnote w:id="5">
    <w:p w14:paraId="49611094" w14:textId="77777777" w:rsidR="00BE429B" w:rsidRPr="006366CF" w:rsidRDefault="00BE429B" w:rsidP="00A7153D">
      <w:pPr>
        <w:pStyle w:val="Textonotapie"/>
        <w:ind w:firstLine="708"/>
        <w:rPr>
          <w:rFonts w:ascii="Verdana" w:hAnsi="Verdana"/>
          <w:sz w:val="16"/>
          <w:szCs w:val="16"/>
        </w:rPr>
      </w:pPr>
      <w:r w:rsidRPr="006366CF">
        <w:rPr>
          <w:rStyle w:val="Refdenotaalpie"/>
          <w:rFonts w:ascii="Verdana" w:hAnsi="Verdana"/>
          <w:sz w:val="16"/>
          <w:szCs w:val="16"/>
        </w:rPr>
        <w:footnoteRef/>
      </w:r>
      <w:r w:rsidRPr="006366CF">
        <w:rPr>
          <w:rFonts w:ascii="Verdana" w:hAnsi="Verdana"/>
          <w:sz w:val="16"/>
          <w:szCs w:val="16"/>
          <w:lang w:val="pt-BR"/>
        </w:rPr>
        <w:t xml:space="preserve"> Corte Constitucional. Sentencia C-671 de 2005. </w:t>
      </w:r>
      <w:r w:rsidRPr="006366CF">
        <w:rPr>
          <w:rFonts w:ascii="Verdana" w:hAnsi="Verdana"/>
          <w:sz w:val="16"/>
          <w:szCs w:val="16"/>
        </w:rPr>
        <w:t xml:space="preserve">M.P. Álvaro Tafur Galvis. </w:t>
      </w:r>
    </w:p>
  </w:footnote>
  <w:footnote w:id="6">
    <w:p w14:paraId="2BC5D55C" w14:textId="77777777" w:rsidR="00BE429B" w:rsidRPr="006366CF" w:rsidRDefault="00BE429B" w:rsidP="00A7153D">
      <w:pPr>
        <w:pStyle w:val="Textonotapie"/>
        <w:ind w:firstLine="708"/>
        <w:jc w:val="both"/>
        <w:rPr>
          <w:rFonts w:ascii="Verdana" w:hAnsi="Verdana"/>
          <w:sz w:val="16"/>
          <w:szCs w:val="16"/>
          <w:lang w:val="es-CO"/>
        </w:rPr>
      </w:pPr>
      <w:r w:rsidRPr="006366CF">
        <w:rPr>
          <w:rStyle w:val="Refdenotaalpie"/>
          <w:rFonts w:ascii="Verdana" w:hAnsi="Verdana"/>
          <w:sz w:val="16"/>
          <w:szCs w:val="16"/>
        </w:rPr>
        <w:footnoteRef/>
      </w:r>
      <w:r w:rsidRPr="006366CF">
        <w:rPr>
          <w:rFonts w:ascii="Verdana" w:hAnsi="Verdana"/>
          <w:sz w:val="16"/>
          <w:szCs w:val="16"/>
        </w:rPr>
        <w:t xml:space="preserve"> </w:t>
      </w:r>
      <w:r w:rsidRPr="006366CF">
        <w:rPr>
          <w:rFonts w:ascii="Verdana" w:hAnsi="Verdana"/>
          <w:sz w:val="16"/>
          <w:szCs w:val="16"/>
          <w:lang w:val="es-CO"/>
        </w:rPr>
        <w:t xml:space="preserve">Consejo </w:t>
      </w:r>
      <w:r>
        <w:rPr>
          <w:rFonts w:ascii="Verdana" w:hAnsi="Verdana"/>
          <w:sz w:val="16"/>
          <w:szCs w:val="16"/>
          <w:lang w:val="es-CO"/>
        </w:rPr>
        <w:t>d</w:t>
      </w:r>
      <w:r w:rsidRPr="006366CF">
        <w:rPr>
          <w:rFonts w:ascii="Verdana" w:hAnsi="Verdana"/>
          <w:sz w:val="16"/>
          <w:szCs w:val="16"/>
          <w:lang w:val="es-CO"/>
        </w:rPr>
        <w:t xml:space="preserve">e Estado, Sala de Consulta y Servicio Civil. Concepto no. 2257 del 26 de julio de 2016, C.P. Álvaro Namén Vargas; CONSEJO DE ESTADO, Sección Tercera, Subsección A. Sentencia del 23 de junio de 2010. C.P. Mauricio Fajardo Gómez. Exp 17860; Sección Tercera. Auto del 4 de octubre de 2024. C.P. Fredy Ibarra Martínez. Exp </w:t>
      </w:r>
      <w:r w:rsidRPr="006366CF">
        <w:rPr>
          <w:rFonts w:ascii="Verdana" w:hAnsi="Verdana"/>
          <w:bCs/>
          <w:sz w:val="16"/>
          <w:szCs w:val="16"/>
        </w:rPr>
        <w:t xml:space="preserve">70313. </w:t>
      </w:r>
    </w:p>
  </w:footnote>
  <w:footnote w:id="7">
    <w:p w14:paraId="5F96EADC" w14:textId="77777777" w:rsidR="00BE429B" w:rsidRPr="006366CF" w:rsidRDefault="00BE429B" w:rsidP="00A7153D">
      <w:pPr>
        <w:pStyle w:val="Textonotapie"/>
        <w:ind w:firstLine="708"/>
        <w:jc w:val="both"/>
        <w:rPr>
          <w:rFonts w:ascii="Verdana" w:hAnsi="Verdana"/>
          <w:sz w:val="16"/>
          <w:szCs w:val="16"/>
          <w:lang w:val="es-CO"/>
        </w:rPr>
      </w:pPr>
      <w:r w:rsidRPr="006366CF">
        <w:rPr>
          <w:rStyle w:val="Refdenotaalpie"/>
          <w:rFonts w:ascii="Verdana" w:hAnsi="Verdana"/>
          <w:sz w:val="16"/>
          <w:szCs w:val="16"/>
        </w:rPr>
        <w:footnoteRef/>
      </w:r>
      <w:r w:rsidRPr="006366CF">
        <w:rPr>
          <w:rFonts w:ascii="Verdana" w:hAnsi="Verdana"/>
          <w:sz w:val="16"/>
          <w:szCs w:val="16"/>
        </w:rPr>
        <w:t xml:space="preserve"> SANTOS RODRÍGUEZ, Jorge Enrique. Consideraciones sobre los contratos y convenios interadministrativos. En: Revista Digital de Derecho Administrativo, 2008. p.p. 10-11. De igual forma, Augusto Ramón Chavéz Marín expresa: “</w:t>
      </w:r>
      <w:r w:rsidRPr="006366CF">
        <w:rPr>
          <w:rFonts w:ascii="Verdana" w:hAnsi="Verdana"/>
          <w:sz w:val="16"/>
          <w:szCs w:val="16"/>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footnote>
  <w:footnote w:id="8">
    <w:p w14:paraId="3BBCDBDB" w14:textId="77777777" w:rsidR="00BE429B" w:rsidRPr="006366CF" w:rsidRDefault="00BE429B" w:rsidP="00A7153D">
      <w:pPr>
        <w:pStyle w:val="Textonotapie"/>
        <w:ind w:firstLine="708"/>
        <w:jc w:val="both"/>
        <w:rPr>
          <w:rFonts w:ascii="Verdana" w:hAnsi="Verdana"/>
          <w:sz w:val="16"/>
          <w:szCs w:val="16"/>
          <w:lang w:val="es-ES"/>
        </w:rPr>
      </w:pPr>
      <w:r w:rsidRPr="006366CF">
        <w:rPr>
          <w:rStyle w:val="Refdenotaalpie"/>
          <w:rFonts w:ascii="Verdana" w:hAnsi="Verdana"/>
          <w:sz w:val="16"/>
          <w:szCs w:val="16"/>
        </w:rPr>
        <w:footnoteRef/>
      </w:r>
      <w:r w:rsidRPr="006366CF">
        <w:rPr>
          <w:rFonts w:ascii="Verdana" w:hAnsi="Verdana"/>
          <w:sz w:val="16"/>
          <w:szCs w:val="16"/>
        </w:rPr>
        <w:t xml:space="preserve"> Consejo </w:t>
      </w:r>
      <w:r>
        <w:rPr>
          <w:rFonts w:ascii="Verdana" w:hAnsi="Verdana"/>
          <w:sz w:val="16"/>
          <w:szCs w:val="16"/>
        </w:rPr>
        <w:t>d</w:t>
      </w:r>
      <w:r w:rsidRPr="006366CF">
        <w:rPr>
          <w:rFonts w:ascii="Verdana" w:hAnsi="Verdana"/>
          <w:sz w:val="16"/>
          <w:szCs w:val="16"/>
        </w:rPr>
        <w:t>e Estado. Sección Tercera, Subsección A. Sentencia del 25 de mayo de 2025. C.P. María Adriana Marín Hernández. Exp. 70.504; CONSEJO DE ESTADO. Sección Tercera, Subsección A. Sentencia del 16 de agosto de 2022, C.P.: María Adriana Marín. Exp. 60434.</w:t>
      </w:r>
    </w:p>
  </w:footnote>
  <w:footnote w:id="9">
    <w:p w14:paraId="574B238B" w14:textId="77777777" w:rsidR="00BE429B" w:rsidRPr="00AD7D5F" w:rsidRDefault="00BE429B" w:rsidP="00A7153D">
      <w:pPr>
        <w:pStyle w:val="Textonotapie"/>
        <w:ind w:firstLine="708"/>
        <w:jc w:val="both"/>
        <w:rPr>
          <w:rFonts w:ascii="Verdana" w:hAnsi="Verdana"/>
          <w:sz w:val="16"/>
          <w:szCs w:val="16"/>
          <w:lang w:val="es-CO"/>
        </w:rPr>
      </w:pPr>
      <w:r w:rsidRPr="00AD7D5F">
        <w:rPr>
          <w:rStyle w:val="Refdenotaalpie"/>
          <w:rFonts w:ascii="Verdana" w:hAnsi="Verdana"/>
          <w:sz w:val="16"/>
          <w:szCs w:val="16"/>
        </w:rPr>
        <w:footnoteRef/>
      </w:r>
      <w:r w:rsidRPr="00AD7D5F">
        <w:rPr>
          <w:rFonts w:ascii="Verdana" w:hAnsi="Verdana"/>
          <w:sz w:val="16"/>
          <w:szCs w:val="16"/>
        </w:rPr>
        <w:t xml:space="preserve"> </w:t>
      </w:r>
      <w:r w:rsidRPr="00AD7D5F">
        <w:rPr>
          <w:rFonts w:ascii="Verdana" w:hAnsi="Verdana"/>
          <w:sz w:val="16"/>
          <w:szCs w:val="16"/>
          <w:lang w:val="es-CO"/>
        </w:rPr>
        <w:t xml:space="preserve">Consejo </w:t>
      </w:r>
      <w:r>
        <w:rPr>
          <w:rFonts w:ascii="Verdana" w:hAnsi="Verdana"/>
          <w:sz w:val="16"/>
          <w:szCs w:val="16"/>
          <w:lang w:val="es-CO"/>
        </w:rPr>
        <w:t>d</w:t>
      </w:r>
      <w:r w:rsidRPr="00AD7D5F">
        <w:rPr>
          <w:rFonts w:ascii="Verdana" w:hAnsi="Verdana"/>
          <w:sz w:val="16"/>
          <w:szCs w:val="16"/>
          <w:lang w:val="es-CO"/>
        </w:rPr>
        <w:t xml:space="preserve">e Estado. Sección Tercera, Subsección A. Sentencia del 14 de junio de 2019, C.P.: Marta Nubia Velásquez Rico. Rad.: 25000-23-37-000-2010-02552-01 (AP); Consejo </w:t>
      </w:r>
      <w:r>
        <w:rPr>
          <w:rFonts w:ascii="Verdana" w:hAnsi="Verdana"/>
          <w:sz w:val="16"/>
          <w:szCs w:val="16"/>
          <w:lang w:val="es-CO"/>
        </w:rPr>
        <w:t>d</w:t>
      </w:r>
      <w:r w:rsidRPr="00AD7D5F">
        <w:rPr>
          <w:rFonts w:ascii="Verdana" w:hAnsi="Verdana"/>
          <w:sz w:val="16"/>
          <w:szCs w:val="16"/>
          <w:lang w:val="es-CO"/>
        </w:rPr>
        <w:t>e Estado. Sección Tercera, Subsección A. Sentencia del 25 de mayo de 2025. C.P. María Adriana Marín Hernández. Exp. 70.504.</w:t>
      </w:r>
    </w:p>
  </w:footnote>
  <w:footnote w:id="10">
    <w:p w14:paraId="4C6B81C0" w14:textId="77777777" w:rsidR="00BE429B" w:rsidRPr="00BC61F4" w:rsidRDefault="00BE429B" w:rsidP="00A7153D">
      <w:pPr>
        <w:pStyle w:val="Textonotapie"/>
        <w:ind w:firstLine="708"/>
        <w:jc w:val="both"/>
        <w:rPr>
          <w:rFonts w:ascii="Verdana" w:hAnsi="Verdana"/>
          <w:sz w:val="16"/>
          <w:szCs w:val="16"/>
          <w:lang w:val="es-CO"/>
        </w:rPr>
      </w:pPr>
      <w:r w:rsidRPr="00BC61F4">
        <w:rPr>
          <w:rStyle w:val="Refdenotaalpie"/>
          <w:rFonts w:ascii="Verdana" w:hAnsi="Verdana"/>
          <w:sz w:val="16"/>
          <w:szCs w:val="16"/>
        </w:rPr>
        <w:footnoteRef/>
      </w:r>
      <w:r w:rsidRPr="00BC61F4">
        <w:rPr>
          <w:rFonts w:ascii="Verdana" w:hAnsi="Verdana"/>
          <w:sz w:val="16"/>
          <w:szCs w:val="16"/>
        </w:rPr>
        <w:t xml:space="preserve"> </w:t>
      </w:r>
      <w:r w:rsidRPr="00BC61F4">
        <w:rPr>
          <w:rFonts w:ascii="Verdana" w:hAnsi="Verdana"/>
          <w:bCs/>
          <w:sz w:val="16"/>
          <w:szCs w:val="16"/>
          <w:lang w:val="es-CO"/>
        </w:rPr>
        <w:t>Artículo 3°. Instrumentos de la intervención estatal.</w:t>
      </w:r>
      <w:r w:rsidRPr="00BC61F4">
        <w:rPr>
          <w:rFonts w:ascii="Verdana" w:hAnsi="Verdana"/>
          <w:sz w:val="16"/>
          <w:szCs w:val="16"/>
          <w:lang w:val="es-CO"/>
        </w:rPr>
        <w:t> Constituyen instrumentos para la intervención estatal en los servicios públicos todas las atribuciones y funciones asignadas a las entidades, autoridades y organismos de que trata esta Ley, especialmente las relativas a las siguientes materias: </w:t>
      </w:r>
    </w:p>
    <w:p w14:paraId="535D6E6D" w14:textId="77777777" w:rsidR="00BE429B" w:rsidRPr="00BC61F4" w:rsidRDefault="00BE429B" w:rsidP="00A7153D">
      <w:pPr>
        <w:pStyle w:val="Textonotapie"/>
        <w:ind w:firstLine="708"/>
        <w:jc w:val="both"/>
        <w:rPr>
          <w:rFonts w:ascii="Verdana" w:hAnsi="Verdana"/>
          <w:sz w:val="16"/>
          <w:szCs w:val="16"/>
          <w:lang w:val="es-CO"/>
        </w:rPr>
      </w:pPr>
      <w:r w:rsidRPr="00BC61F4">
        <w:rPr>
          <w:rFonts w:ascii="Verdana" w:hAnsi="Verdana"/>
          <w:sz w:val="16"/>
          <w:szCs w:val="16"/>
          <w:lang w:val="es-CO"/>
        </w:rPr>
        <w:t>3.1. Promoción y apoyo a personas que presten los servicios públicos. </w:t>
      </w:r>
    </w:p>
    <w:p w14:paraId="426236F8" w14:textId="77777777" w:rsidR="00BE429B" w:rsidRPr="00BC61F4" w:rsidRDefault="00BE429B" w:rsidP="00A7153D">
      <w:pPr>
        <w:pStyle w:val="Textonotapie"/>
        <w:ind w:firstLine="708"/>
        <w:jc w:val="both"/>
        <w:rPr>
          <w:rFonts w:ascii="Verdana" w:hAnsi="Verdana"/>
          <w:sz w:val="16"/>
          <w:szCs w:val="16"/>
          <w:lang w:val="es-CO"/>
        </w:rPr>
      </w:pPr>
      <w:r w:rsidRPr="00BC61F4">
        <w:rPr>
          <w:rFonts w:ascii="Verdana" w:hAnsi="Verdana"/>
          <w:sz w:val="16"/>
          <w:szCs w:val="16"/>
          <w:lang w:val="es-CO"/>
        </w:rPr>
        <w:t>3.2. Gestión y obtención de recursos para la prestación de servicios. </w:t>
      </w:r>
    </w:p>
    <w:p w14:paraId="4CE3AD19" w14:textId="77777777" w:rsidR="00BE429B" w:rsidRPr="00BC61F4" w:rsidRDefault="00BE429B" w:rsidP="00A7153D">
      <w:pPr>
        <w:pStyle w:val="Textonotapie"/>
        <w:ind w:firstLine="708"/>
        <w:jc w:val="both"/>
        <w:rPr>
          <w:rFonts w:ascii="Verdana" w:hAnsi="Verdana"/>
          <w:sz w:val="16"/>
          <w:szCs w:val="16"/>
          <w:lang w:val="es-CO"/>
        </w:rPr>
      </w:pPr>
      <w:r w:rsidRPr="00BC61F4">
        <w:rPr>
          <w:rFonts w:ascii="Verdana" w:hAnsi="Verdana"/>
          <w:sz w:val="16"/>
          <w:szCs w:val="16"/>
          <w:lang w:val="es-CO"/>
        </w:rPr>
        <w:t>3.3. Regulación de la prestación de los servicios públicos teniendo en cuenta las características de cada región; fijación de metas de eficiencia, cobertura y calidad, evaluación de las mismas, y definición del régimen tarifario. </w:t>
      </w:r>
    </w:p>
    <w:p w14:paraId="55746C3A" w14:textId="77777777" w:rsidR="00BE429B" w:rsidRPr="00BC61F4" w:rsidRDefault="00BE429B" w:rsidP="00A7153D">
      <w:pPr>
        <w:pStyle w:val="Textonotapie"/>
        <w:jc w:val="both"/>
        <w:rPr>
          <w:rFonts w:ascii="Verdana" w:hAnsi="Verdana"/>
          <w:sz w:val="16"/>
          <w:szCs w:val="16"/>
          <w:lang w:val="es-CO"/>
        </w:rPr>
      </w:pPr>
      <w:r w:rsidRPr="00BC61F4">
        <w:rPr>
          <w:rFonts w:ascii="Verdana" w:hAnsi="Verdana"/>
          <w:sz w:val="16"/>
          <w:szCs w:val="16"/>
          <w:lang w:val="es-CO"/>
        </w:rPr>
        <w:t> </w:t>
      </w:r>
      <w:r w:rsidRPr="00BC61F4">
        <w:rPr>
          <w:rFonts w:ascii="Verdana" w:hAnsi="Verdana"/>
          <w:sz w:val="16"/>
          <w:szCs w:val="16"/>
          <w:lang w:val="es-CO"/>
        </w:rPr>
        <w:tab/>
        <w:t>3.4. Control y vigilancia de la observancia de las normas y de los planes y programas sobre la materia. </w:t>
      </w:r>
    </w:p>
    <w:p w14:paraId="6E68C63C" w14:textId="77777777" w:rsidR="00BE429B" w:rsidRPr="00BC61F4" w:rsidRDefault="00BE429B" w:rsidP="00A7153D">
      <w:pPr>
        <w:pStyle w:val="Textonotapie"/>
        <w:ind w:firstLine="708"/>
        <w:jc w:val="both"/>
        <w:rPr>
          <w:rFonts w:ascii="Verdana" w:hAnsi="Verdana"/>
          <w:sz w:val="16"/>
          <w:szCs w:val="16"/>
          <w:lang w:val="es-CO"/>
        </w:rPr>
      </w:pPr>
      <w:r w:rsidRPr="00BC61F4">
        <w:rPr>
          <w:rFonts w:ascii="Verdana" w:hAnsi="Verdana"/>
          <w:sz w:val="16"/>
          <w:szCs w:val="16"/>
          <w:lang w:val="es-CO"/>
        </w:rPr>
        <w:t>3.5. Organización de sistemas de información, capacitación y asistencia técnica. </w:t>
      </w:r>
    </w:p>
    <w:p w14:paraId="4489CB7B" w14:textId="77777777" w:rsidR="00BE429B" w:rsidRPr="00BC61F4" w:rsidRDefault="00BE429B" w:rsidP="00A7153D">
      <w:pPr>
        <w:pStyle w:val="Textonotapie"/>
        <w:ind w:firstLine="708"/>
        <w:jc w:val="both"/>
        <w:rPr>
          <w:rFonts w:ascii="Verdana" w:hAnsi="Verdana"/>
          <w:sz w:val="16"/>
          <w:szCs w:val="16"/>
          <w:lang w:val="es-CO"/>
        </w:rPr>
      </w:pPr>
      <w:r w:rsidRPr="00BC61F4">
        <w:rPr>
          <w:rFonts w:ascii="Verdana" w:hAnsi="Verdana"/>
          <w:sz w:val="16"/>
          <w:szCs w:val="16"/>
          <w:lang w:val="es-CO"/>
        </w:rPr>
        <w:t>3.6. Protección de los recursos naturales. </w:t>
      </w:r>
    </w:p>
    <w:p w14:paraId="755005DF" w14:textId="77777777" w:rsidR="00BE429B" w:rsidRPr="00BC61F4" w:rsidRDefault="00BE429B" w:rsidP="00A7153D">
      <w:pPr>
        <w:pStyle w:val="Textonotapie"/>
        <w:ind w:firstLine="708"/>
        <w:jc w:val="both"/>
        <w:rPr>
          <w:rFonts w:ascii="Verdana" w:hAnsi="Verdana"/>
          <w:sz w:val="16"/>
          <w:szCs w:val="16"/>
          <w:lang w:val="es-CO"/>
        </w:rPr>
      </w:pPr>
      <w:r w:rsidRPr="00BC61F4">
        <w:rPr>
          <w:rFonts w:ascii="Verdana" w:hAnsi="Verdana"/>
          <w:sz w:val="16"/>
          <w:szCs w:val="16"/>
          <w:lang w:val="es-CO"/>
        </w:rPr>
        <w:t>3.7. Otorgamiento de subsidios a las personas de menores ingresos. </w:t>
      </w:r>
    </w:p>
    <w:p w14:paraId="19FE3433" w14:textId="77777777" w:rsidR="00BE429B" w:rsidRPr="00BC61F4" w:rsidRDefault="00BE429B" w:rsidP="00A7153D">
      <w:pPr>
        <w:pStyle w:val="Textonotapie"/>
        <w:ind w:firstLine="708"/>
        <w:jc w:val="both"/>
        <w:rPr>
          <w:rFonts w:ascii="Verdana" w:hAnsi="Verdana"/>
          <w:sz w:val="16"/>
          <w:szCs w:val="16"/>
          <w:lang w:val="es-CO"/>
        </w:rPr>
      </w:pPr>
      <w:r w:rsidRPr="00BC61F4">
        <w:rPr>
          <w:rFonts w:ascii="Verdana" w:hAnsi="Verdana"/>
          <w:sz w:val="16"/>
          <w:szCs w:val="16"/>
          <w:lang w:val="es-CO"/>
        </w:rPr>
        <w:t>3.8. Estímulo a la inversión de los particulares en los servicios públicos. </w:t>
      </w:r>
    </w:p>
    <w:p w14:paraId="4825497D" w14:textId="77777777" w:rsidR="00BE429B" w:rsidRPr="00BC61F4" w:rsidRDefault="00BE429B" w:rsidP="00A7153D">
      <w:pPr>
        <w:pStyle w:val="Textonotapie"/>
        <w:ind w:firstLine="708"/>
        <w:jc w:val="both"/>
        <w:rPr>
          <w:rFonts w:ascii="Verdana" w:hAnsi="Verdana"/>
          <w:sz w:val="16"/>
          <w:szCs w:val="16"/>
          <w:lang w:val="es-CO"/>
        </w:rPr>
      </w:pPr>
      <w:r w:rsidRPr="00BC61F4">
        <w:rPr>
          <w:rFonts w:ascii="Verdana" w:hAnsi="Verdana"/>
          <w:sz w:val="16"/>
          <w:szCs w:val="16"/>
          <w:lang w:val="es-CO"/>
        </w:rPr>
        <w:t>3.9. Respeto del principio de neutralidad, a fin de asegurar que no exista ninguna práctica discriminatoria en la prestación de los servicios. </w:t>
      </w:r>
    </w:p>
    <w:p w14:paraId="59812CC1" w14:textId="77777777" w:rsidR="00BE429B" w:rsidRPr="00BC61F4" w:rsidRDefault="00BE429B" w:rsidP="00A7153D">
      <w:pPr>
        <w:pStyle w:val="Textonotapie"/>
        <w:ind w:firstLine="708"/>
        <w:jc w:val="both"/>
        <w:rPr>
          <w:rFonts w:ascii="Verdana" w:hAnsi="Verdana"/>
          <w:sz w:val="16"/>
          <w:szCs w:val="16"/>
          <w:lang w:val="es-CO"/>
        </w:rPr>
      </w:pPr>
      <w:r w:rsidRPr="00BC61F4">
        <w:rPr>
          <w:rFonts w:ascii="Verdana" w:hAnsi="Verdana"/>
          <w:sz w:val="16"/>
          <w:szCs w:val="16"/>
          <w:lang w:val="es-CO"/>
        </w:rPr>
        <w:t>Todas las decisiones de las autoridades en materia de servicios públicos deben fundarse en los motivos que determina esta Ley; y los motivos que invoquen deben ser comprobables. </w:t>
      </w:r>
    </w:p>
    <w:p w14:paraId="4B9EDAFA" w14:textId="77777777" w:rsidR="00BE429B" w:rsidRPr="008A3E33" w:rsidRDefault="00BE429B" w:rsidP="00A7153D">
      <w:pPr>
        <w:pStyle w:val="Textonotapie"/>
        <w:ind w:firstLine="708"/>
        <w:jc w:val="both"/>
        <w:rPr>
          <w:rFonts w:ascii="Verdana" w:hAnsi="Verdana"/>
          <w:sz w:val="16"/>
          <w:szCs w:val="16"/>
          <w:lang w:val="es-CO"/>
        </w:rPr>
      </w:pPr>
      <w:r w:rsidRPr="00BC61F4">
        <w:rPr>
          <w:rFonts w:ascii="Verdana" w:hAnsi="Verdana"/>
          <w:sz w:val="16"/>
          <w:szCs w:val="16"/>
          <w:lang w:val="es-CO"/>
        </w:rPr>
        <w:t>Todos los prestadores quedarán sujetos, en lo que no sea incompatible con la Constitución o con la ley, a todo lo que esta Ley dispone para las empresas y sus administradores y, en especial, a las regulaciones</w:t>
      </w:r>
      <w:r w:rsidRPr="008A3E33">
        <w:rPr>
          <w:rFonts w:ascii="Verdana" w:hAnsi="Verdana"/>
          <w:sz w:val="16"/>
          <w:szCs w:val="16"/>
          <w:lang w:val="es-CO"/>
        </w:rPr>
        <w:t xml:space="preserve"> de las Comisiones, al control, inspección y vigilancia de la Superintendencia de Servicios Públicos, y a las contribuciones para aquéllas y ésta. </w:t>
      </w:r>
    </w:p>
    <w:p w14:paraId="2843941F" w14:textId="77777777" w:rsidR="00BE429B" w:rsidRPr="00C45436" w:rsidRDefault="00BE429B" w:rsidP="00A7153D">
      <w:pPr>
        <w:pStyle w:val="Textonotapie"/>
        <w:rPr>
          <w:rFonts w:ascii="Verdana" w:hAnsi="Verdana"/>
          <w:sz w:val="16"/>
          <w:szCs w:val="16"/>
          <w:lang w:val="es-ES"/>
        </w:rPr>
      </w:pPr>
    </w:p>
  </w:footnote>
  <w:footnote w:id="11">
    <w:p w14:paraId="382FBC89" w14:textId="77777777" w:rsidR="00BE429B" w:rsidRPr="00C45436" w:rsidRDefault="00BE429B" w:rsidP="00A7153D">
      <w:pPr>
        <w:spacing w:after="0" w:line="240" w:lineRule="auto"/>
        <w:ind w:firstLine="709"/>
        <w:jc w:val="both"/>
        <w:rPr>
          <w:rFonts w:ascii="Verdana" w:eastAsia="Times New Roman" w:hAnsi="Verdana" w:cs="Arial"/>
          <w:sz w:val="16"/>
          <w:szCs w:val="16"/>
        </w:rPr>
      </w:pPr>
      <w:r w:rsidRPr="00C45436">
        <w:rPr>
          <w:rStyle w:val="Refdenotaalpie"/>
          <w:rFonts w:ascii="Verdana" w:hAnsi="Verdana" w:cs="Arial"/>
          <w:sz w:val="16"/>
          <w:szCs w:val="16"/>
        </w:rPr>
        <w:footnoteRef/>
      </w:r>
      <w:r w:rsidRPr="00C45436">
        <w:rPr>
          <w:rFonts w:ascii="Verdana" w:hAnsi="Verdana" w:cs="Arial"/>
          <w:sz w:val="16"/>
          <w:szCs w:val="16"/>
        </w:rPr>
        <w:t xml:space="preserve"> </w:t>
      </w:r>
      <w:bookmarkStart w:id="2" w:name="33"/>
      <w:r w:rsidRPr="00C45436">
        <w:rPr>
          <w:rFonts w:ascii="Verdana" w:eastAsia="Calibri" w:hAnsi="Verdana" w:cs="Arial"/>
          <w:color w:val="000000"/>
          <w:sz w:val="16"/>
          <w:szCs w:val="16"/>
        </w:rPr>
        <w:t>“</w:t>
      </w:r>
      <w:r w:rsidRPr="00C45436">
        <w:rPr>
          <w:rFonts w:ascii="Verdana" w:eastAsia="Times New Roman" w:hAnsi="Verdana" w:cs="Arial"/>
          <w:sz w:val="16"/>
          <w:szCs w:val="16"/>
        </w:rPr>
        <w:t>Artículo 33. Restricciones a la contratación pública.</w:t>
      </w:r>
      <w:bookmarkEnd w:id="2"/>
      <w:r w:rsidRPr="00C45436">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1A60B0FC" w14:textId="77777777" w:rsidR="00BE429B" w:rsidRPr="00C45436" w:rsidRDefault="00BE429B" w:rsidP="00A7153D">
      <w:pPr>
        <w:spacing w:after="0" w:line="240" w:lineRule="auto"/>
        <w:ind w:firstLine="709"/>
        <w:jc w:val="both"/>
        <w:rPr>
          <w:rFonts w:ascii="Verdana" w:eastAsia="Times New Roman" w:hAnsi="Verdana" w:cs="Arial"/>
          <w:sz w:val="16"/>
          <w:szCs w:val="16"/>
        </w:rPr>
      </w:pPr>
      <w:r w:rsidRPr="00C45436">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45436">
        <w:rPr>
          <w:rFonts w:ascii="Verdana" w:eastAsia="Calibri" w:hAnsi="Verdana" w:cs="Arial"/>
          <w:color w:val="000000"/>
          <w:sz w:val="16"/>
          <w:szCs w:val="16"/>
        </w:rPr>
        <w:t>”</w:t>
      </w:r>
      <w:r w:rsidRPr="00C45436">
        <w:rPr>
          <w:rFonts w:ascii="Verdana" w:eastAsia="Times New Roman" w:hAnsi="Verdana" w:cs="Arial"/>
          <w:sz w:val="16"/>
          <w:szCs w:val="16"/>
        </w:rPr>
        <w:t>.</w:t>
      </w:r>
    </w:p>
  </w:footnote>
  <w:footnote w:id="12">
    <w:p w14:paraId="0A726587" w14:textId="77777777" w:rsidR="00BE429B" w:rsidRPr="00C45436" w:rsidRDefault="00BE429B" w:rsidP="00A7153D">
      <w:pPr>
        <w:pStyle w:val="NormalWeb"/>
        <w:spacing w:before="0" w:beforeAutospacing="0" w:after="0" w:afterAutospacing="0"/>
        <w:ind w:firstLine="709"/>
        <w:jc w:val="both"/>
        <w:rPr>
          <w:rFonts w:ascii="Verdana" w:hAnsi="Verdana" w:cs="Arial"/>
          <w:sz w:val="16"/>
          <w:szCs w:val="16"/>
          <w:lang w:val="es-MX"/>
        </w:rPr>
      </w:pPr>
      <w:r w:rsidRPr="00C45436">
        <w:rPr>
          <w:rStyle w:val="Refdenotaalpie"/>
          <w:rFonts w:ascii="Verdana" w:hAnsi="Verdana" w:cs="Arial"/>
          <w:sz w:val="16"/>
          <w:szCs w:val="16"/>
        </w:rPr>
        <w:footnoteRef/>
      </w:r>
      <w:r w:rsidRPr="00C45436">
        <w:rPr>
          <w:rFonts w:ascii="Verdana" w:hAnsi="Verdana" w:cs="Arial"/>
          <w:sz w:val="16"/>
          <w:szCs w:val="16"/>
        </w:rPr>
        <w:t xml:space="preserve"> </w:t>
      </w:r>
      <w:bookmarkStart w:id="3" w:name="38"/>
      <w:r w:rsidRPr="00C45436">
        <w:rPr>
          <w:rFonts w:ascii="Verdana" w:eastAsia="Calibri" w:hAnsi="Verdana" w:cs="Arial"/>
          <w:color w:val="000000"/>
          <w:sz w:val="16"/>
          <w:szCs w:val="16"/>
        </w:rPr>
        <w:t>“</w:t>
      </w:r>
      <w:r w:rsidRPr="00C45436">
        <w:rPr>
          <w:rFonts w:ascii="Verdana" w:hAnsi="Verdana" w:cs="Arial"/>
          <w:sz w:val="16"/>
          <w:szCs w:val="16"/>
          <w:lang w:val="es-MX"/>
        </w:rPr>
        <w:t>Artículo 38. Prohibiciones para los servidores públicos. A los empleados del Estado les está prohibido:</w:t>
      </w:r>
      <w:bookmarkEnd w:id="3"/>
      <w:r w:rsidRPr="00C45436">
        <w:rPr>
          <w:rFonts w:ascii="Verdana" w:hAnsi="Verdana" w:cs="Arial"/>
          <w:sz w:val="16"/>
          <w:szCs w:val="16"/>
          <w:lang w:val="es-MX"/>
        </w:rPr>
        <w:t xml:space="preserve"> […] </w:t>
      </w:r>
      <w:r w:rsidRPr="00C45436">
        <w:rPr>
          <w:rStyle w:val="baj"/>
          <w:rFonts w:ascii="Verdana" w:hAnsi="Verdana" w:cs="Arial"/>
          <w:sz w:val="16"/>
          <w:szCs w:val="16"/>
          <w:lang w:val="es-MX"/>
        </w:rPr>
        <w:t>Parágrafo.</w:t>
      </w:r>
      <w:r w:rsidRPr="00C45436">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45436">
        <w:rPr>
          <w:rFonts w:ascii="Verdana" w:eastAsia="Calibri" w:hAnsi="Verdana" w:cs="Arial"/>
          <w:color w:val="000000"/>
          <w:sz w:val="16"/>
          <w:szCs w:val="16"/>
        </w:rPr>
        <w:t>”</w:t>
      </w:r>
      <w:r w:rsidRPr="00C45436">
        <w:rPr>
          <w:rFonts w:ascii="Verdana" w:hAnsi="Verdana" w:cs="Arial"/>
          <w:sz w:val="16"/>
          <w:szCs w:val="16"/>
          <w:lang w:val="es-MX"/>
        </w:rPr>
        <w:t>.</w:t>
      </w:r>
    </w:p>
  </w:footnote>
  <w:footnote w:id="13">
    <w:p w14:paraId="61ADA570" w14:textId="77777777" w:rsidR="00BE429B" w:rsidRPr="00C45436" w:rsidRDefault="00BE429B" w:rsidP="00A7153D">
      <w:pPr>
        <w:pStyle w:val="Textonotapie"/>
        <w:ind w:firstLine="708"/>
        <w:jc w:val="both"/>
        <w:rPr>
          <w:rFonts w:ascii="Verdana" w:hAnsi="Verdana" w:cs="Arial"/>
          <w:sz w:val="16"/>
          <w:szCs w:val="16"/>
        </w:rPr>
      </w:pPr>
      <w:r w:rsidRPr="00C45436">
        <w:rPr>
          <w:rStyle w:val="Refdenotaalpie"/>
          <w:rFonts w:ascii="Verdana" w:hAnsi="Verdana" w:cs="Arial"/>
          <w:sz w:val="16"/>
          <w:szCs w:val="16"/>
        </w:rPr>
        <w:footnoteRef/>
      </w:r>
      <w:r w:rsidRPr="00C45436">
        <w:rPr>
          <w:rFonts w:ascii="Verdana" w:hAnsi="Verdana" w:cs="Arial"/>
          <w:sz w:val="16"/>
          <w:szCs w:val="16"/>
        </w:rPr>
        <w:t xml:space="preserve"> Colombia Compra Eficiente. Circular Externa Única. Numeral 16.5. </w:t>
      </w:r>
    </w:p>
  </w:footnote>
  <w:footnote w:id="14">
    <w:p w14:paraId="5DB098C5" w14:textId="77777777" w:rsidR="00BE429B" w:rsidRPr="00C45436" w:rsidRDefault="00BE429B" w:rsidP="00A7153D">
      <w:pPr>
        <w:spacing w:after="0" w:line="240" w:lineRule="auto"/>
        <w:ind w:left="100" w:right="244" w:firstLine="608"/>
        <w:jc w:val="both"/>
        <w:rPr>
          <w:rFonts w:ascii="Verdana" w:hAnsi="Verdana" w:cs="Arial"/>
          <w:sz w:val="16"/>
          <w:szCs w:val="16"/>
          <w:lang w:val="es-ES"/>
        </w:rPr>
      </w:pPr>
      <w:r w:rsidRPr="00C45436">
        <w:rPr>
          <w:rStyle w:val="Refdenotaalpie"/>
          <w:rFonts w:ascii="Verdana" w:hAnsi="Verdana" w:cs="Arial"/>
          <w:sz w:val="16"/>
          <w:szCs w:val="16"/>
        </w:rPr>
        <w:footnoteRef/>
      </w:r>
      <w:r w:rsidRPr="00C45436">
        <w:rPr>
          <w:rFonts w:ascii="Verdana" w:hAnsi="Verdana" w:cs="Arial"/>
          <w:sz w:val="16"/>
          <w:szCs w:val="16"/>
        </w:rPr>
        <w:t xml:space="preserve"> Consejo de Estado. Sala de Consulta y Servicio Civil. Concepto del 17 de febrero de 2015. C.P. William Zambrano Cetina. Rad. 2269.</w:t>
      </w:r>
    </w:p>
  </w:footnote>
  <w:footnote w:id="15">
    <w:p w14:paraId="5AE1AAA9" w14:textId="77777777" w:rsidR="00BE429B" w:rsidRPr="00C45436" w:rsidRDefault="00BE429B" w:rsidP="00A7153D">
      <w:pPr>
        <w:pStyle w:val="Textonotapie"/>
        <w:ind w:firstLine="709"/>
        <w:jc w:val="both"/>
        <w:rPr>
          <w:rFonts w:ascii="Verdana" w:hAnsi="Verdana" w:cs="Arial"/>
          <w:sz w:val="16"/>
          <w:szCs w:val="16"/>
        </w:rPr>
      </w:pPr>
      <w:r w:rsidRPr="00C45436">
        <w:rPr>
          <w:rStyle w:val="Refdenotaalpie"/>
          <w:rFonts w:ascii="Verdana" w:hAnsi="Verdana" w:cs="Arial"/>
          <w:sz w:val="16"/>
          <w:szCs w:val="16"/>
        </w:rPr>
        <w:footnoteRef/>
      </w:r>
      <w:r w:rsidRPr="00C45436">
        <w:rPr>
          <w:rFonts w:ascii="Verdana" w:hAnsi="Verdana" w:cs="Arial"/>
          <w:sz w:val="16"/>
          <w:szCs w:val="16"/>
        </w:rPr>
        <w:t xml:space="preserve"> Consejo de Estado. Sala de Consulta y Servicio Civil. Concepto del 08 de mayo de 2018.</w:t>
      </w:r>
      <w:r w:rsidRPr="00C45436">
        <w:rPr>
          <w:rFonts w:ascii="Verdana" w:hAnsi="Verdana" w:cs="Arial"/>
          <w:sz w:val="16"/>
          <w:szCs w:val="16"/>
          <w:lang w:val="es-CO"/>
        </w:rPr>
        <w:t xml:space="preserve"> C.P. Álvaro Namén Vargas.</w:t>
      </w:r>
      <w:r w:rsidRPr="00C45436">
        <w:rPr>
          <w:rFonts w:ascii="Verdana" w:hAnsi="Verdana" w:cs="Arial"/>
          <w:sz w:val="16"/>
          <w:szCs w:val="16"/>
        </w:rPr>
        <w:t xml:space="preserve"> Rad. 2.382.</w:t>
      </w:r>
    </w:p>
  </w:footnote>
  <w:footnote w:id="16">
    <w:p w14:paraId="1E5D0138" w14:textId="77777777" w:rsidR="00BE429B" w:rsidRPr="00C45436" w:rsidRDefault="00BE429B" w:rsidP="00A7153D">
      <w:pPr>
        <w:pStyle w:val="Textonotapie"/>
        <w:ind w:firstLine="708"/>
        <w:jc w:val="both"/>
        <w:rPr>
          <w:rFonts w:ascii="Verdana" w:hAnsi="Verdana"/>
          <w:sz w:val="16"/>
          <w:szCs w:val="16"/>
        </w:rPr>
      </w:pPr>
      <w:r w:rsidRPr="00C45436">
        <w:rPr>
          <w:rStyle w:val="Refdenotaalpie"/>
          <w:rFonts w:ascii="Verdana" w:hAnsi="Verdana"/>
          <w:sz w:val="16"/>
          <w:szCs w:val="16"/>
        </w:rPr>
        <w:footnoteRef/>
      </w:r>
      <w:r w:rsidRPr="00C45436">
        <w:rPr>
          <w:rFonts w:ascii="Verdana" w:hAnsi="Verdana"/>
          <w:sz w:val="16"/>
          <w:szCs w:val="16"/>
        </w:rPr>
        <w:t xml:space="preserve"> </w:t>
      </w:r>
      <w:r w:rsidRPr="00C45436">
        <w:rPr>
          <w:rFonts w:ascii="Verdana" w:eastAsia="Arial" w:hAnsi="Verdana" w:cs="Arial"/>
          <w:sz w:val="16"/>
          <w:szCs w:val="16"/>
          <w:lang w:eastAsia="es-ES" w:bidi="es-ES"/>
        </w:rPr>
        <w:t xml:space="preserve">Mediante sentencia del 17 de octubre de 2025, emitida por la Sección Tercera del Consejo de Estado, dentro del expediente </w:t>
      </w:r>
      <w:r w:rsidRPr="00C45436">
        <w:rPr>
          <w:rFonts w:ascii="Verdana" w:eastAsia="Times New Roman" w:hAnsi="Verdana" w:cs="Times New Roman"/>
          <w:sz w:val="16"/>
          <w:szCs w:val="16"/>
          <w:lang w:eastAsia="es-ES"/>
        </w:rPr>
        <w:t>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footnote>
  <w:footnote w:id="17">
    <w:p w14:paraId="7104836E" w14:textId="77777777" w:rsidR="00BE429B" w:rsidRPr="004F6BEA" w:rsidRDefault="00BE429B" w:rsidP="00A7153D">
      <w:pPr>
        <w:pStyle w:val="Textonotapie"/>
        <w:ind w:firstLine="708"/>
        <w:rPr>
          <w:rFonts w:ascii="Verdana" w:hAnsi="Verdana"/>
          <w:sz w:val="16"/>
          <w:szCs w:val="16"/>
          <w:lang w:val="es-CO"/>
        </w:rPr>
      </w:pPr>
      <w:r w:rsidRPr="004F6BEA">
        <w:rPr>
          <w:rStyle w:val="Refdenotaalpie"/>
          <w:rFonts w:ascii="Verdana" w:hAnsi="Verdana"/>
          <w:sz w:val="16"/>
          <w:szCs w:val="16"/>
        </w:rPr>
        <w:footnoteRef/>
      </w:r>
      <w:r w:rsidRPr="004F6BEA">
        <w:rPr>
          <w:rFonts w:ascii="Verdana" w:hAnsi="Verdana"/>
          <w:sz w:val="16"/>
          <w:szCs w:val="16"/>
        </w:rPr>
        <w:t xml:space="preserve"> </w:t>
      </w:r>
      <w:r>
        <w:rPr>
          <w:rFonts w:ascii="Verdana" w:hAnsi="Verdana"/>
          <w:sz w:val="16"/>
          <w:szCs w:val="16"/>
        </w:rPr>
        <w:t xml:space="preserve">Superintendencia de Servicios Públicos Domiciliarios. Conceptos C-086 de 2022 y C-194 de 2022. </w:t>
      </w:r>
    </w:p>
  </w:footnote>
  <w:footnote w:id="18">
    <w:p w14:paraId="2AC18B1D" w14:textId="77777777" w:rsidR="00BE429B" w:rsidRPr="00C45436" w:rsidRDefault="00BE429B" w:rsidP="00A7153D">
      <w:pPr>
        <w:pStyle w:val="Textonotapie"/>
        <w:ind w:firstLine="709"/>
        <w:rPr>
          <w:rFonts w:ascii="Verdana" w:hAnsi="Verdana"/>
          <w:sz w:val="16"/>
          <w:szCs w:val="16"/>
          <w:lang w:val="es-CO"/>
        </w:rPr>
      </w:pPr>
      <w:r w:rsidRPr="00C45436">
        <w:rPr>
          <w:rStyle w:val="Refdenotaalpie"/>
          <w:rFonts w:ascii="Verdana" w:hAnsi="Verdana"/>
          <w:sz w:val="16"/>
          <w:szCs w:val="16"/>
        </w:rPr>
        <w:footnoteRef/>
      </w:r>
      <w:r w:rsidRPr="00C45436">
        <w:rPr>
          <w:rFonts w:ascii="Verdana" w:hAnsi="Verdana"/>
          <w:sz w:val="16"/>
          <w:szCs w:val="16"/>
        </w:rPr>
        <w:t xml:space="preserve"> </w:t>
      </w:r>
      <w:r w:rsidRPr="00C45436">
        <w:rPr>
          <w:rFonts w:ascii="Verdana" w:hAnsi="Verdana" w:cs="Arial"/>
          <w:sz w:val="16"/>
          <w:szCs w:val="16"/>
        </w:rPr>
        <w:t>Consejo de Estado. Sala de Consulta y Servicio Civil. Concepto de 6 de abril de 2006. Rad. 1738. C.P. Enrique José Arboleda Perdomo.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BE429B" w:rsidRDefault="00BE429B"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BE429B" w:rsidRDefault="00BE429B">
    <w:pPr>
      <w:pStyle w:val="Encabezado"/>
    </w:pPr>
  </w:p>
  <w:p w14:paraId="5E18350A" w14:textId="705F7B76" w:rsidR="00BE429B" w:rsidRPr="004A305D" w:rsidRDefault="00BE429B" w:rsidP="00B01B1A">
    <w:pPr>
      <w:spacing w:after="0" w:line="120" w:lineRule="auto"/>
      <w:rPr>
        <w:rFonts w:ascii="Century Gothic" w:eastAsia="Geo" w:hAnsi="Century Gothic" w:cs="Geo"/>
        <w:sz w:val="16"/>
        <w:szCs w:val="16"/>
        <w:lang w:eastAsia="es-CO"/>
      </w:rPr>
    </w:pPr>
  </w:p>
  <w:p w14:paraId="211B7F5D" w14:textId="77777777" w:rsidR="00BE429B" w:rsidRDefault="00BE429B" w:rsidP="00844AE9">
    <w:pPr>
      <w:spacing w:after="0" w:line="240" w:lineRule="auto"/>
      <w:rPr>
        <w:rFonts w:ascii="Verdana" w:hAnsi="Verdana"/>
        <w:sz w:val="24"/>
        <w:szCs w:val="24"/>
      </w:rPr>
    </w:pPr>
  </w:p>
  <w:p w14:paraId="5A0054B1" w14:textId="77777777" w:rsidR="00BE429B" w:rsidRPr="00C925AC" w:rsidRDefault="00BE429B" w:rsidP="00844AE9">
    <w:pPr>
      <w:spacing w:after="0" w:line="240" w:lineRule="auto"/>
      <w:rPr>
        <w:rFonts w:ascii="Verdana" w:hAnsi="Verdana"/>
        <w:sz w:val="24"/>
        <w:szCs w:val="24"/>
      </w:rPr>
    </w:pPr>
  </w:p>
  <w:p w14:paraId="1FD1C243" w14:textId="37C5500A" w:rsidR="00BE429B" w:rsidRPr="00C925AC" w:rsidRDefault="00BE429B"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2pt;height:7.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02875594">
    <w:abstractNumId w:val="6"/>
  </w:num>
  <w:num w:numId="2" w16cid:durableId="153881612">
    <w:abstractNumId w:val="1"/>
  </w:num>
  <w:num w:numId="3" w16cid:durableId="1830637421">
    <w:abstractNumId w:val="4"/>
  </w:num>
  <w:num w:numId="4" w16cid:durableId="165448318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89682903">
    <w:abstractNumId w:val="1"/>
  </w:num>
  <w:num w:numId="6" w16cid:durableId="818183192">
    <w:abstractNumId w:val="13"/>
  </w:num>
  <w:num w:numId="7" w16cid:durableId="1574588187">
    <w:abstractNumId w:val="5"/>
  </w:num>
  <w:num w:numId="8" w16cid:durableId="398600639">
    <w:abstractNumId w:val="12"/>
  </w:num>
  <w:num w:numId="9" w16cid:durableId="1009212066">
    <w:abstractNumId w:val="7"/>
  </w:num>
  <w:num w:numId="10" w16cid:durableId="220751822">
    <w:abstractNumId w:val="11"/>
  </w:num>
  <w:num w:numId="11" w16cid:durableId="1248616814">
    <w:abstractNumId w:val="8"/>
  </w:num>
  <w:num w:numId="12" w16cid:durableId="113057732">
    <w:abstractNumId w:val="0"/>
  </w:num>
  <w:num w:numId="13" w16cid:durableId="853494767">
    <w:abstractNumId w:val="2"/>
  </w:num>
  <w:num w:numId="14" w16cid:durableId="1223755931">
    <w:abstractNumId w:val="14"/>
  </w:num>
  <w:num w:numId="15" w16cid:durableId="1781336602">
    <w:abstractNumId w:val="10"/>
  </w:num>
  <w:num w:numId="16" w16cid:durableId="268781047">
    <w:abstractNumId w:val="3"/>
  </w:num>
  <w:num w:numId="17" w16cid:durableId="625770216">
    <w:abstractNumId w:val="9"/>
  </w:num>
  <w:num w:numId="18" w16cid:durableId="168987195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30CF"/>
    <w:rsid w:val="00016F78"/>
    <w:rsid w:val="00046945"/>
    <w:rsid w:val="00055945"/>
    <w:rsid w:val="00061B2A"/>
    <w:rsid w:val="00082239"/>
    <w:rsid w:val="00082362"/>
    <w:rsid w:val="000A683E"/>
    <w:rsid w:val="000B19B9"/>
    <w:rsid w:val="000C7D33"/>
    <w:rsid w:val="000D0334"/>
    <w:rsid w:val="000D5DA7"/>
    <w:rsid w:val="000F6486"/>
    <w:rsid w:val="00116940"/>
    <w:rsid w:val="00125105"/>
    <w:rsid w:val="00127233"/>
    <w:rsid w:val="0015699B"/>
    <w:rsid w:val="001743CA"/>
    <w:rsid w:val="00183C7C"/>
    <w:rsid w:val="001A33BF"/>
    <w:rsid w:val="001E4177"/>
    <w:rsid w:val="001E449F"/>
    <w:rsid w:val="001F0B24"/>
    <w:rsid w:val="001F7DC6"/>
    <w:rsid w:val="00211230"/>
    <w:rsid w:val="0022400B"/>
    <w:rsid w:val="002421BB"/>
    <w:rsid w:val="00246CBB"/>
    <w:rsid w:val="00252059"/>
    <w:rsid w:val="0025796E"/>
    <w:rsid w:val="002707A2"/>
    <w:rsid w:val="002951A0"/>
    <w:rsid w:val="002962BC"/>
    <w:rsid w:val="002A093D"/>
    <w:rsid w:val="002A0DD0"/>
    <w:rsid w:val="002A49AC"/>
    <w:rsid w:val="002A58CD"/>
    <w:rsid w:val="002A64FD"/>
    <w:rsid w:val="002B730F"/>
    <w:rsid w:val="002C7A84"/>
    <w:rsid w:val="002E2BF8"/>
    <w:rsid w:val="002E4FD9"/>
    <w:rsid w:val="003004D2"/>
    <w:rsid w:val="0030657A"/>
    <w:rsid w:val="00322A85"/>
    <w:rsid w:val="00324168"/>
    <w:rsid w:val="00325055"/>
    <w:rsid w:val="00330834"/>
    <w:rsid w:val="003448F4"/>
    <w:rsid w:val="0036053B"/>
    <w:rsid w:val="0037015E"/>
    <w:rsid w:val="00374F5E"/>
    <w:rsid w:val="00377E3E"/>
    <w:rsid w:val="003A779E"/>
    <w:rsid w:val="003C5FD9"/>
    <w:rsid w:val="003D0F4D"/>
    <w:rsid w:val="003D5B0D"/>
    <w:rsid w:val="003E0499"/>
    <w:rsid w:val="003E4F80"/>
    <w:rsid w:val="003E6439"/>
    <w:rsid w:val="003F3941"/>
    <w:rsid w:val="00406575"/>
    <w:rsid w:val="00414C74"/>
    <w:rsid w:val="0042722E"/>
    <w:rsid w:val="00442203"/>
    <w:rsid w:val="0044528D"/>
    <w:rsid w:val="00466E39"/>
    <w:rsid w:val="00470178"/>
    <w:rsid w:val="00474655"/>
    <w:rsid w:val="004A1847"/>
    <w:rsid w:val="004A305D"/>
    <w:rsid w:val="004D5C33"/>
    <w:rsid w:val="004F21C4"/>
    <w:rsid w:val="004F685F"/>
    <w:rsid w:val="005176EB"/>
    <w:rsid w:val="005566E8"/>
    <w:rsid w:val="00560ECB"/>
    <w:rsid w:val="00574867"/>
    <w:rsid w:val="00585982"/>
    <w:rsid w:val="00591460"/>
    <w:rsid w:val="005A65E0"/>
    <w:rsid w:val="005C3777"/>
    <w:rsid w:val="005C47DD"/>
    <w:rsid w:val="005C5CDC"/>
    <w:rsid w:val="005D476C"/>
    <w:rsid w:val="005E7C99"/>
    <w:rsid w:val="005F1A8F"/>
    <w:rsid w:val="00603964"/>
    <w:rsid w:val="006200BF"/>
    <w:rsid w:val="006219F8"/>
    <w:rsid w:val="006302F7"/>
    <w:rsid w:val="0063701C"/>
    <w:rsid w:val="00643685"/>
    <w:rsid w:val="00646B9F"/>
    <w:rsid w:val="006506D8"/>
    <w:rsid w:val="006571B8"/>
    <w:rsid w:val="00665D70"/>
    <w:rsid w:val="006900D9"/>
    <w:rsid w:val="006B4B9E"/>
    <w:rsid w:val="0070369F"/>
    <w:rsid w:val="00706C16"/>
    <w:rsid w:val="0071632A"/>
    <w:rsid w:val="007340C3"/>
    <w:rsid w:val="00747132"/>
    <w:rsid w:val="00747A86"/>
    <w:rsid w:val="0075235A"/>
    <w:rsid w:val="00756841"/>
    <w:rsid w:val="007649AB"/>
    <w:rsid w:val="00771D0C"/>
    <w:rsid w:val="007833AC"/>
    <w:rsid w:val="007A1830"/>
    <w:rsid w:val="007B268C"/>
    <w:rsid w:val="007B7171"/>
    <w:rsid w:val="007C0C0F"/>
    <w:rsid w:val="007C3DC2"/>
    <w:rsid w:val="007D1AA3"/>
    <w:rsid w:val="007E5497"/>
    <w:rsid w:val="00806F5F"/>
    <w:rsid w:val="00820278"/>
    <w:rsid w:val="008258C9"/>
    <w:rsid w:val="008316FF"/>
    <w:rsid w:val="00844AE9"/>
    <w:rsid w:val="00867F95"/>
    <w:rsid w:val="008843B6"/>
    <w:rsid w:val="008853C8"/>
    <w:rsid w:val="00891928"/>
    <w:rsid w:val="008A3E33"/>
    <w:rsid w:val="008A446D"/>
    <w:rsid w:val="008B25F1"/>
    <w:rsid w:val="008D180B"/>
    <w:rsid w:val="008F0EA7"/>
    <w:rsid w:val="00923EEF"/>
    <w:rsid w:val="00936528"/>
    <w:rsid w:val="009419F9"/>
    <w:rsid w:val="00945E3D"/>
    <w:rsid w:val="0095685E"/>
    <w:rsid w:val="00961B09"/>
    <w:rsid w:val="00965334"/>
    <w:rsid w:val="0097093E"/>
    <w:rsid w:val="00982C6E"/>
    <w:rsid w:val="009A0DFA"/>
    <w:rsid w:val="009B2D26"/>
    <w:rsid w:val="009C71FA"/>
    <w:rsid w:val="009C72E7"/>
    <w:rsid w:val="009C7F7E"/>
    <w:rsid w:val="009D3058"/>
    <w:rsid w:val="009D53A2"/>
    <w:rsid w:val="009F3A13"/>
    <w:rsid w:val="00A0122E"/>
    <w:rsid w:val="00A02AB0"/>
    <w:rsid w:val="00A122D3"/>
    <w:rsid w:val="00A14468"/>
    <w:rsid w:val="00A17F13"/>
    <w:rsid w:val="00A20739"/>
    <w:rsid w:val="00A23AF9"/>
    <w:rsid w:val="00A33ACC"/>
    <w:rsid w:val="00A33C78"/>
    <w:rsid w:val="00A7153D"/>
    <w:rsid w:val="00A96668"/>
    <w:rsid w:val="00AB0ADB"/>
    <w:rsid w:val="00B00412"/>
    <w:rsid w:val="00B00C0E"/>
    <w:rsid w:val="00B01B1A"/>
    <w:rsid w:val="00B13D96"/>
    <w:rsid w:val="00B44A47"/>
    <w:rsid w:val="00B72CD3"/>
    <w:rsid w:val="00B72FFF"/>
    <w:rsid w:val="00B77287"/>
    <w:rsid w:val="00BC3D36"/>
    <w:rsid w:val="00BD54A6"/>
    <w:rsid w:val="00BD7F72"/>
    <w:rsid w:val="00BE429B"/>
    <w:rsid w:val="00BF7425"/>
    <w:rsid w:val="00C0431F"/>
    <w:rsid w:val="00C04FB3"/>
    <w:rsid w:val="00C11D8B"/>
    <w:rsid w:val="00C15042"/>
    <w:rsid w:val="00C16B06"/>
    <w:rsid w:val="00C330EB"/>
    <w:rsid w:val="00C50D69"/>
    <w:rsid w:val="00C5365C"/>
    <w:rsid w:val="00C754BE"/>
    <w:rsid w:val="00C76B1C"/>
    <w:rsid w:val="00C925AC"/>
    <w:rsid w:val="00CB6357"/>
    <w:rsid w:val="00CC1026"/>
    <w:rsid w:val="00CC1B26"/>
    <w:rsid w:val="00CC5F82"/>
    <w:rsid w:val="00D01973"/>
    <w:rsid w:val="00D24E1B"/>
    <w:rsid w:val="00D361FD"/>
    <w:rsid w:val="00D423A2"/>
    <w:rsid w:val="00D44E26"/>
    <w:rsid w:val="00D520D8"/>
    <w:rsid w:val="00D532F2"/>
    <w:rsid w:val="00D63AC2"/>
    <w:rsid w:val="00D7383B"/>
    <w:rsid w:val="00D7788A"/>
    <w:rsid w:val="00DA231B"/>
    <w:rsid w:val="00DC39FC"/>
    <w:rsid w:val="00DE52CE"/>
    <w:rsid w:val="00DF3306"/>
    <w:rsid w:val="00DF5254"/>
    <w:rsid w:val="00E02524"/>
    <w:rsid w:val="00E16408"/>
    <w:rsid w:val="00E17AEA"/>
    <w:rsid w:val="00E20894"/>
    <w:rsid w:val="00E245AB"/>
    <w:rsid w:val="00E2668B"/>
    <w:rsid w:val="00E2764C"/>
    <w:rsid w:val="00E27F2E"/>
    <w:rsid w:val="00E50AFE"/>
    <w:rsid w:val="00E75C92"/>
    <w:rsid w:val="00E771DC"/>
    <w:rsid w:val="00E8772A"/>
    <w:rsid w:val="00E90F6B"/>
    <w:rsid w:val="00E92C27"/>
    <w:rsid w:val="00E94B76"/>
    <w:rsid w:val="00EA0E3D"/>
    <w:rsid w:val="00EC38A7"/>
    <w:rsid w:val="00ED0AD9"/>
    <w:rsid w:val="00EE1AA8"/>
    <w:rsid w:val="00F23FEA"/>
    <w:rsid w:val="00F27B7B"/>
    <w:rsid w:val="00F31EDC"/>
    <w:rsid w:val="00F462B3"/>
    <w:rsid w:val="00F5664F"/>
    <w:rsid w:val="00F666C4"/>
    <w:rsid w:val="00F7501A"/>
    <w:rsid w:val="00F76AFC"/>
    <w:rsid w:val="00FA47C0"/>
    <w:rsid w:val="00FB5DD1"/>
    <w:rsid w:val="00FC2B5D"/>
    <w:rsid w:val="00FD2581"/>
    <w:rsid w:val="00FE5324"/>
    <w:rsid w:val="00FF1449"/>
    <w:rsid w:val="00FF3D97"/>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153D"/>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F3D97"/>
    <w:rPr>
      <w:rFonts w:ascii="Geomanist Light" w:hAnsi="Geomanist Light"/>
      <w:lang w:val="es-ES"/>
    </w:rPr>
  </w:style>
  <w:style w:type="character" w:customStyle="1" w:styleId="NormalWebCar">
    <w:name w:val="Normal (Web) Car"/>
    <w:link w:val="NormalWeb"/>
    <w:uiPriority w:val="99"/>
    <w:locked/>
    <w:rsid w:val="00A7153D"/>
    <w:rPr>
      <w:rFonts w:ascii="Times New Roman" w:eastAsia="Times New Roman" w:hAnsi="Times New Roman" w:cs="Times New Roman"/>
      <w:sz w:val="24"/>
      <w:szCs w:val="24"/>
      <w:lang w:eastAsia="es-CO"/>
    </w:rPr>
  </w:style>
  <w:style w:type="character" w:customStyle="1" w:styleId="baj">
    <w:name w:val="b_aj"/>
    <w:basedOn w:val="Fuentedeprrafopredeter"/>
    <w:rsid w:val="00A7153D"/>
  </w:style>
  <w:style w:type="character" w:styleId="Mencinsinresolver">
    <w:name w:val="Unresolved Mention"/>
    <w:basedOn w:val="Fuentedeprrafopredeter"/>
    <w:uiPriority w:val="99"/>
    <w:semiHidden/>
    <w:unhideWhenUsed/>
    <w:rsid w:val="00FE53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817703">
      <w:bodyDiv w:val="1"/>
      <w:marLeft w:val="0"/>
      <w:marRight w:val="0"/>
      <w:marTop w:val="0"/>
      <w:marBottom w:val="0"/>
      <w:divBdr>
        <w:top w:val="none" w:sz="0" w:space="0" w:color="auto"/>
        <w:left w:val="none" w:sz="0" w:space="0" w:color="auto"/>
        <w:bottom w:val="none" w:sz="0" w:space="0" w:color="auto"/>
        <w:right w:val="none" w:sz="0" w:space="0" w:color="auto"/>
      </w:divBdr>
    </w:div>
    <w:div w:id="362830511">
      <w:bodyDiv w:val="1"/>
      <w:marLeft w:val="0"/>
      <w:marRight w:val="0"/>
      <w:marTop w:val="0"/>
      <w:marBottom w:val="0"/>
      <w:divBdr>
        <w:top w:val="none" w:sz="0" w:space="0" w:color="auto"/>
        <w:left w:val="none" w:sz="0" w:space="0" w:color="auto"/>
        <w:bottom w:val="none" w:sz="0" w:space="0" w:color="auto"/>
        <w:right w:val="none" w:sz="0" w:space="0" w:color="auto"/>
      </w:divBdr>
    </w:div>
    <w:div w:id="364061825">
      <w:bodyDiv w:val="1"/>
      <w:marLeft w:val="0"/>
      <w:marRight w:val="0"/>
      <w:marTop w:val="0"/>
      <w:marBottom w:val="0"/>
      <w:divBdr>
        <w:top w:val="none" w:sz="0" w:space="0" w:color="auto"/>
        <w:left w:val="none" w:sz="0" w:space="0" w:color="auto"/>
        <w:bottom w:val="none" w:sz="0" w:space="0" w:color="auto"/>
        <w:right w:val="none" w:sz="0" w:space="0" w:color="auto"/>
      </w:divBdr>
    </w:div>
    <w:div w:id="555898339">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941713527">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ricardo.penuela@cali.gov.co"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3EF3F7A8-FFC3-4237-A751-42DB641566A6}">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7FC47003-92EC-4F69-A663-C1580DEA61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29</Pages>
  <Words>9507</Words>
  <Characters>53245</Characters>
  <Application>Microsoft Office Word</Application>
  <DocSecurity>0</DocSecurity>
  <Lines>1004</Lines>
  <Paragraphs>170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2026-04-07T15:24:00Z</dcterms:created>
  <dcterms:modified xsi:type="dcterms:W3CDTF">2026-04-07T22:35:00Z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